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theme/themeOverride17.xml" ContentType="application/vnd.openxmlformats-officedocument.themeOverride+xml"/>
  <Override PartName="/word/drawings/drawing7.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drawings/drawing8.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drawings/drawing9.xml" ContentType="application/vnd.openxmlformats-officedocument.drawingml.chartshapes+xml"/>
  <Override PartName="/word/charts/chart20.xml" ContentType="application/vnd.openxmlformats-officedocument.drawingml.chart+xml"/>
  <Override PartName="/word/theme/themeOverride20.xml" ContentType="application/vnd.openxmlformats-officedocument.themeOverride+xml"/>
  <Override PartName="/word/drawings/drawing10.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drawings/drawing11.xml" ContentType="application/vnd.openxmlformats-officedocument.drawingml.chartshapes+xml"/>
  <Override PartName="/word/charts/chart24.xml" ContentType="application/vnd.openxmlformats-officedocument.drawingml.chart+xml"/>
  <Override PartName="/word/theme/themeOverride24.xml" ContentType="application/vnd.openxmlformats-officedocument.themeOverride+xml"/>
  <Override PartName="/word/drawings/drawing12.xml" ContentType="application/vnd.openxmlformats-officedocument.drawingml.chartshapes+xml"/>
  <Override PartName="/word/charts/chart25.xml" ContentType="application/vnd.openxmlformats-officedocument.drawingml.chart+xml"/>
  <Override PartName="/word/theme/themeOverride25.xml" ContentType="application/vnd.openxmlformats-officedocument.themeOverride+xml"/>
  <Override PartName="/word/drawings/drawing13.xml" ContentType="application/vnd.openxmlformats-officedocument.drawingml.chartshapes+xml"/>
  <Override PartName="/word/charts/chart26.xml" ContentType="application/vnd.openxmlformats-officedocument.drawingml.chart+xml"/>
  <Override PartName="/word/theme/themeOverride26.xml" ContentType="application/vnd.openxmlformats-officedocument.themeOverride+xml"/>
  <Override PartName="/word/drawings/drawing14.xml" ContentType="application/vnd.openxmlformats-officedocument.drawingml.chartshapes+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4.xml" ContentType="application/vnd.openxmlformats-officedocument.themeOverride+xml"/>
  <Override PartName="/word/charts/chart35.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charts/chart40.xml" ContentType="application/vnd.openxmlformats-officedocument.drawingml.chart+xml"/>
  <Override PartName="/word/theme/themeOverride40.xml" ContentType="application/vnd.openxmlformats-officedocument.themeOverride+xml"/>
  <Override PartName="/word/charts/chart41.xml" ContentType="application/vnd.openxmlformats-officedocument.drawingml.chart+xml"/>
  <Override PartName="/word/theme/themeOverride41.xml" ContentType="application/vnd.openxmlformats-officedocument.themeOverride+xml"/>
  <Override PartName="/word/drawings/drawing15.xml" ContentType="application/vnd.openxmlformats-officedocument.drawingml.chartshapes+xml"/>
  <Override PartName="/word/charts/chart42.xml" ContentType="application/vnd.openxmlformats-officedocument.drawingml.chart+xml"/>
  <Override PartName="/word/theme/themeOverride42.xml" ContentType="application/vnd.openxmlformats-officedocument.themeOverride+xml"/>
  <Override PartName="/word/charts/chart43.xml" ContentType="application/vnd.openxmlformats-officedocument.drawingml.chart+xml"/>
  <Override PartName="/word/theme/themeOverride43.xml" ContentType="application/vnd.openxmlformats-officedocument.themeOverride+xml"/>
  <Override PartName="/word/charts/chart44.xml" ContentType="application/vnd.openxmlformats-officedocument.drawingml.chart+xml"/>
  <Override PartName="/word/theme/themeOverride44.xml" ContentType="application/vnd.openxmlformats-officedocument.themeOverride+xml"/>
  <Override PartName="/word/charts/chart45.xml" ContentType="application/vnd.openxmlformats-officedocument.drawingml.chart+xml"/>
  <Override PartName="/word/theme/themeOverride45.xml" ContentType="application/vnd.openxmlformats-officedocument.themeOverride+xml"/>
  <Override PartName="/word/charts/chart46.xml" ContentType="application/vnd.openxmlformats-officedocument.drawingml.chart+xml"/>
  <Override PartName="/word/theme/themeOverride46.xml" ContentType="application/vnd.openxmlformats-officedocument.themeOverride+xml"/>
  <Override PartName="/word/charts/chart47.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7.xml" ContentType="application/vnd.openxmlformats-officedocument.themeOverride+xml"/>
  <Override PartName="/word/drawings/drawing16.xml" ContentType="application/vnd.openxmlformats-officedocument.drawingml.chartshapes+xml"/>
  <Override PartName="/word/charts/chart48.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8.xml" ContentType="application/vnd.openxmlformats-officedocument.themeOverride+xml"/>
  <Override PartName="/word/drawings/drawing17.xml" ContentType="application/vnd.openxmlformats-officedocument.drawingml.chartshapes+xml"/>
  <Override PartName="/word/charts/chart49.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49.xml" ContentType="application/vnd.openxmlformats-officedocument.themeOverride+xml"/>
  <Override PartName="/word/drawings/drawing18.xml" ContentType="application/vnd.openxmlformats-officedocument.drawingml.chartshapes+xml"/>
  <Override PartName="/word/charts/chart50.xml" ContentType="application/vnd.openxmlformats-officedocument.drawingml.chart+xml"/>
  <Override PartName="/word/theme/themeOverride50.xml" ContentType="application/vnd.openxmlformats-officedocument.themeOverride+xml"/>
  <Override PartName="/word/drawings/drawing19.xml" ContentType="application/vnd.openxmlformats-officedocument.drawingml.chartshapes+xml"/>
  <Override PartName="/word/charts/chart51.xml" ContentType="application/vnd.openxmlformats-officedocument.drawingml.chart+xml"/>
  <Override PartName="/word/theme/themeOverride51.xml" ContentType="application/vnd.openxmlformats-officedocument.themeOverride+xml"/>
  <Override PartName="/word/drawings/drawing20.xml" ContentType="application/vnd.openxmlformats-officedocument.drawingml.chartshapes+xml"/>
  <Override PartName="/word/charts/chart52.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53.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5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5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5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5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58.xml" ContentType="application/vnd.openxmlformats-officedocument.drawingml.chart+xml"/>
  <Override PartName="/word/charts/chart5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52.xml" ContentType="application/vnd.openxmlformats-officedocument.themeOverride+xml"/>
  <Override PartName="/word/charts/chart6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53.xml" ContentType="application/vnd.openxmlformats-officedocument.themeOverride+xml"/>
  <Override PartName="/word/charts/chart6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62.xml" ContentType="application/vnd.openxmlformats-officedocument.drawingml.chart+xml"/>
  <Override PartName="/word/theme/themeOverride54.xml" ContentType="application/vnd.openxmlformats-officedocument.themeOverride+xml"/>
  <Override PartName="/word/charts/chart6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6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6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66.xml" ContentType="application/vnd.openxmlformats-officedocument.drawingml.chart+xml"/>
  <Override PartName="/word/theme/themeOverride55.xml" ContentType="application/vnd.openxmlformats-officedocument.themeOverride+xml"/>
  <Override PartName="/word/drawings/drawing21.xml" ContentType="application/vnd.openxmlformats-officedocument.drawingml.chartshapes+xml"/>
  <Override PartName="/word/charts/chart67.xml" ContentType="application/vnd.openxmlformats-officedocument.drawingml.chart+xml"/>
  <Override PartName="/word/drawings/drawing22.xml" ContentType="application/vnd.openxmlformats-officedocument.drawingml.chartshapes+xml"/>
  <Override PartName="/word/charts/chart68.xml" ContentType="application/vnd.openxmlformats-officedocument.drawingml.chart+xml"/>
  <Override PartName="/word/drawings/drawing23.xml" ContentType="application/vnd.openxmlformats-officedocument.drawingml.chartshapes+xml"/>
  <Override PartName="/word/charts/chart69.xml" ContentType="application/vnd.openxmlformats-officedocument.drawingml.chart+xml"/>
  <Override PartName="/word/theme/themeOverride56.xml" ContentType="application/vnd.openxmlformats-officedocument.themeOverride+xml"/>
  <Override PartName="/word/charts/chart70.xml" ContentType="application/vnd.openxmlformats-officedocument.drawingml.chart+xml"/>
  <Override PartName="/word/theme/themeOverride57.xml" ContentType="application/vnd.openxmlformats-officedocument.themeOverride+xml"/>
  <Override PartName="/word/charts/chart71.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58.xml" ContentType="application/vnd.openxmlformats-officedocument.themeOverride+xml"/>
  <Override PartName="/word/drawings/drawing24.xml" ContentType="application/vnd.openxmlformats-officedocument.drawingml.chartshapes+xml"/>
  <Override PartName="/word/charts/chart72.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59.xml" ContentType="application/vnd.openxmlformats-officedocument.themeOverride+xml"/>
  <Override PartName="/word/drawings/drawing25.xml" ContentType="application/vnd.openxmlformats-officedocument.drawingml.chartshapes+xml"/>
  <Override PartName="/word/charts/chart73.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60.xml" ContentType="application/vnd.openxmlformats-officedocument.themeOverride+xml"/>
  <Override PartName="/word/drawings/drawing26.xml" ContentType="application/vnd.openxmlformats-officedocument.drawingml.chartshapes+xml"/>
  <Override PartName="/word/charts/chart74.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61.xml" ContentType="application/vnd.openxmlformats-officedocument.themeOverride+xml"/>
  <Override PartName="/word/charts/chart75.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76.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77.xml" ContentType="application/vnd.openxmlformats-officedocument.drawingml.chart+xml"/>
  <Override PartName="/word/charts/style31.xml" ContentType="application/vnd.ms-office.chartstyle+xml"/>
  <Override PartName="/word/charts/colors31.xml" ContentType="application/vnd.ms-office.chartcolorstyle+xml"/>
  <Override PartName="/word/drawings/drawing27.xml" ContentType="application/vnd.openxmlformats-officedocument.drawingml.chartshapes+xml"/>
  <Override PartName="/word/charts/chart78.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79.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80.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81.xml" ContentType="application/vnd.openxmlformats-officedocument.drawingml.chart+xml"/>
  <Override PartName="/word/charts/style35.xml" ContentType="application/vnd.ms-office.chartstyle+xml"/>
  <Override PartName="/word/charts/colors35.xml" ContentType="application/vnd.ms-office.chartcolorstyle+xml"/>
  <Override PartName="/word/drawings/drawing28.xml" ContentType="application/vnd.openxmlformats-officedocument.drawingml.chartshapes+xml"/>
  <Override PartName="/word/charts/chart82.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83.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84.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85.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86.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87.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88.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89.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62.xml" ContentType="application/vnd.openxmlformats-officedocument.themeOverride+xml"/>
  <Override PartName="/word/charts/chart90.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91.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92.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93.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94.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95.xml" ContentType="application/vnd.openxmlformats-officedocument.drawingml.chart+xml"/>
  <Override PartName="/word/charts/style49.xml" ContentType="application/vnd.ms-office.chartstyle+xml"/>
  <Override PartName="/word/charts/colors49.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B67F1F" w14:textId="77777777" w:rsidR="00197356" w:rsidRDefault="00197356" w:rsidP="00C36772">
      <w:pPr>
        <w:pStyle w:val="NoSpacing"/>
        <w:rPr>
          <w:sz w:val="2"/>
        </w:rPr>
      </w:pPr>
    </w:p>
    <w:p w14:paraId="5616E1DF" w14:textId="77777777" w:rsidR="00197356" w:rsidRDefault="00197356" w:rsidP="00C36772">
      <w:pPr>
        <w:pStyle w:val="NoSpacing"/>
        <w:rPr>
          <w:sz w:val="2"/>
        </w:rPr>
      </w:pPr>
    </w:p>
    <w:sdt>
      <w:sdtPr>
        <w:rPr>
          <w:sz w:val="2"/>
        </w:rPr>
        <w:id w:val="1050349035"/>
        <w:docPartObj>
          <w:docPartGallery w:val="Cover Pages"/>
          <w:docPartUnique/>
        </w:docPartObj>
      </w:sdtPr>
      <w:sdtEndPr>
        <w:rPr>
          <w:color w:val="000000" w:themeColor="text1"/>
          <w:sz w:val="22"/>
        </w:rPr>
      </w:sdtEndPr>
      <w:sdtContent>
        <w:sdt>
          <w:sdtPr>
            <w:rPr>
              <w:sz w:val="2"/>
            </w:rPr>
            <w:id w:val="494153856"/>
            <w:docPartObj>
              <w:docPartGallery w:val="Cover Pages"/>
              <w:docPartUnique/>
            </w:docPartObj>
          </w:sdtPr>
          <w:sdtEndPr>
            <w:rPr>
              <w:color w:val="000000" w:themeColor="text1"/>
              <w:sz w:val="22"/>
            </w:rPr>
          </w:sdtEndPr>
          <w:sdtContent>
            <w:p w14:paraId="4DBAA82E" w14:textId="7D3785D9" w:rsidR="00C36772" w:rsidRDefault="00C36772" w:rsidP="00C36772">
              <w:pPr>
                <w:pStyle w:val="NoSpacing"/>
                <w:rPr>
                  <w:sz w:val="2"/>
                </w:rPr>
              </w:pPr>
              <w:r w:rsidRPr="007C423E">
                <w:rPr>
                  <w:rFonts w:cs="Sylfaen"/>
                  <w:b/>
                  <w:noProof/>
                  <w:spacing w:val="64"/>
                  <w:sz w:val="28"/>
                  <w:szCs w:val="28"/>
                </w:rPr>
                <mc:AlternateContent>
                  <mc:Choice Requires="wps">
                    <w:drawing>
                      <wp:anchor distT="91440" distB="91440" distL="365760" distR="365760" simplePos="0" relativeHeight="251683840" behindDoc="0" locked="0" layoutInCell="1" allowOverlap="1" wp14:anchorId="4490E514" wp14:editId="05B11832">
                        <wp:simplePos x="0" y="0"/>
                        <wp:positionH relativeFrom="margin">
                          <wp:align>right</wp:align>
                        </wp:positionH>
                        <wp:positionV relativeFrom="margin">
                          <wp:posOffset>-118110</wp:posOffset>
                        </wp:positionV>
                        <wp:extent cx="5324475" cy="2066290"/>
                        <wp:effectExtent l="0" t="0" r="0" b="0"/>
                        <wp:wrapTopAndBottom/>
                        <wp:docPr id="16120846" name="Rectangle 16120846"/>
                        <wp:cNvGraphicFramePr/>
                        <a:graphic xmlns:a="http://schemas.openxmlformats.org/drawingml/2006/main">
                          <a:graphicData uri="http://schemas.microsoft.com/office/word/2010/wordprocessingShape">
                            <wps:wsp>
                              <wps:cNvSpPr/>
                              <wps:spPr>
                                <a:xfrm>
                                  <a:off x="0" y="0"/>
                                  <a:ext cx="5324475" cy="20662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B976" w14:textId="77777777" w:rsidR="001A687C" w:rsidRPr="007C423E" w:rsidRDefault="001A687C" w:rsidP="00C36772">
                                    <w:pPr>
                                      <w:pStyle w:val="NoSpacing"/>
                                      <w:jc w:val="center"/>
                                      <w:rPr>
                                        <w:color w:val="323E4F" w:themeColor="text2" w:themeShade="BF"/>
                                        <w:sz w:val="18"/>
                                        <w:szCs w:val="18"/>
                                      </w:rPr>
                                    </w:pPr>
                                  </w:p>
                                  <w:p w14:paraId="7EA76E0F" w14:textId="08D7B702" w:rsidR="00B932AC" w:rsidRDefault="00B932AC" w:rsidP="00B932AC">
                                    <w:pPr>
                                      <w:pStyle w:val="mechtex"/>
                                      <w:tabs>
                                        <w:tab w:val="left" w:pos="0"/>
                                      </w:tabs>
                                      <w:spacing w:before="0" w:line="240" w:lineRule="auto"/>
                                      <w:ind w:firstLine="0"/>
                                      <w:jc w:val="right"/>
                                      <w:rPr>
                                        <w:color w:val="323E4F" w:themeColor="text2" w:themeShade="BF"/>
                                        <w:sz w:val="18"/>
                                        <w:szCs w:val="18"/>
                                        <w:lang w:val="hy-AM"/>
                                      </w:rPr>
                                    </w:pPr>
                                    <w:r>
                                      <w:rPr>
                                        <w:color w:val="323E4F" w:themeColor="text2" w:themeShade="BF"/>
                                        <w:sz w:val="18"/>
                                        <w:szCs w:val="18"/>
                                        <w:lang w:val="hy-AM"/>
                                      </w:rPr>
                                      <w:t>Հավելված</w:t>
                                    </w:r>
                                    <w:r w:rsidR="00944459">
                                      <w:rPr>
                                        <w:color w:val="323E4F" w:themeColor="text2" w:themeShade="BF"/>
                                        <w:sz w:val="18"/>
                                        <w:szCs w:val="18"/>
                                        <w:lang w:val="hy-AM"/>
                                      </w:rPr>
                                      <w:t xml:space="preserve"> </w:t>
                                    </w:r>
                                  </w:p>
                                  <w:p w14:paraId="6810CF89" w14:textId="144280DB" w:rsidR="001A687C" w:rsidRPr="00491E57" w:rsidRDefault="001A687C" w:rsidP="00B932AC">
                                    <w:pPr>
                                      <w:pStyle w:val="mechtex"/>
                                      <w:tabs>
                                        <w:tab w:val="left" w:pos="0"/>
                                      </w:tabs>
                                      <w:spacing w:before="0" w:line="240" w:lineRule="auto"/>
                                      <w:ind w:firstLine="0"/>
                                      <w:jc w:val="right"/>
                                      <w:rPr>
                                        <w:color w:val="323E4F" w:themeColor="text2" w:themeShade="BF"/>
                                        <w:sz w:val="18"/>
                                        <w:szCs w:val="18"/>
                                        <w:lang w:val="hy-AM"/>
                                      </w:rPr>
                                    </w:pPr>
                                    <w:r w:rsidRPr="00491E57">
                                      <w:rPr>
                                        <w:color w:val="323E4F" w:themeColor="text2" w:themeShade="BF"/>
                                        <w:sz w:val="18"/>
                                        <w:szCs w:val="18"/>
                                        <w:lang w:val="hy-AM"/>
                                      </w:rPr>
                                      <w:t>ՀՀ կառավարության 202</w:t>
                                    </w:r>
                                    <w:r>
                                      <w:rPr>
                                        <w:color w:val="323E4F" w:themeColor="text2" w:themeShade="BF"/>
                                        <w:sz w:val="18"/>
                                        <w:szCs w:val="18"/>
                                        <w:lang w:val="hy-AM"/>
                                      </w:rPr>
                                      <w:t>4</w:t>
                                    </w:r>
                                    <w:r w:rsidRPr="00491E57">
                                      <w:rPr>
                                        <w:color w:val="323E4F" w:themeColor="text2" w:themeShade="BF"/>
                                        <w:sz w:val="18"/>
                                        <w:szCs w:val="18"/>
                                        <w:lang w:val="hy-AM"/>
                                      </w:rPr>
                                      <w:t xml:space="preserve"> թվականի</w:t>
                                    </w:r>
                                  </w:p>
                                  <w:p w14:paraId="3BA1CC3D" w14:textId="74900873" w:rsidR="00491E57" w:rsidRPr="00491E57" w:rsidRDefault="00491E57" w:rsidP="00491E57">
                                    <w:pPr>
                                      <w:pStyle w:val="mechtex"/>
                                      <w:tabs>
                                        <w:tab w:val="left" w:pos="0"/>
                                      </w:tabs>
                                      <w:spacing w:before="0" w:line="240" w:lineRule="auto"/>
                                      <w:ind w:firstLine="0"/>
                                      <w:jc w:val="right"/>
                                      <w:rPr>
                                        <w:color w:val="323E4F" w:themeColor="text2" w:themeShade="BF"/>
                                        <w:sz w:val="18"/>
                                        <w:szCs w:val="18"/>
                                        <w:lang w:val="hy-AM"/>
                                      </w:rPr>
                                    </w:pPr>
                                    <w:r>
                                      <w:rPr>
                                        <w:color w:val="323E4F" w:themeColor="text2" w:themeShade="BF"/>
                                        <w:sz w:val="18"/>
                                        <w:szCs w:val="18"/>
                                        <w:lang w:val="hy-AM"/>
                                      </w:rPr>
                                      <w:t>04</w:t>
                                    </w:r>
                                    <w:r w:rsidRPr="00491E57">
                                      <w:rPr>
                                        <w:color w:val="323E4F" w:themeColor="text2" w:themeShade="BF"/>
                                        <w:sz w:val="18"/>
                                        <w:szCs w:val="18"/>
                                        <w:lang w:val="hy-AM"/>
                                      </w:rPr>
                                      <w:t xml:space="preserve"> </w:t>
                                    </w:r>
                                    <w:r>
                                      <w:rPr>
                                        <w:color w:val="323E4F" w:themeColor="text2" w:themeShade="BF"/>
                                        <w:sz w:val="18"/>
                                        <w:szCs w:val="18"/>
                                        <w:lang w:val="hy-AM"/>
                                      </w:rPr>
                                      <w:t>հուլիս</w:t>
                                    </w:r>
                                    <w:r w:rsidRPr="00491E57">
                                      <w:rPr>
                                        <w:color w:val="323E4F" w:themeColor="text2" w:themeShade="BF"/>
                                        <w:sz w:val="18"/>
                                        <w:szCs w:val="18"/>
                                        <w:lang w:val="hy-AM"/>
                                      </w:rPr>
                                      <w:t xml:space="preserve">ի N </w:t>
                                    </w:r>
                                    <w:r>
                                      <w:rPr>
                                        <w:color w:val="323E4F" w:themeColor="text2" w:themeShade="BF"/>
                                        <w:sz w:val="18"/>
                                        <w:szCs w:val="18"/>
                                        <w:lang w:val="hy-AM"/>
                                      </w:rPr>
                                      <w:t>1064</w:t>
                                    </w:r>
                                    <w:r w:rsidRPr="00491E57">
                                      <w:rPr>
                                        <w:color w:val="323E4F" w:themeColor="text2" w:themeShade="BF"/>
                                        <w:sz w:val="18"/>
                                        <w:szCs w:val="18"/>
                                        <w:lang w:val="hy-AM"/>
                                      </w:rPr>
                                      <w:t>-Ն որոշման</w:t>
                                    </w:r>
                                  </w:p>
                                  <w:p w14:paraId="5655FB98" w14:textId="77777777" w:rsidR="00491E57" w:rsidRPr="00491E57" w:rsidRDefault="00491E57" w:rsidP="00B932AC">
                                    <w:pPr>
                                      <w:pStyle w:val="mechtex"/>
                                      <w:tabs>
                                        <w:tab w:val="left" w:pos="0"/>
                                      </w:tabs>
                                      <w:spacing w:before="0" w:line="240" w:lineRule="auto"/>
                                      <w:ind w:firstLine="0"/>
                                      <w:jc w:val="right"/>
                                      <w:rPr>
                                        <w:color w:val="323E4F" w:themeColor="text2" w:themeShade="BF"/>
                                        <w:sz w:val="18"/>
                                        <w:szCs w:val="18"/>
                                        <w:lang w:val="hy-AM"/>
                                      </w:rPr>
                                    </w:pPr>
                                  </w:p>
                                  <w:p w14:paraId="67F6BBA5" w14:textId="492507B7" w:rsidR="001A687C" w:rsidRPr="007C423E" w:rsidRDefault="001A687C" w:rsidP="00C36772">
                                    <w:pPr>
                                      <w:pStyle w:val="mechtex"/>
                                      <w:tabs>
                                        <w:tab w:val="left" w:pos="0"/>
                                      </w:tabs>
                                      <w:spacing w:before="0" w:line="240" w:lineRule="auto"/>
                                      <w:ind w:firstLine="0"/>
                                      <w:jc w:val="right"/>
                                      <w:rPr>
                                        <w:color w:val="323E4F" w:themeColor="text2" w:themeShade="BF"/>
                                        <w:sz w:val="18"/>
                                        <w:szCs w:val="18"/>
                                      </w:rPr>
                                    </w:pPr>
                                  </w:p>
                                </w:txbxContent>
                              </wps:txbx>
                              <wps:bodyPr rot="0" spcFirstLastPara="0" vertOverflow="overflow" horzOverflow="overflow" vert="horz" wrap="square" lIns="137160" tIns="0" rIns="13716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4490E514" id="Rectangle 16120846" o:spid="_x0000_s1026" style="position:absolute;left:0;text-align:left;margin-left:368.05pt;margin-top:-9.3pt;width:419.25pt;height:162.7pt;z-index:251683840;visibility:visible;mso-wrap-style:square;mso-width-percent:0;mso-height-percent:0;mso-wrap-distance-left:28.8pt;mso-wrap-distance-top:7.2pt;mso-wrap-distance-right:28.8pt;mso-wrap-distance-bottom:7.2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" filled="f" stroked="f" strokeweight="1pt">
                        <v:textbox style="mso-fit-shape-to-text:t" inset="10.8pt,0,10.8pt,0">
                          <w:txbxContent>
                            <w:p w14:paraId="508DB976" w14:textId="77777777" w:rsidR="001A687C" w:rsidRPr="007C423E" w:rsidRDefault="001A687C" w:rsidP="00C36772">
                              <w:pPr>
                                <w:pStyle w:val="NoSpacing"/>
                                <w:jc w:val="center"/>
                                <w:rPr>
                                  <w:color w:val="323E4F" w:themeColor="text2" w:themeShade="BF"/>
                                  <w:sz w:val="18"/>
                                  <w:szCs w:val="18"/>
                                </w:rPr>
                              </w:pPr>
                            </w:p>
                            <w:p w14:paraId="7EA76E0F" w14:textId="08D7B702" w:rsidR="00B932AC" w:rsidRDefault="00B932AC" w:rsidP="00B932AC">
                              <w:pPr>
                                <w:pStyle w:val="mechtex"/>
                                <w:tabs>
                                  <w:tab w:val="left" w:pos="0"/>
                                </w:tabs>
                                <w:spacing w:before="0" w:line="240" w:lineRule="auto"/>
                                <w:ind w:firstLine="0"/>
                                <w:jc w:val="right"/>
                                <w:rPr>
                                  <w:color w:val="323E4F" w:themeColor="text2" w:themeShade="BF"/>
                                  <w:sz w:val="18"/>
                                  <w:szCs w:val="18"/>
                                  <w:lang w:val="hy-AM"/>
                                </w:rPr>
                              </w:pPr>
                              <w:r>
                                <w:rPr>
                                  <w:color w:val="323E4F" w:themeColor="text2" w:themeShade="BF"/>
                                  <w:sz w:val="18"/>
                                  <w:szCs w:val="18"/>
                                  <w:lang w:val="hy-AM"/>
                                </w:rPr>
                                <w:t>Հավելված</w:t>
                              </w:r>
                              <w:r w:rsidR="00944459">
                                <w:rPr>
                                  <w:color w:val="323E4F" w:themeColor="text2" w:themeShade="BF"/>
                                  <w:sz w:val="18"/>
                                  <w:szCs w:val="18"/>
                                  <w:lang w:val="hy-AM"/>
                                </w:rPr>
                                <w:t xml:space="preserve"> </w:t>
                              </w:r>
                            </w:p>
                            <w:p w14:paraId="6810CF89" w14:textId="144280DB" w:rsidR="001A687C" w:rsidRPr="00491E57" w:rsidRDefault="001A687C" w:rsidP="00B932AC">
                              <w:pPr>
                                <w:pStyle w:val="mechtex"/>
                                <w:tabs>
                                  <w:tab w:val="left" w:pos="0"/>
                                </w:tabs>
                                <w:spacing w:before="0" w:line="240" w:lineRule="auto"/>
                                <w:ind w:firstLine="0"/>
                                <w:jc w:val="right"/>
                                <w:rPr>
                                  <w:color w:val="323E4F" w:themeColor="text2" w:themeShade="BF"/>
                                  <w:sz w:val="18"/>
                                  <w:szCs w:val="18"/>
                                  <w:lang w:val="hy-AM"/>
                                </w:rPr>
                              </w:pPr>
                              <w:r w:rsidRPr="00491E57">
                                <w:rPr>
                                  <w:color w:val="323E4F" w:themeColor="text2" w:themeShade="BF"/>
                                  <w:sz w:val="18"/>
                                  <w:szCs w:val="18"/>
                                  <w:lang w:val="hy-AM"/>
                                </w:rPr>
                                <w:t>ՀՀ կառավարության 202</w:t>
                              </w:r>
                              <w:r>
                                <w:rPr>
                                  <w:color w:val="323E4F" w:themeColor="text2" w:themeShade="BF"/>
                                  <w:sz w:val="18"/>
                                  <w:szCs w:val="18"/>
                                  <w:lang w:val="hy-AM"/>
                                </w:rPr>
                                <w:t>4</w:t>
                              </w:r>
                              <w:r w:rsidRPr="00491E57">
                                <w:rPr>
                                  <w:color w:val="323E4F" w:themeColor="text2" w:themeShade="BF"/>
                                  <w:sz w:val="18"/>
                                  <w:szCs w:val="18"/>
                                  <w:lang w:val="hy-AM"/>
                                </w:rPr>
                                <w:t xml:space="preserve"> թվականի</w:t>
                              </w:r>
                            </w:p>
                            <w:p w14:paraId="3BA1CC3D" w14:textId="74900873" w:rsidR="00491E57" w:rsidRPr="00491E57" w:rsidRDefault="00491E57" w:rsidP="00491E57">
                              <w:pPr>
                                <w:pStyle w:val="mechtex"/>
                                <w:tabs>
                                  <w:tab w:val="left" w:pos="0"/>
                                </w:tabs>
                                <w:spacing w:before="0" w:line="240" w:lineRule="auto"/>
                                <w:ind w:firstLine="0"/>
                                <w:jc w:val="right"/>
                                <w:rPr>
                                  <w:color w:val="323E4F" w:themeColor="text2" w:themeShade="BF"/>
                                  <w:sz w:val="18"/>
                                  <w:szCs w:val="18"/>
                                  <w:lang w:val="hy-AM"/>
                                </w:rPr>
                              </w:pPr>
                              <w:r>
                                <w:rPr>
                                  <w:color w:val="323E4F" w:themeColor="text2" w:themeShade="BF"/>
                                  <w:sz w:val="18"/>
                                  <w:szCs w:val="18"/>
                                  <w:lang w:val="hy-AM"/>
                                </w:rPr>
                                <w:t>04</w:t>
                              </w:r>
                              <w:r w:rsidRPr="00491E57">
                                <w:rPr>
                                  <w:color w:val="323E4F" w:themeColor="text2" w:themeShade="BF"/>
                                  <w:sz w:val="18"/>
                                  <w:szCs w:val="18"/>
                                  <w:lang w:val="hy-AM"/>
                                </w:rPr>
                                <w:t xml:space="preserve"> </w:t>
                              </w:r>
                              <w:r>
                                <w:rPr>
                                  <w:color w:val="323E4F" w:themeColor="text2" w:themeShade="BF"/>
                                  <w:sz w:val="18"/>
                                  <w:szCs w:val="18"/>
                                  <w:lang w:val="hy-AM"/>
                                </w:rPr>
                                <w:t>հուլիս</w:t>
                              </w:r>
                              <w:r w:rsidRPr="00491E57">
                                <w:rPr>
                                  <w:color w:val="323E4F" w:themeColor="text2" w:themeShade="BF"/>
                                  <w:sz w:val="18"/>
                                  <w:szCs w:val="18"/>
                                  <w:lang w:val="hy-AM"/>
                                </w:rPr>
                                <w:t xml:space="preserve">ի N </w:t>
                              </w:r>
                              <w:r>
                                <w:rPr>
                                  <w:color w:val="323E4F" w:themeColor="text2" w:themeShade="BF"/>
                                  <w:sz w:val="18"/>
                                  <w:szCs w:val="18"/>
                                  <w:lang w:val="hy-AM"/>
                                </w:rPr>
                                <w:t>1064</w:t>
                              </w:r>
                              <w:r w:rsidRPr="00491E57">
                                <w:rPr>
                                  <w:color w:val="323E4F" w:themeColor="text2" w:themeShade="BF"/>
                                  <w:sz w:val="18"/>
                                  <w:szCs w:val="18"/>
                                  <w:lang w:val="hy-AM"/>
                                </w:rPr>
                                <w:t>-Ն որոշման</w:t>
                              </w:r>
                            </w:p>
                            <w:p w14:paraId="5655FB98" w14:textId="77777777" w:rsidR="00491E57" w:rsidRPr="00491E57" w:rsidRDefault="00491E57" w:rsidP="00B932AC">
                              <w:pPr>
                                <w:pStyle w:val="mechtex"/>
                                <w:tabs>
                                  <w:tab w:val="left" w:pos="0"/>
                                </w:tabs>
                                <w:spacing w:before="0" w:line="240" w:lineRule="auto"/>
                                <w:ind w:firstLine="0"/>
                                <w:jc w:val="right"/>
                                <w:rPr>
                                  <w:color w:val="323E4F" w:themeColor="text2" w:themeShade="BF"/>
                                  <w:sz w:val="18"/>
                                  <w:szCs w:val="18"/>
                                  <w:lang w:val="hy-AM"/>
                                </w:rPr>
                              </w:pPr>
                            </w:p>
                            <w:p w14:paraId="67F6BBA5" w14:textId="492507B7" w:rsidR="001A687C" w:rsidRPr="007C423E" w:rsidRDefault="001A687C" w:rsidP="00C36772">
                              <w:pPr>
                                <w:pStyle w:val="mechtex"/>
                                <w:tabs>
                                  <w:tab w:val="left" w:pos="0"/>
                                </w:tabs>
                                <w:spacing w:before="0" w:line="240" w:lineRule="auto"/>
                                <w:ind w:firstLine="0"/>
                                <w:jc w:val="right"/>
                                <w:rPr>
                                  <w:color w:val="323E4F" w:themeColor="text2" w:themeShade="BF"/>
                                  <w:sz w:val="18"/>
                                  <w:szCs w:val="18"/>
                                </w:rPr>
                              </w:pPr>
                            </w:p>
                          </w:txbxContent>
                        </v:textbox>
                        <w10:wrap type="topAndBottom" anchorx="margin" anchory="margin"/>
                      </v:rect>
                    </w:pict>
                  </mc:Fallback>
                </mc:AlternateContent>
              </w:r>
            </w:p>
            <w:p w14:paraId="0CD2B88B" w14:textId="77777777" w:rsidR="00C36772" w:rsidRDefault="00C36772" w:rsidP="00C36772"/>
            <w:p w14:paraId="0AFE5915" w14:textId="77777777" w:rsidR="00C36772" w:rsidRDefault="00A53861" w:rsidP="00C36772">
              <w:pPr>
                <w:spacing w:before="0" w:after="0" w:line="240" w:lineRule="auto"/>
                <w:ind w:firstLine="0"/>
                <w:jc w:val="left"/>
                <w:rPr>
                  <w:color w:val="000000" w:themeColor="text1"/>
                </w:rPr>
              </w:pPr>
              <w:r>
                <w:rPr>
                  <w:rFonts w:cs="Sylfaen"/>
                  <w:b/>
                  <w:noProof/>
                  <w:spacing w:val="64"/>
                  <w:sz w:val="28"/>
                  <w:szCs w:val="28"/>
                </w:rPr>
                <mc:AlternateContent>
                  <mc:Choice Requires="wps">
                    <w:drawing>
                      <wp:anchor distT="0" distB="0" distL="114300" distR="114300" simplePos="0" relativeHeight="251687936" behindDoc="0" locked="0" layoutInCell="1" allowOverlap="1" wp14:anchorId="75F9E72A" wp14:editId="0F262E85">
                        <wp:simplePos x="0" y="0"/>
                        <wp:positionH relativeFrom="column">
                          <wp:posOffset>626745</wp:posOffset>
                        </wp:positionH>
                        <wp:positionV relativeFrom="paragraph">
                          <wp:posOffset>8056880</wp:posOffset>
                        </wp:positionV>
                        <wp:extent cx="5429250" cy="533400"/>
                        <wp:effectExtent l="57150" t="0" r="57150" b="114300"/>
                        <wp:wrapNone/>
                        <wp:docPr id="32" name="Text Box 32"/>
                        <wp:cNvGraphicFramePr/>
                        <a:graphic xmlns:a="http://schemas.openxmlformats.org/drawingml/2006/main">
                          <a:graphicData uri="http://schemas.microsoft.com/office/word/2010/wordprocessingShape">
                            <wps:wsp>
                              <wps:cNvSpPr txBox="1"/>
                              <wps:spPr>
                                <a:xfrm>
                                  <a:off x="0" y="0"/>
                                  <a:ext cx="5429250" cy="533400"/>
                                </a:xfrm>
                                <a:prstGeom prst="rect">
                                  <a:avLst/>
                                </a:prstGeom>
                                <a:solidFill>
                                  <a:schemeClr val="bg1"/>
                                </a:solidFill>
                                <a:ln w="6350">
                                  <a:noFill/>
                                </a:ln>
                                <a:effectLst>
                                  <a:outerShdw blurRad="50800" dist="50800" dir="5400000" algn="ctr" rotWithShape="0">
                                    <a:schemeClr val="bg1"/>
                                  </a:outerShdw>
                                </a:effectLst>
                              </wps:spPr>
                              <wps:txbx>
                                <w:txbxContent>
                                  <w:p w14:paraId="5BD7E864" w14:textId="60066C87" w:rsidR="001A687C" w:rsidRPr="00083646" w:rsidRDefault="001A687C" w:rsidP="00A53861">
                                    <w:pPr>
                                      <w:pStyle w:val="ListParagraph"/>
                                      <w:spacing w:before="120" w:after="120"/>
                                      <w:jc w:val="center"/>
                                      <w:rPr>
                                        <w:b/>
                                        <w:color w:val="1F4E79" w:themeColor="accent1" w:themeShade="80"/>
                                        <w:sz w:val="32"/>
                                        <w:szCs w:val="32"/>
                                        <w:lang w:val="hy-AM"/>
                                        <w14:textOutline w14:w="9525" w14:cap="rnd" w14:cmpd="sng" w14:algn="ctr">
                                          <w14:solidFill>
                                            <w14:schemeClr w14:val="bg1"/>
                                          </w14:solidFill>
                                          <w14:prstDash w14:val="solid"/>
                                          <w14:bevel/>
                                        </w14:textOutline>
                                      </w:rPr>
                                    </w:pPr>
                                    <w:r w:rsidRPr="00A53861">
                                      <w:rPr>
                                        <w:b/>
                                        <w:color w:val="1F4E79" w:themeColor="accent1" w:themeShade="80"/>
                                        <w:sz w:val="32"/>
                                        <w:szCs w:val="32"/>
                                      </w:rPr>
                                      <w:t>ԵՐԵՎԱՆ 202</w:t>
                                    </w:r>
                                    <w:r>
                                      <w:rPr>
                                        <w:b/>
                                        <w:color w:val="1F4E79" w:themeColor="accent1" w:themeShade="80"/>
                                        <w:sz w:val="32"/>
                                        <w:szCs w:val="32"/>
                                        <w:lang w:val="hy-AM"/>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75F9E72A" id="_x0000_t202" coordsize="21600,21600" o:spt="202" path="m,l,21600r21600,l21600,xe">
                        <v:stroke joinstyle="miter"/>
                        <v:path gradientshapeok="t" o:connecttype="rect"/>
                      </v:shapetype>
                      <v:shape id="Text Box 32" o:spid="_x0000_s1027" type="#_x0000_t202" style="position:absolute;margin-left:49.35pt;margin-top:634.4pt;width:427.5pt;height:42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" fillcolor="white [3212]" stroked="f" strokeweight=".5pt">
                        <v:shadow on="t" color="white [3212]" offset="0,4pt"/>
                        <v:textbox>
                          <w:txbxContent>
                            <w:p w14:paraId="5BD7E864" w14:textId="60066C87" w:rsidR="001A687C" w:rsidRPr="00083646" w:rsidRDefault="001A687C" w:rsidP="00A53861">
                              <w:pPr>
                                <w:pStyle w:val="ListParagraph"/>
                                <w:spacing w:before="120" w:after="120"/>
                                <w:jc w:val="center"/>
                                <w:rPr>
                                  <w:b/>
                                  <w:color w:val="1F4E79" w:themeColor="accent1" w:themeShade="80"/>
                                  <w:sz w:val="32"/>
                                  <w:szCs w:val="32"/>
                                  <w:lang w:val="hy-AM"/>
                                  <w14:textOutline w14:w="9525" w14:cap="rnd" w14:cmpd="sng" w14:algn="ctr">
                                    <w14:solidFill>
                                      <w14:schemeClr w14:val="bg1"/>
                                    </w14:solidFill>
                                    <w14:prstDash w14:val="solid"/>
                                    <w14:bevel/>
                                  </w14:textOutline>
                                </w:rPr>
                              </w:pPr>
                              <w:r w:rsidRPr="00A53861">
                                <w:rPr>
                                  <w:b/>
                                  <w:color w:val="1F4E79" w:themeColor="accent1" w:themeShade="80"/>
                                  <w:sz w:val="32"/>
                                  <w:szCs w:val="32"/>
                                </w:rPr>
                                <w:t>ԵՐԵՎԱՆ 202</w:t>
                              </w:r>
                              <w:r>
                                <w:rPr>
                                  <w:b/>
                                  <w:color w:val="1F4E79" w:themeColor="accent1" w:themeShade="80"/>
                                  <w:sz w:val="32"/>
                                  <w:szCs w:val="32"/>
                                  <w:lang w:val="hy-AM"/>
                                </w:rPr>
                                <w:t>4</w:t>
                              </w:r>
                            </w:p>
                          </w:txbxContent>
                        </v:textbox>
                      </v:shape>
                    </w:pict>
                  </mc:Fallback>
                </mc:AlternateContent>
              </w:r>
              <w:r w:rsidR="00C36772" w:rsidRPr="007C423E">
                <w:rPr>
                  <w:rFonts w:cs="Sylfaen"/>
                  <w:b/>
                  <w:noProof/>
                  <w:spacing w:val="64"/>
                  <w:sz w:val="28"/>
                  <w:szCs w:val="28"/>
                </w:rPr>
                <mc:AlternateContent>
                  <mc:Choice Requires="wps">
                    <w:drawing>
                      <wp:anchor distT="91440" distB="91440" distL="365760" distR="365760" simplePos="0" relativeHeight="251684864" behindDoc="0" locked="0" layoutInCell="1" allowOverlap="1" wp14:anchorId="46D36C53" wp14:editId="37EF74FC">
                        <wp:simplePos x="0" y="0"/>
                        <wp:positionH relativeFrom="margin">
                          <wp:posOffset>244181</wp:posOffset>
                        </wp:positionH>
                        <wp:positionV relativeFrom="margin">
                          <wp:posOffset>3771133</wp:posOffset>
                        </wp:positionV>
                        <wp:extent cx="5495925" cy="2066290"/>
                        <wp:effectExtent l="0" t="0" r="0" b="3810"/>
                        <wp:wrapTopAndBottom/>
                        <wp:docPr id="16120847" name="Rectangle 16120847"/>
                        <wp:cNvGraphicFramePr/>
                        <a:graphic xmlns:a="http://schemas.openxmlformats.org/drawingml/2006/main">
                          <a:graphicData uri="http://schemas.microsoft.com/office/word/2010/wordprocessingShape">
                            <wps:wsp>
                              <wps:cNvSpPr/>
                              <wps:spPr>
                                <a:xfrm>
                                  <a:off x="0" y="0"/>
                                  <a:ext cx="5495925" cy="20662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4A750C" w14:textId="77777777" w:rsidR="001A687C" w:rsidRPr="00D7381B" w:rsidRDefault="001A687C" w:rsidP="00C36772">
                                    <w:pPr>
                                      <w:pStyle w:val="ListParagraph"/>
                                      <w:jc w:val="center"/>
                                      <w:rPr>
                                        <w:b/>
                                        <w:color w:val="1F4E79" w:themeColor="accent1" w:themeShade="80"/>
                                        <w:sz w:val="32"/>
                                        <w:szCs w:val="32"/>
                                      </w:rPr>
                                    </w:pPr>
                                  </w:p>
                                  <w:p w14:paraId="04791778" w14:textId="77777777" w:rsidR="001A687C" w:rsidRPr="00D7381B" w:rsidRDefault="001A687C" w:rsidP="00C36772">
                                    <w:pPr>
                                      <w:pStyle w:val="ListParagraph"/>
                                      <w:spacing w:before="120" w:after="120"/>
                                      <w:jc w:val="center"/>
                                      <w:rPr>
                                        <w:b/>
                                        <w:color w:val="1F4E79" w:themeColor="accent1" w:themeShade="80"/>
                                        <w:sz w:val="32"/>
                                        <w:szCs w:val="32"/>
                                      </w:rPr>
                                    </w:pPr>
                                    <w:r w:rsidRPr="00D7381B">
                                      <w:rPr>
                                        <w:b/>
                                        <w:color w:val="1F4E79" w:themeColor="accent1" w:themeShade="80"/>
                                        <w:sz w:val="32"/>
                                        <w:szCs w:val="32"/>
                                      </w:rPr>
                                      <w:t>ՀԱՅԱՍՏԱՆԻ ՀԱՆՐԱՊԵՏՈՒԹՅԱՆ</w:t>
                                    </w:r>
                                  </w:p>
                                  <w:p w14:paraId="3485FC5C" w14:textId="77777777" w:rsidR="001A687C" w:rsidRPr="00D7381B" w:rsidRDefault="001A687C" w:rsidP="00C36772">
                                    <w:pPr>
                                      <w:pStyle w:val="ListParagraph"/>
                                      <w:spacing w:before="120" w:after="120"/>
                                      <w:jc w:val="center"/>
                                      <w:rPr>
                                        <w:b/>
                                        <w:color w:val="1F4E79" w:themeColor="accent1" w:themeShade="80"/>
                                        <w:sz w:val="32"/>
                                        <w:szCs w:val="32"/>
                                      </w:rPr>
                                    </w:pPr>
                                    <w:r w:rsidRPr="00D7381B">
                                      <w:rPr>
                                        <w:b/>
                                        <w:color w:val="1F4E79" w:themeColor="accent1" w:themeShade="80"/>
                                        <w:sz w:val="32"/>
                                        <w:szCs w:val="32"/>
                                      </w:rPr>
                                      <w:t>ՊԵՏԱԿԱՆ ՄԻՋՆԱԺԱՄԿԵՏ ԾԱԽՍԵՐԻ ԾՐԱԳԻՐ</w:t>
                                    </w:r>
                                  </w:p>
                                  <w:p w14:paraId="132F1DE1" w14:textId="77777777" w:rsidR="001A687C" w:rsidRPr="00D7381B" w:rsidRDefault="001A687C" w:rsidP="00C36772">
                                    <w:pPr>
                                      <w:pStyle w:val="ListParagraph"/>
                                      <w:spacing w:before="120" w:after="120"/>
                                      <w:jc w:val="center"/>
                                      <w:rPr>
                                        <w:b/>
                                        <w:color w:val="1F4E79" w:themeColor="accent1" w:themeShade="80"/>
                                        <w:sz w:val="32"/>
                                        <w:szCs w:val="32"/>
                                      </w:rPr>
                                    </w:pPr>
                                  </w:p>
                                  <w:p w14:paraId="119A0D05" w14:textId="77777777" w:rsidR="001A687C" w:rsidRPr="00D7381B" w:rsidRDefault="001A687C" w:rsidP="00C36772">
                                    <w:pPr>
                                      <w:pStyle w:val="ListParagraph"/>
                                      <w:spacing w:before="120" w:after="120"/>
                                      <w:jc w:val="center"/>
                                      <w:rPr>
                                        <w:b/>
                                        <w:color w:val="1F4E79" w:themeColor="accent1" w:themeShade="80"/>
                                        <w:sz w:val="32"/>
                                        <w:szCs w:val="32"/>
                                      </w:rPr>
                                    </w:pPr>
                                  </w:p>
                                  <w:p w14:paraId="5DF228D8" w14:textId="1E86B7E5" w:rsidR="001A687C" w:rsidRPr="00980271" w:rsidRDefault="001A687C" w:rsidP="00C36772">
                                    <w:pPr>
                                      <w:pStyle w:val="ListParagraph"/>
                                      <w:spacing w:before="120" w:after="120"/>
                                      <w:jc w:val="center"/>
                                      <w:rPr>
                                        <w:b/>
                                        <w:color w:val="1F4E79" w:themeColor="accent1" w:themeShade="80"/>
                                        <w:sz w:val="32"/>
                                        <w:szCs w:val="32"/>
                                        <w:lang w:val="hy-AM"/>
                                      </w:rPr>
                                    </w:pPr>
                                    <w:r w:rsidRPr="00D7381B">
                                      <w:rPr>
                                        <w:b/>
                                        <w:color w:val="1F4E79" w:themeColor="accent1" w:themeShade="80"/>
                                        <w:sz w:val="32"/>
                                        <w:szCs w:val="32"/>
                                      </w:rPr>
                                      <w:t>202</w:t>
                                    </w:r>
                                    <w:r>
                                      <w:rPr>
                                        <w:b/>
                                        <w:color w:val="1F4E79" w:themeColor="accent1" w:themeShade="80"/>
                                        <w:sz w:val="32"/>
                                        <w:szCs w:val="32"/>
                                        <w:lang w:val="hy-AM"/>
                                      </w:rPr>
                                      <w:t>5</w:t>
                                    </w:r>
                                    <w:r w:rsidRPr="00D7381B">
                                      <w:rPr>
                                        <w:b/>
                                        <w:color w:val="1F4E79" w:themeColor="accent1" w:themeShade="80"/>
                                        <w:sz w:val="32"/>
                                        <w:szCs w:val="32"/>
                                      </w:rPr>
                                      <w:t xml:space="preserve"> - 202</w:t>
                                    </w:r>
                                    <w:r>
                                      <w:rPr>
                                        <w:b/>
                                        <w:color w:val="1F4E79" w:themeColor="accent1" w:themeShade="80"/>
                                        <w:sz w:val="32"/>
                                        <w:szCs w:val="32"/>
                                        <w:lang w:val="hy-AM"/>
                                      </w:rPr>
                                      <w:t>7</w:t>
                                    </w:r>
                                  </w:p>
                                  <w:p w14:paraId="2E15D0DE" w14:textId="77777777" w:rsidR="001A687C" w:rsidRPr="007C423E" w:rsidRDefault="001A687C" w:rsidP="00C36772">
                                    <w:pPr>
                                      <w:pStyle w:val="ListParagraph"/>
                                      <w:spacing w:before="240"/>
                                      <w:jc w:val="center"/>
                                      <w:rPr>
                                        <w:b/>
                                        <w:color w:val="323E4F" w:themeColor="text2" w:themeShade="BF"/>
                                        <w:sz w:val="32"/>
                                        <w:szCs w:val="32"/>
                                      </w:rPr>
                                    </w:pPr>
                                  </w:p>
                                </w:txbxContent>
                              </wps:txbx>
                              <wps:bodyPr rot="0" spcFirstLastPara="0" vertOverflow="overflow" horzOverflow="overflow" vert="horz" wrap="square" lIns="137160" tIns="0" rIns="13716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46D36C53" id="Rectangle 16120847" o:spid="_x0000_s1028" style="position:absolute;margin-left:19.25pt;margin-top:296.95pt;width:432.75pt;height:162.7pt;z-index:251684864;visibility:visible;mso-wrap-style:square;mso-width-percent:0;mso-height-percent:0;mso-wrap-distance-left:28.8pt;mso-wrap-distance-top:7.2pt;mso-wrap-distance-right:28.8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" filled="f" stroked="f" strokeweight="1pt">
                        <v:textbox style="mso-fit-shape-to-text:t" inset="10.8pt,0,10.8pt,0">
                          <w:txbxContent>
                            <w:p w14:paraId="354A750C" w14:textId="77777777" w:rsidR="001A687C" w:rsidRPr="00D7381B" w:rsidRDefault="001A687C" w:rsidP="00C36772">
                              <w:pPr>
                                <w:pStyle w:val="ListParagraph"/>
                                <w:jc w:val="center"/>
                                <w:rPr>
                                  <w:b/>
                                  <w:color w:val="1F4E79" w:themeColor="accent1" w:themeShade="80"/>
                                  <w:sz w:val="32"/>
                                  <w:szCs w:val="32"/>
                                </w:rPr>
                              </w:pPr>
                            </w:p>
                            <w:p w14:paraId="04791778" w14:textId="77777777" w:rsidR="001A687C" w:rsidRPr="00D7381B" w:rsidRDefault="001A687C" w:rsidP="00C36772">
                              <w:pPr>
                                <w:pStyle w:val="ListParagraph"/>
                                <w:spacing w:before="120" w:after="120"/>
                                <w:jc w:val="center"/>
                                <w:rPr>
                                  <w:b/>
                                  <w:color w:val="1F4E79" w:themeColor="accent1" w:themeShade="80"/>
                                  <w:sz w:val="32"/>
                                  <w:szCs w:val="32"/>
                                </w:rPr>
                              </w:pPr>
                              <w:r w:rsidRPr="00D7381B">
                                <w:rPr>
                                  <w:b/>
                                  <w:color w:val="1F4E79" w:themeColor="accent1" w:themeShade="80"/>
                                  <w:sz w:val="32"/>
                                  <w:szCs w:val="32"/>
                                </w:rPr>
                                <w:t>ՀԱՅԱՍՏԱՆԻ ՀԱՆՐԱՊԵՏՈՒԹՅԱՆ</w:t>
                              </w:r>
                            </w:p>
                            <w:p w14:paraId="3485FC5C" w14:textId="77777777" w:rsidR="001A687C" w:rsidRPr="00D7381B" w:rsidRDefault="001A687C" w:rsidP="00C36772">
                              <w:pPr>
                                <w:pStyle w:val="ListParagraph"/>
                                <w:spacing w:before="120" w:after="120"/>
                                <w:jc w:val="center"/>
                                <w:rPr>
                                  <w:b/>
                                  <w:color w:val="1F4E79" w:themeColor="accent1" w:themeShade="80"/>
                                  <w:sz w:val="32"/>
                                  <w:szCs w:val="32"/>
                                </w:rPr>
                              </w:pPr>
                              <w:r w:rsidRPr="00D7381B">
                                <w:rPr>
                                  <w:b/>
                                  <w:color w:val="1F4E79" w:themeColor="accent1" w:themeShade="80"/>
                                  <w:sz w:val="32"/>
                                  <w:szCs w:val="32"/>
                                </w:rPr>
                                <w:t>ՊԵՏԱԿԱՆ ՄԻՋՆԱԺԱՄԿԵՏ ԾԱԽՍԵՐԻ ԾՐԱԳԻՐ</w:t>
                              </w:r>
                            </w:p>
                            <w:p w14:paraId="132F1DE1" w14:textId="77777777" w:rsidR="001A687C" w:rsidRPr="00D7381B" w:rsidRDefault="001A687C" w:rsidP="00C36772">
                              <w:pPr>
                                <w:pStyle w:val="ListParagraph"/>
                                <w:spacing w:before="120" w:after="120"/>
                                <w:jc w:val="center"/>
                                <w:rPr>
                                  <w:b/>
                                  <w:color w:val="1F4E79" w:themeColor="accent1" w:themeShade="80"/>
                                  <w:sz w:val="32"/>
                                  <w:szCs w:val="32"/>
                                </w:rPr>
                              </w:pPr>
                            </w:p>
                            <w:p w14:paraId="119A0D05" w14:textId="77777777" w:rsidR="001A687C" w:rsidRPr="00D7381B" w:rsidRDefault="001A687C" w:rsidP="00C36772">
                              <w:pPr>
                                <w:pStyle w:val="ListParagraph"/>
                                <w:spacing w:before="120" w:after="120"/>
                                <w:jc w:val="center"/>
                                <w:rPr>
                                  <w:b/>
                                  <w:color w:val="1F4E79" w:themeColor="accent1" w:themeShade="80"/>
                                  <w:sz w:val="32"/>
                                  <w:szCs w:val="32"/>
                                </w:rPr>
                              </w:pPr>
                            </w:p>
                            <w:p w14:paraId="5DF228D8" w14:textId="1E86B7E5" w:rsidR="001A687C" w:rsidRPr="00980271" w:rsidRDefault="001A687C" w:rsidP="00C36772">
                              <w:pPr>
                                <w:pStyle w:val="ListParagraph"/>
                                <w:spacing w:before="120" w:after="120"/>
                                <w:jc w:val="center"/>
                                <w:rPr>
                                  <w:b/>
                                  <w:color w:val="1F4E79" w:themeColor="accent1" w:themeShade="80"/>
                                  <w:sz w:val="32"/>
                                  <w:szCs w:val="32"/>
                                  <w:lang w:val="hy-AM"/>
                                </w:rPr>
                              </w:pPr>
                              <w:r w:rsidRPr="00D7381B">
                                <w:rPr>
                                  <w:b/>
                                  <w:color w:val="1F4E79" w:themeColor="accent1" w:themeShade="80"/>
                                  <w:sz w:val="32"/>
                                  <w:szCs w:val="32"/>
                                </w:rPr>
                                <w:t>202</w:t>
                              </w:r>
                              <w:r>
                                <w:rPr>
                                  <w:b/>
                                  <w:color w:val="1F4E79" w:themeColor="accent1" w:themeShade="80"/>
                                  <w:sz w:val="32"/>
                                  <w:szCs w:val="32"/>
                                  <w:lang w:val="hy-AM"/>
                                </w:rPr>
                                <w:t>5</w:t>
                              </w:r>
                              <w:r w:rsidRPr="00D7381B">
                                <w:rPr>
                                  <w:b/>
                                  <w:color w:val="1F4E79" w:themeColor="accent1" w:themeShade="80"/>
                                  <w:sz w:val="32"/>
                                  <w:szCs w:val="32"/>
                                </w:rPr>
                                <w:t xml:space="preserve"> - 202</w:t>
                              </w:r>
                              <w:r>
                                <w:rPr>
                                  <w:b/>
                                  <w:color w:val="1F4E79" w:themeColor="accent1" w:themeShade="80"/>
                                  <w:sz w:val="32"/>
                                  <w:szCs w:val="32"/>
                                  <w:lang w:val="hy-AM"/>
                                </w:rPr>
                                <w:t>7</w:t>
                              </w:r>
                            </w:p>
                            <w:p w14:paraId="2E15D0DE" w14:textId="77777777" w:rsidR="001A687C" w:rsidRPr="007C423E" w:rsidRDefault="001A687C" w:rsidP="00C36772">
                              <w:pPr>
                                <w:pStyle w:val="ListParagraph"/>
                                <w:spacing w:before="240"/>
                                <w:jc w:val="center"/>
                                <w:rPr>
                                  <w:b/>
                                  <w:color w:val="323E4F" w:themeColor="text2" w:themeShade="BF"/>
                                  <w:sz w:val="32"/>
                                  <w:szCs w:val="32"/>
                                </w:rPr>
                              </w:pPr>
                            </w:p>
                          </w:txbxContent>
                        </v:textbox>
                        <w10:wrap type="topAndBottom" anchorx="margin" anchory="margin"/>
                      </v:rect>
                    </w:pict>
                  </mc:Fallback>
                </mc:AlternateContent>
              </w:r>
              <w:r w:rsidR="00C36772">
                <w:rPr>
                  <w:noProof/>
                </w:rPr>
                <w:drawing>
                  <wp:anchor distT="0" distB="0" distL="114300" distR="114300" simplePos="0" relativeHeight="251682816" behindDoc="0" locked="0" layoutInCell="1" allowOverlap="1" wp14:anchorId="7867B04D" wp14:editId="3CE36220">
                    <wp:simplePos x="0" y="0"/>
                    <wp:positionH relativeFrom="page">
                      <wp:align>center</wp:align>
                    </wp:positionH>
                    <wp:positionV relativeFrom="paragraph">
                      <wp:posOffset>635000</wp:posOffset>
                    </wp:positionV>
                    <wp:extent cx="1276350" cy="981075"/>
                    <wp:effectExtent l="0" t="0" r="0" b="9525"/>
                    <wp:wrapNone/>
                    <wp:docPr id="16120848" name="Picture 16120848" descr="https://www.minfin.am/website/themes/frontend/default/imag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infin.am/website/themes/frontend/default/image/log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6350" cy="981075"/>
                            </a:xfrm>
                            <a:prstGeom prst="rect">
                              <a:avLst/>
                            </a:prstGeom>
                            <a:noFill/>
                            <a:ln>
                              <a:noFill/>
                            </a:ln>
                          </pic:spPr>
                        </pic:pic>
                      </a:graphicData>
                    </a:graphic>
                  </wp:anchor>
                </w:drawing>
              </w:r>
              <w:r w:rsidR="00C36772">
                <w:rPr>
                  <w:color w:val="000000" w:themeColor="text1"/>
                </w:rPr>
                <w:br w:type="page"/>
              </w:r>
            </w:p>
            <w:bookmarkStart w:id="0" w:name="_GoBack" w:displacedByCustomXml="next"/>
            <w:bookmarkEnd w:id="0" w:displacedByCustomXml="next"/>
          </w:sdtContent>
        </w:sdt>
        <w:p w14:paraId="5AAC3107" w14:textId="77777777" w:rsidR="00C36772" w:rsidRDefault="00C36772" w:rsidP="00D45ABF">
          <w:pPr>
            <w:tabs>
              <w:tab w:val="left" w:pos="0"/>
            </w:tabs>
            <w:autoSpaceDE w:val="0"/>
            <w:autoSpaceDN w:val="0"/>
            <w:adjustRightInd w:val="0"/>
            <w:spacing w:before="0" w:after="0" w:line="240" w:lineRule="auto"/>
            <w:ind w:firstLine="0"/>
            <w:jc w:val="left"/>
            <w:rPr>
              <w:rFonts w:cs="GHEAGrapalat-Bold"/>
              <w:bCs/>
              <w:color w:val="002060"/>
              <w:sz w:val="28"/>
              <w:szCs w:val="28"/>
              <w:lang w:val="hy-AM"/>
            </w:rPr>
          </w:pPr>
          <w:r w:rsidRPr="00D45ABF">
            <w:rPr>
              <w:rFonts w:cs="GHEAGrapalat-Bold"/>
              <w:bCs/>
              <w:color w:val="002060"/>
              <w:sz w:val="28"/>
              <w:szCs w:val="28"/>
              <w:lang w:val="hy-AM"/>
            </w:rPr>
            <w:lastRenderedPageBreak/>
            <w:t xml:space="preserve">   </w:t>
          </w:r>
          <w:bookmarkStart w:id="1" w:name="_Toc138240435"/>
          <w:r w:rsidRPr="00D45ABF">
            <w:rPr>
              <w:rFonts w:cs="GHEAGrapalat-Bold"/>
              <w:bCs/>
              <w:color w:val="002060"/>
              <w:sz w:val="28"/>
              <w:szCs w:val="28"/>
              <w:lang w:val="hy-AM"/>
            </w:rPr>
            <w:t>ՕԳՏԱԳՈՐԾՎԱԾ ՀԱՊԱՎՈՒՄՆԵՐԻ ՑԱՆԿ</w:t>
          </w:r>
          <w:bookmarkEnd w:id="1"/>
        </w:p>
        <w:p w14:paraId="1AE1AE70" w14:textId="77777777" w:rsidR="00D45ABF" w:rsidRPr="00D45ABF" w:rsidRDefault="00D45ABF" w:rsidP="00D45ABF">
          <w:pPr>
            <w:tabs>
              <w:tab w:val="left" w:pos="0"/>
            </w:tabs>
            <w:autoSpaceDE w:val="0"/>
            <w:autoSpaceDN w:val="0"/>
            <w:adjustRightInd w:val="0"/>
            <w:spacing w:before="0" w:after="0" w:line="240" w:lineRule="auto"/>
            <w:ind w:firstLine="0"/>
            <w:jc w:val="left"/>
            <w:rPr>
              <w:rFonts w:cs="GHEAGrapalat-Bold"/>
              <w:bCs/>
              <w:color w:val="002060"/>
              <w:sz w:val="28"/>
              <w:szCs w:val="28"/>
              <w:lang w:val="hy-AM"/>
            </w:rPr>
          </w:pPr>
        </w:p>
        <w:p w14:paraId="5EEDD0CF" w14:textId="77777777" w:rsidR="00080175" w:rsidRPr="00D45ABF" w:rsidRDefault="00280FCA" w:rsidP="00D45ABF">
          <w:pPr>
            <w:pStyle w:val="NoSpacing"/>
            <w:spacing w:before="120" w:line="276" w:lineRule="auto"/>
            <w:rPr>
              <w:sz w:val="2"/>
              <w:lang w:val="hy-AM"/>
            </w:rPr>
          </w:pPr>
        </w:p>
      </w:sdtContent>
    </w:sdt>
    <w:p w14:paraId="64707209" w14:textId="77777777" w:rsidR="00C36772" w:rsidRPr="00D45ABF"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D45ABF">
        <w:rPr>
          <w:rFonts w:cs="GHEAGrapalat-Bold"/>
          <w:bCs/>
          <w:color w:val="000000" w:themeColor="text1"/>
          <w:lang w:val="hy-AM"/>
        </w:rPr>
        <w:t>ԱԳՆ</w:t>
      </w:r>
      <w:r w:rsidRPr="00D45ABF">
        <w:rPr>
          <w:rFonts w:cs="GHEAGrapalat-Bold"/>
          <w:bCs/>
          <w:color w:val="000000" w:themeColor="text1"/>
          <w:lang w:val="hy-AM"/>
        </w:rPr>
        <w:tab/>
      </w:r>
      <w:r w:rsidRPr="00D45ABF">
        <w:rPr>
          <w:rFonts w:cs="GHEAGrapalat-Bold"/>
          <w:bCs/>
          <w:color w:val="000000" w:themeColor="text1"/>
          <w:lang w:val="hy-AM"/>
        </w:rPr>
        <w:tab/>
      </w:r>
      <w:r w:rsidRPr="002715DC">
        <w:rPr>
          <w:rFonts w:cs="GHEAGrapalat-Bold"/>
          <w:bCs/>
          <w:color w:val="000000" w:themeColor="text1"/>
          <w:lang w:val="hy-AM"/>
        </w:rPr>
        <w:t>Արտաքին</w:t>
      </w:r>
      <w:r w:rsidRPr="00D45ABF">
        <w:rPr>
          <w:rFonts w:cs="GHEAGrapalat-Bold"/>
          <w:bCs/>
          <w:color w:val="000000" w:themeColor="text1"/>
          <w:lang w:val="hy-AM"/>
        </w:rPr>
        <w:t xml:space="preserve"> </w:t>
      </w:r>
      <w:r w:rsidRPr="002715DC">
        <w:rPr>
          <w:rFonts w:cs="GHEAGrapalat-Bold"/>
          <w:bCs/>
          <w:color w:val="000000" w:themeColor="text1"/>
          <w:lang w:val="hy-AM"/>
        </w:rPr>
        <w:t>գործերի</w:t>
      </w:r>
      <w:r w:rsidRPr="00D45ABF">
        <w:rPr>
          <w:rFonts w:cs="GHEAGrapalat-Bold"/>
          <w:bCs/>
          <w:color w:val="000000" w:themeColor="text1"/>
          <w:lang w:val="hy-AM"/>
        </w:rPr>
        <w:t xml:space="preserve"> </w:t>
      </w:r>
      <w:r w:rsidRPr="002715DC">
        <w:rPr>
          <w:rFonts w:cs="GHEAGrapalat-Bold"/>
          <w:bCs/>
          <w:color w:val="000000" w:themeColor="text1"/>
          <w:lang w:val="hy-AM"/>
        </w:rPr>
        <w:t>նախարարություն</w:t>
      </w:r>
    </w:p>
    <w:p w14:paraId="48D39F22"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ԱԺ</w:t>
      </w:r>
      <w:r w:rsidRPr="002715DC">
        <w:rPr>
          <w:rFonts w:cs="GHEAGrapalat-Bold"/>
          <w:bCs/>
          <w:color w:val="000000" w:themeColor="text1"/>
          <w:lang w:val="hy-AM"/>
        </w:rPr>
        <w:tab/>
      </w:r>
      <w:r w:rsidRPr="002715DC">
        <w:rPr>
          <w:rFonts w:cs="GHEAGrapalat-Bold"/>
          <w:bCs/>
          <w:color w:val="000000" w:themeColor="text1"/>
          <w:lang w:val="hy-AM"/>
        </w:rPr>
        <w:tab/>
        <w:t>Ազգային</w:t>
      </w:r>
      <w:r w:rsidRPr="002715DC">
        <w:rPr>
          <w:rFonts w:cs="GHEAGrapalat-Bold"/>
          <w:bCs/>
          <w:color w:val="000000" w:themeColor="text1"/>
          <w:lang w:val="es-ES"/>
        </w:rPr>
        <w:t xml:space="preserve"> </w:t>
      </w:r>
      <w:r w:rsidRPr="002715DC">
        <w:rPr>
          <w:rFonts w:cs="GHEAGrapalat-Bold"/>
          <w:bCs/>
          <w:color w:val="000000" w:themeColor="text1"/>
          <w:lang w:val="hy-AM"/>
        </w:rPr>
        <w:t>ժողով</w:t>
      </w:r>
    </w:p>
    <w:p w14:paraId="798CA959" w14:textId="77777777" w:rsidR="00C36772" w:rsidRPr="002715DC" w:rsidRDefault="00C36772" w:rsidP="00C36772">
      <w:pPr>
        <w:tabs>
          <w:tab w:val="left" w:pos="0"/>
        </w:tabs>
        <w:autoSpaceDE w:val="0"/>
        <w:autoSpaceDN w:val="0"/>
        <w:adjustRightInd w:val="0"/>
        <w:spacing w:before="0" w:after="0" w:line="240" w:lineRule="auto"/>
        <w:ind w:firstLine="0"/>
        <w:jc w:val="left"/>
        <w:rPr>
          <w:rFonts w:eastAsia="Times New Roman" w:cs="Times New Roman"/>
          <w:color w:val="000000" w:themeColor="text1"/>
          <w:kern w:val="16"/>
          <w:lang w:val="hy-AM"/>
        </w:rPr>
      </w:pPr>
      <w:r w:rsidRPr="002715DC">
        <w:rPr>
          <w:rFonts w:cs="GHEAGrapalat-Bold"/>
          <w:bCs/>
          <w:color w:val="000000" w:themeColor="text1"/>
          <w:lang w:val="hy-AM"/>
        </w:rPr>
        <w:t>ԱԷՄԳ</w:t>
      </w:r>
      <w:r>
        <w:rPr>
          <w:rFonts w:eastAsia="Times New Roman" w:cs="Times New Roman"/>
          <w:color w:val="000000" w:themeColor="text1"/>
          <w:kern w:val="16"/>
          <w:lang w:val="hy-AM"/>
        </w:rPr>
        <w:t xml:space="preserve"> </w:t>
      </w:r>
      <w:r>
        <w:rPr>
          <w:rFonts w:eastAsia="Times New Roman" w:cs="Times New Roman"/>
          <w:color w:val="000000" w:themeColor="text1"/>
          <w:kern w:val="16"/>
          <w:lang w:val="hy-AM"/>
        </w:rPr>
        <w:tab/>
      </w:r>
      <w:r>
        <w:rPr>
          <w:rFonts w:eastAsia="Times New Roman" w:cs="Times New Roman"/>
          <w:color w:val="000000" w:themeColor="text1"/>
          <w:kern w:val="16"/>
          <w:lang w:val="hy-AM"/>
        </w:rPr>
        <w:tab/>
      </w:r>
      <w:r w:rsidRPr="002715DC">
        <w:rPr>
          <w:rFonts w:eastAsia="Times New Roman" w:cs="Times New Roman"/>
          <w:color w:val="000000" w:themeColor="text1"/>
          <w:kern w:val="16"/>
          <w:lang w:val="hy-AM"/>
        </w:rPr>
        <w:t>Ատոմային էներգիայի միջազգային գործակալության</w:t>
      </w:r>
    </w:p>
    <w:p w14:paraId="3C2DA29F" w14:textId="77777777" w:rsidR="00C36772" w:rsidRPr="002715DC" w:rsidRDefault="00C36772" w:rsidP="00C36772">
      <w:pPr>
        <w:tabs>
          <w:tab w:val="left" w:pos="0"/>
        </w:tabs>
        <w:autoSpaceDE w:val="0"/>
        <w:autoSpaceDN w:val="0"/>
        <w:adjustRightInd w:val="0"/>
        <w:spacing w:before="0" w:after="0" w:line="240" w:lineRule="auto"/>
        <w:ind w:firstLine="0"/>
        <w:jc w:val="left"/>
        <w:rPr>
          <w:rFonts w:eastAsia="Times New Roman" w:cs="Times New Roman"/>
          <w:color w:val="000000" w:themeColor="text1"/>
          <w:kern w:val="16"/>
          <w:lang w:val="hy-AM"/>
        </w:rPr>
      </w:pPr>
      <w:r w:rsidRPr="002715DC">
        <w:rPr>
          <w:rFonts w:cs="GHEAGrapalat-Bold"/>
          <w:bCs/>
          <w:color w:val="000000" w:themeColor="text1"/>
          <w:lang w:val="hy-AM"/>
        </w:rPr>
        <w:t xml:space="preserve">ԱՃԳԾԱ </w:t>
      </w:r>
      <w:r w:rsidRPr="002715DC">
        <w:rPr>
          <w:color w:val="000000" w:themeColor="text1"/>
          <w:lang w:val="hy-AM"/>
        </w:rPr>
        <w:tab/>
        <w:t>Արդյունահանող ճյուղերի գլոբալ ծրագրային աջակցություն</w:t>
      </w:r>
    </w:p>
    <w:p w14:paraId="3DC48D85"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ԱՃԹՆ</w:t>
      </w:r>
      <w:r w:rsidRPr="002715DC">
        <w:rPr>
          <w:color w:val="000000" w:themeColor="text1"/>
          <w:lang w:val="hy-AM"/>
        </w:rPr>
        <w:t xml:space="preserve"> </w:t>
      </w:r>
      <w:r w:rsidRPr="002715DC">
        <w:rPr>
          <w:color w:val="000000" w:themeColor="text1"/>
          <w:lang w:val="hy-AM"/>
        </w:rPr>
        <w:tab/>
        <w:t>Արդյունահանող ճյուղերի թափանցիկության նախաձեռնություն</w:t>
      </w:r>
    </w:p>
    <w:p w14:paraId="38760667"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ԱՄՀ   </w:t>
      </w:r>
      <w:r w:rsidRPr="002715DC">
        <w:rPr>
          <w:rFonts w:cs="GHEAGrapalat-Bold"/>
          <w:bCs/>
          <w:color w:val="000000" w:themeColor="text1"/>
          <w:lang w:val="hy-AM"/>
        </w:rPr>
        <w:tab/>
      </w:r>
      <w:r w:rsidRPr="002715DC">
        <w:rPr>
          <w:rFonts w:cs="GHEAGrapalat-Bold"/>
          <w:bCs/>
          <w:color w:val="000000" w:themeColor="text1"/>
          <w:lang w:val="hy-AM"/>
        </w:rPr>
        <w:tab/>
        <w:t>Արժույթի միջազգային հիմնադրամ</w:t>
      </w:r>
    </w:p>
    <w:p w14:paraId="22E06427"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ԱՄՆ   </w:t>
      </w:r>
      <w:r w:rsidRPr="002715DC">
        <w:rPr>
          <w:rFonts w:cs="GHEAGrapalat-Bold"/>
          <w:bCs/>
          <w:color w:val="000000" w:themeColor="text1"/>
          <w:lang w:val="hy-AM"/>
        </w:rPr>
        <w:tab/>
      </w:r>
      <w:r w:rsidRPr="002715DC">
        <w:rPr>
          <w:rFonts w:cs="GHEAGrapalat-Bold"/>
          <w:bCs/>
          <w:color w:val="000000" w:themeColor="text1"/>
          <w:lang w:val="hy-AM"/>
        </w:rPr>
        <w:tab/>
        <w:t>Ամեր</w:t>
      </w:r>
      <w:r w:rsidR="009F0189" w:rsidRPr="00EC7240">
        <w:rPr>
          <w:rFonts w:cs="GHEAGrapalat-Bold"/>
          <w:bCs/>
          <w:color w:val="000000" w:themeColor="text1"/>
          <w:lang w:val="hy-AM"/>
        </w:rPr>
        <w:t>ի</w:t>
      </w:r>
      <w:r w:rsidRPr="002715DC">
        <w:rPr>
          <w:rFonts w:cs="GHEAGrapalat-Bold"/>
          <w:bCs/>
          <w:color w:val="000000" w:themeColor="text1"/>
          <w:lang w:val="hy-AM"/>
        </w:rPr>
        <w:t>կայի Միացյալ Նահանգներ</w:t>
      </w:r>
    </w:p>
    <w:p w14:paraId="156EF1A1"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ԱՊՀ          </w:t>
      </w:r>
      <w:r w:rsidRPr="002715DC">
        <w:rPr>
          <w:rFonts w:cs="GHEAGrapalat-Bold"/>
          <w:bCs/>
          <w:color w:val="000000" w:themeColor="text1"/>
          <w:lang w:val="hy-AM"/>
        </w:rPr>
        <w:tab/>
        <w:t>Անկախ Պետությունների Համագործակցություն</w:t>
      </w:r>
    </w:p>
    <w:p w14:paraId="5C386F93"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ԲՏ </w:t>
      </w:r>
      <w:r w:rsidRPr="002715DC">
        <w:rPr>
          <w:rFonts w:cs="GHEAGrapalat-Bold"/>
          <w:bCs/>
          <w:color w:val="000000" w:themeColor="text1"/>
          <w:lang w:val="hy-AM"/>
        </w:rPr>
        <w:tab/>
      </w:r>
      <w:r w:rsidRPr="002715DC">
        <w:rPr>
          <w:rFonts w:cs="GHEAGrapalat-Bold"/>
          <w:bCs/>
          <w:color w:val="000000" w:themeColor="text1"/>
          <w:lang w:val="hy-AM"/>
        </w:rPr>
        <w:tab/>
        <w:t>Բարձր տեխնոլոգիական</w:t>
      </w:r>
    </w:p>
    <w:p w14:paraId="7C1D3C2E"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ԲԷՍՀ</w:t>
      </w:r>
      <w:r w:rsidRPr="002715DC">
        <w:rPr>
          <w:rFonts w:cs="GHEAGrapalat-Bold"/>
          <w:bCs/>
          <w:color w:val="000000" w:themeColor="text1"/>
          <w:lang w:val="hy-AM"/>
        </w:rPr>
        <w:tab/>
      </w:r>
      <w:r w:rsidRPr="002715DC">
        <w:rPr>
          <w:rFonts w:cs="GHEAGrapalat-Bold"/>
          <w:bCs/>
          <w:color w:val="000000" w:themeColor="text1"/>
          <w:lang w:val="hy-AM"/>
        </w:rPr>
        <w:tab/>
        <w:t>Բարձր էներգիաների ստերեոսկոպիկ համակարգ</w:t>
      </w:r>
    </w:p>
    <w:p w14:paraId="089AB27E"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ԲՈՒՀ </w:t>
      </w:r>
      <w:r w:rsidRPr="002715DC">
        <w:rPr>
          <w:rFonts w:cs="GHEAGrapalat-Bold"/>
          <w:bCs/>
          <w:color w:val="000000" w:themeColor="text1"/>
          <w:lang w:val="hy-AM"/>
        </w:rPr>
        <w:tab/>
      </w:r>
      <w:r w:rsidRPr="002715DC">
        <w:rPr>
          <w:rFonts w:cs="GHEAGrapalat-Bold"/>
          <w:bCs/>
          <w:color w:val="000000" w:themeColor="text1"/>
          <w:lang w:val="hy-AM"/>
        </w:rPr>
        <w:tab/>
        <w:t>Բարձրագույն ուսումնական հաստատություն</w:t>
      </w:r>
    </w:p>
    <w:p w14:paraId="31BE2FF7"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ԳԱԱ     </w:t>
      </w:r>
      <w:r w:rsidRPr="002715DC">
        <w:rPr>
          <w:rFonts w:cs="GHEAGrapalat-Bold"/>
          <w:bCs/>
          <w:color w:val="000000" w:themeColor="text1"/>
          <w:lang w:val="hy-AM"/>
        </w:rPr>
        <w:tab/>
        <w:t>Գիտությունների ազգային ակադեմիա</w:t>
      </w:r>
    </w:p>
    <w:p w14:paraId="6842E64D" w14:textId="77777777" w:rsidR="00D45ABF"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ԳՏՃՄ     </w:t>
      </w:r>
      <w:r w:rsidRPr="002715DC">
        <w:rPr>
          <w:rFonts w:cs="GHEAGrapalat-Bold"/>
          <w:bCs/>
          <w:color w:val="000000" w:themeColor="text1"/>
          <w:lang w:val="hy-AM"/>
        </w:rPr>
        <w:tab/>
        <w:t>Գիտություն տեխնոլոգիա ճարտարագիտություն մաթեմատիկա</w:t>
      </w:r>
    </w:p>
    <w:p w14:paraId="698A146D" w14:textId="77777777" w:rsidR="00C36772" w:rsidRPr="002715DC" w:rsidRDefault="00C36772" w:rsidP="00C36772">
      <w:pPr>
        <w:tabs>
          <w:tab w:val="left" w:pos="0"/>
        </w:tabs>
        <w:autoSpaceDE w:val="0"/>
        <w:autoSpaceDN w:val="0"/>
        <w:adjustRightInd w:val="0"/>
        <w:spacing w:before="0" w:after="0" w:line="240" w:lineRule="auto"/>
        <w:ind w:firstLine="0"/>
        <w:jc w:val="left"/>
        <w:rPr>
          <w:color w:val="000000" w:themeColor="text1"/>
          <w:lang w:val="hy-AM"/>
        </w:rPr>
      </w:pPr>
      <w:r w:rsidRPr="002715DC">
        <w:rPr>
          <w:rFonts w:cs="GHEAGrapalat-Bold"/>
          <w:bCs/>
          <w:color w:val="000000" w:themeColor="text1"/>
          <w:lang w:val="hy-AM"/>
        </w:rPr>
        <w:t xml:space="preserve">ԵԱՀԿ </w:t>
      </w:r>
      <w:r w:rsidRPr="002715DC">
        <w:rPr>
          <w:rFonts w:cs="GHEAGrapalat-Bold"/>
          <w:bCs/>
          <w:color w:val="000000" w:themeColor="text1"/>
          <w:lang w:val="hy-AM"/>
        </w:rPr>
        <w:tab/>
      </w:r>
      <w:r w:rsidRPr="002715DC">
        <w:rPr>
          <w:rFonts w:cs="GHEAGrapalat-Bold"/>
          <w:bCs/>
          <w:color w:val="000000" w:themeColor="text1"/>
          <w:lang w:val="hy-AM"/>
        </w:rPr>
        <w:tab/>
      </w:r>
      <w:r w:rsidRPr="002715DC">
        <w:rPr>
          <w:color w:val="000000" w:themeColor="text1"/>
          <w:lang w:val="hy-AM"/>
        </w:rPr>
        <w:t>Եվրոպայում անվտանգության և համագործակցության</w:t>
      </w:r>
      <w:r>
        <w:rPr>
          <w:color w:val="000000" w:themeColor="text1"/>
          <w:lang w:val="hy-AM"/>
        </w:rPr>
        <w:t xml:space="preserve"> </w:t>
      </w:r>
      <w:r w:rsidRPr="002715DC">
        <w:rPr>
          <w:color w:val="000000" w:themeColor="text1"/>
          <w:lang w:val="hy-AM"/>
        </w:rPr>
        <w:t>կազմակերպություն</w:t>
      </w:r>
    </w:p>
    <w:p w14:paraId="713E8E7C" w14:textId="77777777" w:rsidR="00C36772" w:rsidRPr="002715DC" w:rsidRDefault="00C36772" w:rsidP="00C36772">
      <w:pPr>
        <w:tabs>
          <w:tab w:val="left" w:pos="0"/>
        </w:tabs>
        <w:autoSpaceDE w:val="0"/>
        <w:autoSpaceDN w:val="0"/>
        <w:adjustRightInd w:val="0"/>
        <w:spacing w:before="0" w:after="0" w:line="240" w:lineRule="auto"/>
        <w:ind w:firstLine="0"/>
        <w:jc w:val="left"/>
        <w:rPr>
          <w:color w:val="000000" w:themeColor="text1"/>
          <w:lang w:val="hy-AM"/>
        </w:rPr>
      </w:pPr>
      <w:r w:rsidRPr="002715DC">
        <w:rPr>
          <w:rFonts w:cs="GHEAGrapalat-Bold"/>
          <w:bCs/>
          <w:color w:val="000000" w:themeColor="text1"/>
          <w:lang w:val="hy-AM"/>
        </w:rPr>
        <w:t xml:space="preserve">ԵԱՏՄ </w:t>
      </w:r>
      <w:r w:rsidRPr="002715DC">
        <w:rPr>
          <w:rFonts w:cs="GHEAGrapalat-Bold"/>
          <w:bCs/>
          <w:color w:val="000000" w:themeColor="text1"/>
          <w:lang w:val="hy-AM"/>
        </w:rPr>
        <w:tab/>
      </w:r>
      <w:r w:rsidRPr="002715DC">
        <w:rPr>
          <w:rFonts w:cs="GHEAGrapalat-Bold"/>
          <w:bCs/>
          <w:color w:val="000000" w:themeColor="text1"/>
          <w:lang w:val="hy-AM"/>
        </w:rPr>
        <w:tab/>
      </w:r>
      <w:r w:rsidRPr="002715DC">
        <w:rPr>
          <w:color w:val="000000" w:themeColor="text1"/>
          <w:lang w:val="hy-AM"/>
        </w:rPr>
        <w:t>Եվրասիական տնտեսական միություն</w:t>
      </w:r>
    </w:p>
    <w:p w14:paraId="07ED12AD"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ԵԽ </w:t>
      </w:r>
      <w:r w:rsidRPr="002715DC">
        <w:rPr>
          <w:rFonts w:cs="GHEAGrapalat-Bold"/>
          <w:bCs/>
          <w:color w:val="000000" w:themeColor="text1"/>
          <w:lang w:val="hy-AM"/>
        </w:rPr>
        <w:tab/>
      </w:r>
      <w:r w:rsidRPr="002715DC">
        <w:rPr>
          <w:rFonts w:cs="GHEAGrapalat-Bold"/>
          <w:bCs/>
          <w:color w:val="000000" w:themeColor="text1"/>
          <w:lang w:val="hy-AM"/>
        </w:rPr>
        <w:tab/>
        <w:t>Եվրոպայի խորհուրդ</w:t>
      </w:r>
    </w:p>
    <w:p w14:paraId="2CF2326B"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ԵՄ </w:t>
      </w:r>
      <w:r w:rsidRPr="002715DC">
        <w:rPr>
          <w:rFonts w:cs="GHEAGrapalat-Bold"/>
          <w:bCs/>
          <w:color w:val="000000" w:themeColor="text1"/>
          <w:lang w:val="hy-AM"/>
        </w:rPr>
        <w:tab/>
      </w:r>
      <w:r w:rsidRPr="002715DC">
        <w:rPr>
          <w:rFonts w:cs="GHEAGrapalat-Bold"/>
          <w:bCs/>
          <w:color w:val="000000" w:themeColor="text1"/>
          <w:lang w:val="hy-AM"/>
        </w:rPr>
        <w:tab/>
        <w:t>Եվրոպական միություն</w:t>
      </w:r>
    </w:p>
    <w:p w14:paraId="6284F5DB"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ԵՏՀ </w:t>
      </w:r>
      <w:r w:rsidRPr="002715DC">
        <w:rPr>
          <w:rFonts w:cs="GHEAGrapalat-Bold"/>
          <w:bCs/>
          <w:color w:val="000000" w:themeColor="text1"/>
          <w:lang w:val="hy-AM"/>
        </w:rPr>
        <w:tab/>
      </w:r>
      <w:r w:rsidRPr="002715DC">
        <w:rPr>
          <w:rFonts w:cs="GHEAGrapalat-Bold"/>
          <w:bCs/>
          <w:color w:val="000000" w:themeColor="text1"/>
          <w:lang w:val="hy-AM"/>
        </w:rPr>
        <w:tab/>
      </w:r>
      <w:r w:rsidRPr="002715DC">
        <w:rPr>
          <w:color w:val="000000" w:themeColor="text1"/>
          <w:lang w:val="hy-AM"/>
        </w:rPr>
        <w:t>Եվրոպական տնտեսական համագործակցություն</w:t>
      </w:r>
    </w:p>
    <w:p w14:paraId="21D8BB3C"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ԶԼՄ</w:t>
      </w:r>
      <w:r w:rsidRPr="002715DC">
        <w:rPr>
          <w:rFonts w:cs="GHEAGrapalat-Bold"/>
          <w:bCs/>
          <w:color w:val="000000" w:themeColor="text1"/>
          <w:lang w:val="hy-AM"/>
        </w:rPr>
        <w:tab/>
      </w:r>
      <w:r w:rsidRPr="002715DC">
        <w:rPr>
          <w:rFonts w:cs="GHEAGrapalat-Bold"/>
          <w:bCs/>
          <w:color w:val="000000" w:themeColor="text1"/>
          <w:lang w:val="hy-AM"/>
        </w:rPr>
        <w:tab/>
        <w:t>Զանգվածային լրատվության միջոց</w:t>
      </w:r>
    </w:p>
    <w:p w14:paraId="1293BD20"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ԿԲ</w:t>
      </w:r>
      <w:r w:rsidRPr="002715DC">
        <w:rPr>
          <w:rFonts w:cs="GHEAGrapalat-Bold"/>
          <w:bCs/>
          <w:color w:val="000000" w:themeColor="text1"/>
          <w:lang w:val="hy-AM"/>
        </w:rPr>
        <w:tab/>
      </w:r>
      <w:r w:rsidRPr="002715DC">
        <w:rPr>
          <w:rFonts w:cs="GHEAGrapalat-Bold"/>
          <w:bCs/>
          <w:color w:val="000000" w:themeColor="text1"/>
          <w:lang w:val="hy-AM"/>
        </w:rPr>
        <w:tab/>
        <w:t>Կենտրոնական բանկ</w:t>
      </w:r>
    </w:p>
    <w:p w14:paraId="48CB1D50"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ՀԱԷԿ</w:t>
      </w:r>
      <w:r w:rsidRPr="002715DC">
        <w:rPr>
          <w:rFonts w:cs="GHEAGrapalat-Bold"/>
          <w:bCs/>
          <w:color w:val="000000" w:themeColor="text1"/>
          <w:lang w:val="hy-AM"/>
        </w:rPr>
        <w:tab/>
      </w:r>
      <w:r w:rsidRPr="002715DC">
        <w:rPr>
          <w:rFonts w:cs="GHEAGrapalat-Bold"/>
          <w:bCs/>
          <w:color w:val="000000" w:themeColor="text1"/>
          <w:lang w:val="hy-AM"/>
        </w:rPr>
        <w:tab/>
        <w:t>Հայկական ատոմային էլեկտրակայան</w:t>
      </w:r>
    </w:p>
    <w:p w14:paraId="333051BE"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ՀԱՊԿ</w:t>
      </w:r>
      <w:r w:rsidRPr="002715DC">
        <w:rPr>
          <w:rFonts w:cs="GHEAGrapalat-Bold"/>
          <w:bCs/>
          <w:color w:val="000000" w:themeColor="text1"/>
          <w:lang w:val="hy-AM"/>
        </w:rPr>
        <w:tab/>
      </w:r>
      <w:r w:rsidRPr="002715DC">
        <w:rPr>
          <w:rFonts w:cs="GHEAGrapalat-Bold"/>
          <w:bCs/>
          <w:color w:val="000000" w:themeColor="text1"/>
          <w:lang w:val="hy-AM"/>
        </w:rPr>
        <w:tab/>
      </w:r>
      <w:r w:rsidRPr="002715DC">
        <w:rPr>
          <w:rFonts w:eastAsia="GHEA Grapalat" w:cs="GHEA Grapalat"/>
          <w:color w:val="000000" w:themeColor="text1"/>
          <w:lang w:val="hy-AM"/>
        </w:rPr>
        <w:t>Հավաքական անվտանգության պայմանագրի կազմակերպություն</w:t>
      </w:r>
    </w:p>
    <w:p w14:paraId="5FBCAB08"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ՀԸԳՀ</w:t>
      </w:r>
      <w:r w:rsidRPr="002715DC">
        <w:rPr>
          <w:rFonts w:cs="GHEAGrapalat-Bold"/>
          <w:bCs/>
          <w:color w:val="000000" w:themeColor="text1"/>
          <w:lang w:val="hy-AM"/>
        </w:rPr>
        <w:tab/>
        <w:t xml:space="preserve"> </w:t>
      </w:r>
      <w:r w:rsidRPr="002715DC">
        <w:rPr>
          <w:rFonts w:cs="GHEAGrapalat-Bold"/>
          <w:bCs/>
          <w:color w:val="000000" w:themeColor="text1"/>
          <w:lang w:val="hy-AM"/>
        </w:rPr>
        <w:tab/>
      </w:r>
      <w:r w:rsidRPr="002715DC">
        <w:rPr>
          <w:rFonts w:eastAsia="GHEA Grapalat" w:cs="GHEA Grapalat"/>
          <w:color w:val="000000" w:themeColor="text1"/>
          <w:lang w:val="hy-AM"/>
        </w:rPr>
        <w:t>Համապարփակ և ընդլայնված գործընկերության համաձայնագրի</w:t>
      </w:r>
    </w:p>
    <w:p w14:paraId="63FA36E8"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ՀԲ </w:t>
      </w:r>
      <w:r w:rsidRPr="002715DC">
        <w:rPr>
          <w:rFonts w:cs="GHEAGrapalat-Bold"/>
          <w:bCs/>
          <w:color w:val="000000" w:themeColor="text1"/>
          <w:lang w:val="hy-AM"/>
        </w:rPr>
        <w:tab/>
      </w:r>
      <w:r w:rsidRPr="002715DC">
        <w:rPr>
          <w:rFonts w:cs="GHEAGrapalat-Bold"/>
          <w:bCs/>
          <w:color w:val="000000" w:themeColor="text1"/>
          <w:lang w:val="hy-AM"/>
        </w:rPr>
        <w:tab/>
        <w:t>Համաշխարհային բանկ</w:t>
      </w:r>
    </w:p>
    <w:p w14:paraId="11195CCB"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ՀՀ </w:t>
      </w:r>
      <w:r w:rsidRPr="002715DC">
        <w:rPr>
          <w:rFonts w:cs="GHEAGrapalat-Bold"/>
          <w:bCs/>
          <w:color w:val="000000" w:themeColor="text1"/>
          <w:lang w:val="hy-AM"/>
        </w:rPr>
        <w:tab/>
      </w:r>
      <w:r w:rsidRPr="002715DC">
        <w:rPr>
          <w:rFonts w:cs="GHEAGrapalat-Bold"/>
          <w:bCs/>
          <w:color w:val="000000" w:themeColor="text1"/>
          <w:lang w:val="hy-AM"/>
        </w:rPr>
        <w:tab/>
        <w:t>Հայաստանի Հանրապետություն</w:t>
      </w:r>
    </w:p>
    <w:p w14:paraId="15098A8D"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ՀՆԱ</w:t>
      </w:r>
      <w:r w:rsidRPr="002715DC">
        <w:rPr>
          <w:rFonts w:cs="GHEAGrapalat-Bold"/>
          <w:bCs/>
          <w:color w:val="000000" w:themeColor="text1"/>
          <w:lang w:val="hy-AM"/>
        </w:rPr>
        <w:tab/>
      </w:r>
      <w:r w:rsidRPr="002715DC">
        <w:rPr>
          <w:rFonts w:cs="GHEAGrapalat-Bold"/>
          <w:bCs/>
          <w:color w:val="000000" w:themeColor="text1"/>
          <w:lang w:val="hy-AM"/>
        </w:rPr>
        <w:tab/>
        <w:t>Համախառն ներքին արդյունք</w:t>
      </w:r>
    </w:p>
    <w:p w14:paraId="2A14FC8B"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ՄԱԿ</w:t>
      </w:r>
      <w:r w:rsidRPr="002715DC">
        <w:rPr>
          <w:rFonts w:cs="GHEAGrapalat-Bold"/>
          <w:bCs/>
          <w:color w:val="000000" w:themeColor="text1"/>
          <w:lang w:val="hy-AM"/>
        </w:rPr>
        <w:tab/>
        <w:t xml:space="preserve"> </w:t>
      </w:r>
      <w:r w:rsidRPr="002715DC">
        <w:rPr>
          <w:rFonts w:cs="GHEAGrapalat-Bold"/>
          <w:bCs/>
          <w:color w:val="000000" w:themeColor="text1"/>
          <w:lang w:val="hy-AM"/>
        </w:rPr>
        <w:tab/>
        <w:t>Միավորված ազգերի կազմակերպություն</w:t>
      </w:r>
    </w:p>
    <w:p w14:paraId="0229389E"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ՄԺԾԾ </w:t>
      </w:r>
      <w:r w:rsidRPr="002715DC">
        <w:rPr>
          <w:rFonts w:cs="GHEAGrapalat-Bold"/>
          <w:bCs/>
          <w:color w:val="000000" w:themeColor="text1"/>
          <w:lang w:val="hy-AM"/>
        </w:rPr>
        <w:tab/>
        <w:t>Միջնաժամկետ ծախսերի ծրագիր</w:t>
      </w:r>
    </w:p>
    <w:p w14:paraId="026DA9E5"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ՄՀՄԻ </w:t>
      </w:r>
      <w:r w:rsidRPr="002715DC">
        <w:rPr>
          <w:rFonts w:cs="GHEAGrapalat-Bold"/>
          <w:bCs/>
          <w:color w:val="000000" w:themeColor="text1"/>
          <w:lang w:val="hy-AM"/>
        </w:rPr>
        <w:tab/>
        <w:t xml:space="preserve"> </w:t>
      </w:r>
      <w:r w:rsidRPr="002715DC">
        <w:rPr>
          <w:rFonts w:cs="GHEAGrapalat-Bold"/>
          <w:bCs/>
          <w:color w:val="000000" w:themeColor="text1"/>
          <w:lang w:val="hy-AM"/>
        </w:rPr>
        <w:tab/>
        <w:t>Միջուկային հետազոտությունների միացյալ ինստիտուտ</w:t>
      </w:r>
    </w:p>
    <w:p w14:paraId="441B54EA"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ՊԵԿ  </w:t>
      </w:r>
      <w:r w:rsidRPr="002715DC">
        <w:rPr>
          <w:rFonts w:cs="GHEAGrapalat-Bold"/>
          <w:bCs/>
          <w:color w:val="000000" w:themeColor="text1"/>
          <w:lang w:val="hy-AM"/>
        </w:rPr>
        <w:tab/>
      </w:r>
      <w:r w:rsidRPr="002715DC">
        <w:rPr>
          <w:rFonts w:cs="GHEAGrapalat-Bold"/>
          <w:bCs/>
          <w:color w:val="000000" w:themeColor="text1"/>
          <w:lang w:val="hy-AM"/>
        </w:rPr>
        <w:tab/>
        <w:t>Պետական եկամուտների կոմիտե</w:t>
      </w:r>
    </w:p>
    <w:p w14:paraId="6795719D"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ՊՕՊ </w:t>
      </w:r>
      <w:r w:rsidRPr="002715DC">
        <w:rPr>
          <w:rFonts w:cs="GHEAGrapalat-Bold"/>
          <w:bCs/>
          <w:color w:val="000000" w:themeColor="text1"/>
          <w:lang w:val="hy-AM"/>
        </w:rPr>
        <w:tab/>
      </w:r>
      <w:r w:rsidRPr="002715DC">
        <w:rPr>
          <w:rFonts w:cs="GHEAGrapalat-Bold"/>
          <w:bCs/>
          <w:color w:val="000000" w:themeColor="text1"/>
          <w:lang w:val="hy-AM"/>
        </w:rPr>
        <w:tab/>
      </w:r>
      <w:r w:rsidRPr="002715DC">
        <w:rPr>
          <w:color w:val="000000" w:themeColor="text1"/>
          <w:lang w:val="hy-AM"/>
        </w:rPr>
        <w:t>Պետական գանձապետական պարտատոմսեր</w:t>
      </w:r>
    </w:p>
    <w:p w14:paraId="6B3479B6"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ՌԴ    </w:t>
      </w:r>
      <w:r w:rsidRPr="002715DC">
        <w:rPr>
          <w:rFonts w:cs="GHEAGrapalat-Bold"/>
          <w:bCs/>
          <w:color w:val="000000" w:themeColor="text1"/>
          <w:lang w:val="hy-AM"/>
        </w:rPr>
        <w:tab/>
      </w:r>
      <w:r w:rsidRPr="002715DC">
        <w:rPr>
          <w:rFonts w:cs="GHEAGrapalat-Bold"/>
          <w:bCs/>
          <w:color w:val="000000" w:themeColor="text1"/>
          <w:lang w:val="hy-AM"/>
        </w:rPr>
        <w:tab/>
        <w:t>Ռուսաստանի Դաշնություն</w:t>
      </w:r>
    </w:p>
    <w:p w14:paraId="572E279D"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ՍԴ    </w:t>
      </w:r>
      <w:r w:rsidRPr="002715DC">
        <w:rPr>
          <w:rFonts w:cs="GHEAGrapalat-Bold"/>
          <w:bCs/>
          <w:color w:val="000000" w:themeColor="text1"/>
          <w:lang w:val="hy-AM"/>
        </w:rPr>
        <w:tab/>
      </w:r>
      <w:r w:rsidRPr="002715DC">
        <w:rPr>
          <w:rFonts w:cs="GHEAGrapalat-Bold"/>
          <w:bCs/>
          <w:color w:val="000000" w:themeColor="text1"/>
          <w:lang w:val="hy-AM"/>
        </w:rPr>
        <w:tab/>
        <w:t>Սահմանադրական դատարան</w:t>
      </w:r>
    </w:p>
    <w:p w14:paraId="20B28C7A"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ՎԿ</w:t>
      </w:r>
      <w:r w:rsidRPr="002715DC">
        <w:rPr>
          <w:rFonts w:cs="GHEAGrapalat-Bold"/>
          <w:bCs/>
          <w:color w:val="000000" w:themeColor="text1"/>
          <w:lang w:val="hy-AM"/>
        </w:rPr>
        <w:tab/>
      </w:r>
      <w:r w:rsidRPr="002715DC">
        <w:rPr>
          <w:rFonts w:cs="GHEAGrapalat-Bold"/>
          <w:bCs/>
          <w:color w:val="000000" w:themeColor="text1"/>
          <w:lang w:val="hy-AM"/>
        </w:rPr>
        <w:tab/>
        <w:t>Վիճակագրական կոմիտե</w:t>
      </w:r>
    </w:p>
    <w:p w14:paraId="7CC3E102"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ՏԱՑ</w:t>
      </w:r>
      <w:r w:rsidRPr="002715DC">
        <w:rPr>
          <w:rFonts w:cs="GHEAGrapalat-Bold"/>
          <w:bCs/>
          <w:color w:val="000000" w:themeColor="text1"/>
          <w:lang w:val="hy-AM"/>
        </w:rPr>
        <w:tab/>
        <w:t xml:space="preserve"> </w:t>
      </w:r>
      <w:r w:rsidRPr="002715DC">
        <w:rPr>
          <w:rFonts w:cs="GHEAGrapalat-Bold"/>
          <w:bCs/>
          <w:color w:val="000000" w:themeColor="text1"/>
          <w:lang w:val="hy-AM"/>
        </w:rPr>
        <w:tab/>
        <w:t>Տնտեսական ակտիվության ցուցանիշ</w:t>
      </w:r>
    </w:p>
    <w:p w14:paraId="019C0EE1"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ՏԻՄ</w:t>
      </w:r>
      <w:r w:rsidRPr="002715DC">
        <w:rPr>
          <w:rFonts w:cs="GHEAGrapalat-Bold"/>
          <w:bCs/>
          <w:color w:val="000000" w:themeColor="text1"/>
          <w:lang w:val="hy-AM"/>
        </w:rPr>
        <w:tab/>
      </w:r>
      <w:r w:rsidRPr="002715DC">
        <w:rPr>
          <w:rFonts w:cs="GHEAGrapalat-Bold"/>
          <w:bCs/>
          <w:color w:val="000000" w:themeColor="text1"/>
          <w:lang w:val="hy-AM"/>
        </w:rPr>
        <w:tab/>
        <w:t>Տեղական ինքնակառավարման մարմին</w:t>
      </w:r>
    </w:p>
    <w:p w14:paraId="5AF378AC"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ՏՏ</w:t>
      </w:r>
      <w:r w:rsidRPr="002715DC">
        <w:rPr>
          <w:rFonts w:cs="GHEAGrapalat-Bold"/>
          <w:bCs/>
          <w:color w:val="000000" w:themeColor="text1"/>
          <w:lang w:val="hy-AM"/>
        </w:rPr>
        <w:tab/>
      </w:r>
      <w:r w:rsidRPr="002715DC">
        <w:rPr>
          <w:rFonts w:cs="GHEAGrapalat-Bold"/>
          <w:bCs/>
          <w:color w:val="000000" w:themeColor="text1"/>
          <w:lang w:val="hy-AM"/>
        </w:rPr>
        <w:tab/>
        <w:t>Տեղեկատվական տեխնոլոգիա</w:t>
      </w:r>
    </w:p>
    <w:p w14:paraId="49693B65"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ՓՄՁ </w:t>
      </w:r>
      <w:r w:rsidRPr="002715DC">
        <w:rPr>
          <w:rFonts w:cs="GHEAGrapalat-Bold"/>
          <w:bCs/>
          <w:color w:val="000000" w:themeColor="text1"/>
          <w:lang w:val="hy-AM"/>
        </w:rPr>
        <w:tab/>
      </w:r>
      <w:r w:rsidRPr="002715DC">
        <w:rPr>
          <w:rFonts w:cs="GHEAGrapalat-Bold"/>
          <w:bCs/>
          <w:color w:val="000000" w:themeColor="text1"/>
          <w:lang w:val="hy-AM"/>
        </w:rPr>
        <w:tab/>
        <w:t>Փոքր և միջին ձեռնարկատիրություն</w:t>
      </w:r>
    </w:p>
    <w:p w14:paraId="65187FFC" w14:textId="77777777" w:rsidR="00C36772" w:rsidRPr="002715DC" w:rsidRDefault="00C36772" w:rsidP="00C36772">
      <w:pPr>
        <w:tabs>
          <w:tab w:val="left" w:pos="0"/>
        </w:tabs>
        <w:autoSpaceDE w:val="0"/>
        <w:autoSpaceDN w:val="0"/>
        <w:adjustRightInd w:val="0"/>
        <w:spacing w:before="0" w:after="0" w:line="240" w:lineRule="auto"/>
        <w:ind w:firstLine="0"/>
        <w:jc w:val="left"/>
        <w:rPr>
          <w:rFonts w:cs="GHEAGrapalat-Bold"/>
          <w:bCs/>
          <w:color w:val="000000" w:themeColor="text1"/>
          <w:lang w:val="hy-AM"/>
        </w:rPr>
      </w:pPr>
      <w:r w:rsidRPr="002715DC">
        <w:rPr>
          <w:rFonts w:cs="GHEAGrapalat-Bold"/>
          <w:bCs/>
          <w:color w:val="000000" w:themeColor="text1"/>
          <w:lang w:val="hy-AM"/>
        </w:rPr>
        <w:t xml:space="preserve">ՖՆ </w:t>
      </w:r>
      <w:r w:rsidRPr="002715DC">
        <w:rPr>
          <w:rFonts w:cs="GHEAGrapalat-Bold"/>
          <w:bCs/>
          <w:color w:val="000000" w:themeColor="text1"/>
          <w:lang w:val="hy-AM"/>
        </w:rPr>
        <w:tab/>
      </w:r>
      <w:r w:rsidRPr="002715DC">
        <w:rPr>
          <w:rFonts w:cs="GHEAGrapalat-Bold"/>
          <w:bCs/>
          <w:color w:val="000000" w:themeColor="text1"/>
          <w:lang w:val="hy-AM"/>
        </w:rPr>
        <w:tab/>
        <w:t>Ֆինանսների նախարարություն</w:t>
      </w:r>
    </w:p>
    <w:p w14:paraId="77F2CEC5" w14:textId="77777777" w:rsidR="00C36772" w:rsidRDefault="00C36772" w:rsidP="00C36772">
      <w:pPr>
        <w:tabs>
          <w:tab w:val="left" w:pos="0"/>
        </w:tabs>
        <w:spacing w:before="0" w:after="0" w:line="240" w:lineRule="auto"/>
        <w:ind w:firstLine="0"/>
        <w:jc w:val="left"/>
        <w:rPr>
          <w:rFonts w:eastAsiaTheme="majorEastAsia" w:cstheme="majorBidi"/>
          <w:b/>
          <w:bCs/>
          <w:color w:val="44546A" w:themeColor="text2"/>
          <w:sz w:val="24"/>
          <w:szCs w:val="28"/>
          <w:lang w:val="hy-AM"/>
        </w:rPr>
      </w:pPr>
      <w:r>
        <w:rPr>
          <w:sz w:val="24"/>
          <w:lang w:val="hy-AM"/>
        </w:rPr>
        <w:br w:type="page"/>
      </w:r>
    </w:p>
    <w:p w14:paraId="38F34ECF" w14:textId="77777777" w:rsidR="00080175" w:rsidRDefault="00080175" w:rsidP="00C30825">
      <w:pPr>
        <w:pStyle w:val="mechtex"/>
        <w:widowControl w:val="0"/>
        <w:tabs>
          <w:tab w:val="left" w:pos="0"/>
        </w:tabs>
        <w:spacing w:before="120" w:after="0" w:line="276" w:lineRule="auto"/>
        <w:ind w:firstLine="0"/>
        <w:jc w:val="left"/>
        <w:rPr>
          <w:b/>
          <w:sz w:val="24"/>
          <w:szCs w:val="24"/>
          <w:lang w:val="hy-AM"/>
        </w:rPr>
      </w:pPr>
      <w:r w:rsidRPr="007C423E">
        <w:rPr>
          <w:color w:val="000000" w:themeColor="text1"/>
          <w:lang w:val="hy-AM"/>
        </w:rPr>
        <w:lastRenderedPageBreak/>
        <w:t xml:space="preserve">  </w:t>
      </w:r>
      <w:bookmarkStart w:id="2" w:name="_Toc265687172"/>
      <w:bookmarkStart w:id="3" w:name="_Toc296702337"/>
      <w:bookmarkStart w:id="4" w:name="_Toc519513604"/>
      <w:r w:rsidRPr="007C423E">
        <w:rPr>
          <w:rFonts w:eastAsiaTheme="majorEastAsia" w:cstheme="majorBidi"/>
          <w:b/>
          <w:bCs/>
          <w:color w:val="44546A" w:themeColor="text2"/>
          <w:sz w:val="24"/>
          <w:szCs w:val="28"/>
          <w:lang w:val="hy-AM"/>
        </w:rPr>
        <w:t>ԲՈՎԱՆԴԱԿՈՒԹՅՈՒՆ</w:t>
      </w:r>
    </w:p>
    <w:sdt>
      <w:sdtPr>
        <w:rPr>
          <w:rFonts w:ascii="GHEA Grapalat" w:hAnsi="GHEA Grapalat" w:cstheme="minorBidi"/>
          <w:b w:val="0"/>
          <w:bCs w:val="0"/>
          <w:i w:val="0"/>
          <w:iCs w:val="0"/>
          <w:color w:val="000000" w:themeColor="text1"/>
          <w:sz w:val="22"/>
          <w:szCs w:val="22"/>
        </w:rPr>
        <w:id w:val="1531296690"/>
        <w:docPartObj>
          <w:docPartGallery w:val="Table of Contents"/>
          <w:docPartUnique/>
        </w:docPartObj>
      </w:sdtPr>
      <w:sdtEndPr>
        <w:rPr>
          <w:i/>
          <w:iCs/>
          <w:sz w:val="20"/>
          <w:szCs w:val="20"/>
        </w:rPr>
      </w:sdtEndPr>
      <w:sdtContent>
        <w:p w14:paraId="37528A50" w14:textId="786D462C" w:rsidR="00B1314A" w:rsidRPr="00B1314A" w:rsidRDefault="00080175" w:rsidP="00B1314A">
          <w:pPr>
            <w:pStyle w:val="TOC1"/>
            <w:tabs>
              <w:tab w:val="right" w:pos="9620"/>
            </w:tabs>
            <w:ind w:firstLine="0"/>
            <w:rPr>
              <w:rFonts w:ascii="GHEA Grapalat" w:hAnsi="GHEA Grapalat" w:cstheme="minorBidi"/>
              <w:b w:val="0"/>
              <w:bCs w:val="0"/>
              <w:i w:val="0"/>
              <w:iCs w:val="0"/>
              <w:noProof/>
              <w:sz w:val="20"/>
              <w:szCs w:val="20"/>
            </w:rPr>
          </w:pPr>
          <w:r w:rsidRPr="00B1314A">
            <w:rPr>
              <w:rFonts w:ascii="GHEA Grapalat" w:hAnsi="GHEA Grapalat"/>
              <w:b w:val="0"/>
              <w:bCs w:val="0"/>
              <w:color w:val="000000" w:themeColor="text1"/>
              <w:sz w:val="20"/>
              <w:szCs w:val="20"/>
            </w:rPr>
            <w:fldChar w:fldCharType="begin"/>
          </w:r>
          <w:r w:rsidRPr="00B1314A">
            <w:rPr>
              <w:rFonts w:ascii="GHEA Grapalat" w:hAnsi="GHEA Grapalat"/>
              <w:color w:val="000000" w:themeColor="text1"/>
              <w:sz w:val="20"/>
              <w:szCs w:val="20"/>
            </w:rPr>
            <w:instrText xml:space="preserve"> TOC \o "1-3" \h \z \u </w:instrText>
          </w:r>
          <w:r w:rsidRPr="00B1314A">
            <w:rPr>
              <w:rFonts w:ascii="GHEA Grapalat" w:hAnsi="GHEA Grapalat"/>
              <w:b w:val="0"/>
              <w:bCs w:val="0"/>
              <w:color w:val="000000" w:themeColor="text1"/>
              <w:sz w:val="20"/>
              <w:szCs w:val="20"/>
            </w:rPr>
            <w:fldChar w:fldCharType="separate"/>
          </w:r>
          <w:hyperlink w:anchor="_Toc170926288" w:history="1">
            <w:r w:rsidR="00B1314A" w:rsidRPr="00B1314A">
              <w:rPr>
                <w:rStyle w:val="Hyperlink"/>
                <w:rFonts w:ascii="GHEA Grapalat" w:hAnsi="GHEA Grapalat"/>
                <w:noProof/>
                <w:sz w:val="20"/>
                <w:szCs w:val="20"/>
                <w:lang w:val="hy-AM"/>
              </w:rPr>
              <w:t>ՄԱՍ I. ՀԱՐԿԱԲՅՈՒՋԵՏԱՅԻՆ ՔԱՂԱՔԱԿԱՆՈՒԹՅՈՒՆԸ</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_Toc170926288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9</w:t>
            </w:r>
            <w:r w:rsidR="00B1314A" w:rsidRPr="00B1314A">
              <w:rPr>
                <w:rFonts w:ascii="GHEA Grapalat" w:hAnsi="GHEA Grapalat"/>
                <w:noProof/>
                <w:webHidden/>
                <w:sz w:val="20"/>
                <w:szCs w:val="20"/>
              </w:rPr>
              <w:fldChar w:fldCharType="end"/>
            </w:r>
          </w:hyperlink>
        </w:p>
        <w:p w14:paraId="7490F860" w14:textId="7B0BCB8C" w:rsidR="00B1314A" w:rsidRPr="00B1314A" w:rsidRDefault="00280FCA" w:rsidP="00B1314A">
          <w:pPr>
            <w:pStyle w:val="TOC2"/>
            <w:tabs>
              <w:tab w:val="left" w:pos="1903"/>
              <w:tab w:val="right" w:pos="9620"/>
            </w:tabs>
            <w:ind w:left="0" w:firstLine="0"/>
            <w:rPr>
              <w:rFonts w:ascii="GHEA Grapalat" w:hAnsi="GHEA Grapalat" w:cstheme="minorBidi"/>
              <w:b w:val="0"/>
              <w:bCs w:val="0"/>
              <w:noProof/>
              <w:sz w:val="20"/>
              <w:szCs w:val="20"/>
            </w:rPr>
          </w:pPr>
          <w:hyperlink w:anchor="_Toc170926289" w:history="1">
            <w:r w:rsidR="00B1314A" w:rsidRPr="00B1314A">
              <w:rPr>
                <w:rStyle w:val="Hyperlink"/>
                <w:rFonts w:ascii="GHEA Grapalat" w:hAnsi="GHEA Grapalat"/>
                <w:noProof/>
                <w:sz w:val="20"/>
                <w:szCs w:val="20"/>
              </w:rPr>
              <w:t>ԳԼՈՒԽ 1.</w:t>
            </w:r>
            <w:r w:rsidR="00B1314A" w:rsidRPr="00B1314A">
              <w:rPr>
                <w:rFonts w:ascii="GHEA Grapalat" w:hAnsi="GHEA Grapalat" w:cstheme="minorBidi"/>
                <w:b w:val="0"/>
                <w:bCs w:val="0"/>
                <w:noProof/>
                <w:sz w:val="20"/>
                <w:szCs w:val="20"/>
              </w:rPr>
              <w:tab/>
            </w:r>
            <w:r w:rsidR="00B1314A" w:rsidRPr="00B1314A">
              <w:rPr>
                <w:rStyle w:val="Hyperlink"/>
                <w:rFonts w:ascii="GHEA Grapalat" w:hAnsi="GHEA Grapalat"/>
                <w:noProof/>
                <w:sz w:val="20"/>
                <w:szCs w:val="20"/>
              </w:rPr>
              <w:t>ՄԱԿՐՈՏՆՏԵՍԱԿԱՆ ԶԱՐԳԱՑՈՒՄՆԵՐ ԵՎ ԿԱՆԽԱՏԵՍՈՒՄՆԵՐ</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_Toc170926289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10</w:t>
            </w:r>
            <w:r w:rsidR="00B1314A" w:rsidRPr="00B1314A">
              <w:rPr>
                <w:rFonts w:ascii="GHEA Grapalat" w:hAnsi="GHEA Grapalat"/>
                <w:noProof/>
                <w:webHidden/>
                <w:sz w:val="20"/>
                <w:szCs w:val="20"/>
              </w:rPr>
              <w:fldChar w:fldCharType="end"/>
            </w:r>
          </w:hyperlink>
        </w:p>
        <w:p w14:paraId="7895687E" w14:textId="7B137019"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290" w:history="1">
            <w:r w:rsidR="00B1314A" w:rsidRPr="00B1314A">
              <w:rPr>
                <w:rStyle w:val="Hyperlink"/>
                <w:rFonts w:ascii="GHEA Grapalat" w:hAnsi="GHEA Grapalat"/>
                <w:b w:val="0"/>
                <w:bCs w:val="0"/>
                <w:noProof/>
                <w:sz w:val="20"/>
                <w:szCs w:val="20"/>
              </w:rPr>
              <w:t>1.1 ՄԱԿՐՈՏՆՏԵՍԱԿԱՆ ԱՄՓՈՓԱԳԻՐ ԵՎ ՇՐՋԱՆԱԿ</w:t>
            </w:r>
            <w:r w:rsidR="00B1314A" w:rsidRPr="00B1314A">
              <w:rPr>
                <w:rFonts w:ascii="GHEA Grapalat" w:hAnsi="GHEA Grapalat"/>
                <w:b w:val="0"/>
                <w:bCs w:val="0"/>
                <w:noProof/>
                <w:webHidden/>
                <w:sz w:val="20"/>
                <w:szCs w:val="20"/>
              </w:rPr>
              <w:tab/>
            </w:r>
            <w:r w:rsidR="00B1314A" w:rsidRPr="00B1314A">
              <w:rPr>
                <w:rFonts w:ascii="GHEA Grapalat" w:hAnsi="GHEA Grapalat"/>
                <w:b w:val="0"/>
                <w:bCs w:val="0"/>
                <w:noProof/>
                <w:webHidden/>
                <w:sz w:val="20"/>
                <w:szCs w:val="20"/>
              </w:rPr>
              <w:fldChar w:fldCharType="begin"/>
            </w:r>
            <w:r w:rsidR="00B1314A" w:rsidRPr="00B1314A">
              <w:rPr>
                <w:rFonts w:ascii="GHEA Grapalat" w:hAnsi="GHEA Grapalat"/>
                <w:b w:val="0"/>
                <w:bCs w:val="0"/>
                <w:noProof/>
                <w:webHidden/>
                <w:sz w:val="20"/>
                <w:szCs w:val="20"/>
              </w:rPr>
              <w:instrText xml:space="preserve"> PAGEREF _Toc170926290 \h </w:instrText>
            </w:r>
            <w:r w:rsidR="00B1314A" w:rsidRPr="00B1314A">
              <w:rPr>
                <w:rFonts w:ascii="GHEA Grapalat" w:hAnsi="GHEA Grapalat"/>
                <w:b w:val="0"/>
                <w:bCs w:val="0"/>
                <w:noProof/>
                <w:webHidden/>
                <w:sz w:val="20"/>
                <w:szCs w:val="20"/>
              </w:rPr>
            </w:r>
            <w:r w:rsidR="00B1314A" w:rsidRPr="00B1314A">
              <w:rPr>
                <w:rFonts w:ascii="GHEA Grapalat" w:hAnsi="GHEA Grapalat"/>
                <w:b w:val="0"/>
                <w:bCs w:val="0"/>
                <w:noProof/>
                <w:webHidden/>
                <w:sz w:val="20"/>
                <w:szCs w:val="20"/>
              </w:rPr>
              <w:fldChar w:fldCharType="separate"/>
            </w:r>
            <w:r w:rsidR="00B1314A" w:rsidRPr="00B1314A">
              <w:rPr>
                <w:rFonts w:ascii="GHEA Grapalat" w:hAnsi="GHEA Grapalat"/>
                <w:b w:val="0"/>
                <w:bCs w:val="0"/>
                <w:noProof/>
                <w:webHidden/>
                <w:sz w:val="20"/>
                <w:szCs w:val="20"/>
              </w:rPr>
              <w:t>10</w:t>
            </w:r>
            <w:r w:rsidR="00B1314A" w:rsidRPr="00B1314A">
              <w:rPr>
                <w:rFonts w:ascii="GHEA Grapalat" w:hAnsi="GHEA Grapalat"/>
                <w:b w:val="0"/>
                <w:bCs w:val="0"/>
                <w:noProof/>
                <w:webHidden/>
                <w:sz w:val="20"/>
                <w:szCs w:val="20"/>
              </w:rPr>
              <w:fldChar w:fldCharType="end"/>
            </w:r>
          </w:hyperlink>
        </w:p>
        <w:p w14:paraId="16D6A017" w14:textId="753190C1" w:rsidR="00B1314A" w:rsidRPr="00B1314A" w:rsidRDefault="00280FCA" w:rsidP="00B1314A">
          <w:pPr>
            <w:pStyle w:val="TOC3"/>
            <w:tabs>
              <w:tab w:val="right" w:pos="9620"/>
            </w:tabs>
            <w:ind w:left="0" w:firstLine="0"/>
            <w:rPr>
              <w:rFonts w:ascii="GHEA Grapalat" w:hAnsi="GHEA Grapalat" w:cstheme="minorBidi"/>
              <w:noProof/>
            </w:rPr>
          </w:pPr>
          <w:hyperlink w:anchor="_Toc170926291" w:history="1">
            <w:r w:rsidR="00B1314A" w:rsidRPr="00B1314A">
              <w:rPr>
                <w:rStyle w:val="Hyperlink"/>
                <w:rFonts w:ascii="GHEA Grapalat" w:hAnsi="GHEA Grapalat"/>
                <w:noProof/>
                <w:lang w:val="hy-AM"/>
              </w:rPr>
              <w:t>1.2. ՀԱՄԱՇԽԱՐՀԱՅԻՆ ՏՆՏԵՍՈՒԹՅԱՆ ԵՎ ԳՈՐԾԸՆԿԵՐ ԵՐԿՐՆԵՐԻ ԶԱՐԳԱՑՈՒՄՆԵՐ ԵՎ ԿԱՆԽԱՏԵՍՈՒՄՆԵՐ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13</w:t>
            </w:r>
            <w:r w:rsidR="00B1314A" w:rsidRPr="00B1314A">
              <w:rPr>
                <w:rFonts w:ascii="GHEA Grapalat" w:hAnsi="GHEA Grapalat"/>
                <w:noProof/>
                <w:webHidden/>
              </w:rPr>
              <w:fldChar w:fldCharType="end"/>
            </w:r>
          </w:hyperlink>
        </w:p>
        <w:p w14:paraId="42C83EA3" w14:textId="3FACB7AC" w:rsidR="00B1314A" w:rsidRPr="00B1314A" w:rsidRDefault="00280FCA" w:rsidP="00B1314A">
          <w:pPr>
            <w:pStyle w:val="TOC3"/>
            <w:tabs>
              <w:tab w:val="right" w:pos="9620"/>
            </w:tabs>
            <w:ind w:left="0" w:firstLine="0"/>
            <w:rPr>
              <w:rFonts w:ascii="GHEA Grapalat" w:hAnsi="GHEA Grapalat" w:cstheme="minorBidi"/>
              <w:noProof/>
            </w:rPr>
          </w:pPr>
          <w:hyperlink w:anchor="_Toc170926292" w:history="1">
            <w:r w:rsidR="00B1314A" w:rsidRPr="00B1314A">
              <w:rPr>
                <w:rStyle w:val="Hyperlink"/>
                <w:rFonts w:ascii="GHEA Grapalat" w:eastAsia="Times New Roman" w:hAnsi="GHEA Grapalat" w:cs="Times New Roman"/>
                <w:noProof/>
                <w:lang w:val="hy-AM"/>
              </w:rPr>
              <w:t>1.3. ՀՀ ՄԱԿՐՈՏՆՏԵՍԱԿԱՆ ԶԱՐԳԱՑՈՒՄՆԵՐ ԵՎ ԿԱՆԽԱՏԵՍՈՒՄՆԵՐ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17</w:t>
            </w:r>
            <w:r w:rsidR="00B1314A" w:rsidRPr="00B1314A">
              <w:rPr>
                <w:rFonts w:ascii="GHEA Grapalat" w:hAnsi="GHEA Grapalat"/>
                <w:noProof/>
                <w:webHidden/>
              </w:rPr>
              <w:fldChar w:fldCharType="end"/>
            </w:r>
          </w:hyperlink>
        </w:p>
        <w:p w14:paraId="1717DA78" w14:textId="2F7EB96C" w:rsidR="00B1314A" w:rsidRPr="00B1314A" w:rsidRDefault="00280FCA" w:rsidP="00B1314A">
          <w:pPr>
            <w:pStyle w:val="TOC3"/>
            <w:tabs>
              <w:tab w:val="right" w:pos="9620"/>
            </w:tabs>
            <w:ind w:left="0" w:firstLine="0"/>
            <w:rPr>
              <w:rFonts w:ascii="GHEA Grapalat" w:hAnsi="GHEA Grapalat" w:cstheme="minorBidi"/>
              <w:noProof/>
            </w:rPr>
          </w:pPr>
          <w:hyperlink w:anchor="_Toc170926293" w:history="1">
            <w:r w:rsidR="00B1314A" w:rsidRPr="00B1314A">
              <w:rPr>
                <w:rStyle w:val="Hyperlink"/>
                <w:rFonts w:ascii="GHEA Grapalat" w:eastAsia="Times New Roman" w:hAnsi="GHEA Grapalat"/>
                <w:caps/>
                <w:noProof/>
                <w:lang w:val="hy-AM"/>
              </w:rPr>
              <w:t xml:space="preserve">1.3.1. ՀՆԱ և </w:t>
            </w:r>
            <w:r w:rsidR="00B1314A" w:rsidRPr="00B1314A">
              <w:rPr>
                <w:rStyle w:val="Hyperlink"/>
                <w:rFonts w:ascii="GHEA Grapalat" w:eastAsia="Times New Roman" w:hAnsi="GHEA Grapalat"/>
                <w:noProof/>
                <w:lang w:val="hy-AM"/>
              </w:rPr>
              <w:t>տնտեսական աճ</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17</w:t>
            </w:r>
            <w:r w:rsidR="00B1314A" w:rsidRPr="00B1314A">
              <w:rPr>
                <w:rFonts w:ascii="GHEA Grapalat" w:hAnsi="GHEA Grapalat"/>
                <w:noProof/>
                <w:webHidden/>
              </w:rPr>
              <w:fldChar w:fldCharType="end"/>
            </w:r>
          </w:hyperlink>
        </w:p>
        <w:p w14:paraId="0924EC9D" w14:textId="7BB78509" w:rsidR="00B1314A" w:rsidRPr="00B1314A" w:rsidRDefault="00280FCA" w:rsidP="00B1314A">
          <w:pPr>
            <w:pStyle w:val="TOC3"/>
            <w:tabs>
              <w:tab w:val="right" w:pos="9620"/>
            </w:tabs>
            <w:ind w:left="0" w:firstLine="0"/>
            <w:rPr>
              <w:rFonts w:ascii="GHEA Grapalat" w:hAnsi="GHEA Grapalat" w:cstheme="minorBidi"/>
              <w:noProof/>
            </w:rPr>
          </w:pPr>
          <w:hyperlink w:anchor="_Toc170926294" w:history="1">
            <w:r w:rsidR="00B1314A" w:rsidRPr="00B1314A">
              <w:rPr>
                <w:rStyle w:val="Hyperlink"/>
                <w:rFonts w:ascii="GHEA Grapalat" w:eastAsia="Times New Roman" w:hAnsi="GHEA Grapalat" w:cs="Times New Roman"/>
                <w:noProof/>
                <w:lang w:val="hy-AM"/>
              </w:rPr>
              <w:t>1.3.1.1. Թիրախային տնտեսական աճի սցենար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_Toc170926294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22</w:t>
            </w:r>
            <w:r w:rsidR="00B1314A" w:rsidRPr="00B1314A">
              <w:rPr>
                <w:rFonts w:ascii="GHEA Grapalat" w:hAnsi="GHEA Grapalat"/>
                <w:noProof/>
                <w:webHidden/>
              </w:rPr>
              <w:fldChar w:fldCharType="end"/>
            </w:r>
          </w:hyperlink>
        </w:p>
        <w:p w14:paraId="6895ED4B" w14:textId="007494FA" w:rsidR="00B1314A" w:rsidRPr="00B1314A" w:rsidRDefault="00280FCA" w:rsidP="00B1314A">
          <w:pPr>
            <w:pStyle w:val="TOC3"/>
            <w:tabs>
              <w:tab w:val="right" w:pos="9620"/>
            </w:tabs>
            <w:ind w:left="0" w:firstLine="0"/>
            <w:rPr>
              <w:rFonts w:ascii="GHEA Grapalat" w:hAnsi="GHEA Grapalat" w:cstheme="minorBidi"/>
              <w:noProof/>
            </w:rPr>
          </w:pPr>
          <w:hyperlink w:anchor="_Toc170926295" w:history="1">
            <w:r w:rsidR="00B1314A" w:rsidRPr="00B1314A">
              <w:rPr>
                <w:rStyle w:val="Hyperlink"/>
                <w:rFonts w:ascii="GHEA Grapalat" w:eastAsia="Times New Roman" w:hAnsi="GHEA Grapalat" w:cs="Times New Roman"/>
                <w:noProof/>
                <w:lang w:val="hy-AM"/>
              </w:rPr>
              <w:t>1.3.2. Աշխատանքի շուկա</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24</w:t>
            </w:r>
            <w:r w:rsidR="00B1314A" w:rsidRPr="00B1314A">
              <w:rPr>
                <w:rFonts w:ascii="GHEA Grapalat" w:hAnsi="GHEA Grapalat"/>
                <w:noProof/>
                <w:webHidden/>
              </w:rPr>
              <w:fldChar w:fldCharType="end"/>
            </w:r>
          </w:hyperlink>
        </w:p>
        <w:p w14:paraId="5ABD412B" w14:textId="3D229E34" w:rsidR="00B1314A" w:rsidRPr="00B1314A" w:rsidRDefault="00280FCA" w:rsidP="00B1314A">
          <w:pPr>
            <w:pStyle w:val="TOC3"/>
            <w:tabs>
              <w:tab w:val="right" w:pos="9620"/>
            </w:tabs>
            <w:ind w:left="0" w:firstLine="0"/>
            <w:rPr>
              <w:rFonts w:ascii="GHEA Grapalat" w:hAnsi="GHEA Grapalat" w:cstheme="minorBidi"/>
              <w:noProof/>
            </w:rPr>
          </w:pPr>
          <w:hyperlink w:anchor="_Toc170926296" w:history="1">
            <w:r w:rsidR="00B1314A" w:rsidRPr="00B1314A">
              <w:rPr>
                <w:rStyle w:val="Hyperlink"/>
                <w:rFonts w:ascii="GHEA Grapalat" w:eastAsia="Times New Roman" w:hAnsi="GHEA Grapalat"/>
                <w:noProof/>
                <w:lang w:val="hy-AM"/>
              </w:rPr>
              <w:t>1.3.3. ՀՀ վճարային հաշվեկշիռ, արտահանում և ներմուծում</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26</w:t>
            </w:r>
            <w:r w:rsidR="00B1314A" w:rsidRPr="00B1314A">
              <w:rPr>
                <w:rFonts w:ascii="GHEA Grapalat" w:hAnsi="GHEA Grapalat"/>
                <w:noProof/>
                <w:webHidden/>
              </w:rPr>
              <w:fldChar w:fldCharType="end"/>
            </w:r>
          </w:hyperlink>
        </w:p>
        <w:p w14:paraId="2979F02E" w14:textId="388DC480" w:rsidR="00B1314A" w:rsidRPr="00B1314A" w:rsidRDefault="00280FCA" w:rsidP="00B1314A">
          <w:pPr>
            <w:pStyle w:val="TOC3"/>
            <w:tabs>
              <w:tab w:val="right" w:pos="9620"/>
            </w:tabs>
            <w:ind w:left="0" w:firstLine="0"/>
            <w:rPr>
              <w:rFonts w:ascii="GHEA Grapalat" w:hAnsi="GHEA Grapalat" w:cstheme="minorBidi"/>
              <w:noProof/>
            </w:rPr>
          </w:pPr>
          <w:hyperlink w:anchor="_Toc170926297" w:history="1">
            <w:r w:rsidR="00B1314A" w:rsidRPr="00B1314A">
              <w:rPr>
                <w:rStyle w:val="Hyperlink"/>
                <w:rFonts w:ascii="GHEA Grapalat" w:eastAsia="Times New Roman" w:hAnsi="GHEA Grapalat"/>
                <w:noProof/>
                <w:lang w:val="hy-AM"/>
              </w:rPr>
              <w:t>1.3.4. Արժութային շուկա և փոխարժեքներ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30</w:t>
            </w:r>
            <w:r w:rsidR="00B1314A" w:rsidRPr="00B1314A">
              <w:rPr>
                <w:rFonts w:ascii="GHEA Grapalat" w:hAnsi="GHEA Grapalat"/>
                <w:noProof/>
                <w:webHidden/>
              </w:rPr>
              <w:fldChar w:fldCharType="end"/>
            </w:r>
          </w:hyperlink>
        </w:p>
        <w:p w14:paraId="45FFDB38" w14:textId="5158BB9A" w:rsidR="00B1314A" w:rsidRPr="00B1314A" w:rsidRDefault="00280FCA" w:rsidP="00B1314A">
          <w:pPr>
            <w:pStyle w:val="TOC3"/>
            <w:tabs>
              <w:tab w:val="right" w:pos="9620"/>
            </w:tabs>
            <w:ind w:left="0" w:firstLine="0"/>
            <w:rPr>
              <w:rFonts w:ascii="GHEA Grapalat" w:hAnsi="GHEA Grapalat" w:cstheme="minorBidi"/>
              <w:noProof/>
            </w:rPr>
          </w:pPr>
          <w:hyperlink w:anchor="_Toc170926298" w:history="1">
            <w:r w:rsidR="00B1314A" w:rsidRPr="00B1314A">
              <w:rPr>
                <w:rStyle w:val="Hyperlink"/>
                <w:rFonts w:ascii="GHEA Grapalat" w:eastAsia="Times New Roman" w:hAnsi="GHEA Grapalat"/>
                <w:noProof/>
                <w:lang w:val="hy-AM"/>
              </w:rPr>
              <w:t>1.3.5. Գնաճ և դրամավարկային քաղաքականություն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32</w:t>
            </w:r>
            <w:r w:rsidR="00B1314A" w:rsidRPr="00B1314A">
              <w:rPr>
                <w:rFonts w:ascii="GHEA Grapalat" w:hAnsi="GHEA Grapalat"/>
                <w:noProof/>
                <w:webHidden/>
              </w:rPr>
              <w:fldChar w:fldCharType="end"/>
            </w:r>
          </w:hyperlink>
        </w:p>
        <w:p w14:paraId="0389CA44" w14:textId="401FF8A2" w:rsidR="00B1314A" w:rsidRPr="00B1314A" w:rsidRDefault="00280FCA" w:rsidP="00B1314A">
          <w:pPr>
            <w:pStyle w:val="TOC3"/>
            <w:tabs>
              <w:tab w:val="right" w:pos="9620"/>
            </w:tabs>
            <w:ind w:left="0" w:firstLine="0"/>
            <w:rPr>
              <w:rFonts w:ascii="GHEA Grapalat" w:hAnsi="GHEA Grapalat" w:cstheme="minorBidi"/>
              <w:noProof/>
            </w:rPr>
          </w:pPr>
          <w:hyperlink w:anchor="_Toc170926299" w:history="1">
            <w:r w:rsidR="00B1314A" w:rsidRPr="00B1314A">
              <w:rPr>
                <w:rStyle w:val="Hyperlink"/>
                <w:rFonts w:ascii="GHEA Grapalat" w:eastAsia="Times New Roman" w:hAnsi="GHEA Grapalat" w:cs="Times New Roman"/>
                <w:noProof/>
                <w:lang w:val="hy-AM"/>
              </w:rPr>
              <w:t>1.4. ԿԱՆԽԱՏԵՍՈՒՄՆԵՐԻ ՀԻՄՔՈՒՄ ԸՆԿԱԾ ԵՆԹԱԴՐՈՒԹՅՈՒՆՆԵՐԸ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_Toc170926299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35</w:t>
            </w:r>
            <w:r w:rsidR="00B1314A" w:rsidRPr="00B1314A">
              <w:rPr>
                <w:rFonts w:ascii="GHEA Grapalat" w:hAnsi="GHEA Grapalat"/>
                <w:noProof/>
                <w:webHidden/>
              </w:rPr>
              <w:fldChar w:fldCharType="end"/>
            </w:r>
          </w:hyperlink>
        </w:p>
        <w:p w14:paraId="58213ACA" w14:textId="6DAD88F0" w:rsidR="00B1314A" w:rsidRPr="00B1314A" w:rsidRDefault="00280FCA" w:rsidP="00B1314A">
          <w:pPr>
            <w:pStyle w:val="TOC3"/>
            <w:tabs>
              <w:tab w:val="right" w:pos="9620"/>
            </w:tabs>
            <w:ind w:left="0" w:firstLine="0"/>
            <w:rPr>
              <w:rFonts w:ascii="GHEA Grapalat" w:hAnsi="GHEA Grapalat" w:cstheme="minorBidi"/>
              <w:noProof/>
            </w:rPr>
          </w:pPr>
          <w:hyperlink w:anchor="_Toc170926300" w:history="1">
            <w:r w:rsidR="00B1314A" w:rsidRPr="00B1314A">
              <w:rPr>
                <w:rStyle w:val="Hyperlink"/>
                <w:rFonts w:ascii="GHEA Grapalat" w:eastAsia="Times New Roman" w:hAnsi="GHEA Grapalat" w:cs="Times New Roman"/>
                <w:noProof/>
                <w:lang w:val="hy-AM"/>
              </w:rPr>
              <w:t>1.5. ՄԱԿՐՈՏՆՏԵՍԱԿԱՆ ԿԱՆԽԱՏԵՍՈՒՄՆԵՐԻ ՌԻՍԿԵՐԸ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38</w:t>
            </w:r>
            <w:r w:rsidR="00B1314A" w:rsidRPr="00B1314A">
              <w:rPr>
                <w:rFonts w:ascii="GHEA Grapalat" w:hAnsi="GHEA Grapalat"/>
                <w:noProof/>
                <w:webHidden/>
              </w:rPr>
              <w:fldChar w:fldCharType="end"/>
            </w:r>
          </w:hyperlink>
        </w:p>
        <w:p w14:paraId="0DD9380B" w14:textId="01CF0465" w:rsidR="00B1314A" w:rsidRPr="00B1314A" w:rsidRDefault="00280FCA" w:rsidP="00B1314A">
          <w:pPr>
            <w:pStyle w:val="TOC3"/>
            <w:tabs>
              <w:tab w:val="right" w:pos="9620"/>
            </w:tabs>
            <w:ind w:left="0" w:firstLine="0"/>
            <w:rPr>
              <w:rFonts w:ascii="GHEA Grapalat" w:hAnsi="GHEA Grapalat" w:cstheme="minorBidi"/>
              <w:noProof/>
            </w:rPr>
          </w:pPr>
          <w:hyperlink w:anchor="_Toc170926301" w:history="1">
            <w:r w:rsidR="00B1314A" w:rsidRPr="00B1314A">
              <w:rPr>
                <w:rStyle w:val="Hyperlink"/>
                <w:rFonts w:ascii="GHEA Grapalat" w:eastAsia="Times New Roman" w:hAnsi="GHEA Grapalat"/>
                <w:noProof/>
                <w:lang w:val="hy-AM"/>
              </w:rPr>
              <w:t>1.5.1. ՀՀ տնտեսական աճի դեպի ներքև ուղղությամբ ռիսկեր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38</w:t>
            </w:r>
            <w:r w:rsidR="00B1314A" w:rsidRPr="00B1314A">
              <w:rPr>
                <w:rFonts w:ascii="GHEA Grapalat" w:hAnsi="GHEA Grapalat"/>
                <w:noProof/>
                <w:webHidden/>
              </w:rPr>
              <w:fldChar w:fldCharType="end"/>
            </w:r>
          </w:hyperlink>
        </w:p>
        <w:p w14:paraId="6147BD9C" w14:textId="1D9F0587" w:rsidR="00B1314A" w:rsidRPr="00B1314A" w:rsidRDefault="00280FCA" w:rsidP="00B1314A">
          <w:pPr>
            <w:pStyle w:val="TOC3"/>
            <w:tabs>
              <w:tab w:val="right" w:pos="9620"/>
            </w:tabs>
            <w:ind w:left="0" w:firstLine="0"/>
            <w:rPr>
              <w:rFonts w:ascii="GHEA Grapalat" w:hAnsi="GHEA Grapalat" w:cstheme="minorBidi"/>
              <w:noProof/>
            </w:rPr>
          </w:pPr>
          <w:hyperlink w:anchor="_Toc170926302" w:history="1">
            <w:r w:rsidR="00B1314A" w:rsidRPr="00B1314A">
              <w:rPr>
                <w:rStyle w:val="Hyperlink"/>
                <w:rFonts w:ascii="GHEA Grapalat" w:eastAsia="Times New Roman" w:hAnsi="GHEA Grapalat"/>
                <w:noProof/>
                <w:lang w:val="hy-AM"/>
              </w:rPr>
              <w:t>1.5.2. Տնտեսական աճի դեպի վերև ուղղությամբ ռիսկեր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39</w:t>
            </w:r>
            <w:r w:rsidR="00B1314A" w:rsidRPr="00B1314A">
              <w:rPr>
                <w:rFonts w:ascii="GHEA Grapalat" w:hAnsi="GHEA Grapalat"/>
                <w:noProof/>
                <w:webHidden/>
              </w:rPr>
              <w:fldChar w:fldCharType="end"/>
            </w:r>
          </w:hyperlink>
        </w:p>
        <w:p w14:paraId="1841EBAE" w14:textId="18BAF564" w:rsidR="00B1314A" w:rsidRPr="00B1314A" w:rsidRDefault="00280FCA" w:rsidP="00B1314A">
          <w:pPr>
            <w:pStyle w:val="TOC3"/>
            <w:tabs>
              <w:tab w:val="right" w:pos="9620"/>
            </w:tabs>
            <w:ind w:left="0" w:firstLine="0"/>
            <w:rPr>
              <w:rFonts w:ascii="GHEA Grapalat" w:hAnsi="GHEA Grapalat" w:cstheme="minorBidi"/>
              <w:noProof/>
            </w:rPr>
          </w:pPr>
          <w:hyperlink w:anchor="_Toc170926303" w:history="1">
            <w:r w:rsidR="00B1314A" w:rsidRPr="00B1314A">
              <w:rPr>
                <w:rStyle w:val="Hyperlink"/>
                <w:rFonts w:ascii="GHEA Grapalat" w:eastAsia="Times New Roman" w:hAnsi="GHEA Grapalat" w:cs="Times New Roman"/>
                <w:noProof/>
                <w:lang w:val="hy-AM"/>
              </w:rPr>
              <w:t>1.6. ՀԱՄԵՄԱՏՈՒԹՅՈՒՆ ՆԱԽՈՐԴ ԿԱՆԽԱՏԵՍՈՒՄՆԵՐԻ ՀԵՏ</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40</w:t>
            </w:r>
            <w:r w:rsidR="00B1314A" w:rsidRPr="00B1314A">
              <w:rPr>
                <w:rFonts w:ascii="GHEA Grapalat" w:hAnsi="GHEA Grapalat"/>
                <w:noProof/>
                <w:webHidden/>
              </w:rPr>
              <w:fldChar w:fldCharType="end"/>
            </w:r>
          </w:hyperlink>
        </w:p>
        <w:p w14:paraId="33FB3C2B" w14:textId="1F05A54C"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04" w:history="1">
            <w:r w:rsidR="00B1314A" w:rsidRPr="00B1314A">
              <w:rPr>
                <w:rStyle w:val="Hyperlink"/>
                <w:rFonts w:ascii="GHEA Grapalat" w:eastAsiaTheme="majorEastAsia" w:hAnsi="GHEA Grapalat" w:cstheme="majorBidi"/>
                <w:caps/>
                <w:noProof/>
                <w:sz w:val="20"/>
                <w:szCs w:val="20"/>
                <w:lang w:val="hy-AM"/>
              </w:rPr>
              <w:t>ԳԼՈՒԽ 2. ՀԱՐԿԱԲՅՈՒՋԵՏԱՅԻՆ ՔԱՂԱՔԱԿԱՆՈՒԹՅԱՆ ՀԻՄՆԱԿԱՆ ՈՒՂՂՈՒԹՅՈՒՆՆԵՐԸ ԵՎ ԿԱՆԽԱՏԵՍՈՒՄՆԵՐԸ</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_Toc170926304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42</w:t>
            </w:r>
            <w:r w:rsidR="00B1314A" w:rsidRPr="00B1314A">
              <w:rPr>
                <w:rFonts w:ascii="GHEA Grapalat" w:hAnsi="GHEA Grapalat"/>
                <w:noProof/>
                <w:webHidden/>
                <w:sz w:val="20"/>
                <w:szCs w:val="20"/>
              </w:rPr>
              <w:fldChar w:fldCharType="end"/>
            </w:r>
          </w:hyperlink>
        </w:p>
        <w:p w14:paraId="483FFBD0" w14:textId="399A61EF" w:rsidR="00B1314A" w:rsidRPr="00B1314A" w:rsidRDefault="00280FCA" w:rsidP="00B1314A">
          <w:pPr>
            <w:pStyle w:val="TOC3"/>
            <w:tabs>
              <w:tab w:val="right" w:pos="9620"/>
            </w:tabs>
            <w:ind w:left="0" w:firstLine="0"/>
            <w:rPr>
              <w:rFonts w:ascii="GHEA Grapalat" w:hAnsi="GHEA Grapalat" w:cstheme="minorBidi"/>
              <w:noProof/>
            </w:rPr>
          </w:pPr>
          <w:hyperlink w:anchor="_Toc170926305" w:history="1">
            <w:r w:rsidR="00B1314A" w:rsidRPr="00B1314A">
              <w:rPr>
                <w:rStyle w:val="Hyperlink"/>
                <w:rFonts w:ascii="GHEA Grapalat" w:eastAsia="Times New Roman" w:hAnsi="GHEA Grapalat" w:cs="Times New Roman"/>
                <w:noProof/>
                <w:lang w:val="hy-AM"/>
              </w:rPr>
              <w:t>2.1. ՀԱՐԿԱԲՅՈՒՋԵՏԱՅԻՆ ԸՆԴՀԱՆՈՒՐ ԱԿՆԱՐԿ ԵՎ ՀԱՐԿԱԲՅՈՒՋԵՏԱՅԻՆ ՇՐՋԱՆԱԿ</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42</w:t>
            </w:r>
            <w:r w:rsidR="00B1314A" w:rsidRPr="00B1314A">
              <w:rPr>
                <w:rFonts w:ascii="GHEA Grapalat" w:hAnsi="GHEA Grapalat"/>
                <w:noProof/>
                <w:webHidden/>
              </w:rPr>
              <w:fldChar w:fldCharType="end"/>
            </w:r>
          </w:hyperlink>
        </w:p>
        <w:p w14:paraId="59AC2B42" w14:textId="7965B24A" w:rsidR="00B1314A" w:rsidRPr="00B1314A" w:rsidRDefault="00280FCA" w:rsidP="00B1314A">
          <w:pPr>
            <w:pStyle w:val="TOC3"/>
            <w:tabs>
              <w:tab w:val="right" w:pos="9620"/>
            </w:tabs>
            <w:ind w:left="0" w:firstLine="0"/>
            <w:rPr>
              <w:rFonts w:ascii="GHEA Grapalat" w:hAnsi="GHEA Grapalat" w:cstheme="minorBidi"/>
              <w:noProof/>
            </w:rPr>
          </w:pPr>
          <w:hyperlink w:anchor="_Toc170926306" w:history="1">
            <w:r w:rsidR="00B1314A" w:rsidRPr="00B1314A">
              <w:rPr>
                <w:rStyle w:val="Hyperlink"/>
                <w:rFonts w:ascii="GHEA Grapalat" w:eastAsia="Times New Roman" w:hAnsi="GHEA Grapalat" w:cs="Times New Roman"/>
                <w:noProof/>
              </w:rPr>
              <w:t>2.2. ՄԻՋՆԱԺԱՄԿԵՏ ՀԱՐԿԱԲՅՈՒՋԵՏԱՅԻՆ ՔԱՂԱՔԱԿԱՆՈՒԹՅԱՆ ԱՌԱՋՆԱՀԵՐԹՈՒԹՅՈՒՆՆԵՐԸ ԵՎ ՆՊԱՏԱԿՆԵՐԸ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44</w:t>
            </w:r>
            <w:r w:rsidR="00B1314A" w:rsidRPr="00B1314A">
              <w:rPr>
                <w:rFonts w:ascii="GHEA Grapalat" w:hAnsi="GHEA Grapalat"/>
                <w:noProof/>
                <w:webHidden/>
              </w:rPr>
              <w:fldChar w:fldCharType="end"/>
            </w:r>
          </w:hyperlink>
        </w:p>
        <w:p w14:paraId="3D0474DE" w14:textId="041EA4A8" w:rsidR="00B1314A" w:rsidRPr="00B1314A" w:rsidRDefault="00280FCA" w:rsidP="00B1314A">
          <w:pPr>
            <w:pStyle w:val="TOC3"/>
            <w:tabs>
              <w:tab w:val="right" w:pos="9620"/>
            </w:tabs>
            <w:ind w:left="0" w:firstLine="0"/>
            <w:rPr>
              <w:rFonts w:ascii="GHEA Grapalat" w:hAnsi="GHEA Grapalat" w:cstheme="minorBidi"/>
              <w:noProof/>
            </w:rPr>
          </w:pPr>
          <w:hyperlink w:anchor="_Toc170926307" w:history="1">
            <w:r w:rsidR="00B1314A" w:rsidRPr="00B1314A">
              <w:rPr>
                <w:rStyle w:val="Hyperlink"/>
                <w:rFonts w:ascii="GHEA Grapalat" w:eastAsia="Times New Roman" w:hAnsi="GHEA Grapalat" w:cs="Times New Roman"/>
                <w:noProof/>
                <w:lang w:val="hy-AM"/>
              </w:rPr>
              <w:t>2.3. ՀԱՐԿԱԲՅՈՒՋԵՏԱՅԻՆ ՔԱՂԱՔԱԿԱՆՈՒԹՅԱՆ ՄԻՏՈՒՄՆԵՐԸ ԵՎ ԿԱՆԽԱՏԵՍՈՒՄՆԵՐԸ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47</w:t>
            </w:r>
            <w:r w:rsidR="00B1314A" w:rsidRPr="00B1314A">
              <w:rPr>
                <w:rFonts w:ascii="GHEA Grapalat" w:hAnsi="GHEA Grapalat"/>
                <w:noProof/>
                <w:webHidden/>
              </w:rPr>
              <w:fldChar w:fldCharType="end"/>
            </w:r>
          </w:hyperlink>
        </w:p>
        <w:p w14:paraId="6F044615" w14:textId="5551F768" w:rsidR="00B1314A" w:rsidRPr="00B1314A" w:rsidRDefault="00280FCA" w:rsidP="00B1314A">
          <w:pPr>
            <w:pStyle w:val="TOC3"/>
            <w:tabs>
              <w:tab w:val="right" w:pos="9620"/>
            </w:tabs>
            <w:ind w:left="0" w:firstLine="0"/>
            <w:rPr>
              <w:rFonts w:ascii="GHEA Grapalat" w:hAnsi="GHEA Grapalat" w:cstheme="minorBidi"/>
              <w:noProof/>
            </w:rPr>
          </w:pPr>
          <w:hyperlink w:anchor="_Toc170926308" w:history="1">
            <w:r w:rsidR="00B1314A" w:rsidRPr="00B1314A">
              <w:rPr>
                <w:rStyle w:val="Hyperlink"/>
                <w:rFonts w:ascii="GHEA Grapalat" w:eastAsia="Times New Roman" w:hAnsi="GHEA Grapalat" w:cs="Times New Roman"/>
                <w:noProof/>
              </w:rPr>
              <w:t>2.4. ՀԱՐԿԱԲՅՈՒՋԵՏԱՅԻՆ ՌԻՍԿԵՐ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53</w:t>
            </w:r>
            <w:r w:rsidR="00B1314A" w:rsidRPr="00B1314A">
              <w:rPr>
                <w:rFonts w:ascii="GHEA Grapalat" w:hAnsi="GHEA Grapalat"/>
                <w:noProof/>
                <w:webHidden/>
              </w:rPr>
              <w:fldChar w:fldCharType="end"/>
            </w:r>
          </w:hyperlink>
        </w:p>
        <w:p w14:paraId="120180E1" w14:textId="19D0BA84" w:rsidR="00B1314A" w:rsidRPr="00B1314A" w:rsidRDefault="00280FCA" w:rsidP="00B1314A">
          <w:pPr>
            <w:pStyle w:val="TOC3"/>
            <w:tabs>
              <w:tab w:val="right" w:pos="9620"/>
            </w:tabs>
            <w:ind w:left="0" w:firstLine="0"/>
            <w:rPr>
              <w:rFonts w:ascii="GHEA Grapalat" w:hAnsi="GHEA Grapalat" w:cstheme="minorBidi"/>
              <w:noProof/>
            </w:rPr>
          </w:pPr>
          <w:hyperlink w:anchor="_Toc170926309" w:history="1">
            <w:r w:rsidR="00B1314A" w:rsidRPr="00B1314A">
              <w:rPr>
                <w:rStyle w:val="Hyperlink"/>
                <w:rFonts w:ascii="GHEA Grapalat" w:eastAsia="Times New Roman" w:hAnsi="GHEA Grapalat" w:cs="Times New Roman"/>
                <w:noProof/>
              </w:rPr>
              <w:t>2.5. ՀԱՐԿԱԲՅՈՒՋԵՏԱՅԻՆ ՔԱՂԱՔԱԿԱՆՈՒԹՅԱՆ ՀԱՄԱՊԱՏԱՍԽԱՆՈՒԹՅՈՒՆԸ ՀԱՐԿԱԲՅՈՒՋԵՏԱՅԻՆ ԿԱՆՈՆՆԵՐԻՆ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_Toc170926309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56</w:t>
            </w:r>
            <w:r w:rsidR="00B1314A" w:rsidRPr="00B1314A">
              <w:rPr>
                <w:rFonts w:ascii="GHEA Grapalat" w:hAnsi="GHEA Grapalat"/>
                <w:noProof/>
                <w:webHidden/>
              </w:rPr>
              <w:fldChar w:fldCharType="end"/>
            </w:r>
          </w:hyperlink>
        </w:p>
        <w:p w14:paraId="5EB9E4EB" w14:textId="18E1B127" w:rsidR="00B1314A" w:rsidRPr="00B1314A" w:rsidRDefault="00280FCA" w:rsidP="00B1314A">
          <w:pPr>
            <w:pStyle w:val="TOC3"/>
            <w:tabs>
              <w:tab w:val="right" w:pos="9620"/>
            </w:tabs>
            <w:ind w:left="0" w:firstLine="0"/>
            <w:rPr>
              <w:rFonts w:ascii="GHEA Grapalat" w:hAnsi="GHEA Grapalat" w:cstheme="minorBidi"/>
              <w:noProof/>
            </w:rPr>
          </w:pPr>
          <w:hyperlink w:anchor="_Toc170926310" w:history="1">
            <w:r w:rsidR="00B1314A" w:rsidRPr="00B1314A">
              <w:rPr>
                <w:rStyle w:val="Hyperlink"/>
                <w:rFonts w:ascii="GHEA Grapalat" w:eastAsia="Times New Roman" w:hAnsi="GHEA Grapalat" w:cs="Times New Roman"/>
                <w:noProof/>
                <w:lang w:val="hy-AM"/>
              </w:rPr>
              <w:t>2.6. ՊԵՏԱԿԱՆ ԲՅՈՒՋԵԻ ՑՈՒՑԱՆԻՇՆԵՐԻ ԿԱՆԽԱՏԵՍՈՒՄՆԵՐԻ ՀԱՄԵՄԱՏԱԿԱՆ ԱՂՅՈՒՍԱԿՆԵՐ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59</w:t>
            </w:r>
            <w:r w:rsidR="00B1314A" w:rsidRPr="00B1314A">
              <w:rPr>
                <w:rFonts w:ascii="GHEA Grapalat" w:hAnsi="GHEA Grapalat"/>
                <w:noProof/>
                <w:webHidden/>
              </w:rPr>
              <w:fldChar w:fldCharType="end"/>
            </w:r>
          </w:hyperlink>
        </w:p>
        <w:p w14:paraId="1C8FF985" w14:textId="67D73880"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11" w:history="1">
            <w:r w:rsidR="00B1314A" w:rsidRPr="00B1314A">
              <w:rPr>
                <w:rStyle w:val="Hyperlink"/>
                <w:rFonts w:ascii="GHEA Grapalat" w:hAnsi="GHEA Grapalat"/>
                <w:noProof/>
                <w:sz w:val="20"/>
                <w:szCs w:val="20"/>
                <w:lang w:val="hy-AM"/>
              </w:rPr>
              <w:t xml:space="preserve">ԳԼՈՒԽ 3. </w:t>
            </w:r>
            <w:r w:rsidR="00B1314A" w:rsidRPr="00B1314A">
              <w:rPr>
                <w:rStyle w:val="Hyperlink"/>
                <w:rFonts w:ascii="GHEA Grapalat" w:hAnsi="GHEA Grapalat"/>
                <w:noProof/>
                <w:sz w:val="20"/>
                <w:szCs w:val="20"/>
              </w:rPr>
              <w:t>ՀՀ 2025–2027ԹԹ ՊԵՏԱԿԱՆ ԲՅՈՒՋԵՆԵՐԻ ԵԿԱՄՈՒՏՆԵՐԻ ՔԱՂԱՔԱԿԱՆՈՒԹՅՈՒՆ ԵՎ ԿԱՆԽԱՏԵՍՈՒՄ</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_Toc170926311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62</w:t>
            </w:r>
            <w:r w:rsidR="00B1314A" w:rsidRPr="00B1314A">
              <w:rPr>
                <w:rFonts w:ascii="GHEA Grapalat" w:hAnsi="GHEA Grapalat"/>
                <w:noProof/>
                <w:webHidden/>
                <w:sz w:val="20"/>
                <w:szCs w:val="20"/>
              </w:rPr>
              <w:fldChar w:fldCharType="end"/>
            </w:r>
          </w:hyperlink>
        </w:p>
        <w:p w14:paraId="5A64173E" w14:textId="6F5F8EC2" w:rsidR="00B1314A" w:rsidRPr="00B1314A" w:rsidRDefault="00280FCA" w:rsidP="00B1314A">
          <w:pPr>
            <w:pStyle w:val="TOC3"/>
            <w:tabs>
              <w:tab w:val="right" w:pos="9620"/>
            </w:tabs>
            <w:ind w:left="0" w:firstLine="0"/>
            <w:rPr>
              <w:rFonts w:ascii="GHEA Grapalat" w:hAnsi="GHEA Grapalat" w:cstheme="minorBidi"/>
              <w:noProof/>
            </w:rPr>
          </w:pPr>
          <w:hyperlink w:anchor="_Toc170926312" w:history="1">
            <w:r w:rsidR="00B1314A" w:rsidRPr="00B1314A">
              <w:rPr>
                <w:rStyle w:val="Hyperlink"/>
                <w:rFonts w:ascii="GHEA Grapalat" w:eastAsia="Times New Roman" w:hAnsi="GHEA Grapalat" w:cs="Times New Roman"/>
                <w:noProof/>
              </w:rPr>
              <w:t>3.1. ՊԵՏԱԿԱՆ ԵԿԱՄՈՒՏՆԵՐԻ ՔԱՂԱՔԱԿԱՆՈՒԹՅԱՆ ՀԻՄՆԱԿԱՆ ԱՌԱՆՁՆԱՀԱՏԿՈՒԹՅՈՒՆՆԵՐԸ 202</w:t>
            </w:r>
            <w:r w:rsidR="00B1314A" w:rsidRPr="00B1314A">
              <w:rPr>
                <w:rStyle w:val="Hyperlink"/>
                <w:rFonts w:ascii="GHEA Grapalat" w:eastAsia="Times New Roman" w:hAnsi="GHEA Grapalat" w:cs="Times New Roman"/>
                <w:noProof/>
                <w:lang w:val="es-ES"/>
              </w:rPr>
              <w:t>5</w:t>
            </w:r>
            <w:r w:rsidR="00B1314A" w:rsidRPr="00B1314A">
              <w:rPr>
                <w:rStyle w:val="Hyperlink"/>
                <w:rFonts w:ascii="GHEA Grapalat" w:eastAsia="Times New Roman" w:hAnsi="GHEA Grapalat" w:cs="Times New Roman"/>
                <w:noProof/>
              </w:rPr>
              <w:t>-202</w:t>
            </w:r>
            <w:r w:rsidR="00B1314A" w:rsidRPr="00B1314A">
              <w:rPr>
                <w:rStyle w:val="Hyperlink"/>
                <w:rFonts w:ascii="GHEA Grapalat" w:eastAsia="Times New Roman" w:hAnsi="GHEA Grapalat" w:cs="Times New Roman"/>
                <w:noProof/>
                <w:lang w:val="es-ES"/>
              </w:rPr>
              <w:t>7</w:t>
            </w:r>
            <w:r w:rsidR="00B1314A" w:rsidRPr="00B1314A">
              <w:rPr>
                <w:rStyle w:val="Hyperlink"/>
                <w:rFonts w:ascii="GHEA Grapalat" w:eastAsia="Times New Roman" w:hAnsi="GHEA Grapalat" w:cs="Times New Roman"/>
                <w:noProof/>
              </w:rPr>
              <w:t xml:space="preserve"> ԹՎԱԿԱՆՆԵՐԻՆ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62</w:t>
            </w:r>
            <w:r w:rsidR="00B1314A" w:rsidRPr="00B1314A">
              <w:rPr>
                <w:rFonts w:ascii="GHEA Grapalat" w:hAnsi="GHEA Grapalat"/>
                <w:noProof/>
                <w:webHidden/>
              </w:rPr>
              <w:fldChar w:fldCharType="end"/>
            </w:r>
          </w:hyperlink>
        </w:p>
        <w:p w14:paraId="4CDC7AA4" w14:textId="717A9842" w:rsidR="00B1314A" w:rsidRPr="00B1314A" w:rsidRDefault="00280FCA" w:rsidP="00B1314A">
          <w:pPr>
            <w:pStyle w:val="TOC3"/>
            <w:tabs>
              <w:tab w:val="right" w:pos="9620"/>
            </w:tabs>
            <w:ind w:left="0" w:firstLine="0"/>
            <w:rPr>
              <w:rFonts w:ascii="GHEA Grapalat" w:hAnsi="GHEA Grapalat" w:cstheme="minorBidi"/>
              <w:noProof/>
            </w:rPr>
          </w:pPr>
          <w:hyperlink w:anchor="_Toc170926313" w:history="1">
            <w:r w:rsidR="00B1314A" w:rsidRPr="00B1314A">
              <w:rPr>
                <w:rStyle w:val="Hyperlink"/>
                <w:rFonts w:ascii="GHEA Grapalat" w:eastAsia="Times New Roman" w:hAnsi="GHEA Grapalat" w:cs="Times New Roman"/>
                <w:noProof/>
              </w:rPr>
              <w:t>3.2. ՀՀ 2025-2027 ԹՎԱԿԱՆՆԵՐԻ ՊԵՏԱԿԱՆ ԲՅՈՒՋԵՆԵՐԻ ԵԿԱՄՈՒՏՆԵՐԻ ԿԱՆԽԱՏԵՍՈՒՄԸ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64</w:t>
            </w:r>
            <w:r w:rsidR="00B1314A" w:rsidRPr="00B1314A">
              <w:rPr>
                <w:rFonts w:ascii="GHEA Grapalat" w:hAnsi="GHEA Grapalat"/>
                <w:noProof/>
                <w:webHidden/>
              </w:rPr>
              <w:fldChar w:fldCharType="end"/>
            </w:r>
          </w:hyperlink>
        </w:p>
        <w:p w14:paraId="4159CC9B" w14:textId="25E852E5"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14" w:history="1">
            <w:r w:rsidR="00B1314A" w:rsidRPr="00B1314A">
              <w:rPr>
                <w:rStyle w:val="Hyperlink"/>
                <w:rFonts w:ascii="GHEA Grapalat" w:hAnsi="GHEA Grapalat"/>
                <w:noProof/>
                <w:sz w:val="20"/>
                <w:szCs w:val="20"/>
                <w:lang w:val="hy-AM"/>
              </w:rPr>
              <w:t xml:space="preserve">ԳԼՈՒԽ 4. </w:t>
            </w:r>
            <w:r w:rsidR="00B1314A" w:rsidRPr="00B1314A">
              <w:rPr>
                <w:rStyle w:val="Hyperlink"/>
                <w:rFonts w:ascii="GHEA Grapalat" w:hAnsi="GHEA Grapalat"/>
                <w:noProof/>
                <w:sz w:val="20"/>
                <w:szCs w:val="20"/>
              </w:rPr>
              <w:t>ԲՅՈՒՋԵՏԱՅԻՆ ՇՐՋԱՆԱԿ</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_Toc170926314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68</w:t>
            </w:r>
            <w:r w:rsidR="00B1314A" w:rsidRPr="00B1314A">
              <w:rPr>
                <w:rFonts w:ascii="GHEA Grapalat" w:hAnsi="GHEA Grapalat"/>
                <w:noProof/>
                <w:webHidden/>
                <w:sz w:val="20"/>
                <w:szCs w:val="20"/>
              </w:rPr>
              <w:fldChar w:fldCharType="end"/>
            </w:r>
          </w:hyperlink>
        </w:p>
        <w:p w14:paraId="2D0B26C8" w14:textId="6F011759" w:rsidR="00B1314A" w:rsidRPr="00B1314A" w:rsidRDefault="00280FCA" w:rsidP="00B1314A">
          <w:pPr>
            <w:pStyle w:val="TOC3"/>
            <w:tabs>
              <w:tab w:val="right" w:pos="9620"/>
            </w:tabs>
            <w:ind w:left="0" w:firstLine="0"/>
            <w:rPr>
              <w:rFonts w:ascii="GHEA Grapalat" w:hAnsi="GHEA Grapalat" w:cstheme="minorBidi"/>
              <w:noProof/>
            </w:rPr>
          </w:pPr>
          <w:hyperlink w:anchor="_Toc170926315" w:history="1">
            <w:r w:rsidR="00B1314A" w:rsidRPr="00B1314A">
              <w:rPr>
                <w:rStyle w:val="Hyperlink"/>
                <w:rFonts w:ascii="GHEA Grapalat" w:eastAsia="Times New Roman" w:hAnsi="GHEA Grapalat" w:cs="Times New Roman"/>
                <w:noProof/>
              </w:rPr>
              <w:t>4.1. ՊԵՏԱԿԱՆ ԲՅՈՒՋԵԻ ԴԵՖԻՑԻՏԸ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68</w:t>
            </w:r>
            <w:r w:rsidR="00B1314A" w:rsidRPr="00B1314A">
              <w:rPr>
                <w:rFonts w:ascii="GHEA Grapalat" w:hAnsi="GHEA Grapalat"/>
                <w:noProof/>
                <w:webHidden/>
              </w:rPr>
              <w:fldChar w:fldCharType="end"/>
            </w:r>
          </w:hyperlink>
        </w:p>
        <w:p w14:paraId="1FDBA3A5" w14:textId="41AD2768" w:rsidR="00B1314A" w:rsidRPr="00B1314A" w:rsidRDefault="00280FCA" w:rsidP="00B1314A">
          <w:pPr>
            <w:pStyle w:val="TOC3"/>
            <w:tabs>
              <w:tab w:val="right" w:pos="9620"/>
            </w:tabs>
            <w:ind w:left="0" w:firstLine="0"/>
            <w:rPr>
              <w:rFonts w:ascii="GHEA Grapalat" w:hAnsi="GHEA Grapalat" w:cstheme="minorBidi"/>
              <w:noProof/>
            </w:rPr>
          </w:pPr>
          <w:hyperlink w:anchor="_Toc170926316" w:history="1">
            <w:r w:rsidR="00B1314A" w:rsidRPr="00B1314A">
              <w:rPr>
                <w:rStyle w:val="Hyperlink"/>
                <w:rFonts w:ascii="GHEA Grapalat" w:eastAsia="Times New Roman" w:hAnsi="GHEA Grapalat" w:cs="Times New Roman"/>
                <w:noProof/>
              </w:rPr>
              <w:t>4.2. 2024-2026 ԹՎԱԿԱՆՆԵՐԻ ՊԵՏԱԿԱՆ ԲՅՈՒՋԵՆԵՐԻ ԾԱԽՍԵՐԻ ԿԱՆԽԱՏԵՍՈՒՄԸ` ԸՍՏ ՈԼՈՐՏՆԵՐԻ</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68</w:t>
            </w:r>
            <w:r w:rsidR="00B1314A" w:rsidRPr="00B1314A">
              <w:rPr>
                <w:rFonts w:ascii="GHEA Grapalat" w:hAnsi="GHEA Grapalat"/>
                <w:noProof/>
                <w:webHidden/>
              </w:rPr>
              <w:fldChar w:fldCharType="end"/>
            </w:r>
          </w:hyperlink>
        </w:p>
        <w:p w14:paraId="4821B460" w14:textId="7FDCF1EC"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17" w:history="1">
            <w:r w:rsidR="00B1314A" w:rsidRPr="00B1314A">
              <w:rPr>
                <w:rStyle w:val="Hyperlink"/>
                <w:rFonts w:ascii="GHEA Grapalat" w:eastAsia="Times New Roman" w:hAnsi="GHEA Grapalat" w:cs="Times New Roman"/>
                <w:b w:val="0"/>
                <w:bCs w:val="0"/>
                <w:noProof/>
                <w:sz w:val="20"/>
                <w:szCs w:val="20"/>
                <w:lang w:val="hy-AM"/>
              </w:rPr>
              <w:t>4.3.  ԿԱՆԽԱՏԵՍՎՈՂ ԾԱԽՍԵՐՆ ԸՍՏ ՏՆՏԵՍԱԳԻՏԱԿԱՆ ԴԱՍԱԿԱՐԳՄԱՆ</w:t>
            </w:r>
            <w:r w:rsidR="00B1314A" w:rsidRPr="00B1314A">
              <w:rPr>
                <w:rFonts w:ascii="GHEA Grapalat" w:hAnsi="GHEA Grapalat"/>
                <w:b w:val="0"/>
                <w:bCs w:val="0"/>
                <w:noProof/>
                <w:webHidden/>
                <w:sz w:val="20"/>
                <w:szCs w:val="20"/>
              </w:rPr>
              <w:tab/>
            </w:r>
            <w:r w:rsidR="00B1314A" w:rsidRPr="00B1314A">
              <w:rPr>
                <w:rFonts w:ascii="GHEA Grapalat" w:hAnsi="GHEA Grapalat"/>
                <w:b w:val="0"/>
                <w:bCs w:val="0"/>
                <w:noProof/>
                <w:webHidden/>
                <w:sz w:val="20"/>
                <w:szCs w:val="20"/>
              </w:rPr>
              <w:fldChar w:fldCharType="begin"/>
            </w:r>
            <w:r w:rsidR="00B1314A" w:rsidRPr="00B1314A">
              <w:rPr>
                <w:rFonts w:ascii="GHEA Grapalat" w:hAnsi="GHEA Grapalat"/>
                <w:b w:val="0"/>
                <w:bCs w:val="0"/>
                <w:noProof/>
                <w:webHidden/>
                <w:sz w:val="20"/>
                <w:szCs w:val="20"/>
              </w:rPr>
              <w:instrText xml:space="preserve"> PAGEREF _Toc170926317 \h </w:instrText>
            </w:r>
            <w:r w:rsidR="00B1314A" w:rsidRPr="00B1314A">
              <w:rPr>
                <w:rFonts w:ascii="GHEA Grapalat" w:hAnsi="GHEA Grapalat"/>
                <w:b w:val="0"/>
                <w:bCs w:val="0"/>
                <w:noProof/>
                <w:webHidden/>
                <w:sz w:val="20"/>
                <w:szCs w:val="20"/>
              </w:rPr>
            </w:r>
            <w:r w:rsidR="00B1314A" w:rsidRPr="00B1314A">
              <w:rPr>
                <w:rFonts w:ascii="GHEA Grapalat" w:hAnsi="GHEA Grapalat"/>
                <w:b w:val="0"/>
                <w:bCs w:val="0"/>
                <w:noProof/>
                <w:webHidden/>
                <w:sz w:val="20"/>
                <w:szCs w:val="20"/>
              </w:rPr>
              <w:fldChar w:fldCharType="separate"/>
            </w:r>
            <w:r w:rsidR="00B1314A" w:rsidRPr="00B1314A">
              <w:rPr>
                <w:rFonts w:ascii="GHEA Grapalat" w:hAnsi="GHEA Grapalat"/>
                <w:b w:val="0"/>
                <w:bCs w:val="0"/>
                <w:noProof/>
                <w:webHidden/>
                <w:sz w:val="20"/>
                <w:szCs w:val="20"/>
              </w:rPr>
              <w:t>72</w:t>
            </w:r>
            <w:r w:rsidR="00B1314A" w:rsidRPr="00B1314A">
              <w:rPr>
                <w:rFonts w:ascii="GHEA Grapalat" w:hAnsi="GHEA Grapalat"/>
                <w:b w:val="0"/>
                <w:bCs w:val="0"/>
                <w:noProof/>
                <w:webHidden/>
                <w:sz w:val="20"/>
                <w:szCs w:val="20"/>
              </w:rPr>
              <w:fldChar w:fldCharType="end"/>
            </w:r>
          </w:hyperlink>
        </w:p>
        <w:p w14:paraId="5011B2FF" w14:textId="68906208" w:rsidR="00B1314A" w:rsidRPr="00B1314A" w:rsidRDefault="00280FCA" w:rsidP="00B1314A">
          <w:pPr>
            <w:pStyle w:val="TOC3"/>
            <w:tabs>
              <w:tab w:val="right" w:pos="9620"/>
            </w:tabs>
            <w:ind w:left="0" w:firstLine="0"/>
            <w:rPr>
              <w:rFonts w:ascii="GHEA Grapalat" w:hAnsi="GHEA Grapalat" w:cstheme="minorBidi"/>
              <w:noProof/>
            </w:rPr>
          </w:pPr>
          <w:hyperlink w:anchor="_Toc170926318" w:history="1">
            <w:r w:rsidR="00B1314A" w:rsidRPr="00B1314A">
              <w:rPr>
                <w:rStyle w:val="Hyperlink"/>
                <w:rFonts w:ascii="GHEA Grapalat" w:eastAsia="Times New Roman" w:hAnsi="GHEA Grapalat" w:cs="Times New Roman"/>
                <w:noProof/>
              </w:rPr>
              <w:t>4.4. 2024-2026 ԹՎԱԿԱՆՆԵՐԻ ՄԺԾԾ ԺԱՄԱՆԱԿԱՀԱՏՎԱԾՈՒՄ ՀՀ ՊԵՏԱԿԱՆ ԲՅՈՒՋԵԻՑ ՀԱՄԱՅՆՔՆԵՐԻՆ ՏՐՎՈՂ ՀԱՏԿԱՑՈՒՄՆԵՐԸ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_Toc170926318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78</w:t>
            </w:r>
            <w:r w:rsidR="00B1314A" w:rsidRPr="00B1314A">
              <w:rPr>
                <w:rFonts w:ascii="GHEA Grapalat" w:hAnsi="GHEA Grapalat"/>
                <w:noProof/>
                <w:webHidden/>
              </w:rPr>
              <w:fldChar w:fldCharType="end"/>
            </w:r>
          </w:hyperlink>
        </w:p>
        <w:p w14:paraId="520CBE99" w14:textId="121011CA" w:rsidR="00B1314A" w:rsidRPr="00B1314A" w:rsidRDefault="00280FCA" w:rsidP="00B1314A">
          <w:pPr>
            <w:pStyle w:val="TOC1"/>
            <w:tabs>
              <w:tab w:val="right" w:pos="9620"/>
            </w:tabs>
            <w:ind w:firstLine="0"/>
            <w:rPr>
              <w:rFonts w:ascii="GHEA Grapalat" w:hAnsi="GHEA Grapalat" w:cstheme="minorBidi"/>
              <w:b w:val="0"/>
              <w:bCs w:val="0"/>
              <w:i w:val="0"/>
              <w:iCs w:val="0"/>
              <w:noProof/>
              <w:sz w:val="20"/>
              <w:szCs w:val="20"/>
            </w:rPr>
          </w:pPr>
          <w:hyperlink w:anchor="_Toc170926319" w:history="1">
            <w:r w:rsidR="00B1314A" w:rsidRPr="00B1314A">
              <w:rPr>
                <w:rStyle w:val="Hyperlink"/>
                <w:rFonts w:ascii="GHEA Grapalat" w:hAnsi="GHEA Grapalat"/>
                <w:noProof/>
                <w:sz w:val="20"/>
                <w:szCs w:val="20"/>
                <w:lang w:val="hy-AM"/>
              </w:rPr>
              <w:t>ՄԱՍ II. ԾԱԽՍԱՅԻՆ ՔԱՂԱՔԱԿԱՆՈՒԹՅԱՆ ՌԱԶՄԱՎԱՐՈՒԹՅՈՒՆԸ</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_Toc170926319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79</w:t>
            </w:r>
            <w:r w:rsidR="00B1314A" w:rsidRPr="00B1314A">
              <w:rPr>
                <w:rFonts w:ascii="GHEA Grapalat" w:hAnsi="GHEA Grapalat"/>
                <w:noProof/>
                <w:webHidden/>
                <w:sz w:val="20"/>
                <w:szCs w:val="20"/>
              </w:rPr>
              <w:fldChar w:fldCharType="end"/>
            </w:r>
          </w:hyperlink>
        </w:p>
        <w:p w14:paraId="4DF8C4E1" w14:textId="474275EA"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20" w:history="1">
            <w:r w:rsidR="00B1314A" w:rsidRPr="00B1314A">
              <w:rPr>
                <w:rStyle w:val="Hyperlink"/>
                <w:rFonts w:ascii="GHEA Grapalat" w:eastAsia="Times New Roman" w:hAnsi="GHEA Grapalat" w:cs="Times New Roman"/>
                <w:noProof/>
                <w:sz w:val="20"/>
                <w:szCs w:val="20"/>
                <w:lang w:val="hy-AM"/>
              </w:rPr>
              <w:t>ՀՀ 2024-2026ԹԹ. ՊԵՏԱԿԱՆ ԲՅՈՒՋԵՆԵՐԻ ԾԱԽՍԱՅԻՆ ԳԵՐԱԿԱՅՈՒԹՅՈՒՆՆԵՐԸ</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_Toc170926320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80</w:t>
            </w:r>
            <w:r w:rsidR="00B1314A" w:rsidRPr="00B1314A">
              <w:rPr>
                <w:rFonts w:ascii="GHEA Grapalat" w:hAnsi="GHEA Grapalat"/>
                <w:noProof/>
                <w:webHidden/>
                <w:sz w:val="20"/>
                <w:szCs w:val="20"/>
              </w:rPr>
              <w:fldChar w:fldCharType="end"/>
            </w:r>
          </w:hyperlink>
        </w:p>
        <w:p w14:paraId="5BA5C8A6" w14:textId="1286B6D1" w:rsidR="00B1314A" w:rsidRPr="00B1314A" w:rsidRDefault="00280FCA" w:rsidP="00B1314A">
          <w:pPr>
            <w:pStyle w:val="TOC3"/>
            <w:tabs>
              <w:tab w:val="right" w:pos="9620"/>
            </w:tabs>
            <w:ind w:left="0" w:firstLine="0"/>
            <w:rPr>
              <w:rFonts w:ascii="GHEA Grapalat" w:hAnsi="GHEA Grapalat" w:cstheme="minorBidi"/>
              <w:noProof/>
            </w:rPr>
          </w:pPr>
          <w:hyperlink w:anchor="_Toc170926321" w:history="1">
            <w:r w:rsidR="00B1314A" w:rsidRPr="00B1314A">
              <w:rPr>
                <w:rStyle w:val="Hyperlink"/>
                <w:rFonts w:ascii="GHEA Grapalat" w:eastAsia="Times New Roman" w:hAnsi="GHEA Grapalat" w:cs="Times New Roman"/>
                <w:noProof/>
                <w:lang w:val="es-ES"/>
              </w:rPr>
              <w:t xml:space="preserve">1. </w:t>
            </w:r>
            <w:r w:rsidR="00B1314A" w:rsidRPr="00B1314A">
              <w:rPr>
                <w:rStyle w:val="Hyperlink"/>
                <w:rFonts w:ascii="GHEA Grapalat" w:eastAsia="Times New Roman" w:hAnsi="GHEA Grapalat" w:cs="Times New Roman"/>
                <w:noProof/>
              </w:rPr>
              <w:t>ԿՐԹՈՒԹՅՈԻՆ, ԳԻՏՈՒԹՅՈԻՆ, ՄՇԱԿՈՒՅԹ, ՍՊՈՐՏ ԵՎ ԵՐԻՏԱՍԱՐԴՈՒԹՅՈՒՆ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80</w:t>
            </w:r>
            <w:r w:rsidR="00B1314A" w:rsidRPr="00B1314A">
              <w:rPr>
                <w:rFonts w:ascii="GHEA Grapalat" w:hAnsi="GHEA Grapalat"/>
                <w:noProof/>
                <w:webHidden/>
              </w:rPr>
              <w:fldChar w:fldCharType="end"/>
            </w:r>
          </w:hyperlink>
        </w:p>
        <w:p w14:paraId="020F6B24" w14:textId="0AC59657" w:rsidR="00B1314A" w:rsidRPr="00B1314A" w:rsidRDefault="00280FCA" w:rsidP="00B1314A">
          <w:pPr>
            <w:pStyle w:val="TOC3"/>
            <w:tabs>
              <w:tab w:val="right" w:pos="9620"/>
            </w:tabs>
            <w:ind w:left="0" w:firstLine="0"/>
            <w:rPr>
              <w:rFonts w:ascii="GHEA Grapalat" w:hAnsi="GHEA Grapalat" w:cstheme="minorBidi"/>
              <w:noProof/>
            </w:rPr>
          </w:pPr>
          <w:hyperlink w:anchor="_Toc170926322" w:history="1">
            <w:r w:rsidR="00B1314A" w:rsidRPr="00B1314A">
              <w:rPr>
                <w:rStyle w:val="Hyperlink"/>
                <w:rFonts w:ascii="GHEA Grapalat" w:eastAsia="Times New Roman" w:hAnsi="GHEA Grapalat" w:cs="Times New Roman"/>
                <w:noProof/>
              </w:rPr>
              <w:t>2. ԱՌՈՂՋԱՊԱՀՈՒԹՅՈՒՆ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87</w:t>
            </w:r>
            <w:r w:rsidR="00B1314A" w:rsidRPr="00B1314A">
              <w:rPr>
                <w:rFonts w:ascii="GHEA Grapalat" w:hAnsi="GHEA Grapalat"/>
                <w:noProof/>
                <w:webHidden/>
              </w:rPr>
              <w:fldChar w:fldCharType="end"/>
            </w:r>
          </w:hyperlink>
        </w:p>
        <w:p w14:paraId="248DE799" w14:textId="5B34AD91" w:rsidR="00B1314A" w:rsidRPr="00B1314A" w:rsidRDefault="00280FCA" w:rsidP="00B1314A">
          <w:pPr>
            <w:pStyle w:val="TOC3"/>
            <w:tabs>
              <w:tab w:val="right" w:pos="9620"/>
            </w:tabs>
            <w:ind w:left="0" w:firstLine="0"/>
            <w:rPr>
              <w:rFonts w:ascii="GHEA Grapalat" w:hAnsi="GHEA Grapalat" w:cstheme="minorBidi"/>
              <w:noProof/>
            </w:rPr>
          </w:pPr>
          <w:hyperlink w:anchor="_Toc170926323" w:history="1">
            <w:r w:rsidR="00B1314A" w:rsidRPr="00B1314A">
              <w:rPr>
                <w:rStyle w:val="Hyperlink"/>
                <w:rFonts w:ascii="GHEA Grapalat" w:eastAsia="Times New Roman" w:hAnsi="GHEA Grapalat" w:cs="Times New Roman"/>
                <w:noProof/>
              </w:rPr>
              <w:t>3. ՍՈՑԻԱԼԱԿԱՆ ՊԱՇՏՊԱՆՈՒԹՅՈՒՆ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89</w:t>
            </w:r>
            <w:r w:rsidR="00B1314A" w:rsidRPr="00B1314A">
              <w:rPr>
                <w:rFonts w:ascii="GHEA Grapalat" w:hAnsi="GHEA Grapalat"/>
                <w:noProof/>
                <w:webHidden/>
              </w:rPr>
              <w:fldChar w:fldCharType="end"/>
            </w:r>
          </w:hyperlink>
        </w:p>
        <w:p w14:paraId="72FA8FCE" w14:textId="6B1C86AF" w:rsidR="00B1314A" w:rsidRPr="00B1314A" w:rsidRDefault="00280FCA" w:rsidP="00B1314A">
          <w:pPr>
            <w:pStyle w:val="TOC3"/>
            <w:tabs>
              <w:tab w:val="right" w:pos="9620"/>
            </w:tabs>
            <w:ind w:left="0" w:firstLine="0"/>
            <w:rPr>
              <w:rFonts w:ascii="GHEA Grapalat" w:hAnsi="GHEA Grapalat" w:cstheme="minorBidi"/>
              <w:noProof/>
            </w:rPr>
          </w:pPr>
          <w:hyperlink w:anchor="_Toc170926324" w:history="1">
            <w:r w:rsidR="00B1314A" w:rsidRPr="00B1314A">
              <w:rPr>
                <w:rStyle w:val="Hyperlink"/>
                <w:rFonts w:ascii="GHEA Grapalat" w:eastAsia="Times New Roman" w:hAnsi="GHEA Grapalat" w:cs="Times New Roman"/>
                <w:noProof/>
                <w:lang w:val="fr-FR"/>
              </w:rPr>
              <w:t>4</w:t>
            </w:r>
            <w:r w:rsidR="00B1314A" w:rsidRPr="00B1314A">
              <w:rPr>
                <w:rStyle w:val="Hyperlink"/>
                <w:rFonts w:ascii="GHEA Grapalat" w:eastAsia="Times New Roman" w:hAnsi="GHEA Grapalat" w:cs="Times New Roman"/>
                <w:noProof/>
              </w:rPr>
              <w:t>. ՇՐՋԱԿԱ ՄԻՋԱՎԱՅՐ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_Toc170926324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90</w:t>
            </w:r>
            <w:r w:rsidR="00B1314A" w:rsidRPr="00B1314A">
              <w:rPr>
                <w:rFonts w:ascii="GHEA Grapalat" w:hAnsi="GHEA Grapalat"/>
                <w:noProof/>
                <w:webHidden/>
              </w:rPr>
              <w:fldChar w:fldCharType="end"/>
            </w:r>
          </w:hyperlink>
        </w:p>
        <w:p w14:paraId="116BBDA9" w14:textId="078F8E28" w:rsidR="00B1314A" w:rsidRPr="00B1314A" w:rsidRDefault="00280FCA" w:rsidP="00B1314A">
          <w:pPr>
            <w:pStyle w:val="TOC3"/>
            <w:tabs>
              <w:tab w:val="right" w:pos="9620"/>
            </w:tabs>
            <w:ind w:left="0" w:firstLine="0"/>
            <w:rPr>
              <w:rFonts w:ascii="GHEA Grapalat" w:hAnsi="GHEA Grapalat" w:cstheme="minorBidi"/>
              <w:noProof/>
            </w:rPr>
          </w:pPr>
          <w:hyperlink w:anchor="_Toc170926325" w:history="1">
            <w:r w:rsidR="00B1314A" w:rsidRPr="00B1314A">
              <w:rPr>
                <w:rStyle w:val="Hyperlink"/>
                <w:rFonts w:ascii="GHEA Grapalat" w:eastAsia="Times New Roman" w:hAnsi="GHEA Grapalat" w:cs="Times New Roman"/>
                <w:noProof/>
              </w:rPr>
              <w:t>5. ԲԱՐՁՐ ՏԵԽՆՈԼՈԳԻԱԿԱՆ ԱՐԴՅՈՒՆԱԲԵՐՈՒԹՅՈԻՆ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91</w:t>
            </w:r>
            <w:r w:rsidR="00B1314A" w:rsidRPr="00B1314A">
              <w:rPr>
                <w:rFonts w:ascii="GHEA Grapalat" w:hAnsi="GHEA Grapalat"/>
                <w:noProof/>
                <w:webHidden/>
              </w:rPr>
              <w:fldChar w:fldCharType="end"/>
            </w:r>
          </w:hyperlink>
        </w:p>
        <w:p w14:paraId="6D57BE8E" w14:textId="063FF20E" w:rsidR="00B1314A" w:rsidRPr="00B1314A" w:rsidRDefault="00280FCA" w:rsidP="00B1314A">
          <w:pPr>
            <w:pStyle w:val="TOC3"/>
            <w:tabs>
              <w:tab w:val="right" w:pos="9620"/>
            </w:tabs>
            <w:ind w:left="0" w:firstLine="0"/>
            <w:rPr>
              <w:rFonts w:ascii="GHEA Grapalat" w:hAnsi="GHEA Grapalat" w:cstheme="minorBidi"/>
              <w:noProof/>
            </w:rPr>
          </w:pPr>
          <w:hyperlink w:anchor="_Toc170926326" w:history="1">
            <w:r w:rsidR="00B1314A" w:rsidRPr="00B1314A">
              <w:rPr>
                <w:rStyle w:val="Hyperlink"/>
                <w:rFonts w:ascii="GHEA Grapalat" w:eastAsia="Times New Roman" w:hAnsi="GHEA Grapalat" w:cs="Times New Roman"/>
                <w:noProof/>
              </w:rPr>
              <w:t>6. ՏԱՐԱԾՔԱՅԻՆ ԿԱՌԱՎԱՐՈՒՄ ԵՎ ԵՆԹԱԿԱՌՈՒՑՎԱԾՔՆԵՐ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93</w:t>
            </w:r>
            <w:r w:rsidR="00B1314A" w:rsidRPr="00B1314A">
              <w:rPr>
                <w:rFonts w:ascii="GHEA Grapalat" w:hAnsi="GHEA Grapalat"/>
                <w:noProof/>
                <w:webHidden/>
              </w:rPr>
              <w:fldChar w:fldCharType="end"/>
            </w:r>
          </w:hyperlink>
        </w:p>
        <w:p w14:paraId="5A363656" w14:textId="7ECAABF8" w:rsidR="00B1314A" w:rsidRPr="00B1314A" w:rsidRDefault="00280FCA" w:rsidP="00B1314A">
          <w:pPr>
            <w:pStyle w:val="TOC3"/>
            <w:tabs>
              <w:tab w:val="right" w:pos="9620"/>
            </w:tabs>
            <w:ind w:left="0" w:firstLine="0"/>
            <w:rPr>
              <w:rFonts w:ascii="GHEA Grapalat" w:hAnsi="GHEA Grapalat" w:cstheme="minorBidi"/>
              <w:noProof/>
            </w:rPr>
          </w:pPr>
          <w:hyperlink w:anchor="_Toc170926327" w:history="1">
            <w:r w:rsidR="00B1314A" w:rsidRPr="00B1314A">
              <w:rPr>
                <w:rStyle w:val="Hyperlink"/>
                <w:rFonts w:ascii="GHEA Grapalat" w:eastAsia="Times New Roman" w:hAnsi="GHEA Grapalat" w:cs="Times New Roman"/>
                <w:noProof/>
              </w:rPr>
              <w:t>7. ԷԿՈՆՈՄԻԿԱ</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95</w:t>
            </w:r>
            <w:r w:rsidR="00B1314A" w:rsidRPr="00B1314A">
              <w:rPr>
                <w:rFonts w:ascii="GHEA Grapalat" w:hAnsi="GHEA Grapalat"/>
                <w:noProof/>
                <w:webHidden/>
              </w:rPr>
              <w:fldChar w:fldCharType="end"/>
            </w:r>
          </w:hyperlink>
        </w:p>
        <w:p w14:paraId="6CCF58AE" w14:textId="2A117762" w:rsidR="00B1314A" w:rsidRPr="00B1314A" w:rsidRDefault="00280FCA" w:rsidP="00B1314A">
          <w:pPr>
            <w:pStyle w:val="TOC3"/>
            <w:tabs>
              <w:tab w:val="right" w:pos="9620"/>
            </w:tabs>
            <w:ind w:left="0" w:firstLine="0"/>
            <w:rPr>
              <w:rFonts w:ascii="GHEA Grapalat" w:hAnsi="GHEA Grapalat" w:cstheme="minorBidi"/>
              <w:noProof/>
            </w:rPr>
          </w:pPr>
          <w:hyperlink w:anchor="_Toc170926328" w:history="1">
            <w:r w:rsidR="00B1314A" w:rsidRPr="00B1314A">
              <w:rPr>
                <w:rStyle w:val="Hyperlink"/>
                <w:rFonts w:ascii="GHEA Grapalat" w:eastAsia="Times New Roman" w:hAnsi="GHEA Grapalat" w:cs="Times New Roman"/>
                <w:noProof/>
              </w:rPr>
              <w:t>8. ԱՐԴԱՐԱԴԱՏՈՒԹՅՈՒՆ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98</w:t>
            </w:r>
            <w:r w:rsidR="00B1314A" w:rsidRPr="00B1314A">
              <w:rPr>
                <w:rFonts w:ascii="GHEA Grapalat" w:hAnsi="GHEA Grapalat"/>
                <w:noProof/>
                <w:webHidden/>
              </w:rPr>
              <w:fldChar w:fldCharType="end"/>
            </w:r>
          </w:hyperlink>
        </w:p>
        <w:p w14:paraId="698A0A70" w14:textId="1DBC312E" w:rsidR="00B1314A" w:rsidRPr="00B1314A" w:rsidRDefault="00280FCA" w:rsidP="00B1314A">
          <w:pPr>
            <w:pStyle w:val="TOC3"/>
            <w:tabs>
              <w:tab w:val="right" w:pos="9620"/>
            </w:tabs>
            <w:ind w:left="0" w:firstLine="0"/>
            <w:rPr>
              <w:rFonts w:ascii="GHEA Grapalat" w:hAnsi="GHEA Grapalat" w:cstheme="minorBidi"/>
              <w:noProof/>
            </w:rPr>
          </w:pPr>
          <w:hyperlink w:anchor="_Toc170926329" w:history="1">
            <w:r w:rsidR="00B1314A" w:rsidRPr="00B1314A">
              <w:rPr>
                <w:rStyle w:val="Hyperlink"/>
                <w:rFonts w:ascii="GHEA Grapalat" w:eastAsia="Times New Roman" w:hAnsi="GHEA Grapalat" w:cs="Times New Roman"/>
                <w:noProof/>
              </w:rPr>
              <w:t>9. ԱՐՏԱՔԻՆ ՀԱՐԱԲԵՐՈՒԹՅՈՒՆՆԵՐ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_Toc170926329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99</w:t>
            </w:r>
            <w:r w:rsidR="00B1314A" w:rsidRPr="00B1314A">
              <w:rPr>
                <w:rFonts w:ascii="GHEA Grapalat" w:hAnsi="GHEA Grapalat"/>
                <w:noProof/>
                <w:webHidden/>
              </w:rPr>
              <w:fldChar w:fldCharType="end"/>
            </w:r>
          </w:hyperlink>
        </w:p>
        <w:p w14:paraId="6FBF5502" w14:textId="71AEDAE6" w:rsidR="00B1314A" w:rsidRPr="00B1314A" w:rsidRDefault="00280FCA" w:rsidP="00B1314A">
          <w:pPr>
            <w:pStyle w:val="TOC3"/>
            <w:tabs>
              <w:tab w:val="right" w:pos="9620"/>
            </w:tabs>
            <w:ind w:left="0" w:firstLine="0"/>
            <w:rPr>
              <w:rFonts w:ascii="GHEA Grapalat" w:hAnsi="GHEA Grapalat" w:cstheme="minorBidi"/>
              <w:noProof/>
            </w:rPr>
          </w:pPr>
          <w:hyperlink w:anchor="_Toc170926330" w:history="1">
            <w:r w:rsidR="00B1314A" w:rsidRPr="00B1314A">
              <w:rPr>
                <w:rStyle w:val="Hyperlink"/>
                <w:rFonts w:ascii="GHEA Grapalat" w:eastAsia="Times New Roman" w:hAnsi="GHEA Grapalat" w:cs="Times New Roman"/>
                <w:noProof/>
              </w:rPr>
              <w:t>10. ՖԻՆԱՆՍՆԵՐ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100</w:t>
            </w:r>
            <w:r w:rsidR="00B1314A" w:rsidRPr="00B1314A">
              <w:rPr>
                <w:rFonts w:ascii="GHEA Grapalat" w:hAnsi="GHEA Grapalat"/>
                <w:noProof/>
                <w:webHidden/>
              </w:rPr>
              <w:fldChar w:fldCharType="end"/>
            </w:r>
          </w:hyperlink>
        </w:p>
        <w:p w14:paraId="1A2D2444" w14:textId="63887427" w:rsidR="00B1314A" w:rsidRPr="00B1314A" w:rsidRDefault="00280FCA" w:rsidP="00B1314A">
          <w:pPr>
            <w:pStyle w:val="TOC3"/>
            <w:tabs>
              <w:tab w:val="right" w:pos="9620"/>
            </w:tabs>
            <w:ind w:left="0" w:firstLine="0"/>
            <w:rPr>
              <w:rFonts w:ascii="GHEA Grapalat" w:hAnsi="GHEA Grapalat" w:cstheme="minorBidi"/>
              <w:noProof/>
            </w:rPr>
          </w:pPr>
          <w:hyperlink w:anchor="_Toc170926331" w:history="1">
            <w:r w:rsidR="00B1314A" w:rsidRPr="00B1314A">
              <w:rPr>
                <w:rStyle w:val="Hyperlink"/>
                <w:rFonts w:ascii="GHEA Grapalat" w:eastAsia="Times New Roman" w:hAnsi="GHEA Grapalat" w:cs="Times New Roman"/>
                <w:noProof/>
              </w:rPr>
              <w:t>11. ՊԱՇՏՊԱՆՈՒԹՅՈՒՆ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100</w:t>
            </w:r>
            <w:r w:rsidR="00B1314A" w:rsidRPr="00B1314A">
              <w:rPr>
                <w:rFonts w:ascii="GHEA Grapalat" w:hAnsi="GHEA Grapalat"/>
                <w:noProof/>
                <w:webHidden/>
              </w:rPr>
              <w:fldChar w:fldCharType="end"/>
            </w:r>
          </w:hyperlink>
        </w:p>
        <w:p w14:paraId="50D505F7" w14:textId="7E7D31CE" w:rsidR="00B1314A" w:rsidRPr="00B1314A" w:rsidRDefault="00280FCA" w:rsidP="00B1314A">
          <w:pPr>
            <w:pStyle w:val="TOC3"/>
            <w:tabs>
              <w:tab w:val="right" w:pos="9620"/>
            </w:tabs>
            <w:ind w:left="0" w:firstLine="0"/>
            <w:rPr>
              <w:rFonts w:ascii="GHEA Grapalat" w:hAnsi="GHEA Grapalat" w:cstheme="minorBidi"/>
              <w:noProof/>
            </w:rPr>
          </w:pPr>
          <w:hyperlink w:anchor="_Toc170926332" w:history="1">
            <w:r w:rsidR="00B1314A" w:rsidRPr="00B1314A">
              <w:rPr>
                <w:rStyle w:val="Hyperlink"/>
                <w:rFonts w:ascii="GHEA Grapalat" w:eastAsia="Times New Roman" w:hAnsi="GHEA Grapalat" w:cs="Times New Roman"/>
                <w:noProof/>
              </w:rPr>
              <w:t>12. ԱԶԳԱՅԻՆ ԱՆՎՏԱՆԳՈՒԹՅՈՒՆ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101</w:t>
            </w:r>
            <w:r w:rsidR="00B1314A" w:rsidRPr="00B1314A">
              <w:rPr>
                <w:rFonts w:ascii="GHEA Grapalat" w:hAnsi="GHEA Grapalat"/>
                <w:noProof/>
                <w:webHidden/>
              </w:rPr>
              <w:fldChar w:fldCharType="end"/>
            </w:r>
          </w:hyperlink>
        </w:p>
        <w:p w14:paraId="1752B697" w14:textId="6BF65D20" w:rsidR="00B1314A" w:rsidRPr="00B1314A" w:rsidRDefault="00280FCA" w:rsidP="00B1314A">
          <w:pPr>
            <w:pStyle w:val="TOC3"/>
            <w:tabs>
              <w:tab w:val="right" w:pos="9620"/>
            </w:tabs>
            <w:ind w:left="0" w:firstLine="0"/>
            <w:rPr>
              <w:rFonts w:ascii="GHEA Grapalat" w:hAnsi="GHEA Grapalat" w:cstheme="minorBidi"/>
              <w:noProof/>
            </w:rPr>
          </w:pPr>
          <w:hyperlink w:anchor="_Toc170926333" w:history="1">
            <w:r w:rsidR="00B1314A" w:rsidRPr="00B1314A">
              <w:rPr>
                <w:rStyle w:val="Hyperlink"/>
                <w:rFonts w:ascii="GHEA Grapalat" w:eastAsia="Times New Roman" w:hAnsi="GHEA Grapalat" w:cs="Times New Roman"/>
                <w:noProof/>
              </w:rPr>
              <w:t>13. ՊԵՏԱԿԱՆ ՊԱՀՊԱՆՈՒԹՅԱՆ ԾԱՌԱՅՈՒԹՅՈՒՆ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101</w:t>
            </w:r>
            <w:r w:rsidR="00B1314A" w:rsidRPr="00B1314A">
              <w:rPr>
                <w:rFonts w:ascii="GHEA Grapalat" w:hAnsi="GHEA Grapalat"/>
                <w:noProof/>
                <w:webHidden/>
              </w:rPr>
              <w:fldChar w:fldCharType="end"/>
            </w:r>
          </w:hyperlink>
        </w:p>
        <w:p w14:paraId="5B337ADF" w14:textId="152FCFF5" w:rsidR="00B1314A" w:rsidRPr="00B1314A" w:rsidRDefault="00280FCA" w:rsidP="00B1314A">
          <w:pPr>
            <w:pStyle w:val="TOC3"/>
            <w:tabs>
              <w:tab w:val="right" w:pos="9620"/>
            </w:tabs>
            <w:ind w:left="0" w:firstLine="0"/>
            <w:rPr>
              <w:rFonts w:ascii="GHEA Grapalat" w:hAnsi="GHEA Grapalat" w:cstheme="minorBidi"/>
              <w:noProof/>
            </w:rPr>
          </w:pPr>
          <w:hyperlink w:anchor="_Toc170926334" w:history="1">
            <w:r w:rsidR="00B1314A" w:rsidRPr="00B1314A">
              <w:rPr>
                <w:rStyle w:val="Hyperlink"/>
                <w:rFonts w:ascii="GHEA Grapalat" w:eastAsia="Times New Roman" w:hAnsi="GHEA Grapalat" w:cs="Times New Roman"/>
                <w:noProof/>
              </w:rPr>
              <w:t>13. ԱՐՏԱՔԻՆ ՀԵՏԱԽՈՒԶՈՒԹՅԱՆ ԾԱՌԱՅՈՒԹՅՈՒՆՆ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_Toc170926334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102</w:t>
            </w:r>
            <w:r w:rsidR="00B1314A" w:rsidRPr="00B1314A">
              <w:rPr>
                <w:rFonts w:ascii="GHEA Grapalat" w:hAnsi="GHEA Grapalat"/>
                <w:noProof/>
                <w:webHidden/>
              </w:rPr>
              <w:fldChar w:fldCharType="end"/>
            </w:r>
          </w:hyperlink>
        </w:p>
        <w:p w14:paraId="60FDA9CE" w14:textId="08E3B220" w:rsidR="00B1314A" w:rsidRPr="00B1314A" w:rsidRDefault="00280FCA" w:rsidP="00B1314A">
          <w:pPr>
            <w:pStyle w:val="TOC3"/>
            <w:tabs>
              <w:tab w:val="right" w:pos="9620"/>
            </w:tabs>
            <w:ind w:left="0" w:firstLine="0"/>
            <w:rPr>
              <w:rFonts w:ascii="GHEA Grapalat" w:hAnsi="GHEA Grapalat" w:cstheme="minorBidi"/>
              <w:noProof/>
            </w:rPr>
          </w:pPr>
          <w:hyperlink w:anchor="_Toc170926335" w:history="1">
            <w:r w:rsidR="00B1314A" w:rsidRPr="00B1314A">
              <w:rPr>
                <w:rStyle w:val="Hyperlink"/>
                <w:rFonts w:ascii="GHEA Grapalat" w:eastAsia="Times New Roman" w:hAnsi="GHEA Grapalat" w:cs="Times New Roman"/>
                <w:noProof/>
              </w:rPr>
              <w:t>14. ՀՀ ՆԵՐՔԻՆ ԳՈՐԾԵՐԻ ՆԱԽԱՐԱՐՈՒԹՅՈՒՆ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102</w:t>
            </w:r>
            <w:r w:rsidR="00B1314A" w:rsidRPr="00B1314A">
              <w:rPr>
                <w:rFonts w:ascii="GHEA Grapalat" w:hAnsi="GHEA Grapalat"/>
                <w:noProof/>
                <w:webHidden/>
              </w:rPr>
              <w:fldChar w:fldCharType="end"/>
            </w:r>
          </w:hyperlink>
        </w:p>
        <w:p w14:paraId="7E683A25" w14:textId="54FB29CD" w:rsidR="00B1314A" w:rsidRPr="00B1314A" w:rsidRDefault="00280FCA" w:rsidP="00B1314A">
          <w:pPr>
            <w:pStyle w:val="TOC3"/>
            <w:tabs>
              <w:tab w:val="right" w:pos="9620"/>
            </w:tabs>
            <w:ind w:left="0" w:firstLine="0"/>
            <w:rPr>
              <w:rFonts w:ascii="GHEA Grapalat" w:hAnsi="GHEA Grapalat" w:cstheme="minorBidi"/>
              <w:noProof/>
            </w:rPr>
          </w:pPr>
          <w:hyperlink w:anchor="_Toc170926336" w:history="1">
            <w:r w:rsidR="00B1314A" w:rsidRPr="00B1314A">
              <w:rPr>
                <w:rStyle w:val="Hyperlink"/>
                <w:rFonts w:ascii="GHEA Grapalat" w:eastAsia="Times New Roman" w:hAnsi="GHEA Grapalat" w:cs="Times New Roman"/>
                <w:noProof/>
              </w:rPr>
              <w:t>15.</w:t>
            </w:r>
            <w:r w:rsidR="00B1314A" w:rsidRPr="00B1314A">
              <w:rPr>
                <w:rStyle w:val="Hyperlink"/>
                <w:rFonts w:ascii="GHEA Grapalat" w:eastAsia="Times New Roman" w:hAnsi="GHEA Grapalat" w:cs="Times New Roman"/>
                <w:noProof/>
                <w:lang w:val="af-ZA"/>
              </w:rPr>
              <w:t xml:space="preserve"> </w:t>
            </w:r>
            <w:r w:rsidR="00B1314A" w:rsidRPr="00B1314A">
              <w:rPr>
                <w:rStyle w:val="Hyperlink"/>
                <w:rFonts w:ascii="GHEA Grapalat" w:eastAsia="Times New Roman" w:hAnsi="GHEA Grapalat" w:cs="Times New Roman"/>
                <w:noProof/>
              </w:rPr>
              <w:t>ՊԵՏԱԿԱՆ ԵԿԱՄՈՒՏՆԵՐ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104</w:t>
            </w:r>
            <w:r w:rsidR="00B1314A" w:rsidRPr="00B1314A">
              <w:rPr>
                <w:rFonts w:ascii="GHEA Grapalat" w:hAnsi="GHEA Grapalat"/>
                <w:noProof/>
                <w:webHidden/>
              </w:rPr>
              <w:fldChar w:fldCharType="end"/>
            </w:r>
          </w:hyperlink>
        </w:p>
        <w:p w14:paraId="7F8B965F" w14:textId="51C5FEF2" w:rsidR="00B1314A" w:rsidRPr="00B1314A" w:rsidRDefault="00280FCA" w:rsidP="00B1314A">
          <w:pPr>
            <w:pStyle w:val="TOC3"/>
            <w:tabs>
              <w:tab w:val="right" w:pos="9620"/>
            </w:tabs>
            <w:ind w:left="0" w:firstLine="0"/>
            <w:rPr>
              <w:rFonts w:ascii="GHEA Grapalat" w:hAnsi="GHEA Grapalat" w:cstheme="minorBidi"/>
              <w:noProof/>
            </w:rPr>
          </w:pPr>
          <w:hyperlink w:anchor="_Toc170926337" w:history="1">
            <w:r w:rsidR="00B1314A" w:rsidRPr="00B1314A">
              <w:rPr>
                <w:rStyle w:val="Hyperlink"/>
                <w:rFonts w:ascii="GHEA Grapalat" w:eastAsia="Times New Roman" w:hAnsi="GHEA Grapalat" w:cs="Times New Roman"/>
                <w:noProof/>
              </w:rPr>
              <w:t>16. ԱՆՇԱՐԺ ԳՈՒՅՔԻ ԿԱԴԱՍՏՐ</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105</w:t>
            </w:r>
            <w:r w:rsidR="00B1314A" w:rsidRPr="00B1314A">
              <w:rPr>
                <w:rFonts w:ascii="GHEA Grapalat" w:hAnsi="GHEA Grapalat"/>
                <w:noProof/>
                <w:webHidden/>
              </w:rPr>
              <w:fldChar w:fldCharType="end"/>
            </w:r>
          </w:hyperlink>
        </w:p>
        <w:p w14:paraId="2914C14F" w14:textId="49C2088B" w:rsidR="00B1314A" w:rsidRPr="00B1314A" w:rsidRDefault="00280FCA" w:rsidP="00B1314A">
          <w:pPr>
            <w:pStyle w:val="TOC3"/>
            <w:tabs>
              <w:tab w:val="right" w:pos="9620"/>
            </w:tabs>
            <w:ind w:left="0" w:firstLine="0"/>
            <w:rPr>
              <w:rFonts w:ascii="GHEA Grapalat" w:hAnsi="GHEA Grapalat" w:cstheme="minorBidi"/>
              <w:noProof/>
            </w:rPr>
          </w:pPr>
          <w:hyperlink w:anchor="_Toc170926338" w:history="1">
            <w:r w:rsidR="00B1314A" w:rsidRPr="00B1314A">
              <w:rPr>
                <w:rStyle w:val="Hyperlink"/>
                <w:rFonts w:ascii="GHEA Grapalat" w:eastAsia="Times New Roman" w:hAnsi="GHEA Grapalat" w:cs="Times New Roman"/>
                <w:noProof/>
              </w:rPr>
              <w:t>17. ՀՀ ՎԱՐՉԱՊԵՏԻ ԱՇԽԱՏԱԿԱԶՄ</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107</w:t>
            </w:r>
            <w:r w:rsidR="00B1314A" w:rsidRPr="00B1314A">
              <w:rPr>
                <w:rFonts w:ascii="GHEA Grapalat" w:hAnsi="GHEA Grapalat"/>
                <w:noProof/>
                <w:webHidden/>
              </w:rPr>
              <w:fldChar w:fldCharType="end"/>
            </w:r>
          </w:hyperlink>
        </w:p>
        <w:p w14:paraId="1C48C4D9" w14:textId="17981E10" w:rsidR="00B1314A" w:rsidRPr="00B1314A" w:rsidRDefault="00280FCA" w:rsidP="00B1314A">
          <w:pPr>
            <w:pStyle w:val="TOC3"/>
            <w:tabs>
              <w:tab w:val="right" w:pos="9620"/>
            </w:tabs>
            <w:ind w:left="0" w:firstLine="0"/>
            <w:rPr>
              <w:rFonts w:ascii="GHEA Grapalat" w:hAnsi="GHEA Grapalat" w:cstheme="minorBidi"/>
              <w:noProof/>
            </w:rPr>
          </w:pPr>
          <w:hyperlink w:anchor="_Toc170926339" w:history="1">
            <w:r w:rsidR="00B1314A" w:rsidRPr="00B1314A">
              <w:rPr>
                <w:rStyle w:val="Hyperlink"/>
                <w:rFonts w:ascii="GHEA Grapalat" w:eastAsia="Times New Roman" w:hAnsi="GHEA Grapalat" w:cs="Times New Roman"/>
                <w:noProof/>
              </w:rPr>
              <w:t>18. ՌԱԴԻՈ ԵՎ ՀԵՌՈՒՍՏԱՀԱՂՈՐԴՈՒՄՆԵՐԻ ՀԵՌԱՐՁԱԿՈՒՄ</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_Toc170926339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110</w:t>
            </w:r>
            <w:r w:rsidR="00B1314A" w:rsidRPr="00B1314A">
              <w:rPr>
                <w:rFonts w:ascii="GHEA Grapalat" w:hAnsi="GHEA Grapalat"/>
                <w:noProof/>
                <w:webHidden/>
              </w:rPr>
              <w:fldChar w:fldCharType="end"/>
            </w:r>
          </w:hyperlink>
        </w:p>
        <w:p w14:paraId="2EB487CF" w14:textId="1A997177" w:rsidR="00B1314A" w:rsidRPr="00B1314A" w:rsidRDefault="00280FCA" w:rsidP="00B1314A">
          <w:pPr>
            <w:pStyle w:val="TOC3"/>
            <w:tabs>
              <w:tab w:val="right" w:pos="9620"/>
            </w:tabs>
            <w:ind w:left="0" w:firstLine="0"/>
            <w:rPr>
              <w:rFonts w:ascii="GHEA Grapalat" w:hAnsi="GHEA Grapalat" w:cstheme="minorBidi"/>
              <w:noProof/>
            </w:rPr>
          </w:pPr>
          <w:hyperlink w:anchor="_Toc170926340" w:history="1">
            <w:r w:rsidR="00B1314A" w:rsidRPr="00B1314A">
              <w:rPr>
                <w:rStyle w:val="Hyperlink"/>
                <w:rFonts w:ascii="GHEA Grapalat" w:eastAsia="Times New Roman" w:hAnsi="GHEA Grapalat" w:cs="Times New Roman"/>
                <w:noProof/>
              </w:rPr>
              <w:t>19. ՔԱՂԱՔԱՇԻՆՈՒԹՅՈՒՆ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110</w:t>
            </w:r>
            <w:r w:rsidR="00B1314A" w:rsidRPr="00B1314A">
              <w:rPr>
                <w:rFonts w:ascii="GHEA Grapalat" w:hAnsi="GHEA Grapalat"/>
                <w:noProof/>
                <w:webHidden/>
              </w:rPr>
              <w:fldChar w:fldCharType="end"/>
            </w:r>
          </w:hyperlink>
        </w:p>
        <w:p w14:paraId="5ECAD4E8" w14:textId="52297C9A" w:rsidR="00B1314A" w:rsidRPr="00B1314A" w:rsidRDefault="00280FCA" w:rsidP="00B1314A">
          <w:pPr>
            <w:pStyle w:val="TOC3"/>
            <w:tabs>
              <w:tab w:val="right" w:pos="9620"/>
            </w:tabs>
            <w:ind w:left="0" w:firstLine="0"/>
            <w:rPr>
              <w:rFonts w:ascii="GHEA Grapalat" w:hAnsi="GHEA Grapalat" w:cstheme="minorBidi"/>
              <w:noProof/>
            </w:rPr>
          </w:pPr>
          <w:hyperlink w:anchor="_Toc170926341" w:history="1">
            <w:r w:rsidR="00B1314A" w:rsidRPr="00B1314A">
              <w:rPr>
                <w:rStyle w:val="Hyperlink"/>
                <w:rFonts w:ascii="GHEA Grapalat" w:eastAsia="Times New Roman" w:hAnsi="GHEA Grapalat" w:cs="Times New Roman"/>
                <w:noProof/>
              </w:rPr>
              <w:t>20. ՎԻՃԱԿԱԳՐՈՒԹՅՈՒՆ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111</w:t>
            </w:r>
            <w:r w:rsidR="00B1314A" w:rsidRPr="00B1314A">
              <w:rPr>
                <w:rFonts w:ascii="GHEA Grapalat" w:hAnsi="GHEA Grapalat"/>
                <w:noProof/>
                <w:webHidden/>
              </w:rPr>
              <w:fldChar w:fldCharType="end"/>
            </w:r>
          </w:hyperlink>
        </w:p>
        <w:p w14:paraId="2656B7C7" w14:textId="02E0C612" w:rsidR="00B1314A" w:rsidRPr="00B1314A" w:rsidRDefault="00280FCA" w:rsidP="00B1314A">
          <w:pPr>
            <w:pStyle w:val="TOC3"/>
            <w:tabs>
              <w:tab w:val="right" w:pos="9620"/>
            </w:tabs>
            <w:ind w:left="0" w:firstLine="0"/>
            <w:rPr>
              <w:rFonts w:ascii="GHEA Grapalat" w:hAnsi="GHEA Grapalat" w:cstheme="minorBidi"/>
              <w:noProof/>
            </w:rPr>
          </w:pPr>
          <w:hyperlink w:anchor="_Toc170926342" w:history="1">
            <w:r w:rsidR="00B1314A" w:rsidRPr="00B1314A">
              <w:rPr>
                <w:rStyle w:val="Hyperlink"/>
                <w:rFonts w:ascii="GHEA Grapalat" w:eastAsia="Times New Roman" w:hAnsi="GHEA Grapalat" w:cs="Times New Roman"/>
                <w:noProof/>
              </w:rPr>
              <w:t>21. ՀԱՆՐԱՅԻՆ ԻՇԽԱՆՈՒԹՅԱՆ ԱՅԼ ՄԱՐՄԻՆՆԵՐԻ ԳՈՐԾՈՒՆԵՈՒԹՅԱՆ ՀԻՄՆԱԿԱՆ  ՈՒՂՂՈՒԹՅՈՒՆՆԵՐԸ ԵՎ ԳԵՐԱԿԱՅՈՒԹՅՈՒՆՆԵՐԸ</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112</w:t>
            </w:r>
            <w:r w:rsidR="00B1314A" w:rsidRPr="00B1314A">
              <w:rPr>
                <w:rFonts w:ascii="GHEA Grapalat" w:hAnsi="GHEA Grapalat"/>
                <w:noProof/>
                <w:webHidden/>
              </w:rPr>
              <w:fldChar w:fldCharType="end"/>
            </w:r>
          </w:hyperlink>
        </w:p>
        <w:p w14:paraId="67D50B8E" w14:textId="127D42BC" w:rsidR="00B1314A" w:rsidRPr="00B1314A" w:rsidRDefault="00280FCA" w:rsidP="00B1314A">
          <w:pPr>
            <w:pStyle w:val="TOC3"/>
            <w:tabs>
              <w:tab w:val="right" w:pos="9620"/>
            </w:tabs>
            <w:ind w:left="0" w:firstLine="0"/>
            <w:rPr>
              <w:rFonts w:ascii="GHEA Grapalat" w:hAnsi="GHEA Grapalat" w:cstheme="minorBidi"/>
              <w:noProof/>
            </w:rPr>
          </w:pPr>
          <w:hyperlink w:anchor="_Toc170926343" w:history="1">
            <w:r w:rsidR="00B1314A" w:rsidRPr="00B1314A">
              <w:rPr>
                <w:rStyle w:val="Hyperlink"/>
                <w:rFonts w:ascii="GHEA Grapalat" w:eastAsia="Times New Roman" w:hAnsi="GHEA Grapalat" w:cs="Times New Roman"/>
                <w:noProof/>
              </w:rPr>
              <w:t>21.1. ՆԱԽԱԳԱՀԻ ԱՇԽԱՏԱԿԱԶՄ</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112</w:t>
            </w:r>
            <w:r w:rsidR="00B1314A" w:rsidRPr="00B1314A">
              <w:rPr>
                <w:rFonts w:ascii="GHEA Grapalat" w:hAnsi="GHEA Grapalat"/>
                <w:noProof/>
                <w:webHidden/>
              </w:rPr>
              <w:fldChar w:fldCharType="end"/>
            </w:r>
          </w:hyperlink>
        </w:p>
        <w:p w14:paraId="7329449D" w14:textId="76331C56" w:rsidR="00B1314A" w:rsidRPr="00B1314A" w:rsidRDefault="00280FCA" w:rsidP="00B1314A">
          <w:pPr>
            <w:pStyle w:val="TOC3"/>
            <w:tabs>
              <w:tab w:val="right" w:pos="9620"/>
            </w:tabs>
            <w:ind w:left="0" w:firstLine="0"/>
            <w:rPr>
              <w:rFonts w:ascii="GHEA Grapalat" w:hAnsi="GHEA Grapalat" w:cstheme="minorBidi"/>
              <w:noProof/>
            </w:rPr>
          </w:pPr>
          <w:hyperlink w:anchor="_Toc170926344" w:history="1">
            <w:r w:rsidR="00B1314A" w:rsidRPr="00B1314A">
              <w:rPr>
                <w:rStyle w:val="Hyperlink"/>
                <w:rFonts w:ascii="GHEA Grapalat" w:eastAsia="Times New Roman" w:hAnsi="GHEA Grapalat" w:cs="Times New Roman"/>
                <w:noProof/>
              </w:rPr>
              <w:t>21.2. ԱԶԳԱՅԻՆ 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_Toc170926344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113</w:t>
            </w:r>
            <w:r w:rsidR="00B1314A" w:rsidRPr="00B1314A">
              <w:rPr>
                <w:rFonts w:ascii="GHEA Grapalat" w:hAnsi="GHEA Grapalat"/>
                <w:noProof/>
                <w:webHidden/>
              </w:rPr>
              <w:fldChar w:fldCharType="end"/>
            </w:r>
          </w:hyperlink>
        </w:p>
        <w:p w14:paraId="113A28CF" w14:textId="7ED64596" w:rsidR="00B1314A" w:rsidRPr="00B1314A" w:rsidRDefault="00280FCA" w:rsidP="00B1314A">
          <w:pPr>
            <w:pStyle w:val="TOC3"/>
            <w:tabs>
              <w:tab w:val="right" w:pos="9620"/>
            </w:tabs>
            <w:ind w:left="0" w:firstLine="0"/>
            <w:rPr>
              <w:rFonts w:ascii="GHEA Grapalat" w:hAnsi="GHEA Grapalat" w:cstheme="minorBidi"/>
              <w:noProof/>
            </w:rPr>
          </w:pPr>
          <w:hyperlink w:anchor="_Toc170926345" w:history="1">
            <w:r w:rsidR="00B1314A" w:rsidRPr="00B1314A">
              <w:rPr>
                <w:rStyle w:val="Hyperlink"/>
                <w:rFonts w:ascii="GHEA Grapalat" w:eastAsia="Times New Roman" w:hAnsi="GHEA Grapalat" w:cs="Times New Roman"/>
                <w:noProof/>
              </w:rPr>
              <w:t>21.3. ԴԱՏԱԽԱԶՈՒԹՅՈՒՆ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114</w:t>
            </w:r>
            <w:r w:rsidR="00B1314A" w:rsidRPr="00B1314A">
              <w:rPr>
                <w:rFonts w:ascii="GHEA Grapalat" w:hAnsi="GHEA Grapalat"/>
                <w:noProof/>
                <w:webHidden/>
              </w:rPr>
              <w:fldChar w:fldCharType="end"/>
            </w:r>
          </w:hyperlink>
        </w:p>
        <w:p w14:paraId="7F3C44B8" w14:textId="61851598" w:rsidR="00B1314A" w:rsidRPr="00B1314A" w:rsidRDefault="00280FCA" w:rsidP="00B1314A">
          <w:pPr>
            <w:pStyle w:val="TOC3"/>
            <w:tabs>
              <w:tab w:val="right" w:pos="9620"/>
            </w:tabs>
            <w:ind w:left="0" w:firstLine="0"/>
            <w:rPr>
              <w:rFonts w:ascii="GHEA Grapalat" w:hAnsi="GHEA Grapalat" w:cstheme="minorBidi"/>
              <w:noProof/>
            </w:rPr>
          </w:pPr>
          <w:hyperlink w:anchor="_Toc170926346"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.4. ՔՆՆՉԱԿԱՆ ԿՈՄԻՏԵ</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116</w:t>
            </w:r>
            <w:r w:rsidR="00B1314A" w:rsidRPr="00B1314A">
              <w:rPr>
                <w:rFonts w:ascii="GHEA Grapalat" w:hAnsi="GHEA Grapalat"/>
                <w:noProof/>
                <w:webHidden/>
              </w:rPr>
              <w:fldChar w:fldCharType="end"/>
            </w:r>
          </w:hyperlink>
        </w:p>
        <w:p w14:paraId="46253789" w14:textId="6765C3D3" w:rsidR="00B1314A" w:rsidRPr="00B1314A" w:rsidRDefault="00280FCA" w:rsidP="00B1314A">
          <w:pPr>
            <w:pStyle w:val="TOC3"/>
            <w:tabs>
              <w:tab w:val="right" w:pos="9620"/>
            </w:tabs>
            <w:ind w:left="0" w:firstLine="0"/>
            <w:rPr>
              <w:rFonts w:ascii="GHEA Grapalat" w:hAnsi="GHEA Grapalat" w:cstheme="minorBidi"/>
              <w:noProof/>
            </w:rPr>
          </w:pPr>
          <w:hyperlink w:anchor="_Toc170926347"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.5. ՍԱՀՄԱՆԱԴՐԱԿԱՆ ԴԱՏԱՐԱՆ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117</w:t>
            </w:r>
            <w:r w:rsidR="00B1314A" w:rsidRPr="00B1314A">
              <w:rPr>
                <w:rFonts w:ascii="GHEA Grapalat" w:hAnsi="GHEA Grapalat"/>
                <w:noProof/>
                <w:webHidden/>
              </w:rPr>
              <w:fldChar w:fldCharType="end"/>
            </w:r>
          </w:hyperlink>
        </w:p>
        <w:p w14:paraId="1CD063CE" w14:textId="59AAEB9D" w:rsidR="00B1314A" w:rsidRPr="00B1314A" w:rsidRDefault="00280FCA" w:rsidP="00B1314A">
          <w:pPr>
            <w:pStyle w:val="TOC3"/>
            <w:tabs>
              <w:tab w:val="right" w:pos="9620"/>
            </w:tabs>
            <w:ind w:left="0" w:firstLine="0"/>
            <w:rPr>
              <w:rFonts w:ascii="GHEA Grapalat" w:hAnsi="GHEA Grapalat" w:cstheme="minorBidi"/>
              <w:noProof/>
            </w:rPr>
          </w:pPr>
          <w:hyperlink w:anchor="_Toc170926348"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.6. ՄԱՐԴՈՒ ԻՐԱՎՈՒՆՔՆԵՐԻ ՊԱՇՏՊԱՆ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118</w:t>
            </w:r>
            <w:r w:rsidR="00B1314A" w:rsidRPr="00B1314A">
              <w:rPr>
                <w:rFonts w:ascii="GHEA Grapalat" w:hAnsi="GHEA Grapalat"/>
                <w:noProof/>
                <w:webHidden/>
              </w:rPr>
              <w:fldChar w:fldCharType="end"/>
            </w:r>
          </w:hyperlink>
        </w:p>
        <w:p w14:paraId="019191EF" w14:textId="289352E1" w:rsidR="00B1314A" w:rsidRPr="00B1314A" w:rsidRDefault="00280FCA" w:rsidP="00B1314A">
          <w:pPr>
            <w:pStyle w:val="TOC3"/>
            <w:tabs>
              <w:tab w:val="right" w:pos="9620"/>
            </w:tabs>
            <w:ind w:left="0" w:firstLine="0"/>
            <w:rPr>
              <w:rFonts w:ascii="GHEA Grapalat" w:hAnsi="GHEA Grapalat" w:cstheme="minorBidi"/>
              <w:noProof/>
            </w:rPr>
          </w:pPr>
          <w:hyperlink w:anchor="_Toc170926349"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.7. ԲԱՐՁՐԱԳՈՒՅՆ ԴԱՏԱԿԱՆ ԽՈՐՀՈՒՐԴ</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_Toc170926349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119</w:t>
            </w:r>
            <w:r w:rsidR="00B1314A" w:rsidRPr="00B1314A">
              <w:rPr>
                <w:rFonts w:ascii="GHEA Grapalat" w:hAnsi="GHEA Grapalat"/>
                <w:noProof/>
                <w:webHidden/>
              </w:rPr>
              <w:fldChar w:fldCharType="end"/>
            </w:r>
          </w:hyperlink>
        </w:p>
        <w:p w14:paraId="489824DD" w14:textId="19689512" w:rsidR="00B1314A" w:rsidRPr="00B1314A" w:rsidRDefault="00280FCA" w:rsidP="00B1314A">
          <w:pPr>
            <w:pStyle w:val="TOC3"/>
            <w:tabs>
              <w:tab w:val="right" w:pos="9620"/>
            </w:tabs>
            <w:ind w:left="0" w:firstLine="0"/>
            <w:rPr>
              <w:rFonts w:ascii="GHEA Grapalat" w:hAnsi="GHEA Grapalat" w:cstheme="minorBidi"/>
              <w:noProof/>
            </w:rPr>
          </w:pPr>
          <w:hyperlink w:anchor="_Toc170926350" w:history="1">
            <w:r w:rsidR="00B1314A" w:rsidRPr="00B1314A">
              <w:rPr>
                <w:rStyle w:val="Hyperlink"/>
                <w:rFonts w:ascii="GHEA Grapalat" w:eastAsia="Times New Roman" w:hAnsi="GHEA Grapalat" w:cs="Times New Roman"/>
                <w:noProof/>
                <w:lang w:val="fr-FR"/>
              </w:rPr>
              <w:t>21.8. ԿՈՌՈՒՊՑԻԱՅԻ ԿԱՆԽԱՐԳԵԼՄԱՆ ՀԱՆՁՆԱԺՈՂՈՎ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120</w:t>
            </w:r>
            <w:r w:rsidR="00B1314A" w:rsidRPr="00B1314A">
              <w:rPr>
                <w:rFonts w:ascii="GHEA Grapalat" w:hAnsi="GHEA Grapalat"/>
                <w:noProof/>
                <w:webHidden/>
              </w:rPr>
              <w:fldChar w:fldCharType="end"/>
            </w:r>
          </w:hyperlink>
        </w:p>
        <w:p w14:paraId="0FCAFE1E" w14:textId="109F31AD" w:rsidR="00B1314A" w:rsidRPr="00B1314A" w:rsidRDefault="00280FCA" w:rsidP="00B1314A">
          <w:pPr>
            <w:pStyle w:val="TOC3"/>
            <w:tabs>
              <w:tab w:val="right" w:pos="9620"/>
            </w:tabs>
            <w:ind w:left="0" w:firstLine="0"/>
            <w:rPr>
              <w:rFonts w:ascii="GHEA Grapalat" w:hAnsi="GHEA Grapalat" w:cstheme="minorBidi"/>
              <w:noProof/>
            </w:rPr>
          </w:pPr>
          <w:hyperlink w:anchor="_Toc170926351"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.9. ՄՐՑԱԿՑՈՒԹՅԱՆ ՊԱՇՏՊԱՆՈՒԹՅԱՆ ՀԱՆՁՆԱԺՈՂՈՎ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_Toc170926351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122</w:t>
            </w:r>
            <w:r w:rsidR="00B1314A" w:rsidRPr="00B1314A">
              <w:rPr>
                <w:rFonts w:ascii="GHEA Grapalat" w:hAnsi="GHEA Grapalat"/>
                <w:noProof/>
                <w:webHidden/>
              </w:rPr>
              <w:fldChar w:fldCharType="end"/>
            </w:r>
          </w:hyperlink>
        </w:p>
        <w:p w14:paraId="79837CF1" w14:textId="6BED56D0" w:rsidR="00B1314A" w:rsidRPr="00B1314A" w:rsidRDefault="00280FCA" w:rsidP="00B1314A">
          <w:pPr>
            <w:pStyle w:val="TOC3"/>
            <w:tabs>
              <w:tab w:val="right" w:pos="9620"/>
            </w:tabs>
            <w:ind w:left="0" w:firstLine="0"/>
            <w:rPr>
              <w:rFonts w:ascii="GHEA Grapalat" w:hAnsi="GHEA Grapalat" w:cstheme="minorBidi"/>
              <w:noProof/>
            </w:rPr>
          </w:pPr>
          <w:hyperlink w:anchor="_Toc170926352"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.10. ՀԵՌՈՒՍՏԱՏԵՍՈՒԹՅԱՆ ԵՎ ՌԱԴԻՈՅԻ ՀԱՆՁՆԱԺՈՂՈՎ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123</w:t>
            </w:r>
            <w:r w:rsidR="00B1314A" w:rsidRPr="00B1314A">
              <w:rPr>
                <w:rFonts w:ascii="GHEA Grapalat" w:hAnsi="GHEA Grapalat"/>
                <w:noProof/>
                <w:webHidden/>
              </w:rPr>
              <w:fldChar w:fldCharType="end"/>
            </w:r>
          </w:hyperlink>
        </w:p>
        <w:p w14:paraId="445D24A8" w14:textId="77951F24" w:rsidR="00B1314A" w:rsidRPr="00B1314A" w:rsidRDefault="00280FCA" w:rsidP="00B1314A">
          <w:pPr>
            <w:pStyle w:val="TOC3"/>
            <w:tabs>
              <w:tab w:val="right" w:pos="9620"/>
            </w:tabs>
            <w:ind w:left="0" w:firstLine="0"/>
            <w:rPr>
              <w:rFonts w:ascii="GHEA Grapalat" w:hAnsi="GHEA Grapalat" w:cstheme="minorBidi"/>
              <w:noProof/>
            </w:rPr>
          </w:pPr>
          <w:hyperlink w:anchor="_Toc170926353"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.11. ԿԵՆՏՐՈՆԱԿԱՆ ԸՆՏՐԱԿԱՆ ՀԱՆՁՆԱԺՈՂՈՎ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_Toc170926353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125</w:t>
            </w:r>
            <w:r w:rsidR="00B1314A" w:rsidRPr="00B1314A">
              <w:rPr>
                <w:rFonts w:ascii="GHEA Grapalat" w:hAnsi="GHEA Grapalat"/>
                <w:noProof/>
                <w:webHidden/>
              </w:rPr>
              <w:fldChar w:fldCharType="end"/>
            </w:r>
          </w:hyperlink>
        </w:p>
        <w:p w14:paraId="44542BA7" w14:textId="330B5A68" w:rsidR="00B1314A" w:rsidRPr="00B1314A" w:rsidRDefault="00280FCA" w:rsidP="00B1314A">
          <w:pPr>
            <w:pStyle w:val="TOC3"/>
            <w:tabs>
              <w:tab w:val="right" w:pos="9620"/>
            </w:tabs>
            <w:ind w:left="0" w:firstLine="0"/>
            <w:rPr>
              <w:rFonts w:ascii="GHEA Grapalat" w:hAnsi="GHEA Grapalat" w:cstheme="minorBidi"/>
              <w:noProof/>
            </w:rPr>
          </w:pPr>
          <w:hyperlink w:anchor="_Toc170926354"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.12. ՀԱՆՐԱՅԻՆ ԾԱՌԱՅՈՒԹՅՈՒՆՆԵՐԸ ԿԱՐԳԱՎՈՐՈՂ ՀԱՆՁՆԱԺՈՂՈՎ</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_Toc170926354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125</w:t>
            </w:r>
            <w:r w:rsidR="00B1314A" w:rsidRPr="00B1314A">
              <w:rPr>
                <w:rFonts w:ascii="GHEA Grapalat" w:hAnsi="GHEA Grapalat"/>
                <w:noProof/>
                <w:webHidden/>
              </w:rPr>
              <w:fldChar w:fldCharType="end"/>
            </w:r>
          </w:hyperlink>
        </w:p>
        <w:p w14:paraId="6C1B91B6" w14:textId="302134A6" w:rsidR="00B1314A" w:rsidRPr="00B1314A" w:rsidRDefault="00280FCA" w:rsidP="00B1314A">
          <w:pPr>
            <w:pStyle w:val="TOC3"/>
            <w:tabs>
              <w:tab w:val="right" w:pos="9620"/>
            </w:tabs>
            <w:ind w:left="0" w:firstLine="0"/>
            <w:rPr>
              <w:rFonts w:ascii="GHEA Grapalat" w:hAnsi="GHEA Grapalat" w:cstheme="minorBidi"/>
              <w:noProof/>
            </w:rPr>
          </w:pPr>
          <w:hyperlink w:anchor="_Toc170926355"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.13. ՊԵՏԱԿԱՆ ՎԵՐԱՀՍԿՈՂԱԿԱՆ ԾԱՌԱՅՈՒԹՅՈՒՆ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_Toc170926355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128</w:t>
            </w:r>
            <w:r w:rsidR="00B1314A" w:rsidRPr="00B1314A">
              <w:rPr>
                <w:rFonts w:ascii="GHEA Grapalat" w:hAnsi="GHEA Grapalat"/>
                <w:noProof/>
                <w:webHidden/>
              </w:rPr>
              <w:fldChar w:fldCharType="end"/>
            </w:r>
          </w:hyperlink>
        </w:p>
        <w:p w14:paraId="78B1F078" w14:textId="44F613D6" w:rsidR="00B1314A" w:rsidRPr="00B1314A" w:rsidRDefault="00280FCA" w:rsidP="00B1314A">
          <w:pPr>
            <w:pStyle w:val="TOC3"/>
            <w:tabs>
              <w:tab w:val="right" w:pos="9620"/>
            </w:tabs>
            <w:ind w:left="0" w:firstLine="0"/>
            <w:rPr>
              <w:rFonts w:ascii="GHEA Grapalat" w:hAnsi="GHEA Grapalat" w:cstheme="minorBidi"/>
              <w:noProof/>
            </w:rPr>
          </w:pPr>
          <w:hyperlink w:anchor="_Toc170926356" w:history="1">
            <w:r w:rsidR="00B1314A" w:rsidRPr="00B1314A">
              <w:rPr>
                <w:rStyle w:val="Hyperlink"/>
                <w:rFonts w:ascii="GHEA Grapalat" w:eastAsia="Times New Roman" w:hAnsi="GHEA Grapalat" w:cs="Times New Roman"/>
                <w:noProof/>
                <w:lang w:val="fr-FR"/>
              </w:rPr>
              <w:t>21.14. ՄԻՋՈՒԿԱՅԻՆ ԱՆՎՏԱՆԳՈՒԹՅԱՆ ԿԱՐԳԱՎՈՐՄԱՆ ԿՈՄԻՏԵ</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_Toc170926356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129</w:t>
            </w:r>
            <w:r w:rsidR="00B1314A" w:rsidRPr="00B1314A">
              <w:rPr>
                <w:rFonts w:ascii="GHEA Grapalat" w:hAnsi="GHEA Grapalat"/>
                <w:noProof/>
                <w:webHidden/>
              </w:rPr>
              <w:fldChar w:fldCharType="end"/>
            </w:r>
          </w:hyperlink>
        </w:p>
        <w:p w14:paraId="5D632773" w14:textId="26F219A5" w:rsidR="00B1314A" w:rsidRPr="00B1314A" w:rsidRDefault="00280FCA" w:rsidP="00B1314A">
          <w:pPr>
            <w:pStyle w:val="TOC3"/>
            <w:tabs>
              <w:tab w:val="right" w:pos="9620"/>
            </w:tabs>
            <w:ind w:left="0" w:firstLine="0"/>
            <w:rPr>
              <w:rFonts w:ascii="GHEA Grapalat" w:hAnsi="GHEA Grapalat" w:cstheme="minorBidi"/>
              <w:noProof/>
            </w:rPr>
          </w:pPr>
          <w:hyperlink w:anchor="_Toc170926357"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.15. ՀԱՇՎԵՔՆՆԻՉ ՊԱԼԱՏ</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_Toc170926357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130</w:t>
            </w:r>
            <w:r w:rsidR="00B1314A" w:rsidRPr="00B1314A">
              <w:rPr>
                <w:rFonts w:ascii="GHEA Grapalat" w:hAnsi="GHEA Grapalat"/>
                <w:noProof/>
                <w:webHidden/>
              </w:rPr>
              <w:fldChar w:fldCharType="end"/>
            </w:r>
          </w:hyperlink>
        </w:p>
        <w:p w14:paraId="3FED4A5B" w14:textId="61B3E989" w:rsidR="00B1314A" w:rsidRPr="00B1314A" w:rsidRDefault="00280FCA" w:rsidP="00B1314A">
          <w:pPr>
            <w:pStyle w:val="TOC3"/>
            <w:tabs>
              <w:tab w:val="right" w:pos="9620"/>
            </w:tabs>
            <w:ind w:left="0" w:firstLine="0"/>
            <w:rPr>
              <w:rFonts w:ascii="GHEA Grapalat" w:hAnsi="GHEA Grapalat" w:cstheme="minorBidi"/>
              <w:noProof/>
            </w:rPr>
          </w:pPr>
          <w:hyperlink w:anchor="_Toc170926358" w:history="1">
            <w:r w:rsidR="00B1314A" w:rsidRPr="00B1314A">
              <w:rPr>
                <w:rStyle w:val="Hyperlink"/>
                <w:rFonts w:ascii="GHEA Grapalat" w:eastAsia="Times New Roman" w:hAnsi="GHEA Grapalat" w:cs="Times New Roman"/>
                <w:noProof/>
                <w:lang w:val="fr-FR"/>
              </w:rPr>
              <w:t>2</w:t>
            </w:r>
            <w:r w:rsidR="00B1314A" w:rsidRPr="00B1314A">
              <w:rPr>
                <w:rStyle w:val="Hyperlink"/>
                <w:rFonts w:ascii="GHEA Grapalat" w:eastAsia="Times New Roman" w:hAnsi="GHEA Grapalat" w:cs="Times New Roman"/>
                <w:noProof/>
              </w:rPr>
              <w:t>1</w:t>
            </w:r>
            <w:r w:rsidR="00B1314A" w:rsidRPr="00B1314A">
              <w:rPr>
                <w:rStyle w:val="Hyperlink"/>
                <w:rFonts w:ascii="GHEA Grapalat" w:eastAsia="Times New Roman" w:hAnsi="GHEA Grapalat" w:cs="Times New Roman"/>
                <w:noProof/>
                <w:lang w:val="fr-FR"/>
              </w:rPr>
              <w:t>.16. ՀԱԿԱԿՈՌՈՒՊՑԻՈՆ ԿՈՄԻՏԵ</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_Toc170926358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131</w:t>
            </w:r>
            <w:r w:rsidR="00B1314A" w:rsidRPr="00B1314A">
              <w:rPr>
                <w:rFonts w:ascii="GHEA Grapalat" w:hAnsi="GHEA Grapalat"/>
                <w:noProof/>
                <w:webHidden/>
              </w:rPr>
              <w:fldChar w:fldCharType="end"/>
            </w:r>
          </w:hyperlink>
        </w:p>
        <w:p w14:paraId="0D4A6E43" w14:textId="0131C6D1" w:rsidR="00B1314A" w:rsidRPr="00B1314A" w:rsidRDefault="00280FCA" w:rsidP="00B1314A">
          <w:pPr>
            <w:pStyle w:val="TOC1"/>
            <w:tabs>
              <w:tab w:val="right" w:pos="9620"/>
            </w:tabs>
            <w:ind w:firstLine="0"/>
            <w:rPr>
              <w:rFonts w:ascii="GHEA Grapalat" w:hAnsi="GHEA Grapalat" w:cstheme="minorBidi"/>
              <w:b w:val="0"/>
              <w:bCs w:val="0"/>
              <w:i w:val="0"/>
              <w:iCs w:val="0"/>
              <w:noProof/>
              <w:sz w:val="20"/>
              <w:szCs w:val="20"/>
            </w:rPr>
          </w:pPr>
          <w:hyperlink w:anchor="_Toc170926359" w:history="1">
            <w:r w:rsidR="00B1314A" w:rsidRPr="00B1314A">
              <w:rPr>
                <w:rStyle w:val="Hyperlink"/>
                <w:rFonts w:ascii="GHEA Grapalat" w:hAnsi="GHEA Grapalat"/>
                <w:noProof/>
                <w:sz w:val="20"/>
                <w:szCs w:val="20"/>
                <w:lang w:val="hy-AM"/>
              </w:rPr>
              <w:t>ՎԵՐԼՈՒԾՈՒԹՅՈՒՆՆԵՐ</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_Toc170926359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133</w:t>
            </w:r>
            <w:r w:rsidR="00B1314A" w:rsidRPr="00B1314A">
              <w:rPr>
                <w:rFonts w:ascii="GHEA Grapalat" w:hAnsi="GHEA Grapalat"/>
                <w:noProof/>
                <w:webHidden/>
                <w:sz w:val="20"/>
                <w:szCs w:val="20"/>
              </w:rPr>
              <w:fldChar w:fldCharType="end"/>
            </w:r>
          </w:hyperlink>
        </w:p>
        <w:p w14:paraId="7B74B4B6" w14:textId="3D8961CC" w:rsidR="00B1314A" w:rsidRPr="00B1314A" w:rsidRDefault="00280FCA" w:rsidP="00B1314A">
          <w:pPr>
            <w:pStyle w:val="TOC3"/>
            <w:tabs>
              <w:tab w:val="right" w:pos="9620"/>
            </w:tabs>
            <w:ind w:left="0" w:firstLine="0"/>
            <w:rPr>
              <w:rFonts w:ascii="GHEA Grapalat" w:hAnsi="GHEA Grapalat" w:cstheme="minorBidi"/>
              <w:noProof/>
            </w:rPr>
          </w:pPr>
          <w:hyperlink w:anchor="_Toc170926360" w:history="1">
            <w:r w:rsidR="00B1314A" w:rsidRPr="00B1314A">
              <w:rPr>
                <w:rStyle w:val="Hyperlink"/>
                <w:rFonts w:ascii="GHEA Grapalat" w:eastAsia="Times New Roman" w:hAnsi="GHEA Grapalat" w:cs="Times New Roman"/>
                <w:b/>
                <w:noProof/>
                <w:lang w:val="hy-AM"/>
              </w:rPr>
              <w:t>1. ՀՀ ԿԱՌԱՎԱՐՈՒԹՅԱՆ ՊԱՐՏՔԻ ԿԱՌԱՎԱՐՄԱՆ 2024-2026 ԹՎԱԿԱՆՆԵՐԻ ՌԱԶՄԱՎԱՐՈՒԹՅՈՒՆ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_Toc170926360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134</w:t>
            </w:r>
            <w:r w:rsidR="00B1314A" w:rsidRPr="00B1314A">
              <w:rPr>
                <w:rFonts w:ascii="GHEA Grapalat" w:hAnsi="GHEA Grapalat"/>
                <w:noProof/>
                <w:webHidden/>
              </w:rPr>
              <w:fldChar w:fldCharType="end"/>
            </w:r>
          </w:hyperlink>
        </w:p>
        <w:p w14:paraId="4745A90C" w14:textId="7EE6E5AA" w:rsidR="00B1314A" w:rsidRPr="00B1314A" w:rsidRDefault="00280FCA" w:rsidP="00B1314A">
          <w:pPr>
            <w:pStyle w:val="TOC1"/>
            <w:tabs>
              <w:tab w:val="right" w:pos="9620"/>
            </w:tabs>
            <w:ind w:firstLine="0"/>
            <w:rPr>
              <w:rFonts w:ascii="GHEA Grapalat" w:hAnsi="GHEA Grapalat" w:cstheme="minorBidi"/>
              <w:b w:val="0"/>
              <w:bCs w:val="0"/>
              <w:i w:val="0"/>
              <w:iCs w:val="0"/>
              <w:noProof/>
              <w:sz w:val="20"/>
              <w:szCs w:val="20"/>
            </w:rPr>
          </w:pPr>
          <w:hyperlink w:anchor="_Toc170926361" w:history="1">
            <w:r w:rsidR="00B1314A" w:rsidRPr="00B1314A">
              <w:rPr>
                <w:rStyle w:val="Hyperlink"/>
                <w:rFonts w:ascii="GHEA Grapalat" w:hAnsi="GHEA Grapalat"/>
                <w:noProof/>
                <w:sz w:val="20"/>
                <w:szCs w:val="20"/>
                <w:lang w:val="hy-AM"/>
              </w:rPr>
              <w:t>Ներածություն</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_Toc170926361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134</w:t>
            </w:r>
            <w:r w:rsidR="00B1314A" w:rsidRPr="00B1314A">
              <w:rPr>
                <w:rFonts w:ascii="GHEA Grapalat" w:hAnsi="GHEA Grapalat"/>
                <w:noProof/>
                <w:webHidden/>
                <w:sz w:val="20"/>
                <w:szCs w:val="20"/>
              </w:rPr>
              <w:fldChar w:fldCharType="end"/>
            </w:r>
          </w:hyperlink>
        </w:p>
        <w:p w14:paraId="5672FFCF" w14:textId="11897469" w:rsidR="00B1314A" w:rsidRPr="00B1314A" w:rsidRDefault="00280FCA" w:rsidP="00B1314A">
          <w:pPr>
            <w:pStyle w:val="TOC3"/>
            <w:tabs>
              <w:tab w:val="right" w:pos="9620"/>
            </w:tabs>
            <w:ind w:left="0" w:firstLine="0"/>
            <w:rPr>
              <w:rFonts w:ascii="GHEA Grapalat" w:hAnsi="GHEA Grapalat" w:cstheme="minorBidi"/>
              <w:noProof/>
            </w:rPr>
          </w:pPr>
          <w:hyperlink w:anchor="_Toc170926362" w:history="1">
            <w:r w:rsidR="00B1314A" w:rsidRPr="00B1314A">
              <w:rPr>
                <w:rStyle w:val="Hyperlink"/>
                <w:rFonts w:ascii="GHEA Grapalat" w:eastAsia="Times New Roman" w:hAnsi="GHEA Grapalat" w:cs="Times New Roman"/>
                <w:b/>
                <w:noProof/>
                <w:lang w:val="hy-AM"/>
              </w:rPr>
              <w:t>2. ԱՅԼ ԿԱՌՈՒՅՑՆԵՐԻ ԿՈՂՄԻՑ ՀՀ ՏՆՏԵՍԱԿԱՆ ԱՃԻ ԿԱՆԽԱՏԵՍՈՒՄՆԵՐԻ ՀԵՏ ՀԱՄԵՄԱՏԱԿԱՆ</w:t>
            </w:r>
            <w:r w:rsidR="00B1314A" w:rsidRPr="00B1314A">
              <w:rPr>
                <w:rFonts w:ascii="GHEA Grapalat" w:hAnsi="GHEA Grapalat"/>
                <w:noProof/>
                <w:webHidden/>
              </w:rPr>
              <w:tab/>
            </w:r>
            <w:r w:rsidR="00B1314A" w:rsidRPr="00B1314A">
              <w:rPr>
                <w:rFonts w:ascii="GHEA Grapalat" w:hAnsi="GHEA Grapalat"/>
                <w:noProof/>
                <w:webHidden/>
              </w:rPr>
              <w:fldChar w:fldCharType="begin"/>
            </w:r>
            <w:r w:rsidR="00B1314A" w:rsidRPr="00B1314A">
              <w:rPr>
                <w:rFonts w:ascii="GHEA Grapalat" w:hAnsi="GHEA Grapalat"/>
                <w:noProof/>
                <w:webHidden/>
              </w:rPr>
              <w:instrText xml:space="preserve"> PAGEREF _Toc170926362 \h </w:instrText>
            </w:r>
            <w:r w:rsidR="00B1314A" w:rsidRPr="00B1314A">
              <w:rPr>
                <w:rFonts w:ascii="GHEA Grapalat" w:hAnsi="GHEA Grapalat"/>
                <w:noProof/>
                <w:webHidden/>
              </w:rPr>
            </w:r>
            <w:r w:rsidR="00B1314A" w:rsidRPr="00B1314A">
              <w:rPr>
                <w:rFonts w:ascii="GHEA Grapalat" w:hAnsi="GHEA Grapalat"/>
                <w:noProof/>
                <w:webHidden/>
              </w:rPr>
              <w:fldChar w:fldCharType="separate"/>
            </w:r>
            <w:r w:rsidR="00B1314A" w:rsidRPr="00B1314A">
              <w:rPr>
                <w:rFonts w:ascii="GHEA Grapalat" w:hAnsi="GHEA Grapalat"/>
                <w:noProof/>
                <w:webHidden/>
              </w:rPr>
              <w:t>169</w:t>
            </w:r>
            <w:r w:rsidR="00B1314A" w:rsidRPr="00B1314A">
              <w:rPr>
                <w:rFonts w:ascii="GHEA Grapalat" w:hAnsi="GHEA Grapalat"/>
                <w:noProof/>
                <w:webHidden/>
              </w:rPr>
              <w:fldChar w:fldCharType="end"/>
            </w:r>
          </w:hyperlink>
        </w:p>
        <w:p w14:paraId="14CC88DC" w14:textId="2F67C664" w:rsidR="00B1314A" w:rsidRPr="00B1314A" w:rsidRDefault="00280FCA" w:rsidP="00B1314A">
          <w:pPr>
            <w:pStyle w:val="TOC2"/>
            <w:tabs>
              <w:tab w:val="right" w:pos="9620"/>
            </w:tabs>
            <w:ind w:left="0" w:firstLine="0"/>
            <w:rPr>
              <w:rFonts w:ascii="GHEA Grapalat" w:hAnsi="GHEA Grapalat" w:cstheme="minorBidi"/>
              <w:b w:val="0"/>
              <w:bCs w:val="0"/>
              <w:noProof/>
              <w:sz w:val="20"/>
              <w:szCs w:val="20"/>
            </w:rPr>
          </w:pPr>
          <w:hyperlink w:anchor="_Toc170926363" w:history="1">
            <w:r w:rsidR="00B1314A" w:rsidRPr="00B1314A">
              <w:rPr>
                <w:rStyle w:val="Hyperlink"/>
                <w:rFonts w:ascii="GHEA Grapalat" w:eastAsia="Times New Roman" w:hAnsi="GHEA Grapalat" w:cs="Times New Roman"/>
                <w:noProof/>
                <w:sz w:val="20"/>
                <w:szCs w:val="20"/>
                <w:lang w:val="hy-AM"/>
              </w:rPr>
              <w:t>3. ՀԱՐԿԱԲՅՈՒՋԵՏԱՅԻՆ ՌԻՍԿԵՐԻ ԳՆԱՀԱՏՈՒՄ</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_Toc170926363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170</w:t>
            </w:r>
            <w:r w:rsidR="00B1314A" w:rsidRPr="00B1314A">
              <w:rPr>
                <w:rFonts w:ascii="GHEA Grapalat" w:hAnsi="GHEA Grapalat"/>
                <w:noProof/>
                <w:webHidden/>
                <w:sz w:val="20"/>
                <w:szCs w:val="20"/>
              </w:rPr>
              <w:fldChar w:fldCharType="end"/>
            </w:r>
          </w:hyperlink>
        </w:p>
        <w:p w14:paraId="05AB1F8A" w14:textId="29D7FFA1" w:rsidR="00B1314A" w:rsidRPr="00B1314A" w:rsidRDefault="00280FCA" w:rsidP="00B1314A">
          <w:pPr>
            <w:pStyle w:val="TOC1"/>
            <w:tabs>
              <w:tab w:val="right" w:pos="9620"/>
            </w:tabs>
            <w:ind w:firstLine="0"/>
            <w:rPr>
              <w:rFonts w:ascii="GHEA Grapalat" w:hAnsi="GHEA Grapalat" w:cstheme="minorBidi"/>
              <w:b w:val="0"/>
              <w:bCs w:val="0"/>
              <w:i w:val="0"/>
              <w:iCs w:val="0"/>
              <w:noProof/>
              <w:sz w:val="20"/>
              <w:szCs w:val="20"/>
            </w:rPr>
          </w:pPr>
          <w:hyperlink w:anchor="_Toc170926364" w:history="1">
            <w:r w:rsidR="00B1314A" w:rsidRPr="00B1314A">
              <w:rPr>
                <w:rStyle w:val="Hyperlink"/>
                <w:rFonts w:ascii="GHEA Grapalat" w:hAnsi="GHEA Grapalat"/>
                <w:noProof/>
                <w:sz w:val="20"/>
                <w:szCs w:val="20"/>
                <w:lang w:val="hy-AM"/>
              </w:rPr>
              <w:t>ՀԱՎԵԼՎԱԾՆԵՐ</w:t>
            </w:r>
            <w:r w:rsidR="00B1314A" w:rsidRPr="00B1314A">
              <w:rPr>
                <w:rFonts w:ascii="GHEA Grapalat" w:hAnsi="GHEA Grapalat"/>
                <w:noProof/>
                <w:webHidden/>
                <w:sz w:val="20"/>
                <w:szCs w:val="20"/>
              </w:rPr>
              <w:tab/>
            </w:r>
            <w:r w:rsidR="00B1314A" w:rsidRPr="00B1314A">
              <w:rPr>
                <w:rFonts w:ascii="GHEA Grapalat" w:hAnsi="GHEA Grapalat"/>
                <w:noProof/>
                <w:webHidden/>
                <w:sz w:val="20"/>
                <w:szCs w:val="20"/>
              </w:rPr>
              <w:fldChar w:fldCharType="begin"/>
            </w:r>
            <w:r w:rsidR="00B1314A" w:rsidRPr="00B1314A">
              <w:rPr>
                <w:rFonts w:ascii="GHEA Grapalat" w:hAnsi="GHEA Grapalat"/>
                <w:noProof/>
                <w:webHidden/>
                <w:sz w:val="20"/>
                <w:szCs w:val="20"/>
              </w:rPr>
              <w:instrText xml:space="preserve"> PAGEREF _Toc170926364 \h </w:instrText>
            </w:r>
            <w:r w:rsidR="00B1314A" w:rsidRPr="00B1314A">
              <w:rPr>
                <w:rFonts w:ascii="GHEA Grapalat" w:hAnsi="GHEA Grapalat"/>
                <w:noProof/>
                <w:webHidden/>
                <w:sz w:val="20"/>
                <w:szCs w:val="20"/>
              </w:rPr>
            </w:r>
            <w:r w:rsidR="00B1314A" w:rsidRPr="00B1314A">
              <w:rPr>
                <w:rFonts w:ascii="GHEA Grapalat" w:hAnsi="GHEA Grapalat"/>
                <w:noProof/>
                <w:webHidden/>
                <w:sz w:val="20"/>
                <w:szCs w:val="20"/>
              </w:rPr>
              <w:fldChar w:fldCharType="separate"/>
            </w:r>
            <w:r w:rsidR="00B1314A" w:rsidRPr="00B1314A">
              <w:rPr>
                <w:rFonts w:ascii="GHEA Grapalat" w:hAnsi="GHEA Grapalat"/>
                <w:noProof/>
                <w:webHidden/>
                <w:sz w:val="20"/>
                <w:szCs w:val="20"/>
              </w:rPr>
              <w:t>219</w:t>
            </w:r>
            <w:r w:rsidR="00B1314A" w:rsidRPr="00B1314A">
              <w:rPr>
                <w:rFonts w:ascii="GHEA Grapalat" w:hAnsi="GHEA Grapalat"/>
                <w:noProof/>
                <w:webHidden/>
                <w:sz w:val="20"/>
                <w:szCs w:val="20"/>
              </w:rPr>
              <w:fldChar w:fldCharType="end"/>
            </w:r>
          </w:hyperlink>
        </w:p>
        <w:p w14:paraId="4E8E72A1" w14:textId="10E5ACC7" w:rsidR="00080175" w:rsidRPr="00B1314A" w:rsidRDefault="00080175" w:rsidP="00B1314A">
          <w:pPr>
            <w:pStyle w:val="TOC1"/>
            <w:tabs>
              <w:tab w:val="right" w:pos="9880"/>
            </w:tabs>
            <w:ind w:firstLine="0"/>
            <w:rPr>
              <w:rFonts w:ascii="GHEA Grapalat" w:hAnsi="GHEA Grapalat"/>
              <w:sz w:val="20"/>
              <w:szCs w:val="20"/>
              <w:lang w:val="hy-AM"/>
            </w:rPr>
          </w:pPr>
          <w:r w:rsidRPr="00B1314A">
            <w:rPr>
              <w:rFonts w:ascii="GHEA Grapalat" w:hAnsi="GHEA Grapalat"/>
              <w:b w:val="0"/>
              <w:bCs w:val="0"/>
              <w:color w:val="000000" w:themeColor="text1"/>
              <w:sz w:val="20"/>
              <w:szCs w:val="20"/>
            </w:rPr>
            <w:fldChar w:fldCharType="end"/>
          </w:r>
        </w:p>
        <w:bookmarkStart w:id="5" w:name="_Toc45838510" w:displacedByCustomXml="next"/>
        <w:bookmarkStart w:id="6" w:name="_Toc13837261" w:displacedByCustomXml="next"/>
      </w:sdtContent>
    </w:sdt>
    <w:p w14:paraId="49D0775C" w14:textId="77777777" w:rsidR="00080175" w:rsidRDefault="00080175" w:rsidP="00C30825">
      <w:pPr>
        <w:tabs>
          <w:tab w:val="left" w:pos="0"/>
        </w:tabs>
        <w:spacing w:before="120" w:after="0" w:line="276" w:lineRule="auto"/>
        <w:ind w:firstLine="0"/>
        <w:jc w:val="left"/>
        <w:rPr>
          <w:rFonts w:eastAsiaTheme="majorEastAsia" w:cstheme="majorBidi"/>
          <w:b/>
          <w:bCs/>
          <w:color w:val="44546A" w:themeColor="text2"/>
          <w:sz w:val="24"/>
          <w:szCs w:val="28"/>
          <w:lang w:val="hy-AM"/>
        </w:rPr>
      </w:pPr>
      <w:r>
        <w:rPr>
          <w:sz w:val="24"/>
          <w:lang w:val="hy-AM"/>
        </w:rPr>
        <w:br w:type="page"/>
      </w:r>
    </w:p>
    <w:p w14:paraId="5D7FDB56" w14:textId="77777777" w:rsidR="00080175" w:rsidRPr="0024601A" w:rsidRDefault="00080175" w:rsidP="0024601A">
      <w:pPr>
        <w:tabs>
          <w:tab w:val="left" w:pos="0"/>
        </w:tabs>
        <w:autoSpaceDE w:val="0"/>
        <w:autoSpaceDN w:val="0"/>
        <w:adjustRightInd w:val="0"/>
        <w:spacing w:before="120" w:after="0" w:line="276" w:lineRule="auto"/>
        <w:ind w:firstLine="0"/>
        <w:rPr>
          <w:rFonts w:cs="GHEA Grapalat"/>
          <w:lang w:val="hy-AM"/>
        </w:rPr>
      </w:pPr>
      <w:bookmarkStart w:id="7" w:name="_Toc45838512"/>
      <w:bookmarkStart w:id="8" w:name="_Toc46154342"/>
      <w:bookmarkStart w:id="9" w:name="_Toc45269226"/>
      <w:bookmarkEnd w:id="2"/>
      <w:bookmarkEnd w:id="3"/>
      <w:bookmarkEnd w:id="4"/>
      <w:bookmarkEnd w:id="6"/>
      <w:bookmarkEnd w:id="5"/>
      <w:r w:rsidRPr="0024601A">
        <w:rPr>
          <w:rFonts w:cs="GHEA Grapalat"/>
          <w:lang w:val="hy-AM"/>
        </w:rPr>
        <w:lastRenderedPageBreak/>
        <w:t>ՆԵՐԱԾՈՒԹՅՈՒՆ</w:t>
      </w:r>
    </w:p>
    <w:p w14:paraId="0D0E670F" w14:textId="77777777" w:rsidR="00080175" w:rsidRPr="00117393" w:rsidRDefault="00080175" w:rsidP="00D25024">
      <w:pPr>
        <w:tabs>
          <w:tab w:val="left" w:pos="0"/>
        </w:tabs>
        <w:autoSpaceDE w:val="0"/>
        <w:autoSpaceDN w:val="0"/>
        <w:adjustRightInd w:val="0"/>
        <w:spacing w:before="120" w:after="0" w:line="276" w:lineRule="auto"/>
        <w:ind w:firstLine="0"/>
        <w:rPr>
          <w:rFonts w:cs="GHEA Grapalat"/>
          <w:lang w:val="hy-AM"/>
        </w:rPr>
      </w:pPr>
      <w:r w:rsidRPr="00117393">
        <w:rPr>
          <w:rFonts w:cs="GHEA Grapalat"/>
          <w:lang w:val="hy-AM"/>
        </w:rPr>
        <w:t xml:space="preserve">Պետական </w:t>
      </w:r>
      <w:r>
        <w:rPr>
          <w:rFonts w:cs="GHEA Grapalat"/>
          <w:lang w:val="hy-AM"/>
        </w:rPr>
        <w:t>միջնաժամկետ ծախսային ծրագ</w:t>
      </w:r>
      <w:r w:rsidRPr="00117393">
        <w:rPr>
          <w:rFonts w:cs="GHEA Grapalat"/>
          <w:lang w:val="hy-AM"/>
        </w:rPr>
        <w:t xml:space="preserve">իրը </w:t>
      </w:r>
      <w:r>
        <w:rPr>
          <w:rFonts w:cs="GHEA Grapalat"/>
          <w:lang w:val="hy-AM"/>
        </w:rPr>
        <w:t xml:space="preserve">(այսուհետև՝ ՄԺԾԾ) </w:t>
      </w:r>
      <w:r w:rsidRPr="00117393">
        <w:rPr>
          <w:rFonts w:cs="GHEA Grapalat"/>
          <w:lang w:val="hy-AM"/>
        </w:rPr>
        <w:t xml:space="preserve">ներկայացնում է ՀՀ </w:t>
      </w:r>
      <w:r>
        <w:rPr>
          <w:rFonts w:cs="GHEA Grapalat"/>
          <w:lang w:val="hy-AM"/>
        </w:rPr>
        <w:t>կառավարության տնտեսական</w:t>
      </w:r>
      <w:r w:rsidRPr="00117393">
        <w:rPr>
          <w:rFonts w:cs="GHEA Grapalat"/>
          <w:lang w:val="hy-AM"/>
        </w:rPr>
        <w:t xml:space="preserve"> և </w:t>
      </w:r>
      <w:r>
        <w:rPr>
          <w:rFonts w:cs="GHEA Grapalat"/>
          <w:lang w:val="hy-AM"/>
        </w:rPr>
        <w:t xml:space="preserve">հարկաբյուջետային, </w:t>
      </w:r>
      <w:r w:rsidRPr="00117393">
        <w:rPr>
          <w:rFonts w:cs="GHEA Grapalat"/>
          <w:lang w:val="hy-AM"/>
        </w:rPr>
        <w:t xml:space="preserve">այդ թվում՝ </w:t>
      </w:r>
      <w:r>
        <w:rPr>
          <w:rFonts w:cs="GHEA Grapalat"/>
          <w:lang w:val="hy-AM"/>
        </w:rPr>
        <w:t xml:space="preserve">պարտքային և </w:t>
      </w:r>
      <w:r w:rsidRPr="00117393">
        <w:rPr>
          <w:rFonts w:cs="GHEA Grapalat"/>
          <w:lang w:val="hy-AM"/>
        </w:rPr>
        <w:t xml:space="preserve">ծախսային </w:t>
      </w:r>
      <w:r>
        <w:rPr>
          <w:rFonts w:cs="GHEA Grapalat"/>
          <w:lang w:val="hy-AM"/>
        </w:rPr>
        <w:t>քաղաքականություններ</w:t>
      </w:r>
      <w:r w:rsidRPr="00117393">
        <w:rPr>
          <w:rFonts w:cs="GHEA Grapalat"/>
          <w:lang w:val="hy-AM"/>
        </w:rPr>
        <w:t>ը եռամյա ժամանակահատվածում:</w:t>
      </w:r>
    </w:p>
    <w:p w14:paraId="7C9464BD" w14:textId="1BDE87F9" w:rsidR="00080175" w:rsidRDefault="00080175" w:rsidP="00D25024">
      <w:pPr>
        <w:tabs>
          <w:tab w:val="left" w:pos="0"/>
        </w:tabs>
        <w:autoSpaceDE w:val="0"/>
        <w:autoSpaceDN w:val="0"/>
        <w:adjustRightInd w:val="0"/>
        <w:spacing w:before="120" w:after="0" w:line="276" w:lineRule="auto"/>
        <w:ind w:firstLine="0"/>
        <w:rPr>
          <w:rFonts w:cs="GHEA Grapalat"/>
          <w:lang w:val="hy-AM"/>
        </w:rPr>
      </w:pPr>
      <w:r w:rsidRPr="00117393">
        <w:rPr>
          <w:rFonts w:cs="GHEA Grapalat"/>
          <w:lang w:val="hy-AM"/>
        </w:rPr>
        <w:t>202</w:t>
      </w:r>
      <w:r w:rsidR="00B03FE7">
        <w:rPr>
          <w:rFonts w:cs="GHEA Grapalat"/>
          <w:lang w:val="hy-AM"/>
        </w:rPr>
        <w:t>5</w:t>
      </w:r>
      <w:r w:rsidRPr="00117393">
        <w:rPr>
          <w:rFonts w:cs="GHEA Grapalat"/>
          <w:lang w:val="hy-AM"/>
        </w:rPr>
        <w:t>-202</w:t>
      </w:r>
      <w:r w:rsidR="00B03FE7">
        <w:rPr>
          <w:rFonts w:cs="GHEA Grapalat"/>
          <w:lang w:val="hy-AM"/>
        </w:rPr>
        <w:t>7</w:t>
      </w:r>
      <w:r w:rsidRPr="00117393">
        <w:rPr>
          <w:rFonts w:cs="GHEA Grapalat"/>
          <w:lang w:val="hy-AM"/>
        </w:rPr>
        <w:t>թթ</w:t>
      </w:r>
      <w:r>
        <w:rPr>
          <w:rFonts w:cs="GHEA Grapalat"/>
          <w:lang w:val="hy-AM"/>
        </w:rPr>
        <w:t xml:space="preserve"> ՄԺԾԾ</w:t>
      </w:r>
      <w:r w:rsidRPr="00117393">
        <w:rPr>
          <w:rFonts w:cs="GHEA Grapalat"/>
          <w:lang w:val="hy-AM"/>
        </w:rPr>
        <w:t xml:space="preserve"> </w:t>
      </w:r>
      <w:r w:rsidR="00B03FE7">
        <w:rPr>
          <w:rFonts w:cs="GHEA Grapalat"/>
          <w:lang w:val="hy-AM"/>
        </w:rPr>
        <w:t>հիմնվում է</w:t>
      </w:r>
      <w:r w:rsidRPr="00117393">
        <w:rPr>
          <w:rFonts w:cs="GHEA Grapalat"/>
          <w:lang w:val="hy-AM"/>
        </w:rPr>
        <w:t xml:space="preserve"> </w:t>
      </w:r>
      <w:r>
        <w:rPr>
          <w:rFonts w:cs="GHEA Grapalat"/>
          <w:lang w:val="hy-AM"/>
        </w:rPr>
        <w:t>ՀՀ կառավարության 2021-2026</w:t>
      </w:r>
      <w:r w:rsidRPr="00117393">
        <w:rPr>
          <w:rFonts w:cs="GHEA Grapalat"/>
          <w:lang w:val="hy-AM"/>
        </w:rPr>
        <w:t xml:space="preserve">թթ </w:t>
      </w:r>
      <w:r>
        <w:rPr>
          <w:rFonts w:cs="GHEA Grapalat"/>
          <w:lang w:val="hy-AM"/>
        </w:rPr>
        <w:t>ծրագր</w:t>
      </w:r>
      <w:r w:rsidRPr="00117393">
        <w:rPr>
          <w:rFonts w:cs="GHEA Grapalat"/>
          <w:lang w:val="hy-AM"/>
        </w:rPr>
        <w:t>ի</w:t>
      </w:r>
      <w:r>
        <w:rPr>
          <w:rStyle w:val="FootnoteReference"/>
          <w:rFonts w:cs="GHEA Grapalat"/>
          <w:lang w:val="hy-AM"/>
        </w:rPr>
        <w:footnoteReference w:id="1"/>
      </w:r>
      <w:r w:rsidRPr="00117393">
        <w:rPr>
          <w:rFonts w:cs="GHEA Grapalat"/>
          <w:lang w:val="hy-AM"/>
        </w:rPr>
        <w:t xml:space="preserve"> և </w:t>
      </w:r>
      <w:r>
        <w:rPr>
          <w:rFonts w:cs="GHEA Grapalat"/>
          <w:lang w:val="hy-AM"/>
        </w:rPr>
        <w:t xml:space="preserve">ՀՀ կառավարության այլ ռազմավարական փաստաթղթերի </w:t>
      </w:r>
      <w:r w:rsidRPr="00117393">
        <w:rPr>
          <w:rFonts w:cs="GHEA Grapalat"/>
          <w:lang w:val="hy-AM"/>
        </w:rPr>
        <w:t xml:space="preserve">վրա և միտված է այդ փաստաթղթերով </w:t>
      </w:r>
      <w:r w:rsidRPr="002C235A">
        <w:rPr>
          <w:rFonts w:cs="GHEA Grapalat"/>
          <w:lang w:val="hy-AM"/>
        </w:rPr>
        <w:t xml:space="preserve">ՀՀ կառավարության </w:t>
      </w:r>
      <w:r w:rsidRPr="00117393">
        <w:rPr>
          <w:rFonts w:cs="GHEA Grapalat"/>
          <w:lang w:val="hy-AM"/>
        </w:rPr>
        <w:t xml:space="preserve">կողմից հռչակված </w:t>
      </w:r>
      <w:r w:rsidRPr="002C235A">
        <w:rPr>
          <w:rFonts w:cs="GHEA Grapalat"/>
          <w:lang w:val="hy-AM"/>
        </w:rPr>
        <w:t>քաղաքականության</w:t>
      </w:r>
      <w:r w:rsidRPr="00345460">
        <w:rPr>
          <w:rFonts w:cs="GHEA Grapalat"/>
          <w:lang w:val="hy-AM"/>
        </w:rPr>
        <w:t xml:space="preserve"> </w:t>
      </w:r>
      <w:r w:rsidRPr="00117393">
        <w:rPr>
          <w:rFonts w:cs="GHEA Grapalat"/>
          <w:lang w:val="hy-AM"/>
        </w:rPr>
        <w:t>նպատակների, սահմանված առաջնահերթությունների և թիրախների ամբողջական և արդյունավետ ապահովմանը:</w:t>
      </w:r>
    </w:p>
    <w:p w14:paraId="63E9B300" w14:textId="178E7699" w:rsidR="00080175" w:rsidRDefault="00080175" w:rsidP="00D25024">
      <w:pPr>
        <w:tabs>
          <w:tab w:val="left" w:pos="0"/>
          <w:tab w:val="left" w:pos="284"/>
          <w:tab w:val="left" w:pos="1575"/>
        </w:tabs>
        <w:autoSpaceDE w:val="0"/>
        <w:autoSpaceDN w:val="0"/>
        <w:adjustRightInd w:val="0"/>
        <w:spacing w:before="120" w:after="0" w:line="276" w:lineRule="auto"/>
        <w:ind w:firstLine="0"/>
        <w:rPr>
          <w:rFonts w:cs="GHEA Grapalat"/>
          <w:lang w:val="hy-AM"/>
        </w:rPr>
      </w:pPr>
      <w:r w:rsidRPr="00117393">
        <w:rPr>
          <w:rFonts w:cs="GHEA Grapalat"/>
          <w:lang w:val="hy-AM"/>
        </w:rPr>
        <w:t xml:space="preserve">Այդ առումով, </w:t>
      </w:r>
      <w:r w:rsidRPr="00490A15">
        <w:rPr>
          <w:rFonts w:cs="GHEA Grapalat"/>
          <w:lang w:val="hy-AM"/>
        </w:rPr>
        <w:t>202</w:t>
      </w:r>
      <w:r w:rsidR="00B03FE7">
        <w:rPr>
          <w:rFonts w:cs="GHEA Grapalat"/>
          <w:lang w:val="hy-AM"/>
        </w:rPr>
        <w:t>5</w:t>
      </w:r>
      <w:r w:rsidRPr="00490A15">
        <w:rPr>
          <w:rFonts w:cs="GHEA Grapalat"/>
          <w:lang w:val="hy-AM"/>
        </w:rPr>
        <w:t>-202</w:t>
      </w:r>
      <w:r w:rsidR="00B03FE7">
        <w:rPr>
          <w:rFonts w:cs="GHEA Grapalat"/>
          <w:lang w:val="hy-AM"/>
        </w:rPr>
        <w:t>7</w:t>
      </w:r>
      <w:r w:rsidRPr="00117393">
        <w:rPr>
          <w:rFonts w:cs="GHEA Grapalat"/>
          <w:lang w:val="hy-AM"/>
        </w:rPr>
        <w:t xml:space="preserve">թթ </w:t>
      </w:r>
      <w:r>
        <w:rPr>
          <w:rFonts w:cs="GHEA Grapalat"/>
          <w:lang w:val="hy-AM"/>
        </w:rPr>
        <w:t xml:space="preserve">միջնաժամկետ հատվածում </w:t>
      </w:r>
      <w:r w:rsidRPr="00117393">
        <w:rPr>
          <w:rFonts w:cs="GHEA Grapalat"/>
          <w:lang w:val="hy-AM"/>
        </w:rPr>
        <w:t>ՀՀ կ</w:t>
      </w:r>
      <w:r>
        <w:rPr>
          <w:rFonts w:cs="GHEA Grapalat"/>
          <w:lang w:val="hy-AM"/>
        </w:rPr>
        <w:t>առավարության հարկաբյուջետային քաղաքականության նպատակներն են</w:t>
      </w:r>
      <w:r w:rsidRPr="00117393">
        <w:rPr>
          <w:rFonts w:cs="GHEA Grapalat"/>
          <w:lang w:val="hy-AM"/>
        </w:rPr>
        <w:t xml:space="preserve">՝ ՀՀ </w:t>
      </w:r>
      <w:r>
        <w:rPr>
          <w:rFonts w:cs="GHEA Grapalat"/>
          <w:lang w:val="hy-AM"/>
        </w:rPr>
        <w:t>անվտանգության ամրապնդումը,</w:t>
      </w:r>
      <w:r w:rsidRPr="00117393">
        <w:rPr>
          <w:rFonts w:cs="GHEA Grapalat"/>
          <w:lang w:val="hy-AM"/>
        </w:rPr>
        <w:t xml:space="preserve"> </w:t>
      </w:r>
      <w:r>
        <w:rPr>
          <w:rFonts w:cs="GHEA Grapalat"/>
          <w:lang w:val="hy-AM"/>
        </w:rPr>
        <w:t>տնտեսական ենթակառուցվածքների զարգացումն ու հասնելիության բարձրացումը,</w:t>
      </w:r>
      <w:r w:rsidRPr="00117393">
        <w:rPr>
          <w:rFonts w:cs="GHEA Grapalat"/>
          <w:lang w:val="hy-AM"/>
        </w:rPr>
        <w:t xml:space="preserve"> </w:t>
      </w:r>
      <w:r>
        <w:rPr>
          <w:rFonts w:cs="GHEA Grapalat"/>
          <w:lang w:val="hy-AM"/>
        </w:rPr>
        <w:t>մարդկային կապիտալի զարգացումը:</w:t>
      </w:r>
      <w:r w:rsidRPr="00117393">
        <w:rPr>
          <w:rFonts w:cs="GHEA Grapalat"/>
          <w:lang w:val="hy-AM"/>
        </w:rPr>
        <w:t xml:space="preserve">  </w:t>
      </w:r>
    </w:p>
    <w:p w14:paraId="1784E915" w14:textId="77777777" w:rsidR="00080175" w:rsidRDefault="00080175" w:rsidP="00D25024">
      <w:pPr>
        <w:tabs>
          <w:tab w:val="left" w:pos="0"/>
          <w:tab w:val="left" w:pos="284"/>
        </w:tabs>
        <w:autoSpaceDE w:val="0"/>
        <w:autoSpaceDN w:val="0"/>
        <w:adjustRightInd w:val="0"/>
        <w:spacing w:before="120" w:after="0" w:line="276" w:lineRule="auto"/>
        <w:ind w:firstLine="0"/>
        <w:rPr>
          <w:rFonts w:cs="GHEA Grapalat"/>
          <w:lang w:val="hy-AM"/>
        </w:rPr>
      </w:pPr>
      <w:r>
        <w:rPr>
          <w:rFonts w:cs="GHEA Grapalat"/>
          <w:lang w:val="hy-AM"/>
        </w:rPr>
        <w:t>ՀՀ կառավարության ծրագրի առաջնահերթություններ</w:t>
      </w:r>
      <w:r w:rsidRPr="00117393">
        <w:rPr>
          <w:rFonts w:cs="GHEA Grapalat"/>
          <w:lang w:val="hy-AM"/>
        </w:rPr>
        <w:t>ին համահունչ, միջնաժամկետ հատվածում կ</w:t>
      </w:r>
      <w:r>
        <w:rPr>
          <w:rFonts w:cs="GHEA Grapalat"/>
          <w:lang w:val="hy-AM"/>
        </w:rPr>
        <w:t>իրականաց</w:t>
      </w:r>
      <w:r w:rsidRPr="00117393">
        <w:rPr>
          <w:rFonts w:cs="GHEA Grapalat"/>
          <w:lang w:val="hy-AM"/>
        </w:rPr>
        <w:t xml:space="preserve">վեն </w:t>
      </w:r>
      <w:r>
        <w:rPr>
          <w:rFonts w:cs="GHEA Grapalat"/>
          <w:lang w:val="hy-AM"/>
        </w:rPr>
        <w:t xml:space="preserve">սոցիալական, կրթական, առողջապահական, ենթակառուցվածքային բնույթի մի շարք առաջնահերթ միջոցառումներ, </w:t>
      </w:r>
      <w:r w:rsidRPr="00117393">
        <w:rPr>
          <w:rFonts w:cs="GHEA Grapalat"/>
          <w:lang w:val="hy-AM"/>
        </w:rPr>
        <w:t xml:space="preserve">որոնց արդյունքում ի թիվս այլ թիրախների, կապահովվի հետևյալ առանցքային թիրախների իրագործումը. </w:t>
      </w:r>
      <w:r>
        <w:rPr>
          <w:rFonts w:cs="GHEA Grapalat"/>
          <w:lang w:val="hy-AM"/>
        </w:rPr>
        <w:t xml:space="preserve"> </w:t>
      </w:r>
    </w:p>
    <w:p w14:paraId="16CD8C87"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GHEA Grapalat"/>
          <w:sz w:val="24"/>
          <w:szCs w:val="24"/>
          <w:lang w:val="hy-AM"/>
        </w:rPr>
      </w:pPr>
      <w:r w:rsidRPr="0024601A">
        <w:rPr>
          <w:rFonts w:cs="Arial"/>
          <w:sz w:val="24"/>
          <w:szCs w:val="24"/>
          <w:lang w:val="hy-AM"/>
        </w:rPr>
        <w:t>առողջապահությանն</w:t>
      </w:r>
      <w:r w:rsidRPr="0024601A">
        <w:rPr>
          <w:rFonts w:cs="GHEA Grapalat"/>
          <w:sz w:val="24"/>
          <w:szCs w:val="24"/>
          <w:lang w:val="hy-AM"/>
        </w:rPr>
        <w:t xml:space="preserve"> </w:t>
      </w:r>
      <w:r w:rsidRPr="0024601A">
        <w:rPr>
          <w:rFonts w:cs="Arial"/>
          <w:sz w:val="24"/>
          <w:szCs w:val="24"/>
          <w:lang w:val="hy-AM"/>
        </w:rPr>
        <w:t>ուղղվող</w:t>
      </w:r>
      <w:r w:rsidRPr="0024601A">
        <w:rPr>
          <w:rFonts w:cs="GHEA Grapalat"/>
          <w:sz w:val="24"/>
          <w:szCs w:val="24"/>
          <w:lang w:val="hy-AM"/>
        </w:rPr>
        <w:t xml:space="preserve"> </w:t>
      </w:r>
      <w:r w:rsidRPr="0024601A">
        <w:rPr>
          <w:rFonts w:cs="Arial"/>
          <w:sz w:val="24"/>
          <w:szCs w:val="24"/>
          <w:lang w:val="hy-AM"/>
        </w:rPr>
        <w:t>ծախսերի</w:t>
      </w:r>
      <w:r w:rsidRPr="0024601A">
        <w:rPr>
          <w:rFonts w:cs="GHEA Grapalat"/>
          <w:sz w:val="24"/>
          <w:szCs w:val="24"/>
          <w:lang w:val="hy-AM"/>
        </w:rPr>
        <w:t xml:space="preserve"> </w:t>
      </w:r>
      <w:r w:rsidRPr="0024601A">
        <w:rPr>
          <w:rFonts w:cs="Arial"/>
          <w:sz w:val="24"/>
          <w:szCs w:val="24"/>
          <w:lang w:val="hy-AM"/>
        </w:rPr>
        <w:t>առաջանցիկ</w:t>
      </w:r>
      <w:r w:rsidRPr="0024601A">
        <w:rPr>
          <w:rFonts w:cs="GHEA Grapalat"/>
          <w:sz w:val="24"/>
          <w:szCs w:val="24"/>
          <w:lang w:val="hy-AM"/>
        </w:rPr>
        <w:t xml:space="preserve"> </w:t>
      </w:r>
      <w:r w:rsidRPr="0024601A">
        <w:rPr>
          <w:rFonts w:cs="Arial"/>
          <w:sz w:val="24"/>
          <w:szCs w:val="24"/>
          <w:lang w:val="hy-AM"/>
        </w:rPr>
        <w:t>աճ</w:t>
      </w:r>
      <w:r w:rsidRPr="0024601A">
        <w:rPr>
          <w:rFonts w:cs="GHEA Grapalat"/>
          <w:sz w:val="24"/>
          <w:szCs w:val="24"/>
          <w:lang w:val="hy-AM"/>
        </w:rPr>
        <w:t xml:space="preserve"> </w:t>
      </w:r>
      <w:r w:rsidRPr="0024601A">
        <w:rPr>
          <w:rFonts w:cs="Arial"/>
          <w:sz w:val="24"/>
          <w:szCs w:val="24"/>
          <w:lang w:val="hy-AM"/>
        </w:rPr>
        <w:t>ՀՆԱ</w:t>
      </w:r>
      <w:r w:rsidRPr="0024601A">
        <w:rPr>
          <w:rFonts w:cs="GHEA Grapalat"/>
          <w:sz w:val="24"/>
          <w:szCs w:val="24"/>
          <w:lang w:val="hy-AM"/>
        </w:rPr>
        <w:t>-</w:t>
      </w:r>
      <w:r w:rsidRPr="0024601A">
        <w:rPr>
          <w:rFonts w:cs="Arial"/>
          <w:sz w:val="24"/>
          <w:szCs w:val="24"/>
          <w:lang w:val="hy-AM"/>
        </w:rPr>
        <w:t>ի</w:t>
      </w:r>
      <w:r w:rsidRPr="0024601A">
        <w:rPr>
          <w:rFonts w:cs="GHEA Grapalat"/>
          <w:sz w:val="24"/>
          <w:szCs w:val="24"/>
          <w:lang w:val="hy-AM"/>
        </w:rPr>
        <w:t xml:space="preserve"> </w:t>
      </w:r>
      <w:r w:rsidRPr="0024601A">
        <w:rPr>
          <w:rFonts w:cs="Arial"/>
          <w:sz w:val="24"/>
          <w:szCs w:val="24"/>
          <w:lang w:val="hy-AM"/>
        </w:rPr>
        <w:t>նկատմամբ</w:t>
      </w:r>
      <w:r w:rsidRPr="0024601A">
        <w:rPr>
          <w:rFonts w:cs="GHEA Grapalat"/>
          <w:sz w:val="24"/>
          <w:szCs w:val="24"/>
          <w:lang w:val="hy-AM"/>
        </w:rPr>
        <w:t>,</w:t>
      </w:r>
    </w:p>
    <w:p w14:paraId="6694D814"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GHEA Grapalat"/>
          <w:sz w:val="24"/>
          <w:szCs w:val="24"/>
          <w:lang w:val="hy-AM"/>
        </w:rPr>
      </w:pPr>
      <w:r w:rsidRPr="0024601A">
        <w:rPr>
          <w:rFonts w:cs="Arial"/>
          <w:sz w:val="24"/>
          <w:szCs w:val="24"/>
          <w:lang w:val="hy-AM"/>
        </w:rPr>
        <w:t>առողջության</w:t>
      </w:r>
      <w:r w:rsidRPr="0024601A">
        <w:rPr>
          <w:rFonts w:cs="GHEA Grapalat"/>
          <w:sz w:val="24"/>
          <w:szCs w:val="24"/>
          <w:lang w:val="hy-AM"/>
        </w:rPr>
        <w:t xml:space="preserve"> </w:t>
      </w:r>
      <w:r w:rsidRPr="0024601A">
        <w:rPr>
          <w:rFonts w:cs="Arial"/>
          <w:sz w:val="24"/>
          <w:szCs w:val="24"/>
          <w:lang w:val="hy-AM"/>
        </w:rPr>
        <w:t>համապարփակ</w:t>
      </w:r>
      <w:r w:rsidRPr="0024601A">
        <w:rPr>
          <w:rFonts w:cs="GHEA Grapalat"/>
          <w:sz w:val="24"/>
          <w:szCs w:val="24"/>
          <w:lang w:val="hy-AM"/>
        </w:rPr>
        <w:t xml:space="preserve"> </w:t>
      </w:r>
      <w:r w:rsidRPr="0024601A">
        <w:rPr>
          <w:rFonts w:cs="Arial"/>
          <w:sz w:val="24"/>
          <w:szCs w:val="24"/>
          <w:lang w:val="hy-AM"/>
        </w:rPr>
        <w:t>ապահովագրության</w:t>
      </w:r>
      <w:r w:rsidRPr="0024601A">
        <w:rPr>
          <w:rFonts w:cs="GHEA Grapalat"/>
          <w:sz w:val="24"/>
          <w:szCs w:val="24"/>
          <w:lang w:val="hy-AM"/>
        </w:rPr>
        <w:t xml:space="preserve"> </w:t>
      </w:r>
      <w:r w:rsidRPr="0024601A">
        <w:rPr>
          <w:rFonts w:cs="Arial"/>
          <w:sz w:val="24"/>
          <w:szCs w:val="24"/>
          <w:lang w:val="hy-AM"/>
        </w:rPr>
        <w:t>համակարգի</w:t>
      </w:r>
      <w:r w:rsidRPr="0024601A">
        <w:rPr>
          <w:rFonts w:cs="GHEA Grapalat"/>
          <w:sz w:val="24"/>
          <w:szCs w:val="24"/>
          <w:lang w:val="hy-AM"/>
        </w:rPr>
        <w:t xml:space="preserve"> </w:t>
      </w:r>
      <w:r w:rsidRPr="0024601A">
        <w:rPr>
          <w:rFonts w:cs="Arial"/>
          <w:sz w:val="24"/>
          <w:szCs w:val="24"/>
          <w:lang w:val="hy-AM"/>
        </w:rPr>
        <w:t>ներդնում</w:t>
      </w:r>
      <w:r w:rsidRPr="0024601A">
        <w:rPr>
          <w:rFonts w:cs="GHEA Grapalat"/>
          <w:sz w:val="24"/>
          <w:szCs w:val="24"/>
          <w:lang w:val="hy-AM"/>
        </w:rPr>
        <w:t xml:space="preserve">, </w:t>
      </w:r>
      <w:r w:rsidRPr="0024601A">
        <w:rPr>
          <w:rFonts w:cs="Arial"/>
          <w:sz w:val="24"/>
          <w:szCs w:val="24"/>
          <w:lang w:val="hy-AM"/>
        </w:rPr>
        <w:t>ինչը</w:t>
      </w:r>
      <w:r w:rsidRPr="0024601A">
        <w:rPr>
          <w:rFonts w:cs="GHEA Grapalat"/>
          <w:sz w:val="24"/>
          <w:szCs w:val="24"/>
          <w:lang w:val="hy-AM"/>
        </w:rPr>
        <w:t xml:space="preserve"> </w:t>
      </w:r>
      <w:r w:rsidRPr="0024601A">
        <w:rPr>
          <w:rFonts w:cs="Arial"/>
          <w:sz w:val="24"/>
          <w:szCs w:val="24"/>
          <w:lang w:val="hy-AM"/>
        </w:rPr>
        <w:t>կապահովի</w:t>
      </w:r>
      <w:r w:rsidRPr="0024601A">
        <w:rPr>
          <w:rFonts w:cs="GHEA Grapalat"/>
          <w:sz w:val="24"/>
          <w:szCs w:val="24"/>
          <w:lang w:val="hy-AM"/>
        </w:rPr>
        <w:t xml:space="preserve"> </w:t>
      </w:r>
      <w:r w:rsidRPr="0024601A">
        <w:rPr>
          <w:rFonts w:cs="Arial"/>
          <w:sz w:val="24"/>
          <w:szCs w:val="24"/>
          <w:lang w:val="hy-AM"/>
        </w:rPr>
        <w:t>քաղաքացիների</w:t>
      </w:r>
      <w:r w:rsidRPr="0024601A">
        <w:rPr>
          <w:rFonts w:cs="GHEA Grapalat"/>
          <w:sz w:val="24"/>
          <w:szCs w:val="24"/>
          <w:lang w:val="hy-AM"/>
        </w:rPr>
        <w:t xml:space="preserve"> </w:t>
      </w:r>
      <w:r w:rsidRPr="0024601A">
        <w:rPr>
          <w:rFonts w:cs="Arial"/>
          <w:sz w:val="24"/>
          <w:szCs w:val="24"/>
          <w:lang w:val="hy-AM"/>
        </w:rPr>
        <w:t>համար</w:t>
      </w:r>
      <w:r w:rsidRPr="0024601A">
        <w:rPr>
          <w:rFonts w:cs="GHEA Grapalat"/>
          <w:sz w:val="24"/>
          <w:szCs w:val="24"/>
          <w:lang w:val="hy-AM"/>
        </w:rPr>
        <w:t xml:space="preserve"> </w:t>
      </w:r>
      <w:r w:rsidRPr="0024601A">
        <w:rPr>
          <w:rFonts w:cs="Arial"/>
          <w:sz w:val="24"/>
          <w:szCs w:val="24"/>
          <w:lang w:val="hy-AM"/>
        </w:rPr>
        <w:t>առողջապահական</w:t>
      </w:r>
      <w:r w:rsidRPr="0024601A">
        <w:rPr>
          <w:rFonts w:cs="GHEA Grapalat"/>
          <w:sz w:val="24"/>
          <w:szCs w:val="24"/>
          <w:lang w:val="hy-AM"/>
        </w:rPr>
        <w:t xml:space="preserve"> </w:t>
      </w:r>
      <w:r w:rsidRPr="0024601A">
        <w:rPr>
          <w:rFonts w:cs="Arial"/>
          <w:sz w:val="24"/>
          <w:szCs w:val="24"/>
          <w:lang w:val="hy-AM"/>
        </w:rPr>
        <w:t>ծառայությունների</w:t>
      </w:r>
      <w:r w:rsidRPr="0024601A">
        <w:rPr>
          <w:rFonts w:cs="GHEA Grapalat"/>
          <w:sz w:val="24"/>
          <w:szCs w:val="24"/>
          <w:lang w:val="hy-AM"/>
        </w:rPr>
        <w:t xml:space="preserve"> </w:t>
      </w:r>
      <w:r w:rsidRPr="0024601A">
        <w:rPr>
          <w:rFonts w:cs="Arial"/>
          <w:sz w:val="24"/>
          <w:szCs w:val="24"/>
          <w:lang w:val="hy-AM"/>
        </w:rPr>
        <w:t>հասանելիությունն</w:t>
      </w:r>
      <w:r w:rsidRPr="0024601A">
        <w:rPr>
          <w:rFonts w:cs="GHEA Grapalat"/>
          <w:sz w:val="24"/>
          <w:szCs w:val="24"/>
          <w:lang w:val="hy-AM"/>
        </w:rPr>
        <w:t xml:space="preserve"> </w:t>
      </w:r>
      <w:r w:rsidRPr="0024601A">
        <w:rPr>
          <w:rFonts w:cs="Arial"/>
          <w:sz w:val="24"/>
          <w:szCs w:val="24"/>
          <w:lang w:val="hy-AM"/>
        </w:rPr>
        <w:t>ու</w:t>
      </w:r>
      <w:r w:rsidRPr="0024601A">
        <w:rPr>
          <w:rFonts w:cs="GHEA Grapalat"/>
          <w:sz w:val="24"/>
          <w:szCs w:val="24"/>
          <w:lang w:val="hy-AM"/>
        </w:rPr>
        <w:t xml:space="preserve"> </w:t>
      </w:r>
      <w:r w:rsidRPr="0024601A">
        <w:rPr>
          <w:rFonts w:cs="Arial"/>
          <w:sz w:val="24"/>
          <w:szCs w:val="24"/>
          <w:lang w:val="hy-AM"/>
        </w:rPr>
        <w:t>մատչելիությունը</w:t>
      </w:r>
      <w:r w:rsidRPr="0024601A">
        <w:rPr>
          <w:rFonts w:cs="GHEA Grapalat"/>
          <w:sz w:val="24"/>
          <w:szCs w:val="24"/>
          <w:lang w:val="hy-AM"/>
        </w:rPr>
        <w:t xml:space="preserve">, </w:t>
      </w:r>
    </w:p>
    <w:p w14:paraId="77326A94"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GHEA Grapalat"/>
          <w:sz w:val="24"/>
          <w:szCs w:val="24"/>
          <w:lang w:val="hy-AM"/>
        </w:rPr>
      </w:pPr>
      <w:r w:rsidRPr="0024601A">
        <w:rPr>
          <w:rFonts w:cs="GHEA Grapalat"/>
          <w:sz w:val="24"/>
          <w:szCs w:val="24"/>
          <w:lang w:val="hy-AM"/>
        </w:rPr>
        <w:t>ԿԳՄՍՆ գծով ծախսերը կպահպանվեն ՀՆԱ-ի 3.3 տոկոսի մակարդակում,</w:t>
      </w:r>
    </w:p>
    <w:p w14:paraId="642F9E82"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t xml:space="preserve">մասնագիտական կրթության ոլորտում կմշակվեն և կներդրվեն տնտեսության ժամանակակից պահանջներից բխող նոր մասնագիտությունների կրթական ծրագրեր՝ մեծացնելով շրջանավարտների մրցունակությունն աշխատաշուկայում, բարձրագույն կրթության ծրագրերում կխթանվի գիտահետազոտական աշխատանքների իրականացումը, </w:t>
      </w:r>
    </w:p>
    <w:p w14:paraId="11E0CD0D"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t>հանրակրթական դպրոցների ուսուցիչների, նախնական և միջին մասնագիտական, արտադպրոցական ուսումնական հաստատությունների մանկավարժական աշխատողների ատեստավորման արդյունքում ուսուցիչների աշխատավարձերի շեշտակի աճի ապահովում,</w:t>
      </w:r>
    </w:p>
    <w:p w14:paraId="78272DCE"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t>մինչև 2027թ-ը առնվազն 500 մանկապարտեզների և 300 դպրոցների կառուցման, հիմնանորոգման և վերանորոգման՝ ՀՀ կառավարության ծրագրով սահմանված թիրախի ապահովում՝ այդ թվում ապահովելով դրանց ամբողջական հագեցումը անհրաժեշտ գույքով և սարքավորումներով,</w:t>
      </w:r>
    </w:p>
    <w:p w14:paraId="12153FFC"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t>ընտանեկան/ անապահովության նպաստների համակարգի բարելավում,</w:t>
      </w:r>
    </w:p>
    <w:p w14:paraId="54445BAC"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t>3 և ավելի երեխա ունեցող ընտանիքներին դրամական աջակցության ծավալների ավելացում,</w:t>
      </w:r>
    </w:p>
    <w:p w14:paraId="5D7DA701"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Arial"/>
          <w:sz w:val="24"/>
          <w:szCs w:val="24"/>
          <w:lang w:val="hy-AM"/>
        </w:rPr>
      </w:pPr>
      <w:r w:rsidRPr="0024601A">
        <w:rPr>
          <w:rFonts w:cs="Arial"/>
          <w:sz w:val="24"/>
          <w:szCs w:val="24"/>
          <w:lang w:val="hy-AM"/>
        </w:rPr>
        <w:lastRenderedPageBreak/>
        <w:t>շարունակվելու են տեղեկատվական տեխնոլոգիաների ոլորտում գործունեություն իրականացնող առևտրային կազմակերպություններին և անհատ ձեռնարկատերերին պետական աջակցության տրամադրումը,</w:t>
      </w:r>
    </w:p>
    <w:p w14:paraId="387CC32E" w14:textId="77777777" w:rsidR="00EF468F" w:rsidRPr="0024601A" w:rsidRDefault="00EF468F" w:rsidP="00D25024">
      <w:pPr>
        <w:numPr>
          <w:ilvl w:val="0"/>
          <w:numId w:val="24"/>
        </w:numPr>
        <w:tabs>
          <w:tab w:val="left" w:pos="0"/>
          <w:tab w:val="left" w:pos="284"/>
        </w:tabs>
        <w:autoSpaceDE w:val="0"/>
        <w:autoSpaceDN w:val="0"/>
        <w:adjustRightInd w:val="0"/>
        <w:spacing w:before="0" w:after="0" w:line="276" w:lineRule="auto"/>
        <w:ind w:firstLine="0"/>
        <w:rPr>
          <w:rFonts w:cs="GHEA Grapalat"/>
          <w:sz w:val="24"/>
          <w:szCs w:val="24"/>
          <w:lang w:val="hy-AM"/>
        </w:rPr>
      </w:pPr>
      <w:r w:rsidRPr="0024601A">
        <w:rPr>
          <w:rFonts w:cs="Arial"/>
          <w:sz w:val="24"/>
          <w:szCs w:val="24"/>
          <w:lang w:val="hy-AM"/>
        </w:rPr>
        <w:t>շարունակվելու են</w:t>
      </w:r>
      <w:r w:rsidRPr="0024601A">
        <w:rPr>
          <w:rFonts w:cs="GHEA Grapalat"/>
          <w:sz w:val="24"/>
          <w:szCs w:val="24"/>
          <w:lang w:val="hy-AM"/>
        </w:rPr>
        <w:t xml:space="preserve"> </w:t>
      </w:r>
      <w:r w:rsidRPr="0024601A">
        <w:rPr>
          <w:rFonts w:cs="Arial"/>
          <w:sz w:val="24"/>
          <w:szCs w:val="24"/>
          <w:lang w:val="hy-AM"/>
        </w:rPr>
        <w:t>ջրային</w:t>
      </w:r>
      <w:r w:rsidRPr="0024601A">
        <w:rPr>
          <w:rFonts w:cs="GHEA Grapalat"/>
          <w:sz w:val="24"/>
          <w:szCs w:val="24"/>
          <w:lang w:val="hy-AM"/>
        </w:rPr>
        <w:t xml:space="preserve"> </w:t>
      </w:r>
      <w:r w:rsidRPr="0024601A">
        <w:rPr>
          <w:rFonts w:cs="Arial"/>
          <w:sz w:val="24"/>
          <w:szCs w:val="24"/>
          <w:lang w:val="hy-AM"/>
        </w:rPr>
        <w:t>պաշարների</w:t>
      </w:r>
      <w:r w:rsidRPr="0024601A">
        <w:rPr>
          <w:rFonts w:cs="GHEA Grapalat"/>
          <w:sz w:val="24"/>
          <w:szCs w:val="24"/>
          <w:lang w:val="hy-AM"/>
        </w:rPr>
        <w:t xml:space="preserve"> </w:t>
      </w:r>
      <w:r w:rsidRPr="0024601A">
        <w:rPr>
          <w:rFonts w:cs="Arial"/>
          <w:sz w:val="24"/>
          <w:szCs w:val="24"/>
          <w:lang w:val="hy-AM"/>
        </w:rPr>
        <w:t>մակերևութային</w:t>
      </w:r>
      <w:r w:rsidRPr="0024601A">
        <w:rPr>
          <w:rFonts w:cs="GHEA Grapalat"/>
          <w:sz w:val="24"/>
          <w:szCs w:val="24"/>
          <w:lang w:val="hy-AM"/>
        </w:rPr>
        <w:t xml:space="preserve"> </w:t>
      </w:r>
      <w:r w:rsidRPr="0024601A">
        <w:rPr>
          <w:rFonts w:cs="Arial"/>
          <w:sz w:val="24"/>
          <w:szCs w:val="24"/>
          <w:lang w:val="hy-AM"/>
        </w:rPr>
        <w:t>հոսքի</w:t>
      </w:r>
      <w:r w:rsidRPr="0024601A">
        <w:rPr>
          <w:rFonts w:cs="GHEA Grapalat"/>
          <w:sz w:val="24"/>
          <w:szCs w:val="24"/>
          <w:lang w:val="hy-AM"/>
        </w:rPr>
        <w:t xml:space="preserve"> </w:t>
      </w:r>
      <w:r w:rsidRPr="0024601A">
        <w:rPr>
          <w:rFonts w:cs="Arial"/>
          <w:sz w:val="24"/>
          <w:szCs w:val="24"/>
          <w:lang w:val="hy-AM"/>
        </w:rPr>
        <w:t>կառավարման</w:t>
      </w:r>
      <w:r w:rsidRPr="0024601A">
        <w:rPr>
          <w:rFonts w:cs="GHEA Grapalat"/>
          <w:sz w:val="24"/>
          <w:szCs w:val="24"/>
          <w:lang w:val="hy-AM"/>
        </w:rPr>
        <w:t xml:space="preserve"> </w:t>
      </w:r>
      <w:r w:rsidRPr="0024601A">
        <w:rPr>
          <w:rFonts w:cs="Arial"/>
          <w:sz w:val="24"/>
          <w:szCs w:val="24"/>
          <w:lang w:val="hy-AM"/>
        </w:rPr>
        <w:t>նպատակով</w:t>
      </w:r>
      <w:r w:rsidRPr="0024601A">
        <w:rPr>
          <w:rFonts w:cs="GHEA Grapalat"/>
          <w:sz w:val="24"/>
          <w:szCs w:val="24"/>
          <w:lang w:val="hy-AM"/>
        </w:rPr>
        <w:t xml:space="preserve"> </w:t>
      </w:r>
      <w:r w:rsidRPr="0024601A">
        <w:rPr>
          <w:rFonts w:cs="Arial"/>
          <w:sz w:val="24"/>
          <w:szCs w:val="24"/>
          <w:lang w:val="hy-AM"/>
        </w:rPr>
        <w:t>ջրամբարաշինության</w:t>
      </w:r>
      <w:r w:rsidRPr="0024601A">
        <w:rPr>
          <w:rFonts w:cs="GHEA Grapalat"/>
          <w:sz w:val="24"/>
          <w:szCs w:val="24"/>
          <w:lang w:val="hy-AM"/>
        </w:rPr>
        <w:t xml:space="preserve"> </w:t>
      </w:r>
      <w:r w:rsidRPr="0024601A">
        <w:rPr>
          <w:rFonts w:cs="Arial"/>
          <w:sz w:val="24"/>
          <w:szCs w:val="24"/>
          <w:lang w:val="hy-AM"/>
        </w:rPr>
        <w:t>ծրագրերը</w:t>
      </w:r>
      <w:r w:rsidRPr="0024601A">
        <w:rPr>
          <w:rFonts w:cs="GHEA Grapalat"/>
          <w:sz w:val="24"/>
          <w:szCs w:val="24"/>
          <w:lang w:val="hy-AM"/>
        </w:rPr>
        <w:t xml:space="preserve">, </w:t>
      </w:r>
      <w:r w:rsidRPr="0024601A">
        <w:rPr>
          <w:rFonts w:cs="Arial"/>
          <w:sz w:val="24"/>
          <w:szCs w:val="24"/>
          <w:lang w:val="hy-AM"/>
        </w:rPr>
        <w:t>որի</w:t>
      </w:r>
      <w:r w:rsidRPr="0024601A">
        <w:rPr>
          <w:rFonts w:cs="GHEA Grapalat"/>
          <w:sz w:val="24"/>
          <w:szCs w:val="24"/>
          <w:lang w:val="hy-AM"/>
        </w:rPr>
        <w:t xml:space="preserve"> </w:t>
      </w:r>
      <w:r w:rsidRPr="0024601A">
        <w:rPr>
          <w:rFonts w:cs="Arial"/>
          <w:sz w:val="24"/>
          <w:szCs w:val="24"/>
          <w:lang w:val="hy-AM"/>
        </w:rPr>
        <w:t>արդյունքում</w:t>
      </w:r>
      <w:r w:rsidRPr="0024601A">
        <w:rPr>
          <w:rFonts w:cs="GHEA Grapalat"/>
          <w:sz w:val="24"/>
          <w:szCs w:val="24"/>
          <w:lang w:val="hy-AM"/>
        </w:rPr>
        <w:t xml:space="preserve"> </w:t>
      </w:r>
      <w:r w:rsidRPr="0024601A">
        <w:rPr>
          <w:rFonts w:cs="Arial"/>
          <w:sz w:val="24"/>
          <w:szCs w:val="24"/>
          <w:lang w:val="hy-AM"/>
        </w:rPr>
        <w:t>կապահովվի</w:t>
      </w:r>
      <w:r w:rsidRPr="0024601A">
        <w:rPr>
          <w:rFonts w:cs="GHEA Grapalat"/>
          <w:sz w:val="24"/>
          <w:szCs w:val="24"/>
          <w:lang w:val="hy-AM"/>
        </w:rPr>
        <w:t xml:space="preserve"> </w:t>
      </w:r>
      <w:r w:rsidRPr="0024601A">
        <w:rPr>
          <w:rFonts w:cs="Arial"/>
          <w:sz w:val="24"/>
          <w:szCs w:val="24"/>
          <w:lang w:val="hy-AM"/>
        </w:rPr>
        <w:t>ջրային</w:t>
      </w:r>
      <w:r w:rsidRPr="0024601A">
        <w:rPr>
          <w:rFonts w:cs="GHEA Grapalat"/>
          <w:sz w:val="24"/>
          <w:szCs w:val="24"/>
          <w:lang w:val="hy-AM"/>
        </w:rPr>
        <w:t xml:space="preserve"> </w:t>
      </w:r>
      <w:r w:rsidRPr="0024601A">
        <w:rPr>
          <w:rFonts w:cs="Arial"/>
          <w:sz w:val="24"/>
          <w:szCs w:val="24"/>
          <w:lang w:val="hy-AM"/>
        </w:rPr>
        <w:t>ռեսուրսների</w:t>
      </w:r>
      <w:r w:rsidRPr="0024601A">
        <w:rPr>
          <w:rFonts w:cs="GHEA Grapalat"/>
          <w:sz w:val="24"/>
          <w:szCs w:val="24"/>
          <w:lang w:val="hy-AM"/>
        </w:rPr>
        <w:t xml:space="preserve"> </w:t>
      </w:r>
      <w:r w:rsidRPr="0024601A">
        <w:rPr>
          <w:rFonts w:cs="Arial"/>
          <w:sz w:val="24"/>
          <w:szCs w:val="24"/>
          <w:lang w:val="hy-AM"/>
        </w:rPr>
        <w:t>պաշարների</w:t>
      </w:r>
      <w:r w:rsidRPr="0024601A">
        <w:rPr>
          <w:rFonts w:cs="GHEA Grapalat"/>
          <w:sz w:val="24"/>
          <w:szCs w:val="24"/>
          <w:lang w:val="hy-AM"/>
        </w:rPr>
        <w:t xml:space="preserve"> </w:t>
      </w:r>
      <w:r w:rsidRPr="0024601A">
        <w:rPr>
          <w:rFonts w:cs="Arial"/>
          <w:sz w:val="24"/>
          <w:szCs w:val="24"/>
          <w:lang w:val="hy-AM"/>
        </w:rPr>
        <w:t>ավելացում</w:t>
      </w:r>
      <w:r w:rsidRPr="0024601A">
        <w:rPr>
          <w:rFonts w:cs="GHEA Grapalat"/>
          <w:sz w:val="24"/>
          <w:szCs w:val="24"/>
          <w:lang w:val="hy-AM"/>
        </w:rPr>
        <w:t xml:space="preserve"> </w:t>
      </w:r>
      <w:r w:rsidRPr="0024601A">
        <w:rPr>
          <w:rFonts w:cs="Arial"/>
          <w:sz w:val="24"/>
          <w:szCs w:val="24"/>
          <w:lang w:val="hy-AM"/>
        </w:rPr>
        <w:t>և</w:t>
      </w:r>
      <w:r w:rsidRPr="0024601A">
        <w:rPr>
          <w:rFonts w:cs="GHEA Grapalat"/>
          <w:sz w:val="24"/>
          <w:szCs w:val="24"/>
          <w:lang w:val="hy-AM"/>
        </w:rPr>
        <w:t xml:space="preserve"> </w:t>
      </w:r>
      <w:r w:rsidRPr="0024601A">
        <w:rPr>
          <w:rFonts w:cs="Arial"/>
          <w:sz w:val="24"/>
          <w:szCs w:val="24"/>
          <w:lang w:val="hy-AM"/>
        </w:rPr>
        <w:t>ջրային</w:t>
      </w:r>
      <w:r w:rsidRPr="0024601A">
        <w:rPr>
          <w:rFonts w:cs="GHEA Grapalat"/>
          <w:sz w:val="24"/>
          <w:szCs w:val="24"/>
          <w:lang w:val="hy-AM"/>
        </w:rPr>
        <w:t xml:space="preserve"> </w:t>
      </w:r>
      <w:r w:rsidRPr="0024601A">
        <w:rPr>
          <w:rFonts w:cs="Arial"/>
          <w:sz w:val="24"/>
          <w:szCs w:val="24"/>
          <w:lang w:val="hy-AM"/>
        </w:rPr>
        <w:t>հոսքերի</w:t>
      </w:r>
      <w:r w:rsidRPr="0024601A">
        <w:rPr>
          <w:rFonts w:cs="GHEA Grapalat"/>
          <w:sz w:val="24"/>
          <w:szCs w:val="24"/>
          <w:lang w:val="hy-AM"/>
        </w:rPr>
        <w:t xml:space="preserve"> </w:t>
      </w:r>
      <w:r w:rsidRPr="0024601A">
        <w:rPr>
          <w:rFonts w:cs="Arial"/>
          <w:sz w:val="24"/>
          <w:szCs w:val="24"/>
          <w:lang w:val="hy-AM"/>
        </w:rPr>
        <w:t>կառավարման</w:t>
      </w:r>
      <w:r w:rsidRPr="0024601A">
        <w:rPr>
          <w:rFonts w:cs="GHEA Grapalat"/>
          <w:sz w:val="24"/>
          <w:szCs w:val="24"/>
          <w:lang w:val="hy-AM"/>
        </w:rPr>
        <w:t xml:space="preserve"> </w:t>
      </w:r>
      <w:r w:rsidRPr="0024601A">
        <w:rPr>
          <w:rFonts w:cs="Arial"/>
          <w:sz w:val="24"/>
          <w:szCs w:val="24"/>
          <w:lang w:val="hy-AM"/>
        </w:rPr>
        <w:t>համակարգի</w:t>
      </w:r>
      <w:r w:rsidRPr="0024601A">
        <w:rPr>
          <w:rFonts w:cs="GHEA Grapalat"/>
          <w:sz w:val="24"/>
          <w:szCs w:val="24"/>
          <w:lang w:val="hy-AM"/>
        </w:rPr>
        <w:t xml:space="preserve"> </w:t>
      </w:r>
      <w:r w:rsidRPr="0024601A">
        <w:rPr>
          <w:rFonts w:cs="Arial"/>
          <w:sz w:val="24"/>
          <w:szCs w:val="24"/>
          <w:lang w:val="hy-AM"/>
        </w:rPr>
        <w:t>արդյունավետության</w:t>
      </w:r>
      <w:r w:rsidRPr="0024601A">
        <w:rPr>
          <w:rFonts w:cs="GHEA Grapalat"/>
          <w:sz w:val="24"/>
          <w:szCs w:val="24"/>
          <w:lang w:val="hy-AM"/>
        </w:rPr>
        <w:t xml:space="preserve"> </w:t>
      </w:r>
      <w:r w:rsidRPr="0024601A">
        <w:rPr>
          <w:rFonts w:cs="Arial"/>
          <w:sz w:val="24"/>
          <w:szCs w:val="24"/>
          <w:lang w:val="hy-AM"/>
        </w:rPr>
        <w:t>բարձրացում</w:t>
      </w:r>
      <w:r w:rsidRPr="0024601A">
        <w:rPr>
          <w:rFonts w:cs="GHEA Grapalat"/>
          <w:sz w:val="24"/>
          <w:szCs w:val="24"/>
          <w:lang w:val="hy-AM"/>
        </w:rPr>
        <w:t xml:space="preserve">, </w:t>
      </w:r>
    </w:p>
    <w:p w14:paraId="2558922E" w14:textId="58695123" w:rsidR="00EF468F" w:rsidRPr="0024601A" w:rsidRDefault="00EF468F" w:rsidP="00D25024">
      <w:pPr>
        <w:numPr>
          <w:ilvl w:val="0"/>
          <w:numId w:val="30"/>
        </w:numPr>
        <w:tabs>
          <w:tab w:val="left" w:pos="0"/>
          <w:tab w:val="left" w:pos="284"/>
        </w:tabs>
        <w:autoSpaceDE w:val="0"/>
        <w:autoSpaceDN w:val="0"/>
        <w:adjustRightInd w:val="0"/>
        <w:spacing w:before="0" w:after="0" w:line="276" w:lineRule="auto"/>
        <w:rPr>
          <w:rFonts w:eastAsia="Calibri" w:cs="GHEA Grapalat"/>
          <w:sz w:val="24"/>
          <w:szCs w:val="24"/>
          <w:lang w:val="hy-AM"/>
        </w:rPr>
      </w:pPr>
      <w:r w:rsidRPr="0024601A">
        <w:rPr>
          <w:rFonts w:eastAsia="Calibri" w:cs="Arial"/>
          <w:sz w:val="24"/>
          <w:szCs w:val="24"/>
          <w:lang w:val="hy-AM"/>
        </w:rPr>
        <w:t>շարունակվելու</w:t>
      </w:r>
      <w:r w:rsidRPr="0024601A">
        <w:rPr>
          <w:rFonts w:eastAsia="Calibri" w:cs="GHEA Grapalat"/>
          <w:sz w:val="24"/>
          <w:szCs w:val="24"/>
          <w:lang w:val="hy-AM"/>
        </w:rPr>
        <w:t xml:space="preserve"> </w:t>
      </w:r>
      <w:r w:rsidRPr="0024601A">
        <w:rPr>
          <w:rFonts w:eastAsia="Calibri" w:cs="Arial"/>
          <w:sz w:val="24"/>
          <w:szCs w:val="24"/>
          <w:lang w:val="hy-AM"/>
        </w:rPr>
        <w:t>են ՀՀ-ում ճանապարհային ցանցի զարգացմանն ուղղված՝ տարեկան առնվազն 500</w:t>
      </w:r>
      <w:r w:rsidR="007F7151" w:rsidRPr="007F7151">
        <w:rPr>
          <w:rFonts w:eastAsia="Calibri" w:cs="Arial"/>
          <w:sz w:val="24"/>
          <w:szCs w:val="24"/>
          <w:lang w:val="hy-AM"/>
        </w:rPr>
        <w:t xml:space="preserve"> </w:t>
      </w:r>
      <w:r w:rsidRPr="0024601A">
        <w:rPr>
          <w:rFonts w:eastAsia="Calibri" w:cs="Arial"/>
          <w:sz w:val="24"/>
          <w:szCs w:val="24"/>
          <w:lang w:val="hy-AM"/>
        </w:rPr>
        <w:t>կմ ճանապարհների</w:t>
      </w:r>
      <w:r w:rsidRPr="0024601A">
        <w:rPr>
          <w:rFonts w:eastAsia="Calibri" w:cs="GHEA Grapalat"/>
          <w:sz w:val="24"/>
          <w:szCs w:val="24"/>
          <w:lang w:val="hy-AM"/>
        </w:rPr>
        <w:t xml:space="preserve"> </w:t>
      </w:r>
      <w:r w:rsidRPr="0024601A">
        <w:rPr>
          <w:rFonts w:eastAsia="Calibri" w:cs="Arial"/>
          <w:sz w:val="24"/>
          <w:szCs w:val="24"/>
          <w:lang w:val="hy-AM"/>
        </w:rPr>
        <w:t>հիմնանորոգման</w:t>
      </w:r>
      <w:r w:rsidRPr="0024601A">
        <w:rPr>
          <w:rFonts w:eastAsia="Calibri" w:cs="GHEA Grapalat"/>
          <w:sz w:val="24"/>
          <w:szCs w:val="24"/>
          <w:lang w:val="hy-AM"/>
        </w:rPr>
        <w:t xml:space="preserve"> </w:t>
      </w:r>
      <w:r w:rsidRPr="0024601A">
        <w:rPr>
          <w:rFonts w:eastAsia="Calibri" w:cs="Arial"/>
          <w:sz w:val="24"/>
          <w:szCs w:val="24"/>
          <w:lang w:val="hy-AM"/>
        </w:rPr>
        <w:t>և</w:t>
      </w:r>
      <w:r w:rsidRPr="0024601A">
        <w:rPr>
          <w:rFonts w:eastAsia="Calibri" w:cs="GHEA Grapalat"/>
          <w:sz w:val="24"/>
          <w:szCs w:val="24"/>
          <w:lang w:val="hy-AM"/>
        </w:rPr>
        <w:t xml:space="preserve"> </w:t>
      </w:r>
      <w:r w:rsidRPr="0024601A">
        <w:rPr>
          <w:rFonts w:eastAsia="Calibri" w:cs="Arial"/>
          <w:sz w:val="24"/>
          <w:szCs w:val="24"/>
          <w:lang w:val="hy-AM"/>
        </w:rPr>
        <w:t>միջին</w:t>
      </w:r>
      <w:r w:rsidRPr="0024601A">
        <w:rPr>
          <w:rFonts w:eastAsia="Calibri" w:cs="GHEA Grapalat"/>
          <w:sz w:val="24"/>
          <w:szCs w:val="24"/>
          <w:lang w:val="hy-AM"/>
        </w:rPr>
        <w:t xml:space="preserve"> </w:t>
      </w:r>
      <w:r w:rsidRPr="0024601A">
        <w:rPr>
          <w:rFonts w:eastAsia="Calibri" w:cs="Arial"/>
          <w:sz w:val="24"/>
          <w:szCs w:val="24"/>
          <w:lang w:val="hy-AM"/>
        </w:rPr>
        <w:t>նորոգման</w:t>
      </w:r>
      <w:r w:rsidRPr="0024601A">
        <w:rPr>
          <w:rFonts w:eastAsia="Calibri" w:cs="GHEA Grapalat"/>
          <w:sz w:val="24"/>
          <w:szCs w:val="24"/>
          <w:lang w:val="hy-AM"/>
        </w:rPr>
        <w:t xml:space="preserve"> </w:t>
      </w:r>
      <w:r w:rsidRPr="0024601A">
        <w:rPr>
          <w:rFonts w:eastAsia="Calibri" w:cs="Arial"/>
          <w:sz w:val="24"/>
          <w:szCs w:val="24"/>
          <w:lang w:val="hy-AM"/>
        </w:rPr>
        <w:t>աշխատանքների</w:t>
      </w:r>
      <w:r w:rsidRPr="0024601A">
        <w:rPr>
          <w:rFonts w:eastAsia="Calibri" w:cs="GHEA Grapalat"/>
          <w:sz w:val="24"/>
          <w:szCs w:val="24"/>
          <w:lang w:val="hy-AM"/>
        </w:rPr>
        <w:t xml:space="preserve"> </w:t>
      </w:r>
      <w:r w:rsidRPr="0024601A">
        <w:rPr>
          <w:rFonts w:eastAsia="Calibri" w:cs="Arial"/>
          <w:sz w:val="24"/>
          <w:szCs w:val="24"/>
          <w:lang w:val="hy-AM"/>
        </w:rPr>
        <w:t>իրականացումը</w:t>
      </w:r>
      <w:r w:rsidRPr="0024601A">
        <w:rPr>
          <w:rFonts w:eastAsia="Calibri" w:cs="GHEA Grapalat"/>
          <w:sz w:val="24"/>
          <w:szCs w:val="24"/>
          <w:lang w:val="hy-AM"/>
        </w:rPr>
        <w:t xml:space="preserve">, </w:t>
      </w:r>
      <w:r w:rsidRPr="0024601A">
        <w:rPr>
          <w:rFonts w:eastAsia="Calibri" w:cs="Arial"/>
          <w:sz w:val="24"/>
          <w:szCs w:val="24"/>
          <w:lang w:val="hy-AM"/>
        </w:rPr>
        <w:t>կշարունակվի</w:t>
      </w:r>
      <w:r w:rsidRPr="0024601A">
        <w:rPr>
          <w:rFonts w:eastAsia="Calibri" w:cs="GHEA Grapalat"/>
          <w:sz w:val="24"/>
          <w:szCs w:val="24"/>
          <w:lang w:val="hy-AM"/>
        </w:rPr>
        <w:t xml:space="preserve"> </w:t>
      </w:r>
      <w:r w:rsidRPr="0024601A">
        <w:rPr>
          <w:rFonts w:eastAsia="Calibri" w:cs="Arial"/>
          <w:sz w:val="24"/>
          <w:szCs w:val="24"/>
          <w:lang w:val="hy-AM"/>
        </w:rPr>
        <w:t>Հյուսիս</w:t>
      </w:r>
      <w:r w:rsidRPr="0024601A">
        <w:rPr>
          <w:rFonts w:eastAsia="Calibri" w:cs="GHEA Grapalat"/>
          <w:sz w:val="24"/>
          <w:szCs w:val="24"/>
          <w:lang w:val="hy-AM"/>
        </w:rPr>
        <w:t>-</w:t>
      </w:r>
      <w:r w:rsidRPr="0024601A">
        <w:rPr>
          <w:rFonts w:eastAsia="Calibri" w:cs="Arial"/>
          <w:sz w:val="24"/>
          <w:szCs w:val="24"/>
          <w:lang w:val="hy-AM"/>
        </w:rPr>
        <w:t>հարավ</w:t>
      </w:r>
      <w:r w:rsidRPr="0024601A">
        <w:rPr>
          <w:rFonts w:eastAsia="Calibri" w:cs="GHEA Grapalat"/>
          <w:sz w:val="24"/>
          <w:szCs w:val="24"/>
          <w:lang w:val="hy-AM"/>
        </w:rPr>
        <w:t xml:space="preserve"> </w:t>
      </w:r>
      <w:r w:rsidRPr="0024601A">
        <w:rPr>
          <w:rFonts w:eastAsia="Calibri" w:cs="Arial"/>
          <w:sz w:val="24"/>
          <w:szCs w:val="24"/>
          <w:lang w:val="hy-AM"/>
        </w:rPr>
        <w:t>ճանապարհային</w:t>
      </w:r>
      <w:r w:rsidRPr="0024601A">
        <w:rPr>
          <w:rFonts w:eastAsia="Calibri" w:cs="GHEA Grapalat"/>
          <w:sz w:val="24"/>
          <w:szCs w:val="24"/>
          <w:lang w:val="hy-AM"/>
        </w:rPr>
        <w:t xml:space="preserve"> </w:t>
      </w:r>
      <w:r w:rsidRPr="0024601A">
        <w:rPr>
          <w:rFonts w:eastAsia="Calibri" w:cs="Arial"/>
          <w:sz w:val="24"/>
          <w:szCs w:val="24"/>
          <w:lang w:val="hy-AM"/>
        </w:rPr>
        <w:t>միջանցքի</w:t>
      </w:r>
      <w:r w:rsidRPr="0024601A">
        <w:rPr>
          <w:rFonts w:eastAsia="Calibri" w:cs="GHEA Grapalat"/>
          <w:sz w:val="24"/>
          <w:szCs w:val="24"/>
          <w:lang w:val="hy-AM"/>
        </w:rPr>
        <w:t xml:space="preserve"> </w:t>
      </w:r>
      <w:r w:rsidRPr="0024601A">
        <w:rPr>
          <w:rFonts w:eastAsia="Calibri" w:cs="Arial"/>
          <w:sz w:val="24"/>
          <w:szCs w:val="24"/>
          <w:lang w:val="hy-AM"/>
        </w:rPr>
        <w:t>կառուցումը</w:t>
      </w:r>
      <w:r w:rsidRPr="0024601A">
        <w:rPr>
          <w:rFonts w:eastAsia="Calibri" w:cs="GHEA Grapalat"/>
          <w:sz w:val="24"/>
          <w:szCs w:val="24"/>
          <w:lang w:val="hy-AM"/>
        </w:rPr>
        <w:t xml:space="preserve"> </w:t>
      </w:r>
      <w:r w:rsidRPr="0024601A">
        <w:rPr>
          <w:rFonts w:eastAsia="Calibri" w:cs="Arial"/>
          <w:sz w:val="24"/>
          <w:szCs w:val="24"/>
          <w:lang w:val="hy-AM"/>
        </w:rPr>
        <w:t>և</w:t>
      </w:r>
      <w:r w:rsidRPr="0024601A">
        <w:rPr>
          <w:rFonts w:eastAsia="Calibri" w:cs="GHEA Grapalat"/>
          <w:sz w:val="24"/>
          <w:szCs w:val="24"/>
          <w:lang w:val="hy-AM"/>
        </w:rPr>
        <w:t xml:space="preserve"> </w:t>
      </w:r>
      <w:r w:rsidRPr="0024601A">
        <w:rPr>
          <w:rFonts w:eastAsia="Calibri" w:cs="Arial"/>
          <w:sz w:val="24"/>
          <w:szCs w:val="24"/>
          <w:lang w:val="hy-AM"/>
        </w:rPr>
        <w:t>այլն</w:t>
      </w:r>
      <w:r w:rsidRPr="0024601A">
        <w:rPr>
          <w:rFonts w:eastAsia="Calibri" w:cs="GHEA Grapalat"/>
          <w:sz w:val="24"/>
          <w:szCs w:val="24"/>
          <w:lang w:val="hy-AM"/>
        </w:rPr>
        <w:t>:</w:t>
      </w:r>
    </w:p>
    <w:p w14:paraId="458DDE3E" w14:textId="77777777" w:rsidR="00EE5F12" w:rsidRPr="0035224B" w:rsidRDefault="00EE5F12" w:rsidP="00D25024">
      <w:pPr>
        <w:tabs>
          <w:tab w:val="right" w:pos="0"/>
        </w:tabs>
        <w:spacing w:after="120" w:line="276" w:lineRule="auto"/>
        <w:ind w:firstLine="0"/>
        <w:rPr>
          <w:lang w:val="hy-AM"/>
        </w:rPr>
      </w:pPr>
      <w:r>
        <w:rPr>
          <w:lang w:val="hy-AM"/>
        </w:rPr>
        <w:t>Վերոհիշյալ նպատակներին հասնելու</w:t>
      </w:r>
      <w:r w:rsidRPr="0035224B">
        <w:rPr>
          <w:lang w:val="hy-AM"/>
        </w:rPr>
        <w:t xml:space="preserve"> ո</w:t>
      </w:r>
      <w:r>
        <w:rPr>
          <w:lang w:val="hy-AM"/>
        </w:rPr>
        <w:t>ւ թիրախներն ապահովելու</w:t>
      </w:r>
      <w:r w:rsidRPr="00EE5F12">
        <w:rPr>
          <w:lang w:val="hy-AM"/>
        </w:rPr>
        <w:t xml:space="preserve"> </w:t>
      </w:r>
      <w:r>
        <w:rPr>
          <w:lang w:val="hy-AM"/>
        </w:rPr>
        <w:t>համար ձևավորվել է այնպիսի միջնաժամկետ մակրոտնտեսական և հարկաբյուջետային շրջանակ, որը մի կողմից կապահովի անհրաժեշտ ռեսուրսներ ՀՀ կառավարության ռեֆորմների արդյունավետ իրագործման համար, իսկ մյուս կողմից համաշխարհային տուրբուլենտ ժամանակաշրջանում կպահպանի հետագա կայուն զարգացման համար անկյունաքարային նշանակություն ունեցող մակրոտնտեսական և հարկաբյուջետային կայունությունը: Այս մոտեցումը թույլ կտա անհրաժեշտ միջավայր և հենասյուներ ձևավորել Հայաստանը տարածաշրջանում մրցունակ, նորարար ու արդար տրանսպորտային և տոխնոլոգիական հանգույց դարձնելու՝ ՀՀ կառավարության տեսլականի իրագործման համար:</w:t>
      </w:r>
    </w:p>
    <w:p w14:paraId="6E93C2DE" w14:textId="77777777" w:rsidR="00EE5F12" w:rsidRDefault="00EE5F12" w:rsidP="00D25024">
      <w:pPr>
        <w:tabs>
          <w:tab w:val="right" w:pos="0"/>
        </w:tabs>
        <w:spacing w:after="120" w:line="276" w:lineRule="auto"/>
        <w:ind w:firstLine="0"/>
        <w:rPr>
          <w:lang w:val="hy-AM"/>
        </w:rPr>
      </w:pPr>
      <w:r>
        <w:rPr>
          <w:lang w:val="hy-AM"/>
        </w:rPr>
        <w:t xml:space="preserve">Մասնավորապես, </w:t>
      </w:r>
      <w:r w:rsidRPr="003D51D0">
        <w:rPr>
          <w:lang w:val="hy-AM"/>
        </w:rPr>
        <w:t xml:space="preserve">2024 թվականի համար սպասվում է շուրջ 6.3% տնտեսական աճ, իսկ </w:t>
      </w:r>
      <w:r>
        <w:rPr>
          <w:lang w:val="hy-AM"/>
        </w:rPr>
        <w:t>միջնաժամկետում՝ կանխատեսվում միջինում</w:t>
      </w:r>
      <w:r w:rsidRPr="003D51D0">
        <w:rPr>
          <w:lang w:val="hy-AM"/>
        </w:rPr>
        <w:t xml:space="preserve"> 5</w:t>
      </w:r>
      <w:r w:rsidRPr="00E6401F">
        <w:rPr>
          <w:rFonts w:ascii="Cambria Math" w:hAnsi="Cambria Math" w:cs="Cambria Math"/>
          <w:lang w:val="hy-AM"/>
        </w:rPr>
        <w:t>․</w:t>
      </w:r>
      <w:r w:rsidRPr="003D51D0">
        <w:rPr>
          <w:lang w:val="hy-AM"/>
        </w:rPr>
        <w:t xml:space="preserve">7% </w:t>
      </w:r>
      <w:r w:rsidRPr="00E6401F">
        <w:rPr>
          <w:lang w:val="hy-AM"/>
        </w:rPr>
        <w:t>աճ</w:t>
      </w:r>
      <w:r w:rsidRPr="003D51D0">
        <w:rPr>
          <w:lang w:val="hy-AM"/>
        </w:rPr>
        <w:t>:</w:t>
      </w:r>
      <w:r>
        <w:rPr>
          <w:lang w:val="hy-AM"/>
        </w:rPr>
        <w:t xml:space="preserve"> Այս պայմաններում ՀՀ կառավարության ծրագրի </w:t>
      </w:r>
      <w:r w:rsidRPr="00BC69D0">
        <w:rPr>
          <w:lang w:val="hy-AM"/>
        </w:rPr>
        <w:t>2021-2026</w:t>
      </w:r>
      <w:r>
        <w:rPr>
          <w:lang w:val="hy-AM"/>
        </w:rPr>
        <w:t>թթ. միջինում առնվազն</w:t>
      </w:r>
      <w:r w:rsidRPr="008D4DA6">
        <w:rPr>
          <w:lang w:val="hy-AM"/>
        </w:rPr>
        <w:t xml:space="preserve"> </w:t>
      </w:r>
      <w:r>
        <w:rPr>
          <w:lang w:val="hy-AM"/>
        </w:rPr>
        <w:t>7</w:t>
      </w:r>
      <w:r w:rsidRPr="008D4DA6">
        <w:rPr>
          <w:lang w:val="hy-AM"/>
        </w:rPr>
        <w:t>%</w:t>
      </w:r>
      <w:r>
        <w:rPr>
          <w:lang w:val="hy-AM"/>
        </w:rPr>
        <w:t xml:space="preserve"> տնտեսական աճը կապահովվի: Ընդ որում, վ</w:t>
      </w:r>
      <w:r w:rsidRPr="00306BA9">
        <w:rPr>
          <w:lang w:val="hy-AM"/>
        </w:rPr>
        <w:t>երջին տարիներին ՀՀ տնտեսական աճի ներուժը բարձրացել է՝ հասնելով 5.0-5.5%</w:t>
      </w:r>
      <w:r>
        <w:rPr>
          <w:lang w:val="hy-AM"/>
        </w:rPr>
        <w:t xml:space="preserve">, որի վրա ի թիվս այլ գործոնների իրենց էական ազդեցությունն են թողել ՀՀ կառավարության կողմից ենթակառուցվածքներում ներդրումների շարունակական աճը, ՀՀ կառավարության կողմից աջակցվող տնտեսական զարգացման տեսանկյունից առաջնահերթ ոլորտներից մեկի՝ ՏՏ ոլորտի դրական զարգացումները, Լեռնային Ղարաբաղից բռնի տեղահանված մեր հայրենակիցների աշխատանքի շուկայում ինտեգրման ջանքերը: </w:t>
      </w:r>
      <w:r w:rsidRPr="003D51D0">
        <w:rPr>
          <w:lang w:val="hy-AM"/>
        </w:rPr>
        <w:t xml:space="preserve"> </w:t>
      </w:r>
      <w:r>
        <w:rPr>
          <w:lang w:val="hy-AM"/>
        </w:rPr>
        <w:t>Այս աճը պահպանելու և ավելի բարձր՝ 7</w:t>
      </w:r>
      <w:r w:rsidRPr="008D4DA6">
        <w:rPr>
          <w:lang w:val="hy-AM"/>
        </w:rPr>
        <w:t>%</w:t>
      </w:r>
      <w:r>
        <w:rPr>
          <w:lang w:val="hy-AM"/>
        </w:rPr>
        <w:t xml:space="preserve"> կայուն աճի</w:t>
      </w:r>
      <w:r w:rsidRPr="00306BA9">
        <w:rPr>
          <w:lang w:val="hy-AM"/>
        </w:rPr>
        <w:t xml:space="preserve"> հասնելու համար </w:t>
      </w:r>
      <w:r>
        <w:rPr>
          <w:lang w:val="hy-AM"/>
        </w:rPr>
        <w:t xml:space="preserve">ՀՀ կառավարությունը կշարունակի ներդնել </w:t>
      </w:r>
      <w:r w:rsidRPr="00306BA9">
        <w:rPr>
          <w:lang w:val="hy-AM"/>
        </w:rPr>
        <w:t xml:space="preserve">լրացուցիչ ջանքեր՝ </w:t>
      </w:r>
      <w:r w:rsidRPr="008D4DA6">
        <w:rPr>
          <w:color w:val="000000" w:themeColor="text1"/>
          <w:lang w:val="hy-AM"/>
        </w:rPr>
        <w:t xml:space="preserve">մարդկային և ֆիզիկական կապիտալում </w:t>
      </w:r>
      <w:r w:rsidRPr="00306BA9">
        <w:rPr>
          <w:lang w:val="hy-AM"/>
        </w:rPr>
        <w:t>ներդրումների,</w:t>
      </w:r>
      <w:r w:rsidRPr="008D4DA6">
        <w:rPr>
          <w:lang w:val="hy-AM"/>
        </w:rPr>
        <w:t xml:space="preserve"> </w:t>
      </w:r>
      <w:r>
        <w:rPr>
          <w:lang w:val="hy-AM"/>
        </w:rPr>
        <w:t>մասնավոր ներդրումների, զբաղվածության</w:t>
      </w:r>
      <w:r w:rsidRPr="00306BA9">
        <w:rPr>
          <w:lang w:val="hy-AM"/>
        </w:rPr>
        <w:t xml:space="preserve"> </w:t>
      </w:r>
      <w:r>
        <w:rPr>
          <w:lang w:val="hy-AM"/>
        </w:rPr>
        <w:t>և</w:t>
      </w:r>
      <w:r w:rsidRPr="008D4DA6">
        <w:rPr>
          <w:lang w:val="hy-AM"/>
        </w:rPr>
        <w:t xml:space="preserve"> </w:t>
      </w:r>
      <w:r w:rsidRPr="00306BA9">
        <w:rPr>
          <w:lang w:val="hy-AM"/>
        </w:rPr>
        <w:t>արտահանման խթանմանն ուղղված ռազմավարությունների</w:t>
      </w:r>
      <w:r>
        <w:rPr>
          <w:lang w:val="hy-AM"/>
        </w:rPr>
        <w:t xml:space="preserve"> </w:t>
      </w:r>
      <w:r w:rsidRPr="007046F3">
        <w:rPr>
          <w:lang w:val="hy-AM"/>
        </w:rPr>
        <w:t>արդյունավետ իրականացման,</w:t>
      </w:r>
      <w:r>
        <w:rPr>
          <w:lang w:val="hy-AM"/>
        </w:rPr>
        <w:t xml:space="preserve"> ինչպես նաև պետական համակարգի արդյունավետության ու հանրությանը մատուցվող ծառայությունների</w:t>
      </w:r>
      <w:r w:rsidRPr="00306BA9">
        <w:rPr>
          <w:lang w:val="hy-AM"/>
        </w:rPr>
        <w:t xml:space="preserve"> </w:t>
      </w:r>
      <w:r>
        <w:rPr>
          <w:lang w:val="hy-AM"/>
        </w:rPr>
        <w:t>որակի բարձրացման ճանապարհով</w:t>
      </w:r>
      <w:r w:rsidRPr="00306BA9">
        <w:rPr>
          <w:lang w:val="hy-AM"/>
        </w:rPr>
        <w:t>։</w:t>
      </w:r>
    </w:p>
    <w:p w14:paraId="35A7B064" w14:textId="77777777" w:rsidR="00EE5F12" w:rsidRDefault="00EE5F12" w:rsidP="00D25024">
      <w:pPr>
        <w:tabs>
          <w:tab w:val="right" w:pos="0"/>
        </w:tabs>
        <w:spacing w:after="120" w:line="276" w:lineRule="auto"/>
        <w:ind w:firstLine="0"/>
        <w:rPr>
          <w:lang w:val="hy-AM"/>
        </w:rPr>
      </w:pPr>
      <w:r w:rsidRPr="00F97DAB">
        <w:rPr>
          <w:lang w:val="hy-AM"/>
        </w:rPr>
        <w:t xml:space="preserve">Միջինաժամկետ հատվածում հարկաբյուջետային քաղաքականությունն ուղղված կլինի </w:t>
      </w:r>
      <w:r>
        <w:rPr>
          <w:lang w:val="hy-AM"/>
        </w:rPr>
        <w:t>նշված</w:t>
      </w:r>
      <w:r w:rsidRPr="00F97DAB">
        <w:rPr>
          <w:lang w:val="hy-AM"/>
        </w:rPr>
        <w:t xml:space="preserve"> բարեփոխումների սահուն ընթաց</w:t>
      </w:r>
      <w:r>
        <w:rPr>
          <w:lang w:val="hy-AM"/>
        </w:rPr>
        <w:t>ք</w:t>
      </w:r>
      <w:r w:rsidRPr="00F97DAB">
        <w:rPr>
          <w:lang w:val="hy-AM"/>
        </w:rPr>
        <w:t>ը երաշխավորելու</w:t>
      </w:r>
      <w:r>
        <w:rPr>
          <w:lang w:val="hy-AM"/>
        </w:rPr>
        <w:t>,</w:t>
      </w:r>
      <w:r w:rsidRPr="00F97DAB">
        <w:rPr>
          <w:lang w:val="hy-AM"/>
        </w:rPr>
        <w:t xml:space="preserve"> </w:t>
      </w:r>
      <w:r>
        <w:rPr>
          <w:lang w:val="hy-AM"/>
        </w:rPr>
        <w:t>տնտեսական և պաշտպանական ենթակառուցվածքներում,</w:t>
      </w:r>
      <w:r w:rsidRPr="00F97DAB">
        <w:rPr>
          <w:lang w:val="hy-AM"/>
        </w:rPr>
        <w:t xml:space="preserve"> մարդկային կապիտալում ներդրումների մակարդակի էական բարձրացման միջոցով տնտեսության </w:t>
      </w:r>
      <w:r>
        <w:rPr>
          <w:lang w:val="hy-AM"/>
        </w:rPr>
        <w:t xml:space="preserve">դիմակայունության ամրապնդմանն ու </w:t>
      </w:r>
      <w:r w:rsidRPr="00F97DAB">
        <w:rPr>
          <w:lang w:val="hy-AM"/>
        </w:rPr>
        <w:t xml:space="preserve">աճի ներուժի բարձրացմանը։ </w:t>
      </w:r>
      <w:r>
        <w:rPr>
          <w:lang w:val="hy-AM"/>
        </w:rPr>
        <w:t>Այս քաղաքականությունը իրականացվելու</w:t>
      </w:r>
      <w:r w:rsidRPr="00F97DAB">
        <w:rPr>
          <w:lang w:val="hy-AM"/>
        </w:rPr>
        <w:t xml:space="preserve"> է միջնաժամկետի սկզբում </w:t>
      </w:r>
      <w:r>
        <w:rPr>
          <w:lang w:val="hy-AM"/>
        </w:rPr>
        <w:t>ավելի մեծ</w:t>
      </w:r>
      <w:r w:rsidRPr="00F97DAB">
        <w:rPr>
          <w:lang w:val="hy-AM"/>
        </w:rPr>
        <w:t xml:space="preserve"> ռեսուրսների ձևավորման ճանապարհով, ինչի արդյունքում բյուջեի պակասուրդը </w:t>
      </w:r>
      <w:r>
        <w:rPr>
          <w:lang w:val="hy-AM"/>
        </w:rPr>
        <w:t>2024-2025</w:t>
      </w:r>
      <w:r w:rsidRPr="00F97DAB">
        <w:rPr>
          <w:lang w:val="hy-AM"/>
        </w:rPr>
        <w:t>թթ</w:t>
      </w:r>
      <w:r w:rsidRPr="00262E03">
        <w:rPr>
          <w:rFonts w:ascii="Cambria Math" w:hAnsi="Cambria Math" w:cs="Cambria Math"/>
          <w:lang w:val="hy-AM"/>
        </w:rPr>
        <w:t>․</w:t>
      </w:r>
      <w:r w:rsidRPr="008D4DA6">
        <w:rPr>
          <w:lang w:val="hy-AM"/>
        </w:rPr>
        <w:t xml:space="preserve"> կաճի՝ հանգեցնելով կառավարության պարտքի բեռի որոշակի </w:t>
      </w:r>
      <w:r>
        <w:rPr>
          <w:lang w:val="hy-AM"/>
        </w:rPr>
        <w:t>մեծացմանը</w:t>
      </w:r>
      <w:r w:rsidRPr="008D4DA6">
        <w:rPr>
          <w:lang w:val="hy-AM"/>
        </w:rPr>
        <w:t xml:space="preserve">, որից հետո </w:t>
      </w:r>
      <w:r w:rsidRPr="008D4DA6">
        <w:rPr>
          <w:lang w:val="hy-AM"/>
        </w:rPr>
        <w:lastRenderedPageBreak/>
        <w:t>տեղի կունենա հարկաբյուջետային կոնսոլիդացիա, որով պ</w:t>
      </w:r>
      <w:r>
        <w:rPr>
          <w:lang w:val="hy-AM"/>
        </w:rPr>
        <w:t>արտքի բեռը 2026-2027թթ.</w:t>
      </w:r>
      <w:r w:rsidRPr="008D4DA6">
        <w:rPr>
          <w:lang w:val="hy-AM"/>
        </w:rPr>
        <w:t xml:space="preserve"> կկայունանա 55%-ի մակարդակում։ Ընդ որում, տնտեսական աճի՝ իր ներուժային մակարդակին մոտենալու պայմաններում հարկաբյուջետային քաղաքականությունը ամբողջական պահանջարկի վրա կունենա չեզոք ազդեցություն։ </w:t>
      </w:r>
    </w:p>
    <w:p w14:paraId="7D26BBF9" w14:textId="77777777" w:rsidR="00EE5F12" w:rsidRDefault="00EE5F12" w:rsidP="00D25024">
      <w:pPr>
        <w:tabs>
          <w:tab w:val="right" w:pos="0"/>
        </w:tabs>
        <w:spacing w:after="120" w:line="276" w:lineRule="auto"/>
        <w:ind w:firstLine="0"/>
        <w:rPr>
          <w:lang w:val="hy-AM"/>
        </w:rPr>
      </w:pPr>
      <w:r w:rsidRPr="00D90A60">
        <w:rPr>
          <w:lang w:val="hy-AM"/>
        </w:rPr>
        <w:t xml:space="preserve">Միջնաժամկետում </w:t>
      </w:r>
      <w:r>
        <w:rPr>
          <w:lang w:val="hy-AM"/>
        </w:rPr>
        <w:t>կշարունակվեն հարկերի հավաքագրման վերջին տարիներին գրանցած ջանքերը: Ս</w:t>
      </w:r>
      <w:r w:rsidRPr="00E8346A">
        <w:rPr>
          <w:lang w:val="hy-AM"/>
        </w:rPr>
        <w:t>տվերի դեմ պայքարի</w:t>
      </w:r>
      <w:r>
        <w:rPr>
          <w:lang w:val="hy-AM"/>
        </w:rPr>
        <w:t>ն ուղղված հ</w:t>
      </w:r>
      <w:r w:rsidRPr="00D90A60">
        <w:rPr>
          <w:lang w:val="hy-AM"/>
        </w:rPr>
        <w:t>արկ</w:t>
      </w:r>
      <w:r>
        <w:rPr>
          <w:lang w:val="hy-AM"/>
        </w:rPr>
        <w:t>ային վարչարարության բարելավման,</w:t>
      </w:r>
      <w:r w:rsidRPr="00D90A60">
        <w:rPr>
          <w:lang w:val="hy-AM"/>
        </w:rPr>
        <w:t xml:space="preserve"> ինչպես նաև</w:t>
      </w:r>
      <w:r>
        <w:rPr>
          <w:lang w:val="hy-AM"/>
        </w:rPr>
        <w:t xml:space="preserve"> տնտեսական խեղաթյուրումները վերացնող և մասնավոր ներդրումների խթանմանը ու</w:t>
      </w:r>
      <w:r w:rsidRPr="00D90A60">
        <w:rPr>
          <w:lang w:val="hy-AM"/>
        </w:rPr>
        <w:t xml:space="preserve"> </w:t>
      </w:r>
      <w:r>
        <w:rPr>
          <w:lang w:val="hy-AM"/>
        </w:rPr>
        <w:t xml:space="preserve">տնտեսության ներուժի բարձրացմանը միտված </w:t>
      </w:r>
      <w:r w:rsidRPr="00D90A60">
        <w:rPr>
          <w:lang w:val="hy-AM"/>
        </w:rPr>
        <w:t>հարկային քաղաքականության միջոցառումների արդյունքում ակնկալվում է ապահովել հարկեր/ՀՆԱ հարաբերակցության շարունակական բարելավում՝ 2024թ. 0.5, իսկ միջնաժամկետում միջինում 0.6 տոկոսային կետով՝  2027թ</w:t>
      </w:r>
      <w:r w:rsidRPr="00D90A60">
        <w:rPr>
          <w:rFonts w:ascii="Cambria Math" w:hAnsi="Cambria Math" w:cs="Cambria Math"/>
          <w:lang w:val="hy-AM"/>
        </w:rPr>
        <w:t>․</w:t>
      </w:r>
      <w:r w:rsidRPr="00D90A60">
        <w:rPr>
          <w:lang w:val="hy-AM"/>
        </w:rPr>
        <w:t xml:space="preserve"> հասցնելով 26.2%-ի: </w:t>
      </w:r>
    </w:p>
    <w:p w14:paraId="520642E1" w14:textId="77777777" w:rsidR="00EE5F12" w:rsidRDefault="00EE5F12" w:rsidP="00D25024">
      <w:pPr>
        <w:tabs>
          <w:tab w:val="right" w:pos="0"/>
        </w:tabs>
        <w:spacing w:after="120" w:line="276" w:lineRule="auto"/>
        <w:ind w:firstLine="0"/>
        <w:rPr>
          <w:lang w:val="hy-AM"/>
        </w:rPr>
      </w:pPr>
      <w:r>
        <w:rPr>
          <w:lang w:val="hy-AM"/>
        </w:rPr>
        <w:t>Պարտքի կառավարելի մակարդակում պահպանմանը զուգահեռ ՀՀ կառավարությունը կշարունակի պարտքի պորտֆելի բարելավման ջանքերը՝ նպատակ ունենալով պահպանել դիմակայունությունը հնարավոր ցնցումներին, պետական պարտատոմսերի շուկայի շարունակական զարգացումը և խորացումը, հասանելիությունը ներքին ու արտաքին ֆինանսական շուկաներին, ինչպես նաև ֆինանսավորման աղբյուրների ու գործիքների դիվերսիֆիկացումը: Այս տեսանկյունից ՀՀ կառավարության պարտքի կառուցվածքում ներքին արժույթով պարտքը կշարունակի պահպպանվել պատմականորեն բարձր մակարդակներում, կշարունակվեն արտաքին ներդրողների մոտ պարտատոմսերի շուկայի բարձր գրավչության պահպանման ջանքերը, ինչպես նաև կընդլայնվի միջազգային ֆինանսական կառույցների հետ համագործակցությունը՝ ավանդական գործիքներին զուգահեռ ներգրավելով նոր թիրախային ֆինանսավորման գործիքներ ՀՀ կառավարության տարբեր ոլորտների ռազմավարությունների արյդունավետ իրականացման համար:</w:t>
      </w:r>
    </w:p>
    <w:p w14:paraId="5540A2A7" w14:textId="77777777" w:rsidR="00EE5F12" w:rsidRDefault="00EE5F12" w:rsidP="00D25024">
      <w:pPr>
        <w:tabs>
          <w:tab w:val="right" w:pos="0"/>
        </w:tabs>
        <w:spacing w:after="120" w:line="276" w:lineRule="auto"/>
        <w:ind w:firstLine="0"/>
        <w:rPr>
          <w:lang w:val="hy-AM"/>
        </w:rPr>
      </w:pPr>
      <w:r>
        <w:rPr>
          <w:lang w:val="hy-AM"/>
        </w:rPr>
        <w:t>Հաշվի առնելով աշխարհում և տարածաշրջանում բարձր անորոշությունները ՀՀ կառավարությունը շարունակելու է ամրապնդել տնտեսական ու հարկաբյուջետային սցենարների կազմման և ռիսկերի կառավարման համակարգերի զարգացման մեծ թափ առած ընթացքը, որոնք թույլ կտան միջնաժամկետում ֆինանսավորման անհրաժեշտ պահուստների նախատեսման և հարկային ու ծախսային քաղաքականությունների վերանայման միջոցով սահուն իրագործել ՀՀ կառավարության առաջնահերթ ծախսերը:</w:t>
      </w:r>
    </w:p>
    <w:p w14:paraId="2BACD69B" w14:textId="77777777" w:rsidR="00EE5F12" w:rsidRPr="00D90A60" w:rsidRDefault="00EE5F12" w:rsidP="00EE5F12">
      <w:pPr>
        <w:tabs>
          <w:tab w:val="right" w:pos="0"/>
        </w:tabs>
        <w:spacing w:after="120" w:line="276" w:lineRule="auto"/>
        <w:rPr>
          <w:lang w:val="hy-AM"/>
        </w:rPr>
      </w:pPr>
    </w:p>
    <w:p w14:paraId="58B3DD1D" w14:textId="6B1CA90A" w:rsidR="001E4DDB" w:rsidRPr="001E4DDB" w:rsidRDefault="001E4DDB" w:rsidP="001E4DDB">
      <w:pPr>
        <w:tabs>
          <w:tab w:val="right" w:pos="0"/>
        </w:tabs>
        <w:spacing w:before="120" w:after="0" w:line="276" w:lineRule="auto"/>
        <w:ind w:firstLine="0"/>
        <w:contextualSpacing/>
        <w:rPr>
          <w:rFonts w:cs="GHEA Grapalat"/>
          <w:lang w:val="hy-AM"/>
        </w:rPr>
      </w:pPr>
    </w:p>
    <w:p w14:paraId="213FDFFB" w14:textId="77777777" w:rsidR="00080175" w:rsidRDefault="00080175" w:rsidP="00C30825">
      <w:pPr>
        <w:tabs>
          <w:tab w:val="left" w:pos="0"/>
        </w:tabs>
        <w:spacing w:before="120" w:after="0" w:line="276" w:lineRule="auto"/>
        <w:ind w:firstLine="0"/>
        <w:rPr>
          <w:lang w:val="hy-AM"/>
        </w:rPr>
      </w:pPr>
    </w:p>
    <w:p w14:paraId="2A806E56" w14:textId="77777777" w:rsidR="00080175" w:rsidRDefault="00080175" w:rsidP="00C30825">
      <w:pPr>
        <w:tabs>
          <w:tab w:val="left" w:pos="0"/>
        </w:tabs>
        <w:spacing w:before="120" w:after="0" w:line="276" w:lineRule="auto"/>
        <w:ind w:firstLine="0"/>
        <w:rPr>
          <w:lang w:val="hy-AM"/>
        </w:rPr>
      </w:pPr>
    </w:p>
    <w:p w14:paraId="1C159E07" w14:textId="77777777" w:rsidR="00080175" w:rsidRDefault="00080175" w:rsidP="00C30825">
      <w:pPr>
        <w:tabs>
          <w:tab w:val="left" w:pos="0"/>
        </w:tabs>
        <w:spacing w:before="120" w:after="0" w:line="276" w:lineRule="auto"/>
        <w:ind w:firstLine="0"/>
        <w:rPr>
          <w:lang w:val="hy-AM"/>
        </w:rPr>
      </w:pPr>
    </w:p>
    <w:p w14:paraId="045C42A5" w14:textId="77777777" w:rsidR="00080175" w:rsidRDefault="00080175" w:rsidP="00C30825">
      <w:pPr>
        <w:tabs>
          <w:tab w:val="left" w:pos="0"/>
        </w:tabs>
        <w:spacing w:before="120" w:after="0" w:line="276" w:lineRule="auto"/>
        <w:ind w:firstLine="0"/>
        <w:rPr>
          <w:lang w:val="hy-AM"/>
        </w:rPr>
      </w:pPr>
    </w:p>
    <w:p w14:paraId="62756E16" w14:textId="77777777" w:rsidR="00080175" w:rsidRDefault="00080175" w:rsidP="00C30825">
      <w:pPr>
        <w:tabs>
          <w:tab w:val="left" w:pos="0"/>
        </w:tabs>
        <w:spacing w:before="120" w:after="0" w:line="276" w:lineRule="auto"/>
        <w:ind w:firstLine="0"/>
        <w:rPr>
          <w:lang w:val="hy-AM"/>
        </w:rPr>
      </w:pPr>
    </w:p>
    <w:p w14:paraId="4E0D1A08" w14:textId="77777777" w:rsidR="00080175" w:rsidRDefault="00080175" w:rsidP="00C30825">
      <w:pPr>
        <w:tabs>
          <w:tab w:val="left" w:pos="0"/>
        </w:tabs>
        <w:spacing w:before="120" w:after="0" w:line="276" w:lineRule="auto"/>
        <w:ind w:firstLine="0"/>
        <w:rPr>
          <w:lang w:val="hy-AM"/>
        </w:rPr>
      </w:pPr>
    </w:p>
    <w:p w14:paraId="67AC8F27" w14:textId="77777777" w:rsidR="00080175" w:rsidRDefault="00080175" w:rsidP="00C30825">
      <w:pPr>
        <w:tabs>
          <w:tab w:val="left" w:pos="0"/>
        </w:tabs>
        <w:spacing w:before="120" w:after="0" w:line="276" w:lineRule="auto"/>
        <w:ind w:firstLine="0"/>
        <w:rPr>
          <w:lang w:val="hy-AM"/>
        </w:rPr>
      </w:pPr>
    </w:p>
    <w:p w14:paraId="61FCBABC" w14:textId="77777777" w:rsidR="00080175" w:rsidRDefault="00080175" w:rsidP="00C30825">
      <w:pPr>
        <w:tabs>
          <w:tab w:val="left" w:pos="0"/>
        </w:tabs>
        <w:spacing w:before="120" w:after="0" w:line="276" w:lineRule="auto"/>
        <w:ind w:firstLine="0"/>
        <w:rPr>
          <w:lang w:val="hy-AM"/>
        </w:rPr>
      </w:pPr>
    </w:p>
    <w:p w14:paraId="3794A9E5" w14:textId="77777777" w:rsidR="00080175" w:rsidRDefault="00080175" w:rsidP="00C30825">
      <w:pPr>
        <w:tabs>
          <w:tab w:val="left" w:pos="0"/>
        </w:tabs>
        <w:spacing w:before="120" w:after="0" w:line="276" w:lineRule="auto"/>
        <w:ind w:firstLine="0"/>
        <w:rPr>
          <w:lang w:val="hy-AM"/>
        </w:rPr>
      </w:pPr>
    </w:p>
    <w:p w14:paraId="5D4689BC" w14:textId="77777777" w:rsidR="00080175" w:rsidRDefault="00080175" w:rsidP="00C30825">
      <w:pPr>
        <w:tabs>
          <w:tab w:val="left" w:pos="0"/>
        </w:tabs>
        <w:spacing w:before="120" w:after="0" w:line="276" w:lineRule="auto"/>
        <w:ind w:firstLine="0"/>
        <w:rPr>
          <w:lang w:val="hy-AM"/>
        </w:rPr>
      </w:pPr>
    </w:p>
    <w:p w14:paraId="761EDF70" w14:textId="3437133D" w:rsidR="00080175" w:rsidRDefault="00080175" w:rsidP="00C30825">
      <w:pPr>
        <w:tabs>
          <w:tab w:val="left" w:pos="0"/>
        </w:tabs>
        <w:spacing w:before="120" w:after="0" w:line="276" w:lineRule="auto"/>
        <w:ind w:firstLine="0"/>
        <w:rPr>
          <w:lang w:val="hy-AM"/>
        </w:rPr>
      </w:pPr>
    </w:p>
    <w:p w14:paraId="3FE9D68A" w14:textId="08D83BA3" w:rsidR="00D25024" w:rsidRDefault="00D25024" w:rsidP="00C30825">
      <w:pPr>
        <w:tabs>
          <w:tab w:val="left" w:pos="0"/>
        </w:tabs>
        <w:spacing w:before="120" w:after="0" w:line="276" w:lineRule="auto"/>
        <w:ind w:firstLine="0"/>
        <w:rPr>
          <w:lang w:val="hy-AM"/>
        </w:rPr>
      </w:pPr>
    </w:p>
    <w:p w14:paraId="6A7484F9" w14:textId="131E3D78" w:rsidR="00D25024" w:rsidRDefault="00D25024" w:rsidP="00C30825">
      <w:pPr>
        <w:tabs>
          <w:tab w:val="left" w:pos="0"/>
        </w:tabs>
        <w:spacing w:before="120" w:after="0" w:line="276" w:lineRule="auto"/>
        <w:ind w:firstLine="0"/>
        <w:rPr>
          <w:lang w:val="hy-AM"/>
        </w:rPr>
      </w:pPr>
    </w:p>
    <w:p w14:paraId="0A28E57C" w14:textId="5DF8850F" w:rsidR="00D25024" w:rsidRDefault="00D25024" w:rsidP="00C30825">
      <w:pPr>
        <w:tabs>
          <w:tab w:val="left" w:pos="0"/>
        </w:tabs>
        <w:spacing w:before="120" w:after="0" w:line="276" w:lineRule="auto"/>
        <w:ind w:firstLine="0"/>
        <w:rPr>
          <w:lang w:val="hy-AM"/>
        </w:rPr>
      </w:pPr>
    </w:p>
    <w:p w14:paraId="22158770" w14:textId="2EF99840" w:rsidR="00D25024" w:rsidRDefault="00D25024" w:rsidP="00C30825">
      <w:pPr>
        <w:tabs>
          <w:tab w:val="left" w:pos="0"/>
        </w:tabs>
        <w:spacing w:before="120" w:after="0" w:line="276" w:lineRule="auto"/>
        <w:ind w:firstLine="0"/>
        <w:rPr>
          <w:lang w:val="hy-AM"/>
        </w:rPr>
      </w:pPr>
    </w:p>
    <w:p w14:paraId="38528A72" w14:textId="5195FDEC" w:rsidR="00D25024" w:rsidRDefault="00D25024" w:rsidP="00C30825">
      <w:pPr>
        <w:tabs>
          <w:tab w:val="left" w:pos="0"/>
        </w:tabs>
        <w:spacing w:before="120" w:after="0" w:line="276" w:lineRule="auto"/>
        <w:ind w:firstLine="0"/>
        <w:rPr>
          <w:lang w:val="hy-AM"/>
        </w:rPr>
      </w:pPr>
    </w:p>
    <w:p w14:paraId="023B1DA8" w14:textId="30ED5E1E" w:rsidR="00D25024" w:rsidRDefault="00D25024" w:rsidP="00C30825">
      <w:pPr>
        <w:tabs>
          <w:tab w:val="left" w:pos="0"/>
        </w:tabs>
        <w:spacing w:before="120" w:after="0" w:line="276" w:lineRule="auto"/>
        <w:ind w:firstLine="0"/>
        <w:rPr>
          <w:lang w:val="hy-AM"/>
        </w:rPr>
      </w:pPr>
    </w:p>
    <w:p w14:paraId="1D408590" w14:textId="4F509591" w:rsidR="00D25024" w:rsidRDefault="00D25024" w:rsidP="00C30825">
      <w:pPr>
        <w:tabs>
          <w:tab w:val="left" w:pos="0"/>
        </w:tabs>
        <w:spacing w:before="120" w:after="0" w:line="276" w:lineRule="auto"/>
        <w:ind w:firstLine="0"/>
        <w:rPr>
          <w:lang w:val="hy-AM"/>
        </w:rPr>
      </w:pPr>
    </w:p>
    <w:p w14:paraId="6186B49D" w14:textId="07CBDC2E" w:rsidR="00D25024" w:rsidRDefault="00D25024" w:rsidP="00C30825">
      <w:pPr>
        <w:tabs>
          <w:tab w:val="left" w:pos="0"/>
        </w:tabs>
        <w:spacing w:before="120" w:after="0" w:line="276" w:lineRule="auto"/>
        <w:ind w:firstLine="0"/>
        <w:rPr>
          <w:lang w:val="hy-AM"/>
        </w:rPr>
      </w:pPr>
    </w:p>
    <w:p w14:paraId="32CA8ED4" w14:textId="1FD624BF" w:rsidR="00D25024" w:rsidRDefault="00D25024" w:rsidP="00C30825">
      <w:pPr>
        <w:tabs>
          <w:tab w:val="left" w:pos="0"/>
        </w:tabs>
        <w:spacing w:before="120" w:after="0" w:line="276" w:lineRule="auto"/>
        <w:ind w:firstLine="0"/>
        <w:rPr>
          <w:lang w:val="hy-AM"/>
        </w:rPr>
      </w:pPr>
    </w:p>
    <w:p w14:paraId="754C8308" w14:textId="134BCD55" w:rsidR="00D25024" w:rsidRDefault="00D25024" w:rsidP="00C30825">
      <w:pPr>
        <w:tabs>
          <w:tab w:val="left" w:pos="0"/>
        </w:tabs>
        <w:spacing w:before="120" w:after="0" w:line="276" w:lineRule="auto"/>
        <w:ind w:firstLine="0"/>
        <w:rPr>
          <w:lang w:val="hy-AM"/>
        </w:rPr>
      </w:pPr>
    </w:p>
    <w:p w14:paraId="5E11006E" w14:textId="77777777" w:rsidR="00D25024" w:rsidRPr="002244AB" w:rsidRDefault="00D25024" w:rsidP="00C30825">
      <w:pPr>
        <w:tabs>
          <w:tab w:val="left" w:pos="0"/>
        </w:tabs>
        <w:spacing w:before="120" w:after="0" w:line="276" w:lineRule="auto"/>
        <w:ind w:firstLine="0"/>
        <w:rPr>
          <w:lang w:val="hy-AM"/>
        </w:rPr>
      </w:pPr>
    </w:p>
    <w:p w14:paraId="196ECC58" w14:textId="77777777" w:rsidR="00080175" w:rsidRPr="008A4F28" w:rsidRDefault="00080175" w:rsidP="00C30825">
      <w:pPr>
        <w:tabs>
          <w:tab w:val="left" w:pos="0"/>
        </w:tabs>
        <w:spacing w:before="120" w:after="0" w:line="276" w:lineRule="auto"/>
        <w:ind w:firstLine="0"/>
        <w:rPr>
          <w:lang w:val="hy-AM"/>
        </w:rPr>
      </w:pPr>
    </w:p>
    <w:p w14:paraId="4AA1FACC" w14:textId="77777777" w:rsidR="00080175" w:rsidRPr="00261229" w:rsidRDefault="00080175" w:rsidP="00C30825">
      <w:pPr>
        <w:pStyle w:val="Heading1"/>
        <w:tabs>
          <w:tab w:val="left" w:pos="0"/>
        </w:tabs>
        <w:spacing w:before="120" w:after="0" w:line="276" w:lineRule="auto"/>
        <w:rPr>
          <w:lang w:val="hy-AM"/>
        </w:rPr>
      </w:pPr>
      <w:bookmarkStart w:id="10" w:name="_Toc170926288"/>
      <w:r w:rsidRPr="00261229">
        <w:rPr>
          <w:lang w:val="hy-AM"/>
        </w:rPr>
        <w:t>ՄԱՍ I. ՀԱՐԿԱԲՅՈՒՋԵՏԱՅԻՆ ՔԱՂԱՔԱԿԱՆՈՒԹՅՈՒՆԸ</w:t>
      </w:r>
      <w:bookmarkEnd w:id="10"/>
    </w:p>
    <w:p w14:paraId="431F521B" w14:textId="77777777" w:rsidR="00080175" w:rsidRPr="008A4F28" w:rsidRDefault="00080175" w:rsidP="00C30825">
      <w:pPr>
        <w:tabs>
          <w:tab w:val="left" w:pos="0"/>
        </w:tabs>
        <w:spacing w:before="120" w:after="0" w:line="276" w:lineRule="auto"/>
        <w:ind w:firstLine="0"/>
        <w:jc w:val="left"/>
        <w:rPr>
          <w:rFonts w:eastAsiaTheme="majorEastAsia" w:cstheme="majorBidi"/>
          <w:b/>
          <w:bCs/>
          <w:caps/>
          <w:color w:val="44546A" w:themeColor="text2"/>
          <w:sz w:val="28"/>
          <w:szCs w:val="28"/>
          <w:lang w:val="es-ES"/>
        </w:rPr>
      </w:pPr>
      <w:r w:rsidRPr="00E8706A">
        <w:rPr>
          <w:sz w:val="28"/>
          <w:szCs w:val="28"/>
          <w:lang w:val="hy-AM"/>
        </w:rPr>
        <w:br w:type="page"/>
      </w:r>
    </w:p>
    <w:p w14:paraId="239DA22A" w14:textId="77777777" w:rsidR="00080175" w:rsidRPr="00C51EBE" w:rsidRDefault="00080175" w:rsidP="00C30825">
      <w:pPr>
        <w:pStyle w:val="Heading2"/>
        <w:tabs>
          <w:tab w:val="left" w:pos="0"/>
        </w:tabs>
        <w:spacing w:before="120" w:after="0" w:line="276" w:lineRule="auto"/>
        <w:jc w:val="both"/>
        <w:rPr>
          <w:color w:val="1F4E79" w:themeColor="accent1" w:themeShade="80"/>
          <w:sz w:val="24"/>
          <w:szCs w:val="24"/>
        </w:rPr>
      </w:pPr>
      <w:bookmarkStart w:id="11" w:name="_Toc106795024"/>
      <w:bookmarkStart w:id="12" w:name="_Toc170926289"/>
      <w:bookmarkStart w:id="13" w:name="_Toc77336541"/>
      <w:bookmarkStart w:id="14" w:name="_Toc77451201"/>
      <w:bookmarkStart w:id="15" w:name="_Toc77249734"/>
      <w:bookmarkStart w:id="16" w:name="_Toc45269218"/>
      <w:bookmarkEnd w:id="7"/>
      <w:bookmarkEnd w:id="8"/>
      <w:r w:rsidRPr="00872BF7">
        <w:rPr>
          <w:color w:val="1F4E79" w:themeColor="accent1" w:themeShade="80"/>
          <w:sz w:val="24"/>
          <w:szCs w:val="24"/>
        </w:rPr>
        <w:lastRenderedPageBreak/>
        <w:t>ԳԼՈՒԽ 1.</w:t>
      </w:r>
      <w:r w:rsidRPr="00872BF7">
        <w:rPr>
          <w:color w:val="1F4E79" w:themeColor="accent1" w:themeShade="80"/>
          <w:sz w:val="24"/>
          <w:szCs w:val="24"/>
        </w:rPr>
        <w:tab/>
      </w:r>
      <w:r w:rsidRPr="00C51EBE">
        <w:rPr>
          <w:color w:val="1F4E79" w:themeColor="accent1" w:themeShade="80"/>
          <w:sz w:val="24"/>
          <w:szCs w:val="24"/>
        </w:rPr>
        <w:t>ՄԱԿՐՈՏՆՏԵՍԱԿԱՆ ԶԱՐԳԱՑՈՒՄՆԵՐ ԵՎ ԿԱՆԽԱՏԵՍՈՒՄՆԵՐ</w:t>
      </w:r>
      <w:bookmarkEnd w:id="11"/>
      <w:bookmarkEnd w:id="12"/>
    </w:p>
    <w:p w14:paraId="7162DC41" w14:textId="77777777" w:rsidR="007D06BA" w:rsidRPr="00C51EBE" w:rsidRDefault="007D06BA" w:rsidP="007D06BA">
      <w:pPr>
        <w:rPr>
          <w:lang w:val="es-ES"/>
        </w:rPr>
      </w:pPr>
    </w:p>
    <w:p w14:paraId="78A88FE3" w14:textId="77777777" w:rsidR="00080175" w:rsidRPr="00C51EBE" w:rsidRDefault="00080175" w:rsidP="00C30825">
      <w:pPr>
        <w:pStyle w:val="Heading2"/>
        <w:tabs>
          <w:tab w:val="left" w:pos="0"/>
        </w:tabs>
        <w:spacing w:before="120" w:after="0" w:line="276" w:lineRule="auto"/>
        <w:jc w:val="both"/>
        <w:rPr>
          <w:color w:val="1F4E79" w:themeColor="accent1" w:themeShade="80"/>
          <w:sz w:val="24"/>
          <w:szCs w:val="24"/>
        </w:rPr>
      </w:pPr>
      <w:bookmarkStart w:id="17" w:name="_Toc106795025"/>
      <w:bookmarkStart w:id="18" w:name="_Toc170926290"/>
      <w:r w:rsidRPr="00C51EBE">
        <w:rPr>
          <w:color w:val="1F4E79" w:themeColor="accent1" w:themeShade="80"/>
          <w:sz w:val="24"/>
          <w:szCs w:val="24"/>
        </w:rPr>
        <w:t>1.1 ՄԱԿՐՈՏՆՏԵՍԱԿԱՆ ԱՄՓՈՓԱԳԻՐ ԵՎ ՇՐՋԱՆԱԿ</w:t>
      </w:r>
      <w:bookmarkEnd w:id="17"/>
      <w:bookmarkEnd w:id="18"/>
      <w:r w:rsidRPr="00C51EBE">
        <w:rPr>
          <w:color w:val="1F4E79" w:themeColor="accent1" w:themeShade="80"/>
          <w:sz w:val="24"/>
          <w:szCs w:val="24"/>
        </w:rPr>
        <w:t xml:space="preserve"> </w:t>
      </w:r>
    </w:p>
    <w:p w14:paraId="3370AAC3"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bookmarkStart w:id="19" w:name="_Toc106795026"/>
      <w:r w:rsidRPr="00C51EBE">
        <w:rPr>
          <w:rFonts w:eastAsia="Times New Roman" w:cs="Times New Roman"/>
          <w:lang w:val="hy-AM"/>
        </w:rPr>
        <w:t>2021թ</w:t>
      </w:r>
      <w:r w:rsidRPr="00B0598B">
        <w:rPr>
          <w:rFonts w:ascii="Cambria Math" w:eastAsia="Times New Roman" w:hAnsi="Cambria Math" w:cs="Cambria Math"/>
          <w:lang w:val="hy-AM"/>
        </w:rPr>
        <w:t>․</w:t>
      </w:r>
      <w:r w:rsidRPr="00C51EBE">
        <w:rPr>
          <w:rFonts w:eastAsia="Times New Roman" w:cs="Times New Roman"/>
          <w:lang w:val="hy-AM"/>
        </w:rPr>
        <w:t xml:space="preserve"> համավարակի շոկից հետո տնտեսական աճի վերականգնման փուլ թևակոխած համաշխարհային տնտեսությունը, այդ թվում՝ ՀՀ գործընկեր երկրների տնտեսությունները, 2022 թվականի տարեսկզբին բախվեցին նոր շոկի, որի արդյունքում տեղի է ունեցել տնտեսական աճի տեմպերի դանդաղում (ՌԴ-ում՝ անկում)՝ պայմանավորված համաշխարհային արժեշղթաների խաթարումներով, պարենային և հումքային ապրանքների միջազգային գների բարձրացմամբ, դրանց հետևանքով առաջացած բարձր գնաճին հակազդող աննախադեպ զսպող դրամավարկային քաղաքականություններով ու համաշխարհային ֆինանսական պայմանների խստացմամբ: 2023թ</w:t>
      </w:r>
      <w:r w:rsidRPr="00B0598B">
        <w:rPr>
          <w:rFonts w:ascii="Cambria Math" w:eastAsia="Times New Roman" w:hAnsi="Cambria Math" w:cs="Cambria Math"/>
          <w:lang w:val="hy-AM"/>
        </w:rPr>
        <w:t>․</w:t>
      </w:r>
      <w:r w:rsidRPr="00C51EBE">
        <w:rPr>
          <w:rFonts w:eastAsia="Times New Roman" w:cs="Times New Roman"/>
          <w:lang w:val="hy-AM"/>
        </w:rPr>
        <w:t xml:space="preserve"> ՀՀ հիմնական գործընկեր երկրներում, բացառությամբ Եվրագոտու, տեղի է ունեցել տնտեսական աճի տեմպերի վերականգնում։ Աճի արագացումը պայմանավորված է եղել պետական ու մասնավոր սպառման աճով, ինչպես նաև գնաճի տեմպերի աստիճանական կայունացմամբ։ Եվրագոտում արձանագրված թույլ աճն արտացոլում էր սպառողական թույլ տրամադրությունները, էներգակիրների բարձր գների երկարաձգված ազդեցությունը, ինչպես նաև մշակող արդյունաբերության թույլ ակտիվությունը։ Այս պայմաններում 2024 թվականին գործընկեր երկրներից ԱՄՆ-ում և Եվրագոտում կանխատեսվում է տնտեսական աճի տեմպերի արագացում, մինչդեռ ՌԴ-ում և Չինաստանում՝ դանդաղում, իս</w:t>
      </w:r>
      <w:r>
        <w:rPr>
          <w:rFonts w:eastAsia="Times New Roman" w:cs="Times New Roman"/>
          <w:lang w:val="hy-AM"/>
        </w:rPr>
        <w:t>կ միջնաժամկետում՝ կանխատեսվում են</w:t>
      </w:r>
      <w:r w:rsidRPr="00C51EBE">
        <w:rPr>
          <w:rFonts w:eastAsia="Times New Roman" w:cs="Times New Roman"/>
          <w:lang w:val="hy-AM"/>
        </w:rPr>
        <w:t xml:space="preserve"> իրենց պատմական միջին աճերից ցածր տնտեսական աճեր։</w:t>
      </w:r>
    </w:p>
    <w:p w14:paraId="0453C061"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 xml:space="preserve">Կորոնավիրուսի համավարակի և Արցախյան պատերազմի բացասական ազդեցություններով պայմանավորված 2020 թվականի տնտեսական անկումից հետո 2021-2023 թվականներին տնտեսությունը թևակոխել է վերականգնման և աճի փուլ և միջինում գրանցել 9.0% իրական աճ՝ իր վրա կրելով 2022 թվականի փետրվարի վերջերից սկիզբ առած ռուս-ուկրաինական հակամարտության և Ռուսաստանի դեմ կիրառված պատժամիջոցների հետևանքով դեպի Հայաստան մարդկանց ներհոսքի, զբոսաշրջության զգալի ավելացման, տեղեկատվական տեխնոլոգիաների ոլորտի ընկերությունների ՀՀ տեղափոխման, ՀՀ-ից դեպի Ռուսաստան արտահանման պահանջարկի ավելացման, պետական բյուջեից կապիտալ ծախսերի և բնակարանաշինության բարձր աճերի, ինչպես նաև 2023 թվականի սեպտեմբերի վերջից Լեռնային Ղարաբաղից ՀՀ բռնի տեղահանված մեր հայրենակիցների և նոյեմբեր-դեկտեմբեր ամիսներին ոսկերչական արտադրատեսակների արտադրության կտրուկ աճի տնտեսական ազդեցությունները: </w:t>
      </w:r>
    </w:p>
    <w:p w14:paraId="1C07EBEF"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 xml:space="preserve">Տնտեսական աճի բարձր տեմպերը շարունակվել են նաև 2024 թվականի առաջին եռամսյակում՝ իրենց վրա կրելով նաև ոսկերչական արտադրատեսակների վերամշակման կտրուկ աճի և Լեռնային Ղարաբաղից ՀՀ բռնի տեղահանված անձանց աջակցության ծրագրերի և ինտեգրման տնտեսական ազդեցությունները: Արդյունքում գրանցվել է 9.2% տնտեսական աճ՝ պայմանավորված հիմնականում ծառայությունների և արդյունաբերության աճով: Ապրիլ-մայիս ամիսներին տնտեսական ակտիվությունը որոշակիորեն դանդաղել է՝ պայմանավորված հիմնականում արդյունաբերության և առևտրի աճերի տեմպերի դանդաղմամբ, սակայն տնտեսական ակտիվության բարձր տեմպը շարունակվել է պահպանվել: </w:t>
      </w:r>
    </w:p>
    <w:p w14:paraId="76F2E71E"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 xml:space="preserve">2024թ. ընթացիկ զարգացումների, պետական կապիտալ ծախսերի դերի շարունակական բարձրացման, ինչպես նաև  կառուցվածքային բարեփոխումների ու Ամուլսարի </w:t>
      </w:r>
      <w:r w:rsidRPr="00C51EBE">
        <w:rPr>
          <w:rFonts w:eastAsia="Times New Roman" w:cs="Times New Roman"/>
          <w:lang w:val="hy-AM"/>
        </w:rPr>
        <w:lastRenderedPageBreak/>
        <w:t>շահագործման հնարավոր ազդեցությունների արդյունքում 2024 թվականի համար սպասվում է շուրջ 6.3% տնտեսական աճ, իսկ միջնաժամկետում՝ միջինում 5</w:t>
      </w:r>
      <w:r w:rsidRPr="00B0598B">
        <w:rPr>
          <w:rFonts w:ascii="Cambria Math" w:eastAsia="Times New Roman" w:hAnsi="Cambria Math" w:cs="Cambria Math"/>
          <w:lang w:val="hy-AM"/>
        </w:rPr>
        <w:t>․</w:t>
      </w:r>
      <w:r w:rsidRPr="00C51EBE">
        <w:rPr>
          <w:rFonts w:eastAsia="Times New Roman" w:cs="Times New Roman"/>
          <w:lang w:val="hy-AM"/>
        </w:rPr>
        <w:t>7% աճ: Այս պայմաններում ՀՀ կառավարության ծրագրի 2021-2026թթ. միջինում 7% աճը կապահովվի: Ընդ որում, վերջին տարիներին ՀՀ տնտեսական աճի ներուժը բարձրացել է՝ հասնելով 5.0-5.5%: Այս աճը պահպանելու և ավելի բարձր՝ 7% կայուն աճի</w:t>
      </w:r>
      <w:bookmarkStart w:id="20" w:name="_Hlk170642081"/>
      <w:r w:rsidRPr="00C51EBE">
        <w:rPr>
          <w:rFonts w:eastAsia="Times New Roman" w:cs="Times New Roman"/>
          <w:lang w:val="hy-AM"/>
        </w:rPr>
        <w:t xml:space="preserve"> հասնելու համար անհրաժեշտ </w:t>
      </w:r>
      <w:r>
        <w:rPr>
          <w:rFonts w:eastAsia="Times New Roman" w:cs="Times New Roman"/>
          <w:lang w:val="hy-AM"/>
        </w:rPr>
        <w:t>են</w:t>
      </w:r>
      <w:r w:rsidRPr="00C51EBE">
        <w:rPr>
          <w:rFonts w:eastAsia="Times New Roman" w:cs="Times New Roman"/>
          <w:lang w:val="hy-AM"/>
        </w:rPr>
        <w:t xml:space="preserve"> լրացուցիչ ջանքեր՝ ուղղված արտադրողականության բարձրացմանը, ներդրումների և արտահանման խթանմանը։ Այս համատեքստում ՀՀ կառավարությունը հետամուտ է լինելու մարդկային և ֆիզիկական կապիտալում ներդրումների, մասնավոր ներդրումների, զբաղվածության և արտահանման խթանմանն ուղղված ռազմավարությունների արդյունավետ իրականացմանը</w:t>
      </w:r>
      <w:bookmarkEnd w:id="20"/>
      <w:r w:rsidRPr="00C51EBE">
        <w:rPr>
          <w:rFonts w:eastAsia="Times New Roman" w:cs="Times New Roman"/>
          <w:lang w:val="hy-AM"/>
        </w:rPr>
        <w:t>։</w:t>
      </w:r>
    </w:p>
    <w:p w14:paraId="5F996C0C"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 xml:space="preserve">Տնտեսական ակտիվության աճի տեմպի դանդաղման և վերաարտահանման դերի որոշակի նվազման պայմաններում 2024թ. սպասվում է արտահանման և ներմուծման աճի տեմպերի զգալի դանդաղում: Արդյունքում՝ առևտրային բացասական հաշվեկշռի և ծառայությունների դրական հաշվեկշի վատթարացմամբ պայմանավորված 2024թ. ընթացիկ հաշվի պակասուրդը ՀՆԱ-ում կշարունակի խորանալ՝ հասնելով ՀՆԱ-ում 3.2%-ի: Միջնաժամկետում, 2022-2023թթ. առաջացած դրական գործոնների ազդեցությունների աստիճանական չեզոքացման պայմաններում ընթացիկ հաշվի պակասուրդը կխորանա՝ մոտենալով իր երկարաժամկետ հավասարակշիռ մակարդակին: </w:t>
      </w:r>
    </w:p>
    <w:p w14:paraId="1BD2F5D5"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Միջինաժամկետ հատվածում հարկաբյուջետային քաղաքականությունն ուղղված կլինի կառուցվածքային բարեփոխումների սահուն ընթացքը երաշխավորելու և ֆիզիկական ու մարդկային կապիտալում ներդրումների մակարդակի էական բարձրացման միջոցով տնտեսության դիմակայունության ամրապնդմանն ու աճի ներուժի բարձրացմանը։ Ընդ որում, այն իրականացվում է նշված բարեփոխումների համար միջնաժամկետի սկզբում «առաջ ընկած» ռեսուրսների ձևավորման ճանապարհով, ինչի արդյունքում բյուջեի պակասուրդը 2024-2025 թթ</w:t>
      </w:r>
      <w:r w:rsidRPr="00B0598B">
        <w:rPr>
          <w:rFonts w:ascii="Cambria Math" w:eastAsia="Times New Roman" w:hAnsi="Cambria Math" w:cs="Cambria Math"/>
          <w:lang w:val="hy-AM"/>
        </w:rPr>
        <w:t>․</w:t>
      </w:r>
      <w:r w:rsidRPr="00C51EBE">
        <w:rPr>
          <w:rFonts w:eastAsia="Times New Roman" w:cs="Times New Roman"/>
          <w:lang w:val="hy-AM"/>
        </w:rPr>
        <w:t xml:space="preserve">-ին կաճի՝ հանգեցնելով կառավարության պարտքի բեռի որոշակի մեծացմանը, որից հետո տեղի կունենա հարկաբյուջետային կոնսոլիդացիա, որով պարտքի բեռը 2026-2027 թվականներին կկայունանա 55%-ի մակարդակում։ Ընդ որում, տնտեսական աճի՝ իր ներուժային մակարդակին մոտենալու պայմաններում հարկաբյուջետային քաղաքականությունը ամբողջական պահանջարկի վրա կունենա չեզոք ազդեցություն։ Միաժամանակ հարկաբյուջետային քաղաքականության համար առաջնահերթ է առկա ռեսուրսների առավել արդյունավետ օգտագործումը և հնարավոր ռիսկերի կառավարման կարողությունների ձևավորումը, ինչը, աճի ներուժի բարձրացման հետ, պետք է երաշխավորի հարկաբյուջետային կայունությունը երկարաժամկետում։ </w:t>
      </w:r>
    </w:p>
    <w:p w14:paraId="072DAE52"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2023թ</w:t>
      </w:r>
      <w:r w:rsidRPr="00B0598B">
        <w:rPr>
          <w:rFonts w:ascii="Cambria Math" w:eastAsia="Times New Roman" w:hAnsi="Cambria Math" w:cs="Cambria Math"/>
          <w:lang w:val="hy-AM"/>
        </w:rPr>
        <w:t>․</w:t>
      </w:r>
      <w:r w:rsidRPr="00C51EBE">
        <w:rPr>
          <w:rFonts w:eastAsia="Times New Roman" w:cs="Times New Roman"/>
          <w:lang w:val="hy-AM"/>
        </w:rPr>
        <w:t>-ին գնաճի կտրուկ դանդաղումից, ապա՝ գնանկումային տե</w:t>
      </w:r>
      <w:r>
        <w:rPr>
          <w:rFonts w:eastAsia="Times New Roman" w:cs="Times New Roman"/>
          <w:lang w:val="hy-AM"/>
        </w:rPr>
        <w:t>նդենցների ձևավորումից հետո 2024</w:t>
      </w:r>
      <w:r w:rsidRPr="00C51EBE">
        <w:rPr>
          <w:rFonts w:eastAsia="Times New Roman" w:cs="Times New Roman"/>
          <w:lang w:val="hy-AM"/>
        </w:rPr>
        <w:t>թ</w:t>
      </w:r>
      <w:r w:rsidRPr="00B0598B">
        <w:rPr>
          <w:rFonts w:ascii="Cambria Math" w:eastAsia="Times New Roman" w:hAnsi="Cambria Math" w:cs="Cambria Math"/>
          <w:lang w:val="hy-AM"/>
        </w:rPr>
        <w:t>․</w:t>
      </w:r>
      <w:r w:rsidRPr="00C51EBE">
        <w:rPr>
          <w:rFonts w:eastAsia="Times New Roman" w:cs="Times New Roman"/>
          <w:lang w:val="hy-AM"/>
        </w:rPr>
        <w:t>-ին ինչպես միջին, այնպես էլ 12 ամսյա գնաճը ցածր կլինեն նպատակային ցուցանիշից և միջնաժամկետում կկայունանան նպատակային 4% ցուցանիշի շուրջ: Մշտադիտարկելով տնտեսության զարգացման սցենարները, ԿԲ-ը կձեռնարկի համարժեք գործողություններ՝ միջնաժամկետ հորիզոնում գնաճի 4% մակարդակի և գների կայունության նպատակի ապահովման համար:</w:t>
      </w:r>
    </w:p>
    <w:p w14:paraId="7E852D44" w14:textId="77777777" w:rsidR="002D7DDD" w:rsidRPr="00C51EBE" w:rsidRDefault="002D7DDD" w:rsidP="00D25024">
      <w:pPr>
        <w:numPr>
          <w:ilvl w:val="0"/>
          <w:numId w:val="40"/>
        </w:numPr>
        <w:spacing w:before="120" w:after="0" w:line="276" w:lineRule="auto"/>
        <w:ind w:left="0" w:firstLine="0"/>
        <w:contextualSpacing/>
        <w:rPr>
          <w:rFonts w:eastAsia="Times New Roman" w:cs="Times New Roman"/>
          <w:lang w:val="hy-AM"/>
        </w:rPr>
      </w:pPr>
      <w:r w:rsidRPr="00C51EBE">
        <w:rPr>
          <w:rFonts w:eastAsia="Times New Roman" w:cs="Times New Roman"/>
          <w:lang w:val="hy-AM"/>
        </w:rPr>
        <w:t xml:space="preserve">Ռուս-ուկրաինական հակամարտությունը և Ռուսաստանի դեմ կիրառված աննախադեպ պատժամիջոցները աշխարհում ստեղծել են նոր իրականություն, որի  պայմաններում ինչպես աշխարհի և ՀՀ գործընկեր երկրների, այնպես էլ ՀՀ տնտեսական աճի կանխատեսումները իրենց մեջ կրում են մեծ անորոշություն: Այս պայմաններում, ինչպես աշխարհի և ՀՀ </w:t>
      </w:r>
      <w:r w:rsidRPr="00C51EBE">
        <w:rPr>
          <w:rFonts w:eastAsia="Times New Roman" w:cs="Times New Roman"/>
          <w:lang w:val="hy-AM"/>
        </w:rPr>
        <w:lastRenderedPageBreak/>
        <w:t>գործընկերների, այնպես էլ ՄԺԾԾ շրջանակում ՀՀ տնտեսական աճի կանխատեսումների համար առկա են երկկողմանի ռիսկեր, սակայն դեպի ներքև ռիսկերը համեմատաբար մեծ են։</w:t>
      </w:r>
    </w:p>
    <w:p w14:paraId="562693B8" w14:textId="77777777" w:rsidR="002D7DDD" w:rsidRPr="00D94E0C" w:rsidRDefault="002D7DDD" w:rsidP="002D7DDD">
      <w:pPr>
        <w:tabs>
          <w:tab w:val="right" w:pos="-180"/>
        </w:tabs>
        <w:spacing w:after="120" w:line="276" w:lineRule="auto"/>
        <w:ind w:hanging="180"/>
        <w:rPr>
          <w:rFonts w:eastAsia="Calibri" w:cs="Times New Roman"/>
          <w:b/>
          <w:i/>
          <w:iCs/>
          <w:color w:val="000000"/>
          <w:lang w:val="hy-AM"/>
        </w:rPr>
      </w:pPr>
      <w:r w:rsidRPr="00D94E0C">
        <w:rPr>
          <w:rFonts w:eastAsia="Calibri" w:cs="Sylfaen"/>
          <w:b/>
          <w:bCs/>
          <w:i/>
          <w:iCs/>
          <w:color w:val="000000"/>
          <w:lang w:val="hy-AM"/>
        </w:rPr>
        <w:t>Աղյուսակ</w:t>
      </w:r>
      <w:r w:rsidRPr="00D94E0C">
        <w:rPr>
          <w:rFonts w:eastAsia="Calibri" w:cs="Times New Roman"/>
          <w:b/>
          <w:bCs/>
          <w:i/>
          <w:iCs/>
          <w:color w:val="000000"/>
          <w:lang w:val="hy-AM"/>
        </w:rPr>
        <w:t xml:space="preserve"> 1.1. </w:t>
      </w:r>
      <w:r w:rsidRPr="00D94E0C">
        <w:rPr>
          <w:rFonts w:eastAsia="Calibri" w:cs="Times New Roman"/>
          <w:b/>
          <w:i/>
          <w:iCs/>
          <w:color w:val="000000"/>
          <w:sz w:val="20"/>
          <w:szCs w:val="20"/>
          <w:lang w:val="hy-AM"/>
        </w:rPr>
        <w:t>2025-202</w:t>
      </w:r>
      <w:r w:rsidRPr="00D94E0C">
        <w:rPr>
          <w:rFonts w:eastAsia="Calibri" w:cs="Sylfaen"/>
          <w:b/>
          <w:i/>
          <w:iCs/>
          <w:color w:val="000000"/>
          <w:sz w:val="20"/>
          <w:szCs w:val="20"/>
          <w:lang w:val="hy-AM"/>
        </w:rPr>
        <w:t>7թթ</w:t>
      </w:r>
      <w:r w:rsidRPr="00D94E0C">
        <w:rPr>
          <w:rFonts w:eastAsia="Calibri" w:cs="Times New Roman"/>
          <w:b/>
          <w:i/>
          <w:iCs/>
          <w:color w:val="000000"/>
          <w:sz w:val="20"/>
          <w:szCs w:val="20"/>
          <w:lang w:val="hy-AM"/>
        </w:rPr>
        <w:t xml:space="preserve">. </w:t>
      </w:r>
      <w:r w:rsidRPr="00D94E0C">
        <w:rPr>
          <w:rFonts w:eastAsia="Calibri" w:cs="Sylfaen"/>
          <w:b/>
          <w:i/>
          <w:iCs/>
          <w:color w:val="000000"/>
          <w:sz w:val="20"/>
          <w:szCs w:val="20"/>
          <w:lang w:val="hy-AM"/>
        </w:rPr>
        <w:t>ՄԺԾԾ</w:t>
      </w:r>
      <w:r w:rsidRPr="00D94E0C">
        <w:rPr>
          <w:rFonts w:eastAsia="Calibri" w:cs="Times New Roman"/>
          <w:b/>
          <w:i/>
          <w:iCs/>
          <w:color w:val="000000"/>
          <w:lang w:val="hy-AM"/>
        </w:rPr>
        <w:t xml:space="preserve"> (ներառյալ 2025թ. պետական բյուջեի) մակրոտնտեսական շրջանակ</w:t>
      </w:r>
    </w:p>
    <w:tbl>
      <w:tblPr>
        <w:tblStyle w:val="GridTable1Light-Accent51111"/>
        <w:tblpPr w:leftFromText="180" w:rightFromText="180" w:vertAnchor="text" w:horzAnchor="margin" w:tblpX="-476" w:tblpY="47"/>
        <w:tblW w:w="10335" w:type="dxa"/>
        <w:tblBorders>
          <w:top w:val="single" w:sz="12" w:space="0" w:color="4472C4"/>
          <w:left w:val="single" w:sz="12" w:space="0" w:color="4472C4"/>
          <w:bottom w:val="single" w:sz="12" w:space="0" w:color="4472C4"/>
          <w:right w:val="single" w:sz="12" w:space="0" w:color="4472C4"/>
          <w:insideH w:val="single" w:sz="6" w:space="0" w:color="4472C4"/>
          <w:insideV w:val="single" w:sz="6" w:space="0" w:color="4472C4"/>
        </w:tblBorders>
        <w:tblLayout w:type="fixed"/>
        <w:tblLook w:val="0000" w:firstRow="0" w:lastRow="0" w:firstColumn="0" w:lastColumn="0" w:noHBand="0" w:noVBand="0"/>
      </w:tblPr>
      <w:tblGrid>
        <w:gridCol w:w="3343"/>
        <w:gridCol w:w="1105"/>
        <w:gridCol w:w="1050"/>
        <w:gridCol w:w="875"/>
        <w:gridCol w:w="1193"/>
        <w:gridCol w:w="951"/>
        <w:gridCol w:w="964"/>
        <w:gridCol w:w="854"/>
      </w:tblGrid>
      <w:tr w:rsidR="002D7DDD" w:rsidRPr="00D94E0C" w14:paraId="2DFFB8B4" w14:textId="77777777" w:rsidTr="008931FF">
        <w:trPr>
          <w:trHeight w:val="256"/>
        </w:trPr>
        <w:tc>
          <w:tcPr>
            <w:tcW w:w="3343" w:type="dxa"/>
            <w:vMerge w:val="restart"/>
            <w:noWrap/>
          </w:tcPr>
          <w:p w14:paraId="20FDEA2A" w14:textId="77777777" w:rsidR="002D7DDD" w:rsidRPr="00D94E0C" w:rsidRDefault="002D7DDD" w:rsidP="008931FF">
            <w:pPr>
              <w:tabs>
                <w:tab w:val="right" w:pos="-180"/>
              </w:tabs>
              <w:spacing w:before="0" w:after="0" w:line="276" w:lineRule="auto"/>
              <w:ind w:hanging="30"/>
              <w:jc w:val="left"/>
              <w:rPr>
                <w:rFonts w:eastAsia="Calibri" w:cs="Sylfaen"/>
                <w:i/>
                <w:iCs/>
                <w:sz w:val="20"/>
                <w:szCs w:val="20"/>
              </w:rPr>
            </w:pPr>
            <w:r w:rsidRPr="00D94E0C">
              <w:rPr>
                <w:rFonts w:eastAsia="Calibri" w:cs="Sylfaen"/>
                <w:i/>
                <w:iCs/>
                <w:sz w:val="20"/>
                <w:szCs w:val="20"/>
              </w:rPr>
              <w:t>Հիմնական մակրոտնտեսական ցուցանիշներ</w:t>
            </w:r>
          </w:p>
        </w:tc>
        <w:tc>
          <w:tcPr>
            <w:tcW w:w="1105" w:type="dxa"/>
          </w:tcPr>
          <w:p w14:paraId="480D0B73"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2021</w:t>
            </w:r>
          </w:p>
        </w:tc>
        <w:tc>
          <w:tcPr>
            <w:tcW w:w="1050" w:type="dxa"/>
          </w:tcPr>
          <w:p w14:paraId="377D0B7A"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2022</w:t>
            </w:r>
          </w:p>
        </w:tc>
        <w:tc>
          <w:tcPr>
            <w:tcW w:w="875" w:type="dxa"/>
          </w:tcPr>
          <w:p w14:paraId="532E12D9"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2023</w:t>
            </w:r>
          </w:p>
        </w:tc>
        <w:tc>
          <w:tcPr>
            <w:tcW w:w="1193" w:type="dxa"/>
            <w:shd w:val="clear" w:color="auto" w:fill="D9E2F3"/>
          </w:tcPr>
          <w:p w14:paraId="2995EC45"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2024</w:t>
            </w:r>
          </w:p>
        </w:tc>
        <w:tc>
          <w:tcPr>
            <w:tcW w:w="951" w:type="dxa"/>
            <w:shd w:val="clear" w:color="auto" w:fill="D9E2F3"/>
          </w:tcPr>
          <w:p w14:paraId="7795D9F2"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2025</w:t>
            </w:r>
          </w:p>
        </w:tc>
        <w:tc>
          <w:tcPr>
            <w:tcW w:w="964" w:type="dxa"/>
            <w:shd w:val="clear" w:color="auto" w:fill="D9E2F3"/>
          </w:tcPr>
          <w:p w14:paraId="4AD712AC"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2026</w:t>
            </w:r>
          </w:p>
        </w:tc>
        <w:tc>
          <w:tcPr>
            <w:tcW w:w="854" w:type="dxa"/>
            <w:shd w:val="clear" w:color="auto" w:fill="D9E2F3"/>
          </w:tcPr>
          <w:p w14:paraId="37F430C5"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Arial"/>
                <w:b/>
                <w:bCs/>
                <w:sz w:val="20"/>
                <w:szCs w:val="20"/>
              </w:rPr>
              <w:t>2027</w:t>
            </w:r>
          </w:p>
        </w:tc>
      </w:tr>
      <w:tr w:rsidR="002D7DDD" w:rsidRPr="00D94E0C" w14:paraId="26E5825A" w14:textId="77777777" w:rsidTr="008931FF">
        <w:trPr>
          <w:trHeight w:val="270"/>
        </w:trPr>
        <w:tc>
          <w:tcPr>
            <w:tcW w:w="3343" w:type="dxa"/>
            <w:vMerge/>
            <w:noWrap/>
          </w:tcPr>
          <w:p w14:paraId="465DA1A4"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p>
        </w:tc>
        <w:tc>
          <w:tcPr>
            <w:tcW w:w="1105" w:type="dxa"/>
          </w:tcPr>
          <w:p w14:paraId="110ED8AA"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փաստ</w:t>
            </w:r>
          </w:p>
        </w:tc>
        <w:tc>
          <w:tcPr>
            <w:tcW w:w="1050" w:type="dxa"/>
          </w:tcPr>
          <w:p w14:paraId="019A9B33"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փաստ</w:t>
            </w:r>
          </w:p>
        </w:tc>
        <w:tc>
          <w:tcPr>
            <w:tcW w:w="875" w:type="dxa"/>
          </w:tcPr>
          <w:p w14:paraId="234091CD"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փաստ</w:t>
            </w:r>
          </w:p>
        </w:tc>
        <w:tc>
          <w:tcPr>
            <w:tcW w:w="1193" w:type="dxa"/>
            <w:shd w:val="clear" w:color="auto" w:fill="D9E2F3"/>
          </w:tcPr>
          <w:p w14:paraId="7F2627A2"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սպասում</w:t>
            </w:r>
          </w:p>
        </w:tc>
        <w:tc>
          <w:tcPr>
            <w:tcW w:w="951" w:type="dxa"/>
            <w:shd w:val="clear" w:color="auto" w:fill="D9E2F3"/>
          </w:tcPr>
          <w:p w14:paraId="75CB661A"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b/>
                <w:sz w:val="20"/>
                <w:szCs w:val="20"/>
              </w:rPr>
              <w:t>ծրագիր</w:t>
            </w:r>
          </w:p>
        </w:tc>
        <w:tc>
          <w:tcPr>
            <w:tcW w:w="964" w:type="dxa"/>
            <w:shd w:val="clear" w:color="auto" w:fill="D9E2F3"/>
          </w:tcPr>
          <w:p w14:paraId="1718D96D"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կանխ</w:t>
            </w:r>
            <w:r w:rsidRPr="00D94E0C">
              <w:rPr>
                <w:rFonts w:eastAsia="Calibri"/>
                <w:b/>
                <w:sz w:val="20"/>
                <w:szCs w:val="20"/>
              </w:rPr>
              <w:t>.</w:t>
            </w:r>
          </w:p>
        </w:tc>
        <w:tc>
          <w:tcPr>
            <w:tcW w:w="854" w:type="dxa"/>
            <w:shd w:val="clear" w:color="auto" w:fill="D9E2F3"/>
          </w:tcPr>
          <w:p w14:paraId="2F59E651" w14:textId="77777777" w:rsidR="002D7DDD" w:rsidRPr="00D94E0C" w:rsidRDefault="002D7DDD" w:rsidP="008931FF">
            <w:pPr>
              <w:tabs>
                <w:tab w:val="right" w:pos="-180"/>
              </w:tabs>
              <w:spacing w:before="0" w:after="0" w:line="276" w:lineRule="auto"/>
              <w:ind w:hanging="180"/>
              <w:jc w:val="center"/>
              <w:rPr>
                <w:rFonts w:eastAsia="Calibri" w:cs="Arial"/>
                <w:b/>
                <w:bCs/>
                <w:sz w:val="20"/>
                <w:szCs w:val="20"/>
              </w:rPr>
            </w:pPr>
            <w:r w:rsidRPr="00D94E0C">
              <w:rPr>
                <w:rFonts w:eastAsia="Calibri" w:cs="Sylfaen"/>
                <w:b/>
                <w:sz w:val="20"/>
                <w:szCs w:val="20"/>
              </w:rPr>
              <w:t>կանխ</w:t>
            </w:r>
            <w:r w:rsidRPr="00D94E0C">
              <w:rPr>
                <w:rFonts w:eastAsia="Calibri"/>
                <w:b/>
                <w:sz w:val="20"/>
                <w:szCs w:val="20"/>
              </w:rPr>
              <w:t>.</w:t>
            </w:r>
          </w:p>
        </w:tc>
      </w:tr>
      <w:tr w:rsidR="002D7DDD" w:rsidRPr="00D94E0C" w14:paraId="5EA3A84E" w14:textId="77777777" w:rsidTr="008931FF">
        <w:trPr>
          <w:trHeight w:val="256"/>
        </w:trPr>
        <w:tc>
          <w:tcPr>
            <w:tcW w:w="3343" w:type="dxa"/>
            <w:noWrap/>
          </w:tcPr>
          <w:p w14:paraId="4DC670C4" w14:textId="77777777" w:rsidR="002D7DDD" w:rsidRPr="00D94E0C" w:rsidRDefault="002D7DDD" w:rsidP="008931FF">
            <w:pPr>
              <w:tabs>
                <w:tab w:val="right" w:pos="-180"/>
              </w:tabs>
              <w:spacing w:before="0" w:after="0" w:line="276" w:lineRule="auto"/>
              <w:ind w:hanging="30"/>
              <w:jc w:val="left"/>
              <w:rPr>
                <w:rFonts w:eastAsia="Calibri" w:cs="Sylfaen"/>
                <w:b/>
                <w:bCs/>
                <w:sz w:val="20"/>
                <w:szCs w:val="20"/>
              </w:rPr>
            </w:pPr>
            <w:r w:rsidRPr="00D94E0C">
              <w:rPr>
                <w:rFonts w:eastAsia="Calibri" w:cs="Sylfaen"/>
                <w:b/>
                <w:bCs/>
                <w:sz w:val="20"/>
                <w:szCs w:val="20"/>
              </w:rPr>
              <w:t>Անվանական ՀՆԱ, մլրդ դրամ</w:t>
            </w:r>
          </w:p>
        </w:tc>
        <w:tc>
          <w:tcPr>
            <w:tcW w:w="1105" w:type="dxa"/>
          </w:tcPr>
          <w:p w14:paraId="50E0E04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6,991.8</w:t>
            </w:r>
          </w:p>
        </w:tc>
        <w:tc>
          <w:tcPr>
            <w:tcW w:w="1050" w:type="dxa"/>
          </w:tcPr>
          <w:p w14:paraId="5E08CBC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8,501.4</w:t>
            </w:r>
          </w:p>
        </w:tc>
        <w:tc>
          <w:tcPr>
            <w:tcW w:w="875" w:type="dxa"/>
          </w:tcPr>
          <w:p w14:paraId="127F404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9,505.2</w:t>
            </w:r>
          </w:p>
        </w:tc>
        <w:tc>
          <w:tcPr>
            <w:tcW w:w="1193" w:type="dxa"/>
            <w:shd w:val="clear" w:color="auto" w:fill="D9E2F3"/>
          </w:tcPr>
          <w:p w14:paraId="36D2B91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10,235.4</w:t>
            </w:r>
          </w:p>
        </w:tc>
        <w:tc>
          <w:tcPr>
            <w:tcW w:w="951" w:type="dxa"/>
            <w:shd w:val="clear" w:color="auto" w:fill="D9E2F3"/>
          </w:tcPr>
          <w:p w14:paraId="4D138F8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11,197.2</w:t>
            </w:r>
          </w:p>
        </w:tc>
        <w:tc>
          <w:tcPr>
            <w:tcW w:w="964" w:type="dxa"/>
            <w:shd w:val="clear" w:color="auto" w:fill="D9E2F3"/>
          </w:tcPr>
          <w:p w14:paraId="0275342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12,308.9</w:t>
            </w:r>
          </w:p>
        </w:tc>
        <w:tc>
          <w:tcPr>
            <w:tcW w:w="854" w:type="dxa"/>
            <w:shd w:val="clear" w:color="auto" w:fill="D9E2F3"/>
          </w:tcPr>
          <w:p w14:paraId="655DE83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13,505.3</w:t>
            </w:r>
          </w:p>
        </w:tc>
      </w:tr>
      <w:tr w:rsidR="002D7DDD" w:rsidRPr="00D94E0C" w14:paraId="55470659" w14:textId="77777777" w:rsidTr="008931FF">
        <w:trPr>
          <w:trHeight w:val="256"/>
        </w:trPr>
        <w:tc>
          <w:tcPr>
            <w:tcW w:w="3343" w:type="dxa"/>
            <w:noWrap/>
          </w:tcPr>
          <w:p w14:paraId="477CAD00" w14:textId="77777777" w:rsidR="002D7DDD" w:rsidRPr="00D94E0C" w:rsidRDefault="002D7DDD" w:rsidP="008931FF">
            <w:pPr>
              <w:tabs>
                <w:tab w:val="right" w:pos="-180"/>
              </w:tabs>
              <w:spacing w:before="0" w:after="0" w:line="276" w:lineRule="auto"/>
              <w:ind w:left="284" w:hanging="30"/>
              <w:jc w:val="left"/>
              <w:rPr>
                <w:rFonts w:eastAsia="Calibri" w:cs="Sylfaen"/>
                <w:sz w:val="20"/>
                <w:szCs w:val="20"/>
              </w:rPr>
            </w:pPr>
            <w:r w:rsidRPr="00D94E0C">
              <w:rPr>
                <w:rFonts w:eastAsia="Calibri" w:cs="Sylfaen"/>
                <w:sz w:val="20"/>
                <w:szCs w:val="20"/>
              </w:rPr>
              <w:t>Տնտեսական աճ, %</w:t>
            </w:r>
          </w:p>
        </w:tc>
        <w:tc>
          <w:tcPr>
            <w:tcW w:w="1105" w:type="dxa"/>
            <w:shd w:val="clear" w:color="auto" w:fill="auto"/>
          </w:tcPr>
          <w:p w14:paraId="1505ABB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5.8 </w:t>
            </w:r>
          </w:p>
        </w:tc>
        <w:tc>
          <w:tcPr>
            <w:tcW w:w="1050" w:type="dxa"/>
            <w:shd w:val="clear" w:color="auto" w:fill="auto"/>
          </w:tcPr>
          <w:p w14:paraId="1599A01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12.6 </w:t>
            </w:r>
          </w:p>
        </w:tc>
        <w:tc>
          <w:tcPr>
            <w:tcW w:w="875" w:type="dxa"/>
            <w:shd w:val="clear" w:color="auto" w:fill="auto"/>
          </w:tcPr>
          <w:p w14:paraId="419E671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8.7 </w:t>
            </w:r>
          </w:p>
        </w:tc>
        <w:tc>
          <w:tcPr>
            <w:tcW w:w="1193" w:type="dxa"/>
            <w:shd w:val="clear" w:color="auto" w:fill="D9E2F3"/>
          </w:tcPr>
          <w:p w14:paraId="74E4EE8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6.3 </w:t>
            </w:r>
          </w:p>
        </w:tc>
        <w:tc>
          <w:tcPr>
            <w:tcW w:w="951" w:type="dxa"/>
            <w:shd w:val="clear" w:color="auto" w:fill="D9E2F3"/>
          </w:tcPr>
          <w:p w14:paraId="0D9FE52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5.8 </w:t>
            </w:r>
          </w:p>
        </w:tc>
        <w:tc>
          <w:tcPr>
            <w:tcW w:w="964" w:type="dxa"/>
            <w:shd w:val="clear" w:color="auto" w:fill="D9E2F3"/>
          </w:tcPr>
          <w:p w14:paraId="4A2795E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5.7 </w:t>
            </w:r>
          </w:p>
        </w:tc>
        <w:tc>
          <w:tcPr>
            <w:tcW w:w="854" w:type="dxa"/>
            <w:shd w:val="clear" w:color="auto" w:fill="D9E2F3"/>
          </w:tcPr>
          <w:p w14:paraId="6BAFE09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5.5 </w:t>
            </w:r>
          </w:p>
        </w:tc>
      </w:tr>
      <w:tr w:rsidR="002D7DDD" w:rsidRPr="00D94E0C" w14:paraId="2A531813" w14:textId="77777777" w:rsidTr="008931FF">
        <w:trPr>
          <w:trHeight w:val="266"/>
        </w:trPr>
        <w:tc>
          <w:tcPr>
            <w:tcW w:w="3343" w:type="dxa"/>
            <w:noWrap/>
          </w:tcPr>
          <w:p w14:paraId="20CB5EEC" w14:textId="77777777" w:rsidR="002D7DDD" w:rsidRPr="00D94E0C" w:rsidRDefault="002D7DDD" w:rsidP="008931FF">
            <w:pPr>
              <w:tabs>
                <w:tab w:val="right" w:pos="-180"/>
              </w:tabs>
              <w:spacing w:before="0" w:after="0" w:line="276" w:lineRule="auto"/>
              <w:ind w:left="284" w:hanging="30"/>
              <w:jc w:val="left"/>
              <w:rPr>
                <w:rFonts w:eastAsia="Calibri" w:cs="Sylfaen"/>
                <w:sz w:val="20"/>
                <w:szCs w:val="20"/>
              </w:rPr>
            </w:pPr>
            <w:r w:rsidRPr="00D94E0C">
              <w:rPr>
                <w:rFonts w:eastAsia="Calibri" w:cs="Sylfaen"/>
                <w:sz w:val="20"/>
                <w:szCs w:val="20"/>
              </w:rPr>
              <w:t>ՀՆԱ դեֆլյատորի աճ, %</w:t>
            </w:r>
          </w:p>
        </w:tc>
        <w:tc>
          <w:tcPr>
            <w:tcW w:w="1105" w:type="dxa"/>
          </w:tcPr>
          <w:p w14:paraId="35054E5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6.9 </w:t>
            </w:r>
          </w:p>
        </w:tc>
        <w:tc>
          <w:tcPr>
            <w:tcW w:w="1050" w:type="dxa"/>
          </w:tcPr>
          <w:p w14:paraId="279C1C5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8.0 </w:t>
            </w:r>
          </w:p>
        </w:tc>
        <w:tc>
          <w:tcPr>
            <w:tcW w:w="875" w:type="dxa"/>
          </w:tcPr>
          <w:p w14:paraId="2AF7947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2.9 </w:t>
            </w:r>
          </w:p>
        </w:tc>
        <w:tc>
          <w:tcPr>
            <w:tcW w:w="1193" w:type="dxa"/>
            <w:shd w:val="clear" w:color="auto" w:fill="D9E2F3"/>
          </w:tcPr>
          <w:p w14:paraId="77084E4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1.3 </w:t>
            </w:r>
          </w:p>
        </w:tc>
        <w:tc>
          <w:tcPr>
            <w:tcW w:w="951" w:type="dxa"/>
            <w:shd w:val="clear" w:color="auto" w:fill="D9E2F3"/>
          </w:tcPr>
          <w:p w14:paraId="14B110C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3.4 </w:t>
            </w:r>
          </w:p>
        </w:tc>
        <w:tc>
          <w:tcPr>
            <w:tcW w:w="964" w:type="dxa"/>
            <w:shd w:val="clear" w:color="auto" w:fill="D9E2F3"/>
          </w:tcPr>
          <w:p w14:paraId="67DE7C1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4.0 </w:t>
            </w:r>
          </w:p>
        </w:tc>
        <w:tc>
          <w:tcPr>
            <w:tcW w:w="854" w:type="dxa"/>
            <w:shd w:val="clear" w:color="auto" w:fill="D9E2F3"/>
          </w:tcPr>
          <w:p w14:paraId="5D4B3C3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 xml:space="preserve">4.0 </w:t>
            </w:r>
          </w:p>
        </w:tc>
      </w:tr>
      <w:tr w:rsidR="002D7DDD" w:rsidRPr="00D94E0C" w14:paraId="2326FDCC" w14:textId="77777777" w:rsidTr="008931FF">
        <w:trPr>
          <w:trHeight w:val="256"/>
        </w:trPr>
        <w:tc>
          <w:tcPr>
            <w:tcW w:w="3343" w:type="dxa"/>
            <w:noWrap/>
          </w:tcPr>
          <w:p w14:paraId="50CF6CEA"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Գնաճ (ժամանակ. վերջ), %</w:t>
            </w:r>
          </w:p>
        </w:tc>
        <w:tc>
          <w:tcPr>
            <w:tcW w:w="1105" w:type="dxa"/>
          </w:tcPr>
          <w:p w14:paraId="409228F2"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7.7</w:t>
            </w:r>
          </w:p>
        </w:tc>
        <w:tc>
          <w:tcPr>
            <w:tcW w:w="1050" w:type="dxa"/>
          </w:tcPr>
          <w:p w14:paraId="4239A0E2"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8.3</w:t>
            </w:r>
          </w:p>
        </w:tc>
        <w:tc>
          <w:tcPr>
            <w:tcW w:w="875" w:type="dxa"/>
          </w:tcPr>
          <w:p w14:paraId="37DDD731"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-0.6</w:t>
            </w:r>
          </w:p>
        </w:tc>
        <w:tc>
          <w:tcPr>
            <w:tcW w:w="1193" w:type="dxa"/>
            <w:shd w:val="clear" w:color="auto" w:fill="D9E2F3"/>
          </w:tcPr>
          <w:p w14:paraId="54954B84"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3.0</w:t>
            </w:r>
          </w:p>
        </w:tc>
        <w:tc>
          <w:tcPr>
            <w:tcW w:w="951" w:type="dxa"/>
            <w:shd w:val="clear" w:color="auto" w:fill="D9E2F3"/>
          </w:tcPr>
          <w:p w14:paraId="7E7EE330"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4.0</w:t>
            </w:r>
          </w:p>
        </w:tc>
        <w:tc>
          <w:tcPr>
            <w:tcW w:w="964" w:type="dxa"/>
            <w:shd w:val="clear" w:color="auto" w:fill="D9E2F3"/>
          </w:tcPr>
          <w:p w14:paraId="64DE9947"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4.0</w:t>
            </w:r>
          </w:p>
        </w:tc>
        <w:tc>
          <w:tcPr>
            <w:tcW w:w="854" w:type="dxa"/>
            <w:shd w:val="clear" w:color="auto" w:fill="D9E2F3"/>
          </w:tcPr>
          <w:p w14:paraId="4AAB27E9"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4.0</w:t>
            </w:r>
          </w:p>
        </w:tc>
      </w:tr>
      <w:tr w:rsidR="002D7DDD" w:rsidRPr="00D94E0C" w14:paraId="3AA47307" w14:textId="77777777" w:rsidTr="008931FF">
        <w:trPr>
          <w:trHeight w:val="263"/>
        </w:trPr>
        <w:tc>
          <w:tcPr>
            <w:tcW w:w="3343" w:type="dxa"/>
          </w:tcPr>
          <w:p w14:paraId="29E34105"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Գնաճ (միջին), %</w:t>
            </w:r>
          </w:p>
        </w:tc>
        <w:tc>
          <w:tcPr>
            <w:tcW w:w="1105" w:type="dxa"/>
          </w:tcPr>
          <w:p w14:paraId="0E42225A"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7.2</w:t>
            </w:r>
          </w:p>
        </w:tc>
        <w:tc>
          <w:tcPr>
            <w:tcW w:w="1050" w:type="dxa"/>
          </w:tcPr>
          <w:p w14:paraId="1A2C9FC1"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8.6</w:t>
            </w:r>
          </w:p>
        </w:tc>
        <w:tc>
          <w:tcPr>
            <w:tcW w:w="875" w:type="dxa"/>
          </w:tcPr>
          <w:p w14:paraId="3CF96669"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2.0</w:t>
            </w:r>
          </w:p>
        </w:tc>
        <w:tc>
          <w:tcPr>
            <w:tcW w:w="1193" w:type="dxa"/>
            <w:shd w:val="clear" w:color="auto" w:fill="D9E2F3"/>
          </w:tcPr>
          <w:p w14:paraId="46DAA5EE"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0.7</w:t>
            </w:r>
          </w:p>
        </w:tc>
        <w:tc>
          <w:tcPr>
            <w:tcW w:w="951" w:type="dxa"/>
            <w:shd w:val="clear" w:color="auto" w:fill="D9E2F3"/>
          </w:tcPr>
          <w:p w14:paraId="4D1C88DB"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3.5</w:t>
            </w:r>
          </w:p>
        </w:tc>
        <w:tc>
          <w:tcPr>
            <w:tcW w:w="964" w:type="dxa"/>
            <w:shd w:val="clear" w:color="auto" w:fill="D9E2F3"/>
          </w:tcPr>
          <w:p w14:paraId="5ABB1AE4"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4.0</w:t>
            </w:r>
          </w:p>
        </w:tc>
        <w:tc>
          <w:tcPr>
            <w:tcW w:w="854" w:type="dxa"/>
            <w:shd w:val="clear" w:color="auto" w:fill="D9E2F3"/>
          </w:tcPr>
          <w:p w14:paraId="570374CB" w14:textId="77777777" w:rsidR="002D7DDD" w:rsidRPr="00D94E0C" w:rsidRDefault="002D7DDD" w:rsidP="008931FF">
            <w:pPr>
              <w:tabs>
                <w:tab w:val="right" w:pos="-180"/>
              </w:tabs>
              <w:spacing w:before="0" w:after="0" w:line="276" w:lineRule="auto"/>
              <w:ind w:hanging="180"/>
              <w:jc w:val="center"/>
              <w:rPr>
                <w:rFonts w:eastAsia="Times New Roman" w:cs="Times New Roman"/>
                <w:sz w:val="18"/>
                <w:szCs w:val="24"/>
              </w:rPr>
            </w:pPr>
            <w:r w:rsidRPr="00D94E0C">
              <w:rPr>
                <w:rFonts w:eastAsia="Times New Roman" w:cs="Times New Roman"/>
                <w:sz w:val="18"/>
                <w:szCs w:val="24"/>
              </w:rPr>
              <w:t>4.0</w:t>
            </w:r>
          </w:p>
        </w:tc>
      </w:tr>
      <w:tr w:rsidR="002D7DDD" w:rsidRPr="00D94E0C" w14:paraId="3E714FDF" w14:textId="77777777" w:rsidTr="008931FF">
        <w:trPr>
          <w:trHeight w:val="256"/>
        </w:trPr>
        <w:tc>
          <w:tcPr>
            <w:tcW w:w="10335" w:type="dxa"/>
            <w:gridSpan w:val="8"/>
            <w:shd w:val="clear" w:color="auto" w:fill="auto"/>
            <w:noWrap/>
          </w:tcPr>
          <w:p w14:paraId="51DDA0DE" w14:textId="77777777" w:rsidR="002D7DDD" w:rsidRPr="00D94E0C" w:rsidRDefault="002D7DDD" w:rsidP="008931FF">
            <w:pPr>
              <w:tabs>
                <w:tab w:val="right" w:pos="-180"/>
              </w:tabs>
              <w:spacing w:before="0" w:after="0" w:line="276" w:lineRule="auto"/>
              <w:ind w:hanging="30"/>
              <w:jc w:val="left"/>
              <w:rPr>
                <w:rFonts w:eastAsia="Calibri" w:cs="Arial"/>
                <w:bCs/>
                <w:sz w:val="18"/>
                <w:szCs w:val="18"/>
              </w:rPr>
            </w:pPr>
            <w:r w:rsidRPr="00D94E0C">
              <w:rPr>
                <w:rFonts w:eastAsia="Calibri" w:cs="Sylfaen"/>
                <w:b/>
                <w:sz w:val="18"/>
                <w:szCs w:val="18"/>
                <w:u w:val="single"/>
              </w:rPr>
              <w:t>ՀՆԱ իրական աճն ըստ ճյուղերի ավելացված արժեքների, %</w:t>
            </w:r>
          </w:p>
        </w:tc>
      </w:tr>
      <w:tr w:rsidR="002D7DDD" w:rsidRPr="00D94E0C" w14:paraId="506CFE69" w14:textId="77777777" w:rsidTr="008931FF">
        <w:trPr>
          <w:trHeight w:val="293"/>
        </w:trPr>
        <w:tc>
          <w:tcPr>
            <w:tcW w:w="3343" w:type="dxa"/>
            <w:noWrap/>
          </w:tcPr>
          <w:p w14:paraId="1C11F515" w14:textId="77777777" w:rsidR="002D7DDD" w:rsidRPr="00D94E0C" w:rsidRDefault="002D7DDD" w:rsidP="008931FF">
            <w:pPr>
              <w:tabs>
                <w:tab w:val="right" w:pos="-180"/>
              </w:tabs>
              <w:spacing w:before="0" w:after="0" w:line="276" w:lineRule="auto"/>
              <w:ind w:firstLineChars="100" w:firstLine="200"/>
              <w:jc w:val="left"/>
              <w:rPr>
                <w:rFonts w:eastAsia="Calibri" w:cs="Sylfaen"/>
                <w:sz w:val="20"/>
                <w:szCs w:val="20"/>
              </w:rPr>
            </w:pPr>
            <w:r w:rsidRPr="00D94E0C">
              <w:rPr>
                <w:rFonts w:eastAsia="Calibri" w:cs="Sylfaen"/>
                <w:sz w:val="20"/>
                <w:szCs w:val="20"/>
              </w:rPr>
              <w:t>Արդյունաբերություն</w:t>
            </w:r>
          </w:p>
        </w:tc>
        <w:tc>
          <w:tcPr>
            <w:tcW w:w="1105" w:type="dxa"/>
            <w:vAlign w:val="center"/>
          </w:tcPr>
          <w:p w14:paraId="77F3DCA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2.4</w:t>
            </w:r>
          </w:p>
        </w:tc>
        <w:tc>
          <w:tcPr>
            <w:tcW w:w="1050" w:type="dxa"/>
            <w:vAlign w:val="center"/>
          </w:tcPr>
          <w:p w14:paraId="6164CB1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6.9</w:t>
            </w:r>
          </w:p>
        </w:tc>
        <w:tc>
          <w:tcPr>
            <w:tcW w:w="875" w:type="dxa"/>
            <w:vAlign w:val="center"/>
          </w:tcPr>
          <w:p w14:paraId="72CFCB5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0.0</w:t>
            </w:r>
          </w:p>
        </w:tc>
        <w:tc>
          <w:tcPr>
            <w:tcW w:w="1193" w:type="dxa"/>
            <w:shd w:val="clear" w:color="auto" w:fill="D9E2F3"/>
            <w:vAlign w:val="center"/>
          </w:tcPr>
          <w:p w14:paraId="28B93D0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6.8</w:t>
            </w:r>
          </w:p>
        </w:tc>
        <w:tc>
          <w:tcPr>
            <w:tcW w:w="951" w:type="dxa"/>
            <w:shd w:val="clear" w:color="auto" w:fill="D9E2F3"/>
            <w:vAlign w:val="center"/>
          </w:tcPr>
          <w:p w14:paraId="6566D66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5.8</w:t>
            </w:r>
          </w:p>
        </w:tc>
        <w:tc>
          <w:tcPr>
            <w:tcW w:w="964" w:type="dxa"/>
            <w:shd w:val="clear" w:color="auto" w:fill="D9E2F3"/>
            <w:vAlign w:val="center"/>
          </w:tcPr>
          <w:p w14:paraId="353D569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4.5</w:t>
            </w:r>
          </w:p>
        </w:tc>
        <w:tc>
          <w:tcPr>
            <w:tcW w:w="854" w:type="dxa"/>
            <w:shd w:val="clear" w:color="auto" w:fill="D9E2F3"/>
            <w:vAlign w:val="center"/>
          </w:tcPr>
          <w:p w14:paraId="0D2E9DE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4.5</w:t>
            </w:r>
          </w:p>
        </w:tc>
      </w:tr>
      <w:tr w:rsidR="002D7DDD" w:rsidRPr="00D94E0C" w14:paraId="5EEF0AB3" w14:textId="77777777" w:rsidTr="008931FF">
        <w:trPr>
          <w:trHeight w:val="256"/>
        </w:trPr>
        <w:tc>
          <w:tcPr>
            <w:tcW w:w="3343" w:type="dxa"/>
          </w:tcPr>
          <w:p w14:paraId="0068EB46" w14:textId="77777777" w:rsidR="002D7DDD" w:rsidRPr="00D94E0C" w:rsidRDefault="002D7DDD" w:rsidP="008931FF">
            <w:pPr>
              <w:tabs>
                <w:tab w:val="right" w:pos="-180"/>
              </w:tabs>
              <w:spacing w:before="0" w:after="0" w:line="276" w:lineRule="auto"/>
              <w:ind w:firstLineChars="100" w:firstLine="200"/>
              <w:jc w:val="left"/>
              <w:rPr>
                <w:rFonts w:eastAsia="Calibri" w:cs="Sylfaen"/>
                <w:sz w:val="20"/>
                <w:szCs w:val="20"/>
              </w:rPr>
            </w:pPr>
            <w:r w:rsidRPr="00D94E0C">
              <w:rPr>
                <w:rFonts w:eastAsia="Calibri" w:cs="Sylfaen"/>
                <w:sz w:val="20"/>
                <w:szCs w:val="20"/>
              </w:rPr>
              <w:t xml:space="preserve">Գյուղատնտեսություն </w:t>
            </w:r>
          </w:p>
        </w:tc>
        <w:tc>
          <w:tcPr>
            <w:tcW w:w="1105" w:type="dxa"/>
            <w:vAlign w:val="center"/>
          </w:tcPr>
          <w:p w14:paraId="541689D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-0.8</w:t>
            </w:r>
          </w:p>
        </w:tc>
        <w:tc>
          <w:tcPr>
            <w:tcW w:w="1050" w:type="dxa"/>
            <w:vAlign w:val="center"/>
          </w:tcPr>
          <w:p w14:paraId="7FB2B36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-2.8</w:t>
            </w:r>
          </w:p>
        </w:tc>
        <w:tc>
          <w:tcPr>
            <w:tcW w:w="875" w:type="dxa"/>
            <w:vAlign w:val="center"/>
          </w:tcPr>
          <w:p w14:paraId="059A5F4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2.9</w:t>
            </w:r>
          </w:p>
        </w:tc>
        <w:tc>
          <w:tcPr>
            <w:tcW w:w="1193" w:type="dxa"/>
            <w:shd w:val="clear" w:color="auto" w:fill="D9E2F3"/>
            <w:vAlign w:val="center"/>
          </w:tcPr>
          <w:p w14:paraId="0E45D1E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2.7</w:t>
            </w:r>
          </w:p>
        </w:tc>
        <w:tc>
          <w:tcPr>
            <w:tcW w:w="951" w:type="dxa"/>
            <w:shd w:val="clear" w:color="auto" w:fill="D9E2F3"/>
            <w:vAlign w:val="center"/>
          </w:tcPr>
          <w:p w14:paraId="2791693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3.0</w:t>
            </w:r>
          </w:p>
        </w:tc>
        <w:tc>
          <w:tcPr>
            <w:tcW w:w="964" w:type="dxa"/>
            <w:shd w:val="clear" w:color="auto" w:fill="D9E2F3"/>
            <w:vAlign w:val="center"/>
          </w:tcPr>
          <w:p w14:paraId="107E8A4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3.0</w:t>
            </w:r>
          </w:p>
        </w:tc>
        <w:tc>
          <w:tcPr>
            <w:tcW w:w="854" w:type="dxa"/>
            <w:shd w:val="clear" w:color="auto" w:fill="D9E2F3"/>
            <w:vAlign w:val="center"/>
          </w:tcPr>
          <w:p w14:paraId="618C503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3.0</w:t>
            </w:r>
          </w:p>
        </w:tc>
      </w:tr>
      <w:tr w:rsidR="002D7DDD" w:rsidRPr="00D94E0C" w14:paraId="734E2D67" w14:textId="77777777" w:rsidTr="008931FF">
        <w:trPr>
          <w:trHeight w:val="256"/>
        </w:trPr>
        <w:tc>
          <w:tcPr>
            <w:tcW w:w="3343" w:type="dxa"/>
            <w:noWrap/>
          </w:tcPr>
          <w:p w14:paraId="137A6D5D" w14:textId="77777777" w:rsidR="002D7DDD" w:rsidRPr="00D94E0C" w:rsidRDefault="002D7DDD" w:rsidP="008931FF">
            <w:pPr>
              <w:tabs>
                <w:tab w:val="right" w:pos="-180"/>
              </w:tabs>
              <w:spacing w:before="0" w:after="0" w:line="276" w:lineRule="auto"/>
              <w:ind w:firstLineChars="100" w:firstLine="200"/>
              <w:jc w:val="left"/>
              <w:rPr>
                <w:rFonts w:eastAsia="Calibri" w:cs="Sylfaen"/>
                <w:sz w:val="20"/>
                <w:szCs w:val="20"/>
              </w:rPr>
            </w:pPr>
            <w:r w:rsidRPr="00D94E0C">
              <w:rPr>
                <w:rFonts w:eastAsia="Calibri" w:cs="Sylfaen"/>
                <w:sz w:val="20"/>
                <w:szCs w:val="20"/>
              </w:rPr>
              <w:t xml:space="preserve">Շինարարություն </w:t>
            </w:r>
          </w:p>
        </w:tc>
        <w:tc>
          <w:tcPr>
            <w:tcW w:w="1105" w:type="dxa"/>
            <w:vAlign w:val="center"/>
          </w:tcPr>
          <w:p w14:paraId="5AC257A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3.1</w:t>
            </w:r>
          </w:p>
        </w:tc>
        <w:tc>
          <w:tcPr>
            <w:tcW w:w="1050" w:type="dxa"/>
            <w:vAlign w:val="center"/>
          </w:tcPr>
          <w:p w14:paraId="6CAAB8A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18.6</w:t>
            </w:r>
          </w:p>
        </w:tc>
        <w:tc>
          <w:tcPr>
            <w:tcW w:w="875" w:type="dxa"/>
            <w:vAlign w:val="center"/>
          </w:tcPr>
          <w:p w14:paraId="6C7BB87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16.0</w:t>
            </w:r>
          </w:p>
        </w:tc>
        <w:tc>
          <w:tcPr>
            <w:tcW w:w="1193" w:type="dxa"/>
            <w:shd w:val="clear" w:color="auto" w:fill="D9E2F3"/>
            <w:vAlign w:val="center"/>
          </w:tcPr>
          <w:p w14:paraId="61606B3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6.6</w:t>
            </w:r>
          </w:p>
        </w:tc>
        <w:tc>
          <w:tcPr>
            <w:tcW w:w="951" w:type="dxa"/>
            <w:shd w:val="clear" w:color="auto" w:fill="D9E2F3"/>
            <w:vAlign w:val="center"/>
          </w:tcPr>
          <w:p w14:paraId="4AFD3F6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6.3</w:t>
            </w:r>
          </w:p>
        </w:tc>
        <w:tc>
          <w:tcPr>
            <w:tcW w:w="964" w:type="dxa"/>
            <w:shd w:val="clear" w:color="auto" w:fill="D9E2F3"/>
            <w:vAlign w:val="center"/>
          </w:tcPr>
          <w:p w14:paraId="7075E48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w:t>
            </w:r>
          </w:p>
        </w:tc>
        <w:tc>
          <w:tcPr>
            <w:tcW w:w="854" w:type="dxa"/>
            <w:shd w:val="clear" w:color="auto" w:fill="D9E2F3"/>
            <w:vAlign w:val="center"/>
          </w:tcPr>
          <w:p w14:paraId="75CDCD6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5.5</w:t>
            </w:r>
          </w:p>
        </w:tc>
      </w:tr>
      <w:tr w:rsidR="002D7DDD" w:rsidRPr="00D94E0C" w14:paraId="02416B3A" w14:textId="77777777" w:rsidTr="008931FF">
        <w:trPr>
          <w:trHeight w:val="256"/>
        </w:trPr>
        <w:tc>
          <w:tcPr>
            <w:tcW w:w="3343" w:type="dxa"/>
            <w:noWrap/>
          </w:tcPr>
          <w:p w14:paraId="1930B6CA" w14:textId="77777777" w:rsidR="002D7DDD" w:rsidRPr="00D94E0C" w:rsidRDefault="002D7DDD" w:rsidP="008931FF">
            <w:pPr>
              <w:tabs>
                <w:tab w:val="right" w:pos="-180"/>
              </w:tabs>
              <w:spacing w:before="0" w:after="0" w:line="276" w:lineRule="auto"/>
              <w:ind w:firstLineChars="100" w:firstLine="200"/>
              <w:jc w:val="left"/>
              <w:rPr>
                <w:rFonts w:eastAsia="Calibri" w:cs="Sylfaen"/>
                <w:sz w:val="20"/>
                <w:szCs w:val="20"/>
              </w:rPr>
            </w:pPr>
            <w:r w:rsidRPr="00D94E0C">
              <w:rPr>
                <w:rFonts w:eastAsia="Calibri" w:cs="Sylfaen"/>
                <w:sz w:val="20"/>
                <w:szCs w:val="20"/>
              </w:rPr>
              <w:t>Ծառայություններ</w:t>
            </w:r>
          </w:p>
        </w:tc>
        <w:tc>
          <w:tcPr>
            <w:tcW w:w="1105" w:type="dxa"/>
            <w:vAlign w:val="center"/>
          </w:tcPr>
          <w:p w14:paraId="7CE12C4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8.6</w:t>
            </w:r>
          </w:p>
        </w:tc>
        <w:tc>
          <w:tcPr>
            <w:tcW w:w="1050" w:type="dxa"/>
            <w:vAlign w:val="center"/>
          </w:tcPr>
          <w:p w14:paraId="656CE29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18.4</w:t>
            </w:r>
          </w:p>
        </w:tc>
        <w:tc>
          <w:tcPr>
            <w:tcW w:w="875" w:type="dxa"/>
            <w:vAlign w:val="center"/>
          </w:tcPr>
          <w:p w14:paraId="1D3E385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11.5</w:t>
            </w:r>
          </w:p>
        </w:tc>
        <w:tc>
          <w:tcPr>
            <w:tcW w:w="1193" w:type="dxa"/>
            <w:shd w:val="clear" w:color="auto" w:fill="D9E2F3"/>
            <w:vAlign w:val="center"/>
          </w:tcPr>
          <w:p w14:paraId="770427E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6.6</w:t>
            </w:r>
          </w:p>
        </w:tc>
        <w:tc>
          <w:tcPr>
            <w:tcW w:w="951" w:type="dxa"/>
            <w:shd w:val="clear" w:color="auto" w:fill="D9E2F3"/>
            <w:vAlign w:val="center"/>
          </w:tcPr>
          <w:p w14:paraId="757B17D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6.1</w:t>
            </w:r>
          </w:p>
        </w:tc>
        <w:tc>
          <w:tcPr>
            <w:tcW w:w="964" w:type="dxa"/>
            <w:shd w:val="clear" w:color="auto" w:fill="D9E2F3"/>
            <w:vAlign w:val="center"/>
          </w:tcPr>
          <w:p w14:paraId="0E4E6DF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6.3</w:t>
            </w:r>
          </w:p>
        </w:tc>
        <w:tc>
          <w:tcPr>
            <w:tcW w:w="854" w:type="dxa"/>
            <w:shd w:val="clear" w:color="auto" w:fill="D9E2F3"/>
            <w:vAlign w:val="center"/>
          </w:tcPr>
          <w:p w14:paraId="71DE8FD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6.1</w:t>
            </w:r>
          </w:p>
        </w:tc>
      </w:tr>
      <w:tr w:rsidR="002D7DDD" w:rsidRPr="00D94E0C" w14:paraId="7D8F2331" w14:textId="77777777" w:rsidTr="008931FF">
        <w:trPr>
          <w:trHeight w:val="256"/>
        </w:trPr>
        <w:tc>
          <w:tcPr>
            <w:tcW w:w="3343" w:type="dxa"/>
            <w:noWrap/>
          </w:tcPr>
          <w:p w14:paraId="22BB390F" w14:textId="77777777" w:rsidR="002D7DDD" w:rsidRPr="00D94E0C" w:rsidRDefault="002D7DDD" w:rsidP="008931FF">
            <w:pPr>
              <w:tabs>
                <w:tab w:val="right" w:pos="-180"/>
              </w:tabs>
              <w:spacing w:before="0" w:after="0" w:line="276" w:lineRule="auto"/>
              <w:ind w:firstLineChars="100" w:firstLine="200"/>
              <w:jc w:val="left"/>
              <w:rPr>
                <w:rFonts w:eastAsia="Calibri" w:cs="Sylfaen"/>
                <w:sz w:val="20"/>
                <w:szCs w:val="20"/>
              </w:rPr>
            </w:pPr>
            <w:r w:rsidRPr="00D94E0C">
              <w:rPr>
                <w:rFonts w:eastAsia="Calibri" w:cs="Sylfaen"/>
                <w:sz w:val="20"/>
                <w:szCs w:val="20"/>
              </w:rPr>
              <w:t>Զուտ հարկեր</w:t>
            </w:r>
          </w:p>
        </w:tc>
        <w:tc>
          <w:tcPr>
            <w:tcW w:w="1105" w:type="dxa"/>
            <w:vAlign w:val="center"/>
          </w:tcPr>
          <w:p w14:paraId="0388B5A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7.4</w:t>
            </w:r>
          </w:p>
        </w:tc>
        <w:tc>
          <w:tcPr>
            <w:tcW w:w="1050" w:type="dxa"/>
            <w:vAlign w:val="center"/>
          </w:tcPr>
          <w:p w14:paraId="2EAD201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8.1</w:t>
            </w:r>
          </w:p>
        </w:tc>
        <w:tc>
          <w:tcPr>
            <w:tcW w:w="875" w:type="dxa"/>
            <w:vAlign w:val="center"/>
          </w:tcPr>
          <w:p w14:paraId="42B5893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11.0</w:t>
            </w:r>
          </w:p>
        </w:tc>
        <w:tc>
          <w:tcPr>
            <w:tcW w:w="1193" w:type="dxa"/>
            <w:shd w:val="clear" w:color="auto" w:fill="D9E2F3"/>
            <w:vAlign w:val="center"/>
          </w:tcPr>
          <w:p w14:paraId="495EFCC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6.7</w:t>
            </w:r>
          </w:p>
        </w:tc>
        <w:tc>
          <w:tcPr>
            <w:tcW w:w="951" w:type="dxa"/>
            <w:shd w:val="clear" w:color="auto" w:fill="D9E2F3"/>
            <w:vAlign w:val="center"/>
          </w:tcPr>
          <w:p w14:paraId="5C13E4F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6.2</w:t>
            </w:r>
          </w:p>
        </w:tc>
        <w:tc>
          <w:tcPr>
            <w:tcW w:w="964" w:type="dxa"/>
            <w:shd w:val="clear" w:color="auto" w:fill="D9E2F3"/>
            <w:vAlign w:val="center"/>
          </w:tcPr>
          <w:p w14:paraId="0243919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6.1</w:t>
            </w:r>
          </w:p>
        </w:tc>
        <w:tc>
          <w:tcPr>
            <w:tcW w:w="854" w:type="dxa"/>
            <w:shd w:val="clear" w:color="auto" w:fill="D9E2F3"/>
            <w:vAlign w:val="center"/>
          </w:tcPr>
          <w:p w14:paraId="753496E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5.8</w:t>
            </w:r>
          </w:p>
        </w:tc>
      </w:tr>
      <w:tr w:rsidR="002D7DDD" w:rsidRPr="00D94E0C" w14:paraId="56782293" w14:textId="77777777" w:rsidTr="008931FF">
        <w:trPr>
          <w:trHeight w:val="256"/>
        </w:trPr>
        <w:tc>
          <w:tcPr>
            <w:tcW w:w="10335" w:type="dxa"/>
            <w:gridSpan w:val="8"/>
            <w:shd w:val="clear" w:color="auto" w:fill="auto"/>
            <w:noWrap/>
          </w:tcPr>
          <w:p w14:paraId="774613F2" w14:textId="77777777" w:rsidR="002D7DDD" w:rsidRPr="00D94E0C" w:rsidRDefault="002D7DDD" w:rsidP="008931FF">
            <w:pPr>
              <w:tabs>
                <w:tab w:val="right" w:pos="-180"/>
              </w:tabs>
              <w:spacing w:before="0" w:after="0" w:line="276" w:lineRule="auto"/>
              <w:ind w:hanging="30"/>
              <w:jc w:val="left"/>
              <w:rPr>
                <w:rFonts w:eastAsia="Calibri" w:cs="Arial"/>
                <w:bCs/>
                <w:sz w:val="18"/>
                <w:szCs w:val="18"/>
                <w:highlight w:val="yellow"/>
              </w:rPr>
            </w:pPr>
            <w:r w:rsidRPr="00D94E0C">
              <w:rPr>
                <w:rFonts w:eastAsia="Calibri" w:cs="Sylfaen"/>
                <w:b/>
                <w:sz w:val="18"/>
                <w:szCs w:val="18"/>
                <w:u w:val="single"/>
              </w:rPr>
              <w:t>ՀՆԱ ծախսային բաղադրիչների իրական աճերը, %</w:t>
            </w:r>
          </w:p>
        </w:tc>
      </w:tr>
      <w:tr w:rsidR="002D7DDD" w:rsidRPr="00D94E0C" w14:paraId="3FAB0A13" w14:textId="77777777" w:rsidTr="008931FF">
        <w:trPr>
          <w:trHeight w:val="256"/>
        </w:trPr>
        <w:tc>
          <w:tcPr>
            <w:tcW w:w="3343" w:type="dxa"/>
          </w:tcPr>
          <w:p w14:paraId="59D33E63"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Վերջնական սպառում</w:t>
            </w:r>
          </w:p>
        </w:tc>
        <w:tc>
          <w:tcPr>
            <w:tcW w:w="1105" w:type="dxa"/>
          </w:tcPr>
          <w:p w14:paraId="180D45C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w:t>
            </w:r>
          </w:p>
        </w:tc>
        <w:tc>
          <w:tcPr>
            <w:tcW w:w="1050" w:type="dxa"/>
          </w:tcPr>
          <w:p w14:paraId="503A35F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4.4</w:t>
            </w:r>
          </w:p>
        </w:tc>
        <w:tc>
          <w:tcPr>
            <w:tcW w:w="875" w:type="dxa"/>
          </w:tcPr>
          <w:p w14:paraId="6434FC5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9.7</w:t>
            </w:r>
          </w:p>
        </w:tc>
        <w:tc>
          <w:tcPr>
            <w:tcW w:w="1193" w:type="dxa"/>
            <w:shd w:val="clear" w:color="auto" w:fill="D9E2F3"/>
          </w:tcPr>
          <w:p w14:paraId="5FC0F3D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6.6</w:t>
            </w:r>
          </w:p>
        </w:tc>
        <w:tc>
          <w:tcPr>
            <w:tcW w:w="951" w:type="dxa"/>
            <w:shd w:val="clear" w:color="auto" w:fill="D9E2F3"/>
          </w:tcPr>
          <w:p w14:paraId="08564F7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4.4</w:t>
            </w:r>
          </w:p>
        </w:tc>
        <w:tc>
          <w:tcPr>
            <w:tcW w:w="964" w:type="dxa"/>
            <w:shd w:val="clear" w:color="auto" w:fill="D9E2F3"/>
          </w:tcPr>
          <w:p w14:paraId="7233B7C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w:t>
            </w:r>
          </w:p>
        </w:tc>
        <w:tc>
          <w:tcPr>
            <w:tcW w:w="854" w:type="dxa"/>
            <w:shd w:val="clear" w:color="auto" w:fill="D9E2F3"/>
          </w:tcPr>
          <w:p w14:paraId="451E8A4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5.4</w:t>
            </w:r>
          </w:p>
        </w:tc>
      </w:tr>
      <w:tr w:rsidR="002D7DDD" w:rsidRPr="00D94E0C" w14:paraId="324A3C28" w14:textId="77777777" w:rsidTr="008931FF">
        <w:trPr>
          <w:trHeight w:val="256"/>
        </w:trPr>
        <w:tc>
          <w:tcPr>
            <w:tcW w:w="3343" w:type="dxa"/>
          </w:tcPr>
          <w:p w14:paraId="1FAE5DA9"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rPr>
            </w:pPr>
            <w:r w:rsidRPr="00D94E0C">
              <w:rPr>
                <w:rFonts w:eastAsia="Calibri" w:cs="Sylfaen"/>
                <w:sz w:val="20"/>
                <w:szCs w:val="20"/>
              </w:rPr>
              <w:t>Պետական</w:t>
            </w:r>
          </w:p>
        </w:tc>
        <w:tc>
          <w:tcPr>
            <w:tcW w:w="1105" w:type="dxa"/>
          </w:tcPr>
          <w:p w14:paraId="7F4BDF4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-6.2</w:t>
            </w:r>
          </w:p>
        </w:tc>
        <w:tc>
          <w:tcPr>
            <w:tcW w:w="1050" w:type="dxa"/>
          </w:tcPr>
          <w:p w14:paraId="1CC2950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-2.2</w:t>
            </w:r>
          </w:p>
        </w:tc>
        <w:tc>
          <w:tcPr>
            <w:tcW w:w="875" w:type="dxa"/>
          </w:tcPr>
          <w:p w14:paraId="6FDC9B7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28.3</w:t>
            </w:r>
          </w:p>
        </w:tc>
        <w:tc>
          <w:tcPr>
            <w:tcW w:w="1193" w:type="dxa"/>
            <w:shd w:val="clear" w:color="auto" w:fill="D9E2F3"/>
          </w:tcPr>
          <w:p w14:paraId="7D440CB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10.6</w:t>
            </w:r>
          </w:p>
        </w:tc>
        <w:tc>
          <w:tcPr>
            <w:tcW w:w="951" w:type="dxa"/>
            <w:shd w:val="clear" w:color="auto" w:fill="D9E2F3"/>
          </w:tcPr>
          <w:p w14:paraId="36A90AE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w:t>
            </w:r>
          </w:p>
        </w:tc>
        <w:tc>
          <w:tcPr>
            <w:tcW w:w="964" w:type="dxa"/>
            <w:shd w:val="clear" w:color="auto" w:fill="D9E2F3"/>
          </w:tcPr>
          <w:p w14:paraId="0E14C10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7.6</w:t>
            </w:r>
          </w:p>
        </w:tc>
        <w:tc>
          <w:tcPr>
            <w:tcW w:w="854" w:type="dxa"/>
            <w:shd w:val="clear" w:color="auto" w:fill="D9E2F3"/>
          </w:tcPr>
          <w:p w14:paraId="4D3CD87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7.2</w:t>
            </w:r>
          </w:p>
        </w:tc>
      </w:tr>
      <w:tr w:rsidR="002D7DDD" w:rsidRPr="00D94E0C" w14:paraId="255ECE89" w14:textId="77777777" w:rsidTr="008931FF">
        <w:trPr>
          <w:trHeight w:val="256"/>
        </w:trPr>
        <w:tc>
          <w:tcPr>
            <w:tcW w:w="3343" w:type="dxa"/>
          </w:tcPr>
          <w:p w14:paraId="64F290F6"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lang w:val="ru-RU"/>
              </w:rPr>
            </w:pPr>
            <w:r w:rsidRPr="00D94E0C">
              <w:rPr>
                <w:rFonts w:eastAsia="Calibri" w:cs="Sylfaen"/>
                <w:sz w:val="20"/>
                <w:szCs w:val="20"/>
              </w:rPr>
              <w:t>Մասնավոր</w:t>
            </w:r>
          </w:p>
        </w:tc>
        <w:tc>
          <w:tcPr>
            <w:tcW w:w="1105" w:type="dxa"/>
          </w:tcPr>
          <w:p w14:paraId="48B023A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2.8</w:t>
            </w:r>
          </w:p>
        </w:tc>
        <w:tc>
          <w:tcPr>
            <w:tcW w:w="1050" w:type="dxa"/>
          </w:tcPr>
          <w:p w14:paraId="28559CC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5.6</w:t>
            </w:r>
          </w:p>
        </w:tc>
        <w:tc>
          <w:tcPr>
            <w:tcW w:w="875" w:type="dxa"/>
          </w:tcPr>
          <w:p w14:paraId="776C84F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6.5</w:t>
            </w:r>
          </w:p>
        </w:tc>
        <w:tc>
          <w:tcPr>
            <w:tcW w:w="1193" w:type="dxa"/>
            <w:shd w:val="clear" w:color="auto" w:fill="D9E2F3"/>
          </w:tcPr>
          <w:p w14:paraId="1934D4B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5.8</w:t>
            </w:r>
          </w:p>
        </w:tc>
        <w:tc>
          <w:tcPr>
            <w:tcW w:w="951" w:type="dxa"/>
            <w:shd w:val="clear" w:color="auto" w:fill="D9E2F3"/>
          </w:tcPr>
          <w:p w14:paraId="1AD0343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5.7</w:t>
            </w:r>
          </w:p>
        </w:tc>
        <w:tc>
          <w:tcPr>
            <w:tcW w:w="964" w:type="dxa"/>
            <w:shd w:val="clear" w:color="auto" w:fill="D9E2F3"/>
          </w:tcPr>
          <w:p w14:paraId="406EDD8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5.5</w:t>
            </w:r>
          </w:p>
        </w:tc>
        <w:tc>
          <w:tcPr>
            <w:tcW w:w="854" w:type="dxa"/>
            <w:shd w:val="clear" w:color="auto" w:fill="D9E2F3"/>
          </w:tcPr>
          <w:p w14:paraId="7835071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5.0</w:t>
            </w:r>
          </w:p>
        </w:tc>
      </w:tr>
      <w:tr w:rsidR="002D7DDD" w:rsidRPr="00D94E0C" w14:paraId="14F5F854" w14:textId="77777777" w:rsidTr="008931FF">
        <w:trPr>
          <w:trHeight w:val="256"/>
        </w:trPr>
        <w:tc>
          <w:tcPr>
            <w:tcW w:w="3343" w:type="dxa"/>
          </w:tcPr>
          <w:p w14:paraId="41261FEE" w14:textId="77777777" w:rsidR="002D7DDD" w:rsidRPr="00D94E0C" w:rsidRDefault="002D7DDD" w:rsidP="008931FF">
            <w:pPr>
              <w:tabs>
                <w:tab w:val="right" w:pos="-180"/>
              </w:tabs>
              <w:spacing w:before="0" w:after="0" w:line="276" w:lineRule="auto"/>
              <w:ind w:hanging="30"/>
              <w:jc w:val="left"/>
              <w:rPr>
                <w:rFonts w:eastAsia="Calibri" w:cs="Sylfaen"/>
                <w:sz w:val="20"/>
                <w:szCs w:val="20"/>
                <w:lang w:val="ru-RU"/>
              </w:rPr>
            </w:pPr>
            <w:r w:rsidRPr="00D94E0C">
              <w:rPr>
                <w:rFonts w:eastAsia="Calibri" w:cs="Sylfaen"/>
                <w:sz w:val="20"/>
                <w:szCs w:val="20"/>
              </w:rPr>
              <w:t>Հիմնական միջոցներում ներդրումներ</w:t>
            </w:r>
            <w:r w:rsidRPr="00D94E0C">
              <w:rPr>
                <w:rFonts w:eastAsia="Calibri" w:cs="Sylfaen"/>
                <w:sz w:val="20"/>
                <w:szCs w:val="20"/>
                <w:vertAlign w:val="superscript"/>
              </w:rPr>
              <w:footnoteReference w:id="2"/>
            </w:r>
          </w:p>
        </w:tc>
        <w:tc>
          <w:tcPr>
            <w:tcW w:w="1105" w:type="dxa"/>
          </w:tcPr>
          <w:p w14:paraId="6EA3D63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23.6</w:t>
            </w:r>
          </w:p>
        </w:tc>
        <w:tc>
          <w:tcPr>
            <w:tcW w:w="1050" w:type="dxa"/>
          </w:tcPr>
          <w:p w14:paraId="1E5DACE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14.0</w:t>
            </w:r>
          </w:p>
        </w:tc>
        <w:tc>
          <w:tcPr>
            <w:tcW w:w="875" w:type="dxa"/>
          </w:tcPr>
          <w:p w14:paraId="0ABF31A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10.1</w:t>
            </w:r>
          </w:p>
        </w:tc>
        <w:tc>
          <w:tcPr>
            <w:tcW w:w="1193" w:type="dxa"/>
            <w:shd w:val="clear" w:color="auto" w:fill="D9E2F3"/>
          </w:tcPr>
          <w:p w14:paraId="63E0805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13.6</w:t>
            </w:r>
          </w:p>
        </w:tc>
        <w:tc>
          <w:tcPr>
            <w:tcW w:w="951" w:type="dxa"/>
            <w:shd w:val="clear" w:color="auto" w:fill="D9E2F3"/>
          </w:tcPr>
          <w:p w14:paraId="36A7D3E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6.2</w:t>
            </w:r>
          </w:p>
        </w:tc>
        <w:tc>
          <w:tcPr>
            <w:tcW w:w="964" w:type="dxa"/>
            <w:shd w:val="clear" w:color="auto" w:fill="D9E2F3"/>
          </w:tcPr>
          <w:p w14:paraId="5F7855D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11.4</w:t>
            </w:r>
          </w:p>
        </w:tc>
        <w:tc>
          <w:tcPr>
            <w:tcW w:w="854" w:type="dxa"/>
            <w:shd w:val="clear" w:color="auto" w:fill="D9E2F3"/>
          </w:tcPr>
          <w:p w14:paraId="268344D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4.3</w:t>
            </w:r>
          </w:p>
        </w:tc>
      </w:tr>
      <w:tr w:rsidR="002D7DDD" w:rsidRPr="00D94E0C" w14:paraId="4B6869E3" w14:textId="77777777" w:rsidTr="008931FF">
        <w:trPr>
          <w:trHeight w:val="256"/>
        </w:trPr>
        <w:tc>
          <w:tcPr>
            <w:tcW w:w="3343" w:type="dxa"/>
          </w:tcPr>
          <w:p w14:paraId="3B4475C6"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rPr>
            </w:pPr>
            <w:r w:rsidRPr="00D94E0C">
              <w:rPr>
                <w:rFonts w:eastAsia="Calibri" w:cs="Sylfaen"/>
                <w:sz w:val="20"/>
                <w:szCs w:val="20"/>
              </w:rPr>
              <w:t>Պետական</w:t>
            </w:r>
          </w:p>
        </w:tc>
        <w:tc>
          <w:tcPr>
            <w:tcW w:w="1105" w:type="dxa"/>
          </w:tcPr>
          <w:p w14:paraId="4C66FCC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33.9</w:t>
            </w:r>
          </w:p>
        </w:tc>
        <w:tc>
          <w:tcPr>
            <w:tcW w:w="1050" w:type="dxa"/>
          </w:tcPr>
          <w:p w14:paraId="25FD367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17.9</w:t>
            </w:r>
          </w:p>
        </w:tc>
        <w:tc>
          <w:tcPr>
            <w:tcW w:w="875" w:type="dxa"/>
          </w:tcPr>
          <w:p w14:paraId="7E1E4B1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24.4</w:t>
            </w:r>
          </w:p>
        </w:tc>
        <w:tc>
          <w:tcPr>
            <w:tcW w:w="1193" w:type="dxa"/>
            <w:shd w:val="clear" w:color="auto" w:fill="D9E2F3"/>
          </w:tcPr>
          <w:p w14:paraId="6B339A7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53.1</w:t>
            </w:r>
          </w:p>
        </w:tc>
        <w:tc>
          <w:tcPr>
            <w:tcW w:w="951" w:type="dxa"/>
            <w:shd w:val="clear" w:color="auto" w:fill="D9E2F3"/>
          </w:tcPr>
          <w:p w14:paraId="35BA348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2.5</w:t>
            </w:r>
          </w:p>
        </w:tc>
        <w:tc>
          <w:tcPr>
            <w:tcW w:w="964" w:type="dxa"/>
            <w:shd w:val="clear" w:color="auto" w:fill="D9E2F3"/>
          </w:tcPr>
          <w:p w14:paraId="437E02C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31.1</w:t>
            </w:r>
          </w:p>
        </w:tc>
        <w:tc>
          <w:tcPr>
            <w:tcW w:w="854" w:type="dxa"/>
            <w:shd w:val="clear" w:color="auto" w:fill="D9E2F3"/>
          </w:tcPr>
          <w:p w14:paraId="543D36B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-5.5</w:t>
            </w:r>
          </w:p>
        </w:tc>
      </w:tr>
      <w:tr w:rsidR="002D7DDD" w:rsidRPr="00D94E0C" w14:paraId="345E7041" w14:textId="77777777" w:rsidTr="008931FF">
        <w:trPr>
          <w:trHeight w:val="256"/>
        </w:trPr>
        <w:tc>
          <w:tcPr>
            <w:tcW w:w="3343" w:type="dxa"/>
          </w:tcPr>
          <w:p w14:paraId="7FB302C7"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rPr>
            </w:pPr>
            <w:r w:rsidRPr="00D94E0C">
              <w:rPr>
                <w:rFonts w:eastAsia="Calibri" w:cs="Sylfaen"/>
                <w:sz w:val="20"/>
                <w:szCs w:val="20"/>
              </w:rPr>
              <w:t>Մասնավոր</w:t>
            </w:r>
          </w:p>
        </w:tc>
        <w:tc>
          <w:tcPr>
            <w:tcW w:w="1105" w:type="dxa"/>
          </w:tcPr>
          <w:p w14:paraId="117E79E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22.3</w:t>
            </w:r>
          </w:p>
        </w:tc>
        <w:tc>
          <w:tcPr>
            <w:tcW w:w="1050" w:type="dxa"/>
          </w:tcPr>
          <w:p w14:paraId="3C17D5F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13.5</w:t>
            </w:r>
          </w:p>
        </w:tc>
        <w:tc>
          <w:tcPr>
            <w:tcW w:w="875" w:type="dxa"/>
          </w:tcPr>
          <w:p w14:paraId="7977EA9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8.1</w:t>
            </w:r>
          </w:p>
        </w:tc>
        <w:tc>
          <w:tcPr>
            <w:tcW w:w="1193" w:type="dxa"/>
            <w:shd w:val="clear" w:color="auto" w:fill="D9E2F3"/>
          </w:tcPr>
          <w:p w14:paraId="086EE9B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7.2</w:t>
            </w:r>
          </w:p>
        </w:tc>
        <w:tc>
          <w:tcPr>
            <w:tcW w:w="951" w:type="dxa"/>
            <w:shd w:val="clear" w:color="auto" w:fill="D9E2F3"/>
          </w:tcPr>
          <w:p w14:paraId="2207C82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7.1</w:t>
            </w:r>
          </w:p>
        </w:tc>
        <w:tc>
          <w:tcPr>
            <w:tcW w:w="964" w:type="dxa"/>
            <w:shd w:val="clear" w:color="auto" w:fill="D9E2F3"/>
          </w:tcPr>
          <w:p w14:paraId="1F96310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7.0</w:t>
            </w:r>
          </w:p>
        </w:tc>
        <w:tc>
          <w:tcPr>
            <w:tcW w:w="854" w:type="dxa"/>
            <w:shd w:val="clear" w:color="auto" w:fill="D9E2F3"/>
          </w:tcPr>
          <w:p w14:paraId="5FE3772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7.0</w:t>
            </w:r>
          </w:p>
        </w:tc>
      </w:tr>
      <w:tr w:rsidR="002D7DDD" w:rsidRPr="00D94E0C" w14:paraId="3BBE8958" w14:textId="77777777" w:rsidTr="008931FF">
        <w:trPr>
          <w:trHeight w:val="256"/>
        </w:trPr>
        <w:tc>
          <w:tcPr>
            <w:tcW w:w="3343" w:type="dxa"/>
          </w:tcPr>
          <w:p w14:paraId="26052EBA"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 xml:space="preserve">Արտահանում </w:t>
            </w:r>
          </w:p>
        </w:tc>
        <w:tc>
          <w:tcPr>
            <w:tcW w:w="1105" w:type="dxa"/>
          </w:tcPr>
          <w:p w14:paraId="2FDE697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18.6</w:t>
            </w:r>
          </w:p>
        </w:tc>
        <w:tc>
          <w:tcPr>
            <w:tcW w:w="1050" w:type="dxa"/>
          </w:tcPr>
          <w:p w14:paraId="0281CB0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59.3</w:t>
            </w:r>
          </w:p>
        </w:tc>
        <w:tc>
          <w:tcPr>
            <w:tcW w:w="875" w:type="dxa"/>
          </w:tcPr>
          <w:p w14:paraId="4856DDF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29.5</w:t>
            </w:r>
          </w:p>
        </w:tc>
        <w:tc>
          <w:tcPr>
            <w:tcW w:w="1193" w:type="dxa"/>
            <w:shd w:val="clear" w:color="auto" w:fill="D9E2F3"/>
          </w:tcPr>
          <w:p w14:paraId="478DB0A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7.0</w:t>
            </w:r>
          </w:p>
        </w:tc>
        <w:tc>
          <w:tcPr>
            <w:tcW w:w="951" w:type="dxa"/>
            <w:shd w:val="clear" w:color="auto" w:fill="D9E2F3"/>
          </w:tcPr>
          <w:p w14:paraId="21BE234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-15.9</w:t>
            </w:r>
          </w:p>
        </w:tc>
        <w:tc>
          <w:tcPr>
            <w:tcW w:w="964" w:type="dxa"/>
            <w:shd w:val="clear" w:color="auto" w:fill="D9E2F3"/>
          </w:tcPr>
          <w:p w14:paraId="165C07E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-0.7</w:t>
            </w:r>
          </w:p>
        </w:tc>
        <w:tc>
          <w:tcPr>
            <w:tcW w:w="854" w:type="dxa"/>
            <w:shd w:val="clear" w:color="auto" w:fill="D9E2F3"/>
          </w:tcPr>
          <w:p w14:paraId="63A7E9B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3.1</w:t>
            </w:r>
          </w:p>
        </w:tc>
      </w:tr>
      <w:tr w:rsidR="002D7DDD" w:rsidRPr="00D94E0C" w14:paraId="635C725B" w14:textId="77777777" w:rsidTr="008931FF">
        <w:trPr>
          <w:trHeight w:val="270"/>
        </w:trPr>
        <w:tc>
          <w:tcPr>
            <w:tcW w:w="3343" w:type="dxa"/>
          </w:tcPr>
          <w:p w14:paraId="17A7C9B7"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 xml:space="preserve">Ներմուծում </w:t>
            </w:r>
          </w:p>
        </w:tc>
        <w:tc>
          <w:tcPr>
            <w:tcW w:w="1105" w:type="dxa"/>
          </w:tcPr>
          <w:p w14:paraId="1AF235A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12.9</w:t>
            </w:r>
          </w:p>
        </w:tc>
        <w:tc>
          <w:tcPr>
            <w:tcW w:w="1050" w:type="dxa"/>
          </w:tcPr>
          <w:p w14:paraId="59019FD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34.5</w:t>
            </w:r>
          </w:p>
        </w:tc>
        <w:tc>
          <w:tcPr>
            <w:tcW w:w="875" w:type="dxa"/>
          </w:tcPr>
          <w:p w14:paraId="2E5DAFD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29.7</w:t>
            </w:r>
          </w:p>
        </w:tc>
        <w:tc>
          <w:tcPr>
            <w:tcW w:w="1193" w:type="dxa"/>
            <w:shd w:val="clear" w:color="auto" w:fill="D9E2F3"/>
          </w:tcPr>
          <w:p w14:paraId="5B30399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10.0</w:t>
            </w:r>
          </w:p>
        </w:tc>
        <w:tc>
          <w:tcPr>
            <w:tcW w:w="951" w:type="dxa"/>
            <w:shd w:val="clear" w:color="auto" w:fill="D9E2F3"/>
          </w:tcPr>
          <w:p w14:paraId="641EA90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-13.3</w:t>
            </w:r>
          </w:p>
        </w:tc>
        <w:tc>
          <w:tcPr>
            <w:tcW w:w="964" w:type="dxa"/>
            <w:shd w:val="clear" w:color="auto" w:fill="D9E2F3"/>
          </w:tcPr>
          <w:p w14:paraId="07465FF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2.7</w:t>
            </w:r>
          </w:p>
        </w:tc>
        <w:tc>
          <w:tcPr>
            <w:tcW w:w="854" w:type="dxa"/>
            <w:shd w:val="clear" w:color="auto" w:fill="D9E2F3"/>
          </w:tcPr>
          <w:p w14:paraId="31DC169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4.8</w:t>
            </w:r>
          </w:p>
        </w:tc>
      </w:tr>
      <w:tr w:rsidR="002D7DDD" w:rsidRPr="00D94E0C" w14:paraId="3409F653" w14:textId="77777777" w:rsidTr="008931FF">
        <w:trPr>
          <w:trHeight w:val="256"/>
        </w:trPr>
        <w:tc>
          <w:tcPr>
            <w:tcW w:w="10335" w:type="dxa"/>
            <w:gridSpan w:val="8"/>
            <w:shd w:val="clear" w:color="auto" w:fill="auto"/>
            <w:noWrap/>
          </w:tcPr>
          <w:p w14:paraId="6C9BE76B" w14:textId="77777777" w:rsidR="002D7DDD" w:rsidRPr="00D94E0C" w:rsidRDefault="002D7DDD" w:rsidP="008931FF">
            <w:pPr>
              <w:tabs>
                <w:tab w:val="right" w:pos="-180"/>
              </w:tabs>
              <w:spacing w:before="0" w:after="0" w:line="276" w:lineRule="auto"/>
              <w:ind w:hanging="30"/>
              <w:jc w:val="left"/>
              <w:rPr>
                <w:rFonts w:eastAsia="Calibri" w:cs="Arial"/>
                <w:bCs/>
                <w:sz w:val="18"/>
                <w:szCs w:val="18"/>
              </w:rPr>
            </w:pPr>
            <w:r w:rsidRPr="00D94E0C">
              <w:rPr>
                <w:rFonts w:eastAsia="Calibri" w:cs="Sylfaen"/>
                <w:b/>
                <w:sz w:val="18"/>
                <w:szCs w:val="18"/>
                <w:u w:val="single"/>
              </w:rPr>
              <w:t>Արտաքին հատված (</w:t>
            </w:r>
            <w:r w:rsidRPr="00D94E0C">
              <w:rPr>
                <w:rFonts w:eastAsia="Calibri" w:cs="Sylfaen"/>
                <w:b/>
                <w:sz w:val="18"/>
                <w:szCs w:val="18"/>
                <w:u w:val="single"/>
                <w:lang w:val="ru-RU"/>
              </w:rPr>
              <w:t>մ</w:t>
            </w:r>
            <w:r w:rsidRPr="00D94E0C">
              <w:rPr>
                <w:rFonts w:eastAsia="Calibri" w:cs="Sylfaen"/>
                <w:b/>
                <w:sz w:val="18"/>
                <w:szCs w:val="18"/>
                <w:u w:val="single"/>
              </w:rPr>
              <w:t>լն ԱՄՆ դոլար)</w:t>
            </w:r>
          </w:p>
        </w:tc>
      </w:tr>
      <w:tr w:rsidR="002D7DDD" w:rsidRPr="00D94E0C" w14:paraId="4F02F70A" w14:textId="77777777" w:rsidTr="008931FF">
        <w:trPr>
          <w:trHeight w:val="256"/>
        </w:trPr>
        <w:tc>
          <w:tcPr>
            <w:tcW w:w="3343" w:type="dxa"/>
            <w:shd w:val="clear" w:color="auto" w:fill="auto"/>
          </w:tcPr>
          <w:p w14:paraId="7D3B8AC4"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Ընթացիկ հաշիվ</w:t>
            </w:r>
          </w:p>
        </w:tc>
        <w:tc>
          <w:tcPr>
            <w:tcW w:w="1105" w:type="dxa"/>
          </w:tcPr>
          <w:p w14:paraId="70477F6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-483.0</w:t>
            </w:r>
          </w:p>
        </w:tc>
        <w:tc>
          <w:tcPr>
            <w:tcW w:w="1050" w:type="dxa"/>
          </w:tcPr>
          <w:p w14:paraId="01EEA7F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64.7</w:t>
            </w:r>
          </w:p>
        </w:tc>
        <w:tc>
          <w:tcPr>
            <w:tcW w:w="875" w:type="dxa"/>
          </w:tcPr>
          <w:p w14:paraId="3BADC48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-556.3</w:t>
            </w:r>
          </w:p>
        </w:tc>
        <w:tc>
          <w:tcPr>
            <w:tcW w:w="1193" w:type="dxa"/>
            <w:shd w:val="clear" w:color="auto" w:fill="D9E2F3"/>
          </w:tcPr>
          <w:p w14:paraId="145A6D0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-778.0</w:t>
            </w:r>
          </w:p>
        </w:tc>
        <w:tc>
          <w:tcPr>
            <w:tcW w:w="951" w:type="dxa"/>
            <w:shd w:val="clear" w:color="auto" w:fill="D9E2F3"/>
          </w:tcPr>
          <w:p w14:paraId="6C15968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-900.5</w:t>
            </w:r>
          </w:p>
        </w:tc>
        <w:tc>
          <w:tcPr>
            <w:tcW w:w="964" w:type="dxa"/>
            <w:shd w:val="clear" w:color="auto" w:fill="D9E2F3"/>
          </w:tcPr>
          <w:p w14:paraId="133CDC5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-1,240.6</w:t>
            </w:r>
          </w:p>
        </w:tc>
        <w:tc>
          <w:tcPr>
            <w:tcW w:w="854" w:type="dxa"/>
            <w:shd w:val="clear" w:color="auto" w:fill="D9E2F3"/>
          </w:tcPr>
          <w:p w14:paraId="20DCBB1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-1,462.7</w:t>
            </w:r>
          </w:p>
        </w:tc>
      </w:tr>
      <w:tr w:rsidR="002D7DDD" w:rsidRPr="00D94E0C" w14:paraId="517C57F1" w14:textId="77777777" w:rsidTr="008931FF">
        <w:trPr>
          <w:trHeight w:val="256"/>
        </w:trPr>
        <w:tc>
          <w:tcPr>
            <w:tcW w:w="3343" w:type="dxa"/>
            <w:shd w:val="clear" w:color="auto" w:fill="auto"/>
          </w:tcPr>
          <w:p w14:paraId="3FCC1A9E"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Ապրանքների և ծառայությունների հաշվեկշիռ</w:t>
            </w:r>
          </w:p>
        </w:tc>
        <w:tc>
          <w:tcPr>
            <w:tcW w:w="1105" w:type="dxa"/>
          </w:tcPr>
          <w:p w14:paraId="1425ED0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-1,107.9</w:t>
            </w:r>
          </w:p>
        </w:tc>
        <w:tc>
          <w:tcPr>
            <w:tcW w:w="1050" w:type="dxa"/>
          </w:tcPr>
          <w:p w14:paraId="0E02DFE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-145.3</w:t>
            </w:r>
          </w:p>
        </w:tc>
        <w:tc>
          <w:tcPr>
            <w:tcW w:w="875" w:type="dxa"/>
          </w:tcPr>
          <w:p w14:paraId="1F54DA9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-203.2</w:t>
            </w:r>
          </w:p>
        </w:tc>
        <w:tc>
          <w:tcPr>
            <w:tcW w:w="1193" w:type="dxa"/>
            <w:shd w:val="clear" w:color="auto" w:fill="D9E2F3"/>
          </w:tcPr>
          <w:p w14:paraId="1552B0B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-565.1</w:t>
            </w:r>
          </w:p>
        </w:tc>
        <w:tc>
          <w:tcPr>
            <w:tcW w:w="951" w:type="dxa"/>
            <w:shd w:val="clear" w:color="auto" w:fill="D9E2F3"/>
          </w:tcPr>
          <w:p w14:paraId="2053335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-883.0</w:t>
            </w:r>
          </w:p>
        </w:tc>
        <w:tc>
          <w:tcPr>
            <w:tcW w:w="964" w:type="dxa"/>
            <w:shd w:val="clear" w:color="auto" w:fill="D9E2F3"/>
          </w:tcPr>
          <w:p w14:paraId="32E5E4B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-1,280.6</w:t>
            </w:r>
          </w:p>
        </w:tc>
        <w:tc>
          <w:tcPr>
            <w:tcW w:w="854" w:type="dxa"/>
            <w:shd w:val="clear" w:color="auto" w:fill="D9E2F3"/>
          </w:tcPr>
          <w:p w14:paraId="3884960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-1,518.9</w:t>
            </w:r>
          </w:p>
        </w:tc>
      </w:tr>
      <w:tr w:rsidR="002D7DDD" w:rsidRPr="00D94E0C" w14:paraId="0F71776D" w14:textId="77777777" w:rsidTr="008931FF">
        <w:trPr>
          <w:trHeight w:val="256"/>
        </w:trPr>
        <w:tc>
          <w:tcPr>
            <w:tcW w:w="3343" w:type="dxa"/>
            <w:shd w:val="clear" w:color="auto" w:fill="auto"/>
          </w:tcPr>
          <w:p w14:paraId="2A46AABE"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Արտահանում</w:t>
            </w:r>
          </w:p>
        </w:tc>
        <w:tc>
          <w:tcPr>
            <w:tcW w:w="1105" w:type="dxa"/>
          </w:tcPr>
          <w:p w14:paraId="74110DF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5,011.9</w:t>
            </w:r>
          </w:p>
        </w:tc>
        <w:tc>
          <w:tcPr>
            <w:tcW w:w="1050" w:type="dxa"/>
          </w:tcPr>
          <w:p w14:paraId="4D51BFD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10,080.0</w:t>
            </w:r>
          </w:p>
        </w:tc>
        <w:tc>
          <w:tcPr>
            <w:tcW w:w="875" w:type="dxa"/>
          </w:tcPr>
          <w:p w14:paraId="543A099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14,278.2</w:t>
            </w:r>
          </w:p>
        </w:tc>
        <w:tc>
          <w:tcPr>
            <w:tcW w:w="1193" w:type="dxa"/>
            <w:shd w:val="clear" w:color="auto" w:fill="D9E2F3"/>
          </w:tcPr>
          <w:p w14:paraId="518F390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14,728.6</w:t>
            </w:r>
          </w:p>
        </w:tc>
        <w:tc>
          <w:tcPr>
            <w:tcW w:w="951" w:type="dxa"/>
            <w:shd w:val="clear" w:color="auto" w:fill="D9E2F3"/>
          </w:tcPr>
          <w:p w14:paraId="7E8AAFF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12,196.2</w:t>
            </w:r>
          </w:p>
        </w:tc>
        <w:tc>
          <w:tcPr>
            <w:tcW w:w="964" w:type="dxa"/>
            <w:shd w:val="clear" w:color="auto" w:fill="D9E2F3"/>
          </w:tcPr>
          <w:p w14:paraId="298D269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12,030.6</w:t>
            </w:r>
          </w:p>
        </w:tc>
        <w:tc>
          <w:tcPr>
            <w:tcW w:w="854" w:type="dxa"/>
            <w:shd w:val="clear" w:color="auto" w:fill="D9E2F3"/>
          </w:tcPr>
          <w:p w14:paraId="270F425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12,375.1</w:t>
            </w:r>
          </w:p>
        </w:tc>
      </w:tr>
      <w:tr w:rsidR="002D7DDD" w:rsidRPr="00D94E0C" w14:paraId="5F816DB2" w14:textId="77777777" w:rsidTr="008931FF">
        <w:trPr>
          <w:trHeight w:val="256"/>
        </w:trPr>
        <w:tc>
          <w:tcPr>
            <w:tcW w:w="3343" w:type="dxa"/>
            <w:shd w:val="clear" w:color="auto" w:fill="auto"/>
          </w:tcPr>
          <w:p w14:paraId="0EFF4653"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rPr>
            </w:pPr>
            <w:r w:rsidRPr="00D94E0C">
              <w:rPr>
                <w:rFonts w:eastAsia="Calibri" w:cs="Sylfaen"/>
                <w:sz w:val="20"/>
                <w:szCs w:val="20"/>
              </w:rPr>
              <w:t>Փոփոխություն, %</w:t>
            </w:r>
          </w:p>
        </w:tc>
        <w:tc>
          <w:tcPr>
            <w:tcW w:w="1105" w:type="dxa"/>
          </w:tcPr>
          <w:p w14:paraId="72399AB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31.3</w:t>
            </w:r>
          </w:p>
        </w:tc>
        <w:tc>
          <w:tcPr>
            <w:tcW w:w="1050" w:type="dxa"/>
          </w:tcPr>
          <w:p w14:paraId="26F06F8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101.1</w:t>
            </w:r>
          </w:p>
        </w:tc>
        <w:tc>
          <w:tcPr>
            <w:tcW w:w="875" w:type="dxa"/>
          </w:tcPr>
          <w:p w14:paraId="70F2CE2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41.6</w:t>
            </w:r>
          </w:p>
        </w:tc>
        <w:tc>
          <w:tcPr>
            <w:tcW w:w="1193" w:type="dxa"/>
            <w:shd w:val="clear" w:color="auto" w:fill="D9E2F3"/>
          </w:tcPr>
          <w:p w14:paraId="2DDAA42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3.2</w:t>
            </w:r>
          </w:p>
        </w:tc>
        <w:tc>
          <w:tcPr>
            <w:tcW w:w="951" w:type="dxa"/>
            <w:shd w:val="clear" w:color="auto" w:fill="D9E2F3"/>
          </w:tcPr>
          <w:p w14:paraId="37D82FD4"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-17.2</w:t>
            </w:r>
          </w:p>
        </w:tc>
        <w:tc>
          <w:tcPr>
            <w:tcW w:w="964" w:type="dxa"/>
            <w:shd w:val="clear" w:color="auto" w:fill="D9E2F3"/>
          </w:tcPr>
          <w:p w14:paraId="7BAFB2A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w:t>
            </w:r>
          </w:p>
        </w:tc>
        <w:tc>
          <w:tcPr>
            <w:tcW w:w="854" w:type="dxa"/>
            <w:shd w:val="clear" w:color="auto" w:fill="D9E2F3"/>
          </w:tcPr>
          <w:p w14:paraId="1E668EC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2.9</w:t>
            </w:r>
          </w:p>
        </w:tc>
      </w:tr>
      <w:tr w:rsidR="002D7DDD" w:rsidRPr="00D94E0C" w14:paraId="71205237" w14:textId="77777777" w:rsidTr="008931FF">
        <w:trPr>
          <w:trHeight w:val="256"/>
        </w:trPr>
        <w:tc>
          <w:tcPr>
            <w:tcW w:w="3343" w:type="dxa"/>
            <w:shd w:val="clear" w:color="auto" w:fill="auto"/>
          </w:tcPr>
          <w:p w14:paraId="035A1EFC"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Ներմուծում</w:t>
            </w:r>
          </w:p>
        </w:tc>
        <w:tc>
          <w:tcPr>
            <w:tcW w:w="1105" w:type="dxa"/>
          </w:tcPr>
          <w:p w14:paraId="33634A7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6,119.7</w:t>
            </w:r>
          </w:p>
        </w:tc>
        <w:tc>
          <w:tcPr>
            <w:tcW w:w="1050" w:type="dxa"/>
          </w:tcPr>
          <w:p w14:paraId="032BA0E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10,225.4</w:t>
            </w:r>
          </w:p>
        </w:tc>
        <w:tc>
          <w:tcPr>
            <w:tcW w:w="875" w:type="dxa"/>
          </w:tcPr>
          <w:p w14:paraId="3BC96FB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14,481.4</w:t>
            </w:r>
          </w:p>
        </w:tc>
        <w:tc>
          <w:tcPr>
            <w:tcW w:w="1193" w:type="dxa"/>
            <w:shd w:val="clear" w:color="auto" w:fill="D9E2F3"/>
          </w:tcPr>
          <w:p w14:paraId="39CF0A6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15,293.8</w:t>
            </w:r>
          </w:p>
        </w:tc>
        <w:tc>
          <w:tcPr>
            <w:tcW w:w="951" w:type="dxa"/>
            <w:shd w:val="clear" w:color="auto" w:fill="D9E2F3"/>
          </w:tcPr>
          <w:p w14:paraId="56D01E1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13,079.2</w:t>
            </w:r>
          </w:p>
        </w:tc>
        <w:tc>
          <w:tcPr>
            <w:tcW w:w="964" w:type="dxa"/>
            <w:shd w:val="clear" w:color="auto" w:fill="D9E2F3"/>
          </w:tcPr>
          <w:p w14:paraId="091F231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13,311.2</w:t>
            </w:r>
          </w:p>
        </w:tc>
        <w:tc>
          <w:tcPr>
            <w:tcW w:w="854" w:type="dxa"/>
            <w:shd w:val="clear" w:color="auto" w:fill="D9E2F3"/>
          </w:tcPr>
          <w:p w14:paraId="0A90D3F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13,894.1</w:t>
            </w:r>
          </w:p>
        </w:tc>
      </w:tr>
      <w:tr w:rsidR="002D7DDD" w:rsidRPr="00D94E0C" w14:paraId="141D5D66" w14:textId="77777777" w:rsidTr="008931FF">
        <w:trPr>
          <w:trHeight w:val="256"/>
        </w:trPr>
        <w:tc>
          <w:tcPr>
            <w:tcW w:w="3343" w:type="dxa"/>
            <w:shd w:val="clear" w:color="auto" w:fill="auto"/>
            <w:noWrap/>
          </w:tcPr>
          <w:p w14:paraId="7FFEFD9D" w14:textId="77777777" w:rsidR="002D7DDD" w:rsidRPr="00D94E0C" w:rsidRDefault="002D7DDD" w:rsidP="008931FF">
            <w:pPr>
              <w:tabs>
                <w:tab w:val="right" w:pos="-180"/>
              </w:tabs>
              <w:spacing w:before="0" w:after="0" w:line="276" w:lineRule="auto"/>
              <w:ind w:left="309" w:hanging="30"/>
              <w:jc w:val="left"/>
              <w:rPr>
                <w:rFonts w:eastAsia="Calibri" w:cs="Sylfaen"/>
                <w:sz w:val="20"/>
                <w:szCs w:val="20"/>
              </w:rPr>
            </w:pPr>
            <w:r w:rsidRPr="00D94E0C">
              <w:rPr>
                <w:rFonts w:eastAsia="Calibri" w:cs="Sylfaen"/>
                <w:sz w:val="20"/>
                <w:szCs w:val="20"/>
              </w:rPr>
              <w:t>Փոփոխություն, %</w:t>
            </w:r>
          </w:p>
        </w:tc>
        <w:tc>
          <w:tcPr>
            <w:tcW w:w="1105" w:type="dxa"/>
          </w:tcPr>
          <w:p w14:paraId="7454772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20.4</w:t>
            </w:r>
          </w:p>
        </w:tc>
        <w:tc>
          <w:tcPr>
            <w:tcW w:w="1050" w:type="dxa"/>
          </w:tcPr>
          <w:p w14:paraId="676B1A0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67.1</w:t>
            </w:r>
          </w:p>
        </w:tc>
        <w:tc>
          <w:tcPr>
            <w:tcW w:w="875" w:type="dxa"/>
          </w:tcPr>
          <w:p w14:paraId="12D1A3A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41.6</w:t>
            </w:r>
          </w:p>
        </w:tc>
        <w:tc>
          <w:tcPr>
            <w:tcW w:w="1193" w:type="dxa"/>
            <w:shd w:val="clear" w:color="auto" w:fill="D9E2F3"/>
          </w:tcPr>
          <w:p w14:paraId="0F80313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5.6</w:t>
            </w:r>
          </w:p>
        </w:tc>
        <w:tc>
          <w:tcPr>
            <w:tcW w:w="951" w:type="dxa"/>
            <w:shd w:val="clear" w:color="auto" w:fill="D9E2F3"/>
          </w:tcPr>
          <w:p w14:paraId="43EC9B8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-14.5</w:t>
            </w:r>
          </w:p>
        </w:tc>
        <w:tc>
          <w:tcPr>
            <w:tcW w:w="964" w:type="dxa"/>
            <w:shd w:val="clear" w:color="auto" w:fill="D9E2F3"/>
          </w:tcPr>
          <w:p w14:paraId="6717DC7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1.8</w:t>
            </w:r>
          </w:p>
        </w:tc>
        <w:tc>
          <w:tcPr>
            <w:tcW w:w="854" w:type="dxa"/>
            <w:shd w:val="clear" w:color="auto" w:fill="D9E2F3"/>
          </w:tcPr>
          <w:p w14:paraId="1970B6B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4.4</w:t>
            </w:r>
          </w:p>
        </w:tc>
      </w:tr>
      <w:tr w:rsidR="002D7DDD" w:rsidRPr="00D94E0C" w14:paraId="0E6EED4D" w14:textId="77777777" w:rsidTr="008931FF">
        <w:trPr>
          <w:trHeight w:val="256"/>
        </w:trPr>
        <w:tc>
          <w:tcPr>
            <w:tcW w:w="3343" w:type="dxa"/>
            <w:shd w:val="clear" w:color="auto" w:fill="auto"/>
            <w:noWrap/>
          </w:tcPr>
          <w:p w14:paraId="4594D544"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Դրամական փոխանցումներ</w:t>
            </w:r>
          </w:p>
        </w:tc>
        <w:tc>
          <w:tcPr>
            <w:tcW w:w="1105" w:type="dxa"/>
          </w:tcPr>
          <w:p w14:paraId="79C668EB"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1,274.0</w:t>
            </w:r>
          </w:p>
        </w:tc>
        <w:tc>
          <w:tcPr>
            <w:tcW w:w="1050" w:type="dxa"/>
          </w:tcPr>
          <w:p w14:paraId="4BB3E9B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1,449.2</w:t>
            </w:r>
          </w:p>
        </w:tc>
        <w:tc>
          <w:tcPr>
            <w:tcW w:w="875" w:type="dxa"/>
          </w:tcPr>
          <w:p w14:paraId="501921E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979.0</w:t>
            </w:r>
          </w:p>
        </w:tc>
        <w:tc>
          <w:tcPr>
            <w:tcW w:w="1193" w:type="dxa"/>
            <w:shd w:val="clear" w:color="auto" w:fill="D9E2F3"/>
          </w:tcPr>
          <w:p w14:paraId="6F36D61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1,005.4</w:t>
            </w:r>
          </w:p>
        </w:tc>
        <w:tc>
          <w:tcPr>
            <w:tcW w:w="951" w:type="dxa"/>
            <w:shd w:val="clear" w:color="auto" w:fill="D9E2F3"/>
          </w:tcPr>
          <w:p w14:paraId="25C0002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1,041.0</w:t>
            </w:r>
          </w:p>
        </w:tc>
        <w:tc>
          <w:tcPr>
            <w:tcW w:w="964" w:type="dxa"/>
            <w:shd w:val="clear" w:color="auto" w:fill="D9E2F3"/>
          </w:tcPr>
          <w:p w14:paraId="51D2C33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1,077.1</w:t>
            </w:r>
          </w:p>
        </w:tc>
        <w:tc>
          <w:tcPr>
            <w:tcW w:w="854" w:type="dxa"/>
            <w:shd w:val="clear" w:color="auto" w:fill="D9E2F3"/>
          </w:tcPr>
          <w:p w14:paraId="1D98EAA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1,114.3</w:t>
            </w:r>
          </w:p>
        </w:tc>
      </w:tr>
      <w:tr w:rsidR="002D7DDD" w:rsidRPr="00D94E0C" w14:paraId="18B7EF34" w14:textId="77777777" w:rsidTr="008931FF">
        <w:trPr>
          <w:trHeight w:val="256"/>
        </w:trPr>
        <w:tc>
          <w:tcPr>
            <w:tcW w:w="10335" w:type="dxa"/>
            <w:gridSpan w:val="8"/>
            <w:shd w:val="clear" w:color="auto" w:fill="auto"/>
            <w:noWrap/>
          </w:tcPr>
          <w:p w14:paraId="50925446" w14:textId="77777777" w:rsidR="002D7DDD" w:rsidRPr="00D94E0C" w:rsidRDefault="002D7DDD" w:rsidP="008931FF">
            <w:pPr>
              <w:tabs>
                <w:tab w:val="right" w:pos="-180"/>
              </w:tabs>
              <w:spacing w:before="0" w:after="0" w:line="276" w:lineRule="auto"/>
              <w:ind w:hanging="30"/>
              <w:jc w:val="left"/>
              <w:rPr>
                <w:rFonts w:eastAsia="Calibri"/>
                <w:sz w:val="18"/>
                <w:szCs w:val="18"/>
              </w:rPr>
            </w:pPr>
            <w:r w:rsidRPr="00D94E0C">
              <w:rPr>
                <w:rFonts w:eastAsia="Calibri" w:cs="Sylfaen"/>
                <w:b/>
                <w:sz w:val="18"/>
                <w:szCs w:val="18"/>
                <w:u w:val="single"/>
              </w:rPr>
              <w:t>ՀՆԱ-ի նկատմամբ %</w:t>
            </w:r>
          </w:p>
        </w:tc>
      </w:tr>
      <w:tr w:rsidR="002D7DDD" w:rsidRPr="00D94E0C" w14:paraId="5C111A1B" w14:textId="77777777" w:rsidTr="008931FF">
        <w:trPr>
          <w:trHeight w:val="256"/>
        </w:trPr>
        <w:tc>
          <w:tcPr>
            <w:tcW w:w="3343" w:type="dxa"/>
            <w:shd w:val="clear" w:color="auto" w:fill="auto"/>
            <w:noWrap/>
          </w:tcPr>
          <w:p w14:paraId="63605556"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 xml:space="preserve">Ընթացիկ հաշիվ </w:t>
            </w:r>
          </w:p>
        </w:tc>
        <w:tc>
          <w:tcPr>
            <w:tcW w:w="1105" w:type="dxa"/>
          </w:tcPr>
          <w:p w14:paraId="01B6ADF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-3.5</w:t>
            </w:r>
          </w:p>
        </w:tc>
        <w:tc>
          <w:tcPr>
            <w:tcW w:w="1050" w:type="dxa"/>
          </w:tcPr>
          <w:p w14:paraId="583CC1E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0.3</w:t>
            </w:r>
          </w:p>
        </w:tc>
        <w:tc>
          <w:tcPr>
            <w:tcW w:w="875" w:type="dxa"/>
          </w:tcPr>
          <w:p w14:paraId="2DE6DD3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-2.3</w:t>
            </w:r>
          </w:p>
        </w:tc>
        <w:tc>
          <w:tcPr>
            <w:tcW w:w="1193" w:type="dxa"/>
            <w:shd w:val="clear" w:color="auto" w:fill="D9E2F3"/>
          </w:tcPr>
          <w:p w14:paraId="0CC03C0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-3.2</w:t>
            </w:r>
          </w:p>
        </w:tc>
        <w:tc>
          <w:tcPr>
            <w:tcW w:w="951" w:type="dxa"/>
            <w:shd w:val="clear" w:color="auto" w:fill="D9E2F3"/>
          </w:tcPr>
          <w:p w14:paraId="45CAA35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-3.5</w:t>
            </w:r>
          </w:p>
        </w:tc>
        <w:tc>
          <w:tcPr>
            <w:tcW w:w="964" w:type="dxa"/>
            <w:shd w:val="clear" w:color="auto" w:fill="D9E2F3"/>
          </w:tcPr>
          <w:p w14:paraId="09EA1F0C"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-4.6</w:t>
            </w:r>
          </w:p>
        </w:tc>
        <w:tc>
          <w:tcPr>
            <w:tcW w:w="854" w:type="dxa"/>
            <w:shd w:val="clear" w:color="auto" w:fill="D9E2F3"/>
          </w:tcPr>
          <w:p w14:paraId="75B5D74A"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-5.1</w:t>
            </w:r>
          </w:p>
        </w:tc>
      </w:tr>
      <w:tr w:rsidR="002D7DDD" w:rsidRPr="00D94E0C" w14:paraId="3B502716" w14:textId="77777777" w:rsidTr="008931FF">
        <w:trPr>
          <w:trHeight w:val="256"/>
        </w:trPr>
        <w:tc>
          <w:tcPr>
            <w:tcW w:w="3343" w:type="dxa"/>
            <w:shd w:val="clear" w:color="auto" w:fill="auto"/>
            <w:noWrap/>
          </w:tcPr>
          <w:p w14:paraId="17237120" w14:textId="77777777" w:rsidR="002D7DDD" w:rsidRPr="00D94E0C" w:rsidRDefault="002D7DDD" w:rsidP="008931FF">
            <w:pPr>
              <w:tabs>
                <w:tab w:val="right" w:pos="-180"/>
              </w:tabs>
              <w:spacing w:before="0" w:after="0" w:line="276" w:lineRule="auto"/>
              <w:ind w:hanging="30"/>
              <w:jc w:val="left"/>
              <w:rPr>
                <w:rFonts w:eastAsia="Calibri" w:cs="Sylfaen"/>
                <w:sz w:val="20"/>
                <w:szCs w:val="20"/>
                <w:u w:val="single"/>
              </w:rPr>
            </w:pPr>
            <w:r w:rsidRPr="00D94E0C">
              <w:rPr>
                <w:rFonts w:eastAsia="Calibri" w:cs="Sylfaen"/>
                <w:sz w:val="20"/>
                <w:szCs w:val="20"/>
              </w:rPr>
              <w:t>Ապրանքների և ծառայությունների հաշվեկշիռ</w:t>
            </w:r>
          </w:p>
        </w:tc>
        <w:tc>
          <w:tcPr>
            <w:tcW w:w="1105" w:type="dxa"/>
          </w:tcPr>
          <w:p w14:paraId="45B7A10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-8.0</w:t>
            </w:r>
          </w:p>
        </w:tc>
        <w:tc>
          <w:tcPr>
            <w:tcW w:w="1050" w:type="dxa"/>
          </w:tcPr>
          <w:p w14:paraId="30A88F0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-0.7</w:t>
            </w:r>
          </w:p>
        </w:tc>
        <w:tc>
          <w:tcPr>
            <w:tcW w:w="875" w:type="dxa"/>
          </w:tcPr>
          <w:p w14:paraId="4D8426C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-0.8</w:t>
            </w:r>
          </w:p>
        </w:tc>
        <w:tc>
          <w:tcPr>
            <w:tcW w:w="1193" w:type="dxa"/>
            <w:shd w:val="clear" w:color="auto" w:fill="D9E2F3"/>
          </w:tcPr>
          <w:p w14:paraId="61D0B0A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-2.3</w:t>
            </w:r>
          </w:p>
        </w:tc>
        <w:tc>
          <w:tcPr>
            <w:tcW w:w="951" w:type="dxa"/>
            <w:shd w:val="clear" w:color="auto" w:fill="D9E2F3"/>
          </w:tcPr>
          <w:p w14:paraId="1E16DDE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-3.4</w:t>
            </w:r>
          </w:p>
        </w:tc>
        <w:tc>
          <w:tcPr>
            <w:tcW w:w="964" w:type="dxa"/>
            <w:shd w:val="clear" w:color="auto" w:fill="D9E2F3"/>
          </w:tcPr>
          <w:p w14:paraId="6E4AABF8"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-4.7</w:t>
            </w:r>
          </w:p>
        </w:tc>
        <w:tc>
          <w:tcPr>
            <w:tcW w:w="854" w:type="dxa"/>
            <w:shd w:val="clear" w:color="auto" w:fill="D9E2F3"/>
          </w:tcPr>
          <w:p w14:paraId="41B441E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-5.3</w:t>
            </w:r>
          </w:p>
        </w:tc>
      </w:tr>
      <w:tr w:rsidR="002D7DDD" w:rsidRPr="00D94E0C" w14:paraId="216D1367" w14:textId="77777777" w:rsidTr="008931FF">
        <w:trPr>
          <w:trHeight w:val="256"/>
        </w:trPr>
        <w:tc>
          <w:tcPr>
            <w:tcW w:w="3343" w:type="dxa"/>
            <w:shd w:val="clear" w:color="auto" w:fill="auto"/>
          </w:tcPr>
          <w:p w14:paraId="0CF84260"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Արտահանում</w:t>
            </w:r>
          </w:p>
        </w:tc>
        <w:tc>
          <w:tcPr>
            <w:tcW w:w="1105" w:type="dxa"/>
          </w:tcPr>
          <w:p w14:paraId="2B17060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36.1</w:t>
            </w:r>
          </w:p>
        </w:tc>
        <w:tc>
          <w:tcPr>
            <w:tcW w:w="1050" w:type="dxa"/>
          </w:tcPr>
          <w:p w14:paraId="2D4E703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51.7</w:t>
            </w:r>
          </w:p>
        </w:tc>
        <w:tc>
          <w:tcPr>
            <w:tcW w:w="875" w:type="dxa"/>
          </w:tcPr>
          <w:p w14:paraId="3533C0A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59.0</w:t>
            </w:r>
          </w:p>
        </w:tc>
        <w:tc>
          <w:tcPr>
            <w:tcW w:w="1193" w:type="dxa"/>
            <w:shd w:val="clear" w:color="auto" w:fill="D9E2F3"/>
          </w:tcPr>
          <w:p w14:paraId="1D71A16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59.7</w:t>
            </w:r>
          </w:p>
        </w:tc>
        <w:tc>
          <w:tcPr>
            <w:tcW w:w="951" w:type="dxa"/>
            <w:shd w:val="clear" w:color="auto" w:fill="D9E2F3"/>
          </w:tcPr>
          <w:p w14:paraId="2B48C541"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47.3</w:t>
            </w:r>
          </w:p>
        </w:tc>
        <w:tc>
          <w:tcPr>
            <w:tcW w:w="964" w:type="dxa"/>
            <w:shd w:val="clear" w:color="auto" w:fill="D9E2F3"/>
          </w:tcPr>
          <w:p w14:paraId="21C41F3D"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44.2</w:t>
            </w:r>
          </w:p>
        </w:tc>
        <w:tc>
          <w:tcPr>
            <w:tcW w:w="854" w:type="dxa"/>
            <w:shd w:val="clear" w:color="auto" w:fill="D9E2F3"/>
          </w:tcPr>
          <w:p w14:paraId="7BEF2BB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42.9</w:t>
            </w:r>
          </w:p>
        </w:tc>
      </w:tr>
      <w:tr w:rsidR="002D7DDD" w:rsidRPr="00D94E0C" w14:paraId="0E648200" w14:textId="77777777" w:rsidTr="008931FF">
        <w:trPr>
          <w:trHeight w:val="256"/>
        </w:trPr>
        <w:tc>
          <w:tcPr>
            <w:tcW w:w="3343" w:type="dxa"/>
            <w:shd w:val="clear" w:color="auto" w:fill="auto"/>
          </w:tcPr>
          <w:p w14:paraId="708E1D13"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lastRenderedPageBreak/>
              <w:t>Ներմուծում</w:t>
            </w:r>
          </w:p>
        </w:tc>
        <w:tc>
          <w:tcPr>
            <w:tcW w:w="1105" w:type="dxa"/>
          </w:tcPr>
          <w:p w14:paraId="16FE46C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44.1</w:t>
            </w:r>
          </w:p>
        </w:tc>
        <w:tc>
          <w:tcPr>
            <w:tcW w:w="1050" w:type="dxa"/>
          </w:tcPr>
          <w:p w14:paraId="33ED46D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52.4</w:t>
            </w:r>
          </w:p>
        </w:tc>
        <w:tc>
          <w:tcPr>
            <w:tcW w:w="875" w:type="dxa"/>
          </w:tcPr>
          <w:p w14:paraId="30C348B9"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59.8</w:t>
            </w:r>
          </w:p>
        </w:tc>
        <w:tc>
          <w:tcPr>
            <w:tcW w:w="1193" w:type="dxa"/>
            <w:shd w:val="clear" w:color="auto" w:fill="D9E2F3"/>
          </w:tcPr>
          <w:p w14:paraId="4EC9B7E6"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62.0</w:t>
            </w:r>
          </w:p>
        </w:tc>
        <w:tc>
          <w:tcPr>
            <w:tcW w:w="951" w:type="dxa"/>
            <w:shd w:val="clear" w:color="auto" w:fill="D9E2F3"/>
          </w:tcPr>
          <w:p w14:paraId="2BA0D27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50.8</w:t>
            </w:r>
          </w:p>
        </w:tc>
        <w:tc>
          <w:tcPr>
            <w:tcW w:w="964" w:type="dxa"/>
            <w:shd w:val="clear" w:color="auto" w:fill="D9E2F3"/>
          </w:tcPr>
          <w:p w14:paraId="53B6E5E3"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48.9</w:t>
            </w:r>
          </w:p>
        </w:tc>
        <w:tc>
          <w:tcPr>
            <w:tcW w:w="854" w:type="dxa"/>
            <w:shd w:val="clear" w:color="auto" w:fill="D9E2F3"/>
          </w:tcPr>
          <w:p w14:paraId="2A9E1A5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48.1</w:t>
            </w:r>
          </w:p>
        </w:tc>
      </w:tr>
      <w:tr w:rsidR="002D7DDD" w:rsidRPr="00D94E0C" w14:paraId="3ACAB7BB" w14:textId="77777777" w:rsidTr="008931FF">
        <w:trPr>
          <w:trHeight w:val="256"/>
        </w:trPr>
        <w:tc>
          <w:tcPr>
            <w:tcW w:w="3343" w:type="dxa"/>
            <w:shd w:val="clear" w:color="auto" w:fill="auto"/>
          </w:tcPr>
          <w:p w14:paraId="40DBF50B" w14:textId="77777777" w:rsidR="002D7DDD" w:rsidRPr="00D94E0C" w:rsidRDefault="002D7DDD" w:rsidP="008931FF">
            <w:pPr>
              <w:tabs>
                <w:tab w:val="right" w:pos="-180"/>
              </w:tabs>
              <w:spacing w:before="0" w:after="0" w:line="276" w:lineRule="auto"/>
              <w:ind w:hanging="30"/>
              <w:jc w:val="left"/>
              <w:rPr>
                <w:rFonts w:eastAsia="Calibri" w:cs="Sylfaen"/>
                <w:sz w:val="20"/>
                <w:szCs w:val="20"/>
              </w:rPr>
            </w:pPr>
            <w:r w:rsidRPr="00D94E0C">
              <w:rPr>
                <w:rFonts w:eastAsia="Calibri" w:cs="Sylfaen"/>
                <w:sz w:val="20"/>
                <w:szCs w:val="20"/>
              </w:rPr>
              <w:t>Դրամական փոխանցումներ</w:t>
            </w:r>
          </w:p>
        </w:tc>
        <w:tc>
          <w:tcPr>
            <w:tcW w:w="1105" w:type="dxa"/>
          </w:tcPr>
          <w:p w14:paraId="515485EE"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9.2</w:t>
            </w:r>
          </w:p>
        </w:tc>
        <w:tc>
          <w:tcPr>
            <w:tcW w:w="1050" w:type="dxa"/>
          </w:tcPr>
          <w:p w14:paraId="32A2DA9F"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7.4</w:t>
            </w:r>
          </w:p>
        </w:tc>
        <w:tc>
          <w:tcPr>
            <w:tcW w:w="875" w:type="dxa"/>
          </w:tcPr>
          <w:p w14:paraId="2CA9D377"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4.0</w:t>
            </w:r>
          </w:p>
        </w:tc>
        <w:tc>
          <w:tcPr>
            <w:tcW w:w="1193" w:type="dxa"/>
            <w:shd w:val="clear" w:color="auto" w:fill="D9E2F3"/>
          </w:tcPr>
          <w:p w14:paraId="0A223D9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4.1</w:t>
            </w:r>
          </w:p>
        </w:tc>
        <w:tc>
          <w:tcPr>
            <w:tcW w:w="951" w:type="dxa"/>
            <w:shd w:val="clear" w:color="auto" w:fill="D9E2F3"/>
          </w:tcPr>
          <w:p w14:paraId="5EA0CC80"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4.0</w:t>
            </w:r>
          </w:p>
        </w:tc>
        <w:tc>
          <w:tcPr>
            <w:tcW w:w="964" w:type="dxa"/>
            <w:shd w:val="clear" w:color="auto" w:fill="D9E2F3"/>
          </w:tcPr>
          <w:p w14:paraId="59D228C2"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4.0</w:t>
            </w:r>
          </w:p>
        </w:tc>
        <w:tc>
          <w:tcPr>
            <w:tcW w:w="854" w:type="dxa"/>
            <w:shd w:val="clear" w:color="auto" w:fill="D9E2F3"/>
          </w:tcPr>
          <w:p w14:paraId="6E7287A5" w14:textId="77777777" w:rsidR="002D7DDD" w:rsidRPr="00D94E0C" w:rsidRDefault="002D7DDD" w:rsidP="008931FF">
            <w:pPr>
              <w:tabs>
                <w:tab w:val="right" w:pos="-180"/>
              </w:tabs>
              <w:spacing w:before="0" w:after="0" w:line="276" w:lineRule="auto"/>
              <w:ind w:hanging="180"/>
              <w:jc w:val="center"/>
              <w:rPr>
                <w:rFonts w:eastAsia="Times New Roman" w:cs="Times New Roman"/>
                <w:color w:val="000000"/>
                <w:sz w:val="18"/>
                <w:szCs w:val="24"/>
              </w:rPr>
            </w:pPr>
            <w:r w:rsidRPr="00D94E0C">
              <w:rPr>
                <w:rFonts w:eastAsia="Times New Roman" w:cs="Times New Roman"/>
                <w:color w:val="000000"/>
                <w:sz w:val="18"/>
                <w:szCs w:val="24"/>
              </w:rPr>
              <w:t>3.9</w:t>
            </w:r>
          </w:p>
        </w:tc>
      </w:tr>
    </w:tbl>
    <w:p w14:paraId="0DF76544" w14:textId="77777777" w:rsidR="002D7DDD" w:rsidRDefault="002D7DDD" w:rsidP="002D7DDD">
      <w:pPr>
        <w:keepNext/>
        <w:keepLines/>
        <w:tabs>
          <w:tab w:val="right" w:pos="-180"/>
        </w:tabs>
        <w:spacing w:before="120" w:after="0" w:line="276" w:lineRule="auto"/>
        <w:ind w:hanging="180"/>
        <w:contextualSpacing/>
        <w:outlineLvl w:val="2"/>
        <w:rPr>
          <w:b/>
          <w:bCs/>
          <w:color w:val="1F497D"/>
          <w:sz w:val="24"/>
          <w:szCs w:val="24"/>
          <w:lang w:val="hy-AM"/>
        </w:rPr>
      </w:pPr>
      <w:r w:rsidRPr="00D94E0C">
        <w:rPr>
          <w:rFonts w:eastAsia="Times New Roman" w:cs="Times New Roman"/>
          <w:b/>
          <w:bCs/>
          <w:color w:val="1F497D"/>
          <w:sz w:val="24"/>
          <w:szCs w:val="24"/>
        </w:rPr>
        <w:br w:type="page"/>
      </w:r>
    </w:p>
    <w:p w14:paraId="79C7D15B" w14:textId="77777777" w:rsidR="00080175" w:rsidRPr="00D96337" w:rsidRDefault="00080175" w:rsidP="00C30825">
      <w:pPr>
        <w:keepNext/>
        <w:keepLines/>
        <w:tabs>
          <w:tab w:val="left" w:pos="0"/>
        </w:tabs>
        <w:spacing w:before="120" w:after="0" w:line="276" w:lineRule="auto"/>
        <w:ind w:firstLine="0"/>
        <w:contextualSpacing/>
        <w:outlineLvl w:val="2"/>
        <w:rPr>
          <w:b/>
          <w:bCs/>
          <w:color w:val="1F497D"/>
          <w:sz w:val="24"/>
          <w:szCs w:val="24"/>
          <w:lang w:val="hy-AM"/>
        </w:rPr>
      </w:pPr>
      <w:bookmarkStart w:id="21" w:name="_Toc170926291"/>
      <w:r w:rsidRPr="00D96337">
        <w:rPr>
          <w:b/>
          <w:bCs/>
          <w:color w:val="1F497D"/>
          <w:sz w:val="24"/>
          <w:szCs w:val="24"/>
          <w:lang w:val="hy-AM"/>
        </w:rPr>
        <w:lastRenderedPageBreak/>
        <w:t xml:space="preserve">1.2. </w:t>
      </w:r>
      <w:r w:rsidRPr="00B27362">
        <w:rPr>
          <w:b/>
          <w:bCs/>
          <w:color w:val="1F497D"/>
          <w:sz w:val="24"/>
          <w:szCs w:val="24"/>
          <w:lang w:val="hy-AM"/>
        </w:rPr>
        <w:t>ՀԱՄԱՇԽԱՐՀԱՅԻՆ ՏՆՏԵՍՈՒԹՅԱՆ ԵՎ ԳՈՐԾԸՆԿԵՐ ԵՐԿՐՆԵՐԻ ԶԱՐԳԱՑՈՒՄՆԵՐ ԵՎ ԿԱՆԽԱՏԵՍՈՒՄՆԵՐ</w:t>
      </w:r>
      <w:bookmarkEnd w:id="19"/>
      <w:bookmarkEnd w:id="21"/>
    </w:p>
    <w:p w14:paraId="49F5C895" w14:textId="77777777" w:rsidR="002D7DDD" w:rsidRPr="004167D9" w:rsidRDefault="002D7DDD" w:rsidP="00D25024">
      <w:pPr>
        <w:tabs>
          <w:tab w:val="left" w:pos="0"/>
        </w:tabs>
        <w:spacing w:line="276" w:lineRule="auto"/>
        <w:ind w:firstLine="0"/>
        <w:rPr>
          <w:rFonts w:eastAsia="Times New Roman" w:cs="Times New Roman"/>
          <w:lang w:val="hy-AM"/>
        </w:rPr>
      </w:pPr>
      <w:bookmarkStart w:id="22" w:name="_Toc170743038"/>
      <w:bookmarkStart w:id="23" w:name="_Toc77837851"/>
      <w:bookmarkStart w:id="24" w:name="_Toc106822895"/>
      <w:bookmarkStart w:id="25" w:name="_Toc519513624"/>
      <w:bookmarkStart w:id="26" w:name="_Toc13837282"/>
      <w:bookmarkStart w:id="27" w:name="_Toc45838528"/>
      <w:bookmarkStart w:id="28" w:name="_Toc77356415"/>
      <w:bookmarkStart w:id="29" w:name="_Toc296702357"/>
      <w:bookmarkStart w:id="30" w:name="_Toc45838538"/>
      <w:bookmarkStart w:id="31" w:name="_Toc13837290"/>
      <w:bookmarkStart w:id="32" w:name="_Toc519513632"/>
      <w:bookmarkEnd w:id="9"/>
      <w:bookmarkEnd w:id="13"/>
      <w:bookmarkEnd w:id="14"/>
      <w:bookmarkEnd w:id="15"/>
      <w:bookmarkEnd w:id="16"/>
      <w:r w:rsidRPr="004167D9">
        <w:rPr>
          <w:rFonts w:eastAsia="GHEA Grapalat" w:cs="GHEA Grapalat"/>
          <w:b/>
          <w:i/>
          <w:lang w:val="hy-AM"/>
        </w:rPr>
        <w:t>Տնտեսական զարգացումներ</w:t>
      </w:r>
      <w:r w:rsidRPr="004167D9">
        <w:rPr>
          <w:rFonts w:eastAsia="Times New Roman" w:cs="Times New Roman"/>
          <w:b/>
          <w:i/>
          <w:lang w:val="af-ZA"/>
        </w:rPr>
        <w:t>:</w:t>
      </w:r>
      <w:r w:rsidRPr="004167D9">
        <w:rPr>
          <w:rFonts w:eastAsia="Times New Roman" w:cs="Times New Roman"/>
          <w:lang w:val="hy-AM"/>
        </w:rPr>
        <w:t xml:space="preserve"> </w:t>
      </w:r>
      <w:r w:rsidRPr="004167D9">
        <w:rPr>
          <w:b/>
          <w:lang w:val="af-ZA"/>
        </w:rPr>
        <w:t xml:space="preserve">2023 </w:t>
      </w:r>
      <w:r w:rsidRPr="004167D9">
        <w:rPr>
          <w:b/>
          <w:lang w:val="hy-AM"/>
        </w:rPr>
        <w:t>թվականին</w:t>
      </w:r>
      <w:r w:rsidRPr="004167D9">
        <w:rPr>
          <w:b/>
          <w:lang w:val="af-ZA"/>
        </w:rPr>
        <w:t xml:space="preserve">, </w:t>
      </w:r>
      <w:r w:rsidRPr="004167D9">
        <w:rPr>
          <w:b/>
          <w:lang w:val="hy-AM"/>
        </w:rPr>
        <w:t>չնայած</w:t>
      </w:r>
      <w:r w:rsidRPr="004167D9">
        <w:rPr>
          <w:b/>
          <w:lang w:val="af-ZA"/>
        </w:rPr>
        <w:t xml:space="preserve"> </w:t>
      </w:r>
      <w:r w:rsidRPr="004167D9">
        <w:rPr>
          <w:b/>
          <w:lang w:val="hy-AM"/>
        </w:rPr>
        <w:t>շարունակվող</w:t>
      </w:r>
      <w:r w:rsidRPr="004167D9">
        <w:rPr>
          <w:b/>
          <w:lang w:val="af-ZA"/>
        </w:rPr>
        <w:t xml:space="preserve"> </w:t>
      </w:r>
      <w:r w:rsidRPr="004167D9">
        <w:rPr>
          <w:b/>
          <w:lang w:val="hy-AM"/>
        </w:rPr>
        <w:t>դրամավարկային</w:t>
      </w:r>
      <w:r w:rsidRPr="004167D9">
        <w:rPr>
          <w:b/>
          <w:lang w:val="af-ZA"/>
        </w:rPr>
        <w:t xml:space="preserve"> </w:t>
      </w:r>
      <w:r w:rsidRPr="004167D9">
        <w:rPr>
          <w:b/>
          <w:lang w:val="hy-AM"/>
        </w:rPr>
        <w:t>խստացման</w:t>
      </w:r>
      <w:r w:rsidRPr="004167D9">
        <w:rPr>
          <w:b/>
          <w:lang w:val="af-ZA"/>
        </w:rPr>
        <w:t xml:space="preserve"> </w:t>
      </w:r>
      <w:r w:rsidRPr="004167D9">
        <w:rPr>
          <w:b/>
          <w:lang w:val="hy-AM"/>
        </w:rPr>
        <w:t>և</w:t>
      </w:r>
      <w:r w:rsidRPr="004167D9">
        <w:rPr>
          <w:b/>
          <w:lang w:val="af-ZA"/>
        </w:rPr>
        <w:t xml:space="preserve"> </w:t>
      </w:r>
      <w:r w:rsidRPr="004167D9">
        <w:rPr>
          <w:b/>
          <w:lang w:val="hy-AM"/>
        </w:rPr>
        <w:t>աշխարհաքաղաքական</w:t>
      </w:r>
      <w:r w:rsidRPr="004167D9">
        <w:rPr>
          <w:b/>
          <w:lang w:val="af-ZA"/>
        </w:rPr>
        <w:t xml:space="preserve"> </w:t>
      </w:r>
      <w:r w:rsidRPr="004167D9">
        <w:rPr>
          <w:b/>
          <w:lang w:val="hy-AM"/>
        </w:rPr>
        <w:t>անորոշություններին</w:t>
      </w:r>
      <w:r w:rsidRPr="004167D9">
        <w:rPr>
          <w:b/>
          <w:lang w:val="af-ZA"/>
        </w:rPr>
        <w:t xml:space="preserve">, </w:t>
      </w:r>
      <w:r w:rsidRPr="004167D9">
        <w:rPr>
          <w:b/>
          <w:lang w:val="hy-AM"/>
        </w:rPr>
        <w:t>համաշխարհային</w:t>
      </w:r>
      <w:r w:rsidRPr="004167D9">
        <w:rPr>
          <w:b/>
          <w:lang w:val="af-ZA"/>
        </w:rPr>
        <w:t xml:space="preserve"> </w:t>
      </w:r>
      <w:r w:rsidRPr="004167D9">
        <w:rPr>
          <w:b/>
          <w:lang w:val="hy-AM"/>
        </w:rPr>
        <w:t>տնտեսությունում</w:t>
      </w:r>
      <w:r w:rsidRPr="004167D9">
        <w:rPr>
          <w:b/>
          <w:lang w:val="af-ZA"/>
        </w:rPr>
        <w:t xml:space="preserve"> </w:t>
      </w:r>
      <w:r w:rsidRPr="004167D9">
        <w:rPr>
          <w:b/>
          <w:lang w:val="hy-AM"/>
        </w:rPr>
        <w:t>և</w:t>
      </w:r>
      <w:r w:rsidRPr="004167D9">
        <w:rPr>
          <w:b/>
          <w:lang w:val="af-ZA"/>
        </w:rPr>
        <w:t xml:space="preserve"> </w:t>
      </w:r>
      <w:r w:rsidRPr="004167D9">
        <w:rPr>
          <w:b/>
          <w:lang w:val="hy-AM"/>
        </w:rPr>
        <w:t>ՀՀ</w:t>
      </w:r>
      <w:r w:rsidRPr="004167D9">
        <w:rPr>
          <w:b/>
          <w:lang w:val="af-ZA"/>
        </w:rPr>
        <w:t xml:space="preserve"> </w:t>
      </w:r>
      <w:r w:rsidRPr="004167D9">
        <w:rPr>
          <w:b/>
          <w:lang w:val="hy-AM"/>
        </w:rPr>
        <w:t>հիմնական</w:t>
      </w:r>
      <w:r w:rsidRPr="004167D9">
        <w:rPr>
          <w:b/>
          <w:lang w:val="af-ZA"/>
        </w:rPr>
        <w:t xml:space="preserve"> </w:t>
      </w:r>
      <w:r w:rsidRPr="004167D9">
        <w:rPr>
          <w:b/>
          <w:lang w:val="hy-AM"/>
        </w:rPr>
        <w:t>գործընկեր</w:t>
      </w:r>
      <w:r w:rsidRPr="004167D9">
        <w:rPr>
          <w:b/>
          <w:lang w:val="af-ZA"/>
        </w:rPr>
        <w:t xml:space="preserve"> </w:t>
      </w:r>
      <w:r w:rsidRPr="004167D9">
        <w:rPr>
          <w:b/>
          <w:lang w:val="hy-AM"/>
        </w:rPr>
        <w:t>երկրներում</w:t>
      </w:r>
      <w:r w:rsidRPr="004167D9">
        <w:rPr>
          <w:b/>
          <w:lang w:val="af-ZA"/>
        </w:rPr>
        <w:t xml:space="preserve">, </w:t>
      </w:r>
      <w:r w:rsidRPr="004167D9">
        <w:rPr>
          <w:b/>
          <w:lang w:val="hy-AM"/>
        </w:rPr>
        <w:t>բացառությամբ</w:t>
      </w:r>
      <w:r w:rsidRPr="004167D9">
        <w:rPr>
          <w:b/>
          <w:lang w:val="af-ZA"/>
        </w:rPr>
        <w:t xml:space="preserve"> </w:t>
      </w:r>
      <w:r w:rsidRPr="004167D9">
        <w:rPr>
          <w:b/>
          <w:lang w:val="hy-AM"/>
        </w:rPr>
        <w:t>Եվրագոտու</w:t>
      </w:r>
      <w:r w:rsidRPr="004167D9">
        <w:rPr>
          <w:b/>
          <w:lang w:val="af-ZA"/>
        </w:rPr>
        <w:t xml:space="preserve">, </w:t>
      </w:r>
      <w:r w:rsidRPr="004167D9">
        <w:rPr>
          <w:b/>
          <w:lang w:val="hy-AM"/>
        </w:rPr>
        <w:t>նախորդ</w:t>
      </w:r>
      <w:r w:rsidRPr="004167D9">
        <w:rPr>
          <w:b/>
          <w:lang w:val="af-ZA"/>
        </w:rPr>
        <w:t xml:space="preserve"> </w:t>
      </w:r>
      <w:r w:rsidRPr="004167D9">
        <w:rPr>
          <w:b/>
          <w:lang w:val="hy-AM"/>
        </w:rPr>
        <w:t>տարվա</w:t>
      </w:r>
      <w:r w:rsidRPr="004167D9">
        <w:rPr>
          <w:b/>
          <w:lang w:val="af-ZA"/>
        </w:rPr>
        <w:t xml:space="preserve"> </w:t>
      </w:r>
      <w:r w:rsidRPr="004167D9">
        <w:rPr>
          <w:b/>
          <w:lang w:val="hy-AM"/>
        </w:rPr>
        <w:t>նկատմամբ</w:t>
      </w:r>
      <w:r w:rsidRPr="004167D9">
        <w:rPr>
          <w:b/>
          <w:lang w:val="af-ZA"/>
        </w:rPr>
        <w:t xml:space="preserve"> </w:t>
      </w:r>
      <w:r w:rsidRPr="004167D9">
        <w:rPr>
          <w:b/>
          <w:lang w:val="hy-AM"/>
        </w:rPr>
        <w:t>դիտվել</w:t>
      </w:r>
      <w:r w:rsidRPr="004167D9">
        <w:rPr>
          <w:b/>
          <w:lang w:val="af-ZA"/>
        </w:rPr>
        <w:t xml:space="preserve"> </w:t>
      </w:r>
      <w:r w:rsidRPr="004167D9">
        <w:rPr>
          <w:b/>
          <w:lang w:val="hy-AM"/>
        </w:rPr>
        <w:t>է</w:t>
      </w:r>
      <w:r w:rsidRPr="004167D9">
        <w:rPr>
          <w:b/>
          <w:lang w:val="af-ZA"/>
        </w:rPr>
        <w:t xml:space="preserve"> </w:t>
      </w:r>
      <w:r w:rsidRPr="004167D9">
        <w:rPr>
          <w:b/>
          <w:lang w:val="hy-AM"/>
        </w:rPr>
        <w:t>տնտեսական</w:t>
      </w:r>
      <w:r w:rsidRPr="004167D9">
        <w:rPr>
          <w:b/>
          <w:lang w:val="af-ZA"/>
        </w:rPr>
        <w:t xml:space="preserve"> </w:t>
      </w:r>
      <w:r w:rsidRPr="004167D9">
        <w:rPr>
          <w:b/>
          <w:lang w:val="hy-AM"/>
        </w:rPr>
        <w:t>աճի</w:t>
      </w:r>
      <w:r w:rsidRPr="004167D9">
        <w:rPr>
          <w:b/>
          <w:lang w:val="af-ZA"/>
        </w:rPr>
        <w:t xml:space="preserve"> </w:t>
      </w:r>
      <w:r w:rsidRPr="004167D9">
        <w:rPr>
          <w:b/>
          <w:lang w:val="hy-AM"/>
        </w:rPr>
        <w:t>տեմպերի</w:t>
      </w:r>
      <w:r w:rsidRPr="004167D9">
        <w:rPr>
          <w:b/>
          <w:lang w:val="af-ZA"/>
        </w:rPr>
        <w:t xml:space="preserve"> </w:t>
      </w:r>
      <w:r w:rsidRPr="004167D9">
        <w:rPr>
          <w:b/>
          <w:lang w:val="hy-AM"/>
        </w:rPr>
        <w:t>արագացում</w:t>
      </w:r>
      <w:r w:rsidRPr="004167D9">
        <w:rPr>
          <w:b/>
          <w:lang w:val="af-ZA"/>
        </w:rPr>
        <w:t xml:space="preserve">: </w:t>
      </w:r>
      <w:r w:rsidRPr="004167D9">
        <w:rPr>
          <w:b/>
          <w:lang w:val="hy-AM"/>
        </w:rPr>
        <w:t>Տնտեսական</w:t>
      </w:r>
      <w:r w:rsidRPr="004167D9">
        <w:rPr>
          <w:b/>
          <w:lang w:val="af-ZA"/>
        </w:rPr>
        <w:t xml:space="preserve"> </w:t>
      </w:r>
      <w:r w:rsidRPr="004167D9">
        <w:rPr>
          <w:b/>
          <w:lang w:val="hy-AM"/>
        </w:rPr>
        <w:t>աճի</w:t>
      </w:r>
      <w:r w:rsidRPr="004167D9">
        <w:rPr>
          <w:b/>
          <w:lang w:val="af-ZA"/>
        </w:rPr>
        <w:t xml:space="preserve"> </w:t>
      </w:r>
      <w:r w:rsidRPr="004167D9">
        <w:rPr>
          <w:b/>
          <w:lang w:val="hy-AM"/>
        </w:rPr>
        <w:t>արագացմանը</w:t>
      </w:r>
      <w:r w:rsidRPr="004167D9">
        <w:rPr>
          <w:b/>
          <w:lang w:val="af-ZA"/>
        </w:rPr>
        <w:t xml:space="preserve"> </w:t>
      </w:r>
      <w:r w:rsidRPr="004167D9">
        <w:rPr>
          <w:b/>
          <w:lang w:val="hy-AM"/>
        </w:rPr>
        <w:t>նպաստել</w:t>
      </w:r>
      <w:r w:rsidRPr="004167D9">
        <w:rPr>
          <w:b/>
          <w:lang w:val="af-ZA"/>
        </w:rPr>
        <w:t xml:space="preserve"> </w:t>
      </w:r>
      <w:r w:rsidRPr="004167D9">
        <w:rPr>
          <w:b/>
          <w:lang w:val="hy-AM"/>
        </w:rPr>
        <w:t>են</w:t>
      </w:r>
      <w:r w:rsidRPr="004167D9">
        <w:rPr>
          <w:b/>
          <w:lang w:val="af-ZA"/>
        </w:rPr>
        <w:t xml:space="preserve"> </w:t>
      </w:r>
      <w:r w:rsidRPr="004167D9">
        <w:rPr>
          <w:b/>
          <w:lang w:val="hy-AM"/>
        </w:rPr>
        <w:t>պետական</w:t>
      </w:r>
      <w:r w:rsidRPr="004167D9">
        <w:rPr>
          <w:b/>
          <w:lang w:val="af-ZA"/>
        </w:rPr>
        <w:t xml:space="preserve"> </w:t>
      </w:r>
      <w:r w:rsidRPr="004167D9">
        <w:rPr>
          <w:b/>
          <w:lang w:val="hy-AM"/>
        </w:rPr>
        <w:t>ու</w:t>
      </w:r>
      <w:r w:rsidRPr="004167D9">
        <w:rPr>
          <w:b/>
          <w:lang w:val="af-ZA"/>
        </w:rPr>
        <w:t xml:space="preserve"> </w:t>
      </w:r>
      <w:r w:rsidRPr="004167D9">
        <w:rPr>
          <w:b/>
          <w:lang w:val="hy-AM"/>
        </w:rPr>
        <w:t>մասնավոր</w:t>
      </w:r>
      <w:r w:rsidRPr="004167D9">
        <w:rPr>
          <w:b/>
          <w:lang w:val="af-ZA"/>
        </w:rPr>
        <w:t xml:space="preserve"> </w:t>
      </w:r>
      <w:r w:rsidRPr="004167D9">
        <w:rPr>
          <w:b/>
          <w:lang w:val="hy-AM"/>
        </w:rPr>
        <w:t>սպառման</w:t>
      </w:r>
      <w:r w:rsidRPr="004167D9">
        <w:rPr>
          <w:b/>
          <w:lang w:val="af-ZA"/>
        </w:rPr>
        <w:t xml:space="preserve"> </w:t>
      </w:r>
      <w:r w:rsidRPr="004167D9">
        <w:rPr>
          <w:b/>
          <w:lang w:val="hy-AM"/>
        </w:rPr>
        <w:t>աճը</w:t>
      </w:r>
      <w:r w:rsidRPr="004167D9">
        <w:rPr>
          <w:b/>
          <w:lang w:val="af-ZA"/>
        </w:rPr>
        <w:t xml:space="preserve">,  </w:t>
      </w:r>
      <w:r w:rsidRPr="004167D9">
        <w:rPr>
          <w:b/>
          <w:lang w:val="hy-AM"/>
        </w:rPr>
        <w:t>իսկ</w:t>
      </w:r>
      <w:r w:rsidRPr="004167D9">
        <w:rPr>
          <w:b/>
          <w:lang w:val="af-ZA"/>
        </w:rPr>
        <w:t xml:space="preserve"> </w:t>
      </w:r>
      <w:r w:rsidRPr="004167D9">
        <w:rPr>
          <w:b/>
          <w:lang w:val="hy-AM"/>
        </w:rPr>
        <w:t>Եվրագոտում</w:t>
      </w:r>
      <w:r w:rsidRPr="004167D9">
        <w:rPr>
          <w:b/>
          <w:lang w:val="af-ZA"/>
        </w:rPr>
        <w:t xml:space="preserve"> </w:t>
      </w:r>
      <w:r w:rsidRPr="004167D9">
        <w:rPr>
          <w:b/>
          <w:lang w:val="hy-AM"/>
        </w:rPr>
        <w:t>արձանագրված</w:t>
      </w:r>
      <w:r w:rsidRPr="004167D9">
        <w:rPr>
          <w:b/>
          <w:lang w:val="af-ZA"/>
        </w:rPr>
        <w:t xml:space="preserve"> </w:t>
      </w:r>
      <w:r w:rsidRPr="004167D9">
        <w:rPr>
          <w:b/>
          <w:lang w:val="hy-AM"/>
        </w:rPr>
        <w:t>թույլ</w:t>
      </w:r>
      <w:r w:rsidRPr="004167D9">
        <w:rPr>
          <w:b/>
          <w:lang w:val="af-ZA"/>
        </w:rPr>
        <w:t xml:space="preserve"> </w:t>
      </w:r>
      <w:r w:rsidRPr="004167D9">
        <w:rPr>
          <w:b/>
          <w:lang w:val="hy-AM"/>
        </w:rPr>
        <w:t>աճն</w:t>
      </w:r>
      <w:r w:rsidRPr="004167D9">
        <w:rPr>
          <w:b/>
          <w:lang w:val="af-ZA"/>
        </w:rPr>
        <w:t xml:space="preserve"> </w:t>
      </w:r>
      <w:r w:rsidRPr="004167D9">
        <w:rPr>
          <w:b/>
          <w:lang w:val="hy-AM"/>
        </w:rPr>
        <w:t>արտացոլում</w:t>
      </w:r>
      <w:r w:rsidRPr="004167D9">
        <w:rPr>
          <w:b/>
          <w:lang w:val="af-ZA"/>
        </w:rPr>
        <w:t xml:space="preserve"> </w:t>
      </w:r>
      <w:r w:rsidRPr="004167D9">
        <w:rPr>
          <w:b/>
          <w:lang w:val="hy-AM"/>
        </w:rPr>
        <w:t>էր</w:t>
      </w:r>
      <w:r w:rsidRPr="004167D9">
        <w:rPr>
          <w:b/>
          <w:lang w:val="af-ZA"/>
        </w:rPr>
        <w:t xml:space="preserve"> </w:t>
      </w:r>
      <w:r w:rsidRPr="004167D9">
        <w:rPr>
          <w:b/>
          <w:lang w:val="hy-AM"/>
        </w:rPr>
        <w:t>սպառողական</w:t>
      </w:r>
      <w:r w:rsidRPr="004167D9">
        <w:rPr>
          <w:b/>
          <w:lang w:val="af-ZA"/>
        </w:rPr>
        <w:t xml:space="preserve"> </w:t>
      </w:r>
      <w:r w:rsidRPr="004167D9">
        <w:rPr>
          <w:b/>
          <w:lang w:val="hy-AM"/>
        </w:rPr>
        <w:t>թույլ</w:t>
      </w:r>
      <w:r w:rsidRPr="004167D9">
        <w:rPr>
          <w:b/>
          <w:lang w:val="af-ZA"/>
        </w:rPr>
        <w:t xml:space="preserve"> </w:t>
      </w:r>
      <w:r w:rsidRPr="004167D9">
        <w:rPr>
          <w:b/>
          <w:lang w:val="hy-AM"/>
        </w:rPr>
        <w:t>տրամադրությունները</w:t>
      </w:r>
      <w:r w:rsidRPr="004167D9">
        <w:rPr>
          <w:b/>
          <w:lang w:val="af-ZA"/>
        </w:rPr>
        <w:t xml:space="preserve">, </w:t>
      </w:r>
      <w:r w:rsidRPr="004167D9">
        <w:rPr>
          <w:b/>
          <w:lang w:val="hy-AM"/>
        </w:rPr>
        <w:t>էներգակիրների</w:t>
      </w:r>
      <w:r w:rsidRPr="004167D9">
        <w:rPr>
          <w:b/>
          <w:lang w:val="af-ZA"/>
        </w:rPr>
        <w:t xml:space="preserve"> </w:t>
      </w:r>
      <w:r w:rsidRPr="004167D9">
        <w:rPr>
          <w:b/>
          <w:lang w:val="hy-AM"/>
        </w:rPr>
        <w:t>բարձր</w:t>
      </w:r>
      <w:r w:rsidRPr="004167D9">
        <w:rPr>
          <w:b/>
          <w:lang w:val="af-ZA"/>
        </w:rPr>
        <w:t xml:space="preserve"> </w:t>
      </w:r>
      <w:r w:rsidRPr="004167D9">
        <w:rPr>
          <w:b/>
          <w:lang w:val="hy-AM"/>
        </w:rPr>
        <w:t>գների</w:t>
      </w:r>
      <w:r w:rsidRPr="004167D9">
        <w:rPr>
          <w:b/>
          <w:lang w:val="af-ZA"/>
        </w:rPr>
        <w:t xml:space="preserve"> </w:t>
      </w:r>
      <w:r w:rsidRPr="004167D9">
        <w:rPr>
          <w:b/>
          <w:lang w:val="hy-AM"/>
        </w:rPr>
        <w:t>երկարաձգված</w:t>
      </w:r>
      <w:r w:rsidRPr="004167D9">
        <w:rPr>
          <w:b/>
          <w:lang w:val="af-ZA"/>
        </w:rPr>
        <w:t xml:space="preserve"> </w:t>
      </w:r>
      <w:r w:rsidRPr="004167D9">
        <w:rPr>
          <w:b/>
          <w:lang w:val="hy-AM"/>
        </w:rPr>
        <w:t>ազդեցությունը</w:t>
      </w:r>
      <w:r w:rsidRPr="004167D9">
        <w:rPr>
          <w:b/>
          <w:lang w:val="af-ZA"/>
        </w:rPr>
        <w:t xml:space="preserve">, </w:t>
      </w:r>
      <w:r w:rsidRPr="004167D9">
        <w:rPr>
          <w:b/>
          <w:lang w:val="hy-AM"/>
        </w:rPr>
        <w:t>ինչպես</w:t>
      </w:r>
      <w:r w:rsidRPr="004167D9">
        <w:rPr>
          <w:b/>
          <w:lang w:val="af-ZA"/>
        </w:rPr>
        <w:t xml:space="preserve"> </w:t>
      </w:r>
      <w:r w:rsidRPr="004167D9">
        <w:rPr>
          <w:b/>
          <w:lang w:val="hy-AM"/>
        </w:rPr>
        <w:t>նաև</w:t>
      </w:r>
      <w:r w:rsidRPr="004167D9">
        <w:rPr>
          <w:b/>
          <w:lang w:val="af-ZA"/>
        </w:rPr>
        <w:t xml:space="preserve"> </w:t>
      </w:r>
      <w:r w:rsidRPr="004167D9">
        <w:rPr>
          <w:b/>
          <w:lang w:val="hy-AM"/>
        </w:rPr>
        <w:t>մշակող</w:t>
      </w:r>
      <w:r w:rsidRPr="004167D9">
        <w:rPr>
          <w:b/>
          <w:lang w:val="af-ZA"/>
        </w:rPr>
        <w:t xml:space="preserve"> </w:t>
      </w:r>
      <w:r w:rsidRPr="004167D9">
        <w:rPr>
          <w:b/>
          <w:lang w:val="hy-AM"/>
        </w:rPr>
        <w:t>արդյունաբերության</w:t>
      </w:r>
      <w:r w:rsidRPr="004167D9">
        <w:rPr>
          <w:b/>
          <w:lang w:val="af-ZA"/>
        </w:rPr>
        <w:t xml:space="preserve"> </w:t>
      </w:r>
      <w:r w:rsidRPr="004167D9">
        <w:rPr>
          <w:b/>
          <w:lang w:val="hy-AM"/>
        </w:rPr>
        <w:t>թույլ</w:t>
      </w:r>
      <w:r w:rsidRPr="004167D9">
        <w:rPr>
          <w:b/>
          <w:lang w:val="af-ZA"/>
        </w:rPr>
        <w:t xml:space="preserve"> </w:t>
      </w:r>
      <w:r w:rsidRPr="004167D9">
        <w:rPr>
          <w:b/>
          <w:lang w:val="hy-AM"/>
        </w:rPr>
        <w:t>ակտիվությունը</w:t>
      </w:r>
      <w:r w:rsidRPr="004167D9">
        <w:rPr>
          <w:b/>
          <w:lang w:val="af-ZA"/>
        </w:rPr>
        <w:t>:</w:t>
      </w:r>
      <w:r w:rsidRPr="004167D9">
        <w:rPr>
          <w:rFonts w:eastAsia="Times New Roman" w:cs="Times New Roman"/>
          <w:lang w:val="hy-AM"/>
        </w:rPr>
        <w:t xml:space="preserve"> Արժույթի միջազգային հիմնադրամի (ԱՄՀ) գնահատականներով 2023 թվականին համաշխարհային տնտեսական աճը կազմել է 3.2%՝ նախորդ</w:t>
      </w:r>
      <w:r w:rsidRPr="004167D9">
        <w:rPr>
          <w:rFonts w:eastAsia="Times New Roman" w:cs="Times New Roman"/>
          <w:lang w:val="af-ZA"/>
        </w:rPr>
        <w:t xml:space="preserve"> </w:t>
      </w:r>
      <w:r w:rsidRPr="004167D9">
        <w:rPr>
          <w:rFonts w:eastAsia="Times New Roman" w:cs="Times New Roman"/>
          <w:lang w:val="hy-AM"/>
        </w:rPr>
        <w:t>տարվա</w:t>
      </w:r>
      <w:r w:rsidRPr="004167D9">
        <w:rPr>
          <w:rFonts w:eastAsia="Times New Roman" w:cs="Times New Roman"/>
          <w:lang w:val="af-ZA"/>
        </w:rPr>
        <w:t xml:space="preserve"> 3.4%-</w:t>
      </w:r>
      <w:r w:rsidRPr="004167D9">
        <w:rPr>
          <w:rFonts w:eastAsia="Times New Roman" w:cs="Times New Roman"/>
          <w:lang w:val="hy-AM"/>
        </w:rPr>
        <w:t>ի</w:t>
      </w:r>
      <w:r w:rsidRPr="004167D9">
        <w:rPr>
          <w:rFonts w:eastAsia="Times New Roman" w:cs="Times New Roman"/>
          <w:lang w:val="af-ZA"/>
        </w:rPr>
        <w:t xml:space="preserve"> </w:t>
      </w:r>
      <w:r w:rsidRPr="004167D9">
        <w:rPr>
          <w:rFonts w:eastAsia="Times New Roman" w:cs="Times New Roman"/>
          <w:lang w:val="hy-AM"/>
        </w:rPr>
        <w:t>դիմաց, իսկ ՀՀ հիմնական գործընկեր երկրներից ՌԴ-ում գրանցվել է 3.6</w:t>
      </w:r>
      <w:r w:rsidRPr="004167D9">
        <w:rPr>
          <w:rFonts w:eastAsia="Times New Roman" w:cs="Times New Roman"/>
          <w:lang w:val="af-ZA"/>
        </w:rPr>
        <w:t>%</w:t>
      </w:r>
      <w:r w:rsidRPr="004167D9">
        <w:rPr>
          <w:rFonts w:eastAsia="Times New Roman" w:cs="Times New Roman"/>
          <w:lang w:val="hy-AM"/>
        </w:rPr>
        <w:t xml:space="preserve"> աճ, Եվրագոտում՝ 0.4</w:t>
      </w:r>
      <w:r w:rsidRPr="004167D9">
        <w:rPr>
          <w:rFonts w:eastAsia="Times New Roman" w:cs="Times New Roman"/>
          <w:lang w:val="af-ZA"/>
        </w:rPr>
        <w:t>%</w:t>
      </w:r>
      <w:r w:rsidRPr="004167D9">
        <w:rPr>
          <w:rFonts w:eastAsia="Times New Roman" w:cs="Times New Roman"/>
          <w:lang w:val="hy-AM"/>
        </w:rPr>
        <w:t>, ԱՄՆ-ում</w:t>
      </w:r>
      <w:r>
        <w:rPr>
          <w:rFonts w:eastAsia="Times New Roman" w:cs="Times New Roman"/>
          <w:lang w:val="hy-AM"/>
        </w:rPr>
        <w:t>՝</w:t>
      </w:r>
      <w:r w:rsidRPr="004167D9">
        <w:rPr>
          <w:rFonts w:eastAsia="Times New Roman" w:cs="Times New Roman"/>
          <w:lang w:val="hy-AM"/>
        </w:rPr>
        <w:t xml:space="preserve"> 2.5</w:t>
      </w:r>
      <w:r w:rsidRPr="004167D9">
        <w:rPr>
          <w:rFonts w:eastAsia="Times New Roman" w:cs="Times New Roman"/>
          <w:lang w:val="af-ZA"/>
        </w:rPr>
        <w:t>%</w:t>
      </w:r>
      <w:r w:rsidRPr="004167D9">
        <w:rPr>
          <w:rFonts w:eastAsia="Times New Roman" w:cs="Times New Roman"/>
          <w:lang w:val="hy-AM"/>
        </w:rPr>
        <w:t>, իսկ Չինաստանում՝ 5.2</w:t>
      </w:r>
      <w:r w:rsidRPr="004167D9">
        <w:rPr>
          <w:rFonts w:eastAsia="Times New Roman" w:cs="Times New Roman"/>
          <w:lang w:val="af-ZA"/>
        </w:rPr>
        <w:t>%</w:t>
      </w:r>
      <w:r w:rsidRPr="004167D9">
        <w:rPr>
          <w:rFonts w:eastAsia="Times New Roman" w:cs="Times New Roman"/>
          <w:lang w:val="hy-AM"/>
        </w:rPr>
        <w:t xml:space="preserve">: </w:t>
      </w:r>
    </w:p>
    <w:p w14:paraId="751CDA03" w14:textId="77777777" w:rsidR="002D7DDD" w:rsidRPr="004167D9" w:rsidRDefault="002D7DDD" w:rsidP="00D25024">
      <w:pPr>
        <w:tabs>
          <w:tab w:val="left" w:pos="0"/>
        </w:tabs>
        <w:spacing w:line="276" w:lineRule="auto"/>
        <w:ind w:firstLine="0"/>
        <w:rPr>
          <w:rFonts w:eastAsia="Times New Roman" w:cs="Times New Roman"/>
          <w:lang w:val="hy-AM"/>
        </w:rPr>
      </w:pPr>
      <w:r w:rsidRPr="004167D9">
        <w:rPr>
          <w:rFonts w:eastAsia="Times New Roman" w:cs="Times New Roman"/>
          <w:lang w:val="hy-AM"/>
        </w:rPr>
        <w:t>2024 թվականի առաջին եռամսյակում հիմնական գործընկեր երկրներում տնտեսական աճի տեմպերն արագացել են, ինչը զուգորդվել է պետական ու մասնավոր սպառման աճերով: Միաժամանակ, զսպող դրամավարկային քաղաքականության դիրքի պահպանման պայմաններում գործընկեր երկրներում նկատվել է գնաճի կայունացում: 2024 թվականի առաջին եռամսյակում ԱՄՆ տնտեսությունը նախորդ տարվա համապատասխան ժամանակահատվածի նկատմամբ գրանցել է 3% աճ</w:t>
      </w:r>
      <w:r w:rsidRPr="004167D9">
        <w:rPr>
          <w:rFonts w:eastAsia="Times New Roman" w:cs="Times New Roman"/>
          <w:vertAlign w:val="superscript"/>
        </w:rPr>
        <w:footnoteReference w:id="3"/>
      </w:r>
      <w:r w:rsidRPr="004167D9">
        <w:rPr>
          <w:rFonts w:eastAsia="Times New Roman" w:cs="Times New Roman"/>
          <w:lang w:val="hy-AM"/>
        </w:rPr>
        <w:t>՝ պայմանավորված արտադրողականության և զբաղվածության կայուն աճով, ինչն ուղեկցվել է սպառման աճով։ Եվրագոտու տնտեսությունը 2024 թվականի առաջին եռամսյակում նախորդ տարվա վերջին կիսամյակի համեմատ գրանցել է աճի տեմպի արագացում</w:t>
      </w:r>
      <w:r w:rsidRPr="004167D9">
        <w:rPr>
          <w:rFonts w:eastAsia="Times New Roman" w:cs="Times New Roman"/>
          <w:vertAlign w:val="superscript"/>
        </w:rPr>
        <w:footnoteReference w:id="4"/>
      </w:r>
      <w:r w:rsidRPr="004167D9">
        <w:rPr>
          <w:rFonts w:eastAsia="Times New Roman" w:cs="Times New Roman"/>
          <w:lang w:val="hy-AM"/>
        </w:rPr>
        <w:t xml:space="preserve"> (0.4% աճ), որը հիմնականում պայմանավորված է եղել անդամ երկրներից Գերմանիայի տնտեսության նախորդ եռամսյակների համեմատ գրանցած աճով` շինարարության ոլորտում ներդրումների և արտահանման աճի արդյունքում, ինչպես նաև Իսպանիայի կտրուկ աճով, որն էլ պայմանավորված էր ներդրումների և մասնավոր սպառման աճով։ </w:t>
      </w:r>
    </w:p>
    <w:p w14:paraId="6EE495C8" w14:textId="77777777" w:rsidR="002D7DDD" w:rsidRPr="004167D9" w:rsidRDefault="002D7DDD" w:rsidP="00D25024">
      <w:pPr>
        <w:tabs>
          <w:tab w:val="left" w:pos="0"/>
        </w:tabs>
        <w:spacing w:line="276" w:lineRule="auto"/>
        <w:ind w:firstLine="0"/>
        <w:rPr>
          <w:rFonts w:eastAsia="Times New Roman" w:cs="Times New Roman"/>
          <w:lang w:val="hy-AM"/>
        </w:rPr>
      </w:pPr>
      <w:r w:rsidRPr="004167D9">
        <w:rPr>
          <w:rFonts w:eastAsia="Times New Roman" w:cs="Times New Roman"/>
          <w:lang w:val="hy-AM"/>
        </w:rPr>
        <w:t>Ընթացիկ տարվա առաջին եռամսյակում Չինաստանում տնտեսական աճը կազմել է 5.3%</w:t>
      </w:r>
      <w:r w:rsidRPr="004167D9">
        <w:rPr>
          <w:rFonts w:eastAsia="Times New Roman" w:cs="Times New Roman"/>
          <w:vertAlign w:val="superscript"/>
        </w:rPr>
        <w:footnoteReference w:id="5"/>
      </w:r>
      <w:r w:rsidRPr="004167D9">
        <w:rPr>
          <w:rFonts w:eastAsia="Times New Roman" w:cs="Times New Roman"/>
          <w:lang w:val="hy-AM"/>
        </w:rPr>
        <w:t>, որը պայմանավորված էր կառավարության կողմից շարունակվող խթանող միջոցառումներով՝ միտված անշարժ գույքի շուկայում առկա անկայունության մեղմացմանը: Աճի արագացմանը նաև նպաստել են Լուսնային նոր տարվա ընթացքում սպառման մեծ ծավալները: Մյուս կողմից, մարտ ամսվա ցուցանիշները փաստում են, որ գրանցվել է արդյունաբերական արտադրանքի և մանրածախ առևտրի աճի կտրուկ դանդաղում։ Ռուսաստանի Դաշնությունում հունվար-մարտ ամիսներին գրանցվել է միջինում 5.4% աճ</w:t>
      </w:r>
      <w:r w:rsidRPr="004167D9">
        <w:rPr>
          <w:rFonts w:eastAsia="Times New Roman" w:cs="Times New Roman"/>
          <w:vertAlign w:val="superscript"/>
        </w:rPr>
        <w:footnoteReference w:id="6"/>
      </w:r>
      <w:r w:rsidRPr="004167D9">
        <w:rPr>
          <w:rFonts w:eastAsia="Times New Roman" w:cs="Times New Roman"/>
          <w:lang w:val="hy-AM"/>
        </w:rPr>
        <w:t>, ընդ որում հունվարին տնտեսական աճը կազմել է 4.6%, փետրվարին՝ 7.6% և մարտին՝ 4.2%։ Աճի հիմնական աղբյուրներն են եղել մասնավոր և պետական պահանջարկը, ինչպես նաև ոչ նավթագազային արտահանման որոշակի վերականգնումը: Դեպի ներքին շուկա կողմնորոշված ճյուղերը շարունակել են աճ գրանցել:</w:t>
      </w:r>
    </w:p>
    <w:p w14:paraId="5252FAB0" w14:textId="77777777" w:rsidR="002D7DDD" w:rsidRPr="004167D9" w:rsidRDefault="002D7DDD" w:rsidP="00D25024">
      <w:pPr>
        <w:tabs>
          <w:tab w:val="left" w:pos="0"/>
        </w:tabs>
        <w:spacing w:line="276" w:lineRule="auto"/>
        <w:ind w:firstLine="0"/>
        <w:rPr>
          <w:rFonts w:eastAsia="Times New Roman" w:cs="Times New Roman"/>
          <w:lang w:val="hy-AM"/>
        </w:rPr>
      </w:pPr>
      <w:r w:rsidRPr="004167D9">
        <w:rPr>
          <w:rFonts w:eastAsia="Times New Roman" w:cs="Times New Roman"/>
          <w:lang w:val="hy-AM"/>
        </w:rPr>
        <w:t xml:space="preserve">Առաջատար տնտեսությունների կենտրոնական բանկերի կողմից զսպող դրամավարկային քաղաքականության դիրքի պահպանման պայմաններում 2023 թվականին և ընթացիկ տարվա </w:t>
      </w:r>
      <w:r w:rsidRPr="004167D9">
        <w:rPr>
          <w:rFonts w:eastAsia="Times New Roman" w:cs="Times New Roman"/>
          <w:lang w:val="hy-AM"/>
        </w:rPr>
        <w:lastRenderedPageBreak/>
        <w:t>հունվար-մայիս ամիսներին նկատվել է գնաճի կայունացում, բացառությամբ ՌԴ-ի, որտեղ առաջին եռամսյակում գնաճը կայունացման միտումներից հետո արագացել է՝ մայիսին հասնելով 8.3% մակարդակին: ԱՄՆ-ում և Ռուսաստանում գնաճը շարունակել է մնալ թիրախից էականորեն բարձր մակարդակում, իսկ ԵԳ-ում աստիճանաբար մոտեցել է սահմանված 2% թիրախին: Մինչդեռ Չինաստանում 2023 թվականի առաջին ինն ամիսներին գտնվել էր 3% թիրախից ներքև, իսկ վերջին եռամսյակում գնանկում է գրանցվել, սակայն ընթացիկ տարվա հունվար-մայիս ամիսներին ներքին պահանաջարկի վերականգնմանը զուգահեռ գնաճ է գրանցվել։</w:t>
      </w:r>
    </w:p>
    <w:p w14:paraId="54681478" w14:textId="77777777" w:rsidR="002D7DDD" w:rsidRPr="004167D9" w:rsidRDefault="002D7DDD" w:rsidP="00D25024">
      <w:pPr>
        <w:tabs>
          <w:tab w:val="left" w:pos="0"/>
        </w:tabs>
        <w:spacing w:line="276" w:lineRule="auto"/>
        <w:ind w:firstLine="0"/>
        <w:rPr>
          <w:rFonts w:eastAsia="Times New Roman" w:cs="Times New Roman"/>
          <w:lang w:val="hy-AM"/>
        </w:rPr>
      </w:pPr>
      <w:r w:rsidRPr="004167D9">
        <w:rPr>
          <w:rFonts w:eastAsia="Times New Roman" w:cs="Courier New"/>
          <w:b/>
          <w:u w:val="single"/>
          <w:lang w:val="hy-AM"/>
        </w:rPr>
        <w:t>Կանխատեսում:</w:t>
      </w:r>
      <w:r w:rsidRPr="004167D9">
        <w:rPr>
          <w:rFonts w:eastAsia="Times New Roman" w:cs="Courier New"/>
          <w:lang w:val="hy-AM"/>
        </w:rPr>
        <w:t xml:space="preserve"> </w:t>
      </w:r>
      <w:r w:rsidRPr="004167D9">
        <w:rPr>
          <w:rFonts w:eastAsia="Times New Roman" w:cs="Courier New"/>
          <w:b/>
          <w:lang w:val="hy-AM"/>
        </w:rPr>
        <w:t>ԱՄՀ ապրիլ ամսվա կանխատեսումների համաձայն 2024 և 2025 թվականներին համաշխարհային տնտեսական աճը կպահպանվի նույն մակարդակում՝ կազմելով 3.2%, որը ցածր է պատմական՝ 2000-2019 թվականների տարեկան միջինից՝ արտացոլելով զսպող դրամավարկային քաղաքականության, հարկաբյուջետային խթանման դադարեցման  ազդեցությունները, ինչպես նաև արտադրողականության ցածր աճը։ ՀՀ հիմնական գործընկեր երկրներից ԱՄՆ-ում 2024 թվականին աճի արագացումից հետո սպասվում է կտրուկ դանդաղում, մինչդեռ Եվրագոտում՝ տնտեսությունը կշարունակի աճել, որին կնպաստի մասնավոր սպառման աճը։</w:t>
      </w:r>
      <w:r w:rsidRPr="004167D9">
        <w:rPr>
          <w:rFonts w:ascii="Cambria Math" w:eastAsia="Times New Roman" w:hAnsi="Cambria Math" w:cs="Courier New"/>
          <w:b/>
          <w:lang w:val="hy-AM"/>
        </w:rPr>
        <w:t xml:space="preserve"> </w:t>
      </w:r>
      <w:r w:rsidRPr="004167D9">
        <w:rPr>
          <w:rFonts w:eastAsia="Times New Roman" w:cs="Courier New"/>
          <w:lang w:val="hy-AM"/>
        </w:rPr>
        <w:t>ՀՀ ամենամեծ առևտրատնտեսական գործընկեր ՌԴ-ում 2024 թվականին կանխատեսվում է 3.2% աճ՝ պայմանավորված ներդրումների և մասնավոր սպառման աճով, մինչդեռ 2024 թվականին</w:t>
      </w:r>
      <w:r w:rsidRPr="004167D9">
        <w:rPr>
          <w:rFonts w:eastAsia="Times New Roman" w:cs="Courier New"/>
          <w:i/>
          <w:lang w:val="hy-AM"/>
        </w:rPr>
        <w:t xml:space="preserve"> </w:t>
      </w:r>
      <w:r w:rsidRPr="004167D9">
        <w:rPr>
          <w:rFonts w:eastAsia="Times New Roman" w:cs="Courier New"/>
          <w:iCs/>
          <w:lang w:val="hy-AM"/>
        </w:rPr>
        <w:t>Եվրագոտում կանխատեսվում է տնտեսական աճի արագացում մինչև 0.8%, իսկ</w:t>
      </w:r>
      <w:r w:rsidRPr="004167D9">
        <w:rPr>
          <w:rFonts w:eastAsia="Times New Roman" w:cs="Courier New"/>
          <w:i/>
          <w:lang w:val="hy-AM"/>
        </w:rPr>
        <w:t xml:space="preserve"> </w:t>
      </w:r>
      <w:r w:rsidRPr="004167D9">
        <w:rPr>
          <w:rFonts w:eastAsia="Times New Roman" w:cs="Courier New"/>
          <w:lang w:val="hy-AM"/>
        </w:rPr>
        <w:t>ԱՄՆ-ում` 2.7%: Չինաստանում 2024 թվականի տնտեսական աճի տեմպերը կդանդաղեն՝ պայմանավորված անշարժ գույքի շուկայի անկմամբ։ Ընդ որում, ՀՀ հիմնական գործընկեր երկրների 2024 թվականի ապրիլյան կանխատեսումները հունվարի կանխատեսումների համեմատ վերանայվել են, հիմնականում, առավել դրական սպասումներով։ 2025 թվականին ՌԴ տնտեսության համար հունվարի 1.1% աճի կանխատեսումը ապրիլին վերանայվել է 1.8%, իսկ ԱՄՆ-ի հունվարի կանխատեսումը 1.7%-ից վերանայվել է 1.9%։ Միևնույն ժամանակ, 2025 թվականին Եվրագոտու  1.7%-ի աճի կանխատեսումը ապրիլին վերանայվել է դեպի ներքև՝ 1.5% (ավելի մանրամասն տե՛ս Աղյուսակ 1.2 -ում)։</w:t>
      </w:r>
    </w:p>
    <w:p w14:paraId="37E613F7" w14:textId="77777777" w:rsidR="002D7DDD" w:rsidRPr="004167D9" w:rsidRDefault="002D7DDD" w:rsidP="002D7DDD">
      <w:pPr>
        <w:spacing w:before="0" w:after="0" w:line="276" w:lineRule="auto"/>
        <w:ind w:firstLine="0"/>
        <w:rPr>
          <w:rFonts w:eastAsia="Times New Roman" w:cs="Courier New"/>
          <w:lang w:val="hy-AM"/>
        </w:rPr>
      </w:pPr>
      <w:r w:rsidRPr="004167D9">
        <w:rPr>
          <w:rFonts w:eastAsia="Times New Roman" w:cs="Courier New"/>
          <w:b/>
          <w:lang w:val="hy-AM"/>
        </w:rPr>
        <w:t>Աղյուսակ 1.2.</w:t>
      </w:r>
      <w:r w:rsidRPr="004167D9">
        <w:rPr>
          <w:rFonts w:eastAsia="Times New Roman" w:cs="Courier New"/>
          <w:lang w:val="hy-AM"/>
        </w:rPr>
        <w:t xml:space="preserve"> ԱՄՀ կանխատեսումներ </w:t>
      </w:r>
    </w:p>
    <w:tbl>
      <w:tblPr>
        <w:tblStyle w:val="GridTable1Light-Accent5"/>
        <w:tblW w:w="9870" w:type="dxa"/>
        <w:tblLayout w:type="fixed"/>
        <w:tblLook w:val="04A0" w:firstRow="1" w:lastRow="0" w:firstColumn="1" w:lastColumn="0" w:noHBand="0" w:noVBand="1"/>
      </w:tblPr>
      <w:tblGrid>
        <w:gridCol w:w="2274"/>
        <w:gridCol w:w="792"/>
        <w:gridCol w:w="837"/>
        <w:gridCol w:w="838"/>
        <w:gridCol w:w="837"/>
        <w:gridCol w:w="838"/>
        <w:gridCol w:w="837"/>
        <w:gridCol w:w="838"/>
        <w:gridCol w:w="837"/>
        <w:gridCol w:w="942"/>
      </w:tblGrid>
      <w:tr w:rsidR="002D7DDD" w:rsidRPr="004167D9" w14:paraId="653E090E" w14:textId="77777777" w:rsidTr="00857518">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4" w:type="dxa"/>
            <w:vMerge w:val="restart"/>
          </w:tcPr>
          <w:p w14:paraId="1098B271" w14:textId="77777777" w:rsidR="002D7DDD" w:rsidRPr="004167D9" w:rsidRDefault="002D7DDD" w:rsidP="008931FF">
            <w:pPr>
              <w:tabs>
                <w:tab w:val="left" w:pos="0"/>
              </w:tabs>
              <w:spacing w:before="0" w:after="0" w:line="276" w:lineRule="auto"/>
              <w:ind w:firstLine="0"/>
              <w:jc w:val="center"/>
              <w:rPr>
                <w:rFonts w:eastAsia="Times New Roman" w:cs="Sylfaen"/>
                <w:i/>
                <w:sz w:val="18"/>
                <w:szCs w:val="18"/>
              </w:rPr>
            </w:pPr>
          </w:p>
        </w:tc>
        <w:tc>
          <w:tcPr>
            <w:tcW w:w="792" w:type="dxa"/>
          </w:tcPr>
          <w:p w14:paraId="4D024602" w14:textId="77777777" w:rsidR="002D7DDD" w:rsidRPr="004167D9" w:rsidRDefault="002D7DDD" w:rsidP="008931FF">
            <w:pPr>
              <w:tabs>
                <w:tab w:val="left" w:pos="0"/>
              </w:tabs>
              <w:spacing w:before="0"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sz w:val="18"/>
                <w:szCs w:val="18"/>
              </w:rPr>
            </w:pPr>
            <w:r w:rsidRPr="004167D9">
              <w:rPr>
                <w:rFonts w:eastAsia="Times New Roman"/>
                <w:sz w:val="18"/>
                <w:szCs w:val="18"/>
              </w:rPr>
              <w:t>2023</w:t>
            </w:r>
          </w:p>
        </w:tc>
        <w:tc>
          <w:tcPr>
            <w:tcW w:w="2512" w:type="dxa"/>
            <w:gridSpan w:val="3"/>
          </w:tcPr>
          <w:p w14:paraId="6B4493F7" w14:textId="77777777" w:rsidR="002D7DDD" w:rsidRPr="004167D9" w:rsidRDefault="002D7DDD" w:rsidP="008931FF">
            <w:pPr>
              <w:tabs>
                <w:tab w:val="left" w:pos="0"/>
              </w:tabs>
              <w:spacing w:before="0"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sz w:val="18"/>
                <w:szCs w:val="18"/>
              </w:rPr>
            </w:pPr>
            <w:r w:rsidRPr="004167D9">
              <w:rPr>
                <w:rFonts w:eastAsia="Times New Roman" w:cs="Sylfaen"/>
                <w:sz w:val="18"/>
                <w:szCs w:val="18"/>
              </w:rPr>
              <w:t>2024թ.-ի կանխատեսում</w:t>
            </w:r>
          </w:p>
        </w:tc>
        <w:tc>
          <w:tcPr>
            <w:tcW w:w="2513" w:type="dxa"/>
            <w:gridSpan w:val="3"/>
          </w:tcPr>
          <w:p w14:paraId="40ED5162" w14:textId="77777777" w:rsidR="002D7DDD" w:rsidRPr="004167D9" w:rsidRDefault="002D7DDD" w:rsidP="008931FF">
            <w:pPr>
              <w:tabs>
                <w:tab w:val="left" w:pos="0"/>
              </w:tabs>
              <w:spacing w:before="0"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sz w:val="18"/>
                <w:szCs w:val="18"/>
              </w:rPr>
            </w:pPr>
            <w:r w:rsidRPr="004167D9">
              <w:rPr>
                <w:rFonts w:eastAsia="Times New Roman"/>
                <w:sz w:val="18"/>
                <w:szCs w:val="18"/>
              </w:rPr>
              <w:t>2025թ.-ի կանխատեսում</w:t>
            </w:r>
          </w:p>
        </w:tc>
        <w:tc>
          <w:tcPr>
            <w:tcW w:w="837" w:type="dxa"/>
          </w:tcPr>
          <w:p w14:paraId="6B57F0BE" w14:textId="77777777" w:rsidR="002D7DDD" w:rsidRPr="004167D9" w:rsidRDefault="002D7DDD" w:rsidP="008931FF">
            <w:pPr>
              <w:tabs>
                <w:tab w:val="left" w:pos="0"/>
              </w:tabs>
              <w:spacing w:before="0"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2026թ</w:t>
            </w:r>
            <w:r w:rsidRPr="004167D9">
              <w:rPr>
                <w:rFonts w:ascii="Times New Roman" w:eastAsia="Times New Roman" w:hAnsi="Times New Roman" w:cs="Times New Roman"/>
                <w:sz w:val="18"/>
                <w:szCs w:val="18"/>
              </w:rPr>
              <w:t>․</w:t>
            </w:r>
          </w:p>
        </w:tc>
        <w:tc>
          <w:tcPr>
            <w:tcW w:w="942" w:type="dxa"/>
          </w:tcPr>
          <w:p w14:paraId="27BBA88E" w14:textId="77777777" w:rsidR="002D7DDD" w:rsidRPr="004167D9" w:rsidRDefault="002D7DDD" w:rsidP="008931FF">
            <w:pPr>
              <w:tabs>
                <w:tab w:val="left" w:pos="0"/>
              </w:tabs>
              <w:spacing w:before="0"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2027 թ</w:t>
            </w:r>
            <w:r w:rsidRPr="004167D9">
              <w:rPr>
                <w:rFonts w:ascii="Times New Roman" w:eastAsia="Times New Roman" w:hAnsi="Times New Roman" w:cs="Times New Roman"/>
                <w:sz w:val="18"/>
                <w:szCs w:val="18"/>
              </w:rPr>
              <w:t>․</w:t>
            </w:r>
          </w:p>
        </w:tc>
      </w:tr>
      <w:tr w:rsidR="002D7DDD" w:rsidRPr="004167D9" w14:paraId="316E3652"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vMerge/>
          </w:tcPr>
          <w:p w14:paraId="17EE4424" w14:textId="77777777" w:rsidR="002D7DDD" w:rsidRPr="004167D9" w:rsidRDefault="002D7DDD" w:rsidP="008931FF">
            <w:pPr>
              <w:tabs>
                <w:tab w:val="left" w:pos="0"/>
              </w:tabs>
              <w:spacing w:before="120" w:after="0" w:line="276" w:lineRule="auto"/>
              <w:ind w:firstLine="0"/>
              <w:rPr>
                <w:rFonts w:eastAsia="Times New Roman"/>
                <w:sz w:val="18"/>
                <w:szCs w:val="18"/>
              </w:rPr>
            </w:pPr>
          </w:p>
        </w:tc>
        <w:tc>
          <w:tcPr>
            <w:tcW w:w="792" w:type="dxa"/>
          </w:tcPr>
          <w:p w14:paraId="2AB8DBB1"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Փաստ</w:t>
            </w:r>
          </w:p>
        </w:tc>
        <w:tc>
          <w:tcPr>
            <w:tcW w:w="837" w:type="dxa"/>
          </w:tcPr>
          <w:p w14:paraId="10D0DB23"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Sylfaen"/>
                <w:bCs/>
                <w:i/>
                <w:sz w:val="18"/>
                <w:szCs w:val="18"/>
              </w:rPr>
            </w:pPr>
            <w:r w:rsidRPr="004167D9">
              <w:rPr>
                <w:rFonts w:eastAsia="Times New Roman"/>
                <w:sz w:val="18"/>
                <w:szCs w:val="18"/>
              </w:rPr>
              <w:t>2023 Հոկտ</w:t>
            </w:r>
            <w:r w:rsidRPr="004167D9">
              <w:rPr>
                <w:rFonts w:ascii="Cambria Math" w:eastAsia="Times New Roman" w:hAnsi="Cambria Math" w:cs="Cambria Math"/>
                <w:sz w:val="18"/>
                <w:szCs w:val="18"/>
              </w:rPr>
              <w:t>․</w:t>
            </w:r>
          </w:p>
        </w:tc>
        <w:tc>
          <w:tcPr>
            <w:tcW w:w="838" w:type="dxa"/>
          </w:tcPr>
          <w:p w14:paraId="37738C48"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Sylfaen"/>
                <w:bCs/>
                <w:i/>
                <w:sz w:val="18"/>
                <w:szCs w:val="18"/>
              </w:rPr>
            </w:pPr>
            <w:r w:rsidRPr="004167D9">
              <w:rPr>
                <w:rFonts w:eastAsia="Times New Roman"/>
                <w:sz w:val="18"/>
                <w:szCs w:val="18"/>
              </w:rPr>
              <w:t>2024 Հունվ</w:t>
            </w:r>
            <w:r w:rsidRPr="004167D9">
              <w:rPr>
                <w:rFonts w:ascii="Cambria Math" w:eastAsia="Times New Roman" w:hAnsi="Cambria Math" w:cs="Cambria Math"/>
                <w:sz w:val="18"/>
                <w:szCs w:val="18"/>
              </w:rPr>
              <w:t>․</w:t>
            </w:r>
          </w:p>
        </w:tc>
        <w:tc>
          <w:tcPr>
            <w:tcW w:w="837" w:type="dxa"/>
          </w:tcPr>
          <w:p w14:paraId="66D97355"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Sylfaen"/>
                <w:bCs/>
                <w:i/>
                <w:sz w:val="18"/>
                <w:szCs w:val="18"/>
              </w:rPr>
            </w:pPr>
            <w:r w:rsidRPr="004167D9">
              <w:rPr>
                <w:rFonts w:eastAsia="Times New Roman"/>
                <w:sz w:val="18"/>
                <w:szCs w:val="18"/>
              </w:rPr>
              <w:t>2024 Ապրիլ</w:t>
            </w:r>
          </w:p>
        </w:tc>
        <w:tc>
          <w:tcPr>
            <w:tcW w:w="838" w:type="dxa"/>
          </w:tcPr>
          <w:p w14:paraId="3F2A612A"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2023</w:t>
            </w:r>
          </w:p>
          <w:p w14:paraId="57DE679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Հոկտ.</w:t>
            </w:r>
          </w:p>
        </w:tc>
        <w:tc>
          <w:tcPr>
            <w:tcW w:w="837" w:type="dxa"/>
          </w:tcPr>
          <w:p w14:paraId="0A380151"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Sylfaen"/>
                <w:bCs/>
                <w:i/>
                <w:sz w:val="18"/>
                <w:szCs w:val="18"/>
              </w:rPr>
            </w:pPr>
            <w:r w:rsidRPr="004167D9">
              <w:rPr>
                <w:rFonts w:eastAsia="Times New Roman"/>
                <w:sz w:val="18"/>
                <w:szCs w:val="18"/>
              </w:rPr>
              <w:t>2024 Հունվ.</w:t>
            </w:r>
          </w:p>
        </w:tc>
        <w:tc>
          <w:tcPr>
            <w:tcW w:w="838" w:type="dxa"/>
          </w:tcPr>
          <w:p w14:paraId="21973986"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Sylfaen"/>
                <w:bCs/>
                <w:i/>
                <w:sz w:val="18"/>
                <w:szCs w:val="18"/>
              </w:rPr>
            </w:pPr>
            <w:r w:rsidRPr="004167D9">
              <w:rPr>
                <w:rFonts w:eastAsia="Times New Roman"/>
                <w:sz w:val="18"/>
                <w:szCs w:val="18"/>
              </w:rPr>
              <w:t>2024 Ապրիլ</w:t>
            </w:r>
          </w:p>
        </w:tc>
        <w:tc>
          <w:tcPr>
            <w:tcW w:w="837" w:type="dxa"/>
          </w:tcPr>
          <w:p w14:paraId="41868CE4"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2024 Ապրիլ</w:t>
            </w:r>
          </w:p>
        </w:tc>
        <w:tc>
          <w:tcPr>
            <w:tcW w:w="942" w:type="dxa"/>
          </w:tcPr>
          <w:p w14:paraId="61D7DE0B" w14:textId="77777777" w:rsidR="002D7DDD" w:rsidRPr="004167D9" w:rsidRDefault="002D7DDD" w:rsidP="008931FF">
            <w:pPr>
              <w:tabs>
                <w:tab w:val="left" w:pos="0"/>
              </w:tabs>
              <w:spacing w:before="12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4167D9">
              <w:rPr>
                <w:rFonts w:eastAsia="Times New Roman"/>
                <w:sz w:val="18"/>
                <w:szCs w:val="18"/>
              </w:rPr>
              <w:t>2024 Ապրիլ</w:t>
            </w:r>
          </w:p>
        </w:tc>
      </w:tr>
      <w:tr w:rsidR="002D7DDD" w:rsidRPr="004167D9" w14:paraId="6BB5E514"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6C26B7F6" w14:textId="77777777" w:rsidR="002D7DDD" w:rsidRPr="004167D9" w:rsidRDefault="002D7DDD" w:rsidP="008931FF">
            <w:pPr>
              <w:tabs>
                <w:tab w:val="left" w:pos="0"/>
              </w:tabs>
              <w:spacing w:before="0" w:after="0" w:line="240" w:lineRule="auto"/>
              <w:ind w:firstLine="0"/>
              <w:jc w:val="left"/>
              <w:rPr>
                <w:rFonts w:eastAsia="Times New Roman" w:cs="Sylfaen"/>
                <w:i/>
                <w:sz w:val="18"/>
                <w:szCs w:val="18"/>
              </w:rPr>
            </w:pPr>
            <w:r w:rsidRPr="004167D9">
              <w:rPr>
                <w:rFonts w:eastAsia="Calibri" w:cs="Times New Roman"/>
                <w:sz w:val="18"/>
                <w:szCs w:val="18"/>
              </w:rPr>
              <w:t>Աշխարհի տնտեսական աճ, %</w:t>
            </w:r>
          </w:p>
        </w:tc>
        <w:tc>
          <w:tcPr>
            <w:tcW w:w="792" w:type="dxa"/>
          </w:tcPr>
          <w:p w14:paraId="246C3FD8"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7" w:type="dxa"/>
          </w:tcPr>
          <w:p w14:paraId="67DA157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2.9</w:t>
            </w:r>
          </w:p>
        </w:tc>
        <w:tc>
          <w:tcPr>
            <w:tcW w:w="838" w:type="dxa"/>
          </w:tcPr>
          <w:p w14:paraId="3476417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3.1</w:t>
            </w:r>
          </w:p>
        </w:tc>
        <w:tc>
          <w:tcPr>
            <w:tcW w:w="837" w:type="dxa"/>
          </w:tcPr>
          <w:p w14:paraId="37BA0D6E"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8" w:type="dxa"/>
          </w:tcPr>
          <w:p w14:paraId="77A20C53"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7" w:type="dxa"/>
          </w:tcPr>
          <w:p w14:paraId="1EBFC46A"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8" w:type="dxa"/>
          </w:tcPr>
          <w:p w14:paraId="3DDEDE84"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7" w:type="dxa"/>
          </w:tcPr>
          <w:p w14:paraId="2A0B36C9"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942" w:type="dxa"/>
          </w:tcPr>
          <w:p w14:paraId="0B4185C7"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3.1</w:t>
            </w:r>
          </w:p>
        </w:tc>
      </w:tr>
      <w:tr w:rsidR="002D7DDD" w:rsidRPr="004167D9" w14:paraId="726C64F8"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3C221C8A" w14:textId="77777777" w:rsidR="002D7DDD" w:rsidRPr="004167D9" w:rsidRDefault="002D7DDD" w:rsidP="008931FF">
            <w:pPr>
              <w:tabs>
                <w:tab w:val="left" w:pos="0"/>
              </w:tabs>
              <w:spacing w:before="0" w:after="0" w:line="240" w:lineRule="auto"/>
              <w:ind w:firstLine="0"/>
              <w:rPr>
                <w:rFonts w:eastAsia="Times New Roman" w:cs="Sylfaen"/>
                <w:i/>
                <w:sz w:val="18"/>
                <w:szCs w:val="18"/>
              </w:rPr>
            </w:pPr>
            <w:r w:rsidRPr="004167D9">
              <w:rPr>
                <w:rFonts w:eastAsia="Calibri" w:cs="Times New Roman"/>
                <w:sz w:val="18"/>
                <w:szCs w:val="18"/>
              </w:rPr>
              <w:t>ՌԴ</w:t>
            </w:r>
          </w:p>
        </w:tc>
        <w:tc>
          <w:tcPr>
            <w:tcW w:w="792" w:type="dxa"/>
          </w:tcPr>
          <w:p w14:paraId="03AD9FBF"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3.6</w:t>
            </w:r>
          </w:p>
        </w:tc>
        <w:tc>
          <w:tcPr>
            <w:tcW w:w="837" w:type="dxa"/>
          </w:tcPr>
          <w:p w14:paraId="36D60C0C"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1.1</w:t>
            </w:r>
          </w:p>
        </w:tc>
        <w:tc>
          <w:tcPr>
            <w:tcW w:w="838" w:type="dxa"/>
          </w:tcPr>
          <w:p w14:paraId="4C9901E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2.6</w:t>
            </w:r>
          </w:p>
        </w:tc>
        <w:tc>
          <w:tcPr>
            <w:tcW w:w="837" w:type="dxa"/>
          </w:tcPr>
          <w:p w14:paraId="24EAB0B8"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3.2</w:t>
            </w:r>
          </w:p>
        </w:tc>
        <w:tc>
          <w:tcPr>
            <w:tcW w:w="838" w:type="dxa"/>
          </w:tcPr>
          <w:p w14:paraId="5A8A465A"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1.0</w:t>
            </w:r>
          </w:p>
        </w:tc>
        <w:tc>
          <w:tcPr>
            <w:tcW w:w="837" w:type="dxa"/>
          </w:tcPr>
          <w:p w14:paraId="05B9DDCA"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1.1</w:t>
            </w:r>
          </w:p>
        </w:tc>
        <w:tc>
          <w:tcPr>
            <w:tcW w:w="838" w:type="dxa"/>
          </w:tcPr>
          <w:p w14:paraId="467E41DC"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1.8</w:t>
            </w:r>
          </w:p>
        </w:tc>
        <w:tc>
          <w:tcPr>
            <w:tcW w:w="837" w:type="dxa"/>
          </w:tcPr>
          <w:p w14:paraId="74B16697"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1.3</w:t>
            </w:r>
          </w:p>
        </w:tc>
        <w:tc>
          <w:tcPr>
            <w:tcW w:w="942" w:type="dxa"/>
          </w:tcPr>
          <w:p w14:paraId="54B9AE9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1.3</w:t>
            </w:r>
          </w:p>
        </w:tc>
      </w:tr>
      <w:tr w:rsidR="002D7DDD" w:rsidRPr="004167D9" w14:paraId="5E45346C"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436A772E" w14:textId="77777777" w:rsidR="002D7DDD" w:rsidRPr="004167D9" w:rsidRDefault="002D7DDD" w:rsidP="008931FF">
            <w:pPr>
              <w:tabs>
                <w:tab w:val="left" w:pos="0"/>
              </w:tabs>
              <w:spacing w:before="0" w:after="0" w:line="240" w:lineRule="auto"/>
              <w:ind w:firstLine="0"/>
              <w:rPr>
                <w:rFonts w:eastAsia="Times New Roman" w:cs="Sylfaen"/>
                <w:i/>
                <w:sz w:val="18"/>
                <w:szCs w:val="18"/>
              </w:rPr>
            </w:pPr>
            <w:r w:rsidRPr="004167D9">
              <w:rPr>
                <w:rFonts w:eastAsia="Calibri" w:cs="Times New Roman"/>
                <w:sz w:val="18"/>
                <w:szCs w:val="18"/>
              </w:rPr>
              <w:t>Եվրագոտի</w:t>
            </w:r>
          </w:p>
        </w:tc>
        <w:tc>
          <w:tcPr>
            <w:tcW w:w="792" w:type="dxa"/>
          </w:tcPr>
          <w:p w14:paraId="666AE79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0.4</w:t>
            </w:r>
          </w:p>
        </w:tc>
        <w:tc>
          <w:tcPr>
            <w:tcW w:w="837" w:type="dxa"/>
          </w:tcPr>
          <w:p w14:paraId="2E4286EF"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1.2</w:t>
            </w:r>
          </w:p>
        </w:tc>
        <w:tc>
          <w:tcPr>
            <w:tcW w:w="838" w:type="dxa"/>
          </w:tcPr>
          <w:p w14:paraId="493F4FD2"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0.9</w:t>
            </w:r>
          </w:p>
        </w:tc>
        <w:tc>
          <w:tcPr>
            <w:tcW w:w="837" w:type="dxa"/>
          </w:tcPr>
          <w:p w14:paraId="1CE612B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0.8</w:t>
            </w:r>
          </w:p>
        </w:tc>
        <w:tc>
          <w:tcPr>
            <w:tcW w:w="838" w:type="dxa"/>
          </w:tcPr>
          <w:p w14:paraId="4167DD4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1.8</w:t>
            </w:r>
          </w:p>
        </w:tc>
        <w:tc>
          <w:tcPr>
            <w:tcW w:w="837" w:type="dxa"/>
          </w:tcPr>
          <w:p w14:paraId="489FCEFE"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1.7</w:t>
            </w:r>
          </w:p>
        </w:tc>
        <w:tc>
          <w:tcPr>
            <w:tcW w:w="838" w:type="dxa"/>
          </w:tcPr>
          <w:p w14:paraId="35D4D1F2"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1.5</w:t>
            </w:r>
          </w:p>
        </w:tc>
        <w:tc>
          <w:tcPr>
            <w:tcW w:w="837" w:type="dxa"/>
          </w:tcPr>
          <w:p w14:paraId="40870B6D"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1.4</w:t>
            </w:r>
          </w:p>
        </w:tc>
        <w:tc>
          <w:tcPr>
            <w:tcW w:w="942" w:type="dxa"/>
          </w:tcPr>
          <w:p w14:paraId="17CE3EA0"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1.3</w:t>
            </w:r>
          </w:p>
        </w:tc>
      </w:tr>
      <w:tr w:rsidR="002D7DDD" w:rsidRPr="004167D9" w14:paraId="2CFBA54D"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1FF90B32" w14:textId="77777777" w:rsidR="002D7DDD" w:rsidRPr="004167D9" w:rsidRDefault="002D7DDD" w:rsidP="008931FF">
            <w:pPr>
              <w:tabs>
                <w:tab w:val="left" w:pos="0"/>
              </w:tabs>
              <w:spacing w:before="0" w:after="0" w:line="240" w:lineRule="auto"/>
              <w:ind w:firstLine="0"/>
              <w:rPr>
                <w:rFonts w:eastAsia="Times New Roman" w:cs="Sylfaen"/>
                <w:i/>
                <w:sz w:val="18"/>
                <w:szCs w:val="18"/>
              </w:rPr>
            </w:pPr>
            <w:r w:rsidRPr="004167D9">
              <w:rPr>
                <w:rFonts w:eastAsia="Calibri" w:cs="Times New Roman"/>
                <w:sz w:val="18"/>
                <w:szCs w:val="18"/>
              </w:rPr>
              <w:t>Չինաստան</w:t>
            </w:r>
          </w:p>
        </w:tc>
        <w:tc>
          <w:tcPr>
            <w:tcW w:w="792" w:type="dxa"/>
          </w:tcPr>
          <w:p w14:paraId="302F4F9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5.2</w:t>
            </w:r>
          </w:p>
        </w:tc>
        <w:tc>
          <w:tcPr>
            <w:tcW w:w="837" w:type="dxa"/>
          </w:tcPr>
          <w:p w14:paraId="220CFFD7"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4.2</w:t>
            </w:r>
          </w:p>
        </w:tc>
        <w:tc>
          <w:tcPr>
            <w:tcW w:w="838" w:type="dxa"/>
          </w:tcPr>
          <w:p w14:paraId="67BFA67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4.6</w:t>
            </w:r>
          </w:p>
        </w:tc>
        <w:tc>
          <w:tcPr>
            <w:tcW w:w="837" w:type="dxa"/>
          </w:tcPr>
          <w:p w14:paraId="3E62B28C"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4.6</w:t>
            </w:r>
          </w:p>
        </w:tc>
        <w:tc>
          <w:tcPr>
            <w:tcW w:w="838" w:type="dxa"/>
          </w:tcPr>
          <w:p w14:paraId="6B6873F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4.1</w:t>
            </w:r>
          </w:p>
        </w:tc>
        <w:tc>
          <w:tcPr>
            <w:tcW w:w="837" w:type="dxa"/>
          </w:tcPr>
          <w:p w14:paraId="21365D32"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4.1</w:t>
            </w:r>
          </w:p>
        </w:tc>
        <w:tc>
          <w:tcPr>
            <w:tcW w:w="838" w:type="dxa"/>
          </w:tcPr>
          <w:p w14:paraId="3DA2082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4.1</w:t>
            </w:r>
          </w:p>
        </w:tc>
        <w:tc>
          <w:tcPr>
            <w:tcW w:w="837" w:type="dxa"/>
          </w:tcPr>
          <w:p w14:paraId="0C1E9FFA"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3.8</w:t>
            </w:r>
          </w:p>
        </w:tc>
        <w:tc>
          <w:tcPr>
            <w:tcW w:w="942" w:type="dxa"/>
          </w:tcPr>
          <w:p w14:paraId="0DEBDFF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3.6</w:t>
            </w:r>
          </w:p>
        </w:tc>
      </w:tr>
      <w:tr w:rsidR="002D7DDD" w:rsidRPr="004167D9" w14:paraId="686C73BB"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4D015902" w14:textId="77777777" w:rsidR="002D7DDD" w:rsidRPr="004167D9" w:rsidRDefault="002D7DDD" w:rsidP="008931FF">
            <w:pPr>
              <w:tabs>
                <w:tab w:val="left" w:pos="0"/>
              </w:tabs>
              <w:spacing w:before="0" w:after="0" w:line="240" w:lineRule="auto"/>
              <w:ind w:firstLine="0"/>
              <w:rPr>
                <w:rFonts w:eastAsia="Times New Roman" w:cs="Sylfaen"/>
                <w:i/>
                <w:sz w:val="18"/>
                <w:szCs w:val="18"/>
              </w:rPr>
            </w:pPr>
            <w:r w:rsidRPr="004167D9">
              <w:rPr>
                <w:rFonts w:eastAsia="Calibri" w:cs="Times New Roman"/>
                <w:sz w:val="18"/>
                <w:szCs w:val="18"/>
              </w:rPr>
              <w:t>ԱՄՆ</w:t>
            </w:r>
          </w:p>
        </w:tc>
        <w:tc>
          <w:tcPr>
            <w:tcW w:w="792" w:type="dxa"/>
          </w:tcPr>
          <w:p w14:paraId="47C079FE"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2.5</w:t>
            </w:r>
          </w:p>
        </w:tc>
        <w:tc>
          <w:tcPr>
            <w:tcW w:w="837" w:type="dxa"/>
          </w:tcPr>
          <w:p w14:paraId="3E14DE10"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1.5</w:t>
            </w:r>
          </w:p>
        </w:tc>
        <w:tc>
          <w:tcPr>
            <w:tcW w:w="838" w:type="dxa"/>
          </w:tcPr>
          <w:p w14:paraId="4197EF05"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2.1</w:t>
            </w:r>
          </w:p>
        </w:tc>
        <w:tc>
          <w:tcPr>
            <w:tcW w:w="837" w:type="dxa"/>
          </w:tcPr>
          <w:p w14:paraId="7CB9592C"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2.7</w:t>
            </w:r>
          </w:p>
        </w:tc>
        <w:tc>
          <w:tcPr>
            <w:tcW w:w="838" w:type="dxa"/>
          </w:tcPr>
          <w:p w14:paraId="6D9EDC53"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1.8</w:t>
            </w:r>
          </w:p>
        </w:tc>
        <w:tc>
          <w:tcPr>
            <w:tcW w:w="837" w:type="dxa"/>
          </w:tcPr>
          <w:p w14:paraId="0277595D"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1.7</w:t>
            </w:r>
          </w:p>
        </w:tc>
        <w:tc>
          <w:tcPr>
            <w:tcW w:w="838" w:type="dxa"/>
          </w:tcPr>
          <w:p w14:paraId="37ABE5F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1.9</w:t>
            </w:r>
          </w:p>
        </w:tc>
        <w:tc>
          <w:tcPr>
            <w:tcW w:w="837" w:type="dxa"/>
          </w:tcPr>
          <w:p w14:paraId="58A29391"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2.0</w:t>
            </w:r>
          </w:p>
        </w:tc>
        <w:tc>
          <w:tcPr>
            <w:tcW w:w="942" w:type="dxa"/>
          </w:tcPr>
          <w:p w14:paraId="70041A28"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2.1</w:t>
            </w:r>
          </w:p>
        </w:tc>
      </w:tr>
      <w:tr w:rsidR="002D7DDD" w:rsidRPr="004167D9" w14:paraId="51036039" w14:textId="77777777" w:rsidTr="00857518">
        <w:trPr>
          <w:trHeight w:val="19"/>
        </w:trPr>
        <w:tc>
          <w:tcPr>
            <w:cnfStyle w:val="001000000000" w:firstRow="0" w:lastRow="0" w:firstColumn="1" w:lastColumn="0" w:oddVBand="0" w:evenVBand="0" w:oddHBand="0" w:evenHBand="0" w:firstRowFirstColumn="0" w:firstRowLastColumn="0" w:lastRowFirstColumn="0" w:lastRowLastColumn="0"/>
            <w:tcW w:w="2274" w:type="dxa"/>
          </w:tcPr>
          <w:p w14:paraId="23A0A8DF" w14:textId="77777777" w:rsidR="002D7DDD" w:rsidRPr="004167D9" w:rsidRDefault="002D7DDD" w:rsidP="008931FF">
            <w:pPr>
              <w:tabs>
                <w:tab w:val="left" w:pos="0"/>
              </w:tabs>
              <w:spacing w:before="0" w:after="0" w:line="240" w:lineRule="auto"/>
              <w:ind w:firstLine="0"/>
              <w:rPr>
                <w:rFonts w:eastAsia="Times New Roman" w:cs="Sylfaen"/>
                <w:i/>
                <w:sz w:val="18"/>
                <w:szCs w:val="18"/>
              </w:rPr>
            </w:pPr>
            <w:r w:rsidRPr="004167D9">
              <w:rPr>
                <w:rFonts w:eastAsia="Calibri" w:cs="Times New Roman"/>
                <w:sz w:val="18"/>
                <w:szCs w:val="18"/>
              </w:rPr>
              <w:t>Համաշխարհային առևտրի աճ, %</w:t>
            </w:r>
          </w:p>
        </w:tc>
        <w:tc>
          <w:tcPr>
            <w:tcW w:w="792" w:type="dxa"/>
          </w:tcPr>
          <w:p w14:paraId="657B47FA"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0.3</w:t>
            </w:r>
          </w:p>
        </w:tc>
        <w:tc>
          <w:tcPr>
            <w:tcW w:w="837" w:type="dxa"/>
          </w:tcPr>
          <w:p w14:paraId="4585414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3.5</w:t>
            </w:r>
          </w:p>
        </w:tc>
        <w:tc>
          <w:tcPr>
            <w:tcW w:w="838" w:type="dxa"/>
          </w:tcPr>
          <w:p w14:paraId="2425F326"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3.3</w:t>
            </w:r>
          </w:p>
        </w:tc>
        <w:tc>
          <w:tcPr>
            <w:tcW w:w="837" w:type="dxa"/>
          </w:tcPr>
          <w:p w14:paraId="5EEDAEAD"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3.0</w:t>
            </w:r>
          </w:p>
        </w:tc>
        <w:tc>
          <w:tcPr>
            <w:tcW w:w="838" w:type="dxa"/>
          </w:tcPr>
          <w:p w14:paraId="5F5313B0"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3.7</w:t>
            </w:r>
          </w:p>
        </w:tc>
        <w:tc>
          <w:tcPr>
            <w:tcW w:w="837" w:type="dxa"/>
          </w:tcPr>
          <w:p w14:paraId="112735E9"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3.6</w:t>
            </w:r>
          </w:p>
        </w:tc>
        <w:tc>
          <w:tcPr>
            <w:tcW w:w="838" w:type="dxa"/>
          </w:tcPr>
          <w:p w14:paraId="284BDF7F"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3.3</w:t>
            </w:r>
          </w:p>
        </w:tc>
        <w:tc>
          <w:tcPr>
            <w:tcW w:w="837" w:type="dxa"/>
          </w:tcPr>
          <w:p w14:paraId="01C9D94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3.5</w:t>
            </w:r>
          </w:p>
        </w:tc>
        <w:tc>
          <w:tcPr>
            <w:tcW w:w="942" w:type="dxa"/>
          </w:tcPr>
          <w:p w14:paraId="37A1B0AB" w14:textId="77777777" w:rsidR="002D7DDD" w:rsidRPr="004167D9" w:rsidRDefault="002D7DDD" w:rsidP="008931FF">
            <w:pPr>
              <w:tabs>
                <w:tab w:val="left" w:pos="0"/>
              </w:tabs>
              <w:spacing w:before="0" w:after="0"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167D9">
              <w:rPr>
                <w:rFonts w:eastAsia="Calibri"/>
                <w:sz w:val="18"/>
                <w:szCs w:val="18"/>
              </w:rPr>
              <w:t>3.4</w:t>
            </w:r>
          </w:p>
        </w:tc>
      </w:tr>
    </w:tbl>
    <w:p w14:paraId="098F3BDC" w14:textId="77777777" w:rsidR="002D7DDD" w:rsidRPr="004167D9" w:rsidRDefault="002D7DDD" w:rsidP="002D7DDD">
      <w:pPr>
        <w:tabs>
          <w:tab w:val="left" w:pos="0"/>
        </w:tabs>
        <w:spacing w:before="120" w:after="0" w:line="276" w:lineRule="auto"/>
        <w:ind w:firstLine="0"/>
        <w:rPr>
          <w:rFonts w:eastAsia="Times New Roman" w:cs="Sylfaen"/>
          <w:i/>
          <w:sz w:val="16"/>
          <w:szCs w:val="16"/>
          <w:lang w:val="hy-AM"/>
        </w:rPr>
      </w:pPr>
      <w:r w:rsidRPr="004167D9">
        <w:rPr>
          <w:rFonts w:eastAsia="Times New Roman" w:cs="Sylfaen"/>
          <w:i/>
          <w:sz w:val="16"/>
          <w:szCs w:val="16"/>
        </w:rPr>
        <w:t xml:space="preserve">Աղբյուրը` </w:t>
      </w:r>
      <w:r w:rsidRPr="004167D9">
        <w:rPr>
          <w:rFonts w:eastAsia="Times New Roman" w:cs="Sylfaen"/>
          <w:i/>
          <w:sz w:val="16"/>
          <w:szCs w:val="16"/>
          <w:lang w:val="hy-AM"/>
        </w:rPr>
        <w:t>ԱՄՀ «</w:t>
      </w:r>
      <w:r w:rsidRPr="004167D9">
        <w:rPr>
          <w:rFonts w:eastAsia="Times New Roman" w:cs="Sylfaen"/>
          <w:i/>
          <w:sz w:val="16"/>
          <w:szCs w:val="16"/>
        </w:rPr>
        <w:t>World Economic Outlook</w:t>
      </w:r>
      <w:r w:rsidRPr="004167D9">
        <w:rPr>
          <w:rFonts w:eastAsia="Times New Roman" w:cs="Sylfaen"/>
          <w:i/>
          <w:sz w:val="16"/>
          <w:szCs w:val="16"/>
          <w:lang w:val="hy-AM"/>
        </w:rPr>
        <w:t>»</w:t>
      </w:r>
    </w:p>
    <w:p w14:paraId="56F80F88" w14:textId="77777777" w:rsidR="002D7DDD" w:rsidRPr="004167D9" w:rsidRDefault="002D7DDD" w:rsidP="002D7DDD">
      <w:pPr>
        <w:tabs>
          <w:tab w:val="left" w:pos="0"/>
        </w:tabs>
        <w:spacing w:before="120" w:after="0" w:line="276" w:lineRule="auto"/>
        <w:ind w:firstLine="0"/>
        <w:rPr>
          <w:rFonts w:eastAsia="Times New Roman" w:cs="Sylfaen"/>
          <w:i/>
          <w:sz w:val="16"/>
          <w:szCs w:val="16"/>
          <w:lang w:val="hy-AM"/>
        </w:rPr>
      </w:pPr>
    </w:p>
    <w:p w14:paraId="0578BF7C" w14:textId="77777777" w:rsidR="002D7DDD" w:rsidRPr="004167D9" w:rsidRDefault="002D7DDD" w:rsidP="00D25024">
      <w:pPr>
        <w:tabs>
          <w:tab w:val="left" w:pos="0"/>
        </w:tabs>
        <w:spacing w:before="0" w:after="0" w:line="276" w:lineRule="auto"/>
        <w:ind w:firstLine="0"/>
        <w:rPr>
          <w:rFonts w:eastAsia="Calibri" w:cs="Times New Roman"/>
          <w:color w:val="000000"/>
          <w:lang w:val="hy-AM"/>
        </w:rPr>
      </w:pPr>
      <w:r w:rsidRPr="004167D9">
        <w:rPr>
          <w:rFonts w:eastAsia="Calibri" w:cs="Times New Roman"/>
          <w:b/>
          <w:color w:val="000000"/>
          <w:lang w:val="hy-AM"/>
        </w:rPr>
        <w:t xml:space="preserve">Համաշխարհային տնտեսության զարգացման թույլ տեմպերը, Չինաստանի տնտեսության աճի հեռանկարի հետ կապված անորոշությունները, դրամավարկային քաղաքականությունների խիստ պայմանների պահպանումը, շարունակվող </w:t>
      </w:r>
      <w:r w:rsidRPr="004167D9">
        <w:rPr>
          <w:rFonts w:eastAsia="Calibri" w:cs="Times New Roman"/>
          <w:b/>
          <w:color w:val="000000"/>
          <w:lang w:val="hy-AM"/>
        </w:rPr>
        <w:lastRenderedPageBreak/>
        <w:t xml:space="preserve">աշխարհաքաղաքական առճակատումները և դրանցից բխող մատակարարման շղթաների խաթարումները ճնշումներ են գործադրել հումքային և պարենային ապրանքների միջազգային գների վրա։ Կանխատեսվող հորիզոնում նավթի միջազգային գինը նվազման միտում ունի, մինչդեռ պղնձի միջազգային գինը՝ աճի։ </w:t>
      </w:r>
      <w:r w:rsidRPr="004167D9">
        <w:rPr>
          <w:rFonts w:eastAsia="Calibri" w:cs="Times New Roman"/>
          <w:color w:val="000000"/>
          <w:lang w:val="hy-AM"/>
        </w:rPr>
        <w:t>2023 թվականին պղնձի տարեկան միջին գինը նախորդ տարվա նկատմամբ նվազել է 3.8%-ով, ինչին նպաստել են Չինաստանի անշարժ գույքի շուկայում ծագած խնդիրները, որոնք առավելապես դրսևորվել են երրորդ եռամսյակում: Նավթի միջազգային գինը 2023 թվականին կազմել է 83 ԱՄՆ դոլար մեկ բարելի դիմաց՝ նվազելով 17.2%-ով, իսկ պարենային ապրանքների միջազգային գինը նախորդ տարվա նկատմամբ նվազել է 13.8%-ով։</w:t>
      </w:r>
    </w:p>
    <w:p w14:paraId="04569AD1" w14:textId="77777777" w:rsidR="002D7DDD" w:rsidRPr="004167D9" w:rsidRDefault="002D7DDD" w:rsidP="00D25024">
      <w:pPr>
        <w:tabs>
          <w:tab w:val="left" w:pos="0"/>
        </w:tabs>
        <w:spacing w:before="0" w:line="276" w:lineRule="auto"/>
        <w:ind w:firstLine="0"/>
        <w:rPr>
          <w:rFonts w:eastAsia="Calibri" w:cs="Times New Roman"/>
          <w:color w:val="000000"/>
          <w:lang w:val="hy-AM"/>
        </w:rPr>
      </w:pPr>
      <w:r w:rsidRPr="004167D9">
        <w:rPr>
          <w:rFonts w:eastAsia="Calibri" w:cs="Times New Roman"/>
          <w:color w:val="000000"/>
          <w:lang w:val="hy-AM"/>
        </w:rPr>
        <w:t xml:space="preserve">2024 թվականի հունվար-մայիս </w:t>
      </w:r>
      <w:r>
        <w:rPr>
          <w:rFonts w:eastAsia="Calibri" w:cs="Times New Roman"/>
          <w:color w:val="000000"/>
          <w:lang w:val="hy-AM"/>
        </w:rPr>
        <w:t>ամ</w:t>
      </w:r>
      <w:r w:rsidRPr="004167D9">
        <w:rPr>
          <w:rFonts w:eastAsia="Calibri" w:cs="Times New Roman"/>
          <w:color w:val="000000"/>
          <w:lang w:val="hy-AM"/>
        </w:rPr>
        <w:t>ի</w:t>
      </w:r>
      <w:r>
        <w:rPr>
          <w:rFonts w:eastAsia="Calibri" w:cs="Times New Roman"/>
          <w:color w:val="000000"/>
          <w:lang w:val="hy-AM"/>
        </w:rPr>
        <w:t>ս</w:t>
      </w:r>
      <w:r w:rsidRPr="004167D9">
        <w:rPr>
          <w:rFonts w:eastAsia="Calibri" w:cs="Times New Roman"/>
          <w:color w:val="000000"/>
          <w:lang w:val="hy-AM"/>
        </w:rPr>
        <w:t xml:space="preserve">ներին հումքային և պարենային ապրանքների գները որոշակի կայունացման միտում են դրսևորել, սակայն վերջին երկու ամիսներին առկա է նաև գների աճի միտում։ Ընթացիկ տարվա հունվար-մայիս ամիսներին նախորդ տարվա նույն ժամանակահատվածի նկատմամբ պղնձի միջազգային գինն աճել է 2.5%-ով` պայմանավորված մետաղի </w:t>
      </w:r>
      <w:r w:rsidRPr="004167D9">
        <w:rPr>
          <w:rFonts w:eastAsia="Calibri" w:cs="Times New Roman"/>
          <w:lang w:val="hy-AM"/>
        </w:rPr>
        <w:t xml:space="preserve">նկատմամբ Չինաստանի պահանջարկի վերականգնմամբ։ Նավթի միջազգային գինն աճել է 4.3%-ով, ինչը, հիմնականում, պայմանավորված </w:t>
      </w:r>
      <w:r w:rsidRPr="004167D9">
        <w:rPr>
          <w:rFonts w:eastAsia="Calibri" w:cs="Times New Roman"/>
          <w:color w:val="000000"/>
          <w:lang w:val="hy-AM"/>
        </w:rPr>
        <w:t>է ՕՊԵԿ+ -ի կողմից հայտարարված նավթի արտադրության և արտահանման լրացուցիչ կրճատման երկարաձգմամբ, համաշխարհային տնտեսության վերականգնման ազդակներով։ Մինչդեռ, պարենի միջազգային գները նվազել են՝ 7.8%-ով՝ պայմանավորված որոշ ապրանքների (կաթնամթերք, հացահատիկ, բուսական յուղեր և շաքարավազ) միջազգային գների նվազմամբ, ինչպես նաև դրամավարկային քաղաքականության բարձր տոկոսադրույքներով:</w:t>
      </w:r>
    </w:p>
    <w:p w14:paraId="097E0232" w14:textId="77777777" w:rsidR="002D7DDD" w:rsidRPr="00B27362" w:rsidRDefault="002D7DDD" w:rsidP="002D7DDD">
      <w:pPr>
        <w:tabs>
          <w:tab w:val="left" w:pos="0"/>
        </w:tabs>
        <w:spacing w:before="0" w:after="0" w:line="276" w:lineRule="auto"/>
        <w:ind w:firstLine="0"/>
        <w:contextualSpacing/>
        <w:rPr>
          <w:rFonts w:eastAsia="Calibri" w:cs="Times New Roman"/>
          <w:b/>
          <w:color w:val="000000"/>
          <w:lang w:val="hy-AM"/>
        </w:rPr>
      </w:pPr>
      <w:r w:rsidRPr="004167D9">
        <w:rPr>
          <w:rFonts w:eastAsia="Calibri" w:cs="Times New Roman"/>
          <w:b/>
          <w:color w:val="000000"/>
          <w:lang w:val="hy-AM"/>
        </w:rPr>
        <w:t>Միջազգային տնտեսական և ֆինանսական զարգացումները և կանխատեսումները</w:t>
      </w:r>
    </w:p>
    <w:tbl>
      <w:tblPr>
        <w:tblStyle w:val="TableGrid221421"/>
        <w:tblW w:w="9915" w:type="dxa"/>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ayout w:type="fixed"/>
        <w:tblLook w:val="04A0" w:firstRow="1" w:lastRow="0" w:firstColumn="1" w:lastColumn="0" w:noHBand="0" w:noVBand="1"/>
      </w:tblPr>
      <w:tblGrid>
        <w:gridCol w:w="5052"/>
        <w:gridCol w:w="4863"/>
      </w:tblGrid>
      <w:tr w:rsidR="002D7DDD" w:rsidRPr="004167D9" w14:paraId="4A52F78C" w14:textId="77777777" w:rsidTr="008931FF">
        <w:trPr>
          <w:trHeight w:val="3504"/>
        </w:trPr>
        <w:tc>
          <w:tcPr>
            <w:tcW w:w="5052" w:type="dxa"/>
            <w:tcBorders>
              <w:top w:val="single" w:sz="6" w:space="0" w:color="4F81BD"/>
              <w:left w:val="single" w:sz="6" w:space="0" w:color="4F81BD"/>
              <w:bottom w:val="single" w:sz="6" w:space="0" w:color="4F81BD"/>
              <w:right w:val="single" w:sz="6" w:space="0" w:color="4F81BD"/>
            </w:tcBorders>
            <w:hideMark/>
          </w:tcPr>
          <w:p w14:paraId="4226E978" w14:textId="77777777" w:rsidR="002D7DDD" w:rsidRPr="004167D9" w:rsidRDefault="002D7DDD" w:rsidP="008931FF">
            <w:pPr>
              <w:tabs>
                <w:tab w:val="left" w:pos="0"/>
              </w:tabs>
              <w:spacing w:before="120" w:after="0" w:line="276" w:lineRule="auto"/>
              <w:ind w:firstLine="0"/>
              <w:contextualSpacing/>
              <w:rPr>
                <w:b/>
                <w:bCs/>
                <w:i/>
                <w:szCs w:val="24"/>
                <w:lang w:val="hy-AM" w:eastAsia="ru-RU"/>
              </w:rPr>
            </w:pPr>
            <w:r w:rsidRPr="004167D9">
              <w:rPr>
                <w:b/>
                <w:i/>
                <w:noProof/>
                <w:sz w:val="18"/>
                <w:szCs w:val="18"/>
              </w:rPr>
              <w:drawing>
                <wp:anchor distT="0" distB="0" distL="114300" distR="114300" simplePos="0" relativeHeight="251712512" behindDoc="1" locked="0" layoutInCell="1" allowOverlap="1" wp14:anchorId="08B1D0A0" wp14:editId="289D4A91">
                  <wp:simplePos x="0" y="0"/>
                  <wp:positionH relativeFrom="column">
                    <wp:posOffset>-1905</wp:posOffset>
                  </wp:positionH>
                  <wp:positionV relativeFrom="paragraph">
                    <wp:posOffset>340995</wp:posOffset>
                  </wp:positionV>
                  <wp:extent cx="2789555" cy="1741805"/>
                  <wp:effectExtent l="0" t="0" r="10795" b="10795"/>
                  <wp:wrapTight wrapText="bothSides">
                    <wp:wrapPolygon edited="0">
                      <wp:start x="0" y="0"/>
                      <wp:lineTo x="0" y="21498"/>
                      <wp:lineTo x="21536" y="21498"/>
                      <wp:lineTo x="21536" y="0"/>
                      <wp:lineTo x="0" y="0"/>
                    </wp:wrapPolygon>
                  </wp:wrapTight>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r w:rsidRPr="004167D9">
              <w:rPr>
                <w:b/>
                <w:bCs/>
                <w:i/>
                <w:sz w:val="18"/>
                <w:szCs w:val="18"/>
                <w:lang w:val="hy-AM" w:eastAsia="ru-RU"/>
              </w:rPr>
              <w:t xml:space="preserve">Գծապատկեր 1.1. </w:t>
            </w:r>
            <w:r w:rsidRPr="004167D9">
              <w:rPr>
                <w:bCs/>
                <w:i/>
                <w:sz w:val="18"/>
                <w:szCs w:val="18"/>
                <w:lang w:val="hy-AM" w:eastAsia="ru-RU"/>
              </w:rPr>
              <w:t>Համաշխարհային և գործընկեր երկրների տնտեսական աճերը (%)</w:t>
            </w:r>
          </w:p>
          <w:p w14:paraId="69D76800" w14:textId="77777777" w:rsidR="002D7DDD" w:rsidRPr="004167D9" w:rsidRDefault="002D7DDD" w:rsidP="008931FF">
            <w:pPr>
              <w:tabs>
                <w:tab w:val="left" w:pos="0"/>
              </w:tabs>
              <w:spacing w:before="120" w:after="0" w:line="276" w:lineRule="auto"/>
              <w:ind w:firstLine="0"/>
              <w:contextualSpacing/>
              <w:rPr>
                <w:bCs/>
                <w:i/>
                <w:szCs w:val="24"/>
                <w:lang w:val="hy-AM" w:eastAsia="ru-RU"/>
              </w:rPr>
            </w:pPr>
            <w:r w:rsidRPr="004167D9">
              <w:rPr>
                <w:i/>
                <w:sz w:val="16"/>
                <w:szCs w:val="16"/>
                <w:lang w:val="hy-AM" w:eastAsia="ru-RU"/>
              </w:rPr>
              <w:t>Աղբյուրը՝ ԱՄՀ</w:t>
            </w:r>
          </w:p>
        </w:tc>
        <w:tc>
          <w:tcPr>
            <w:tcW w:w="4863" w:type="dxa"/>
            <w:tcBorders>
              <w:top w:val="single" w:sz="6" w:space="0" w:color="4F81BD"/>
              <w:left w:val="single" w:sz="6" w:space="0" w:color="4F81BD"/>
              <w:bottom w:val="single" w:sz="6" w:space="0" w:color="4F81BD"/>
              <w:right w:val="single" w:sz="6" w:space="0" w:color="4F81BD"/>
            </w:tcBorders>
            <w:hideMark/>
          </w:tcPr>
          <w:p w14:paraId="07BDA5D0" w14:textId="77777777" w:rsidR="002D7DDD" w:rsidRPr="004167D9" w:rsidRDefault="002D7DDD" w:rsidP="008931FF">
            <w:pPr>
              <w:tabs>
                <w:tab w:val="left" w:pos="0"/>
              </w:tabs>
              <w:spacing w:before="120" w:after="0" w:line="276" w:lineRule="auto"/>
              <w:ind w:firstLine="0"/>
              <w:contextualSpacing/>
              <w:rPr>
                <w:b/>
                <w:bCs/>
                <w:i/>
                <w:sz w:val="18"/>
                <w:szCs w:val="18"/>
                <w:lang w:val="hy-AM" w:eastAsia="ru-RU"/>
              </w:rPr>
            </w:pPr>
            <w:r w:rsidRPr="004167D9">
              <w:rPr>
                <w:b/>
                <w:bCs/>
                <w:i/>
                <w:sz w:val="18"/>
                <w:szCs w:val="18"/>
                <w:lang w:val="hy-AM" w:eastAsia="ru-RU"/>
              </w:rPr>
              <w:t xml:space="preserve">Գծապատկեր 1.2. </w:t>
            </w:r>
            <w:r w:rsidRPr="004167D9">
              <w:rPr>
                <w:bCs/>
                <w:i/>
                <w:sz w:val="18"/>
                <w:szCs w:val="18"/>
                <w:lang w:val="hy-AM" w:eastAsia="ru-RU"/>
              </w:rPr>
              <w:t>Հումքային ապրանքների գները (ԱՄՆ դոլար)</w:t>
            </w:r>
          </w:p>
          <w:p w14:paraId="118EDFED" w14:textId="77777777" w:rsidR="002D7DDD" w:rsidRPr="004167D9" w:rsidRDefault="002D7DDD" w:rsidP="008931FF">
            <w:pPr>
              <w:tabs>
                <w:tab w:val="left" w:pos="0"/>
              </w:tabs>
              <w:spacing w:before="120" w:after="0" w:line="276" w:lineRule="auto"/>
              <w:ind w:firstLine="0"/>
              <w:contextualSpacing/>
              <w:rPr>
                <w:b/>
                <w:bCs/>
                <w:i/>
                <w:sz w:val="18"/>
                <w:szCs w:val="18"/>
                <w:lang w:val="hy-AM" w:eastAsia="ru-RU"/>
              </w:rPr>
            </w:pPr>
            <w:r w:rsidRPr="004167D9">
              <w:rPr>
                <w:b/>
                <w:noProof/>
              </w:rPr>
              <w:drawing>
                <wp:inline distT="0" distB="0" distL="0" distR="0" wp14:anchorId="3542583F" wp14:editId="4D402BDF">
                  <wp:extent cx="2876550" cy="1800000"/>
                  <wp:effectExtent l="0" t="0" r="0" b="1016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13145E4" w14:textId="77777777" w:rsidR="002D7DDD" w:rsidRPr="004167D9" w:rsidRDefault="002D7DDD" w:rsidP="008931FF">
            <w:pPr>
              <w:tabs>
                <w:tab w:val="left" w:pos="0"/>
              </w:tabs>
              <w:spacing w:before="120" w:after="0" w:line="276" w:lineRule="auto"/>
              <w:ind w:firstLine="0"/>
              <w:contextualSpacing/>
              <w:rPr>
                <w:sz w:val="16"/>
                <w:szCs w:val="16"/>
                <w:lang w:val="hy-AM" w:eastAsia="ru-RU"/>
              </w:rPr>
            </w:pPr>
            <w:r w:rsidRPr="004167D9">
              <w:rPr>
                <w:b/>
                <w:i/>
                <w:sz w:val="16"/>
                <w:szCs w:val="16"/>
                <w:lang w:eastAsia="ru-RU"/>
              </w:rPr>
              <w:t xml:space="preserve">     </w:t>
            </w:r>
            <w:r w:rsidRPr="004167D9">
              <w:rPr>
                <w:i/>
                <w:sz w:val="16"/>
                <w:szCs w:val="16"/>
                <w:lang w:val="hy-AM" w:eastAsia="ru-RU"/>
              </w:rPr>
              <w:t xml:space="preserve">Աղբյուրը՝ կանխատեսումները ըստ Բլումբերգի </w:t>
            </w:r>
          </w:p>
        </w:tc>
      </w:tr>
      <w:tr w:rsidR="002D7DDD" w:rsidRPr="00944459" w14:paraId="76F405B6" w14:textId="77777777" w:rsidTr="008931FF">
        <w:trPr>
          <w:trHeight w:val="187"/>
        </w:trPr>
        <w:tc>
          <w:tcPr>
            <w:tcW w:w="5052" w:type="dxa"/>
            <w:tcBorders>
              <w:top w:val="single" w:sz="6" w:space="0" w:color="4F81BD"/>
              <w:left w:val="single" w:sz="6" w:space="0" w:color="4F81BD"/>
              <w:bottom w:val="single" w:sz="6" w:space="0" w:color="4F81BD"/>
              <w:right w:val="single" w:sz="6" w:space="0" w:color="4F81BD"/>
            </w:tcBorders>
            <w:hideMark/>
          </w:tcPr>
          <w:p w14:paraId="6BEF86C8" w14:textId="77777777" w:rsidR="002D7DDD" w:rsidRPr="004167D9" w:rsidRDefault="002D7DDD" w:rsidP="008931FF">
            <w:pPr>
              <w:tabs>
                <w:tab w:val="left" w:pos="0"/>
              </w:tabs>
              <w:spacing w:before="120" w:after="0" w:line="276" w:lineRule="auto"/>
              <w:ind w:firstLine="0"/>
              <w:contextualSpacing/>
              <w:rPr>
                <w:b/>
                <w:i/>
                <w:sz w:val="18"/>
                <w:szCs w:val="18"/>
                <w:lang w:val="hy-AM" w:eastAsia="ru-RU"/>
              </w:rPr>
            </w:pPr>
            <w:r w:rsidRPr="004167D9">
              <w:rPr>
                <w:b/>
                <w:i/>
                <w:noProof/>
                <w:sz w:val="20"/>
                <w:szCs w:val="18"/>
              </w:rPr>
              <w:lastRenderedPageBreak/>
              <w:drawing>
                <wp:anchor distT="0" distB="0" distL="114300" distR="114300" simplePos="0" relativeHeight="251713536" behindDoc="1" locked="0" layoutInCell="1" allowOverlap="1" wp14:anchorId="31DFF2B0" wp14:editId="776E1A42">
                  <wp:simplePos x="0" y="0"/>
                  <wp:positionH relativeFrom="column">
                    <wp:posOffset>1905</wp:posOffset>
                  </wp:positionH>
                  <wp:positionV relativeFrom="paragraph">
                    <wp:posOffset>447040</wp:posOffset>
                  </wp:positionV>
                  <wp:extent cx="3051810" cy="2041525"/>
                  <wp:effectExtent l="0" t="0" r="15240" b="15875"/>
                  <wp:wrapTight wrapText="bothSides">
                    <wp:wrapPolygon edited="0">
                      <wp:start x="0" y="0"/>
                      <wp:lineTo x="0" y="21566"/>
                      <wp:lineTo x="21573" y="21566"/>
                      <wp:lineTo x="21573"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Pr="004167D9">
              <w:rPr>
                <w:b/>
                <w:bCs/>
                <w:i/>
                <w:sz w:val="18"/>
                <w:szCs w:val="18"/>
                <w:lang w:val="hy-AM" w:eastAsia="ru-RU"/>
              </w:rPr>
              <w:t xml:space="preserve">Գծապատկեր 1.3. </w:t>
            </w:r>
            <w:r w:rsidRPr="004167D9">
              <w:rPr>
                <w:bCs/>
                <w:i/>
                <w:sz w:val="18"/>
                <w:szCs w:val="18"/>
                <w:lang w:val="hy-AM" w:eastAsia="ru-RU"/>
              </w:rPr>
              <w:t>Համաշխարհային առևտրի դոլարային աճերը</w:t>
            </w:r>
            <w:r w:rsidRPr="004167D9">
              <w:rPr>
                <w:i/>
                <w:sz w:val="18"/>
                <w:szCs w:val="18"/>
                <w:lang w:val="hy-AM" w:eastAsia="ru-RU"/>
              </w:rPr>
              <w:t xml:space="preserve">(%) </w:t>
            </w:r>
          </w:p>
          <w:p w14:paraId="5F128716" w14:textId="77777777" w:rsidR="002D7DDD" w:rsidRPr="004167D9" w:rsidRDefault="002D7DDD" w:rsidP="008931FF">
            <w:pPr>
              <w:tabs>
                <w:tab w:val="left" w:pos="0"/>
              </w:tabs>
              <w:spacing w:before="120" w:after="0" w:line="276" w:lineRule="auto"/>
              <w:ind w:firstLine="0"/>
              <w:contextualSpacing/>
              <w:rPr>
                <w:b/>
                <w:bCs/>
                <w:i/>
                <w:sz w:val="18"/>
                <w:szCs w:val="18"/>
                <w:lang w:val="hy-AM" w:eastAsia="ru-RU"/>
              </w:rPr>
            </w:pPr>
          </w:p>
          <w:p w14:paraId="64D54E80" w14:textId="77777777" w:rsidR="002D7DDD" w:rsidRPr="00390EC5" w:rsidRDefault="002D7DDD" w:rsidP="008931FF">
            <w:pPr>
              <w:tabs>
                <w:tab w:val="left" w:pos="0"/>
              </w:tabs>
              <w:spacing w:before="120" w:after="0" w:line="276" w:lineRule="auto"/>
              <w:ind w:firstLine="0"/>
              <w:contextualSpacing/>
              <w:rPr>
                <w:bCs/>
                <w:i/>
                <w:sz w:val="18"/>
                <w:szCs w:val="18"/>
                <w:lang w:val="hy-AM" w:eastAsia="ru-RU"/>
              </w:rPr>
            </w:pPr>
            <w:r w:rsidRPr="00390EC5">
              <w:rPr>
                <w:i/>
                <w:sz w:val="16"/>
                <w:szCs w:val="16"/>
                <w:lang w:val="hy-AM" w:eastAsia="ru-RU"/>
              </w:rPr>
              <w:t>Աղբյուրը՝ ԱՄՀ</w:t>
            </w:r>
          </w:p>
        </w:tc>
        <w:tc>
          <w:tcPr>
            <w:tcW w:w="4863" w:type="dxa"/>
            <w:tcBorders>
              <w:top w:val="single" w:sz="6" w:space="0" w:color="4F81BD"/>
              <w:left w:val="single" w:sz="6" w:space="0" w:color="4F81BD"/>
              <w:bottom w:val="single" w:sz="6" w:space="0" w:color="4F81BD"/>
              <w:right w:val="single" w:sz="6" w:space="0" w:color="4F81BD"/>
            </w:tcBorders>
          </w:tcPr>
          <w:p w14:paraId="663179D6" w14:textId="77777777" w:rsidR="002D7DDD" w:rsidRPr="004167D9" w:rsidRDefault="002D7DDD" w:rsidP="008931FF">
            <w:pPr>
              <w:tabs>
                <w:tab w:val="left" w:pos="0"/>
              </w:tabs>
              <w:spacing w:before="120" w:after="0" w:line="276" w:lineRule="auto"/>
              <w:ind w:firstLine="0"/>
              <w:contextualSpacing/>
              <w:rPr>
                <w:b/>
                <w:bCs/>
                <w:i/>
                <w:sz w:val="18"/>
                <w:szCs w:val="18"/>
                <w:lang w:val="hy-AM" w:eastAsia="ru-RU"/>
              </w:rPr>
            </w:pPr>
            <w:r w:rsidRPr="004167D9">
              <w:rPr>
                <w:b/>
                <w:i/>
                <w:sz w:val="18"/>
                <w:szCs w:val="18"/>
                <w:lang w:val="hy-AM" w:eastAsia="ru-RU"/>
              </w:rPr>
              <w:t xml:space="preserve">Գծապատկեր 1.4. </w:t>
            </w:r>
            <w:r w:rsidRPr="004167D9">
              <w:rPr>
                <w:bCs/>
                <w:i/>
                <w:sz w:val="18"/>
                <w:szCs w:val="18"/>
                <w:lang w:val="hy-AM" w:eastAsia="ru-RU"/>
              </w:rPr>
              <w:t>Զարգացող երկրների ազգային արժույթների դոլարի նկատմամբ փոփոխությունները</w:t>
            </w:r>
            <w:r w:rsidRPr="004167D9">
              <w:rPr>
                <w:rFonts w:ascii="Arial Armenian" w:hAnsi="Arial Armenian"/>
                <w:bCs/>
                <w:i/>
                <w:sz w:val="18"/>
                <w:szCs w:val="18"/>
                <w:vertAlign w:val="superscript"/>
                <w:lang w:val="hy-AM" w:eastAsia="ru-RU"/>
              </w:rPr>
              <w:footnoteReference w:id="7"/>
            </w:r>
          </w:p>
          <w:p w14:paraId="131BF1D1" w14:textId="77777777" w:rsidR="002D7DDD" w:rsidRPr="004167D9" w:rsidRDefault="002D7DDD" w:rsidP="008931FF">
            <w:pPr>
              <w:tabs>
                <w:tab w:val="left" w:pos="0"/>
              </w:tabs>
              <w:spacing w:before="120" w:after="0" w:line="276" w:lineRule="auto"/>
              <w:ind w:firstLine="0"/>
              <w:contextualSpacing/>
              <w:rPr>
                <w:b/>
                <w:bCs/>
                <w:i/>
                <w:sz w:val="18"/>
                <w:szCs w:val="18"/>
                <w:lang w:val="hy-AM" w:eastAsia="ru-RU"/>
              </w:rPr>
            </w:pPr>
            <w:r w:rsidRPr="004167D9">
              <w:rPr>
                <w:rFonts w:ascii="Times New Roman" w:eastAsia="Times New Roman" w:hAnsi="Times New Roman"/>
                <w:noProof/>
                <w:sz w:val="18"/>
                <w:szCs w:val="18"/>
              </w:rPr>
              <w:drawing>
                <wp:anchor distT="0" distB="0" distL="114300" distR="114300" simplePos="0" relativeHeight="251711488" behindDoc="1" locked="0" layoutInCell="1" allowOverlap="1" wp14:anchorId="55F24B63" wp14:editId="4B430715">
                  <wp:simplePos x="0" y="0"/>
                  <wp:positionH relativeFrom="margin">
                    <wp:posOffset>-2540</wp:posOffset>
                  </wp:positionH>
                  <wp:positionV relativeFrom="paragraph">
                    <wp:posOffset>173355</wp:posOffset>
                  </wp:positionV>
                  <wp:extent cx="2789555" cy="1965600"/>
                  <wp:effectExtent l="0" t="0" r="10795" b="15875"/>
                  <wp:wrapTight wrapText="bothSides">
                    <wp:wrapPolygon edited="0">
                      <wp:start x="0" y="0"/>
                      <wp:lineTo x="0" y="21565"/>
                      <wp:lineTo x="21536" y="21565"/>
                      <wp:lineTo x="21536" y="0"/>
                      <wp:lineTo x="0" y="0"/>
                    </wp:wrapPolygon>
                  </wp:wrapTight>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p>
          <w:p w14:paraId="3218A80F" w14:textId="77777777" w:rsidR="002D7DDD" w:rsidRPr="00390EC5" w:rsidRDefault="002D7DDD" w:rsidP="008931FF">
            <w:pPr>
              <w:tabs>
                <w:tab w:val="left" w:pos="0"/>
              </w:tabs>
              <w:spacing w:before="120" w:after="0" w:line="276" w:lineRule="auto"/>
              <w:ind w:firstLine="0"/>
              <w:contextualSpacing/>
              <w:rPr>
                <w:i/>
                <w:sz w:val="16"/>
                <w:szCs w:val="16"/>
                <w:lang w:val="hy-AM" w:eastAsia="ru-RU"/>
              </w:rPr>
            </w:pPr>
            <w:r w:rsidRPr="00390EC5">
              <w:rPr>
                <w:i/>
                <w:sz w:val="16"/>
                <w:szCs w:val="16"/>
                <w:lang w:val="hy-AM" w:eastAsia="ru-RU"/>
              </w:rPr>
              <w:t xml:space="preserve">     Աղբյուրը՝ Բլումբերգ, ՀՀ ԿԲ, ՀՀ ՖՆ հաշվարկներ</w:t>
            </w:r>
          </w:p>
        </w:tc>
      </w:tr>
      <w:tr w:rsidR="002D7DDD" w:rsidRPr="004167D9" w14:paraId="1B80B097" w14:textId="77777777" w:rsidTr="008931FF">
        <w:trPr>
          <w:trHeight w:val="52"/>
        </w:trPr>
        <w:tc>
          <w:tcPr>
            <w:tcW w:w="5052" w:type="dxa"/>
            <w:tcBorders>
              <w:top w:val="single" w:sz="6" w:space="0" w:color="4F81BD"/>
              <w:left w:val="single" w:sz="6" w:space="0" w:color="4F81BD"/>
              <w:bottom w:val="single" w:sz="6" w:space="0" w:color="4F81BD"/>
              <w:right w:val="single" w:sz="6" w:space="0" w:color="4F81BD"/>
            </w:tcBorders>
            <w:hideMark/>
          </w:tcPr>
          <w:p w14:paraId="0A8C1526" w14:textId="77777777" w:rsidR="002D7DDD" w:rsidRPr="004167D9" w:rsidRDefault="002D7DDD" w:rsidP="008931FF">
            <w:pPr>
              <w:tabs>
                <w:tab w:val="left" w:pos="0"/>
              </w:tabs>
              <w:spacing w:before="120" w:after="0" w:line="276" w:lineRule="auto"/>
              <w:ind w:firstLine="0"/>
              <w:contextualSpacing/>
              <w:rPr>
                <w:bCs/>
                <w:i/>
                <w:sz w:val="18"/>
                <w:szCs w:val="16"/>
                <w:lang w:val="hy-AM" w:eastAsia="ru-RU"/>
              </w:rPr>
            </w:pPr>
            <w:r w:rsidRPr="004167D9">
              <w:rPr>
                <w:b/>
                <w:i/>
                <w:sz w:val="18"/>
                <w:szCs w:val="16"/>
                <w:lang w:val="hy-AM" w:eastAsia="ru-RU"/>
              </w:rPr>
              <w:t>Գծապատկեր 1.5.</w:t>
            </w:r>
            <w:r w:rsidRPr="004167D9">
              <w:rPr>
                <w:i/>
                <w:sz w:val="18"/>
                <w:szCs w:val="16"/>
                <w:lang w:val="hy-AM" w:eastAsia="ru-RU"/>
              </w:rPr>
              <w:t xml:space="preserve"> Գործընկեր երկրների </w:t>
            </w:r>
            <w:r w:rsidRPr="004167D9">
              <w:rPr>
                <w:bCs/>
                <w:i/>
                <w:sz w:val="18"/>
                <w:szCs w:val="16"/>
                <w:lang w:val="hy-AM" w:eastAsia="ru-RU"/>
              </w:rPr>
              <w:t xml:space="preserve">բաժնետոմսերի շուկաների ինդեքսները  </w:t>
            </w:r>
          </w:p>
          <w:p w14:paraId="3B141A5D" w14:textId="77777777" w:rsidR="002D7DDD" w:rsidRPr="004167D9" w:rsidRDefault="002D7DDD" w:rsidP="008931FF">
            <w:pPr>
              <w:tabs>
                <w:tab w:val="left" w:pos="0"/>
              </w:tabs>
              <w:spacing w:before="120" w:after="0" w:line="276" w:lineRule="auto"/>
              <w:ind w:firstLine="0"/>
              <w:contextualSpacing/>
              <w:rPr>
                <w:b/>
                <w:i/>
                <w:sz w:val="18"/>
                <w:szCs w:val="18"/>
                <w:lang w:val="hy-AM" w:eastAsia="ru-RU"/>
              </w:rPr>
            </w:pPr>
            <w:r w:rsidRPr="004167D9">
              <w:rPr>
                <w:rFonts w:eastAsia="Times New Roman"/>
                <w:b/>
                <w:noProof/>
                <w:sz w:val="24"/>
                <w:szCs w:val="24"/>
              </w:rPr>
              <w:drawing>
                <wp:inline distT="0" distB="0" distL="0" distR="0" wp14:anchorId="65737C9B" wp14:editId="1A802732">
                  <wp:extent cx="3051959" cy="1965325"/>
                  <wp:effectExtent l="0" t="0" r="15240"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D44272C" w14:textId="77777777" w:rsidR="002D7DDD" w:rsidRPr="004167D9" w:rsidRDefault="002D7DDD" w:rsidP="008931FF">
            <w:pPr>
              <w:tabs>
                <w:tab w:val="left" w:pos="0"/>
              </w:tabs>
              <w:spacing w:before="120" w:after="0" w:line="276" w:lineRule="auto"/>
              <w:ind w:firstLine="0"/>
              <w:contextualSpacing/>
              <w:rPr>
                <w:i/>
                <w:sz w:val="18"/>
                <w:szCs w:val="18"/>
                <w:lang w:val="hy-AM" w:eastAsia="ru-RU"/>
              </w:rPr>
            </w:pPr>
            <w:r w:rsidRPr="004167D9">
              <w:rPr>
                <w:i/>
                <w:sz w:val="16"/>
                <w:szCs w:val="16"/>
                <w:lang w:val="hy-AM" w:eastAsia="ru-RU"/>
              </w:rPr>
              <w:t>Աղբյուրը՝ Բլումբերգ, ՀՀ ՖՆ հաշվարկներ</w:t>
            </w:r>
          </w:p>
        </w:tc>
        <w:tc>
          <w:tcPr>
            <w:tcW w:w="4863" w:type="dxa"/>
            <w:tcBorders>
              <w:top w:val="single" w:sz="6" w:space="0" w:color="4F81BD"/>
              <w:left w:val="single" w:sz="6" w:space="0" w:color="4F81BD"/>
              <w:bottom w:val="single" w:sz="6" w:space="0" w:color="4F81BD"/>
              <w:right w:val="single" w:sz="6" w:space="0" w:color="4F81BD"/>
            </w:tcBorders>
          </w:tcPr>
          <w:p w14:paraId="0A9F7E1B" w14:textId="77777777" w:rsidR="002D7DDD" w:rsidRPr="004167D9" w:rsidRDefault="002D7DDD" w:rsidP="008931FF">
            <w:pPr>
              <w:tabs>
                <w:tab w:val="left" w:pos="0"/>
              </w:tabs>
              <w:spacing w:before="120" w:after="0" w:line="276" w:lineRule="auto"/>
              <w:ind w:firstLine="0"/>
              <w:contextualSpacing/>
              <w:rPr>
                <w:i/>
                <w:sz w:val="18"/>
                <w:szCs w:val="18"/>
                <w:lang w:val="hy-AM" w:eastAsia="ru-RU"/>
              </w:rPr>
            </w:pPr>
            <w:r w:rsidRPr="004167D9">
              <w:rPr>
                <w:b/>
                <w:i/>
                <w:sz w:val="18"/>
                <w:szCs w:val="18"/>
                <w:lang w:val="hy-AM" w:eastAsia="ru-RU"/>
              </w:rPr>
              <w:t>Գծապատկեր 1.6.</w:t>
            </w:r>
            <w:r w:rsidRPr="004167D9">
              <w:rPr>
                <w:i/>
                <w:sz w:val="18"/>
                <w:szCs w:val="18"/>
                <w:lang w:val="hy-AM" w:eastAsia="ru-RU"/>
              </w:rPr>
              <w:t xml:space="preserve"> Տարածաշրջանի երկրների ռիսկի</w:t>
            </w:r>
            <w:r w:rsidRPr="004167D9">
              <w:rPr>
                <w:sz w:val="18"/>
                <w:szCs w:val="18"/>
                <w:lang w:val="hy-AM" w:eastAsia="ru-RU"/>
              </w:rPr>
              <w:t xml:space="preserve"> </w:t>
            </w:r>
            <w:r w:rsidRPr="004167D9">
              <w:rPr>
                <w:i/>
                <w:sz w:val="18"/>
                <w:szCs w:val="18"/>
                <w:lang w:val="hy-AM" w:eastAsia="ru-RU"/>
              </w:rPr>
              <w:t>հավելավճարները</w:t>
            </w:r>
            <w:r w:rsidRPr="004167D9">
              <w:rPr>
                <w:rFonts w:ascii="Arial Armenian" w:hAnsi="Arial Armenian"/>
                <w:i/>
                <w:sz w:val="18"/>
                <w:szCs w:val="18"/>
                <w:vertAlign w:val="superscript"/>
                <w:lang w:val="hy-AM" w:eastAsia="ru-RU"/>
              </w:rPr>
              <w:footnoteReference w:id="8"/>
            </w:r>
            <w:r w:rsidRPr="004167D9">
              <w:rPr>
                <w:i/>
                <w:sz w:val="18"/>
                <w:szCs w:val="18"/>
                <w:lang w:val="hy-AM" w:eastAsia="ru-RU"/>
              </w:rPr>
              <w:t xml:space="preserve"> </w:t>
            </w:r>
          </w:p>
          <w:p w14:paraId="23B5915A" w14:textId="77777777" w:rsidR="002D7DDD" w:rsidRPr="004167D9" w:rsidRDefault="002D7DDD" w:rsidP="008931FF">
            <w:pPr>
              <w:tabs>
                <w:tab w:val="left" w:pos="0"/>
              </w:tabs>
              <w:spacing w:before="120" w:after="0" w:line="276" w:lineRule="auto"/>
              <w:ind w:firstLine="0"/>
              <w:contextualSpacing/>
              <w:rPr>
                <w:b/>
                <w:i/>
                <w:sz w:val="18"/>
                <w:szCs w:val="18"/>
                <w:lang w:val="hy-AM" w:eastAsia="ru-RU"/>
              </w:rPr>
            </w:pPr>
            <w:r w:rsidRPr="004167D9">
              <w:rPr>
                <w:b/>
                <w:noProof/>
                <w:sz w:val="18"/>
                <w:szCs w:val="18"/>
              </w:rPr>
              <w:drawing>
                <wp:inline distT="0" distB="0" distL="0" distR="0" wp14:anchorId="416C5752" wp14:editId="745EBA6E">
                  <wp:extent cx="2876550" cy="20002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795DE60" w14:textId="77777777" w:rsidR="002D7DDD" w:rsidRPr="004167D9" w:rsidRDefault="002D7DDD" w:rsidP="008931FF">
            <w:pPr>
              <w:tabs>
                <w:tab w:val="left" w:pos="0"/>
              </w:tabs>
              <w:spacing w:before="120" w:after="0" w:line="276" w:lineRule="auto"/>
              <w:ind w:firstLine="0"/>
              <w:contextualSpacing/>
              <w:rPr>
                <w:noProof/>
                <w:sz w:val="18"/>
                <w:szCs w:val="18"/>
                <w:lang w:val="hy-AM" w:eastAsia="ru-RU"/>
              </w:rPr>
            </w:pPr>
            <w:r w:rsidRPr="004167D9">
              <w:rPr>
                <w:i/>
                <w:sz w:val="16"/>
                <w:szCs w:val="16"/>
                <w:lang w:val="hy-AM" w:eastAsia="ru-RU"/>
              </w:rPr>
              <w:t>Աղբյուրը՝ Բլումբերգ</w:t>
            </w:r>
          </w:p>
        </w:tc>
      </w:tr>
    </w:tbl>
    <w:p w14:paraId="33034EAC" w14:textId="77777777" w:rsidR="002D7DDD" w:rsidRPr="004167D9" w:rsidRDefault="002D7DDD" w:rsidP="002D7DDD">
      <w:pPr>
        <w:tabs>
          <w:tab w:val="left" w:pos="0"/>
        </w:tabs>
        <w:spacing w:before="0" w:after="0" w:line="276" w:lineRule="auto"/>
        <w:ind w:firstLine="0"/>
        <w:contextualSpacing/>
        <w:rPr>
          <w:rFonts w:eastAsia="Calibri" w:cs="Times New Roman"/>
          <w:b/>
          <w:color w:val="000000"/>
          <w:lang w:val="hy-AM"/>
        </w:rPr>
      </w:pPr>
    </w:p>
    <w:p w14:paraId="20EDF0B5" w14:textId="77777777" w:rsidR="002D7DDD" w:rsidRPr="004167D9" w:rsidRDefault="002D7DDD" w:rsidP="00D25024">
      <w:pPr>
        <w:tabs>
          <w:tab w:val="left" w:pos="0"/>
        </w:tabs>
        <w:spacing w:before="120" w:after="0" w:line="276" w:lineRule="auto"/>
        <w:ind w:firstLine="0"/>
        <w:rPr>
          <w:rFonts w:eastAsia="Calibri" w:cs="Times New Roman"/>
          <w:lang w:val="hy-AM"/>
        </w:rPr>
      </w:pPr>
      <w:r w:rsidRPr="004167D9">
        <w:rPr>
          <w:rFonts w:eastAsia="Calibri" w:cs="Times New Roman"/>
          <w:lang w:val="hy-AM"/>
        </w:rPr>
        <w:t xml:space="preserve"> «Բլումբերգ» միջազգային հեղինակավոր կազմակերպության հունվարի կանխատեսումների համեմատ մայիսին 2024թ</w:t>
      </w:r>
      <w:r w:rsidRPr="004167D9">
        <w:rPr>
          <w:rFonts w:ascii="Cambria Math" w:eastAsia="Calibri" w:hAnsi="Cambria Math" w:cs="Cambria Math"/>
          <w:lang w:val="hy-AM"/>
        </w:rPr>
        <w:t>․</w:t>
      </w:r>
      <w:r w:rsidRPr="004167D9">
        <w:rPr>
          <w:rFonts w:eastAsia="Calibri" w:cs="Times New Roman"/>
          <w:lang w:val="hy-AM"/>
        </w:rPr>
        <w:t xml:space="preserve"> նավթի և պղնձի միջազգային գների կանխատեսումները վերանայվել են դեպի վերև։</w:t>
      </w:r>
    </w:p>
    <w:p w14:paraId="63380986" w14:textId="77777777" w:rsidR="002D7DDD" w:rsidRPr="004167D9" w:rsidRDefault="002D7DDD" w:rsidP="00D25024">
      <w:pPr>
        <w:tabs>
          <w:tab w:val="left" w:pos="0"/>
        </w:tabs>
        <w:spacing w:before="120" w:after="0" w:line="276" w:lineRule="auto"/>
        <w:ind w:firstLine="0"/>
        <w:rPr>
          <w:rFonts w:eastAsia="Calibri" w:cs="Times New Roman"/>
          <w:lang w:val="hy-AM"/>
        </w:rPr>
      </w:pPr>
      <w:r w:rsidRPr="004167D9">
        <w:rPr>
          <w:rFonts w:eastAsia="Calibri" w:cs="Times New Roman"/>
          <w:b/>
          <w:lang w:val="hy-AM"/>
        </w:rPr>
        <w:t xml:space="preserve">Միջազգային ապրանքային, արժութային և ֆինանսական շուկաները էական տատանումների են ենթարկվում: </w:t>
      </w:r>
      <w:r w:rsidRPr="004167D9">
        <w:rPr>
          <w:rFonts w:eastAsia="Calibri" w:cs="Times New Roman"/>
          <w:lang w:val="hy-AM"/>
        </w:rPr>
        <w:t>Համաշխարհային առևտրի տեմպերը էապես դանդաղել են, իսկ ֆինանսական շուկաներում նկատվում են բաժնետոմսերի գների վերականգնում:</w:t>
      </w:r>
      <w:r w:rsidRPr="004167D9">
        <w:rPr>
          <w:rFonts w:eastAsia="Calibri" w:cs="Times New Roman"/>
          <w:b/>
          <w:lang w:val="hy-AM"/>
        </w:rPr>
        <w:t xml:space="preserve"> </w:t>
      </w:r>
      <w:r w:rsidRPr="004167D9">
        <w:rPr>
          <w:rFonts w:eastAsia="Calibri" w:cs="Times New Roman"/>
          <w:lang w:val="hy-AM"/>
        </w:rPr>
        <w:t>Զարգացող երկրների արժույթները վերականգնման միտում ունեն: Սակայն ռուսական ռուբլին ԱՄՆ դոլարի նկատմամբ շարունակել է արժեզրկված մնալ: Այս պայմաններում զարգացող երկրների, այդ թվում տարածաշրջանի երկրների ռիսկի հավելավճարները նվազում են։</w:t>
      </w:r>
    </w:p>
    <w:p w14:paraId="77D2353D" w14:textId="77777777" w:rsidR="002D7DDD" w:rsidRPr="004167D9" w:rsidRDefault="002D7DDD" w:rsidP="00D25024">
      <w:pPr>
        <w:spacing w:before="0" w:after="0" w:line="276" w:lineRule="auto"/>
        <w:ind w:firstLine="0"/>
        <w:rPr>
          <w:rFonts w:eastAsia="Times New Roman" w:cs="Times New Roman"/>
          <w:b/>
          <w:lang w:val="hy-AM"/>
        </w:rPr>
      </w:pPr>
      <w:r w:rsidRPr="004167D9">
        <w:rPr>
          <w:rFonts w:eastAsia="Times New Roman" w:cs="Times New Roman"/>
          <w:b/>
          <w:lang w:val="hy-AM"/>
        </w:rPr>
        <w:t>Չնայած տնտեսական աճերի վերականգ</w:t>
      </w:r>
      <w:r>
        <w:rPr>
          <w:rFonts w:eastAsia="Times New Roman" w:cs="Times New Roman"/>
          <w:b/>
          <w:lang w:val="hy-AM"/>
        </w:rPr>
        <w:t>ն</w:t>
      </w:r>
      <w:r w:rsidRPr="004167D9">
        <w:rPr>
          <w:rFonts w:eastAsia="Times New Roman" w:cs="Times New Roman"/>
          <w:b/>
          <w:lang w:val="hy-AM"/>
        </w:rPr>
        <w:t xml:space="preserve">մանը, հիմնականում չի հաջողվել պահպանել նախորդ տարիներին գրանցված հարկաբյուջետային կոնսոլիդացիայի տեմպերը՝ պայմանավորված ռուս-ուկրաինական հակամարտության առաջացրած </w:t>
      </w:r>
      <w:r w:rsidRPr="004167D9">
        <w:rPr>
          <w:rFonts w:eastAsia="Times New Roman" w:cs="Times New Roman"/>
          <w:b/>
          <w:lang w:val="hy-AM"/>
        </w:rPr>
        <w:lastRenderedPageBreak/>
        <w:t xml:space="preserve">մարտահրավերներով։ </w:t>
      </w:r>
      <w:r w:rsidRPr="004167D9">
        <w:rPr>
          <w:rFonts w:eastAsia="Times New Roman" w:cs="Times New Roman"/>
          <w:lang w:val="hy-AM"/>
        </w:rPr>
        <w:t>2021-2022 թվականներին ապահովված հարկաբյուջետային կոնսոլիդացիայից հետո 2023 թվականին գրանցվել է պետական բյուջեի պակասուրդի և պետական պարտքի բեռի աճ՝ գտնվելով մինչ համաճարակայինից բարձր մակարդակում։ Համաշխարհային պետական պարտքը 2023 թվականին կազմել է ՀՆԱ-ի 93.2%-ը, իսկ պետական բյուջեի պակասուրդ/ՀՆԱ ցուցանիշը խորացել է՝ կազմելով 5.5%։ Հաշվի առնելով, որ պետական ծախսերն անփոփոխ են մնացել 2022 թվականի համեմատ՝ պետական բյուջեի պակասուրդը, հիմնականում, պայմանավորված է եղել եկամուտների անկմամբ՝ մասնավորապես, նավթ արտադրող և հումքային ապրանքներ արտահանող երկրներում հումքային ապրանքների միջազգային գների նվազման արդյունքում։</w:t>
      </w:r>
      <w:r w:rsidRPr="004167D9">
        <w:rPr>
          <w:rFonts w:eastAsia="Times New Roman" w:cs="Times New Roman"/>
          <w:b/>
          <w:lang w:val="hy-AM"/>
        </w:rPr>
        <w:t xml:space="preserve">  </w:t>
      </w:r>
    </w:p>
    <w:p w14:paraId="56516403" w14:textId="77777777" w:rsidR="002D7DDD" w:rsidRPr="004167D9" w:rsidRDefault="002D7DDD" w:rsidP="00D25024">
      <w:pPr>
        <w:spacing w:before="0" w:after="0" w:line="276" w:lineRule="auto"/>
        <w:ind w:firstLine="0"/>
        <w:rPr>
          <w:rFonts w:eastAsia="Times New Roman" w:cs="Times New Roman"/>
          <w:lang w:val="hy-AM"/>
        </w:rPr>
      </w:pPr>
      <w:r w:rsidRPr="004167D9">
        <w:rPr>
          <w:rFonts w:eastAsia="Times New Roman" w:cs="Times New Roman"/>
          <w:lang w:val="hy-AM"/>
        </w:rPr>
        <w:t>Համաշխարհային հարկաբյուջետային զարգացումների ռիսկերից են զարգացող և ցածր եկամտային խմբի երկրներում կուտակվող պարտքի անկայունության ռիսկերը։ Այս ռիսկերն արդեն իսկ առարկայացել են զարգացող տնտեսությամբ 19 երկրներում։ Միևնույն ժամանակ, պետական պարտքի մակարդակը ցածր եկամտային խմբի երկրներում 2019-2023 թվականներին աճել է մոտ 12 տոկոսային կետով։ Արդյունքում, 2023 թվականին ցածր եկամտային խմբի երկրների կեսից ավելին արդեն իսկ բախվել էր պարտքի անկայունությանը կամ դրա ռիսկը գնահատվել է բարձր։</w:t>
      </w:r>
    </w:p>
    <w:p w14:paraId="0B76B4DD" w14:textId="77777777" w:rsidR="002D7DDD" w:rsidRPr="004167D9" w:rsidRDefault="002D7DDD" w:rsidP="002D7DDD">
      <w:pPr>
        <w:keepNext/>
        <w:keepLines/>
        <w:tabs>
          <w:tab w:val="left" w:pos="0"/>
        </w:tabs>
        <w:spacing w:before="120" w:line="276" w:lineRule="auto"/>
        <w:ind w:firstLine="0"/>
        <w:jc w:val="left"/>
        <w:rPr>
          <w:rFonts w:eastAsia="Times New Roman" w:cs="Times New Roman"/>
          <w:i/>
          <w:lang w:val="hy-AM"/>
        </w:rPr>
      </w:pPr>
      <w:r w:rsidRPr="004167D9">
        <w:rPr>
          <w:rFonts w:eastAsia="Times New Roman" w:cs="Times New Roman"/>
          <w:b/>
          <w:i/>
          <w:lang w:val="hy-AM"/>
        </w:rPr>
        <w:t xml:space="preserve">Գծապատկեր 1.7. </w:t>
      </w:r>
      <w:r w:rsidRPr="004167D9">
        <w:rPr>
          <w:rFonts w:eastAsia="Times New Roman" w:cs="Times New Roman"/>
          <w:i/>
          <w:lang w:val="hy-AM"/>
        </w:rPr>
        <w:t>Համաշխարհային տնտեսությունում ընթացող հարկաբյուջետային զարգացումները</w:t>
      </w:r>
    </w:p>
    <w:tbl>
      <w:tblPr>
        <w:tblStyle w:val="TableGrid411311"/>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5166"/>
      </w:tblGrid>
      <w:tr w:rsidR="002D7DDD" w:rsidRPr="00944459" w14:paraId="76ADA62E" w14:textId="77777777" w:rsidTr="008931FF">
        <w:trPr>
          <w:trHeight w:val="4353"/>
        </w:trPr>
        <w:tc>
          <w:tcPr>
            <w:tcW w:w="4776" w:type="dxa"/>
          </w:tcPr>
          <w:p w14:paraId="640539BB" w14:textId="77777777" w:rsidR="002D7DDD" w:rsidRPr="004167D9" w:rsidRDefault="002D7DDD" w:rsidP="008931FF">
            <w:pPr>
              <w:tabs>
                <w:tab w:val="left" w:pos="0"/>
              </w:tabs>
              <w:spacing w:before="120" w:after="0" w:line="276" w:lineRule="auto"/>
              <w:ind w:firstLine="0"/>
              <w:contextualSpacing/>
              <w:jc w:val="left"/>
              <w:rPr>
                <w:rFonts w:ascii="Times New Roman" w:hAnsi="Times New Roman"/>
                <w:sz w:val="24"/>
                <w:szCs w:val="24"/>
                <w:highlight w:val="yellow"/>
                <w:lang w:val="hy-AM"/>
              </w:rPr>
            </w:pPr>
            <w:r w:rsidRPr="004167D9">
              <w:rPr>
                <w:rFonts w:ascii="Times New Roman" w:hAnsi="Times New Roman"/>
                <w:noProof/>
                <w:sz w:val="24"/>
                <w:szCs w:val="24"/>
                <w:highlight w:val="yellow"/>
              </w:rPr>
              <w:drawing>
                <wp:anchor distT="0" distB="0" distL="114300" distR="114300" simplePos="0" relativeHeight="251715584" behindDoc="1" locked="0" layoutInCell="1" allowOverlap="1" wp14:anchorId="7122FF66" wp14:editId="66ACEC8E">
                  <wp:simplePos x="0" y="0"/>
                  <wp:positionH relativeFrom="column">
                    <wp:posOffset>-59690</wp:posOffset>
                  </wp:positionH>
                  <wp:positionV relativeFrom="paragraph">
                    <wp:posOffset>0</wp:posOffset>
                  </wp:positionV>
                  <wp:extent cx="3086100" cy="2952750"/>
                  <wp:effectExtent l="0" t="0" r="0" b="0"/>
                  <wp:wrapTight wrapText="bothSides">
                    <wp:wrapPolygon edited="0">
                      <wp:start x="0" y="0"/>
                      <wp:lineTo x="0" y="21461"/>
                      <wp:lineTo x="21467" y="21461"/>
                      <wp:lineTo x="21467" y="0"/>
                      <wp:lineTo x="0" y="0"/>
                    </wp:wrapPolygon>
                  </wp:wrapTight>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p>
        </w:tc>
        <w:tc>
          <w:tcPr>
            <w:tcW w:w="5147" w:type="dxa"/>
          </w:tcPr>
          <w:p w14:paraId="3784A4A9" w14:textId="77777777" w:rsidR="002D7DDD" w:rsidRPr="004167D9" w:rsidRDefault="002D7DDD" w:rsidP="008931FF">
            <w:pPr>
              <w:tabs>
                <w:tab w:val="left" w:pos="0"/>
              </w:tabs>
              <w:spacing w:before="120" w:after="0" w:line="276" w:lineRule="auto"/>
              <w:ind w:firstLine="0"/>
              <w:contextualSpacing/>
              <w:jc w:val="left"/>
              <w:rPr>
                <w:rFonts w:ascii="Times New Roman" w:hAnsi="Times New Roman"/>
                <w:sz w:val="24"/>
                <w:szCs w:val="24"/>
                <w:highlight w:val="yellow"/>
                <w:lang w:val="hy-AM"/>
              </w:rPr>
            </w:pPr>
            <w:r w:rsidRPr="004167D9">
              <w:rPr>
                <w:rFonts w:ascii="Times New Roman" w:hAnsi="Times New Roman"/>
                <w:noProof/>
                <w:sz w:val="24"/>
                <w:szCs w:val="24"/>
                <w:highlight w:val="yellow"/>
              </w:rPr>
              <w:drawing>
                <wp:anchor distT="0" distB="0" distL="114300" distR="114300" simplePos="0" relativeHeight="251714560" behindDoc="1" locked="0" layoutInCell="1" allowOverlap="1" wp14:anchorId="12FBF136" wp14:editId="66614E20">
                  <wp:simplePos x="0" y="0"/>
                  <wp:positionH relativeFrom="column">
                    <wp:posOffset>-8255</wp:posOffset>
                  </wp:positionH>
                  <wp:positionV relativeFrom="paragraph">
                    <wp:posOffset>16510</wp:posOffset>
                  </wp:positionV>
                  <wp:extent cx="3133725" cy="2933700"/>
                  <wp:effectExtent l="0" t="0" r="9525" b="0"/>
                  <wp:wrapTight wrapText="bothSides">
                    <wp:wrapPolygon edited="0">
                      <wp:start x="0" y="0"/>
                      <wp:lineTo x="0" y="21460"/>
                      <wp:lineTo x="21534" y="21460"/>
                      <wp:lineTo x="21534" y="0"/>
                      <wp:lineTo x="0" y="0"/>
                    </wp:wrapPolygon>
                  </wp:wrapTight>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p>
        </w:tc>
      </w:tr>
    </w:tbl>
    <w:p w14:paraId="7ECD3B27" w14:textId="77777777" w:rsidR="002D7DDD" w:rsidRPr="00B27362" w:rsidRDefault="002D7DDD" w:rsidP="002D7DDD">
      <w:pPr>
        <w:tabs>
          <w:tab w:val="left" w:pos="0"/>
        </w:tabs>
        <w:spacing w:before="120" w:after="0" w:line="276" w:lineRule="auto"/>
        <w:ind w:firstLine="0"/>
        <w:contextualSpacing/>
        <w:jc w:val="left"/>
        <w:rPr>
          <w:rFonts w:eastAsia="Calibri" w:cs="Times New Roman"/>
          <w:i/>
          <w:sz w:val="18"/>
          <w:szCs w:val="16"/>
        </w:rPr>
      </w:pPr>
      <w:r w:rsidRPr="004167D9">
        <w:rPr>
          <w:rFonts w:eastAsia="Calibri" w:cs="Times New Roman"/>
          <w:i/>
          <w:sz w:val="18"/>
          <w:szCs w:val="16"/>
          <w:lang w:val="hy-AM"/>
        </w:rPr>
        <w:t xml:space="preserve">Աղբյուրը՝ </w:t>
      </w:r>
      <w:r w:rsidRPr="004167D9">
        <w:rPr>
          <w:rFonts w:eastAsia="Calibri" w:cs="Times New Roman"/>
          <w:i/>
          <w:sz w:val="18"/>
          <w:szCs w:val="16"/>
        </w:rPr>
        <w:t xml:space="preserve">IMF, Fiscal Monitor, October 2021 </w:t>
      </w:r>
      <w:r w:rsidRPr="004167D9">
        <w:rPr>
          <w:rFonts w:eastAsia="Calibri" w:cs="Times New Roman"/>
          <w:i/>
          <w:sz w:val="18"/>
          <w:szCs w:val="16"/>
          <w:lang w:val="hy-AM"/>
        </w:rPr>
        <w:t>և</w:t>
      </w:r>
      <w:r>
        <w:rPr>
          <w:rFonts w:eastAsia="Calibri" w:cs="Times New Roman"/>
          <w:i/>
          <w:sz w:val="18"/>
          <w:szCs w:val="16"/>
        </w:rPr>
        <w:t xml:space="preserve"> Fiscal Monitor, April 2024.</w:t>
      </w:r>
    </w:p>
    <w:p w14:paraId="22633E88" w14:textId="77777777" w:rsidR="002D7DDD" w:rsidRPr="00B27362" w:rsidRDefault="002D7DDD" w:rsidP="002D7DDD">
      <w:pPr>
        <w:keepNext/>
        <w:keepLines/>
        <w:spacing w:before="240" w:line="276" w:lineRule="auto"/>
        <w:ind w:firstLine="0"/>
        <w:contextualSpacing/>
        <w:outlineLvl w:val="2"/>
        <w:rPr>
          <w:rFonts w:eastAsia="Times New Roman" w:cs="Times New Roman"/>
          <w:b/>
          <w:caps/>
          <w:color w:val="1F497D"/>
          <w:sz w:val="24"/>
          <w:szCs w:val="24"/>
          <w:lang w:val="hy-AM"/>
        </w:rPr>
      </w:pPr>
      <w:bookmarkStart w:id="33" w:name="_Toc170743027"/>
      <w:bookmarkStart w:id="34" w:name="_Toc170750531"/>
      <w:bookmarkStart w:id="35" w:name="_Toc170926292"/>
      <w:r w:rsidRPr="00B27362">
        <w:rPr>
          <w:rFonts w:eastAsia="Times New Roman" w:cs="Times New Roman"/>
          <w:b/>
          <w:color w:val="1F497D"/>
          <w:sz w:val="24"/>
          <w:szCs w:val="24"/>
          <w:lang w:val="hy-AM"/>
        </w:rPr>
        <w:t>1.3. ՀՀ ՄԱԿՐՈՏՆՏԵՍԱԿԱՆ ԶԱՐԳԱՑՈՒՄՆԵՐ ԵՎ ԿԱՆԽԱՏԵՍՈՒՄՆԵՐ</w:t>
      </w:r>
      <w:bookmarkEnd w:id="33"/>
      <w:bookmarkEnd w:id="34"/>
      <w:bookmarkEnd w:id="35"/>
    </w:p>
    <w:p w14:paraId="5462A885" w14:textId="77777777" w:rsidR="002D7DDD" w:rsidRPr="00B27362" w:rsidRDefault="002D7DDD" w:rsidP="002D7DDD">
      <w:pPr>
        <w:keepNext/>
        <w:keepLines/>
        <w:spacing w:before="240" w:line="276" w:lineRule="auto"/>
        <w:ind w:left="709" w:hanging="425"/>
        <w:contextualSpacing/>
        <w:jc w:val="left"/>
        <w:outlineLvl w:val="2"/>
        <w:rPr>
          <w:rFonts w:eastAsia="Times New Roman"/>
          <w:b/>
          <w:caps/>
          <w:color w:val="1F4E79" w:themeColor="accent1" w:themeShade="80"/>
          <w:sz w:val="24"/>
          <w:lang w:val="hy-AM"/>
        </w:rPr>
      </w:pPr>
      <w:bookmarkStart w:id="36" w:name="_Toc170743028"/>
      <w:bookmarkStart w:id="37" w:name="_Toc170750532"/>
      <w:bookmarkStart w:id="38" w:name="_Toc170926293"/>
      <w:r w:rsidRPr="00B27362">
        <w:rPr>
          <w:rFonts w:eastAsia="Times New Roman"/>
          <w:b/>
          <w:caps/>
          <w:color w:val="1F4E79" w:themeColor="accent1" w:themeShade="80"/>
          <w:sz w:val="24"/>
          <w:lang w:val="hy-AM"/>
        </w:rPr>
        <w:t xml:space="preserve">1.3.1. ՀՆԱ և </w:t>
      </w:r>
      <w:r w:rsidRPr="00B27362">
        <w:rPr>
          <w:rFonts w:eastAsia="Times New Roman"/>
          <w:b/>
          <w:color w:val="1F4E79" w:themeColor="accent1" w:themeShade="80"/>
          <w:sz w:val="24"/>
          <w:lang w:val="hy-AM"/>
        </w:rPr>
        <w:t>տնտեսական աճ</w:t>
      </w:r>
      <w:bookmarkEnd w:id="36"/>
      <w:bookmarkEnd w:id="37"/>
      <w:bookmarkEnd w:id="38"/>
    </w:p>
    <w:p w14:paraId="67E7CA3C" w14:textId="77777777" w:rsidR="002D7DDD" w:rsidRPr="00B27362" w:rsidRDefault="002D7DDD" w:rsidP="00D25024">
      <w:pPr>
        <w:spacing w:line="276" w:lineRule="auto"/>
        <w:ind w:firstLine="0"/>
        <w:rPr>
          <w:rFonts w:eastAsia="Times New Roman" w:cs="Times New Roman"/>
          <w:highlight w:val="yellow"/>
          <w:lang w:val="hy-AM"/>
        </w:rPr>
      </w:pPr>
      <w:r w:rsidRPr="00B27362">
        <w:rPr>
          <w:rFonts w:eastAsia="Times New Roman" w:cs="Times New Roman"/>
          <w:b/>
          <w:bCs/>
          <w:lang w:val="hy-AM"/>
        </w:rPr>
        <w:t xml:space="preserve">Կորոնավիրուսի համավարակի և Արցախյան պատերազմի բացասական ազդեցություններով պայմանավորված 2020 թվականի տնտեսական անկումից հետո 2021-2023 թվականներին տնտեսությունը թևակոխել է վերականգնման և աճի փուլ և միջինում գրանցել 9.0% իրական աճ՝ իր վրա կրելով 2022 թվականի փետրվարի վերջերից սկիզբ առած ռուս-ուկրաինական հակամարտության և Ռուսաստանի դեմ կիրառված պատժամիջոցների հետևանքով դեպի Հայաստան մարդկանց ներհոսքի, զբոսաշրջության զգալի ավելացման, տեղեկատվական տեխնոլոգիաների ոլորտի ընկերությունների ՀՀ </w:t>
      </w:r>
      <w:r w:rsidRPr="00B27362">
        <w:rPr>
          <w:rFonts w:eastAsia="Times New Roman" w:cs="Times New Roman"/>
          <w:b/>
          <w:bCs/>
          <w:lang w:val="hy-AM"/>
        </w:rPr>
        <w:lastRenderedPageBreak/>
        <w:t xml:space="preserve">տեղափոխման, ՀՀ-ից դեպի Ռուսաստան արտահանման պահանջարկի ավելացման, պետական բյուջեից կապիտալ ծախսերի և բնակարանաշինության բարձր աճերի, ինչպես նաև 2023 թվականի սեպտեմբերի վերջից Լեռնային Ղարաբաղից ՀՀ բռնի տեղահանված մեր հայրենակիցների և նոյեմբեր-դեկտեմբեր ամիսներին ոսկերչական արտադրատեսակների արտադրության կտրուկ աճի տնտեսական ազդեցությունները: </w:t>
      </w:r>
      <w:r w:rsidRPr="00B27362">
        <w:rPr>
          <w:rFonts w:eastAsia="Times New Roman" w:cs="Times New Roman"/>
          <w:lang w:val="hy-AM"/>
        </w:rPr>
        <w:t xml:space="preserve">  2021-2023 թվականներին տնտեսական աճը հիմնականում պայմանավորված է եղել ծառայությունների աճով (նպաստումը՝ միջինում 6.7 տոկոսային կետ): Տնտեսական աճին նպաս</w:t>
      </w:r>
      <w:r>
        <w:rPr>
          <w:rFonts w:eastAsia="Times New Roman" w:cs="Times New Roman"/>
          <w:lang w:val="hy-AM"/>
        </w:rPr>
        <w:t>տ</w:t>
      </w:r>
      <w:r w:rsidRPr="00B27362">
        <w:rPr>
          <w:rFonts w:eastAsia="Times New Roman" w:cs="Times New Roman"/>
          <w:lang w:val="hy-AM"/>
        </w:rPr>
        <w:t>ել են նաև շինարարության և արդյունաբերության ճյուղերը (նպաստումները՝ համապատասխանաբար՝ միջինում 0.8 և 0.6 տոկոսային կետեր), իսկ գյուղատնտեսությունը տնտեսական աճի վրա ունեցել է փոքր-ինչ բացասական ազդեցություն: Պահանջարկի տեսանկյունից աճին նպաստել է ինչպես ներքին (հիմնականում սպառման և մասնավոր ներդրումների), այնպես էլ արտահանման աճը:</w:t>
      </w:r>
    </w:p>
    <w:p w14:paraId="42464A6C" w14:textId="77777777" w:rsidR="002D7DDD" w:rsidRPr="00B27362" w:rsidRDefault="002D7DDD" w:rsidP="00D25024">
      <w:pPr>
        <w:spacing w:after="120" w:line="276" w:lineRule="auto"/>
        <w:ind w:firstLine="0"/>
        <w:rPr>
          <w:rFonts w:eastAsia="Times New Roman" w:cs="Times New Roman"/>
          <w:highlight w:val="yellow"/>
          <w:lang w:val="hy-AM"/>
        </w:rPr>
      </w:pPr>
      <w:r w:rsidRPr="00B27362">
        <w:rPr>
          <w:rFonts w:eastAsia="Times New Roman" w:cs="Times New Roman"/>
          <w:b/>
          <w:bCs/>
          <w:lang w:val="hy-AM"/>
        </w:rPr>
        <w:t xml:space="preserve">Տնտեսական աճի բարձր տեմպերը շարունակվել են նաև 2024 թվականի առաջին եռամսյակում՝ իրենց վրա կրելով նաև ոսկերչական արտադրատեսակների վերամշակման կտրուկ աճի և Լեռնային Ղարաբաղից ՀՀ բռնի տեղահանված մեր հայրենակիցների տնտեսական ազդեցությունները: </w:t>
      </w:r>
      <w:r w:rsidRPr="00B27362">
        <w:rPr>
          <w:rFonts w:eastAsia="Times New Roman" w:cs="Times New Roman"/>
          <w:bCs/>
          <w:lang w:val="hy-AM"/>
        </w:rPr>
        <w:t xml:space="preserve">Արդյունքում </w:t>
      </w:r>
      <w:r w:rsidRPr="00B27362">
        <w:rPr>
          <w:rFonts w:eastAsia="Times New Roman" w:cs="Times New Roman"/>
          <w:lang w:val="hy-AM"/>
        </w:rPr>
        <w:t xml:space="preserve">առաջին եռամսյակում գրանցվել է ՀՆԱ-ի 9.2% իրական աճ՝ հիմնականում պայմանավորված ծառայությունների և արդյունաբերության աճով (նպաստումները՝ համապատասխանաբար՝ 4.6 և 3.9 տոկոսային կետեր)։ Տնտեսության մյուս ճյուղերը ևս նպաստել են տնտեսական աճին։  </w:t>
      </w:r>
    </w:p>
    <w:tbl>
      <w:tblPr>
        <w:tblStyle w:val="TableGrid1421211"/>
        <w:tblW w:w="0" w:type="auto"/>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Look w:val="04A0" w:firstRow="1" w:lastRow="0" w:firstColumn="1" w:lastColumn="0" w:noHBand="0" w:noVBand="1"/>
      </w:tblPr>
      <w:tblGrid>
        <w:gridCol w:w="4780"/>
        <w:gridCol w:w="4840"/>
      </w:tblGrid>
      <w:tr w:rsidR="002D7DDD" w:rsidRPr="00944459" w14:paraId="0FB3838E" w14:textId="77777777" w:rsidTr="008931FF">
        <w:trPr>
          <w:trHeight w:val="3430"/>
        </w:trPr>
        <w:tc>
          <w:tcPr>
            <w:tcW w:w="4963" w:type="dxa"/>
          </w:tcPr>
          <w:p w14:paraId="1DA1D6EC" w14:textId="77777777" w:rsidR="002D7DDD" w:rsidRPr="00B27362" w:rsidRDefault="002D7DDD" w:rsidP="008931FF">
            <w:pPr>
              <w:spacing w:before="0" w:after="0" w:line="276" w:lineRule="auto"/>
              <w:ind w:firstLine="0"/>
              <w:contextualSpacing/>
              <w:rPr>
                <w:rFonts w:eastAsia="Calibri"/>
                <w:b/>
                <w:i/>
                <w:noProof/>
                <w:sz w:val="18"/>
                <w:szCs w:val="18"/>
                <w:lang w:val="hy-AM"/>
              </w:rPr>
            </w:pPr>
            <w:r w:rsidRPr="00B27362">
              <w:rPr>
                <w:rFonts w:eastAsia="Calibri"/>
                <w:b/>
                <w:i/>
                <w:noProof/>
                <w:sz w:val="18"/>
                <w:szCs w:val="18"/>
                <w:lang w:val="hy-AM"/>
              </w:rPr>
              <w:t xml:space="preserve">Գծապատկեր 1.8. </w:t>
            </w:r>
            <w:r w:rsidRPr="00B27362">
              <w:rPr>
                <w:rFonts w:eastAsia="Calibri"/>
                <w:i/>
                <w:noProof/>
                <w:sz w:val="18"/>
                <w:szCs w:val="18"/>
                <w:lang w:val="hy-AM"/>
              </w:rPr>
              <w:t>ՀՆԱ աճ (%) և ճյուղերի նպաստում- ները ՀՆԱ աճին (տ.կ.)</w:t>
            </w:r>
          </w:p>
          <w:p w14:paraId="64BECC5C" w14:textId="77777777" w:rsidR="002D7DDD" w:rsidRPr="00B27362" w:rsidRDefault="002D7DDD" w:rsidP="008931FF">
            <w:pPr>
              <w:spacing w:line="276" w:lineRule="auto"/>
              <w:ind w:firstLine="29"/>
              <w:rPr>
                <w:rFonts w:eastAsia="Times New Roman"/>
                <w:lang w:val="hy-AM"/>
              </w:rPr>
            </w:pPr>
            <w:r w:rsidRPr="00B27362">
              <w:rPr>
                <w:rFonts w:eastAsia="Times New Roman"/>
                <w:noProof/>
                <w:color w:val="244061"/>
              </w:rPr>
              <w:drawing>
                <wp:inline distT="0" distB="0" distL="0" distR="0" wp14:anchorId="3DFF1397" wp14:editId="7D9F6C42">
                  <wp:extent cx="2904134" cy="1675181"/>
                  <wp:effectExtent l="0" t="0" r="10795" b="1270"/>
                  <wp:docPr id="13" name="Chart 13">
                    <a:extLst xmlns:a="http://schemas.openxmlformats.org/drawingml/2006/main">
                      <a:ext uri="{FF2B5EF4-FFF2-40B4-BE49-F238E27FC236}">
                        <a16:creationId xmlns:a16="http://schemas.microsoft.com/office/drawing/2014/main" id="{B706C3B2-915B-4C24-A125-9A8A708CD2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B2E135" w14:textId="77777777" w:rsidR="002D7DDD" w:rsidRPr="00B27362" w:rsidRDefault="002D7DDD" w:rsidP="008931FF">
            <w:pPr>
              <w:spacing w:before="0" w:after="0" w:line="276" w:lineRule="auto"/>
              <w:ind w:firstLine="0"/>
              <w:contextualSpacing/>
              <w:jc w:val="left"/>
              <w:rPr>
                <w:rFonts w:eastAsia="Calibri"/>
                <w:i/>
                <w:sz w:val="16"/>
                <w:szCs w:val="16"/>
                <w:lang w:val="hy-AM"/>
              </w:rPr>
            </w:pPr>
            <w:r w:rsidRPr="00B27362">
              <w:rPr>
                <w:rFonts w:eastAsia="Calibri"/>
                <w:i/>
                <w:sz w:val="18"/>
                <w:szCs w:val="16"/>
                <w:lang w:val="hy-AM"/>
              </w:rPr>
              <w:t xml:space="preserve">Աղբյուրը՝ ՀՀ ՎԿ, ՀՀ ՖՆ հաշվարկներ </w:t>
            </w:r>
          </w:p>
        </w:tc>
        <w:tc>
          <w:tcPr>
            <w:tcW w:w="4963" w:type="dxa"/>
          </w:tcPr>
          <w:p w14:paraId="1776646E" w14:textId="77777777" w:rsidR="002D7DDD" w:rsidRPr="00B27362" w:rsidRDefault="002D7DDD" w:rsidP="008931FF">
            <w:pPr>
              <w:spacing w:before="0" w:after="0" w:line="276" w:lineRule="auto"/>
              <w:ind w:firstLine="0"/>
              <w:contextualSpacing/>
              <w:rPr>
                <w:rFonts w:eastAsia="Calibri"/>
                <w:b/>
                <w:i/>
                <w:noProof/>
                <w:sz w:val="18"/>
                <w:szCs w:val="18"/>
                <w:lang w:val="hy-AM"/>
              </w:rPr>
            </w:pPr>
            <w:r w:rsidRPr="00B27362">
              <w:rPr>
                <w:rFonts w:eastAsia="Calibri"/>
                <w:b/>
                <w:i/>
                <w:noProof/>
                <w:sz w:val="18"/>
                <w:szCs w:val="18"/>
                <w:lang w:val="hy-AM"/>
              </w:rPr>
              <w:t xml:space="preserve">Գծապատկեր 1.9. </w:t>
            </w:r>
            <w:r w:rsidRPr="00B27362">
              <w:rPr>
                <w:rFonts w:eastAsia="Calibri"/>
                <w:i/>
                <w:noProof/>
                <w:sz w:val="18"/>
                <w:szCs w:val="18"/>
                <w:lang w:val="hy-AM"/>
              </w:rPr>
              <w:t>ՀՆԱ աճ (%) և պահանջարկի բաղա- դրիչների նպաստումները ՀՆԱ աճին (տ.կ.)</w:t>
            </w:r>
          </w:p>
          <w:p w14:paraId="33F78FF3" w14:textId="77777777" w:rsidR="002D7DDD" w:rsidRPr="00B27362" w:rsidRDefault="002D7DDD" w:rsidP="008931FF">
            <w:pPr>
              <w:spacing w:before="0" w:after="0" w:line="276" w:lineRule="auto"/>
              <w:ind w:firstLine="0"/>
              <w:contextualSpacing/>
              <w:rPr>
                <w:rFonts w:eastAsia="Calibri"/>
                <w:b/>
                <w:i/>
                <w:noProof/>
                <w:lang w:val="hy-AM"/>
              </w:rPr>
            </w:pPr>
            <w:r w:rsidRPr="00B27362">
              <w:rPr>
                <w:rFonts w:eastAsia="Times New Roman"/>
                <w:b/>
                <w:i/>
                <w:noProof/>
                <w:color w:val="244061"/>
              </w:rPr>
              <w:drawing>
                <wp:inline distT="0" distB="0" distL="0" distR="0" wp14:anchorId="68090919" wp14:editId="3DAEFE4A">
                  <wp:extent cx="2962275" cy="1698984"/>
                  <wp:effectExtent l="0" t="0" r="9525" b="15875"/>
                  <wp:docPr id="14" name="Chart 14">
                    <a:extLst xmlns:a="http://schemas.openxmlformats.org/drawingml/2006/main">
                      <a:ext uri="{FF2B5EF4-FFF2-40B4-BE49-F238E27FC236}">
                        <a16:creationId xmlns:a16="http://schemas.microsoft.com/office/drawing/2014/main" id="{9315E2B3-D3AE-476A-B7C4-ACF3898E8B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B5A3BC3" w14:textId="77777777" w:rsidR="002D7DDD" w:rsidRPr="00B27362" w:rsidRDefault="002D7DDD" w:rsidP="008931FF">
            <w:pPr>
              <w:spacing w:after="0" w:line="276" w:lineRule="auto"/>
              <w:ind w:firstLine="0"/>
              <w:jc w:val="left"/>
              <w:rPr>
                <w:rFonts w:eastAsia="Calibri"/>
                <w:i/>
                <w:sz w:val="16"/>
                <w:szCs w:val="16"/>
                <w:lang w:val="hy-AM"/>
              </w:rPr>
            </w:pPr>
            <w:r w:rsidRPr="00B27362">
              <w:rPr>
                <w:rFonts w:eastAsia="Calibri"/>
                <w:i/>
                <w:sz w:val="18"/>
                <w:szCs w:val="16"/>
                <w:lang w:val="hy-AM"/>
              </w:rPr>
              <w:t>Աղբյուրը՝ ՀՀ ՎԿ, ՀՀ ՖՆ հաշվարկներ</w:t>
            </w:r>
          </w:p>
        </w:tc>
      </w:tr>
    </w:tbl>
    <w:p w14:paraId="74CA9EA6" w14:textId="77777777" w:rsidR="002D7DDD" w:rsidRPr="00B27362" w:rsidRDefault="002D7DDD" w:rsidP="00D25024">
      <w:pPr>
        <w:spacing w:after="120" w:line="276" w:lineRule="auto"/>
        <w:ind w:firstLine="0"/>
        <w:rPr>
          <w:rFonts w:eastAsia="Times New Roman" w:cs="Times New Roman"/>
          <w:lang w:val="hy-AM"/>
        </w:rPr>
      </w:pPr>
      <w:r w:rsidRPr="00B27362">
        <w:rPr>
          <w:rFonts w:eastAsia="Times New Roman" w:cs="Times New Roman"/>
          <w:lang w:val="hy-AM"/>
        </w:rPr>
        <w:t>Ապրիլ-մայիս ամիսներին տնտեսական ակտիվությունը որոշակիորեն դանդաղել է՝ պայմանավորված հիմնականում արդյունաբերության և առևտրի աճերի տեմպերի դանդաղմամբ։ Արդյունքում 2024 թվականի հունվար-մայիսին արձանագրվել է 11.2% աճ: Արդյունաբերության՝ նախորդ տարվա նոյեմբերից սկիզբ առած բարձր աճի տեմպերը ապրիլ ամսից սկսած աստիճանաբար նվազել են՝ պայմանավորված հիմնականում ոսկերչական արտադրատեսակների արտադրության նվազմամբ, որին որոշ չափով հակազդել են ապրիլից հիմնային մետաղների</w:t>
      </w:r>
      <w:r w:rsidRPr="00B27362">
        <w:rPr>
          <w:rFonts w:eastAsia="Times New Roman" w:cs="Times New Roman"/>
          <w:sz w:val="24"/>
          <w:szCs w:val="24"/>
          <w:vertAlign w:val="superscript"/>
          <w:lang w:val="hy-AM"/>
        </w:rPr>
        <w:footnoteReference w:id="9"/>
      </w:r>
      <w:r w:rsidRPr="00B27362">
        <w:rPr>
          <w:rFonts w:eastAsia="Times New Roman" w:cs="Times New Roman"/>
          <w:lang w:val="hy-AM"/>
        </w:rPr>
        <w:t xml:space="preserve">  արտադրության առաջանցիկ աճերը: Տնտեսական ակտիվության աճին </w:t>
      </w:r>
      <w:r w:rsidRPr="00B27362">
        <w:rPr>
          <w:rFonts w:eastAsia="Times New Roman" w:cs="Times New Roman"/>
          <w:lang w:val="hy-AM"/>
        </w:rPr>
        <w:lastRenderedPageBreak/>
        <w:t>հիմնականում նպաստել են արդյունաբերության (4.1 տոկոսային կետ), առևտրի (3.4 տոկոսային կետ) և ծառայությունների (1.9 տոկոսային կետ) ճյուղերի աճը: Շինարարությունը նույնպես աճել է` նպաստելով տնտեսական ակտիվությանը (1.1 տոկոսային կետ)</w:t>
      </w:r>
      <w:r w:rsidRPr="00B27362">
        <w:rPr>
          <w:rFonts w:eastAsia="Times New Roman" w:cs="Times New Roman"/>
          <w:vertAlign w:val="superscript"/>
        </w:rPr>
        <w:footnoteReference w:id="10"/>
      </w:r>
      <w:r w:rsidRPr="00B27362">
        <w:rPr>
          <w:rFonts w:eastAsia="Times New Roman" w:cs="Times New Roman"/>
          <w:lang w:val="hy-AM"/>
        </w:rPr>
        <w:t xml:space="preserve">: </w:t>
      </w:r>
    </w:p>
    <w:tbl>
      <w:tblPr>
        <w:tblStyle w:val="TableGrid1212"/>
        <w:tblW w:w="0" w:type="auto"/>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ook w:val="04A0" w:firstRow="1" w:lastRow="0" w:firstColumn="1" w:lastColumn="0" w:noHBand="0" w:noVBand="1"/>
      </w:tblPr>
      <w:tblGrid>
        <w:gridCol w:w="4864"/>
        <w:gridCol w:w="4750"/>
      </w:tblGrid>
      <w:tr w:rsidR="002D7DDD" w:rsidRPr="00B27362" w14:paraId="1F78147F" w14:textId="77777777" w:rsidTr="008931FF">
        <w:trPr>
          <w:trHeight w:val="4129"/>
        </w:trPr>
        <w:tc>
          <w:tcPr>
            <w:tcW w:w="5069" w:type="dxa"/>
            <w:shd w:val="clear" w:color="auto" w:fill="auto"/>
          </w:tcPr>
          <w:p w14:paraId="1C352BC3" w14:textId="77777777" w:rsidR="002D7DDD" w:rsidRPr="00B27362" w:rsidRDefault="002D7DDD" w:rsidP="008931FF">
            <w:pPr>
              <w:spacing w:before="0" w:after="0" w:line="276" w:lineRule="auto"/>
              <w:ind w:firstLine="0"/>
              <w:contextualSpacing/>
              <w:rPr>
                <w:rFonts w:eastAsia="Calibri"/>
                <w:b/>
                <w:i/>
                <w:noProof/>
                <w:sz w:val="18"/>
                <w:szCs w:val="18"/>
                <w:lang w:val="hy-AM"/>
              </w:rPr>
            </w:pPr>
            <w:r w:rsidRPr="00B27362">
              <w:rPr>
                <w:rFonts w:eastAsia="Calibri"/>
                <w:b/>
                <w:i/>
                <w:noProof/>
                <w:sz w:val="18"/>
                <w:szCs w:val="18"/>
                <w:lang w:val="hy-AM"/>
              </w:rPr>
              <w:t xml:space="preserve">Գծապատկեր 1.10. </w:t>
            </w:r>
            <w:r w:rsidRPr="00B27362">
              <w:rPr>
                <w:rFonts w:eastAsia="Calibri"/>
                <w:i/>
                <w:noProof/>
                <w:sz w:val="18"/>
                <w:szCs w:val="18"/>
                <w:lang w:val="hy-AM"/>
              </w:rPr>
              <w:t>ՏԱՑ և տնտեսության ճյուղերի իրա- կան աճերը նախորդ տարվա նույն ժամանակահատվածի նկատմամբ (կուտակային, %)</w:t>
            </w:r>
          </w:p>
          <w:p w14:paraId="3EDC8938" w14:textId="77777777" w:rsidR="002D7DDD" w:rsidRPr="00B27362" w:rsidRDefault="002D7DDD" w:rsidP="008931FF">
            <w:pPr>
              <w:spacing w:before="0" w:after="0" w:line="276" w:lineRule="auto"/>
              <w:ind w:firstLine="0"/>
              <w:contextualSpacing/>
              <w:rPr>
                <w:rFonts w:eastAsia="Calibri"/>
                <w:b/>
                <w:i/>
                <w:noProof/>
                <w:lang w:val="hy-AM"/>
              </w:rPr>
            </w:pPr>
            <w:r w:rsidRPr="00B27362">
              <w:rPr>
                <w:rFonts w:eastAsia="Calibri"/>
                <w:b/>
                <w:i/>
                <w:noProof/>
              </w:rPr>
              <w:drawing>
                <wp:inline distT="0" distB="0" distL="0" distR="0" wp14:anchorId="7D5E4089" wp14:editId="23DEB7F0">
                  <wp:extent cx="3064510" cy="2176145"/>
                  <wp:effectExtent l="0" t="0" r="2540" b="1460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D88F7B8" w14:textId="77777777" w:rsidR="002D7DDD" w:rsidRPr="00B27362" w:rsidRDefault="002D7DDD" w:rsidP="008931FF">
            <w:pPr>
              <w:spacing w:before="0" w:after="0" w:line="276" w:lineRule="auto"/>
              <w:ind w:firstLine="0"/>
              <w:contextualSpacing/>
              <w:jc w:val="left"/>
              <w:rPr>
                <w:rFonts w:eastAsia="Calibri"/>
                <w:i/>
                <w:sz w:val="16"/>
                <w:szCs w:val="16"/>
                <w:lang w:val="hy-AM"/>
              </w:rPr>
            </w:pPr>
            <w:r w:rsidRPr="00B27362">
              <w:rPr>
                <w:rFonts w:eastAsia="Calibri"/>
                <w:i/>
                <w:sz w:val="18"/>
                <w:szCs w:val="16"/>
                <w:lang w:val="hy-AM"/>
              </w:rPr>
              <w:t>Աղբյուրը՝ ՀՀ ՎԿ</w:t>
            </w:r>
          </w:p>
        </w:tc>
        <w:tc>
          <w:tcPr>
            <w:tcW w:w="4949" w:type="dxa"/>
          </w:tcPr>
          <w:p w14:paraId="7A942788" w14:textId="77777777" w:rsidR="002D7DDD" w:rsidRPr="00B27362" w:rsidRDefault="002D7DDD" w:rsidP="008931FF">
            <w:pPr>
              <w:spacing w:before="0" w:after="0" w:line="276" w:lineRule="auto"/>
              <w:ind w:firstLine="0"/>
              <w:contextualSpacing/>
              <w:rPr>
                <w:rFonts w:eastAsia="Calibri"/>
                <w:b/>
                <w:i/>
                <w:noProof/>
                <w:lang w:val="hy-AM"/>
              </w:rPr>
            </w:pPr>
            <w:r w:rsidRPr="00B27362">
              <w:rPr>
                <w:rFonts w:eastAsia="Calibri"/>
                <w:b/>
                <w:i/>
                <w:noProof/>
                <w:sz w:val="18"/>
                <w:szCs w:val="18"/>
              </w:rPr>
              <w:drawing>
                <wp:anchor distT="0" distB="0" distL="114300" distR="114300" simplePos="0" relativeHeight="251718656" behindDoc="1" locked="0" layoutInCell="1" allowOverlap="1" wp14:anchorId="324348E1" wp14:editId="5A4FBFA5">
                  <wp:simplePos x="0" y="0"/>
                  <wp:positionH relativeFrom="column">
                    <wp:posOffset>-5715</wp:posOffset>
                  </wp:positionH>
                  <wp:positionV relativeFrom="paragraph">
                    <wp:posOffset>538480</wp:posOffset>
                  </wp:positionV>
                  <wp:extent cx="3028950" cy="2176145"/>
                  <wp:effectExtent l="0" t="0" r="0" b="14605"/>
                  <wp:wrapTight wrapText="bothSides">
                    <wp:wrapPolygon edited="0">
                      <wp:start x="0" y="0"/>
                      <wp:lineTo x="0" y="21556"/>
                      <wp:lineTo x="21464" y="21556"/>
                      <wp:lineTo x="21464" y="0"/>
                      <wp:lineTo x="0" y="0"/>
                    </wp:wrapPolygon>
                  </wp:wrapTight>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V relativeFrom="margin">
                    <wp14:pctHeight>0</wp14:pctHeight>
                  </wp14:sizeRelV>
                </wp:anchor>
              </w:drawing>
            </w:r>
            <w:r w:rsidRPr="00B27362">
              <w:rPr>
                <w:rFonts w:eastAsia="Calibri"/>
                <w:b/>
                <w:i/>
                <w:noProof/>
                <w:sz w:val="18"/>
                <w:szCs w:val="18"/>
                <w:lang w:val="hy-AM"/>
              </w:rPr>
              <w:t>Գծապատկեր 1.11.</w:t>
            </w:r>
            <w:r w:rsidRPr="00B27362">
              <w:rPr>
                <w:rFonts w:eastAsia="Calibri"/>
                <w:i/>
                <w:noProof/>
                <w:sz w:val="18"/>
                <w:szCs w:val="18"/>
                <w:lang w:val="hy-AM"/>
              </w:rPr>
              <w:t xml:space="preserve"> ՏԱՑ և տնտեսության ճյուղերի իրական աճերը նախորդ տարվա նույն ամսվա նկատ- մամբ (ամսական, %)</w:t>
            </w:r>
          </w:p>
          <w:p w14:paraId="20BD7682" w14:textId="77777777" w:rsidR="002D7DDD" w:rsidRPr="00B27362" w:rsidRDefault="002D7DDD" w:rsidP="008931FF">
            <w:pPr>
              <w:spacing w:before="0" w:line="276" w:lineRule="auto"/>
              <w:ind w:firstLine="0"/>
              <w:jc w:val="left"/>
              <w:rPr>
                <w:rFonts w:eastAsia="Calibri"/>
                <w:i/>
                <w:sz w:val="16"/>
                <w:szCs w:val="16"/>
                <w:lang w:val="hy-AM"/>
              </w:rPr>
            </w:pPr>
            <w:r w:rsidRPr="00B27362">
              <w:rPr>
                <w:rFonts w:eastAsia="Calibri"/>
                <w:i/>
                <w:sz w:val="18"/>
                <w:szCs w:val="16"/>
                <w:lang w:val="hy-AM"/>
              </w:rPr>
              <w:t>Աղբյուրը՝ ՀՀ ՎԿ</w:t>
            </w:r>
            <w:r w:rsidRPr="00B27362" w:rsidDel="00DA0563">
              <w:rPr>
                <w:rFonts w:eastAsia="Calibri"/>
                <w:i/>
                <w:sz w:val="18"/>
                <w:szCs w:val="16"/>
                <w:lang w:val="hy-AM"/>
              </w:rPr>
              <w:t xml:space="preserve"> </w:t>
            </w:r>
          </w:p>
        </w:tc>
      </w:tr>
      <w:tr w:rsidR="002D7DDD" w:rsidRPr="00944459" w14:paraId="52D375C2" w14:textId="77777777" w:rsidTr="008931FF">
        <w:trPr>
          <w:trHeight w:val="411"/>
        </w:trPr>
        <w:tc>
          <w:tcPr>
            <w:tcW w:w="5069" w:type="dxa"/>
          </w:tcPr>
          <w:p w14:paraId="5CB7199C" w14:textId="77777777" w:rsidR="002D7DDD" w:rsidRPr="00B27362" w:rsidRDefault="002D7DDD" w:rsidP="008931FF">
            <w:pPr>
              <w:spacing w:before="0" w:after="0" w:line="276" w:lineRule="auto"/>
              <w:ind w:firstLine="0"/>
              <w:contextualSpacing/>
              <w:jc w:val="left"/>
              <w:rPr>
                <w:rFonts w:eastAsia="Calibri"/>
                <w:b/>
                <w:i/>
                <w:noProof/>
                <w:lang w:val="hy-AM"/>
              </w:rPr>
            </w:pPr>
            <w:r w:rsidRPr="00B27362">
              <w:rPr>
                <w:rFonts w:eastAsia="Calibri"/>
                <w:b/>
                <w:i/>
                <w:noProof/>
                <w:sz w:val="18"/>
                <w:szCs w:val="18"/>
                <w:lang w:val="hy-AM"/>
              </w:rPr>
              <w:t>Գծապատկեր 1.1</w:t>
            </w:r>
            <w:r w:rsidRPr="00B27362">
              <w:rPr>
                <w:rFonts w:eastAsia="Calibri"/>
                <w:b/>
                <w:i/>
                <w:noProof/>
                <w:sz w:val="18"/>
                <w:szCs w:val="18"/>
              </w:rPr>
              <w:t>2</w:t>
            </w:r>
            <w:r w:rsidRPr="00B27362">
              <w:rPr>
                <w:rFonts w:eastAsia="Calibri"/>
                <w:b/>
                <w:i/>
                <w:noProof/>
                <w:sz w:val="18"/>
                <w:szCs w:val="18"/>
                <w:lang w:val="hy-AM"/>
              </w:rPr>
              <w:t xml:space="preserve">. </w:t>
            </w:r>
            <w:r w:rsidRPr="00B27362">
              <w:rPr>
                <w:rFonts w:eastAsia="Calibri"/>
                <w:i/>
                <w:noProof/>
                <w:sz w:val="18"/>
                <w:szCs w:val="18"/>
                <w:lang w:val="hy-AM"/>
              </w:rPr>
              <w:t>Տնտեսության ճյուղերի նպաստում- ները ՏԱՑ-ին (կուտակային, տ.կ.)</w:t>
            </w:r>
            <w:r w:rsidRPr="00B27362">
              <w:rPr>
                <w:rFonts w:eastAsia="Calibri"/>
                <w:i/>
                <w:noProof/>
                <w:sz w:val="18"/>
                <w:szCs w:val="18"/>
                <w:vertAlign w:val="superscript"/>
                <w:lang w:val="hy-AM"/>
              </w:rPr>
              <w:t xml:space="preserve"> </w:t>
            </w:r>
            <w:r w:rsidRPr="00B27362">
              <w:rPr>
                <w:rFonts w:eastAsia="Calibri"/>
                <w:i/>
                <w:noProof/>
                <w:sz w:val="18"/>
                <w:szCs w:val="18"/>
                <w:vertAlign w:val="superscript"/>
                <w:lang w:val="hy-AM"/>
              </w:rPr>
              <w:footnoteReference w:id="11"/>
            </w:r>
            <w:r w:rsidRPr="00B27362">
              <w:rPr>
                <w:rFonts w:eastAsia="Calibri"/>
                <w:b/>
                <w:i/>
                <w:noProof/>
                <w:lang w:val="hy-AM"/>
              </w:rPr>
              <w:t xml:space="preserve"> </w:t>
            </w:r>
            <w:r w:rsidRPr="00B27362">
              <w:rPr>
                <w:rFonts w:eastAsia="Calibri"/>
                <w:b/>
                <w:i/>
                <w:noProof/>
              </w:rPr>
              <w:drawing>
                <wp:inline distT="0" distB="0" distL="0" distR="0" wp14:anchorId="407809F6" wp14:editId="58230738">
                  <wp:extent cx="3095625" cy="2134235"/>
                  <wp:effectExtent l="0" t="0" r="9525" b="1841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75E6ED4" w14:textId="77777777" w:rsidR="002D7DDD" w:rsidRPr="00B27362" w:rsidRDefault="002D7DDD" w:rsidP="008931FF">
            <w:pPr>
              <w:spacing w:after="0" w:line="276" w:lineRule="auto"/>
              <w:ind w:firstLine="0"/>
              <w:contextualSpacing/>
              <w:jc w:val="left"/>
              <w:rPr>
                <w:rFonts w:eastAsia="Calibri"/>
                <w:i/>
                <w:sz w:val="16"/>
                <w:szCs w:val="16"/>
                <w:lang w:val="hy-AM"/>
              </w:rPr>
            </w:pPr>
            <w:r w:rsidRPr="00B27362">
              <w:rPr>
                <w:rFonts w:eastAsia="Calibri"/>
                <w:i/>
                <w:sz w:val="18"/>
                <w:szCs w:val="16"/>
                <w:lang w:val="hy-AM"/>
              </w:rPr>
              <w:t xml:space="preserve">Աղբյուրը՝ ՀՀ ՎԿ, ՀՀ ՖՆ հաշվարկներ </w:t>
            </w:r>
          </w:p>
        </w:tc>
        <w:tc>
          <w:tcPr>
            <w:tcW w:w="4949" w:type="dxa"/>
          </w:tcPr>
          <w:p w14:paraId="7CCEB033" w14:textId="77777777" w:rsidR="002D7DDD" w:rsidRPr="00B27362" w:rsidRDefault="002D7DDD" w:rsidP="008931FF">
            <w:pPr>
              <w:spacing w:before="0" w:after="0" w:line="276" w:lineRule="auto"/>
              <w:ind w:firstLine="0"/>
              <w:contextualSpacing/>
              <w:rPr>
                <w:rFonts w:eastAsia="Calibri"/>
                <w:b/>
                <w:i/>
                <w:noProof/>
                <w:sz w:val="18"/>
                <w:szCs w:val="18"/>
                <w:lang w:val="hy-AM"/>
              </w:rPr>
            </w:pPr>
            <w:r w:rsidRPr="00B27362">
              <w:rPr>
                <w:rFonts w:eastAsia="Calibri"/>
                <w:b/>
                <w:i/>
                <w:noProof/>
                <w:sz w:val="18"/>
                <w:szCs w:val="18"/>
                <w:lang w:val="hy-AM"/>
              </w:rPr>
              <w:t xml:space="preserve">Գծապատկեր 1.13. </w:t>
            </w:r>
            <w:r w:rsidRPr="00B27362">
              <w:rPr>
                <w:rFonts w:eastAsia="Calibri"/>
                <w:i/>
                <w:noProof/>
                <w:sz w:val="18"/>
                <w:szCs w:val="18"/>
                <w:lang w:val="hy-AM"/>
              </w:rPr>
              <w:t>Տնտեսության ճյուղերի նպաստում- ները ՏԱՑ-ին նախորդ տարվա նույն ամսվա նկատմամբ (ամսական, տ.կ.)</w:t>
            </w:r>
          </w:p>
          <w:p w14:paraId="204A9807" w14:textId="77777777" w:rsidR="002D7DDD" w:rsidRPr="00B27362" w:rsidRDefault="002D7DDD" w:rsidP="008931FF">
            <w:pPr>
              <w:spacing w:before="0" w:after="0" w:line="276" w:lineRule="auto"/>
              <w:ind w:firstLine="0"/>
              <w:contextualSpacing/>
              <w:rPr>
                <w:rFonts w:eastAsia="Calibri"/>
                <w:b/>
                <w:i/>
                <w:noProof/>
                <w:lang w:val="hy-AM"/>
              </w:rPr>
            </w:pPr>
            <w:r w:rsidRPr="00B27362">
              <w:rPr>
                <w:rFonts w:eastAsia="Calibri"/>
                <w:b/>
                <w:i/>
                <w:noProof/>
              </w:rPr>
              <w:drawing>
                <wp:inline distT="0" distB="0" distL="0" distR="0" wp14:anchorId="52D8DBEA" wp14:editId="6479816A">
                  <wp:extent cx="3019425" cy="1959429"/>
                  <wp:effectExtent l="0" t="0" r="9525" b="317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8B715FD" w14:textId="77777777" w:rsidR="002D7DDD" w:rsidRPr="00B27362" w:rsidRDefault="002D7DDD" w:rsidP="008931FF">
            <w:pPr>
              <w:spacing w:after="0" w:line="276" w:lineRule="auto"/>
              <w:ind w:firstLine="0"/>
              <w:contextualSpacing/>
              <w:jc w:val="left"/>
              <w:rPr>
                <w:rFonts w:eastAsia="Calibri"/>
                <w:i/>
                <w:sz w:val="16"/>
                <w:szCs w:val="16"/>
                <w:lang w:val="hy-AM"/>
              </w:rPr>
            </w:pPr>
            <w:r w:rsidRPr="00B27362">
              <w:rPr>
                <w:rFonts w:eastAsia="Calibri"/>
                <w:i/>
                <w:sz w:val="18"/>
                <w:szCs w:val="16"/>
                <w:lang w:val="hy-AM"/>
              </w:rPr>
              <w:t>Աղբյուրը՝ ՀՀ ՎԿ, ՀՀ ՖՆ հաշվարկներ</w:t>
            </w:r>
          </w:p>
        </w:tc>
      </w:tr>
    </w:tbl>
    <w:p w14:paraId="15596E11" w14:textId="77777777" w:rsidR="002D7DDD" w:rsidRPr="00B27362" w:rsidRDefault="002D7DDD" w:rsidP="00D25024">
      <w:pPr>
        <w:spacing w:after="0" w:line="276" w:lineRule="auto"/>
        <w:ind w:firstLine="0"/>
        <w:rPr>
          <w:rFonts w:eastAsia="Times New Roman" w:cs="Times New Roman"/>
          <w:highlight w:val="yellow"/>
          <w:lang w:val="hy-AM"/>
        </w:rPr>
      </w:pPr>
      <w:r w:rsidRPr="00B27362">
        <w:rPr>
          <w:rFonts w:eastAsia="Times New Roman" w:cs="Times New Roman"/>
          <w:b/>
          <w:bCs/>
          <w:lang w:val="hy-AM"/>
        </w:rPr>
        <w:t>Ներքին և արտաքին պահանջարկի բարձր աճի տեմպերը շարունակվել են նաև 2024 թվականի առաջին եռամսյակում:</w:t>
      </w:r>
      <w:r w:rsidRPr="00B27362">
        <w:rPr>
          <w:rFonts w:eastAsia="Times New Roman" w:cs="Times New Roman"/>
          <w:lang w:val="hy-AM"/>
        </w:rPr>
        <w:t xml:space="preserve"> 2024 թվականի հունվար-մարտին տնտեսական աճը հիմնականում պայմանավորվել է ներքին մասնավոր պահանջարկի (մասնավոր սպառման և մասնավոր ներդրումների) և արտահանման աճով: Նույն ժամանակահատվածում գրանցվել են արտահանման և ներմուծման աճի բարձր տեմպեր: Ընդ որում՝ արտահանման աճն առաջանցիկ է եղել ներմուծման նկատմամբ, ինչի արդյունքում զուտ արտահանումն էական դրական նպաստում է ունեցել ՀՆԱ-ի աճին։</w:t>
      </w:r>
    </w:p>
    <w:p w14:paraId="22E04CCE"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b/>
          <w:bCs/>
          <w:lang w:val="hy-AM"/>
        </w:rPr>
        <w:lastRenderedPageBreak/>
        <w:t xml:space="preserve">Ապրիլ-մայիս ամսին ներքին պահանջարկի աճի միտումները շարունակվել են՝ պայմանավորված տնօրինվող եկամտի, հիպոթեքային, շինարարության, ինչպես նաև սպառողական վարկավորման աճերով, իսկ արտաքին պահանջարկը (առանց վերաարտահանման ազդեցության) որոշակի նվազել է: </w:t>
      </w:r>
      <w:r w:rsidRPr="00B27362">
        <w:rPr>
          <w:rFonts w:eastAsia="Times New Roman" w:cs="Times New Roman"/>
          <w:bCs/>
          <w:lang w:val="hy-AM"/>
        </w:rPr>
        <w:t>Ներքին պահանջարկի աճին դրական նպաստում է ունեցել նաև Լեռնային Ղարաբաղից ՀՀ բռնի տեղահանված բնակչության սպառումը:</w:t>
      </w:r>
      <w:r w:rsidRPr="00B27362">
        <w:rPr>
          <w:rFonts w:eastAsia="Times New Roman" w:cs="Times New Roman"/>
          <w:b/>
          <w:bCs/>
          <w:lang w:val="hy-AM"/>
        </w:rPr>
        <w:t xml:space="preserve"> </w:t>
      </w:r>
      <w:r w:rsidRPr="00B27362">
        <w:rPr>
          <w:rFonts w:eastAsia="Times New Roman" w:cs="Times New Roman"/>
          <w:lang w:val="hy-AM"/>
        </w:rPr>
        <w:t>Սպառման աճի մասին են վկայում նույն ժամանակաշրջանում առևտրի և ծառայությունների աճը, իսկ ներդրումների աճի մասին՝ շինարարության աճը:</w:t>
      </w:r>
    </w:p>
    <w:p w14:paraId="11EF5162" w14:textId="77777777" w:rsidR="002D7DDD" w:rsidRPr="00B27362" w:rsidRDefault="002D7DDD" w:rsidP="00D25024">
      <w:pPr>
        <w:spacing w:before="200" w:line="276" w:lineRule="auto"/>
        <w:ind w:firstLine="0"/>
        <w:rPr>
          <w:rFonts w:eastAsia="Times New Roman" w:cs="Times New Roman"/>
          <w:lang w:val="hy-AM"/>
        </w:rPr>
      </w:pPr>
      <w:r w:rsidRPr="00B27362">
        <w:rPr>
          <w:rFonts w:eastAsia="Times New Roman" w:cs="Times New Roman"/>
          <w:b/>
          <w:u w:val="single"/>
          <w:lang w:val="hy-AM"/>
        </w:rPr>
        <w:t>Կանխատեսում։</w:t>
      </w:r>
      <w:r w:rsidRPr="00B27362">
        <w:rPr>
          <w:rFonts w:eastAsia="Times New Roman" w:cs="Times New Roman"/>
          <w:lang w:val="hy-AM"/>
        </w:rPr>
        <w:t xml:space="preserve"> </w:t>
      </w:r>
      <w:r w:rsidRPr="00B27362">
        <w:rPr>
          <w:rFonts w:eastAsia="Times New Roman" w:cs="Times New Roman"/>
          <w:b/>
          <w:lang w:val="hy-AM"/>
        </w:rPr>
        <w:t>Ընթացիկ տնտեսական զարգացումների ստեղծած հնարավորությունների,</w:t>
      </w:r>
      <w:r w:rsidRPr="00B27362">
        <w:rPr>
          <w:rFonts w:eastAsia="Times New Roman" w:cs="Times New Roman"/>
          <w:lang w:val="hy-AM"/>
        </w:rPr>
        <w:t xml:space="preserve"> </w:t>
      </w:r>
      <w:r w:rsidRPr="00B27362">
        <w:rPr>
          <w:rFonts w:eastAsia="Times New Roman" w:cs="Times New Roman"/>
          <w:b/>
          <w:lang w:val="hy-AM"/>
        </w:rPr>
        <w:t>պետական կապիտալ ծախսերի դերի շարունակական բարձրացման</w:t>
      </w:r>
      <w:r w:rsidRPr="00B27362">
        <w:rPr>
          <w:rFonts w:eastAsia="Times New Roman" w:cs="Times New Roman"/>
          <w:lang w:val="hy-AM"/>
        </w:rPr>
        <w:t xml:space="preserve">, </w:t>
      </w:r>
      <w:r w:rsidRPr="00B27362">
        <w:rPr>
          <w:rFonts w:eastAsia="Times New Roman" w:cs="Times New Roman"/>
          <w:b/>
          <w:lang w:val="hy-AM"/>
        </w:rPr>
        <w:t>ինչպես նաև Ամուլսարի շահագործման և կառուցվածքային բարեփոխումների (առավել մանրամասն տե՛ս 1</w:t>
      </w:r>
      <w:r w:rsidRPr="00B27362">
        <w:rPr>
          <w:rFonts w:ascii="Cambria Math" w:eastAsia="Times New Roman" w:hAnsi="Cambria Math" w:cs="Cambria Math"/>
          <w:b/>
          <w:lang w:val="hy-AM"/>
        </w:rPr>
        <w:t>․</w:t>
      </w:r>
      <w:r w:rsidRPr="00B27362">
        <w:rPr>
          <w:rFonts w:eastAsia="Times New Roman" w:cs="Times New Roman"/>
          <w:b/>
          <w:lang w:val="hy-AM"/>
        </w:rPr>
        <w:t>4 բաժնում) հնարավոր ազդեցությունների արդյունքում 2024 թվականի համար սպասվում է շուրջ 6.3% տնտեսական աճ, իսկ միջնաժամկետում՝ միջինում 5</w:t>
      </w:r>
      <w:r w:rsidRPr="00B27362">
        <w:rPr>
          <w:rFonts w:ascii="Times New Roman" w:eastAsia="Times New Roman" w:hAnsi="Times New Roman" w:cs="Times New Roman"/>
          <w:b/>
          <w:lang w:val="hy-AM"/>
        </w:rPr>
        <w:t>․</w:t>
      </w:r>
      <w:r w:rsidRPr="00B27362">
        <w:rPr>
          <w:rFonts w:eastAsia="Times New Roman" w:cs="Times New Roman"/>
          <w:b/>
          <w:lang w:val="hy-AM"/>
        </w:rPr>
        <w:t>7% աճ</w:t>
      </w:r>
      <w:r w:rsidRPr="00B27362">
        <w:rPr>
          <w:rFonts w:eastAsia="Times New Roman" w:cs="Times New Roman"/>
          <w:lang w:val="hy-AM"/>
        </w:rPr>
        <w:t>: 2024 թվականին և միջնաժամկետում տնտեսական աճը պայմանավորված կլինի հիմնականում ծառայությունների աճով: Տնտեսական աճին իրենց նպաստումը կունենան նաև արդյունաբերության և շինարարության ճյուղերի աճերը, ինչը համահունչ է կառավարության նպատակադրած արտահանման խթանման և ներդրումային միջավայրի բարելավմանն ուղղված քաղաքականություններին։ Ամբողջական պահանջարկը նույնպես կաճի՝ հիմնականում պայմանավորված ներքին սպառողական և ներդրումային պահանջարկի աճով:</w:t>
      </w:r>
    </w:p>
    <w:p w14:paraId="2511C836" w14:textId="77777777" w:rsidR="002D7DDD" w:rsidRPr="00B27362" w:rsidRDefault="002D7DDD" w:rsidP="00D25024">
      <w:pPr>
        <w:spacing w:after="120" w:line="276" w:lineRule="auto"/>
        <w:ind w:firstLine="0"/>
        <w:rPr>
          <w:rFonts w:eastAsia="Times New Roman" w:cs="Times New Roman"/>
          <w:lang w:val="hy-AM"/>
        </w:rPr>
      </w:pPr>
      <w:r w:rsidRPr="00B27362">
        <w:rPr>
          <w:rFonts w:eastAsia="Times New Roman" w:cs="Times New Roman"/>
          <w:lang w:val="it-IT"/>
        </w:rPr>
        <w:t>202</w:t>
      </w:r>
      <w:r w:rsidRPr="00B27362">
        <w:rPr>
          <w:rFonts w:eastAsia="Times New Roman" w:cs="Times New Roman"/>
          <w:lang w:val="hy-AM"/>
        </w:rPr>
        <w:t>4 թվականին</w:t>
      </w:r>
      <w:r w:rsidRPr="00B27362">
        <w:rPr>
          <w:rFonts w:eastAsia="Times New Roman" w:cs="Times New Roman"/>
          <w:lang w:val="it-IT"/>
        </w:rPr>
        <w:t xml:space="preserve"> </w:t>
      </w:r>
      <w:r w:rsidRPr="00B27362">
        <w:rPr>
          <w:rFonts w:eastAsia="Times New Roman" w:cs="Times New Roman"/>
          <w:lang w:val="hy-AM"/>
        </w:rPr>
        <w:t>և</w:t>
      </w:r>
      <w:r w:rsidRPr="00B27362">
        <w:rPr>
          <w:rFonts w:eastAsia="Times New Roman" w:cs="Times New Roman"/>
          <w:lang w:val="it-IT"/>
        </w:rPr>
        <w:t xml:space="preserve"> </w:t>
      </w:r>
      <w:r w:rsidRPr="00B27362">
        <w:rPr>
          <w:rFonts w:eastAsia="Times New Roman" w:cs="Times New Roman"/>
          <w:lang w:val="hy-AM"/>
        </w:rPr>
        <w:t>մ</w:t>
      </w:r>
      <w:r w:rsidRPr="00B27362">
        <w:rPr>
          <w:rFonts w:eastAsia="Times New Roman" w:cs="Times New Roman"/>
          <w:lang w:val="it-IT"/>
        </w:rPr>
        <w:t>իջնաժամկետում դեֆլյատորը կաճի</w:t>
      </w:r>
      <w:r w:rsidRPr="00B27362">
        <w:rPr>
          <w:rFonts w:eastAsia="Times New Roman" w:cs="Times New Roman"/>
          <w:lang w:val="hy-AM"/>
        </w:rPr>
        <w:t>՝</w:t>
      </w:r>
      <w:r w:rsidRPr="00B27362">
        <w:rPr>
          <w:rFonts w:eastAsia="Times New Roman" w:cs="Times New Roman"/>
          <w:lang w:val="it-IT"/>
        </w:rPr>
        <w:t xml:space="preserve"> </w:t>
      </w:r>
      <w:r w:rsidRPr="00B27362">
        <w:rPr>
          <w:rFonts w:eastAsia="Times New Roman" w:cs="Times New Roman"/>
          <w:lang w:val="hy-AM"/>
        </w:rPr>
        <w:t>պայմանավորված ՍԳԻ-ի և</w:t>
      </w:r>
      <w:r w:rsidRPr="00B27362">
        <w:rPr>
          <w:rFonts w:eastAsia="Times New Roman" w:cs="Times New Roman"/>
          <w:lang w:val="it-IT"/>
        </w:rPr>
        <w:t xml:space="preserve"> </w:t>
      </w:r>
      <w:r w:rsidRPr="00B27362">
        <w:rPr>
          <w:rFonts w:eastAsia="Times New Roman" w:cs="Times New Roman"/>
          <w:lang w:val="hy-AM"/>
        </w:rPr>
        <w:t>ապրանքների միջազգային գների զարգացումներով:</w:t>
      </w:r>
    </w:p>
    <w:p w14:paraId="363A8E85" w14:textId="77777777" w:rsidR="002D7DDD" w:rsidRPr="00B27362" w:rsidRDefault="002D7DDD" w:rsidP="00D25024">
      <w:pPr>
        <w:spacing w:before="120" w:line="276" w:lineRule="auto"/>
        <w:ind w:firstLine="0"/>
        <w:rPr>
          <w:rFonts w:eastAsia="Times New Roman" w:cs="Times New Roman"/>
          <w:b/>
          <w:bCs/>
          <w:lang w:val="hy-AM"/>
        </w:rPr>
      </w:pPr>
      <w:r w:rsidRPr="00B27362">
        <w:rPr>
          <w:rFonts w:eastAsia="Times New Roman" w:cs="Times New Roman"/>
          <w:b/>
          <w:bCs/>
          <w:lang w:val="hy-AM"/>
        </w:rPr>
        <w:t>Վերոնշյալ զարգացումների պայմաններում անվանական ՀՆԱ-ն 2024 թվականին կկազմի  10,235.4  մլրդ դրամ՝ 280.7</w:t>
      </w:r>
      <w:r w:rsidRPr="00B27362">
        <w:rPr>
          <w:rFonts w:eastAsia="Times New Roman" w:cs="Times New Roman"/>
          <w:b/>
          <w:bCs/>
          <w:color w:val="FF0000"/>
          <w:lang w:val="hy-AM"/>
        </w:rPr>
        <w:t xml:space="preserve"> </w:t>
      </w:r>
      <w:r w:rsidRPr="00B27362">
        <w:rPr>
          <w:rFonts w:eastAsia="Times New Roman" w:cs="Times New Roman"/>
          <w:b/>
          <w:bCs/>
          <w:lang w:val="hy-AM"/>
        </w:rPr>
        <w:t>մլրդ դրամով պակաս լինելով 2024 թվականի պետական բյուջեով ծրագրված ցուցանիշից: Իսկ միջնաժա</w:t>
      </w:r>
      <w:r>
        <w:rPr>
          <w:rFonts w:eastAsia="Times New Roman" w:cs="Times New Roman"/>
          <w:b/>
          <w:bCs/>
          <w:lang w:val="hy-AM"/>
        </w:rPr>
        <w:t>մ</w:t>
      </w:r>
      <w:r w:rsidRPr="00B27362">
        <w:rPr>
          <w:rFonts w:eastAsia="Times New Roman" w:cs="Times New Roman"/>
          <w:b/>
          <w:bCs/>
          <w:lang w:val="hy-AM"/>
        </w:rPr>
        <w:t>կետում անվանական ՀՆԱ-ն կաճի՝ 2027 թվականին կազմելով 13,505.3 մլրդ դրամ։</w:t>
      </w:r>
    </w:p>
    <w:tbl>
      <w:tblPr>
        <w:tblStyle w:val="TableGrid7110"/>
        <w:tblW w:w="0" w:type="auto"/>
        <w:tblBorders>
          <w:top w:val="single" w:sz="6" w:space="0" w:color="4472C4"/>
          <w:left w:val="single" w:sz="6" w:space="0" w:color="4472C4"/>
          <w:bottom w:val="single" w:sz="6" w:space="0" w:color="4472C4"/>
          <w:right w:val="single" w:sz="6" w:space="0" w:color="4472C4"/>
          <w:insideH w:val="single" w:sz="6" w:space="0" w:color="4472C4"/>
          <w:insideV w:val="single" w:sz="6" w:space="0" w:color="4472C4"/>
        </w:tblBorders>
        <w:tblLook w:val="04A0" w:firstRow="1" w:lastRow="0" w:firstColumn="1" w:lastColumn="0" w:noHBand="0" w:noVBand="1"/>
      </w:tblPr>
      <w:tblGrid>
        <w:gridCol w:w="4909"/>
        <w:gridCol w:w="4705"/>
      </w:tblGrid>
      <w:tr w:rsidR="002D7DDD" w:rsidRPr="00944459" w14:paraId="1351B638" w14:textId="77777777" w:rsidTr="008931FF">
        <w:trPr>
          <w:trHeight w:val="3489"/>
        </w:trPr>
        <w:tc>
          <w:tcPr>
            <w:tcW w:w="10018" w:type="dxa"/>
            <w:gridSpan w:val="2"/>
          </w:tcPr>
          <w:p w14:paraId="7F7A420E" w14:textId="77777777" w:rsidR="002D7DDD" w:rsidRPr="00B27362" w:rsidRDefault="002D7DDD" w:rsidP="008931FF">
            <w:pPr>
              <w:spacing w:before="0" w:after="0" w:line="276" w:lineRule="auto"/>
              <w:ind w:firstLine="0"/>
              <w:contextualSpacing/>
              <w:rPr>
                <w:rFonts w:eastAsia="Calibri" w:cs="Times New Roman"/>
                <w:i/>
                <w:noProof/>
                <w:sz w:val="18"/>
                <w:szCs w:val="18"/>
                <w:lang w:val="hy-AM"/>
              </w:rPr>
            </w:pPr>
            <w:r w:rsidRPr="00B27362">
              <w:rPr>
                <w:rFonts w:eastAsia="Calibri" w:cs="Times New Roman"/>
                <w:b/>
                <w:i/>
                <w:noProof/>
                <w:sz w:val="18"/>
                <w:szCs w:val="18"/>
                <w:lang w:val="hy-AM"/>
              </w:rPr>
              <w:t xml:space="preserve">Գծապատկեր 1.14. </w:t>
            </w:r>
            <w:r w:rsidRPr="00B27362">
              <w:rPr>
                <w:rFonts w:eastAsia="Calibri" w:cs="Times New Roman"/>
                <w:i/>
                <w:noProof/>
                <w:sz w:val="18"/>
                <w:szCs w:val="18"/>
                <w:lang w:val="hy-AM"/>
              </w:rPr>
              <w:t>Անվանական ՀՆԱ և տնտեսական աճ</w:t>
            </w:r>
          </w:p>
          <w:p w14:paraId="104506B4" w14:textId="77777777" w:rsidR="002D7DDD" w:rsidRPr="00B27362" w:rsidRDefault="002D7DDD" w:rsidP="008931FF">
            <w:pPr>
              <w:spacing w:after="160" w:line="276" w:lineRule="auto"/>
              <w:ind w:firstLine="0"/>
              <w:contextualSpacing/>
              <w:jc w:val="left"/>
              <w:rPr>
                <w:rFonts w:eastAsia="Calibri" w:cs="Times New Roman"/>
                <w:i/>
                <w:sz w:val="16"/>
                <w:szCs w:val="16"/>
                <w:lang w:val="hy-AM"/>
              </w:rPr>
            </w:pPr>
            <w:r w:rsidRPr="00B27362">
              <w:rPr>
                <w:rFonts w:eastAsia="Times New Roman" w:cs="Times New Roman"/>
                <w:b/>
                <w:bCs/>
                <w:noProof/>
                <w:u w:val="single"/>
              </w:rPr>
              <w:drawing>
                <wp:inline distT="0" distB="0" distL="0" distR="0" wp14:anchorId="24669E72" wp14:editId="0FD93437">
                  <wp:extent cx="5943600" cy="22479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1EE55B" w14:textId="77777777" w:rsidR="002D7DDD" w:rsidRPr="00B27362" w:rsidRDefault="002D7DDD" w:rsidP="008931FF">
            <w:pPr>
              <w:spacing w:after="160" w:line="276" w:lineRule="auto"/>
              <w:ind w:firstLine="0"/>
              <w:contextualSpacing/>
              <w:jc w:val="left"/>
              <w:rPr>
                <w:rFonts w:eastAsia="Calibri" w:cs="Times New Roman"/>
                <w:b/>
                <w:i/>
                <w:sz w:val="16"/>
                <w:szCs w:val="16"/>
                <w:lang w:val="hy-AM"/>
              </w:rPr>
            </w:pPr>
            <w:r w:rsidRPr="00B27362">
              <w:rPr>
                <w:rFonts w:eastAsia="Calibri" w:cs="Times New Roman"/>
                <w:i/>
                <w:sz w:val="16"/>
                <w:szCs w:val="16"/>
                <w:lang w:val="hy-AM"/>
              </w:rPr>
              <w:t>Աղբյուրը՝ ՀՀ ՎԿ, ՀՀ ՖՆ հաշվարկներ և կանխատեսումներ</w:t>
            </w:r>
          </w:p>
        </w:tc>
      </w:tr>
      <w:tr w:rsidR="002D7DDD" w:rsidRPr="00B27362" w14:paraId="791965BC" w14:textId="77777777" w:rsidTr="008931FF">
        <w:trPr>
          <w:trHeight w:val="628"/>
        </w:trPr>
        <w:tc>
          <w:tcPr>
            <w:tcW w:w="4949" w:type="dxa"/>
          </w:tcPr>
          <w:p w14:paraId="40C833DF" w14:textId="77777777" w:rsidR="002D7DDD" w:rsidRPr="00B27362" w:rsidRDefault="002D7DDD" w:rsidP="008931FF">
            <w:pPr>
              <w:spacing w:before="0" w:after="0" w:line="276" w:lineRule="auto"/>
              <w:ind w:firstLine="0"/>
              <w:contextualSpacing/>
              <w:rPr>
                <w:rFonts w:eastAsia="Calibri" w:cs="Times New Roman"/>
                <w:b/>
                <w:i/>
                <w:noProof/>
                <w:sz w:val="18"/>
                <w:szCs w:val="18"/>
                <w:lang w:val="hy-AM"/>
              </w:rPr>
            </w:pPr>
            <w:r w:rsidRPr="00B27362">
              <w:rPr>
                <w:rFonts w:eastAsia="Calibri" w:cs="Times New Roman"/>
                <w:b/>
                <w:i/>
                <w:noProof/>
                <w:sz w:val="18"/>
                <w:szCs w:val="18"/>
                <w:lang w:val="hy-AM"/>
              </w:rPr>
              <w:t xml:space="preserve">Գծապատկեր 1.15. </w:t>
            </w:r>
            <w:r w:rsidRPr="00B27362">
              <w:rPr>
                <w:rFonts w:eastAsia="Calibri" w:cs="Times New Roman"/>
                <w:i/>
                <w:noProof/>
                <w:sz w:val="18"/>
                <w:szCs w:val="18"/>
                <w:lang w:val="hy-AM"/>
              </w:rPr>
              <w:t>Տնտեսության առանձին ճյուղերի նպաստումները տնտեսական աճին</w:t>
            </w:r>
            <w:r w:rsidRPr="00B27362">
              <w:rPr>
                <w:rFonts w:eastAsia="Calibri" w:cs="Times New Roman"/>
                <w:b/>
                <w:i/>
                <w:noProof/>
                <w:sz w:val="18"/>
                <w:szCs w:val="18"/>
                <w:lang w:val="hy-AM"/>
              </w:rPr>
              <w:t xml:space="preserve"> </w:t>
            </w:r>
          </w:p>
          <w:p w14:paraId="5B7ACE52" w14:textId="77777777" w:rsidR="002D7DDD" w:rsidRPr="00B27362" w:rsidRDefault="002D7DDD" w:rsidP="008931FF">
            <w:pPr>
              <w:spacing w:line="276" w:lineRule="auto"/>
              <w:ind w:firstLine="29"/>
              <w:rPr>
                <w:rFonts w:eastAsia="Times New Roman" w:cs="Times New Roman"/>
                <w:b/>
              </w:rPr>
            </w:pPr>
            <w:r w:rsidRPr="00B27362">
              <w:rPr>
                <w:rFonts w:eastAsia="Times New Roman" w:cs="Times New Roman"/>
                <w:noProof/>
                <w:shd w:val="clear" w:color="auto" w:fill="B4C6E7"/>
              </w:rPr>
              <w:lastRenderedPageBreak/>
              <w:drawing>
                <wp:inline distT="0" distB="0" distL="0" distR="0" wp14:anchorId="1AB4C952" wp14:editId="249C1021">
                  <wp:extent cx="3021330" cy="1892410"/>
                  <wp:effectExtent l="0" t="0" r="7620" b="1270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14A179A" w14:textId="77777777" w:rsidR="002D7DDD" w:rsidRPr="00B27362" w:rsidRDefault="002D7DDD" w:rsidP="008931FF">
            <w:pPr>
              <w:spacing w:after="0" w:line="276" w:lineRule="auto"/>
              <w:ind w:firstLine="0"/>
              <w:contextualSpacing/>
              <w:jc w:val="left"/>
              <w:rPr>
                <w:rFonts w:eastAsia="Calibri" w:cs="Times New Roman"/>
                <w:i/>
                <w:sz w:val="16"/>
                <w:szCs w:val="16"/>
                <w:lang w:val="hy-AM"/>
              </w:rPr>
            </w:pPr>
            <w:r w:rsidRPr="00B27362">
              <w:rPr>
                <w:rFonts w:eastAsia="Calibri" w:cs="Times New Roman"/>
                <w:i/>
                <w:sz w:val="16"/>
                <w:szCs w:val="16"/>
                <w:lang w:val="hy-AM"/>
              </w:rPr>
              <w:t>Աղբյուրը՝ ՀՀ ՎԿ, ՀՀ ՖՆ հաշվարկներ և կանխատեսումներ</w:t>
            </w:r>
          </w:p>
        </w:tc>
        <w:tc>
          <w:tcPr>
            <w:tcW w:w="5069" w:type="dxa"/>
          </w:tcPr>
          <w:p w14:paraId="6278336E" w14:textId="77777777" w:rsidR="002D7DDD" w:rsidRPr="00B27362" w:rsidRDefault="002D7DDD" w:rsidP="008931FF">
            <w:pPr>
              <w:spacing w:before="0" w:after="0" w:line="276" w:lineRule="auto"/>
              <w:ind w:firstLine="0"/>
              <w:contextualSpacing/>
              <w:rPr>
                <w:rFonts w:eastAsia="Calibri" w:cs="Times New Roman"/>
                <w:b/>
                <w:i/>
                <w:noProof/>
                <w:sz w:val="18"/>
                <w:szCs w:val="18"/>
                <w:lang w:val="hy-AM"/>
              </w:rPr>
            </w:pPr>
            <w:r w:rsidRPr="00B27362">
              <w:rPr>
                <w:rFonts w:eastAsia="Calibri" w:cs="Times New Roman"/>
                <w:b/>
                <w:i/>
                <w:noProof/>
                <w:sz w:val="18"/>
                <w:szCs w:val="18"/>
                <w:lang w:val="hy-AM"/>
              </w:rPr>
              <w:lastRenderedPageBreak/>
              <w:t xml:space="preserve">Գծապատկեր 1.16. </w:t>
            </w:r>
            <w:r w:rsidRPr="00B27362">
              <w:rPr>
                <w:rFonts w:eastAsia="Calibri" w:cs="Times New Roman"/>
                <w:i/>
                <w:noProof/>
                <w:sz w:val="18"/>
                <w:szCs w:val="18"/>
                <w:lang w:val="hy-AM"/>
              </w:rPr>
              <w:t>Տնտեսական աճին պահանջարկի բաղադրիչների նպաստումները</w:t>
            </w:r>
          </w:p>
          <w:p w14:paraId="3859DD8D" w14:textId="77777777" w:rsidR="002D7DDD" w:rsidRPr="00B27362" w:rsidRDefault="002D7DDD" w:rsidP="008931FF">
            <w:pPr>
              <w:spacing w:line="276" w:lineRule="auto"/>
              <w:ind w:firstLine="0"/>
              <w:rPr>
                <w:rFonts w:eastAsia="Times New Roman" w:cs="Times New Roman"/>
              </w:rPr>
            </w:pPr>
            <w:r w:rsidRPr="00B27362">
              <w:rPr>
                <w:rFonts w:eastAsia="Times New Roman" w:cs="Sylfaen"/>
                <w:b/>
                <w:noProof/>
              </w:rPr>
              <w:lastRenderedPageBreak/>
              <w:drawing>
                <wp:inline distT="0" distB="0" distL="0" distR="0" wp14:anchorId="12238474" wp14:editId="779D0E09">
                  <wp:extent cx="2905125" cy="1896745"/>
                  <wp:effectExtent l="0" t="0" r="9525" b="825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A9534D9" w14:textId="77777777" w:rsidR="002D7DDD" w:rsidRPr="00B27362" w:rsidRDefault="002D7DDD" w:rsidP="008931FF">
            <w:pPr>
              <w:spacing w:after="0" w:line="276" w:lineRule="auto"/>
              <w:ind w:firstLine="0"/>
              <w:contextualSpacing/>
              <w:jc w:val="left"/>
              <w:rPr>
                <w:rFonts w:eastAsia="Calibri" w:cs="Times New Roman"/>
                <w:i/>
                <w:lang w:val="hy-AM"/>
              </w:rPr>
            </w:pPr>
            <w:r w:rsidRPr="00B27362">
              <w:rPr>
                <w:rFonts w:eastAsia="Calibri" w:cs="Times New Roman"/>
                <w:i/>
                <w:sz w:val="16"/>
                <w:szCs w:val="16"/>
                <w:lang w:val="hy-AM"/>
              </w:rPr>
              <w:t xml:space="preserve">Աղբյուրը՝ ՀՀ ՎԿ, ՀՀ </w:t>
            </w:r>
            <w:r w:rsidRPr="00B27362">
              <w:rPr>
                <w:rFonts w:eastAsia="Calibri" w:cs="Times New Roman"/>
                <w:i/>
                <w:sz w:val="18"/>
                <w:szCs w:val="16"/>
                <w:lang w:val="hy-AM"/>
              </w:rPr>
              <w:t>ՖՆ</w:t>
            </w:r>
            <w:r w:rsidRPr="00B27362">
              <w:rPr>
                <w:rFonts w:eastAsia="Calibri" w:cs="Times New Roman"/>
                <w:i/>
                <w:sz w:val="16"/>
                <w:szCs w:val="16"/>
                <w:lang w:val="hy-AM"/>
              </w:rPr>
              <w:t xml:space="preserve"> հաշվարկներ և կանխատեսումներ</w:t>
            </w:r>
          </w:p>
        </w:tc>
      </w:tr>
    </w:tbl>
    <w:p w14:paraId="5E60D5A1" w14:textId="77777777" w:rsidR="002D7DDD" w:rsidRPr="00B27362" w:rsidRDefault="002D7DDD" w:rsidP="00D25024">
      <w:pPr>
        <w:spacing w:before="120" w:line="276" w:lineRule="auto"/>
        <w:ind w:firstLine="0"/>
        <w:rPr>
          <w:rFonts w:eastAsia="Times New Roman" w:cs="Times New Roman"/>
        </w:rPr>
      </w:pPr>
      <w:r w:rsidRPr="00B27362">
        <w:rPr>
          <w:rFonts w:eastAsia="Times New Roman" w:cs="Times New Roman"/>
          <w:b/>
          <w:bCs/>
          <w:u w:val="single"/>
          <w:lang w:val="hy-AM"/>
        </w:rPr>
        <w:lastRenderedPageBreak/>
        <w:t>Համախառն առաջարկի կանխատեսում</w:t>
      </w:r>
      <w:r w:rsidRPr="00B27362">
        <w:rPr>
          <w:rFonts w:eastAsia="Times New Roman" w:cs="Times New Roman"/>
          <w:b/>
          <w:bCs/>
          <w:u w:val="single"/>
        </w:rPr>
        <w:t>.</w:t>
      </w:r>
      <w:r w:rsidRPr="00B27362">
        <w:rPr>
          <w:rFonts w:eastAsia="Times New Roman" w:cs="Times New Roman"/>
          <w:lang w:val="hy-AM"/>
        </w:rPr>
        <w:t xml:space="preserve"> 2024 թվականին տնտեսական աճը պայմանավորված կլինի հիմնականում ծառայությունների աճով (6.6%): Տնտեսության մյուս ճյուղերը նույնպես կաճեն` նպաստելով տնտեսական աճին:</w:t>
      </w:r>
    </w:p>
    <w:p w14:paraId="43F076E7" w14:textId="77777777" w:rsidR="002D7DDD" w:rsidRPr="00B27362" w:rsidRDefault="002D7DDD" w:rsidP="00D25024">
      <w:pPr>
        <w:spacing w:after="0" w:line="276" w:lineRule="auto"/>
        <w:ind w:firstLine="0"/>
        <w:rPr>
          <w:rFonts w:eastAsia="Times New Roman" w:cs="Times New Roman"/>
          <w:lang w:val="hy-AM"/>
        </w:rPr>
      </w:pPr>
      <w:r w:rsidRPr="00B27362">
        <w:rPr>
          <w:rFonts w:eastAsia="Times New Roman" w:cs="Times New Roman"/>
          <w:lang w:val="hy-AM"/>
        </w:rPr>
        <w:t xml:space="preserve">Միջնաժամկետում՝ պայմանավորված ներքին և արտաքին պահանջարկի աճով, տնտեսությունում իրականացվող պետական և մասնավոր ներդրումներով, ինչպես նաև ՀՀ կառավարության կողմից արտահանման ու ներդրումների խթանմանն ուղղված քաղաքականություններով` ծառայությունները կաճեն միջինում 6.1%-ով (ծառայությունների աճը կշարունակի պայմանավորվել ՏՏ, </w:t>
      </w:r>
      <w:r>
        <w:rPr>
          <w:rFonts w:eastAsia="Times New Roman" w:cs="Times New Roman"/>
          <w:lang w:val="hy-AM"/>
        </w:rPr>
        <w:t>զբոսաշրջության</w:t>
      </w:r>
      <w:r w:rsidRPr="00B27362">
        <w:rPr>
          <w:rFonts w:eastAsia="Times New Roman" w:cs="Times New Roman"/>
          <w:lang w:val="hy-AM"/>
        </w:rPr>
        <w:t xml:space="preserve"> և ֆինանսական ծառայությունների աճերով), արդյունաբերությունը՝ 4.9%-ով (պայմանավորված հանքարդյունաբերության՝ մասնավորապես Ամուլսարի, Սոթքի շահագործմամբ և մշակող արդյունաբերության աճերով), շինարարությունը՝ 5.9%-ով (</w:t>
      </w:r>
      <w:r w:rsidRPr="00B27362">
        <w:rPr>
          <w:rFonts w:eastAsia="Times New Roman" w:cs="Times New Roman"/>
          <w:bCs/>
          <w:lang w:val="hy-AM"/>
        </w:rPr>
        <w:t xml:space="preserve">պետական կապիտալ ծախսերի աճով (հիմնականում </w:t>
      </w:r>
      <w:r w:rsidRPr="00B27362">
        <w:rPr>
          <w:rFonts w:eastAsia="Times New Roman" w:cs="Times New Roman"/>
          <w:lang w:val="hy-AM"/>
        </w:rPr>
        <w:t>ենթակառուցվածքներում ներդրումների աճով</w:t>
      </w:r>
      <w:r w:rsidRPr="00B27362">
        <w:rPr>
          <w:rFonts w:eastAsia="Times New Roman" w:cs="Times New Roman"/>
          <w:bCs/>
          <w:lang w:val="hy-AM"/>
        </w:rPr>
        <w:t>) և բնակարանային շինարարության աճով</w:t>
      </w:r>
      <w:r w:rsidRPr="00B27362">
        <w:rPr>
          <w:rFonts w:eastAsia="Times New Roman" w:cs="Times New Roman"/>
          <w:lang w:val="hy-AM"/>
        </w:rPr>
        <w:t>), իսկ գյուղատնտեսությունը՝ 3.0%-ով (գյուղատնտեսության ոլորտի պետական օժանդակության ծրագրերով պայմանավորված ոլորտի աճով):</w:t>
      </w:r>
    </w:p>
    <w:tbl>
      <w:tblPr>
        <w:tblStyle w:val="TableGrid8110"/>
        <w:tblW w:w="0" w:type="auto"/>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4A0" w:firstRow="1" w:lastRow="0" w:firstColumn="1" w:lastColumn="0" w:noHBand="0" w:noVBand="1"/>
      </w:tblPr>
      <w:tblGrid>
        <w:gridCol w:w="4796"/>
        <w:gridCol w:w="4824"/>
      </w:tblGrid>
      <w:tr w:rsidR="002D7DDD" w:rsidRPr="00944459" w14:paraId="2E53A91A" w14:textId="77777777" w:rsidTr="008931FF">
        <w:trPr>
          <w:trHeight w:val="3783"/>
        </w:trPr>
        <w:tc>
          <w:tcPr>
            <w:tcW w:w="5215" w:type="dxa"/>
          </w:tcPr>
          <w:p w14:paraId="7B0E4798" w14:textId="77777777" w:rsidR="002D7DDD" w:rsidRPr="00B27362" w:rsidRDefault="002D7DDD" w:rsidP="008931FF">
            <w:pPr>
              <w:spacing w:before="0" w:after="0" w:line="276" w:lineRule="auto"/>
              <w:ind w:firstLine="0"/>
              <w:contextualSpacing/>
              <w:rPr>
                <w:rFonts w:eastAsia="Times New Roman" w:cs="Times New Roman"/>
                <w:i/>
                <w:noProof/>
                <w:sz w:val="18"/>
                <w:szCs w:val="18"/>
                <w:lang w:val="hy-AM"/>
              </w:rPr>
            </w:pPr>
            <w:r w:rsidRPr="00B27362">
              <w:rPr>
                <w:rFonts w:eastAsia="Calibri" w:cs="Times New Roman"/>
                <w:b/>
                <w:i/>
                <w:noProof/>
                <w:sz w:val="18"/>
                <w:szCs w:val="18"/>
              </w:rPr>
              <w:drawing>
                <wp:anchor distT="0" distB="0" distL="114300" distR="114300" simplePos="0" relativeHeight="251720704" behindDoc="0" locked="0" layoutInCell="1" allowOverlap="1" wp14:anchorId="5F305C70" wp14:editId="5D57278D">
                  <wp:simplePos x="0" y="0"/>
                  <wp:positionH relativeFrom="column">
                    <wp:posOffset>-65365</wp:posOffset>
                  </wp:positionH>
                  <wp:positionV relativeFrom="paragraph">
                    <wp:posOffset>426875</wp:posOffset>
                  </wp:positionV>
                  <wp:extent cx="3102610" cy="1807845"/>
                  <wp:effectExtent l="0" t="0" r="2540" b="1905"/>
                  <wp:wrapSquare wrapText="bothSides"/>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V relativeFrom="margin">
                    <wp14:pctHeight>0</wp14:pctHeight>
                  </wp14:sizeRelV>
                </wp:anchor>
              </w:drawing>
            </w:r>
            <w:r w:rsidRPr="00B27362">
              <w:rPr>
                <w:rFonts w:ascii="Times New Roman" w:eastAsia="Times New Roman" w:hAnsi="Times New Roman" w:cs="Times New Roman"/>
                <w:b/>
                <w:i/>
                <w:noProof/>
                <w:sz w:val="18"/>
                <w:szCs w:val="18"/>
                <w:lang w:val="hy-AM"/>
              </w:rPr>
              <w:t xml:space="preserve"> </w:t>
            </w:r>
            <w:r w:rsidRPr="00B27362">
              <w:rPr>
                <w:rFonts w:eastAsia="Times New Roman" w:cs="Times New Roman"/>
                <w:b/>
                <w:i/>
                <w:noProof/>
                <w:sz w:val="18"/>
                <w:szCs w:val="18"/>
                <w:lang w:val="hy-AM"/>
              </w:rPr>
              <w:t xml:space="preserve">Գծապատկեր 1.17. </w:t>
            </w:r>
            <w:r w:rsidRPr="00B27362">
              <w:rPr>
                <w:rFonts w:eastAsia="Times New Roman" w:cs="Times New Roman"/>
                <w:i/>
                <w:noProof/>
                <w:sz w:val="18"/>
                <w:szCs w:val="18"/>
                <w:lang w:val="hy-AM"/>
              </w:rPr>
              <w:t>Ծախսային բաղադրիչների տեսակարար կշիռները ՀՆԱ-ի կազմում</w:t>
            </w:r>
          </w:p>
          <w:p w14:paraId="6DDD7D97" w14:textId="77777777" w:rsidR="002D7DDD" w:rsidRPr="00B27362" w:rsidRDefault="002D7DDD" w:rsidP="008931FF">
            <w:pPr>
              <w:spacing w:after="0" w:line="276" w:lineRule="auto"/>
              <w:ind w:firstLine="0"/>
              <w:jc w:val="left"/>
              <w:rPr>
                <w:rFonts w:eastAsia="Calibri" w:cs="Times New Roman"/>
                <w:i/>
                <w:sz w:val="16"/>
                <w:szCs w:val="16"/>
                <w:lang w:val="hy-AM"/>
              </w:rPr>
            </w:pPr>
            <w:r w:rsidRPr="00B27362">
              <w:rPr>
                <w:rFonts w:eastAsia="Calibri" w:cs="Times New Roman"/>
                <w:i/>
                <w:sz w:val="16"/>
                <w:szCs w:val="16"/>
                <w:lang w:val="hy-AM"/>
              </w:rPr>
              <w:t>Աղբյուրը՝ ՀՀ ՎԿ, ՀՀ ՖՆ հաշվարկներ և կանխատեսումներ</w:t>
            </w:r>
          </w:p>
        </w:tc>
        <w:tc>
          <w:tcPr>
            <w:tcW w:w="5030" w:type="dxa"/>
          </w:tcPr>
          <w:p w14:paraId="6527EEEF" w14:textId="77777777" w:rsidR="002D7DDD" w:rsidRPr="00B27362" w:rsidRDefault="002D7DDD" w:rsidP="008931FF">
            <w:pPr>
              <w:spacing w:before="0" w:after="0" w:line="276" w:lineRule="auto"/>
              <w:ind w:firstLine="0"/>
              <w:contextualSpacing/>
              <w:rPr>
                <w:rFonts w:eastAsia="Calibri" w:cs="Times New Roman"/>
                <w:b/>
                <w:i/>
                <w:noProof/>
                <w:sz w:val="18"/>
                <w:szCs w:val="18"/>
                <w:lang w:val="hy-AM"/>
              </w:rPr>
            </w:pPr>
            <w:r w:rsidRPr="00B27362">
              <w:rPr>
                <w:rFonts w:eastAsia="Calibri" w:cs="Times New Roman"/>
                <w:b/>
                <w:i/>
                <w:noProof/>
              </w:rPr>
              <w:drawing>
                <wp:anchor distT="0" distB="0" distL="114300" distR="114300" simplePos="0" relativeHeight="251719680" behindDoc="0" locked="0" layoutInCell="1" allowOverlap="1" wp14:anchorId="73953784" wp14:editId="3E7FC75A">
                  <wp:simplePos x="0" y="0"/>
                  <wp:positionH relativeFrom="column">
                    <wp:posOffset>-45085</wp:posOffset>
                  </wp:positionH>
                  <wp:positionV relativeFrom="paragraph">
                    <wp:posOffset>426085</wp:posOffset>
                  </wp:positionV>
                  <wp:extent cx="3112135" cy="1807845"/>
                  <wp:effectExtent l="0" t="0" r="12065" b="1905"/>
                  <wp:wrapSquare wrapText="bothSides"/>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V relativeFrom="margin">
                    <wp14:pctHeight>0</wp14:pctHeight>
                  </wp14:sizeRelV>
                </wp:anchor>
              </w:drawing>
            </w:r>
            <w:r w:rsidRPr="00B27362">
              <w:rPr>
                <w:rFonts w:eastAsia="Calibri" w:cs="Times New Roman"/>
                <w:b/>
                <w:i/>
                <w:noProof/>
                <w:sz w:val="18"/>
                <w:szCs w:val="18"/>
                <w:lang w:val="hy-AM"/>
              </w:rPr>
              <w:t>Գծապատկեր 1.18.</w:t>
            </w:r>
            <w:r w:rsidRPr="00B27362">
              <w:rPr>
                <w:rFonts w:eastAsia="Calibri" w:cs="Times New Roman"/>
                <w:i/>
                <w:noProof/>
                <w:sz w:val="18"/>
                <w:szCs w:val="18"/>
                <w:lang w:val="hy-AM"/>
              </w:rPr>
              <w:t xml:space="preserve"> Ճյուղերի տեսակարար կշիռները ՀՆԱ-ի կազմում</w:t>
            </w:r>
          </w:p>
          <w:p w14:paraId="48062203" w14:textId="77777777" w:rsidR="002D7DDD" w:rsidRPr="00B27362" w:rsidRDefault="002D7DDD" w:rsidP="008931FF">
            <w:pPr>
              <w:spacing w:after="0" w:line="276" w:lineRule="auto"/>
              <w:ind w:firstLine="0"/>
              <w:jc w:val="left"/>
              <w:rPr>
                <w:rFonts w:eastAsia="Calibri" w:cs="Times New Roman"/>
                <w:i/>
                <w:sz w:val="16"/>
                <w:szCs w:val="16"/>
                <w:lang w:val="hy-AM"/>
              </w:rPr>
            </w:pPr>
            <w:r w:rsidRPr="00B27362">
              <w:rPr>
                <w:rFonts w:eastAsia="Calibri" w:cs="Times New Roman"/>
                <w:i/>
                <w:sz w:val="16"/>
                <w:szCs w:val="16"/>
                <w:lang w:val="hy-AM"/>
              </w:rPr>
              <w:t>Աղբյուրը՝ ՀՀ ՎԿ, ՀՀ ՖՆ հաշվարկներ և կանխատեսումներ</w:t>
            </w:r>
          </w:p>
        </w:tc>
      </w:tr>
    </w:tbl>
    <w:p w14:paraId="5A8B2662" w14:textId="77777777" w:rsidR="002D7DDD" w:rsidRPr="00B27362" w:rsidRDefault="002D7DDD" w:rsidP="00D25024">
      <w:pPr>
        <w:spacing w:before="120" w:line="276" w:lineRule="auto"/>
        <w:ind w:firstLine="0"/>
        <w:rPr>
          <w:rFonts w:eastAsia="Times New Roman" w:cs="Times New Roman"/>
          <w:lang w:val="hy-AM"/>
        </w:rPr>
      </w:pPr>
      <w:r w:rsidRPr="00B27362">
        <w:rPr>
          <w:rFonts w:eastAsia="Times New Roman" w:cs="Times New Roman"/>
          <w:b/>
          <w:color w:val="000000" w:themeColor="text1"/>
          <w:u w:val="single"/>
          <w:lang w:val="hy-AM"/>
        </w:rPr>
        <w:t>Համախառն պահանջարկի կանխատեսում</w:t>
      </w:r>
      <w:r w:rsidRPr="00B27362">
        <w:rPr>
          <w:rFonts w:eastAsia="Times New Roman" w:cs="Times New Roman"/>
          <w:color w:val="000000" w:themeColor="text1"/>
          <w:u w:val="single"/>
          <w:lang w:val="hy-AM"/>
        </w:rPr>
        <w:t>.</w:t>
      </w:r>
      <w:r w:rsidRPr="00B27362">
        <w:rPr>
          <w:rFonts w:eastAsia="Times New Roman" w:cs="Times New Roman"/>
          <w:color w:val="000000" w:themeColor="text1"/>
          <w:lang w:val="hy-AM"/>
        </w:rPr>
        <w:t xml:space="preserve"> </w:t>
      </w:r>
      <w:r w:rsidRPr="00B27362">
        <w:rPr>
          <w:rFonts w:eastAsia="Times New Roman" w:cs="Times New Roman"/>
          <w:lang w:val="hy-AM"/>
        </w:rPr>
        <w:t>2024 թվականին վերջնական սպառումը կաճի 6.6%-ով, իսկ ներդրումները՝ 13.6%-ով։ Սպառման և ներդրումների աճին կնպաստեն տնօրինվող եկամտի աճը, բնակարանային շինարարության շարունակվող աճը, ինչպես նաև ներդրումային միջավայրի բարելավմանն ուղղված պետական քաղաքա</w:t>
      </w:r>
      <w:r w:rsidRPr="00B27362">
        <w:rPr>
          <w:rFonts w:eastAsia="Times New Roman" w:cs="Times New Roman"/>
          <w:lang w:val="hy-AM"/>
        </w:rPr>
        <w:softHyphen/>
        <w:t xml:space="preserve">կանությունն ու նախատեսվող </w:t>
      </w:r>
      <w:r w:rsidRPr="00B27362">
        <w:rPr>
          <w:rFonts w:eastAsia="Times New Roman" w:cs="Times New Roman"/>
          <w:bCs/>
          <w:lang w:val="hy-AM"/>
        </w:rPr>
        <w:t>պետական կապիտալ ծախսերը</w:t>
      </w:r>
      <w:r w:rsidRPr="00B27362">
        <w:rPr>
          <w:rFonts w:eastAsia="Times New Roman" w:cs="Times New Roman"/>
          <w:lang w:val="hy-AM"/>
        </w:rPr>
        <w:t xml:space="preserve">։ Միջնաժամկետում՝ սպառումը միջինում կաճի 5.2%-ով, իսկ ներդրումները՝ 7.3%-ով: Միջնաժամկետում ներդրումների վրա դրական ազդեցություն կունենա ՀՀ կառավարության կողմից ենթակառուցվածքներում ներդրումների նախատեսվող </w:t>
      </w:r>
      <w:r w:rsidRPr="00B27362">
        <w:rPr>
          <w:rFonts w:eastAsia="Times New Roman" w:cs="Times New Roman"/>
          <w:lang w:val="hy-AM"/>
        </w:rPr>
        <w:lastRenderedPageBreak/>
        <w:t>շարունակական աճը, ինչպես նաև մասնավոր ներդրումների խթանմանն ուղղված միջոցառումները, իսկ սպառումը պայմանավորված կլինի տնօրինվող եկամտի աճով։</w:t>
      </w:r>
    </w:p>
    <w:p w14:paraId="274C5292"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lang w:val="hy-AM"/>
        </w:rPr>
        <w:t xml:space="preserve">2024 թվականին արտահանումը և ներմուծումը կաճեն 7.0%-ով և 10.0%-ով՝ պայմանավորված ներքին պահանջարկի և տնտեսական ակտիվության աճով, ինչպես նաև այլ երկրներից (առանց ՌԴ) զբոսաշրջության աճով և </w:t>
      </w:r>
      <w:r w:rsidRPr="00B27362">
        <w:rPr>
          <w:rFonts w:eastAsia="Times New Roman" w:cs="Times New Roman"/>
          <w:bCs/>
          <w:lang w:val="hy-AM"/>
        </w:rPr>
        <w:t>վերա</w:t>
      </w:r>
      <w:r w:rsidRPr="00B27362">
        <w:rPr>
          <w:rFonts w:eastAsia="Times New Roman" w:cs="Times New Roman"/>
          <w:lang w:val="hy-AM"/>
        </w:rPr>
        <w:t>արտահանման գործոնով։ Ռուս-ուկրաինական պատերազմի հետևանքով 2022-2023 թվականներին առաջացած դրական գործոնների աստիճանական թուլացմամբ, մասնավորապես, վերաարտահանման ծավալների նվազմամբ պայմանավորված 2025 թվականին արտահանումը կնվազի 15.9%-ով, իսկ ներմուծումը՝ 13.3%-ով: ՀՀ և համաշխարհային տնտեսական աճերի, ՀՀ տնտեսության արտահանելի հատվածի զարգացումների, տնօրինվող եկամտի և զբոսաշրջության աճի, ինչպես նաև արտահանմանը և ներդրումների խրախուսմանն ուղղված ՀՀ կառավարության քաղաքականության պայմաններում 2026-2027 թվականներին արտահանումն ու ներմուծումը կաճեն միջինում 1.2% և 3.7%-ով։</w:t>
      </w:r>
    </w:p>
    <w:p w14:paraId="36088421" w14:textId="77777777" w:rsidR="002D7DDD" w:rsidRPr="00B27362" w:rsidRDefault="002D7DDD" w:rsidP="002D7DDD">
      <w:pPr>
        <w:spacing w:line="276" w:lineRule="auto"/>
        <w:ind w:firstLine="0"/>
        <w:rPr>
          <w:rFonts w:eastAsia="Times New Roman" w:cs="Times New Roman"/>
          <w:highlight w:val="yellow"/>
          <w:lang w:val="hy-AM"/>
        </w:rPr>
      </w:pPr>
    </w:p>
    <w:p w14:paraId="7FC1BEB3" w14:textId="77777777" w:rsidR="002D7DDD" w:rsidRPr="00B27362" w:rsidRDefault="002D7DDD" w:rsidP="002D7DDD">
      <w:pPr>
        <w:keepNext/>
        <w:keepLines/>
        <w:spacing w:before="240" w:line="276" w:lineRule="auto"/>
        <w:ind w:left="709" w:hanging="425"/>
        <w:contextualSpacing/>
        <w:jc w:val="left"/>
        <w:outlineLvl w:val="2"/>
        <w:rPr>
          <w:rFonts w:eastAsia="Times New Roman" w:cs="Times New Roman"/>
          <w:b/>
          <w:color w:val="1F4E79"/>
          <w:sz w:val="24"/>
          <w:lang w:val="hy-AM"/>
        </w:rPr>
      </w:pPr>
      <w:bookmarkStart w:id="39" w:name="_Toc77451194"/>
      <w:bookmarkStart w:id="40" w:name="_Toc77837846"/>
      <w:bookmarkStart w:id="41" w:name="_Toc170743029"/>
      <w:bookmarkStart w:id="42" w:name="_Toc170750533"/>
      <w:bookmarkStart w:id="43" w:name="_Toc170926294"/>
      <w:r w:rsidRPr="00B27362">
        <w:rPr>
          <w:rFonts w:eastAsia="Times New Roman" w:cs="Times New Roman"/>
          <w:b/>
          <w:color w:val="1F4E79"/>
          <w:sz w:val="24"/>
          <w:lang w:val="hy-AM"/>
        </w:rPr>
        <w:t>1.3.1.1. Թիրախային տնտեսական աճի սցենար</w:t>
      </w:r>
      <w:bookmarkEnd w:id="39"/>
      <w:bookmarkEnd w:id="40"/>
      <w:bookmarkEnd w:id="41"/>
      <w:bookmarkEnd w:id="42"/>
      <w:bookmarkEnd w:id="43"/>
    </w:p>
    <w:p w14:paraId="46BDDBA1" w14:textId="77777777" w:rsidR="002D7DDD" w:rsidRPr="00B27362" w:rsidRDefault="002D7DDD" w:rsidP="00D25024">
      <w:pPr>
        <w:tabs>
          <w:tab w:val="right" w:pos="0"/>
        </w:tabs>
        <w:spacing w:before="0" w:after="120" w:line="276" w:lineRule="auto"/>
        <w:ind w:firstLine="0"/>
        <w:rPr>
          <w:rFonts w:eastAsia="Times New Roman" w:cs="Times New Roman"/>
          <w:b/>
          <w:lang w:val="hy-AM"/>
        </w:rPr>
      </w:pPr>
      <w:bookmarkStart w:id="44" w:name="_Hlk170635424"/>
      <w:r w:rsidRPr="00B27362">
        <w:rPr>
          <w:rFonts w:eastAsia="Times New Roman" w:cs="Times New Roman"/>
          <w:b/>
          <w:bCs/>
          <w:lang w:val="hy-AM"/>
        </w:rPr>
        <w:t>ՀՀ կառավարությունը նպատակադրել է հասնել միջինում առնվազն 7% տնտեսական աճի:</w:t>
      </w:r>
      <w:r w:rsidRPr="00B27362">
        <w:rPr>
          <w:rFonts w:eastAsia="Times New Roman" w:cs="Times New Roman"/>
          <w:b/>
          <w:lang w:val="hy-AM"/>
        </w:rPr>
        <w:t xml:space="preserve">  Հատկանշական է, որ կանխատեսված սցենարում 2021-2026թթ. միջինում տնտեսական աճը կազմում է 7.5%, որը փոքր-ինչ բարձր է կառավարության նպատակադրած 7% տնտեսական աճի թիրախից: Ընդ որում, վերջին տարիներին ՀՀ տնտեսական աճի ներուժը բարձրացել է՝ հասնելով 5.0-5.5%: Այս աճը պահպանելու և ավելի բարձր՝ 7% կայուն աճի հասնելու համար անհրաժեշտ </w:t>
      </w:r>
      <w:r>
        <w:rPr>
          <w:rFonts w:eastAsia="Times New Roman" w:cs="Times New Roman"/>
          <w:b/>
          <w:lang w:val="hy-AM"/>
        </w:rPr>
        <w:t>են</w:t>
      </w:r>
      <w:r w:rsidRPr="00B27362">
        <w:rPr>
          <w:rFonts w:eastAsia="Times New Roman" w:cs="Times New Roman"/>
          <w:b/>
          <w:lang w:val="hy-AM"/>
        </w:rPr>
        <w:t xml:space="preserve"> լրացուցիչ ջանքեր՝ ուղղված արտադրողականության բարձրացմանը, ներդրումների և արտահանման խթանմանը։</w:t>
      </w:r>
    </w:p>
    <w:p w14:paraId="7C9F7A0A" w14:textId="77777777" w:rsidR="002D7DDD" w:rsidRPr="00B27362" w:rsidRDefault="002D7DDD" w:rsidP="00D25024">
      <w:pPr>
        <w:tabs>
          <w:tab w:val="right" w:pos="0"/>
        </w:tabs>
        <w:spacing w:before="0" w:after="120" w:line="276" w:lineRule="auto"/>
        <w:ind w:firstLine="0"/>
        <w:rPr>
          <w:rFonts w:eastAsia="Times New Roman" w:cs="Times New Roman"/>
          <w:lang w:val="hy-AM"/>
        </w:rPr>
      </w:pPr>
      <w:r w:rsidRPr="00B27362">
        <w:rPr>
          <w:rFonts w:eastAsia="Times New Roman" w:cs="Times New Roman"/>
          <w:lang w:val="hy-AM"/>
        </w:rPr>
        <w:t xml:space="preserve">Հաշվի առնելով տնտեսության զարգացման ներկա իրավիճակը, միջնաժամկետում կայուն 7% տնտեսական աճի ապահովմանը հնարավոր է հասնել միայն համապատասխան քաղաքականությունների և միջոցառումների իրականացման միջոցով, ուստի կառավարությունը ջանքեր է գործադրելու նպատակադրած աճի թիրախն ապահովելու համար՝ իրականացնելով տնտեսական աճի ներուժի բարձրացմանն ուղղված գործողություններ։ </w:t>
      </w:r>
    </w:p>
    <w:bookmarkEnd w:id="44"/>
    <w:p w14:paraId="0D19C793" w14:textId="77777777" w:rsidR="002D7DDD" w:rsidRPr="00B27362" w:rsidRDefault="002D7DDD" w:rsidP="002D7DDD">
      <w:pPr>
        <w:tabs>
          <w:tab w:val="right" w:pos="0"/>
        </w:tabs>
        <w:spacing w:before="0" w:after="120" w:line="276" w:lineRule="auto"/>
        <w:ind w:firstLine="540"/>
        <w:rPr>
          <w:rFonts w:ascii="Times New Roman" w:eastAsia="Times New Roman" w:hAnsi="Times New Roman" w:cs="Times New Roman"/>
          <w:lang w:val="hy-AM"/>
        </w:rPr>
      </w:pPr>
      <w:r w:rsidRPr="00B27362">
        <w:rPr>
          <w:rFonts w:eastAsia="Times New Roman" w:cs="Times New Roman"/>
          <w:b/>
          <w:lang w:val="hy-AM"/>
        </w:rPr>
        <w:t>Գծապատկեր 1</w:t>
      </w:r>
      <w:r w:rsidRPr="00B27362">
        <w:rPr>
          <w:rFonts w:ascii="Times New Roman" w:eastAsia="Times New Roman" w:hAnsi="Times New Roman" w:cs="Times New Roman"/>
          <w:b/>
          <w:lang w:val="hy-AM"/>
        </w:rPr>
        <w:t>․</w:t>
      </w:r>
      <w:r w:rsidRPr="00B27362">
        <w:rPr>
          <w:rFonts w:eastAsia="Times New Roman" w:cs="Times New Roman"/>
          <w:b/>
          <w:lang w:val="hy-AM"/>
        </w:rPr>
        <w:t>19</w:t>
      </w:r>
      <w:r w:rsidRPr="00B27362">
        <w:rPr>
          <w:rFonts w:ascii="Times New Roman" w:eastAsia="Times New Roman" w:hAnsi="Times New Roman" w:cs="Times New Roman"/>
          <w:b/>
          <w:lang w:val="hy-AM"/>
        </w:rPr>
        <w:t>․</w:t>
      </w:r>
      <w:r w:rsidRPr="00B27362">
        <w:rPr>
          <w:rFonts w:ascii="Times New Roman" w:eastAsia="Times New Roman" w:hAnsi="Times New Roman" w:cs="Times New Roman"/>
          <w:lang w:val="hy-AM"/>
        </w:rPr>
        <w:t xml:space="preserve"> </w:t>
      </w:r>
      <w:r w:rsidRPr="00B27362">
        <w:rPr>
          <w:rFonts w:eastAsia="Times New Roman" w:cs="Times New Roman"/>
          <w:sz w:val="20"/>
          <w:szCs w:val="20"/>
          <w:lang w:val="hy-AM"/>
        </w:rPr>
        <w:t>Կառավարության թիրախավորած 7% տնտեսական աճի և կանխատեսվող սցենարների համեմատականը, իրական ՀՆԱ, 2020=100</w:t>
      </w:r>
    </w:p>
    <w:p w14:paraId="310A0248" w14:textId="77777777" w:rsidR="002D7DDD" w:rsidRPr="00B27362" w:rsidRDefault="002D7DDD" w:rsidP="002D7DDD">
      <w:pPr>
        <w:tabs>
          <w:tab w:val="right" w:pos="0"/>
        </w:tabs>
        <w:spacing w:before="0" w:after="120" w:line="276" w:lineRule="auto"/>
        <w:ind w:firstLine="142"/>
        <w:rPr>
          <w:rFonts w:eastAsia="Times New Roman" w:cs="Times New Roman"/>
          <w:lang w:val="hy-AM"/>
        </w:rPr>
      </w:pPr>
      <w:r w:rsidRPr="00B27362">
        <w:rPr>
          <w:rFonts w:eastAsia="Times New Roman" w:cs="Times New Roman"/>
          <w:noProof/>
        </w:rPr>
        <w:drawing>
          <wp:inline distT="0" distB="0" distL="0" distR="0" wp14:anchorId="470FA009" wp14:editId="0B64FAE0">
            <wp:extent cx="6219825" cy="2552700"/>
            <wp:effectExtent l="0" t="0" r="9525"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806609E" w14:textId="77777777" w:rsidR="002D7DDD" w:rsidRPr="00B27362" w:rsidRDefault="002D7DDD" w:rsidP="00D25024">
      <w:pPr>
        <w:spacing w:line="276" w:lineRule="auto"/>
        <w:ind w:firstLine="0"/>
        <w:rPr>
          <w:rFonts w:eastAsia="Times New Roman" w:cs="Times New Roman"/>
          <w:color w:val="FF0000"/>
          <w:highlight w:val="yellow"/>
          <w:lang w:val="hy-AM"/>
        </w:rPr>
      </w:pPr>
      <w:r w:rsidRPr="00B27362">
        <w:rPr>
          <w:rFonts w:eastAsia="Times New Roman" w:cs="Times New Roman"/>
          <w:lang w:val="hy-AM"/>
        </w:rPr>
        <w:lastRenderedPageBreak/>
        <w:t>Այդ առումով, սույն բաժնում նկարագրվում է 2025-2027 թվականներին տնտեսության ներուժի աստիճանական բարձրացման և ավելի բարձր տնտեսական աճի ապահովման մակրոտնտեսական սցենարը: Վերջինս առաջիկա տարիների համար նախանշում է առանցքային մակրոտնտեսական ցուցանիշների ուղենշային այն մեծությունները, որոնց թիրախավորման դեպքում հնարավոր կլինի ապահովել ՀՀ տնտեսության ավելի արագ տեմպերով զարգացումը: Անհրաժեշտ է նշել, որ այս սցենարը և դրանում ներառված առանցքային ուղենշային ցուցանիշները կարող են ենթարկվել որոշակի փոփոխությունների՝ հաշվի առնելով նախատեսվող քննարկումների արդյունքում ձևավորվելիք տնտեսական քաղաքականության հստակ միջոցառումները և դրանց հնարավոր ազդեցությունները:</w:t>
      </w:r>
    </w:p>
    <w:p w14:paraId="57B56CC8"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b/>
          <w:bCs/>
          <w:u w:val="single"/>
          <w:lang w:val="hy-AM"/>
        </w:rPr>
        <w:t>Տնտեսական աճ:</w:t>
      </w:r>
      <w:r w:rsidRPr="00B27362">
        <w:rPr>
          <w:rFonts w:eastAsia="Times New Roman" w:cs="Times New Roman"/>
          <w:b/>
          <w:bCs/>
          <w:lang w:val="hy-AM"/>
        </w:rPr>
        <w:t xml:space="preserve"> Չնայած </w:t>
      </w:r>
      <w:r w:rsidRPr="00B27362">
        <w:rPr>
          <w:rFonts w:eastAsia="Times New Roman" w:cs="Times New Roman"/>
          <w:b/>
          <w:lang w:val="hy-AM"/>
        </w:rPr>
        <w:t>2021-2023 թվականներին տնտեսությունը վերականգնվել է, և միջինում գրանցվել է բարձր՝ 9.0% իրական աճ, այնուամենայնիվ նշված ժամանակահատվածն աչքի է ընկել մի շարք կարևոր իրադարձություններով, որոնք նշանակալի ազդեցություն են ունեցել բարձր տնտեսական աճի ապահովման գործընթացում, որոնց ազդեցությունն առաջիկա տարիներին կչեզոքանա:</w:t>
      </w:r>
      <w:r w:rsidRPr="00B27362">
        <w:rPr>
          <w:rFonts w:eastAsia="Times New Roman" w:cs="Times New Roman"/>
          <w:lang w:val="hy-AM"/>
        </w:rPr>
        <w:t xml:space="preserve"> Մասնավորապես՝ 2022 թվականի փետրվարի վերջերից սկիզբ առած ռուս-ուկրաինական հակամարտության և Ռուսաստանի դեմ կիրառված պատժամիջոցների հետևանքով նկատվել է դեպի Հայաստան մարդկանց ներհոսք, զբոսաշրջության զգալի ավելացում, տեղեկատվական տեխնոլոգիաների ոլորտի ընկերությունների ՀՀ տեղափոխում, ՀՀ-ից դեպի Ռուսաստան արտահանման պահանջարկի ավելացում, գրանցվել են պետական բյուջեից կապիտալ ծախսերի և բնակարանաշինության բարձր աճեր, 2023 թվականի սեպտեմբերի վերջից Լեռնային Ղարաբաղից ՀՀ են բռնի տեղահանվել ավելի քան 100,000 հայրենակիցներ, ինչպես նաև 2023 թվականի նոյեմբեր-դեկտեմբեր ամիսներից սկսած տեղի է ունեցել ոսկերչական արտադրատեսակների արտադրության կտրուկ աճ: </w:t>
      </w:r>
    </w:p>
    <w:p w14:paraId="661B1743" w14:textId="77777777" w:rsidR="002D7DDD" w:rsidRPr="00B27362" w:rsidRDefault="002D7DDD" w:rsidP="00D25024">
      <w:pPr>
        <w:spacing w:line="276" w:lineRule="auto"/>
        <w:ind w:firstLine="0"/>
        <w:rPr>
          <w:rFonts w:eastAsia="Times New Roman" w:cs="Times New Roman"/>
          <w:lang w:val="hy-AM"/>
        </w:rPr>
      </w:pPr>
      <w:r w:rsidRPr="00B27362">
        <w:rPr>
          <w:rFonts w:eastAsia="Calibri" w:cs="Sylfaen"/>
          <w:lang w:val="hy-AM"/>
        </w:rPr>
        <w:t xml:space="preserve">Դեպի ՀՀ զբոսաշրջային մեծ հոսքերը, ՏՏ ոլորտի ընկերությունների և աշխատակիցների ՀՀ տեղափոխվելը, զբաղվածների թվաքանակի ավելացումը, ինչպես նաև պետական կապիտալ ծախսերի դերի շարունակական բարձրացումը հանգեցրել են տնտեսության ներուժի և ներուժային աճի բարձրացման։ </w:t>
      </w:r>
      <w:r w:rsidRPr="00B27362">
        <w:rPr>
          <w:rFonts w:eastAsia="Times New Roman" w:cs="Times New Roman"/>
          <w:lang w:val="hy-AM"/>
        </w:rPr>
        <w:t>Գնահատվում է, որ ՀՀ տնտեսության ներուժային աճը նախկին 4-4.5% գնահատված միջակայքից աճել է՝ հասնելով 5-5.5% միջակայքի: Չնայած այն հանգամանքին, որ կանխատեսված տնտեսական աճերի պարագայում 2021-2026թթ</w:t>
      </w:r>
      <w:r w:rsidRPr="00B27362">
        <w:rPr>
          <w:rFonts w:ascii="Cambria Math" w:eastAsia="Times New Roman" w:hAnsi="Cambria Math" w:cs="Cambria Math"/>
          <w:lang w:val="hy-AM"/>
        </w:rPr>
        <w:t>․</w:t>
      </w:r>
      <w:r w:rsidRPr="00B27362">
        <w:rPr>
          <w:rFonts w:eastAsia="Times New Roman" w:cs="Times New Roman"/>
          <w:lang w:val="hy-AM"/>
        </w:rPr>
        <w:t xml:space="preserve"> տնտեսական աճը միջինում գերազանցում է կառավարության նպատակադրած 7% տնտեսական աճի ցուցանիշը, սակայն միջնաժամկետում նշված ներուժային աճը պահպանելու և ավելի բարձր կայուն աճի հասնելու համար անհրաժեշտ են լրացուցիչ ջանքեր՝ ուղղված տնտեսական աճի ներուժի բարձրացմանը:</w:t>
      </w:r>
      <w:r w:rsidRPr="00B27362">
        <w:rPr>
          <w:rFonts w:eastAsia="Times New Roman" w:cs="Times New Roman"/>
          <w:b/>
          <w:lang w:val="hy-AM"/>
        </w:rPr>
        <w:t xml:space="preserve"> </w:t>
      </w:r>
      <w:r w:rsidRPr="00B27362">
        <w:rPr>
          <w:rFonts w:eastAsia="Times New Roman" w:cs="Times New Roman"/>
          <w:lang w:val="hy-AM"/>
        </w:rPr>
        <w:t>Նշված թիրախին հասնելու համար</w:t>
      </w:r>
      <w:r w:rsidRPr="00B27362">
        <w:rPr>
          <w:rFonts w:eastAsia="Times New Roman" w:cs="Times New Roman"/>
          <w:b/>
          <w:lang w:val="hy-AM"/>
        </w:rPr>
        <w:t xml:space="preserve"> </w:t>
      </w:r>
      <w:r w:rsidRPr="00B27362">
        <w:rPr>
          <w:rFonts w:eastAsia="Times New Roman" w:cs="Times New Roman"/>
          <w:lang w:val="hy-AM"/>
        </w:rPr>
        <w:t>ապագա տարիներին ՀՀ տնտեսությունը պետք է զարգանա ՀՀ կառավարության գործող ծրագրով նախանշված առաջարկի վրա հիմնված տնտեսական աճի մոդելով (որն իր կենսունակությունն ապացուցել է աշխարհի բազմաթիվ երկրներում), որտեղ տնտեսական աճի առանցքային շարժիչը պետք է լինի արտահանելի հատվածը և արտահանումը (export-led growth model):</w:t>
      </w:r>
    </w:p>
    <w:p w14:paraId="385840AE" w14:textId="77777777" w:rsidR="002D7DDD" w:rsidRPr="00B27362" w:rsidRDefault="002D7DDD" w:rsidP="00D25024">
      <w:pPr>
        <w:spacing w:line="276" w:lineRule="auto"/>
        <w:ind w:firstLine="0"/>
        <w:rPr>
          <w:rFonts w:eastAsia="Times New Roman" w:cs="Times New Roman"/>
          <w:highlight w:val="yellow"/>
          <w:lang w:val="hy-AM"/>
        </w:rPr>
      </w:pPr>
      <w:r w:rsidRPr="00B27362">
        <w:rPr>
          <w:rFonts w:eastAsia="Times New Roman" w:cs="Times New Roman"/>
          <w:b/>
          <w:u w:val="single"/>
          <w:lang w:val="hy-AM"/>
        </w:rPr>
        <w:t>Ներդրումներ և արտադրողականութուն:</w:t>
      </w:r>
      <w:r w:rsidRPr="00B27362">
        <w:rPr>
          <w:rFonts w:eastAsia="Times New Roman" w:cs="Times New Roman"/>
          <w:lang w:val="hy-AM"/>
        </w:rPr>
        <w:t xml:space="preserve"> Միջնաժամկետում 7.0% կայուն տնտեսական աճի հասնելու</w:t>
      </w:r>
      <w:r>
        <w:rPr>
          <w:rFonts w:eastAsia="Times New Roman" w:cs="Times New Roman"/>
          <w:lang w:val="hy-AM"/>
        </w:rPr>
        <w:t xml:space="preserve"> </w:t>
      </w:r>
      <w:r w:rsidRPr="00B27362">
        <w:rPr>
          <w:rFonts w:eastAsia="Times New Roman" w:cs="Times New Roman"/>
          <w:lang w:val="hy-AM"/>
        </w:rPr>
        <w:t xml:space="preserve">համար անհրաժեշտ է շարունակաբար բարձրացնել տնտեսության ներուժը, ինչն իր հերթին կբարձրացնի տնտեսության ներուժային աճը և կհաստատվի նոր՝ առավել բարձր մակարդակում: Վերջինիս ապահովման համար անհրաժեշտ է իրականացնել արդյունավետ ներդրումային քաղաքականություն՝ ներդրումներն ուղղելով տնտեսության արտահանելի հատված, դեպի տեխնոլոգիաներ և ենթակառուցվածքներ, ապահովելով կապիտալի բարձր </w:t>
      </w:r>
      <w:r w:rsidRPr="00B27362">
        <w:rPr>
          <w:rFonts w:eastAsia="Times New Roman" w:cs="Times New Roman"/>
          <w:lang w:val="hy-AM"/>
        </w:rPr>
        <w:lastRenderedPageBreak/>
        <w:t>արտադրողականություն: Որդեգրված նմանատիպ ներդրումային քաղաքականության պայմաններում միջնաժամկետում 7.0% կայուն տնտեսական աճի հասնելու համար անհաժեշտ է հիմնական միջոցներում մասնավոր ներդրումների տարեկան միջինում 12.6% իրական աճ (կանխատեսված միջինում շուրջ 7% աճի դիմաց), ինչը հիմնական միջոցների կշիռը ՀՆԱ-ում 2023 թվականի համեմատ 2027 թվականին կբարձրացնի շուրջ 4</w:t>
      </w:r>
      <w:r w:rsidRPr="00B27362">
        <w:rPr>
          <w:rFonts w:ascii="Times New Roman" w:eastAsia="Times New Roman" w:hAnsi="Times New Roman" w:cs="Times New Roman"/>
          <w:lang w:val="hy-AM"/>
        </w:rPr>
        <w:t>․</w:t>
      </w:r>
      <w:r w:rsidRPr="00B27362">
        <w:rPr>
          <w:rFonts w:eastAsia="Times New Roman" w:cs="Times New Roman"/>
          <w:lang w:val="hy-AM"/>
        </w:rPr>
        <w:t xml:space="preserve">2 տոկոսային կետով:  </w:t>
      </w:r>
    </w:p>
    <w:p w14:paraId="2CB616CC"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lang w:val="hy-AM"/>
        </w:rPr>
        <w:t>Բարձր տնտեսական աճի ապահովման համար կարևոր նախադրյալ է աշխատանքի և կապիտալի արտադրողականության բարձրացումը, ինչը հնարավոր է իրականացնել նոր տեխնոլոգիական լուծումների կիրառմամբ, գործարար և ներդրումային միջավայրի բարելավմամբ, աշխատուժի որակի բարձրացման և կրթական միջոցառումների իրականացմամբ</w:t>
      </w:r>
      <w:r>
        <w:rPr>
          <w:rFonts w:ascii="Cambria Math" w:eastAsia="Times New Roman" w:hAnsi="Cambria Math" w:cs="Times New Roman"/>
          <w:lang w:val="hy-AM"/>
        </w:rPr>
        <w:t>․</w:t>
      </w:r>
      <w:r w:rsidRPr="00B27362">
        <w:rPr>
          <w:rFonts w:eastAsia="Times New Roman" w:cs="Times New Roman"/>
          <w:lang w:val="hy-AM"/>
        </w:rPr>
        <w:t xml:space="preserve"> այս ուղղությամբ նշանակալի արդյունքներ կարող են գրանցվել Կրթության մինչև 2030թ. զարգացման պետական ծրագրի, մշակվող նոր Զբաղվածության ռազմավարության, ներդրումների խթանման բարեփոխումների արդյունավետ իրականացման արդյունքում </w:t>
      </w:r>
      <w:bookmarkStart w:id="45" w:name="_Hlk170633073"/>
      <w:r w:rsidRPr="00B27362">
        <w:rPr>
          <w:rFonts w:eastAsia="Times New Roman" w:cs="Times New Roman"/>
          <w:lang w:val="hy-AM"/>
        </w:rPr>
        <w:t xml:space="preserve">(առավել մանրամասն տե՛ս ՄԱՍ II. Ծախսային քաղաքականության ռազմավարությունը բաժնում): </w:t>
      </w:r>
      <w:bookmarkEnd w:id="45"/>
    </w:p>
    <w:p w14:paraId="609563CD"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b/>
          <w:bCs/>
          <w:u w:val="single"/>
          <w:lang w:val="hy-AM"/>
        </w:rPr>
        <w:t>Արտահանելի հատված և արտահանում:</w:t>
      </w:r>
      <w:r w:rsidRPr="00B27362">
        <w:rPr>
          <w:rFonts w:eastAsia="Times New Roman" w:cs="Times New Roman"/>
          <w:b/>
          <w:bCs/>
          <w:lang w:val="hy-AM"/>
        </w:rPr>
        <w:t xml:space="preserve"> Բարձր տնտեսական աճի ապահովման համար անհրաժեշտ է արտահանման տեմպերի արագացում ի հաշիվ ոչ հումքային բարձր ավելացված արժեք ստեղծող ապրանքատեսակների և արտահանելի ծառայությունների:</w:t>
      </w:r>
      <w:r w:rsidRPr="00B27362">
        <w:rPr>
          <w:rFonts w:eastAsia="Times New Roman" w:cs="Times New Roman"/>
          <w:lang w:val="hy-AM"/>
        </w:rPr>
        <w:t xml:space="preserve"> Այսպես, բարձր 7% կայուն աճի հասնելու համար, անհրաժեշտ մասնավոր ներդրումների ծավալների ապահովմանը զուգահեռ անհրաժեշտ է ապրանքների և ծառայությունների արտահանման ավելի բարձր և կայուն աճերը, ինչը հնարավոր կլինի տնտեսության արտահանելի հատվածի արտադրողական ճյուղերի էական բարելավման միջոցով: Այս պայմաններում՝ կապահովվի ՀՆԱ-ի նկատմամբ արտահանման մակարդակի բարձրացումը: Այսպես, բարձր տնտեսական աճի ապահովման համար անհրաժեշտ է տարեկան միջինում արտահանման (առանց վերաարտահանման ազդեցության) 13</w:t>
      </w:r>
      <w:r w:rsidRPr="00B27362">
        <w:rPr>
          <w:rFonts w:ascii="Cambria Math" w:eastAsia="Times New Roman" w:hAnsi="Cambria Math" w:cs="Cambria Math"/>
          <w:lang w:val="hy-AM"/>
        </w:rPr>
        <w:t>․</w:t>
      </w:r>
      <w:r w:rsidRPr="00B27362">
        <w:rPr>
          <w:rFonts w:eastAsia="Times New Roman" w:cs="Times New Roman"/>
          <w:lang w:val="hy-AM"/>
        </w:rPr>
        <w:t>2% (կանխատեսված միջինում շուրջ 5% աճի դիմաց), ինչը 2027թ.-ին 2023թ. համեմատ կբարելավի արտահանման մակարդակը ՀՆԱ-ում 11</w:t>
      </w:r>
      <w:r w:rsidRPr="00B27362">
        <w:rPr>
          <w:rFonts w:ascii="Times New Roman" w:eastAsia="Times New Roman" w:hAnsi="Times New Roman" w:cs="Times New Roman"/>
          <w:lang w:val="hy-AM"/>
        </w:rPr>
        <w:t>․</w:t>
      </w:r>
      <w:r w:rsidRPr="00B27362">
        <w:rPr>
          <w:rFonts w:eastAsia="Times New Roman" w:cs="Times New Roman"/>
          <w:lang w:val="hy-AM"/>
        </w:rPr>
        <w:t xml:space="preserve">3%-ային կետով։ Այս թիրախների ապահովմանը կարող է նպաստել արտահանման խթանման միջոցառումների, մշակվող նոր Արտահանման խթանման ռազմավարության և ՏՏ ոլորտի խթանման նախատեսվող նոր ծրագրերի արդյունավետ իրականացումը (առավել մանրամասն տե՛ս ՄԱՍ II. Ծախսային քաղաքականության ռազմավարությունը բաժնում): </w:t>
      </w:r>
    </w:p>
    <w:p w14:paraId="5E22AB8D" w14:textId="77777777" w:rsidR="002D7DDD" w:rsidRPr="00B27362" w:rsidRDefault="002D7DDD" w:rsidP="00D25024">
      <w:pPr>
        <w:spacing w:line="276" w:lineRule="auto"/>
        <w:ind w:firstLine="0"/>
        <w:rPr>
          <w:rFonts w:eastAsia="Times New Roman" w:cs="Times New Roman"/>
          <w:lang w:val="hy-AM"/>
        </w:rPr>
      </w:pPr>
      <w:r w:rsidRPr="00B27362">
        <w:rPr>
          <w:rFonts w:eastAsia="Times New Roman" w:cs="Times New Roman"/>
          <w:b/>
          <w:bCs/>
          <w:lang w:val="hy-AM"/>
        </w:rPr>
        <w:t xml:space="preserve">Աճի թիրախի ապահովումը կբարձրացնի հարկային եկամուտների ինչպես փաստացի հավաքագրումները, այնպես էլ հնարավորություն կտա ավելի արագ կրճատել հարկային ճեղքը։ </w:t>
      </w:r>
      <w:r w:rsidRPr="00B27362">
        <w:rPr>
          <w:rFonts w:eastAsia="Times New Roman" w:cs="Times New Roman"/>
          <w:bCs/>
          <w:lang w:val="hy-AM"/>
        </w:rPr>
        <w:t>Թիրախային տնտեսական աճի ապահովումը, կգեներացնի</w:t>
      </w:r>
      <w:r w:rsidRPr="00B27362">
        <w:rPr>
          <w:rFonts w:eastAsia="Times New Roman" w:cs="Times New Roman"/>
          <w:b/>
          <w:bCs/>
          <w:lang w:val="hy-AM"/>
        </w:rPr>
        <w:t xml:space="preserve"> </w:t>
      </w:r>
      <w:r w:rsidRPr="00B27362">
        <w:rPr>
          <w:rFonts w:eastAsia="Times New Roman" w:cs="Times New Roman"/>
          <w:bCs/>
          <w:lang w:val="hy-AM"/>
        </w:rPr>
        <w:t>լրացուցիչ հարկային եկամուտներ՝ որը 2027թ. կհասնի ՀՆԱ 1.1%-ի (2025-2027թթ. համար կուտակային շուրջ 308 մլրդ դրամ)</w:t>
      </w:r>
      <w:r>
        <w:rPr>
          <w:rFonts w:eastAsia="Times New Roman" w:cs="Times New Roman"/>
          <w:bCs/>
          <w:lang w:val="hy-AM"/>
        </w:rPr>
        <w:t>՝</w:t>
      </w:r>
      <w:r w:rsidRPr="00B27362">
        <w:rPr>
          <w:rFonts w:eastAsia="Times New Roman" w:cs="Times New Roman"/>
          <w:bCs/>
          <w:lang w:val="hy-AM"/>
        </w:rPr>
        <w:t xml:space="preserve"> աճի ոլորտային անփոփոխ կառուցվածքի պայմաններում (ըստ տնտեսության հարկունակ և ոչ հարկունակ հատվածների)։ Միաժամանակ, բարձր և հաշվեկշռված տնտեսական աճի ապահովումը հնարավորություն կտա ավելի արագ կրճատել հարկային ճեղքը՝ մեղմելով միջնաժամկետում հարկեր/ՀՆԱ բարելավման թիրախի ռիսկերը։ Լ</w:t>
      </w:r>
      <w:r w:rsidRPr="00B27362">
        <w:rPr>
          <w:rFonts w:eastAsia="Times New Roman" w:cs="Times New Roman"/>
          <w:lang w:val="hy-AM"/>
        </w:rPr>
        <w:t xml:space="preserve">րացուցիչ հարկային եկամուտների հավաքագրումը հնարավորություն կընձեռի ավելի մեծ ռեսուրսներ հատկացնել ՀՀ կառավարության բարեփոխումների սահուն ընթացքը երաշխավորող ընթացիկ և կապիտալ ծախսերին՝ այդ թվում ավելի մեծացնելով ֆիզիկական ու մարդկային կապիտալում ներդրումների ծավալները։ </w:t>
      </w:r>
    </w:p>
    <w:p w14:paraId="731C38A1" w14:textId="77777777" w:rsidR="002D7DDD" w:rsidRPr="00B27362" w:rsidRDefault="002D7DDD" w:rsidP="00D25024">
      <w:pPr>
        <w:keepNext/>
        <w:keepLines/>
        <w:spacing w:before="240" w:line="276" w:lineRule="auto"/>
        <w:ind w:left="709" w:firstLine="0"/>
        <w:contextualSpacing/>
        <w:jc w:val="left"/>
        <w:outlineLvl w:val="2"/>
        <w:rPr>
          <w:rFonts w:eastAsia="Times New Roman" w:cs="Times New Roman"/>
          <w:caps/>
          <w:color w:val="1F4E79"/>
          <w:sz w:val="24"/>
          <w:lang w:val="hy-AM"/>
        </w:rPr>
      </w:pPr>
      <w:bookmarkStart w:id="46" w:name="_Toc170743030"/>
      <w:bookmarkStart w:id="47" w:name="_Toc170750534"/>
      <w:bookmarkStart w:id="48" w:name="_Toc170926295"/>
      <w:r w:rsidRPr="00B27362">
        <w:rPr>
          <w:rFonts w:eastAsia="Times New Roman" w:cs="Times New Roman"/>
          <w:b/>
          <w:color w:val="1F4E79"/>
          <w:sz w:val="24"/>
          <w:lang w:val="hy-AM"/>
        </w:rPr>
        <w:lastRenderedPageBreak/>
        <w:t>1.3.2. Աշխատանքի շուկա</w:t>
      </w:r>
      <w:bookmarkEnd w:id="46"/>
      <w:bookmarkEnd w:id="47"/>
      <w:bookmarkEnd w:id="48"/>
    </w:p>
    <w:p w14:paraId="1CB574B9" w14:textId="77777777" w:rsidR="002D7DDD" w:rsidRPr="00B27362" w:rsidRDefault="002D7DDD" w:rsidP="00D25024">
      <w:pPr>
        <w:spacing w:after="0" w:line="276" w:lineRule="auto"/>
        <w:ind w:firstLine="0"/>
        <w:rPr>
          <w:rFonts w:eastAsia="GHEA Grapalat" w:cs="GHEA Grapalat"/>
          <w:lang w:val="hy-AM"/>
        </w:rPr>
      </w:pPr>
      <w:r w:rsidRPr="00B27362">
        <w:rPr>
          <w:rFonts w:eastAsia="Times New Roman" w:cs="Times New Roman"/>
          <w:b/>
          <w:bCs/>
          <w:lang w:val="hy-AM"/>
        </w:rPr>
        <w:t>Համավարակի և պատերազմի շոկերից հետո 2021 թվականին տնտեսությունը թևակոխեց վերականգնման փուլ, ինչի արդյունքում 2021-2023 թվականներին. գործազրկության մակարդակը</w:t>
      </w:r>
      <w:r w:rsidRPr="00B27362">
        <w:rPr>
          <w:rFonts w:eastAsia="Times New Roman" w:cs="Times New Roman"/>
          <w:b/>
          <w:bCs/>
          <w:vertAlign w:val="superscript"/>
        </w:rPr>
        <w:footnoteReference w:id="12"/>
      </w:r>
      <w:r w:rsidRPr="00B27362">
        <w:rPr>
          <w:rFonts w:eastAsia="Times New Roman" w:cs="Times New Roman"/>
          <w:b/>
          <w:bCs/>
          <w:lang w:val="hy-AM"/>
        </w:rPr>
        <w:t xml:space="preserve"> աստիճանաբար նվազել է, իսկ ստվերի նվազմանը զուգահեռ՝ վարձու աշխատողների թիվն աճել։ </w:t>
      </w:r>
      <w:r w:rsidRPr="00B27362">
        <w:rPr>
          <w:rFonts w:eastAsia="Times New Roman" w:cs="Times New Roman"/>
          <w:bCs/>
          <w:lang w:val="hy-AM"/>
        </w:rPr>
        <w:t xml:space="preserve">2021-2023 թվականների բարձր տնտեսական աճի պայմաններում գործազուրկների թվի կրճատումն ուղեկցվել է զբաղվածների թվի </w:t>
      </w:r>
      <w:r w:rsidRPr="00B27362">
        <w:rPr>
          <w:rFonts w:eastAsia="GHEA Grapalat" w:cs="GHEA Grapalat"/>
          <w:lang w:val="hy-AM"/>
        </w:rPr>
        <w:t xml:space="preserve">աճով:  </w:t>
      </w:r>
      <w:r w:rsidRPr="00B27362">
        <w:rPr>
          <w:rFonts w:eastAsia="Times New Roman" w:cs="Times New Roman"/>
          <w:bCs/>
          <w:lang w:val="hy-AM"/>
        </w:rPr>
        <w:t xml:space="preserve">2021-2023 թվականներին գործազրկության մակարդակը 15.5%-ից նվազել է 12.6%-ի, իսկ վարձու աշխատողների թիվն աճել է միջինում 5.0%-ով՝ պայմանավորված տնտեսական աճով, նոր կազմակերպությունների ստեղծմամբ, ինչպես նաև ստվերի կրճատմամբ։ </w:t>
      </w:r>
    </w:p>
    <w:p w14:paraId="784B96F9" w14:textId="77777777" w:rsidR="002D7DDD" w:rsidRPr="00B27362" w:rsidRDefault="002D7DDD" w:rsidP="00D25024">
      <w:pPr>
        <w:spacing w:after="0" w:line="276" w:lineRule="auto"/>
        <w:ind w:firstLine="0"/>
        <w:rPr>
          <w:rFonts w:eastAsia="Times New Roman" w:cs="Times New Roman"/>
          <w:bCs/>
          <w:lang w:val="hy-AM"/>
        </w:rPr>
      </w:pPr>
      <w:r w:rsidRPr="00B27362">
        <w:rPr>
          <w:rFonts w:eastAsia="Times New Roman" w:cs="Times New Roman"/>
          <w:bCs/>
          <w:lang w:val="hy-AM"/>
        </w:rPr>
        <w:t>2021-2023 թվականներին գործազուրկների թվի կրճատումն (կուտակային 63</w:t>
      </w:r>
      <w:r w:rsidRPr="00B27362">
        <w:rPr>
          <w:rFonts w:ascii="Times New Roman" w:eastAsia="Times New Roman" w:hAnsi="Times New Roman" w:cs="Times New Roman"/>
          <w:bCs/>
          <w:lang w:val="hy-AM"/>
        </w:rPr>
        <w:t>․</w:t>
      </w:r>
      <w:r w:rsidRPr="00B27362">
        <w:rPr>
          <w:rFonts w:eastAsia="Times New Roman" w:cs="Times New Roman"/>
          <w:bCs/>
          <w:lang w:val="hy-AM"/>
        </w:rPr>
        <w:t>2 հազ. մարդ) ուղեկցվել է զբաղվածների ավելի մեծ աճով (կուտակային 132</w:t>
      </w:r>
      <w:r w:rsidRPr="00B27362">
        <w:rPr>
          <w:rFonts w:ascii="Times New Roman" w:eastAsia="Times New Roman" w:hAnsi="Times New Roman" w:cs="Times New Roman"/>
          <w:bCs/>
          <w:lang w:val="hy-AM"/>
        </w:rPr>
        <w:t>․</w:t>
      </w:r>
      <w:r w:rsidRPr="00B27362">
        <w:rPr>
          <w:rFonts w:eastAsia="Times New Roman" w:cs="Times New Roman"/>
          <w:bCs/>
          <w:lang w:val="hy-AM"/>
        </w:rPr>
        <w:t>3 հազ մարդ), հանգեցնելով աշխատուժի ավելացմանը: Միաժամանակ, աշխատուժի մասնակցության մակարդակը 2021 թվականի 57.8%-ից 2023 թվականին հասել է 60.3%-ի:</w:t>
      </w:r>
    </w:p>
    <w:p w14:paraId="06EBD063" w14:textId="77777777" w:rsidR="002D7DDD" w:rsidRPr="00B27362" w:rsidRDefault="002D7DDD" w:rsidP="00D25024">
      <w:pPr>
        <w:spacing w:line="276" w:lineRule="auto"/>
        <w:ind w:firstLine="0"/>
        <w:rPr>
          <w:rFonts w:eastAsia="Times New Roman" w:cs="Times New Roman"/>
          <w:highlight w:val="yellow"/>
          <w:lang w:val="hy-AM"/>
        </w:rPr>
      </w:pPr>
      <w:r w:rsidRPr="00B27362">
        <w:rPr>
          <w:rFonts w:eastAsia="Times New Roman" w:cs="Times New Roman"/>
          <w:b/>
          <w:bCs/>
          <w:lang w:val="hy-AM"/>
        </w:rPr>
        <w:t xml:space="preserve">Աշխատանքի շուկայի դրական զարգացումները շարունակվել են նաև 2024 թվականին: </w:t>
      </w:r>
      <w:r w:rsidRPr="00B27362">
        <w:rPr>
          <w:rFonts w:eastAsia="Times New Roman" w:cs="GHEA Grapalat"/>
          <w:lang w:val="hy-AM"/>
        </w:rPr>
        <w:t>Տնտեսական բարձր ակտիվության պայմաններում հունվար-ապրիլին վարձու աշխատողների թիվը և աշխատավարձերն աճել են։ Պաշտոնապես գրանցված գործազուրկների միջին ամսական թիվը նախորդ տարվա նույն ժամանակահատվածի նկատմամբ նվազել է 3.8%-ով՝ կազմելով 45,411 մարդ, իսկ վարձու աշխատողների թիվն աճել 5.1%-ով՝ կազմելով 739,478 մարդ։ Վարձու աշխատողների թվի աճին հիմնականում նպաստել են առևտրի, կրթության, շինարարության, կացության և հանրային սննդի կազմակերպման ոլորտներում աշխատողների թվի աճը: Վարձու աշխատողների աճին հիմնականում նպաստել են տնտեսության դրական զարգացումները, ԼՂ բնակչության որոշ մասի ՀՀ աշխատանքի շուկայում ընդգրկումը, ինչպես նաև սեզոնային աշխատողների (հիմնականում շինարարության ոլորտում) արտերկրում գործունեութ</w:t>
      </w:r>
      <w:r>
        <w:rPr>
          <w:rFonts w:eastAsia="Times New Roman" w:cs="GHEA Grapalat"/>
          <w:lang w:val="hy-AM"/>
        </w:rPr>
        <w:t>յ</w:t>
      </w:r>
      <w:r w:rsidRPr="00B27362">
        <w:rPr>
          <w:rFonts w:eastAsia="Times New Roman" w:cs="GHEA Grapalat"/>
          <w:lang w:val="hy-AM"/>
        </w:rPr>
        <w:t>ան իրականացման փոխարեն ՀՀ-ում գործունեություն իրականացնելու նախընտրությունը:</w:t>
      </w:r>
    </w:p>
    <w:p w14:paraId="1FA6183E" w14:textId="77777777" w:rsidR="002D7DDD" w:rsidRPr="00B27362" w:rsidRDefault="002D7DDD" w:rsidP="002D7DDD">
      <w:pPr>
        <w:spacing w:after="120" w:line="276" w:lineRule="auto"/>
        <w:ind w:firstLine="562"/>
        <w:rPr>
          <w:rFonts w:eastAsia="Times New Roman" w:cs="Times New Roman"/>
          <w:lang w:val="hy-AM"/>
        </w:rPr>
      </w:pPr>
      <w:r w:rsidRPr="00B27362">
        <w:rPr>
          <w:rFonts w:eastAsia="Times New Roman" w:cs="Times New Roman"/>
          <w:b/>
          <w:bCs/>
          <w:lang w:val="hy-AM"/>
        </w:rPr>
        <w:t>2024 թվականի տնտեսական աճի պայմաններում աշխատանքի շուկայում կդրսևորվեն դրական զարգացումներ։</w:t>
      </w:r>
      <w:r w:rsidRPr="00B27362">
        <w:rPr>
          <w:rFonts w:eastAsia="Times New Roman" w:cs="Times New Roman"/>
          <w:lang w:val="hy-AM"/>
        </w:rPr>
        <w:t xml:space="preserve"> Այս պայմաններում ակնկալվում է զբաղվածության աճ և գործազրկության նվազում։  </w:t>
      </w:r>
    </w:p>
    <w:tbl>
      <w:tblPr>
        <w:tblStyle w:val="TableGrid1211"/>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4781"/>
        <w:gridCol w:w="4839"/>
      </w:tblGrid>
      <w:tr w:rsidR="002D7DDD" w:rsidRPr="00B27362" w14:paraId="4A2051CF" w14:textId="77777777" w:rsidTr="008931FF">
        <w:trPr>
          <w:trHeight w:val="3063"/>
        </w:trPr>
        <w:tc>
          <w:tcPr>
            <w:tcW w:w="5004" w:type="dxa"/>
            <w:tcBorders>
              <w:top w:val="single" w:sz="4" w:space="0" w:color="0070C0"/>
              <w:left w:val="single" w:sz="4" w:space="0" w:color="0070C0"/>
              <w:bottom w:val="single" w:sz="4" w:space="0" w:color="0070C0"/>
              <w:right w:val="single" w:sz="4" w:space="0" w:color="0070C0"/>
            </w:tcBorders>
          </w:tcPr>
          <w:p w14:paraId="41FCD7CB" w14:textId="77777777" w:rsidR="002D7DDD" w:rsidRPr="00B27362" w:rsidRDefault="002D7DDD" w:rsidP="008931FF">
            <w:pPr>
              <w:spacing w:before="0" w:after="0" w:line="276" w:lineRule="auto"/>
              <w:ind w:firstLine="0"/>
              <w:rPr>
                <w:rFonts w:eastAsia="Calibri" w:cs="Times New Roman"/>
                <w:i/>
                <w:noProof/>
                <w:sz w:val="18"/>
                <w:szCs w:val="18"/>
              </w:rPr>
            </w:pPr>
            <w:r w:rsidRPr="00B27362">
              <w:rPr>
                <w:rFonts w:eastAsia="Calibri" w:cs="Times New Roman"/>
                <w:b/>
                <w:i/>
                <w:noProof/>
                <w:sz w:val="18"/>
                <w:szCs w:val="18"/>
              </w:rPr>
              <w:lastRenderedPageBreak/>
              <w:t xml:space="preserve">Գծապատկեր 1.20. </w:t>
            </w:r>
            <w:r w:rsidRPr="00B27362">
              <w:rPr>
                <w:rFonts w:eastAsia="Calibri" w:cs="Times New Roman"/>
                <w:i/>
                <w:noProof/>
                <w:sz w:val="18"/>
                <w:szCs w:val="18"/>
              </w:rPr>
              <w:t>Գործազրկություն և զբաղվածություն</w:t>
            </w:r>
          </w:p>
          <w:p w14:paraId="1BEF5559" w14:textId="77777777" w:rsidR="002D7DDD" w:rsidRPr="00B27362" w:rsidRDefault="002D7DDD" w:rsidP="008931FF">
            <w:pPr>
              <w:spacing w:line="276" w:lineRule="auto"/>
              <w:ind w:firstLine="0"/>
              <w:rPr>
                <w:rFonts w:eastAsia="Times New Roman" w:cs="Times New Roman"/>
                <w:color w:val="244061"/>
                <w:lang w:val="hy-AM"/>
              </w:rPr>
            </w:pPr>
            <w:r w:rsidRPr="00B27362">
              <w:rPr>
                <w:rFonts w:ascii="Times New Roman" w:eastAsia="Times New Roman" w:hAnsi="Times New Roman" w:cs="Times New Roman"/>
                <w:noProof/>
                <w:color w:val="244061"/>
                <w:sz w:val="24"/>
                <w:szCs w:val="24"/>
              </w:rPr>
              <w:drawing>
                <wp:inline distT="0" distB="0" distL="0" distR="0" wp14:anchorId="401340A1" wp14:editId="3DA32739">
                  <wp:extent cx="2971800" cy="238125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7A9FF90" w14:textId="77777777" w:rsidR="002D7DDD" w:rsidRPr="00B27362" w:rsidRDefault="002D7DDD" w:rsidP="008931FF">
            <w:pPr>
              <w:spacing w:after="0" w:line="276" w:lineRule="auto"/>
              <w:ind w:firstLine="0"/>
              <w:jc w:val="left"/>
              <w:rPr>
                <w:rFonts w:eastAsia="Calibri" w:cs="Times New Roman"/>
                <w:i/>
                <w:sz w:val="16"/>
                <w:szCs w:val="16"/>
                <w:highlight w:val="yellow"/>
                <w:lang w:val="hy-AM"/>
              </w:rPr>
            </w:pPr>
            <w:r w:rsidRPr="00B27362">
              <w:rPr>
                <w:rFonts w:eastAsia="Calibri" w:cs="Times New Roman"/>
                <w:i/>
                <w:sz w:val="18"/>
                <w:szCs w:val="16"/>
                <w:lang w:val="hy-AM"/>
              </w:rPr>
              <w:t>Աղբյուրը՝ ՀՀ ՎԿ</w:t>
            </w:r>
          </w:p>
        </w:tc>
        <w:tc>
          <w:tcPr>
            <w:tcW w:w="5020" w:type="dxa"/>
            <w:tcBorders>
              <w:top w:val="single" w:sz="4" w:space="0" w:color="0070C0"/>
              <w:left w:val="single" w:sz="4" w:space="0" w:color="0070C0"/>
              <w:bottom w:val="single" w:sz="4" w:space="0" w:color="0070C0"/>
              <w:right w:val="single" w:sz="4" w:space="0" w:color="0070C0"/>
            </w:tcBorders>
            <w:hideMark/>
          </w:tcPr>
          <w:p w14:paraId="5FBE150C" w14:textId="77777777" w:rsidR="002D7DDD" w:rsidRPr="00B27362" w:rsidRDefault="002D7DDD" w:rsidP="008931FF">
            <w:pPr>
              <w:spacing w:before="0" w:after="0" w:line="276" w:lineRule="auto"/>
              <w:ind w:firstLine="0"/>
              <w:rPr>
                <w:rFonts w:eastAsia="Calibri" w:cs="Times New Roman"/>
                <w:b/>
                <w:i/>
                <w:noProof/>
                <w:sz w:val="18"/>
                <w:szCs w:val="18"/>
                <w:lang w:val="hy-AM"/>
              </w:rPr>
            </w:pPr>
            <w:r w:rsidRPr="00B27362">
              <w:rPr>
                <w:rFonts w:ascii="Times New Roman" w:eastAsia="Times New Roman" w:hAnsi="Times New Roman" w:cs="Times New Roman"/>
                <w:noProof/>
                <w:sz w:val="24"/>
                <w:szCs w:val="24"/>
              </w:rPr>
              <w:drawing>
                <wp:anchor distT="0" distB="0" distL="114300" distR="114300" simplePos="0" relativeHeight="251721728" behindDoc="1" locked="0" layoutInCell="1" allowOverlap="1" wp14:anchorId="37247B2B" wp14:editId="0D95E2B6">
                  <wp:simplePos x="0" y="0"/>
                  <wp:positionH relativeFrom="column">
                    <wp:posOffset>-8255</wp:posOffset>
                  </wp:positionH>
                  <wp:positionV relativeFrom="paragraph">
                    <wp:posOffset>363855</wp:posOffset>
                  </wp:positionV>
                  <wp:extent cx="2999105" cy="2395855"/>
                  <wp:effectExtent l="0" t="0" r="10795" b="4445"/>
                  <wp:wrapTight wrapText="bothSides">
                    <wp:wrapPolygon edited="0">
                      <wp:start x="0" y="0"/>
                      <wp:lineTo x="0" y="21468"/>
                      <wp:lineTo x="21541" y="21468"/>
                      <wp:lineTo x="21541" y="0"/>
                      <wp:lineTo x="0" y="0"/>
                    </wp:wrapPolygon>
                  </wp:wrapTight>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margin">
                    <wp14:pctHeight>0</wp14:pctHeight>
                  </wp14:sizeRelV>
                </wp:anchor>
              </w:drawing>
            </w:r>
            <w:r w:rsidRPr="00B27362">
              <w:rPr>
                <w:rFonts w:eastAsia="Calibri" w:cs="Times New Roman"/>
                <w:b/>
                <w:i/>
                <w:noProof/>
                <w:sz w:val="18"/>
                <w:szCs w:val="18"/>
                <w:lang w:val="hy-AM"/>
              </w:rPr>
              <w:t xml:space="preserve">Գծապատկեր 1.21. </w:t>
            </w:r>
            <w:r w:rsidRPr="00B27362">
              <w:rPr>
                <w:rFonts w:eastAsia="Calibri" w:cs="Times New Roman"/>
                <w:i/>
                <w:noProof/>
                <w:sz w:val="18"/>
                <w:szCs w:val="18"/>
                <w:lang w:val="hy-AM"/>
              </w:rPr>
              <w:t>Աշխատուժի մասնակցության մակարդակ և աշխատավարձ</w:t>
            </w:r>
            <w:r w:rsidRPr="00B27362">
              <w:rPr>
                <w:rFonts w:eastAsia="Calibri" w:cs="Times New Roman"/>
                <w:b/>
                <w:i/>
                <w:noProof/>
                <w:sz w:val="18"/>
                <w:szCs w:val="18"/>
                <w:lang w:val="hy-AM"/>
              </w:rPr>
              <w:t xml:space="preserve"> </w:t>
            </w:r>
          </w:p>
          <w:p w14:paraId="1A3A501E" w14:textId="77777777" w:rsidR="002D7DDD" w:rsidRPr="00B27362" w:rsidRDefault="002D7DDD" w:rsidP="008931FF">
            <w:pPr>
              <w:spacing w:before="0" w:after="0" w:line="240" w:lineRule="auto"/>
              <w:ind w:firstLine="0"/>
              <w:jc w:val="left"/>
              <w:rPr>
                <w:rFonts w:eastAsia="Calibri" w:cs="Times New Roman"/>
                <w:i/>
                <w:sz w:val="16"/>
                <w:szCs w:val="16"/>
                <w:lang w:val="hy-AM"/>
              </w:rPr>
            </w:pPr>
            <w:r w:rsidRPr="00B27362">
              <w:rPr>
                <w:rFonts w:eastAsia="Calibri" w:cs="Times New Roman"/>
                <w:i/>
                <w:sz w:val="18"/>
                <w:szCs w:val="16"/>
                <w:lang w:val="hy-AM"/>
              </w:rPr>
              <w:t>Աղբյուրը՝ ՀՀ ՎԿ</w:t>
            </w:r>
          </w:p>
        </w:tc>
      </w:tr>
    </w:tbl>
    <w:p w14:paraId="54EF53E8" w14:textId="77777777" w:rsidR="002D7DDD" w:rsidRPr="00B27362" w:rsidRDefault="002D7DDD" w:rsidP="00D25024">
      <w:pPr>
        <w:spacing w:before="120" w:after="0" w:line="276" w:lineRule="auto"/>
        <w:ind w:firstLine="0"/>
        <w:rPr>
          <w:rFonts w:eastAsia="Times New Roman" w:cs="Times New Roman"/>
          <w:highlight w:val="yellow"/>
          <w:lang w:val="hy-AM"/>
        </w:rPr>
      </w:pPr>
      <w:r w:rsidRPr="00B27362">
        <w:rPr>
          <w:rFonts w:eastAsia="Times New Roman" w:cs="Times New Roman"/>
          <w:b/>
          <w:lang w:val="hy-AM"/>
        </w:rPr>
        <w:t xml:space="preserve">2021-2023 թվականներին տնտեսական աճն ուղեկցվել է միջին աշխատավարձերի աճով։ </w:t>
      </w:r>
      <w:r w:rsidRPr="00B27362">
        <w:rPr>
          <w:rFonts w:eastAsia="Times New Roman" w:cs="Times New Roman"/>
          <w:bCs/>
          <w:lang w:val="hy-AM"/>
        </w:rPr>
        <w:t>Վերջին երեք տարիներին գրանցվել է անվանական աշխատավարձերի միջինում 12.6% աճ, իսկ իրական աշխատավարձերը միջինում աճել են 6.4%-ով:</w:t>
      </w:r>
    </w:p>
    <w:p w14:paraId="7C72BFB9" w14:textId="77777777" w:rsidR="002D7DDD" w:rsidRPr="00B27362" w:rsidRDefault="002D7DDD" w:rsidP="00D25024">
      <w:pPr>
        <w:spacing w:before="0" w:line="276" w:lineRule="auto"/>
        <w:ind w:firstLine="0"/>
        <w:rPr>
          <w:rFonts w:eastAsia="Times New Roman" w:cs="Times New Roman"/>
          <w:lang w:val="hy-AM"/>
        </w:rPr>
      </w:pPr>
      <w:r w:rsidRPr="00B27362">
        <w:rPr>
          <w:rFonts w:eastAsia="Times New Roman" w:cs="GHEA Grapalat"/>
          <w:b/>
          <w:lang w:val="hy-AM"/>
        </w:rPr>
        <w:t>2024 թվականի հունվար-ապրիլին միջին ամսական անվանական աշխատավարձը նախորդ տարվա նույն ժամանակահատվածի համեմատ աճել է 7.8%-ով` կազմելով 280,435 դրամ:</w:t>
      </w:r>
      <w:r w:rsidRPr="00B27362">
        <w:rPr>
          <w:rFonts w:eastAsia="Times New Roman" w:cs="GHEA Grapalat"/>
          <w:lang w:val="hy-AM"/>
        </w:rPr>
        <w:t xml:space="preserve"> </w:t>
      </w:r>
      <w:r w:rsidRPr="00B27362">
        <w:rPr>
          <w:rFonts w:eastAsia="Times New Roman" w:cs="Times New Roman"/>
          <w:lang w:val="hy-AM"/>
        </w:rPr>
        <w:t xml:space="preserve">Ընդ որում՝ սպառողական գների ինդեքսի 0.7% անկման պարագայում իրական աշխատավարձն աճել է 8.6%-ով: </w:t>
      </w:r>
      <w:r w:rsidRPr="00B27362">
        <w:rPr>
          <w:rFonts w:eastAsia="Times New Roman" w:cs="GHEA Grapalat"/>
          <w:lang w:val="hy-AM"/>
        </w:rPr>
        <w:t>Աշխատավարձի աճին հիմնականում նպաստել են մեծածախ և մանրածախ առևտրի, կրթության, ֆինանսական և ապահովագրական գործունեության, մշակող արդյունաբերության և շինարարության ոլորտների աշխատավարձերի աճը։ Միջին ամսական անվանական աշխատավարձը պետական հատվածում աճել է 11.2%-ով` կազմելով 210,151 դրամ, իսկ ոչ պետականում` 6.6%-ով և կազմել՝ 309,014 դրամ:</w:t>
      </w:r>
    </w:p>
    <w:p w14:paraId="5932113E" w14:textId="77777777" w:rsidR="002D7DDD" w:rsidRPr="00B27362" w:rsidRDefault="002D7DDD" w:rsidP="00D25024">
      <w:pPr>
        <w:keepNext/>
        <w:keepLines/>
        <w:spacing w:before="240" w:line="276" w:lineRule="auto"/>
        <w:ind w:left="709" w:firstLine="0"/>
        <w:contextualSpacing/>
        <w:jc w:val="left"/>
        <w:outlineLvl w:val="2"/>
        <w:rPr>
          <w:rFonts w:eastAsia="Times New Roman"/>
          <w:b/>
          <w:color w:val="1F4E79" w:themeColor="accent1" w:themeShade="80"/>
          <w:sz w:val="24"/>
          <w:lang w:val="hy-AM"/>
        </w:rPr>
      </w:pPr>
      <w:bookmarkStart w:id="49" w:name="_Toc170743031"/>
      <w:bookmarkStart w:id="50" w:name="_Toc170750535"/>
      <w:bookmarkStart w:id="51" w:name="_Toc170926296"/>
      <w:r w:rsidRPr="00B27362">
        <w:rPr>
          <w:rFonts w:eastAsia="Times New Roman"/>
          <w:b/>
          <w:color w:val="1F4E79" w:themeColor="accent1" w:themeShade="80"/>
          <w:sz w:val="24"/>
          <w:lang w:val="hy-AM"/>
        </w:rPr>
        <w:t>1.3.3. ՀՀ վճարային հաշվեկշիռ, արտահանում և ներմուծում</w:t>
      </w:r>
      <w:bookmarkEnd w:id="49"/>
      <w:bookmarkEnd w:id="50"/>
      <w:bookmarkEnd w:id="51"/>
      <w:r w:rsidRPr="00B27362">
        <w:rPr>
          <w:rFonts w:eastAsia="Times New Roman"/>
          <w:b/>
          <w:color w:val="1F4E79" w:themeColor="accent1" w:themeShade="80"/>
          <w:sz w:val="24"/>
          <w:lang w:val="hy-AM"/>
        </w:rPr>
        <w:t xml:space="preserve"> </w:t>
      </w:r>
    </w:p>
    <w:p w14:paraId="70CC6D3C" w14:textId="77777777" w:rsidR="002D7DDD" w:rsidRPr="00B27362" w:rsidRDefault="002D7DDD" w:rsidP="00D25024">
      <w:pPr>
        <w:tabs>
          <w:tab w:val="num" w:pos="720"/>
        </w:tabs>
        <w:spacing w:before="0" w:after="0" w:line="276" w:lineRule="auto"/>
        <w:ind w:firstLine="0"/>
        <w:rPr>
          <w:rFonts w:eastAsia="Calibri" w:cs="Times Armenian"/>
          <w:lang w:val="hy-AM"/>
        </w:rPr>
      </w:pPr>
      <w:r w:rsidRPr="00B27362">
        <w:rPr>
          <w:rFonts w:eastAsia="Calibri" w:cs="Sylfaen"/>
          <w:b/>
          <w:lang w:val="hy-AM"/>
        </w:rPr>
        <w:t>2021-2023թթ.</w:t>
      </w:r>
      <w:r w:rsidRPr="00B27362" w:rsidDel="00301E27">
        <w:rPr>
          <w:rFonts w:eastAsia="Calibri" w:cs="Sylfaen"/>
          <w:b/>
          <w:lang w:val="hy-AM"/>
        </w:rPr>
        <w:t xml:space="preserve"> </w:t>
      </w:r>
      <w:r w:rsidRPr="00B27362">
        <w:rPr>
          <w:rFonts w:eastAsia="Calibri" w:cs="Sylfaen"/>
          <w:b/>
          <w:lang w:val="hy-AM"/>
        </w:rPr>
        <w:t>վճարային հաշվեկշռի ընթացիկ հաշվի պակասուրդը նախորդ երեք տարիների որոշակի վատթարացումից հետո բարելավվել է</w:t>
      </w:r>
      <w:r w:rsidRPr="00B27362" w:rsidDel="00C21369">
        <w:rPr>
          <w:rFonts w:eastAsia="Calibri" w:cs="Sylfaen"/>
          <w:b/>
          <w:lang w:val="hy-AM"/>
        </w:rPr>
        <w:t xml:space="preserve"> </w:t>
      </w:r>
      <w:r w:rsidRPr="00B27362">
        <w:rPr>
          <w:rFonts w:eastAsia="Calibri" w:cs="Sylfaen"/>
          <w:b/>
          <w:lang w:val="hy-AM"/>
        </w:rPr>
        <w:t>` միջինում կազմելով ՀՆԱ-ի 1.8%-ը:</w:t>
      </w:r>
      <w:r w:rsidRPr="00B27362">
        <w:rPr>
          <w:rFonts w:eastAsia="Calibri" w:cs="Sylfaen"/>
          <w:lang w:val="hy-AM"/>
        </w:rPr>
        <w:t xml:space="preserve"> </w:t>
      </w:r>
      <w:r w:rsidRPr="00B27362">
        <w:rPr>
          <w:rFonts w:eastAsia="Calibri" w:cs="Times Armenian"/>
          <w:lang w:val="hy-AM"/>
        </w:rPr>
        <w:t>Նշված տարիներին</w:t>
      </w:r>
      <w:r w:rsidRPr="00B27362">
        <w:rPr>
          <w:rFonts w:ascii="Times New Roman" w:eastAsia="Times New Roman" w:hAnsi="Times New Roman" w:cs="Times New Roman"/>
          <w:sz w:val="24"/>
          <w:szCs w:val="24"/>
          <w:lang w:val="hy-AM"/>
        </w:rPr>
        <w:t xml:space="preserve"> </w:t>
      </w:r>
      <w:r w:rsidRPr="00B27362">
        <w:rPr>
          <w:rFonts w:eastAsia="Calibri" w:cs="Times Armenian"/>
          <w:lang w:val="hy-AM"/>
        </w:rPr>
        <w:t>hամավարակի և Արցախյան պատերազմի շոկերից հետո 2021թ. ՀՀ տնտեսության վերականգման և</w:t>
      </w:r>
      <w:r w:rsidRPr="00B27362">
        <w:rPr>
          <w:rFonts w:eastAsia="Times New Roman" w:cs="Times New Roman"/>
          <w:lang w:val="hy-AM"/>
        </w:rPr>
        <w:t xml:space="preserve"> 2022թ</w:t>
      </w:r>
      <w:r w:rsidRPr="00B27362">
        <w:rPr>
          <w:rFonts w:ascii="Times New Roman" w:eastAsia="Times New Roman" w:hAnsi="Times New Roman" w:cs="Times New Roman"/>
          <w:lang w:val="hy-AM"/>
        </w:rPr>
        <w:t xml:space="preserve">․ </w:t>
      </w:r>
      <w:r w:rsidRPr="00B27362">
        <w:rPr>
          <w:rFonts w:eastAsia="Times New Roman" w:cs="Times New Roman"/>
          <w:lang w:val="hy-AM"/>
        </w:rPr>
        <w:t>ռուս-ուկրաինական հակամարտության և ՌԴ-ի նկատմամբ կիրառվող աննախադեպ պատժամիջոցների հետևանք</w:t>
      </w:r>
      <w:r w:rsidRPr="00B27362">
        <w:rPr>
          <w:rFonts w:eastAsia="Calibri" w:cs="Times New Roman"/>
          <w:lang w:val="hy-AM"/>
        </w:rPr>
        <w:t xml:space="preserve">ով ՀՀ-ից դեպի Ռուսաստան արտահանման պահանջարկի ավելացման, </w:t>
      </w:r>
      <w:r w:rsidRPr="00B27362">
        <w:rPr>
          <w:rFonts w:eastAsia="Times New Roman" w:cs="Times New Roman"/>
          <w:lang w:val="hy-AM"/>
        </w:rPr>
        <w:t>զբոսաշրջության զգալի ավելացման</w:t>
      </w:r>
      <w:r w:rsidRPr="00B27362">
        <w:rPr>
          <w:rFonts w:eastAsia="Calibri" w:cs="Times New Roman"/>
          <w:lang w:val="hy-AM"/>
        </w:rPr>
        <w:t xml:space="preserve"> </w:t>
      </w:r>
      <w:r w:rsidRPr="00B27362">
        <w:rPr>
          <w:rFonts w:eastAsia="Calibri" w:cs="Times Armenian"/>
          <w:lang w:val="hy-AM"/>
        </w:rPr>
        <w:t xml:space="preserve">պայմաններում ընթացիկ հաշիվը բնութագրվել է ապրանքների և ծառայությունների հաշվեկշռի բարելավմամբ։ </w:t>
      </w:r>
    </w:p>
    <w:p w14:paraId="6D877E58" w14:textId="77777777" w:rsidR="002D7DDD" w:rsidRPr="00B27362" w:rsidRDefault="002D7DDD" w:rsidP="00D25024">
      <w:pPr>
        <w:tabs>
          <w:tab w:val="num" w:pos="720"/>
        </w:tabs>
        <w:spacing w:before="0" w:after="0" w:line="276" w:lineRule="auto"/>
        <w:ind w:firstLine="0"/>
        <w:rPr>
          <w:rFonts w:eastAsia="Times New Roman" w:cs="Sylfaen"/>
          <w:lang w:val="it-IT"/>
        </w:rPr>
      </w:pPr>
      <w:r w:rsidRPr="00B27362">
        <w:rPr>
          <w:rFonts w:eastAsia="Times New Roman" w:cs="Sylfaen"/>
          <w:b/>
          <w:lang w:val="hy-AM"/>
        </w:rPr>
        <w:t xml:space="preserve">2023 թվականին ընթացիկ հաշվի պակասուրդը նախորդ տարվա համեմատ վատթարացել է՝ կազմելով ՀՆԱ-ի 2.3%-ը: </w:t>
      </w:r>
      <w:r w:rsidRPr="00B27362">
        <w:rPr>
          <w:rFonts w:eastAsia="Times New Roman" w:cs="Sylfaen"/>
          <w:lang w:val="hy-AM"/>
        </w:rPr>
        <w:t xml:space="preserve">Ընթացիկ հաշվի վատթարացումը հիմնականում պայմանավորված է դրամական փոխանցումների (հատկապես՝ ՌԴ-ից) նվազմամբ, ինչպես նաև առևտրային հաշվեկշռի վատթարացմամբ: Դոլարային արտահայտությամբ ապրանքների և ծառայությունների բացասական հաշվեկշիռը կազմել է ՀՆԱ-ի 0.8%-ը` նախորդ տարվա համեմատ բարելավվելով 0.1 տոկոսային կետով, ինչը հիմնականում պայմանավորված է ծառայությունների հաշվեկշռի՝ ՀՆԱ-ում 0.7 տոկոսային կետով բարելավմամբ: Տնտեսություն ներհոսող դրամական զուտ փոխանցումները 2023 թվականին նվազել են շուրջ 32.4%-ով` պայմանավորված ինչպես ներհոսքի նվազմամբ (հատկապես` ՌԴ-ից), այնպես էլ դեպի այլ երկրներ արտահոսքի ավելացմամբ: Նշված զարգացումների արդյունքում 2023 թվականին </w:t>
      </w:r>
      <w:r>
        <w:rPr>
          <w:rFonts w:eastAsia="Times New Roman" w:cs="Sylfaen"/>
          <w:lang w:val="hy-AM"/>
        </w:rPr>
        <w:lastRenderedPageBreak/>
        <w:t>նախորդ տարվա համեմատ ՀՆԱ-</w:t>
      </w:r>
      <w:r w:rsidRPr="00B27362">
        <w:rPr>
          <w:rFonts w:eastAsia="Times New Roman" w:cs="Sylfaen"/>
          <w:lang w:val="hy-AM"/>
        </w:rPr>
        <w:t xml:space="preserve">ում ընթացիկ հաշվի պակասուրդը վատթարացել է 2.6 տոկոսային կետով՝ գտնվելով երկարաժամկետ կայուն մակարդակից ցածր դիրքում: </w:t>
      </w:r>
      <w:r w:rsidRPr="00B27362">
        <w:rPr>
          <w:rFonts w:eastAsia="Times New Roman" w:cs="Sylfaen"/>
          <w:lang w:val="it-IT"/>
        </w:rPr>
        <w:t xml:space="preserve"> </w:t>
      </w:r>
    </w:p>
    <w:p w14:paraId="0206F760" w14:textId="77777777" w:rsidR="002D7DDD" w:rsidRPr="00B27362" w:rsidRDefault="002D7DDD" w:rsidP="00D25024">
      <w:pPr>
        <w:tabs>
          <w:tab w:val="num" w:pos="720"/>
        </w:tabs>
        <w:spacing w:before="0" w:after="0" w:line="276" w:lineRule="auto"/>
        <w:ind w:firstLine="0"/>
        <w:rPr>
          <w:rFonts w:eastAsia="Times New Roman" w:cs="Sylfaen"/>
          <w:lang w:val="hy-AM"/>
        </w:rPr>
      </w:pPr>
      <w:r w:rsidRPr="00B27362">
        <w:rPr>
          <w:rFonts w:eastAsia="Times New Roman" w:cs="Sylfaen"/>
          <w:b/>
          <w:lang w:val="hy-AM"/>
        </w:rPr>
        <w:t xml:space="preserve">2024 թվականի առաջին հինգ ամիսներին ապրանքների գծով արտաքին առևտրի բացասական մնացորդը, պայմանավորված ներմուծման մեծ ծավալներով, նախորդ տարվա նկատմամբ վատթարացել է: </w:t>
      </w:r>
      <w:r w:rsidRPr="00B27362">
        <w:rPr>
          <w:rFonts w:eastAsia="Times New Roman" w:cs="Sylfaen"/>
          <w:lang w:val="hy-AM"/>
        </w:rPr>
        <w:t>Միաժամանակ,</w:t>
      </w:r>
      <w:r w:rsidRPr="00B27362">
        <w:rPr>
          <w:rFonts w:eastAsia="Times New Roman" w:cs="Sylfaen"/>
          <w:b/>
          <w:lang w:val="hy-AM"/>
        </w:rPr>
        <w:t xml:space="preserve"> </w:t>
      </w:r>
      <w:r w:rsidRPr="00B27362">
        <w:rPr>
          <w:rFonts w:eastAsia="Times New Roman" w:cs="Sylfaen"/>
          <w:lang w:val="hy-AM"/>
        </w:rPr>
        <w:t xml:space="preserve"> նշված ժամանակահատվածում ՀՀ այցելած զբոսաշրջիկների թվաքանակը նվազել է, մինչդեռ ՀՀ-ից մեկ</w:t>
      </w:r>
      <w:r>
        <w:rPr>
          <w:rFonts w:eastAsia="Times New Roman" w:cs="Sylfaen"/>
          <w:lang w:val="hy-AM"/>
        </w:rPr>
        <w:t>ն</w:t>
      </w:r>
      <w:r w:rsidRPr="00B27362">
        <w:rPr>
          <w:rFonts w:eastAsia="Times New Roman" w:cs="Sylfaen"/>
          <w:lang w:val="hy-AM"/>
        </w:rPr>
        <w:t>ած զբոսաշրջիկների թվաքանակը աճել՝ թողնելով բացասական ազդեցություն ծառայությունների հաշվեկշռի վրա: ՀՀ բանկերի միջոցով ֆիզիկական անձանց անունով արտերկրից ստացված առևտրային և ոչ առևտրային բնույթի զուտ դրամական փոխանցումները նույնպես նվազել</w:t>
      </w:r>
      <w:r w:rsidRPr="00B27362">
        <w:rPr>
          <w:rFonts w:eastAsia="Times New Roman" w:cs="Sylfaen"/>
          <w:lang w:val="it-IT"/>
        </w:rPr>
        <w:t xml:space="preserve"> </w:t>
      </w:r>
      <w:r w:rsidRPr="00B27362">
        <w:rPr>
          <w:rFonts w:eastAsia="Times New Roman" w:cs="Sylfaen"/>
          <w:lang w:val="hy-AM"/>
        </w:rPr>
        <w:t>են:</w:t>
      </w:r>
    </w:p>
    <w:tbl>
      <w:tblP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896"/>
      </w:tblGrid>
      <w:tr w:rsidR="002D7DDD" w:rsidRPr="00944459" w14:paraId="52C2BC8C" w14:textId="77777777" w:rsidTr="008931FF">
        <w:trPr>
          <w:trHeight w:val="5794"/>
        </w:trPr>
        <w:tc>
          <w:tcPr>
            <w:tcW w:w="4982" w:type="dxa"/>
            <w:shd w:val="clear" w:color="auto" w:fill="auto"/>
          </w:tcPr>
          <w:p w14:paraId="604CC5A9"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240" w:line="276" w:lineRule="auto"/>
              <w:ind w:firstLine="0"/>
              <w:jc w:val="left"/>
              <w:rPr>
                <w:rFonts w:eastAsia="Calibri" w:cs="Sylfaen"/>
                <w:b/>
                <w:i/>
                <w:sz w:val="18"/>
                <w:lang w:val="hy-AM"/>
              </w:rPr>
            </w:pPr>
            <w:r w:rsidRPr="00B27362">
              <w:rPr>
                <w:rFonts w:eastAsia="Calibri" w:cs="Times New Roman"/>
                <w:b/>
                <w:i/>
                <w:noProof/>
                <w:sz w:val="18"/>
                <w:szCs w:val="18"/>
                <w:lang w:val="hy-AM"/>
              </w:rPr>
              <w:t xml:space="preserve">Գծապատկեր 1.22. </w:t>
            </w:r>
            <w:r w:rsidRPr="00B27362">
              <w:rPr>
                <w:rFonts w:eastAsia="Calibri" w:cs="Sylfaen"/>
                <w:i/>
                <w:sz w:val="18"/>
                <w:lang w:val="hy-AM"/>
              </w:rPr>
              <w:t>Ընթացիկ հաշվի և դրա բաղադրատարրերի դինամիկան, % ՀՆԱ-ում</w:t>
            </w:r>
          </w:p>
          <w:p w14:paraId="7C47CF8A" w14:textId="77777777" w:rsidR="002D7DDD" w:rsidRPr="00B27362" w:rsidRDefault="002D7DDD" w:rsidP="008931FF">
            <w:pPr>
              <w:keepNext/>
              <w:spacing w:before="0" w:after="200" w:line="240" w:lineRule="auto"/>
              <w:ind w:left="-23" w:hanging="90"/>
              <w:jc w:val="left"/>
              <w:rPr>
                <w:rFonts w:eastAsia="GHEA Grapalat" w:cs="GHEA Grapalat"/>
                <w:i/>
                <w:sz w:val="18"/>
                <w:szCs w:val="18"/>
                <w:lang w:val="hy-AM"/>
              </w:rPr>
            </w:pPr>
            <w:r w:rsidRPr="00B27362">
              <w:rPr>
                <w:rFonts w:eastAsia="Times New Roman" w:cs="Times New Roman"/>
                <w:noProof/>
                <w:sz w:val="20"/>
                <w:szCs w:val="20"/>
              </w:rPr>
              <w:drawing>
                <wp:inline distT="0" distB="0" distL="0" distR="0" wp14:anchorId="4A271B89" wp14:editId="5958322E">
                  <wp:extent cx="3002400" cy="2519680"/>
                  <wp:effectExtent l="0" t="0" r="7620" b="13970"/>
                  <wp:docPr id="28"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B27362">
              <w:rPr>
                <w:rFonts w:eastAsia="GHEA Grapalat" w:cs="GHEA Grapalat"/>
                <w:i/>
                <w:sz w:val="18"/>
                <w:szCs w:val="18"/>
                <w:lang w:val="hy-AM"/>
              </w:rPr>
              <w:t>Աղբյուրը՝ ՀՀ ՎԿ, ՀՀ ՖՆ հաշվարկներ</w:t>
            </w:r>
          </w:p>
          <w:p w14:paraId="69F1EE98"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0" w:line="276" w:lineRule="auto"/>
              <w:ind w:firstLine="0"/>
              <w:jc w:val="left"/>
              <w:rPr>
                <w:rFonts w:eastAsia="Calibri" w:cs="Sylfaen"/>
                <w:b/>
                <w:i/>
                <w:sz w:val="18"/>
                <w:lang w:val="hy-AM"/>
              </w:rPr>
            </w:pPr>
            <w:r w:rsidRPr="00B27362">
              <w:rPr>
                <w:rFonts w:eastAsia="Calibri" w:cs="Times New Roman"/>
                <w:b/>
                <w:i/>
                <w:noProof/>
                <w:sz w:val="18"/>
                <w:szCs w:val="18"/>
                <w:lang w:val="hy-AM"/>
              </w:rPr>
              <w:t xml:space="preserve">Գծապատկեր 1.24. </w:t>
            </w:r>
            <w:r w:rsidRPr="00B27362">
              <w:rPr>
                <w:rFonts w:eastAsia="Calibri" w:cs="Sylfaen"/>
                <w:i/>
                <w:sz w:val="18"/>
                <w:lang w:val="hy-AM"/>
              </w:rPr>
              <w:t>Ծառայությունների արտահանում, ներմուծում և հաշվեկշռի դինամիկան, մլն ԱՄՆ դոլար</w:t>
            </w:r>
          </w:p>
          <w:p w14:paraId="015B3B07" w14:textId="77777777" w:rsidR="002D7DDD" w:rsidRPr="00B27362" w:rsidRDefault="002D7DDD" w:rsidP="008931FF">
            <w:pPr>
              <w:keepNext/>
              <w:spacing w:before="0" w:after="0" w:line="240" w:lineRule="auto"/>
              <w:ind w:firstLine="0"/>
              <w:jc w:val="left"/>
              <w:rPr>
                <w:rFonts w:eastAsia="GHEA Grapalat" w:cs="GHEA Grapalat"/>
                <w:b/>
                <w:i/>
                <w:sz w:val="20"/>
                <w:szCs w:val="20"/>
              </w:rPr>
            </w:pPr>
            <w:r w:rsidRPr="00B27362">
              <w:rPr>
                <w:rFonts w:eastAsia="Times New Roman" w:cs="Times New Roman"/>
                <w:noProof/>
              </w:rPr>
              <w:drawing>
                <wp:inline distT="0" distB="0" distL="0" distR="0" wp14:anchorId="2789FFA1" wp14:editId="7420930F">
                  <wp:extent cx="2995200" cy="2355850"/>
                  <wp:effectExtent l="0" t="0" r="15240" b="6350"/>
                  <wp:docPr id="29"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3F42E0C" w14:textId="77777777" w:rsidR="002D7DDD" w:rsidRPr="00B27362" w:rsidRDefault="002D7DDD" w:rsidP="008931FF">
            <w:pPr>
              <w:keepNext/>
              <w:spacing w:before="0" w:after="0" w:line="336" w:lineRule="auto"/>
              <w:ind w:firstLine="0"/>
              <w:jc w:val="left"/>
              <w:rPr>
                <w:rFonts w:eastAsia="GHEA Grapalat" w:cs="GHEA Grapalat"/>
                <w:b/>
                <w:i/>
              </w:rPr>
            </w:pPr>
            <w:r w:rsidRPr="00B27362">
              <w:rPr>
                <w:rFonts w:eastAsia="GHEA Grapalat" w:cs="GHEA Grapalat"/>
                <w:i/>
                <w:sz w:val="18"/>
                <w:szCs w:val="18"/>
              </w:rPr>
              <w:t>Աղբյուրը՝ ՀՀ ՎԿ, ՀՀ ՖՆ հաշվարկներ</w:t>
            </w:r>
          </w:p>
        </w:tc>
        <w:tc>
          <w:tcPr>
            <w:tcW w:w="4851" w:type="dxa"/>
            <w:shd w:val="clear" w:color="auto" w:fill="auto"/>
          </w:tcPr>
          <w:p w14:paraId="6997462B"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240" w:line="240" w:lineRule="auto"/>
              <w:ind w:firstLine="0"/>
              <w:contextualSpacing/>
              <w:jc w:val="left"/>
              <w:rPr>
                <w:rFonts w:eastAsia="GHEA Grapalat" w:cs="GHEA Grapalat"/>
                <w:i/>
                <w:sz w:val="18"/>
                <w:szCs w:val="18"/>
                <w:lang w:val="hy-AM"/>
              </w:rPr>
            </w:pPr>
            <w:r w:rsidRPr="00B27362">
              <w:rPr>
                <w:rFonts w:eastAsia="Calibri" w:cs="Times New Roman"/>
                <w:b/>
                <w:i/>
                <w:noProof/>
                <w:sz w:val="18"/>
                <w:szCs w:val="18"/>
              </w:rPr>
              <w:t xml:space="preserve">Գծապատկեր 1.23. </w:t>
            </w:r>
            <w:r w:rsidRPr="00B27362">
              <w:rPr>
                <w:rFonts w:eastAsia="Calibri" w:cs="Sylfaen"/>
                <w:i/>
                <w:sz w:val="18"/>
                <w:szCs w:val="18"/>
                <w:lang w:val="hy-AM"/>
              </w:rPr>
              <w:t>Ապրանքների արտահանման, ներմուծման և առևտրային հաշվի դինամիկան, մլն ԱՄՆ դոլար</w:t>
            </w:r>
            <w:r w:rsidRPr="00B27362">
              <w:rPr>
                <w:rFonts w:eastAsia="GHEA Grapalat" w:cs="GHEA Grapalat"/>
                <w:bCs/>
                <w:i/>
                <w:sz w:val="18"/>
                <w:lang w:val="hy-AM"/>
              </w:rPr>
              <w:t xml:space="preserve"> </w:t>
            </w:r>
            <w:r w:rsidRPr="00B27362">
              <w:rPr>
                <w:rFonts w:eastAsia="Calibri" w:cs="Sylfaen"/>
                <w:i/>
                <w:noProof/>
                <w:sz w:val="18"/>
              </w:rPr>
              <w:drawing>
                <wp:inline distT="0" distB="0" distL="0" distR="0" wp14:anchorId="20B6A2E8" wp14:editId="19946CE2">
                  <wp:extent cx="2966085" cy="2562880"/>
                  <wp:effectExtent l="0" t="0" r="5715" b="8890"/>
                  <wp:docPr id="30" name="Chart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B27362">
              <w:rPr>
                <w:rFonts w:eastAsia="GHEA Grapalat" w:cs="GHEA Grapalat"/>
                <w:i/>
                <w:sz w:val="18"/>
                <w:szCs w:val="18"/>
                <w:lang w:val="hy-AM"/>
              </w:rPr>
              <w:t>Աղբյուրը՝ ՀՀ ՎԿ, ՀՀ ՖՆ հաշվարկներ</w:t>
            </w:r>
          </w:p>
          <w:p w14:paraId="6B6BD3B8"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240" w:line="240" w:lineRule="auto"/>
              <w:ind w:firstLine="0"/>
              <w:contextualSpacing/>
              <w:jc w:val="left"/>
              <w:rPr>
                <w:rFonts w:eastAsia="GHEA Grapalat" w:cs="GHEA Grapalat"/>
                <w:i/>
                <w:sz w:val="18"/>
                <w:szCs w:val="18"/>
                <w:lang w:val="hy-AM"/>
              </w:rPr>
            </w:pPr>
          </w:p>
          <w:p w14:paraId="22A6382D"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240" w:line="240" w:lineRule="auto"/>
              <w:ind w:firstLine="0"/>
              <w:contextualSpacing/>
              <w:jc w:val="left"/>
              <w:rPr>
                <w:rFonts w:eastAsia="Calibri" w:cs="Sylfaen"/>
                <w:i/>
                <w:sz w:val="18"/>
                <w:lang w:val="hy-AM"/>
              </w:rPr>
            </w:pPr>
            <w:r w:rsidRPr="00B27362">
              <w:rPr>
                <w:rFonts w:eastAsia="Calibri" w:cs="Times New Roman"/>
                <w:b/>
                <w:i/>
                <w:noProof/>
                <w:sz w:val="18"/>
                <w:szCs w:val="18"/>
                <w:lang w:val="hy-AM"/>
              </w:rPr>
              <w:t xml:space="preserve">Գծապատկեր 1.25. </w:t>
            </w:r>
            <w:r w:rsidRPr="00B27362">
              <w:rPr>
                <w:rFonts w:eastAsia="Calibri" w:cs="Sylfaen"/>
                <w:i/>
                <w:sz w:val="18"/>
                <w:lang w:val="hy-AM"/>
              </w:rPr>
              <w:t>Զուտ դրամական փոխանցումների դինամիկան, մլն ԱՄՆ դոլար</w:t>
            </w:r>
          </w:p>
          <w:p w14:paraId="5DC5D36A" w14:textId="77777777" w:rsidR="002D7DDD" w:rsidRPr="00B27362" w:rsidRDefault="002D7DDD" w:rsidP="008931FF">
            <w:pPr>
              <w:keepNext/>
              <w:spacing w:before="0" w:after="0" w:line="240" w:lineRule="auto"/>
              <w:ind w:firstLine="0"/>
              <w:jc w:val="left"/>
              <w:rPr>
                <w:rFonts w:eastAsia="GHEA Grapalat" w:cs="GHEA Grapalat"/>
                <w:b/>
                <w:i/>
                <w:szCs w:val="24"/>
                <w:lang w:val="hy-AM"/>
              </w:rPr>
            </w:pPr>
            <w:r w:rsidRPr="00B27362">
              <w:rPr>
                <w:rFonts w:eastAsia="GHEA Grapalat" w:cs="GHEA Grapalat"/>
                <w:i/>
                <w:noProof/>
                <w:sz w:val="20"/>
                <w:szCs w:val="20"/>
              </w:rPr>
              <w:drawing>
                <wp:inline distT="0" distB="0" distL="0" distR="0" wp14:anchorId="6E21E254" wp14:editId="24F4B49E">
                  <wp:extent cx="2966400" cy="2353945"/>
                  <wp:effectExtent l="0" t="0" r="5715" b="8255"/>
                  <wp:docPr id="35"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94C64C6" w14:textId="77777777" w:rsidR="002D7DDD" w:rsidRPr="00B27362" w:rsidRDefault="002D7DDD" w:rsidP="008931FF">
            <w:pPr>
              <w:keepNext/>
              <w:spacing w:before="0" w:after="0" w:line="336" w:lineRule="auto"/>
              <w:ind w:right="116" w:firstLine="0"/>
              <w:jc w:val="left"/>
              <w:rPr>
                <w:rFonts w:eastAsia="GHEA Grapalat" w:cs="GHEA Grapalat"/>
                <w:i/>
                <w:sz w:val="16"/>
                <w:szCs w:val="16"/>
                <w:lang w:val="hy-AM"/>
              </w:rPr>
            </w:pPr>
            <w:r w:rsidRPr="00B27362">
              <w:rPr>
                <w:rFonts w:eastAsia="GHEA Grapalat" w:cs="GHEA Grapalat"/>
                <w:i/>
                <w:sz w:val="18"/>
                <w:szCs w:val="18"/>
                <w:lang w:val="hy-AM"/>
              </w:rPr>
              <w:t>Աղբյուրը՝ ՀՀ ՎԿ, ՀՀ ՖՆ հաշվարկներ</w:t>
            </w:r>
          </w:p>
        </w:tc>
      </w:tr>
    </w:tbl>
    <w:p w14:paraId="13C81EAE" w14:textId="77777777" w:rsidR="002D7DDD" w:rsidRPr="00B27362" w:rsidRDefault="002D7DDD" w:rsidP="002D7DDD">
      <w:pPr>
        <w:tabs>
          <w:tab w:val="num" w:pos="720"/>
        </w:tabs>
        <w:spacing w:before="0" w:after="0" w:line="276" w:lineRule="auto"/>
        <w:rPr>
          <w:rFonts w:eastAsia="Times New Roman" w:cs="Sylfaen"/>
          <w:lang w:val="hy-AM"/>
        </w:rPr>
      </w:pPr>
    </w:p>
    <w:p w14:paraId="7F4DA830" w14:textId="77777777" w:rsidR="002D7DDD" w:rsidRPr="00B27362" w:rsidRDefault="002D7DDD" w:rsidP="00D25024">
      <w:pPr>
        <w:spacing w:before="0" w:after="0" w:line="276" w:lineRule="auto"/>
        <w:ind w:firstLine="0"/>
        <w:rPr>
          <w:rFonts w:eastAsia="Calibri" w:cs="Sylfaen"/>
          <w:b/>
          <w:u w:val="single"/>
          <w:lang w:val="hy-AM"/>
        </w:rPr>
      </w:pPr>
      <w:r w:rsidRPr="00B27362">
        <w:rPr>
          <w:rFonts w:eastAsia="Calibri" w:cs="Sylfaen"/>
          <w:b/>
          <w:bCs/>
          <w:u w:val="single"/>
          <w:lang w:val="hy-AM"/>
        </w:rPr>
        <w:t>Կանխատեսում։</w:t>
      </w:r>
      <w:r w:rsidRPr="00B27362">
        <w:rPr>
          <w:rFonts w:eastAsia="Calibri" w:cs="Sylfaen"/>
          <w:lang w:val="hy-AM"/>
        </w:rPr>
        <w:t xml:space="preserve"> </w:t>
      </w:r>
      <w:r w:rsidRPr="00B27362">
        <w:rPr>
          <w:rFonts w:eastAsia="Calibri" w:cs="Sylfaen"/>
          <w:b/>
          <w:lang w:val="hy-AM"/>
        </w:rPr>
        <w:t>Պայմանավորված առևտրային հաշվեկշռի վատթարացմամբ, ինչպես նաև ընթացիկ հաշվին ծառայությունների հաշվեկշռի դրական նպաստման որոշակի նվազմամբ՝ 2024թ.</w:t>
      </w:r>
      <w:r w:rsidRPr="00B27362">
        <w:rPr>
          <w:rFonts w:eastAsia="Calibri" w:cs="Sylfaen"/>
          <w:lang w:val="hy-AM"/>
        </w:rPr>
        <w:t xml:space="preserve"> ընթացիկ հաշվի պակասուրդը կվատթարանա՝ հասնելով ՀՆԱ-ում 3.2% մակարդակի: </w:t>
      </w:r>
      <w:r w:rsidRPr="00B27362">
        <w:rPr>
          <w:rFonts w:eastAsia="Times New Roman" w:cs="Sylfaen"/>
          <w:color w:val="000000" w:themeColor="text1"/>
          <w:lang w:val="hy-AM"/>
        </w:rPr>
        <w:t xml:space="preserve">Միջնաժամկետում, 2022-2023թթ. առաջացած դրական գործոնների ազդեցությունների աստիճանական չեզոքացման (մասնավորապես, վերաարտահանման գործոնի չեզոքացման, </w:t>
      </w:r>
      <w:r w:rsidRPr="00B27362">
        <w:rPr>
          <w:rFonts w:eastAsia="Times New Roman" w:cs="Sylfaen"/>
          <w:color w:val="000000" w:themeColor="text1"/>
          <w:lang w:val="hy-AM"/>
        </w:rPr>
        <w:lastRenderedPageBreak/>
        <w:t>ՌԴ-ից զբոսաշրջիկների հոսքերի կայունացման)  պայմաններում ընթացիկ հաշվի պակասուրդը կխորանա՝ մոտենալով իր երկարաժամկետ հավասարակշիռ մակարդակին</w:t>
      </w:r>
      <w:r w:rsidRPr="00B27362">
        <w:rPr>
          <w:rFonts w:eastAsia="Calibri" w:cs="Sylfaen"/>
          <w:lang w:val="hy-AM"/>
        </w:rPr>
        <w:t>:</w:t>
      </w:r>
    </w:p>
    <w:p w14:paraId="613A355E" w14:textId="77777777" w:rsidR="002D7DDD" w:rsidRPr="00B27362" w:rsidRDefault="002D7DDD" w:rsidP="00D25024">
      <w:pPr>
        <w:spacing w:before="0" w:after="0" w:line="276" w:lineRule="auto"/>
        <w:ind w:firstLine="0"/>
        <w:rPr>
          <w:rFonts w:eastAsia="Calibri" w:cs="Sylfaen"/>
          <w:lang w:val="hy-AM"/>
        </w:rPr>
      </w:pPr>
      <w:r w:rsidRPr="00B27362">
        <w:rPr>
          <w:rFonts w:eastAsia="Calibri" w:cs="Sylfaen"/>
          <w:b/>
          <w:u w:val="single"/>
          <w:lang w:val="hy-AM"/>
        </w:rPr>
        <w:t>Արտահանում:</w:t>
      </w:r>
      <w:r w:rsidRPr="00B27362">
        <w:rPr>
          <w:rFonts w:eastAsia="Calibri" w:cs="Sylfaen"/>
          <w:b/>
          <w:lang w:val="hy-AM"/>
        </w:rPr>
        <w:t xml:space="preserve"> 2021-2023թթ. միջինում արձանագրվել է ապրանքների և ծառայությունների դոլարային արտահանման 58% աճ: </w:t>
      </w:r>
      <w:r w:rsidRPr="00B27362">
        <w:rPr>
          <w:rFonts w:eastAsia="Calibri" w:cs="Sylfaen"/>
          <w:lang w:val="hy-AM"/>
        </w:rPr>
        <w:t>Արտահանումը 2021թ.-ից սկսել է վերականգնվել՝ պայմանավորված համավարակի դեմ պայքարի սահմանափակումների թուլացմամբ,</w:t>
      </w:r>
      <w:r>
        <w:rPr>
          <w:rFonts w:eastAsia="Calibri" w:cs="Sylfaen"/>
          <w:lang w:val="hy-AM"/>
        </w:rPr>
        <w:t xml:space="preserve"> </w:t>
      </w:r>
      <w:r w:rsidRPr="00B27362">
        <w:rPr>
          <w:rFonts w:eastAsia="Calibri" w:cs="Sylfaen"/>
          <w:lang w:val="hy-AM"/>
        </w:rPr>
        <w:t xml:space="preserve">արտաքին պահանջարկի վերականգմամբ: 2022-23թթ արձանագրվել </w:t>
      </w:r>
      <w:r>
        <w:rPr>
          <w:rFonts w:eastAsia="Calibri" w:cs="Sylfaen"/>
          <w:lang w:val="hy-AM"/>
        </w:rPr>
        <w:t>են</w:t>
      </w:r>
      <w:r w:rsidRPr="00B27362">
        <w:rPr>
          <w:rFonts w:eastAsia="Calibri" w:cs="Sylfaen"/>
          <w:lang w:val="hy-AM"/>
        </w:rPr>
        <w:t xml:space="preserve"> ապրանքների և ծառայությունների բարձր աճի տեպեր: Ապրանքների արտահանումը 2022-2023թթ. միջինում աճել է 62.9%-ով, որը հիմնականում պայմանավորվել է արտաքին որոշ շուկաներում (հատկապես՝ ՌԴ-ում և ԱՄԷ-ում) ՀՀ ապրանքների նկատմամբ պահանջարկի ավելացմամբ և վերաարտահանմամբ: Իսկ 2022-23թթ. ծառայությունների արտահանումը միջինում աճել է 90.3%-ով՝ հիմնականում պայմանավորված  ՀՀ այցելած զբոսաշրջիկների թվաքանակի կտրուկ աճով, որին մեծ նպաստում է ուն</w:t>
      </w:r>
      <w:r>
        <w:rPr>
          <w:rFonts w:eastAsia="Calibri" w:cs="Sylfaen"/>
          <w:lang w:val="hy-AM"/>
        </w:rPr>
        <w:t>ե</w:t>
      </w:r>
      <w:r w:rsidRPr="00B27362">
        <w:rPr>
          <w:rFonts w:eastAsia="Calibri" w:cs="Sylfaen"/>
          <w:lang w:val="hy-AM"/>
        </w:rPr>
        <w:t>ցել ռուս-ուկրաինական հակամարտության արդյունքում ռուս զբոսաշրջիկների թվաքանակի կտրուկ աճը</w:t>
      </w:r>
      <w:r w:rsidRPr="00B27362">
        <w:rPr>
          <w:rFonts w:eastAsia="Calibri" w:cs="Sylfaen"/>
          <w:b/>
          <w:lang w:val="hy-AM"/>
        </w:rPr>
        <w:t>:</w:t>
      </w:r>
      <w:r w:rsidRPr="00B27362">
        <w:rPr>
          <w:rFonts w:eastAsia="Calibri" w:cs="Sylfaen"/>
          <w:lang w:val="hy-AM"/>
        </w:rPr>
        <w:t xml:space="preserve"> Ընդ որում, հատկանշական է այն հանգամանքը, որ 2023թ. ՀՀ այցելած զբոսաշրջիկների թվաքանակը հատել է 2019 թվականի նախահամավարակային ժամանակաշրջանի մակարդակը, սակայն այն տեղի է ունեցել միայն ՌԴ-ից զբոսաշրջիների աճի հաշվին: Ծառայությունների արտահանման աճին դրական նպաստում է ունեցել նաև հեռահաղորդակցության, համակարգչային և տեղեկատվական ծառայությունների արտահանումը:</w:t>
      </w:r>
    </w:p>
    <w:p w14:paraId="111E41C6" w14:textId="77777777" w:rsidR="002D7DDD" w:rsidRPr="00B27362" w:rsidRDefault="002D7DDD" w:rsidP="00D25024">
      <w:pPr>
        <w:spacing w:before="0" w:after="0" w:line="276" w:lineRule="auto"/>
        <w:ind w:firstLine="0"/>
        <w:contextualSpacing/>
        <w:rPr>
          <w:rFonts w:eastAsia="Calibri" w:cs="Sylfaen"/>
          <w:lang w:val="hy-AM"/>
        </w:rPr>
      </w:pPr>
      <w:r w:rsidRPr="00B27362">
        <w:rPr>
          <w:rFonts w:eastAsia="Calibri" w:cs="Sylfaen"/>
          <w:b/>
          <w:lang w:val="hy-AM"/>
        </w:rPr>
        <w:t xml:space="preserve">2024թ. հունվար-մայիս ամիսներին արձանագրվել է ապրանքերի արտահանման 2.5 անգամ աճ` </w:t>
      </w:r>
      <w:r w:rsidRPr="00B27362">
        <w:rPr>
          <w:rFonts w:eastAsia="Calibri" w:cs="Sylfaen"/>
          <w:lang w:val="hy-AM"/>
        </w:rPr>
        <w:t>հիմնականում պայմանավորված</w:t>
      </w:r>
      <w:r w:rsidRPr="00B27362">
        <w:rPr>
          <w:rFonts w:eastAsia="Calibri" w:cs="Sylfaen"/>
          <w:b/>
          <w:lang w:val="hy-AM"/>
        </w:rPr>
        <w:t xml:space="preserve"> </w:t>
      </w:r>
      <w:r w:rsidRPr="00B27362">
        <w:rPr>
          <w:rFonts w:eastAsia="Calibri" w:cs="Sylfaen"/>
          <w:lang w:val="hy-AM"/>
        </w:rPr>
        <w:t xml:space="preserve">վերոնշյալ գործոններով: Սակայն մայիս ամսին արձանագրվել է արտահանման աճի տեմպի զգալի դանդաղում՝ պայմանավորված ոսկու վերաարտահանման ծավալների կտրուկ կրճատմամբ: </w:t>
      </w:r>
    </w:p>
    <w:p w14:paraId="50CE0E9D" w14:textId="77777777" w:rsidR="002D7DDD" w:rsidRPr="00B27362" w:rsidRDefault="002D7DDD" w:rsidP="002D7DDD">
      <w:pPr>
        <w:spacing w:line="360" w:lineRule="auto"/>
        <w:ind w:firstLine="0"/>
        <w:contextualSpacing/>
        <w:rPr>
          <w:rFonts w:eastAsia="Calibri" w:cs="Sylfaen"/>
          <w:bCs/>
          <w:i/>
          <w:sz w:val="20"/>
          <w:szCs w:val="20"/>
          <w:lang w:val="hy-AM"/>
        </w:rPr>
      </w:pPr>
      <w:r w:rsidRPr="00B27362">
        <w:rPr>
          <w:rFonts w:eastAsia="Calibri" w:cs="Sylfaen"/>
          <w:b/>
          <w:i/>
          <w:lang w:val="hy-AM"/>
        </w:rPr>
        <w:t>Գծապատկեր 1.26</w:t>
      </w:r>
      <w:r w:rsidRPr="00B27362">
        <w:rPr>
          <w:rFonts w:ascii="MS Gothic" w:eastAsia="MS Gothic" w:hAnsi="MS Gothic" w:cs="MS Gothic" w:hint="eastAsia"/>
          <w:b/>
          <w:i/>
          <w:lang w:val="hy-AM"/>
        </w:rPr>
        <w:t>․</w:t>
      </w:r>
      <w:r w:rsidRPr="00B27362">
        <w:rPr>
          <w:rFonts w:eastAsia="Calibri" w:cs="Sylfaen"/>
          <w:bCs/>
          <w:i/>
          <w:sz w:val="20"/>
          <w:szCs w:val="20"/>
          <w:lang w:val="hy-AM"/>
        </w:rPr>
        <w:t xml:space="preserve"> 2024թ. ապրանքների արտահանման միտումները, %</w:t>
      </w:r>
    </w:p>
    <w:p w14:paraId="0C137408" w14:textId="77777777" w:rsidR="002D7DDD" w:rsidRPr="00B27362" w:rsidRDefault="002D7DDD" w:rsidP="002D7DDD">
      <w:pPr>
        <w:spacing w:before="0" w:after="0" w:line="276" w:lineRule="auto"/>
        <w:ind w:firstLine="0"/>
        <w:rPr>
          <w:rFonts w:eastAsia="Calibri" w:cs="Times New Roman"/>
          <w:i/>
          <w:sz w:val="18"/>
          <w:szCs w:val="18"/>
          <w:lang w:val="hy-AM"/>
        </w:rPr>
      </w:pPr>
      <w:r w:rsidRPr="00B27362">
        <w:rPr>
          <w:rFonts w:eastAsia="Times New Roman" w:cs="Times New Roman"/>
          <w:noProof/>
        </w:rPr>
        <w:drawing>
          <wp:inline distT="0" distB="0" distL="0" distR="0" wp14:anchorId="5AC1CDDD" wp14:editId="58038787">
            <wp:extent cx="3060000" cy="2231390"/>
            <wp:effectExtent l="0" t="0" r="7620" b="1651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B27362">
        <w:rPr>
          <w:rFonts w:eastAsia="Calibri" w:cs="Times New Roman"/>
          <w:i/>
          <w:noProof/>
        </w:rPr>
        <w:drawing>
          <wp:inline distT="0" distB="0" distL="0" distR="0" wp14:anchorId="1A7323A2" wp14:editId="4E2AAC4E">
            <wp:extent cx="2999740" cy="2235200"/>
            <wp:effectExtent l="0" t="0" r="10160" b="1270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15705F6" w14:textId="77777777" w:rsidR="002D7DDD" w:rsidRPr="00B27362" w:rsidRDefault="002D7DDD" w:rsidP="002D7DDD">
      <w:pPr>
        <w:spacing w:before="0" w:after="0" w:line="276" w:lineRule="auto"/>
        <w:ind w:firstLine="0"/>
        <w:rPr>
          <w:rFonts w:eastAsia="Calibri" w:cs="Times New Roman"/>
          <w:i/>
          <w:sz w:val="18"/>
          <w:szCs w:val="18"/>
          <w:lang w:val="hy-AM"/>
        </w:rPr>
      </w:pPr>
      <w:r w:rsidRPr="00B27362">
        <w:rPr>
          <w:rFonts w:eastAsia="Calibri" w:cs="Times New Roman"/>
          <w:i/>
          <w:sz w:val="18"/>
          <w:szCs w:val="18"/>
          <w:lang w:val="hy-AM"/>
        </w:rPr>
        <w:t>Աղբյուրը՝ ՀՀ ՎԿ և ՀՀ ՖՆ հաշվարկներ:</w:t>
      </w:r>
    </w:p>
    <w:p w14:paraId="628C8AE7" w14:textId="1A993612" w:rsidR="002D7DDD" w:rsidRPr="00B27362" w:rsidRDefault="002D7DDD" w:rsidP="00D25024">
      <w:pPr>
        <w:tabs>
          <w:tab w:val="num" w:pos="720"/>
        </w:tabs>
        <w:spacing w:before="0" w:after="0" w:line="276" w:lineRule="auto"/>
        <w:ind w:firstLine="0"/>
        <w:rPr>
          <w:rFonts w:eastAsia="Calibri" w:cs="Sylfaen"/>
          <w:lang w:val="hy-AM"/>
        </w:rPr>
      </w:pPr>
      <w:r w:rsidRPr="00B27362">
        <w:rPr>
          <w:rFonts w:eastAsia="Calibri" w:cs="Sylfaen"/>
          <w:b/>
          <w:lang w:val="hy-AM"/>
        </w:rPr>
        <w:t xml:space="preserve">2024 թվականի առաջին հինգ ամիսներին ՀՀ այցելած զբոսաշրջիկների թվաքանակը նախորդ տարվա նույն ժամանակահատվածի համեմատ նվազել է, իսկ ՀՀ-ից մեկնած զբոսաշրջիկների թվաքանակն ավելացել է:  </w:t>
      </w:r>
      <w:r w:rsidRPr="00B27362">
        <w:rPr>
          <w:rFonts w:eastAsia="Calibri" w:cs="Sylfaen"/>
          <w:lang w:val="hy-AM"/>
        </w:rPr>
        <w:t>2024 թվականի առաջին հինգ ամիսներին ՀՀ այցելած զբոսաշրջիկների թվաքանակը  նախորդ տարվա նույն ժամանակահատվածի նկատմամբ նվազել է 4.9% (շուրջ 39 հազար մարդով), որին ՌԴ զբոսաշրջիկների (շուրջ 322 հազար մարդ) նպաստումը կազմել է շուրջ 11.7%-ային կետ:  Ընդ որում, աճել է այլ երկրներից ժամանած զբոսաշրջիկների, մասնավորապես, Հնդկաստանից ժամանածների թվաքանակը (2.3 անգամ):</w:t>
      </w:r>
      <w:r w:rsidRPr="00B27362">
        <w:rPr>
          <w:rFonts w:eastAsia="Calibri" w:cs="Sylfaen"/>
          <w:b/>
          <w:lang w:val="hy-AM"/>
        </w:rPr>
        <w:t xml:space="preserve"> </w:t>
      </w:r>
      <w:r w:rsidRPr="00B27362">
        <w:rPr>
          <w:rFonts w:eastAsia="Calibri" w:cs="Sylfaen"/>
          <w:lang w:val="hy-AM"/>
        </w:rPr>
        <w:t>ՀՀ այցելած այլ երկրներից (առանց ՌԴ) զբոսաշրջիկների թվաքանակը հատել է 2019 թվականի նախահամավարակային ժամանակաշրջանի մակարդակը:</w:t>
      </w:r>
    </w:p>
    <w:p w14:paraId="44B9A645" w14:textId="77777777" w:rsidR="002D7DDD" w:rsidRPr="00B27362" w:rsidRDefault="002D7DDD" w:rsidP="00D25024">
      <w:pPr>
        <w:spacing w:before="0" w:after="120" w:line="276" w:lineRule="auto"/>
        <w:ind w:firstLine="0"/>
        <w:rPr>
          <w:rFonts w:eastAsia="Calibri" w:cs="Sylfaen"/>
          <w:lang w:val="hy-AM"/>
        </w:rPr>
      </w:pPr>
      <w:r w:rsidRPr="00B27362">
        <w:rPr>
          <w:rFonts w:eastAsia="Calibri" w:cs="Sylfaen"/>
          <w:b/>
          <w:bCs/>
          <w:u w:val="single"/>
          <w:lang w:val="hy-AM"/>
        </w:rPr>
        <w:lastRenderedPageBreak/>
        <w:t>Կանխատեսում։</w:t>
      </w:r>
      <w:r w:rsidRPr="00B27362">
        <w:rPr>
          <w:rFonts w:eastAsia="Calibri" w:cs="Sylfaen"/>
          <w:lang w:val="hy-AM"/>
        </w:rPr>
        <w:t xml:space="preserve"> Փաստացի և կանխատեսվող հորիզոնում վերաարտահանման գործոնի բացառման պայմաններում թե՛ 2024թ</w:t>
      </w:r>
      <w:r w:rsidRPr="00B27362">
        <w:rPr>
          <w:rFonts w:ascii="Cambria Math" w:eastAsia="Calibri" w:hAnsi="Cambria Math" w:cs="Cambria Math"/>
          <w:lang w:val="hy-AM"/>
        </w:rPr>
        <w:t>․</w:t>
      </w:r>
      <w:r w:rsidRPr="00B27362">
        <w:rPr>
          <w:rFonts w:eastAsia="Calibri" w:cs="Times New Roman"/>
          <w:lang w:val="hy-AM"/>
        </w:rPr>
        <w:t xml:space="preserve">, և թե՛ միջնաժամկետում սպասվում </w:t>
      </w:r>
      <w:r>
        <w:rPr>
          <w:rFonts w:eastAsia="Calibri" w:cs="Times New Roman"/>
          <w:lang w:val="hy-AM"/>
        </w:rPr>
        <w:t>են</w:t>
      </w:r>
      <w:r w:rsidRPr="00B27362">
        <w:rPr>
          <w:rFonts w:eastAsia="Calibri" w:cs="Times New Roman"/>
          <w:lang w:val="hy-AM"/>
        </w:rPr>
        <w:t xml:space="preserve"> միջինում 5%-ը գերազանցող արտահանման աճեր։ Սակայն, </w:t>
      </w:r>
      <w:r w:rsidRPr="00B27362">
        <w:rPr>
          <w:rFonts w:eastAsia="Calibri" w:cs="Sylfaen"/>
          <w:lang w:val="hy-AM"/>
        </w:rPr>
        <w:t xml:space="preserve">պայմանավորված որոշ ապրանքների վերաարտահանման գործոնների (հատկապես՝ ավտոմեքենաների և ոսկու), ինչպես նաև զբոսաշրջային հոսքերի որոշակի թուլացմամբ՝ 2024թ. սպասվում է չափավոր՝ շուրջ 3.2% արտահանման աճ։ Միջնաժամկետում, ռուս-ուկրաինական պատերազմի հետևանքով 2022-2023թթ. առաջացած դրական գործոնների թուլացման, մասնավորապես վերաարտահանման գործոնի չեզոքացման պայմաներում՝ 2025-2026թթ. համար կանխատեսվում է արտահանման անկում՝ 2025թ. անկումը կկազմի շուրջ 17.1%, իսկ 2026թ.-ին՝ շուրջ 1.3%: 2027թ.-ին արտահանումը կսկսի աճել՝ շուրջ 2.9%-ով: </w:t>
      </w:r>
    </w:p>
    <w:p w14:paraId="212C838E" w14:textId="77777777" w:rsidR="002D7DDD" w:rsidRPr="00B27362" w:rsidRDefault="002D7DDD" w:rsidP="00D25024">
      <w:pPr>
        <w:tabs>
          <w:tab w:val="left" w:pos="0"/>
        </w:tabs>
        <w:spacing w:before="0" w:after="120" w:line="276" w:lineRule="auto"/>
        <w:ind w:firstLine="0"/>
        <w:rPr>
          <w:rFonts w:eastAsia="GHEA Grapalat" w:cs="GHEA Grapalat"/>
          <w:b/>
          <w:lang w:val="hy-AM"/>
        </w:rPr>
      </w:pPr>
      <w:r w:rsidRPr="00B27362">
        <w:rPr>
          <w:rFonts w:eastAsia="Calibri" w:cs="Sylfaen"/>
          <w:b/>
          <w:u w:val="single"/>
          <w:lang w:val="hy-AM"/>
        </w:rPr>
        <w:t>Ներմուծում:</w:t>
      </w:r>
      <w:r w:rsidRPr="00B27362">
        <w:rPr>
          <w:rFonts w:eastAsia="Calibri" w:cs="Sylfaen"/>
          <w:b/>
          <w:lang w:val="hy-AM"/>
        </w:rPr>
        <w:t xml:space="preserve"> 2021-2023թթ. միջինում արձանագրվել է ապրանքների և ծառայությունների ներմուծման դոլարային 43% աճ: </w:t>
      </w:r>
      <w:r w:rsidRPr="00B27362">
        <w:rPr>
          <w:rFonts w:eastAsia="GHEA Grapalat" w:cs="GHEA Grapalat"/>
          <w:lang w:val="hy-AM"/>
        </w:rPr>
        <w:t>2021թ</w:t>
      </w:r>
      <w:r w:rsidRPr="00B27362">
        <w:rPr>
          <w:rFonts w:ascii="Cambria Math" w:eastAsia="GHEA Grapalat" w:hAnsi="Cambria Math" w:cs="Cambria Math"/>
          <w:lang w:val="hy-AM"/>
        </w:rPr>
        <w:t>․</w:t>
      </w:r>
      <w:r w:rsidRPr="00B27362">
        <w:rPr>
          <w:rFonts w:eastAsia="GHEA Grapalat" w:cs="GHEA Grapalat"/>
          <w:lang w:val="hy-AM"/>
        </w:rPr>
        <w:t xml:space="preserve"> ապրանքների և ծառայությունների ներմուծման աճերը համավարակի հետևանքով կրած անկումից հետո սկսել են վերականգնվել, իսկ 2022-2023թթ. գրանցել բարձր աճ՝ </w:t>
      </w:r>
      <w:r w:rsidRPr="00B27362">
        <w:rPr>
          <w:rFonts w:eastAsia="GHEA Grapalat" w:cs="GHEA Grapalat"/>
          <w:bCs/>
          <w:lang w:val="hy-AM"/>
        </w:rPr>
        <w:t>պայմանավորված ներքին պահանջարկով, բարձր տնտեսական ակտիվությամբ և վերաարտահանման նպատակով իրականացված ներմուծմամբ:</w:t>
      </w:r>
      <w:r w:rsidRPr="00B27362">
        <w:rPr>
          <w:rFonts w:eastAsia="GHEA Grapalat" w:cs="GHEA Grapalat"/>
          <w:lang w:val="hy-AM"/>
        </w:rPr>
        <w:t xml:space="preserve"> Նշված ժամանակահատվածում ծառայությունների ներմուծման աճի բարձր տեմպերը հիմնականում պայմանավորված </w:t>
      </w:r>
      <w:r>
        <w:rPr>
          <w:rFonts w:eastAsia="GHEA Grapalat" w:cs="GHEA Grapalat"/>
          <w:lang w:val="hy-AM"/>
        </w:rPr>
        <w:t>են</w:t>
      </w:r>
      <w:r w:rsidRPr="00B27362">
        <w:rPr>
          <w:rFonts w:eastAsia="GHEA Grapalat" w:cs="GHEA Grapalat"/>
          <w:lang w:val="hy-AM"/>
        </w:rPr>
        <w:t xml:space="preserve"> </w:t>
      </w:r>
      <w:r w:rsidRPr="00B27362">
        <w:rPr>
          <w:rFonts w:eastAsia="Calibri" w:cs="Sylfaen"/>
          <w:lang w:val="hy-AM"/>
        </w:rPr>
        <w:t>համավար</w:t>
      </w:r>
      <w:r>
        <w:rPr>
          <w:rFonts w:eastAsia="Calibri" w:cs="Sylfaen"/>
          <w:lang w:val="hy-AM"/>
        </w:rPr>
        <w:t>ա</w:t>
      </w:r>
      <w:r w:rsidRPr="00B27362">
        <w:rPr>
          <w:rFonts w:eastAsia="Calibri" w:cs="Sylfaen"/>
          <w:lang w:val="hy-AM"/>
        </w:rPr>
        <w:t>կի հետ կապված սահմանափակումների  վերացմամբ և տնտեսական բարձր ակտիվությանը համահունչ բնակչության տնօրինվող եկամտի ավելացմամբ</w:t>
      </w:r>
      <w:r>
        <w:rPr>
          <w:rFonts w:eastAsia="Calibri" w:cs="Sylfaen"/>
          <w:lang w:val="hy-AM"/>
        </w:rPr>
        <w:t>՝</w:t>
      </w:r>
      <w:r w:rsidRPr="00B27362">
        <w:rPr>
          <w:rFonts w:eastAsia="Calibri" w:cs="Sylfaen"/>
          <w:lang w:val="hy-AM"/>
        </w:rPr>
        <w:t xml:space="preserve"> պայմանավորված զբոսաշրջային ծառայությունների նկատմամբ ստեղծված պահանջարկով:</w:t>
      </w:r>
    </w:p>
    <w:p w14:paraId="43BF93EF" w14:textId="77777777" w:rsidR="002D7DDD" w:rsidRPr="00B27362" w:rsidRDefault="002D7DDD" w:rsidP="00D25024">
      <w:pPr>
        <w:tabs>
          <w:tab w:val="left" w:pos="0"/>
        </w:tabs>
        <w:spacing w:before="0" w:after="120" w:line="276" w:lineRule="auto"/>
        <w:ind w:firstLine="0"/>
        <w:rPr>
          <w:rFonts w:eastAsia="GHEA Grapalat" w:cs="GHEA Grapalat"/>
          <w:b/>
          <w:lang w:val="hy-AM"/>
        </w:rPr>
      </w:pPr>
      <w:r w:rsidRPr="00B27362">
        <w:rPr>
          <w:rFonts w:eastAsia="GHEA Grapalat" w:cs="GHEA Grapalat"/>
          <w:b/>
          <w:lang w:val="hy-AM"/>
        </w:rPr>
        <w:t>2023թ</w:t>
      </w:r>
      <w:r w:rsidRPr="00B27362">
        <w:rPr>
          <w:rFonts w:ascii="Cambria Math" w:eastAsia="GHEA Grapalat" w:hAnsi="Cambria Math" w:cs="Cambria Math"/>
          <w:b/>
          <w:lang w:val="hy-AM"/>
        </w:rPr>
        <w:t>․</w:t>
      </w:r>
      <w:r w:rsidRPr="00B27362">
        <w:rPr>
          <w:rFonts w:eastAsia="GHEA Grapalat" w:cs="GHEA Grapalat"/>
          <w:b/>
          <w:lang w:val="hy-AM"/>
        </w:rPr>
        <w:t xml:space="preserve"> արձանագրվել է ապրանքների և </w:t>
      </w:r>
      <w:r>
        <w:rPr>
          <w:rFonts w:eastAsia="GHEA Grapalat" w:cs="GHEA Grapalat"/>
          <w:b/>
          <w:lang w:val="hy-AM"/>
        </w:rPr>
        <w:t>ծառայությ</w:t>
      </w:r>
      <w:r w:rsidRPr="00B27362">
        <w:rPr>
          <w:rFonts w:eastAsia="GHEA Grapalat" w:cs="GHEA Grapalat"/>
          <w:b/>
          <w:lang w:val="hy-AM"/>
        </w:rPr>
        <w:t xml:space="preserve">ունների ներմուծման բարձր երկնիշ աճ (41.6%)։ </w:t>
      </w:r>
      <w:r w:rsidRPr="00B27362">
        <w:rPr>
          <w:rFonts w:eastAsia="GHEA Grapalat" w:cs="GHEA Grapalat"/>
          <w:lang w:val="hy-AM"/>
        </w:rPr>
        <w:t>Ապրանքների ն</w:t>
      </w:r>
      <w:r w:rsidRPr="00B27362">
        <w:rPr>
          <w:rFonts w:eastAsia="GHEA Grapalat" w:cs="GHEA Grapalat"/>
          <w:bCs/>
          <w:lang w:val="hy-AM"/>
        </w:rPr>
        <w:t xml:space="preserve">երմուծման բարձր աճը պայմանավորվել է բարձր տնտեսական ակտիվությամբ, պահանջարկի բարձր աճով և վերաարտահանման հնարավորությունների մեծացման պայմաններում ներմուծվող ապրանքների նկատմամբ բարձր պահանջարկով: </w:t>
      </w:r>
      <w:r w:rsidRPr="00B27362">
        <w:rPr>
          <w:rFonts w:eastAsia="GHEA Grapalat" w:cs="GHEA Grapalat"/>
          <w:lang w:val="hy-AM"/>
        </w:rPr>
        <w:t>Ծառայությունների ներմուծման աճը 2023թ. կազմել է 25.3% և</w:t>
      </w:r>
      <w:r w:rsidRPr="00B27362">
        <w:rPr>
          <w:rFonts w:eastAsia="Calibri" w:cs="Sylfaen"/>
          <w:lang w:val="hy-AM"/>
        </w:rPr>
        <w:t xml:space="preserve"> հիմնականում պայմանավորվել է զբոսաշրջության աճով:</w:t>
      </w:r>
    </w:p>
    <w:p w14:paraId="279B1E41" w14:textId="77777777" w:rsidR="002D7DDD" w:rsidRPr="00B27362" w:rsidRDefault="002D7DDD" w:rsidP="00D25024">
      <w:pPr>
        <w:tabs>
          <w:tab w:val="left" w:pos="0"/>
        </w:tabs>
        <w:spacing w:before="0" w:after="120" w:line="276" w:lineRule="auto"/>
        <w:ind w:firstLine="0"/>
        <w:rPr>
          <w:rFonts w:eastAsia="Calibri" w:cs="Sylfaen"/>
          <w:lang w:val="hy-AM"/>
        </w:rPr>
      </w:pPr>
      <w:r w:rsidRPr="00B27362">
        <w:rPr>
          <w:rFonts w:eastAsia="GHEA Grapalat" w:cs="GHEA Grapalat"/>
          <w:b/>
          <w:lang w:val="hy-AM"/>
        </w:rPr>
        <w:t xml:space="preserve">2024 թվականի առաջին հինգ ամիսներին արձանագրվել է ներմուծման երկնիշ աճ՝ պայմանավորված բարձր տնտեսական ակտիվությամբ և վերաարտահանման նպատակով իրականացված ներմուծմամբ: </w:t>
      </w:r>
      <w:r w:rsidRPr="00B27362">
        <w:rPr>
          <w:rFonts w:eastAsia="GHEA Grapalat" w:cs="GHEA Grapalat"/>
          <w:lang w:val="hy-AM"/>
        </w:rPr>
        <w:t>2024 թվականի առաջին հինգ ամիսներին դոլարային արտահայտությամբ ապրանքների ներմուծման ծավալը աճել է 2.0 անգամ՝ կազմելով 9275.5 մլն դոլար: Հատկանշական է, որ մայիս ամսին արձանագրվել է ներմուծման աճի տեմպի կտրուկ դանդաղում՝ պայմանավորված ոսկու ներմուծման ծավալների կտրուկ փոքրացմամբ:</w:t>
      </w:r>
    </w:p>
    <w:p w14:paraId="04E462B5" w14:textId="77777777" w:rsidR="002D7DDD" w:rsidRPr="00B27362" w:rsidRDefault="002D7DDD" w:rsidP="002D7DDD">
      <w:pPr>
        <w:tabs>
          <w:tab w:val="left" w:pos="0"/>
        </w:tabs>
        <w:spacing w:before="0" w:after="0" w:line="276" w:lineRule="auto"/>
        <w:ind w:firstLine="142"/>
        <w:rPr>
          <w:rFonts w:eastAsia="Calibri" w:cs="Sylfaen"/>
          <w:bCs/>
          <w:i/>
          <w:iCs/>
          <w:sz w:val="20"/>
          <w:szCs w:val="20"/>
          <w:lang w:val="hy-AM"/>
        </w:rPr>
      </w:pPr>
      <w:r w:rsidRPr="00B27362">
        <w:rPr>
          <w:rFonts w:eastAsia="Calibri" w:cs="Sylfaen"/>
          <w:b/>
          <w:bCs/>
          <w:i/>
          <w:iCs/>
          <w:lang w:val="hy-AM"/>
        </w:rPr>
        <w:t>Գծապատկեր 1.27</w:t>
      </w:r>
      <w:r w:rsidRPr="00B27362">
        <w:rPr>
          <w:rFonts w:ascii="MS Gothic" w:eastAsia="MS Gothic" w:hAnsi="MS Gothic" w:cs="MS Gothic" w:hint="eastAsia"/>
          <w:b/>
          <w:bCs/>
          <w:i/>
          <w:iCs/>
          <w:lang w:val="hy-AM"/>
        </w:rPr>
        <w:t>․</w:t>
      </w:r>
      <w:r w:rsidRPr="00B27362">
        <w:rPr>
          <w:rFonts w:eastAsia="Calibri" w:cs="Sylfaen"/>
          <w:bCs/>
          <w:i/>
          <w:iCs/>
          <w:sz w:val="21"/>
          <w:szCs w:val="21"/>
          <w:lang w:val="hy-AM"/>
        </w:rPr>
        <w:t xml:space="preserve"> </w:t>
      </w:r>
      <w:r w:rsidRPr="00B27362">
        <w:rPr>
          <w:rFonts w:eastAsia="Calibri" w:cs="Sylfaen"/>
          <w:bCs/>
          <w:i/>
          <w:iCs/>
          <w:sz w:val="20"/>
          <w:szCs w:val="20"/>
          <w:lang w:val="hy-AM"/>
        </w:rPr>
        <w:t>2024թ. ապրանքների ներմուծման միտումները, %</w:t>
      </w:r>
    </w:p>
    <w:p w14:paraId="48AB6AFB" w14:textId="77777777" w:rsidR="002D7DDD" w:rsidRPr="00B27362" w:rsidRDefault="002D7DDD" w:rsidP="002D7DDD">
      <w:pPr>
        <w:tabs>
          <w:tab w:val="left" w:pos="0"/>
        </w:tabs>
        <w:spacing w:before="0" w:after="0" w:line="276" w:lineRule="auto"/>
        <w:ind w:firstLine="142"/>
        <w:rPr>
          <w:rFonts w:eastAsia="Calibri" w:cs="Sylfaen"/>
          <w:bCs/>
          <w:i/>
          <w:iCs/>
          <w:lang w:val="hy-AM"/>
        </w:rPr>
      </w:pPr>
      <w:r w:rsidRPr="00B27362">
        <w:rPr>
          <w:rFonts w:eastAsia="Times New Roman" w:cs="Times New Roman"/>
          <w:noProof/>
        </w:rPr>
        <w:lastRenderedPageBreak/>
        <w:drawing>
          <wp:inline distT="0" distB="0" distL="0" distR="0" wp14:anchorId="56211DDA" wp14:editId="4F831527">
            <wp:extent cx="2971800" cy="2231390"/>
            <wp:effectExtent l="0" t="0" r="0" b="1651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B27362">
        <w:rPr>
          <w:rFonts w:eastAsia="Calibri" w:cs="Times New Roman"/>
          <w:i/>
          <w:noProof/>
        </w:rPr>
        <w:drawing>
          <wp:inline distT="0" distB="0" distL="0" distR="0" wp14:anchorId="72CF54A7" wp14:editId="16EF828E">
            <wp:extent cx="2971545" cy="2231390"/>
            <wp:effectExtent l="0" t="0" r="635" b="1651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33405FB" w14:textId="77777777" w:rsidR="002D7DDD" w:rsidRPr="00B27362" w:rsidRDefault="002D7DDD" w:rsidP="002D7DDD">
      <w:pPr>
        <w:tabs>
          <w:tab w:val="left" w:pos="0"/>
          <w:tab w:val="num" w:pos="720"/>
        </w:tabs>
        <w:spacing w:before="0" w:after="120" w:line="276" w:lineRule="auto"/>
        <w:ind w:firstLine="0"/>
        <w:rPr>
          <w:rFonts w:eastAsia="Calibri" w:cs="Sylfaen"/>
          <w:b/>
          <w:bCs/>
          <w:u w:val="single"/>
          <w:lang w:val="hy-AM"/>
        </w:rPr>
      </w:pPr>
      <w:r w:rsidRPr="00B27362">
        <w:rPr>
          <w:rFonts w:eastAsia="Calibri" w:cs="Sylfaen"/>
          <w:i/>
          <w:sz w:val="18"/>
          <w:szCs w:val="18"/>
          <w:lang w:val="hy-AM"/>
        </w:rPr>
        <w:t xml:space="preserve">Աղբյուրը՝ ՀՀ ՎԿ և ՀՀ ՖՆ հաշվարկներ:  </w:t>
      </w:r>
    </w:p>
    <w:p w14:paraId="2DD6767B" w14:textId="77777777" w:rsidR="002D7DDD" w:rsidRDefault="002D7DDD" w:rsidP="00D25024">
      <w:pPr>
        <w:tabs>
          <w:tab w:val="left" w:pos="0"/>
          <w:tab w:val="num" w:pos="720"/>
        </w:tabs>
        <w:spacing w:before="0" w:after="0" w:line="276" w:lineRule="auto"/>
        <w:ind w:firstLine="0"/>
        <w:rPr>
          <w:rFonts w:eastAsia="Calibri" w:cs="Sylfaen"/>
          <w:lang w:val="hy-AM"/>
        </w:rPr>
      </w:pPr>
      <w:r w:rsidRPr="00B27362">
        <w:rPr>
          <w:rFonts w:eastAsia="Calibri" w:cs="Sylfaen"/>
          <w:b/>
          <w:bCs/>
          <w:u w:val="single"/>
          <w:lang w:val="hy-AM"/>
        </w:rPr>
        <w:t>Կանխատեսում։</w:t>
      </w:r>
      <w:r w:rsidRPr="00B27362">
        <w:rPr>
          <w:rFonts w:eastAsia="Calibri" w:cs="Sylfaen"/>
          <w:lang w:val="hy-AM"/>
        </w:rPr>
        <w:t xml:space="preserve"> </w:t>
      </w:r>
      <w:r w:rsidRPr="00B27362">
        <w:rPr>
          <w:rFonts w:eastAsia="Calibri" w:cs="Sylfaen"/>
          <w:b/>
          <w:lang w:val="hy-AM"/>
        </w:rPr>
        <w:t>Փաստացի և կանխատեսվող հորիզոնում վերաարտահանման գործոնի ազդեցության բացառման պայմաններում 2024թ</w:t>
      </w:r>
      <w:r w:rsidRPr="00B27362">
        <w:rPr>
          <w:rFonts w:ascii="Cambria Math" w:eastAsia="Calibri" w:hAnsi="Cambria Math" w:cs="Cambria Math"/>
          <w:b/>
          <w:lang w:val="hy-AM"/>
        </w:rPr>
        <w:t>․</w:t>
      </w:r>
      <w:r w:rsidRPr="00B27362">
        <w:rPr>
          <w:rFonts w:eastAsia="Calibri" w:cs="Times New Roman"/>
          <w:b/>
          <w:lang w:val="hy-AM"/>
        </w:rPr>
        <w:t xml:space="preserve"> և միջնաժամկետում սպասվում </w:t>
      </w:r>
      <w:r>
        <w:rPr>
          <w:rFonts w:eastAsia="Calibri" w:cs="Times New Roman"/>
          <w:b/>
          <w:lang w:val="hy-AM"/>
        </w:rPr>
        <w:t>են</w:t>
      </w:r>
      <w:r w:rsidRPr="00B27362">
        <w:rPr>
          <w:rFonts w:eastAsia="Calibri" w:cs="Times New Roman"/>
          <w:b/>
          <w:lang w:val="hy-AM"/>
        </w:rPr>
        <w:t xml:space="preserve"> ներքին պահանջարկին և տնտեսական ակտիվությանը համահունչ ներմուծման </w:t>
      </w:r>
      <w:r>
        <w:rPr>
          <w:rFonts w:eastAsia="Calibri" w:cs="Times New Roman"/>
          <w:b/>
          <w:lang w:val="hy-AM"/>
        </w:rPr>
        <w:t>աճեր</w:t>
      </w:r>
      <w:r w:rsidRPr="00B27362">
        <w:rPr>
          <w:rFonts w:eastAsia="Calibri" w:cs="Times New Roman"/>
          <w:b/>
          <w:lang w:val="hy-AM"/>
        </w:rPr>
        <w:t>։</w:t>
      </w:r>
      <w:r w:rsidRPr="00B27362">
        <w:rPr>
          <w:rFonts w:eastAsia="Calibri" w:cs="Times New Roman"/>
          <w:lang w:val="hy-AM"/>
        </w:rPr>
        <w:t xml:space="preserve"> Իսկ ընդհանուր առմամբ, </w:t>
      </w:r>
      <w:r w:rsidRPr="00B27362">
        <w:rPr>
          <w:rFonts w:eastAsia="Calibri" w:cs="Sylfaen"/>
          <w:lang w:val="hy-AM"/>
        </w:rPr>
        <w:t>սպասվող տնտեսական աճի և ապրանքների ու ծառայությունների նկատմամբ ներքին պահանջարկի աճով, ինչպես նաև վերաարտահանման գործոնների թուլացմամբ պայմանավորված 2024թ. սպասվում է շուրջ 5.6% ներմուծման աճ: 2025թ. վերաարտահանման գործոնի զգալի չեզոքացման արդյունքում կարձանագրվի ներմուծման շուրջ 14.4% անկում: 2026-2027թթ. պայմանավորված ներքին պահանջարկի աճով, ինչպես նաև ՀՀ կառավարության կողմից նախատեսվող պետական ներդրումների իրականացման և մասնավոր ներդրումների խթանման միջոցառումների ազդեցությամբ պայմանավորված ներմուծման աճը միջինում կկազմի մոտ 3.1%: Նման չափավոր աճը պայմանավորված է վերաարտահանման գործոնի չեզոքացմամբ:</w:t>
      </w:r>
    </w:p>
    <w:p w14:paraId="178C0FBF" w14:textId="77777777" w:rsidR="002D7DDD" w:rsidRPr="00B27362" w:rsidRDefault="002D7DDD" w:rsidP="00D25024">
      <w:pPr>
        <w:tabs>
          <w:tab w:val="left" w:pos="0"/>
          <w:tab w:val="num" w:pos="720"/>
        </w:tabs>
        <w:spacing w:before="0" w:after="0" w:line="276" w:lineRule="auto"/>
        <w:ind w:firstLine="0"/>
        <w:rPr>
          <w:rFonts w:eastAsia="Calibri" w:cs="Sylfaen"/>
          <w:i/>
          <w:sz w:val="16"/>
          <w:szCs w:val="18"/>
          <w:lang w:val="hy-AM"/>
        </w:rPr>
      </w:pPr>
    </w:p>
    <w:p w14:paraId="7344DBAA" w14:textId="77777777" w:rsidR="002D7DDD" w:rsidRPr="00B27362" w:rsidRDefault="002D7DDD" w:rsidP="00D25024">
      <w:pPr>
        <w:keepNext/>
        <w:keepLines/>
        <w:spacing w:before="240" w:line="276" w:lineRule="auto"/>
        <w:ind w:left="709" w:firstLine="0"/>
        <w:contextualSpacing/>
        <w:jc w:val="left"/>
        <w:outlineLvl w:val="2"/>
        <w:rPr>
          <w:rFonts w:eastAsia="Times New Roman"/>
          <w:b/>
          <w:color w:val="1F4E79" w:themeColor="accent1" w:themeShade="80"/>
          <w:lang w:val="hy-AM"/>
        </w:rPr>
      </w:pPr>
      <w:bookmarkStart w:id="52" w:name="_Toc170743032"/>
      <w:bookmarkStart w:id="53" w:name="_Toc170750536"/>
      <w:bookmarkStart w:id="54" w:name="_Toc170926297"/>
      <w:r w:rsidRPr="00B27362">
        <w:rPr>
          <w:rFonts w:eastAsia="Times New Roman"/>
          <w:b/>
          <w:color w:val="1F4E79" w:themeColor="accent1" w:themeShade="80"/>
          <w:lang w:val="hy-AM"/>
        </w:rPr>
        <w:t>1.3.4. Արժութային շուկա և փոխարժեքներ</w:t>
      </w:r>
      <w:bookmarkEnd w:id="52"/>
      <w:bookmarkEnd w:id="53"/>
      <w:bookmarkEnd w:id="54"/>
    </w:p>
    <w:p w14:paraId="33ABFB53" w14:textId="77777777" w:rsidR="002D7DDD" w:rsidRPr="00B27362" w:rsidRDefault="002D7DDD" w:rsidP="00D25024">
      <w:pPr>
        <w:keepNext/>
        <w:keepLines/>
        <w:spacing w:before="0" w:after="0" w:line="276" w:lineRule="auto"/>
        <w:ind w:firstLine="0"/>
        <w:outlineLvl w:val="5"/>
        <w:rPr>
          <w:rFonts w:eastAsia="Times New Roman" w:cs="Times New Roman"/>
          <w:b/>
          <w:lang w:val="hy-AM"/>
        </w:rPr>
      </w:pPr>
      <w:r w:rsidRPr="00B27362">
        <w:rPr>
          <w:rFonts w:eastAsia="Times New Roman" w:cs="Times New Roman"/>
          <w:b/>
          <w:u w:val="single"/>
          <w:lang w:val="hy-AM"/>
        </w:rPr>
        <w:t>Ֆիզիկական անձանց փոխանցումներ։</w:t>
      </w:r>
      <w:r w:rsidRPr="00B27362">
        <w:rPr>
          <w:rFonts w:eastAsia="Times New Roman" w:cs="Times New Roman"/>
          <w:b/>
          <w:lang w:val="hy-AM"/>
        </w:rPr>
        <w:t xml:space="preserve"> </w:t>
      </w:r>
      <w:r w:rsidRPr="00B27362">
        <w:rPr>
          <w:rFonts w:eastAsia="GHEA Grapalat" w:cs="GHEA Grapalat"/>
          <w:b/>
          <w:bCs/>
          <w:lang w:val="hy-AM"/>
        </w:rPr>
        <w:t>Դեպի ՀՀ ֆիզիկական անձանց զուտ փոխանցումները 2021-2023թթ</w:t>
      </w:r>
      <w:r w:rsidRPr="00B27362">
        <w:rPr>
          <w:rFonts w:ascii="Times New Roman" w:eastAsia="GHEA Grapalat" w:hAnsi="Times New Roman" w:cs="Times New Roman"/>
          <w:b/>
          <w:bCs/>
          <w:lang w:val="hy-AM"/>
        </w:rPr>
        <w:t xml:space="preserve">․ </w:t>
      </w:r>
      <w:r w:rsidRPr="00B27362">
        <w:rPr>
          <w:rFonts w:eastAsia="GHEA Grapalat" w:cs="GHEA Grapalat"/>
          <w:b/>
          <w:bCs/>
          <w:lang w:val="hy-AM"/>
        </w:rPr>
        <w:t xml:space="preserve">հասել են աննախադեպ մեծ ծավալների, պայմանավորված ՌԴ-ից մեծ ներհոսքով։ </w:t>
      </w:r>
      <w:r w:rsidRPr="00B27362">
        <w:rPr>
          <w:rFonts w:eastAsia="GHEA Grapalat" w:cs="GHEA Grapalat"/>
          <w:lang w:val="hy-AM"/>
        </w:rPr>
        <w:t xml:space="preserve"> 2021թ. մինչև 2023թ. առաջին եռամսյակ ՀՀ բանկերի միջոցով ֆիզիկական անձանց անունով արտերկրից մուտք եղած և ՀՀ-ից արտերկիր կատարված առևտրային և ոչ առևտրային նպատակով զուտ փոխանցումները աճել են բարձր տեմպով։ Սակայն 2023 թվականի երկրորդ եռամսյակից մինչ տարեվերջ սկսել են նվազել արագացող տեմպով։ 2023թ. զուտ փոխանցումները հասել են 1.7 մլրդ դոլարի՝ 2022թ. համեմատ նվազելով 36%-ով: Ընդ որում՝ ՌԴ-ից զուտ փոխանցումները 2023թ. կազմել են 3.3 մլրդ դոլար՝ նախորդ տարվա համեմատ աճելով շուրջ 5.1%` հիմնականում պայմանավորված առաջին եռամսյակի աճով։ Արդյունքում, 2023թ. ՀՀ-ում արտարժույթի ծավալները նվազել են՝ դեռևս մնալով բարձր մակարդակի վրա:</w:t>
      </w:r>
    </w:p>
    <w:p w14:paraId="67D56EA6" w14:textId="77777777" w:rsidR="002D7DDD" w:rsidRPr="00B27362" w:rsidRDefault="002D7DDD" w:rsidP="00D25024">
      <w:pPr>
        <w:spacing w:before="0" w:after="0" w:line="276" w:lineRule="auto"/>
        <w:ind w:firstLine="0"/>
        <w:rPr>
          <w:rFonts w:eastAsia="GHEA Grapalat" w:cs="GHEA Grapalat"/>
          <w:lang w:val="hy-AM"/>
        </w:rPr>
      </w:pPr>
      <w:r w:rsidRPr="00B27362">
        <w:rPr>
          <w:rFonts w:eastAsia="GHEA Grapalat" w:cs="GHEA Grapalat"/>
          <w:b/>
          <w:bCs/>
          <w:lang w:val="hy-AM"/>
        </w:rPr>
        <w:t xml:space="preserve">Դեպի ՀՀ ֆիզիկական անձանց փոխանցումները 2024թ. առաջին եռամսյակում շարունակում են մնալ բարձր մակարդակում, սակայն նախորդ տարվա առաջին եռամսյակի համեմատ սկսել են նվազել։ </w:t>
      </w:r>
      <w:r w:rsidRPr="00B27362">
        <w:rPr>
          <w:rFonts w:eastAsia="GHEA Grapalat" w:cs="GHEA Grapalat"/>
          <w:lang w:val="hy-AM"/>
        </w:rPr>
        <w:t xml:space="preserve">Չնայած 2024թ. առաջին եռամսյակում ՀՀ բանկերի միջոցով ֆիզիկական անձանց անունով արտերկերից մուտք եղած և ՀՀ-ից արտերկիր կատարված առևտրային և ոչ առևտրային նպատակով զուտ փոխանցումների ծավալները սկսել են կրճատվել նախորդ տարում արձանագրված բարձր ծավալների նկատմամբ՝ այնուամենայնիվ </w:t>
      </w:r>
      <w:r w:rsidRPr="00B27362">
        <w:rPr>
          <w:rFonts w:eastAsia="GHEA Grapalat" w:cs="GHEA Grapalat"/>
          <w:lang w:val="hy-AM"/>
        </w:rPr>
        <w:lastRenderedPageBreak/>
        <w:t>շարունակում են մնալ էական բարձր մակարդակում պատմական ծավալների նկատմամբ՝ պահպանելով ՀՀ-ում արտարժույթի բարձր առաջարկը։</w:t>
      </w:r>
    </w:p>
    <w:p w14:paraId="0202CBCC" w14:textId="77777777" w:rsidR="002D7DDD" w:rsidRPr="00B27362" w:rsidRDefault="002D7DDD" w:rsidP="002D7DDD">
      <w:pPr>
        <w:tabs>
          <w:tab w:val="left" w:pos="0"/>
        </w:tabs>
        <w:spacing w:before="0" w:after="0" w:line="276" w:lineRule="auto"/>
        <w:ind w:firstLine="142"/>
        <w:rPr>
          <w:rFonts w:eastAsia="Calibri" w:cs="Sylfaen"/>
          <w:bCs/>
          <w:i/>
          <w:iCs/>
          <w:lang w:val="hy-AM"/>
        </w:rPr>
      </w:pPr>
      <w:r w:rsidRPr="00B27362">
        <w:rPr>
          <w:rFonts w:eastAsia="Calibri" w:cs="Sylfaen"/>
          <w:b/>
          <w:bCs/>
          <w:i/>
          <w:iCs/>
          <w:sz w:val="20"/>
          <w:lang w:val="hy-AM"/>
        </w:rPr>
        <w:t>Գծապատկեր 1.28</w:t>
      </w:r>
      <w:r w:rsidRPr="00B27362">
        <w:rPr>
          <w:rFonts w:eastAsia="Calibri" w:cs="Sylfaen" w:hint="eastAsia"/>
          <w:b/>
          <w:bCs/>
          <w:i/>
          <w:iCs/>
          <w:lang w:val="hy-AM"/>
        </w:rPr>
        <w:t>․</w:t>
      </w:r>
      <w:r w:rsidRPr="00B27362">
        <w:rPr>
          <w:rFonts w:eastAsia="Calibri" w:cs="Sylfaen"/>
          <w:b/>
          <w:bCs/>
          <w:i/>
          <w:iCs/>
          <w:lang w:val="hy-AM"/>
        </w:rPr>
        <w:t xml:space="preserve"> </w:t>
      </w:r>
      <w:r w:rsidRPr="00B27362">
        <w:rPr>
          <w:rFonts w:eastAsia="Calibri" w:cs="Sylfaen"/>
          <w:bCs/>
          <w:i/>
          <w:iCs/>
          <w:sz w:val="20"/>
          <w:lang w:val="hy-AM"/>
        </w:rPr>
        <w:t xml:space="preserve">ՀՀ բանկերի միջոցով ֆիզիկական անձանց անունով արտերկրից մուտք եղած և ՀՀ-ից ֆիզիկական անձանց կողմից արտերկիր կատարված զուտ փոխանցումներ, մլն ԱՄՆ դոլար </w:t>
      </w:r>
    </w:p>
    <w:p w14:paraId="4050FD64" w14:textId="77777777" w:rsidR="002D7DDD" w:rsidRPr="00B27362" w:rsidRDefault="002D7DDD" w:rsidP="002D7DDD">
      <w:pPr>
        <w:spacing w:before="0" w:line="240" w:lineRule="auto"/>
        <w:ind w:firstLine="0"/>
        <w:jc w:val="left"/>
        <w:rPr>
          <w:rFonts w:eastAsia="GHEA Grapalat" w:cs="Times New Roman"/>
          <w:b/>
          <w:sz w:val="24"/>
          <w:szCs w:val="24"/>
          <w:lang w:val="hy-AM"/>
        </w:rPr>
      </w:pPr>
      <w:r w:rsidRPr="00B27362">
        <w:rPr>
          <w:rFonts w:eastAsia="GHEA Grapalat" w:cs="Times New Roman"/>
          <w:b/>
          <w:noProof/>
          <w:sz w:val="24"/>
          <w:szCs w:val="24"/>
        </w:rPr>
        <w:drawing>
          <wp:inline distT="0" distB="0" distL="0" distR="0" wp14:anchorId="7D704D09" wp14:editId="58484F19">
            <wp:extent cx="6229350" cy="2571750"/>
            <wp:effectExtent l="0" t="0" r="0" b="0"/>
            <wp:docPr id="4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E15CC94" w14:textId="77777777" w:rsidR="002D7DDD" w:rsidRPr="00B27362" w:rsidRDefault="002D7DDD" w:rsidP="002D7DDD">
      <w:pPr>
        <w:keepNext/>
        <w:keepLines/>
        <w:spacing w:before="0" w:line="276" w:lineRule="auto"/>
        <w:ind w:firstLine="0"/>
        <w:contextualSpacing/>
        <w:jc w:val="left"/>
        <w:rPr>
          <w:rFonts w:eastAsia="Times New Roman" w:cs="Times New Roman"/>
          <w:i/>
          <w:lang w:val="hy-AM"/>
        </w:rPr>
      </w:pPr>
      <w:r w:rsidRPr="00B27362">
        <w:rPr>
          <w:rFonts w:eastAsia="Times New Roman" w:cs="Sylfaen"/>
          <w:i/>
          <w:sz w:val="18"/>
          <w:szCs w:val="18"/>
          <w:lang w:val="hy-AM"/>
        </w:rPr>
        <w:t>Աղբյուրը՝ ՀՀ ԿԲ, ՀՀ ՖՆ հաշվարկներ</w:t>
      </w:r>
    </w:p>
    <w:p w14:paraId="25564626" w14:textId="77777777" w:rsidR="002D7DDD" w:rsidRPr="00B27362" w:rsidRDefault="002D7DDD" w:rsidP="002D7DDD">
      <w:pPr>
        <w:spacing w:before="0" w:after="0" w:line="276" w:lineRule="auto"/>
        <w:ind w:right="-22" w:firstLine="0"/>
        <w:rPr>
          <w:rFonts w:eastAsia="Times New Roman" w:cs="Times New Roman"/>
          <w:b/>
          <w:color w:val="1F3763"/>
          <w:lang w:val="hy-AM"/>
        </w:rPr>
      </w:pPr>
    </w:p>
    <w:p w14:paraId="79CDE75C" w14:textId="77777777" w:rsidR="002D7DDD" w:rsidRPr="00B27362" w:rsidRDefault="002D7DDD" w:rsidP="00D25024">
      <w:pPr>
        <w:spacing w:before="0" w:after="0" w:line="276" w:lineRule="auto"/>
        <w:ind w:firstLine="0"/>
        <w:rPr>
          <w:rFonts w:eastAsia="GHEA Grapalat" w:cs="GHEA Grapalat"/>
          <w:lang w:val="hy-AM"/>
        </w:rPr>
      </w:pPr>
      <w:r w:rsidRPr="00B27362">
        <w:rPr>
          <w:rFonts w:eastAsia="Times New Roman" w:cs="Times New Roman"/>
          <w:b/>
          <w:iCs/>
          <w:u w:val="single"/>
          <w:lang w:val="hy-AM"/>
        </w:rPr>
        <w:t>Արժութային շուկա։</w:t>
      </w:r>
      <w:r w:rsidRPr="00B27362">
        <w:rPr>
          <w:rFonts w:eastAsia="GHEA Grapalat" w:cs="GHEA Grapalat"/>
          <w:b/>
          <w:i/>
          <w:lang w:val="hy-AM"/>
        </w:rPr>
        <w:t xml:space="preserve"> </w:t>
      </w:r>
      <w:r w:rsidRPr="00B27362">
        <w:rPr>
          <w:rFonts w:eastAsia="GHEA Grapalat" w:cs="GHEA Grapalat"/>
          <w:b/>
          <w:bCs/>
          <w:lang w:val="hy-AM"/>
        </w:rPr>
        <w:t>2021-2023թթ</w:t>
      </w:r>
      <w:r w:rsidRPr="00B27362">
        <w:rPr>
          <w:rFonts w:ascii="Cambria Math" w:eastAsia="GHEA Grapalat" w:hAnsi="Cambria Math" w:cs="Cambria Math"/>
          <w:b/>
          <w:bCs/>
          <w:lang w:val="hy-AM"/>
        </w:rPr>
        <w:t>․</w:t>
      </w:r>
      <w:r w:rsidRPr="00B27362">
        <w:rPr>
          <w:rFonts w:eastAsia="GHEA Grapalat" w:cs="GHEA Grapalat"/>
          <w:b/>
          <w:bCs/>
          <w:lang w:val="hy-AM"/>
        </w:rPr>
        <w:t xml:space="preserve">  ՀՀ արժութային շուկայի շրջանառության ծավալները եղել են աննախադեպ բարձր մակարդակում։ </w:t>
      </w:r>
      <w:r w:rsidRPr="00B27362">
        <w:rPr>
          <w:rFonts w:eastAsia="GHEA Grapalat" w:cs="GHEA Grapalat"/>
          <w:lang w:val="hy-AM"/>
        </w:rPr>
        <w:t>Արժութային շուկայի նման մեծ շրջանառությունը պայմանավորված է 2022թ</w:t>
      </w:r>
      <w:r w:rsidRPr="00B27362">
        <w:rPr>
          <w:rFonts w:ascii="Times New Roman" w:eastAsia="GHEA Grapalat" w:hAnsi="Times New Roman" w:cs="Times New Roman"/>
          <w:lang w:val="hy-AM"/>
        </w:rPr>
        <w:t>․</w:t>
      </w:r>
      <w:r w:rsidRPr="00B27362">
        <w:rPr>
          <w:rFonts w:eastAsia="GHEA Grapalat" w:cs="GHEA Grapalat"/>
          <w:lang w:val="hy-AM"/>
        </w:rPr>
        <w:t xml:space="preserve"> սկիզբ առած ռուս-ուկրաինական պատերազմի հետևանքով ՀՀ ներհոսած ռուբլու մեծ ծավալներով, որն առաջացրել է դոլարի և եվրոյի նկատմամբ մեծ պահանջարկ: Այս մասին </w:t>
      </w:r>
      <w:r>
        <w:rPr>
          <w:rFonts w:eastAsia="GHEA Grapalat" w:cs="GHEA Grapalat"/>
          <w:lang w:val="hy-AM"/>
        </w:rPr>
        <w:t>են</w:t>
      </w:r>
      <w:r w:rsidRPr="00B27362">
        <w:rPr>
          <w:rFonts w:eastAsia="GHEA Grapalat" w:cs="GHEA Grapalat"/>
          <w:lang w:val="hy-AM"/>
        </w:rPr>
        <w:t xml:space="preserve"> փաստում 2022թ</w:t>
      </w:r>
      <w:r w:rsidRPr="00B27362">
        <w:rPr>
          <w:rFonts w:ascii="Times New Roman" w:eastAsia="GHEA Grapalat" w:hAnsi="Times New Roman" w:cs="Times New Roman"/>
          <w:lang w:val="hy-AM"/>
        </w:rPr>
        <w:t>․</w:t>
      </w:r>
      <w:r w:rsidRPr="00B27362">
        <w:rPr>
          <w:rFonts w:eastAsia="GHEA Grapalat" w:cs="GHEA Grapalat"/>
          <w:lang w:val="hy-AM"/>
        </w:rPr>
        <w:t xml:space="preserve"> երկրորդ եռամսյակից ՀՀ ներբանկային շուկայում ռուբլու զուտ առքի աննախադեպ բարձր ծավալները, որին զուգընթաց կտրուկ ավելացել են դոլարի և եվրոյի զուտ վաճառքի ծավալները։  Այս ժամանակահատվածում ՀՀ ԿԲ-ն արժութային շուկայում իրականացրել է միջամտություններ՝ ավելորդ տատանողականությունը չեզոքացնելու նպատակով։</w:t>
      </w:r>
    </w:p>
    <w:p w14:paraId="6B31A02B" w14:textId="77777777" w:rsidR="002D7DDD" w:rsidRPr="00B27362" w:rsidRDefault="002D7DDD" w:rsidP="00D25024">
      <w:pPr>
        <w:spacing w:before="0" w:after="0" w:line="276" w:lineRule="auto"/>
        <w:ind w:firstLine="0"/>
        <w:rPr>
          <w:rFonts w:eastAsia="Times New Roman" w:cs="GHEA Grapalat"/>
          <w:lang w:val="hy-AM"/>
        </w:rPr>
      </w:pPr>
      <w:r w:rsidRPr="00B27362">
        <w:rPr>
          <w:rFonts w:eastAsia="GHEA Grapalat" w:cs="GHEA Grapalat"/>
          <w:b/>
          <w:lang w:val="hy-AM"/>
        </w:rPr>
        <w:t xml:space="preserve">2024թ. հունվար-մայիս ամիսներին ՀՀ արժութային շուկայի շրջանառության ծավալները շարունակել են պահպանվել բարձր մակարդակում: </w:t>
      </w:r>
      <w:r w:rsidRPr="00B27362">
        <w:rPr>
          <w:rFonts w:eastAsia="Times New Roman" w:cs="GHEA Grapalat"/>
          <w:lang w:val="hy-AM"/>
        </w:rPr>
        <w:t xml:space="preserve">2024 թվականի հունվար-ապրիլ ամիսներին արտարժույթի ներբանկային վաճառքը գերազանցել է առքի ծավալները՝ պայմանավորված դոլարի և եվրոյի վաճառքի ծավալների աճով։ Մայիսին առքի ծավալները գերազանցել են վաճառքի ծավալները՝ պայմանավորված եվրոյի և ռուբլու ձեռքբերումներով։ 2024 թվականի ապրիլին ՀՀ ԿԲ-ն իրականացրել է 20 մլն դոլարի արտարժույթի առք: </w:t>
      </w:r>
      <w:r w:rsidRPr="00B27362" w:rsidDel="009C769E">
        <w:rPr>
          <w:rFonts w:eastAsia="Times New Roman" w:cs="GHEA Grapalat"/>
          <w:lang w:val="hy-AM"/>
        </w:rPr>
        <w:t xml:space="preserve"> </w:t>
      </w:r>
    </w:p>
    <w:tbl>
      <w:tblPr>
        <w:tblW w:w="5000" w:type="pct"/>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4A0" w:firstRow="1" w:lastRow="0" w:firstColumn="1" w:lastColumn="0" w:noHBand="0" w:noVBand="1"/>
      </w:tblPr>
      <w:tblGrid>
        <w:gridCol w:w="4808"/>
        <w:gridCol w:w="4812"/>
      </w:tblGrid>
      <w:tr w:rsidR="002D7DDD" w:rsidRPr="00491E57" w14:paraId="7B50EF05" w14:textId="77777777" w:rsidTr="008931FF">
        <w:trPr>
          <w:trHeight w:val="901"/>
        </w:trPr>
        <w:tc>
          <w:tcPr>
            <w:tcW w:w="2499" w:type="pct"/>
            <w:shd w:val="clear" w:color="auto" w:fill="auto"/>
          </w:tcPr>
          <w:p w14:paraId="69DA7340"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0" w:line="240" w:lineRule="auto"/>
              <w:ind w:firstLine="0"/>
              <w:jc w:val="left"/>
              <w:rPr>
                <w:rFonts w:eastAsia="GHEA Grapalat" w:cs="GHEA Grapalat"/>
                <w:b/>
                <w:i/>
                <w:sz w:val="18"/>
                <w:szCs w:val="18"/>
                <w:lang w:val="hy-AM"/>
              </w:rPr>
            </w:pPr>
            <w:r w:rsidRPr="00B27362">
              <w:rPr>
                <w:rFonts w:eastAsia="Calibri" w:cs="Times New Roman"/>
                <w:b/>
                <w:i/>
                <w:noProof/>
                <w:sz w:val="18"/>
                <w:szCs w:val="18"/>
                <w:lang w:val="hy-AM"/>
              </w:rPr>
              <w:lastRenderedPageBreak/>
              <w:t xml:space="preserve">Գծապատկեր 1.29. </w:t>
            </w:r>
            <w:r w:rsidRPr="00B27362">
              <w:rPr>
                <w:rFonts w:eastAsia="Calibri" w:cs="Sylfaen"/>
                <w:i/>
                <w:sz w:val="18"/>
                <w:szCs w:val="18"/>
                <w:lang w:val="hy-AM"/>
              </w:rPr>
              <w:t>ՀՀ արժութային (ներբանկային) շուկայի շրջանառության տվյալներն ըստ դրամային համարժեքների, զուտ մլրդ դրամ</w:t>
            </w:r>
          </w:p>
        </w:tc>
        <w:tc>
          <w:tcPr>
            <w:tcW w:w="2501" w:type="pct"/>
            <w:shd w:val="clear" w:color="auto" w:fill="auto"/>
          </w:tcPr>
          <w:p w14:paraId="7C845229" w14:textId="77777777" w:rsidR="002D7DDD" w:rsidRPr="00B27362" w:rsidRDefault="002D7DDD" w:rsidP="008931FF">
            <w:pPr>
              <w:keepNext/>
              <w:keepLines/>
              <w:tabs>
                <w:tab w:val="left" w:pos="0"/>
                <w:tab w:val="left" w:pos="284"/>
                <w:tab w:val="left" w:pos="1276"/>
                <w:tab w:val="left" w:pos="1888"/>
              </w:tabs>
              <w:autoSpaceDE w:val="0"/>
              <w:autoSpaceDN w:val="0"/>
              <w:adjustRightInd w:val="0"/>
              <w:spacing w:before="0" w:after="0" w:line="240" w:lineRule="auto"/>
              <w:ind w:firstLine="0"/>
              <w:jc w:val="left"/>
              <w:rPr>
                <w:rFonts w:eastAsia="Calibri" w:cs="Sylfaen"/>
                <w:i/>
                <w:sz w:val="18"/>
                <w:szCs w:val="18"/>
                <w:lang w:val="hy-AM"/>
              </w:rPr>
            </w:pPr>
            <w:r w:rsidRPr="00B27362">
              <w:rPr>
                <w:rFonts w:eastAsia="Calibri" w:cs="Times New Roman"/>
                <w:b/>
                <w:i/>
                <w:noProof/>
                <w:sz w:val="18"/>
                <w:szCs w:val="18"/>
                <w:lang w:val="hy-AM"/>
              </w:rPr>
              <w:t xml:space="preserve">Գծապատկեր 1.30. </w:t>
            </w:r>
            <w:r w:rsidRPr="00B27362">
              <w:rPr>
                <w:rFonts w:eastAsia="Calibri" w:cs="Sylfaen"/>
                <w:i/>
                <w:sz w:val="18"/>
                <w:szCs w:val="18"/>
                <w:lang w:val="hy-AM"/>
              </w:rPr>
              <w:t>Փոխարժեք և ԿԲ արձագանք</w:t>
            </w:r>
          </w:p>
        </w:tc>
      </w:tr>
      <w:tr w:rsidR="002D7DDD" w:rsidRPr="00491E57" w14:paraId="106BD29E" w14:textId="77777777" w:rsidTr="008931FF">
        <w:trPr>
          <w:trHeight w:val="3912"/>
        </w:trPr>
        <w:tc>
          <w:tcPr>
            <w:tcW w:w="2499" w:type="pct"/>
            <w:shd w:val="clear" w:color="auto" w:fill="auto"/>
          </w:tcPr>
          <w:p w14:paraId="6AEE8408" w14:textId="77777777" w:rsidR="002D7DDD" w:rsidRPr="00B27362" w:rsidRDefault="002D7DDD" w:rsidP="008931FF">
            <w:pPr>
              <w:spacing w:before="0" w:after="0" w:line="360" w:lineRule="auto"/>
              <w:ind w:firstLine="0"/>
              <w:rPr>
                <w:rFonts w:eastAsia="GHEA Grapalat" w:cs="GHEA Grapalat"/>
                <w:lang w:val="hy-AM"/>
              </w:rPr>
            </w:pPr>
            <w:r w:rsidRPr="00B27362">
              <w:rPr>
                <w:rFonts w:ascii="Times New Roman" w:eastAsia="GHEA Grapalat" w:hAnsi="Times New Roman" w:cs="GHEA Grapalat"/>
                <w:b/>
                <w:i/>
                <w:iCs/>
                <w:noProof/>
                <w:sz w:val="24"/>
                <w:szCs w:val="24"/>
              </w:rPr>
              <w:drawing>
                <wp:anchor distT="0" distB="0" distL="114300" distR="114300" simplePos="0" relativeHeight="251716608" behindDoc="0" locked="0" layoutInCell="1" allowOverlap="1" wp14:anchorId="690F6399" wp14:editId="0E6CC58B">
                  <wp:simplePos x="0" y="0"/>
                  <wp:positionH relativeFrom="column">
                    <wp:posOffset>-24130</wp:posOffset>
                  </wp:positionH>
                  <wp:positionV relativeFrom="paragraph">
                    <wp:posOffset>21590</wp:posOffset>
                  </wp:positionV>
                  <wp:extent cx="2819400" cy="2413635"/>
                  <wp:effectExtent l="0" t="0" r="0" b="5715"/>
                  <wp:wrapNone/>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tc>
        <w:tc>
          <w:tcPr>
            <w:tcW w:w="2501" w:type="pct"/>
            <w:shd w:val="clear" w:color="auto" w:fill="auto"/>
          </w:tcPr>
          <w:p w14:paraId="5B4C126D" w14:textId="77777777" w:rsidR="002D7DDD" w:rsidRPr="00B27362" w:rsidRDefault="002D7DDD" w:rsidP="008931FF">
            <w:pPr>
              <w:spacing w:before="0" w:after="0" w:line="360" w:lineRule="auto"/>
              <w:ind w:firstLine="0"/>
              <w:rPr>
                <w:rFonts w:eastAsia="GHEA Grapalat" w:cs="GHEA Grapalat"/>
                <w:lang w:val="hy-AM"/>
              </w:rPr>
            </w:pPr>
            <w:r w:rsidRPr="00B27362">
              <w:rPr>
                <w:rFonts w:ascii="Times New Roman" w:eastAsia="GHEA Grapalat" w:hAnsi="Times New Roman" w:cs="Times New Roman"/>
                <w:b/>
                <w:noProof/>
                <w:sz w:val="24"/>
                <w:szCs w:val="24"/>
              </w:rPr>
              <w:drawing>
                <wp:anchor distT="0" distB="0" distL="114300" distR="114300" simplePos="0" relativeHeight="251717632" behindDoc="0" locked="0" layoutInCell="1" allowOverlap="1" wp14:anchorId="7DE31A9E" wp14:editId="0C81174A">
                  <wp:simplePos x="0" y="0"/>
                  <wp:positionH relativeFrom="column">
                    <wp:posOffset>-2540</wp:posOffset>
                  </wp:positionH>
                  <wp:positionV relativeFrom="paragraph">
                    <wp:posOffset>12700</wp:posOffset>
                  </wp:positionV>
                  <wp:extent cx="3028950" cy="2413635"/>
                  <wp:effectExtent l="0" t="0" r="0" b="5715"/>
                  <wp:wrapNone/>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tc>
      </w:tr>
      <w:tr w:rsidR="002D7DDD" w:rsidRPr="00491E57" w14:paraId="3CA09EEB" w14:textId="77777777" w:rsidTr="008931FF">
        <w:trPr>
          <w:trHeight w:val="306"/>
        </w:trPr>
        <w:tc>
          <w:tcPr>
            <w:tcW w:w="2499" w:type="pct"/>
            <w:shd w:val="clear" w:color="auto" w:fill="auto"/>
          </w:tcPr>
          <w:p w14:paraId="137BA3E9" w14:textId="77777777" w:rsidR="002D7DDD" w:rsidRPr="00B27362" w:rsidRDefault="002D7DDD" w:rsidP="008931FF">
            <w:pPr>
              <w:spacing w:before="0" w:after="0" w:line="360" w:lineRule="auto"/>
              <w:ind w:firstLine="0"/>
              <w:rPr>
                <w:rFonts w:eastAsia="GHEA Grapalat" w:cs="GHEA Grapalat"/>
                <w:b/>
                <w:i/>
                <w:iCs/>
                <w:lang w:val="hy-AM"/>
              </w:rPr>
            </w:pPr>
            <w:r w:rsidRPr="00B27362">
              <w:rPr>
                <w:rFonts w:eastAsia="Times New Roman" w:cs="Sylfaen"/>
                <w:i/>
                <w:sz w:val="18"/>
                <w:szCs w:val="18"/>
                <w:lang w:val="hy-AM"/>
              </w:rPr>
              <w:t>Աղբյուրը՝ ՀՀ ԿԲ, ՀՀ ՖՆ հաշվարկներ</w:t>
            </w:r>
          </w:p>
        </w:tc>
        <w:tc>
          <w:tcPr>
            <w:tcW w:w="2501" w:type="pct"/>
            <w:shd w:val="clear" w:color="auto" w:fill="auto"/>
          </w:tcPr>
          <w:p w14:paraId="094BD114" w14:textId="77777777" w:rsidR="002D7DDD" w:rsidRPr="00B27362" w:rsidRDefault="002D7DDD" w:rsidP="008931FF">
            <w:pPr>
              <w:spacing w:before="0" w:after="0" w:line="360" w:lineRule="auto"/>
              <w:ind w:firstLine="0"/>
              <w:rPr>
                <w:rFonts w:eastAsia="GHEA Grapalat" w:cs="GHEA Grapalat"/>
                <w:b/>
                <w:i/>
                <w:iCs/>
                <w:lang w:val="hy-AM"/>
              </w:rPr>
            </w:pPr>
            <w:r w:rsidRPr="00B27362">
              <w:rPr>
                <w:rFonts w:eastAsia="Times New Roman" w:cs="Sylfaen"/>
                <w:i/>
                <w:sz w:val="18"/>
                <w:szCs w:val="18"/>
                <w:lang w:val="hy-AM"/>
              </w:rPr>
              <w:t>Աղբյուրը՝ ՀՀ ԿԲ, ՀՀ ՖՆ հաշվարկներ</w:t>
            </w:r>
          </w:p>
        </w:tc>
      </w:tr>
    </w:tbl>
    <w:p w14:paraId="78FD6F1D" w14:textId="77777777" w:rsidR="002D7DDD" w:rsidRPr="00B27362" w:rsidRDefault="002D7DDD" w:rsidP="002D7DDD">
      <w:pPr>
        <w:spacing w:before="0" w:after="0" w:line="360" w:lineRule="auto"/>
        <w:ind w:firstLine="0"/>
        <w:rPr>
          <w:rFonts w:eastAsia="GHEA Grapalat" w:cs="GHEA Grapalat"/>
          <w:lang w:val="hy-AM"/>
        </w:rPr>
      </w:pPr>
    </w:p>
    <w:p w14:paraId="2D9CB242" w14:textId="77777777" w:rsidR="002D7DDD" w:rsidRPr="00B27362" w:rsidRDefault="002D7DDD" w:rsidP="00D25024">
      <w:pPr>
        <w:spacing w:before="0" w:after="0" w:line="276" w:lineRule="auto"/>
        <w:ind w:right="-22" w:firstLine="0"/>
        <w:rPr>
          <w:rFonts w:eastAsia="Times New Roman" w:cs="Times New Roman"/>
          <w:b/>
          <w:color w:val="1F3763"/>
          <w:lang w:val="hy-AM"/>
        </w:rPr>
      </w:pPr>
      <w:r w:rsidRPr="00B27362">
        <w:rPr>
          <w:rFonts w:eastAsia="Times New Roman" w:cs="Times New Roman"/>
          <w:b/>
          <w:iCs/>
          <w:u w:val="single"/>
          <w:lang w:val="hy-AM"/>
        </w:rPr>
        <w:t>Երկկողմանի փոխարժեքներ։</w:t>
      </w:r>
      <w:r w:rsidRPr="00B27362">
        <w:rPr>
          <w:rFonts w:eastAsia="Calibri" w:cs="Sylfaen"/>
          <w:b/>
          <w:lang w:val="hy-AM"/>
        </w:rPr>
        <w:t xml:space="preserve"> 2021-2023թթ. ՀՀ դրամն ԱՄՆ դոլարի, եվրոյի և ռուբլու նկատմամբ միջինում դրսևորել է արժևորման վարքագիծ` հիմնականում պայմանավորված 2022թ. արտարժույթի աննախադեպ մեծ ներհոսքով։ </w:t>
      </w:r>
      <w:r w:rsidRPr="00B27362">
        <w:rPr>
          <w:rFonts w:eastAsia="Calibri" w:cs="Sylfaen"/>
          <w:lang w:val="hy-AM"/>
        </w:rPr>
        <w:t>ՀՀ փոխարժեքի շուկայում 2021-ից մինչև 2022թ. տարեվերջ արձանագրվել է ՀՀ դրամի արժևորում դոլարի և եվրոյի նկատմամբ, այնուհետև, 2023թ. տարեսկզբից եվրոն և դոլարը դրսևորել են հարաբերական կայուն վարքագիծ։ Դոլարի համար 2023թ</w:t>
      </w:r>
      <w:r w:rsidRPr="00B27362">
        <w:rPr>
          <w:rFonts w:ascii="Times New Roman" w:eastAsia="Calibri" w:hAnsi="Times New Roman" w:cs="Times New Roman"/>
          <w:lang w:val="hy-AM"/>
        </w:rPr>
        <w:t>․</w:t>
      </w:r>
      <w:r w:rsidRPr="00B27362">
        <w:rPr>
          <w:rFonts w:eastAsia="Calibri" w:cs="Sylfaen"/>
          <w:lang w:val="hy-AM"/>
        </w:rPr>
        <w:t>-ին գրանցվել է արժևորման առավելագույն 385.8 արժեք  օգոստոսի 23-ին։ Միջին փոխարժեքը կազմել է 392.5 դրամ մեկ ԱՄՆ դոլարի դիմաց՝ նախորդ տարվա միջին փոխարժեքի՝ 435</w:t>
      </w:r>
      <w:r w:rsidRPr="00B27362">
        <w:rPr>
          <w:rFonts w:ascii="Cambria Math" w:eastAsia="Calibri" w:hAnsi="Cambria Math" w:cs="Cambria Math"/>
          <w:lang w:val="hy-AM"/>
        </w:rPr>
        <w:t>․</w:t>
      </w:r>
      <w:r w:rsidRPr="00B27362">
        <w:rPr>
          <w:rFonts w:eastAsia="Calibri" w:cs="Sylfaen"/>
          <w:lang w:val="hy-AM"/>
        </w:rPr>
        <w:t>7-ի նկատմամբ արժևորվելով 11%-ով: Եվրոյի նկատմամբ ՀՀ դրամը արժևորվել է 8.5%-ով, արժևորման առավելագույն 410 դրամ մեկ եվրոյի դիմաց արժեքին հասնելով 2023թ. սեպտեմբերի 27-ին։ ՀՀ դրամը ՌԴ ռուբլու նկատմամբ 2022թ. մարտին կտրուկ արժևորվել է՝ պայմանավորված ռուս-ուկրաինական հակամարտությամբ, ապա սկսել է կրկին արժեզրկվել մինչև հունիս, այնուհետև՝ նորից մտել արժևորման փուլ մինչև սեպտեմբեր, այնուհետև դրսևորել թույլ տատանողականությամբ կայուն վարքագիծ։ Տարեվերջին 2022թ</w:t>
      </w:r>
      <w:r w:rsidRPr="00B27362">
        <w:rPr>
          <w:rFonts w:ascii="Cambria Math" w:eastAsia="Calibri" w:hAnsi="Cambria Math" w:cs="Cambria Math"/>
          <w:lang w:val="hy-AM"/>
        </w:rPr>
        <w:t>․</w:t>
      </w:r>
      <w:r w:rsidRPr="00B27362">
        <w:rPr>
          <w:rFonts w:eastAsia="Calibri" w:cs="Sylfaen"/>
          <w:lang w:val="hy-AM"/>
        </w:rPr>
        <w:t xml:space="preserve"> համեմատ արժևորումը կազմել է 39</w:t>
      </w:r>
      <w:r w:rsidRPr="00B27362">
        <w:rPr>
          <w:rFonts w:ascii="Cambria Math" w:eastAsia="Calibri" w:hAnsi="Cambria Math" w:cs="Cambria Math"/>
          <w:lang w:val="hy-AM"/>
        </w:rPr>
        <w:t>․</w:t>
      </w:r>
      <w:r w:rsidRPr="00B27362">
        <w:rPr>
          <w:rFonts w:eastAsia="Calibri" w:cs="Sylfaen"/>
          <w:lang w:val="hy-AM"/>
        </w:rPr>
        <w:t xml:space="preserve">4 տոկոս։  </w:t>
      </w:r>
    </w:p>
    <w:p w14:paraId="6F6F583A" w14:textId="77777777" w:rsidR="002D7DDD" w:rsidRPr="00B27362" w:rsidRDefault="002D7DDD" w:rsidP="00D25024">
      <w:pPr>
        <w:spacing w:before="0" w:after="0" w:line="276" w:lineRule="auto"/>
        <w:ind w:firstLine="0"/>
        <w:rPr>
          <w:rFonts w:eastAsia="GHEA Grapalat" w:cs="GHEA Grapalat"/>
          <w:b/>
          <w:lang w:val="hy-AM"/>
        </w:rPr>
      </w:pPr>
      <w:r w:rsidRPr="00B27362">
        <w:rPr>
          <w:rFonts w:eastAsia="GHEA Grapalat" w:cs="GHEA Grapalat"/>
          <w:b/>
          <w:lang w:val="hy-AM"/>
        </w:rPr>
        <w:t>2024թ. հունվար</w:t>
      </w:r>
      <w:r>
        <w:rPr>
          <w:rFonts w:eastAsia="GHEA Grapalat" w:cs="GHEA Grapalat"/>
          <w:b/>
          <w:lang w:val="hy-AM"/>
        </w:rPr>
        <w:t>-</w:t>
      </w:r>
      <w:r w:rsidRPr="00B27362">
        <w:rPr>
          <w:rFonts w:eastAsia="GHEA Grapalat" w:cs="GHEA Grapalat"/>
          <w:b/>
          <w:lang w:val="hy-AM"/>
        </w:rPr>
        <w:t>մայիս ամիսներին ՀՀ դրամը արժեզրկվել է դոլարի և եվրոյի նկատմամբ, իսկ ռուբլու նկատմամբ շարունակել է թույլ արժևորվել, բայց ավելի դանդաղ տեմպերով</w:t>
      </w:r>
      <w:r w:rsidRPr="00B27362">
        <w:rPr>
          <w:rFonts w:eastAsia="Calibri" w:cs="Sylfaen"/>
          <w:b/>
          <w:lang w:val="hy-AM"/>
        </w:rPr>
        <w:t>:</w:t>
      </w:r>
      <w:r w:rsidRPr="00B27362">
        <w:rPr>
          <w:rFonts w:eastAsia="Calibri" w:cs="Sylfaen"/>
          <w:lang w:val="hy-AM"/>
        </w:rPr>
        <w:t xml:space="preserve"> ԱՄՆ դոլարի և եվրոյի նկատմամբ ՀՀ դրամը 2024թ</w:t>
      </w:r>
      <w:r w:rsidRPr="00B27362">
        <w:rPr>
          <w:rFonts w:ascii="Cambria Math" w:eastAsia="Calibri" w:hAnsi="Cambria Math" w:cs="Cambria Math"/>
          <w:lang w:val="hy-AM"/>
        </w:rPr>
        <w:t>․</w:t>
      </w:r>
      <w:r w:rsidRPr="00B27362">
        <w:rPr>
          <w:rFonts w:eastAsia="Calibri" w:cs="Sylfaen"/>
          <w:lang w:val="hy-AM"/>
        </w:rPr>
        <w:t xml:space="preserve"> </w:t>
      </w:r>
      <w:r w:rsidRPr="00B27362">
        <w:rPr>
          <w:rFonts w:eastAsia="GHEA Grapalat" w:cs="GHEA Grapalat"/>
          <w:lang w:val="hy-AM"/>
        </w:rPr>
        <w:t>հունվար-մայիս ամիսներին նախորդ տարվա նույն ժամանակահատվածի համեմատ արժեզրկվել է</w:t>
      </w:r>
      <w:r w:rsidRPr="00B27362">
        <w:rPr>
          <w:rFonts w:eastAsia="Calibri" w:cs="Sylfaen"/>
          <w:lang w:val="hy-AM"/>
        </w:rPr>
        <w:t xml:space="preserve"> համապատասխանաբար՝ 1.8</w:t>
      </w:r>
      <w:r w:rsidRPr="00B27362">
        <w:rPr>
          <w:rFonts w:eastAsia="GHEA Grapalat" w:cs="GHEA Grapalat"/>
          <w:lang w:val="hy-AM"/>
        </w:rPr>
        <w:t xml:space="preserve">%, 1.9%-ով, իսկ ռուբլու նկատմամբ՝ արժևորվել 18.6%-ով։ </w:t>
      </w:r>
    </w:p>
    <w:p w14:paraId="1D98A980" w14:textId="77777777" w:rsidR="002D7DDD" w:rsidRPr="00B27362" w:rsidRDefault="002D7DDD" w:rsidP="00D25024">
      <w:pPr>
        <w:spacing w:before="0" w:after="0" w:line="276" w:lineRule="auto"/>
        <w:ind w:right="-22" w:firstLine="0"/>
        <w:rPr>
          <w:rFonts w:eastAsia="Calibri" w:cs="Sylfaen"/>
          <w:lang w:val="hy-AM"/>
        </w:rPr>
      </w:pPr>
      <w:r w:rsidRPr="00B27362">
        <w:rPr>
          <w:rFonts w:eastAsia="Calibri" w:cs="Times New Roman"/>
          <w:b/>
          <w:lang w:val="hy-AM"/>
        </w:rPr>
        <w:t>ՀՀ արտաքին առևտրի տեսանկյունից առավել կարևոր արժույթներից բաղկացած զամբյուղի նկատմամբ ՀՀ ազգային արժույթն</w:t>
      </w:r>
      <w:r w:rsidRPr="00B27362">
        <w:rPr>
          <w:rFonts w:eastAsia="Calibri" w:cs="Sylfaen"/>
          <w:b/>
          <w:lang w:val="hy-AM"/>
        </w:rPr>
        <w:t xml:space="preserve"> իրական արտահայտությամբ 2021-2023թթ. միջինում արժևորվել է 24.1%-ով:</w:t>
      </w:r>
      <w:r w:rsidRPr="00B27362">
        <w:rPr>
          <w:rFonts w:eastAsia="Calibri" w:cs="Sylfaen"/>
          <w:lang w:val="hy-AM"/>
        </w:rPr>
        <w:t xml:space="preserve"> Իրական արդյունավետ փոխարժեքի արժևորման տեմպը 2024թ. հունվարին կտրուկ դանդաղել է և պահպանել այդ միտումը։</w:t>
      </w:r>
    </w:p>
    <w:p w14:paraId="04AB53DE" w14:textId="77777777" w:rsidR="002D7DDD" w:rsidRPr="00B27362" w:rsidRDefault="002D7DDD" w:rsidP="00D25024">
      <w:pPr>
        <w:spacing w:before="0" w:after="0" w:line="276" w:lineRule="auto"/>
        <w:ind w:right="-22" w:firstLine="0"/>
        <w:rPr>
          <w:rFonts w:eastAsia="Calibri" w:cs="Times New Roman"/>
          <w:lang w:val="hy-AM"/>
        </w:rPr>
      </w:pPr>
      <w:r w:rsidRPr="00B27362">
        <w:rPr>
          <w:rFonts w:eastAsia="Calibri" w:cs="Sylfaen"/>
          <w:b/>
          <w:lang w:val="hy-AM"/>
        </w:rPr>
        <w:t>2024թ. սկզբից դրամը ՀՀ հիմնական գործընկեր երկների արժույթների նկատմամբ դրսևորել է արդյունավետ փոխարժեքի արժևորման տեմպի դանդաղման վարքագիծ</w:t>
      </w:r>
      <w:r w:rsidRPr="00B27362">
        <w:rPr>
          <w:rFonts w:ascii="Cambria Math" w:eastAsia="MS Mincho" w:hAnsi="Cambria Math" w:cs="Cambria Math"/>
          <w:b/>
          <w:lang w:val="hy-AM"/>
        </w:rPr>
        <w:t>․</w:t>
      </w:r>
      <w:r w:rsidRPr="00B27362">
        <w:rPr>
          <w:rFonts w:eastAsia="MS Mincho" w:cs="MS Mincho"/>
          <w:b/>
          <w:lang w:val="hy-AM"/>
        </w:rPr>
        <w:t xml:space="preserve"> </w:t>
      </w:r>
      <w:r w:rsidRPr="00B27362">
        <w:rPr>
          <w:rFonts w:eastAsia="Calibri" w:cs="Sylfaen"/>
          <w:lang w:val="hy-AM"/>
        </w:rPr>
        <w:t xml:space="preserve">հունվար-ապրիլ ամիսներին ՀՀ դրամի իրական արդյունավետ փոխարժեքի արժևորումը կազմել </w:t>
      </w:r>
      <w:r w:rsidRPr="00B27362">
        <w:rPr>
          <w:rFonts w:eastAsia="Calibri" w:cs="Sylfaen"/>
          <w:lang w:val="hy-AM"/>
        </w:rPr>
        <w:lastRenderedPageBreak/>
        <w:t>է 6.7%, իսկ անվանականը՝ 15</w:t>
      </w:r>
      <w:r w:rsidRPr="00B27362">
        <w:rPr>
          <w:rFonts w:ascii="Cambria Math" w:eastAsia="Calibri" w:hAnsi="Cambria Math" w:cs="Cambria Math"/>
          <w:lang w:val="hy-AM"/>
        </w:rPr>
        <w:t>․</w:t>
      </w:r>
      <w:r w:rsidRPr="00B27362">
        <w:rPr>
          <w:rFonts w:eastAsia="Calibri" w:cs="Sylfaen"/>
          <w:lang w:val="hy-AM"/>
        </w:rPr>
        <w:t>1%, ինչը բացասաբար է անդրադառնում</w:t>
      </w:r>
      <w:r w:rsidRPr="00B27362">
        <w:rPr>
          <w:rFonts w:eastAsia="Calibri" w:cs="Times New Roman"/>
          <w:lang w:val="hy-AM"/>
        </w:rPr>
        <w:t xml:space="preserve"> արտահանման մրցունակության վրա։</w:t>
      </w:r>
      <w:r w:rsidRPr="00B27362">
        <w:rPr>
          <w:rFonts w:eastAsia="GHEA Grapalat" w:cs="GHEA Grapalat"/>
          <w:lang w:val="hy-AM"/>
        </w:rPr>
        <w:t xml:space="preserve"> </w:t>
      </w:r>
    </w:p>
    <w:tbl>
      <w:tblPr>
        <w:tblStyle w:val="TableGrid911"/>
        <w:tblW w:w="10159" w:type="dxa"/>
        <w:tblInd w:w="-95"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4A0" w:firstRow="1" w:lastRow="0" w:firstColumn="1" w:lastColumn="0" w:noHBand="0" w:noVBand="1"/>
      </w:tblPr>
      <w:tblGrid>
        <w:gridCol w:w="4785"/>
        <w:gridCol w:w="5374"/>
      </w:tblGrid>
      <w:tr w:rsidR="002D7DDD" w:rsidRPr="00491E57" w14:paraId="31CFCE85" w14:textId="77777777" w:rsidTr="008931FF">
        <w:trPr>
          <w:trHeight w:val="4013"/>
        </w:trPr>
        <w:tc>
          <w:tcPr>
            <w:tcW w:w="4785" w:type="dxa"/>
          </w:tcPr>
          <w:p w14:paraId="3BBD2040" w14:textId="77777777" w:rsidR="002D7DDD" w:rsidRPr="00B27362" w:rsidRDefault="002D7DDD" w:rsidP="008931FF">
            <w:pPr>
              <w:spacing w:before="0" w:after="0" w:line="276" w:lineRule="auto"/>
              <w:ind w:right="-267" w:firstLine="0"/>
              <w:rPr>
                <w:rFonts w:eastAsia="Calibri" w:cs="Sylfaen"/>
                <w:i/>
                <w:sz w:val="18"/>
                <w:szCs w:val="18"/>
                <w:lang w:val="hy-AM"/>
              </w:rPr>
            </w:pPr>
            <w:r w:rsidRPr="00B27362">
              <w:rPr>
                <w:rFonts w:eastAsia="Calibri" w:cs="Sylfaen"/>
                <w:b/>
                <w:i/>
                <w:sz w:val="18"/>
                <w:szCs w:val="18"/>
                <w:lang w:val="hy-AM"/>
              </w:rPr>
              <w:t>Գծապատկեր 1.31. ՀՀ</w:t>
            </w:r>
            <w:r w:rsidRPr="00B27362">
              <w:rPr>
                <w:rFonts w:eastAsia="Calibri" w:cs="Sylfaen"/>
                <w:i/>
                <w:sz w:val="18"/>
                <w:szCs w:val="18"/>
                <w:lang w:val="hy-AM"/>
              </w:rPr>
              <w:t xml:space="preserve"> դրամի անվանական </w:t>
            </w:r>
          </w:p>
          <w:p w14:paraId="618AFE5B" w14:textId="77777777" w:rsidR="002D7DDD" w:rsidRPr="00B27362" w:rsidRDefault="002D7DDD" w:rsidP="008931FF">
            <w:pPr>
              <w:spacing w:before="0" w:after="0" w:line="276" w:lineRule="auto"/>
              <w:ind w:right="-267" w:firstLine="0"/>
              <w:rPr>
                <w:rFonts w:eastAsia="Calibri" w:cs="Sylfaen"/>
                <w:i/>
                <w:sz w:val="18"/>
                <w:szCs w:val="18"/>
                <w:lang w:val="hy-AM"/>
              </w:rPr>
            </w:pPr>
            <w:r w:rsidRPr="00B27362">
              <w:rPr>
                <w:rFonts w:eastAsia="Calibri" w:cs="Sylfaen"/>
                <w:i/>
                <w:sz w:val="18"/>
                <w:szCs w:val="18"/>
                <w:lang w:val="hy-AM"/>
              </w:rPr>
              <w:t xml:space="preserve">փոխարժեքի դինամիկան հիմնական արժույթների </w:t>
            </w:r>
          </w:p>
          <w:p w14:paraId="2C4CD15C" w14:textId="77777777" w:rsidR="002D7DDD" w:rsidRPr="00B27362" w:rsidRDefault="002D7DDD" w:rsidP="008931FF">
            <w:pPr>
              <w:spacing w:before="0" w:after="0" w:line="276" w:lineRule="auto"/>
              <w:ind w:right="-267" w:firstLine="0"/>
              <w:rPr>
                <w:rFonts w:eastAsia="Calibri" w:cs="Sylfaen"/>
                <w:i/>
                <w:sz w:val="18"/>
                <w:szCs w:val="18"/>
                <w:lang w:val="hy-AM"/>
              </w:rPr>
            </w:pPr>
            <w:r w:rsidRPr="00B27362">
              <w:rPr>
                <w:rFonts w:eastAsia="Calibri" w:cs="Sylfaen"/>
                <w:i/>
                <w:sz w:val="18"/>
                <w:szCs w:val="18"/>
                <w:lang w:val="hy-AM"/>
              </w:rPr>
              <w:t xml:space="preserve">նկատմամբ </w:t>
            </w:r>
            <w:r w:rsidRPr="00B27362">
              <w:rPr>
                <w:rFonts w:eastAsia="Times New Roman" w:cs="Sylfaen"/>
                <w:i/>
                <w:sz w:val="18"/>
                <w:szCs w:val="18"/>
                <w:lang w:val="hy-AM"/>
              </w:rPr>
              <w:t>(աճ՝ դրամի արժևորում)</w:t>
            </w:r>
          </w:p>
          <w:p w14:paraId="1A088A45" w14:textId="77777777" w:rsidR="002D7DDD" w:rsidRPr="00B27362" w:rsidRDefault="002D7DDD" w:rsidP="008931FF">
            <w:pPr>
              <w:spacing w:before="0" w:after="0" w:line="276" w:lineRule="auto"/>
              <w:ind w:right="-268" w:firstLine="0"/>
              <w:rPr>
                <w:rFonts w:eastAsia="Calibri" w:cs="Sylfaen"/>
                <w:i/>
                <w:sz w:val="18"/>
                <w:szCs w:val="18"/>
                <w:lang w:val="hy-AM"/>
              </w:rPr>
            </w:pPr>
            <w:r w:rsidRPr="00B27362">
              <w:rPr>
                <w:rFonts w:eastAsia="Calibri" w:cs="Sylfaen"/>
                <w:i/>
                <w:noProof/>
                <w:sz w:val="18"/>
                <w:szCs w:val="18"/>
              </w:rPr>
              <w:drawing>
                <wp:inline distT="0" distB="0" distL="0" distR="0" wp14:anchorId="4F6716F9" wp14:editId="40E924ED">
                  <wp:extent cx="2865265" cy="1857375"/>
                  <wp:effectExtent l="0" t="0" r="11430" b="9525"/>
                  <wp:docPr id="4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4AD365B" w14:textId="77777777" w:rsidR="002D7DDD" w:rsidRPr="00B27362" w:rsidRDefault="002D7DDD" w:rsidP="008931FF">
            <w:pPr>
              <w:spacing w:before="0" w:after="0" w:line="276" w:lineRule="auto"/>
              <w:ind w:right="-268" w:firstLine="0"/>
              <w:rPr>
                <w:rFonts w:eastAsia="Calibri" w:cs="Sylfaen"/>
                <w:i/>
                <w:sz w:val="18"/>
                <w:szCs w:val="18"/>
                <w:lang w:val="hy-AM"/>
              </w:rPr>
            </w:pPr>
            <w:r w:rsidRPr="00B27362">
              <w:rPr>
                <w:rFonts w:eastAsia="Calibri" w:cs="Sylfaen"/>
                <w:i/>
                <w:sz w:val="18"/>
                <w:szCs w:val="18"/>
                <w:lang w:val="hy-AM"/>
              </w:rPr>
              <w:t>Աղբյուրը՝ ՀՀ ԿԲ, ՀՀ ՖՆ հաշվարկներ</w:t>
            </w:r>
          </w:p>
        </w:tc>
        <w:tc>
          <w:tcPr>
            <w:tcW w:w="5374" w:type="dxa"/>
          </w:tcPr>
          <w:p w14:paraId="140B313B" w14:textId="77777777" w:rsidR="002D7DDD" w:rsidRPr="00B27362" w:rsidRDefault="002D7DDD" w:rsidP="008931FF">
            <w:pPr>
              <w:spacing w:before="0" w:after="0" w:line="276" w:lineRule="auto"/>
              <w:ind w:right="217" w:firstLine="0"/>
              <w:rPr>
                <w:rFonts w:eastAsia="Calibri" w:cs="Sylfaen"/>
                <w:i/>
                <w:sz w:val="18"/>
                <w:szCs w:val="18"/>
                <w:lang w:val="hy-AM"/>
              </w:rPr>
            </w:pPr>
            <w:r w:rsidRPr="00B27362">
              <w:rPr>
                <w:rFonts w:eastAsia="Calibri" w:cs="Sylfaen"/>
                <w:b/>
                <w:i/>
                <w:sz w:val="18"/>
                <w:szCs w:val="18"/>
                <w:lang w:val="hy-AM"/>
              </w:rPr>
              <w:t>Գծապատկեր 1.32.</w:t>
            </w:r>
            <w:r w:rsidRPr="00B27362">
              <w:rPr>
                <w:rFonts w:eastAsia="Calibri" w:cs="Sylfaen"/>
                <w:i/>
                <w:sz w:val="18"/>
                <w:szCs w:val="18"/>
                <w:lang w:val="hy-AM"/>
              </w:rPr>
              <w:t xml:space="preserve"> ՀՀ իրական և անվանական արդյունավետ փոխարժեքների կուտակային տ/տ աճերի դինամիկան </w:t>
            </w:r>
            <w:r w:rsidRPr="00B27362">
              <w:rPr>
                <w:rFonts w:eastAsia="Times New Roman" w:cs="Sylfaen"/>
                <w:i/>
                <w:sz w:val="18"/>
                <w:szCs w:val="18"/>
                <w:lang w:val="hy-AM"/>
              </w:rPr>
              <w:t>(աճ՝ արժևորում)</w:t>
            </w:r>
          </w:p>
          <w:p w14:paraId="0C6C54B1" w14:textId="77777777" w:rsidR="002D7DDD" w:rsidRPr="00B27362" w:rsidRDefault="002D7DDD" w:rsidP="008931FF">
            <w:pPr>
              <w:spacing w:before="0" w:after="0" w:line="276" w:lineRule="auto"/>
              <w:ind w:right="-268" w:firstLine="0"/>
              <w:rPr>
                <w:rFonts w:eastAsia="Calibri" w:cs="Sylfaen"/>
                <w:i/>
                <w:sz w:val="18"/>
                <w:szCs w:val="18"/>
                <w:lang w:val="hy-AM"/>
              </w:rPr>
            </w:pPr>
            <w:r w:rsidRPr="00B27362">
              <w:rPr>
                <w:rFonts w:eastAsia="Calibri" w:cs="Sylfaen"/>
                <w:i/>
                <w:noProof/>
                <w:sz w:val="18"/>
                <w:szCs w:val="18"/>
              </w:rPr>
              <w:drawing>
                <wp:inline distT="0" distB="0" distL="0" distR="0" wp14:anchorId="4B3A631A" wp14:editId="19F8AF78">
                  <wp:extent cx="3189600" cy="1857375"/>
                  <wp:effectExtent l="0" t="0" r="11430" b="9525"/>
                  <wp:docPr id="4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2F9BCE1" w14:textId="77777777" w:rsidR="002D7DDD" w:rsidRPr="00B27362" w:rsidRDefault="002D7DDD" w:rsidP="008931FF">
            <w:pPr>
              <w:spacing w:before="0" w:after="0" w:line="276" w:lineRule="auto"/>
              <w:ind w:right="-268" w:firstLine="0"/>
              <w:rPr>
                <w:rFonts w:eastAsia="Calibri" w:cs="Sylfaen"/>
                <w:sz w:val="16"/>
                <w:szCs w:val="16"/>
                <w:lang w:val="hy-AM"/>
              </w:rPr>
            </w:pPr>
            <w:r w:rsidRPr="00B27362">
              <w:rPr>
                <w:rFonts w:eastAsia="Calibri" w:cs="Sylfaen"/>
                <w:i/>
                <w:sz w:val="18"/>
                <w:szCs w:val="18"/>
                <w:lang w:val="hy-AM"/>
              </w:rPr>
              <w:t>Աղբյուրը՝ ՀՀ ԿԲ, ՀՀ ՖՆ հաշվարկներ</w:t>
            </w:r>
          </w:p>
        </w:tc>
      </w:tr>
    </w:tbl>
    <w:p w14:paraId="0C32826F" w14:textId="77777777" w:rsidR="002D7DDD" w:rsidRPr="00B27362" w:rsidRDefault="002D7DDD" w:rsidP="002D7DDD">
      <w:pPr>
        <w:keepNext/>
        <w:keepLines/>
        <w:spacing w:before="240" w:line="276" w:lineRule="auto"/>
        <w:ind w:firstLine="0"/>
        <w:contextualSpacing/>
        <w:jc w:val="left"/>
        <w:outlineLvl w:val="2"/>
        <w:rPr>
          <w:rFonts w:eastAsia="Times New Roman" w:cs="Times New Roman"/>
          <w:b/>
          <w:caps/>
          <w:lang w:val="hy-AM"/>
        </w:rPr>
      </w:pPr>
    </w:p>
    <w:p w14:paraId="08C2A60F" w14:textId="77777777" w:rsidR="002D7DDD" w:rsidRPr="00B27362" w:rsidRDefault="002D7DDD" w:rsidP="00D25024">
      <w:pPr>
        <w:keepNext/>
        <w:keepLines/>
        <w:spacing w:before="240" w:line="276" w:lineRule="auto"/>
        <w:ind w:left="709" w:firstLine="0"/>
        <w:contextualSpacing/>
        <w:jc w:val="left"/>
        <w:outlineLvl w:val="2"/>
        <w:rPr>
          <w:rFonts w:eastAsia="Times New Roman"/>
          <w:b/>
          <w:color w:val="1F4E79" w:themeColor="accent1" w:themeShade="80"/>
          <w:sz w:val="24"/>
          <w:lang w:val="hy-AM"/>
        </w:rPr>
      </w:pPr>
      <w:bookmarkStart w:id="55" w:name="_Toc170743033"/>
      <w:bookmarkStart w:id="56" w:name="_Toc170750537"/>
      <w:bookmarkStart w:id="57" w:name="_Toc170926298"/>
      <w:r w:rsidRPr="00B27362">
        <w:rPr>
          <w:rFonts w:eastAsia="Times New Roman"/>
          <w:b/>
          <w:color w:val="1F4E79" w:themeColor="accent1" w:themeShade="80"/>
          <w:sz w:val="24"/>
          <w:lang w:val="hy-AM"/>
        </w:rPr>
        <w:t>1.3.5. Գնաճ և դրամավարկային քաղաքականություն</w:t>
      </w:r>
      <w:bookmarkEnd w:id="55"/>
      <w:bookmarkEnd w:id="56"/>
      <w:bookmarkEnd w:id="57"/>
      <w:r w:rsidRPr="00B27362">
        <w:rPr>
          <w:rFonts w:eastAsia="Times New Roman"/>
          <w:b/>
          <w:color w:val="1F4E79" w:themeColor="accent1" w:themeShade="80"/>
          <w:sz w:val="24"/>
          <w:lang w:val="hy-AM"/>
        </w:rPr>
        <w:t xml:space="preserve"> </w:t>
      </w:r>
    </w:p>
    <w:p w14:paraId="2E6936BC" w14:textId="77777777" w:rsidR="002D7DDD" w:rsidRPr="00B27362" w:rsidRDefault="002D7DDD" w:rsidP="00D25024">
      <w:pPr>
        <w:spacing w:before="0" w:after="0" w:line="276" w:lineRule="auto"/>
        <w:ind w:firstLine="0"/>
        <w:rPr>
          <w:rFonts w:eastAsia="GHEA Grapalat" w:cs="GHEA Grapalat"/>
          <w:lang w:val="hy-AM"/>
        </w:rPr>
      </w:pPr>
      <w:r w:rsidRPr="00B27362">
        <w:rPr>
          <w:rFonts w:eastAsia="Times New Roman" w:cs="Times New Roman"/>
          <w:b/>
          <w:noProof/>
          <w:lang w:val="hy-AM"/>
        </w:rPr>
        <w:t>2021-2022 թթ</w:t>
      </w:r>
      <w:r w:rsidRPr="00B27362">
        <w:rPr>
          <w:rFonts w:ascii="Cambria Math" w:eastAsia="Times New Roman" w:hAnsi="Cambria Math" w:cs="Cambria Math"/>
          <w:b/>
          <w:noProof/>
          <w:lang w:val="hy-AM"/>
        </w:rPr>
        <w:t>․</w:t>
      </w:r>
      <w:r w:rsidRPr="00B27362">
        <w:rPr>
          <w:rFonts w:eastAsia="Times New Roman" w:cs="Times New Roman"/>
          <w:b/>
          <w:noProof/>
          <w:lang w:val="hy-AM"/>
        </w:rPr>
        <w:t xml:space="preserve"> </w:t>
      </w:r>
      <w:r w:rsidRPr="00B27362">
        <w:rPr>
          <w:rFonts w:eastAsia="Times New Roman" w:cs="GHEA Grapalat"/>
          <w:b/>
          <w:noProof/>
          <w:lang w:val="hy-AM"/>
        </w:rPr>
        <w:t>գնաճի</w:t>
      </w:r>
      <w:r w:rsidRPr="00B27362">
        <w:rPr>
          <w:rFonts w:eastAsia="Times New Roman" w:cs="Times New Roman"/>
          <w:b/>
          <w:noProof/>
          <w:lang w:val="hy-AM"/>
        </w:rPr>
        <w:t xml:space="preserve"> </w:t>
      </w:r>
      <w:r w:rsidRPr="00B27362">
        <w:rPr>
          <w:rFonts w:eastAsia="Times New Roman" w:cs="GHEA Grapalat"/>
          <w:b/>
          <w:noProof/>
          <w:lang w:val="hy-AM"/>
        </w:rPr>
        <w:t>տեմ</w:t>
      </w:r>
      <w:r w:rsidRPr="00B27362">
        <w:rPr>
          <w:rFonts w:eastAsia="Times New Roman" w:cs="Times New Roman"/>
          <w:b/>
          <w:noProof/>
          <w:lang w:val="hy-AM"/>
        </w:rPr>
        <w:t>պերը զգալիորեն արագացել են ինչպես առաջարկի, այնպես էլ պահանջարկի գործոնների արդյունքում, ինչին ԿԲ-ը արձագանքել է քաղաքականության դիրքի խստացմամբ, իսկ 2023թ</w:t>
      </w:r>
      <w:r w:rsidRPr="00B27362">
        <w:rPr>
          <w:rFonts w:ascii="Cambria Math" w:eastAsia="Times New Roman" w:hAnsi="Cambria Math" w:cs="Cambria Math"/>
          <w:b/>
          <w:noProof/>
          <w:lang w:val="hy-AM"/>
        </w:rPr>
        <w:t>․</w:t>
      </w:r>
      <w:r w:rsidRPr="00B27362">
        <w:rPr>
          <w:rFonts w:eastAsia="Times New Roman" w:cs="Times New Roman"/>
          <w:b/>
          <w:noProof/>
          <w:lang w:val="hy-AM"/>
        </w:rPr>
        <w:t>-</w:t>
      </w:r>
      <w:r w:rsidRPr="00B27362">
        <w:rPr>
          <w:rFonts w:eastAsia="Times New Roman" w:cs="GHEA Grapalat"/>
          <w:b/>
          <w:noProof/>
          <w:lang w:val="hy-AM"/>
        </w:rPr>
        <w:t>ի</w:t>
      </w:r>
      <w:r w:rsidRPr="00B27362">
        <w:rPr>
          <w:rFonts w:eastAsia="Times New Roman" w:cs="Times New Roman"/>
          <w:b/>
          <w:noProof/>
          <w:lang w:val="hy-AM"/>
        </w:rPr>
        <w:t xml:space="preserve"> ընթացքում, այդ գործոնների հիմնական մասին չեզոքացման, ինչպես նաև ՀՀ դրամի արժևորման  հետ կտրուկ դանդաղել, ապա՝ վերածվել գնանկումային միտումների։ </w:t>
      </w:r>
      <w:r w:rsidRPr="00B27362">
        <w:rPr>
          <w:rFonts w:eastAsia="Times New Roman" w:cs="Times New Roman"/>
          <w:noProof/>
          <w:lang w:val="hy-AM"/>
        </w:rPr>
        <w:t>2021թ. առաջարկի (միջազգային ապրանքահումքային շուկաներում դրսևորված գների աճ, բեռնափոխադրումների սակագների աճ, տարվա առաջին կեսին նախորդ համադրելի ժամանակահատվածի համեմատ ՀՀ դրամի արժեզրկված դիրք) և պահանջարկի (մասնավոր սպառման աճ, գնաճային սպասումների ավելացում) գործոնները հանգեցրել են միջին գնաճի արագացմանը մինչև 7.2%` նախորդող տարվա 1.2% ցուցանիշի դիմաց։ Արձագանքելով ձևավորվող գնանկումային ճնշումներին, ԿԲ-ը զսպող քաղաքականություն է սկսել իրականացնել 2020թ. դեկտեմբերից, մինչև 2021թ</w:t>
      </w:r>
      <w:r w:rsidRPr="00B27362">
        <w:rPr>
          <w:rFonts w:ascii="Cambria Math" w:eastAsia="Times New Roman" w:hAnsi="Cambria Math" w:cs="Cambria Math"/>
          <w:noProof/>
          <w:lang w:val="hy-AM"/>
        </w:rPr>
        <w:t>․</w:t>
      </w:r>
      <w:r w:rsidRPr="00B27362">
        <w:rPr>
          <w:rFonts w:eastAsia="Times New Roman" w:cs="Times New Roman"/>
          <w:noProof/>
          <w:lang w:val="hy-AM"/>
        </w:rPr>
        <w:t>-</w:t>
      </w:r>
      <w:r w:rsidRPr="00B27362">
        <w:rPr>
          <w:rFonts w:eastAsia="Times New Roman" w:cs="GHEA Grapalat"/>
          <w:noProof/>
          <w:lang w:val="hy-AM"/>
        </w:rPr>
        <w:t>ի</w:t>
      </w:r>
      <w:r w:rsidRPr="00B27362">
        <w:rPr>
          <w:rFonts w:eastAsia="Times New Roman" w:cs="Times New Roman"/>
          <w:noProof/>
          <w:lang w:val="hy-AM"/>
        </w:rPr>
        <w:t xml:space="preserve"> </w:t>
      </w:r>
      <w:r w:rsidRPr="00B27362">
        <w:rPr>
          <w:rFonts w:eastAsia="Times New Roman" w:cs="GHEA Grapalat"/>
          <w:noProof/>
          <w:lang w:val="hy-AM"/>
        </w:rPr>
        <w:t>վերջ</w:t>
      </w:r>
      <w:r w:rsidRPr="00B27362">
        <w:rPr>
          <w:rFonts w:eastAsia="Times New Roman" w:cs="Times New Roman"/>
          <w:noProof/>
          <w:lang w:val="hy-AM"/>
        </w:rPr>
        <w:t xml:space="preserve">  վերաֆինանսավորման տոկոսադրույքը բարձրացնելով 3.5 տոկոսային կետով։ 2022 թ. տարեսկզբին արդեն դիտվել է 12</w:t>
      </w:r>
      <w:r w:rsidRPr="00B27362">
        <w:rPr>
          <w:rFonts w:eastAsia="Times New Roman" w:cs="Times New Roman"/>
          <w:noProof/>
          <w:lang w:val="hy-AM"/>
        </w:rPr>
        <w:noBreakHyphen/>
        <w:t>ամսյա գնաճի տեմպերի դանդաղման գործընթաց, մինչդեռ մարտ ամսից սկսած, պայմանավորված նախ ռուս-ուկրաինական հակամարտության սրման արդյունքում միջազգային ապրանքահումքային շուկաներում դիտված գների կտրուկ աճով և ՀՀ դրամի փոխարժեքի կարճատև արժեզրկմամբ, ապա՝ համախառն պահանջարկի զգալի աճով (այդ թվում՝ օտարերկյա այցելուների կտրուկ ավելացմամբ պայմանավորված), 12-ամսյա գնաճը նորից արագացել է՝ հունիսին հասնելով մինչև 10.3%: Այս պայմաններում ԿԲ-ը շարունակել է բարձրացնել տոկոսադրույքը` 2022թ</w:t>
      </w:r>
      <w:r w:rsidRPr="00B27362">
        <w:rPr>
          <w:rFonts w:ascii="Cambria Math" w:eastAsia="Times New Roman" w:hAnsi="Cambria Math" w:cs="Cambria Math"/>
          <w:noProof/>
          <w:lang w:val="hy-AM"/>
        </w:rPr>
        <w:t>․</w:t>
      </w:r>
      <w:r w:rsidRPr="00B27362">
        <w:rPr>
          <w:rFonts w:eastAsia="Times New Roman" w:cs="Times New Roman"/>
          <w:noProof/>
          <w:lang w:val="hy-AM"/>
        </w:rPr>
        <w:t>-</w:t>
      </w:r>
      <w:r w:rsidRPr="00B27362">
        <w:rPr>
          <w:rFonts w:eastAsia="Times New Roman" w:cs="GHEA Grapalat"/>
          <w:noProof/>
          <w:lang w:val="hy-AM"/>
        </w:rPr>
        <w:t>ի</w:t>
      </w:r>
      <w:r w:rsidRPr="00B27362">
        <w:rPr>
          <w:rFonts w:eastAsia="Times New Roman" w:cs="Times New Roman"/>
          <w:noProof/>
          <w:lang w:val="hy-AM"/>
        </w:rPr>
        <w:t xml:space="preserve"> </w:t>
      </w:r>
      <w:r w:rsidRPr="00B27362">
        <w:rPr>
          <w:rFonts w:eastAsia="Times New Roman" w:cs="GHEA Grapalat"/>
          <w:noProof/>
          <w:lang w:val="hy-AM"/>
        </w:rPr>
        <w:t>վերջին</w:t>
      </w:r>
      <w:r w:rsidRPr="00B27362">
        <w:rPr>
          <w:rFonts w:eastAsia="Times New Roman" w:cs="Times New Roman"/>
          <w:noProof/>
          <w:lang w:val="hy-AM"/>
        </w:rPr>
        <w:t xml:space="preserve"> </w:t>
      </w:r>
      <w:r w:rsidRPr="00B27362">
        <w:rPr>
          <w:rFonts w:eastAsia="Times New Roman" w:cs="GHEA Grapalat"/>
          <w:noProof/>
          <w:lang w:val="hy-AM"/>
        </w:rPr>
        <w:t>հասցնելով</w:t>
      </w:r>
      <w:r w:rsidRPr="00B27362">
        <w:rPr>
          <w:rFonts w:eastAsia="Times New Roman" w:cs="Times New Roman"/>
          <w:noProof/>
          <w:lang w:val="hy-AM"/>
        </w:rPr>
        <w:t xml:space="preserve"> </w:t>
      </w:r>
      <w:r w:rsidRPr="00B27362">
        <w:rPr>
          <w:rFonts w:eastAsia="Times New Roman" w:cs="GHEA Grapalat"/>
          <w:noProof/>
          <w:lang w:val="hy-AM"/>
        </w:rPr>
        <w:t>այն</w:t>
      </w:r>
      <w:r w:rsidRPr="00B27362">
        <w:rPr>
          <w:rFonts w:eastAsia="Times New Roman" w:cs="Times New Roman"/>
          <w:noProof/>
          <w:lang w:val="hy-AM"/>
        </w:rPr>
        <w:t xml:space="preserve"> 10.75%-ի, ինչի արդյունքում քաղաքականության կոշտացման ամբողջ շրջափուլում տոկոսադրույքը բարձրացվել է 6.5%-ային կետով։ </w:t>
      </w:r>
      <w:r>
        <w:rPr>
          <w:rFonts w:eastAsia="GHEA Grapalat" w:cs="GHEA Grapalat"/>
          <w:lang w:val="hy-AM"/>
        </w:rPr>
        <w:t>2023</w:t>
      </w:r>
      <w:r w:rsidRPr="00B27362">
        <w:rPr>
          <w:rFonts w:eastAsia="GHEA Grapalat" w:cs="GHEA Grapalat"/>
          <w:lang w:val="hy-AM"/>
        </w:rPr>
        <w:t>թ.-ին, պայմանավորված արտաքին հատվածից և աշխատաշուկայից փոխանցվող գնաճային ճնշումների թուլացմամբ, իսկ տարեվերջին՝ գնանկումային ազդեցություններով, գնաճային սպասումների նվազմամբ, ինչպես նաև իրականացված հետևողական զսպող դրամավարկային քաղաքականության ազդեցությամբ</w:t>
      </w:r>
      <w:r>
        <w:rPr>
          <w:rFonts w:eastAsia="GHEA Grapalat" w:cs="GHEA Grapalat"/>
          <w:lang w:val="hy-AM"/>
        </w:rPr>
        <w:t xml:space="preserve"> </w:t>
      </w:r>
      <w:r w:rsidRPr="00B27362">
        <w:rPr>
          <w:rFonts w:eastAsia="GHEA Grapalat" w:cs="GHEA Grapalat"/>
          <w:lang w:val="hy-AM"/>
        </w:rPr>
        <w:t>գնաճի տեմպերը զգալիորեն դանդաղել են, ապա՝ փոխարինվել գնանկումային միտումներով, ինչի արդյունքում 12 ամսյա գնաճը դեկտեմբերին կազմել է -0.6%, իսկ միջին գնաճը 2.0%:</w:t>
      </w:r>
    </w:p>
    <w:p w14:paraId="1565A75C" w14:textId="77777777" w:rsidR="002D7DDD" w:rsidRPr="00B27362" w:rsidRDefault="002D7DDD" w:rsidP="00D25024">
      <w:pPr>
        <w:spacing w:before="0" w:after="0" w:line="276" w:lineRule="auto"/>
        <w:ind w:firstLine="0"/>
        <w:rPr>
          <w:rFonts w:eastAsia="GHEA Grapalat" w:cs="GHEA Grapalat"/>
          <w:lang w:val="hy-AM"/>
        </w:rPr>
      </w:pPr>
      <w:r w:rsidRPr="00B27362">
        <w:rPr>
          <w:rFonts w:eastAsia="GHEA Grapalat" w:cs="GHEA Grapalat"/>
          <w:b/>
          <w:noProof/>
          <w:lang w:val="hy-AM"/>
        </w:rPr>
        <w:lastRenderedPageBreak/>
        <w:t xml:space="preserve">2024թ. հունվար-մայիս ամիսներին </w:t>
      </w:r>
      <w:r w:rsidRPr="00B27362">
        <w:rPr>
          <w:rFonts w:eastAsia="GHEA Grapalat" w:cs="GHEA Grapalat"/>
          <w:b/>
          <w:lang w:val="hy-AM"/>
        </w:rPr>
        <w:t xml:space="preserve">գրանցվել են գնանկումային միտումներ, որի պայմաններում ԿԲ-ը նվազեցրել է քաղաքականության տոկոսադրույքը 1%-ային կետով մինչև 8.25%։ </w:t>
      </w:r>
      <w:r w:rsidRPr="00B27362">
        <w:rPr>
          <w:rFonts w:eastAsia="GHEA Grapalat" w:cs="GHEA Grapalat"/>
          <w:lang w:val="hy-AM"/>
        </w:rPr>
        <w:t>Գնանկումային միջավայրը ձևավորվել է համաշխարհային տնտեսությունից փոխանցվող գնաճային ճնշումների զգալի թուլացման, փոխարժեքի արժևորման, ինչպես նաև 2020-2022 թթ</w:t>
      </w:r>
      <w:r w:rsidRPr="00B27362">
        <w:rPr>
          <w:rFonts w:ascii="Cambria Math" w:eastAsia="GHEA Grapalat" w:hAnsi="Cambria Math" w:cs="GHEA Grapalat"/>
          <w:lang w:val="hy-AM"/>
        </w:rPr>
        <w:t>․</w:t>
      </w:r>
      <w:r w:rsidRPr="00B27362">
        <w:rPr>
          <w:rFonts w:eastAsia="GHEA Grapalat" w:cs="GHEA Grapalat"/>
          <w:lang w:val="hy-AM"/>
        </w:rPr>
        <w:t xml:space="preserve"> իրականացված հետևողական զսպող դրամավարկային քաղաքականության լագային ազդեցությամբ: </w:t>
      </w:r>
      <w:r w:rsidRPr="00B27362">
        <w:rPr>
          <w:rFonts w:eastAsia="Times New Roman" w:cs="Times New Roman"/>
          <w:lang w:val="hy-AM"/>
        </w:rPr>
        <w:t>Արդյունքում 12 ամսյա գնաճը մայիսին կազմել է 0.3%, միջին գնաճը հունվար-մայիս ամ</w:t>
      </w:r>
      <w:r>
        <w:rPr>
          <w:rFonts w:eastAsia="Times New Roman" w:cs="Times New Roman"/>
          <w:lang w:val="hy-AM"/>
        </w:rPr>
        <w:t>իս</w:t>
      </w:r>
      <w:r w:rsidRPr="00B27362">
        <w:rPr>
          <w:rFonts w:eastAsia="Times New Roman" w:cs="Times New Roman"/>
          <w:lang w:val="hy-AM"/>
        </w:rPr>
        <w:t xml:space="preserve">ներին կազմել </w:t>
      </w:r>
      <w:r>
        <w:rPr>
          <w:rFonts w:eastAsia="Times New Roman" w:cs="Times New Roman"/>
          <w:lang w:val="hy-AM"/>
        </w:rPr>
        <w:t>է</w:t>
      </w:r>
      <w:r w:rsidRPr="00B27362">
        <w:rPr>
          <w:rFonts w:eastAsia="Times New Roman" w:cs="Times New Roman"/>
          <w:lang w:val="hy-AM"/>
        </w:rPr>
        <w:t xml:space="preserve"> -0</w:t>
      </w:r>
      <w:r w:rsidRPr="00B27362">
        <w:rPr>
          <w:rFonts w:ascii="Cambria Math" w:eastAsia="Times New Roman" w:hAnsi="Cambria Math" w:cs="Cambria Math"/>
          <w:lang w:val="hy-AM"/>
        </w:rPr>
        <w:t>․</w:t>
      </w:r>
      <w:r w:rsidRPr="00B27362">
        <w:rPr>
          <w:rFonts w:eastAsia="Times New Roman" w:cs="Times New Roman"/>
          <w:lang w:val="hy-AM"/>
        </w:rPr>
        <w:t>8%:</w:t>
      </w:r>
    </w:p>
    <w:p w14:paraId="77D23ED3" w14:textId="77777777" w:rsidR="002D7DDD" w:rsidRPr="00B27362" w:rsidRDefault="002D7DDD" w:rsidP="002D7DDD">
      <w:pPr>
        <w:keepNext/>
        <w:keepLines/>
        <w:tabs>
          <w:tab w:val="left" w:pos="0"/>
          <w:tab w:val="left" w:pos="284"/>
          <w:tab w:val="left" w:pos="1276"/>
          <w:tab w:val="left" w:pos="1888"/>
        </w:tabs>
        <w:autoSpaceDE w:val="0"/>
        <w:autoSpaceDN w:val="0"/>
        <w:adjustRightInd w:val="0"/>
        <w:spacing w:before="0" w:after="200" w:line="276" w:lineRule="auto"/>
        <w:jc w:val="left"/>
        <w:rPr>
          <w:rFonts w:eastAsia="Calibri" w:cs="Sylfaen"/>
          <w:b/>
          <w:lang w:val="hy-AM"/>
        </w:rPr>
      </w:pPr>
      <w:r w:rsidRPr="00B27362">
        <w:rPr>
          <w:rFonts w:eastAsia="Calibri" w:cs="Sylfaen"/>
          <w:b/>
          <w:lang w:val="hy-AM"/>
        </w:rPr>
        <w:t xml:space="preserve">Գծապատկեր 1.33. </w:t>
      </w:r>
      <w:r w:rsidRPr="00B27362">
        <w:rPr>
          <w:rFonts w:eastAsia="Calibri" w:cs="Sylfaen"/>
          <w:i/>
          <w:lang w:val="hy-AM"/>
        </w:rPr>
        <w:t>Գնաճի տեմպերը և ԿԲ տոկոսադրույքը ըստ ամիսների, 2021-2024թ</w:t>
      </w:r>
      <w:r w:rsidRPr="00B27362">
        <w:rPr>
          <w:rFonts w:ascii="Cambria Math" w:eastAsia="MS Gothic" w:hAnsi="Cambria Math" w:cs="Cambria Math"/>
          <w:i/>
          <w:lang w:val="hy-AM"/>
        </w:rPr>
        <w:t>․</w:t>
      </w:r>
      <w:r w:rsidRPr="00B27362">
        <w:rPr>
          <w:rFonts w:eastAsia="MS Gothic" w:cs="Cambria Math"/>
          <w:i/>
          <w:lang w:val="hy-AM"/>
        </w:rPr>
        <w:t xml:space="preserve"> </w:t>
      </w:r>
      <w:r w:rsidRPr="00B27362">
        <w:rPr>
          <w:rFonts w:eastAsia="MS Mincho" w:cs="Arial"/>
          <w:i/>
          <w:lang w:val="hy-AM"/>
        </w:rPr>
        <w:t>մայիս,</w:t>
      </w:r>
      <w:r w:rsidRPr="00B27362">
        <w:rPr>
          <w:rFonts w:eastAsia="Calibri" w:cs="Sylfaen"/>
          <w:i/>
          <w:lang w:val="hy-AM"/>
        </w:rPr>
        <w:t xml:space="preserve"> %</w:t>
      </w:r>
    </w:p>
    <w:p w14:paraId="57C10CA7" w14:textId="77777777" w:rsidR="002D7DDD" w:rsidRPr="00B27362" w:rsidRDefault="002D7DDD" w:rsidP="002D7DDD">
      <w:pPr>
        <w:spacing w:before="0" w:after="0" w:line="360" w:lineRule="auto"/>
        <w:ind w:firstLine="0"/>
        <w:rPr>
          <w:rFonts w:eastAsia="GHEA Grapalat" w:cs="GHEA Grapalat"/>
          <w:noProof/>
          <w:lang w:val="hy-AM"/>
        </w:rPr>
      </w:pPr>
      <w:r w:rsidRPr="00B27362">
        <w:rPr>
          <w:rFonts w:eastAsia="GHEA Grapalat" w:cs="GHEA Grapalat"/>
          <w:noProof/>
        </w:rPr>
        <w:drawing>
          <wp:inline distT="0" distB="0" distL="0" distR="0" wp14:anchorId="74704BF5" wp14:editId="131EED25">
            <wp:extent cx="6362700" cy="2809875"/>
            <wp:effectExtent l="0" t="0" r="0" b="9525"/>
            <wp:docPr id="48"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40F4101" w14:textId="77777777" w:rsidR="002D7DDD" w:rsidRPr="00B27362" w:rsidRDefault="002D7DDD" w:rsidP="002D7DDD">
      <w:pPr>
        <w:spacing w:before="0" w:after="120" w:line="360" w:lineRule="auto"/>
        <w:ind w:firstLine="0"/>
        <w:rPr>
          <w:rFonts w:eastAsia="GHEA Grapalat" w:cs="GHEA Grapalat"/>
          <w:i/>
          <w:iCs/>
          <w:noProof/>
          <w:color w:val="000000"/>
          <w:sz w:val="18"/>
          <w:szCs w:val="18"/>
          <w:lang w:val="hy-AM"/>
        </w:rPr>
      </w:pPr>
      <w:r w:rsidRPr="00B27362">
        <w:rPr>
          <w:rFonts w:eastAsia="GHEA Grapalat" w:cs="GHEA Grapalat"/>
          <w:i/>
          <w:iCs/>
          <w:noProof/>
          <w:color w:val="000000"/>
          <w:sz w:val="18"/>
          <w:szCs w:val="18"/>
          <w:lang w:val="hy-AM"/>
        </w:rPr>
        <w:t>Աղբյուրը՝ ՀՀ ԿԲ</w:t>
      </w:r>
    </w:p>
    <w:p w14:paraId="783D9123" w14:textId="77777777" w:rsidR="002D7DDD" w:rsidRPr="00B27362" w:rsidRDefault="002D7DDD" w:rsidP="00D25024">
      <w:pPr>
        <w:spacing w:before="0" w:after="0" w:line="276" w:lineRule="auto"/>
        <w:ind w:firstLine="0"/>
        <w:rPr>
          <w:rFonts w:eastAsia="Times New Roman" w:cs="Times New Roman"/>
          <w:noProof/>
          <w:lang w:val="hy-AM"/>
        </w:rPr>
      </w:pPr>
      <w:r w:rsidRPr="00B27362">
        <w:rPr>
          <w:rFonts w:eastAsia="Times New Roman" w:cs="Times New Roman"/>
          <w:b/>
          <w:noProof/>
          <w:lang w:val="hy-AM"/>
        </w:rPr>
        <w:t>Դրամավարկային քաղաքականության փոխանցումային մեխանիզմը ինչպես քաղաքականության խստացման, այնպես էլ մեղմացման շրջափուլերում համեմատաբար արդյունավետ է գործել պետական պարտատոմսերի, և պակաս արդյունավետ՝ վարկերի և ավանդների շուկաներում՝ այդ թվում պայմանավորված նաև դեպի ՀՀ բանկային համակարգ տեղի ունեցած լրացուցիչ ներհոսքերով։</w:t>
      </w:r>
      <w:r w:rsidRPr="00B27362">
        <w:rPr>
          <w:rFonts w:eastAsia="Times New Roman" w:cs="Times New Roman"/>
          <w:noProof/>
          <w:lang w:val="hy-AM"/>
        </w:rPr>
        <w:t xml:space="preserve"> Ինչպես 2020թ</w:t>
      </w:r>
      <w:r w:rsidRPr="00B27362">
        <w:rPr>
          <w:rFonts w:ascii="Cambria Math" w:eastAsia="Times New Roman" w:hAnsi="Cambria Math" w:cs="Cambria Math"/>
          <w:noProof/>
          <w:lang w:val="hy-AM"/>
        </w:rPr>
        <w:t>․</w:t>
      </w:r>
      <w:r w:rsidRPr="00B27362">
        <w:rPr>
          <w:rFonts w:eastAsia="Times New Roman" w:cs="Times New Roman"/>
          <w:noProof/>
          <w:lang w:val="hy-AM"/>
        </w:rPr>
        <w:t xml:space="preserve"> դեկտեմբերից մինչև 2022թ</w:t>
      </w:r>
      <w:r w:rsidRPr="00B27362">
        <w:rPr>
          <w:rFonts w:ascii="Cambria Math" w:eastAsia="Times New Roman" w:hAnsi="Cambria Math" w:cs="Cambria Math"/>
          <w:noProof/>
          <w:lang w:val="hy-AM"/>
        </w:rPr>
        <w:t>․</w:t>
      </w:r>
      <w:r w:rsidRPr="00B27362">
        <w:rPr>
          <w:rFonts w:eastAsia="Times New Roman" w:cs="Cambria Math"/>
          <w:noProof/>
          <w:lang w:val="hy-AM"/>
        </w:rPr>
        <w:t xml:space="preserve"> վերջ</w:t>
      </w:r>
      <w:r w:rsidRPr="00B27362">
        <w:rPr>
          <w:rFonts w:eastAsia="Times New Roman" w:cs="Times New Roman"/>
          <w:noProof/>
          <w:lang w:val="hy-AM"/>
        </w:rPr>
        <w:t xml:space="preserve"> ԿԲ կողմից վերաֆինանսավորման տոկոսադրույքի բարձրացման, այնպես էլ 2023թ</w:t>
      </w:r>
      <w:r w:rsidRPr="00B27362">
        <w:rPr>
          <w:rFonts w:ascii="Cambria Math" w:eastAsia="Times New Roman" w:hAnsi="Cambria Math" w:cs="Cambria Math"/>
          <w:noProof/>
          <w:lang w:val="hy-AM"/>
        </w:rPr>
        <w:t>․</w:t>
      </w:r>
      <w:r w:rsidRPr="00B27362">
        <w:rPr>
          <w:rFonts w:eastAsia="Times New Roman" w:cs="Times New Roman"/>
          <w:noProof/>
          <w:lang w:val="hy-AM"/>
        </w:rPr>
        <w:t xml:space="preserve"> կեսից դրա նվազեցման փուլերում ֆինանսական շուկաներում վարկերի և ավանդների տոկոսադրույքներն անհամաչափորեն են ճշգրտվել միջբանկային ռեպոյի և կարճաժամկետ պետական պարտատոմսերի շուկաների համեմատ, որոնք սովորաբար զգայուն են դրամավարկային քաղաքականության որոշումների նկատմամբ։ Ավելին, տոկոսադրույքների բարձրացման շրջափուլում դեպի բանկային համակարգ ֆինանսական հոսքերը դեպի ներքև ճնշումներ են առաջացրել ավանդների տոկոսադրույքների համար, իսկ հիպոթեքային վարկերի նկատմամբ բարձր պահանջարկը երկու շրջափուլերում էլ դեպի վերև ճնշում է առաջացրել հիպոթեքային վարկերի տոկոսադրույքների համար։ </w:t>
      </w:r>
    </w:p>
    <w:p w14:paraId="6CF5DA62" w14:textId="77777777" w:rsidR="002D7DDD" w:rsidRPr="00B27362" w:rsidRDefault="002D7DDD" w:rsidP="002D7DDD">
      <w:pPr>
        <w:spacing w:before="0" w:after="0" w:line="276" w:lineRule="auto"/>
        <w:rPr>
          <w:rFonts w:eastAsia="GHEA Grapalat" w:cs="GHEA Grapalat"/>
          <w:i/>
          <w:iCs/>
          <w:noProof/>
          <w:lang w:val="hy-AM"/>
        </w:rPr>
      </w:pPr>
    </w:p>
    <w:p w14:paraId="2EC7C662" w14:textId="77777777" w:rsidR="002D7DDD" w:rsidRPr="00B27362" w:rsidRDefault="002D7DDD" w:rsidP="002D7DDD">
      <w:pPr>
        <w:keepNext/>
        <w:keepLines/>
        <w:tabs>
          <w:tab w:val="left" w:pos="0"/>
          <w:tab w:val="left" w:pos="284"/>
          <w:tab w:val="left" w:pos="1276"/>
          <w:tab w:val="left" w:pos="1888"/>
        </w:tabs>
        <w:autoSpaceDE w:val="0"/>
        <w:autoSpaceDN w:val="0"/>
        <w:adjustRightInd w:val="0"/>
        <w:spacing w:before="0" w:after="200" w:line="276" w:lineRule="auto"/>
        <w:jc w:val="left"/>
        <w:rPr>
          <w:rFonts w:eastAsia="Calibri" w:cs="Sylfaen"/>
          <w:b/>
          <w:lang w:val="hy-AM"/>
        </w:rPr>
      </w:pPr>
      <w:r w:rsidRPr="00B27362">
        <w:rPr>
          <w:rFonts w:eastAsia="Calibri" w:cs="Sylfaen"/>
          <w:b/>
          <w:lang w:val="hy-AM"/>
        </w:rPr>
        <w:lastRenderedPageBreak/>
        <w:t xml:space="preserve">Գծապատկեր 1.34. </w:t>
      </w:r>
      <w:r w:rsidRPr="00B27362">
        <w:rPr>
          <w:rFonts w:eastAsia="Calibri" w:cs="Sylfaen"/>
          <w:i/>
          <w:lang w:val="hy-AM"/>
        </w:rPr>
        <w:t>Գնաճի նպաստումները խոշոր ապրանքախմբերով, ըստ եռամսյակների, տոկոսային կետ</w:t>
      </w:r>
    </w:p>
    <w:p w14:paraId="41125CEB" w14:textId="77777777" w:rsidR="002D7DDD" w:rsidRPr="00B27362" w:rsidRDefault="002D7DDD" w:rsidP="002D7DDD">
      <w:pPr>
        <w:spacing w:before="0" w:after="120" w:line="240" w:lineRule="auto"/>
        <w:ind w:firstLine="0"/>
        <w:jc w:val="left"/>
        <w:rPr>
          <w:rFonts w:eastAsia="GHEA Grapalat" w:cs="GHEA Grapalat"/>
          <w:i/>
          <w:iCs/>
          <w:noProof/>
          <w:color w:val="000000"/>
          <w:sz w:val="18"/>
          <w:szCs w:val="18"/>
          <w:lang w:val="hy-AM"/>
        </w:rPr>
      </w:pPr>
      <w:r w:rsidRPr="00B27362">
        <w:rPr>
          <w:rFonts w:eastAsia="Times New Roman" w:cs="Sylfaen"/>
          <w:b/>
          <w:noProof/>
          <w:sz w:val="24"/>
        </w:rPr>
        <w:drawing>
          <wp:inline distT="0" distB="0" distL="0" distR="0" wp14:anchorId="247C50BA" wp14:editId="5031B075">
            <wp:extent cx="3060000" cy="2286000"/>
            <wp:effectExtent l="0" t="0" r="762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B27362">
        <w:rPr>
          <w:rFonts w:eastAsia="Times New Roman" w:cs="Sylfaen"/>
          <w:b/>
          <w:noProof/>
          <w:sz w:val="24"/>
        </w:rPr>
        <w:drawing>
          <wp:inline distT="0" distB="0" distL="0" distR="0" wp14:anchorId="1D4B5DE2" wp14:editId="6F5D77B9">
            <wp:extent cx="2973600" cy="2286000"/>
            <wp:effectExtent l="0" t="0" r="1778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B27362">
        <w:rPr>
          <w:rFonts w:eastAsia="Times New Roman" w:cs="Sylfaen"/>
          <w:b/>
          <w:noProof/>
          <w:sz w:val="24"/>
        </w:rPr>
        <w:drawing>
          <wp:inline distT="0" distB="0" distL="0" distR="0" wp14:anchorId="6FC6DF21" wp14:editId="3B6AD69F">
            <wp:extent cx="6040270" cy="695325"/>
            <wp:effectExtent l="0" t="0" r="17780" b="952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8836980" w14:textId="77777777" w:rsidR="002D7DDD" w:rsidRPr="00B27362" w:rsidRDefault="002D7DDD" w:rsidP="002D7DDD">
      <w:pPr>
        <w:spacing w:before="0" w:after="120" w:line="240" w:lineRule="auto"/>
        <w:ind w:firstLine="0"/>
        <w:jc w:val="left"/>
        <w:rPr>
          <w:rFonts w:eastAsia="GHEA Grapalat" w:cs="GHEA Grapalat"/>
          <w:i/>
          <w:iCs/>
          <w:noProof/>
          <w:color w:val="000000"/>
          <w:sz w:val="18"/>
          <w:szCs w:val="18"/>
          <w:lang w:val="hy-AM"/>
        </w:rPr>
      </w:pPr>
      <w:r w:rsidRPr="00B27362">
        <w:rPr>
          <w:rFonts w:eastAsia="GHEA Grapalat" w:cs="GHEA Grapalat"/>
          <w:i/>
          <w:iCs/>
          <w:noProof/>
          <w:color w:val="000000"/>
          <w:sz w:val="18"/>
          <w:szCs w:val="18"/>
          <w:lang w:val="hy-AM"/>
        </w:rPr>
        <w:t>Աղբյուրը՝ ՀՀ ՎԿ և ՀՀ ՖՆ հաշվարկներ</w:t>
      </w:r>
    </w:p>
    <w:p w14:paraId="6473544D" w14:textId="77777777" w:rsidR="002D7DDD" w:rsidRPr="00B27362" w:rsidRDefault="002D7DDD" w:rsidP="005824C8">
      <w:pPr>
        <w:spacing w:before="0" w:after="0" w:line="276" w:lineRule="auto"/>
        <w:ind w:firstLine="0"/>
        <w:rPr>
          <w:rFonts w:eastAsia="Times New Roman" w:cs="Times New Roman"/>
          <w:bCs/>
          <w:noProof/>
          <w:lang w:val="hy-AM"/>
        </w:rPr>
      </w:pPr>
      <w:r w:rsidRPr="00B27362">
        <w:rPr>
          <w:rFonts w:eastAsia="Times New Roman" w:cs="Times New Roman"/>
          <w:b/>
          <w:noProof/>
          <w:u w:val="single"/>
          <w:lang w:val="hy-AM"/>
        </w:rPr>
        <w:t>Կանխատեսում</w:t>
      </w:r>
      <w:r w:rsidRPr="00B27362">
        <w:rPr>
          <w:rFonts w:ascii="Cambria Math" w:eastAsia="Times New Roman" w:hAnsi="Cambria Math" w:cs="Cambria Math"/>
          <w:b/>
          <w:noProof/>
          <w:lang w:val="hy-AM"/>
        </w:rPr>
        <w:t>:</w:t>
      </w:r>
      <w:r w:rsidRPr="00B27362">
        <w:rPr>
          <w:rFonts w:eastAsia="Times New Roman" w:cs="Times New Roman"/>
          <w:b/>
          <w:noProof/>
          <w:lang w:val="hy-AM"/>
        </w:rPr>
        <w:t xml:space="preserve"> </w:t>
      </w:r>
      <w:r w:rsidRPr="00B27362">
        <w:rPr>
          <w:rFonts w:eastAsia="Times New Roman" w:cs="Times New Roman"/>
          <w:bCs/>
          <w:noProof/>
          <w:lang w:val="hy-AM"/>
        </w:rPr>
        <w:t>2024թ</w:t>
      </w:r>
      <w:r w:rsidRPr="00B27362">
        <w:rPr>
          <w:rFonts w:ascii="Cambria Math" w:eastAsia="Times New Roman" w:hAnsi="Cambria Math" w:cs="Cambria Math"/>
          <w:bCs/>
          <w:noProof/>
          <w:lang w:val="hy-AM"/>
        </w:rPr>
        <w:t>․</w:t>
      </w:r>
      <w:r w:rsidRPr="00B27362">
        <w:rPr>
          <w:rFonts w:eastAsia="Times New Roman" w:cs="Cambria Math"/>
          <w:bCs/>
          <w:noProof/>
          <w:lang w:val="hy-AM"/>
        </w:rPr>
        <w:t>-ին</w:t>
      </w:r>
      <w:r w:rsidRPr="00B27362">
        <w:rPr>
          <w:rFonts w:eastAsia="Times New Roman" w:cs="Times New Roman"/>
          <w:bCs/>
          <w:noProof/>
          <w:lang w:val="hy-AM"/>
        </w:rPr>
        <w:t xml:space="preserve"> ինչպես միջին, այնպես էլ 12 ամսյա գնաճը ցածր կլինեն նպատակային ցուցանիշից և միջնաժամկետում կկայունանան նպատակային 4% ցուցանիշի շուրջ: Մշտադիտարկելով տնտեսության զարգացման սցենարները, ԿԲ-ը պատրաստ է ձեռնարկել համարժեք գործողություններ՝ միջնաժամկետ հորիզոնում գնաճի 4% մակարդակի և գների կայունության նպատակի ապահովման համար</w:t>
      </w:r>
      <w:r w:rsidRPr="00B27362">
        <w:rPr>
          <w:rFonts w:eastAsia="Times New Roman" w:cs="Times New Roman"/>
          <w:bCs/>
          <w:noProof/>
          <w:vertAlign w:val="superscript"/>
          <w:lang w:val="hy-AM"/>
        </w:rPr>
        <w:footnoteReference w:id="13"/>
      </w:r>
      <w:r w:rsidRPr="00B27362">
        <w:rPr>
          <w:rFonts w:eastAsia="Times New Roman" w:cs="Times New Roman"/>
          <w:bCs/>
          <w:noProof/>
          <w:lang w:val="hy-AM"/>
        </w:rPr>
        <w:t>:</w:t>
      </w:r>
    </w:p>
    <w:p w14:paraId="3775F11B" w14:textId="77777777" w:rsidR="002D7DDD" w:rsidRPr="00B27362" w:rsidRDefault="002D7DDD" w:rsidP="002D7DDD">
      <w:pPr>
        <w:keepNext/>
        <w:keepLines/>
        <w:tabs>
          <w:tab w:val="left" w:pos="0"/>
          <w:tab w:val="left" w:pos="284"/>
          <w:tab w:val="left" w:pos="1276"/>
          <w:tab w:val="left" w:pos="1888"/>
        </w:tabs>
        <w:autoSpaceDE w:val="0"/>
        <w:autoSpaceDN w:val="0"/>
        <w:adjustRightInd w:val="0"/>
        <w:spacing w:before="0" w:after="200" w:line="276" w:lineRule="auto"/>
        <w:jc w:val="left"/>
        <w:rPr>
          <w:rFonts w:eastAsia="Calibri" w:cs="Sylfaen"/>
          <w:b/>
          <w:lang w:val="hy-AM"/>
        </w:rPr>
      </w:pPr>
      <w:r w:rsidRPr="00B27362">
        <w:rPr>
          <w:rFonts w:eastAsia="Calibri" w:cs="Sylfaen"/>
          <w:b/>
          <w:lang w:val="hy-AM"/>
        </w:rPr>
        <w:t xml:space="preserve">Գծապատկեր 1.35. </w:t>
      </w:r>
      <w:r w:rsidRPr="00B27362">
        <w:rPr>
          <w:rFonts w:eastAsia="Calibri" w:cs="Sylfaen"/>
          <w:i/>
          <w:lang w:val="hy-AM"/>
        </w:rPr>
        <w:t>Դրամավարկային քաղաքականության ազդեցությունները ֆինանսական շուկայում և գնաճի կանխատեսումները</w:t>
      </w:r>
    </w:p>
    <w:p w14:paraId="42AF5833" w14:textId="77777777" w:rsidR="002D7DDD" w:rsidRPr="00B27362" w:rsidRDefault="002D7DDD" w:rsidP="002D7DDD">
      <w:pPr>
        <w:spacing w:before="0" w:after="0" w:line="360" w:lineRule="auto"/>
        <w:ind w:firstLine="0"/>
        <w:rPr>
          <w:rFonts w:eastAsia="Times New Roman" w:cs="Times New Roman"/>
          <w:noProof/>
          <w:lang w:val="hy-AM"/>
        </w:rPr>
      </w:pPr>
      <w:r w:rsidRPr="00B27362">
        <w:rPr>
          <w:rFonts w:eastAsia="Times New Roman" w:cs="GHEA Grapalat"/>
          <w:noProof/>
        </w:rPr>
        <w:drawing>
          <wp:inline distT="0" distB="0" distL="0" distR="0" wp14:anchorId="0CB85F51" wp14:editId="182D59D4">
            <wp:extent cx="3067050" cy="2952750"/>
            <wp:effectExtent l="0" t="0" r="0" b="0"/>
            <wp:docPr id="52"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B27362">
        <w:rPr>
          <w:rFonts w:ascii="Times New Roman" w:eastAsia="Times New Roman" w:hAnsi="Times New Roman" w:cs="Sylfaen"/>
          <w:b/>
          <w:noProof/>
          <w:sz w:val="24"/>
          <w:szCs w:val="24"/>
        </w:rPr>
        <w:drawing>
          <wp:inline distT="0" distB="0" distL="0" distR="0" wp14:anchorId="1EDBE4B9" wp14:editId="74E2445A">
            <wp:extent cx="3016800" cy="2952750"/>
            <wp:effectExtent l="0" t="0" r="1270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BD769A1" w14:textId="77777777" w:rsidR="002D7DDD" w:rsidRPr="00B27362" w:rsidRDefault="002D7DDD" w:rsidP="002D7DDD">
      <w:pPr>
        <w:spacing w:before="0" w:after="0" w:line="276" w:lineRule="auto"/>
        <w:ind w:right="-172" w:firstLine="0"/>
        <w:jc w:val="left"/>
        <w:rPr>
          <w:rFonts w:ascii="Times New Roman" w:eastAsia="Calibri" w:hAnsi="Times New Roman" w:cs="Sylfaen"/>
          <w:i/>
          <w:sz w:val="18"/>
          <w:szCs w:val="18"/>
          <w:lang w:val="hy-AM"/>
        </w:rPr>
      </w:pPr>
    </w:p>
    <w:p w14:paraId="71FC1BCE" w14:textId="77777777" w:rsidR="002D7DDD" w:rsidRPr="00B27362" w:rsidRDefault="002D7DDD" w:rsidP="005824C8">
      <w:pPr>
        <w:keepNext/>
        <w:keepLines/>
        <w:spacing w:before="240" w:line="276" w:lineRule="auto"/>
        <w:ind w:firstLine="0"/>
        <w:contextualSpacing/>
        <w:jc w:val="left"/>
        <w:outlineLvl w:val="2"/>
        <w:rPr>
          <w:rFonts w:eastAsia="Times New Roman" w:cs="Times New Roman"/>
          <w:b/>
          <w:caps/>
          <w:color w:val="548DD4"/>
          <w:sz w:val="24"/>
          <w:szCs w:val="24"/>
          <w:lang w:val="hy-AM"/>
        </w:rPr>
      </w:pPr>
      <w:bookmarkStart w:id="58" w:name="_Toc170743034"/>
      <w:bookmarkStart w:id="59" w:name="_Toc170750538"/>
      <w:bookmarkStart w:id="60" w:name="_Toc170926299"/>
      <w:r w:rsidRPr="00B27362">
        <w:rPr>
          <w:rFonts w:eastAsia="Times New Roman" w:cs="Times New Roman"/>
          <w:b/>
          <w:color w:val="1F497D"/>
          <w:sz w:val="24"/>
          <w:szCs w:val="24"/>
          <w:lang w:val="hy-AM"/>
        </w:rPr>
        <w:lastRenderedPageBreak/>
        <w:t>1.4. ԿԱՆԽԱՏԵՍՈՒՄՆԵՐԻ ՀԻՄՔՈՒՄ ԸՆԿԱԾ ԵՆԹԱԴՐՈՒԹՅՈՒՆՆԵՐԸ</w:t>
      </w:r>
      <w:bookmarkEnd w:id="58"/>
      <w:bookmarkEnd w:id="59"/>
      <w:bookmarkEnd w:id="60"/>
      <w:r w:rsidRPr="00B27362">
        <w:rPr>
          <w:rFonts w:eastAsia="Times New Roman" w:cs="Times New Roman"/>
          <w:b/>
          <w:color w:val="1F497D"/>
          <w:sz w:val="24"/>
          <w:szCs w:val="24"/>
          <w:lang w:val="hy-AM"/>
        </w:rPr>
        <w:t xml:space="preserve"> </w:t>
      </w:r>
    </w:p>
    <w:p w14:paraId="6FC39143" w14:textId="77777777" w:rsidR="002D7DDD" w:rsidRPr="00B27362" w:rsidRDefault="002D7DDD" w:rsidP="005824C8">
      <w:pPr>
        <w:spacing w:before="120" w:after="120" w:line="276" w:lineRule="auto"/>
        <w:ind w:firstLine="0"/>
        <w:rPr>
          <w:rFonts w:eastAsia="Calibri" w:cs="Sylfaen"/>
          <w:bCs/>
          <w:lang w:val="hy-AM"/>
        </w:rPr>
      </w:pPr>
      <w:r w:rsidRPr="00B27362">
        <w:rPr>
          <w:rFonts w:eastAsia="Calibri" w:cs="Sylfaen"/>
          <w:bCs/>
          <w:lang w:val="hy-AM"/>
        </w:rPr>
        <w:t xml:space="preserve">2025-2027թթ. ՄԺԾԾ մակրոտնտեսական շրջանակի կանխատեսումներն իրականացվել են ՀՀ ՖՆ կողմից՝ կիրառելով տնտեսաչափական մոդելներ, և առանձին շոկերի և հարկաբյուջետային միջոցառումների ազդեցությունների գնահատման համար՝ ՀՀ ՖՆ </w:t>
      </w:r>
      <w:r w:rsidRPr="00B27362">
        <w:rPr>
          <w:rFonts w:eastAsia="Calibri" w:cs="Sylfaen"/>
          <w:bCs/>
          <w:color w:val="000000"/>
          <w:lang w:val="hy-AM"/>
        </w:rPr>
        <w:t xml:space="preserve">Արարատ հարկաբյուջետային ռազմավարության </w:t>
      </w:r>
      <w:r w:rsidRPr="00B27362">
        <w:rPr>
          <w:rFonts w:eastAsia="Calibri" w:cs="Sylfaen"/>
          <w:bCs/>
          <w:lang w:val="hy-AM"/>
        </w:rPr>
        <w:t>դինամիկ ստոխաստիկ ընդհանուր հավասարակշռության (</w:t>
      </w:r>
      <w:r w:rsidRPr="00B27362">
        <w:rPr>
          <w:rFonts w:eastAsia="Calibri" w:cs="Sylfaen"/>
          <w:bCs/>
          <w:color w:val="000000"/>
          <w:lang w:val="hy-AM"/>
        </w:rPr>
        <w:t>Ararat Fiscal Strategy Model)</w:t>
      </w:r>
      <w:r w:rsidRPr="00B27362">
        <w:rPr>
          <w:rFonts w:eastAsia="Calibri" w:cs="Sylfaen"/>
          <w:bCs/>
          <w:lang w:val="hy-AM"/>
        </w:rPr>
        <w:t xml:space="preserve"> մոդելը</w:t>
      </w:r>
      <w:r w:rsidRPr="00B27362">
        <w:rPr>
          <w:rFonts w:eastAsia="Calibri" w:cs="Sylfaen"/>
          <w:bCs/>
          <w:vertAlign w:val="superscript"/>
          <w:lang w:val="hy-AM"/>
        </w:rPr>
        <w:footnoteReference w:id="14"/>
      </w:r>
      <w:r w:rsidRPr="00B27362">
        <w:rPr>
          <w:rFonts w:eastAsia="Calibri" w:cs="Sylfaen"/>
          <w:bCs/>
          <w:lang w:val="hy-AM"/>
        </w:rPr>
        <w:t xml:space="preserve">, </w:t>
      </w:r>
      <w:r w:rsidRPr="00B27362">
        <w:rPr>
          <w:rFonts w:eastAsia="Calibri" w:cs="Times New Roman"/>
          <w:vertAlign w:val="superscript"/>
          <w:lang w:val="hy-AM"/>
        </w:rPr>
        <w:t xml:space="preserve"> </w:t>
      </w:r>
      <w:r w:rsidRPr="00B27362">
        <w:rPr>
          <w:rFonts w:eastAsia="Calibri" w:cs="Sylfaen"/>
          <w:bCs/>
          <w:lang w:val="hy-AM"/>
        </w:rPr>
        <w:t>որոնց համար տեղեկատվական հիմք են հանդիսացել 2024թ. ապրիլ ամսվա դրությամբ հասանելի նեքին և արտաքին ընթացիկ տնտեսական և ֆինանսական զարգացումները, ինչպես նաև ՀՀ գործընկեր երկրների տնտեսական  զարգացումների և հումքային ապրանքների համաշխարհային գների միջազգային կառույցների կողմից արված կանխատեսումները: Մասնավորապես՝</w:t>
      </w:r>
    </w:p>
    <w:p w14:paraId="3CA8B90B" w14:textId="77777777" w:rsidR="002D7DDD" w:rsidRPr="00B27362" w:rsidRDefault="002D7DDD" w:rsidP="005824C8">
      <w:pPr>
        <w:numPr>
          <w:ilvl w:val="0"/>
          <w:numId w:val="14"/>
        </w:numPr>
        <w:spacing w:before="0" w:after="0" w:line="276" w:lineRule="auto"/>
        <w:ind w:left="0" w:firstLine="0"/>
        <w:contextualSpacing/>
        <w:jc w:val="left"/>
        <w:rPr>
          <w:rFonts w:eastAsia="Calibri" w:cs="Sylfaen"/>
          <w:b/>
          <w:bCs/>
          <w:lang w:val="hy-AM"/>
        </w:rPr>
      </w:pPr>
      <w:r w:rsidRPr="00B27362">
        <w:rPr>
          <w:rFonts w:eastAsia="Calibri" w:cs="Sylfaen"/>
          <w:b/>
          <w:bCs/>
          <w:lang w:val="hy-AM"/>
        </w:rPr>
        <w:t>Արտաքին  գործոններ.</w:t>
      </w:r>
    </w:p>
    <w:p w14:paraId="2FCF9EA8" w14:textId="77777777" w:rsidR="002D7DDD" w:rsidRPr="00B27362" w:rsidRDefault="002D7DDD" w:rsidP="005824C8">
      <w:pPr>
        <w:numPr>
          <w:ilvl w:val="0"/>
          <w:numId w:val="42"/>
        </w:numPr>
        <w:spacing w:before="0" w:after="120" w:line="276" w:lineRule="auto"/>
        <w:ind w:left="0" w:firstLine="0"/>
        <w:rPr>
          <w:rFonts w:eastAsia="Calibri" w:cs="Sylfaen"/>
          <w:bCs/>
          <w:lang w:val="hy-AM"/>
        </w:rPr>
      </w:pPr>
      <w:r w:rsidRPr="00B27362">
        <w:rPr>
          <w:rFonts w:eastAsia="Calibri" w:cs="Sylfaen"/>
          <w:bCs/>
          <w:lang w:val="hy-AM"/>
        </w:rPr>
        <w:t>2023թ. դրսևորված աշխարհաքաղաքական անորոշությունների և շարունակվող զսպող դրամավարկային քաղաքականության պայմաններում 2024թ. ապրիլ ամսվա ԱՄՀ կանխատեսումների համաձայն 2024թ. սպասվում է ԵԳ և ԱՄՆ տնտեսական աճերի արագացում (համապատասխանաբար՝ 0.8% և 2.7%), իսկ Չինաստանում սպասվում է ներուժային տնտեսական աճից ավելի ցածր՝ 4.6% տնտեսական աճ: Ըստ ԱՄՀ կանխատեսումների 2024թ. ՌԴ-ում սպասվում է 3.2% տնտեսական աճ: Հատկանշական է, որ ԱՄՀ ՀՀ հիմնական գործընկեր երկրների 2024թ. տնտեսական աճերի վերջին կանխատեսումները հունվար ամսվա կանխատեսումների համեմատ դեպի վերև վերանայվել են ՌԴ-ի և ԱՄՆ-ի աճերի կանխատեսումները՝ պայմանավորված սպասվածից առավել դրական ընթացիկ զարգացումներով:</w:t>
      </w:r>
    </w:p>
    <w:p w14:paraId="4B066DB2" w14:textId="77777777" w:rsidR="002D7DDD" w:rsidRPr="00B27362" w:rsidRDefault="002D7DDD" w:rsidP="005824C8">
      <w:pPr>
        <w:numPr>
          <w:ilvl w:val="0"/>
          <w:numId w:val="42"/>
        </w:numPr>
        <w:spacing w:before="0" w:after="120" w:line="276" w:lineRule="auto"/>
        <w:ind w:left="0" w:firstLine="0"/>
        <w:rPr>
          <w:rFonts w:eastAsia="Calibri" w:cs="Sylfaen"/>
          <w:bCs/>
          <w:lang w:val="hy-AM"/>
        </w:rPr>
      </w:pPr>
      <w:r w:rsidRPr="00B27362">
        <w:rPr>
          <w:rFonts w:eastAsia="Calibri" w:cs="Sylfaen"/>
          <w:bCs/>
          <w:lang w:val="hy-AM"/>
        </w:rPr>
        <w:t>ՀՀ գործընկեր երկրների տնտեսությունների համար 2025թ. և միջնաժամկ</w:t>
      </w:r>
      <w:r>
        <w:rPr>
          <w:rFonts w:eastAsia="Calibri" w:cs="Sylfaen"/>
          <w:bCs/>
          <w:lang w:val="hy-AM"/>
        </w:rPr>
        <w:t>ե</w:t>
      </w:r>
      <w:r w:rsidRPr="00B27362">
        <w:rPr>
          <w:rFonts w:eastAsia="Calibri" w:cs="Sylfaen"/>
          <w:bCs/>
          <w:lang w:val="hy-AM"/>
        </w:rPr>
        <w:t xml:space="preserve">տում կանխատեսվում  է իրենց նախաճգնաժամային ներուժային աճերից ցածր տնտեսական աճեր։ Հատկանշական է այն փաստը, որ  Չինաստանի համար սպասվում է պատմական միջին աճից ավելի քան երկու անգամ դանդաղ տնտեսական աճի տեմպ: </w:t>
      </w:r>
    </w:p>
    <w:p w14:paraId="50AB1743" w14:textId="77777777" w:rsidR="002D7DDD" w:rsidRPr="00B27362" w:rsidRDefault="002D7DDD" w:rsidP="005824C8">
      <w:pPr>
        <w:numPr>
          <w:ilvl w:val="0"/>
          <w:numId w:val="42"/>
        </w:numPr>
        <w:spacing w:before="0" w:after="120" w:line="276" w:lineRule="auto"/>
        <w:ind w:left="0" w:firstLine="0"/>
        <w:rPr>
          <w:rFonts w:eastAsia="Calibri" w:cs="Sylfaen"/>
          <w:bCs/>
          <w:lang w:val="hy-AM"/>
        </w:rPr>
      </w:pPr>
      <w:r w:rsidRPr="00B27362">
        <w:rPr>
          <w:rFonts w:eastAsia="Calibri" w:cs="Sylfaen"/>
          <w:bCs/>
          <w:lang w:val="hy-AM"/>
        </w:rPr>
        <w:t>2024թ. նավթի բորսային գինը կնվազի, իսկ պղնձինը՝ կաճի: Ըստ «Բլումբերգ» միջազգային հեղինակավոր կազմակերպության  կանխատեսումների 2024թ. նավթի միջազգային գները կնվազեն 3.2%-ով, իսկ պղնձինը կաճեն 1%-ով: 2025թ. նավթի և պղնձի գները կնվազեն համապատասխանաբար՝ 5.5% և 1%-ով:</w:t>
      </w:r>
    </w:p>
    <w:p w14:paraId="4EA837C3" w14:textId="77777777" w:rsidR="002D7DDD" w:rsidRPr="00B27362" w:rsidRDefault="002D7DDD" w:rsidP="005824C8">
      <w:pPr>
        <w:numPr>
          <w:ilvl w:val="0"/>
          <w:numId w:val="42"/>
        </w:numPr>
        <w:spacing w:before="0" w:after="120" w:line="276" w:lineRule="auto"/>
        <w:ind w:left="0" w:firstLine="0"/>
        <w:rPr>
          <w:rFonts w:eastAsia="Calibri" w:cs="Sylfaen"/>
          <w:bCs/>
          <w:lang w:val="hy-AM"/>
        </w:rPr>
      </w:pPr>
      <w:r w:rsidRPr="00B27362">
        <w:rPr>
          <w:rFonts w:eastAsia="Calibri" w:cs="Sylfaen"/>
          <w:bCs/>
          <w:lang w:val="hy-AM"/>
        </w:rPr>
        <w:t xml:space="preserve">Ենթադրվում է, որ ՀՀ ծառայությունների արտահանման տեմպը զգալի դանդաղելու է՝ պայմանավորված ռուս զբոսաշրջիկների ներհոսքի նվազմամբ: </w:t>
      </w:r>
    </w:p>
    <w:p w14:paraId="26700630" w14:textId="77777777" w:rsidR="002D7DDD" w:rsidRPr="00B27362" w:rsidRDefault="002D7DDD" w:rsidP="005824C8">
      <w:pPr>
        <w:numPr>
          <w:ilvl w:val="0"/>
          <w:numId w:val="42"/>
        </w:numPr>
        <w:spacing w:before="0" w:after="120" w:line="276" w:lineRule="auto"/>
        <w:ind w:left="0" w:firstLine="0"/>
        <w:rPr>
          <w:rFonts w:eastAsia="Calibri" w:cs="Sylfaen"/>
          <w:bCs/>
          <w:lang w:val="hy-AM"/>
        </w:rPr>
      </w:pPr>
      <w:r w:rsidRPr="00B27362">
        <w:rPr>
          <w:rFonts w:eastAsia="Calibri" w:cs="Sylfaen"/>
          <w:bCs/>
          <w:lang w:val="hy-AM"/>
        </w:rPr>
        <w:t xml:space="preserve">2024թ. սպասվում է դրամական փոխանցումների շուրջ 2.7% աճ, որին հիմնականում նպաստելու են ԱՄՆ-ից և այլ երկրներից դեպի Հայաստան դրամական փոխանցումների </w:t>
      </w:r>
      <w:r w:rsidRPr="00B27362">
        <w:rPr>
          <w:rFonts w:eastAsia="Calibri" w:cs="Sylfaen"/>
          <w:bCs/>
          <w:lang w:val="hy-AM"/>
        </w:rPr>
        <w:lastRenderedPageBreak/>
        <w:t>ավելացումը: Կանխատեսումների համաձայն 2025-2027թթ. դրամական փոխանցումները միջինում կաճեն շուրջ 3.5%-ով:</w:t>
      </w:r>
    </w:p>
    <w:p w14:paraId="32AA2AD1" w14:textId="77777777" w:rsidR="002D7DDD" w:rsidRPr="00B27362" w:rsidRDefault="002D7DDD" w:rsidP="005824C8">
      <w:pPr>
        <w:numPr>
          <w:ilvl w:val="0"/>
          <w:numId w:val="42"/>
        </w:numPr>
        <w:spacing w:before="120" w:after="120" w:line="276" w:lineRule="auto"/>
        <w:ind w:left="0" w:firstLine="0"/>
        <w:contextualSpacing/>
        <w:rPr>
          <w:rFonts w:eastAsia="Calibri" w:cs="Sylfaen"/>
          <w:bCs/>
          <w:lang w:val="hy-AM"/>
        </w:rPr>
      </w:pPr>
      <w:r w:rsidRPr="00B27362">
        <w:rPr>
          <w:rFonts w:eastAsia="Calibri" w:cs="Sylfaen"/>
          <w:bCs/>
          <w:lang w:val="hy-AM"/>
        </w:rPr>
        <w:t>ՌԴ դեմ կիրառված պատժամիջոցների արդյունքում ՌԴ-ից դեպի Հայաստան տեղափոխված ՏՏ ոլորտի ընկերությունների և աշխատակիցների որոշ մասը 2024թ. ընթացքում և միջնաժամկետում կմնան Հայաստանում:</w:t>
      </w:r>
    </w:p>
    <w:p w14:paraId="4539636D" w14:textId="77777777" w:rsidR="002D7DDD" w:rsidRPr="00B27362" w:rsidRDefault="002D7DDD" w:rsidP="005824C8">
      <w:pPr>
        <w:spacing w:before="120" w:after="120" w:line="276" w:lineRule="auto"/>
        <w:ind w:firstLine="0"/>
        <w:rPr>
          <w:rFonts w:eastAsia="Calibri" w:cs="Sylfaen"/>
          <w:bCs/>
          <w:lang w:val="hy-AM"/>
        </w:rPr>
      </w:pPr>
    </w:p>
    <w:p w14:paraId="45A81BB9" w14:textId="77777777" w:rsidR="002D7DDD" w:rsidRPr="00B27362" w:rsidRDefault="002D7DDD" w:rsidP="005824C8">
      <w:pPr>
        <w:numPr>
          <w:ilvl w:val="0"/>
          <w:numId w:val="14"/>
        </w:numPr>
        <w:spacing w:before="0" w:after="0" w:line="276" w:lineRule="auto"/>
        <w:ind w:left="0" w:firstLine="0"/>
        <w:rPr>
          <w:rFonts w:eastAsia="Calibri" w:cs="Sylfaen"/>
          <w:b/>
          <w:bCs/>
          <w:lang w:val="hy-AM"/>
        </w:rPr>
      </w:pPr>
      <w:r w:rsidRPr="00B27362">
        <w:rPr>
          <w:rFonts w:eastAsia="Calibri" w:cs="Sylfaen"/>
          <w:b/>
          <w:bCs/>
          <w:lang w:val="hy-AM"/>
        </w:rPr>
        <w:t>Կառուցվածքային բարեփոխումներ</w:t>
      </w:r>
      <w:r w:rsidRPr="00B27362">
        <w:rPr>
          <w:rFonts w:ascii="Cambria Math" w:eastAsia="Calibri" w:hAnsi="Cambria Math" w:cs="Cambria Math"/>
          <w:b/>
          <w:bCs/>
          <w:lang w:val="hy-AM"/>
        </w:rPr>
        <w:t>․</w:t>
      </w:r>
    </w:p>
    <w:p w14:paraId="5D3C5ADA" w14:textId="77777777" w:rsidR="002D7DDD" w:rsidRPr="00B27362" w:rsidRDefault="002D7DDD" w:rsidP="005824C8">
      <w:pPr>
        <w:numPr>
          <w:ilvl w:val="0"/>
          <w:numId w:val="43"/>
        </w:numPr>
        <w:spacing w:before="0" w:after="0" w:line="276" w:lineRule="auto"/>
        <w:ind w:left="0" w:firstLine="0"/>
        <w:contextualSpacing/>
        <w:rPr>
          <w:rFonts w:eastAsia="Calibri" w:cs="Sylfaen"/>
          <w:lang w:val="hy-AM"/>
        </w:rPr>
      </w:pPr>
      <w:r w:rsidRPr="00B27362">
        <w:rPr>
          <w:rFonts w:eastAsia="Calibri" w:cs="Sylfaen"/>
          <w:lang w:val="hy-AM"/>
        </w:rPr>
        <w:t>Կառուցվածքային բարեփոխումների ազդեցության չափի գնահատման համար հիմք է հանդիսացել աշխարհի 90 երկրների պանելային տվյալների հիման վրա Արժույթի միջազգային հիմնադրամի կատարած գնահատականները, որոնք հուշում են, որ կառուցվածքային բարեփոխումների (աշխատանքի շուկա, ֆինանսական համակարգ, կապիտալի հաշվի բացություն, արտաքին առևտրի բացություն, ապրանքային շուկաներ և պետական կառավարում) էական ջանքը կարող է 6 տարում ՀՆԱ-ի շուրջ 7% աճ ապահովել</w:t>
      </w:r>
      <w:r w:rsidRPr="00B11696">
        <w:rPr>
          <w:rFonts w:eastAsia="Times New Roman" w:cs="Times New Roman"/>
          <w:bCs/>
          <w:noProof/>
          <w:vertAlign w:val="superscript"/>
          <w:lang w:val="hy-AM"/>
        </w:rPr>
        <w:footnoteReference w:id="15"/>
      </w:r>
      <w:r w:rsidRPr="00B27362">
        <w:rPr>
          <w:rFonts w:eastAsia="Calibri" w:cs="Sylfaen"/>
          <w:lang w:val="hy-AM"/>
        </w:rPr>
        <w:t>։ Համադրելով ԱՄՀ գնահատականներում կիրառված կառուցվածքային բարեփոխումների ուղղությունները, և ՀՀ կառավարության ծրագրով ուղենշված՝ գործարար միջավայրը և պետական կառավարման արդյունավետությունը բարելավող միջոցառումները, ՀՀ համար կառուցվածքային բարեփոխումների հնարավոր ազդեցությունը գնահատվել է տարեկան 0</w:t>
      </w:r>
      <w:r w:rsidRPr="00B27362">
        <w:rPr>
          <w:rFonts w:ascii="Cambria Math" w:eastAsia="Calibri" w:hAnsi="Cambria Math" w:cs="Cambria Math"/>
          <w:lang w:val="hy-AM"/>
        </w:rPr>
        <w:t>․</w:t>
      </w:r>
      <w:r w:rsidRPr="00B27362">
        <w:rPr>
          <w:rFonts w:eastAsia="Calibri" w:cs="Sylfaen"/>
          <w:lang w:val="hy-AM"/>
        </w:rPr>
        <w:t>5%-ային կետ միջնաժամկետ հատվածի համար։</w:t>
      </w:r>
    </w:p>
    <w:p w14:paraId="6F764472" w14:textId="77777777" w:rsidR="002D7DDD" w:rsidRPr="00B27362" w:rsidRDefault="002D7DDD" w:rsidP="005824C8">
      <w:pPr>
        <w:spacing w:before="0" w:after="0" w:line="276" w:lineRule="auto"/>
        <w:ind w:firstLine="0"/>
        <w:contextualSpacing/>
        <w:rPr>
          <w:rFonts w:eastAsia="Calibri" w:cs="Sylfaen"/>
          <w:lang w:val="hy-AM"/>
        </w:rPr>
      </w:pPr>
    </w:p>
    <w:p w14:paraId="272CAECB" w14:textId="77777777" w:rsidR="002D7DDD" w:rsidRPr="00B27362" w:rsidRDefault="002D7DDD" w:rsidP="005824C8">
      <w:pPr>
        <w:numPr>
          <w:ilvl w:val="0"/>
          <w:numId w:val="14"/>
        </w:numPr>
        <w:spacing w:before="0" w:after="0" w:line="276" w:lineRule="auto"/>
        <w:ind w:left="0" w:firstLine="0"/>
        <w:rPr>
          <w:rFonts w:eastAsia="Calibri" w:cs="Sylfaen"/>
          <w:lang w:val="hy-AM"/>
        </w:rPr>
      </w:pPr>
      <w:r w:rsidRPr="00B27362">
        <w:rPr>
          <w:rFonts w:eastAsia="Calibri" w:cs="Sylfaen"/>
          <w:b/>
          <w:bCs/>
          <w:lang w:val="hy-AM"/>
        </w:rPr>
        <w:t>Տնտեսության ներուժ և պարբերաշրջաններ</w:t>
      </w:r>
      <w:r w:rsidRPr="00B27362">
        <w:rPr>
          <w:rFonts w:ascii="Times New Roman" w:eastAsia="Calibri" w:hAnsi="Times New Roman" w:cs="Times New Roman"/>
          <w:b/>
          <w:bCs/>
          <w:lang w:val="hy-AM"/>
        </w:rPr>
        <w:t>․</w:t>
      </w:r>
    </w:p>
    <w:p w14:paraId="783A7271" w14:textId="77777777" w:rsidR="002D7DDD" w:rsidRPr="00B27362" w:rsidRDefault="002D7DDD" w:rsidP="005824C8">
      <w:pPr>
        <w:numPr>
          <w:ilvl w:val="0"/>
          <w:numId w:val="43"/>
        </w:numPr>
        <w:spacing w:before="0" w:after="0" w:line="276" w:lineRule="auto"/>
        <w:ind w:left="0" w:firstLine="0"/>
        <w:contextualSpacing/>
        <w:rPr>
          <w:rFonts w:eastAsia="Calibri" w:cs="Sylfaen"/>
          <w:lang w:val="hy-AM"/>
        </w:rPr>
      </w:pPr>
      <w:r w:rsidRPr="00B27362">
        <w:rPr>
          <w:rFonts w:eastAsia="Calibri" w:cs="Sylfaen"/>
          <w:lang w:val="hy-AM"/>
        </w:rPr>
        <w:t>2022-2023թ</w:t>
      </w:r>
      <w:r w:rsidRPr="00B27362">
        <w:rPr>
          <w:rFonts w:ascii="Cambria Math" w:eastAsia="Calibri" w:hAnsi="Cambria Math" w:cs="Cambria Math"/>
          <w:lang w:val="hy-AM"/>
        </w:rPr>
        <w:t>․</w:t>
      </w:r>
      <w:r w:rsidRPr="00B27362">
        <w:rPr>
          <w:rFonts w:eastAsia="Calibri" w:cs="Sylfaen"/>
          <w:lang w:val="hy-AM"/>
        </w:rPr>
        <w:t xml:space="preserve"> դրական զարգացումների պայմաններում ՀՀ տնտեսությունը գտնվել է ներուժային մակարդակից ավելի բարձր դիրքում՝ մտնելով տնտեսական պարբերաշրջանի վերելքի փուլ: Կանխատեսված տնտեսական զարգացումների պայմաններում 2024թ. ավարտին դրական ճեղքը աստիճանաբար կփոքրանա և միջնաժամկետ հատվածում տնտեսությունը կմոտենա իր ներուժային մակարդակին։ Հատկանշական է,  որ վերջին տարիների դրական զարգացումները, մասնավորապես, դեպի ՀՀ զբոսաշրջային մեծ հոսքերը, ՏՏ ոլորտի ընկերությունների և աշխատակիցների ՀՀ տեղափոխվելը, զբաղվածների թվաքանակի ավելացումը, ինչպես նաև պետական կապիտալ ծախսերի դերի շարունակական բարձրացումը հանգեցրել են տնտեսության ներուժի և ներուժային աճի բարձրացման։ Այժմ, ըստ գնահատումների ներուժային տնտեսական աճը </w:t>
      </w:r>
      <w:r w:rsidRPr="00B27362">
        <w:rPr>
          <w:rFonts w:eastAsia="Times New Roman" w:cs="Times New Roman"/>
          <w:lang w:val="hy-AM"/>
        </w:rPr>
        <w:t>4-4.5% միջակայքից աճել է՝ հասնելով 5-5.5% միջակայք</w:t>
      </w:r>
      <w:r>
        <w:rPr>
          <w:rFonts w:eastAsia="Times New Roman" w:cs="Times New Roman"/>
          <w:lang w:val="hy-AM"/>
        </w:rPr>
        <w:t>.</w:t>
      </w:r>
      <w:r w:rsidRPr="00B27362">
        <w:rPr>
          <w:rFonts w:eastAsia="Times New Roman" w:cs="Times New Roman"/>
          <w:lang w:val="hy-AM"/>
        </w:rPr>
        <w:t xml:space="preserve"> այս հանգամանքն</w:t>
      </w:r>
      <w:r w:rsidRPr="00B27362">
        <w:rPr>
          <w:rFonts w:eastAsia="Calibri" w:cs="Sylfaen"/>
          <w:lang w:val="hy-AM"/>
        </w:rPr>
        <w:t xml:space="preserve"> իր դրական ազդեցությունը կթողնի միջնաժամկետ հատվածում:</w:t>
      </w:r>
    </w:p>
    <w:p w14:paraId="75454AF0" w14:textId="77777777" w:rsidR="002D7DDD" w:rsidRPr="00B27362" w:rsidRDefault="002D7DDD" w:rsidP="005824C8">
      <w:pPr>
        <w:spacing w:before="0" w:after="0" w:line="276" w:lineRule="auto"/>
        <w:ind w:firstLine="0"/>
        <w:rPr>
          <w:rFonts w:eastAsia="Calibri" w:cs="Sylfaen"/>
          <w:b/>
          <w:bCs/>
          <w:lang w:val="hy-AM"/>
        </w:rPr>
      </w:pPr>
    </w:p>
    <w:p w14:paraId="7E58DCFC" w14:textId="77777777" w:rsidR="002D7DDD" w:rsidRPr="00B27362" w:rsidRDefault="002D7DDD" w:rsidP="005824C8">
      <w:pPr>
        <w:numPr>
          <w:ilvl w:val="0"/>
          <w:numId w:val="14"/>
        </w:numPr>
        <w:spacing w:before="0" w:after="0" w:line="276" w:lineRule="auto"/>
        <w:ind w:left="0" w:firstLine="0"/>
        <w:contextualSpacing/>
        <w:rPr>
          <w:rFonts w:eastAsia="Calibri" w:cs="Sylfaen"/>
          <w:bCs/>
          <w:lang w:val="hy-AM"/>
        </w:rPr>
      </w:pPr>
      <w:r w:rsidRPr="00B27362">
        <w:rPr>
          <w:rFonts w:eastAsia="Calibri" w:cs="Sylfaen"/>
          <w:b/>
          <w:bCs/>
          <w:lang w:val="hy-AM"/>
        </w:rPr>
        <w:t>Հարկաբյուջետային քաղաքականություն</w:t>
      </w:r>
      <w:r w:rsidRPr="00B27362">
        <w:rPr>
          <w:rFonts w:eastAsia="Calibri" w:cs="Sylfaen"/>
          <w:b/>
          <w:bCs/>
        </w:rPr>
        <w:t>.</w:t>
      </w:r>
      <w:r w:rsidRPr="00B27362">
        <w:rPr>
          <w:rFonts w:eastAsia="Calibri" w:cs="Sylfaen"/>
          <w:bCs/>
          <w:lang w:val="hy-AM"/>
        </w:rPr>
        <w:t xml:space="preserve">    </w:t>
      </w:r>
    </w:p>
    <w:p w14:paraId="32229CDE" w14:textId="77777777" w:rsidR="002D7DDD" w:rsidRPr="0068287F" w:rsidRDefault="002D7DDD" w:rsidP="005824C8">
      <w:pPr>
        <w:numPr>
          <w:ilvl w:val="0"/>
          <w:numId w:val="42"/>
        </w:numPr>
        <w:spacing w:before="120" w:after="120" w:line="276" w:lineRule="auto"/>
        <w:ind w:left="0" w:firstLine="0"/>
        <w:rPr>
          <w:rFonts w:eastAsia="Calibri" w:cs="Sylfaen"/>
          <w:bCs/>
          <w:lang w:val="hy-AM"/>
        </w:rPr>
      </w:pPr>
      <w:r w:rsidRPr="0068287F">
        <w:rPr>
          <w:rFonts w:eastAsia="Calibri" w:cs="Sylfaen"/>
          <w:bCs/>
          <w:lang w:val="hy-AM"/>
        </w:rPr>
        <w:t xml:space="preserve">Միջնաժամկետ հատվածում հարկաբյուջետային քաղաքականությունն ուղղված կլինի կառուցվածքային բարեփոխումների սահուն ընթացքը երաշխավորելու և ֆիզիկական ու մարդկային կապիտալում ներդրումների մակարդակի էական բարձրացման միջոցով տնտեսության դիմակայունության ամրապնդմանն ու աճի ներուժի բարձրացմանը։ Ընդ որում, այն իրականացվում է նշված բարեփոխումների համար միջնաժամկետի սկզբում «առաջ ընկած» </w:t>
      </w:r>
      <w:r w:rsidRPr="0068287F">
        <w:rPr>
          <w:rFonts w:eastAsia="Calibri" w:cs="Sylfaen"/>
          <w:bCs/>
          <w:lang w:val="hy-AM"/>
        </w:rPr>
        <w:lastRenderedPageBreak/>
        <w:t>ռեսուրսների ձևավորման ճանապարհով, ինչի արդյունքում բյուջեի պակասուրդը 2024-2025 թթ</w:t>
      </w:r>
      <w:r w:rsidRPr="0068287F">
        <w:rPr>
          <w:rFonts w:ascii="Cambria Math" w:eastAsia="Calibri" w:hAnsi="Cambria Math" w:cs="Cambria Math"/>
          <w:bCs/>
          <w:lang w:val="hy-AM"/>
        </w:rPr>
        <w:t>․</w:t>
      </w:r>
      <w:r w:rsidRPr="0068287F">
        <w:rPr>
          <w:rFonts w:eastAsia="Calibri" w:cs="Sylfaen"/>
          <w:bCs/>
          <w:lang w:val="hy-AM"/>
        </w:rPr>
        <w:t>-ին կաճի՝ հանգեցնելով կառավարության պարտքի բեռի որոշակի մեծացմանը, որից հետո տեղի կունենա հարկաբյուջետային կոնսոլիդացիա, որով պարտքի բեռը 2026-2027 թվականներին կկայունանա 55%-ի մակարդակում։ Ընդ որում, տնտեսական աճի՝ իր ներուժային մակարդակին մոտենալու պայմաններում հարկաբյուջետային քաղաքականությունը ամբողջական պահանջարկի վրա կունենա չեզոք ազդեցություն։ Միաժամանակ</w:t>
      </w:r>
      <w:r>
        <w:rPr>
          <w:rFonts w:eastAsia="Calibri" w:cs="Sylfaen"/>
          <w:bCs/>
          <w:lang w:val="hy-AM"/>
        </w:rPr>
        <w:t>,</w:t>
      </w:r>
      <w:r w:rsidRPr="0068287F">
        <w:rPr>
          <w:rFonts w:eastAsia="Calibri" w:cs="Sylfaen"/>
          <w:bCs/>
          <w:lang w:val="hy-AM"/>
        </w:rPr>
        <w:t xml:space="preserve"> հարկաբյուջետային քաղաքականության համար առաջնահերթ է առկա ռեսուրսների առավել արդյունավետ օգտագործումը և հնարավոր ռիսկերի կառավարման կարողությունների ձևավորումը, ինչը, աճի ներուժի բարձրացման հետ, պետք է երաշխավորի հարկաբյուջետային կայունությունը երկարաժամկետում։ </w:t>
      </w:r>
    </w:p>
    <w:p w14:paraId="74E8CB15" w14:textId="77777777" w:rsidR="002D7DDD" w:rsidRPr="0068287F" w:rsidRDefault="002D7DDD" w:rsidP="005824C8">
      <w:pPr>
        <w:numPr>
          <w:ilvl w:val="0"/>
          <w:numId w:val="42"/>
        </w:numPr>
        <w:spacing w:before="120" w:after="120" w:line="276" w:lineRule="auto"/>
        <w:ind w:left="0" w:firstLine="0"/>
        <w:rPr>
          <w:rFonts w:eastAsia="Calibri" w:cs="Sylfaen"/>
          <w:bCs/>
          <w:lang w:val="hy-AM"/>
        </w:rPr>
      </w:pPr>
      <w:r w:rsidRPr="0068287F">
        <w:rPr>
          <w:rFonts w:eastAsia="Calibri" w:cs="Sylfaen"/>
          <w:bCs/>
          <w:lang w:val="hy-AM"/>
        </w:rPr>
        <w:t>Միջնաժամկետում հարկային վարչարարության բարելավման, ստվերի դեմ պայքարի, ինչպես նաև հարկային քաղաքականության միջոցառումների արդյունքում ակնկալվում է ապահովել հարկեր/ՀՆԱ հարաբերակցության շարունակական բարելավում՝ 2024թ. 0.5, իսկ միջնաժամկետում միջինում 0.6 տոկոսային կետով՝  2027թ</w:t>
      </w:r>
      <w:r w:rsidRPr="0068287F">
        <w:rPr>
          <w:rFonts w:ascii="Cambria Math" w:eastAsia="Calibri" w:hAnsi="Cambria Math" w:cs="Cambria Math"/>
          <w:bCs/>
          <w:lang w:val="hy-AM"/>
        </w:rPr>
        <w:t>․</w:t>
      </w:r>
      <w:r w:rsidRPr="0068287F">
        <w:rPr>
          <w:rFonts w:eastAsia="Calibri" w:cs="Sylfaen"/>
          <w:bCs/>
          <w:lang w:val="hy-AM"/>
        </w:rPr>
        <w:t xml:space="preserve"> հասցնելով 26.2%-ի: </w:t>
      </w:r>
    </w:p>
    <w:p w14:paraId="21C3EE0D" w14:textId="77777777" w:rsidR="002D7DDD" w:rsidRPr="0068287F" w:rsidRDefault="002D7DDD" w:rsidP="005824C8">
      <w:pPr>
        <w:numPr>
          <w:ilvl w:val="0"/>
          <w:numId w:val="42"/>
        </w:numPr>
        <w:spacing w:before="120" w:after="120" w:line="276" w:lineRule="auto"/>
        <w:ind w:left="0" w:firstLine="0"/>
        <w:rPr>
          <w:rFonts w:eastAsia="Calibri" w:cs="Sylfaen"/>
          <w:bCs/>
          <w:lang w:val="hy-AM"/>
        </w:rPr>
      </w:pPr>
      <w:r w:rsidRPr="0068287F">
        <w:rPr>
          <w:rFonts w:eastAsia="Calibri" w:cs="Sylfaen"/>
          <w:bCs/>
          <w:lang w:val="hy-AM"/>
        </w:rPr>
        <w:t>Միջնաժամկետ հարկաբյուջետային շրջանակում ընթացիկ ծախսերը կայունանում են իրենց վերջին տարիների միջին մակարդակների մոտ՝ ուղենիշ վերցնելով հարկաբյուջետային կանոնի տրամաբանությունից, իսկ կապիտալ ծախսերը՝ պատմական մակարդակներից զգալիորեն բարձր մակարդակում՝ տնտեսական և անվտանգային ենթակառուցվածքների ամրապնդման համար։  Կապիտալ ծախսերի կշիռը ՀՆԱ-ում 2025թ</w:t>
      </w:r>
      <w:r w:rsidRPr="0068287F">
        <w:rPr>
          <w:rFonts w:ascii="Cambria Math" w:eastAsia="Calibri" w:hAnsi="Cambria Math" w:cs="Cambria Math"/>
          <w:bCs/>
          <w:lang w:val="hy-AM"/>
        </w:rPr>
        <w:t>․</w:t>
      </w:r>
      <w:r w:rsidRPr="0068287F">
        <w:rPr>
          <w:rFonts w:eastAsia="Calibri" w:cs="Sylfaen"/>
          <w:bCs/>
          <w:lang w:val="hy-AM"/>
        </w:rPr>
        <w:t xml:space="preserve"> կհասնի 7.0%-ի, 2026-ին</w:t>
      </w:r>
      <w:r>
        <w:rPr>
          <w:rFonts w:eastAsia="Calibri" w:cs="Sylfaen"/>
          <w:bCs/>
          <w:lang w:val="hy-AM"/>
        </w:rPr>
        <w:t>՝</w:t>
      </w:r>
      <w:r w:rsidRPr="0068287F">
        <w:rPr>
          <w:rFonts w:eastAsia="Calibri" w:cs="Sylfaen"/>
          <w:bCs/>
          <w:lang w:val="hy-AM"/>
        </w:rPr>
        <w:t xml:space="preserve"> 7.1%, իսկ 2027-ին կկազմի 6.4%, իսկ ընթացիկ ծախսերը 2025թ-ին կկազմելն 24.4%, այնուհետև կայունանալով 23.9% մակարդակում:</w:t>
      </w:r>
    </w:p>
    <w:p w14:paraId="7490214A" w14:textId="77777777" w:rsidR="002D7DDD" w:rsidRPr="00B27362" w:rsidRDefault="002D7DDD" w:rsidP="005824C8">
      <w:pPr>
        <w:numPr>
          <w:ilvl w:val="0"/>
          <w:numId w:val="14"/>
        </w:numPr>
        <w:spacing w:before="0" w:after="0" w:line="276" w:lineRule="auto"/>
        <w:ind w:left="0" w:firstLine="0"/>
        <w:contextualSpacing/>
        <w:rPr>
          <w:rFonts w:eastAsia="Calibri" w:cs="Sylfaen"/>
          <w:b/>
          <w:bCs/>
          <w:lang w:val="hy-AM"/>
        </w:rPr>
      </w:pPr>
      <w:r w:rsidRPr="00B27362">
        <w:rPr>
          <w:rFonts w:eastAsia="Calibri" w:cs="Sylfaen"/>
          <w:b/>
          <w:bCs/>
          <w:lang w:val="ru-RU"/>
        </w:rPr>
        <w:t>Գնաճ և դ</w:t>
      </w:r>
      <w:r w:rsidRPr="00B27362">
        <w:rPr>
          <w:rFonts w:eastAsia="Calibri" w:cs="Sylfaen"/>
          <w:b/>
          <w:bCs/>
          <w:lang w:val="hy-AM"/>
        </w:rPr>
        <w:t>րամավարկային քաղաքականություն</w:t>
      </w:r>
      <w:r w:rsidRPr="00B27362">
        <w:rPr>
          <w:rFonts w:eastAsia="Calibri" w:cs="Sylfaen"/>
          <w:b/>
          <w:bCs/>
          <w:lang w:val="ru-RU"/>
        </w:rPr>
        <w:t>.</w:t>
      </w:r>
      <w:r w:rsidRPr="00B27362">
        <w:rPr>
          <w:rFonts w:ascii="Times New Roman" w:eastAsia="Times New Roman" w:hAnsi="Times New Roman" w:cs="Times New Roman"/>
          <w:sz w:val="24"/>
          <w:szCs w:val="24"/>
          <w:lang w:val="hy-AM"/>
        </w:rPr>
        <w:t xml:space="preserve"> </w:t>
      </w:r>
      <w:r w:rsidRPr="00B27362">
        <w:rPr>
          <w:rFonts w:eastAsia="Calibri" w:cs="Sylfaen"/>
          <w:b/>
          <w:bCs/>
          <w:lang w:val="hy-AM"/>
        </w:rPr>
        <w:tab/>
      </w:r>
    </w:p>
    <w:p w14:paraId="585A1967" w14:textId="77777777" w:rsidR="002D7DDD" w:rsidRPr="00B27362" w:rsidRDefault="002D7DDD" w:rsidP="005824C8">
      <w:pPr>
        <w:numPr>
          <w:ilvl w:val="0"/>
          <w:numId w:val="42"/>
        </w:numPr>
        <w:spacing w:before="120" w:after="120" w:line="276" w:lineRule="auto"/>
        <w:ind w:left="0" w:firstLine="0"/>
        <w:contextualSpacing/>
        <w:rPr>
          <w:rFonts w:eastAsia="Calibri" w:cs="Sylfaen"/>
          <w:bCs/>
          <w:lang w:val="hy-AM"/>
        </w:rPr>
      </w:pPr>
      <w:r w:rsidRPr="00B27362">
        <w:rPr>
          <w:rFonts w:eastAsia="Calibri" w:cs="Sylfaen"/>
          <w:bCs/>
          <w:lang w:val="hy-AM"/>
        </w:rPr>
        <w:t>2024թ</w:t>
      </w:r>
      <w:r w:rsidRPr="00B27362">
        <w:rPr>
          <w:rFonts w:ascii="Cambria Math" w:eastAsia="Calibri" w:hAnsi="Cambria Math" w:cs="Cambria Math"/>
          <w:bCs/>
          <w:lang w:val="hy-AM"/>
        </w:rPr>
        <w:t>․</w:t>
      </w:r>
      <w:r w:rsidRPr="00B27362">
        <w:rPr>
          <w:rFonts w:eastAsia="Calibri" w:cs="Sylfaen"/>
          <w:bCs/>
          <w:lang w:val="hy-AM"/>
        </w:rPr>
        <w:t>-ին ինչպես միջին, այնպես էլ 12 ամսյա գնաճը ցածր կլինեն նպատակային ցուցանիշից և միջնաժամկետում կկայունանան նպատակային 4% ցուցանիշի շուրջ:</w:t>
      </w:r>
    </w:p>
    <w:p w14:paraId="138D78A3" w14:textId="77777777" w:rsidR="002D7DDD" w:rsidRPr="00B27362" w:rsidRDefault="002D7DDD" w:rsidP="005824C8">
      <w:pPr>
        <w:numPr>
          <w:ilvl w:val="0"/>
          <w:numId w:val="42"/>
        </w:numPr>
        <w:spacing w:before="120" w:after="120" w:line="276" w:lineRule="auto"/>
        <w:ind w:left="0" w:firstLine="0"/>
        <w:contextualSpacing/>
        <w:rPr>
          <w:rFonts w:eastAsia="Calibri" w:cs="Sylfaen"/>
          <w:bCs/>
          <w:lang w:val="hy-AM"/>
        </w:rPr>
      </w:pPr>
      <w:r w:rsidRPr="00B27362">
        <w:rPr>
          <w:rFonts w:eastAsia="Calibri" w:cs="Sylfaen"/>
          <w:bCs/>
          <w:lang w:val="hy-AM"/>
        </w:rPr>
        <w:t>Մշտադիտարկելով տնտեսության զարգացման սցենարները, ԿԲ-ը պատրաստ է ձեռնարկել համարժեք գործողություններ՝ միջնաժամկետ հորիզոնում գնաճի 4% մակարդակի և գների կայունության նպատակի ապահովման համար:</w:t>
      </w:r>
    </w:p>
    <w:p w14:paraId="3559AE20" w14:textId="77777777" w:rsidR="002D7DDD" w:rsidRPr="00B27362" w:rsidRDefault="002D7DDD" w:rsidP="005824C8">
      <w:pPr>
        <w:spacing w:before="0" w:after="0" w:line="276" w:lineRule="auto"/>
        <w:ind w:firstLine="0"/>
        <w:rPr>
          <w:rFonts w:eastAsia="Calibri" w:cs="Sylfaen"/>
          <w:bCs/>
          <w:lang w:val="hy-AM"/>
        </w:rPr>
      </w:pPr>
      <w:r w:rsidRPr="00B27362">
        <w:rPr>
          <w:rFonts w:eastAsia="Calibri" w:cs="Sylfaen"/>
          <w:bCs/>
          <w:lang w:val="hy-AM"/>
        </w:rPr>
        <w:t xml:space="preserve"> </w:t>
      </w:r>
    </w:p>
    <w:p w14:paraId="4C79E235" w14:textId="77777777" w:rsidR="002D7DDD" w:rsidRPr="00B27362" w:rsidRDefault="002D7DDD" w:rsidP="005824C8">
      <w:pPr>
        <w:keepNext/>
        <w:keepLines/>
        <w:spacing w:before="240" w:line="276" w:lineRule="auto"/>
        <w:ind w:right="180" w:firstLine="0"/>
        <w:contextualSpacing/>
        <w:jc w:val="left"/>
        <w:outlineLvl w:val="2"/>
        <w:rPr>
          <w:rFonts w:eastAsia="Times New Roman" w:cs="Times New Roman"/>
          <w:b/>
          <w:color w:val="1F497D"/>
          <w:sz w:val="24"/>
          <w:szCs w:val="24"/>
          <w:lang w:val="hy-AM"/>
        </w:rPr>
      </w:pPr>
      <w:bookmarkStart w:id="61" w:name="_Toc170743035"/>
      <w:bookmarkStart w:id="62" w:name="_Toc170750539"/>
      <w:bookmarkStart w:id="63" w:name="_Toc170926300"/>
      <w:r w:rsidRPr="00B27362">
        <w:rPr>
          <w:rFonts w:eastAsia="Times New Roman" w:cs="Times New Roman"/>
          <w:b/>
          <w:color w:val="1F497D"/>
          <w:sz w:val="24"/>
          <w:szCs w:val="24"/>
          <w:lang w:val="hy-AM"/>
        </w:rPr>
        <w:t>1.5. ՄԱԿՐՈՏՆՏԵՍԱԿԱՆ ԿԱՆԽԱՏԵՍՈՒՄՆԵՐԻ ՌԻՍԿԵՐԸ</w:t>
      </w:r>
      <w:bookmarkEnd w:id="61"/>
      <w:bookmarkEnd w:id="62"/>
      <w:bookmarkEnd w:id="63"/>
    </w:p>
    <w:p w14:paraId="7AE7EA42" w14:textId="77777777" w:rsidR="002D7DDD" w:rsidRPr="00B27362" w:rsidRDefault="002D7DDD" w:rsidP="005824C8">
      <w:pPr>
        <w:spacing w:before="0" w:after="120" w:line="276" w:lineRule="auto"/>
        <w:ind w:right="111" w:firstLine="0"/>
        <w:rPr>
          <w:rFonts w:eastAsia="Calibri" w:cs="Times New Roman"/>
          <w:lang w:val="hy-AM"/>
        </w:rPr>
      </w:pPr>
      <w:r w:rsidRPr="00B27362">
        <w:rPr>
          <w:rFonts w:eastAsia="Calibri" w:cs="Times New Roman"/>
          <w:lang w:val="es-ES"/>
        </w:rPr>
        <w:t>Կանխատեսման առկա ռիսկերը պայմանավորվում են ինչպես արտաքին, այնպես էլ ներքին տնտեսական գործոններով, որոնք կարող են հանգեցնել ինչպես տնտեսական աճի տեմպերի ավելացմանը, այնպես էլ նվազմանը՝ ներկայացված կենտրոնական</w:t>
      </w:r>
      <w:r w:rsidRPr="00B27362">
        <w:rPr>
          <w:rFonts w:eastAsia="Calibri" w:cs="Times New Roman"/>
          <w:lang w:val="hy-AM"/>
        </w:rPr>
        <w:t xml:space="preserve"> </w:t>
      </w:r>
      <w:r w:rsidRPr="00B27362">
        <w:rPr>
          <w:rFonts w:eastAsia="Calibri" w:cs="Times New Roman"/>
          <w:lang w:val="es-ES"/>
        </w:rPr>
        <w:t>կանխատեսումների համեմատ:</w:t>
      </w:r>
      <w:r w:rsidRPr="00B27362">
        <w:rPr>
          <w:rFonts w:eastAsia="Calibri" w:cs="Times New Roman"/>
          <w:lang w:val="hy-AM"/>
        </w:rPr>
        <w:t xml:space="preserve"> Ռիսկերի տեղի ունենալու դեպքում շեղումներ կարձանագրվեն սույն փաստաթղթի </w:t>
      </w:r>
      <w:r w:rsidRPr="00B27362">
        <w:rPr>
          <w:rFonts w:eastAsia="Calibri" w:cs="Times New Roman"/>
          <w:lang w:val="es-ES"/>
        </w:rPr>
        <w:t>1.4</w:t>
      </w:r>
      <w:r w:rsidRPr="00B27362">
        <w:rPr>
          <w:rFonts w:eastAsia="Calibri" w:cs="Times New Roman"/>
          <w:lang w:val="hy-AM"/>
        </w:rPr>
        <w:t xml:space="preserve"> բաժնում ներկայացված ենթադրություններից՝ հանգեցնելով մակրոտնտեսական կանխատեսումներից շեղումների և դրա հետևանքով էլ հարկաբյուջետային շրջանակի ցուցանիշների շեղման այս ՄԺԾԾ շրջանակից։</w:t>
      </w:r>
    </w:p>
    <w:p w14:paraId="2E12F278" w14:textId="77777777" w:rsidR="002D7DDD" w:rsidRPr="00B27362" w:rsidRDefault="002D7DDD" w:rsidP="005824C8">
      <w:pPr>
        <w:spacing w:before="0" w:after="120" w:line="276" w:lineRule="auto"/>
        <w:ind w:right="111" w:firstLine="0"/>
        <w:rPr>
          <w:rFonts w:eastAsia="Calibri" w:cs="Times New Roman"/>
          <w:lang w:val="hy-AM"/>
        </w:rPr>
      </w:pPr>
      <w:r w:rsidRPr="00B27362">
        <w:rPr>
          <w:rFonts w:eastAsia="Calibri" w:cs="Times New Roman"/>
          <w:lang w:val="hy-AM"/>
        </w:rPr>
        <w:t xml:space="preserve">COVID-19 համավարակի հետևանքները դեռ չհաղթահարած տարածաշրջանը բախվեց ռուս-ուկրաինական հակամարտության առաջացրած աշխարհաքաղաքական և տնտեսական մարտահրավերներին, ինչի բացասական հետևանքներն արդեն տեսանելի են ոչ միայն տարածաշրջանում, այլ նաև ամբողջ աշխարհում, այդ թվում՝ ՀՀ համար Ռուսաստանից հետո երկրորդ ամենամեծ առևտրային գործընկեր՝ Եվրագոտու երկրներում։ Ռուս-ուկրաինական հակամարտությունը և Ռուսաստանի դեմ կիրառված աննախադեպ պատժամիջոցները </w:t>
      </w:r>
      <w:r w:rsidRPr="00B27362">
        <w:rPr>
          <w:rFonts w:eastAsia="Calibri" w:cs="Times New Roman"/>
          <w:lang w:val="hy-AM"/>
        </w:rPr>
        <w:lastRenderedPageBreak/>
        <w:t>աշխարհում ստեղծել են նոր իրականություն, որի  պայմաններում ինչպես աշխարհի և ՀՀ գործընկեր երկրների, այնպես էլ ՀՀ տնտեսական աճի կանխատեսումները իրենց մեջ կրում են մեծ անորոշություն։</w:t>
      </w:r>
    </w:p>
    <w:p w14:paraId="27ECAF40" w14:textId="77777777" w:rsidR="002D7DDD" w:rsidRPr="00B27362" w:rsidRDefault="002D7DDD" w:rsidP="005824C8">
      <w:pPr>
        <w:spacing w:before="0" w:after="120" w:line="276" w:lineRule="auto"/>
        <w:ind w:right="111" w:firstLine="0"/>
        <w:rPr>
          <w:rFonts w:eastAsia="Calibri" w:cs="Times New Roman"/>
          <w:lang w:val="hy-AM"/>
        </w:rPr>
      </w:pPr>
      <w:r w:rsidRPr="00B27362">
        <w:rPr>
          <w:rFonts w:eastAsia="Calibri" w:cs="Times New Roman"/>
          <w:lang w:val="hy-AM"/>
        </w:rPr>
        <w:t xml:space="preserve">Վերոնշյալ իրողությունների պայմաններում տնտեսական աճի կանխատեսումների շուրջ ինչպես կարճաժամկետում, այնպես էլ միջնաժամկետում առկա են անորոշություններ։ </w:t>
      </w:r>
    </w:p>
    <w:p w14:paraId="3E0BF2EE" w14:textId="77777777" w:rsidR="002D7DDD" w:rsidRPr="00B27362" w:rsidRDefault="002D7DDD" w:rsidP="005824C8">
      <w:pPr>
        <w:keepNext/>
        <w:keepLines/>
        <w:spacing w:before="240" w:line="276" w:lineRule="auto"/>
        <w:ind w:firstLine="0"/>
        <w:contextualSpacing/>
        <w:jc w:val="left"/>
        <w:outlineLvl w:val="2"/>
        <w:rPr>
          <w:rFonts w:eastAsia="Times New Roman"/>
          <w:b/>
          <w:color w:val="1F4E79" w:themeColor="accent1" w:themeShade="80"/>
          <w:sz w:val="24"/>
          <w:lang w:val="hy-AM"/>
        </w:rPr>
      </w:pPr>
      <w:bookmarkStart w:id="64" w:name="_Toc170743036"/>
      <w:bookmarkStart w:id="65" w:name="_Toc170750540"/>
      <w:bookmarkStart w:id="66" w:name="_Toc170926301"/>
      <w:r w:rsidRPr="00B27362">
        <w:rPr>
          <w:rFonts w:eastAsia="Times New Roman"/>
          <w:b/>
          <w:color w:val="1F4E79" w:themeColor="accent1" w:themeShade="80"/>
          <w:sz w:val="24"/>
          <w:lang w:val="hy-AM"/>
        </w:rPr>
        <w:t>1.5.1. ՀՀ տնտեսական աճի դեպի ներքև ուղղությամբ ռիսկեր</w:t>
      </w:r>
      <w:bookmarkEnd w:id="64"/>
      <w:bookmarkEnd w:id="65"/>
      <w:bookmarkEnd w:id="66"/>
    </w:p>
    <w:p w14:paraId="6B7375A4" w14:textId="77777777" w:rsidR="002D7DDD" w:rsidRPr="00B27362" w:rsidRDefault="002D7DDD" w:rsidP="005824C8">
      <w:pPr>
        <w:spacing w:after="120" w:line="276" w:lineRule="auto"/>
        <w:ind w:right="540" w:firstLine="0"/>
        <w:contextualSpacing/>
        <w:rPr>
          <w:rFonts w:eastAsia="Calibri" w:cs="Sylfaen"/>
          <w:b/>
          <w:bCs/>
          <w:lang w:val="hy-AM"/>
        </w:rPr>
      </w:pPr>
      <w:r w:rsidRPr="00B27362">
        <w:rPr>
          <w:rFonts w:eastAsia="Calibri" w:cs="Sylfaen"/>
          <w:b/>
          <w:bCs/>
          <w:lang w:val="hy-AM"/>
        </w:rPr>
        <w:t>Արտաքին միջավայրից բխող դեպի ներքև ռիսկերը պայմանավորված են՝</w:t>
      </w:r>
    </w:p>
    <w:p w14:paraId="477504F8"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Ռուս-ուկրաինական պատերազմի արդյունքում առաջացած դրական գործոնների (ՌԴ-ից զբոսաշրջային հոսքերի, դրամական փոխանցումների, ՏՏ ոլորտի ընկերությունների և աշխատակիցների դեպի ՀՀ տեղափոխման) չեզոքացմամբ և հոսքերի հետշրջմամբ,</w:t>
      </w:r>
    </w:p>
    <w:p w14:paraId="6F4C899D"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ՌԴ-ում ՀՀ ապրանքների արտահանման՝ վերջին տարիների վերափոխումների արդյունքում ընդլայնված շուկայի նեղացմամբ,</w:t>
      </w:r>
    </w:p>
    <w:p w14:paraId="66483EF9"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ՀՀ ապրանքների արտահանման մատակարարումների լոգիստիկ խնդիրների խորացմամբ,</w:t>
      </w:r>
    </w:p>
    <w:p w14:paraId="7CA4C8DF"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Times New Roman" w:cs="Tahoma"/>
          <w:lang w:val="hy-AM"/>
        </w:rPr>
        <w:t>Աշխարհաքաղաքական</w:t>
      </w:r>
      <w:r w:rsidRPr="00B27362">
        <w:rPr>
          <w:rFonts w:eastAsia="Times New Roman" w:cs="Tahoma"/>
          <w:lang w:val="it-IT"/>
        </w:rPr>
        <w:t xml:space="preserve"> իրա</w:t>
      </w:r>
      <w:r w:rsidRPr="00B27362">
        <w:rPr>
          <w:rFonts w:eastAsia="Times New Roman" w:cs="Tahoma"/>
          <w:lang w:val="hy-AM"/>
        </w:rPr>
        <w:t>վիճակով</w:t>
      </w:r>
      <w:r w:rsidRPr="00B27362">
        <w:rPr>
          <w:rFonts w:eastAsia="Times New Roman" w:cs="Tahoma"/>
          <w:lang w:val="it-IT"/>
        </w:rPr>
        <w:t xml:space="preserve">, </w:t>
      </w:r>
      <w:r w:rsidRPr="00B27362">
        <w:rPr>
          <w:rFonts w:eastAsia="Times New Roman" w:cs="Tahoma"/>
          <w:lang w:val="hy-AM"/>
        </w:rPr>
        <w:t>այդ</w:t>
      </w:r>
      <w:r w:rsidRPr="00B27362">
        <w:rPr>
          <w:rFonts w:eastAsia="Times New Roman" w:cs="Tahoma"/>
          <w:lang w:val="it-IT"/>
        </w:rPr>
        <w:t xml:space="preserve"> </w:t>
      </w:r>
      <w:r w:rsidRPr="00B27362">
        <w:rPr>
          <w:rFonts w:eastAsia="Times New Roman" w:cs="Tahoma"/>
          <w:lang w:val="hy-AM"/>
        </w:rPr>
        <w:t>թվում</w:t>
      </w:r>
      <w:r w:rsidRPr="00B27362">
        <w:rPr>
          <w:rFonts w:eastAsia="Times New Roman" w:cs="Tahoma"/>
          <w:lang w:val="it-IT"/>
        </w:rPr>
        <w:t xml:space="preserve">` </w:t>
      </w:r>
      <w:r w:rsidRPr="00B27362">
        <w:rPr>
          <w:rFonts w:eastAsia="Times New Roman" w:cs="Tahoma"/>
          <w:lang w:val="hy-AM"/>
        </w:rPr>
        <w:t>տարածաշրջանային ռազմական հակամարտությունների առկայությամբ,</w:t>
      </w:r>
    </w:p>
    <w:p w14:paraId="58BAFADC"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Տարածաշրջանային հակամարտությունների (մերձավորարևելյան և ռուս-ուկրաինական հակամարտություններ) արդյունքում պարենային և ոչ պարենային ապրանքների գների աճով,</w:t>
      </w:r>
    </w:p>
    <w:p w14:paraId="1836C0D6"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 xml:space="preserve">Աշխարհում գնաճի սպասվածից ավելի դանդաղ նվազմամբ և դրամավարկային պայմանների սպասվածից առավել խստացման արդյունքում տնտեսական աճերի դանդաղմամբ, զարգացած երկրներում տոկոսադրույքների սպասվածից առավել բարձրացման պայմաններում ՀՀ-ից կապիտալի զուտ արտահոսքի և մասնավոր հատվածի և կառավարության արտաքին պարտքով պակասուրդների ֆինանսավորման թանկացմամբ։ </w:t>
      </w:r>
    </w:p>
    <w:p w14:paraId="07908F56"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Չինաստանի տնտեսական աճի հետագա դանդաղմամբ։</w:t>
      </w:r>
    </w:p>
    <w:p w14:paraId="4FD7958E" w14:textId="77777777" w:rsidR="002D7DDD" w:rsidRPr="00B27362" w:rsidRDefault="002D7DDD" w:rsidP="005824C8">
      <w:pPr>
        <w:spacing w:after="120" w:line="276" w:lineRule="auto"/>
        <w:ind w:right="540" w:firstLine="0"/>
        <w:contextualSpacing/>
        <w:rPr>
          <w:rFonts w:eastAsia="Calibri" w:cs="Sylfaen"/>
          <w:bCs/>
          <w:highlight w:val="yellow"/>
          <w:lang w:val="hy-AM"/>
        </w:rPr>
      </w:pPr>
    </w:p>
    <w:p w14:paraId="1C915516" w14:textId="77777777" w:rsidR="002D7DDD" w:rsidRPr="00B27362" w:rsidRDefault="002D7DDD" w:rsidP="005824C8">
      <w:pPr>
        <w:spacing w:after="120" w:line="276" w:lineRule="auto"/>
        <w:ind w:right="540" w:firstLine="0"/>
        <w:contextualSpacing/>
        <w:rPr>
          <w:rFonts w:eastAsia="Calibri" w:cs="Sylfaen"/>
          <w:b/>
          <w:bCs/>
          <w:lang w:val="hy-AM"/>
        </w:rPr>
      </w:pPr>
      <w:r w:rsidRPr="00B27362">
        <w:rPr>
          <w:rFonts w:eastAsia="Calibri" w:cs="Sylfaen"/>
          <w:b/>
          <w:bCs/>
          <w:lang w:val="hy-AM"/>
        </w:rPr>
        <w:t>Ներքին միջավայրից բխող դեպի ներքև ռիսկերը պայմանավորված են՝</w:t>
      </w:r>
    </w:p>
    <w:p w14:paraId="0E79E112"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Պետական կապիտալ ծախսերի հնարավոր թերակատարմամբ,</w:t>
      </w:r>
    </w:p>
    <w:p w14:paraId="74BC2C3A"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Սոթքի հանքավայրի շահագործման անհնարինության հետ կապված տնտեսական ակտիվության դանդաղմամբ,</w:t>
      </w:r>
    </w:p>
    <w:p w14:paraId="71F9B237"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Ամուլսարի շահագործման հնարավոր հետաձգմամբ կամ սպասվածից ավելի քիչ հանքարդյունահանմամբ,</w:t>
      </w:r>
    </w:p>
    <w:p w14:paraId="1336DFA5"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 xml:space="preserve">ՀՀ կառավարության կառուցվածքային բարեփոխումների և արտահանման ու ներդրումների խթանման քաղաքականության ակնկալվող արդյունքների սպասվածից ավելի ուշ արտահայտմամբ, </w:t>
      </w:r>
    </w:p>
    <w:p w14:paraId="3B2E7391"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Times New Roman" w:cs="Times New Roman"/>
          <w:lang w:val="hy-AM"/>
        </w:rPr>
        <w:t>Լեռնային Ղարաբաղից ՀՀ բռնի տեղահանված անձանց ՀՀ տնտեսական գործընթացներում սպասվածից ավելի արագ ինտեգրմամբ,</w:t>
      </w:r>
    </w:p>
    <w:p w14:paraId="0014451E"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Times New Roman" w:cs="Sylfaen"/>
          <w:lang w:val="hy-AM"/>
        </w:rPr>
        <w:t>Բ</w:t>
      </w:r>
      <w:r w:rsidRPr="00B27362">
        <w:rPr>
          <w:rFonts w:eastAsia="Times New Roman" w:cs="Sylfaen"/>
          <w:lang w:val="it-IT"/>
        </w:rPr>
        <w:t>նա</w:t>
      </w:r>
      <w:r w:rsidRPr="00B27362">
        <w:rPr>
          <w:rFonts w:eastAsia="Times New Roman" w:cs="Sylfaen"/>
          <w:lang w:val="it-IT"/>
        </w:rPr>
        <w:softHyphen/>
        <w:t>կլիմայական անբարենպաստ պայման</w:t>
      </w:r>
      <w:r w:rsidRPr="00B27362">
        <w:rPr>
          <w:rFonts w:eastAsia="Times New Roman" w:cs="Sylfaen"/>
          <w:lang w:val="it-IT"/>
        </w:rPr>
        <w:softHyphen/>
        <w:t>ների շարունակական դրսևորման հետևանքով գյուղատնտեսության ճյուղում հնարավոր</w:t>
      </w:r>
      <w:r w:rsidRPr="00B27362">
        <w:rPr>
          <w:rFonts w:eastAsia="Times New Roman" w:cs="Sylfaen"/>
          <w:lang w:val="hy-AM"/>
        </w:rPr>
        <w:t xml:space="preserve"> բացասական զարգացումներով</w:t>
      </w:r>
      <w:r w:rsidRPr="00B27362">
        <w:rPr>
          <w:rFonts w:eastAsia="Times New Roman" w:cs="Sylfaen"/>
          <w:lang w:val="it-IT"/>
        </w:rPr>
        <w:t>:</w:t>
      </w:r>
    </w:p>
    <w:p w14:paraId="24AC2F4C" w14:textId="77777777" w:rsidR="002D7DDD" w:rsidRPr="00FD2CD3" w:rsidRDefault="002D7DDD" w:rsidP="005824C8">
      <w:pPr>
        <w:numPr>
          <w:ilvl w:val="0"/>
          <w:numId w:val="41"/>
        </w:numPr>
        <w:spacing w:after="120" w:line="276" w:lineRule="auto"/>
        <w:ind w:left="0" w:right="-31" w:firstLine="0"/>
        <w:contextualSpacing/>
        <w:rPr>
          <w:rFonts w:eastAsia="Calibri" w:cs="Sylfaen"/>
          <w:bCs/>
          <w:lang w:val="hy-AM"/>
        </w:rPr>
      </w:pPr>
      <w:r w:rsidRPr="00733A81">
        <w:rPr>
          <w:rFonts w:cs="Sylfaen"/>
          <w:lang w:val="it-IT"/>
        </w:rPr>
        <w:t>Հորդառատ անձրևների հետևանքով</w:t>
      </w:r>
      <w:r>
        <w:rPr>
          <w:rFonts w:ascii="Calibri" w:hAnsi="Calibri" w:cs="Calibri"/>
          <w:lang w:val="it-IT"/>
        </w:rPr>
        <w:t xml:space="preserve"> </w:t>
      </w:r>
      <w:hyperlink r:id="rId50" w:tooltip="Լոռու մարզ" w:history="1">
        <w:r w:rsidRPr="00733A81">
          <w:rPr>
            <w:rFonts w:cs="Sylfaen"/>
            <w:lang w:val="it-IT"/>
          </w:rPr>
          <w:t>Լոռու</w:t>
        </w:r>
      </w:hyperlink>
      <w:r>
        <w:rPr>
          <w:rFonts w:cs="Sylfaen"/>
          <w:lang w:val="it-IT"/>
        </w:rPr>
        <w:t xml:space="preserve"> </w:t>
      </w:r>
      <w:r w:rsidRPr="00733A81">
        <w:rPr>
          <w:rFonts w:cs="Sylfaen"/>
          <w:lang w:val="it-IT"/>
        </w:rPr>
        <w:t>և</w:t>
      </w:r>
      <w:r>
        <w:rPr>
          <w:rFonts w:cs="Sylfaen"/>
          <w:lang w:val="it-IT"/>
        </w:rPr>
        <w:t xml:space="preserve"> </w:t>
      </w:r>
      <w:r>
        <w:rPr>
          <w:rFonts w:cs="Sylfaen"/>
          <w:lang w:val="hy-AM"/>
        </w:rPr>
        <w:t xml:space="preserve">Տավուշի </w:t>
      </w:r>
      <w:r w:rsidRPr="00733A81">
        <w:rPr>
          <w:rFonts w:cs="Sylfaen"/>
          <w:lang w:val="it-IT"/>
        </w:rPr>
        <w:t xml:space="preserve">մարզերում </w:t>
      </w:r>
      <w:r>
        <w:rPr>
          <w:rFonts w:cs="Sylfaen"/>
          <w:lang w:val="it-IT"/>
        </w:rPr>
        <w:t>տեղի ունեցած ջրհեղեղի առաջաց</w:t>
      </w:r>
      <w:r>
        <w:rPr>
          <w:rFonts w:cs="Sylfaen"/>
          <w:lang w:val="hy-AM"/>
        </w:rPr>
        <w:t>ր</w:t>
      </w:r>
      <w:r>
        <w:rPr>
          <w:rFonts w:cs="Sylfaen"/>
          <w:lang w:val="it-IT"/>
        </w:rPr>
        <w:t>ած տնտեսական վնասներ</w:t>
      </w:r>
      <w:r>
        <w:rPr>
          <w:rFonts w:cs="Sylfaen"/>
          <w:lang w:val="hy-AM"/>
        </w:rPr>
        <w:t>ով</w:t>
      </w:r>
      <w:r>
        <w:rPr>
          <w:rFonts w:cs="Sylfaen"/>
          <w:lang w:val="it-IT"/>
        </w:rPr>
        <w:t xml:space="preserve"> </w:t>
      </w:r>
      <w:r>
        <w:rPr>
          <w:rFonts w:cs="Sylfaen"/>
          <w:lang w:val="hy-AM"/>
        </w:rPr>
        <w:t xml:space="preserve">և դրանց </w:t>
      </w:r>
      <w:r>
        <w:rPr>
          <w:rFonts w:cs="Sylfaen"/>
          <w:lang w:val="it-IT"/>
        </w:rPr>
        <w:t xml:space="preserve">ուշ </w:t>
      </w:r>
      <w:r>
        <w:rPr>
          <w:rFonts w:cs="Sylfaen"/>
          <w:lang w:val="hy-AM"/>
        </w:rPr>
        <w:t>հաղթահարմամբ պայմանավորված՝ այդ մարզերում տնտեսական ակտիվության նվազմամբ:</w:t>
      </w:r>
    </w:p>
    <w:p w14:paraId="7C9F2E34" w14:textId="77777777" w:rsidR="002D7DDD" w:rsidRPr="00B27362" w:rsidRDefault="002D7DDD" w:rsidP="005824C8">
      <w:pPr>
        <w:spacing w:after="120" w:line="276" w:lineRule="auto"/>
        <w:ind w:right="-31" w:firstLine="0"/>
        <w:contextualSpacing/>
        <w:rPr>
          <w:rFonts w:eastAsia="Calibri" w:cs="Sylfaen"/>
          <w:bCs/>
          <w:lang w:val="hy-AM"/>
        </w:rPr>
      </w:pPr>
    </w:p>
    <w:p w14:paraId="01BC8631" w14:textId="77777777" w:rsidR="002D7DDD" w:rsidRPr="00B27362" w:rsidRDefault="002D7DDD" w:rsidP="005824C8">
      <w:pPr>
        <w:keepNext/>
        <w:keepLines/>
        <w:spacing w:before="240" w:line="276" w:lineRule="auto"/>
        <w:ind w:firstLine="0"/>
        <w:contextualSpacing/>
        <w:jc w:val="left"/>
        <w:outlineLvl w:val="2"/>
        <w:rPr>
          <w:rFonts w:eastAsia="Times New Roman"/>
          <w:b/>
          <w:color w:val="1F4E79" w:themeColor="accent1" w:themeShade="80"/>
          <w:sz w:val="24"/>
          <w:lang w:val="hy-AM"/>
        </w:rPr>
      </w:pPr>
      <w:bookmarkStart w:id="67" w:name="_Toc170743037"/>
      <w:bookmarkStart w:id="68" w:name="_Toc170750541"/>
      <w:bookmarkStart w:id="69" w:name="_Toc170926302"/>
      <w:r w:rsidRPr="00B27362">
        <w:rPr>
          <w:rFonts w:eastAsia="Times New Roman"/>
          <w:b/>
          <w:color w:val="1F4E79" w:themeColor="accent1" w:themeShade="80"/>
          <w:sz w:val="24"/>
          <w:lang w:val="hy-AM"/>
        </w:rPr>
        <w:lastRenderedPageBreak/>
        <w:t>1.5.2. Տնտեսական աճի դեպի վերև ուղղությամբ ռիսկեր</w:t>
      </w:r>
      <w:bookmarkEnd w:id="67"/>
      <w:bookmarkEnd w:id="68"/>
      <w:bookmarkEnd w:id="69"/>
      <w:r w:rsidRPr="00B27362">
        <w:rPr>
          <w:rFonts w:eastAsia="Times New Roman"/>
          <w:b/>
          <w:color w:val="1F4E79" w:themeColor="accent1" w:themeShade="80"/>
          <w:sz w:val="24"/>
          <w:lang w:val="hy-AM"/>
        </w:rPr>
        <w:t xml:space="preserve"> </w:t>
      </w:r>
    </w:p>
    <w:p w14:paraId="3874BEAC" w14:textId="77777777" w:rsidR="002D7DDD" w:rsidRPr="00B27362" w:rsidRDefault="002D7DDD" w:rsidP="005824C8">
      <w:pPr>
        <w:spacing w:after="120" w:line="276" w:lineRule="auto"/>
        <w:ind w:right="540" w:firstLine="0"/>
        <w:contextualSpacing/>
        <w:rPr>
          <w:rFonts w:eastAsia="Calibri" w:cs="Sylfaen"/>
          <w:b/>
          <w:bCs/>
          <w:lang w:val="hy-AM"/>
        </w:rPr>
      </w:pPr>
      <w:r w:rsidRPr="00B27362">
        <w:rPr>
          <w:rFonts w:eastAsia="Calibri" w:cs="Sylfaen"/>
          <w:bCs/>
          <w:lang w:val="hy-AM"/>
        </w:rPr>
        <w:t xml:space="preserve">     </w:t>
      </w:r>
      <w:r w:rsidRPr="00B27362">
        <w:rPr>
          <w:rFonts w:eastAsia="Calibri" w:cs="Sylfaen"/>
          <w:b/>
          <w:bCs/>
          <w:lang w:val="hy-AM"/>
        </w:rPr>
        <w:t xml:space="preserve">Արտաքին գործոններից բխող դեպի վերև ռիսկերը պայմանավորված են՝ </w:t>
      </w:r>
    </w:p>
    <w:p w14:paraId="71C3A127"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 xml:space="preserve">Գլոբալ և տարածաշրջանային տնտեսական և աշխարհաքաղաքական վերափոխումների արդյունքում Հայաստանը՝ որպես առևտրային, լոգիստիկ և ֆինանսական հանգույց ծառայելու հնարավորությամբ, </w:t>
      </w:r>
    </w:p>
    <w:p w14:paraId="790A4FBF"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Ռուսաստանից դեպի Հայաստան կապիտալի և տեղեկատվական տեխնոլոգիաների ոլորտի ընկերությունների նոր ներհոսքով։</w:t>
      </w:r>
    </w:p>
    <w:p w14:paraId="1BA258E3" w14:textId="77777777" w:rsidR="002D7DDD" w:rsidRPr="00B27362" w:rsidRDefault="002D7DDD" w:rsidP="005824C8">
      <w:pPr>
        <w:spacing w:after="120" w:line="276" w:lineRule="auto"/>
        <w:ind w:right="-31" w:firstLine="0"/>
        <w:contextualSpacing/>
        <w:rPr>
          <w:rFonts w:eastAsia="Calibri" w:cs="Sylfaen"/>
          <w:bCs/>
          <w:lang w:val="hy-AM"/>
        </w:rPr>
      </w:pPr>
    </w:p>
    <w:p w14:paraId="3E38B1BD" w14:textId="77777777" w:rsidR="002D7DDD" w:rsidRPr="00B27362" w:rsidRDefault="002D7DDD" w:rsidP="005824C8">
      <w:pPr>
        <w:spacing w:after="120" w:line="276" w:lineRule="auto"/>
        <w:ind w:right="-31" w:firstLine="0"/>
        <w:contextualSpacing/>
        <w:rPr>
          <w:rFonts w:eastAsia="Calibri" w:cs="Sylfaen"/>
          <w:b/>
          <w:bCs/>
          <w:lang w:val="hy-AM"/>
        </w:rPr>
      </w:pPr>
      <w:r w:rsidRPr="00B27362">
        <w:rPr>
          <w:rFonts w:eastAsia="Calibri" w:cs="Sylfaen"/>
          <w:b/>
          <w:bCs/>
          <w:lang w:val="hy-AM"/>
        </w:rPr>
        <w:t xml:space="preserve">Ներքին միջավայրից բխող դեպի վերև ռիսկերը պայմանավորված են` </w:t>
      </w:r>
    </w:p>
    <w:p w14:paraId="20077F1F"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 xml:space="preserve">Ավելի բարձր կայուն տնտեսական աճին հասնելու համար անհրաժեշտ լրացուցիչ ջանքերի, մասնավորապես, մարդկային և </w:t>
      </w:r>
      <w:r w:rsidRPr="00B27362">
        <w:rPr>
          <w:rFonts w:eastAsia="Times New Roman" w:cs="Times New Roman"/>
          <w:lang w:val="hy-AM"/>
        </w:rPr>
        <w:t>ֆիզիկական կապիտալում ներդրումների</w:t>
      </w:r>
      <w:r w:rsidRPr="00B27362">
        <w:rPr>
          <w:rFonts w:eastAsia="Calibri" w:cs="Sylfaen"/>
          <w:bCs/>
          <w:lang w:val="hy-AM"/>
        </w:rPr>
        <w:t>, ինչպես նաև մասնավոր ներդրումների, զբաղվածության, արտահանման խթանման</w:t>
      </w:r>
      <w:r>
        <w:rPr>
          <w:rFonts w:eastAsia="Calibri" w:cs="Sylfaen"/>
          <w:bCs/>
          <w:lang w:val="hy-AM"/>
        </w:rPr>
        <w:t>ը</w:t>
      </w:r>
      <w:r w:rsidRPr="00B27362">
        <w:rPr>
          <w:rFonts w:eastAsia="Calibri" w:cs="Sylfaen"/>
          <w:bCs/>
          <w:lang w:val="hy-AM"/>
        </w:rPr>
        <w:t xml:space="preserve"> և տնտեսության արտադրողականության բարձրացմանն ուղղված միջոցառումների սպասվածից առավել արագ և  արդյունավետ իրականացմամբ,</w:t>
      </w:r>
    </w:p>
    <w:p w14:paraId="5AA48B79"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«Ենթակառուցվածքներ ներդրումների դիմաց» ծրագրի հետ կապված ՊՄԳ շրջանակներում ավելի մեծ թվով ներդրումային ծրագրերի իրականացմամբ,</w:t>
      </w:r>
    </w:p>
    <w:p w14:paraId="7587782C"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Calibri" w:cs="Sylfaen"/>
          <w:bCs/>
          <w:lang w:val="hy-AM"/>
        </w:rPr>
        <w:t>Թեղուտի հանքավայրի հնարավոր շահագործումից բխող տնտեսական ակտիվության արագացմամբ,</w:t>
      </w:r>
    </w:p>
    <w:p w14:paraId="691A1A4E" w14:textId="77777777" w:rsidR="002D7DDD" w:rsidRPr="00B27362" w:rsidRDefault="002D7DDD" w:rsidP="005824C8">
      <w:pPr>
        <w:numPr>
          <w:ilvl w:val="0"/>
          <w:numId w:val="41"/>
        </w:numPr>
        <w:spacing w:before="0" w:after="120" w:line="276" w:lineRule="auto"/>
        <w:ind w:left="0" w:right="-31" w:firstLine="0"/>
        <w:contextualSpacing/>
        <w:rPr>
          <w:rFonts w:eastAsia="Calibri" w:cs="Sylfaen"/>
          <w:bCs/>
          <w:lang w:val="hy-AM"/>
        </w:rPr>
      </w:pPr>
      <w:r w:rsidRPr="00B27362">
        <w:rPr>
          <w:rFonts w:eastAsia="Times New Roman" w:cs="Times New Roman"/>
          <w:lang w:val="hy-AM"/>
        </w:rPr>
        <w:t>Լեռնային Ղարաբաղից ՀՀ բռնի տեղահանված անձանց ՀՀ տնտեսական գործընթացներում սպասվածից ավելի արագ ինտեգրմամբ,</w:t>
      </w:r>
    </w:p>
    <w:p w14:paraId="297018F3" w14:textId="77777777" w:rsidR="002D7DDD" w:rsidRPr="00B27362" w:rsidRDefault="002D7DDD" w:rsidP="005824C8">
      <w:pPr>
        <w:spacing w:after="120" w:line="276" w:lineRule="auto"/>
        <w:ind w:right="540" w:firstLine="0"/>
        <w:contextualSpacing/>
        <w:rPr>
          <w:rFonts w:eastAsia="Calibri" w:cs="Sylfaen"/>
          <w:lang w:val="hy-AM"/>
        </w:rPr>
      </w:pPr>
    </w:p>
    <w:p w14:paraId="4C79EA5C" w14:textId="77777777" w:rsidR="002D7DDD" w:rsidRPr="00B27362" w:rsidRDefault="002D7DDD" w:rsidP="002D7DDD">
      <w:pPr>
        <w:spacing w:before="0" w:after="0" w:line="276" w:lineRule="auto"/>
        <w:ind w:firstLine="0"/>
        <w:rPr>
          <w:rFonts w:eastAsia="Calibri" w:cs="Sylfaen"/>
          <w:bCs/>
          <w:i/>
          <w:iCs/>
          <w:lang w:val="hy-AM"/>
        </w:rPr>
      </w:pPr>
      <w:r w:rsidRPr="00B27362">
        <w:rPr>
          <w:rFonts w:eastAsia="Calibri" w:cs="Sylfaen"/>
          <w:b/>
          <w:lang w:val="hy-AM"/>
        </w:rPr>
        <w:t xml:space="preserve">Գծապատկեր 1.36. </w:t>
      </w:r>
      <w:r w:rsidRPr="00B27362">
        <w:rPr>
          <w:rFonts w:eastAsia="Calibri" w:cs="Sylfaen"/>
          <w:bCs/>
          <w:i/>
          <w:iCs/>
          <w:lang w:val="hy-AM"/>
        </w:rPr>
        <w:t>Իրական ՀՆԱ-ի աճի կանխատեսման հավանականությունների բաշխումը (Fan Chart)</w:t>
      </w:r>
    </w:p>
    <w:p w14:paraId="7C209B38" w14:textId="77777777" w:rsidR="002D7DDD" w:rsidRPr="00B27362" w:rsidRDefault="002D7DDD" w:rsidP="002D7DDD">
      <w:pPr>
        <w:spacing w:before="0" w:after="0" w:line="276" w:lineRule="auto"/>
        <w:ind w:left="270" w:firstLine="0"/>
        <w:jc w:val="center"/>
        <w:rPr>
          <w:rFonts w:eastAsia="Calibri" w:cs="Sylfaen"/>
          <w:b/>
          <w:bCs/>
          <w:i/>
          <w:iCs/>
        </w:rPr>
      </w:pPr>
      <w:r w:rsidRPr="00B27362">
        <w:rPr>
          <w:rFonts w:ascii="Times New Roman" w:eastAsia="Times New Roman" w:hAnsi="Times New Roman" w:cs="Times New Roman"/>
          <w:noProof/>
          <w:sz w:val="24"/>
          <w:szCs w:val="24"/>
        </w:rPr>
        <w:drawing>
          <wp:inline distT="0" distB="0" distL="0" distR="0" wp14:anchorId="276524E9" wp14:editId="6E45CDFE">
            <wp:extent cx="5476875" cy="2771775"/>
            <wp:effectExtent l="0" t="0" r="9525" b="9525"/>
            <wp:docPr id="54" name="Chart 54">
              <a:extLst xmlns:a="http://schemas.openxmlformats.org/drawingml/2006/main">
                <a:ext uri="{FF2B5EF4-FFF2-40B4-BE49-F238E27FC236}">
                  <a16:creationId xmlns:a16="http://schemas.microsoft.com/office/drawing/2014/main" id="{D30316BA-6788-4268-B389-F27D61CC97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9EF9E58" w14:textId="77777777" w:rsidR="002D7DDD" w:rsidRPr="00B27362" w:rsidRDefault="002D7DDD" w:rsidP="002D7DDD">
      <w:pPr>
        <w:spacing w:before="0" w:after="0" w:line="276" w:lineRule="auto"/>
        <w:ind w:firstLine="0"/>
        <w:rPr>
          <w:rFonts w:eastAsia="Calibri" w:cs="Sylfaen"/>
          <w:lang w:val="hy-AM"/>
        </w:rPr>
      </w:pPr>
      <w:r w:rsidRPr="00B27362">
        <w:rPr>
          <w:rFonts w:eastAsia="Calibri" w:cs="Sylfaen"/>
          <w:lang w:val="hy-AM"/>
        </w:rPr>
        <w:t>Աղբյուրը՝ ՀՀ ՖՆ գնահատումներ և կանխատեսումներ</w:t>
      </w:r>
    </w:p>
    <w:p w14:paraId="489A5821" w14:textId="77777777" w:rsidR="002D7DDD" w:rsidRPr="00B27362" w:rsidRDefault="002D7DDD" w:rsidP="002D7DDD">
      <w:pPr>
        <w:spacing w:before="0" w:after="0" w:line="276" w:lineRule="auto"/>
        <w:ind w:firstLine="0"/>
        <w:rPr>
          <w:rFonts w:eastAsia="Calibri" w:cs="Sylfaen"/>
          <w:b/>
          <w:bCs/>
          <w:lang w:val="hy-AM"/>
        </w:rPr>
      </w:pPr>
    </w:p>
    <w:p w14:paraId="6433D2BC" w14:textId="77777777" w:rsidR="002D7DDD" w:rsidRPr="00B27362" w:rsidRDefault="002D7DDD" w:rsidP="002D7DDD">
      <w:pPr>
        <w:spacing w:before="0" w:after="0" w:line="276" w:lineRule="auto"/>
        <w:ind w:firstLine="0"/>
        <w:jc w:val="left"/>
        <w:rPr>
          <w:rFonts w:eastAsia="Calibri" w:cs="Times New Roman"/>
          <w:i/>
          <w:sz w:val="20"/>
          <w:szCs w:val="20"/>
          <w:u w:val="single"/>
          <w:lang w:val="hy-AM"/>
        </w:rPr>
      </w:pPr>
      <w:r w:rsidRPr="00B27362">
        <w:rPr>
          <w:rFonts w:eastAsia="Calibri" w:cs="Sylfaen"/>
          <w:b/>
          <w:bCs/>
          <w:i/>
          <w:iCs/>
          <w:color w:val="000000"/>
          <w:lang w:val="hy-AM"/>
        </w:rPr>
        <w:t>Աղյուսակ</w:t>
      </w:r>
      <w:r w:rsidRPr="00B27362">
        <w:rPr>
          <w:rFonts w:eastAsia="Calibri" w:cs="Times New Roman"/>
          <w:b/>
          <w:bCs/>
          <w:i/>
          <w:iCs/>
          <w:color w:val="000000"/>
          <w:lang w:val="hy-AM"/>
        </w:rPr>
        <w:t xml:space="preserve"> 1.3.</w:t>
      </w:r>
      <w:r w:rsidRPr="00B27362">
        <w:rPr>
          <w:rFonts w:eastAsia="Calibri" w:cs="Times New Roman"/>
          <w:b/>
          <w:bCs/>
          <w:i/>
          <w:iCs/>
          <w:color w:val="000000"/>
          <w:sz w:val="20"/>
          <w:szCs w:val="20"/>
          <w:lang w:val="hy-AM"/>
        </w:rPr>
        <w:t xml:space="preserve"> </w:t>
      </w:r>
      <w:r w:rsidRPr="00B27362">
        <w:rPr>
          <w:rFonts w:eastAsia="Calibri" w:cs="Sylfaen"/>
          <w:bCs/>
          <w:i/>
          <w:iCs/>
          <w:color w:val="000000"/>
          <w:sz w:val="20"/>
          <w:szCs w:val="20"/>
          <w:lang w:val="hy-AM"/>
        </w:rPr>
        <w:t>Իրական</w:t>
      </w:r>
      <w:r w:rsidRPr="00B27362">
        <w:rPr>
          <w:rFonts w:eastAsia="Calibri" w:cs="Times New Roman"/>
          <w:bCs/>
          <w:i/>
          <w:iCs/>
          <w:color w:val="000000"/>
          <w:sz w:val="20"/>
          <w:szCs w:val="20"/>
          <w:lang w:val="hy-AM"/>
        </w:rPr>
        <w:t xml:space="preserve"> </w:t>
      </w:r>
      <w:r w:rsidRPr="00B27362">
        <w:rPr>
          <w:rFonts w:eastAsia="Calibri" w:cs="Sylfaen"/>
          <w:bCs/>
          <w:i/>
          <w:iCs/>
          <w:color w:val="000000"/>
          <w:sz w:val="20"/>
          <w:szCs w:val="20"/>
          <w:lang w:val="hy-AM"/>
        </w:rPr>
        <w:t>ՀՆԱ-ի աճի կանխատեսման</w:t>
      </w:r>
      <w:r w:rsidRPr="00B27362">
        <w:rPr>
          <w:rFonts w:eastAsia="Calibri" w:cs="Times New Roman"/>
          <w:bCs/>
          <w:i/>
          <w:iCs/>
          <w:color w:val="000000"/>
          <w:sz w:val="20"/>
          <w:szCs w:val="20"/>
          <w:lang w:val="hy-AM"/>
        </w:rPr>
        <w:t xml:space="preserve"> </w:t>
      </w:r>
      <w:r w:rsidRPr="00B27362">
        <w:rPr>
          <w:rFonts w:eastAsia="Calibri" w:cs="Sylfaen"/>
          <w:bCs/>
          <w:i/>
          <w:iCs/>
          <w:color w:val="000000"/>
          <w:sz w:val="20"/>
          <w:szCs w:val="20"/>
          <w:lang w:val="hy-AM"/>
        </w:rPr>
        <w:t>հավանականությունների</w:t>
      </w:r>
      <w:r w:rsidRPr="00B27362">
        <w:rPr>
          <w:rFonts w:eastAsia="Calibri" w:cs="Times New Roman"/>
          <w:bCs/>
          <w:i/>
          <w:iCs/>
          <w:color w:val="000000"/>
          <w:sz w:val="20"/>
          <w:szCs w:val="20"/>
          <w:lang w:val="hy-AM"/>
        </w:rPr>
        <w:t xml:space="preserve"> </w:t>
      </w:r>
      <w:r w:rsidRPr="00B27362">
        <w:rPr>
          <w:rFonts w:eastAsia="Calibri" w:cs="Sylfaen"/>
          <w:bCs/>
          <w:i/>
          <w:iCs/>
          <w:color w:val="000000"/>
          <w:sz w:val="20"/>
          <w:szCs w:val="20"/>
          <w:lang w:val="hy-AM"/>
        </w:rPr>
        <w:t>բաշխումը</w:t>
      </w:r>
      <w:r w:rsidRPr="00B27362">
        <w:rPr>
          <w:rFonts w:eastAsia="Calibri" w:cs="Times New Roman"/>
          <w:vertAlign w:val="superscript"/>
          <w:lang w:val="hy-AM"/>
        </w:rPr>
        <w:footnoteReference w:id="16"/>
      </w:r>
    </w:p>
    <w:p w14:paraId="332873F4" w14:textId="77777777" w:rsidR="002D7DDD" w:rsidRPr="00B27362" w:rsidRDefault="002D7DDD" w:rsidP="002D7DDD">
      <w:pPr>
        <w:spacing w:before="0" w:after="0" w:line="276" w:lineRule="auto"/>
        <w:rPr>
          <w:rFonts w:eastAsia="Calibri" w:cs="Sylfaen"/>
          <w:sz w:val="2"/>
          <w:szCs w:val="2"/>
          <w:lang w:val="hy-AM"/>
        </w:rPr>
      </w:pPr>
    </w:p>
    <w:tbl>
      <w:tblPr>
        <w:tblW w:w="8820" w:type="dxa"/>
        <w:tblInd w:w="8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Look w:val="04A0" w:firstRow="1" w:lastRow="0" w:firstColumn="1" w:lastColumn="0" w:noHBand="0" w:noVBand="1"/>
      </w:tblPr>
      <w:tblGrid>
        <w:gridCol w:w="1759"/>
        <w:gridCol w:w="1818"/>
        <w:gridCol w:w="1711"/>
        <w:gridCol w:w="1818"/>
        <w:gridCol w:w="1714"/>
      </w:tblGrid>
      <w:tr w:rsidR="002D7DDD" w:rsidRPr="00B27362" w14:paraId="2DE8E535" w14:textId="77777777" w:rsidTr="008931FF">
        <w:trPr>
          <w:trHeight w:val="600"/>
        </w:trPr>
        <w:tc>
          <w:tcPr>
            <w:tcW w:w="1759" w:type="dxa"/>
            <w:vMerge w:val="restart"/>
            <w:shd w:val="clear" w:color="auto" w:fill="auto"/>
            <w:vAlign w:val="center"/>
            <w:hideMark/>
          </w:tcPr>
          <w:p w14:paraId="31F52292"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eastAsia="Times New Roman" w:cs="Calibri"/>
                <w:color w:val="000000"/>
                <w:sz w:val="18"/>
                <w:szCs w:val="18"/>
              </w:rPr>
              <w:lastRenderedPageBreak/>
              <w:t>Տնտեսական աճի միջակայքը, %</w:t>
            </w:r>
          </w:p>
        </w:tc>
        <w:tc>
          <w:tcPr>
            <w:tcW w:w="7061" w:type="dxa"/>
            <w:gridSpan w:val="4"/>
            <w:shd w:val="clear" w:color="auto" w:fill="auto"/>
            <w:vAlign w:val="center"/>
            <w:hideMark/>
          </w:tcPr>
          <w:p w14:paraId="243C0718"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eastAsia="Times New Roman" w:cs="Calibri"/>
                <w:color w:val="000000"/>
                <w:sz w:val="18"/>
                <w:szCs w:val="18"/>
              </w:rPr>
              <w:t>Տնտեսական աճի` տվյալ միջակայքում ձևավորվելու հավանականությունը, %</w:t>
            </w:r>
          </w:p>
        </w:tc>
      </w:tr>
      <w:tr w:rsidR="002D7DDD" w:rsidRPr="00B27362" w14:paraId="638B0903" w14:textId="77777777" w:rsidTr="008931FF">
        <w:trPr>
          <w:trHeight w:val="347"/>
        </w:trPr>
        <w:tc>
          <w:tcPr>
            <w:tcW w:w="1759" w:type="dxa"/>
            <w:vMerge/>
            <w:shd w:val="clear" w:color="auto" w:fill="auto"/>
            <w:vAlign w:val="center"/>
            <w:hideMark/>
          </w:tcPr>
          <w:p w14:paraId="5AADF2A7" w14:textId="77777777" w:rsidR="002D7DDD" w:rsidRPr="00B27362" w:rsidRDefault="002D7DDD" w:rsidP="008931FF">
            <w:pPr>
              <w:spacing w:before="0" w:after="0" w:line="276" w:lineRule="auto"/>
              <w:ind w:firstLine="0"/>
              <w:jc w:val="left"/>
              <w:rPr>
                <w:rFonts w:eastAsia="Times New Roman" w:cs="Calibri"/>
                <w:color w:val="000000"/>
                <w:sz w:val="18"/>
                <w:szCs w:val="18"/>
              </w:rPr>
            </w:pPr>
          </w:p>
        </w:tc>
        <w:tc>
          <w:tcPr>
            <w:tcW w:w="1818" w:type="dxa"/>
            <w:shd w:val="clear" w:color="auto" w:fill="auto"/>
            <w:vAlign w:val="center"/>
            <w:hideMark/>
          </w:tcPr>
          <w:p w14:paraId="5E42C6AF" w14:textId="77777777" w:rsidR="002D7DDD" w:rsidRPr="00B27362" w:rsidRDefault="002D7DDD" w:rsidP="008931FF">
            <w:pPr>
              <w:spacing w:before="0" w:after="0" w:line="276" w:lineRule="auto"/>
              <w:ind w:firstLine="0"/>
              <w:jc w:val="center"/>
              <w:rPr>
                <w:rFonts w:eastAsia="Times New Roman" w:cs="Calibri"/>
                <w:b/>
                <w:bCs/>
                <w:color w:val="000000"/>
                <w:sz w:val="18"/>
                <w:szCs w:val="18"/>
                <w:lang w:val="hy-AM"/>
              </w:rPr>
            </w:pPr>
            <w:r w:rsidRPr="00B27362">
              <w:rPr>
                <w:rFonts w:eastAsia="Times New Roman" w:cs="Calibri"/>
                <w:b/>
                <w:bCs/>
                <w:color w:val="000000"/>
                <w:sz w:val="18"/>
                <w:szCs w:val="18"/>
                <w:lang w:val="hy-AM"/>
              </w:rPr>
              <w:t>2024</w:t>
            </w:r>
          </w:p>
        </w:tc>
        <w:tc>
          <w:tcPr>
            <w:tcW w:w="1711" w:type="dxa"/>
            <w:shd w:val="clear" w:color="auto" w:fill="auto"/>
            <w:noWrap/>
            <w:vAlign w:val="center"/>
            <w:hideMark/>
          </w:tcPr>
          <w:p w14:paraId="42CD157F" w14:textId="77777777" w:rsidR="002D7DDD" w:rsidRPr="00B27362" w:rsidRDefault="002D7DDD" w:rsidP="008931FF">
            <w:pPr>
              <w:spacing w:before="0" w:after="0" w:line="276" w:lineRule="auto"/>
              <w:ind w:firstLine="0"/>
              <w:jc w:val="center"/>
              <w:rPr>
                <w:rFonts w:eastAsia="Times New Roman" w:cs="Calibri"/>
                <w:b/>
                <w:bCs/>
                <w:color w:val="000000"/>
                <w:sz w:val="18"/>
                <w:szCs w:val="18"/>
                <w:lang w:val="hy-AM"/>
              </w:rPr>
            </w:pPr>
            <w:r w:rsidRPr="00B27362">
              <w:rPr>
                <w:rFonts w:eastAsia="Times New Roman" w:cs="Calibri"/>
                <w:b/>
                <w:bCs/>
                <w:color w:val="000000"/>
                <w:sz w:val="18"/>
                <w:szCs w:val="18"/>
                <w:lang w:val="hy-AM"/>
              </w:rPr>
              <w:t>2025</w:t>
            </w:r>
          </w:p>
        </w:tc>
        <w:tc>
          <w:tcPr>
            <w:tcW w:w="1818" w:type="dxa"/>
            <w:shd w:val="clear" w:color="auto" w:fill="auto"/>
            <w:vAlign w:val="center"/>
            <w:hideMark/>
          </w:tcPr>
          <w:p w14:paraId="50BE6E85" w14:textId="77777777" w:rsidR="002D7DDD" w:rsidRPr="00B27362" w:rsidRDefault="002D7DDD" w:rsidP="008931FF">
            <w:pPr>
              <w:spacing w:before="0" w:after="0" w:line="276" w:lineRule="auto"/>
              <w:ind w:firstLine="0"/>
              <w:jc w:val="center"/>
              <w:rPr>
                <w:rFonts w:eastAsia="Times New Roman" w:cs="Calibri"/>
                <w:b/>
                <w:bCs/>
                <w:color w:val="000000"/>
                <w:sz w:val="18"/>
                <w:szCs w:val="18"/>
                <w:lang w:val="hy-AM"/>
              </w:rPr>
            </w:pPr>
            <w:r w:rsidRPr="00B27362">
              <w:rPr>
                <w:rFonts w:eastAsia="Times New Roman" w:cs="Calibri"/>
                <w:b/>
                <w:bCs/>
                <w:color w:val="000000"/>
                <w:sz w:val="18"/>
                <w:szCs w:val="18"/>
                <w:lang w:val="hy-AM"/>
              </w:rPr>
              <w:t>2026</w:t>
            </w:r>
          </w:p>
        </w:tc>
        <w:tc>
          <w:tcPr>
            <w:tcW w:w="1714" w:type="dxa"/>
            <w:shd w:val="clear" w:color="auto" w:fill="auto"/>
            <w:noWrap/>
            <w:vAlign w:val="center"/>
            <w:hideMark/>
          </w:tcPr>
          <w:p w14:paraId="34A2C5CD" w14:textId="77777777" w:rsidR="002D7DDD" w:rsidRPr="00B27362" w:rsidRDefault="002D7DDD" w:rsidP="008931FF">
            <w:pPr>
              <w:spacing w:before="0" w:after="0" w:line="276" w:lineRule="auto"/>
              <w:ind w:firstLine="0"/>
              <w:jc w:val="center"/>
              <w:rPr>
                <w:rFonts w:eastAsia="Times New Roman" w:cs="Calibri"/>
                <w:b/>
                <w:bCs/>
                <w:color w:val="000000"/>
                <w:sz w:val="18"/>
                <w:szCs w:val="18"/>
                <w:lang w:val="hy-AM"/>
              </w:rPr>
            </w:pPr>
            <w:r w:rsidRPr="00B27362">
              <w:rPr>
                <w:rFonts w:eastAsia="Times New Roman" w:cs="Calibri"/>
                <w:b/>
                <w:bCs/>
                <w:color w:val="000000"/>
                <w:sz w:val="18"/>
                <w:szCs w:val="18"/>
                <w:lang w:val="hy-AM"/>
              </w:rPr>
              <w:t>2027</w:t>
            </w:r>
          </w:p>
        </w:tc>
      </w:tr>
      <w:tr w:rsidR="002D7DDD" w:rsidRPr="00B27362" w14:paraId="367D6EBC" w14:textId="77777777" w:rsidTr="008931FF">
        <w:trPr>
          <w:trHeight w:val="315"/>
        </w:trPr>
        <w:tc>
          <w:tcPr>
            <w:tcW w:w="1759" w:type="dxa"/>
            <w:shd w:val="clear" w:color="auto" w:fill="auto"/>
            <w:noWrap/>
            <w:vAlign w:val="center"/>
            <w:hideMark/>
          </w:tcPr>
          <w:p w14:paraId="67E59320" w14:textId="77777777" w:rsidR="002D7DDD" w:rsidRPr="00B27362" w:rsidRDefault="002D7DDD" w:rsidP="008931FF">
            <w:pPr>
              <w:spacing w:before="0" w:after="0" w:line="276" w:lineRule="auto"/>
              <w:ind w:firstLine="0"/>
              <w:jc w:val="center"/>
              <w:rPr>
                <w:rFonts w:eastAsia="Times New Roman" w:cs="Calibri"/>
                <w:b/>
                <w:color w:val="000000"/>
                <w:sz w:val="18"/>
                <w:szCs w:val="18"/>
                <w:lang w:val="hy-AM"/>
              </w:rPr>
            </w:pPr>
            <w:r w:rsidRPr="00B27362">
              <w:rPr>
                <w:rFonts w:eastAsia="Times New Roman" w:cs="Calibri"/>
                <w:color w:val="000000"/>
                <w:sz w:val="18"/>
                <w:szCs w:val="18"/>
                <w:lang w:val="hy-AM"/>
              </w:rPr>
              <w:t>1-3</w:t>
            </w:r>
          </w:p>
        </w:tc>
        <w:tc>
          <w:tcPr>
            <w:tcW w:w="1818" w:type="dxa"/>
            <w:shd w:val="clear" w:color="auto" w:fill="auto"/>
            <w:noWrap/>
            <w:hideMark/>
          </w:tcPr>
          <w:p w14:paraId="6D4A2710"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0.18</w:t>
            </w:r>
          </w:p>
        </w:tc>
        <w:tc>
          <w:tcPr>
            <w:tcW w:w="1711" w:type="dxa"/>
            <w:shd w:val="clear" w:color="auto" w:fill="auto"/>
            <w:noWrap/>
            <w:hideMark/>
          </w:tcPr>
          <w:p w14:paraId="50C974FE"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0.16</w:t>
            </w:r>
          </w:p>
        </w:tc>
        <w:tc>
          <w:tcPr>
            <w:tcW w:w="1818" w:type="dxa"/>
            <w:shd w:val="clear" w:color="auto" w:fill="auto"/>
            <w:noWrap/>
            <w:hideMark/>
          </w:tcPr>
          <w:p w14:paraId="5B9A0891"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0.16</w:t>
            </w:r>
          </w:p>
        </w:tc>
        <w:tc>
          <w:tcPr>
            <w:tcW w:w="1714" w:type="dxa"/>
            <w:shd w:val="clear" w:color="auto" w:fill="auto"/>
            <w:noWrap/>
            <w:hideMark/>
          </w:tcPr>
          <w:p w14:paraId="3F4789C7"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0.17</w:t>
            </w:r>
          </w:p>
        </w:tc>
      </w:tr>
      <w:tr w:rsidR="002D7DDD" w:rsidRPr="00B27362" w14:paraId="6610AF9F" w14:textId="77777777" w:rsidTr="008931FF">
        <w:trPr>
          <w:trHeight w:val="315"/>
        </w:trPr>
        <w:tc>
          <w:tcPr>
            <w:tcW w:w="1759" w:type="dxa"/>
            <w:shd w:val="clear" w:color="auto" w:fill="auto"/>
            <w:noWrap/>
            <w:vAlign w:val="center"/>
            <w:hideMark/>
          </w:tcPr>
          <w:p w14:paraId="050DFB2A" w14:textId="77777777" w:rsidR="002D7DDD" w:rsidRPr="00B27362" w:rsidRDefault="002D7DDD" w:rsidP="008931FF">
            <w:pPr>
              <w:spacing w:before="0" w:after="0" w:line="276" w:lineRule="auto"/>
              <w:ind w:firstLine="0"/>
              <w:jc w:val="center"/>
              <w:rPr>
                <w:rFonts w:eastAsia="Times New Roman" w:cs="Calibri"/>
                <w:b/>
                <w:color w:val="000000"/>
                <w:sz w:val="18"/>
                <w:szCs w:val="18"/>
              </w:rPr>
            </w:pPr>
            <w:r w:rsidRPr="00B27362">
              <w:rPr>
                <w:rFonts w:eastAsia="Times New Roman" w:cs="Calibri"/>
                <w:color w:val="000000"/>
                <w:sz w:val="18"/>
                <w:szCs w:val="18"/>
                <w:lang w:val="hy-AM"/>
              </w:rPr>
              <w:t>3-5</w:t>
            </w:r>
            <w:r w:rsidRPr="00B27362">
              <w:rPr>
                <w:rFonts w:eastAsia="Times New Roman" w:cs="Calibri"/>
                <w:color w:val="000000"/>
                <w:sz w:val="18"/>
                <w:szCs w:val="18"/>
              </w:rPr>
              <w:t xml:space="preserve"> </w:t>
            </w:r>
          </w:p>
        </w:tc>
        <w:tc>
          <w:tcPr>
            <w:tcW w:w="1818" w:type="dxa"/>
            <w:shd w:val="clear" w:color="auto" w:fill="auto"/>
            <w:noWrap/>
            <w:hideMark/>
          </w:tcPr>
          <w:p w14:paraId="04693E12" w14:textId="77777777" w:rsidR="002D7DDD" w:rsidRPr="00B27362" w:rsidRDefault="002D7DDD" w:rsidP="008931FF">
            <w:pPr>
              <w:spacing w:before="0" w:after="0" w:line="276" w:lineRule="auto"/>
              <w:ind w:firstLine="0"/>
              <w:jc w:val="center"/>
              <w:rPr>
                <w:rFonts w:eastAsia="Times New Roman" w:cs="Calibri"/>
                <w:b/>
                <w:bCs/>
                <w:color w:val="000000"/>
                <w:sz w:val="18"/>
                <w:szCs w:val="18"/>
              </w:rPr>
            </w:pPr>
            <w:r w:rsidRPr="00B27362">
              <w:rPr>
                <w:rFonts w:ascii="Times New Roman" w:eastAsia="Times New Roman" w:hAnsi="Times New Roman" w:cs="Times New Roman"/>
                <w:sz w:val="24"/>
                <w:szCs w:val="24"/>
              </w:rPr>
              <w:t>0.28</w:t>
            </w:r>
          </w:p>
        </w:tc>
        <w:tc>
          <w:tcPr>
            <w:tcW w:w="1711" w:type="dxa"/>
            <w:shd w:val="clear" w:color="auto" w:fill="auto"/>
            <w:noWrap/>
            <w:hideMark/>
          </w:tcPr>
          <w:p w14:paraId="547EFAC6" w14:textId="77777777" w:rsidR="002D7DDD" w:rsidRPr="00B27362" w:rsidRDefault="002D7DDD" w:rsidP="008931FF">
            <w:pPr>
              <w:spacing w:before="0" w:after="0" w:line="276" w:lineRule="auto"/>
              <w:ind w:firstLine="0"/>
              <w:jc w:val="center"/>
              <w:rPr>
                <w:rFonts w:eastAsia="Times New Roman" w:cs="Calibri"/>
                <w:b/>
                <w:color w:val="000000"/>
                <w:sz w:val="18"/>
                <w:szCs w:val="18"/>
              </w:rPr>
            </w:pPr>
            <w:r w:rsidRPr="00B27362">
              <w:rPr>
                <w:rFonts w:ascii="Times New Roman" w:eastAsia="Times New Roman" w:hAnsi="Times New Roman" w:cs="Times New Roman"/>
                <w:sz w:val="24"/>
                <w:szCs w:val="24"/>
              </w:rPr>
              <w:t>0.24</w:t>
            </w:r>
          </w:p>
        </w:tc>
        <w:tc>
          <w:tcPr>
            <w:tcW w:w="1818" w:type="dxa"/>
            <w:shd w:val="clear" w:color="auto" w:fill="auto"/>
            <w:noWrap/>
            <w:hideMark/>
          </w:tcPr>
          <w:p w14:paraId="26676DA6" w14:textId="77777777" w:rsidR="002D7DDD" w:rsidRPr="00B27362" w:rsidRDefault="002D7DDD" w:rsidP="008931FF">
            <w:pPr>
              <w:spacing w:before="0" w:after="0" w:line="276" w:lineRule="auto"/>
              <w:ind w:firstLine="0"/>
              <w:jc w:val="center"/>
              <w:rPr>
                <w:rFonts w:eastAsia="Times New Roman" w:cs="Calibri"/>
                <w:b/>
                <w:color w:val="000000"/>
                <w:sz w:val="18"/>
                <w:szCs w:val="18"/>
              </w:rPr>
            </w:pPr>
            <w:r w:rsidRPr="00B27362">
              <w:rPr>
                <w:rFonts w:ascii="Times New Roman" w:eastAsia="Times New Roman" w:hAnsi="Times New Roman" w:cs="Times New Roman"/>
                <w:sz w:val="24"/>
                <w:szCs w:val="24"/>
              </w:rPr>
              <w:t>0.24</w:t>
            </w:r>
          </w:p>
        </w:tc>
        <w:tc>
          <w:tcPr>
            <w:tcW w:w="1714" w:type="dxa"/>
            <w:shd w:val="clear" w:color="auto" w:fill="auto"/>
            <w:noWrap/>
            <w:hideMark/>
          </w:tcPr>
          <w:p w14:paraId="68E64C79" w14:textId="77777777" w:rsidR="002D7DDD" w:rsidRPr="00B27362" w:rsidRDefault="002D7DDD" w:rsidP="008931FF">
            <w:pPr>
              <w:spacing w:before="0" w:after="0" w:line="276" w:lineRule="auto"/>
              <w:ind w:firstLine="0"/>
              <w:jc w:val="center"/>
              <w:rPr>
                <w:rFonts w:eastAsia="Times New Roman" w:cs="Calibri"/>
                <w:b/>
                <w:color w:val="000000"/>
                <w:sz w:val="18"/>
                <w:szCs w:val="18"/>
              </w:rPr>
            </w:pPr>
            <w:r w:rsidRPr="00B27362">
              <w:rPr>
                <w:rFonts w:ascii="Times New Roman" w:eastAsia="Times New Roman" w:hAnsi="Times New Roman" w:cs="Times New Roman"/>
                <w:sz w:val="24"/>
                <w:szCs w:val="24"/>
              </w:rPr>
              <w:t>0.24</w:t>
            </w:r>
          </w:p>
        </w:tc>
      </w:tr>
      <w:tr w:rsidR="002D7DDD" w:rsidRPr="00B27362" w14:paraId="4C172011" w14:textId="77777777" w:rsidTr="008931FF">
        <w:trPr>
          <w:trHeight w:val="315"/>
        </w:trPr>
        <w:tc>
          <w:tcPr>
            <w:tcW w:w="1759" w:type="dxa"/>
            <w:shd w:val="clear" w:color="auto" w:fill="auto"/>
            <w:noWrap/>
            <w:vAlign w:val="center"/>
            <w:hideMark/>
          </w:tcPr>
          <w:p w14:paraId="292E55A8" w14:textId="77777777" w:rsidR="002D7DDD" w:rsidRPr="00B27362" w:rsidRDefault="002D7DDD" w:rsidP="008931FF">
            <w:pPr>
              <w:spacing w:before="0" w:after="0" w:line="276" w:lineRule="auto"/>
              <w:ind w:firstLine="0"/>
              <w:jc w:val="center"/>
              <w:rPr>
                <w:rFonts w:eastAsia="Times New Roman" w:cs="Calibri"/>
                <w:b/>
                <w:color w:val="000000"/>
                <w:sz w:val="18"/>
                <w:szCs w:val="18"/>
                <w:lang w:val="hy-AM"/>
              </w:rPr>
            </w:pPr>
            <w:r w:rsidRPr="00B27362">
              <w:rPr>
                <w:rFonts w:eastAsia="Times New Roman" w:cs="Calibri"/>
                <w:color w:val="000000"/>
                <w:sz w:val="18"/>
                <w:szCs w:val="18"/>
                <w:lang w:val="hy-AM"/>
              </w:rPr>
              <w:t>5-7</w:t>
            </w:r>
          </w:p>
        </w:tc>
        <w:tc>
          <w:tcPr>
            <w:tcW w:w="1818" w:type="dxa"/>
            <w:shd w:val="clear" w:color="auto" w:fill="auto"/>
            <w:noWrap/>
            <w:hideMark/>
          </w:tcPr>
          <w:p w14:paraId="7198E146" w14:textId="77777777" w:rsidR="002D7DDD" w:rsidRPr="00B27362" w:rsidRDefault="002D7DDD" w:rsidP="008931FF">
            <w:pPr>
              <w:spacing w:before="0" w:after="0" w:line="276" w:lineRule="auto"/>
              <w:ind w:firstLine="0"/>
              <w:jc w:val="center"/>
              <w:rPr>
                <w:rFonts w:eastAsia="Times New Roman" w:cs="Calibri"/>
                <w:b/>
                <w:color w:val="000000"/>
                <w:sz w:val="18"/>
                <w:szCs w:val="18"/>
              </w:rPr>
            </w:pPr>
            <w:r w:rsidRPr="00B27362">
              <w:rPr>
                <w:rFonts w:ascii="Times New Roman" w:eastAsia="Times New Roman" w:hAnsi="Times New Roman" w:cs="Times New Roman"/>
                <w:b/>
                <w:sz w:val="24"/>
                <w:szCs w:val="24"/>
              </w:rPr>
              <w:t>0.29</w:t>
            </w:r>
          </w:p>
        </w:tc>
        <w:tc>
          <w:tcPr>
            <w:tcW w:w="1711" w:type="dxa"/>
            <w:shd w:val="clear" w:color="auto" w:fill="auto"/>
            <w:noWrap/>
            <w:hideMark/>
          </w:tcPr>
          <w:p w14:paraId="11073311" w14:textId="77777777" w:rsidR="002D7DDD" w:rsidRPr="00B27362" w:rsidRDefault="002D7DDD" w:rsidP="008931FF">
            <w:pPr>
              <w:spacing w:before="0" w:after="0" w:line="276" w:lineRule="auto"/>
              <w:ind w:firstLine="0"/>
              <w:jc w:val="center"/>
              <w:rPr>
                <w:rFonts w:eastAsia="Times New Roman" w:cs="Calibri"/>
                <w:b/>
                <w:bCs/>
                <w:color w:val="000000"/>
                <w:sz w:val="18"/>
                <w:szCs w:val="18"/>
              </w:rPr>
            </w:pPr>
            <w:r w:rsidRPr="00B27362">
              <w:rPr>
                <w:rFonts w:ascii="Times New Roman" w:eastAsia="Times New Roman" w:hAnsi="Times New Roman" w:cs="Times New Roman"/>
                <w:b/>
                <w:sz w:val="24"/>
                <w:szCs w:val="24"/>
              </w:rPr>
              <w:t>0.26</w:t>
            </w:r>
          </w:p>
        </w:tc>
        <w:tc>
          <w:tcPr>
            <w:tcW w:w="1818" w:type="dxa"/>
            <w:shd w:val="clear" w:color="auto" w:fill="auto"/>
            <w:noWrap/>
            <w:hideMark/>
          </w:tcPr>
          <w:p w14:paraId="5C3ED7BC" w14:textId="77777777" w:rsidR="002D7DDD" w:rsidRPr="00B27362" w:rsidRDefault="002D7DDD" w:rsidP="008931FF">
            <w:pPr>
              <w:spacing w:before="0" w:after="0" w:line="276" w:lineRule="auto"/>
              <w:ind w:firstLine="0"/>
              <w:jc w:val="center"/>
              <w:rPr>
                <w:rFonts w:eastAsia="Times New Roman" w:cs="Calibri"/>
                <w:b/>
                <w:bCs/>
                <w:color w:val="000000"/>
                <w:sz w:val="18"/>
                <w:szCs w:val="18"/>
              </w:rPr>
            </w:pPr>
            <w:r w:rsidRPr="00B27362">
              <w:rPr>
                <w:rFonts w:ascii="Times New Roman" w:eastAsia="Times New Roman" w:hAnsi="Times New Roman" w:cs="Times New Roman"/>
                <w:b/>
                <w:sz w:val="24"/>
                <w:szCs w:val="24"/>
              </w:rPr>
              <w:t>0.25</w:t>
            </w:r>
          </w:p>
        </w:tc>
        <w:tc>
          <w:tcPr>
            <w:tcW w:w="1714" w:type="dxa"/>
            <w:shd w:val="clear" w:color="auto" w:fill="auto"/>
            <w:noWrap/>
            <w:hideMark/>
          </w:tcPr>
          <w:p w14:paraId="71E728DA" w14:textId="77777777" w:rsidR="002D7DDD" w:rsidRPr="00B27362" w:rsidRDefault="002D7DDD" w:rsidP="008931FF">
            <w:pPr>
              <w:spacing w:before="0" w:after="0" w:line="276" w:lineRule="auto"/>
              <w:ind w:firstLine="0"/>
              <w:jc w:val="center"/>
              <w:rPr>
                <w:rFonts w:eastAsia="Times New Roman" w:cs="Calibri"/>
                <w:b/>
                <w:bCs/>
                <w:color w:val="000000"/>
                <w:sz w:val="18"/>
                <w:szCs w:val="18"/>
              </w:rPr>
            </w:pPr>
            <w:r w:rsidRPr="00B27362">
              <w:rPr>
                <w:rFonts w:ascii="Times New Roman" w:eastAsia="Times New Roman" w:hAnsi="Times New Roman" w:cs="Times New Roman"/>
                <w:b/>
                <w:sz w:val="24"/>
                <w:szCs w:val="24"/>
              </w:rPr>
              <w:t>0.25</w:t>
            </w:r>
          </w:p>
        </w:tc>
      </w:tr>
      <w:tr w:rsidR="002D7DDD" w:rsidRPr="00B27362" w14:paraId="2D548844" w14:textId="77777777" w:rsidTr="008931FF">
        <w:trPr>
          <w:trHeight w:val="315"/>
        </w:trPr>
        <w:tc>
          <w:tcPr>
            <w:tcW w:w="1759" w:type="dxa"/>
            <w:shd w:val="clear" w:color="auto" w:fill="auto"/>
            <w:noWrap/>
            <w:vAlign w:val="center"/>
            <w:hideMark/>
          </w:tcPr>
          <w:p w14:paraId="2E36032B" w14:textId="77777777" w:rsidR="002D7DDD" w:rsidRPr="00B27362" w:rsidRDefault="002D7DDD" w:rsidP="008931FF">
            <w:pPr>
              <w:spacing w:before="0" w:after="0" w:line="276" w:lineRule="auto"/>
              <w:ind w:firstLine="0"/>
              <w:jc w:val="center"/>
              <w:rPr>
                <w:rFonts w:eastAsia="Times New Roman" w:cs="Calibri"/>
                <w:b/>
                <w:color w:val="000000"/>
                <w:sz w:val="18"/>
                <w:szCs w:val="18"/>
                <w:lang w:val="hy-AM"/>
              </w:rPr>
            </w:pPr>
            <w:r w:rsidRPr="00B27362">
              <w:rPr>
                <w:rFonts w:eastAsia="Times New Roman" w:cs="Calibri"/>
                <w:color w:val="000000"/>
                <w:sz w:val="18"/>
                <w:szCs w:val="18"/>
                <w:lang w:val="hy-AM"/>
              </w:rPr>
              <w:t>7-9</w:t>
            </w:r>
          </w:p>
        </w:tc>
        <w:tc>
          <w:tcPr>
            <w:tcW w:w="1818" w:type="dxa"/>
            <w:shd w:val="clear" w:color="auto" w:fill="auto"/>
            <w:noWrap/>
            <w:hideMark/>
          </w:tcPr>
          <w:p w14:paraId="69245E0A"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0.13</w:t>
            </w:r>
          </w:p>
        </w:tc>
        <w:tc>
          <w:tcPr>
            <w:tcW w:w="1711" w:type="dxa"/>
            <w:shd w:val="clear" w:color="auto" w:fill="auto"/>
            <w:noWrap/>
            <w:hideMark/>
          </w:tcPr>
          <w:p w14:paraId="3338822C"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0.16</w:t>
            </w:r>
          </w:p>
        </w:tc>
        <w:tc>
          <w:tcPr>
            <w:tcW w:w="1818" w:type="dxa"/>
            <w:shd w:val="clear" w:color="auto" w:fill="auto"/>
            <w:noWrap/>
            <w:hideMark/>
          </w:tcPr>
          <w:p w14:paraId="19E691FA"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0.16</w:t>
            </w:r>
          </w:p>
        </w:tc>
        <w:tc>
          <w:tcPr>
            <w:tcW w:w="1714" w:type="dxa"/>
            <w:shd w:val="clear" w:color="auto" w:fill="auto"/>
            <w:noWrap/>
            <w:hideMark/>
          </w:tcPr>
          <w:p w14:paraId="3D7ADBF1" w14:textId="77777777" w:rsidR="002D7DDD" w:rsidRPr="00B27362" w:rsidRDefault="002D7DDD" w:rsidP="008931FF">
            <w:pPr>
              <w:spacing w:before="0" w:after="0" w:line="276" w:lineRule="auto"/>
              <w:ind w:firstLine="0"/>
              <w:jc w:val="center"/>
              <w:rPr>
                <w:rFonts w:eastAsia="Times New Roman" w:cs="Calibri"/>
                <w:color w:val="000000"/>
                <w:sz w:val="18"/>
                <w:szCs w:val="18"/>
              </w:rPr>
            </w:pPr>
            <w:r w:rsidRPr="00B27362">
              <w:rPr>
                <w:rFonts w:ascii="Times New Roman" w:eastAsia="Times New Roman" w:hAnsi="Times New Roman" w:cs="Times New Roman"/>
                <w:sz w:val="24"/>
                <w:szCs w:val="24"/>
              </w:rPr>
              <w:t>0.15</w:t>
            </w:r>
          </w:p>
        </w:tc>
      </w:tr>
    </w:tbl>
    <w:p w14:paraId="1EFC58C5" w14:textId="77777777" w:rsidR="002D7DDD" w:rsidRPr="00B27362" w:rsidRDefault="002D7DDD" w:rsidP="002D7DDD">
      <w:pPr>
        <w:spacing w:before="0" w:after="0" w:line="276" w:lineRule="auto"/>
        <w:ind w:right="540" w:firstLine="0"/>
        <w:rPr>
          <w:rFonts w:eastAsia="Calibri" w:cs="Sylfaen"/>
          <w:lang w:val="hy-AM"/>
        </w:rPr>
      </w:pPr>
    </w:p>
    <w:p w14:paraId="51E63CA8" w14:textId="77777777" w:rsidR="002D7DDD" w:rsidRPr="00A855AC" w:rsidRDefault="002D7DDD" w:rsidP="005824C8">
      <w:pPr>
        <w:spacing w:before="0" w:after="0" w:line="276" w:lineRule="auto"/>
        <w:ind w:right="540" w:firstLine="0"/>
        <w:rPr>
          <w:rFonts w:eastAsia="Calibri" w:cs="Sylfaen"/>
          <w:lang w:val="hy-AM"/>
        </w:rPr>
      </w:pPr>
      <w:r w:rsidRPr="00B27362">
        <w:rPr>
          <w:rFonts w:eastAsia="Calibri" w:cs="Sylfaen"/>
          <w:lang w:val="hy-AM"/>
        </w:rPr>
        <w:t>Ինչպես</w:t>
      </w:r>
      <w:r w:rsidRPr="00B27362">
        <w:rPr>
          <w:rFonts w:eastAsia="Calibri" w:cs="Sylfaen"/>
          <w:lang w:val="it-IT"/>
        </w:rPr>
        <w:t xml:space="preserve"> </w:t>
      </w:r>
      <w:r w:rsidRPr="00B27362">
        <w:rPr>
          <w:rFonts w:eastAsia="Calibri" w:cs="Sylfaen"/>
          <w:lang w:val="hy-AM"/>
        </w:rPr>
        <w:t>երևում</w:t>
      </w:r>
      <w:r w:rsidRPr="00B27362">
        <w:rPr>
          <w:rFonts w:eastAsia="Calibri" w:cs="Sylfaen"/>
          <w:lang w:val="it-IT"/>
        </w:rPr>
        <w:t xml:space="preserve"> </w:t>
      </w:r>
      <w:r w:rsidRPr="00B27362">
        <w:rPr>
          <w:rFonts w:eastAsia="Calibri" w:cs="Sylfaen"/>
          <w:lang w:val="hy-AM"/>
        </w:rPr>
        <w:t>է</w:t>
      </w:r>
      <w:r w:rsidRPr="00B27362">
        <w:rPr>
          <w:rFonts w:eastAsia="Calibri" w:cs="Sylfaen"/>
          <w:lang w:val="it-IT"/>
        </w:rPr>
        <w:t xml:space="preserve"> </w:t>
      </w:r>
      <w:r w:rsidRPr="00B27362">
        <w:rPr>
          <w:rFonts w:eastAsia="Calibri" w:cs="Sylfaen"/>
          <w:lang w:val="hy-AM"/>
        </w:rPr>
        <w:t>Գծապատկեր</w:t>
      </w:r>
      <w:r w:rsidRPr="00B27362">
        <w:rPr>
          <w:rFonts w:eastAsia="Calibri" w:cs="Sylfaen"/>
          <w:lang w:val="it-IT"/>
        </w:rPr>
        <w:t xml:space="preserve"> </w:t>
      </w:r>
      <w:r w:rsidRPr="00B27362">
        <w:rPr>
          <w:rFonts w:eastAsia="Calibri" w:cs="Sylfaen"/>
          <w:lang w:val="hy-AM"/>
        </w:rPr>
        <w:t>1.29-ից, իրական ՀՆԱ-ի տարեկան աճի կենտրոնական կանխատեսումներից շեղման ռիսկերը դեպի ներքև են: 2024-2027թթ.</w:t>
      </w:r>
      <w:r w:rsidRPr="00B27362" w:rsidDel="00301E27">
        <w:rPr>
          <w:rFonts w:eastAsia="Calibri" w:cs="Sylfaen"/>
          <w:lang w:val="hy-AM"/>
        </w:rPr>
        <w:t xml:space="preserve"> </w:t>
      </w:r>
      <w:r w:rsidRPr="00B27362">
        <w:rPr>
          <w:rFonts w:eastAsia="Calibri" w:cs="Sylfaen"/>
          <w:lang w:val="hy-AM"/>
        </w:rPr>
        <w:t>տնտեսական աճի ձևավորման ամենաբարձր հավանականությունը գտնվում է կենտրոնական կանխատեսումները պարունակող համապատասխան միջակայքում (Գծապատկեր 1.29-ում այն մուգ կարմիր է, իսկ Աղյուսակ 1.3-ում՝ հոծ նշումով), իսկ դեպի ներքև ռիսկերը ավելի բարձր են։</w:t>
      </w:r>
      <w:r>
        <w:rPr>
          <w:rFonts w:eastAsia="Calibri" w:cs="Sylfaen"/>
          <w:lang w:val="hy-AM"/>
        </w:rPr>
        <w:t xml:space="preserve"> </w:t>
      </w:r>
    </w:p>
    <w:p w14:paraId="54375192" w14:textId="77777777" w:rsidR="00224CD6" w:rsidRPr="00A855AC" w:rsidRDefault="00224CD6" w:rsidP="00224CD6">
      <w:pPr>
        <w:keepNext/>
        <w:keepLines/>
        <w:spacing w:before="240" w:line="276" w:lineRule="auto"/>
        <w:ind w:firstLine="0"/>
        <w:contextualSpacing/>
        <w:jc w:val="left"/>
        <w:outlineLvl w:val="2"/>
        <w:rPr>
          <w:rFonts w:eastAsia="Times New Roman" w:cs="Times New Roman"/>
          <w:b/>
          <w:color w:val="1F497D"/>
          <w:sz w:val="28"/>
          <w:szCs w:val="28"/>
          <w:lang w:val="hy-AM"/>
        </w:rPr>
      </w:pPr>
      <w:bookmarkStart w:id="70" w:name="_Toc170750542"/>
      <w:bookmarkStart w:id="71" w:name="_Toc170926303"/>
      <w:bookmarkEnd w:id="22"/>
      <w:r w:rsidRPr="00A855AC">
        <w:rPr>
          <w:rFonts w:eastAsia="Times New Roman" w:cs="Times New Roman"/>
          <w:b/>
          <w:color w:val="1F497D"/>
          <w:sz w:val="28"/>
          <w:szCs w:val="28"/>
          <w:lang w:val="hy-AM"/>
        </w:rPr>
        <w:t>1.6. ՀԱՄԵՄԱՏՈՒԹՅՈՒՆ ՆԱԽՈՐԴ ԿԱՆԽԱՏԵՍՈՒՄՆԵՐԻ ՀԵՏ</w:t>
      </w:r>
      <w:bookmarkEnd w:id="70"/>
      <w:bookmarkEnd w:id="71"/>
    </w:p>
    <w:p w14:paraId="694123D4" w14:textId="77777777" w:rsidR="00224CD6" w:rsidRPr="00A855AC" w:rsidRDefault="00224CD6" w:rsidP="00224CD6">
      <w:pPr>
        <w:spacing w:before="120" w:after="40" w:line="276" w:lineRule="auto"/>
        <w:ind w:firstLine="0"/>
        <w:rPr>
          <w:rFonts w:eastAsia="Calibri" w:cs="Sylfaen"/>
          <w:b/>
          <w:bCs/>
          <w:i/>
          <w:lang w:val="hy-AM"/>
        </w:rPr>
      </w:pPr>
      <w:r w:rsidRPr="00A855AC">
        <w:rPr>
          <w:rFonts w:eastAsia="Calibri" w:cs="Sylfaen"/>
          <w:b/>
          <w:bCs/>
          <w:i/>
          <w:lang w:val="hy-AM"/>
        </w:rPr>
        <w:t>Աղյուսակ 1.4. ՀՆԱ-ի կանխատեսումները</w:t>
      </w:r>
    </w:p>
    <w:tbl>
      <w:tblPr>
        <w:tblW w:w="957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Look w:val="04A0" w:firstRow="1" w:lastRow="0" w:firstColumn="1" w:lastColumn="0" w:noHBand="0" w:noVBand="1"/>
      </w:tblPr>
      <w:tblGrid>
        <w:gridCol w:w="1406"/>
        <w:gridCol w:w="2274"/>
        <w:gridCol w:w="1179"/>
        <w:gridCol w:w="1179"/>
        <w:gridCol w:w="1179"/>
        <w:gridCol w:w="1179"/>
        <w:gridCol w:w="1179"/>
      </w:tblGrid>
      <w:tr w:rsidR="00224CD6" w:rsidRPr="00A855AC" w14:paraId="0BCE5580" w14:textId="77777777" w:rsidTr="008931FF">
        <w:trPr>
          <w:trHeight w:val="130"/>
        </w:trPr>
        <w:tc>
          <w:tcPr>
            <w:tcW w:w="1406" w:type="dxa"/>
            <w:vMerge w:val="restart"/>
            <w:shd w:val="clear" w:color="auto" w:fill="9CC2E5"/>
            <w:noWrap/>
            <w:vAlign w:val="center"/>
            <w:hideMark/>
          </w:tcPr>
          <w:p w14:paraId="03087B66" w14:textId="77777777" w:rsidR="00224CD6" w:rsidRPr="00A855AC" w:rsidRDefault="00224CD6" w:rsidP="008931FF">
            <w:pPr>
              <w:spacing w:before="0" w:after="0" w:line="276" w:lineRule="auto"/>
              <w:ind w:firstLine="0"/>
              <w:jc w:val="center"/>
              <w:rPr>
                <w:rFonts w:eastAsia="Times New Roman" w:cs="Calibri"/>
                <w:b/>
                <w:bCs/>
                <w:color w:val="000000"/>
                <w:sz w:val="18"/>
                <w:szCs w:val="18"/>
              </w:rPr>
            </w:pPr>
            <w:r w:rsidRPr="00A855AC">
              <w:rPr>
                <w:rFonts w:eastAsia="Times New Roman" w:cs="Calibri"/>
                <w:b/>
                <w:bCs/>
                <w:color w:val="000000"/>
                <w:sz w:val="18"/>
                <w:szCs w:val="18"/>
              </w:rPr>
              <w:t>Ցուցանիշներ</w:t>
            </w:r>
          </w:p>
        </w:tc>
        <w:tc>
          <w:tcPr>
            <w:tcW w:w="2274" w:type="dxa"/>
            <w:vMerge w:val="restart"/>
            <w:shd w:val="clear" w:color="auto" w:fill="9CC2E5"/>
            <w:vAlign w:val="center"/>
            <w:hideMark/>
          </w:tcPr>
          <w:p w14:paraId="7772A36F" w14:textId="77777777" w:rsidR="00224CD6" w:rsidRPr="00A855AC" w:rsidRDefault="00224CD6" w:rsidP="008931FF">
            <w:pPr>
              <w:spacing w:before="0" w:after="0" w:line="276" w:lineRule="auto"/>
              <w:ind w:firstLine="0"/>
              <w:jc w:val="center"/>
              <w:rPr>
                <w:rFonts w:eastAsia="Times New Roman" w:cs="Calibri"/>
                <w:b/>
                <w:bCs/>
                <w:color w:val="000000"/>
                <w:sz w:val="18"/>
                <w:szCs w:val="18"/>
              </w:rPr>
            </w:pPr>
            <w:r w:rsidRPr="00A855AC">
              <w:rPr>
                <w:rFonts w:eastAsia="Times New Roman" w:cs="Calibri"/>
                <w:b/>
                <w:bCs/>
                <w:color w:val="000000"/>
                <w:sz w:val="18"/>
                <w:szCs w:val="18"/>
              </w:rPr>
              <w:t>Ծրագիր</w:t>
            </w:r>
          </w:p>
        </w:tc>
        <w:tc>
          <w:tcPr>
            <w:tcW w:w="1179" w:type="dxa"/>
            <w:shd w:val="clear" w:color="auto" w:fill="9CC2E5"/>
            <w:vAlign w:val="center"/>
          </w:tcPr>
          <w:p w14:paraId="03F4E00D" w14:textId="77777777" w:rsidR="00224CD6" w:rsidRPr="00A855AC" w:rsidRDefault="00224CD6" w:rsidP="008931FF">
            <w:pPr>
              <w:spacing w:before="0" w:after="0" w:line="276" w:lineRule="auto"/>
              <w:ind w:firstLine="0"/>
              <w:jc w:val="center"/>
              <w:rPr>
                <w:rFonts w:eastAsia="Times New Roman" w:cs="Calibri"/>
                <w:b/>
                <w:bCs/>
                <w:sz w:val="18"/>
                <w:szCs w:val="18"/>
              </w:rPr>
            </w:pPr>
            <w:r w:rsidRPr="00A855AC">
              <w:rPr>
                <w:rFonts w:eastAsia="Times New Roman" w:cs="Calibri"/>
                <w:b/>
                <w:bCs/>
                <w:sz w:val="18"/>
                <w:szCs w:val="18"/>
              </w:rPr>
              <w:t>2023</w:t>
            </w:r>
          </w:p>
        </w:tc>
        <w:tc>
          <w:tcPr>
            <w:tcW w:w="1179" w:type="dxa"/>
            <w:shd w:val="clear" w:color="auto" w:fill="9CC2E5"/>
            <w:vAlign w:val="center"/>
            <w:hideMark/>
          </w:tcPr>
          <w:p w14:paraId="64440D8A" w14:textId="77777777" w:rsidR="00224CD6" w:rsidRPr="00A855AC" w:rsidRDefault="00224CD6" w:rsidP="008931FF">
            <w:pPr>
              <w:spacing w:before="0" w:after="0" w:line="276" w:lineRule="auto"/>
              <w:ind w:firstLine="0"/>
              <w:jc w:val="center"/>
              <w:rPr>
                <w:rFonts w:eastAsia="Times New Roman" w:cs="Calibri"/>
                <w:b/>
                <w:bCs/>
                <w:sz w:val="18"/>
                <w:szCs w:val="18"/>
              </w:rPr>
            </w:pPr>
            <w:r w:rsidRPr="00A855AC">
              <w:rPr>
                <w:rFonts w:eastAsia="Times New Roman" w:cs="Calibri"/>
                <w:b/>
                <w:bCs/>
                <w:sz w:val="18"/>
                <w:szCs w:val="18"/>
              </w:rPr>
              <w:t>2024</w:t>
            </w:r>
          </w:p>
        </w:tc>
        <w:tc>
          <w:tcPr>
            <w:tcW w:w="1179" w:type="dxa"/>
            <w:shd w:val="clear" w:color="auto" w:fill="9CC2E5"/>
            <w:vAlign w:val="center"/>
            <w:hideMark/>
          </w:tcPr>
          <w:p w14:paraId="21C85787" w14:textId="77777777" w:rsidR="00224CD6" w:rsidRPr="00A855AC" w:rsidRDefault="00224CD6" w:rsidP="008931FF">
            <w:pPr>
              <w:spacing w:before="0" w:after="0" w:line="276" w:lineRule="auto"/>
              <w:ind w:firstLine="0"/>
              <w:jc w:val="center"/>
              <w:rPr>
                <w:rFonts w:eastAsia="Times New Roman" w:cs="Calibri"/>
                <w:b/>
                <w:bCs/>
                <w:sz w:val="18"/>
                <w:szCs w:val="18"/>
              </w:rPr>
            </w:pPr>
            <w:r w:rsidRPr="00A855AC">
              <w:rPr>
                <w:rFonts w:eastAsia="Times New Roman" w:cs="Calibri"/>
                <w:b/>
                <w:bCs/>
                <w:sz w:val="18"/>
                <w:szCs w:val="18"/>
              </w:rPr>
              <w:t>2025</w:t>
            </w:r>
          </w:p>
        </w:tc>
        <w:tc>
          <w:tcPr>
            <w:tcW w:w="1179" w:type="dxa"/>
            <w:shd w:val="clear" w:color="auto" w:fill="9CC2E5"/>
            <w:vAlign w:val="center"/>
            <w:hideMark/>
          </w:tcPr>
          <w:p w14:paraId="1DD29B34" w14:textId="77777777" w:rsidR="00224CD6" w:rsidRPr="00A855AC" w:rsidRDefault="00224CD6" w:rsidP="008931FF">
            <w:pPr>
              <w:spacing w:before="0" w:after="0" w:line="276" w:lineRule="auto"/>
              <w:ind w:firstLine="0"/>
              <w:jc w:val="left"/>
              <w:rPr>
                <w:rFonts w:eastAsia="Times New Roman" w:cs="Calibri"/>
                <w:b/>
                <w:bCs/>
                <w:sz w:val="18"/>
                <w:szCs w:val="18"/>
              </w:rPr>
            </w:pPr>
            <w:r w:rsidRPr="00A855AC">
              <w:rPr>
                <w:rFonts w:eastAsia="Times New Roman" w:cs="Calibri"/>
                <w:b/>
                <w:bCs/>
                <w:sz w:val="18"/>
                <w:szCs w:val="18"/>
              </w:rPr>
              <w:t>2026</w:t>
            </w:r>
          </w:p>
        </w:tc>
        <w:tc>
          <w:tcPr>
            <w:tcW w:w="1179" w:type="dxa"/>
            <w:shd w:val="clear" w:color="auto" w:fill="9CC2E5"/>
            <w:vAlign w:val="center"/>
            <w:hideMark/>
          </w:tcPr>
          <w:p w14:paraId="3398E678" w14:textId="77777777" w:rsidR="00224CD6" w:rsidRPr="00A855AC" w:rsidRDefault="00224CD6" w:rsidP="008931FF">
            <w:pPr>
              <w:spacing w:before="0" w:after="0" w:line="276" w:lineRule="auto"/>
              <w:ind w:firstLine="0"/>
              <w:jc w:val="center"/>
              <w:rPr>
                <w:rFonts w:eastAsia="Times New Roman" w:cs="Calibri"/>
                <w:b/>
                <w:bCs/>
                <w:sz w:val="18"/>
                <w:szCs w:val="18"/>
              </w:rPr>
            </w:pPr>
            <w:r w:rsidRPr="00A855AC">
              <w:rPr>
                <w:rFonts w:eastAsia="Times New Roman" w:cs="Calibri"/>
                <w:b/>
                <w:bCs/>
                <w:sz w:val="18"/>
                <w:szCs w:val="18"/>
              </w:rPr>
              <w:t>2027</w:t>
            </w:r>
          </w:p>
        </w:tc>
      </w:tr>
      <w:tr w:rsidR="00224CD6" w:rsidRPr="00A855AC" w14:paraId="4DD4FED6" w14:textId="77777777" w:rsidTr="008931FF">
        <w:trPr>
          <w:trHeight w:val="130"/>
        </w:trPr>
        <w:tc>
          <w:tcPr>
            <w:tcW w:w="1406" w:type="dxa"/>
            <w:vMerge/>
            <w:vAlign w:val="center"/>
            <w:hideMark/>
          </w:tcPr>
          <w:p w14:paraId="05B2C30E"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vMerge/>
            <w:vAlign w:val="center"/>
            <w:hideMark/>
          </w:tcPr>
          <w:p w14:paraId="35F1A25D"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179" w:type="dxa"/>
            <w:shd w:val="clear" w:color="auto" w:fill="9CC2E5"/>
          </w:tcPr>
          <w:p w14:paraId="11EE9F0F"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փաստ*/կանխ.</w:t>
            </w:r>
          </w:p>
        </w:tc>
        <w:tc>
          <w:tcPr>
            <w:tcW w:w="1179" w:type="dxa"/>
            <w:shd w:val="clear" w:color="auto" w:fill="9CC2E5"/>
            <w:hideMark/>
          </w:tcPr>
          <w:p w14:paraId="0A58AAB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կանխ.</w:t>
            </w:r>
          </w:p>
        </w:tc>
        <w:tc>
          <w:tcPr>
            <w:tcW w:w="1179" w:type="dxa"/>
            <w:shd w:val="clear" w:color="auto" w:fill="9CC2E5"/>
            <w:hideMark/>
          </w:tcPr>
          <w:p w14:paraId="0698EA2C"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կանխ.</w:t>
            </w:r>
          </w:p>
        </w:tc>
        <w:tc>
          <w:tcPr>
            <w:tcW w:w="1179" w:type="dxa"/>
            <w:shd w:val="clear" w:color="auto" w:fill="9CC2E5"/>
            <w:hideMark/>
          </w:tcPr>
          <w:p w14:paraId="335C515C"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կանխ.</w:t>
            </w:r>
          </w:p>
        </w:tc>
        <w:tc>
          <w:tcPr>
            <w:tcW w:w="1179" w:type="dxa"/>
            <w:shd w:val="clear" w:color="auto" w:fill="9CC2E5"/>
            <w:hideMark/>
          </w:tcPr>
          <w:p w14:paraId="77A9F2D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կանխ.</w:t>
            </w:r>
          </w:p>
        </w:tc>
      </w:tr>
      <w:tr w:rsidR="00224CD6" w:rsidRPr="00A855AC" w14:paraId="1975BDA6" w14:textId="77777777" w:rsidTr="008931FF">
        <w:trPr>
          <w:trHeight w:val="130"/>
        </w:trPr>
        <w:tc>
          <w:tcPr>
            <w:tcW w:w="1406" w:type="dxa"/>
            <w:vMerge w:val="restart"/>
            <w:shd w:val="clear" w:color="auto" w:fill="auto"/>
            <w:vAlign w:val="center"/>
          </w:tcPr>
          <w:p w14:paraId="7F413985"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r w:rsidRPr="00A855AC">
              <w:rPr>
                <w:rFonts w:eastAsia="Times New Roman" w:cs="Calibri"/>
                <w:b/>
                <w:bCs/>
                <w:color w:val="000000"/>
                <w:sz w:val="18"/>
                <w:szCs w:val="18"/>
              </w:rPr>
              <w:t>Անվանական ՀՆԱ, մլրդ դրամ</w:t>
            </w:r>
          </w:p>
        </w:tc>
        <w:tc>
          <w:tcPr>
            <w:tcW w:w="2274" w:type="dxa"/>
            <w:shd w:val="clear" w:color="auto" w:fill="auto"/>
            <w:vAlign w:val="center"/>
          </w:tcPr>
          <w:p w14:paraId="0448A519"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2025-2027 ՄԺԾԾ</w:t>
            </w:r>
          </w:p>
        </w:tc>
        <w:tc>
          <w:tcPr>
            <w:tcW w:w="1179" w:type="dxa"/>
          </w:tcPr>
          <w:p w14:paraId="71F25445"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9,505</w:t>
            </w:r>
          </w:p>
        </w:tc>
        <w:tc>
          <w:tcPr>
            <w:tcW w:w="1179" w:type="dxa"/>
            <w:shd w:val="clear" w:color="auto" w:fill="auto"/>
            <w:noWrap/>
          </w:tcPr>
          <w:p w14:paraId="7897D10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10,235</w:t>
            </w:r>
          </w:p>
        </w:tc>
        <w:tc>
          <w:tcPr>
            <w:tcW w:w="1179" w:type="dxa"/>
            <w:shd w:val="clear" w:color="auto" w:fill="auto"/>
          </w:tcPr>
          <w:p w14:paraId="7339E99A"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11,197</w:t>
            </w:r>
          </w:p>
        </w:tc>
        <w:tc>
          <w:tcPr>
            <w:tcW w:w="1179" w:type="dxa"/>
            <w:shd w:val="clear" w:color="auto" w:fill="auto"/>
            <w:noWrap/>
          </w:tcPr>
          <w:p w14:paraId="0FC3BBD9"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12,309</w:t>
            </w:r>
          </w:p>
        </w:tc>
        <w:tc>
          <w:tcPr>
            <w:tcW w:w="1179" w:type="dxa"/>
            <w:shd w:val="clear" w:color="auto" w:fill="auto"/>
            <w:noWrap/>
          </w:tcPr>
          <w:p w14:paraId="630A33E5"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13,505</w:t>
            </w:r>
          </w:p>
        </w:tc>
      </w:tr>
      <w:tr w:rsidR="00224CD6" w:rsidRPr="00A855AC" w14:paraId="62EE757C" w14:textId="77777777" w:rsidTr="008931FF">
        <w:trPr>
          <w:trHeight w:val="130"/>
        </w:trPr>
        <w:tc>
          <w:tcPr>
            <w:tcW w:w="1406" w:type="dxa"/>
            <w:vMerge/>
            <w:vAlign w:val="center"/>
            <w:hideMark/>
          </w:tcPr>
          <w:p w14:paraId="54F93A88"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78475A34"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 Պետական բյուջե</w:t>
            </w:r>
          </w:p>
        </w:tc>
        <w:tc>
          <w:tcPr>
            <w:tcW w:w="1179" w:type="dxa"/>
          </w:tcPr>
          <w:p w14:paraId="645C852F"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9,450</w:t>
            </w:r>
          </w:p>
        </w:tc>
        <w:tc>
          <w:tcPr>
            <w:tcW w:w="1179" w:type="dxa"/>
            <w:shd w:val="clear" w:color="auto" w:fill="auto"/>
            <w:noWrap/>
          </w:tcPr>
          <w:p w14:paraId="4C6E457F"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10378</w:t>
            </w:r>
          </w:p>
        </w:tc>
        <w:tc>
          <w:tcPr>
            <w:tcW w:w="1179" w:type="dxa"/>
            <w:shd w:val="clear" w:color="auto" w:fill="auto"/>
            <w:hideMark/>
          </w:tcPr>
          <w:p w14:paraId="3D6D08C8"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shd w:val="clear" w:color="auto" w:fill="auto"/>
            <w:noWrap/>
            <w:hideMark/>
          </w:tcPr>
          <w:p w14:paraId="1AF6ACDC"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shd w:val="clear" w:color="auto" w:fill="auto"/>
            <w:noWrap/>
            <w:hideMark/>
          </w:tcPr>
          <w:p w14:paraId="0452435A"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r w:rsidR="00224CD6" w:rsidRPr="00A855AC" w14:paraId="0D2951CB" w14:textId="77777777" w:rsidTr="008931FF">
        <w:trPr>
          <w:trHeight w:val="130"/>
        </w:trPr>
        <w:tc>
          <w:tcPr>
            <w:tcW w:w="1406" w:type="dxa"/>
            <w:vMerge/>
            <w:vAlign w:val="center"/>
            <w:hideMark/>
          </w:tcPr>
          <w:p w14:paraId="711E132D"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29D28C3A"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2024-2026 ՄԺԾԾ</w:t>
            </w:r>
          </w:p>
        </w:tc>
        <w:tc>
          <w:tcPr>
            <w:tcW w:w="1179" w:type="dxa"/>
          </w:tcPr>
          <w:p w14:paraId="0D5A4FAF"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9,533</w:t>
            </w:r>
          </w:p>
        </w:tc>
        <w:tc>
          <w:tcPr>
            <w:tcW w:w="1179" w:type="dxa"/>
            <w:shd w:val="clear" w:color="auto" w:fill="auto"/>
            <w:noWrap/>
            <w:hideMark/>
          </w:tcPr>
          <w:p w14:paraId="5CAFB268"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10459</w:t>
            </w:r>
          </w:p>
        </w:tc>
        <w:tc>
          <w:tcPr>
            <w:tcW w:w="1179" w:type="dxa"/>
            <w:shd w:val="clear" w:color="auto" w:fill="auto"/>
            <w:hideMark/>
          </w:tcPr>
          <w:p w14:paraId="5B5C24B5"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11628</w:t>
            </w:r>
          </w:p>
        </w:tc>
        <w:tc>
          <w:tcPr>
            <w:tcW w:w="1179" w:type="dxa"/>
            <w:shd w:val="clear" w:color="auto" w:fill="auto"/>
            <w:noWrap/>
            <w:hideMark/>
          </w:tcPr>
          <w:p w14:paraId="78F9274A"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12940</w:t>
            </w:r>
          </w:p>
        </w:tc>
        <w:tc>
          <w:tcPr>
            <w:tcW w:w="1179" w:type="dxa"/>
            <w:shd w:val="clear" w:color="auto" w:fill="auto"/>
            <w:noWrap/>
            <w:hideMark/>
          </w:tcPr>
          <w:p w14:paraId="09654589"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r w:rsidR="00224CD6" w:rsidRPr="00A855AC" w14:paraId="3B1A4D16" w14:textId="77777777" w:rsidTr="008931FF">
        <w:trPr>
          <w:trHeight w:val="130"/>
        </w:trPr>
        <w:tc>
          <w:tcPr>
            <w:tcW w:w="1406" w:type="dxa"/>
            <w:vMerge w:val="restart"/>
            <w:shd w:val="clear" w:color="auto" w:fill="auto"/>
            <w:vAlign w:val="center"/>
          </w:tcPr>
          <w:p w14:paraId="053394FE"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r w:rsidRPr="00A855AC">
              <w:rPr>
                <w:rFonts w:eastAsia="Times New Roman" w:cs="Calibri"/>
                <w:b/>
                <w:bCs/>
                <w:color w:val="000000"/>
                <w:sz w:val="18"/>
                <w:szCs w:val="18"/>
              </w:rPr>
              <w:t>Տնտեսական (իրական ՀՆԱ-ի) աճ, %</w:t>
            </w:r>
          </w:p>
        </w:tc>
        <w:tc>
          <w:tcPr>
            <w:tcW w:w="2274" w:type="dxa"/>
            <w:shd w:val="clear" w:color="auto" w:fill="auto"/>
            <w:vAlign w:val="center"/>
          </w:tcPr>
          <w:p w14:paraId="26E78940"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2025-2027 ՄԺԾԾ</w:t>
            </w:r>
          </w:p>
        </w:tc>
        <w:tc>
          <w:tcPr>
            <w:tcW w:w="1179" w:type="dxa"/>
          </w:tcPr>
          <w:p w14:paraId="1B891FD6"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8.7</w:t>
            </w:r>
          </w:p>
        </w:tc>
        <w:tc>
          <w:tcPr>
            <w:tcW w:w="1179" w:type="dxa"/>
            <w:shd w:val="clear" w:color="auto" w:fill="auto"/>
            <w:noWrap/>
          </w:tcPr>
          <w:p w14:paraId="7697286F"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6.3</w:t>
            </w:r>
          </w:p>
        </w:tc>
        <w:tc>
          <w:tcPr>
            <w:tcW w:w="1179" w:type="dxa"/>
            <w:shd w:val="clear" w:color="auto" w:fill="auto"/>
          </w:tcPr>
          <w:p w14:paraId="1FF72668"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5.8</w:t>
            </w:r>
          </w:p>
        </w:tc>
        <w:tc>
          <w:tcPr>
            <w:tcW w:w="1179" w:type="dxa"/>
            <w:shd w:val="clear" w:color="auto" w:fill="auto"/>
            <w:noWrap/>
          </w:tcPr>
          <w:p w14:paraId="678935D3"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5.7</w:t>
            </w:r>
          </w:p>
        </w:tc>
        <w:tc>
          <w:tcPr>
            <w:tcW w:w="1179" w:type="dxa"/>
            <w:shd w:val="clear" w:color="auto" w:fill="auto"/>
            <w:noWrap/>
          </w:tcPr>
          <w:p w14:paraId="15E2DBE3"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5.5</w:t>
            </w:r>
          </w:p>
        </w:tc>
      </w:tr>
      <w:tr w:rsidR="00224CD6" w:rsidRPr="00A855AC" w14:paraId="36156488" w14:textId="77777777" w:rsidTr="008931FF">
        <w:trPr>
          <w:trHeight w:val="130"/>
        </w:trPr>
        <w:tc>
          <w:tcPr>
            <w:tcW w:w="1406" w:type="dxa"/>
            <w:vMerge/>
            <w:vAlign w:val="center"/>
            <w:hideMark/>
          </w:tcPr>
          <w:p w14:paraId="7B0C129D"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19331822"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 Պետական բյուջե</w:t>
            </w:r>
          </w:p>
        </w:tc>
        <w:tc>
          <w:tcPr>
            <w:tcW w:w="1179" w:type="dxa"/>
          </w:tcPr>
          <w:p w14:paraId="58319702"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7.4</w:t>
            </w:r>
          </w:p>
        </w:tc>
        <w:tc>
          <w:tcPr>
            <w:tcW w:w="1179" w:type="dxa"/>
            <w:shd w:val="clear" w:color="auto" w:fill="auto"/>
            <w:noWrap/>
            <w:hideMark/>
          </w:tcPr>
          <w:p w14:paraId="017B0C96"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5.6</w:t>
            </w:r>
          </w:p>
        </w:tc>
        <w:tc>
          <w:tcPr>
            <w:tcW w:w="1179" w:type="dxa"/>
            <w:shd w:val="clear" w:color="auto" w:fill="auto"/>
            <w:hideMark/>
          </w:tcPr>
          <w:p w14:paraId="689E7656"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shd w:val="clear" w:color="auto" w:fill="auto"/>
            <w:noWrap/>
            <w:hideMark/>
          </w:tcPr>
          <w:p w14:paraId="222EA2A7"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shd w:val="clear" w:color="auto" w:fill="auto"/>
            <w:noWrap/>
            <w:hideMark/>
          </w:tcPr>
          <w:p w14:paraId="7222A4B3"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r w:rsidR="00224CD6" w:rsidRPr="00A855AC" w14:paraId="7E82068F" w14:textId="77777777" w:rsidTr="008931FF">
        <w:trPr>
          <w:trHeight w:val="130"/>
        </w:trPr>
        <w:tc>
          <w:tcPr>
            <w:tcW w:w="1406" w:type="dxa"/>
            <w:vMerge/>
            <w:vAlign w:val="center"/>
            <w:hideMark/>
          </w:tcPr>
          <w:p w14:paraId="6DBE98D5"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43FA2501"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2024-2026 ՄԺԾԾ</w:t>
            </w:r>
          </w:p>
        </w:tc>
        <w:tc>
          <w:tcPr>
            <w:tcW w:w="1179" w:type="dxa"/>
          </w:tcPr>
          <w:p w14:paraId="6E6A7A7E"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6.0</w:t>
            </w:r>
          </w:p>
        </w:tc>
        <w:tc>
          <w:tcPr>
            <w:tcW w:w="1179" w:type="dxa"/>
            <w:shd w:val="clear" w:color="auto" w:fill="auto"/>
            <w:noWrap/>
          </w:tcPr>
          <w:p w14:paraId="05EA1988"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5.5</w:t>
            </w:r>
          </w:p>
        </w:tc>
        <w:tc>
          <w:tcPr>
            <w:tcW w:w="1179" w:type="dxa"/>
            <w:shd w:val="clear" w:color="auto" w:fill="auto"/>
          </w:tcPr>
          <w:p w14:paraId="00E21D4C"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5.4</w:t>
            </w:r>
          </w:p>
        </w:tc>
        <w:tc>
          <w:tcPr>
            <w:tcW w:w="1179" w:type="dxa"/>
            <w:shd w:val="clear" w:color="auto" w:fill="auto"/>
            <w:noWrap/>
          </w:tcPr>
          <w:p w14:paraId="7D8AAA7F"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5.4</w:t>
            </w:r>
          </w:p>
        </w:tc>
        <w:tc>
          <w:tcPr>
            <w:tcW w:w="1179" w:type="dxa"/>
            <w:shd w:val="clear" w:color="auto" w:fill="auto"/>
            <w:noWrap/>
            <w:hideMark/>
          </w:tcPr>
          <w:p w14:paraId="4BBBCBB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r w:rsidR="00224CD6" w:rsidRPr="00A855AC" w14:paraId="36CDCCD6" w14:textId="77777777" w:rsidTr="008931FF">
        <w:trPr>
          <w:trHeight w:val="130"/>
        </w:trPr>
        <w:tc>
          <w:tcPr>
            <w:tcW w:w="1406" w:type="dxa"/>
            <w:vMerge w:val="restart"/>
            <w:shd w:val="clear" w:color="auto" w:fill="auto"/>
            <w:vAlign w:val="center"/>
          </w:tcPr>
          <w:p w14:paraId="5D42A42B"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r w:rsidRPr="00A855AC">
              <w:rPr>
                <w:rFonts w:eastAsia="Times New Roman" w:cs="Calibri"/>
                <w:b/>
                <w:bCs/>
                <w:color w:val="000000"/>
                <w:sz w:val="18"/>
                <w:szCs w:val="18"/>
              </w:rPr>
              <w:t>ՀՆԱ-ի դեֆլյատորի աճ, %</w:t>
            </w:r>
          </w:p>
        </w:tc>
        <w:tc>
          <w:tcPr>
            <w:tcW w:w="2274" w:type="dxa"/>
            <w:shd w:val="clear" w:color="auto" w:fill="auto"/>
            <w:vAlign w:val="center"/>
          </w:tcPr>
          <w:p w14:paraId="60A0E826"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2025-2027 ՄԺԾԾ</w:t>
            </w:r>
          </w:p>
        </w:tc>
        <w:tc>
          <w:tcPr>
            <w:tcW w:w="1179" w:type="dxa"/>
          </w:tcPr>
          <w:p w14:paraId="17F6F48A"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2.9</w:t>
            </w:r>
          </w:p>
        </w:tc>
        <w:tc>
          <w:tcPr>
            <w:tcW w:w="1179" w:type="dxa"/>
            <w:shd w:val="clear" w:color="auto" w:fill="auto"/>
            <w:noWrap/>
          </w:tcPr>
          <w:p w14:paraId="781019D6"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1.3</w:t>
            </w:r>
          </w:p>
        </w:tc>
        <w:tc>
          <w:tcPr>
            <w:tcW w:w="1179" w:type="dxa"/>
            <w:shd w:val="clear" w:color="auto" w:fill="auto"/>
          </w:tcPr>
          <w:p w14:paraId="1CBC206E"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3.4</w:t>
            </w:r>
          </w:p>
        </w:tc>
        <w:tc>
          <w:tcPr>
            <w:tcW w:w="1179" w:type="dxa"/>
            <w:shd w:val="clear" w:color="auto" w:fill="auto"/>
            <w:noWrap/>
          </w:tcPr>
          <w:p w14:paraId="7834CED6"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4.0</w:t>
            </w:r>
          </w:p>
        </w:tc>
        <w:tc>
          <w:tcPr>
            <w:tcW w:w="1179" w:type="dxa"/>
            <w:shd w:val="clear" w:color="auto" w:fill="auto"/>
            <w:noWrap/>
          </w:tcPr>
          <w:p w14:paraId="1CEFCE65"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4.0</w:t>
            </w:r>
          </w:p>
        </w:tc>
      </w:tr>
      <w:tr w:rsidR="00224CD6" w:rsidRPr="00A855AC" w14:paraId="7CD2B351" w14:textId="77777777" w:rsidTr="008931FF">
        <w:trPr>
          <w:trHeight w:val="130"/>
        </w:trPr>
        <w:tc>
          <w:tcPr>
            <w:tcW w:w="1406" w:type="dxa"/>
            <w:vMerge/>
            <w:vAlign w:val="center"/>
            <w:hideMark/>
          </w:tcPr>
          <w:p w14:paraId="103806E9"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506DD1F7"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 Պետական բյուջե</w:t>
            </w:r>
          </w:p>
        </w:tc>
        <w:tc>
          <w:tcPr>
            <w:tcW w:w="1179" w:type="dxa"/>
          </w:tcPr>
          <w:p w14:paraId="201CC8D9"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3.5</w:t>
            </w:r>
          </w:p>
        </w:tc>
        <w:tc>
          <w:tcPr>
            <w:tcW w:w="1179" w:type="dxa"/>
            <w:shd w:val="clear" w:color="auto" w:fill="auto"/>
            <w:noWrap/>
            <w:hideMark/>
          </w:tcPr>
          <w:p w14:paraId="0B51F7B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4.0</w:t>
            </w:r>
          </w:p>
        </w:tc>
        <w:tc>
          <w:tcPr>
            <w:tcW w:w="1179" w:type="dxa"/>
            <w:shd w:val="clear" w:color="auto" w:fill="auto"/>
            <w:hideMark/>
          </w:tcPr>
          <w:p w14:paraId="6297E005"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shd w:val="clear" w:color="auto" w:fill="auto"/>
            <w:noWrap/>
            <w:hideMark/>
          </w:tcPr>
          <w:p w14:paraId="777A0BC9"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w:t>
            </w:r>
          </w:p>
        </w:tc>
        <w:tc>
          <w:tcPr>
            <w:tcW w:w="1179" w:type="dxa"/>
            <w:tcBorders>
              <w:top w:val="single" w:sz="4" w:space="0" w:color="4472C4"/>
            </w:tcBorders>
            <w:shd w:val="clear" w:color="auto" w:fill="auto"/>
            <w:noWrap/>
            <w:hideMark/>
          </w:tcPr>
          <w:p w14:paraId="20231469"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r w:rsidR="00224CD6" w:rsidRPr="00A855AC" w14:paraId="7E18E38A" w14:textId="77777777" w:rsidTr="008931FF">
        <w:trPr>
          <w:trHeight w:val="130"/>
        </w:trPr>
        <w:tc>
          <w:tcPr>
            <w:tcW w:w="1406" w:type="dxa"/>
            <w:vMerge/>
            <w:vAlign w:val="center"/>
            <w:hideMark/>
          </w:tcPr>
          <w:p w14:paraId="3A362CF4"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2274" w:type="dxa"/>
            <w:shd w:val="clear" w:color="auto" w:fill="auto"/>
            <w:vAlign w:val="center"/>
            <w:hideMark/>
          </w:tcPr>
          <w:p w14:paraId="4B67504D"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2024-2026 ՄԺԾԾ</w:t>
            </w:r>
          </w:p>
        </w:tc>
        <w:tc>
          <w:tcPr>
            <w:tcW w:w="1179" w:type="dxa"/>
          </w:tcPr>
          <w:p w14:paraId="558074A3"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4.8</w:t>
            </w:r>
          </w:p>
        </w:tc>
        <w:tc>
          <w:tcPr>
            <w:tcW w:w="1179" w:type="dxa"/>
            <w:shd w:val="clear" w:color="auto" w:fill="auto"/>
            <w:noWrap/>
          </w:tcPr>
          <w:p w14:paraId="3C0762D0"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4.0</w:t>
            </w:r>
          </w:p>
        </w:tc>
        <w:tc>
          <w:tcPr>
            <w:tcW w:w="1179" w:type="dxa"/>
            <w:shd w:val="clear" w:color="auto" w:fill="auto"/>
          </w:tcPr>
          <w:p w14:paraId="026697FD"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4.0</w:t>
            </w:r>
          </w:p>
        </w:tc>
        <w:tc>
          <w:tcPr>
            <w:tcW w:w="1179" w:type="dxa"/>
            <w:shd w:val="clear" w:color="auto" w:fill="auto"/>
            <w:noWrap/>
          </w:tcPr>
          <w:p w14:paraId="34E170E5"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4.0</w:t>
            </w:r>
          </w:p>
        </w:tc>
        <w:tc>
          <w:tcPr>
            <w:tcW w:w="1179" w:type="dxa"/>
            <w:shd w:val="clear" w:color="auto" w:fill="auto"/>
            <w:noWrap/>
            <w:hideMark/>
          </w:tcPr>
          <w:p w14:paraId="47B4CC92"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rPr>
              <w:t>-</w:t>
            </w:r>
          </w:p>
        </w:tc>
      </w:tr>
    </w:tbl>
    <w:p w14:paraId="1BDE118E" w14:textId="77777777" w:rsidR="00224CD6" w:rsidRPr="00A855AC" w:rsidRDefault="00224CD6" w:rsidP="00224CD6">
      <w:pPr>
        <w:spacing w:after="160" w:line="276" w:lineRule="auto"/>
        <w:ind w:firstLine="0"/>
        <w:contextualSpacing/>
        <w:jc w:val="left"/>
        <w:rPr>
          <w:rFonts w:eastAsia="Calibri" w:cs="Times New Roman"/>
          <w:i/>
          <w:sz w:val="18"/>
          <w:szCs w:val="16"/>
          <w:lang w:val="hy-AM"/>
        </w:rPr>
      </w:pPr>
      <w:r w:rsidRPr="00A855AC">
        <w:rPr>
          <w:rFonts w:eastAsia="Calibri" w:cs="Times New Roman"/>
          <w:i/>
          <w:sz w:val="18"/>
          <w:szCs w:val="16"/>
          <w:lang w:val="hy-AM"/>
        </w:rPr>
        <w:t>* 202</w:t>
      </w:r>
      <w:r w:rsidRPr="00A855AC">
        <w:rPr>
          <w:rFonts w:eastAsia="Calibri" w:cs="Times New Roman"/>
          <w:i/>
          <w:sz w:val="18"/>
          <w:szCs w:val="16"/>
        </w:rPr>
        <w:t>5</w:t>
      </w:r>
      <w:r w:rsidRPr="00A855AC">
        <w:rPr>
          <w:rFonts w:eastAsia="Calibri" w:cs="Times New Roman"/>
          <w:i/>
          <w:sz w:val="18"/>
          <w:szCs w:val="16"/>
          <w:lang w:val="hy-AM"/>
        </w:rPr>
        <w:t>-202</w:t>
      </w:r>
      <w:r w:rsidRPr="00A855AC">
        <w:rPr>
          <w:rFonts w:eastAsia="Calibri" w:cs="Times New Roman"/>
          <w:i/>
          <w:sz w:val="18"/>
          <w:szCs w:val="16"/>
        </w:rPr>
        <w:t>7</w:t>
      </w:r>
      <w:r w:rsidRPr="00A855AC">
        <w:rPr>
          <w:rFonts w:eastAsia="Calibri" w:cs="Times New Roman"/>
          <w:i/>
          <w:sz w:val="18"/>
          <w:szCs w:val="16"/>
          <w:lang w:val="hy-AM"/>
        </w:rPr>
        <w:t xml:space="preserve"> ՄԺԾԾ համար 202</w:t>
      </w:r>
      <w:r w:rsidRPr="00A855AC">
        <w:rPr>
          <w:rFonts w:eastAsia="Calibri" w:cs="Times New Roman"/>
          <w:i/>
          <w:sz w:val="18"/>
          <w:szCs w:val="16"/>
        </w:rPr>
        <w:t>3</w:t>
      </w:r>
      <w:r w:rsidRPr="00A855AC">
        <w:rPr>
          <w:rFonts w:eastAsia="Calibri" w:cs="Times New Roman"/>
          <w:i/>
          <w:sz w:val="18"/>
          <w:szCs w:val="16"/>
          <w:lang w:val="hy-AM"/>
        </w:rPr>
        <w:t xml:space="preserve">թ. ցուցանիշները փաստացի են </w:t>
      </w:r>
    </w:p>
    <w:p w14:paraId="31544822" w14:textId="77777777" w:rsidR="00224CD6" w:rsidRDefault="00224CD6" w:rsidP="00224CD6">
      <w:pPr>
        <w:spacing w:after="160" w:line="276" w:lineRule="auto"/>
        <w:ind w:firstLine="0"/>
        <w:contextualSpacing/>
        <w:jc w:val="left"/>
        <w:rPr>
          <w:rFonts w:eastAsia="Calibri" w:cs="Times New Roman"/>
          <w:i/>
          <w:sz w:val="18"/>
          <w:szCs w:val="16"/>
          <w:lang w:val="hy-AM"/>
        </w:rPr>
      </w:pPr>
      <w:r w:rsidRPr="00A855AC">
        <w:rPr>
          <w:rFonts w:eastAsia="Calibri" w:cs="Times New Roman"/>
          <w:i/>
          <w:sz w:val="18"/>
          <w:szCs w:val="16"/>
          <w:lang w:val="hy-AM"/>
        </w:rPr>
        <w:t>Աղբյուրը ՝ ՀՀ ՖՆ կանխատեսումներ</w:t>
      </w:r>
    </w:p>
    <w:p w14:paraId="09600823" w14:textId="77777777" w:rsidR="00224CD6" w:rsidRPr="00A855AC" w:rsidRDefault="00224CD6" w:rsidP="00224CD6">
      <w:pPr>
        <w:spacing w:after="160" w:line="276" w:lineRule="auto"/>
        <w:ind w:firstLine="0"/>
        <w:contextualSpacing/>
        <w:jc w:val="left"/>
        <w:rPr>
          <w:rFonts w:eastAsia="Calibri" w:cs="Sylfaen"/>
          <w:b/>
          <w:bCs/>
          <w:i/>
          <w:color w:val="4F81BD"/>
          <w:sz w:val="18"/>
          <w:szCs w:val="16"/>
          <w:lang w:val="hy-AM"/>
        </w:rPr>
      </w:pPr>
    </w:p>
    <w:p w14:paraId="4424DAA4" w14:textId="77777777" w:rsidR="00224CD6" w:rsidRPr="00A855AC" w:rsidRDefault="00224CD6" w:rsidP="00224CD6">
      <w:pPr>
        <w:spacing w:before="120" w:after="40" w:line="276" w:lineRule="auto"/>
        <w:ind w:firstLine="0"/>
        <w:rPr>
          <w:rFonts w:eastAsia="Calibri" w:cs="Sylfaen"/>
          <w:b/>
          <w:bCs/>
          <w:i/>
          <w:lang w:val="hy-AM"/>
        </w:rPr>
      </w:pPr>
      <w:r w:rsidRPr="00A855AC">
        <w:rPr>
          <w:rFonts w:eastAsia="Calibri" w:cs="Sylfaen"/>
          <w:b/>
          <w:bCs/>
          <w:i/>
          <w:lang w:val="hy-AM"/>
        </w:rPr>
        <w:t xml:space="preserve">Աղյուսակ 1.5. Ընթացիկ հաշվի կանխատեսումները </w:t>
      </w:r>
    </w:p>
    <w:tbl>
      <w:tblPr>
        <w:tblW w:w="955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4A0" w:firstRow="1" w:lastRow="0" w:firstColumn="1" w:lastColumn="0" w:noHBand="0" w:noVBand="1"/>
      </w:tblPr>
      <w:tblGrid>
        <w:gridCol w:w="1825"/>
        <w:gridCol w:w="1790"/>
        <w:gridCol w:w="1188"/>
        <w:gridCol w:w="1188"/>
        <w:gridCol w:w="1188"/>
        <w:gridCol w:w="1188"/>
        <w:gridCol w:w="1188"/>
      </w:tblGrid>
      <w:tr w:rsidR="00224CD6" w:rsidRPr="00A855AC" w14:paraId="3D8A97E6" w14:textId="77777777" w:rsidTr="008931FF">
        <w:trPr>
          <w:trHeight w:val="287"/>
        </w:trPr>
        <w:tc>
          <w:tcPr>
            <w:tcW w:w="1825" w:type="dxa"/>
            <w:vMerge w:val="restart"/>
            <w:shd w:val="clear" w:color="auto" w:fill="9CC2E5"/>
            <w:noWrap/>
            <w:vAlign w:val="center"/>
            <w:hideMark/>
          </w:tcPr>
          <w:p w14:paraId="54E49AB2" w14:textId="77777777" w:rsidR="00224CD6" w:rsidRPr="00A855AC" w:rsidRDefault="00224CD6" w:rsidP="008931FF">
            <w:pPr>
              <w:spacing w:before="0" w:after="0" w:line="276" w:lineRule="auto"/>
              <w:ind w:firstLine="0"/>
              <w:jc w:val="center"/>
              <w:rPr>
                <w:rFonts w:eastAsia="Times New Roman" w:cs="Calibri"/>
                <w:b/>
                <w:bCs/>
                <w:color w:val="000000"/>
                <w:sz w:val="18"/>
                <w:szCs w:val="18"/>
              </w:rPr>
            </w:pPr>
            <w:r w:rsidRPr="00A855AC">
              <w:rPr>
                <w:rFonts w:eastAsia="Times New Roman" w:cs="Calibri"/>
                <w:b/>
                <w:bCs/>
                <w:color w:val="000000"/>
                <w:sz w:val="18"/>
                <w:szCs w:val="18"/>
                <w:lang w:val="hy-AM"/>
              </w:rPr>
              <w:t>Ցուցանիշներ</w:t>
            </w:r>
          </w:p>
        </w:tc>
        <w:tc>
          <w:tcPr>
            <w:tcW w:w="1790" w:type="dxa"/>
            <w:vMerge w:val="restart"/>
            <w:shd w:val="clear" w:color="auto" w:fill="9CC2E5"/>
            <w:vAlign w:val="center"/>
            <w:hideMark/>
          </w:tcPr>
          <w:p w14:paraId="610F85B0" w14:textId="77777777" w:rsidR="00224CD6" w:rsidRPr="00A855AC" w:rsidRDefault="00224CD6" w:rsidP="008931FF">
            <w:pPr>
              <w:spacing w:before="0" w:after="0" w:line="276" w:lineRule="auto"/>
              <w:ind w:firstLine="0"/>
              <w:jc w:val="center"/>
              <w:rPr>
                <w:rFonts w:eastAsia="Times New Roman" w:cs="Calibri"/>
                <w:b/>
                <w:bCs/>
                <w:color w:val="000000"/>
                <w:sz w:val="18"/>
                <w:szCs w:val="18"/>
              </w:rPr>
            </w:pPr>
            <w:r w:rsidRPr="00A855AC">
              <w:rPr>
                <w:rFonts w:eastAsia="Times New Roman" w:cs="Calibri"/>
                <w:b/>
                <w:bCs/>
                <w:color w:val="000000"/>
                <w:sz w:val="18"/>
                <w:szCs w:val="18"/>
                <w:lang w:val="hy-AM"/>
              </w:rPr>
              <w:t>Ծրագիր</w:t>
            </w:r>
          </w:p>
        </w:tc>
        <w:tc>
          <w:tcPr>
            <w:tcW w:w="1188" w:type="dxa"/>
            <w:shd w:val="clear" w:color="auto" w:fill="9CC2E5"/>
            <w:vAlign w:val="center"/>
          </w:tcPr>
          <w:p w14:paraId="2B88A7C6" w14:textId="77777777" w:rsidR="00224CD6" w:rsidRPr="00A855AC" w:rsidRDefault="00224CD6" w:rsidP="008931FF">
            <w:pPr>
              <w:spacing w:before="0" w:after="0" w:line="276" w:lineRule="auto"/>
              <w:ind w:firstLine="0"/>
              <w:jc w:val="center"/>
              <w:rPr>
                <w:rFonts w:eastAsia="Times New Roman" w:cs="Calibri"/>
                <w:b/>
                <w:bCs/>
                <w:color w:val="000000"/>
                <w:sz w:val="18"/>
                <w:szCs w:val="18"/>
              </w:rPr>
            </w:pPr>
            <w:r w:rsidRPr="00A855AC">
              <w:rPr>
                <w:rFonts w:eastAsia="Times New Roman" w:cs="Calibri"/>
                <w:b/>
                <w:bCs/>
                <w:sz w:val="18"/>
                <w:szCs w:val="18"/>
              </w:rPr>
              <w:t>2023</w:t>
            </w:r>
          </w:p>
        </w:tc>
        <w:tc>
          <w:tcPr>
            <w:tcW w:w="1188" w:type="dxa"/>
            <w:shd w:val="clear" w:color="auto" w:fill="9CC2E5"/>
            <w:vAlign w:val="center"/>
            <w:hideMark/>
          </w:tcPr>
          <w:p w14:paraId="349933EB" w14:textId="77777777" w:rsidR="00224CD6" w:rsidRPr="00A855AC" w:rsidRDefault="00224CD6" w:rsidP="008931FF">
            <w:pPr>
              <w:spacing w:before="0" w:after="0" w:line="276" w:lineRule="auto"/>
              <w:ind w:firstLine="0"/>
              <w:jc w:val="center"/>
              <w:rPr>
                <w:rFonts w:eastAsia="Times New Roman" w:cs="Calibri"/>
                <w:b/>
                <w:bCs/>
                <w:color w:val="000000"/>
                <w:sz w:val="18"/>
                <w:szCs w:val="18"/>
                <w:lang w:val="hy-AM"/>
              </w:rPr>
            </w:pPr>
            <w:r w:rsidRPr="00A855AC">
              <w:rPr>
                <w:rFonts w:eastAsia="Times New Roman" w:cs="Calibri"/>
                <w:b/>
                <w:bCs/>
                <w:sz w:val="18"/>
                <w:szCs w:val="18"/>
              </w:rPr>
              <w:t>202</w:t>
            </w:r>
            <w:r w:rsidRPr="00A855AC">
              <w:rPr>
                <w:rFonts w:eastAsia="Times New Roman" w:cs="Calibri"/>
                <w:b/>
                <w:bCs/>
                <w:sz w:val="18"/>
                <w:szCs w:val="18"/>
                <w:lang w:val="hy-AM"/>
              </w:rPr>
              <w:t>4</w:t>
            </w:r>
          </w:p>
        </w:tc>
        <w:tc>
          <w:tcPr>
            <w:tcW w:w="1188" w:type="dxa"/>
            <w:shd w:val="clear" w:color="auto" w:fill="9CC2E5"/>
            <w:vAlign w:val="center"/>
            <w:hideMark/>
          </w:tcPr>
          <w:p w14:paraId="746981CE" w14:textId="77777777" w:rsidR="00224CD6" w:rsidRPr="00A855AC" w:rsidRDefault="00224CD6" w:rsidP="008931FF">
            <w:pPr>
              <w:spacing w:before="0" w:after="0" w:line="276" w:lineRule="auto"/>
              <w:ind w:firstLine="0"/>
              <w:jc w:val="center"/>
              <w:rPr>
                <w:rFonts w:eastAsia="Times New Roman" w:cs="Calibri"/>
                <w:b/>
                <w:bCs/>
                <w:color w:val="000000"/>
                <w:sz w:val="18"/>
                <w:szCs w:val="18"/>
                <w:lang w:val="hy-AM"/>
              </w:rPr>
            </w:pPr>
            <w:r w:rsidRPr="00A855AC">
              <w:rPr>
                <w:rFonts w:eastAsia="Times New Roman" w:cs="Calibri"/>
                <w:b/>
                <w:bCs/>
                <w:sz w:val="18"/>
                <w:szCs w:val="18"/>
              </w:rPr>
              <w:t>202</w:t>
            </w:r>
            <w:r w:rsidRPr="00A855AC">
              <w:rPr>
                <w:rFonts w:eastAsia="Times New Roman" w:cs="Calibri"/>
                <w:b/>
                <w:bCs/>
                <w:sz w:val="18"/>
                <w:szCs w:val="18"/>
                <w:lang w:val="hy-AM"/>
              </w:rPr>
              <w:t>5</w:t>
            </w:r>
          </w:p>
        </w:tc>
        <w:tc>
          <w:tcPr>
            <w:tcW w:w="1188" w:type="dxa"/>
            <w:shd w:val="clear" w:color="auto" w:fill="9CC2E5"/>
            <w:vAlign w:val="center"/>
            <w:hideMark/>
          </w:tcPr>
          <w:p w14:paraId="0EA5A7F6" w14:textId="77777777" w:rsidR="00224CD6" w:rsidRPr="00A855AC" w:rsidRDefault="00224CD6" w:rsidP="008931FF">
            <w:pPr>
              <w:spacing w:before="0" w:after="0" w:line="276" w:lineRule="auto"/>
              <w:ind w:firstLine="0"/>
              <w:jc w:val="center"/>
              <w:rPr>
                <w:rFonts w:eastAsia="Times New Roman" w:cs="Calibri"/>
                <w:b/>
                <w:bCs/>
                <w:color w:val="000000"/>
                <w:sz w:val="18"/>
                <w:szCs w:val="18"/>
                <w:lang w:val="hy-AM"/>
              </w:rPr>
            </w:pPr>
            <w:r w:rsidRPr="00A855AC">
              <w:rPr>
                <w:rFonts w:eastAsia="Times New Roman" w:cs="Calibri"/>
                <w:b/>
                <w:bCs/>
                <w:sz w:val="18"/>
                <w:szCs w:val="18"/>
              </w:rPr>
              <w:t>202</w:t>
            </w:r>
            <w:r w:rsidRPr="00A855AC">
              <w:rPr>
                <w:rFonts w:eastAsia="Times New Roman" w:cs="Calibri"/>
                <w:b/>
                <w:bCs/>
                <w:sz w:val="18"/>
                <w:szCs w:val="18"/>
                <w:lang w:val="hy-AM"/>
              </w:rPr>
              <w:t>6</w:t>
            </w:r>
          </w:p>
        </w:tc>
        <w:tc>
          <w:tcPr>
            <w:tcW w:w="1188" w:type="dxa"/>
            <w:shd w:val="clear" w:color="auto" w:fill="9CC2E5"/>
            <w:vAlign w:val="center"/>
            <w:hideMark/>
          </w:tcPr>
          <w:p w14:paraId="0429400B" w14:textId="77777777" w:rsidR="00224CD6" w:rsidRPr="00A855AC" w:rsidRDefault="00224CD6" w:rsidP="008931FF">
            <w:pPr>
              <w:spacing w:before="0" w:after="0" w:line="276" w:lineRule="auto"/>
              <w:ind w:firstLine="0"/>
              <w:jc w:val="center"/>
              <w:rPr>
                <w:rFonts w:eastAsia="Times New Roman" w:cs="Calibri"/>
                <w:b/>
                <w:bCs/>
                <w:color w:val="000000"/>
                <w:sz w:val="18"/>
                <w:szCs w:val="18"/>
                <w:lang w:val="hy-AM"/>
              </w:rPr>
            </w:pPr>
            <w:r w:rsidRPr="00A855AC">
              <w:rPr>
                <w:rFonts w:eastAsia="Times New Roman" w:cs="Calibri"/>
                <w:b/>
                <w:bCs/>
                <w:sz w:val="18"/>
                <w:szCs w:val="18"/>
              </w:rPr>
              <w:t>202</w:t>
            </w:r>
            <w:r w:rsidRPr="00A855AC">
              <w:rPr>
                <w:rFonts w:eastAsia="Times New Roman" w:cs="Calibri"/>
                <w:b/>
                <w:bCs/>
                <w:sz w:val="18"/>
                <w:szCs w:val="18"/>
                <w:lang w:val="hy-AM"/>
              </w:rPr>
              <w:t>7</w:t>
            </w:r>
          </w:p>
        </w:tc>
      </w:tr>
      <w:tr w:rsidR="00224CD6" w:rsidRPr="00A855AC" w14:paraId="162587C5" w14:textId="77777777" w:rsidTr="008931FF">
        <w:trPr>
          <w:trHeight w:val="287"/>
        </w:trPr>
        <w:tc>
          <w:tcPr>
            <w:tcW w:w="1825" w:type="dxa"/>
            <w:vMerge/>
            <w:shd w:val="clear" w:color="auto" w:fill="9CC2E5"/>
            <w:vAlign w:val="center"/>
            <w:hideMark/>
          </w:tcPr>
          <w:p w14:paraId="08F22B59"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790" w:type="dxa"/>
            <w:vMerge/>
            <w:shd w:val="clear" w:color="auto" w:fill="9CC2E5"/>
            <w:vAlign w:val="center"/>
            <w:hideMark/>
          </w:tcPr>
          <w:p w14:paraId="4D75B22C"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188" w:type="dxa"/>
            <w:shd w:val="clear" w:color="auto" w:fill="9CC2E5"/>
            <w:vAlign w:val="center"/>
          </w:tcPr>
          <w:p w14:paraId="37412EB5" w14:textId="77777777" w:rsidR="00224CD6" w:rsidRPr="00A855AC" w:rsidRDefault="00224CD6" w:rsidP="008931FF">
            <w:pPr>
              <w:spacing w:before="0" w:after="0" w:line="276" w:lineRule="auto"/>
              <w:ind w:firstLine="0"/>
              <w:jc w:val="center"/>
              <w:rPr>
                <w:rFonts w:eastAsia="Times New Roman" w:cs="Calibri"/>
                <w:i/>
                <w:iCs/>
                <w:color w:val="000000"/>
                <w:sz w:val="18"/>
                <w:szCs w:val="18"/>
                <w:lang w:val="hy-AM"/>
              </w:rPr>
            </w:pPr>
            <w:r w:rsidRPr="00A855AC">
              <w:rPr>
                <w:rFonts w:eastAsia="Times New Roman" w:cs="Calibri"/>
                <w:i/>
                <w:iCs/>
                <w:color w:val="000000"/>
                <w:sz w:val="18"/>
                <w:szCs w:val="18"/>
                <w:lang w:val="hy-AM"/>
              </w:rPr>
              <w:t>փաստ</w:t>
            </w:r>
            <w:r w:rsidRPr="00A855AC">
              <w:rPr>
                <w:rFonts w:eastAsia="Times New Roman" w:cs="Calibri"/>
                <w:i/>
                <w:iCs/>
                <w:color w:val="000000"/>
                <w:sz w:val="18"/>
                <w:szCs w:val="18"/>
              </w:rPr>
              <w:t xml:space="preserve">* </w:t>
            </w:r>
            <w:r w:rsidRPr="00A855AC">
              <w:rPr>
                <w:rFonts w:eastAsia="Times New Roman" w:cs="Calibri"/>
                <w:i/>
                <w:iCs/>
                <w:color w:val="000000"/>
                <w:sz w:val="18"/>
                <w:szCs w:val="18"/>
                <w:lang w:val="hy-AM"/>
              </w:rPr>
              <w:t>կանխ.</w:t>
            </w:r>
          </w:p>
        </w:tc>
        <w:tc>
          <w:tcPr>
            <w:tcW w:w="1188" w:type="dxa"/>
            <w:shd w:val="clear" w:color="auto" w:fill="9CC2E5"/>
            <w:vAlign w:val="center"/>
            <w:hideMark/>
          </w:tcPr>
          <w:p w14:paraId="5AA99EBC"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lang w:val="hy-AM"/>
              </w:rPr>
              <w:t>կանխ.</w:t>
            </w:r>
          </w:p>
        </w:tc>
        <w:tc>
          <w:tcPr>
            <w:tcW w:w="1188" w:type="dxa"/>
            <w:shd w:val="clear" w:color="auto" w:fill="9CC2E5"/>
            <w:vAlign w:val="center"/>
            <w:hideMark/>
          </w:tcPr>
          <w:p w14:paraId="383B68FD"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lang w:val="hy-AM"/>
              </w:rPr>
              <w:t>կանխ.</w:t>
            </w:r>
          </w:p>
        </w:tc>
        <w:tc>
          <w:tcPr>
            <w:tcW w:w="1188" w:type="dxa"/>
            <w:shd w:val="clear" w:color="auto" w:fill="9CC2E5"/>
            <w:vAlign w:val="center"/>
            <w:hideMark/>
          </w:tcPr>
          <w:p w14:paraId="5A3791D1"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lang w:val="hy-AM"/>
              </w:rPr>
              <w:t>կանխ.</w:t>
            </w:r>
          </w:p>
        </w:tc>
        <w:tc>
          <w:tcPr>
            <w:tcW w:w="1188" w:type="dxa"/>
            <w:shd w:val="clear" w:color="auto" w:fill="9CC2E5"/>
            <w:vAlign w:val="center"/>
            <w:hideMark/>
          </w:tcPr>
          <w:p w14:paraId="20E1EBF3" w14:textId="77777777" w:rsidR="00224CD6" w:rsidRPr="00A855AC" w:rsidRDefault="00224CD6" w:rsidP="008931FF">
            <w:pPr>
              <w:spacing w:before="0" w:after="0" w:line="276" w:lineRule="auto"/>
              <w:ind w:firstLine="0"/>
              <w:jc w:val="center"/>
              <w:rPr>
                <w:rFonts w:eastAsia="Times New Roman" w:cs="Calibri"/>
                <w:i/>
                <w:iCs/>
                <w:color w:val="000000"/>
                <w:sz w:val="18"/>
                <w:szCs w:val="18"/>
              </w:rPr>
            </w:pPr>
            <w:r w:rsidRPr="00A855AC">
              <w:rPr>
                <w:rFonts w:eastAsia="Times New Roman" w:cs="Calibri"/>
                <w:i/>
                <w:iCs/>
                <w:color w:val="000000"/>
                <w:sz w:val="18"/>
                <w:szCs w:val="18"/>
                <w:lang w:val="hy-AM"/>
              </w:rPr>
              <w:t>կանխ.</w:t>
            </w:r>
          </w:p>
        </w:tc>
      </w:tr>
      <w:tr w:rsidR="00224CD6" w:rsidRPr="00A855AC" w14:paraId="38520616" w14:textId="77777777" w:rsidTr="008931FF">
        <w:trPr>
          <w:trHeight w:val="287"/>
        </w:trPr>
        <w:tc>
          <w:tcPr>
            <w:tcW w:w="1825" w:type="dxa"/>
            <w:vMerge w:val="restart"/>
            <w:shd w:val="clear" w:color="auto" w:fill="auto"/>
            <w:vAlign w:val="center"/>
            <w:hideMark/>
          </w:tcPr>
          <w:p w14:paraId="38D656C6"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r w:rsidRPr="00A855AC">
              <w:rPr>
                <w:rFonts w:eastAsia="Times New Roman" w:cs="Calibri"/>
                <w:b/>
                <w:bCs/>
                <w:color w:val="000000"/>
                <w:sz w:val="18"/>
                <w:szCs w:val="18"/>
              </w:rPr>
              <w:t>Ընթացիկ հաշիվ, մլն ԱՄՆ դոլար</w:t>
            </w:r>
          </w:p>
        </w:tc>
        <w:tc>
          <w:tcPr>
            <w:tcW w:w="1790" w:type="dxa"/>
            <w:shd w:val="clear" w:color="auto" w:fill="auto"/>
            <w:vAlign w:val="center"/>
            <w:hideMark/>
          </w:tcPr>
          <w:p w14:paraId="11CBCB57"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w:t>
            </w:r>
            <w:r w:rsidRPr="00A855AC">
              <w:rPr>
                <w:rFonts w:eastAsia="Times New Roman" w:cs="Calibri"/>
                <w:i/>
                <w:iCs/>
                <w:color w:val="000000"/>
                <w:sz w:val="18"/>
                <w:szCs w:val="18"/>
                <w:lang w:val="hy-AM"/>
              </w:rPr>
              <w:t>5</w:t>
            </w:r>
            <w:r w:rsidRPr="00A855AC">
              <w:rPr>
                <w:rFonts w:eastAsia="Times New Roman" w:cs="Calibri"/>
                <w:i/>
                <w:iCs/>
                <w:color w:val="000000"/>
                <w:sz w:val="18"/>
                <w:szCs w:val="18"/>
              </w:rPr>
              <w:t>-202</w:t>
            </w:r>
            <w:r w:rsidRPr="00A855AC">
              <w:rPr>
                <w:rFonts w:eastAsia="Times New Roman" w:cs="Calibri"/>
                <w:i/>
                <w:iCs/>
                <w:color w:val="000000"/>
                <w:sz w:val="18"/>
                <w:szCs w:val="18"/>
                <w:lang w:val="hy-AM"/>
              </w:rPr>
              <w:t>7</w:t>
            </w:r>
            <w:r w:rsidRPr="00A855AC">
              <w:rPr>
                <w:rFonts w:eastAsia="Times New Roman" w:cs="Calibri"/>
                <w:i/>
                <w:iCs/>
                <w:color w:val="000000"/>
                <w:sz w:val="18"/>
                <w:szCs w:val="18"/>
              </w:rPr>
              <w:t xml:space="preserve"> ՄԺԾԾ</w:t>
            </w:r>
          </w:p>
        </w:tc>
        <w:tc>
          <w:tcPr>
            <w:tcW w:w="1188" w:type="dxa"/>
            <w:vAlign w:val="center"/>
          </w:tcPr>
          <w:p w14:paraId="5244812D"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-510.1</w:t>
            </w:r>
          </w:p>
        </w:tc>
        <w:tc>
          <w:tcPr>
            <w:tcW w:w="1188" w:type="dxa"/>
            <w:shd w:val="clear" w:color="auto" w:fill="auto"/>
            <w:noWrap/>
            <w:vAlign w:val="center"/>
          </w:tcPr>
          <w:p w14:paraId="291C7A82"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-742.8</w:t>
            </w:r>
          </w:p>
        </w:tc>
        <w:tc>
          <w:tcPr>
            <w:tcW w:w="1188" w:type="dxa"/>
            <w:shd w:val="clear" w:color="auto" w:fill="auto"/>
            <w:vAlign w:val="center"/>
          </w:tcPr>
          <w:p w14:paraId="44949AED"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-870.9</w:t>
            </w:r>
          </w:p>
        </w:tc>
        <w:tc>
          <w:tcPr>
            <w:tcW w:w="1188" w:type="dxa"/>
            <w:shd w:val="clear" w:color="auto" w:fill="auto"/>
            <w:noWrap/>
            <w:vAlign w:val="center"/>
          </w:tcPr>
          <w:p w14:paraId="14085DCD"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-1,206.8</w:t>
            </w:r>
          </w:p>
        </w:tc>
        <w:tc>
          <w:tcPr>
            <w:tcW w:w="1188" w:type="dxa"/>
            <w:shd w:val="clear" w:color="auto" w:fill="auto"/>
            <w:noWrap/>
            <w:vAlign w:val="center"/>
          </w:tcPr>
          <w:p w14:paraId="200343F0"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-1,425.9</w:t>
            </w:r>
          </w:p>
        </w:tc>
      </w:tr>
      <w:tr w:rsidR="00224CD6" w:rsidRPr="00A855AC" w14:paraId="52883669" w14:textId="77777777" w:rsidTr="008931FF">
        <w:trPr>
          <w:trHeight w:val="287"/>
        </w:trPr>
        <w:tc>
          <w:tcPr>
            <w:tcW w:w="1825" w:type="dxa"/>
            <w:vMerge/>
            <w:vAlign w:val="center"/>
            <w:hideMark/>
          </w:tcPr>
          <w:p w14:paraId="3DC040CD"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790" w:type="dxa"/>
            <w:shd w:val="clear" w:color="auto" w:fill="auto"/>
            <w:vAlign w:val="center"/>
            <w:hideMark/>
          </w:tcPr>
          <w:p w14:paraId="1382C4E7"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w:t>
            </w:r>
            <w:r w:rsidRPr="00A855AC">
              <w:rPr>
                <w:rFonts w:eastAsia="Times New Roman" w:cs="Calibri"/>
                <w:i/>
                <w:iCs/>
                <w:color w:val="000000"/>
                <w:sz w:val="18"/>
                <w:szCs w:val="18"/>
                <w:lang w:val="hy-AM"/>
              </w:rPr>
              <w:t>4</w:t>
            </w:r>
            <w:r w:rsidRPr="00A855AC">
              <w:rPr>
                <w:rFonts w:eastAsia="Times New Roman" w:cs="Calibri"/>
                <w:i/>
                <w:iCs/>
                <w:color w:val="000000"/>
                <w:sz w:val="18"/>
                <w:szCs w:val="18"/>
              </w:rPr>
              <w:t xml:space="preserve"> Պետական բյուջե</w:t>
            </w:r>
          </w:p>
        </w:tc>
        <w:tc>
          <w:tcPr>
            <w:tcW w:w="1188" w:type="dxa"/>
          </w:tcPr>
          <w:p w14:paraId="1AC88FE3"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Times New Roman"/>
                <w:bCs/>
                <w:sz w:val="20"/>
                <w:szCs w:val="20"/>
              </w:rPr>
              <w:t>-965.8</w:t>
            </w:r>
          </w:p>
        </w:tc>
        <w:tc>
          <w:tcPr>
            <w:tcW w:w="1188" w:type="dxa"/>
            <w:shd w:val="clear" w:color="auto" w:fill="auto"/>
            <w:noWrap/>
          </w:tcPr>
          <w:p w14:paraId="1B44B343"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Times New Roman"/>
                <w:bCs/>
                <w:sz w:val="20"/>
                <w:szCs w:val="20"/>
              </w:rPr>
              <w:t>-1,232.1</w:t>
            </w:r>
          </w:p>
        </w:tc>
        <w:tc>
          <w:tcPr>
            <w:tcW w:w="1188" w:type="dxa"/>
            <w:shd w:val="clear" w:color="auto" w:fill="auto"/>
            <w:vAlign w:val="center"/>
          </w:tcPr>
          <w:p w14:paraId="359DC2DE" w14:textId="77777777" w:rsidR="00224CD6" w:rsidRPr="00BE01A2" w:rsidRDefault="00224CD6" w:rsidP="008931FF">
            <w:pPr>
              <w:spacing w:before="0" w:after="0" w:line="276" w:lineRule="auto"/>
              <w:ind w:firstLine="0"/>
              <w:jc w:val="center"/>
              <w:rPr>
                <w:rFonts w:eastAsia="Times New Roman" w:cs="Calibri"/>
                <w:color w:val="000000"/>
                <w:sz w:val="18"/>
                <w:szCs w:val="18"/>
              </w:rPr>
            </w:pPr>
          </w:p>
        </w:tc>
        <w:tc>
          <w:tcPr>
            <w:tcW w:w="1188" w:type="dxa"/>
            <w:shd w:val="clear" w:color="auto" w:fill="auto"/>
            <w:noWrap/>
            <w:vAlign w:val="center"/>
          </w:tcPr>
          <w:p w14:paraId="00499AF7" w14:textId="77777777" w:rsidR="00224CD6" w:rsidRPr="00BE01A2" w:rsidRDefault="00224CD6" w:rsidP="008931FF">
            <w:pPr>
              <w:spacing w:before="0" w:after="0" w:line="276" w:lineRule="auto"/>
              <w:ind w:firstLine="0"/>
              <w:jc w:val="center"/>
              <w:rPr>
                <w:rFonts w:eastAsia="Times New Roman" w:cs="Calibri"/>
                <w:color w:val="000000"/>
                <w:sz w:val="18"/>
                <w:szCs w:val="18"/>
              </w:rPr>
            </w:pPr>
          </w:p>
        </w:tc>
        <w:tc>
          <w:tcPr>
            <w:tcW w:w="1188" w:type="dxa"/>
            <w:shd w:val="clear" w:color="auto" w:fill="auto"/>
            <w:noWrap/>
            <w:vAlign w:val="center"/>
          </w:tcPr>
          <w:p w14:paraId="22CAA0D1" w14:textId="77777777" w:rsidR="00224CD6" w:rsidRPr="00BE01A2" w:rsidRDefault="00224CD6" w:rsidP="008931FF">
            <w:pPr>
              <w:spacing w:before="0" w:after="0" w:line="276" w:lineRule="auto"/>
              <w:ind w:firstLine="0"/>
              <w:jc w:val="center"/>
              <w:rPr>
                <w:rFonts w:eastAsia="Times New Roman" w:cs="Calibri"/>
                <w:color w:val="000000"/>
                <w:sz w:val="18"/>
                <w:szCs w:val="18"/>
              </w:rPr>
            </w:pPr>
          </w:p>
        </w:tc>
      </w:tr>
      <w:tr w:rsidR="00224CD6" w:rsidRPr="00A855AC" w14:paraId="1529A78C" w14:textId="77777777" w:rsidTr="008931FF">
        <w:trPr>
          <w:trHeight w:val="287"/>
        </w:trPr>
        <w:tc>
          <w:tcPr>
            <w:tcW w:w="1825" w:type="dxa"/>
            <w:vMerge/>
            <w:vAlign w:val="center"/>
            <w:hideMark/>
          </w:tcPr>
          <w:p w14:paraId="4E9C431E"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790" w:type="dxa"/>
            <w:shd w:val="clear" w:color="auto" w:fill="auto"/>
            <w:vAlign w:val="center"/>
            <w:hideMark/>
          </w:tcPr>
          <w:p w14:paraId="5BC7C218"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2024-2026 ՄԺԾԾ</w:t>
            </w:r>
          </w:p>
        </w:tc>
        <w:tc>
          <w:tcPr>
            <w:tcW w:w="1188" w:type="dxa"/>
            <w:vAlign w:val="center"/>
          </w:tcPr>
          <w:p w14:paraId="196DF7A6"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-596.1</w:t>
            </w:r>
          </w:p>
        </w:tc>
        <w:tc>
          <w:tcPr>
            <w:tcW w:w="1188" w:type="dxa"/>
            <w:shd w:val="clear" w:color="auto" w:fill="auto"/>
            <w:noWrap/>
            <w:vAlign w:val="center"/>
            <w:hideMark/>
          </w:tcPr>
          <w:p w14:paraId="2AC2687C"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-832.3</w:t>
            </w:r>
          </w:p>
        </w:tc>
        <w:tc>
          <w:tcPr>
            <w:tcW w:w="1188" w:type="dxa"/>
            <w:shd w:val="clear" w:color="auto" w:fill="auto"/>
            <w:vAlign w:val="center"/>
            <w:hideMark/>
          </w:tcPr>
          <w:p w14:paraId="7F2F13F7"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-1,093.6</w:t>
            </w:r>
          </w:p>
        </w:tc>
        <w:tc>
          <w:tcPr>
            <w:tcW w:w="1188" w:type="dxa"/>
            <w:shd w:val="clear" w:color="auto" w:fill="auto"/>
            <w:noWrap/>
            <w:vAlign w:val="center"/>
            <w:hideMark/>
          </w:tcPr>
          <w:p w14:paraId="4C1DF067"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-1,377.0</w:t>
            </w:r>
          </w:p>
        </w:tc>
        <w:tc>
          <w:tcPr>
            <w:tcW w:w="1188" w:type="dxa"/>
            <w:shd w:val="clear" w:color="auto" w:fill="auto"/>
            <w:noWrap/>
            <w:vAlign w:val="center"/>
            <w:hideMark/>
          </w:tcPr>
          <w:p w14:paraId="339C7B0E"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w:t>
            </w:r>
          </w:p>
        </w:tc>
      </w:tr>
      <w:tr w:rsidR="00224CD6" w:rsidRPr="00A855AC" w14:paraId="06199C8E" w14:textId="77777777" w:rsidTr="008931FF">
        <w:trPr>
          <w:trHeight w:val="287"/>
        </w:trPr>
        <w:tc>
          <w:tcPr>
            <w:tcW w:w="1825" w:type="dxa"/>
            <w:vMerge w:val="restart"/>
            <w:shd w:val="clear" w:color="auto" w:fill="auto"/>
            <w:vAlign w:val="center"/>
            <w:hideMark/>
          </w:tcPr>
          <w:p w14:paraId="7A0D6911"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r w:rsidRPr="00A855AC">
              <w:rPr>
                <w:rFonts w:eastAsia="Times New Roman" w:cs="Calibri"/>
                <w:b/>
                <w:bCs/>
                <w:color w:val="000000"/>
                <w:sz w:val="18"/>
                <w:szCs w:val="18"/>
              </w:rPr>
              <w:t>Ընթացիկ հաշիվ, %-ով՝ ՀՆԱ-ի նկատմամբ</w:t>
            </w:r>
          </w:p>
        </w:tc>
        <w:tc>
          <w:tcPr>
            <w:tcW w:w="1790" w:type="dxa"/>
            <w:shd w:val="clear" w:color="auto" w:fill="auto"/>
            <w:vAlign w:val="center"/>
            <w:hideMark/>
          </w:tcPr>
          <w:p w14:paraId="6F84AEC1"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w:t>
            </w:r>
            <w:r w:rsidRPr="00A855AC">
              <w:rPr>
                <w:rFonts w:eastAsia="Times New Roman" w:cs="Calibri"/>
                <w:i/>
                <w:iCs/>
                <w:color w:val="000000"/>
                <w:sz w:val="18"/>
                <w:szCs w:val="18"/>
                <w:lang w:val="hy-AM"/>
              </w:rPr>
              <w:t>5</w:t>
            </w:r>
            <w:r w:rsidRPr="00A855AC">
              <w:rPr>
                <w:rFonts w:eastAsia="Times New Roman" w:cs="Calibri"/>
                <w:i/>
                <w:iCs/>
                <w:color w:val="000000"/>
                <w:sz w:val="18"/>
                <w:szCs w:val="18"/>
              </w:rPr>
              <w:t>-202</w:t>
            </w:r>
            <w:r w:rsidRPr="00A855AC">
              <w:rPr>
                <w:rFonts w:eastAsia="Times New Roman" w:cs="Calibri"/>
                <w:i/>
                <w:iCs/>
                <w:color w:val="000000"/>
                <w:sz w:val="18"/>
                <w:szCs w:val="18"/>
                <w:lang w:val="hy-AM"/>
              </w:rPr>
              <w:t>7</w:t>
            </w:r>
            <w:r w:rsidRPr="00A855AC">
              <w:rPr>
                <w:rFonts w:eastAsia="Times New Roman" w:cs="Calibri"/>
                <w:i/>
                <w:iCs/>
                <w:color w:val="000000"/>
                <w:sz w:val="18"/>
                <w:szCs w:val="18"/>
              </w:rPr>
              <w:t xml:space="preserve"> ՄԺԾԾ</w:t>
            </w:r>
          </w:p>
        </w:tc>
        <w:tc>
          <w:tcPr>
            <w:tcW w:w="1188" w:type="dxa"/>
            <w:vAlign w:val="center"/>
          </w:tcPr>
          <w:p w14:paraId="50310C70"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-2.1</w:t>
            </w:r>
          </w:p>
        </w:tc>
        <w:tc>
          <w:tcPr>
            <w:tcW w:w="1188" w:type="dxa"/>
            <w:shd w:val="clear" w:color="auto" w:fill="auto"/>
            <w:noWrap/>
            <w:vAlign w:val="center"/>
          </w:tcPr>
          <w:p w14:paraId="04B6F4F1"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-3.0</w:t>
            </w:r>
          </w:p>
        </w:tc>
        <w:tc>
          <w:tcPr>
            <w:tcW w:w="1188" w:type="dxa"/>
            <w:shd w:val="clear" w:color="auto" w:fill="auto"/>
            <w:vAlign w:val="center"/>
          </w:tcPr>
          <w:p w14:paraId="79DF6344"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-3.4</w:t>
            </w:r>
          </w:p>
        </w:tc>
        <w:tc>
          <w:tcPr>
            <w:tcW w:w="1188" w:type="dxa"/>
            <w:shd w:val="clear" w:color="auto" w:fill="auto"/>
            <w:noWrap/>
            <w:vAlign w:val="center"/>
          </w:tcPr>
          <w:p w14:paraId="09F01DDE"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-4.4</w:t>
            </w:r>
          </w:p>
        </w:tc>
        <w:tc>
          <w:tcPr>
            <w:tcW w:w="1188" w:type="dxa"/>
            <w:shd w:val="clear" w:color="auto" w:fill="auto"/>
            <w:noWrap/>
            <w:vAlign w:val="center"/>
          </w:tcPr>
          <w:p w14:paraId="5BB6925B"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-4.9</w:t>
            </w:r>
          </w:p>
        </w:tc>
      </w:tr>
      <w:tr w:rsidR="00224CD6" w:rsidRPr="00A855AC" w14:paraId="0EC016A6" w14:textId="77777777" w:rsidTr="008931FF">
        <w:trPr>
          <w:trHeight w:val="287"/>
        </w:trPr>
        <w:tc>
          <w:tcPr>
            <w:tcW w:w="1825" w:type="dxa"/>
            <w:vMerge/>
            <w:vAlign w:val="center"/>
            <w:hideMark/>
          </w:tcPr>
          <w:p w14:paraId="1F97B1DB"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790" w:type="dxa"/>
            <w:shd w:val="clear" w:color="auto" w:fill="auto"/>
            <w:vAlign w:val="center"/>
            <w:hideMark/>
          </w:tcPr>
          <w:p w14:paraId="198ECFDD"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w:t>
            </w:r>
            <w:r w:rsidRPr="00A855AC">
              <w:rPr>
                <w:rFonts w:eastAsia="Times New Roman" w:cs="Calibri"/>
                <w:i/>
                <w:iCs/>
                <w:color w:val="000000"/>
                <w:sz w:val="18"/>
                <w:szCs w:val="18"/>
                <w:lang w:val="hy-AM"/>
              </w:rPr>
              <w:t>4</w:t>
            </w:r>
            <w:r w:rsidRPr="00A855AC">
              <w:rPr>
                <w:rFonts w:eastAsia="Times New Roman" w:cs="Calibri"/>
                <w:i/>
                <w:iCs/>
                <w:color w:val="000000"/>
                <w:sz w:val="18"/>
                <w:szCs w:val="18"/>
              </w:rPr>
              <w:t xml:space="preserve"> Պետական բյուջե</w:t>
            </w:r>
          </w:p>
        </w:tc>
        <w:tc>
          <w:tcPr>
            <w:tcW w:w="1188" w:type="dxa"/>
            <w:vAlign w:val="center"/>
          </w:tcPr>
          <w:p w14:paraId="16C918B2"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Times New Roman"/>
                <w:bCs/>
                <w:sz w:val="20"/>
                <w:szCs w:val="20"/>
              </w:rPr>
              <w:t>-4.0</w:t>
            </w:r>
          </w:p>
        </w:tc>
        <w:tc>
          <w:tcPr>
            <w:tcW w:w="1188" w:type="dxa"/>
            <w:shd w:val="clear" w:color="auto" w:fill="auto"/>
            <w:noWrap/>
            <w:vAlign w:val="center"/>
          </w:tcPr>
          <w:p w14:paraId="3BC51C1D"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Times New Roman"/>
                <w:bCs/>
                <w:sz w:val="20"/>
                <w:szCs w:val="20"/>
              </w:rPr>
              <w:t>-4.8</w:t>
            </w:r>
          </w:p>
        </w:tc>
        <w:tc>
          <w:tcPr>
            <w:tcW w:w="1188" w:type="dxa"/>
            <w:shd w:val="clear" w:color="auto" w:fill="auto"/>
            <w:vAlign w:val="center"/>
            <w:hideMark/>
          </w:tcPr>
          <w:p w14:paraId="13D447E6"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w:t>
            </w:r>
          </w:p>
        </w:tc>
        <w:tc>
          <w:tcPr>
            <w:tcW w:w="1188" w:type="dxa"/>
            <w:shd w:val="clear" w:color="auto" w:fill="auto"/>
            <w:noWrap/>
            <w:vAlign w:val="center"/>
            <w:hideMark/>
          </w:tcPr>
          <w:p w14:paraId="51D70158"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w:t>
            </w:r>
          </w:p>
        </w:tc>
        <w:tc>
          <w:tcPr>
            <w:tcW w:w="1188" w:type="dxa"/>
            <w:shd w:val="clear" w:color="auto" w:fill="auto"/>
            <w:noWrap/>
            <w:vAlign w:val="center"/>
            <w:hideMark/>
          </w:tcPr>
          <w:p w14:paraId="405B6F0D"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w:t>
            </w:r>
          </w:p>
        </w:tc>
      </w:tr>
      <w:tr w:rsidR="00224CD6" w:rsidRPr="00A855AC" w14:paraId="7CC67243" w14:textId="77777777" w:rsidTr="008931FF">
        <w:trPr>
          <w:trHeight w:val="287"/>
        </w:trPr>
        <w:tc>
          <w:tcPr>
            <w:tcW w:w="1825" w:type="dxa"/>
            <w:vMerge/>
            <w:vAlign w:val="center"/>
            <w:hideMark/>
          </w:tcPr>
          <w:p w14:paraId="7A31985F" w14:textId="77777777" w:rsidR="00224CD6" w:rsidRPr="00A855AC" w:rsidRDefault="00224CD6" w:rsidP="008931FF">
            <w:pPr>
              <w:spacing w:before="0" w:after="0" w:line="276" w:lineRule="auto"/>
              <w:ind w:firstLine="0"/>
              <w:jc w:val="left"/>
              <w:rPr>
                <w:rFonts w:eastAsia="Times New Roman" w:cs="Calibri"/>
                <w:b/>
                <w:bCs/>
                <w:color w:val="000000"/>
                <w:sz w:val="18"/>
                <w:szCs w:val="18"/>
              </w:rPr>
            </w:pPr>
          </w:p>
        </w:tc>
        <w:tc>
          <w:tcPr>
            <w:tcW w:w="1790" w:type="dxa"/>
            <w:shd w:val="clear" w:color="auto" w:fill="auto"/>
            <w:vAlign w:val="center"/>
            <w:hideMark/>
          </w:tcPr>
          <w:p w14:paraId="5BAF6BF2" w14:textId="77777777" w:rsidR="00224CD6" w:rsidRPr="00A855AC" w:rsidRDefault="00224CD6" w:rsidP="008931FF">
            <w:pPr>
              <w:spacing w:before="0" w:after="0" w:line="276" w:lineRule="auto"/>
              <w:ind w:firstLine="0"/>
              <w:jc w:val="left"/>
              <w:rPr>
                <w:rFonts w:eastAsia="Times New Roman" w:cs="Calibri"/>
                <w:i/>
                <w:iCs/>
                <w:color w:val="000000"/>
                <w:sz w:val="18"/>
                <w:szCs w:val="18"/>
              </w:rPr>
            </w:pPr>
            <w:r w:rsidRPr="00A855AC">
              <w:rPr>
                <w:rFonts w:eastAsia="Times New Roman" w:cs="Calibri"/>
                <w:i/>
                <w:iCs/>
                <w:color w:val="000000"/>
                <w:sz w:val="18"/>
                <w:szCs w:val="18"/>
              </w:rPr>
              <w:t>2024-2026 ՄԺԾԾ</w:t>
            </w:r>
          </w:p>
        </w:tc>
        <w:tc>
          <w:tcPr>
            <w:tcW w:w="1188" w:type="dxa"/>
            <w:vAlign w:val="center"/>
          </w:tcPr>
          <w:p w14:paraId="73CD116E"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-2.7</w:t>
            </w:r>
          </w:p>
        </w:tc>
        <w:tc>
          <w:tcPr>
            <w:tcW w:w="1188" w:type="dxa"/>
            <w:shd w:val="clear" w:color="auto" w:fill="auto"/>
            <w:noWrap/>
            <w:vAlign w:val="center"/>
            <w:hideMark/>
          </w:tcPr>
          <w:p w14:paraId="1D22A618"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-3.5</w:t>
            </w:r>
          </w:p>
        </w:tc>
        <w:tc>
          <w:tcPr>
            <w:tcW w:w="1188" w:type="dxa"/>
            <w:shd w:val="clear" w:color="auto" w:fill="auto"/>
            <w:vAlign w:val="center"/>
            <w:hideMark/>
          </w:tcPr>
          <w:p w14:paraId="554AA762"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-4.2</w:t>
            </w:r>
          </w:p>
        </w:tc>
        <w:tc>
          <w:tcPr>
            <w:tcW w:w="1188" w:type="dxa"/>
            <w:shd w:val="clear" w:color="auto" w:fill="auto"/>
            <w:noWrap/>
            <w:vAlign w:val="center"/>
            <w:hideMark/>
          </w:tcPr>
          <w:p w14:paraId="2C042B13"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-4.9</w:t>
            </w:r>
          </w:p>
        </w:tc>
        <w:tc>
          <w:tcPr>
            <w:tcW w:w="1188" w:type="dxa"/>
            <w:shd w:val="clear" w:color="auto" w:fill="auto"/>
            <w:noWrap/>
            <w:vAlign w:val="center"/>
            <w:hideMark/>
          </w:tcPr>
          <w:p w14:paraId="36F554E4" w14:textId="77777777" w:rsidR="00224CD6" w:rsidRPr="00BE01A2" w:rsidRDefault="00224CD6" w:rsidP="008931FF">
            <w:pPr>
              <w:spacing w:before="0" w:after="0" w:line="276" w:lineRule="auto"/>
              <w:ind w:firstLine="0"/>
              <w:jc w:val="center"/>
              <w:rPr>
                <w:rFonts w:eastAsia="Times New Roman" w:cs="Calibri"/>
                <w:color w:val="000000"/>
                <w:sz w:val="18"/>
                <w:szCs w:val="18"/>
              </w:rPr>
            </w:pPr>
            <w:r w:rsidRPr="00BE01A2">
              <w:rPr>
                <w:rFonts w:eastAsia="Times New Roman" w:cs="Calibri"/>
                <w:color w:val="000000"/>
                <w:sz w:val="18"/>
                <w:szCs w:val="18"/>
              </w:rPr>
              <w:t>-</w:t>
            </w:r>
          </w:p>
        </w:tc>
      </w:tr>
    </w:tbl>
    <w:p w14:paraId="641A6076" w14:textId="77777777" w:rsidR="00224CD6" w:rsidRPr="00A855AC" w:rsidRDefault="00224CD6" w:rsidP="00224CD6">
      <w:pPr>
        <w:spacing w:before="0" w:after="0" w:line="276" w:lineRule="auto"/>
        <w:ind w:firstLine="0"/>
        <w:rPr>
          <w:rFonts w:eastAsia="Calibri" w:cs="Times New Roman"/>
          <w:sz w:val="18"/>
          <w:szCs w:val="18"/>
          <w:lang w:val="hy-AM"/>
        </w:rPr>
      </w:pPr>
      <w:r w:rsidRPr="00A855AC">
        <w:rPr>
          <w:rFonts w:eastAsia="Calibri" w:cs="Times New Roman"/>
          <w:sz w:val="18"/>
          <w:szCs w:val="18"/>
          <w:lang w:val="hy-AM"/>
        </w:rPr>
        <w:t xml:space="preserve">* </w:t>
      </w:r>
      <w:r w:rsidRPr="00A855AC">
        <w:rPr>
          <w:rFonts w:eastAsia="Times New Roman" w:cs="Calibri"/>
          <w:i/>
          <w:iCs/>
          <w:color w:val="000000"/>
          <w:sz w:val="18"/>
          <w:szCs w:val="18"/>
        </w:rPr>
        <w:t>2025-202</w:t>
      </w:r>
      <w:r w:rsidRPr="00A855AC">
        <w:rPr>
          <w:rFonts w:eastAsia="Times New Roman" w:cs="Calibri"/>
          <w:i/>
          <w:iCs/>
          <w:color w:val="000000"/>
          <w:sz w:val="18"/>
          <w:szCs w:val="18"/>
          <w:lang w:val="hy-AM"/>
        </w:rPr>
        <w:t xml:space="preserve">7 ՄԺԾԾ համար 2023թ. ցուցանիշները փաստացի են </w:t>
      </w:r>
      <w:r w:rsidRPr="00A855AC">
        <w:rPr>
          <w:rFonts w:eastAsia="Calibri" w:cs="Times New Roman"/>
          <w:lang w:val="hy-AM"/>
        </w:rPr>
        <w:t xml:space="preserve">  </w:t>
      </w:r>
    </w:p>
    <w:p w14:paraId="62F36CE6" w14:textId="77777777" w:rsidR="00224CD6" w:rsidRPr="001A687C" w:rsidRDefault="00224CD6" w:rsidP="00224CD6">
      <w:pPr>
        <w:spacing w:before="0" w:after="0" w:line="276" w:lineRule="auto"/>
        <w:ind w:firstLine="0"/>
        <w:rPr>
          <w:rFonts w:eastAsia="Calibri" w:cs="Times New Roman"/>
          <w:sz w:val="18"/>
          <w:szCs w:val="18"/>
          <w:lang w:val="hy-AM"/>
        </w:rPr>
      </w:pPr>
      <w:r w:rsidRPr="00A855AC">
        <w:rPr>
          <w:rFonts w:eastAsia="Calibri" w:cs="Times New Roman"/>
          <w:sz w:val="18"/>
          <w:szCs w:val="18"/>
          <w:lang w:val="hy-AM"/>
        </w:rPr>
        <w:t>Աղբյուրը ՝ ՀՀ ՖՆ կանխատեսումներ</w:t>
      </w:r>
    </w:p>
    <w:p w14:paraId="2FA5B22F" w14:textId="77777777" w:rsidR="00224CD6" w:rsidRDefault="00224CD6" w:rsidP="00224CD6">
      <w:pPr>
        <w:tabs>
          <w:tab w:val="left" w:pos="0"/>
        </w:tabs>
        <w:spacing w:before="120" w:after="0" w:line="276" w:lineRule="auto"/>
        <w:ind w:firstLine="0"/>
        <w:jc w:val="left"/>
        <w:rPr>
          <w:rFonts w:eastAsia="Calibri" w:cs="Sylfaen"/>
          <w:lang w:val="hy-AM"/>
        </w:rPr>
      </w:pPr>
      <w:r>
        <w:rPr>
          <w:rFonts w:eastAsia="Calibri" w:cs="Sylfaen"/>
          <w:lang w:val="hy-AM"/>
        </w:rPr>
        <w:br w:type="page"/>
      </w:r>
    </w:p>
    <w:p w14:paraId="3E5ACE33" w14:textId="77777777" w:rsidR="00080175" w:rsidRPr="001A687C" w:rsidRDefault="00080175" w:rsidP="00C30825">
      <w:pPr>
        <w:keepNext/>
        <w:keepLines/>
        <w:tabs>
          <w:tab w:val="left" w:pos="0"/>
        </w:tabs>
        <w:spacing w:before="120" w:after="0" w:line="276" w:lineRule="auto"/>
        <w:ind w:firstLine="0"/>
        <w:contextualSpacing/>
        <w:jc w:val="left"/>
        <w:outlineLvl w:val="1"/>
        <w:rPr>
          <w:rFonts w:eastAsiaTheme="majorEastAsia" w:cstheme="majorBidi"/>
          <w:b/>
          <w:bCs/>
          <w:caps/>
          <w:color w:val="44546A" w:themeColor="text2"/>
          <w:sz w:val="24"/>
          <w:szCs w:val="24"/>
          <w:lang w:val="hy-AM"/>
        </w:rPr>
      </w:pPr>
      <w:bookmarkStart w:id="72" w:name="_Toc170926304"/>
      <w:r w:rsidRPr="001A687C">
        <w:rPr>
          <w:rFonts w:eastAsiaTheme="majorEastAsia" w:cstheme="majorBidi"/>
          <w:b/>
          <w:bCs/>
          <w:caps/>
          <w:color w:val="44546A" w:themeColor="text2"/>
          <w:sz w:val="24"/>
          <w:szCs w:val="24"/>
          <w:lang w:val="hy-AM"/>
        </w:rPr>
        <w:lastRenderedPageBreak/>
        <w:t>ԳԼՈՒԽ 2. ՀԱՐԿԱԲՅՈՒՋԵՏԱՅԻՆ ՔԱՂԱՔԱԿԱՆՈՒԹՅԱՆ ՀԻՄՆԱԿԱՆ ՈՒՂՂՈՒԹՅՈՒՆՆԵՐԸ ԵՎ ԿԱՆԽԱՏԵՍՈՒՄՆԵՐԸ</w:t>
      </w:r>
      <w:bookmarkEnd w:id="23"/>
      <w:bookmarkEnd w:id="24"/>
      <w:bookmarkEnd w:id="72"/>
    </w:p>
    <w:p w14:paraId="3CA55411" w14:textId="77777777" w:rsidR="00080175" w:rsidRPr="00980271" w:rsidRDefault="00080175" w:rsidP="00C30825">
      <w:pPr>
        <w:tabs>
          <w:tab w:val="left" w:pos="0"/>
        </w:tabs>
        <w:spacing w:before="120" w:after="0" w:line="276" w:lineRule="auto"/>
        <w:ind w:firstLine="0"/>
        <w:rPr>
          <w:sz w:val="24"/>
          <w:szCs w:val="24"/>
          <w:highlight w:val="green"/>
          <w:lang w:val="hy-AM"/>
        </w:rPr>
      </w:pPr>
    </w:p>
    <w:p w14:paraId="7576BD8D" w14:textId="77777777" w:rsidR="001A687C" w:rsidRPr="00FE0674" w:rsidRDefault="001A687C" w:rsidP="001A687C">
      <w:pPr>
        <w:keepNext/>
        <w:keepLines/>
        <w:tabs>
          <w:tab w:val="left" w:pos="0"/>
        </w:tabs>
        <w:spacing w:before="120" w:after="0" w:line="276" w:lineRule="auto"/>
        <w:ind w:firstLine="0"/>
        <w:contextualSpacing/>
        <w:jc w:val="left"/>
        <w:outlineLvl w:val="2"/>
        <w:rPr>
          <w:rFonts w:eastAsia="Times New Roman" w:cs="Times New Roman"/>
          <w:b/>
          <w:color w:val="44546A" w:themeColor="text2"/>
          <w:sz w:val="24"/>
          <w:szCs w:val="24"/>
          <w:lang w:val="hy-AM"/>
        </w:rPr>
      </w:pPr>
      <w:bookmarkStart w:id="73" w:name="_Toc77837852"/>
      <w:bookmarkStart w:id="74" w:name="_Toc106822896"/>
      <w:bookmarkStart w:id="75" w:name="_Toc107428581"/>
      <w:bookmarkStart w:id="76" w:name="_Toc138956186"/>
      <w:bookmarkStart w:id="77" w:name="_Toc170926305"/>
      <w:r w:rsidRPr="00FE0674">
        <w:rPr>
          <w:rFonts w:eastAsia="Times New Roman" w:cs="Times New Roman"/>
          <w:b/>
          <w:color w:val="44546A" w:themeColor="text2"/>
          <w:sz w:val="24"/>
          <w:szCs w:val="24"/>
          <w:lang w:val="hy-AM"/>
        </w:rPr>
        <w:t>2.1. ՀԱՐԿԱԲՅՈՒՋԵՏԱՅԻՆ ԸՆԴՀԱՆՈՒՐ ԱԿՆԱՐԿ ԵՎ ՀԱՐԿԱԲՅՈՒՋԵՏԱՅԻՆ ՇՐՋԱՆԱԿ</w:t>
      </w:r>
      <w:bookmarkEnd w:id="73"/>
      <w:bookmarkEnd w:id="74"/>
      <w:bookmarkEnd w:id="75"/>
      <w:bookmarkEnd w:id="76"/>
      <w:bookmarkEnd w:id="77"/>
    </w:p>
    <w:p w14:paraId="5C31731E" w14:textId="77777777" w:rsidR="00BF0F38"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623006">
        <w:rPr>
          <w:rFonts w:cs="GHEA Grapalat"/>
          <w:lang w:val="hy-AM"/>
        </w:rPr>
        <w:t>2020</w:t>
      </w:r>
      <w:r w:rsidRPr="0048082D">
        <w:rPr>
          <w:rFonts w:cs="GHEA Grapalat"/>
          <w:lang w:val="hy-AM"/>
        </w:rPr>
        <w:t>-</w:t>
      </w:r>
      <w:r w:rsidRPr="00623006">
        <w:rPr>
          <w:rFonts w:cs="GHEA Grapalat"/>
          <w:lang w:val="hy-AM"/>
        </w:rPr>
        <w:t xml:space="preserve">2021 </w:t>
      </w:r>
      <w:r w:rsidRPr="0048082D">
        <w:rPr>
          <w:rFonts w:cs="GHEA Grapalat"/>
          <w:lang w:val="hy-AM"/>
        </w:rPr>
        <w:t xml:space="preserve">թվականներին կորոնավիրուսի համավարակի և 44-օրյա պատերազմի հետևանքներին հակազդելու համար հարկաբյուջետային կանոնների «բացառիկ դեպքի» կարգավորումների ներքո իրականացված հակապարբերաշրջանային խթանող քաղաքականության արդյունքում գրանցված պարտքի բեռի աճից հետո </w:t>
      </w:r>
      <w:r w:rsidRPr="00623006">
        <w:rPr>
          <w:rFonts w:cs="GHEA Grapalat"/>
          <w:lang w:val="hy-AM"/>
        </w:rPr>
        <w:t xml:space="preserve">2022-2023 </w:t>
      </w:r>
      <w:r w:rsidRPr="0048082D">
        <w:rPr>
          <w:rFonts w:cs="GHEA Grapalat"/>
          <w:lang w:val="hy-AM"/>
        </w:rPr>
        <w:t xml:space="preserve">թվականներին հարկաբյուջետային քաղաքականությունը ոչ միայն վերադարձել է բնականոն իրավիճակների տրամաբանությանը, այլև հնարավոր է եղել կտրուկ կրճատել բյուջեի պակասուրդը և կառավարության պարտքի մակարդակը՝ հասցնելով </w:t>
      </w:r>
      <w:r>
        <w:rPr>
          <w:rFonts w:cs="GHEA Grapalat"/>
          <w:lang w:val="hy-AM"/>
        </w:rPr>
        <w:t>վերջինս</w:t>
      </w:r>
      <w:r w:rsidRPr="0048082D">
        <w:rPr>
          <w:rFonts w:cs="GHEA Grapalat"/>
          <w:lang w:val="hy-AM"/>
        </w:rPr>
        <w:t xml:space="preserve"> պա</w:t>
      </w:r>
      <w:r>
        <w:rPr>
          <w:rFonts w:cs="GHEA Grapalat"/>
          <w:lang w:val="hy-AM"/>
        </w:rPr>
        <w:t>ր</w:t>
      </w:r>
      <w:r w:rsidRPr="0048082D">
        <w:rPr>
          <w:rFonts w:cs="GHEA Grapalat"/>
          <w:lang w:val="hy-AM"/>
        </w:rPr>
        <w:t xml:space="preserve">տքի կայունության տեսակետից անվտանգ համարվող </w:t>
      </w:r>
      <w:r w:rsidRPr="00623006">
        <w:rPr>
          <w:rFonts w:cs="GHEA Grapalat"/>
          <w:lang w:val="hy-AM"/>
        </w:rPr>
        <w:t>40-50%-</w:t>
      </w:r>
      <w:r w:rsidRPr="0048082D">
        <w:rPr>
          <w:rFonts w:cs="GHEA Grapalat"/>
          <w:lang w:val="hy-AM"/>
        </w:rPr>
        <w:t>ի միջակայք։ Միաժամանակ, կառավարությունը</w:t>
      </w:r>
      <w:r>
        <w:rPr>
          <w:rFonts w:cs="GHEA Grapalat"/>
          <w:lang w:val="hy-AM"/>
        </w:rPr>
        <w:t xml:space="preserve"> </w:t>
      </w:r>
      <w:r w:rsidRPr="0048082D">
        <w:rPr>
          <w:rFonts w:cs="GHEA Grapalat"/>
          <w:lang w:val="hy-AM"/>
        </w:rPr>
        <w:t xml:space="preserve">սկսել է ձևավորված հարկաբյուջետային տարածքն օգտագործել </w:t>
      </w:r>
      <w:r w:rsidRPr="00925027">
        <w:rPr>
          <w:rFonts w:cs="GHEA Grapalat"/>
          <w:lang w:val="hy-AM"/>
        </w:rPr>
        <w:t>տնտեսական ներուժի բարձրացմանը, այդ թվում՝ կառուցվածքային բարեփոխումներին, ֆիզիկական և մարդկային կապիտալին ուղղվող ծախսերի դերի բարձացման</w:t>
      </w:r>
      <w:r>
        <w:rPr>
          <w:rFonts w:cs="GHEA Grapalat"/>
          <w:lang w:val="hy-AM"/>
        </w:rPr>
        <w:t xml:space="preserve"> համար, այդպիսով ամրապնդելով նաև երկարաժամկետ հարկաբյուջետային կայունությունը։ </w:t>
      </w:r>
      <w:r w:rsidRPr="00623006">
        <w:rPr>
          <w:rFonts w:eastAsia="Calibri" w:cs="Times New Roman"/>
          <w:bCs/>
          <w:lang w:val="hy-AM"/>
        </w:rPr>
        <w:t xml:space="preserve">2024 թվականին հարկաբյուջետային քաղաքականությունը ուղղված է հարկաբյուջետային կանոններին համապատասխանության և կառավարության պարտքի բեռը 50%-ի շրջանակներում պահպանելու ճանապարհով հարկաբյուջետային կայունության երաշխավորմանը, կապիտալ ծախսերի մակարդակի շարունակվող բարելավման՝ հասցնելով այն ՀՆԱ 6.5%-ի, ինչպես նաև ծախսերի արդյունավետության շարունակական բարձրացմանը։ </w:t>
      </w:r>
    </w:p>
    <w:p w14:paraId="701A24FB" w14:textId="77777777" w:rsidR="00BF0F38" w:rsidRPr="009F24B4"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9F24B4">
        <w:rPr>
          <w:lang w:val="hy-AM"/>
        </w:rPr>
        <w:t>Միջնաժամկետ հատվածում հարկաբյուջետային քաղաքականությունն ուղղված կլինի կառուցվածքային բարեփոխումների սահուն ընթացքը երաշխավորելու և ֆիզիկական ու մարդկային կապիտալում ներդրումների մակարդակի էական բարձրացման միջոցով տնտեսության դիմակայունության ամրապնդմանն ու աճի ներուժի բարձրացմանը։ Ընդ որում, այն իրականացվում է նշված բարեփոխումների համար միջնաժամկետի սկզբում «առաջ ընկած» ռեսուրսների ձևավորման ճանապարհով, ինչի արդյունքում բյուջեի պակասուրդը 2024-2025 թթ</w:t>
      </w:r>
      <w:r w:rsidRPr="009F24B4">
        <w:rPr>
          <w:rFonts w:ascii="Cambria Math" w:hAnsi="Cambria Math" w:cs="Cambria Math"/>
          <w:lang w:val="hy-AM"/>
        </w:rPr>
        <w:t>․</w:t>
      </w:r>
      <w:r w:rsidRPr="009F24B4">
        <w:rPr>
          <w:lang w:val="hy-AM"/>
        </w:rPr>
        <w:t xml:space="preserve">-ին կաճի՝ հանգեցնելով կառավարության պարտքի բեռի որոշակի մեծացմանը, որից հետո տեղի կունենա հարկաբյուջետային կոնսոլիդացիա, որով պարտքի բեռը 2026-2027 թվականներին կկայունանա 55%-ի մակարդակում։ Ընդ որում, տնտեսական աճի՝ իր ներուժային մակարդակին մոտենալու պայմաններում հարկաբյուջետային քաղաքականությունը ամբողջական պահանջարկի վրա կունենա չեզոք ազդեցություն։ Միաժամանակ հարկաբյուջետային քաղաքականության համար առաջնահերթ է առկա ռեսուրսների առավել արդյունավետ օգտագործումը և հնարավոր ռիսկերի կառավարման կարողությունների ձևավորումը, ինչը, աճի ներուժի բարձրացման հետ, պետք է երաշխավորի հարկաբյուջետային կայունությունը երկարաժամկետում։ </w:t>
      </w:r>
    </w:p>
    <w:p w14:paraId="36099E48" w14:textId="77777777" w:rsidR="00BF0F38" w:rsidRPr="006226AF"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CF1288">
        <w:rPr>
          <w:rFonts w:cs="GHEA Grapalat"/>
          <w:lang w:val="hy-AM"/>
        </w:rPr>
        <w:t>Միջնաժամկետում հարկային վարչարարության բարելավման, ստվերի դեմ պայքարի, ինչպես նաև հարկային քաղաքականության միջոցառումների արդյունքում ակնկալվում է ապահովել հարկեր/ՀՆԱ հարաբերակցության շարունակական բարելավում՝ 2024թ. 0.5, իսկ միջնաժամկետում միջինում 0.6 տոկոսային կետով</w:t>
      </w:r>
      <w:r>
        <w:rPr>
          <w:rFonts w:cs="GHEA Grapalat"/>
          <w:lang w:val="hy-AM"/>
        </w:rPr>
        <w:t>՝</w:t>
      </w:r>
      <w:r w:rsidRPr="00CF1288">
        <w:rPr>
          <w:rFonts w:cs="GHEA Grapalat"/>
          <w:lang w:val="hy-AM"/>
        </w:rPr>
        <w:t xml:space="preserve">  2027թ</w:t>
      </w:r>
      <w:r w:rsidRPr="00CF1288">
        <w:rPr>
          <w:rFonts w:ascii="Cambria Math" w:hAnsi="Cambria Math" w:cs="Cambria Math"/>
          <w:lang w:val="hy-AM"/>
        </w:rPr>
        <w:t>․</w:t>
      </w:r>
      <w:r w:rsidRPr="00CF1288">
        <w:rPr>
          <w:rFonts w:cs="GHEA Grapalat"/>
          <w:lang w:val="hy-AM"/>
        </w:rPr>
        <w:t xml:space="preserve"> հասցնելով 26.2%-ի: </w:t>
      </w:r>
    </w:p>
    <w:p w14:paraId="2A09F59E" w14:textId="77777777" w:rsidR="00BF0F38" w:rsidRPr="00AA03E4"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AA03E4">
        <w:rPr>
          <w:rFonts w:cs="GHEA Grapalat"/>
          <w:lang w:val="hy-AM"/>
        </w:rPr>
        <w:lastRenderedPageBreak/>
        <w:t xml:space="preserve">Միջնաժամկետ </w:t>
      </w:r>
      <w:r>
        <w:rPr>
          <w:rFonts w:cs="GHEA Grapalat"/>
          <w:lang w:val="hy-AM"/>
        </w:rPr>
        <w:t>հարկաբյուջետային շրջանակում ընթացիկ ծախսերը կայունանում են իրենց վերջին տարիների միջին մակարդակների մոտ՝ ուղենիշ վերցնելով հարկաբյուջետային կանոնի տրամաբանությունից, իսկ կապիտալ ծախսերը՝ պատմական մակարդակներից զգալիորեն բարձր մակարդակում՝ տնտեսական և անվտանգային ենթակառուցվածքների ամրապնդման համար։  Կ</w:t>
      </w:r>
      <w:r w:rsidRPr="00AA03E4">
        <w:rPr>
          <w:rFonts w:cs="GHEA Grapalat"/>
          <w:lang w:val="hy-AM"/>
        </w:rPr>
        <w:t>ապիտալ ծախսերի կշիռը ՀՆԱ-ում 2025թ</w:t>
      </w:r>
      <w:r w:rsidRPr="00AA03E4">
        <w:rPr>
          <w:rFonts w:ascii="Cambria Math" w:hAnsi="Cambria Math" w:cs="Cambria Math"/>
          <w:lang w:val="hy-AM"/>
        </w:rPr>
        <w:t>․</w:t>
      </w:r>
      <w:r w:rsidRPr="00AA03E4">
        <w:rPr>
          <w:rFonts w:cs="GHEA Grapalat"/>
          <w:lang w:val="hy-AM"/>
        </w:rPr>
        <w:t xml:space="preserve"> </w:t>
      </w:r>
      <w:r>
        <w:rPr>
          <w:rFonts w:cs="GHEA Grapalat"/>
          <w:lang w:val="hy-AM"/>
        </w:rPr>
        <w:t>կ</w:t>
      </w:r>
      <w:r w:rsidRPr="00AA03E4">
        <w:rPr>
          <w:rFonts w:cs="GHEA Grapalat"/>
          <w:lang w:val="hy-AM"/>
        </w:rPr>
        <w:t>հասն</w:t>
      </w:r>
      <w:r>
        <w:rPr>
          <w:rFonts w:cs="GHEA Grapalat"/>
          <w:lang w:val="hy-AM"/>
        </w:rPr>
        <w:t>ի</w:t>
      </w:r>
      <w:r w:rsidRPr="00AA03E4">
        <w:rPr>
          <w:rFonts w:cs="GHEA Grapalat"/>
          <w:lang w:val="hy-AM"/>
        </w:rPr>
        <w:t xml:space="preserve"> 7</w:t>
      </w:r>
      <w:r w:rsidRPr="005E1814">
        <w:rPr>
          <w:rFonts w:cs="GHEA Grapalat"/>
          <w:lang w:val="hy-AM"/>
        </w:rPr>
        <w:t>.0</w:t>
      </w:r>
      <w:r w:rsidRPr="00AA03E4">
        <w:rPr>
          <w:rFonts w:cs="GHEA Grapalat"/>
          <w:lang w:val="hy-AM"/>
        </w:rPr>
        <w:t xml:space="preserve">%-ի, 2026-ին 7.1%, իսկ 2027-ին </w:t>
      </w:r>
      <w:r>
        <w:rPr>
          <w:rFonts w:cs="GHEA Grapalat"/>
          <w:lang w:val="hy-AM"/>
        </w:rPr>
        <w:t>կկազմի</w:t>
      </w:r>
      <w:r w:rsidRPr="00AA03E4">
        <w:rPr>
          <w:rFonts w:cs="GHEA Grapalat"/>
          <w:lang w:val="hy-AM"/>
        </w:rPr>
        <w:t xml:space="preserve"> 6.4%, իսկ ընթացիկ ծախսերը</w:t>
      </w:r>
      <w:r>
        <w:rPr>
          <w:rFonts w:cs="GHEA Grapalat"/>
          <w:lang w:val="hy-AM"/>
        </w:rPr>
        <w:t xml:space="preserve"> 2025թ-ին կկազմեն 24.4</w:t>
      </w:r>
      <w:r w:rsidRPr="00AA03E4">
        <w:rPr>
          <w:rFonts w:cs="GHEA Grapalat"/>
          <w:lang w:val="hy-AM"/>
        </w:rPr>
        <w:t>%</w:t>
      </w:r>
      <w:r>
        <w:rPr>
          <w:rFonts w:cs="GHEA Grapalat"/>
          <w:lang w:val="hy-AM"/>
        </w:rPr>
        <w:t>, այնուհետև կայունանալով 23.9</w:t>
      </w:r>
      <w:r w:rsidRPr="00AA03E4">
        <w:rPr>
          <w:rFonts w:cs="GHEA Grapalat"/>
          <w:lang w:val="hy-AM"/>
        </w:rPr>
        <w:t>%</w:t>
      </w:r>
      <w:r>
        <w:rPr>
          <w:rFonts w:cs="GHEA Grapalat"/>
          <w:lang w:val="hy-AM"/>
        </w:rPr>
        <w:t xml:space="preserve"> մակարդակում:</w:t>
      </w:r>
      <w:r w:rsidRPr="00AA03E4">
        <w:rPr>
          <w:rFonts w:cs="GHEA Grapalat"/>
          <w:lang w:val="hy-AM"/>
        </w:rPr>
        <w:t xml:space="preserve"> </w:t>
      </w:r>
    </w:p>
    <w:p w14:paraId="5B20707C" w14:textId="77777777" w:rsidR="00BF0F38" w:rsidRPr="00BA5014"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BA5014">
        <w:rPr>
          <w:rFonts w:cs="GHEA Grapalat"/>
          <w:lang w:val="hy-AM"/>
        </w:rPr>
        <w:t xml:space="preserve">2025-2027 թթ. ՄԺԾԾ հարկաբյուջետային շրջանակի հիմնական ռիսկերը վերաբերում են մակրոտնտեսական անբարենպաստ զարգացումներին, հարկային եկամուտներ/ՀՆԱ ցուցանիշի թիրախավորված բարելավումների ոչ ամբողջական ապահովմանը, միջազգային ֆինանսական շուկաների իրավիճակի վատթարացմանը և ՀՀ կառավարության փոխառության հնարավորությունների սահմանափակմանը, լրացուցիչ ծախսային կարիքների առաջացմանը,  և ծախսերի թերակատարմանը և ավելի թույլ խթանող ազդակի ձևավորմանը։  Սցենարային վերլուծության միջոցով նշված ռիսկերին տրվել է քանակական արտահայտություն, և դրանց կառավարման համար ձեռնարկվել են համարժեք միջոցառումներ՝ գանձապետական </w:t>
      </w:r>
      <w:r>
        <w:rPr>
          <w:rFonts w:cs="GHEA Grapalat"/>
          <w:lang w:val="hy-AM"/>
        </w:rPr>
        <w:t>կայունացման հաշվում առնվազն</w:t>
      </w:r>
      <w:r w:rsidRPr="00BA5014">
        <w:rPr>
          <w:rFonts w:cs="GHEA Grapalat"/>
          <w:lang w:val="hy-AM"/>
        </w:rPr>
        <w:t xml:space="preserve"> ՀՆԱ 1% չափով «իրացվելիության բարձիկի» ստեղծման ճանապարհով։  </w:t>
      </w:r>
      <w:r w:rsidRPr="0001015D">
        <w:rPr>
          <w:rFonts w:eastAsia="Times New Roman" w:cs="Times New Roman"/>
          <w:lang w:val="hy-AM"/>
        </w:rPr>
        <w:t>Միաժամանակ, տարբեր ռիսկերի առարակայացման պարագայում կառավարությունը կ</w:t>
      </w:r>
      <w:r>
        <w:rPr>
          <w:rFonts w:eastAsia="Times New Roman" w:cs="Times New Roman"/>
          <w:lang w:val="hy-AM"/>
        </w:rPr>
        <w:t>կ</w:t>
      </w:r>
      <w:r w:rsidRPr="0001015D">
        <w:rPr>
          <w:rFonts w:eastAsia="Times New Roman" w:cs="Times New Roman"/>
          <w:lang w:val="hy-AM"/>
        </w:rPr>
        <w:t xml:space="preserve">իրառի հասանելի գործիքները եկամտային ներուժի բարձրացման նպատակով (այդ թվում՝ հարկային վարչարարության լրացուցիչ գործիքների կիրառում), </w:t>
      </w:r>
      <w:r>
        <w:rPr>
          <w:rFonts w:eastAsia="Times New Roman" w:cs="Times New Roman"/>
          <w:lang w:val="hy-AM"/>
        </w:rPr>
        <w:t>կճշգրտվեն</w:t>
      </w:r>
      <w:r w:rsidRPr="0001015D">
        <w:rPr>
          <w:rFonts w:eastAsia="Times New Roman" w:cs="Times New Roman"/>
          <w:lang w:val="hy-AM"/>
        </w:rPr>
        <w:t xml:space="preserve"> </w:t>
      </w:r>
      <w:r w:rsidRPr="00DC1866">
        <w:rPr>
          <w:rFonts w:eastAsia="Times New Roman" w:cs="Times New Roman"/>
          <w:lang w:val="hy-AM"/>
        </w:rPr>
        <w:t>ծախսային առաջնահերթություններ</w:t>
      </w:r>
      <w:r>
        <w:rPr>
          <w:rFonts w:eastAsia="Times New Roman" w:cs="Times New Roman"/>
          <w:lang w:val="hy-AM"/>
        </w:rPr>
        <w:t>ն ու շրջանակը, իսկ հարկաբյուջետային կայունության ռիսկերի առարակայացման դեպքում՝ կվերանայվի նաև հարկաբյուջետային շրջանակը։ Բացի այդ, առաջացող ռիսկերին դիմագրավելու տեսակետից յուրաքանչյուր տարվա պետական բյուջեում կնախատեսվեն լրացուցիչ «բարձիկներ» պահուստային ֆոնդերում։</w:t>
      </w:r>
    </w:p>
    <w:p w14:paraId="068826D5" w14:textId="77777777" w:rsidR="00BF0F38" w:rsidRDefault="00BF0F38" w:rsidP="005824C8">
      <w:pPr>
        <w:tabs>
          <w:tab w:val="left" w:pos="0"/>
          <w:tab w:val="left" w:pos="284"/>
        </w:tabs>
        <w:autoSpaceDE w:val="0"/>
        <w:autoSpaceDN w:val="0"/>
        <w:adjustRightInd w:val="0"/>
        <w:spacing w:before="120" w:after="0" w:line="259" w:lineRule="auto"/>
        <w:ind w:firstLine="0"/>
        <w:jc w:val="left"/>
        <w:rPr>
          <w:rFonts w:eastAsia="Times New Roman" w:cs="Calibri"/>
          <w:iCs/>
          <w:color w:val="000000" w:themeColor="text1"/>
          <w:lang w:val="hy-AM"/>
        </w:rPr>
      </w:pPr>
      <w:r w:rsidRPr="00FD1E05">
        <w:rPr>
          <w:rFonts w:eastAsia="Calibri" w:cs="Sylfaen"/>
          <w:b/>
          <w:bCs/>
          <w:i/>
          <w:iCs/>
          <w:color w:val="000000"/>
          <w:lang w:val="hy-AM"/>
        </w:rPr>
        <w:t xml:space="preserve">Աղյուսակ 2.1. </w:t>
      </w:r>
      <w:r w:rsidRPr="00EA1EBF">
        <w:rPr>
          <w:rFonts w:eastAsia="Calibri" w:cs="Sylfaen"/>
          <w:bCs/>
          <w:lang w:val="hy-AM"/>
        </w:rPr>
        <w:t>202</w:t>
      </w:r>
      <w:r>
        <w:rPr>
          <w:rFonts w:eastAsia="Calibri" w:cs="Sylfaen"/>
          <w:bCs/>
          <w:lang w:val="hy-AM"/>
        </w:rPr>
        <w:t>5</w:t>
      </w:r>
      <w:r w:rsidRPr="00EA1EBF">
        <w:rPr>
          <w:rFonts w:eastAsia="Calibri" w:cs="Sylfaen"/>
          <w:bCs/>
          <w:lang w:val="hy-AM"/>
        </w:rPr>
        <w:t>-202</w:t>
      </w:r>
      <w:r>
        <w:rPr>
          <w:rFonts w:eastAsia="Calibri" w:cs="Sylfaen"/>
          <w:bCs/>
          <w:lang w:val="hy-AM"/>
        </w:rPr>
        <w:t>7</w:t>
      </w:r>
      <w:r w:rsidRPr="00EA1EBF">
        <w:rPr>
          <w:rFonts w:eastAsia="Calibri" w:cs="Sylfaen"/>
          <w:bCs/>
          <w:lang w:val="hy-AM"/>
        </w:rPr>
        <w:t>թթ. ՄԺԾԾ (ներառյալ 202</w:t>
      </w:r>
      <w:r>
        <w:rPr>
          <w:rFonts w:eastAsia="Calibri" w:cs="Sylfaen"/>
          <w:bCs/>
          <w:lang w:val="hy-AM"/>
        </w:rPr>
        <w:t>5</w:t>
      </w:r>
      <w:r w:rsidRPr="00EA1EBF">
        <w:rPr>
          <w:rFonts w:eastAsia="Calibri" w:cs="Sylfaen"/>
          <w:bCs/>
          <w:lang w:val="hy-AM"/>
        </w:rPr>
        <w:t xml:space="preserve">թ. պետական բյուջեի) հարկաբյուջետային շրջանակ, </w:t>
      </w:r>
      <w:r w:rsidRPr="00EA1EBF">
        <w:rPr>
          <w:rFonts w:eastAsia="Times New Roman" w:cs="Calibri"/>
          <w:iCs/>
          <w:color w:val="000000" w:themeColor="text1"/>
          <w:lang w:val="hy-AM"/>
        </w:rPr>
        <w:t>մլրդ դրամ</w:t>
      </w:r>
    </w:p>
    <w:p w14:paraId="30466E6E" w14:textId="77777777" w:rsidR="00BF0F38" w:rsidRDefault="00BF0F38" w:rsidP="00BF0F38">
      <w:pPr>
        <w:tabs>
          <w:tab w:val="left" w:pos="0"/>
          <w:tab w:val="left" w:pos="284"/>
        </w:tabs>
        <w:autoSpaceDE w:val="0"/>
        <w:autoSpaceDN w:val="0"/>
        <w:adjustRightInd w:val="0"/>
        <w:spacing w:before="120" w:after="0" w:line="259" w:lineRule="auto"/>
        <w:ind w:firstLine="0"/>
        <w:jc w:val="left"/>
        <w:rPr>
          <w:rFonts w:eastAsia="Times New Roman" w:cs="Calibri"/>
          <w:iCs/>
          <w:color w:val="000000" w:themeColor="text1"/>
          <w:lang w:val="hy-AM"/>
        </w:rPr>
      </w:pPr>
    </w:p>
    <w:tbl>
      <w:tblPr>
        <w:tblpPr w:leftFromText="180" w:rightFromText="180" w:horzAnchor="margin" w:tblpY="870"/>
        <w:tblW w:w="9620" w:type="dxa"/>
        <w:tblLook w:val="04A0" w:firstRow="1" w:lastRow="0" w:firstColumn="1" w:lastColumn="0" w:noHBand="0" w:noVBand="1"/>
      </w:tblPr>
      <w:tblGrid>
        <w:gridCol w:w="2396"/>
        <w:gridCol w:w="921"/>
        <w:gridCol w:w="1009"/>
        <w:gridCol w:w="1039"/>
        <w:gridCol w:w="1074"/>
        <w:gridCol w:w="1102"/>
        <w:gridCol w:w="1102"/>
        <w:gridCol w:w="977"/>
      </w:tblGrid>
      <w:tr w:rsidR="00BF0F38" w:rsidRPr="009500FC" w14:paraId="1A2099CC" w14:textId="77777777" w:rsidTr="008931FF">
        <w:trPr>
          <w:trHeight w:val="290"/>
        </w:trPr>
        <w:tc>
          <w:tcPr>
            <w:tcW w:w="2398" w:type="dxa"/>
            <w:tcBorders>
              <w:top w:val="single" w:sz="4" w:space="0" w:color="auto"/>
              <w:left w:val="single" w:sz="4" w:space="0" w:color="auto"/>
              <w:bottom w:val="single" w:sz="4" w:space="0" w:color="auto"/>
              <w:right w:val="single" w:sz="4" w:space="0" w:color="auto"/>
            </w:tcBorders>
            <w:shd w:val="clear" w:color="000000" w:fill="5B9BD5"/>
            <w:noWrap/>
            <w:vAlign w:val="center"/>
            <w:hideMark/>
          </w:tcPr>
          <w:p w14:paraId="19073C84" w14:textId="77777777" w:rsidR="00BF0F38" w:rsidRPr="001A79B9" w:rsidRDefault="00BF0F38" w:rsidP="008931FF">
            <w:pPr>
              <w:spacing w:before="0" w:after="0" w:line="240" w:lineRule="auto"/>
              <w:ind w:firstLine="0"/>
              <w:rPr>
                <w:rFonts w:ascii="Calibri" w:eastAsia="Times New Roman" w:hAnsi="Calibri" w:cs="Calibri"/>
                <w:color w:val="FFFFFF"/>
                <w:sz w:val="20"/>
                <w:szCs w:val="20"/>
                <w:lang w:val="hy-AM"/>
              </w:rPr>
            </w:pPr>
            <w:r w:rsidRPr="001A79B9">
              <w:rPr>
                <w:rFonts w:ascii="Calibri" w:eastAsia="Times New Roman" w:hAnsi="Calibri" w:cs="Calibri"/>
                <w:color w:val="FFFFFF"/>
                <w:sz w:val="20"/>
                <w:szCs w:val="20"/>
                <w:lang w:val="hy-AM"/>
              </w:rPr>
              <w:lastRenderedPageBreak/>
              <w:t> </w:t>
            </w:r>
          </w:p>
        </w:tc>
        <w:tc>
          <w:tcPr>
            <w:tcW w:w="922" w:type="dxa"/>
            <w:tcBorders>
              <w:top w:val="single" w:sz="4" w:space="0" w:color="auto"/>
              <w:left w:val="nil"/>
              <w:bottom w:val="single" w:sz="4" w:space="0" w:color="auto"/>
              <w:right w:val="single" w:sz="4" w:space="0" w:color="auto"/>
            </w:tcBorders>
            <w:shd w:val="clear" w:color="000000" w:fill="5B9BD5"/>
            <w:noWrap/>
            <w:vAlign w:val="center"/>
            <w:hideMark/>
          </w:tcPr>
          <w:p w14:paraId="45A96387"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2021</w:t>
            </w:r>
          </w:p>
        </w:tc>
        <w:tc>
          <w:tcPr>
            <w:tcW w:w="1010" w:type="dxa"/>
            <w:tcBorders>
              <w:top w:val="single" w:sz="4" w:space="0" w:color="auto"/>
              <w:left w:val="nil"/>
              <w:bottom w:val="single" w:sz="4" w:space="0" w:color="auto"/>
              <w:right w:val="single" w:sz="4" w:space="0" w:color="auto"/>
            </w:tcBorders>
            <w:shd w:val="clear" w:color="000000" w:fill="5B9BD5"/>
            <w:noWrap/>
            <w:vAlign w:val="center"/>
            <w:hideMark/>
          </w:tcPr>
          <w:p w14:paraId="0E5C0824"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2022</w:t>
            </w:r>
          </w:p>
        </w:tc>
        <w:tc>
          <w:tcPr>
            <w:tcW w:w="1039" w:type="dxa"/>
            <w:tcBorders>
              <w:top w:val="single" w:sz="4" w:space="0" w:color="auto"/>
              <w:left w:val="nil"/>
              <w:bottom w:val="single" w:sz="4" w:space="0" w:color="auto"/>
              <w:right w:val="single" w:sz="4" w:space="0" w:color="auto"/>
            </w:tcBorders>
            <w:shd w:val="clear" w:color="000000" w:fill="5B9BD5"/>
            <w:noWrap/>
            <w:vAlign w:val="center"/>
            <w:hideMark/>
          </w:tcPr>
          <w:p w14:paraId="7BB0F53D"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2023</w:t>
            </w:r>
          </w:p>
        </w:tc>
        <w:tc>
          <w:tcPr>
            <w:tcW w:w="1072" w:type="dxa"/>
            <w:tcBorders>
              <w:top w:val="single" w:sz="4" w:space="0" w:color="auto"/>
              <w:left w:val="nil"/>
              <w:bottom w:val="single" w:sz="4" w:space="0" w:color="auto"/>
              <w:right w:val="single" w:sz="4" w:space="0" w:color="auto"/>
            </w:tcBorders>
            <w:shd w:val="clear" w:color="000000" w:fill="5B9BD5"/>
            <w:noWrap/>
            <w:vAlign w:val="center"/>
            <w:hideMark/>
          </w:tcPr>
          <w:p w14:paraId="4EBD0CC9"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2024</w:t>
            </w:r>
          </w:p>
        </w:tc>
        <w:tc>
          <w:tcPr>
            <w:tcW w:w="1102" w:type="dxa"/>
            <w:tcBorders>
              <w:top w:val="single" w:sz="4" w:space="0" w:color="auto"/>
              <w:left w:val="nil"/>
              <w:bottom w:val="single" w:sz="4" w:space="0" w:color="auto"/>
              <w:right w:val="single" w:sz="4" w:space="0" w:color="auto"/>
            </w:tcBorders>
            <w:shd w:val="clear" w:color="000000" w:fill="5B9BD5"/>
            <w:noWrap/>
            <w:vAlign w:val="center"/>
            <w:hideMark/>
          </w:tcPr>
          <w:p w14:paraId="45A05CF3"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2025</w:t>
            </w:r>
          </w:p>
        </w:tc>
        <w:tc>
          <w:tcPr>
            <w:tcW w:w="1102" w:type="dxa"/>
            <w:tcBorders>
              <w:top w:val="single" w:sz="4" w:space="0" w:color="auto"/>
              <w:left w:val="nil"/>
              <w:bottom w:val="single" w:sz="4" w:space="0" w:color="auto"/>
              <w:right w:val="single" w:sz="4" w:space="0" w:color="auto"/>
            </w:tcBorders>
            <w:shd w:val="clear" w:color="000000" w:fill="5B9BD5"/>
            <w:noWrap/>
            <w:vAlign w:val="center"/>
            <w:hideMark/>
          </w:tcPr>
          <w:p w14:paraId="341ABFA1"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2026</w:t>
            </w:r>
          </w:p>
        </w:tc>
        <w:tc>
          <w:tcPr>
            <w:tcW w:w="975" w:type="dxa"/>
            <w:tcBorders>
              <w:top w:val="single" w:sz="4" w:space="0" w:color="auto"/>
              <w:left w:val="nil"/>
              <w:bottom w:val="single" w:sz="4" w:space="0" w:color="auto"/>
              <w:right w:val="single" w:sz="4" w:space="0" w:color="auto"/>
            </w:tcBorders>
            <w:shd w:val="clear" w:color="000000" w:fill="5B9BD5"/>
            <w:noWrap/>
            <w:vAlign w:val="center"/>
            <w:hideMark/>
          </w:tcPr>
          <w:p w14:paraId="013645CE"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2027</w:t>
            </w:r>
          </w:p>
        </w:tc>
      </w:tr>
      <w:tr w:rsidR="00BF0F38" w:rsidRPr="009500FC" w14:paraId="020FF2C3" w14:textId="77777777" w:rsidTr="008931FF">
        <w:trPr>
          <w:trHeight w:val="290"/>
        </w:trPr>
        <w:tc>
          <w:tcPr>
            <w:tcW w:w="2398" w:type="dxa"/>
            <w:tcBorders>
              <w:top w:val="nil"/>
              <w:left w:val="single" w:sz="4" w:space="0" w:color="auto"/>
              <w:bottom w:val="single" w:sz="4" w:space="0" w:color="auto"/>
              <w:right w:val="single" w:sz="4" w:space="0" w:color="auto"/>
            </w:tcBorders>
            <w:shd w:val="clear" w:color="000000" w:fill="5B9BD5"/>
            <w:noWrap/>
            <w:vAlign w:val="center"/>
            <w:hideMark/>
          </w:tcPr>
          <w:p w14:paraId="6FB8F628" w14:textId="77777777" w:rsidR="00BF0F38" w:rsidRPr="009500FC" w:rsidRDefault="00BF0F38" w:rsidP="008931FF">
            <w:pPr>
              <w:spacing w:before="0" w:after="0" w:line="240" w:lineRule="auto"/>
              <w:ind w:firstLine="0"/>
              <w:jc w:val="center"/>
              <w:rPr>
                <w:rFonts w:eastAsia="Times New Roman" w:cs="Calibri"/>
                <w:i/>
                <w:iCs/>
                <w:color w:val="FFFFFF"/>
                <w:sz w:val="20"/>
                <w:szCs w:val="20"/>
              </w:rPr>
            </w:pPr>
            <w:r w:rsidRPr="009500FC">
              <w:rPr>
                <w:rFonts w:eastAsia="Times New Roman" w:cs="Calibri"/>
                <w:i/>
                <w:iCs/>
                <w:color w:val="FFFFFF"/>
                <w:sz w:val="20"/>
                <w:szCs w:val="20"/>
              </w:rPr>
              <w:t>մլրդ դրամ</w:t>
            </w:r>
          </w:p>
        </w:tc>
        <w:tc>
          <w:tcPr>
            <w:tcW w:w="2971" w:type="dxa"/>
            <w:gridSpan w:val="3"/>
            <w:tcBorders>
              <w:top w:val="single" w:sz="4" w:space="0" w:color="auto"/>
              <w:left w:val="nil"/>
              <w:bottom w:val="single" w:sz="4" w:space="0" w:color="auto"/>
              <w:right w:val="single" w:sz="4" w:space="0" w:color="auto"/>
            </w:tcBorders>
            <w:shd w:val="clear" w:color="000000" w:fill="5B9BD5"/>
            <w:noWrap/>
            <w:vAlign w:val="center"/>
            <w:hideMark/>
          </w:tcPr>
          <w:p w14:paraId="25C85A13"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Փաստացի</w:t>
            </w:r>
          </w:p>
        </w:tc>
        <w:tc>
          <w:tcPr>
            <w:tcW w:w="1072" w:type="dxa"/>
            <w:tcBorders>
              <w:top w:val="nil"/>
              <w:left w:val="nil"/>
              <w:bottom w:val="single" w:sz="4" w:space="0" w:color="auto"/>
              <w:right w:val="single" w:sz="4" w:space="0" w:color="auto"/>
            </w:tcBorders>
            <w:shd w:val="clear" w:color="000000" w:fill="5B9BD5"/>
            <w:noWrap/>
            <w:vAlign w:val="center"/>
            <w:hideMark/>
          </w:tcPr>
          <w:p w14:paraId="12345E9A"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Սպասում</w:t>
            </w:r>
          </w:p>
        </w:tc>
        <w:tc>
          <w:tcPr>
            <w:tcW w:w="1102" w:type="dxa"/>
            <w:tcBorders>
              <w:top w:val="nil"/>
              <w:left w:val="nil"/>
              <w:bottom w:val="single" w:sz="4" w:space="0" w:color="auto"/>
              <w:right w:val="single" w:sz="4" w:space="0" w:color="auto"/>
            </w:tcBorders>
            <w:shd w:val="clear" w:color="000000" w:fill="5B9BD5"/>
            <w:noWrap/>
            <w:vAlign w:val="center"/>
            <w:hideMark/>
          </w:tcPr>
          <w:p w14:paraId="7E1DE94C"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Բյուջե</w:t>
            </w:r>
          </w:p>
        </w:tc>
        <w:tc>
          <w:tcPr>
            <w:tcW w:w="2077" w:type="dxa"/>
            <w:gridSpan w:val="2"/>
            <w:tcBorders>
              <w:top w:val="single" w:sz="4" w:space="0" w:color="auto"/>
              <w:left w:val="nil"/>
              <w:bottom w:val="single" w:sz="4" w:space="0" w:color="auto"/>
              <w:right w:val="single" w:sz="4" w:space="0" w:color="auto"/>
            </w:tcBorders>
            <w:shd w:val="clear" w:color="000000" w:fill="5B9BD5"/>
            <w:noWrap/>
            <w:vAlign w:val="center"/>
            <w:hideMark/>
          </w:tcPr>
          <w:p w14:paraId="5C8C0105" w14:textId="77777777" w:rsidR="00BF0F38" w:rsidRPr="009500FC" w:rsidRDefault="00BF0F38" w:rsidP="008931FF">
            <w:pPr>
              <w:spacing w:before="0" w:after="0" w:line="240" w:lineRule="auto"/>
              <w:ind w:firstLine="0"/>
              <w:jc w:val="center"/>
              <w:rPr>
                <w:rFonts w:eastAsia="Times New Roman" w:cs="Calibri"/>
                <w:color w:val="FFFFFF"/>
                <w:sz w:val="20"/>
                <w:szCs w:val="20"/>
              </w:rPr>
            </w:pPr>
            <w:r w:rsidRPr="009500FC">
              <w:rPr>
                <w:rFonts w:eastAsia="Times New Roman" w:cs="Calibri"/>
                <w:color w:val="FFFFFF"/>
                <w:sz w:val="20"/>
                <w:szCs w:val="20"/>
              </w:rPr>
              <w:t>ՄԺԾԾ 2025-2027</w:t>
            </w:r>
          </w:p>
        </w:tc>
      </w:tr>
      <w:tr w:rsidR="00BF0F38" w:rsidRPr="009500FC" w14:paraId="7AD26B67"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38E0E36E"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1</w:t>
            </w:r>
          </w:p>
        </w:tc>
        <w:tc>
          <w:tcPr>
            <w:tcW w:w="922" w:type="dxa"/>
            <w:tcBorders>
              <w:top w:val="nil"/>
              <w:left w:val="nil"/>
              <w:bottom w:val="single" w:sz="4" w:space="0" w:color="auto"/>
              <w:right w:val="single" w:sz="4" w:space="0" w:color="auto"/>
            </w:tcBorders>
            <w:shd w:val="clear" w:color="auto" w:fill="auto"/>
            <w:vAlign w:val="center"/>
            <w:hideMark/>
          </w:tcPr>
          <w:p w14:paraId="2681BC78"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2</w:t>
            </w:r>
          </w:p>
        </w:tc>
        <w:tc>
          <w:tcPr>
            <w:tcW w:w="1010" w:type="dxa"/>
            <w:tcBorders>
              <w:top w:val="nil"/>
              <w:left w:val="nil"/>
              <w:bottom w:val="single" w:sz="4" w:space="0" w:color="auto"/>
              <w:right w:val="single" w:sz="4" w:space="0" w:color="auto"/>
            </w:tcBorders>
            <w:shd w:val="clear" w:color="auto" w:fill="auto"/>
            <w:noWrap/>
            <w:vAlign w:val="center"/>
            <w:hideMark/>
          </w:tcPr>
          <w:p w14:paraId="5A281957"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3</w:t>
            </w:r>
          </w:p>
        </w:tc>
        <w:tc>
          <w:tcPr>
            <w:tcW w:w="1039" w:type="dxa"/>
            <w:tcBorders>
              <w:top w:val="nil"/>
              <w:left w:val="nil"/>
              <w:bottom w:val="single" w:sz="4" w:space="0" w:color="auto"/>
              <w:right w:val="single" w:sz="4" w:space="0" w:color="auto"/>
            </w:tcBorders>
            <w:shd w:val="clear" w:color="auto" w:fill="auto"/>
            <w:noWrap/>
            <w:vAlign w:val="center"/>
            <w:hideMark/>
          </w:tcPr>
          <w:p w14:paraId="4F60FEF6"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4</w:t>
            </w:r>
          </w:p>
        </w:tc>
        <w:tc>
          <w:tcPr>
            <w:tcW w:w="1072" w:type="dxa"/>
            <w:tcBorders>
              <w:top w:val="nil"/>
              <w:left w:val="nil"/>
              <w:bottom w:val="single" w:sz="4" w:space="0" w:color="auto"/>
              <w:right w:val="single" w:sz="4" w:space="0" w:color="auto"/>
            </w:tcBorders>
            <w:shd w:val="clear" w:color="auto" w:fill="auto"/>
            <w:noWrap/>
            <w:vAlign w:val="center"/>
            <w:hideMark/>
          </w:tcPr>
          <w:p w14:paraId="572213D5"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5</w:t>
            </w:r>
          </w:p>
        </w:tc>
        <w:tc>
          <w:tcPr>
            <w:tcW w:w="1102" w:type="dxa"/>
            <w:tcBorders>
              <w:top w:val="nil"/>
              <w:left w:val="nil"/>
              <w:bottom w:val="single" w:sz="4" w:space="0" w:color="auto"/>
              <w:right w:val="single" w:sz="4" w:space="0" w:color="auto"/>
            </w:tcBorders>
            <w:shd w:val="clear" w:color="auto" w:fill="auto"/>
            <w:noWrap/>
            <w:vAlign w:val="center"/>
            <w:hideMark/>
          </w:tcPr>
          <w:p w14:paraId="515FC4DE"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6</w:t>
            </w:r>
          </w:p>
        </w:tc>
        <w:tc>
          <w:tcPr>
            <w:tcW w:w="1102" w:type="dxa"/>
            <w:tcBorders>
              <w:top w:val="nil"/>
              <w:left w:val="nil"/>
              <w:bottom w:val="single" w:sz="4" w:space="0" w:color="auto"/>
              <w:right w:val="single" w:sz="4" w:space="0" w:color="auto"/>
            </w:tcBorders>
            <w:shd w:val="clear" w:color="auto" w:fill="auto"/>
            <w:noWrap/>
            <w:vAlign w:val="center"/>
            <w:hideMark/>
          </w:tcPr>
          <w:p w14:paraId="62106777"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7</w:t>
            </w:r>
          </w:p>
        </w:tc>
        <w:tc>
          <w:tcPr>
            <w:tcW w:w="975" w:type="dxa"/>
            <w:tcBorders>
              <w:top w:val="nil"/>
              <w:left w:val="nil"/>
              <w:bottom w:val="single" w:sz="4" w:space="0" w:color="auto"/>
              <w:right w:val="single" w:sz="4" w:space="0" w:color="auto"/>
            </w:tcBorders>
            <w:shd w:val="clear" w:color="auto" w:fill="auto"/>
            <w:noWrap/>
            <w:vAlign w:val="center"/>
            <w:hideMark/>
          </w:tcPr>
          <w:p w14:paraId="2A5E32DF"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8</w:t>
            </w:r>
          </w:p>
        </w:tc>
      </w:tr>
      <w:tr w:rsidR="00BF0F38" w:rsidRPr="009500FC" w14:paraId="1323E769"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756F38D0"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 xml:space="preserve">Պետական բյուջեի եկամուտներ </w:t>
            </w:r>
          </w:p>
        </w:tc>
        <w:tc>
          <w:tcPr>
            <w:tcW w:w="922" w:type="dxa"/>
            <w:tcBorders>
              <w:top w:val="nil"/>
              <w:left w:val="nil"/>
              <w:bottom w:val="single" w:sz="4" w:space="0" w:color="auto"/>
              <w:right w:val="single" w:sz="4" w:space="0" w:color="auto"/>
            </w:tcBorders>
            <w:shd w:val="clear" w:color="auto" w:fill="auto"/>
            <w:noWrap/>
            <w:vAlign w:val="center"/>
            <w:hideMark/>
          </w:tcPr>
          <w:p w14:paraId="46E38111"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1,706.6</w:t>
            </w:r>
          </w:p>
        </w:tc>
        <w:tc>
          <w:tcPr>
            <w:tcW w:w="1010" w:type="dxa"/>
            <w:tcBorders>
              <w:top w:val="nil"/>
              <w:left w:val="nil"/>
              <w:bottom w:val="single" w:sz="4" w:space="0" w:color="auto"/>
              <w:right w:val="single" w:sz="4" w:space="0" w:color="auto"/>
            </w:tcBorders>
            <w:shd w:val="clear" w:color="auto" w:fill="auto"/>
            <w:noWrap/>
            <w:vAlign w:val="center"/>
            <w:hideMark/>
          </w:tcPr>
          <w:p w14:paraId="20DB4C9C" w14:textId="77777777" w:rsidR="00BF0F38" w:rsidRPr="009500FC" w:rsidRDefault="00BF0F38" w:rsidP="008931FF">
            <w:pPr>
              <w:spacing w:before="0" w:after="0" w:line="240" w:lineRule="auto"/>
              <w:ind w:firstLine="0"/>
              <w:jc w:val="center"/>
              <w:rPr>
                <w:rFonts w:eastAsia="Times New Roman" w:cs="Calibri"/>
                <w:b/>
                <w:bCs/>
                <w:color w:val="000000"/>
                <w:sz w:val="20"/>
                <w:szCs w:val="20"/>
              </w:rPr>
            </w:pPr>
            <w:r w:rsidRPr="009500FC">
              <w:rPr>
                <w:rFonts w:eastAsia="Times New Roman" w:cs="Calibri"/>
                <w:b/>
                <w:bCs/>
                <w:color w:val="000000"/>
                <w:sz w:val="20"/>
                <w:szCs w:val="20"/>
              </w:rPr>
              <w:t>2,099.6</w:t>
            </w:r>
          </w:p>
        </w:tc>
        <w:tc>
          <w:tcPr>
            <w:tcW w:w="1039" w:type="dxa"/>
            <w:tcBorders>
              <w:top w:val="nil"/>
              <w:left w:val="nil"/>
              <w:bottom w:val="single" w:sz="4" w:space="0" w:color="auto"/>
              <w:right w:val="single" w:sz="4" w:space="0" w:color="auto"/>
            </w:tcBorders>
            <w:shd w:val="clear" w:color="auto" w:fill="auto"/>
            <w:noWrap/>
            <w:vAlign w:val="center"/>
            <w:hideMark/>
          </w:tcPr>
          <w:p w14:paraId="1816B193"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2,410.7</w:t>
            </w:r>
          </w:p>
        </w:tc>
        <w:tc>
          <w:tcPr>
            <w:tcW w:w="1072" w:type="dxa"/>
            <w:tcBorders>
              <w:top w:val="nil"/>
              <w:left w:val="nil"/>
              <w:bottom w:val="single" w:sz="4" w:space="0" w:color="auto"/>
              <w:right w:val="single" w:sz="4" w:space="0" w:color="auto"/>
            </w:tcBorders>
            <w:shd w:val="clear" w:color="000000" w:fill="DEEAF6"/>
            <w:noWrap/>
            <w:vAlign w:val="center"/>
            <w:hideMark/>
          </w:tcPr>
          <w:p w14:paraId="39A7110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2,634.7</w:t>
            </w:r>
          </w:p>
        </w:tc>
        <w:tc>
          <w:tcPr>
            <w:tcW w:w="1102" w:type="dxa"/>
            <w:tcBorders>
              <w:top w:val="nil"/>
              <w:left w:val="nil"/>
              <w:bottom w:val="single" w:sz="4" w:space="0" w:color="auto"/>
              <w:right w:val="single" w:sz="4" w:space="0" w:color="auto"/>
            </w:tcBorders>
            <w:shd w:val="clear" w:color="000000" w:fill="DEEAF6"/>
            <w:noWrap/>
            <w:vAlign w:val="center"/>
            <w:hideMark/>
          </w:tcPr>
          <w:p w14:paraId="5944C4A2"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2,897.6</w:t>
            </w:r>
          </w:p>
        </w:tc>
        <w:tc>
          <w:tcPr>
            <w:tcW w:w="1102" w:type="dxa"/>
            <w:tcBorders>
              <w:top w:val="nil"/>
              <w:left w:val="nil"/>
              <w:bottom w:val="single" w:sz="4" w:space="0" w:color="auto"/>
              <w:right w:val="single" w:sz="4" w:space="0" w:color="auto"/>
            </w:tcBorders>
            <w:shd w:val="clear" w:color="000000" w:fill="DEEAF6"/>
            <w:noWrap/>
            <w:vAlign w:val="center"/>
            <w:hideMark/>
          </w:tcPr>
          <w:p w14:paraId="3E385032"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3,258.2</w:t>
            </w:r>
          </w:p>
        </w:tc>
        <w:tc>
          <w:tcPr>
            <w:tcW w:w="975" w:type="dxa"/>
            <w:tcBorders>
              <w:top w:val="nil"/>
              <w:left w:val="nil"/>
              <w:bottom w:val="single" w:sz="4" w:space="0" w:color="auto"/>
              <w:right w:val="single" w:sz="4" w:space="0" w:color="auto"/>
            </w:tcBorders>
            <w:shd w:val="clear" w:color="000000" w:fill="DEEAF6"/>
            <w:noWrap/>
            <w:vAlign w:val="center"/>
            <w:hideMark/>
          </w:tcPr>
          <w:p w14:paraId="116963BC"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3,614.1</w:t>
            </w:r>
          </w:p>
        </w:tc>
      </w:tr>
      <w:tr w:rsidR="00BF0F38" w:rsidRPr="009500FC" w14:paraId="3A077ECA"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63715EE4"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Հարկային եկամուտներ և տուրքեր</w:t>
            </w:r>
          </w:p>
        </w:tc>
        <w:tc>
          <w:tcPr>
            <w:tcW w:w="922" w:type="dxa"/>
            <w:tcBorders>
              <w:top w:val="nil"/>
              <w:left w:val="nil"/>
              <w:bottom w:val="single" w:sz="4" w:space="0" w:color="auto"/>
              <w:right w:val="single" w:sz="4" w:space="0" w:color="auto"/>
            </w:tcBorders>
            <w:shd w:val="clear" w:color="auto" w:fill="auto"/>
            <w:noWrap/>
            <w:vAlign w:val="center"/>
            <w:hideMark/>
          </w:tcPr>
          <w:p w14:paraId="0F523011"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1,609.6</w:t>
            </w:r>
          </w:p>
        </w:tc>
        <w:tc>
          <w:tcPr>
            <w:tcW w:w="1010" w:type="dxa"/>
            <w:tcBorders>
              <w:top w:val="nil"/>
              <w:left w:val="nil"/>
              <w:bottom w:val="single" w:sz="4" w:space="0" w:color="auto"/>
              <w:right w:val="single" w:sz="4" w:space="0" w:color="auto"/>
            </w:tcBorders>
            <w:shd w:val="clear" w:color="auto" w:fill="auto"/>
            <w:noWrap/>
            <w:vAlign w:val="center"/>
            <w:hideMark/>
          </w:tcPr>
          <w:p w14:paraId="5F0AAA7B"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1,962.5</w:t>
            </w:r>
          </w:p>
        </w:tc>
        <w:tc>
          <w:tcPr>
            <w:tcW w:w="1039" w:type="dxa"/>
            <w:tcBorders>
              <w:top w:val="nil"/>
              <w:left w:val="nil"/>
              <w:bottom w:val="single" w:sz="4" w:space="0" w:color="auto"/>
              <w:right w:val="single" w:sz="4" w:space="0" w:color="auto"/>
            </w:tcBorders>
            <w:shd w:val="clear" w:color="auto" w:fill="auto"/>
            <w:noWrap/>
            <w:vAlign w:val="center"/>
            <w:hideMark/>
          </w:tcPr>
          <w:p w14:paraId="373B1444"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2,273.9</w:t>
            </w:r>
          </w:p>
        </w:tc>
        <w:tc>
          <w:tcPr>
            <w:tcW w:w="1072" w:type="dxa"/>
            <w:tcBorders>
              <w:top w:val="nil"/>
              <w:left w:val="nil"/>
              <w:bottom w:val="single" w:sz="4" w:space="0" w:color="auto"/>
              <w:right w:val="single" w:sz="4" w:space="0" w:color="auto"/>
            </w:tcBorders>
            <w:shd w:val="clear" w:color="000000" w:fill="DEEAF6"/>
            <w:noWrap/>
            <w:vAlign w:val="center"/>
            <w:hideMark/>
          </w:tcPr>
          <w:p w14:paraId="70853789"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2,496.9</w:t>
            </w:r>
          </w:p>
        </w:tc>
        <w:tc>
          <w:tcPr>
            <w:tcW w:w="1102" w:type="dxa"/>
            <w:tcBorders>
              <w:top w:val="nil"/>
              <w:left w:val="nil"/>
              <w:bottom w:val="single" w:sz="4" w:space="0" w:color="auto"/>
              <w:right w:val="single" w:sz="4" w:space="0" w:color="auto"/>
            </w:tcBorders>
            <w:shd w:val="clear" w:color="000000" w:fill="DEEAF6"/>
            <w:noWrap/>
            <w:vAlign w:val="center"/>
            <w:hideMark/>
          </w:tcPr>
          <w:p w14:paraId="41B083DF"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2,812.3</w:t>
            </w:r>
          </w:p>
        </w:tc>
        <w:tc>
          <w:tcPr>
            <w:tcW w:w="1102" w:type="dxa"/>
            <w:tcBorders>
              <w:top w:val="nil"/>
              <w:left w:val="nil"/>
              <w:bottom w:val="single" w:sz="4" w:space="0" w:color="auto"/>
              <w:right w:val="single" w:sz="4" w:space="0" w:color="auto"/>
            </w:tcBorders>
            <w:shd w:val="clear" w:color="000000" w:fill="DEEAF6"/>
            <w:noWrap/>
            <w:vAlign w:val="center"/>
            <w:hideMark/>
          </w:tcPr>
          <w:p w14:paraId="2BBFDAA7"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3,182.0</w:t>
            </w:r>
          </w:p>
        </w:tc>
        <w:tc>
          <w:tcPr>
            <w:tcW w:w="975" w:type="dxa"/>
            <w:tcBorders>
              <w:top w:val="nil"/>
              <w:left w:val="nil"/>
              <w:bottom w:val="single" w:sz="4" w:space="0" w:color="auto"/>
              <w:right w:val="single" w:sz="4" w:space="0" w:color="auto"/>
            </w:tcBorders>
            <w:shd w:val="clear" w:color="000000" w:fill="DEEAF6"/>
            <w:noWrap/>
            <w:vAlign w:val="center"/>
            <w:hideMark/>
          </w:tcPr>
          <w:p w14:paraId="7A340DEF"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3,541.2</w:t>
            </w:r>
          </w:p>
        </w:tc>
      </w:tr>
      <w:tr w:rsidR="00BF0F38" w:rsidRPr="009500FC" w14:paraId="64E812DB"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4C97D3B0"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Պետական բյուջեի ծախսեր</w:t>
            </w:r>
          </w:p>
        </w:tc>
        <w:tc>
          <w:tcPr>
            <w:tcW w:w="922" w:type="dxa"/>
            <w:tcBorders>
              <w:top w:val="nil"/>
              <w:left w:val="nil"/>
              <w:bottom w:val="single" w:sz="4" w:space="0" w:color="auto"/>
              <w:right w:val="single" w:sz="4" w:space="0" w:color="auto"/>
            </w:tcBorders>
            <w:shd w:val="clear" w:color="auto" w:fill="auto"/>
            <w:noWrap/>
            <w:vAlign w:val="center"/>
            <w:hideMark/>
          </w:tcPr>
          <w:p w14:paraId="77A0EBA3"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2,027.0</w:t>
            </w:r>
          </w:p>
        </w:tc>
        <w:tc>
          <w:tcPr>
            <w:tcW w:w="1010" w:type="dxa"/>
            <w:tcBorders>
              <w:top w:val="nil"/>
              <w:left w:val="nil"/>
              <w:bottom w:val="single" w:sz="4" w:space="0" w:color="auto"/>
              <w:right w:val="single" w:sz="4" w:space="0" w:color="auto"/>
            </w:tcBorders>
            <w:shd w:val="clear" w:color="auto" w:fill="auto"/>
            <w:noWrap/>
            <w:vAlign w:val="center"/>
            <w:hideMark/>
          </w:tcPr>
          <w:p w14:paraId="737CD136"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2,279.1</w:t>
            </w:r>
          </w:p>
        </w:tc>
        <w:tc>
          <w:tcPr>
            <w:tcW w:w="1039" w:type="dxa"/>
            <w:tcBorders>
              <w:top w:val="nil"/>
              <w:left w:val="nil"/>
              <w:bottom w:val="single" w:sz="4" w:space="0" w:color="auto"/>
              <w:right w:val="single" w:sz="4" w:space="0" w:color="auto"/>
            </w:tcBorders>
            <w:shd w:val="clear" w:color="auto" w:fill="auto"/>
            <w:noWrap/>
            <w:vAlign w:val="center"/>
            <w:hideMark/>
          </w:tcPr>
          <w:p w14:paraId="1672EE58"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2,599.6</w:t>
            </w:r>
          </w:p>
        </w:tc>
        <w:tc>
          <w:tcPr>
            <w:tcW w:w="1072" w:type="dxa"/>
            <w:tcBorders>
              <w:top w:val="nil"/>
              <w:left w:val="nil"/>
              <w:bottom w:val="single" w:sz="4" w:space="0" w:color="auto"/>
              <w:right w:val="single" w:sz="4" w:space="0" w:color="auto"/>
            </w:tcBorders>
            <w:shd w:val="clear" w:color="000000" w:fill="DEEAF6"/>
            <w:noWrap/>
            <w:vAlign w:val="center"/>
            <w:hideMark/>
          </w:tcPr>
          <w:p w14:paraId="522E64D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3,117.6</w:t>
            </w:r>
          </w:p>
        </w:tc>
        <w:tc>
          <w:tcPr>
            <w:tcW w:w="1102" w:type="dxa"/>
            <w:tcBorders>
              <w:top w:val="nil"/>
              <w:left w:val="nil"/>
              <w:bottom w:val="single" w:sz="4" w:space="0" w:color="auto"/>
              <w:right w:val="single" w:sz="4" w:space="0" w:color="auto"/>
            </w:tcBorders>
            <w:shd w:val="clear" w:color="000000" w:fill="DEEAF6"/>
            <w:noWrap/>
            <w:vAlign w:val="center"/>
            <w:hideMark/>
          </w:tcPr>
          <w:p w14:paraId="58DF286D"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3,513.4</w:t>
            </w:r>
          </w:p>
        </w:tc>
        <w:tc>
          <w:tcPr>
            <w:tcW w:w="1102" w:type="dxa"/>
            <w:tcBorders>
              <w:top w:val="nil"/>
              <w:left w:val="nil"/>
              <w:bottom w:val="single" w:sz="4" w:space="0" w:color="auto"/>
              <w:right w:val="single" w:sz="4" w:space="0" w:color="auto"/>
            </w:tcBorders>
            <w:shd w:val="clear" w:color="000000" w:fill="DEEAF6"/>
            <w:noWrap/>
            <w:vAlign w:val="center"/>
            <w:hideMark/>
          </w:tcPr>
          <w:p w14:paraId="041ED0C4"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3,812.1</w:t>
            </w:r>
          </w:p>
        </w:tc>
        <w:tc>
          <w:tcPr>
            <w:tcW w:w="975" w:type="dxa"/>
            <w:tcBorders>
              <w:top w:val="nil"/>
              <w:left w:val="nil"/>
              <w:bottom w:val="single" w:sz="4" w:space="0" w:color="auto"/>
              <w:right w:val="single" w:sz="4" w:space="0" w:color="auto"/>
            </w:tcBorders>
            <w:shd w:val="clear" w:color="000000" w:fill="DEEAF6"/>
            <w:noWrap/>
            <w:vAlign w:val="center"/>
            <w:hideMark/>
          </w:tcPr>
          <w:p w14:paraId="2D3BA9A6"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4,086.8</w:t>
            </w:r>
          </w:p>
        </w:tc>
      </w:tr>
      <w:tr w:rsidR="00BF0F38" w:rsidRPr="009500FC" w14:paraId="1FAC0ECC"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36283553"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Ընթացիկ ծախսեր</w:t>
            </w:r>
          </w:p>
        </w:tc>
        <w:tc>
          <w:tcPr>
            <w:tcW w:w="922" w:type="dxa"/>
            <w:tcBorders>
              <w:top w:val="nil"/>
              <w:left w:val="nil"/>
              <w:bottom w:val="single" w:sz="4" w:space="0" w:color="auto"/>
              <w:right w:val="single" w:sz="4" w:space="0" w:color="auto"/>
            </w:tcBorders>
            <w:shd w:val="clear" w:color="auto" w:fill="auto"/>
            <w:noWrap/>
            <w:vAlign w:val="center"/>
            <w:hideMark/>
          </w:tcPr>
          <w:p w14:paraId="3F927BDB"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1,810.7</w:t>
            </w:r>
          </w:p>
        </w:tc>
        <w:tc>
          <w:tcPr>
            <w:tcW w:w="1010" w:type="dxa"/>
            <w:tcBorders>
              <w:top w:val="nil"/>
              <w:left w:val="nil"/>
              <w:bottom w:val="single" w:sz="4" w:space="0" w:color="auto"/>
              <w:right w:val="single" w:sz="4" w:space="0" w:color="auto"/>
            </w:tcBorders>
            <w:shd w:val="clear" w:color="auto" w:fill="auto"/>
            <w:noWrap/>
            <w:vAlign w:val="center"/>
            <w:hideMark/>
          </w:tcPr>
          <w:p w14:paraId="71A65E11"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1,898.7</w:t>
            </w:r>
          </w:p>
        </w:tc>
        <w:tc>
          <w:tcPr>
            <w:tcW w:w="1039" w:type="dxa"/>
            <w:tcBorders>
              <w:top w:val="nil"/>
              <w:left w:val="nil"/>
              <w:bottom w:val="single" w:sz="4" w:space="0" w:color="auto"/>
              <w:right w:val="single" w:sz="4" w:space="0" w:color="auto"/>
            </w:tcBorders>
            <w:shd w:val="clear" w:color="auto" w:fill="auto"/>
            <w:noWrap/>
            <w:vAlign w:val="center"/>
            <w:hideMark/>
          </w:tcPr>
          <w:p w14:paraId="1673A664"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2,127.0</w:t>
            </w:r>
          </w:p>
        </w:tc>
        <w:tc>
          <w:tcPr>
            <w:tcW w:w="1072" w:type="dxa"/>
            <w:tcBorders>
              <w:top w:val="nil"/>
              <w:left w:val="nil"/>
              <w:bottom w:val="single" w:sz="4" w:space="0" w:color="auto"/>
              <w:right w:val="single" w:sz="4" w:space="0" w:color="auto"/>
            </w:tcBorders>
            <w:shd w:val="clear" w:color="000000" w:fill="DEEAF6"/>
            <w:noWrap/>
            <w:vAlign w:val="center"/>
            <w:hideMark/>
          </w:tcPr>
          <w:p w14:paraId="6DC319AD"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2,451.2</w:t>
            </w:r>
          </w:p>
        </w:tc>
        <w:tc>
          <w:tcPr>
            <w:tcW w:w="1102" w:type="dxa"/>
            <w:tcBorders>
              <w:top w:val="nil"/>
              <w:left w:val="nil"/>
              <w:bottom w:val="single" w:sz="4" w:space="0" w:color="auto"/>
              <w:right w:val="single" w:sz="4" w:space="0" w:color="auto"/>
            </w:tcBorders>
            <w:shd w:val="clear" w:color="000000" w:fill="DEEAF6"/>
            <w:noWrap/>
            <w:vAlign w:val="center"/>
            <w:hideMark/>
          </w:tcPr>
          <w:p w14:paraId="70BCE965"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2,728.5</w:t>
            </w:r>
          </w:p>
        </w:tc>
        <w:tc>
          <w:tcPr>
            <w:tcW w:w="1102" w:type="dxa"/>
            <w:tcBorders>
              <w:top w:val="nil"/>
              <w:left w:val="nil"/>
              <w:bottom w:val="single" w:sz="4" w:space="0" w:color="auto"/>
              <w:right w:val="single" w:sz="4" w:space="0" w:color="auto"/>
            </w:tcBorders>
            <w:shd w:val="clear" w:color="000000" w:fill="DEEAF6"/>
            <w:noWrap/>
            <w:vAlign w:val="center"/>
            <w:hideMark/>
          </w:tcPr>
          <w:p w14:paraId="1A52C918"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2,938.2</w:t>
            </w:r>
          </w:p>
        </w:tc>
        <w:tc>
          <w:tcPr>
            <w:tcW w:w="975" w:type="dxa"/>
            <w:tcBorders>
              <w:top w:val="nil"/>
              <w:left w:val="nil"/>
              <w:bottom w:val="single" w:sz="4" w:space="0" w:color="auto"/>
              <w:right w:val="single" w:sz="4" w:space="0" w:color="auto"/>
            </w:tcBorders>
            <w:shd w:val="clear" w:color="000000" w:fill="DEEAF6"/>
            <w:noWrap/>
            <w:vAlign w:val="center"/>
            <w:hideMark/>
          </w:tcPr>
          <w:p w14:paraId="74F96BDE"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3,228.1</w:t>
            </w:r>
          </w:p>
        </w:tc>
      </w:tr>
      <w:tr w:rsidR="00BF0F38" w:rsidRPr="009500FC" w14:paraId="26CC8013" w14:textId="77777777" w:rsidTr="008931FF">
        <w:trPr>
          <w:trHeight w:val="641"/>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26C0785C"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Ոչ ֆինանսական ակտիվների հետ գործառնություններ</w:t>
            </w:r>
          </w:p>
        </w:tc>
        <w:tc>
          <w:tcPr>
            <w:tcW w:w="922" w:type="dxa"/>
            <w:tcBorders>
              <w:top w:val="nil"/>
              <w:left w:val="nil"/>
              <w:bottom w:val="single" w:sz="4" w:space="0" w:color="auto"/>
              <w:right w:val="single" w:sz="4" w:space="0" w:color="auto"/>
            </w:tcBorders>
            <w:shd w:val="clear" w:color="auto" w:fill="auto"/>
            <w:noWrap/>
            <w:vAlign w:val="center"/>
            <w:hideMark/>
          </w:tcPr>
          <w:p w14:paraId="40D62981"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216.3</w:t>
            </w:r>
          </w:p>
        </w:tc>
        <w:tc>
          <w:tcPr>
            <w:tcW w:w="1010" w:type="dxa"/>
            <w:tcBorders>
              <w:top w:val="nil"/>
              <w:left w:val="nil"/>
              <w:bottom w:val="single" w:sz="4" w:space="0" w:color="auto"/>
              <w:right w:val="single" w:sz="4" w:space="0" w:color="auto"/>
            </w:tcBorders>
            <w:shd w:val="clear" w:color="auto" w:fill="auto"/>
            <w:noWrap/>
            <w:vAlign w:val="center"/>
            <w:hideMark/>
          </w:tcPr>
          <w:p w14:paraId="730309A9"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380.4</w:t>
            </w:r>
          </w:p>
        </w:tc>
        <w:tc>
          <w:tcPr>
            <w:tcW w:w="1039" w:type="dxa"/>
            <w:tcBorders>
              <w:top w:val="nil"/>
              <w:left w:val="nil"/>
              <w:bottom w:val="single" w:sz="4" w:space="0" w:color="auto"/>
              <w:right w:val="single" w:sz="4" w:space="0" w:color="auto"/>
            </w:tcBorders>
            <w:shd w:val="clear" w:color="auto" w:fill="auto"/>
            <w:noWrap/>
            <w:vAlign w:val="center"/>
            <w:hideMark/>
          </w:tcPr>
          <w:p w14:paraId="56968364"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472.6</w:t>
            </w:r>
          </w:p>
        </w:tc>
        <w:tc>
          <w:tcPr>
            <w:tcW w:w="1072" w:type="dxa"/>
            <w:tcBorders>
              <w:top w:val="nil"/>
              <w:left w:val="nil"/>
              <w:bottom w:val="single" w:sz="4" w:space="0" w:color="auto"/>
              <w:right w:val="single" w:sz="4" w:space="0" w:color="auto"/>
            </w:tcBorders>
            <w:shd w:val="clear" w:color="000000" w:fill="DEEAF6"/>
            <w:noWrap/>
            <w:vAlign w:val="center"/>
            <w:hideMark/>
          </w:tcPr>
          <w:p w14:paraId="673B7BDA"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666.4</w:t>
            </w:r>
          </w:p>
        </w:tc>
        <w:tc>
          <w:tcPr>
            <w:tcW w:w="1102" w:type="dxa"/>
            <w:tcBorders>
              <w:top w:val="nil"/>
              <w:left w:val="nil"/>
              <w:bottom w:val="single" w:sz="4" w:space="0" w:color="auto"/>
              <w:right w:val="single" w:sz="4" w:space="0" w:color="auto"/>
            </w:tcBorders>
            <w:shd w:val="clear" w:color="000000" w:fill="DEEAF6"/>
            <w:noWrap/>
            <w:vAlign w:val="center"/>
            <w:hideMark/>
          </w:tcPr>
          <w:p w14:paraId="700B42F1"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784.9</w:t>
            </w:r>
          </w:p>
        </w:tc>
        <w:tc>
          <w:tcPr>
            <w:tcW w:w="1102" w:type="dxa"/>
            <w:tcBorders>
              <w:top w:val="nil"/>
              <w:left w:val="nil"/>
              <w:bottom w:val="single" w:sz="4" w:space="0" w:color="auto"/>
              <w:right w:val="single" w:sz="4" w:space="0" w:color="auto"/>
            </w:tcBorders>
            <w:shd w:val="clear" w:color="000000" w:fill="DEEAF6"/>
            <w:noWrap/>
            <w:vAlign w:val="center"/>
            <w:hideMark/>
          </w:tcPr>
          <w:p w14:paraId="7B141534"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873.9</w:t>
            </w:r>
          </w:p>
        </w:tc>
        <w:tc>
          <w:tcPr>
            <w:tcW w:w="975" w:type="dxa"/>
            <w:tcBorders>
              <w:top w:val="nil"/>
              <w:left w:val="nil"/>
              <w:bottom w:val="single" w:sz="4" w:space="0" w:color="auto"/>
              <w:right w:val="single" w:sz="4" w:space="0" w:color="auto"/>
            </w:tcBorders>
            <w:shd w:val="clear" w:color="000000" w:fill="DEEAF6"/>
            <w:noWrap/>
            <w:vAlign w:val="center"/>
            <w:hideMark/>
          </w:tcPr>
          <w:p w14:paraId="4C7E5D42"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858.6</w:t>
            </w:r>
          </w:p>
        </w:tc>
      </w:tr>
      <w:tr w:rsidR="00BF0F38" w:rsidRPr="009500FC" w14:paraId="65831DAE"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0E5A1D3E"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Պետական բյուջեի պակասուրդ</w:t>
            </w:r>
          </w:p>
        </w:tc>
        <w:tc>
          <w:tcPr>
            <w:tcW w:w="922" w:type="dxa"/>
            <w:tcBorders>
              <w:top w:val="nil"/>
              <w:left w:val="nil"/>
              <w:bottom w:val="single" w:sz="4" w:space="0" w:color="auto"/>
              <w:right w:val="single" w:sz="4" w:space="0" w:color="auto"/>
            </w:tcBorders>
            <w:shd w:val="clear" w:color="auto" w:fill="auto"/>
            <w:noWrap/>
            <w:vAlign w:val="center"/>
            <w:hideMark/>
          </w:tcPr>
          <w:p w14:paraId="322079D0"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-320.5</w:t>
            </w:r>
          </w:p>
        </w:tc>
        <w:tc>
          <w:tcPr>
            <w:tcW w:w="1010" w:type="dxa"/>
            <w:tcBorders>
              <w:top w:val="nil"/>
              <w:left w:val="nil"/>
              <w:bottom w:val="single" w:sz="4" w:space="0" w:color="auto"/>
              <w:right w:val="single" w:sz="4" w:space="0" w:color="auto"/>
            </w:tcBorders>
            <w:shd w:val="clear" w:color="auto" w:fill="auto"/>
            <w:noWrap/>
            <w:vAlign w:val="center"/>
            <w:hideMark/>
          </w:tcPr>
          <w:p w14:paraId="22EDF36F"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-179.5</w:t>
            </w:r>
          </w:p>
        </w:tc>
        <w:tc>
          <w:tcPr>
            <w:tcW w:w="1039" w:type="dxa"/>
            <w:tcBorders>
              <w:top w:val="nil"/>
              <w:left w:val="nil"/>
              <w:bottom w:val="single" w:sz="4" w:space="0" w:color="auto"/>
              <w:right w:val="single" w:sz="4" w:space="0" w:color="auto"/>
            </w:tcBorders>
            <w:shd w:val="clear" w:color="auto" w:fill="auto"/>
            <w:noWrap/>
            <w:vAlign w:val="center"/>
            <w:hideMark/>
          </w:tcPr>
          <w:p w14:paraId="1DA0BF1F"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-188.9</w:t>
            </w:r>
          </w:p>
        </w:tc>
        <w:tc>
          <w:tcPr>
            <w:tcW w:w="1072" w:type="dxa"/>
            <w:tcBorders>
              <w:top w:val="nil"/>
              <w:left w:val="nil"/>
              <w:bottom w:val="single" w:sz="4" w:space="0" w:color="auto"/>
              <w:right w:val="single" w:sz="4" w:space="0" w:color="auto"/>
            </w:tcBorders>
            <w:shd w:val="clear" w:color="000000" w:fill="DEEAF6"/>
            <w:noWrap/>
            <w:vAlign w:val="center"/>
            <w:hideMark/>
          </w:tcPr>
          <w:p w14:paraId="3AD0BAEA"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-482.9</w:t>
            </w:r>
          </w:p>
        </w:tc>
        <w:tc>
          <w:tcPr>
            <w:tcW w:w="1102" w:type="dxa"/>
            <w:tcBorders>
              <w:top w:val="nil"/>
              <w:left w:val="nil"/>
              <w:bottom w:val="single" w:sz="4" w:space="0" w:color="auto"/>
              <w:right w:val="single" w:sz="4" w:space="0" w:color="auto"/>
            </w:tcBorders>
            <w:shd w:val="clear" w:color="000000" w:fill="DEEAF6"/>
            <w:noWrap/>
            <w:vAlign w:val="center"/>
            <w:hideMark/>
          </w:tcPr>
          <w:p w14:paraId="749F74C0"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-615.8</w:t>
            </w:r>
          </w:p>
        </w:tc>
        <w:tc>
          <w:tcPr>
            <w:tcW w:w="1102" w:type="dxa"/>
            <w:tcBorders>
              <w:top w:val="nil"/>
              <w:left w:val="nil"/>
              <w:bottom w:val="single" w:sz="4" w:space="0" w:color="auto"/>
              <w:right w:val="single" w:sz="4" w:space="0" w:color="auto"/>
            </w:tcBorders>
            <w:shd w:val="clear" w:color="000000" w:fill="DEEAF6"/>
            <w:noWrap/>
            <w:vAlign w:val="center"/>
            <w:hideMark/>
          </w:tcPr>
          <w:p w14:paraId="244EF07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-553.9</w:t>
            </w:r>
          </w:p>
        </w:tc>
        <w:tc>
          <w:tcPr>
            <w:tcW w:w="975" w:type="dxa"/>
            <w:tcBorders>
              <w:top w:val="nil"/>
              <w:left w:val="nil"/>
              <w:bottom w:val="single" w:sz="4" w:space="0" w:color="auto"/>
              <w:right w:val="single" w:sz="4" w:space="0" w:color="auto"/>
            </w:tcBorders>
            <w:shd w:val="clear" w:color="000000" w:fill="DEEAF6"/>
            <w:noWrap/>
            <w:vAlign w:val="center"/>
            <w:hideMark/>
          </w:tcPr>
          <w:p w14:paraId="036C1C37"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-472.7</w:t>
            </w:r>
          </w:p>
        </w:tc>
      </w:tr>
      <w:tr w:rsidR="00BF0F38" w:rsidRPr="009500FC" w14:paraId="6CFB9461" w14:textId="77777777" w:rsidTr="008931FF">
        <w:trPr>
          <w:trHeight w:val="378"/>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721682C9"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Կառավարության պարտք</w:t>
            </w:r>
          </w:p>
        </w:tc>
        <w:tc>
          <w:tcPr>
            <w:tcW w:w="922" w:type="dxa"/>
            <w:tcBorders>
              <w:top w:val="nil"/>
              <w:left w:val="nil"/>
              <w:bottom w:val="single" w:sz="4" w:space="0" w:color="auto"/>
              <w:right w:val="single" w:sz="4" w:space="0" w:color="auto"/>
            </w:tcBorders>
            <w:shd w:val="clear" w:color="auto" w:fill="auto"/>
            <w:noWrap/>
            <w:vAlign w:val="center"/>
            <w:hideMark/>
          </w:tcPr>
          <w:p w14:paraId="64A44C68"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4209.8</w:t>
            </w:r>
          </w:p>
        </w:tc>
        <w:tc>
          <w:tcPr>
            <w:tcW w:w="1010" w:type="dxa"/>
            <w:tcBorders>
              <w:top w:val="nil"/>
              <w:left w:val="nil"/>
              <w:bottom w:val="single" w:sz="4" w:space="0" w:color="auto"/>
              <w:right w:val="single" w:sz="4" w:space="0" w:color="auto"/>
            </w:tcBorders>
            <w:shd w:val="clear" w:color="auto" w:fill="auto"/>
            <w:noWrap/>
            <w:vAlign w:val="center"/>
            <w:hideMark/>
          </w:tcPr>
          <w:p w14:paraId="0E14277F"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3969.7</w:t>
            </w:r>
          </w:p>
        </w:tc>
        <w:tc>
          <w:tcPr>
            <w:tcW w:w="1039" w:type="dxa"/>
            <w:tcBorders>
              <w:top w:val="nil"/>
              <w:left w:val="nil"/>
              <w:bottom w:val="single" w:sz="4" w:space="0" w:color="auto"/>
              <w:right w:val="single" w:sz="4" w:space="0" w:color="auto"/>
            </w:tcBorders>
            <w:shd w:val="clear" w:color="auto" w:fill="auto"/>
            <w:noWrap/>
            <w:vAlign w:val="center"/>
            <w:hideMark/>
          </w:tcPr>
          <w:p w14:paraId="363BF453"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4571.9</w:t>
            </w:r>
          </w:p>
        </w:tc>
        <w:tc>
          <w:tcPr>
            <w:tcW w:w="1072" w:type="dxa"/>
            <w:tcBorders>
              <w:top w:val="nil"/>
              <w:left w:val="nil"/>
              <w:bottom w:val="single" w:sz="4" w:space="0" w:color="auto"/>
              <w:right w:val="single" w:sz="4" w:space="0" w:color="auto"/>
            </w:tcBorders>
            <w:shd w:val="clear" w:color="000000" w:fill="DEEAF6"/>
            <w:noWrap/>
            <w:vAlign w:val="center"/>
            <w:hideMark/>
          </w:tcPr>
          <w:p w14:paraId="3518EF0B"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5,173.0</w:t>
            </w:r>
          </w:p>
        </w:tc>
        <w:tc>
          <w:tcPr>
            <w:tcW w:w="1102" w:type="dxa"/>
            <w:tcBorders>
              <w:top w:val="nil"/>
              <w:left w:val="nil"/>
              <w:bottom w:val="single" w:sz="4" w:space="0" w:color="auto"/>
              <w:right w:val="single" w:sz="4" w:space="0" w:color="auto"/>
            </w:tcBorders>
            <w:shd w:val="clear" w:color="000000" w:fill="DEEAF6"/>
            <w:noWrap/>
            <w:vAlign w:val="center"/>
            <w:hideMark/>
          </w:tcPr>
          <w:p w14:paraId="18973923"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6,017.5</w:t>
            </w:r>
          </w:p>
        </w:tc>
        <w:tc>
          <w:tcPr>
            <w:tcW w:w="1102" w:type="dxa"/>
            <w:tcBorders>
              <w:top w:val="nil"/>
              <w:left w:val="nil"/>
              <w:bottom w:val="single" w:sz="4" w:space="0" w:color="auto"/>
              <w:right w:val="single" w:sz="4" w:space="0" w:color="auto"/>
            </w:tcBorders>
            <w:shd w:val="clear" w:color="000000" w:fill="DEEAF6"/>
            <w:noWrap/>
            <w:vAlign w:val="center"/>
            <w:hideMark/>
          </w:tcPr>
          <w:p w14:paraId="7C77B9C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6,774.8</w:t>
            </w:r>
          </w:p>
        </w:tc>
        <w:tc>
          <w:tcPr>
            <w:tcW w:w="975" w:type="dxa"/>
            <w:tcBorders>
              <w:top w:val="nil"/>
              <w:left w:val="nil"/>
              <w:bottom w:val="single" w:sz="4" w:space="0" w:color="auto"/>
              <w:right w:val="single" w:sz="4" w:space="0" w:color="auto"/>
            </w:tcBorders>
            <w:shd w:val="clear" w:color="000000" w:fill="DEEAF6"/>
            <w:noWrap/>
            <w:vAlign w:val="center"/>
            <w:hideMark/>
          </w:tcPr>
          <w:p w14:paraId="181EB467"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7,421.6</w:t>
            </w:r>
          </w:p>
        </w:tc>
      </w:tr>
      <w:tr w:rsidR="00BF0F38" w:rsidRPr="009500FC" w14:paraId="60850529" w14:textId="77777777" w:rsidTr="008931FF">
        <w:trPr>
          <w:trHeight w:val="290"/>
        </w:trPr>
        <w:tc>
          <w:tcPr>
            <w:tcW w:w="43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83997" w14:textId="77777777" w:rsidR="00BF0F38" w:rsidRPr="009500FC" w:rsidRDefault="00BF0F38" w:rsidP="008931FF">
            <w:pPr>
              <w:spacing w:before="0" w:after="0" w:line="240" w:lineRule="auto"/>
              <w:ind w:firstLine="0"/>
              <w:jc w:val="center"/>
              <w:rPr>
                <w:rFonts w:eastAsia="Times New Roman" w:cs="Calibri"/>
                <w:i/>
                <w:iCs/>
                <w:color w:val="000000"/>
                <w:sz w:val="20"/>
                <w:szCs w:val="20"/>
              </w:rPr>
            </w:pPr>
            <w:r w:rsidRPr="009500FC">
              <w:rPr>
                <w:rFonts w:eastAsia="Times New Roman" w:cs="Calibri"/>
                <w:i/>
                <w:iCs/>
                <w:color w:val="000000"/>
                <w:sz w:val="20"/>
                <w:szCs w:val="20"/>
              </w:rPr>
              <w:t>կշիռը ՀՆԱ-ում, %</w:t>
            </w:r>
          </w:p>
        </w:tc>
        <w:tc>
          <w:tcPr>
            <w:tcW w:w="1039" w:type="dxa"/>
            <w:tcBorders>
              <w:top w:val="nil"/>
              <w:left w:val="nil"/>
              <w:bottom w:val="single" w:sz="4" w:space="0" w:color="auto"/>
              <w:right w:val="single" w:sz="4" w:space="0" w:color="auto"/>
            </w:tcBorders>
            <w:shd w:val="clear" w:color="auto" w:fill="auto"/>
            <w:noWrap/>
            <w:vAlign w:val="center"/>
            <w:hideMark/>
          </w:tcPr>
          <w:p w14:paraId="4145FC25" w14:textId="77777777" w:rsidR="00BF0F38" w:rsidRPr="009500FC" w:rsidRDefault="00BF0F38" w:rsidP="008931FF">
            <w:pPr>
              <w:spacing w:before="0" w:after="0" w:line="240" w:lineRule="auto"/>
              <w:ind w:firstLine="0"/>
              <w:jc w:val="center"/>
              <w:rPr>
                <w:rFonts w:eastAsia="Times New Roman" w:cs="Calibri"/>
                <w:i/>
                <w:iCs/>
                <w:color w:val="000000"/>
                <w:sz w:val="20"/>
                <w:szCs w:val="20"/>
              </w:rPr>
            </w:pPr>
            <w:r w:rsidRPr="009500FC">
              <w:rPr>
                <w:rFonts w:ascii="Calibri" w:eastAsia="Times New Roman" w:hAnsi="Calibri" w:cs="Calibri"/>
                <w:i/>
                <w:iCs/>
                <w:color w:val="000000"/>
                <w:sz w:val="20"/>
                <w:szCs w:val="20"/>
              </w:rPr>
              <w:t> </w:t>
            </w:r>
          </w:p>
        </w:tc>
        <w:tc>
          <w:tcPr>
            <w:tcW w:w="1072" w:type="dxa"/>
            <w:tcBorders>
              <w:top w:val="nil"/>
              <w:left w:val="nil"/>
              <w:bottom w:val="single" w:sz="4" w:space="0" w:color="auto"/>
              <w:right w:val="single" w:sz="4" w:space="0" w:color="auto"/>
            </w:tcBorders>
            <w:shd w:val="clear" w:color="000000" w:fill="DEEAF6"/>
            <w:noWrap/>
            <w:vAlign w:val="center"/>
            <w:hideMark/>
          </w:tcPr>
          <w:p w14:paraId="34E6EA50" w14:textId="77777777" w:rsidR="00BF0F38" w:rsidRPr="009500FC" w:rsidRDefault="00BF0F38" w:rsidP="008931FF">
            <w:pPr>
              <w:spacing w:before="0" w:after="0" w:line="240" w:lineRule="auto"/>
              <w:ind w:firstLine="0"/>
              <w:jc w:val="right"/>
              <w:rPr>
                <w:rFonts w:ascii="Calibri" w:eastAsia="Times New Roman" w:hAnsi="Calibri" w:cs="Calibri"/>
                <w:color w:val="000000"/>
                <w:sz w:val="20"/>
                <w:szCs w:val="20"/>
              </w:rPr>
            </w:pPr>
            <w:r w:rsidRPr="009500FC">
              <w:rPr>
                <w:rFonts w:ascii="Calibri" w:eastAsia="Times New Roman" w:hAnsi="Calibri" w:cs="Calibri"/>
                <w:color w:val="000000"/>
                <w:sz w:val="20"/>
                <w:szCs w:val="20"/>
              </w:rPr>
              <w:t> </w:t>
            </w:r>
          </w:p>
        </w:tc>
        <w:tc>
          <w:tcPr>
            <w:tcW w:w="1102" w:type="dxa"/>
            <w:tcBorders>
              <w:top w:val="nil"/>
              <w:left w:val="nil"/>
              <w:bottom w:val="single" w:sz="4" w:space="0" w:color="auto"/>
              <w:right w:val="single" w:sz="4" w:space="0" w:color="auto"/>
            </w:tcBorders>
            <w:shd w:val="clear" w:color="000000" w:fill="DEEAF6"/>
            <w:noWrap/>
            <w:vAlign w:val="center"/>
            <w:hideMark/>
          </w:tcPr>
          <w:p w14:paraId="19B7D4DC" w14:textId="77777777" w:rsidR="00BF0F38" w:rsidRPr="009500FC" w:rsidRDefault="00BF0F38" w:rsidP="008931FF">
            <w:pPr>
              <w:spacing w:before="0" w:after="0" w:line="240" w:lineRule="auto"/>
              <w:ind w:firstLine="0"/>
              <w:jc w:val="right"/>
              <w:rPr>
                <w:rFonts w:ascii="Calibri" w:eastAsia="Times New Roman" w:hAnsi="Calibri" w:cs="Calibri"/>
                <w:color w:val="000000"/>
                <w:sz w:val="20"/>
                <w:szCs w:val="20"/>
              </w:rPr>
            </w:pPr>
            <w:r w:rsidRPr="009500FC">
              <w:rPr>
                <w:rFonts w:ascii="Calibri" w:eastAsia="Times New Roman" w:hAnsi="Calibri" w:cs="Calibri"/>
                <w:color w:val="000000"/>
                <w:sz w:val="20"/>
                <w:szCs w:val="20"/>
              </w:rPr>
              <w:t> </w:t>
            </w:r>
          </w:p>
        </w:tc>
        <w:tc>
          <w:tcPr>
            <w:tcW w:w="1102" w:type="dxa"/>
            <w:tcBorders>
              <w:top w:val="nil"/>
              <w:left w:val="nil"/>
              <w:bottom w:val="single" w:sz="4" w:space="0" w:color="auto"/>
              <w:right w:val="single" w:sz="4" w:space="0" w:color="auto"/>
            </w:tcBorders>
            <w:shd w:val="clear" w:color="000000" w:fill="DEEAF6"/>
            <w:noWrap/>
            <w:vAlign w:val="center"/>
            <w:hideMark/>
          </w:tcPr>
          <w:p w14:paraId="3C6DAE93" w14:textId="77777777" w:rsidR="00BF0F38" w:rsidRPr="009500FC" w:rsidRDefault="00BF0F38" w:rsidP="008931FF">
            <w:pPr>
              <w:spacing w:before="0" w:after="0" w:line="240" w:lineRule="auto"/>
              <w:ind w:firstLine="0"/>
              <w:jc w:val="right"/>
              <w:rPr>
                <w:rFonts w:ascii="Calibri" w:eastAsia="Times New Roman" w:hAnsi="Calibri" w:cs="Calibri"/>
                <w:color w:val="000000"/>
                <w:sz w:val="20"/>
                <w:szCs w:val="20"/>
              </w:rPr>
            </w:pPr>
            <w:r w:rsidRPr="009500FC">
              <w:rPr>
                <w:rFonts w:ascii="Calibri" w:eastAsia="Times New Roman" w:hAnsi="Calibri" w:cs="Calibri"/>
                <w:color w:val="000000"/>
                <w:sz w:val="20"/>
                <w:szCs w:val="20"/>
              </w:rPr>
              <w:t> </w:t>
            </w:r>
          </w:p>
        </w:tc>
        <w:tc>
          <w:tcPr>
            <w:tcW w:w="975" w:type="dxa"/>
            <w:tcBorders>
              <w:top w:val="nil"/>
              <w:left w:val="nil"/>
              <w:bottom w:val="single" w:sz="4" w:space="0" w:color="auto"/>
              <w:right w:val="single" w:sz="4" w:space="0" w:color="auto"/>
            </w:tcBorders>
            <w:shd w:val="clear" w:color="000000" w:fill="DEEAF6"/>
            <w:noWrap/>
            <w:vAlign w:val="center"/>
            <w:hideMark/>
          </w:tcPr>
          <w:p w14:paraId="56CF0F26" w14:textId="77777777" w:rsidR="00BF0F38" w:rsidRPr="009500FC" w:rsidRDefault="00BF0F38" w:rsidP="008931FF">
            <w:pPr>
              <w:spacing w:before="0" w:after="0" w:line="240" w:lineRule="auto"/>
              <w:ind w:firstLine="0"/>
              <w:jc w:val="right"/>
              <w:rPr>
                <w:rFonts w:ascii="Calibri" w:eastAsia="Times New Roman" w:hAnsi="Calibri" w:cs="Calibri"/>
                <w:color w:val="000000"/>
                <w:sz w:val="20"/>
                <w:szCs w:val="20"/>
              </w:rPr>
            </w:pPr>
            <w:r w:rsidRPr="009500FC">
              <w:rPr>
                <w:rFonts w:ascii="Calibri" w:eastAsia="Times New Roman" w:hAnsi="Calibri" w:cs="Calibri"/>
                <w:color w:val="000000"/>
                <w:sz w:val="20"/>
                <w:szCs w:val="20"/>
              </w:rPr>
              <w:t> </w:t>
            </w:r>
          </w:p>
        </w:tc>
      </w:tr>
      <w:tr w:rsidR="00BF0F38" w:rsidRPr="009500FC" w14:paraId="5676CD66"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6A23E65C"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Պետական բյուջեի եկամուտներ</w:t>
            </w:r>
          </w:p>
        </w:tc>
        <w:tc>
          <w:tcPr>
            <w:tcW w:w="922" w:type="dxa"/>
            <w:tcBorders>
              <w:top w:val="nil"/>
              <w:left w:val="nil"/>
              <w:bottom w:val="single" w:sz="4" w:space="0" w:color="auto"/>
              <w:right w:val="single" w:sz="4" w:space="0" w:color="auto"/>
            </w:tcBorders>
            <w:shd w:val="clear" w:color="auto" w:fill="auto"/>
            <w:noWrap/>
            <w:vAlign w:val="center"/>
            <w:hideMark/>
          </w:tcPr>
          <w:p w14:paraId="7E4949E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24.4</w:t>
            </w:r>
          </w:p>
        </w:tc>
        <w:tc>
          <w:tcPr>
            <w:tcW w:w="1010" w:type="dxa"/>
            <w:tcBorders>
              <w:top w:val="nil"/>
              <w:left w:val="nil"/>
              <w:bottom w:val="single" w:sz="4" w:space="0" w:color="auto"/>
              <w:right w:val="single" w:sz="4" w:space="0" w:color="auto"/>
            </w:tcBorders>
            <w:shd w:val="clear" w:color="auto" w:fill="auto"/>
            <w:noWrap/>
            <w:vAlign w:val="center"/>
            <w:hideMark/>
          </w:tcPr>
          <w:p w14:paraId="5CA55E76"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24.7</w:t>
            </w:r>
          </w:p>
        </w:tc>
        <w:tc>
          <w:tcPr>
            <w:tcW w:w="1039" w:type="dxa"/>
            <w:tcBorders>
              <w:top w:val="nil"/>
              <w:left w:val="nil"/>
              <w:bottom w:val="single" w:sz="4" w:space="0" w:color="auto"/>
              <w:right w:val="single" w:sz="4" w:space="0" w:color="auto"/>
            </w:tcBorders>
            <w:shd w:val="clear" w:color="auto" w:fill="auto"/>
            <w:noWrap/>
            <w:vAlign w:val="center"/>
            <w:hideMark/>
          </w:tcPr>
          <w:p w14:paraId="4F25C79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25.4</w:t>
            </w:r>
          </w:p>
        </w:tc>
        <w:tc>
          <w:tcPr>
            <w:tcW w:w="1072" w:type="dxa"/>
            <w:tcBorders>
              <w:top w:val="nil"/>
              <w:left w:val="nil"/>
              <w:bottom w:val="single" w:sz="4" w:space="0" w:color="auto"/>
              <w:right w:val="single" w:sz="4" w:space="0" w:color="auto"/>
            </w:tcBorders>
            <w:shd w:val="clear" w:color="000000" w:fill="DEEAF6"/>
            <w:noWrap/>
            <w:vAlign w:val="center"/>
            <w:hideMark/>
          </w:tcPr>
          <w:p w14:paraId="77667C7D"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25.7</w:t>
            </w:r>
          </w:p>
        </w:tc>
        <w:tc>
          <w:tcPr>
            <w:tcW w:w="1102" w:type="dxa"/>
            <w:tcBorders>
              <w:top w:val="nil"/>
              <w:left w:val="nil"/>
              <w:bottom w:val="single" w:sz="4" w:space="0" w:color="auto"/>
              <w:right w:val="single" w:sz="4" w:space="0" w:color="auto"/>
            </w:tcBorders>
            <w:shd w:val="clear" w:color="000000" w:fill="DEEAF6"/>
            <w:noWrap/>
            <w:vAlign w:val="center"/>
            <w:hideMark/>
          </w:tcPr>
          <w:p w14:paraId="31C2ADB0"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25.9</w:t>
            </w:r>
          </w:p>
        </w:tc>
        <w:tc>
          <w:tcPr>
            <w:tcW w:w="1102" w:type="dxa"/>
            <w:tcBorders>
              <w:top w:val="nil"/>
              <w:left w:val="nil"/>
              <w:bottom w:val="single" w:sz="4" w:space="0" w:color="auto"/>
              <w:right w:val="single" w:sz="4" w:space="0" w:color="auto"/>
            </w:tcBorders>
            <w:shd w:val="clear" w:color="000000" w:fill="DEEAF6"/>
            <w:noWrap/>
            <w:vAlign w:val="center"/>
            <w:hideMark/>
          </w:tcPr>
          <w:p w14:paraId="148E1088"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26.5</w:t>
            </w:r>
          </w:p>
        </w:tc>
        <w:tc>
          <w:tcPr>
            <w:tcW w:w="975" w:type="dxa"/>
            <w:tcBorders>
              <w:top w:val="nil"/>
              <w:left w:val="nil"/>
              <w:bottom w:val="single" w:sz="4" w:space="0" w:color="auto"/>
              <w:right w:val="single" w:sz="4" w:space="0" w:color="auto"/>
            </w:tcBorders>
            <w:shd w:val="clear" w:color="000000" w:fill="DEEAF6"/>
            <w:noWrap/>
            <w:vAlign w:val="center"/>
            <w:hideMark/>
          </w:tcPr>
          <w:p w14:paraId="291CF1D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26.8</w:t>
            </w:r>
          </w:p>
        </w:tc>
      </w:tr>
      <w:tr w:rsidR="00BF0F38" w:rsidRPr="009500FC" w14:paraId="18A2E319"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26B2AB68"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Հարկային եկամուտներ և տուրքեր</w:t>
            </w:r>
          </w:p>
        </w:tc>
        <w:tc>
          <w:tcPr>
            <w:tcW w:w="922" w:type="dxa"/>
            <w:tcBorders>
              <w:top w:val="nil"/>
              <w:left w:val="nil"/>
              <w:bottom w:val="single" w:sz="4" w:space="0" w:color="auto"/>
              <w:right w:val="single" w:sz="4" w:space="0" w:color="auto"/>
            </w:tcBorders>
            <w:shd w:val="clear" w:color="auto" w:fill="auto"/>
            <w:noWrap/>
            <w:vAlign w:val="center"/>
            <w:hideMark/>
          </w:tcPr>
          <w:p w14:paraId="2F667718"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23.0</w:t>
            </w:r>
          </w:p>
        </w:tc>
        <w:tc>
          <w:tcPr>
            <w:tcW w:w="1010" w:type="dxa"/>
            <w:tcBorders>
              <w:top w:val="nil"/>
              <w:left w:val="nil"/>
              <w:bottom w:val="single" w:sz="4" w:space="0" w:color="auto"/>
              <w:right w:val="single" w:sz="4" w:space="0" w:color="auto"/>
            </w:tcBorders>
            <w:shd w:val="clear" w:color="auto" w:fill="auto"/>
            <w:noWrap/>
            <w:vAlign w:val="center"/>
            <w:hideMark/>
          </w:tcPr>
          <w:p w14:paraId="08F3A40C"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23.1</w:t>
            </w:r>
          </w:p>
        </w:tc>
        <w:tc>
          <w:tcPr>
            <w:tcW w:w="1039" w:type="dxa"/>
            <w:tcBorders>
              <w:top w:val="nil"/>
              <w:left w:val="nil"/>
              <w:bottom w:val="single" w:sz="4" w:space="0" w:color="auto"/>
              <w:right w:val="single" w:sz="4" w:space="0" w:color="auto"/>
            </w:tcBorders>
            <w:shd w:val="clear" w:color="auto" w:fill="auto"/>
            <w:noWrap/>
            <w:vAlign w:val="center"/>
            <w:hideMark/>
          </w:tcPr>
          <w:p w14:paraId="05E9090D"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23.9</w:t>
            </w:r>
          </w:p>
        </w:tc>
        <w:tc>
          <w:tcPr>
            <w:tcW w:w="1072" w:type="dxa"/>
            <w:tcBorders>
              <w:top w:val="nil"/>
              <w:left w:val="nil"/>
              <w:bottom w:val="single" w:sz="4" w:space="0" w:color="auto"/>
              <w:right w:val="single" w:sz="4" w:space="0" w:color="auto"/>
            </w:tcBorders>
            <w:shd w:val="clear" w:color="000000" w:fill="DEEAF6"/>
            <w:noWrap/>
            <w:vAlign w:val="center"/>
            <w:hideMark/>
          </w:tcPr>
          <w:p w14:paraId="580CDD09"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24.4</w:t>
            </w:r>
          </w:p>
        </w:tc>
        <w:tc>
          <w:tcPr>
            <w:tcW w:w="1102" w:type="dxa"/>
            <w:tcBorders>
              <w:top w:val="nil"/>
              <w:left w:val="nil"/>
              <w:bottom w:val="single" w:sz="4" w:space="0" w:color="auto"/>
              <w:right w:val="single" w:sz="4" w:space="0" w:color="auto"/>
            </w:tcBorders>
            <w:shd w:val="clear" w:color="000000" w:fill="DEEAF6"/>
            <w:noWrap/>
            <w:vAlign w:val="center"/>
            <w:hideMark/>
          </w:tcPr>
          <w:p w14:paraId="00888DA5"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25.1</w:t>
            </w:r>
          </w:p>
        </w:tc>
        <w:tc>
          <w:tcPr>
            <w:tcW w:w="1102" w:type="dxa"/>
            <w:tcBorders>
              <w:top w:val="nil"/>
              <w:left w:val="nil"/>
              <w:bottom w:val="single" w:sz="4" w:space="0" w:color="auto"/>
              <w:right w:val="single" w:sz="4" w:space="0" w:color="auto"/>
            </w:tcBorders>
            <w:shd w:val="clear" w:color="000000" w:fill="DEEAF6"/>
            <w:noWrap/>
            <w:vAlign w:val="center"/>
            <w:hideMark/>
          </w:tcPr>
          <w:p w14:paraId="11AEB196"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25.9</w:t>
            </w:r>
          </w:p>
        </w:tc>
        <w:tc>
          <w:tcPr>
            <w:tcW w:w="975" w:type="dxa"/>
            <w:tcBorders>
              <w:top w:val="nil"/>
              <w:left w:val="nil"/>
              <w:bottom w:val="single" w:sz="4" w:space="0" w:color="auto"/>
              <w:right w:val="single" w:sz="4" w:space="0" w:color="auto"/>
            </w:tcBorders>
            <w:shd w:val="clear" w:color="000000" w:fill="DEEAF6"/>
            <w:noWrap/>
            <w:vAlign w:val="center"/>
            <w:hideMark/>
          </w:tcPr>
          <w:p w14:paraId="75DF7546"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26.2</w:t>
            </w:r>
          </w:p>
        </w:tc>
      </w:tr>
      <w:tr w:rsidR="00BF0F38" w:rsidRPr="009500FC" w14:paraId="4B8143F6"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3BEEFE17"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Պետական բյուջեի ծախսեր</w:t>
            </w:r>
          </w:p>
        </w:tc>
        <w:tc>
          <w:tcPr>
            <w:tcW w:w="922" w:type="dxa"/>
            <w:tcBorders>
              <w:top w:val="nil"/>
              <w:left w:val="nil"/>
              <w:bottom w:val="single" w:sz="4" w:space="0" w:color="auto"/>
              <w:right w:val="single" w:sz="4" w:space="0" w:color="auto"/>
            </w:tcBorders>
            <w:shd w:val="clear" w:color="auto" w:fill="auto"/>
            <w:noWrap/>
            <w:vAlign w:val="center"/>
            <w:hideMark/>
          </w:tcPr>
          <w:p w14:paraId="5A96812F"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29.0</w:t>
            </w:r>
          </w:p>
        </w:tc>
        <w:tc>
          <w:tcPr>
            <w:tcW w:w="1010" w:type="dxa"/>
            <w:tcBorders>
              <w:top w:val="nil"/>
              <w:left w:val="nil"/>
              <w:bottom w:val="single" w:sz="4" w:space="0" w:color="auto"/>
              <w:right w:val="single" w:sz="4" w:space="0" w:color="auto"/>
            </w:tcBorders>
            <w:shd w:val="clear" w:color="auto" w:fill="auto"/>
            <w:noWrap/>
            <w:vAlign w:val="center"/>
            <w:hideMark/>
          </w:tcPr>
          <w:p w14:paraId="5AE6D731"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26.8</w:t>
            </w:r>
          </w:p>
        </w:tc>
        <w:tc>
          <w:tcPr>
            <w:tcW w:w="1039" w:type="dxa"/>
            <w:tcBorders>
              <w:top w:val="nil"/>
              <w:left w:val="nil"/>
              <w:bottom w:val="single" w:sz="4" w:space="0" w:color="auto"/>
              <w:right w:val="single" w:sz="4" w:space="0" w:color="auto"/>
            </w:tcBorders>
            <w:shd w:val="clear" w:color="auto" w:fill="auto"/>
            <w:noWrap/>
            <w:vAlign w:val="center"/>
            <w:hideMark/>
          </w:tcPr>
          <w:p w14:paraId="64DA5AF3"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27.3</w:t>
            </w:r>
          </w:p>
        </w:tc>
        <w:tc>
          <w:tcPr>
            <w:tcW w:w="1072" w:type="dxa"/>
            <w:tcBorders>
              <w:top w:val="nil"/>
              <w:left w:val="nil"/>
              <w:bottom w:val="single" w:sz="4" w:space="0" w:color="auto"/>
              <w:right w:val="single" w:sz="4" w:space="0" w:color="auto"/>
            </w:tcBorders>
            <w:shd w:val="clear" w:color="000000" w:fill="DEEAF6"/>
            <w:noWrap/>
            <w:vAlign w:val="center"/>
            <w:hideMark/>
          </w:tcPr>
          <w:p w14:paraId="27E0088D"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30.5</w:t>
            </w:r>
          </w:p>
        </w:tc>
        <w:tc>
          <w:tcPr>
            <w:tcW w:w="1102" w:type="dxa"/>
            <w:tcBorders>
              <w:top w:val="nil"/>
              <w:left w:val="nil"/>
              <w:bottom w:val="single" w:sz="4" w:space="0" w:color="auto"/>
              <w:right w:val="single" w:sz="4" w:space="0" w:color="auto"/>
            </w:tcBorders>
            <w:shd w:val="clear" w:color="000000" w:fill="DEEAF6"/>
            <w:noWrap/>
            <w:vAlign w:val="center"/>
            <w:hideMark/>
          </w:tcPr>
          <w:p w14:paraId="58B4CEC1"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31.4</w:t>
            </w:r>
          </w:p>
        </w:tc>
        <w:tc>
          <w:tcPr>
            <w:tcW w:w="1102" w:type="dxa"/>
            <w:tcBorders>
              <w:top w:val="nil"/>
              <w:left w:val="nil"/>
              <w:bottom w:val="single" w:sz="4" w:space="0" w:color="auto"/>
              <w:right w:val="single" w:sz="4" w:space="0" w:color="auto"/>
            </w:tcBorders>
            <w:shd w:val="clear" w:color="000000" w:fill="DEEAF6"/>
            <w:noWrap/>
            <w:vAlign w:val="center"/>
            <w:hideMark/>
          </w:tcPr>
          <w:p w14:paraId="2B6CB18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31.0</w:t>
            </w:r>
          </w:p>
        </w:tc>
        <w:tc>
          <w:tcPr>
            <w:tcW w:w="975" w:type="dxa"/>
            <w:tcBorders>
              <w:top w:val="nil"/>
              <w:left w:val="nil"/>
              <w:bottom w:val="single" w:sz="4" w:space="0" w:color="auto"/>
              <w:right w:val="single" w:sz="4" w:space="0" w:color="auto"/>
            </w:tcBorders>
            <w:shd w:val="clear" w:color="000000" w:fill="DEEAF6"/>
            <w:noWrap/>
            <w:vAlign w:val="center"/>
            <w:hideMark/>
          </w:tcPr>
          <w:p w14:paraId="03E38C12"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30.3</w:t>
            </w:r>
          </w:p>
        </w:tc>
      </w:tr>
      <w:tr w:rsidR="00BF0F38" w:rsidRPr="009500FC" w14:paraId="1B331EE2"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391921C3"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Ընթացիկ ծախսեր</w:t>
            </w:r>
          </w:p>
        </w:tc>
        <w:tc>
          <w:tcPr>
            <w:tcW w:w="922" w:type="dxa"/>
            <w:tcBorders>
              <w:top w:val="nil"/>
              <w:left w:val="nil"/>
              <w:bottom w:val="single" w:sz="4" w:space="0" w:color="auto"/>
              <w:right w:val="single" w:sz="4" w:space="0" w:color="auto"/>
            </w:tcBorders>
            <w:shd w:val="clear" w:color="auto" w:fill="auto"/>
            <w:noWrap/>
            <w:vAlign w:val="center"/>
            <w:hideMark/>
          </w:tcPr>
          <w:p w14:paraId="1431172D"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25.9</w:t>
            </w:r>
          </w:p>
        </w:tc>
        <w:tc>
          <w:tcPr>
            <w:tcW w:w="1010" w:type="dxa"/>
            <w:tcBorders>
              <w:top w:val="nil"/>
              <w:left w:val="nil"/>
              <w:bottom w:val="single" w:sz="4" w:space="0" w:color="auto"/>
              <w:right w:val="single" w:sz="4" w:space="0" w:color="auto"/>
            </w:tcBorders>
            <w:shd w:val="clear" w:color="auto" w:fill="auto"/>
            <w:noWrap/>
            <w:vAlign w:val="center"/>
            <w:hideMark/>
          </w:tcPr>
          <w:p w14:paraId="3A52CAF3"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22.3</w:t>
            </w:r>
          </w:p>
        </w:tc>
        <w:tc>
          <w:tcPr>
            <w:tcW w:w="1039" w:type="dxa"/>
            <w:tcBorders>
              <w:top w:val="nil"/>
              <w:left w:val="nil"/>
              <w:bottom w:val="single" w:sz="4" w:space="0" w:color="auto"/>
              <w:right w:val="single" w:sz="4" w:space="0" w:color="auto"/>
            </w:tcBorders>
            <w:shd w:val="clear" w:color="auto" w:fill="auto"/>
            <w:noWrap/>
            <w:vAlign w:val="center"/>
            <w:hideMark/>
          </w:tcPr>
          <w:p w14:paraId="1540AF8F"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22.4</w:t>
            </w:r>
          </w:p>
        </w:tc>
        <w:tc>
          <w:tcPr>
            <w:tcW w:w="1072" w:type="dxa"/>
            <w:tcBorders>
              <w:top w:val="nil"/>
              <w:left w:val="nil"/>
              <w:bottom w:val="single" w:sz="4" w:space="0" w:color="auto"/>
              <w:right w:val="single" w:sz="4" w:space="0" w:color="auto"/>
            </w:tcBorders>
            <w:shd w:val="clear" w:color="000000" w:fill="DEEAF6"/>
            <w:noWrap/>
            <w:vAlign w:val="center"/>
            <w:hideMark/>
          </w:tcPr>
          <w:p w14:paraId="6D9BCE46"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23.9</w:t>
            </w:r>
          </w:p>
        </w:tc>
        <w:tc>
          <w:tcPr>
            <w:tcW w:w="1102" w:type="dxa"/>
            <w:tcBorders>
              <w:top w:val="nil"/>
              <w:left w:val="nil"/>
              <w:bottom w:val="single" w:sz="4" w:space="0" w:color="auto"/>
              <w:right w:val="single" w:sz="4" w:space="0" w:color="auto"/>
            </w:tcBorders>
            <w:shd w:val="clear" w:color="000000" w:fill="DEEAF6"/>
            <w:noWrap/>
            <w:vAlign w:val="center"/>
            <w:hideMark/>
          </w:tcPr>
          <w:p w14:paraId="0D453EA8"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24.4</w:t>
            </w:r>
          </w:p>
        </w:tc>
        <w:tc>
          <w:tcPr>
            <w:tcW w:w="1102" w:type="dxa"/>
            <w:tcBorders>
              <w:top w:val="nil"/>
              <w:left w:val="nil"/>
              <w:bottom w:val="single" w:sz="4" w:space="0" w:color="auto"/>
              <w:right w:val="single" w:sz="4" w:space="0" w:color="auto"/>
            </w:tcBorders>
            <w:shd w:val="clear" w:color="000000" w:fill="DEEAF6"/>
            <w:noWrap/>
            <w:vAlign w:val="center"/>
            <w:hideMark/>
          </w:tcPr>
          <w:p w14:paraId="348163D0"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23.9</w:t>
            </w:r>
          </w:p>
        </w:tc>
        <w:tc>
          <w:tcPr>
            <w:tcW w:w="975" w:type="dxa"/>
            <w:tcBorders>
              <w:top w:val="nil"/>
              <w:left w:val="nil"/>
              <w:bottom w:val="single" w:sz="4" w:space="0" w:color="auto"/>
              <w:right w:val="single" w:sz="4" w:space="0" w:color="auto"/>
            </w:tcBorders>
            <w:shd w:val="clear" w:color="000000" w:fill="DEEAF6"/>
            <w:noWrap/>
            <w:vAlign w:val="center"/>
            <w:hideMark/>
          </w:tcPr>
          <w:p w14:paraId="62DEDF8D"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23.9</w:t>
            </w:r>
          </w:p>
        </w:tc>
      </w:tr>
      <w:tr w:rsidR="00BF0F38" w:rsidRPr="009500FC" w14:paraId="16D9E1A7" w14:textId="77777777" w:rsidTr="008931FF">
        <w:trPr>
          <w:trHeight w:val="641"/>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133484D8" w14:textId="77777777" w:rsidR="00BF0F38" w:rsidRPr="009500FC" w:rsidRDefault="00BF0F38" w:rsidP="008931FF">
            <w:pPr>
              <w:spacing w:before="0" w:after="0" w:line="240" w:lineRule="auto"/>
              <w:ind w:firstLineChars="100" w:firstLine="200"/>
              <w:jc w:val="left"/>
              <w:rPr>
                <w:rFonts w:eastAsia="Times New Roman" w:cs="Calibri"/>
                <w:color w:val="000000"/>
                <w:sz w:val="20"/>
                <w:szCs w:val="20"/>
              </w:rPr>
            </w:pPr>
            <w:r w:rsidRPr="009500FC">
              <w:rPr>
                <w:rFonts w:eastAsia="Times New Roman" w:cs="Calibri"/>
                <w:color w:val="000000"/>
                <w:sz w:val="20"/>
                <w:szCs w:val="20"/>
              </w:rPr>
              <w:t>Ոչ ֆինանսական ակտիվների հետ գործառնություններ</w:t>
            </w:r>
          </w:p>
        </w:tc>
        <w:tc>
          <w:tcPr>
            <w:tcW w:w="922" w:type="dxa"/>
            <w:tcBorders>
              <w:top w:val="nil"/>
              <w:left w:val="nil"/>
              <w:bottom w:val="single" w:sz="4" w:space="0" w:color="auto"/>
              <w:right w:val="single" w:sz="4" w:space="0" w:color="auto"/>
            </w:tcBorders>
            <w:shd w:val="clear" w:color="auto" w:fill="auto"/>
            <w:noWrap/>
            <w:vAlign w:val="center"/>
            <w:hideMark/>
          </w:tcPr>
          <w:p w14:paraId="60D9038C"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3.1</w:t>
            </w:r>
          </w:p>
        </w:tc>
        <w:tc>
          <w:tcPr>
            <w:tcW w:w="1010" w:type="dxa"/>
            <w:tcBorders>
              <w:top w:val="nil"/>
              <w:left w:val="nil"/>
              <w:bottom w:val="single" w:sz="4" w:space="0" w:color="auto"/>
              <w:right w:val="single" w:sz="4" w:space="0" w:color="auto"/>
            </w:tcBorders>
            <w:shd w:val="clear" w:color="auto" w:fill="auto"/>
            <w:noWrap/>
            <w:vAlign w:val="center"/>
            <w:hideMark/>
          </w:tcPr>
          <w:p w14:paraId="0069EABB"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4.5</w:t>
            </w:r>
          </w:p>
        </w:tc>
        <w:tc>
          <w:tcPr>
            <w:tcW w:w="1039" w:type="dxa"/>
            <w:tcBorders>
              <w:top w:val="nil"/>
              <w:left w:val="nil"/>
              <w:bottom w:val="single" w:sz="4" w:space="0" w:color="auto"/>
              <w:right w:val="single" w:sz="4" w:space="0" w:color="auto"/>
            </w:tcBorders>
            <w:shd w:val="clear" w:color="auto" w:fill="auto"/>
            <w:noWrap/>
            <w:vAlign w:val="center"/>
            <w:hideMark/>
          </w:tcPr>
          <w:p w14:paraId="7A5EA561"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5.0</w:t>
            </w:r>
          </w:p>
        </w:tc>
        <w:tc>
          <w:tcPr>
            <w:tcW w:w="1072" w:type="dxa"/>
            <w:tcBorders>
              <w:top w:val="nil"/>
              <w:left w:val="nil"/>
              <w:bottom w:val="single" w:sz="4" w:space="0" w:color="auto"/>
              <w:right w:val="single" w:sz="4" w:space="0" w:color="auto"/>
            </w:tcBorders>
            <w:shd w:val="clear" w:color="000000" w:fill="DEEAF6"/>
            <w:noWrap/>
            <w:vAlign w:val="center"/>
            <w:hideMark/>
          </w:tcPr>
          <w:p w14:paraId="1BFB62D8"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6.5</w:t>
            </w:r>
          </w:p>
        </w:tc>
        <w:tc>
          <w:tcPr>
            <w:tcW w:w="1102" w:type="dxa"/>
            <w:tcBorders>
              <w:top w:val="nil"/>
              <w:left w:val="nil"/>
              <w:bottom w:val="single" w:sz="4" w:space="0" w:color="auto"/>
              <w:right w:val="single" w:sz="4" w:space="0" w:color="auto"/>
            </w:tcBorders>
            <w:shd w:val="clear" w:color="000000" w:fill="DEEAF6"/>
            <w:noWrap/>
            <w:vAlign w:val="center"/>
            <w:hideMark/>
          </w:tcPr>
          <w:p w14:paraId="160BA9D9"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7.0</w:t>
            </w:r>
          </w:p>
        </w:tc>
        <w:tc>
          <w:tcPr>
            <w:tcW w:w="1102" w:type="dxa"/>
            <w:tcBorders>
              <w:top w:val="nil"/>
              <w:left w:val="nil"/>
              <w:bottom w:val="single" w:sz="4" w:space="0" w:color="auto"/>
              <w:right w:val="single" w:sz="4" w:space="0" w:color="auto"/>
            </w:tcBorders>
            <w:shd w:val="clear" w:color="000000" w:fill="DEEAF6"/>
            <w:noWrap/>
            <w:vAlign w:val="center"/>
            <w:hideMark/>
          </w:tcPr>
          <w:p w14:paraId="587FB835"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7.1</w:t>
            </w:r>
          </w:p>
        </w:tc>
        <w:tc>
          <w:tcPr>
            <w:tcW w:w="975" w:type="dxa"/>
            <w:tcBorders>
              <w:top w:val="nil"/>
              <w:left w:val="nil"/>
              <w:bottom w:val="single" w:sz="4" w:space="0" w:color="auto"/>
              <w:right w:val="single" w:sz="4" w:space="0" w:color="auto"/>
            </w:tcBorders>
            <w:shd w:val="clear" w:color="000000" w:fill="DEEAF6"/>
            <w:noWrap/>
            <w:vAlign w:val="center"/>
            <w:hideMark/>
          </w:tcPr>
          <w:p w14:paraId="36CAA2F2" w14:textId="77777777" w:rsidR="00BF0F38" w:rsidRPr="009500FC" w:rsidRDefault="00BF0F38" w:rsidP="008931FF">
            <w:pPr>
              <w:spacing w:before="0" w:after="0" w:line="240" w:lineRule="auto"/>
              <w:ind w:firstLine="0"/>
              <w:jc w:val="right"/>
              <w:rPr>
                <w:rFonts w:eastAsia="Times New Roman" w:cs="Calibri"/>
                <w:color w:val="000000"/>
                <w:sz w:val="20"/>
                <w:szCs w:val="20"/>
              </w:rPr>
            </w:pPr>
            <w:r w:rsidRPr="009500FC">
              <w:rPr>
                <w:rFonts w:eastAsia="Times New Roman" w:cs="Calibri"/>
                <w:color w:val="000000"/>
                <w:sz w:val="20"/>
                <w:szCs w:val="20"/>
              </w:rPr>
              <w:t>6.4</w:t>
            </w:r>
          </w:p>
        </w:tc>
      </w:tr>
      <w:tr w:rsidR="00BF0F38" w:rsidRPr="009500FC" w14:paraId="5E6945AB"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3FB27EF0"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Պետական բյուջեի պակասուրդ</w:t>
            </w:r>
          </w:p>
        </w:tc>
        <w:tc>
          <w:tcPr>
            <w:tcW w:w="922" w:type="dxa"/>
            <w:tcBorders>
              <w:top w:val="nil"/>
              <w:left w:val="nil"/>
              <w:bottom w:val="single" w:sz="4" w:space="0" w:color="auto"/>
              <w:right w:val="single" w:sz="4" w:space="0" w:color="auto"/>
            </w:tcBorders>
            <w:shd w:val="clear" w:color="auto" w:fill="auto"/>
            <w:noWrap/>
            <w:vAlign w:val="center"/>
            <w:hideMark/>
          </w:tcPr>
          <w:p w14:paraId="3DBC8AAA"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-4.6</w:t>
            </w:r>
          </w:p>
        </w:tc>
        <w:tc>
          <w:tcPr>
            <w:tcW w:w="1010" w:type="dxa"/>
            <w:tcBorders>
              <w:top w:val="nil"/>
              <w:left w:val="nil"/>
              <w:bottom w:val="single" w:sz="4" w:space="0" w:color="auto"/>
              <w:right w:val="single" w:sz="4" w:space="0" w:color="auto"/>
            </w:tcBorders>
            <w:shd w:val="clear" w:color="auto" w:fill="auto"/>
            <w:noWrap/>
            <w:vAlign w:val="center"/>
            <w:hideMark/>
          </w:tcPr>
          <w:p w14:paraId="05206E8F"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-2.1</w:t>
            </w:r>
          </w:p>
        </w:tc>
        <w:tc>
          <w:tcPr>
            <w:tcW w:w="1039" w:type="dxa"/>
            <w:tcBorders>
              <w:top w:val="nil"/>
              <w:left w:val="nil"/>
              <w:bottom w:val="single" w:sz="4" w:space="0" w:color="auto"/>
              <w:right w:val="single" w:sz="4" w:space="0" w:color="auto"/>
            </w:tcBorders>
            <w:shd w:val="clear" w:color="auto" w:fill="auto"/>
            <w:noWrap/>
            <w:vAlign w:val="center"/>
            <w:hideMark/>
          </w:tcPr>
          <w:p w14:paraId="483E0C6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-2.0</w:t>
            </w:r>
          </w:p>
        </w:tc>
        <w:tc>
          <w:tcPr>
            <w:tcW w:w="1072" w:type="dxa"/>
            <w:tcBorders>
              <w:top w:val="nil"/>
              <w:left w:val="nil"/>
              <w:bottom w:val="single" w:sz="4" w:space="0" w:color="auto"/>
              <w:right w:val="single" w:sz="4" w:space="0" w:color="auto"/>
            </w:tcBorders>
            <w:shd w:val="clear" w:color="000000" w:fill="DEEAF6"/>
            <w:noWrap/>
            <w:vAlign w:val="center"/>
            <w:hideMark/>
          </w:tcPr>
          <w:p w14:paraId="0F6EF549"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-4.7</w:t>
            </w:r>
          </w:p>
        </w:tc>
        <w:tc>
          <w:tcPr>
            <w:tcW w:w="1102" w:type="dxa"/>
            <w:tcBorders>
              <w:top w:val="nil"/>
              <w:left w:val="nil"/>
              <w:bottom w:val="single" w:sz="4" w:space="0" w:color="auto"/>
              <w:right w:val="single" w:sz="4" w:space="0" w:color="auto"/>
            </w:tcBorders>
            <w:shd w:val="clear" w:color="000000" w:fill="DEEAF6"/>
            <w:noWrap/>
            <w:vAlign w:val="center"/>
            <w:hideMark/>
          </w:tcPr>
          <w:p w14:paraId="2EC49C88"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-5.5</w:t>
            </w:r>
          </w:p>
        </w:tc>
        <w:tc>
          <w:tcPr>
            <w:tcW w:w="1102" w:type="dxa"/>
            <w:tcBorders>
              <w:top w:val="nil"/>
              <w:left w:val="nil"/>
              <w:bottom w:val="single" w:sz="4" w:space="0" w:color="auto"/>
              <w:right w:val="single" w:sz="4" w:space="0" w:color="auto"/>
            </w:tcBorders>
            <w:shd w:val="clear" w:color="000000" w:fill="DEEAF6"/>
            <w:noWrap/>
            <w:vAlign w:val="center"/>
            <w:hideMark/>
          </w:tcPr>
          <w:p w14:paraId="47B5CAEC"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-4.5</w:t>
            </w:r>
          </w:p>
        </w:tc>
        <w:tc>
          <w:tcPr>
            <w:tcW w:w="975" w:type="dxa"/>
            <w:tcBorders>
              <w:top w:val="nil"/>
              <w:left w:val="nil"/>
              <w:bottom w:val="single" w:sz="4" w:space="0" w:color="auto"/>
              <w:right w:val="single" w:sz="4" w:space="0" w:color="auto"/>
            </w:tcBorders>
            <w:shd w:val="clear" w:color="000000" w:fill="DEEAF6"/>
            <w:noWrap/>
            <w:vAlign w:val="center"/>
            <w:hideMark/>
          </w:tcPr>
          <w:p w14:paraId="24369E72"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-3.5</w:t>
            </w:r>
          </w:p>
        </w:tc>
      </w:tr>
      <w:tr w:rsidR="00BF0F38" w:rsidRPr="009500FC" w14:paraId="3602B0D0" w14:textId="77777777" w:rsidTr="008931FF">
        <w:trPr>
          <w:trHeight w:val="320"/>
        </w:trPr>
        <w:tc>
          <w:tcPr>
            <w:tcW w:w="2398" w:type="dxa"/>
            <w:tcBorders>
              <w:top w:val="nil"/>
              <w:left w:val="single" w:sz="4" w:space="0" w:color="auto"/>
              <w:bottom w:val="single" w:sz="4" w:space="0" w:color="auto"/>
              <w:right w:val="single" w:sz="4" w:space="0" w:color="auto"/>
            </w:tcBorders>
            <w:shd w:val="clear" w:color="auto" w:fill="auto"/>
            <w:vAlign w:val="center"/>
            <w:hideMark/>
          </w:tcPr>
          <w:p w14:paraId="07A28B30" w14:textId="77777777" w:rsidR="00BF0F38" w:rsidRPr="009500FC" w:rsidRDefault="00BF0F38" w:rsidP="008931FF">
            <w:pPr>
              <w:spacing w:before="0" w:after="0" w:line="240" w:lineRule="auto"/>
              <w:ind w:firstLine="0"/>
              <w:jc w:val="left"/>
              <w:rPr>
                <w:rFonts w:eastAsia="Times New Roman" w:cs="Calibri"/>
                <w:b/>
                <w:bCs/>
                <w:color w:val="000000"/>
                <w:sz w:val="20"/>
                <w:szCs w:val="20"/>
              </w:rPr>
            </w:pPr>
            <w:r w:rsidRPr="009500FC">
              <w:rPr>
                <w:rFonts w:eastAsia="Times New Roman" w:cs="Calibri"/>
                <w:b/>
                <w:bCs/>
                <w:color w:val="000000"/>
                <w:sz w:val="20"/>
                <w:szCs w:val="20"/>
              </w:rPr>
              <w:t>Կառավարության պարտք</w:t>
            </w:r>
          </w:p>
        </w:tc>
        <w:tc>
          <w:tcPr>
            <w:tcW w:w="922" w:type="dxa"/>
            <w:tcBorders>
              <w:top w:val="nil"/>
              <w:left w:val="nil"/>
              <w:bottom w:val="single" w:sz="4" w:space="0" w:color="auto"/>
              <w:right w:val="single" w:sz="4" w:space="0" w:color="auto"/>
            </w:tcBorders>
            <w:shd w:val="clear" w:color="auto" w:fill="auto"/>
            <w:noWrap/>
            <w:vAlign w:val="center"/>
            <w:hideMark/>
          </w:tcPr>
          <w:p w14:paraId="01C270A8"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60.2</w:t>
            </w:r>
          </w:p>
        </w:tc>
        <w:tc>
          <w:tcPr>
            <w:tcW w:w="1010" w:type="dxa"/>
            <w:tcBorders>
              <w:top w:val="nil"/>
              <w:left w:val="nil"/>
              <w:bottom w:val="single" w:sz="4" w:space="0" w:color="auto"/>
              <w:right w:val="single" w:sz="4" w:space="0" w:color="auto"/>
            </w:tcBorders>
            <w:shd w:val="clear" w:color="auto" w:fill="auto"/>
            <w:noWrap/>
            <w:vAlign w:val="center"/>
            <w:hideMark/>
          </w:tcPr>
          <w:p w14:paraId="1B6883B2"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46.7</w:t>
            </w:r>
          </w:p>
        </w:tc>
        <w:tc>
          <w:tcPr>
            <w:tcW w:w="1039" w:type="dxa"/>
            <w:tcBorders>
              <w:top w:val="nil"/>
              <w:left w:val="nil"/>
              <w:bottom w:val="single" w:sz="4" w:space="0" w:color="auto"/>
              <w:right w:val="single" w:sz="4" w:space="0" w:color="auto"/>
            </w:tcBorders>
            <w:shd w:val="clear" w:color="auto" w:fill="auto"/>
            <w:noWrap/>
            <w:vAlign w:val="center"/>
            <w:hideMark/>
          </w:tcPr>
          <w:p w14:paraId="1391130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48.1</w:t>
            </w:r>
          </w:p>
        </w:tc>
        <w:tc>
          <w:tcPr>
            <w:tcW w:w="1072" w:type="dxa"/>
            <w:tcBorders>
              <w:top w:val="nil"/>
              <w:left w:val="nil"/>
              <w:bottom w:val="single" w:sz="4" w:space="0" w:color="auto"/>
              <w:right w:val="single" w:sz="4" w:space="0" w:color="auto"/>
            </w:tcBorders>
            <w:shd w:val="clear" w:color="000000" w:fill="DEEAF6"/>
            <w:noWrap/>
            <w:vAlign w:val="center"/>
            <w:hideMark/>
          </w:tcPr>
          <w:p w14:paraId="3F9358A5"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50.5</w:t>
            </w:r>
          </w:p>
        </w:tc>
        <w:tc>
          <w:tcPr>
            <w:tcW w:w="1102" w:type="dxa"/>
            <w:tcBorders>
              <w:top w:val="nil"/>
              <w:left w:val="nil"/>
              <w:bottom w:val="single" w:sz="4" w:space="0" w:color="auto"/>
              <w:right w:val="single" w:sz="4" w:space="0" w:color="auto"/>
            </w:tcBorders>
            <w:shd w:val="clear" w:color="000000" w:fill="DEEAF6"/>
            <w:noWrap/>
            <w:vAlign w:val="center"/>
            <w:hideMark/>
          </w:tcPr>
          <w:p w14:paraId="12BC83C4"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53.7</w:t>
            </w:r>
          </w:p>
        </w:tc>
        <w:tc>
          <w:tcPr>
            <w:tcW w:w="1102" w:type="dxa"/>
            <w:tcBorders>
              <w:top w:val="nil"/>
              <w:left w:val="nil"/>
              <w:bottom w:val="single" w:sz="4" w:space="0" w:color="auto"/>
              <w:right w:val="single" w:sz="4" w:space="0" w:color="auto"/>
            </w:tcBorders>
            <w:shd w:val="clear" w:color="000000" w:fill="DEEAF6"/>
            <w:noWrap/>
            <w:vAlign w:val="center"/>
            <w:hideMark/>
          </w:tcPr>
          <w:p w14:paraId="6517B72A"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55.0</w:t>
            </w:r>
          </w:p>
        </w:tc>
        <w:tc>
          <w:tcPr>
            <w:tcW w:w="975" w:type="dxa"/>
            <w:tcBorders>
              <w:top w:val="nil"/>
              <w:left w:val="nil"/>
              <w:bottom w:val="single" w:sz="4" w:space="0" w:color="auto"/>
              <w:right w:val="single" w:sz="4" w:space="0" w:color="auto"/>
            </w:tcBorders>
            <w:shd w:val="clear" w:color="000000" w:fill="DEEAF6"/>
            <w:noWrap/>
            <w:vAlign w:val="center"/>
            <w:hideMark/>
          </w:tcPr>
          <w:p w14:paraId="59DAB29A" w14:textId="77777777" w:rsidR="00BF0F38" w:rsidRPr="009500FC" w:rsidRDefault="00BF0F38" w:rsidP="008931FF">
            <w:pPr>
              <w:spacing w:before="0" w:after="0" w:line="240" w:lineRule="auto"/>
              <w:ind w:firstLine="0"/>
              <w:jc w:val="right"/>
              <w:rPr>
                <w:rFonts w:eastAsia="Times New Roman" w:cs="Calibri"/>
                <w:b/>
                <w:bCs/>
                <w:color w:val="000000"/>
                <w:sz w:val="20"/>
                <w:szCs w:val="20"/>
              </w:rPr>
            </w:pPr>
            <w:r w:rsidRPr="009500FC">
              <w:rPr>
                <w:rFonts w:eastAsia="Times New Roman" w:cs="Calibri"/>
                <w:b/>
                <w:bCs/>
                <w:color w:val="000000"/>
                <w:sz w:val="20"/>
                <w:szCs w:val="20"/>
              </w:rPr>
              <w:t>55.0</w:t>
            </w:r>
          </w:p>
        </w:tc>
      </w:tr>
    </w:tbl>
    <w:p w14:paraId="2045E080" w14:textId="77777777" w:rsidR="00BF0F38" w:rsidRDefault="00BF0F38" w:rsidP="00BF0F38">
      <w:pPr>
        <w:tabs>
          <w:tab w:val="left" w:pos="0"/>
          <w:tab w:val="left" w:pos="284"/>
        </w:tabs>
        <w:autoSpaceDE w:val="0"/>
        <w:autoSpaceDN w:val="0"/>
        <w:adjustRightInd w:val="0"/>
        <w:spacing w:before="120" w:after="0" w:line="259" w:lineRule="auto"/>
        <w:ind w:firstLine="0"/>
        <w:jc w:val="left"/>
        <w:rPr>
          <w:rFonts w:eastAsia="Times New Roman" w:cs="Calibri"/>
          <w:iCs/>
          <w:color w:val="000000" w:themeColor="text1"/>
          <w:lang w:val="hy-AM"/>
        </w:rPr>
      </w:pPr>
    </w:p>
    <w:p w14:paraId="33C2462C" w14:textId="77777777" w:rsidR="00BF0F38" w:rsidRPr="00CC54AC" w:rsidRDefault="00BF0F38" w:rsidP="00BF0F38">
      <w:pPr>
        <w:tabs>
          <w:tab w:val="left" w:pos="0"/>
          <w:tab w:val="left" w:pos="284"/>
        </w:tabs>
        <w:autoSpaceDE w:val="0"/>
        <w:autoSpaceDN w:val="0"/>
        <w:adjustRightInd w:val="0"/>
        <w:spacing w:before="120" w:after="0" w:line="259" w:lineRule="auto"/>
        <w:ind w:firstLine="0"/>
        <w:jc w:val="left"/>
        <w:rPr>
          <w:rFonts w:asciiTheme="minorHAnsi" w:eastAsiaTheme="minorHAnsi" w:hAnsiTheme="minorHAnsi"/>
          <w:lang w:val="hy-AM"/>
        </w:rPr>
      </w:pPr>
      <w:r>
        <w:rPr>
          <w:rFonts w:eastAsia="Times New Roman"/>
        </w:rPr>
        <w:fldChar w:fldCharType="begin"/>
      </w:r>
      <w:r w:rsidRPr="00CC54AC">
        <w:rPr>
          <w:rFonts w:eastAsia="Times New Roman"/>
          <w:lang w:val="hy-AM"/>
        </w:rPr>
        <w:instrText xml:space="preserve"> LINK Excel.Sheet.12 "\\\\172.20.215.254\\Share\\macroeconomic\\Share\\Armine\\2024\\06\\ՄԺԾԾ 2024-2027\\2.Charts-and-Tables-Գլուխ 2.xlsx" "Աղյուսակ 2.1!R4C2:R21C9" \a \f 4 \h </w:instrText>
      </w:r>
      <w:r>
        <w:rPr>
          <w:rFonts w:eastAsia="Times New Roman"/>
          <w:lang w:val="hy-AM"/>
        </w:rPr>
        <w:instrText xml:space="preserve"> \* MERGEFORMAT </w:instrText>
      </w:r>
      <w:r>
        <w:rPr>
          <w:rFonts w:eastAsia="Times New Roman"/>
        </w:rPr>
        <w:fldChar w:fldCharType="separate"/>
      </w:r>
    </w:p>
    <w:p w14:paraId="3F0ADE40" w14:textId="77777777" w:rsidR="00BF0F38" w:rsidRPr="00D500C9" w:rsidRDefault="00BF0F38" w:rsidP="00BF0F38">
      <w:pPr>
        <w:tabs>
          <w:tab w:val="left" w:pos="0"/>
          <w:tab w:val="left" w:pos="284"/>
        </w:tabs>
        <w:autoSpaceDE w:val="0"/>
        <w:autoSpaceDN w:val="0"/>
        <w:adjustRightInd w:val="0"/>
        <w:spacing w:before="120" w:after="0" w:line="259" w:lineRule="auto"/>
        <w:ind w:firstLine="0"/>
        <w:jc w:val="left"/>
        <w:rPr>
          <w:rFonts w:eastAsia="Times New Roman" w:cs="Calibri"/>
          <w:iCs/>
          <w:color w:val="000000" w:themeColor="text1"/>
        </w:rPr>
      </w:pPr>
      <w:r>
        <w:rPr>
          <w:rFonts w:eastAsia="Times New Roman" w:cs="Calibri"/>
          <w:iCs/>
          <w:color w:val="000000" w:themeColor="text1"/>
        </w:rPr>
        <w:fldChar w:fldCharType="end"/>
      </w:r>
    </w:p>
    <w:p w14:paraId="1EFD160B" w14:textId="77777777" w:rsidR="00BF0F38" w:rsidRPr="00E73D1D" w:rsidRDefault="00BF0F38" w:rsidP="00BF0F38">
      <w:pPr>
        <w:pStyle w:val="Heading3"/>
        <w:rPr>
          <w:rFonts w:eastAsia="Times New Roman" w:cs="Times New Roman"/>
          <w:caps w:val="0"/>
          <w:color w:val="44546A" w:themeColor="text2"/>
          <w:sz w:val="24"/>
          <w:szCs w:val="24"/>
        </w:rPr>
      </w:pPr>
      <w:bookmarkStart w:id="78" w:name="_Toc138956187"/>
      <w:bookmarkStart w:id="79" w:name="_Toc170750545"/>
      <w:bookmarkStart w:id="80" w:name="_Toc170926306"/>
      <w:r w:rsidRPr="008B526C">
        <w:rPr>
          <w:rFonts w:eastAsia="Times New Roman" w:cs="Times New Roman"/>
          <w:color w:val="44546A" w:themeColor="text2"/>
          <w:sz w:val="24"/>
          <w:szCs w:val="24"/>
        </w:rPr>
        <w:t xml:space="preserve">2.2. </w:t>
      </w:r>
      <w:r w:rsidRPr="00E73D1D">
        <w:rPr>
          <w:rFonts w:eastAsia="Times New Roman" w:cs="Times New Roman"/>
          <w:caps w:val="0"/>
          <w:color w:val="44546A" w:themeColor="text2"/>
          <w:sz w:val="24"/>
          <w:szCs w:val="24"/>
        </w:rPr>
        <w:t>ՄԻՋՆԱԺԱՄԿԵՏ ՀԱՐԿԱԲՅՈՒՋԵՏԱՅԻՆ ՔԱՂԱՔԱԿԱՆՈՒԹՅԱՆ ԱՌԱՋՆԱՀԵՐԹՈՒԹՅՈՒՆՆԵՐԸ ԵՎ ՆՊԱՏԱԿՆԵՐԸ</w:t>
      </w:r>
      <w:bookmarkEnd w:id="78"/>
      <w:bookmarkEnd w:id="79"/>
      <w:bookmarkEnd w:id="80"/>
      <w:r w:rsidRPr="00E73D1D">
        <w:rPr>
          <w:rFonts w:eastAsia="Times New Roman" w:cs="Times New Roman"/>
          <w:caps w:val="0"/>
          <w:color w:val="44546A" w:themeColor="text2"/>
          <w:sz w:val="24"/>
          <w:szCs w:val="24"/>
        </w:rPr>
        <w:t xml:space="preserve"> </w:t>
      </w:r>
    </w:p>
    <w:p w14:paraId="6E4360D6" w14:textId="77777777" w:rsidR="00BF0F38" w:rsidRDefault="00BF0F38" w:rsidP="00BF0F38">
      <w:pPr>
        <w:pStyle w:val="Heading3"/>
      </w:pPr>
    </w:p>
    <w:p w14:paraId="29E6DE77" w14:textId="77777777" w:rsidR="00BF0F38" w:rsidRPr="00CC6252" w:rsidRDefault="00BF0F38" w:rsidP="00BF0F38">
      <w:pPr>
        <w:tabs>
          <w:tab w:val="left" w:pos="0"/>
        </w:tabs>
        <w:spacing w:before="120" w:after="0" w:line="276" w:lineRule="auto"/>
        <w:ind w:firstLine="0"/>
        <w:rPr>
          <w:lang w:val="hy-AM"/>
        </w:rPr>
      </w:pPr>
      <w:r w:rsidRPr="00CC6252">
        <w:rPr>
          <w:lang w:val="hy-AM"/>
        </w:rPr>
        <w:t>ՀՀ կառավարության հարկաբյուջետային քաղաքականության առաջնահերթությունները և նպատակները արտացոլված են ՀՀ կառավարության ծրագրում ու ըստ անհրաժեշտության առանձին կարգավորումներով սահմանված են նաև ՀՀ օրենսդրությամբ`</w:t>
      </w:r>
    </w:p>
    <w:p w14:paraId="18F1444A" w14:textId="77777777" w:rsidR="00BF0F38" w:rsidRPr="00CC6252" w:rsidRDefault="00BF0F38" w:rsidP="00BF0F38">
      <w:pPr>
        <w:tabs>
          <w:tab w:val="left" w:pos="0"/>
        </w:tabs>
        <w:spacing w:before="120" w:after="0" w:line="276" w:lineRule="auto"/>
        <w:ind w:firstLine="0"/>
        <w:rPr>
          <w:rFonts w:cs="Sylfaen"/>
          <w:lang w:val="hy-AM"/>
        </w:rPr>
      </w:pPr>
      <w:r w:rsidRPr="00CC6252">
        <w:rPr>
          <w:rFonts w:cs="Sylfaen"/>
          <w:b/>
          <w:bCs/>
          <w:u w:val="single"/>
          <w:lang w:val="hy-AM"/>
        </w:rPr>
        <w:t xml:space="preserve">Տնտեսական աճի մոդել: </w:t>
      </w:r>
      <w:r w:rsidRPr="00CC6252">
        <w:rPr>
          <w:rFonts w:cs="Sylfaen"/>
          <w:lang w:val="hy-AM"/>
        </w:rPr>
        <w:t xml:space="preserve">ՀՀ տնտեսական աճի և, ըստ այդմ, հնարավորությունների ընդլայնումը պայմանավորված է լինելու միջազգային մրցունակության աճով։ </w:t>
      </w:r>
      <w:r w:rsidRPr="00D048A9">
        <w:rPr>
          <w:lang w:val="hy-AM"/>
        </w:rPr>
        <w:t xml:space="preserve"> Իսկ </w:t>
      </w:r>
      <w:r w:rsidRPr="00CB745E">
        <w:rPr>
          <w:lang w:val="hy-AM"/>
        </w:rPr>
        <w:t>միջազգային</w:t>
      </w:r>
      <w:r w:rsidRPr="00CC6252">
        <w:rPr>
          <w:lang w:val="hy-AM"/>
        </w:rPr>
        <w:t xml:space="preserve"> մրցունակության աճն ապահովելու նպատակով</w:t>
      </w:r>
      <w:r w:rsidRPr="00D048A9">
        <w:rPr>
          <w:rFonts w:cs="Sylfaen"/>
          <w:bCs/>
          <w:u w:val="single"/>
          <w:lang w:val="hy-AM"/>
        </w:rPr>
        <w:t xml:space="preserve"> </w:t>
      </w:r>
      <w:r w:rsidRPr="00623006">
        <w:rPr>
          <w:rFonts w:cs="Sylfaen"/>
          <w:bCs/>
          <w:u w:val="single"/>
          <w:lang w:val="hy-AM"/>
        </w:rPr>
        <w:t xml:space="preserve">ՀՀ կառավարությունը նպատակադրել է զարգացնել այնպիսի տնտեսություն, որը մի կողմից աշխարհին կառաջարկի տեխնոլոգիական </w:t>
      </w:r>
      <w:r w:rsidRPr="00623006">
        <w:rPr>
          <w:rFonts w:cs="Sylfaen"/>
          <w:bCs/>
          <w:u w:val="single"/>
          <w:lang w:val="hy-AM"/>
        </w:rPr>
        <w:lastRenderedPageBreak/>
        <w:t>և նորարարական արտադրանք, իսկ մյուս կողմից իր մեծ թափով կառուցվող և արդիականացվող ենթակառուցվածքներով զգալիորեն կնպաստի տարածաշրջանի՝ առևտրային ու մարդկային հոսքեր սպասարկելու կարողությունների բարձրացմանը</w:t>
      </w:r>
      <w:r w:rsidRPr="00842970">
        <w:rPr>
          <w:rFonts w:cs="Sylfaen"/>
          <w:bCs/>
          <w:lang w:val="hy-AM"/>
        </w:rPr>
        <w:t xml:space="preserve">։ Այս տեսանկյունից </w:t>
      </w:r>
      <w:r w:rsidRPr="00842970">
        <w:rPr>
          <w:lang w:val="hy-AM"/>
        </w:rPr>
        <w:t>ՀՀ</w:t>
      </w:r>
      <w:r w:rsidRPr="00CC6252">
        <w:rPr>
          <w:lang w:val="hy-AM"/>
        </w:rPr>
        <w:t xml:space="preserve"> կառավարությունը գիտելիքն ու նորարարությունը </w:t>
      </w:r>
      <w:r>
        <w:rPr>
          <w:lang w:val="hy-AM"/>
        </w:rPr>
        <w:t>հռչակել է որպես</w:t>
      </w:r>
      <w:r w:rsidRPr="00CC6252">
        <w:rPr>
          <w:lang w:val="hy-AM"/>
        </w:rPr>
        <w:t xml:space="preserve"> տնտեսական զարգացման հիմնական շարժիչ ուժ։</w:t>
      </w:r>
    </w:p>
    <w:p w14:paraId="7AD5822D" w14:textId="77777777" w:rsidR="00BF0F38" w:rsidRPr="007E215E" w:rsidRDefault="00BF0F38" w:rsidP="00BF0F38">
      <w:pPr>
        <w:tabs>
          <w:tab w:val="left" w:pos="0"/>
        </w:tabs>
        <w:spacing w:before="120" w:after="0" w:line="276" w:lineRule="auto"/>
        <w:ind w:firstLine="0"/>
        <w:rPr>
          <w:lang w:val="hy-AM"/>
        </w:rPr>
      </w:pPr>
      <w:r w:rsidRPr="00CC6252">
        <w:rPr>
          <w:rFonts w:cs="Sylfaen"/>
          <w:b/>
          <w:bCs/>
          <w:u w:val="single"/>
          <w:lang w:val="hy-AM"/>
        </w:rPr>
        <w:t>Հարկային քաղաքականություն։</w:t>
      </w:r>
      <w:r w:rsidRPr="00CC6252">
        <w:rPr>
          <w:rFonts w:cs="Sylfaen"/>
          <w:lang w:val="hy-AM"/>
        </w:rPr>
        <w:t xml:space="preserve"> </w:t>
      </w:r>
      <w:r w:rsidRPr="00CC6252">
        <w:rPr>
          <w:lang w:val="hy-AM"/>
        </w:rPr>
        <w:t xml:space="preserve">Հարկային քաղաքականությունը ուղղվում է տնտեսության ներդրումային գրավչության բարձրացմանն ու տնտեսական ակտիվության մակարդակի բարելավմանը՝ դրանով իսկ ստեղծելով կայուն նախադրյալներ՝ արտահանման և երկարաժամկետ տնտեսական աճի, հանրային բարիքի վերաբաշխման և հարկաբյուջետային կայունության ամրապնդման համար: </w:t>
      </w:r>
      <w:r w:rsidRPr="00CC6252">
        <w:rPr>
          <w:rFonts w:eastAsia="Times New Roman" w:cs="Times New Roman"/>
          <w:lang w:val="hy-AM"/>
        </w:rPr>
        <w:t>Այս նպատակների իրականացման ուղղությամբ հարկային օրենսդրության բարելավման միջոցով կարևորվելու է ներդրողների համար արդար, ընկալելի և կանխատեսելի միջավայրի ձևավորումը:</w:t>
      </w:r>
      <w:r w:rsidRPr="00CC6252">
        <w:rPr>
          <w:lang w:val="hy-AM"/>
        </w:rPr>
        <w:t xml:space="preserve"> </w:t>
      </w:r>
      <w:r>
        <w:rPr>
          <w:lang w:val="hy-AM"/>
        </w:rPr>
        <w:t>ՀՀ կ</w:t>
      </w:r>
      <w:r w:rsidRPr="00CC6252">
        <w:rPr>
          <w:lang w:val="hy-AM"/>
        </w:rPr>
        <w:t xml:space="preserve">առավարությունը </w:t>
      </w:r>
      <w:r>
        <w:rPr>
          <w:lang w:val="hy-AM"/>
        </w:rPr>
        <w:t xml:space="preserve">հարկային քաղաքականության միջոցառումներով, </w:t>
      </w:r>
      <w:r w:rsidRPr="00CC6252">
        <w:rPr>
          <w:lang w:val="hy-AM"/>
        </w:rPr>
        <w:t xml:space="preserve">հարկային վարչարարության արդյունավետության բարձրացման և ստվերային տնտեսության կրճատման ճանապարհով նախատեսում է միջնաժամկետ հորիզոնում ապահովել հարկեր/ՀՆԱ ցուցանիշի շարունակական աճ` 2026 </w:t>
      </w:r>
      <w:r>
        <w:rPr>
          <w:lang w:val="hy-AM"/>
        </w:rPr>
        <w:t>թ</w:t>
      </w:r>
      <w:r>
        <w:rPr>
          <w:rFonts w:ascii="Cambria Math" w:hAnsi="Cambria Math" w:cs="Cambria Math"/>
          <w:lang w:val="hy-AM"/>
        </w:rPr>
        <w:t>.</w:t>
      </w:r>
      <w:r w:rsidRPr="00CC6252">
        <w:rPr>
          <w:lang w:val="hy-AM"/>
        </w:rPr>
        <w:t xml:space="preserve"> հարկեր/ՀՆԱ ցուցանիշը հասցնելով առնվազն 25 տոկոսի</w:t>
      </w:r>
      <w:r>
        <w:rPr>
          <w:rStyle w:val="FootnoteReference"/>
          <w:lang w:val="hy-AM"/>
        </w:rPr>
        <w:footnoteReference w:id="17"/>
      </w:r>
      <w:r w:rsidRPr="00CC6252">
        <w:rPr>
          <w:lang w:val="hy-AM"/>
        </w:rPr>
        <w:t>:</w:t>
      </w:r>
      <w:r w:rsidRPr="00390A3C">
        <w:rPr>
          <w:lang w:val="hy-AM"/>
        </w:rPr>
        <w:t xml:space="preserve"> </w:t>
      </w:r>
      <w:r>
        <w:rPr>
          <w:lang w:val="hy-AM"/>
        </w:rPr>
        <w:t>Ընդ որում, սույն Ծրագրում 2026թ.-ի համար նախանշված հարկեր/ՀՆԱ ցուցանիշը գերազանցում է ՀՀ կառավարության ծրագրով սահմանված 25</w:t>
      </w:r>
      <w:r w:rsidRPr="00390A3C">
        <w:rPr>
          <w:lang w:val="hy-AM"/>
        </w:rPr>
        <w:t>%</w:t>
      </w:r>
      <w:r>
        <w:rPr>
          <w:lang w:val="hy-AM"/>
        </w:rPr>
        <w:t xml:space="preserve"> թիրախը</w:t>
      </w:r>
      <w:r w:rsidRPr="002F3145">
        <w:rPr>
          <w:lang w:val="hy-AM"/>
        </w:rPr>
        <w:t xml:space="preserve">` </w:t>
      </w:r>
      <w:r>
        <w:rPr>
          <w:lang w:val="hy-AM"/>
        </w:rPr>
        <w:t>կազմելով 25.9</w:t>
      </w:r>
      <w:r w:rsidRPr="002F3145">
        <w:rPr>
          <w:lang w:val="hy-AM"/>
        </w:rPr>
        <w:t>%</w:t>
      </w:r>
      <w:r>
        <w:rPr>
          <w:lang w:val="hy-AM"/>
        </w:rPr>
        <w:t>:</w:t>
      </w:r>
      <w:r w:rsidDel="00F6135A">
        <w:rPr>
          <w:lang w:val="hy-AM"/>
        </w:rPr>
        <w:t xml:space="preserve"> </w:t>
      </w:r>
      <w:r>
        <w:rPr>
          <w:lang w:val="hy-AM"/>
        </w:rPr>
        <w:t xml:space="preserve">։   </w:t>
      </w:r>
    </w:p>
    <w:p w14:paraId="6BEFFA7F" w14:textId="77777777" w:rsidR="00BF0F38" w:rsidRPr="00CC6252" w:rsidRDefault="00BF0F38" w:rsidP="00BF0F38">
      <w:pPr>
        <w:tabs>
          <w:tab w:val="left" w:pos="0"/>
        </w:tabs>
        <w:spacing w:before="120" w:after="0" w:line="276" w:lineRule="auto"/>
        <w:ind w:firstLine="0"/>
        <w:rPr>
          <w:lang w:val="hy-AM"/>
        </w:rPr>
      </w:pPr>
      <w:r w:rsidRPr="00CC6252">
        <w:rPr>
          <w:b/>
          <w:bCs/>
          <w:u w:val="single"/>
          <w:lang w:val="hy-AM"/>
        </w:rPr>
        <w:t>Ծախսային քաղաքականություն։</w:t>
      </w:r>
      <w:r w:rsidRPr="00CC6252">
        <w:rPr>
          <w:lang w:val="hy-AM"/>
        </w:rPr>
        <w:t xml:space="preserve"> Ծախսային քաղաքականության արդյունավետության բարձրացման տեսանկյունից կարևոր</w:t>
      </w:r>
      <w:r>
        <w:rPr>
          <w:lang w:val="hy-AM"/>
        </w:rPr>
        <w:t>վ</w:t>
      </w:r>
      <w:r w:rsidRPr="00CC6252">
        <w:rPr>
          <w:lang w:val="hy-AM"/>
        </w:rPr>
        <w:t>ում է հանրային ֆինանսների նպատակային, խնայողաբար և ա</w:t>
      </w:r>
      <w:r>
        <w:rPr>
          <w:lang w:val="hy-AM"/>
        </w:rPr>
        <w:t>ր</w:t>
      </w:r>
      <w:r w:rsidRPr="00CC6252">
        <w:rPr>
          <w:lang w:val="hy-AM"/>
        </w:rPr>
        <w:t>դյունավետ օգտագործումը: Ծախսերի նպատակայնության բարձրացման առումով անցում է կատարվելու ռազմավարական պլանավորման, իսկ ծախսային ծրագրերի արդյունավետության և օգտավետության բարձրացման նպատակով ներդրվելու է բյուջետային ծրագրերի գնահատման կանոնավոր գործընթաց: Ծախսային քաղաքականություն</w:t>
      </w:r>
      <w:r>
        <w:rPr>
          <w:lang w:val="hy-AM"/>
        </w:rPr>
        <w:t>ը կրթության, առողջապահության և սոցիալական պաշտպանության լրացուցիչ նախաձեռնություններով և համակարգային բարեփոխումներով</w:t>
      </w:r>
      <w:r w:rsidRPr="00CC6252">
        <w:rPr>
          <w:lang w:val="hy-AM"/>
        </w:rPr>
        <w:t xml:space="preserve"> </w:t>
      </w:r>
      <w:r>
        <w:rPr>
          <w:lang w:val="hy-AM"/>
        </w:rPr>
        <w:t>ուղղված է լինելու</w:t>
      </w:r>
      <w:r w:rsidRPr="00CC6252">
        <w:rPr>
          <w:lang w:val="hy-AM"/>
        </w:rPr>
        <w:t xml:space="preserve"> մարդկային</w:t>
      </w:r>
      <w:r>
        <w:rPr>
          <w:lang w:val="hy-AM"/>
        </w:rPr>
        <w:t xml:space="preserve"> կապիտալի առավել արդյունավետ զարգացմանը և իրացմանը,</w:t>
      </w:r>
      <w:r w:rsidRPr="00CC6252">
        <w:rPr>
          <w:lang w:val="hy-AM"/>
        </w:rPr>
        <w:t xml:space="preserve"> </w:t>
      </w:r>
      <w:r>
        <w:rPr>
          <w:lang w:val="hy-AM"/>
        </w:rPr>
        <w:t xml:space="preserve">իսկ  պետական ենթակառուցվածքներում </w:t>
      </w:r>
      <w:r w:rsidRPr="00390A3C">
        <w:rPr>
          <w:lang w:val="hy-AM"/>
        </w:rPr>
        <w:t>(</w:t>
      </w:r>
      <w:r>
        <w:rPr>
          <w:lang w:val="hy-AM"/>
        </w:rPr>
        <w:t>մասնավորապես՝ կրթական և նախակրթական հաստատություններ, ճանապարհներ, ջրամաբարներ և այլն</w:t>
      </w:r>
      <w:r w:rsidRPr="00390A3C">
        <w:rPr>
          <w:lang w:val="hy-AM"/>
        </w:rPr>
        <w:t>)</w:t>
      </w:r>
      <w:r>
        <w:rPr>
          <w:lang w:val="hy-AM"/>
        </w:rPr>
        <w:t xml:space="preserve"> ներդրումներ իրականացնելու միջոցով</w:t>
      </w:r>
      <w:r w:rsidRPr="00CC6252">
        <w:rPr>
          <w:lang w:val="hy-AM"/>
        </w:rPr>
        <w:t xml:space="preserve"> ֆիզիկական կապիտալի կուտակման</w:t>
      </w:r>
      <w:r>
        <w:rPr>
          <w:lang w:val="hy-AM"/>
        </w:rPr>
        <w:t xml:space="preserve">ը։ Ծախսային քաղաքականությունը միտված է լինելու նաև պաշտպանական համակարգի ամրապնդմանը՝ բարձրացնելով երկրի դիմադրողականությունը հնարավոր ռիսկերի հանդեպ: Արդյունքում </w:t>
      </w:r>
      <w:r w:rsidRPr="00CC6252">
        <w:rPr>
          <w:lang w:val="hy-AM"/>
        </w:rPr>
        <w:t xml:space="preserve">բյուջեի ծախսերի կառուցվածքում </w:t>
      </w:r>
      <w:r>
        <w:rPr>
          <w:lang w:val="hy-AM"/>
        </w:rPr>
        <w:t>միջնաժամկետում</w:t>
      </w:r>
      <w:r w:rsidRPr="00CC6252">
        <w:rPr>
          <w:lang w:val="hy-AM"/>
        </w:rPr>
        <w:t xml:space="preserve"> կավելանա</w:t>
      </w:r>
      <w:r>
        <w:rPr>
          <w:lang w:val="hy-AM"/>
        </w:rPr>
        <w:t xml:space="preserve">ն </w:t>
      </w:r>
      <w:r w:rsidRPr="00CC6252">
        <w:rPr>
          <w:lang w:val="hy-AM"/>
        </w:rPr>
        <w:t>մարդկային կապիտալին</w:t>
      </w:r>
      <w:r>
        <w:rPr>
          <w:lang w:val="hy-AM"/>
        </w:rPr>
        <w:t xml:space="preserve">, </w:t>
      </w:r>
      <w:r w:rsidRPr="00CC6252">
        <w:rPr>
          <w:lang w:val="hy-AM"/>
        </w:rPr>
        <w:t>ենթակառուցվածքներին</w:t>
      </w:r>
      <w:r>
        <w:rPr>
          <w:lang w:val="hy-AM"/>
        </w:rPr>
        <w:t>, և պաշտպանությանն</w:t>
      </w:r>
      <w:r w:rsidRPr="00CC6252">
        <w:rPr>
          <w:lang w:val="hy-AM"/>
        </w:rPr>
        <w:t xml:space="preserve"> ուղղվող ծախսերի </w:t>
      </w:r>
      <w:r>
        <w:rPr>
          <w:lang w:val="hy-AM"/>
        </w:rPr>
        <w:t>դերը</w:t>
      </w:r>
      <w:r w:rsidRPr="00CC6252">
        <w:rPr>
          <w:lang w:val="hy-AM"/>
        </w:rPr>
        <w:t xml:space="preserve">, </w:t>
      </w:r>
      <w:r>
        <w:rPr>
          <w:lang w:val="hy-AM"/>
        </w:rPr>
        <w:t xml:space="preserve">ինչը կխթանի տնտեսության ներուժը, արտադրողականությունը, դիմադրողականությունը, </w:t>
      </w:r>
      <w:r w:rsidRPr="00CC6252">
        <w:rPr>
          <w:lang w:val="hy-AM"/>
        </w:rPr>
        <w:t>ներառական աճ</w:t>
      </w:r>
      <w:r>
        <w:rPr>
          <w:lang w:val="hy-AM"/>
        </w:rPr>
        <w:t>ը</w:t>
      </w:r>
      <w:r w:rsidRPr="00CC6252">
        <w:rPr>
          <w:lang w:val="hy-AM"/>
        </w:rPr>
        <w:t xml:space="preserve"> և տարածքային հավասարաչափ զարգաց</w:t>
      </w:r>
      <w:r>
        <w:rPr>
          <w:lang w:val="hy-AM"/>
        </w:rPr>
        <w:t>ումը՝ հիմքեր ստեղծելով որդեգրած տնտեսական զարգացման մոդելի կայացման համար</w:t>
      </w:r>
      <w:r w:rsidRPr="00CC6252">
        <w:rPr>
          <w:lang w:val="hy-AM"/>
        </w:rPr>
        <w:t>:</w:t>
      </w:r>
      <w:r>
        <w:rPr>
          <w:lang w:val="hy-AM"/>
        </w:rPr>
        <w:t xml:space="preserve"> </w:t>
      </w:r>
    </w:p>
    <w:p w14:paraId="7069C79B" w14:textId="77777777" w:rsidR="00BF0F38" w:rsidRPr="00CC6252" w:rsidRDefault="00BF0F38" w:rsidP="005824C8">
      <w:pPr>
        <w:tabs>
          <w:tab w:val="left" w:pos="0"/>
        </w:tabs>
        <w:spacing w:before="120" w:after="0" w:line="276" w:lineRule="auto"/>
        <w:ind w:firstLine="0"/>
        <w:rPr>
          <w:lang w:val="hy-AM"/>
        </w:rPr>
      </w:pPr>
      <w:r w:rsidRPr="00CC6252">
        <w:rPr>
          <w:rFonts w:cs="Arial"/>
          <w:b/>
          <w:color w:val="000000"/>
          <w:u w:val="single"/>
          <w:lang w:val="hy-AM"/>
        </w:rPr>
        <w:lastRenderedPageBreak/>
        <w:t>Հարկաբյուջետային կանոններ</w:t>
      </w:r>
      <w:r w:rsidRPr="00CC6252">
        <w:rPr>
          <w:rFonts w:cs="Arial"/>
          <w:b/>
          <w:color w:val="000000"/>
          <w:lang w:val="hy-AM"/>
        </w:rPr>
        <w:t xml:space="preserve">։ </w:t>
      </w:r>
      <w:r w:rsidRPr="00CC6252">
        <w:rPr>
          <w:lang w:val="hy-AM"/>
        </w:rPr>
        <w:t>ՀՀ հարկաբյուջետային կանոնների համակարգին համահունչ</w:t>
      </w:r>
      <w:r w:rsidRPr="00CC6252">
        <w:rPr>
          <w:vertAlign w:val="superscript"/>
          <w:lang w:val="en-GB"/>
        </w:rPr>
        <w:footnoteReference w:id="18"/>
      </w:r>
      <w:r w:rsidRPr="00CC6252">
        <w:rPr>
          <w:lang w:val="hy-AM"/>
        </w:rPr>
        <w:t xml:space="preserve"> </w:t>
      </w:r>
      <w:r>
        <w:rPr>
          <w:lang w:val="hy-AM"/>
        </w:rPr>
        <w:t>միջնաժամկետում պետական բյուջեի ծախսերի աճը համահունչ կլինի եկամուտ գեներացնելու կարողություններին և պարտքի բեռը կպահպանվի ՀՀ տնտեսության համար ապահով մակարդակում, իսկ պարտքի երկարաժամկետ կայունությունը կերաշխավորվի կառավարության ակտիվների և պարտավորությունների հաշվեկշռված աճով, որը կխթանի տնտեսության ներուժը</w:t>
      </w:r>
      <w:r w:rsidRPr="00CC6252">
        <w:rPr>
          <w:lang w:val="hy-AM"/>
        </w:rPr>
        <w:t>: Դրա ապահովման համար հարկաբյուջետային քաղաքականության հիմքում լինելու են հետևյալ սկզբունքները</w:t>
      </w:r>
      <w:r>
        <w:rPr>
          <w:rFonts w:ascii="MS Mincho" w:eastAsia="MS Mincho" w:hAnsi="MS Mincho" w:cs="MS Mincho"/>
          <w:lang w:val="hy-AM"/>
        </w:rPr>
        <w:t>.</w:t>
      </w:r>
    </w:p>
    <w:p w14:paraId="251B6DB0" w14:textId="77777777" w:rsidR="00BF0F38" w:rsidRPr="009F07CF" w:rsidRDefault="00BF0F38" w:rsidP="005824C8">
      <w:pPr>
        <w:numPr>
          <w:ilvl w:val="0"/>
          <w:numId w:val="19"/>
        </w:numPr>
        <w:tabs>
          <w:tab w:val="left" w:pos="0"/>
          <w:tab w:val="left" w:pos="284"/>
        </w:tabs>
        <w:spacing w:before="120" w:after="0" w:line="276" w:lineRule="auto"/>
        <w:ind w:left="0" w:firstLine="0"/>
        <w:rPr>
          <w:lang w:val="hy-AM" w:eastAsia="ru-RU"/>
        </w:rPr>
      </w:pPr>
      <w:r w:rsidRPr="006226AF">
        <w:rPr>
          <w:b/>
          <w:u w:val="single"/>
          <w:lang w:val="hy-AM" w:eastAsia="ru-RU"/>
        </w:rPr>
        <w:t xml:space="preserve">Հարկաբյուջետային կայունության պահպանում պարտքի բեռի </w:t>
      </w:r>
      <w:r>
        <w:rPr>
          <w:b/>
          <w:u w:val="single"/>
          <w:lang w:val="hy-AM" w:eastAsia="ru-RU"/>
        </w:rPr>
        <w:t>պահպանմամ</w:t>
      </w:r>
      <w:r w:rsidRPr="006226AF">
        <w:rPr>
          <w:b/>
          <w:u w:val="single"/>
          <w:lang w:val="hy-AM" w:eastAsia="ru-RU"/>
        </w:rPr>
        <w:t>բ կառավարելի մակարդակում։</w:t>
      </w:r>
      <w:r w:rsidRPr="006226AF">
        <w:rPr>
          <w:lang w:val="hy-AM" w:eastAsia="ru-RU"/>
        </w:rPr>
        <w:t xml:space="preserve"> Միջնաժամկետ հատվածում, հաշվի առնելով </w:t>
      </w:r>
      <w:r w:rsidRPr="009F07CF">
        <w:rPr>
          <w:lang w:val="hy-AM" w:eastAsia="ru-RU"/>
        </w:rPr>
        <w:t>կառուցվածքային բարեփոխումների սահուն ընթացքը երաշխավորելու, ֆիզիկական ու մարդկային կապիտալի մեջ անհրաժեշտ ծավալի ներդրումներ իրականացնելու և անհետաձգելի այլ կարիքների համար ձևավորվող ֆինանսավորման պահանջի բավարարման</w:t>
      </w:r>
      <w:r w:rsidRPr="006226AF">
        <w:rPr>
          <w:lang w:val="hy-AM" w:eastAsia="ru-RU"/>
        </w:rPr>
        <w:t xml:space="preserve"> </w:t>
      </w:r>
      <w:r>
        <w:rPr>
          <w:lang w:val="hy-AM" w:eastAsia="ru-RU"/>
        </w:rPr>
        <w:t>անհրաժեշտությունը,</w:t>
      </w:r>
      <w:r w:rsidRPr="006226AF">
        <w:rPr>
          <w:lang w:val="hy-AM" w:eastAsia="ru-RU"/>
        </w:rPr>
        <w:t xml:space="preserve"> </w:t>
      </w:r>
      <w:r>
        <w:rPr>
          <w:lang w:val="hy-AM" w:eastAsia="ru-RU"/>
        </w:rPr>
        <w:t>բյուջեի պակասուրդի մակարդակը կբարձրանա միջնաժամկետի սկզբում և կնվազի մինչև պարտքը կայունացնող մակարդակի վերջում, ինչի արդյունքում կառավարության պարտք/ՀՆԱ հարաբերակցությունը կաճի և կկայունանա 55</w:t>
      </w:r>
      <w:r w:rsidRPr="006226AF">
        <w:rPr>
          <w:lang w:val="hy-AM" w:eastAsia="ru-RU"/>
        </w:rPr>
        <w:t>%-</w:t>
      </w:r>
      <w:r>
        <w:rPr>
          <w:lang w:val="hy-AM" w:eastAsia="ru-RU"/>
        </w:rPr>
        <w:t xml:space="preserve">ի մակարդակում։ Պարտքի բեռի կայունացումը նման մակարդակում որոշակիորեն կպահպանի հարկաբյուջետային տարածքը՝ հնարավոր ցնցումները կլանելու համար, իսկ տնտեսական ներուժի խթանման արդյունքում երկարաժամկետում նվազող վարքագիծ կունենա։ </w:t>
      </w:r>
    </w:p>
    <w:p w14:paraId="284BAD77" w14:textId="77777777" w:rsidR="00BF0F38" w:rsidRDefault="00BF0F38" w:rsidP="005824C8">
      <w:pPr>
        <w:numPr>
          <w:ilvl w:val="0"/>
          <w:numId w:val="19"/>
        </w:numPr>
        <w:tabs>
          <w:tab w:val="left" w:pos="0"/>
          <w:tab w:val="left" w:pos="284"/>
        </w:tabs>
        <w:spacing w:before="120" w:after="0" w:line="276" w:lineRule="auto"/>
        <w:ind w:left="0" w:firstLine="0"/>
        <w:rPr>
          <w:b/>
          <w:u w:val="single"/>
          <w:lang w:val="hy-AM" w:eastAsia="ru-RU"/>
        </w:rPr>
      </w:pPr>
      <w:r w:rsidRPr="00CC6252">
        <w:rPr>
          <w:b/>
          <w:u w:val="single"/>
          <w:lang w:val="hy-AM" w:eastAsia="ru-RU"/>
        </w:rPr>
        <w:t xml:space="preserve">Տնտեսության </w:t>
      </w:r>
      <w:r>
        <w:rPr>
          <w:b/>
          <w:u w:val="single"/>
          <w:lang w:val="hy-AM" w:eastAsia="ru-RU"/>
        </w:rPr>
        <w:t>ներուժի</w:t>
      </w:r>
      <w:r w:rsidRPr="00CC6252">
        <w:rPr>
          <w:b/>
          <w:u w:val="single"/>
          <w:lang w:val="hy-AM" w:eastAsia="ru-RU"/>
        </w:rPr>
        <w:t xml:space="preserve"> բարձրացում՝ ծախսերի կառուցվածք</w:t>
      </w:r>
      <w:r>
        <w:rPr>
          <w:b/>
          <w:u w:val="single"/>
          <w:lang w:val="hy-AM" w:eastAsia="ru-RU"/>
        </w:rPr>
        <w:t>ում էլ ավելի բարձրացնելով կապիտալ ծախսերի դերը</w:t>
      </w:r>
      <w:r w:rsidRPr="006226AF">
        <w:rPr>
          <w:b/>
          <w:u w:val="single"/>
          <w:lang w:val="hy-AM" w:eastAsia="ru-RU"/>
        </w:rPr>
        <w:t xml:space="preserve">: </w:t>
      </w:r>
      <w:r w:rsidRPr="006238AB">
        <w:rPr>
          <w:lang w:val="hy-AM" w:eastAsia="ru-RU"/>
        </w:rPr>
        <w:t>2022թ</w:t>
      </w:r>
      <w:r w:rsidRPr="006226AF">
        <w:rPr>
          <w:lang w:val="hy-AM" w:eastAsia="ru-RU"/>
        </w:rPr>
        <w:t>.</w:t>
      </w:r>
      <w:r w:rsidRPr="006238AB">
        <w:rPr>
          <w:lang w:val="hy-AM" w:eastAsia="ru-RU"/>
        </w:rPr>
        <w:t>-ից հարկաբյուջետային քաղաքականությունը վերադարձել է պետական ֆինանսների «ոսկե կանոնի» ամբողջական պահպանմանը, ինչը կ</w:t>
      </w:r>
      <w:r>
        <w:rPr>
          <w:lang w:val="hy-AM" w:eastAsia="ru-RU"/>
        </w:rPr>
        <w:t>ամրապնդվի</w:t>
      </w:r>
      <w:r w:rsidRPr="006238AB">
        <w:rPr>
          <w:lang w:val="hy-AM" w:eastAsia="ru-RU"/>
        </w:rPr>
        <w:t xml:space="preserve"> նաև միջնաժամկետում: Այդ համատեքստում կապահովվի պետական կապիտալ ծախսերի դերի </w:t>
      </w:r>
      <w:r>
        <w:rPr>
          <w:lang w:val="hy-AM" w:eastAsia="ru-RU"/>
        </w:rPr>
        <w:t>շարունակական</w:t>
      </w:r>
      <w:r w:rsidRPr="006238AB">
        <w:rPr>
          <w:lang w:val="hy-AM" w:eastAsia="ru-RU"/>
        </w:rPr>
        <w:t xml:space="preserve"> բարձրացում՝ թույլ տալով խթանել երկարաժամկետ տնտեսական աճը և ՀՆԱ աճի հաշվին երկարաժամկետ հեռանկարում ապահովել պետական պարտքի կայունությունը։</w:t>
      </w:r>
    </w:p>
    <w:p w14:paraId="7A4A6E5E" w14:textId="77777777" w:rsidR="00BF0F38" w:rsidRDefault="00BF0F38" w:rsidP="005824C8">
      <w:pPr>
        <w:numPr>
          <w:ilvl w:val="0"/>
          <w:numId w:val="19"/>
        </w:numPr>
        <w:tabs>
          <w:tab w:val="left" w:pos="0"/>
          <w:tab w:val="left" w:pos="284"/>
        </w:tabs>
        <w:spacing w:before="120" w:after="0" w:line="276" w:lineRule="auto"/>
        <w:ind w:left="0" w:firstLine="0"/>
        <w:rPr>
          <w:b/>
          <w:u w:val="single"/>
          <w:lang w:val="hy-AM" w:eastAsia="ru-RU"/>
        </w:rPr>
      </w:pPr>
      <w:r w:rsidRPr="00E13F9F">
        <w:rPr>
          <w:b/>
          <w:u w:val="single"/>
          <w:lang w:val="hy-AM" w:eastAsia="ru-RU"/>
        </w:rPr>
        <w:t>Տնտեսական պարբերաշրջանին համարժեք հարկաբյուջետային քաղաքականության իրականացում։</w:t>
      </w:r>
      <w:r w:rsidRPr="00E13F9F">
        <w:rPr>
          <w:lang w:val="hy-AM" w:eastAsia="ru-RU"/>
        </w:rPr>
        <w:t xml:space="preserve"> Մակրոտնտեսական կայունությանը և կայուն տնտեսական աճի ապահովմանը նպաստելու նպատակով հարկաբյուջետային քաղաքականությունը զսպող դիրք է ունեցել տնտեսական վերելքի փուլում, և տնտեսական պարբերաշրջանի կայունացման հետ աստիճանաբար չեզոք դիրք կունենա միջնաժամկետ հատվածում։   </w:t>
      </w:r>
    </w:p>
    <w:p w14:paraId="1478F893" w14:textId="77777777" w:rsidR="00BF0F38" w:rsidRPr="00E13F9F" w:rsidRDefault="00BF0F38" w:rsidP="005824C8">
      <w:pPr>
        <w:numPr>
          <w:ilvl w:val="0"/>
          <w:numId w:val="19"/>
        </w:numPr>
        <w:tabs>
          <w:tab w:val="left" w:pos="0"/>
          <w:tab w:val="left" w:pos="284"/>
        </w:tabs>
        <w:spacing w:before="120" w:after="0" w:line="276" w:lineRule="auto"/>
        <w:ind w:left="0" w:firstLine="0"/>
        <w:rPr>
          <w:b/>
          <w:u w:val="single"/>
          <w:lang w:val="hy-AM" w:eastAsia="ru-RU"/>
        </w:rPr>
      </w:pPr>
      <w:r w:rsidRPr="00E13F9F">
        <w:rPr>
          <w:b/>
          <w:u w:val="single"/>
          <w:lang w:val="hy-AM" w:eastAsia="ru-RU"/>
        </w:rPr>
        <w:t>Հարկաբյուջետային «բարձիկների» ձևավորում։</w:t>
      </w:r>
      <w:r w:rsidRPr="00E13F9F">
        <w:rPr>
          <w:b/>
          <w:lang w:val="hy-AM" w:eastAsia="ru-RU"/>
        </w:rPr>
        <w:t xml:space="preserve">  </w:t>
      </w:r>
      <w:r w:rsidRPr="00E13F9F">
        <w:rPr>
          <w:lang w:val="hy-AM" w:eastAsia="ru-RU"/>
        </w:rPr>
        <w:t>Տնտեսական պարբերաշրջանի վերելքի փուլում զսպող հարկաբյուջետային քաղաքականությունը հնարավորություն է տվել ապահովել էական «հարկաբյուջետային տարածք»՝ ինչպես ֆիզիկական ու մարդկային կապիտալում ներդնելու և կառուցվածքային բարեփոխումներին օժանդակելու, այնպես էլ հնարավոր ցնցումները կլանելու համար։ Վերջինս, զուգակցվելով ներքին և միջազգա</w:t>
      </w:r>
      <w:r>
        <w:rPr>
          <w:lang w:val="hy-AM" w:eastAsia="ru-RU"/>
        </w:rPr>
        <w:t>յ</w:t>
      </w:r>
      <w:r w:rsidRPr="00E13F9F">
        <w:rPr>
          <w:lang w:val="hy-AM" w:eastAsia="ru-RU"/>
        </w:rPr>
        <w:t>ին ֆինանսական շուկաներին մշտական հասանելիության երաշխավորմամբ, ձևավորում է կարևոր «հարկաբյուջետային բարձիկ» ռիսկերի հնարավոր առարկայացման</w:t>
      </w:r>
      <w:r>
        <w:rPr>
          <w:lang w:val="hy-AM" w:eastAsia="ru-RU"/>
        </w:rPr>
        <w:t>ը դիմագրավելու</w:t>
      </w:r>
      <w:r w:rsidRPr="00E13F9F">
        <w:rPr>
          <w:lang w:val="hy-AM" w:eastAsia="ru-RU"/>
        </w:rPr>
        <w:t xml:space="preserve"> համար։ Միաժամանակ,  կառավարությունը, գործող կարգավորումների համաձայն, իրացվելիության անհրաժեշտ մակարդակ երաշխավորելու համար գանձապետական կայունացման հաշվում </w:t>
      </w:r>
      <w:r>
        <w:rPr>
          <w:lang w:val="hy-AM" w:eastAsia="ru-RU"/>
        </w:rPr>
        <w:t>կ</w:t>
      </w:r>
      <w:r w:rsidRPr="00E13F9F">
        <w:rPr>
          <w:lang w:val="hy-AM" w:eastAsia="ru-RU"/>
        </w:rPr>
        <w:t>ապահով</w:t>
      </w:r>
      <w:r>
        <w:rPr>
          <w:lang w:val="hy-AM" w:eastAsia="ru-RU"/>
        </w:rPr>
        <w:t>ի առնվազն</w:t>
      </w:r>
      <w:r w:rsidRPr="00E13F9F">
        <w:rPr>
          <w:lang w:val="hy-AM" w:eastAsia="ru-RU"/>
        </w:rPr>
        <w:t xml:space="preserve"> ՀՆԱ 1</w:t>
      </w:r>
      <w:r w:rsidRPr="00842970">
        <w:rPr>
          <w:lang w:val="hy-AM" w:eastAsia="ru-RU"/>
        </w:rPr>
        <w:t>%</w:t>
      </w:r>
      <w:r w:rsidRPr="00E13F9F">
        <w:rPr>
          <w:lang w:val="hy-AM" w:eastAsia="ru-RU"/>
        </w:rPr>
        <w:t>-ի չափով միջոցներ</w:t>
      </w:r>
      <w:r w:rsidRPr="00842970">
        <w:rPr>
          <w:lang w:val="hy-AM" w:eastAsia="ru-RU"/>
        </w:rPr>
        <w:t>:</w:t>
      </w:r>
    </w:p>
    <w:p w14:paraId="7FE4CC95" w14:textId="77777777" w:rsidR="00BF0F38" w:rsidRPr="00935B1B" w:rsidRDefault="00BF0F38" w:rsidP="005824C8">
      <w:pPr>
        <w:tabs>
          <w:tab w:val="left" w:pos="0"/>
          <w:tab w:val="left" w:pos="284"/>
        </w:tabs>
        <w:spacing w:before="120" w:after="0" w:line="276" w:lineRule="auto"/>
        <w:ind w:left="720" w:firstLine="0"/>
        <w:rPr>
          <w:lang w:val="hy-AM" w:eastAsia="ru-RU"/>
        </w:rPr>
      </w:pPr>
    </w:p>
    <w:p w14:paraId="07895E47" w14:textId="77777777" w:rsidR="00BF0F38" w:rsidRDefault="00BF0F38" w:rsidP="005824C8">
      <w:pPr>
        <w:keepNext/>
        <w:keepLines/>
        <w:tabs>
          <w:tab w:val="left" w:pos="0"/>
        </w:tabs>
        <w:spacing w:before="120" w:after="0" w:line="276" w:lineRule="auto"/>
        <w:ind w:firstLine="0"/>
        <w:contextualSpacing/>
        <w:jc w:val="left"/>
        <w:outlineLvl w:val="2"/>
        <w:rPr>
          <w:rFonts w:eastAsia="Times New Roman" w:cs="Times New Roman"/>
          <w:b/>
          <w:color w:val="44546A" w:themeColor="text2"/>
          <w:sz w:val="24"/>
          <w:szCs w:val="24"/>
          <w:lang w:val="hy-AM"/>
        </w:rPr>
      </w:pPr>
      <w:bookmarkStart w:id="81" w:name="_Toc77451204"/>
      <w:bookmarkStart w:id="82" w:name="_Toc77837854"/>
      <w:bookmarkStart w:id="83" w:name="_Toc106822898"/>
      <w:bookmarkStart w:id="84" w:name="_Toc107428583"/>
      <w:bookmarkStart w:id="85" w:name="_Toc138956188"/>
      <w:bookmarkStart w:id="86" w:name="_Toc170750546"/>
      <w:bookmarkStart w:id="87" w:name="_Toc170926307"/>
      <w:r w:rsidRPr="00FE0674">
        <w:rPr>
          <w:rFonts w:eastAsia="Times New Roman" w:cs="Times New Roman"/>
          <w:b/>
          <w:color w:val="44546A" w:themeColor="text2"/>
          <w:sz w:val="24"/>
          <w:szCs w:val="24"/>
          <w:lang w:val="hy-AM"/>
        </w:rPr>
        <w:t>2.3. ՀԱՐԿԱԲՅՈՒՋԵՏԱՅԻՆ ՔԱՂԱՔԱԿԱՆՈՒԹՅԱՆ ՄԻՏՈՒՄՆԵՐԸ ԵՎ ԿԱՆԽԱՏԵՍՈՒՄՆԵՐԸ</w:t>
      </w:r>
      <w:bookmarkEnd w:id="81"/>
      <w:bookmarkEnd w:id="82"/>
      <w:bookmarkEnd w:id="83"/>
      <w:bookmarkEnd w:id="84"/>
      <w:bookmarkEnd w:id="85"/>
      <w:bookmarkEnd w:id="86"/>
      <w:bookmarkEnd w:id="87"/>
    </w:p>
    <w:p w14:paraId="3BF27DDE" w14:textId="77777777" w:rsidR="00BF0F38" w:rsidRPr="00FE0674" w:rsidRDefault="00BF0F38" w:rsidP="005824C8">
      <w:pPr>
        <w:keepNext/>
        <w:keepLines/>
        <w:tabs>
          <w:tab w:val="left" w:pos="0"/>
        </w:tabs>
        <w:spacing w:before="120" w:after="0" w:line="276" w:lineRule="auto"/>
        <w:ind w:firstLine="0"/>
        <w:contextualSpacing/>
        <w:jc w:val="left"/>
        <w:outlineLvl w:val="2"/>
        <w:rPr>
          <w:rFonts w:eastAsia="Times New Roman" w:cs="Times New Roman"/>
          <w:b/>
          <w:color w:val="44546A" w:themeColor="text2"/>
          <w:sz w:val="24"/>
          <w:szCs w:val="24"/>
          <w:lang w:val="hy-AM"/>
        </w:rPr>
      </w:pPr>
    </w:p>
    <w:p w14:paraId="60D390B4" w14:textId="77777777" w:rsidR="00BF0F38" w:rsidRPr="00D439F2" w:rsidRDefault="00BF0F38" w:rsidP="005824C8">
      <w:pPr>
        <w:tabs>
          <w:tab w:val="left" w:pos="0"/>
        </w:tabs>
        <w:spacing w:before="120" w:after="0" w:line="276" w:lineRule="auto"/>
        <w:ind w:firstLine="0"/>
        <w:rPr>
          <w:rFonts w:eastAsia="Times New Roman" w:cs="Arial"/>
          <w:color w:val="44546A"/>
          <w:u w:val="single"/>
          <w:lang w:val="hy-AM"/>
        </w:rPr>
      </w:pPr>
      <w:bookmarkStart w:id="88" w:name="_Toc77451205"/>
      <w:bookmarkStart w:id="89" w:name="_Toc77837855"/>
      <w:bookmarkStart w:id="90" w:name="_Toc106822899"/>
      <w:bookmarkStart w:id="91" w:name="_Toc107428584"/>
      <w:r w:rsidRPr="00D439F2">
        <w:rPr>
          <w:rFonts w:eastAsia="Times New Roman" w:cs="Arial"/>
          <w:color w:val="44546A"/>
          <w:u w:val="single"/>
          <w:lang w:val="hy-AM"/>
        </w:rPr>
        <w:t>Վերջին երեք տարիների զարգացումներ</w:t>
      </w:r>
    </w:p>
    <w:p w14:paraId="2F63282D" w14:textId="77777777" w:rsidR="00BF0F38" w:rsidRPr="004D47DF" w:rsidRDefault="00BF0F38" w:rsidP="005824C8">
      <w:pPr>
        <w:tabs>
          <w:tab w:val="left" w:pos="0"/>
        </w:tabs>
        <w:spacing w:before="120" w:after="0" w:line="276" w:lineRule="auto"/>
        <w:ind w:firstLine="0"/>
        <w:rPr>
          <w:rFonts w:eastAsia="Times New Roman" w:cs="Times New Roman"/>
          <w:b/>
          <w:bCs/>
          <w:lang w:val="hy-AM"/>
        </w:rPr>
      </w:pPr>
      <w:r w:rsidRPr="007E3811">
        <w:rPr>
          <w:rFonts w:cs="GHEA Grapalat"/>
          <w:b/>
          <w:lang w:val="hy-AM"/>
        </w:rPr>
        <w:t>2020-2021 թվականներին կորոնավիրուսի համավարակի և 44-օրյա պատերազմի հետևանքներին հակազդելու համար հարկաբյուջետային կանոնների «բացառիկ դեպքի» կարգավորումների ներքո իրականացվել է հակապարբերաշրջանային խթանող քաղաքականությ</w:t>
      </w:r>
      <w:r>
        <w:rPr>
          <w:rFonts w:cs="GHEA Grapalat"/>
          <w:b/>
          <w:lang w:val="hy-AM"/>
        </w:rPr>
        <w:t>ու</w:t>
      </w:r>
      <w:r w:rsidRPr="007E3811">
        <w:rPr>
          <w:rFonts w:cs="GHEA Grapalat"/>
          <w:b/>
          <w:lang w:val="hy-AM"/>
        </w:rPr>
        <w:t>ն՝ հակազդելով բացասական տնտեսական շոկերի ազդեցությանը և նպաստելով տնտեսության վերականգմանը։ Տնտեսական ցնցումների հաղթահարումից հետո հարկաբյուջետային քաղաքականության առաջնահերթություն է դարձել բնականոն իրավիճակների համար նախատեսված հարկաբյուջետային կանոններին համապատասխանության վերականգնումն ու  տնտեսական ցնցումների արդյունքում բարձրացած պակասուրդի և պարտքի մակարդակների կրճատումը՝ զուգահեռ հարկային քաղաքականության և վարչարարության բարեփոխումների միջոցով ընդլայնելով եկամտային կարողությունը։ Արդյունքում</w:t>
      </w:r>
      <w:r w:rsidRPr="00623006">
        <w:rPr>
          <w:rFonts w:cs="GHEA Grapalat"/>
          <w:b/>
          <w:lang w:val="hy-AM"/>
        </w:rPr>
        <w:t xml:space="preserve"> 2022-2023 </w:t>
      </w:r>
      <w:r w:rsidRPr="007E3811">
        <w:rPr>
          <w:rFonts w:cs="GHEA Grapalat"/>
          <w:b/>
          <w:lang w:val="hy-AM"/>
        </w:rPr>
        <w:t>թվականներին հնարավոր է դարձել վերականգնել հարկաբյուջետային քաղաքականության բնակ</w:t>
      </w:r>
      <w:r>
        <w:rPr>
          <w:rFonts w:cs="GHEA Grapalat"/>
          <w:b/>
          <w:lang w:val="hy-AM"/>
        </w:rPr>
        <w:t>ա</w:t>
      </w:r>
      <w:r w:rsidRPr="007E3811">
        <w:rPr>
          <w:rFonts w:cs="GHEA Grapalat"/>
          <w:b/>
          <w:lang w:val="hy-AM"/>
        </w:rPr>
        <w:t>նոն իրավիճակների տրամաբանությունը՝ կառավարության պարտքի բեռը նվազեցնելով պարտքի կայունության տեսակետից անվտանգ համարվող 40-50%-ի միջակայք։ Միաժամանակ, կառավարությունը սկսել է ձևավորված հարկաբյուջետային տարածքն օգտագործել տնտեսական ներուժի բարձրացմանը, այդ թվում՝ կառուցվածքային բարեփոխումներին, ֆիզիկական և մարդկային կապիտալին ուղղվող ծախսերի դերի բարձացման համար, այդպիսով ամրապնդելով նաև երկարաժամկետ հարկաբյուջետային կայունությ</w:t>
      </w:r>
      <w:r>
        <w:rPr>
          <w:rFonts w:cs="GHEA Grapalat"/>
          <w:b/>
          <w:lang w:val="hy-AM"/>
        </w:rPr>
        <w:t>ու</w:t>
      </w:r>
      <w:r w:rsidRPr="007E3811">
        <w:rPr>
          <w:rFonts w:cs="GHEA Grapalat"/>
          <w:b/>
          <w:lang w:val="hy-AM"/>
        </w:rPr>
        <w:t>նը։</w:t>
      </w:r>
    </w:p>
    <w:p w14:paraId="0A091793" w14:textId="77777777" w:rsidR="00BF0F38" w:rsidRDefault="00BF0F38" w:rsidP="005824C8">
      <w:pPr>
        <w:tabs>
          <w:tab w:val="left" w:pos="0"/>
        </w:tabs>
        <w:spacing w:before="120" w:after="0" w:line="276" w:lineRule="auto"/>
        <w:ind w:firstLine="0"/>
        <w:rPr>
          <w:rFonts w:eastAsia="Calibri" w:cs="Sylfaen"/>
          <w:lang w:val="hy-AM"/>
        </w:rPr>
      </w:pPr>
      <w:r w:rsidRPr="00D439F2">
        <w:rPr>
          <w:rFonts w:eastAsia="Times New Roman" w:cs="Times New Roman"/>
          <w:b/>
          <w:bCs/>
          <w:iCs/>
          <w:u w:val="single"/>
          <w:lang w:val="hy-AM"/>
        </w:rPr>
        <w:t>Պետական բյուջեի եկամուտները</w:t>
      </w:r>
      <w:r w:rsidRPr="00D439F2">
        <w:rPr>
          <w:rFonts w:eastAsia="Times New Roman" w:cs="Times New Roman"/>
          <w:lang w:val="hy-AM"/>
        </w:rPr>
        <w:t xml:space="preserve">: </w:t>
      </w:r>
      <w:r w:rsidRPr="00623006">
        <w:rPr>
          <w:rFonts w:eastAsia="Times New Roman" w:cs="Times New Roman"/>
          <w:lang w:val="hy-AM"/>
        </w:rPr>
        <w:t xml:space="preserve">2021-2023 </w:t>
      </w:r>
      <w:r w:rsidRPr="0083270B">
        <w:rPr>
          <w:rFonts w:eastAsia="Times New Roman" w:cs="Times New Roman"/>
          <w:lang w:val="hy-AM"/>
        </w:rPr>
        <w:t>թվականներին պետական բյուջե</w:t>
      </w:r>
      <w:r w:rsidRPr="009071BA">
        <w:rPr>
          <w:rFonts w:eastAsia="Times New Roman" w:cs="Times New Roman"/>
          <w:lang w:val="hy-AM"/>
        </w:rPr>
        <w:t xml:space="preserve">ի եկամուտների </w:t>
      </w:r>
      <w:r w:rsidRPr="00DA269F">
        <w:rPr>
          <w:rFonts w:eastAsia="Times New Roman" w:cs="Times New Roman"/>
          <w:lang w:val="hy-AM"/>
        </w:rPr>
        <w:t>կշիռը</w:t>
      </w:r>
      <w:r w:rsidRPr="00B16B22">
        <w:rPr>
          <w:rFonts w:eastAsia="Times New Roman" w:cs="Times New Roman"/>
          <w:lang w:val="hy-AM"/>
        </w:rPr>
        <w:t xml:space="preserve"> ՀՆԱ-ում </w:t>
      </w:r>
      <w:r>
        <w:rPr>
          <w:rFonts w:eastAsia="Times New Roman" w:cs="Times New Roman"/>
          <w:lang w:val="hy-AM"/>
        </w:rPr>
        <w:t>պահպանվել է նույն մակարդակներում</w:t>
      </w:r>
      <w:r w:rsidRPr="0083270B">
        <w:rPr>
          <w:rFonts w:eastAsia="Times New Roman" w:cs="Times New Roman"/>
          <w:lang w:val="hy-AM"/>
        </w:rPr>
        <w:t>, սակայն անվանական արտահայտությամ</w:t>
      </w:r>
      <w:r>
        <w:rPr>
          <w:rFonts w:eastAsia="Times New Roman" w:cs="Times New Roman"/>
          <w:lang w:val="hy-AM"/>
        </w:rPr>
        <w:t xml:space="preserve">բ աճը կազմել է </w:t>
      </w:r>
      <w:r w:rsidRPr="00623006">
        <w:rPr>
          <w:rFonts w:eastAsia="Times New Roman" w:cs="Times New Roman"/>
          <w:lang w:val="hy-AM"/>
        </w:rPr>
        <w:t xml:space="preserve">826.6 </w:t>
      </w:r>
      <w:r>
        <w:rPr>
          <w:rFonts w:eastAsia="Times New Roman" w:cs="Times New Roman"/>
          <w:lang w:val="hy-AM"/>
        </w:rPr>
        <w:t xml:space="preserve">մլրդ դրամ։ Մինչդեռ հարկային եկամուտների կշիռը ՀՆԱ-ում աճել է </w:t>
      </w:r>
      <w:r w:rsidRPr="00623006">
        <w:rPr>
          <w:rFonts w:eastAsia="Times New Roman" w:cs="Times New Roman"/>
          <w:lang w:val="hy-AM"/>
        </w:rPr>
        <w:t>1%-</w:t>
      </w:r>
      <w:r>
        <w:rPr>
          <w:rFonts w:eastAsia="Times New Roman" w:cs="Times New Roman"/>
          <w:lang w:val="hy-AM"/>
        </w:rPr>
        <w:t xml:space="preserve">ային կետով, իսկ անվանական արտահայտությամբ աճը կազմել է </w:t>
      </w:r>
      <w:r w:rsidRPr="00623006">
        <w:rPr>
          <w:rFonts w:eastAsia="Times New Roman" w:cs="Times New Roman"/>
          <w:lang w:val="hy-AM"/>
        </w:rPr>
        <w:t xml:space="preserve">836.7 </w:t>
      </w:r>
      <w:r>
        <w:rPr>
          <w:rFonts w:eastAsia="Times New Roman" w:cs="Times New Roman"/>
          <w:lang w:val="hy-AM"/>
        </w:rPr>
        <w:t xml:space="preserve">մլրդ դրամ։ Հարկային եկամուտների աճը պայմանավորվել է տնտեսական աճին զուգահեռ հարկման բազաների ընդլայնմամբ, հարկային վարչարարության բարելավմամբ և դրա հետևանքով հարկային ճեղքի փոքրացմամբ, ինչպես նաև տնտեսության կառուցվածքային փոփոխություններով ի օգուտ հարկունակ ոլորտների։  </w:t>
      </w:r>
    </w:p>
    <w:p w14:paraId="19DA11FC" w14:textId="77777777" w:rsidR="00BF0F38" w:rsidRPr="009071BA" w:rsidRDefault="00BF0F38" w:rsidP="005824C8">
      <w:pPr>
        <w:tabs>
          <w:tab w:val="left" w:pos="0"/>
        </w:tabs>
        <w:spacing w:before="120" w:after="0" w:line="276" w:lineRule="auto"/>
        <w:ind w:firstLine="0"/>
        <w:rPr>
          <w:rFonts w:eastAsia="Times New Roman" w:cs="Times New Roman"/>
          <w:lang w:val="hy-AM"/>
        </w:rPr>
      </w:pPr>
      <w:r w:rsidRPr="00D439F2">
        <w:rPr>
          <w:rFonts w:eastAsia="Times New Roman" w:cs="Times New Roman"/>
          <w:b/>
          <w:bCs/>
          <w:iCs/>
          <w:u w:val="single"/>
          <w:lang w:val="hy-AM"/>
        </w:rPr>
        <w:t>Պետական բյուջեի ծախսերը</w:t>
      </w:r>
      <w:r w:rsidRPr="00D439F2">
        <w:rPr>
          <w:rFonts w:eastAsia="Times New Roman" w:cs="Times New Roman"/>
          <w:lang w:val="hy-AM"/>
        </w:rPr>
        <w:t>: 202</w:t>
      </w:r>
      <w:r>
        <w:rPr>
          <w:rFonts w:eastAsia="Times New Roman" w:cs="Times New Roman"/>
          <w:lang w:val="hy-AM"/>
        </w:rPr>
        <w:t>1</w:t>
      </w:r>
      <w:r w:rsidRPr="00D439F2">
        <w:rPr>
          <w:rFonts w:eastAsia="Times New Roman" w:cs="Times New Roman"/>
          <w:lang w:val="hy-AM"/>
        </w:rPr>
        <w:t>-202</w:t>
      </w:r>
      <w:r>
        <w:rPr>
          <w:rFonts w:eastAsia="Times New Roman" w:cs="Times New Roman"/>
          <w:lang w:val="hy-AM"/>
        </w:rPr>
        <w:t>3</w:t>
      </w:r>
      <w:r w:rsidRPr="00D439F2">
        <w:rPr>
          <w:rFonts w:eastAsia="Times New Roman" w:cs="Times New Roman"/>
          <w:lang w:val="hy-AM"/>
        </w:rPr>
        <w:t xml:space="preserve"> թթ</w:t>
      </w:r>
      <w:r w:rsidRPr="00D439F2">
        <w:rPr>
          <w:rFonts w:ascii="Cambria Math" w:eastAsia="Times New Roman" w:hAnsi="Cambria Math" w:cs="Cambria Math"/>
          <w:lang w:val="hy-AM"/>
        </w:rPr>
        <w:t>.</w:t>
      </w:r>
      <w:r w:rsidRPr="00D439F2">
        <w:rPr>
          <w:rFonts w:eastAsia="Times New Roman" w:cs="Times New Roman"/>
          <w:lang w:val="hy-AM"/>
        </w:rPr>
        <w:t xml:space="preserve"> ՀՀ պետական բյուջեի ծախսեր</w:t>
      </w:r>
      <w:r>
        <w:rPr>
          <w:rFonts w:eastAsia="Times New Roman" w:cs="Times New Roman"/>
          <w:lang w:val="hy-AM"/>
        </w:rPr>
        <w:t xml:space="preserve">ի կշիռը ՀՆԱ-ում նվազել է </w:t>
      </w:r>
      <w:r w:rsidRPr="00623006">
        <w:rPr>
          <w:rFonts w:eastAsia="Times New Roman" w:cs="Times New Roman"/>
          <w:lang w:val="hy-AM"/>
        </w:rPr>
        <w:t>3.8%-</w:t>
      </w:r>
      <w:r>
        <w:rPr>
          <w:rFonts w:eastAsia="Times New Roman" w:cs="Times New Roman"/>
          <w:lang w:val="hy-AM"/>
        </w:rPr>
        <w:t xml:space="preserve">ային կետով, մինչդեռ ծախսերի ծավալն աճել է </w:t>
      </w:r>
      <w:r w:rsidRPr="00623006">
        <w:rPr>
          <w:rFonts w:eastAsia="Times New Roman" w:cs="Times New Roman"/>
          <w:lang w:val="hy-AM"/>
        </w:rPr>
        <w:t xml:space="preserve">653 </w:t>
      </w:r>
      <w:r>
        <w:rPr>
          <w:rFonts w:eastAsia="Times New Roman" w:cs="Times New Roman"/>
          <w:lang w:val="hy-AM"/>
        </w:rPr>
        <w:t>մլրդ դրամով։ Ընդ որում,</w:t>
      </w:r>
      <w:r w:rsidRPr="00623006">
        <w:rPr>
          <w:rFonts w:eastAsia="Times New Roman" w:cs="Times New Roman"/>
          <w:lang w:val="hy-AM"/>
        </w:rPr>
        <w:t xml:space="preserve"> </w:t>
      </w:r>
      <w:r>
        <w:rPr>
          <w:rFonts w:eastAsia="Times New Roman" w:cs="Times New Roman"/>
          <w:lang w:val="hy-AM"/>
        </w:rPr>
        <w:t xml:space="preserve">ընթացիկ ծախսերի </w:t>
      </w:r>
      <w:r w:rsidRPr="00D439F2">
        <w:rPr>
          <w:rFonts w:eastAsia="Times New Roman" w:cs="Times New Roman"/>
          <w:lang w:val="hy-AM"/>
        </w:rPr>
        <w:t xml:space="preserve"> </w:t>
      </w:r>
      <w:r>
        <w:rPr>
          <w:rFonts w:eastAsia="Times New Roman" w:cs="Times New Roman"/>
          <w:lang w:val="hy-AM"/>
        </w:rPr>
        <w:t xml:space="preserve">կշիռը ՀՆԱ-ում նվազել է </w:t>
      </w:r>
      <w:r w:rsidRPr="00623006">
        <w:rPr>
          <w:rFonts w:eastAsia="Times New Roman" w:cs="Times New Roman"/>
          <w:lang w:val="hy-AM"/>
        </w:rPr>
        <w:t>5.2%</w:t>
      </w:r>
      <w:r>
        <w:rPr>
          <w:rFonts w:eastAsia="Times New Roman" w:cs="Times New Roman"/>
          <w:lang w:val="hy-AM"/>
        </w:rPr>
        <w:t xml:space="preserve">-ային կետով </w:t>
      </w:r>
      <w:r w:rsidRPr="00623006">
        <w:rPr>
          <w:rFonts w:eastAsia="Times New Roman" w:cs="Times New Roman"/>
          <w:lang w:val="hy-AM"/>
        </w:rPr>
        <w:t>(</w:t>
      </w:r>
      <w:r>
        <w:rPr>
          <w:rFonts w:eastAsia="Times New Roman" w:cs="Times New Roman"/>
          <w:lang w:val="hy-AM"/>
        </w:rPr>
        <w:t xml:space="preserve">բացարձակ ծավալի աճը՝ </w:t>
      </w:r>
      <w:r w:rsidRPr="00623006">
        <w:rPr>
          <w:rFonts w:eastAsia="Times New Roman" w:cs="Times New Roman"/>
          <w:lang w:val="hy-AM"/>
        </w:rPr>
        <w:t xml:space="preserve">406.6 </w:t>
      </w:r>
      <w:r>
        <w:rPr>
          <w:rFonts w:eastAsia="Times New Roman" w:cs="Times New Roman"/>
          <w:lang w:val="hy-AM"/>
        </w:rPr>
        <w:t>մլրդ դրամ</w:t>
      </w:r>
      <w:r w:rsidRPr="00623006">
        <w:rPr>
          <w:rFonts w:eastAsia="Times New Roman" w:cs="Times New Roman"/>
          <w:lang w:val="hy-AM"/>
        </w:rPr>
        <w:t>)</w:t>
      </w:r>
      <w:r>
        <w:rPr>
          <w:rFonts w:eastAsia="Times New Roman" w:cs="Times New Roman"/>
          <w:lang w:val="hy-AM"/>
        </w:rPr>
        <w:t xml:space="preserve">, մինչդեռ ոչ ֆինանսական ակտիվների հետ գործառնությունների կշիռը ՀՆԱ-ում աճել է </w:t>
      </w:r>
      <w:r w:rsidRPr="00623006">
        <w:rPr>
          <w:rFonts w:eastAsia="Times New Roman" w:cs="Times New Roman"/>
          <w:lang w:val="hy-AM"/>
        </w:rPr>
        <w:t>1.3%-</w:t>
      </w:r>
      <w:r>
        <w:rPr>
          <w:rFonts w:eastAsia="Times New Roman" w:cs="Times New Roman"/>
          <w:lang w:val="hy-AM"/>
        </w:rPr>
        <w:t xml:space="preserve">ային կետով </w:t>
      </w:r>
      <w:r w:rsidRPr="00623006">
        <w:rPr>
          <w:rFonts w:eastAsia="Times New Roman" w:cs="Times New Roman"/>
          <w:lang w:val="hy-AM"/>
        </w:rPr>
        <w:t>(</w:t>
      </w:r>
      <w:r>
        <w:rPr>
          <w:rFonts w:eastAsia="Times New Roman" w:cs="Times New Roman"/>
          <w:lang w:val="hy-AM"/>
        </w:rPr>
        <w:t>բացարձակ ծավալի աճ՝</w:t>
      </w:r>
      <w:r w:rsidRPr="00623006">
        <w:rPr>
          <w:rFonts w:eastAsia="Times New Roman" w:cs="Times New Roman"/>
          <w:lang w:val="hy-AM"/>
        </w:rPr>
        <w:t xml:space="preserve"> 246.4 </w:t>
      </w:r>
      <w:r>
        <w:rPr>
          <w:rFonts w:eastAsia="Times New Roman" w:cs="Times New Roman"/>
          <w:lang w:val="hy-AM"/>
        </w:rPr>
        <w:t>մլրդ դրամ</w:t>
      </w:r>
      <w:r w:rsidRPr="00623006">
        <w:rPr>
          <w:rFonts w:eastAsia="Times New Roman" w:cs="Times New Roman"/>
          <w:lang w:val="hy-AM"/>
        </w:rPr>
        <w:t>)</w:t>
      </w:r>
      <w:r>
        <w:rPr>
          <w:rFonts w:eastAsia="Times New Roman" w:cs="Times New Roman"/>
          <w:lang w:val="hy-AM"/>
        </w:rPr>
        <w:t xml:space="preserve">։ </w:t>
      </w:r>
      <w:r w:rsidRPr="009071BA">
        <w:rPr>
          <w:rFonts w:eastAsia="Times New Roman" w:cs="Times New Roman"/>
          <w:lang w:val="hy-AM"/>
        </w:rPr>
        <w:t xml:space="preserve">Նշված </w:t>
      </w:r>
      <w:r w:rsidRPr="00DA269F">
        <w:rPr>
          <w:rFonts w:eastAsia="Times New Roman" w:cs="Times New Roman"/>
          <w:lang w:val="hy-AM"/>
        </w:rPr>
        <w:t>ժամանակահատվածում ՀՆԱ-ում ծախսերի կշռի նվազում</w:t>
      </w:r>
      <w:r w:rsidRPr="00B16B22">
        <w:rPr>
          <w:rFonts w:eastAsia="Times New Roman" w:cs="Times New Roman"/>
          <w:lang w:val="hy-AM"/>
        </w:rPr>
        <w:t xml:space="preserve">ը պայմանավորված է </w:t>
      </w:r>
      <w:r w:rsidRPr="00623006">
        <w:rPr>
          <w:rFonts w:eastAsia="Times New Roman" w:cs="Times New Roman"/>
          <w:lang w:val="hy-AM"/>
        </w:rPr>
        <w:t>2020</w:t>
      </w:r>
      <w:r w:rsidRPr="009071BA">
        <w:rPr>
          <w:rFonts w:eastAsia="Times New Roman" w:cs="Times New Roman"/>
          <w:lang w:val="hy-AM"/>
        </w:rPr>
        <w:t>թ</w:t>
      </w:r>
      <w:r w:rsidRPr="00DA269F">
        <w:rPr>
          <w:rFonts w:ascii="Cambria Math" w:eastAsia="Times New Roman" w:hAnsi="Cambria Math" w:cs="Cambria Math"/>
          <w:lang w:val="hy-AM"/>
        </w:rPr>
        <w:t>․</w:t>
      </w:r>
      <w:r w:rsidRPr="00623006">
        <w:rPr>
          <w:rFonts w:eastAsia="Times New Roman" w:cs="Times New Roman"/>
          <w:lang w:val="hy-AM"/>
        </w:rPr>
        <w:t>-</w:t>
      </w:r>
      <w:r w:rsidRPr="00623006">
        <w:rPr>
          <w:rFonts w:eastAsia="Times New Roman" w:cs="GHEA Grapalat"/>
          <w:lang w:val="hy-AM"/>
        </w:rPr>
        <w:t>ին</w:t>
      </w:r>
      <w:r w:rsidRPr="00623006">
        <w:rPr>
          <w:rFonts w:eastAsia="Times New Roman" w:cs="Times New Roman"/>
          <w:lang w:val="hy-AM"/>
        </w:rPr>
        <w:t xml:space="preserve"> </w:t>
      </w:r>
      <w:r w:rsidRPr="00623006">
        <w:rPr>
          <w:rFonts w:eastAsia="Times New Roman" w:cs="GHEA Grapalat"/>
          <w:lang w:val="hy-AM"/>
        </w:rPr>
        <w:t>հակապարբեր</w:t>
      </w:r>
      <w:r w:rsidRPr="00623006">
        <w:rPr>
          <w:rFonts w:eastAsia="Times New Roman" w:cs="Times New Roman"/>
          <w:lang w:val="hy-AM"/>
        </w:rPr>
        <w:t xml:space="preserve">աշրջանային հարկաբյուջետային քաղաքականության պայմաններում ծախսերի մակարդակի զգալի աճով, </w:t>
      </w:r>
      <w:r>
        <w:rPr>
          <w:rFonts w:eastAsia="Times New Roman" w:cs="Times New Roman"/>
          <w:lang w:val="hy-AM"/>
        </w:rPr>
        <w:t xml:space="preserve">և հաջորդ տարիներին, հարկաբյուջետային կանոնների տրամաբանությանը համահունչ, իրականացված հարկաբյուջետային կոնսոլիդացիայով և ընթացիկ ծախսերի առավել զսպված վարքագծով։ Միաժամանակ, քննարկվող ժամանակահատվածում տեսանելի է ծախսերի կառուցվածքի զգալի փոփոխությունը ի օգուտ </w:t>
      </w:r>
      <w:r>
        <w:rPr>
          <w:rFonts w:eastAsia="Times New Roman" w:cs="Times New Roman"/>
          <w:lang w:val="hy-AM"/>
        </w:rPr>
        <w:lastRenderedPageBreak/>
        <w:t>կապիտալ ծախսերի, որոնց դեպքում, համահունչ ենթակառուցվածքային ներդրումների դերի մեծացման</w:t>
      </w:r>
      <w:r w:rsidRPr="00842970">
        <w:rPr>
          <w:rFonts w:eastAsia="Times New Roman" w:cs="Times New Roman"/>
          <w:lang w:val="hy-AM"/>
        </w:rPr>
        <w:t xml:space="preserve"> </w:t>
      </w:r>
      <w:r>
        <w:rPr>
          <w:rFonts w:eastAsia="Times New Roman" w:cs="Times New Roman"/>
          <w:lang w:val="hy-AM"/>
        </w:rPr>
        <w:t xml:space="preserve">նպատակադրմանը, գրանցվել են ինչպես ծրագրային մակարդակների բարձրացումներ, այնպես էլ կատարողականի բարելավումներ։ </w:t>
      </w:r>
    </w:p>
    <w:p w14:paraId="5DF0B122" w14:textId="77777777" w:rsidR="00BF0F38" w:rsidRDefault="00BF0F38" w:rsidP="005824C8">
      <w:pPr>
        <w:tabs>
          <w:tab w:val="left" w:pos="0"/>
        </w:tabs>
        <w:spacing w:before="120" w:after="0" w:line="276" w:lineRule="auto"/>
        <w:ind w:firstLine="0"/>
        <w:rPr>
          <w:rFonts w:eastAsia="GHEA Grapalat" w:cs="GHEA Grapalat"/>
          <w:lang w:val="hy-AM"/>
        </w:rPr>
      </w:pPr>
      <w:r w:rsidRPr="00504D66">
        <w:rPr>
          <w:rFonts w:eastAsia="GHEA Grapalat" w:cs="GHEA Grapalat"/>
          <w:b/>
          <w:u w:val="single"/>
          <w:lang w:val="hy-AM"/>
        </w:rPr>
        <w:t>Պետ</w:t>
      </w:r>
      <w:r w:rsidRPr="009F24B4">
        <w:rPr>
          <w:rFonts w:eastAsia="GHEA Grapalat" w:cs="GHEA Grapalat"/>
          <w:b/>
          <w:u w:val="single"/>
          <w:lang w:val="hy-AM"/>
        </w:rPr>
        <w:t>ական բյուջեի պակասուրդը, պարտքը և հարկաբյուջետային ազդակը:</w:t>
      </w:r>
      <w:r w:rsidRPr="00DA269F">
        <w:rPr>
          <w:rFonts w:eastAsia="GHEA Grapalat" w:cs="GHEA Grapalat"/>
          <w:lang w:val="hy-AM"/>
        </w:rPr>
        <w:t xml:space="preserve"> </w:t>
      </w:r>
      <w:r w:rsidRPr="00623006">
        <w:rPr>
          <w:rFonts w:eastAsia="GHEA Grapalat" w:cs="GHEA Grapalat"/>
          <w:lang w:val="hy-AM"/>
        </w:rPr>
        <w:t xml:space="preserve">2021-2023 </w:t>
      </w:r>
      <w:r w:rsidRPr="00DA269F">
        <w:rPr>
          <w:rFonts w:eastAsia="GHEA Grapalat" w:cs="GHEA Grapalat"/>
          <w:lang w:val="hy-AM"/>
        </w:rPr>
        <w:t>թթ</w:t>
      </w:r>
      <w:r w:rsidRPr="00B16B22">
        <w:rPr>
          <w:rFonts w:ascii="Cambria Math" w:eastAsia="GHEA Grapalat" w:hAnsi="Cambria Math" w:cs="Cambria Math"/>
          <w:lang w:val="hy-AM"/>
        </w:rPr>
        <w:t>․</w:t>
      </w:r>
      <w:r w:rsidRPr="00623006">
        <w:rPr>
          <w:rFonts w:eastAsia="GHEA Grapalat" w:cs="GHEA Grapalat"/>
          <w:lang w:val="hy-AM"/>
        </w:rPr>
        <w:t xml:space="preserve"> պետական բյուջեի պակասուրդ/ՀՆԱ ցուցանիշը զգալիորեն կճատվել է՝ 2020թ</w:t>
      </w:r>
      <w:r w:rsidRPr="00DA269F">
        <w:rPr>
          <w:rFonts w:ascii="Cambria Math" w:eastAsia="GHEA Grapalat" w:hAnsi="Cambria Math" w:cs="Cambria Math"/>
          <w:lang w:val="hy-AM"/>
        </w:rPr>
        <w:t>․</w:t>
      </w:r>
      <w:r w:rsidRPr="00623006">
        <w:rPr>
          <w:rFonts w:eastAsia="GHEA Grapalat" w:cs="GHEA Grapalat"/>
          <w:lang w:val="hy-AM"/>
        </w:rPr>
        <w:t xml:space="preserve"> 5.4% ցուցանիշի դիմաց 2023թ</w:t>
      </w:r>
      <w:r w:rsidRPr="00DA269F">
        <w:rPr>
          <w:rFonts w:ascii="Cambria Math" w:eastAsia="GHEA Grapalat" w:hAnsi="Cambria Math" w:cs="Cambria Math"/>
          <w:lang w:val="hy-AM"/>
        </w:rPr>
        <w:t>․</w:t>
      </w:r>
      <w:r w:rsidRPr="00623006">
        <w:rPr>
          <w:rFonts w:eastAsia="GHEA Grapalat" w:cs="GHEA Grapalat"/>
          <w:lang w:val="hy-AM"/>
        </w:rPr>
        <w:t>-ին կազմելով 2% (բացարձակ ծավալով պակասուրդը նվազել է 145</w:t>
      </w:r>
      <w:r>
        <w:rPr>
          <w:rFonts w:ascii="Cambria Math" w:eastAsia="GHEA Grapalat" w:hAnsi="Cambria Math" w:cs="GHEA Grapalat"/>
          <w:lang w:val="hy-AM"/>
        </w:rPr>
        <w:t>․</w:t>
      </w:r>
      <w:r w:rsidRPr="00623006">
        <w:rPr>
          <w:rFonts w:eastAsia="GHEA Grapalat" w:cs="GHEA Grapalat"/>
          <w:lang w:val="hy-AM"/>
        </w:rPr>
        <w:t>1 մլրդ դրամով):</w:t>
      </w:r>
      <w:r>
        <w:rPr>
          <w:rFonts w:eastAsia="GHEA Grapalat" w:cs="GHEA Grapalat"/>
          <w:lang w:val="hy-AM"/>
        </w:rPr>
        <w:t xml:space="preserve"> Պակասուրդի մակարդակի նվազման պայմաններում հարկաբյուջետային քաղաքականության ազդեցությունը ամբողջական պահանջարկի վրա զսպող է եղել՝ ինչպես եկամուտների, այնպես էլ ծախսերի մասով։ </w:t>
      </w:r>
    </w:p>
    <w:p w14:paraId="75C85537" w14:textId="77777777" w:rsidR="00BF0F38" w:rsidRDefault="00BF0F38" w:rsidP="005824C8">
      <w:pPr>
        <w:tabs>
          <w:tab w:val="left" w:pos="0"/>
        </w:tabs>
        <w:spacing w:before="120" w:after="0" w:line="276" w:lineRule="auto"/>
        <w:ind w:firstLine="0"/>
        <w:rPr>
          <w:rFonts w:eastAsia="GHEA Grapalat" w:cs="GHEA Grapalat"/>
          <w:lang w:val="hy-AM"/>
        </w:rPr>
      </w:pPr>
      <w:r w:rsidRPr="00B16B22">
        <w:rPr>
          <w:rFonts w:eastAsia="GHEA Grapalat" w:cs="GHEA Grapalat"/>
          <w:lang w:val="hy-AM"/>
        </w:rPr>
        <w:t>Ընդ</w:t>
      </w:r>
      <w:r w:rsidRPr="00FA4468">
        <w:rPr>
          <w:rFonts w:eastAsia="GHEA Grapalat" w:cs="GHEA Grapalat"/>
          <w:lang w:val="hy-AM"/>
        </w:rPr>
        <w:t xml:space="preserve"> </w:t>
      </w:r>
      <w:r w:rsidRPr="00B16B22">
        <w:rPr>
          <w:rFonts w:eastAsia="GHEA Grapalat" w:cs="GHEA Grapalat"/>
          <w:lang w:val="hy-AM"/>
        </w:rPr>
        <w:t xml:space="preserve">որում, եթե </w:t>
      </w:r>
      <w:r w:rsidRPr="00623006">
        <w:rPr>
          <w:rFonts w:eastAsia="GHEA Grapalat" w:cs="GHEA Grapalat"/>
          <w:lang w:val="hy-AM"/>
        </w:rPr>
        <w:t>2021</w:t>
      </w:r>
      <w:r w:rsidRPr="00B16B22">
        <w:rPr>
          <w:rFonts w:eastAsia="GHEA Grapalat" w:cs="GHEA Grapalat"/>
          <w:lang w:val="hy-AM"/>
        </w:rPr>
        <w:t>թ</w:t>
      </w:r>
      <w:r w:rsidRPr="00FA4468">
        <w:rPr>
          <w:rFonts w:ascii="Cambria Math" w:eastAsia="GHEA Grapalat" w:hAnsi="Cambria Math" w:cs="Cambria Math"/>
          <w:lang w:val="hy-AM"/>
        </w:rPr>
        <w:t>․</w:t>
      </w:r>
      <w:r w:rsidRPr="00623006">
        <w:rPr>
          <w:rFonts w:eastAsia="GHEA Grapalat" w:cs="GHEA Grapalat"/>
          <w:lang w:val="hy-AM"/>
        </w:rPr>
        <w:t>-ին զսպող հարկաբյուջետային քաղաքականության ուղղությունը պայմանավորված էր հարկաբյուջետային կոնսոլիդացիա իրականացնելու և բնականոն իրավիճակների համար նախատեսված</w:t>
      </w:r>
      <w:r w:rsidRPr="00B16B22">
        <w:rPr>
          <w:rFonts w:eastAsia="GHEA Grapalat" w:cs="GHEA Grapalat"/>
          <w:lang w:val="hy-AM"/>
        </w:rPr>
        <w:t xml:space="preserve"> </w:t>
      </w:r>
      <w:r w:rsidRPr="00623006">
        <w:rPr>
          <w:rFonts w:eastAsia="GHEA Grapalat" w:cs="GHEA Grapalat"/>
          <w:lang w:val="hy-AM"/>
        </w:rPr>
        <w:t>հարկաբյուջետային կանոններին համապատա</w:t>
      </w:r>
      <w:r>
        <w:rPr>
          <w:rFonts w:eastAsia="GHEA Grapalat" w:cs="GHEA Grapalat"/>
          <w:lang w:val="hy-AM"/>
        </w:rPr>
        <w:t>ս</w:t>
      </w:r>
      <w:r w:rsidRPr="00623006">
        <w:rPr>
          <w:rFonts w:eastAsia="GHEA Grapalat" w:cs="GHEA Grapalat"/>
          <w:lang w:val="hy-AM"/>
        </w:rPr>
        <w:t xml:space="preserve">խանության </w:t>
      </w:r>
      <w:r>
        <w:rPr>
          <w:rFonts w:eastAsia="GHEA Grapalat" w:cs="GHEA Grapalat"/>
          <w:lang w:val="hy-AM"/>
        </w:rPr>
        <w:t xml:space="preserve">աստիճանական վերականգման նպատակադրմամբ, </w:t>
      </w:r>
      <w:r w:rsidRPr="00623006">
        <w:rPr>
          <w:rFonts w:eastAsia="GHEA Grapalat" w:cs="GHEA Grapalat"/>
          <w:lang w:val="hy-AM"/>
        </w:rPr>
        <w:t xml:space="preserve">2022-2023 </w:t>
      </w:r>
      <w:r>
        <w:rPr>
          <w:rFonts w:eastAsia="GHEA Grapalat" w:cs="GHEA Grapalat"/>
          <w:lang w:val="hy-AM"/>
        </w:rPr>
        <w:t xml:space="preserve">թվականներին, ներուժայինից բարձր տնտեսական աճի պայմաններում, զսպող քաղաքականությունը անհրաժեշտ է դարձել նաև տնտեսական պարբերաշրջանը կայունացնելու տրամաբանությամբ։ </w:t>
      </w:r>
    </w:p>
    <w:p w14:paraId="217A2674" w14:textId="77777777" w:rsidR="00BF0F38" w:rsidRPr="00FA4468" w:rsidRDefault="00BF0F38" w:rsidP="005824C8">
      <w:pPr>
        <w:tabs>
          <w:tab w:val="left" w:pos="0"/>
        </w:tabs>
        <w:spacing w:before="120" w:after="0" w:line="276" w:lineRule="auto"/>
        <w:ind w:firstLine="0"/>
        <w:rPr>
          <w:rFonts w:eastAsia="GHEA Grapalat" w:cs="GHEA Grapalat"/>
          <w:lang w:val="hy-AM"/>
        </w:rPr>
      </w:pPr>
      <w:r w:rsidRPr="00623006">
        <w:rPr>
          <w:rFonts w:eastAsia="GHEA Grapalat" w:cs="GHEA Grapalat"/>
          <w:lang w:val="hy-AM"/>
        </w:rPr>
        <w:t xml:space="preserve">2021-2023 </w:t>
      </w:r>
      <w:r w:rsidRPr="00FA4468">
        <w:rPr>
          <w:rFonts w:eastAsia="GHEA Grapalat" w:cs="GHEA Grapalat"/>
          <w:lang w:val="hy-AM"/>
        </w:rPr>
        <w:t>թթ</w:t>
      </w:r>
      <w:r w:rsidRPr="00334F0A">
        <w:rPr>
          <w:rFonts w:ascii="Cambria Math" w:eastAsia="GHEA Grapalat" w:hAnsi="Cambria Math" w:cs="Cambria Math"/>
          <w:lang w:val="hy-AM"/>
        </w:rPr>
        <w:t>․</w:t>
      </w:r>
      <w:r w:rsidRPr="00623006">
        <w:rPr>
          <w:rFonts w:eastAsia="GHEA Grapalat" w:cs="GHEA Grapalat"/>
          <w:lang w:val="hy-AM"/>
        </w:rPr>
        <w:t xml:space="preserve"> զսպող հարկաբյուջետային քաղաքականության ու բյուջեի պակասուրդի կրճատման, ՀՆԱ աճի բարձր տեմպի և փոխարժեքի արժևորման պայմաններում կառավարության պարտք/ՀՆԱ ցուցանիշը 2020թ</w:t>
      </w:r>
      <w:r w:rsidRPr="00FA4468">
        <w:rPr>
          <w:rFonts w:ascii="Cambria Math" w:eastAsia="GHEA Grapalat" w:hAnsi="Cambria Math" w:cs="Cambria Math"/>
          <w:lang w:val="hy-AM"/>
        </w:rPr>
        <w:t>․</w:t>
      </w:r>
      <w:r w:rsidRPr="00623006">
        <w:rPr>
          <w:rFonts w:eastAsia="GHEA Grapalat" w:cs="GHEA Grapalat"/>
          <w:lang w:val="hy-AM"/>
        </w:rPr>
        <w:t xml:space="preserve"> 63.5% մակարդակից նվազել է 48.1%-ի 2023թ</w:t>
      </w:r>
      <w:r w:rsidRPr="00FA4468">
        <w:rPr>
          <w:rFonts w:ascii="Cambria Math" w:eastAsia="GHEA Grapalat" w:hAnsi="Cambria Math" w:cs="Cambria Math"/>
          <w:lang w:val="hy-AM"/>
        </w:rPr>
        <w:t>․</w:t>
      </w:r>
      <w:r w:rsidRPr="00623006">
        <w:rPr>
          <w:rFonts w:eastAsia="GHEA Grapalat" w:cs="GHEA Grapalat"/>
          <w:lang w:val="hy-AM"/>
        </w:rPr>
        <w:t>-ին՝ ընդհանուր առմամբ 15.4%-ային կետով</w:t>
      </w:r>
      <w:r>
        <w:rPr>
          <w:rFonts w:eastAsia="GHEA Grapalat" w:cs="GHEA Grapalat"/>
          <w:lang w:val="hy-AM"/>
        </w:rPr>
        <w:t xml:space="preserve">։ </w:t>
      </w:r>
    </w:p>
    <w:p w14:paraId="6621F333" w14:textId="77777777" w:rsidR="00BF0F38" w:rsidRPr="00D439F2" w:rsidRDefault="00BF0F38" w:rsidP="005824C8">
      <w:pPr>
        <w:tabs>
          <w:tab w:val="left" w:pos="0"/>
        </w:tabs>
        <w:spacing w:before="120" w:after="0" w:line="276" w:lineRule="auto"/>
        <w:ind w:firstLine="0"/>
        <w:rPr>
          <w:rFonts w:eastAsia="Times New Roman" w:cs="Arial"/>
          <w:color w:val="44546A"/>
          <w:u w:val="single"/>
          <w:lang w:val="hy-AM"/>
        </w:rPr>
      </w:pPr>
      <w:r w:rsidRPr="00D439F2">
        <w:rPr>
          <w:rFonts w:eastAsia="Times New Roman" w:cs="Arial"/>
          <w:color w:val="44546A"/>
          <w:u w:val="single"/>
          <w:lang w:val="hy-AM"/>
        </w:rPr>
        <w:t>202</w:t>
      </w:r>
      <w:r>
        <w:rPr>
          <w:rFonts w:eastAsia="Times New Roman" w:cs="Arial"/>
          <w:color w:val="44546A"/>
          <w:u w:val="single"/>
          <w:lang w:val="hy-AM"/>
        </w:rPr>
        <w:t>4</w:t>
      </w:r>
      <w:r w:rsidRPr="00D439F2">
        <w:rPr>
          <w:rFonts w:eastAsia="Times New Roman" w:cs="Arial"/>
          <w:color w:val="44546A"/>
          <w:u w:val="single"/>
          <w:lang w:val="hy-AM"/>
        </w:rPr>
        <w:t>թ. ընթացիկ զարգացումներ</w:t>
      </w:r>
    </w:p>
    <w:p w14:paraId="3F7BDB2C" w14:textId="77777777" w:rsidR="00BF0F38" w:rsidRPr="00842970" w:rsidRDefault="00BF0F38" w:rsidP="005824C8">
      <w:pPr>
        <w:tabs>
          <w:tab w:val="left" w:pos="0"/>
        </w:tabs>
        <w:spacing w:before="120" w:after="0" w:line="276" w:lineRule="auto"/>
        <w:ind w:firstLine="0"/>
        <w:rPr>
          <w:rFonts w:eastAsia="Times New Roman" w:cs="Times New Roman"/>
          <w:b/>
          <w:lang w:val="hy-AM"/>
        </w:rPr>
      </w:pPr>
      <w:r w:rsidRPr="00842970">
        <w:rPr>
          <w:rFonts w:eastAsia="Times New Roman" w:cs="Times New Roman"/>
          <w:b/>
          <w:bCs/>
          <w:lang w:val="hy-AM"/>
        </w:rPr>
        <w:t>Հ</w:t>
      </w:r>
      <w:r w:rsidRPr="00842970">
        <w:rPr>
          <w:rFonts w:eastAsia="Times New Roman" w:cs="Times New Roman"/>
          <w:b/>
          <w:lang w:val="hy-AM"/>
        </w:rPr>
        <w:t xml:space="preserve">ունվար-մայիս ամիսներին արձանագրվել է պետական բյուջեի և՛ եկամուտների և՛ ծախսերի թերակատարում, ինչի արդյունքում ձևավորվել է պետական բյուջեի զրոյական հաշվեկշիռ՝ պլանավորված պակասուրդի փոխարեն:  </w:t>
      </w:r>
    </w:p>
    <w:p w14:paraId="0D93F331" w14:textId="77777777" w:rsidR="00BF0F38" w:rsidRPr="00D439F2" w:rsidRDefault="00BF0F38" w:rsidP="005824C8">
      <w:pPr>
        <w:tabs>
          <w:tab w:val="left" w:pos="0"/>
        </w:tabs>
        <w:spacing w:before="120" w:after="0" w:line="276" w:lineRule="auto"/>
        <w:ind w:firstLine="0"/>
        <w:rPr>
          <w:rFonts w:eastAsia="Times New Roman" w:cs="GHEA Grapalat"/>
          <w:bCs/>
          <w:lang w:val="hy-AM"/>
        </w:rPr>
      </w:pPr>
      <w:r w:rsidRPr="00D439F2">
        <w:rPr>
          <w:rFonts w:eastAsia="Times New Roman" w:cs="Times New Roman"/>
          <w:b/>
          <w:bCs/>
          <w:iCs/>
          <w:u w:val="single"/>
          <w:lang w:val="hy-AM"/>
        </w:rPr>
        <w:t>Պետական բյուջեի եկամուտները</w:t>
      </w:r>
      <w:r w:rsidRPr="00D439F2">
        <w:rPr>
          <w:rFonts w:eastAsia="Times New Roman" w:cs="Times New Roman"/>
          <w:b/>
          <w:u w:val="single"/>
          <w:lang w:val="hy-AM"/>
        </w:rPr>
        <w:t>:</w:t>
      </w:r>
      <w:r w:rsidRPr="00D439F2">
        <w:rPr>
          <w:rFonts w:eastAsia="Times New Roman" w:cs="Times New Roman"/>
          <w:lang w:val="hy-AM"/>
        </w:rPr>
        <w:t xml:space="preserve"> </w:t>
      </w:r>
      <w:r w:rsidRPr="00EE1DE2">
        <w:rPr>
          <w:rFonts w:eastAsia="Times New Roman" w:cs="GHEA Grapalat"/>
          <w:b/>
          <w:bCs/>
          <w:lang w:val="hy-AM"/>
        </w:rPr>
        <w:t>2024թ</w:t>
      </w:r>
      <w:r w:rsidRPr="00EE1DE2">
        <w:rPr>
          <w:rFonts w:ascii="Cambria Math" w:eastAsia="Times New Roman" w:hAnsi="Cambria Math" w:cs="Cambria Math"/>
          <w:b/>
          <w:bCs/>
          <w:lang w:val="hy-AM"/>
        </w:rPr>
        <w:t>.</w:t>
      </w:r>
      <w:r w:rsidRPr="00EE1DE2">
        <w:rPr>
          <w:rFonts w:eastAsia="Times New Roman" w:cs="GHEA Grapalat"/>
          <w:b/>
          <w:bCs/>
          <w:lang w:val="hy-AM"/>
        </w:rPr>
        <w:t xml:space="preserve"> </w:t>
      </w:r>
      <w:r>
        <w:rPr>
          <w:rFonts w:eastAsia="Times New Roman" w:cs="GHEA Grapalat"/>
          <w:b/>
          <w:bCs/>
          <w:lang w:val="hy-AM"/>
        </w:rPr>
        <w:t>հինգ</w:t>
      </w:r>
      <w:r w:rsidRPr="00EE1DE2">
        <w:rPr>
          <w:rFonts w:eastAsia="Times New Roman" w:cs="GHEA Grapalat"/>
          <w:b/>
          <w:bCs/>
          <w:lang w:val="hy-AM"/>
        </w:rPr>
        <w:t xml:space="preserve"> ամիսներին ՀՀ պետական բյուջեի եկամուտներում </w:t>
      </w:r>
      <w:r w:rsidRPr="00EE1DE2">
        <w:rPr>
          <w:rFonts w:eastAsia="Calibri" w:cs="Sylfaen"/>
          <w:b/>
          <w:lang w:val="hy-AM"/>
        </w:rPr>
        <w:t xml:space="preserve">արձանագրվել է աճի տեմպի դանդաղում՝ պայմանավորված </w:t>
      </w:r>
      <w:r>
        <w:rPr>
          <w:rFonts w:eastAsia="Calibri" w:cs="Sylfaen"/>
          <w:b/>
          <w:lang w:val="hy-AM"/>
        </w:rPr>
        <w:t>հարկման բազաների ավելի թույլ աճով</w:t>
      </w:r>
      <w:r w:rsidRPr="00EE1DE2">
        <w:rPr>
          <w:rFonts w:eastAsia="Calibri" w:cs="Sylfaen"/>
          <w:b/>
          <w:lang w:val="hy-AM"/>
        </w:rPr>
        <w:t>։</w:t>
      </w:r>
      <w:r>
        <w:rPr>
          <w:rFonts w:eastAsia="Calibri" w:cs="Sylfaen"/>
          <w:lang w:val="hy-AM"/>
        </w:rPr>
        <w:t xml:space="preserve"> </w:t>
      </w:r>
    </w:p>
    <w:p w14:paraId="7FE547DC" w14:textId="77777777" w:rsidR="00BF0F38" w:rsidRPr="00EE1DE2" w:rsidRDefault="00BF0F38" w:rsidP="005824C8">
      <w:pPr>
        <w:tabs>
          <w:tab w:val="left" w:pos="0"/>
        </w:tabs>
        <w:spacing w:line="240" w:lineRule="auto"/>
        <w:ind w:firstLine="0"/>
        <w:rPr>
          <w:rFonts w:eastAsia="Calibri" w:cs="Sylfaen"/>
          <w:lang w:val="hy-AM"/>
        </w:rPr>
      </w:pPr>
      <w:r w:rsidRPr="00EE1DE2">
        <w:rPr>
          <w:rFonts w:eastAsia="GHEA Grapalat" w:cs="GHEA Grapalat"/>
          <w:lang w:val="hy-AM"/>
        </w:rPr>
        <w:t>2024թ</w:t>
      </w:r>
      <w:r w:rsidRPr="00EE1DE2">
        <w:rPr>
          <w:rFonts w:eastAsia="GHEA Grapalat" w:cs="Cambria Math"/>
          <w:lang w:val="hy-AM"/>
        </w:rPr>
        <w:t>.</w:t>
      </w:r>
      <w:r w:rsidRPr="00EE1DE2">
        <w:rPr>
          <w:rFonts w:eastAsia="GHEA Grapalat" w:cs="GHEA Grapalat"/>
          <w:lang w:val="hy-AM"/>
        </w:rPr>
        <w:t xml:space="preserve"> հունվար-</w:t>
      </w:r>
      <w:r>
        <w:rPr>
          <w:rFonts w:eastAsia="GHEA Grapalat" w:cs="GHEA Grapalat"/>
          <w:lang w:val="hy-AM"/>
        </w:rPr>
        <w:t>մայիս</w:t>
      </w:r>
      <w:r w:rsidRPr="00EE1DE2">
        <w:rPr>
          <w:rFonts w:eastAsia="GHEA Grapalat" w:cs="GHEA Grapalat"/>
          <w:lang w:val="hy-AM"/>
        </w:rPr>
        <w:t xml:space="preserve"> ամիսների արդյունքներով ՀՀ պետական բյուջեի ընդհանուր եկամուտները կազմել են </w:t>
      </w:r>
      <w:r>
        <w:rPr>
          <w:rFonts w:eastAsia="GHEA Grapalat" w:cs="GHEA Grapalat"/>
          <w:lang w:val="hy-AM"/>
        </w:rPr>
        <w:t>1,029.0</w:t>
      </w:r>
      <w:r w:rsidRPr="00EE1DE2">
        <w:rPr>
          <w:rFonts w:eastAsia="GHEA Grapalat" w:cs="GHEA Grapalat"/>
          <w:lang w:val="hy-AM"/>
        </w:rPr>
        <w:t xml:space="preserve"> մլրդ դրամ՝ նախորդ տարվա նույն ժամանակահատվածի համեմատ աճելով </w:t>
      </w:r>
      <w:r>
        <w:rPr>
          <w:rFonts w:eastAsia="GHEA Grapalat" w:cs="GHEA Grapalat"/>
          <w:lang w:val="hy-AM"/>
        </w:rPr>
        <w:t>5.1</w:t>
      </w:r>
      <w:r w:rsidRPr="00EE1DE2">
        <w:rPr>
          <w:rFonts w:eastAsia="GHEA Grapalat" w:cs="GHEA Grapalat"/>
          <w:lang w:val="hy-AM"/>
        </w:rPr>
        <w:t xml:space="preserve">%-ով, իսկ հարկերը և տուրքերը կազմել են </w:t>
      </w:r>
      <w:r>
        <w:rPr>
          <w:rFonts w:eastAsia="GHEA Grapalat" w:cs="GHEA Grapalat"/>
          <w:lang w:val="hy-AM"/>
        </w:rPr>
        <w:t>984.1</w:t>
      </w:r>
      <w:r w:rsidRPr="00EE1DE2">
        <w:rPr>
          <w:rFonts w:eastAsia="GHEA Grapalat" w:cs="GHEA Grapalat"/>
          <w:lang w:val="hy-AM"/>
        </w:rPr>
        <w:t xml:space="preserve"> մլրդ դրամ՝ նախորդ տարվա նույն ժամանակահատվածի համեմատ աճելով </w:t>
      </w:r>
      <w:r>
        <w:rPr>
          <w:rFonts w:eastAsia="GHEA Grapalat" w:cs="GHEA Grapalat"/>
          <w:lang w:val="hy-AM"/>
        </w:rPr>
        <w:t>5</w:t>
      </w:r>
      <w:r w:rsidRPr="00EE1DE2">
        <w:rPr>
          <w:rFonts w:eastAsia="GHEA Grapalat" w:cs="GHEA Grapalat"/>
          <w:lang w:val="hy-AM"/>
        </w:rPr>
        <w:t xml:space="preserve">.1%-ով: </w:t>
      </w:r>
      <w:r w:rsidRPr="00EE1DE2">
        <w:rPr>
          <w:rFonts w:eastAsia="Calibri" w:cs="Sylfaen"/>
          <w:lang w:val="hy-AM"/>
        </w:rPr>
        <w:t xml:space="preserve">Նկատելի է, որ նախորդ տարվա համեմատությամբ հարկային եկամուտների աճի տեմպը դանդաղել է, ինչը պայմանավորված է հարկման բազաների՝ մասնավորապես հարկունակ սպառման, ներմուծման և կազմակերպությունների շահույթների աճի տեմպերի որոշակի դանդաղմամբ։ Ընդ որում, դանդաղմանը նպաստել է </w:t>
      </w:r>
      <w:r>
        <w:rPr>
          <w:rFonts w:eastAsia="Calibri" w:cs="Sylfaen"/>
          <w:lang w:val="hy-AM"/>
        </w:rPr>
        <w:t>նաև</w:t>
      </w:r>
      <w:r w:rsidRPr="00A30E9B">
        <w:rPr>
          <w:rFonts w:eastAsia="Calibri" w:cs="Sylfaen"/>
          <w:lang w:val="hy-AM"/>
        </w:rPr>
        <w:t xml:space="preserve"> ընթացիկ ամիսներում ձևավորված </w:t>
      </w:r>
      <w:r w:rsidRPr="006226AF">
        <w:rPr>
          <w:rFonts w:eastAsia="Calibri" w:cs="Sylfaen"/>
          <w:lang w:val="hy-AM"/>
        </w:rPr>
        <w:t>գնանկումային միջավայրը</w:t>
      </w:r>
      <w:r w:rsidRPr="00A30E9B">
        <w:rPr>
          <w:rFonts w:eastAsia="Calibri" w:cs="Sylfaen"/>
          <w:lang w:val="hy-AM"/>
        </w:rPr>
        <w:t>։</w:t>
      </w:r>
    </w:p>
    <w:p w14:paraId="1A02B172" w14:textId="77777777" w:rsidR="00BF0F38" w:rsidRPr="00D439F2" w:rsidRDefault="00BF0F38" w:rsidP="005824C8">
      <w:pPr>
        <w:tabs>
          <w:tab w:val="left" w:pos="0"/>
        </w:tabs>
        <w:spacing w:before="120" w:after="0" w:line="276" w:lineRule="auto"/>
        <w:ind w:firstLine="0"/>
        <w:rPr>
          <w:rFonts w:eastAsia="GHEA Grapalat" w:cs="GHEA Grapalat"/>
          <w:lang w:val="hy-AM"/>
        </w:rPr>
      </w:pPr>
      <w:r w:rsidRPr="00623006">
        <w:rPr>
          <w:rFonts w:eastAsia="Times New Roman" w:cs="Times New Roman"/>
          <w:b/>
          <w:u w:val="single"/>
          <w:lang w:val="hy-AM"/>
        </w:rPr>
        <w:t>Պետական բյուջեի ծախսերը:</w:t>
      </w:r>
      <w:r w:rsidRPr="00D439F2">
        <w:rPr>
          <w:rFonts w:eastAsia="Times New Roman" w:cs="Times New Roman"/>
          <w:lang w:val="hy-AM"/>
        </w:rPr>
        <w:t xml:space="preserve"> </w:t>
      </w:r>
      <w:r w:rsidRPr="00D439F2">
        <w:rPr>
          <w:rFonts w:eastAsia="GHEA Grapalat" w:cs="GHEA Grapalat"/>
          <w:b/>
          <w:lang w:val="hy-AM"/>
        </w:rPr>
        <w:t>202</w:t>
      </w:r>
      <w:r>
        <w:rPr>
          <w:rFonts w:eastAsia="GHEA Grapalat" w:cs="GHEA Grapalat"/>
          <w:b/>
          <w:lang w:val="hy-AM"/>
        </w:rPr>
        <w:t>4</w:t>
      </w:r>
      <w:r w:rsidRPr="00D439F2">
        <w:rPr>
          <w:rFonts w:eastAsia="GHEA Grapalat" w:cs="GHEA Grapalat"/>
          <w:b/>
          <w:lang w:val="hy-AM"/>
        </w:rPr>
        <w:t xml:space="preserve"> թ</w:t>
      </w:r>
      <w:r w:rsidRPr="00D439F2">
        <w:rPr>
          <w:rFonts w:ascii="Cambria Math" w:eastAsia="GHEA Grapalat" w:hAnsi="Cambria Math" w:cs="Cambria Math"/>
          <w:b/>
          <w:lang w:val="hy-AM"/>
        </w:rPr>
        <w:t>.</w:t>
      </w:r>
      <w:r w:rsidRPr="00D439F2">
        <w:rPr>
          <w:rFonts w:eastAsia="GHEA Grapalat" w:cs="GHEA Grapalat"/>
          <w:b/>
          <w:lang w:val="hy-AM"/>
        </w:rPr>
        <w:t xml:space="preserve"> </w:t>
      </w:r>
      <w:r>
        <w:rPr>
          <w:rFonts w:eastAsia="GHEA Grapalat" w:cs="GHEA Grapalat"/>
          <w:b/>
          <w:lang w:val="hy-AM"/>
        </w:rPr>
        <w:t>հինգ</w:t>
      </w:r>
      <w:r w:rsidRPr="00D439F2">
        <w:rPr>
          <w:rFonts w:eastAsia="GHEA Grapalat" w:cs="GHEA Grapalat"/>
          <w:b/>
          <w:lang w:val="hy-AM"/>
        </w:rPr>
        <w:t xml:space="preserve"> ամիսներին պետական բյուջեի ծախսեր</w:t>
      </w:r>
      <w:r>
        <w:rPr>
          <w:rFonts w:eastAsia="GHEA Grapalat" w:cs="GHEA Grapalat"/>
          <w:b/>
          <w:lang w:val="hy-AM"/>
        </w:rPr>
        <w:t>ը</w:t>
      </w:r>
      <w:r w:rsidRPr="00D439F2">
        <w:rPr>
          <w:rFonts w:eastAsia="GHEA Grapalat" w:cs="GHEA Grapalat"/>
          <w:b/>
          <w:lang w:val="hy-AM"/>
        </w:rPr>
        <w:t xml:space="preserve"> աճ</w:t>
      </w:r>
      <w:r>
        <w:rPr>
          <w:rFonts w:eastAsia="GHEA Grapalat" w:cs="GHEA Grapalat"/>
          <w:b/>
          <w:lang w:val="hy-AM"/>
        </w:rPr>
        <w:t>ել են բարձր տեմպերով, սակայն ծրագրվածի համեմատ արձանագրվել են որոշակի թերակատարումներ</w:t>
      </w:r>
      <w:r w:rsidRPr="00D439F2">
        <w:rPr>
          <w:rFonts w:eastAsia="GHEA Grapalat" w:cs="GHEA Grapalat"/>
          <w:b/>
          <w:lang w:val="hy-AM"/>
        </w:rPr>
        <w:t>:</w:t>
      </w:r>
      <w:r w:rsidRPr="00D439F2">
        <w:rPr>
          <w:rFonts w:eastAsia="GHEA Grapalat" w:cs="GHEA Grapalat"/>
          <w:lang w:val="hy-AM"/>
        </w:rPr>
        <w:t xml:space="preserve"> Պետական բյուջեի ծախսերը կազմել են </w:t>
      </w:r>
      <w:r>
        <w:rPr>
          <w:rFonts w:eastAsia="GHEA Grapalat" w:cs="GHEA Grapalat"/>
          <w:lang w:val="hy-AM"/>
        </w:rPr>
        <w:t>1,029.1</w:t>
      </w:r>
      <w:r w:rsidRPr="00D439F2">
        <w:rPr>
          <w:rFonts w:eastAsia="GHEA Grapalat" w:cs="GHEA Grapalat"/>
          <w:lang w:val="hy-AM"/>
        </w:rPr>
        <w:t xml:space="preserve"> մլրդ դրամ՝ նախորդ տարվա նույն ժամանակահատվածի համեմատ աճելով </w:t>
      </w:r>
      <w:r>
        <w:rPr>
          <w:rFonts w:eastAsia="GHEA Grapalat" w:cs="GHEA Grapalat"/>
          <w:lang w:val="hy-AM"/>
        </w:rPr>
        <w:t>17.2</w:t>
      </w:r>
      <w:r w:rsidRPr="00D439F2">
        <w:rPr>
          <w:rFonts w:eastAsia="GHEA Grapalat" w:cs="GHEA Grapalat"/>
          <w:lang w:val="hy-AM"/>
        </w:rPr>
        <w:t xml:space="preserve">%-ով: Նույն ժամանակահատվածում ընթացիկ ծախսերը կազմել են </w:t>
      </w:r>
      <w:r>
        <w:rPr>
          <w:rFonts w:eastAsia="GHEA Grapalat" w:cs="GHEA Grapalat"/>
          <w:lang w:val="hy-AM"/>
        </w:rPr>
        <w:t>912.0</w:t>
      </w:r>
      <w:r w:rsidRPr="00D439F2">
        <w:rPr>
          <w:rFonts w:ascii="Calibri" w:eastAsia="GHEA Grapalat" w:hAnsi="Calibri" w:cs="Calibri"/>
          <w:lang w:val="hy-AM"/>
        </w:rPr>
        <w:t> </w:t>
      </w:r>
      <w:r w:rsidRPr="00D439F2">
        <w:rPr>
          <w:rFonts w:eastAsia="GHEA Grapalat" w:cs="GHEA Grapalat"/>
          <w:lang w:val="hy-AM"/>
        </w:rPr>
        <w:t xml:space="preserve">մլրդ դրամ` նախորդ տարվա նույն ժամանակահատվածի համեմատ աճելով </w:t>
      </w:r>
      <w:r>
        <w:rPr>
          <w:rFonts w:eastAsia="GHEA Grapalat" w:cs="GHEA Grapalat"/>
          <w:lang w:val="hy-AM"/>
        </w:rPr>
        <w:t>15.8</w:t>
      </w:r>
      <w:r w:rsidRPr="00D439F2">
        <w:rPr>
          <w:rFonts w:eastAsia="GHEA Grapalat" w:cs="GHEA Grapalat"/>
          <w:lang w:val="hy-AM"/>
        </w:rPr>
        <w:t>%</w:t>
      </w:r>
      <w:r w:rsidRPr="00D439F2">
        <w:rPr>
          <w:rFonts w:eastAsia="GHEA Grapalat" w:cs="GHEA Grapalat"/>
          <w:lang w:val="hy-AM"/>
        </w:rPr>
        <w:noBreakHyphen/>
        <w:t>ով:</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7"/>
        <w:gridCol w:w="4713"/>
      </w:tblGrid>
      <w:tr w:rsidR="00BF0F38" w:rsidRPr="00491E57" w14:paraId="37F8856A" w14:textId="77777777" w:rsidTr="008931FF">
        <w:tc>
          <w:tcPr>
            <w:tcW w:w="4776" w:type="dxa"/>
          </w:tcPr>
          <w:p w14:paraId="745E12E4" w14:textId="77777777" w:rsidR="00BF0F38" w:rsidRPr="005E2F67" w:rsidRDefault="00BF0F38" w:rsidP="008931FF">
            <w:pPr>
              <w:keepNext/>
              <w:keepLines/>
              <w:tabs>
                <w:tab w:val="left" w:pos="0"/>
              </w:tabs>
              <w:spacing w:before="120" w:after="0" w:line="276" w:lineRule="auto"/>
              <w:ind w:firstLine="0"/>
              <w:jc w:val="center"/>
              <w:rPr>
                <w:rFonts w:eastAsia="GHEA Grapalat" w:cs="GHEA Grapalat"/>
                <w:lang w:val="hy-AM"/>
              </w:rPr>
            </w:pPr>
            <w:r w:rsidRPr="005E2F67">
              <w:rPr>
                <w:rFonts w:eastAsia="Times New Roman" w:cs="Times New Roman"/>
                <w:b/>
                <w:lang w:val="hy-AM"/>
              </w:rPr>
              <w:lastRenderedPageBreak/>
              <w:t xml:space="preserve">Գծապատկեր 2.2. </w:t>
            </w:r>
            <w:r w:rsidRPr="005E2F67">
              <w:rPr>
                <w:rFonts w:eastAsia="Times New Roman" w:cs="Times New Roman"/>
                <w:lang w:val="hy-AM"/>
              </w:rPr>
              <w:t>Պետական բյուջեի հարկային եկամուտները և դրանց աճի տեմպը 202</w:t>
            </w:r>
            <w:r>
              <w:rPr>
                <w:rFonts w:eastAsia="Times New Roman" w:cs="Times New Roman"/>
                <w:lang w:val="hy-AM"/>
              </w:rPr>
              <w:t>3</w:t>
            </w:r>
            <w:r w:rsidRPr="005E2F67">
              <w:rPr>
                <w:rFonts w:eastAsia="Times New Roman" w:cs="Times New Roman"/>
                <w:lang w:val="hy-AM"/>
              </w:rPr>
              <w:t>-202</w:t>
            </w:r>
            <w:r>
              <w:rPr>
                <w:rFonts w:eastAsia="Times New Roman" w:cs="Times New Roman"/>
                <w:lang w:val="hy-AM"/>
              </w:rPr>
              <w:t>4</w:t>
            </w:r>
            <w:r w:rsidRPr="005E2F67">
              <w:rPr>
                <w:rFonts w:eastAsia="Times New Roman" w:cs="Times New Roman"/>
                <w:lang w:val="hy-AM"/>
              </w:rPr>
              <w:t xml:space="preserve"> թթ</w:t>
            </w:r>
            <w:r w:rsidRPr="005E2F67">
              <w:rPr>
                <w:rFonts w:ascii="Cambria Math" w:eastAsia="Times New Roman" w:hAnsi="Cambria Math" w:cs="Cambria Math"/>
                <w:lang w:val="hy-AM"/>
              </w:rPr>
              <w:t>.</w:t>
            </w:r>
            <w:r w:rsidRPr="005E2F67">
              <w:rPr>
                <w:rFonts w:eastAsia="Times New Roman" w:cs="Times New Roman"/>
                <w:lang w:val="hy-AM"/>
              </w:rPr>
              <w:t>, կուտակային</w:t>
            </w:r>
          </w:p>
        </w:tc>
        <w:tc>
          <w:tcPr>
            <w:tcW w:w="4716" w:type="dxa"/>
          </w:tcPr>
          <w:p w14:paraId="5807A2AC" w14:textId="77777777" w:rsidR="00BF0F38" w:rsidRPr="005E2F67" w:rsidRDefault="00BF0F38" w:rsidP="008931FF">
            <w:pPr>
              <w:keepNext/>
              <w:keepLines/>
              <w:tabs>
                <w:tab w:val="left" w:pos="0"/>
              </w:tabs>
              <w:spacing w:before="120" w:after="0" w:line="276" w:lineRule="auto"/>
              <w:ind w:firstLine="0"/>
              <w:jc w:val="center"/>
              <w:rPr>
                <w:rFonts w:eastAsia="GHEA Grapalat" w:cs="GHEA Grapalat"/>
                <w:lang w:val="hy-AM"/>
              </w:rPr>
            </w:pPr>
            <w:r w:rsidRPr="005E2F67">
              <w:rPr>
                <w:rFonts w:eastAsia="Times New Roman" w:cs="Times New Roman"/>
                <w:b/>
                <w:lang w:val="hy-AM"/>
              </w:rPr>
              <w:t xml:space="preserve">Գծապատկեր 2.3. </w:t>
            </w:r>
            <w:r w:rsidRPr="005E2F67">
              <w:rPr>
                <w:rFonts w:eastAsia="Times New Roman" w:cs="Times New Roman"/>
                <w:lang w:val="hy-AM"/>
              </w:rPr>
              <w:t>Պետական բյուջեի ծախսերի</w:t>
            </w:r>
            <w:r>
              <w:rPr>
                <w:rFonts w:eastAsia="Times New Roman" w:cs="Times New Roman"/>
                <w:lang w:val="hy-AM"/>
              </w:rPr>
              <w:t xml:space="preserve"> աճը և դրան</w:t>
            </w:r>
            <w:r w:rsidRPr="005E2F67">
              <w:rPr>
                <w:rFonts w:eastAsia="Times New Roman" w:cs="Times New Roman"/>
                <w:lang w:val="hy-AM"/>
              </w:rPr>
              <w:t xml:space="preserve"> նպաստումները 202</w:t>
            </w:r>
            <w:r>
              <w:rPr>
                <w:rFonts w:eastAsia="Times New Roman" w:cs="Times New Roman"/>
                <w:lang w:val="hy-AM"/>
              </w:rPr>
              <w:t>3</w:t>
            </w:r>
            <w:r w:rsidRPr="005E2F67">
              <w:rPr>
                <w:rFonts w:eastAsia="Times New Roman" w:cs="Times New Roman"/>
                <w:lang w:val="hy-AM"/>
              </w:rPr>
              <w:t>-202</w:t>
            </w:r>
            <w:r>
              <w:rPr>
                <w:rFonts w:eastAsia="Times New Roman" w:cs="Times New Roman"/>
                <w:lang w:val="hy-AM"/>
              </w:rPr>
              <w:t>4</w:t>
            </w:r>
            <w:r w:rsidRPr="005E2F67">
              <w:rPr>
                <w:rFonts w:eastAsia="Times New Roman" w:cs="Times New Roman"/>
                <w:lang w:val="hy-AM"/>
              </w:rPr>
              <w:t xml:space="preserve"> թթ</w:t>
            </w:r>
            <w:r w:rsidRPr="005E2F67">
              <w:rPr>
                <w:rFonts w:ascii="Cambria Math" w:eastAsia="Times New Roman" w:hAnsi="Cambria Math" w:cs="Cambria Math"/>
                <w:lang w:val="hy-AM"/>
              </w:rPr>
              <w:t>.</w:t>
            </w:r>
            <w:r w:rsidRPr="005E2F67">
              <w:rPr>
                <w:rFonts w:eastAsia="Times New Roman" w:cs="Times New Roman"/>
                <w:lang w:val="hy-AM"/>
              </w:rPr>
              <w:t xml:space="preserve"> ըստ ամիսների</w:t>
            </w:r>
          </w:p>
        </w:tc>
      </w:tr>
      <w:tr w:rsidR="00BF0F38" w:rsidRPr="00D439F2" w14:paraId="2C1FD53B" w14:textId="77777777" w:rsidTr="008931FF">
        <w:tc>
          <w:tcPr>
            <w:tcW w:w="4776" w:type="dxa"/>
          </w:tcPr>
          <w:p w14:paraId="542300AF" w14:textId="77777777" w:rsidR="00BF0F38" w:rsidRPr="00D439F2" w:rsidRDefault="00BF0F38" w:rsidP="008931FF">
            <w:pPr>
              <w:tabs>
                <w:tab w:val="left" w:pos="0"/>
              </w:tabs>
              <w:autoSpaceDE w:val="0"/>
              <w:autoSpaceDN w:val="0"/>
              <w:adjustRightInd w:val="0"/>
              <w:spacing w:before="120" w:after="0" w:line="276" w:lineRule="auto"/>
              <w:ind w:firstLine="0"/>
              <w:rPr>
                <w:rFonts w:eastAsia="GHEA Grapalat" w:cs="GHEA Grapalat"/>
                <w:lang w:val="hy-AM"/>
              </w:rPr>
            </w:pPr>
            <w:r w:rsidRPr="00D439F2">
              <w:rPr>
                <w:rFonts w:eastAsia="GHEA Grapalat" w:cs="GHEA Grapalat"/>
                <w:b/>
                <w:noProof/>
              </w:rPr>
              <w:drawing>
                <wp:inline distT="0" distB="0" distL="0" distR="0" wp14:anchorId="2815A9D1" wp14:editId="62208FF0">
                  <wp:extent cx="3062377" cy="2933700"/>
                  <wp:effectExtent l="0" t="0" r="508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716" w:type="dxa"/>
          </w:tcPr>
          <w:p w14:paraId="5DDE16DC" w14:textId="77777777" w:rsidR="00BF0F38" w:rsidRPr="00D439F2" w:rsidRDefault="00BF0F38" w:rsidP="008931FF">
            <w:pPr>
              <w:tabs>
                <w:tab w:val="left" w:pos="0"/>
              </w:tabs>
              <w:autoSpaceDE w:val="0"/>
              <w:autoSpaceDN w:val="0"/>
              <w:adjustRightInd w:val="0"/>
              <w:spacing w:before="120" w:after="0" w:line="276" w:lineRule="auto"/>
              <w:ind w:firstLine="0"/>
              <w:rPr>
                <w:rFonts w:eastAsia="GHEA Grapalat" w:cs="GHEA Grapalat"/>
                <w:lang w:val="hy-AM"/>
              </w:rPr>
            </w:pPr>
            <w:r w:rsidRPr="00D439F2">
              <w:rPr>
                <w:rFonts w:eastAsia="GHEA Grapalat" w:cs="GHEA Grapalat"/>
                <w:b/>
                <w:noProof/>
                <w:color w:val="4472C4"/>
              </w:rPr>
              <w:drawing>
                <wp:inline distT="0" distB="0" distL="0" distR="0" wp14:anchorId="163EE24D" wp14:editId="057C5DF9">
                  <wp:extent cx="2932981" cy="2933700"/>
                  <wp:effectExtent l="0" t="0" r="127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5C441412" w14:textId="77777777" w:rsidR="00BF0F38" w:rsidRPr="00D439F2" w:rsidRDefault="00BF0F38" w:rsidP="00BF0F38">
      <w:pPr>
        <w:tabs>
          <w:tab w:val="left" w:pos="0"/>
        </w:tabs>
        <w:spacing w:before="120" w:after="0" w:line="276" w:lineRule="auto"/>
        <w:ind w:firstLine="0"/>
        <w:contextualSpacing/>
        <w:jc w:val="left"/>
        <w:rPr>
          <w:rFonts w:eastAsia="Calibri" w:cs="Times New Roman"/>
          <w:i/>
          <w:sz w:val="18"/>
          <w:szCs w:val="16"/>
          <w:lang w:val="hy-AM"/>
        </w:rPr>
      </w:pPr>
      <w:r w:rsidRPr="00D439F2">
        <w:rPr>
          <w:rFonts w:eastAsia="Calibri" w:cs="Times New Roman"/>
          <w:i/>
          <w:sz w:val="18"/>
          <w:szCs w:val="16"/>
          <w:lang w:val="hy-AM"/>
        </w:rPr>
        <w:t>Աղբյուրը՝ ՀՀ ՖՆ</w:t>
      </w:r>
    </w:p>
    <w:p w14:paraId="3AC2D600" w14:textId="77777777" w:rsidR="00BF0F38" w:rsidRPr="00D439F2" w:rsidRDefault="00BF0F38" w:rsidP="00BF0F38">
      <w:pPr>
        <w:tabs>
          <w:tab w:val="left" w:pos="0"/>
        </w:tabs>
        <w:autoSpaceDE w:val="0"/>
        <w:autoSpaceDN w:val="0"/>
        <w:adjustRightInd w:val="0"/>
        <w:spacing w:before="120" w:after="0" w:line="276" w:lineRule="auto"/>
        <w:ind w:firstLine="0"/>
        <w:rPr>
          <w:rFonts w:eastAsia="GHEA Grapalat" w:cs="GHEA Grapalat"/>
          <w:lang w:val="hy-AM"/>
        </w:rPr>
      </w:pPr>
    </w:p>
    <w:p w14:paraId="5F988136" w14:textId="77777777" w:rsidR="00BF0F38" w:rsidRPr="00D439F2" w:rsidRDefault="00BF0F38" w:rsidP="00BF0F38">
      <w:pPr>
        <w:tabs>
          <w:tab w:val="left" w:pos="0"/>
        </w:tabs>
        <w:spacing w:before="120" w:after="0" w:line="276" w:lineRule="auto"/>
        <w:ind w:firstLine="0"/>
        <w:rPr>
          <w:rFonts w:eastAsia="Times New Roman" w:cs="Times New Roman"/>
          <w:lang w:val="hy-AM"/>
        </w:rPr>
      </w:pPr>
      <w:r w:rsidRPr="00D439F2">
        <w:rPr>
          <w:rFonts w:eastAsia="GHEA Grapalat" w:cs="GHEA Grapalat"/>
          <w:lang w:val="hy-AM"/>
        </w:rPr>
        <w:t xml:space="preserve">Ոչ ֆինանսական ակտիվների հետ գործառնությունները կազմել են </w:t>
      </w:r>
      <w:r>
        <w:rPr>
          <w:rFonts w:eastAsia="GHEA Grapalat" w:cs="GHEA Grapalat"/>
          <w:lang w:val="hy-AM"/>
        </w:rPr>
        <w:t>117.1</w:t>
      </w:r>
      <w:r w:rsidRPr="00D439F2">
        <w:rPr>
          <w:rFonts w:eastAsia="GHEA Grapalat" w:cs="GHEA Grapalat"/>
          <w:lang w:val="hy-AM"/>
        </w:rPr>
        <w:t xml:space="preserve"> մլրդ դրամ, որում ոչ ֆինանսական</w:t>
      </w:r>
      <w:r w:rsidRPr="00D439F2">
        <w:rPr>
          <w:rFonts w:eastAsia="Times New Roman" w:cs="Times New Roman"/>
          <w:lang w:val="hy-AM"/>
        </w:rPr>
        <w:t xml:space="preserve"> ակտիվների գծով ծախսերը (կապիտալ ծախսեր) կազմել են </w:t>
      </w:r>
      <w:r>
        <w:rPr>
          <w:rFonts w:eastAsia="Times New Roman" w:cs="Times New Roman"/>
          <w:lang w:val="hy-AM"/>
        </w:rPr>
        <w:t>123.8</w:t>
      </w:r>
      <w:r w:rsidRPr="00D439F2">
        <w:rPr>
          <w:rFonts w:eastAsia="Times New Roman" w:cs="Times New Roman"/>
          <w:lang w:val="hy-AM"/>
        </w:rPr>
        <w:t xml:space="preserve"> մլրդ դրամ` նախորդ տարվա նույն ժամանակահատվածի նկատմամբ աճելով </w:t>
      </w:r>
      <w:r>
        <w:rPr>
          <w:rFonts w:eastAsia="Times New Roman" w:cs="Times New Roman"/>
          <w:lang w:val="hy-AM"/>
        </w:rPr>
        <w:t>33.5</w:t>
      </w:r>
      <w:r w:rsidRPr="00D439F2">
        <w:rPr>
          <w:rFonts w:eastAsia="Times New Roman" w:cs="Times New Roman"/>
          <w:lang w:val="hy-AM"/>
        </w:rPr>
        <w:t>%</w:t>
      </w:r>
      <w:r w:rsidRPr="00D439F2">
        <w:rPr>
          <w:rFonts w:eastAsia="Times New Roman" w:cs="Times New Roman"/>
          <w:lang w:val="hy-AM"/>
        </w:rPr>
        <w:noBreakHyphen/>
        <w:t xml:space="preserve">ով: </w:t>
      </w:r>
    </w:p>
    <w:p w14:paraId="78A1CBD5" w14:textId="77777777" w:rsidR="00BF0F38" w:rsidRPr="00D439F2" w:rsidRDefault="00BF0F38" w:rsidP="00BF0F38">
      <w:pPr>
        <w:tabs>
          <w:tab w:val="left" w:pos="0"/>
        </w:tabs>
        <w:spacing w:before="120" w:after="0" w:line="276" w:lineRule="auto"/>
        <w:ind w:firstLine="0"/>
        <w:rPr>
          <w:rFonts w:eastAsia="Times New Roman" w:cs="Times New Roman"/>
          <w:lang w:val="hy-AM"/>
        </w:rPr>
      </w:pPr>
      <w:r w:rsidRPr="00623006">
        <w:rPr>
          <w:rFonts w:eastAsia="Times New Roman" w:cs="Times New Roman"/>
          <w:b/>
          <w:u w:val="single"/>
          <w:lang w:val="hy-AM"/>
        </w:rPr>
        <w:t>Պետական բյուջեի պակասուրդը (հավելուրդը):</w:t>
      </w:r>
      <w:r w:rsidRPr="00D439F2">
        <w:rPr>
          <w:rFonts w:eastAsia="Times New Roman" w:cs="Times New Roman"/>
          <w:lang w:val="hy-AM"/>
        </w:rPr>
        <w:t xml:space="preserve"> </w:t>
      </w:r>
      <w:r w:rsidRPr="00D439F2">
        <w:rPr>
          <w:rFonts w:eastAsia="Times New Roman" w:cs="Times New Roman"/>
          <w:b/>
          <w:bCs/>
          <w:lang w:val="hy-AM"/>
        </w:rPr>
        <w:t>Վերոնշյալ զարգացումների արդյունքում պետական բյուջե</w:t>
      </w:r>
      <w:r>
        <w:rPr>
          <w:rFonts w:eastAsia="Times New Roman" w:cs="Times New Roman"/>
          <w:b/>
          <w:bCs/>
          <w:lang w:val="hy-AM"/>
        </w:rPr>
        <w:t>ի ծախսերն ու եկամուտները գրեթե հաշվեկշռված են եղել</w:t>
      </w:r>
      <w:r w:rsidRPr="00D439F2">
        <w:rPr>
          <w:rFonts w:eastAsia="Times New Roman" w:cs="Times New Roman"/>
          <w:b/>
          <w:bCs/>
          <w:lang w:val="hy-AM"/>
        </w:rPr>
        <w:t>:</w:t>
      </w:r>
      <w:r w:rsidRPr="00D439F2">
        <w:rPr>
          <w:rFonts w:eastAsia="Times New Roman" w:cs="Times New Roman"/>
          <w:lang w:val="hy-AM"/>
        </w:rPr>
        <w:t xml:space="preserve"> 202</w:t>
      </w:r>
      <w:r>
        <w:rPr>
          <w:rFonts w:eastAsia="Times New Roman" w:cs="Times New Roman"/>
          <w:lang w:val="hy-AM"/>
        </w:rPr>
        <w:t>4</w:t>
      </w:r>
      <w:r w:rsidRPr="00D439F2">
        <w:rPr>
          <w:rFonts w:eastAsia="Times New Roman" w:cs="Times New Roman"/>
          <w:lang w:val="hy-AM"/>
        </w:rPr>
        <w:t xml:space="preserve"> թ</w:t>
      </w:r>
      <w:r w:rsidRPr="00D439F2">
        <w:rPr>
          <w:rFonts w:ascii="Cambria Math" w:eastAsia="Times New Roman" w:hAnsi="Cambria Math" w:cs="Cambria Math"/>
          <w:lang w:val="hy-AM"/>
        </w:rPr>
        <w:t>.</w:t>
      </w:r>
      <w:r w:rsidRPr="00D439F2">
        <w:rPr>
          <w:rFonts w:eastAsia="Times New Roman" w:cs="Times New Roman"/>
          <w:lang w:val="hy-AM"/>
        </w:rPr>
        <w:t xml:space="preserve"> առաջին </w:t>
      </w:r>
      <w:r>
        <w:rPr>
          <w:rFonts w:eastAsia="Times New Roman" w:cs="Times New Roman"/>
          <w:lang w:val="hy-AM"/>
        </w:rPr>
        <w:t>հինգ</w:t>
      </w:r>
      <w:r w:rsidRPr="00D439F2">
        <w:rPr>
          <w:rFonts w:eastAsia="Times New Roman" w:cs="Times New Roman"/>
          <w:lang w:val="hy-AM"/>
        </w:rPr>
        <w:t xml:space="preserve"> ամիսներին ձևավորվել է պետական բյուջեի </w:t>
      </w:r>
      <w:r>
        <w:rPr>
          <w:rFonts w:eastAsia="Times New Roman" w:cs="Times New Roman"/>
          <w:lang w:val="hy-AM"/>
        </w:rPr>
        <w:t>0.1</w:t>
      </w:r>
      <w:r w:rsidRPr="00D439F2">
        <w:rPr>
          <w:rFonts w:eastAsia="Times New Roman" w:cs="Times New Roman"/>
          <w:lang w:val="hy-AM"/>
        </w:rPr>
        <w:t xml:space="preserve"> մլրդ դրամ </w:t>
      </w:r>
      <w:r>
        <w:rPr>
          <w:rFonts w:eastAsia="Times New Roman" w:cs="Times New Roman"/>
          <w:lang w:val="hy-AM"/>
        </w:rPr>
        <w:t>պակասուրդ</w:t>
      </w:r>
      <w:r w:rsidRPr="00D439F2">
        <w:rPr>
          <w:rFonts w:eastAsia="Times New Roman" w:cs="Times New Roman"/>
          <w:lang w:val="hy-AM"/>
        </w:rPr>
        <w:t xml:space="preserve">՝ նախորդ տարվա նույն ժամանակահատվածի </w:t>
      </w:r>
      <w:r>
        <w:rPr>
          <w:rFonts w:eastAsia="Times New Roman" w:cs="Times New Roman"/>
          <w:lang w:val="hy-AM"/>
        </w:rPr>
        <w:t>100.7</w:t>
      </w:r>
      <w:r w:rsidRPr="00D439F2">
        <w:rPr>
          <w:rFonts w:ascii="Calibri" w:eastAsia="Times New Roman" w:hAnsi="Calibri" w:cs="Calibri"/>
          <w:lang w:val="hy-AM"/>
        </w:rPr>
        <w:t> </w:t>
      </w:r>
      <w:r w:rsidRPr="00D439F2">
        <w:rPr>
          <w:rFonts w:eastAsia="Times New Roman" w:cs="Times New Roman"/>
          <w:lang w:val="hy-AM"/>
        </w:rPr>
        <w:t xml:space="preserve">մլրդ դրամ հավելուրդի դիմաց: </w:t>
      </w:r>
    </w:p>
    <w:p w14:paraId="721594B3" w14:textId="77777777" w:rsidR="00BF0F38" w:rsidRPr="00D439F2" w:rsidRDefault="00BF0F38" w:rsidP="00BF0F38">
      <w:pPr>
        <w:tabs>
          <w:tab w:val="left" w:pos="0"/>
        </w:tabs>
        <w:spacing w:before="120" w:after="0" w:line="276" w:lineRule="auto"/>
        <w:ind w:firstLine="0"/>
        <w:rPr>
          <w:rFonts w:eastAsia="Times New Roman" w:cs="Arial"/>
          <w:color w:val="44546A"/>
          <w:u w:val="single"/>
          <w:lang w:val="hy-AM"/>
        </w:rPr>
      </w:pPr>
    </w:p>
    <w:p w14:paraId="40F68DA4" w14:textId="77777777" w:rsidR="00BF0F38" w:rsidRPr="00D439F2" w:rsidRDefault="00BF0F38" w:rsidP="00BF0F38">
      <w:pPr>
        <w:tabs>
          <w:tab w:val="left" w:pos="0"/>
        </w:tabs>
        <w:spacing w:before="120" w:after="0" w:line="276" w:lineRule="auto"/>
        <w:ind w:firstLine="0"/>
        <w:rPr>
          <w:rFonts w:eastAsia="Times New Roman" w:cs="Arial"/>
          <w:color w:val="44546A"/>
          <w:u w:val="single"/>
          <w:lang w:val="hy-AM"/>
        </w:rPr>
      </w:pPr>
      <w:r w:rsidRPr="00D439F2">
        <w:rPr>
          <w:rFonts w:eastAsia="Times New Roman" w:cs="Arial"/>
          <w:color w:val="44546A"/>
          <w:u w:val="single"/>
          <w:lang w:val="hy-AM"/>
        </w:rPr>
        <w:t xml:space="preserve">Կարճաժամկետ և միջնաժամկետ կանխատեսումներ </w:t>
      </w:r>
    </w:p>
    <w:p w14:paraId="4DA494BC" w14:textId="77777777" w:rsidR="00BF0F38" w:rsidRPr="00D439F2" w:rsidRDefault="00BF0F38" w:rsidP="00BF0F38">
      <w:pPr>
        <w:tabs>
          <w:tab w:val="left" w:pos="0"/>
        </w:tabs>
        <w:spacing w:before="120" w:after="0" w:line="276" w:lineRule="auto"/>
        <w:ind w:firstLine="0"/>
        <w:rPr>
          <w:rFonts w:eastAsia="Calibri" w:cs="Times New Roman"/>
          <w:lang w:val="hy-AM"/>
        </w:rPr>
      </w:pPr>
      <w:r w:rsidRPr="00636D7E">
        <w:rPr>
          <w:rFonts w:eastAsia="Calibri" w:cs="Times New Roman"/>
          <w:b/>
          <w:bCs/>
          <w:lang w:val="hy-AM"/>
        </w:rPr>
        <w:t xml:space="preserve">2024 թվականին հարկաբյուջետային քաղաքականությունը </w:t>
      </w:r>
      <w:r>
        <w:rPr>
          <w:rFonts w:eastAsia="Calibri" w:cs="Times New Roman"/>
          <w:b/>
          <w:bCs/>
          <w:lang w:val="hy-AM"/>
        </w:rPr>
        <w:t>թիրախավորում է</w:t>
      </w:r>
      <w:r w:rsidRPr="00636D7E">
        <w:rPr>
          <w:rFonts w:eastAsia="Calibri" w:cs="Times New Roman"/>
          <w:b/>
          <w:bCs/>
          <w:lang w:val="hy-AM"/>
        </w:rPr>
        <w:t xml:space="preserve"> էական</w:t>
      </w:r>
      <w:r>
        <w:rPr>
          <w:rFonts w:eastAsia="Calibri" w:cs="Times New Roman"/>
          <w:b/>
          <w:bCs/>
          <w:lang w:val="hy-AM"/>
        </w:rPr>
        <w:t>որեն</w:t>
      </w:r>
      <w:r w:rsidRPr="00636D7E">
        <w:rPr>
          <w:rFonts w:eastAsia="Calibri" w:cs="Times New Roman"/>
          <w:b/>
          <w:bCs/>
          <w:lang w:val="hy-AM"/>
        </w:rPr>
        <w:t xml:space="preserve"> մեծաց</w:t>
      </w:r>
      <w:r>
        <w:rPr>
          <w:rFonts w:eastAsia="Calibri" w:cs="Times New Roman"/>
          <w:b/>
          <w:bCs/>
          <w:lang w:val="hy-AM"/>
        </w:rPr>
        <w:t>նել</w:t>
      </w:r>
      <w:r w:rsidRPr="00636D7E">
        <w:rPr>
          <w:rFonts w:eastAsia="Calibri" w:cs="Times New Roman"/>
          <w:b/>
          <w:bCs/>
          <w:lang w:val="hy-AM"/>
        </w:rPr>
        <w:t xml:space="preserve"> կապիտալ ծախսերի կշիռը ՀՆԱ-ում</w:t>
      </w:r>
      <w:r>
        <w:rPr>
          <w:rFonts w:eastAsia="Calibri" w:cs="Times New Roman"/>
          <w:b/>
          <w:bCs/>
          <w:lang w:val="hy-AM"/>
        </w:rPr>
        <w:t>՝</w:t>
      </w:r>
      <w:r w:rsidRPr="00636D7E">
        <w:rPr>
          <w:rFonts w:eastAsia="Calibri" w:cs="Times New Roman"/>
          <w:b/>
          <w:bCs/>
          <w:lang w:val="hy-AM"/>
        </w:rPr>
        <w:t xml:space="preserve"> հասցնելով 6.</w:t>
      </w:r>
      <w:r>
        <w:rPr>
          <w:rFonts w:eastAsia="Calibri" w:cs="Times New Roman"/>
          <w:b/>
          <w:bCs/>
          <w:lang w:val="hy-AM"/>
        </w:rPr>
        <w:t>5</w:t>
      </w:r>
      <w:r w:rsidRPr="00636D7E">
        <w:rPr>
          <w:rFonts w:eastAsia="Calibri" w:cs="Times New Roman"/>
          <w:b/>
          <w:bCs/>
          <w:lang w:val="hy-AM"/>
        </w:rPr>
        <w:t>%-ի</w:t>
      </w:r>
      <w:r>
        <w:rPr>
          <w:rFonts w:eastAsia="Calibri" w:cs="Times New Roman"/>
          <w:b/>
          <w:bCs/>
          <w:lang w:val="hy-AM"/>
        </w:rPr>
        <w:t>,</w:t>
      </w:r>
      <w:r w:rsidRPr="00636D7E">
        <w:rPr>
          <w:rFonts w:eastAsia="Calibri" w:cs="Times New Roman"/>
          <w:b/>
          <w:bCs/>
          <w:lang w:val="hy-AM"/>
        </w:rPr>
        <w:t xml:space="preserve"> </w:t>
      </w:r>
      <w:r>
        <w:rPr>
          <w:rFonts w:eastAsia="Calibri" w:cs="Times New Roman"/>
          <w:b/>
          <w:bCs/>
          <w:lang w:val="hy-AM"/>
        </w:rPr>
        <w:t xml:space="preserve">բարձրացնել </w:t>
      </w:r>
      <w:r w:rsidRPr="00636D7E">
        <w:rPr>
          <w:rFonts w:eastAsia="Calibri" w:cs="Times New Roman"/>
          <w:b/>
          <w:bCs/>
          <w:lang w:val="hy-AM"/>
        </w:rPr>
        <w:t xml:space="preserve">ծախսերի </w:t>
      </w:r>
      <w:r>
        <w:rPr>
          <w:rFonts w:eastAsia="Calibri" w:cs="Times New Roman"/>
          <w:b/>
          <w:bCs/>
          <w:lang w:val="hy-AM"/>
        </w:rPr>
        <w:t>արդյունավետությունը</w:t>
      </w:r>
      <w:r w:rsidRPr="00636D7E">
        <w:rPr>
          <w:rFonts w:eastAsia="Calibri" w:cs="Times New Roman"/>
          <w:b/>
          <w:bCs/>
          <w:lang w:val="hy-AM"/>
        </w:rPr>
        <w:t xml:space="preserve"> </w:t>
      </w:r>
      <w:r>
        <w:rPr>
          <w:rFonts w:eastAsia="Calibri" w:cs="Times New Roman"/>
          <w:b/>
          <w:bCs/>
          <w:lang w:val="hy-AM"/>
        </w:rPr>
        <w:t xml:space="preserve">և պահպանել պետական պարտքի </w:t>
      </w:r>
      <w:r w:rsidRPr="00636D7E">
        <w:rPr>
          <w:rFonts w:eastAsia="Calibri" w:cs="Times New Roman"/>
          <w:b/>
          <w:bCs/>
          <w:lang w:val="hy-AM"/>
        </w:rPr>
        <w:t>կայունությ</w:t>
      </w:r>
      <w:r>
        <w:rPr>
          <w:rFonts w:eastAsia="Calibri" w:cs="Times New Roman"/>
          <w:b/>
          <w:bCs/>
          <w:lang w:val="hy-AM"/>
        </w:rPr>
        <w:t>ունը</w:t>
      </w:r>
      <w:r w:rsidRPr="00636D7E">
        <w:rPr>
          <w:rFonts w:eastAsia="Calibri" w:cs="Times New Roman"/>
          <w:b/>
          <w:bCs/>
          <w:lang w:val="hy-AM"/>
        </w:rPr>
        <w:t>:</w:t>
      </w:r>
      <w:r>
        <w:rPr>
          <w:rFonts w:eastAsia="Calibri" w:cs="Times New Roman"/>
          <w:b/>
          <w:bCs/>
          <w:lang w:val="hy-AM"/>
        </w:rPr>
        <w:t xml:space="preserve"> </w:t>
      </w:r>
      <w:r w:rsidRPr="00D439F2">
        <w:rPr>
          <w:rFonts w:eastAsia="Calibri" w:cs="Times New Roman"/>
          <w:lang w:val="hy-AM"/>
        </w:rPr>
        <w:t>202</w:t>
      </w:r>
      <w:r>
        <w:rPr>
          <w:rFonts w:eastAsia="Calibri" w:cs="Times New Roman"/>
          <w:lang w:val="hy-AM"/>
        </w:rPr>
        <w:t>4</w:t>
      </w:r>
      <w:r w:rsidRPr="00D439F2">
        <w:rPr>
          <w:rFonts w:eastAsia="Calibri" w:cs="Times New Roman"/>
          <w:lang w:val="hy-AM"/>
        </w:rPr>
        <w:t>թ</w:t>
      </w:r>
      <w:r w:rsidRPr="00D439F2">
        <w:rPr>
          <w:rFonts w:ascii="Cambria Math" w:eastAsia="Calibri" w:hAnsi="Cambria Math" w:cs="Cambria Math"/>
          <w:lang w:val="hy-AM"/>
        </w:rPr>
        <w:t>․</w:t>
      </w:r>
      <w:r w:rsidRPr="00D439F2">
        <w:rPr>
          <w:rFonts w:eastAsia="Calibri" w:cs="Times New Roman"/>
          <w:lang w:val="hy-AM"/>
        </w:rPr>
        <w:t xml:space="preserve"> հարկաբյուջետային քաղաքականությունը </w:t>
      </w:r>
      <w:r>
        <w:rPr>
          <w:rFonts w:eastAsia="Calibri" w:cs="Times New Roman"/>
          <w:lang w:val="hy-AM"/>
        </w:rPr>
        <w:t>իրականացվում է</w:t>
      </w:r>
      <w:r w:rsidRPr="00D439F2">
        <w:rPr>
          <w:rFonts w:eastAsia="Calibri" w:cs="Times New Roman"/>
          <w:lang w:val="hy-AM"/>
        </w:rPr>
        <w:t xml:space="preserve"> բնականոն իրավիճակների համար սահմանված ծախսային կանոնների</w:t>
      </w:r>
      <w:r>
        <w:rPr>
          <w:rFonts w:eastAsia="Calibri" w:cs="Times New Roman"/>
          <w:lang w:val="hy-AM"/>
        </w:rPr>
        <w:t xml:space="preserve"> ներքո, ընդ որում՝ հաշվի առնելով նախորդ տարիներին 50</w:t>
      </w:r>
      <w:r w:rsidRPr="008F31BE">
        <w:rPr>
          <w:rFonts w:eastAsia="Calibri" w:cs="Times New Roman"/>
          <w:lang w:val="hy-AM"/>
        </w:rPr>
        <w:t>%-</w:t>
      </w:r>
      <w:r>
        <w:rPr>
          <w:rFonts w:eastAsia="Calibri" w:cs="Times New Roman"/>
          <w:lang w:val="hy-AM"/>
        </w:rPr>
        <w:t>ից ցածր մակարդակում ձևավորված կառավարության պարտք/ՀՆԱ հարաբերակցությունը, հարկաբյուջետային կանոնները վերաբերում են միայն «ոսկե կանոնների» պահպանմանը։  Միաժամանակ, կառավարության պարտք/ՀՆԱ ցուցանիշը կպահպանվի 50</w:t>
      </w:r>
      <w:r w:rsidRPr="006226AF">
        <w:rPr>
          <w:rFonts w:eastAsia="Calibri" w:cs="Times New Roman"/>
          <w:lang w:val="hy-AM"/>
        </w:rPr>
        <w:t>%-</w:t>
      </w:r>
      <w:r>
        <w:rPr>
          <w:rFonts w:eastAsia="Calibri" w:cs="Times New Roman"/>
          <w:lang w:val="hy-AM"/>
        </w:rPr>
        <w:t>ի շրջանակներում։</w:t>
      </w:r>
    </w:p>
    <w:p w14:paraId="3DEAC710" w14:textId="77777777" w:rsidR="00BF0F38" w:rsidRPr="00C31FAF" w:rsidRDefault="00BF0F38" w:rsidP="00BF0F38">
      <w:pPr>
        <w:tabs>
          <w:tab w:val="left" w:pos="0"/>
        </w:tabs>
        <w:spacing w:before="120" w:after="0" w:line="276" w:lineRule="auto"/>
        <w:ind w:firstLine="0"/>
        <w:rPr>
          <w:rFonts w:eastAsia="Times New Roman" w:cs="Times New Roman"/>
          <w:lang w:val="hy-AM"/>
        </w:rPr>
      </w:pPr>
      <w:r w:rsidRPr="00D439F2">
        <w:rPr>
          <w:rFonts w:eastAsia="Calibri" w:cs="GHEA Grapalat"/>
          <w:bCs/>
          <w:lang w:val="hy-AM"/>
        </w:rPr>
        <w:t>202</w:t>
      </w:r>
      <w:r>
        <w:rPr>
          <w:rFonts w:eastAsia="Calibri" w:cs="GHEA Grapalat"/>
          <w:bCs/>
          <w:lang w:val="hy-AM"/>
        </w:rPr>
        <w:t>4</w:t>
      </w:r>
      <w:r w:rsidRPr="00D439F2">
        <w:rPr>
          <w:rFonts w:eastAsia="Calibri" w:cs="GHEA Grapalat"/>
          <w:bCs/>
          <w:lang w:val="hy-AM"/>
        </w:rPr>
        <w:t>թ</w:t>
      </w:r>
      <w:r w:rsidRPr="00D439F2">
        <w:rPr>
          <w:rFonts w:ascii="Cambria Math" w:eastAsia="Calibri" w:hAnsi="Cambria Math" w:cs="Cambria Math"/>
          <w:bCs/>
          <w:lang w:val="hy-AM"/>
        </w:rPr>
        <w:t>․</w:t>
      </w:r>
      <w:r>
        <w:rPr>
          <w:rFonts w:eastAsia="Calibri" w:cs="GHEA Grapalat"/>
          <w:bCs/>
          <w:lang w:val="hy-AM"/>
        </w:rPr>
        <w:t xml:space="preserve">-ին </w:t>
      </w:r>
      <w:r w:rsidRPr="00D439F2">
        <w:rPr>
          <w:rFonts w:eastAsia="Calibri" w:cs="GHEA Grapalat"/>
          <w:bCs/>
          <w:lang w:val="hy-AM"/>
        </w:rPr>
        <w:t>հարկային վարչարարության բարելավման</w:t>
      </w:r>
      <w:r>
        <w:rPr>
          <w:rFonts w:eastAsia="Calibri" w:cs="GHEA Grapalat"/>
          <w:bCs/>
          <w:lang w:val="hy-AM"/>
        </w:rPr>
        <w:t xml:space="preserve"> և օրենսդրության փոփոխությունների արդյունքում</w:t>
      </w:r>
      <w:r w:rsidRPr="00D439F2">
        <w:rPr>
          <w:rFonts w:eastAsia="Calibri" w:cs="GHEA Grapalat"/>
          <w:bCs/>
          <w:lang w:val="hy-AM"/>
        </w:rPr>
        <w:t xml:space="preserve"> եկամուտները ՀՆԱ-ի նկատմամբ կբարելավվեն շուրջ 0.</w:t>
      </w:r>
      <w:r>
        <w:rPr>
          <w:rFonts w:eastAsia="Calibri" w:cs="GHEA Grapalat"/>
          <w:bCs/>
          <w:lang w:val="hy-AM"/>
        </w:rPr>
        <w:t>5</w:t>
      </w:r>
      <w:r w:rsidRPr="00D439F2">
        <w:rPr>
          <w:rFonts w:eastAsia="Calibri" w:cs="GHEA Grapalat"/>
          <w:bCs/>
          <w:lang w:val="hy-AM"/>
        </w:rPr>
        <w:t xml:space="preserve"> տոկոսային կետով՝ կազմելով </w:t>
      </w:r>
      <w:r w:rsidRPr="00D439F2">
        <w:rPr>
          <w:rFonts w:eastAsia="Calibri" w:cs="GHEA Grapalat"/>
          <w:lang w:val="hy-AM"/>
        </w:rPr>
        <w:t>2</w:t>
      </w:r>
      <w:r>
        <w:rPr>
          <w:rFonts w:eastAsia="Calibri" w:cs="GHEA Grapalat"/>
          <w:lang w:val="hy-AM"/>
        </w:rPr>
        <w:t>4</w:t>
      </w:r>
      <w:r w:rsidRPr="00D439F2">
        <w:rPr>
          <w:rFonts w:eastAsia="Calibri" w:cs="GHEA Grapalat"/>
          <w:lang w:val="hy-AM"/>
        </w:rPr>
        <w:t>.4%</w:t>
      </w:r>
      <w:r w:rsidRPr="00D439F2">
        <w:rPr>
          <w:rFonts w:eastAsia="Calibri" w:cs="GHEA Grapalat"/>
          <w:bCs/>
          <w:lang w:val="hy-AM"/>
        </w:rPr>
        <w:t xml:space="preserve"> կամ </w:t>
      </w:r>
      <w:r>
        <w:rPr>
          <w:rFonts w:eastAsia="Calibri" w:cs="GHEA Grapalat"/>
          <w:lang w:val="hy-AM"/>
        </w:rPr>
        <w:t>2,496.9</w:t>
      </w:r>
      <w:r w:rsidRPr="00D439F2">
        <w:rPr>
          <w:rFonts w:eastAsia="Calibri" w:cs="GHEA Grapalat"/>
          <w:lang w:val="hy-AM"/>
        </w:rPr>
        <w:t xml:space="preserve"> մլրդ դրամ</w:t>
      </w:r>
      <w:r>
        <w:rPr>
          <w:rFonts w:eastAsia="Calibri" w:cs="GHEA Grapalat"/>
          <w:bCs/>
          <w:lang w:val="hy-AM"/>
        </w:rPr>
        <w:t>:</w:t>
      </w:r>
      <w:r w:rsidRPr="00C31FAF">
        <w:rPr>
          <w:rFonts w:eastAsia="Calibri" w:cs="GHEA Grapalat"/>
          <w:bCs/>
          <w:lang w:val="hy-AM"/>
        </w:rPr>
        <w:t xml:space="preserve"> </w:t>
      </w:r>
      <w:r>
        <w:rPr>
          <w:rFonts w:eastAsia="Calibri" w:cs="GHEA Grapalat"/>
          <w:bCs/>
          <w:lang w:val="hy-AM"/>
        </w:rPr>
        <w:t>2024թ.-ի</w:t>
      </w:r>
      <w:r w:rsidRPr="00D439F2">
        <w:rPr>
          <w:rFonts w:eastAsia="Calibri" w:cs="GHEA Grapalat"/>
          <w:bCs/>
          <w:lang w:val="hy-AM"/>
        </w:rPr>
        <w:t xml:space="preserve"> </w:t>
      </w:r>
      <w:r w:rsidRPr="00D439F2">
        <w:rPr>
          <w:rFonts w:eastAsia="Calibri" w:cs="GHEA Grapalat"/>
          <w:lang w:val="hy-AM"/>
        </w:rPr>
        <w:t xml:space="preserve">պետական բյուջեի ընդհանուր ծախսերը ՀՆԱ-ի նկատմամբ կավելանա շուրջ </w:t>
      </w:r>
      <w:r>
        <w:rPr>
          <w:rFonts w:eastAsia="Calibri" w:cs="GHEA Grapalat"/>
          <w:lang w:val="hy-AM"/>
        </w:rPr>
        <w:t>3.1</w:t>
      </w:r>
      <w:r w:rsidRPr="00D439F2">
        <w:rPr>
          <w:rFonts w:eastAsia="Calibri" w:cs="GHEA Grapalat"/>
          <w:lang w:val="hy-AM"/>
        </w:rPr>
        <w:t xml:space="preserve"> տոկոսային կետով՝ կազմելով </w:t>
      </w:r>
      <w:r>
        <w:rPr>
          <w:rFonts w:eastAsia="Calibri" w:cs="GHEA Grapalat"/>
          <w:lang w:val="hy-AM"/>
        </w:rPr>
        <w:t>30</w:t>
      </w:r>
      <w:r w:rsidRPr="00D439F2">
        <w:rPr>
          <w:rFonts w:eastAsia="Calibri" w:cs="GHEA Grapalat"/>
          <w:lang w:val="hy-AM"/>
        </w:rPr>
        <w:t xml:space="preserve">.5%: Ընդհանուր </w:t>
      </w:r>
      <w:r w:rsidRPr="00D439F2">
        <w:rPr>
          <w:rFonts w:eastAsia="Calibri" w:cs="GHEA Grapalat"/>
          <w:lang w:val="hy-AM"/>
        </w:rPr>
        <w:lastRenderedPageBreak/>
        <w:t>ծախսերում ընթացիկ ծախսերը ՀՆԱ-ի նկատմամբ կ</w:t>
      </w:r>
      <w:r>
        <w:rPr>
          <w:rFonts w:eastAsia="Calibri" w:cs="GHEA Grapalat"/>
          <w:lang w:val="hy-AM"/>
        </w:rPr>
        <w:t>ավելանան</w:t>
      </w:r>
      <w:r w:rsidRPr="00D439F2">
        <w:rPr>
          <w:rFonts w:eastAsia="Calibri" w:cs="GHEA Grapalat"/>
          <w:lang w:val="hy-AM"/>
        </w:rPr>
        <w:t xml:space="preserve"> </w:t>
      </w:r>
      <w:r>
        <w:rPr>
          <w:rFonts w:eastAsia="Calibri" w:cs="GHEA Grapalat"/>
          <w:lang w:val="hy-AM"/>
        </w:rPr>
        <w:t>1.6</w:t>
      </w:r>
      <w:r w:rsidRPr="00D439F2">
        <w:rPr>
          <w:rFonts w:eastAsia="Calibri" w:cs="GHEA Grapalat"/>
          <w:lang w:val="hy-AM"/>
        </w:rPr>
        <w:t xml:space="preserve"> տոկոսային կետով, իսկ կապիտալ ծախսերը կավելանան 1.</w:t>
      </w:r>
      <w:r>
        <w:rPr>
          <w:rFonts w:eastAsia="Calibri" w:cs="GHEA Grapalat"/>
          <w:lang w:val="hy-AM"/>
        </w:rPr>
        <w:t>5</w:t>
      </w:r>
      <w:r w:rsidRPr="00D439F2">
        <w:rPr>
          <w:rFonts w:eastAsia="Calibri" w:cs="GHEA Grapalat"/>
          <w:lang w:val="hy-AM"/>
        </w:rPr>
        <w:t xml:space="preserve"> տոկոսային կետով: Ծախսերի ծավալը նախորդ տարվա համեմատ կաճի շուրջ </w:t>
      </w:r>
      <w:r>
        <w:rPr>
          <w:rFonts w:eastAsia="Calibri" w:cs="GHEA Grapalat"/>
          <w:lang w:val="hy-AM"/>
        </w:rPr>
        <w:t>19.9</w:t>
      </w:r>
      <w:r w:rsidRPr="00D439F2">
        <w:rPr>
          <w:rFonts w:eastAsia="Calibri" w:cs="GHEA Grapalat"/>
          <w:lang w:val="hy-AM"/>
        </w:rPr>
        <w:t xml:space="preserve">%-ով՝ կազմելով </w:t>
      </w:r>
      <w:r>
        <w:rPr>
          <w:rFonts w:eastAsia="Calibri" w:cs="GHEA Grapalat"/>
          <w:lang w:val="hy-AM"/>
        </w:rPr>
        <w:t>3,117.6</w:t>
      </w:r>
      <w:r w:rsidRPr="00D439F2">
        <w:rPr>
          <w:rFonts w:eastAsia="Calibri" w:cs="GHEA Grapalat"/>
          <w:lang w:val="hy-AM"/>
        </w:rPr>
        <w:t xml:space="preserve"> մլրդ </w:t>
      </w:r>
      <w:r w:rsidRPr="00BF0C44">
        <w:rPr>
          <w:rFonts w:eastAsia="Calibri" w:cs="GHEA Grapalat"/>
          <w:lang w:val="hy-AM"/>
        </w:rPr>
        <w:t xml:space="preserve">դրամ: </w:t>
      </w:r>
      <w:r w:rsidRPr="006226AF">
        <w:rPr>
          <w:rFonts w:eastAsia="Calibri"/>
          <w:lang w:val="hy-AM"/>
        </w:rPr>
        <w:t>2024 թվականին, ընթացիկ և կապիտալ ծախսերի ավելացման հաշվին պետական բյուջեի պակասուրդը կավելանա՝ կազմելով ՀՆԱ-ի 4.7</w:t>
      </w:r>
      <w:r w:rsidRPr="006226AF">
        <w:rPr>
          <w:rFonts w:eastAsia="Calibri" w:cs="Sylfaen"/>
          <w:lang w:val="hy-AM"/>
        </w:rPr>
        <w:t>%-ը</w:t>
      </w:r>
      <w:r w:rsidRPr="006226AF">
        <w:rPr>
          <w:rFonts w:eastAsia="Calibri"/>
          <w:lang w:val="hy-AM"/>
        </w:rPr>
        <w:t>։</w:t>
      </w:r>
      <w:r w:rsidRPr="00BF0C44">
        <w:rPr>
          <w:rFonts w:eastAsia="Calibri"/>
          <w:lang w:val="hy-AM"/>
        </w:rPr>
        <w:t xml:space="preserve"> </w:t>
      </w:r>
    </w:p>
    <w:p w14:paraId="72E397B0" w14:textId="77777777" w:rsidR="00BF0F38" w:rsidRPr="00483C0E" w:rsidRDefault="00BF0F38" w:rsidP="00BF0F38">
      <w:pPr>
        <w:tabs>
          <w:tab w:val="left" w:pos="0"/>
        </w:tabs>
        <w:spacing w:before="120" w:after="0" w:line="276" w:lineRule="auto"/>
        <w:ind w:firstLine="0"/>
        <w:rPr>
          <w:rFonts w:eastAsia="Calibri" w:cs="GHEA Grapalat"/>
          <w:lang w:val="hy-AM"/>
        </w:rPr>
      </w:pPr>
      <w:r w:rsidRPr="00BF0C44">
        <w:rPr>
          <w:rFonts w:eastAsia="Calibri" w:cs="GHEA Grapalat"/>
          <w:lang w:val="hy-AM"/>
        </w:rPr>
        <w:t>Արդյունքում, պետական բյուջեի պակասուրդը կկազմի 482.9 մլրդ դրամ՝ 2023թ</w:t>
      </w:r>
      <w:r w:rsidRPr="00BF0C44">
        <w:rPr>
          <w:rFonts w:ascii="Cambria Math" w:eastAsia="Calibri" w:hAnsi="Cambria Math" w:cs="Cambria Math"/>
          <w:lang w:val="hy-AM"/>
        </w:rPr>
        <w:t>.</w:t>
      </w:r>
      <w:r w:rsidRPr="00BF0C44">
        <w:rPr>
          <w:rFonts w:eastAsia="Calibri" w:cs="GHEA Grapalat"/>
          <w:lang w:val="hy-AM"/>
        </w:rPr>
        <w:t xml:space="preserve"> նկատմամբ ավելանալով շուրջ 294.0 մլրդ դրամով, կամ ՀՆԱ-ի շուրջ 2.7 տոկոսային կետով: </w:t>
      </w:r>
      <w:r>
        <w:rPr>
          <w:rFonts w:eastAsia="Calibri" w:cs="GHEA Grapalat"/>
          <w:lang w:val="hy-AM"/>
        </w:rPr>
        <w:t xml:space="preserve">Այնուամենայնիվ, պետք է հաշվի առնել, որ </w:t>
      </w:r>
      <w:r w:rsidRPr="00483C0E">
        <w:rPr>
          <w:rFonts w:eastAsia="Calibri" w:cs="GHEA Grapalat"/>
          <w:lang w:val="hy-AM"/>
        </w:rPr>
        <w:t xml:space="preserve">2024թ. ծախսերում ներառված են նաև Լեռնային Ղարաբաղից բռնի տեղահանված բնակչության աջակցության միջոցառումների համար նախատեսված ծախսերը </w:t>
      </w:r>
      <w:r w:rsidRPr="00623006">
        <w:rPr>
          <w:rFonts w:eastAsia="Calibri" w:cs="GHEA Grapalat"/>
          <w:lang w:val="hy-AM"/>
        </w:rPr>
        <w:t>(</w:t>
      </w:r>
      <w:r w:rsidRPr="00483C0E">
        <w:rPr>
          <w:rFonts w:eastAsia="Calibri" w:cs="GHEA Grapalat"/>
          <w:lang w:val="hy-AM"/>
        </w:rPr>
        <w:t>որոնք</w:t>
      </w:r>
      <w:r w:rsidRPr="00623006">
        <w:rPr>
          <w:rFonts w:eastAsia="Calibri" w:cs="GHEA Grapalat"/>
          <w:lang w:val="hy-AM"/>
        </w:rPr>
        <w:t xml:space="preserve"> </w:t>
      </w:r>
      <w:r>
        <w:rPr>
          <w:rFonts w:eastAsia="Calibri" w:cs="GHEA Grapalat"/>
          <w:lang w:val="hy-AM"/>
        </w:rPr>
        <w:t>հարկաբյուջետային տեսանկյունից համադրելի են նախկինում պակասուրդի ֆինանսավորման աղբյուրներում արտացոլվող</w:t>
      </w:r>
      <w:r w:rsidRPr="00483C0E">
        <w:rPr>
          <w:rFonts w:eastAsia="Calibri" w:cs="GHEA Grapalat"/>
          <w:lang w:val="hy-AM"/>
        </w:rPr>
        <w:t xml:space="preserve"> Լեռնային Ղարաբաղին ուղղվող միջպետական վարկի</w:t>
      </w:r>
      <w:r>
        <w:rPr>
          <w:rFonts w:eastAsia="Calibri" w:cs="GHEA Grapalat"/>
          <w:lang w:val="hy-AM"/>
        </w:rPr>
        <w:t>ն</w:t>
      </w:r>
      <w:r w:rsidRPr="00623006">
        <w:rPr>
          <w:rFonts w:eastAsia="Calibri" w:cs="GHEA Grapalat"/>
          <w:lang w:val="hy-AM"/>
        </w:rPr>
        <w:t>)</w:t>
      </w:r>
      <w:r>
        <w:rPr>
          <w:rFonts w:eastAsia="Calibri" w:cs="GHEA Grapalat"/>
          <w:lang w:val="hy-AM"/>
        </w:rPr>
        <w:t xml:space="preserve">, հետևաբար պետական բյուջեի ծախսերի և պակասուրդի աճն իրականում ավելի չափավոր է։ </w:t>
      </w:r>
    </w:p>
    <w:p w14:paraId="203F23D7" w14:textId="77777777" w:rsidR="00BF0F38" w:rsidRDefault="00BF0F38" w:rsidP="00BF0F38">
      <w:pPr>
        <w:tabs>
          <w:tab w:val="left" w:pos="0"/>
        </w:tabs>
        <w:spacing w:before="120" w:after="0" w:line="276" w:lineRule="auto"/>
        <w:ind w:firstLine="0"/>
        <w:rPr>
          <w:rFonts w:eastAsia="Calibri" w:cs="GHEA Grapalat"/>
          <w:lang w:val="hy-AM"/>
        </w:rPr>
      </w:pPr>
      <w:r>
        <w:rPr>
          <w:rFonts w:eastAsia="Calibri" w:cs="GHEA Grapalat"/>
          <w:lang w:val="hy-AM"/>
        </w:rPr>
        <w:t>Վերոնշյալ սպասումների պայմաններում հ</w:t>
      </w:r>
      <w:r w:rsidRPr="00002342">
        <w:rPr>
          <w:rFonts w:eastAsia="Calibri" w:cs="GHEA Grapalat"/>
          <w:lang w:val="hy-AM"/>
        </w:rPr>
        <w:t>արկաբյուջետային քաղաքականության ազդեցությունը ինչպես 2024թ</w:t>
      </w:r>
      <w:r w:rsidRPr="00002342">
        <w:rPr>
          <w:rFonts w:ascii="Cambria Math" w:eastAsia="Calibri" w:hAnsi="Cambria Math" w:cs="Cambria Math"/>
          <w:lang w:val="hy-AM"/>
        </w:rPr>
        <w:t>․</w:t>
      </w:r>
      <w:r w:rsidRPr="006226AF">
        <w:rPr>
          <w:rFonts w:eastAsia="Calibri" w:cs="GHEA Grapalat"/>
          <w:lang w:val="hy-AM"/>
        </w:rPr>
        <w:t>-ին, այնպես էլ միջնաժամկետ հատվածում մոտ կլինի չեզոքի՝ հաշվի առնելով</w:t>
      </w:r>
      <w:r>
        <w:rPr>
          <w:rFonts w:eastAsia="Calibri" w:cs="GHEA Grapalat"/>
          <w:lang w:val="hy-AM"/>
        </w:rPr>
        <w:t xml:space="preserve"> տնտեսական աճի կայունացումը ներուժային մակարդակի շուրջ։</w:t>
      </w:r>
      <w:r w:rsidRPr="006226AF">
        <w:rPr>
          <w:rFonts w:eastAsia="Calibri" w:cs="GHEA Grapalat"/>
          <w:lang w:val="hy-AM"/>
        </w:rPr>
        <w:t xml:space="preserve"> </w:t>
      </w:r>
    </w:p>
    <w:p w14:paraId="314EADF9" w14:textId="77777777" w:rsidR="00BF0F38" w:rsidRPr="00875CAD" w:rsidRDefault="00BF0F38" w:rsidP="00BF0F38">
      <w:pPr>
        <w:tabs>
          <w:tab w:val="left" w:pos="0"/>
        </w:tabs>
        <w:spacing w:before="120" w:after="0" w:line="276" w:lineRule="auto"/>
        <w:ind w:firstLine="0"/>
        <w:rPr>
          <w:rFonts w:eastAsia="Calibri" w:cs="GHEA Grapalat"/>
          <w:lang w:val="hy-AM"/>
        </w:rPr>
      </w:pPr>
      <w:r w:rsidRPr="006226AF">
        <w:rPr>
          <w:rFonts w:eastAsia="Calibri" w:cs="GHEA Grapalat"/>
          <w:b/>
          <w:lang w:val="hy-AM"/>
        </w:rPr>
        <w:t>Միջնաժամկետում հարկային վարչարարության բարելավման, ստվերի դեմ պայքարի, ինչպես նաև հարկային քաղաքականության միջոցառումների արդյունքում ակնկալվում է ապահովել հարկեր/ՀՆԱ հարաբերակցության շարունակական բարելավում</w:t>
      </w:r>
      <w:r>
        <w:rPr>
          <w:rFonts w:eastAsia="Calibri" w:cs="GHEA Grapalat"/>
          <w:b/>
          <w:lang w:val="hy-AM"/>
        </w:rPr>
        <w:t xml:space="preserve"> տարեկան միջինում 0</w:t>
      </w:r>
      <w:r w:rsidRPr="006226AF">
        <w:rPr>
          <w:rFonts w:eastAsia="Calibri" w:cs="GHEA Grapalat"/>
          <w:b/>
          <w:lang w:val="hy-AM"/>
        </w:rPr>
        <w:t>.6%-</w:t>
      </w:r>
      <w:r>
        <w:rPr>
          <w:rFonts w:eastAsia="Calibri" w:cs="GHEA Grapalat"/>
          <w:b/>
          <w:lang w:val="hy-AM"/>
        </w:rPr>
        <w:t xml:space="preserve">ային կետով՝ </w:t>
      </w:r>
      <w:r w:rsidRPr="006226AF">
        <w:rPr>
          <w:rFonts w:eastAsia="Calibri" w:cs="GHEA Grapalat"/>
          <w:b/>
          <w:lang w:val="hy-AM"/>
        </w:rPr>
        <w:t>2027թ</w:t>
      </w:r>
      <w:r w:rsidRPr="006226AF">
        <w:rPr>
          <w:rFonts w:ascii="Cambria Math" w:eastAsia="Calibri" w:hAnsi="Cambria Math" w:cs="Cambria Math"/>
          <w:b/>
          <w:lang w:val="hy-AM"/>
        </w:rPr>
        <w:t>․</w:t>
      </w:r>
      <w:r w:rsidRPr="006226AF">
        <w:rPr>
          <w:rFonts w:eastAsia="Calibri" w:cs="GHEA Grapalat"/>
          <w:b/>
          <w:lang w:val="hy-AM"/>
        </w:rPr>
        <w:t>-ին հասցնելով 26</w:t>
      </w:r>
      <w:r w:rsidRPr="006226AF">
        <w:rPr>
          <w:rFonts w:ascii="Cambria Math" w:eastAsia="Calibri" w:hAnsi="Cambria Math" w:cs="Cambria Math"/>
          <w:b/>
          <w:lang w:val="hy-AM"/>
        </w:rPr>
        <w:t>․</w:t>
      </w:r>
      <w:r w:rsidRPr="00B11696">
        <w:rPr>
          <w:rFonts w:ascii="Cambria Math" w:eastAsia="Calibri" w:hAnsi="Cambria Math" w:cs="Cambria Math"/>
          <w:b/>
          <w:lang w:val="hy-AM"/>
        </w:rPr>
        <w:t>2</w:t>
      </w:r>
      <w:r w:rsidRPr="006226AF">
        <w:rPr>
          <w:rFonts w:eastAsia="Calibri" w:cs="GHEA Grapalat"/>
          <w:b/>
          <w:lang w:val="hy-AM"/>
        </w:rPr>
        <w:t xml:space="preserve">%-ի։ </w:t>
      </w:r>
      <w:r w:rsidRPr="006226AF">
        <w:rPr>
          <w:rFonts w:eastAsia="Calibri" w:cs="GHEA Grapalat"/>
          <w:lang w:val="hy-AM"/>
        </w:rPr>
        <w:t>Ակնկալվում է, որ հարկային եկամուտների բարելավումը կապահովվի բոլոր հիմնական հարկատեսակների գծով՝ բխելով ինչպես հարկման բազաների, այնպես էլ օրենսդրության և վարչարարության միջոցառումների ազդեցությունից։</w:t>
      </w:r>
      <w:r w:rsidRPr="00875CAD">
        <w:rPr>
          <w:rFonts w:eastAsia="Calibri" w:cs="GHEA Grapalat"/>
          <w:lang w:val="hy-AM"/>
        </w:rPr>
        <w:t xml:space="preserve"> Հ</w:t>
      </w:r>
      <w:r w:rsidRPr="006226AF">
        <w:rPr>
          <w:rFonts w:eastAsia="Calibri" w:cs="GHEA Grapalat"/>
          <w:lang w:val="hy-AM"/>
        </w:rPr>
        <w:t xml:space="preserve">արկային վարչարարության </w:t>
      </w:r>
      <w:r w:rsidRPr="00875CAD">
        <w:rPr>
          <w:rFonts w:eastAsia="Calibri" w:cs="GHEA Grapalat"/>
          <w:lang w:val="hy-AM"/>
        </w:rPr>
        <w:t>մասնակցությունը յուրաքանչյուր տարվա հարկեր/ՀՆԱ բարելավմանը կկազմի 0</w:t>
      </w:r>
      <w:r w:rsidRPr="0080043D">
        <w:rPr>
          <w:rFonts w:ascii="Cambria Math" w:eastAsia="Calibri" w:hAnsi="Cambria Math" w:cs="Cambria Math"/>
          <w:lang w:val="hy-AM"/>
        </w:rPr>
        <w:t>․</w:t>
      </w:r>
      <w:r w:rsidRPr="006226AF">
        <w:rPr>
          <w:rFonts w:eastAsia="Calibri" w:cs="GHEA Grapalat"/>
          <w:lang w:val="hy-AM"/>
        </w:rPr>
        <w:t xml:space="preserve">5%-ային կետ, իսկ հարկային </w:t>
      </w:r>
      <w:r w:rsidRPr="00E56A95">
        <w:rPr>
          <w:rFonts w:eastAsia="Calibri" w:cs="GHEA Grapalat"/>
          <w:lang w:val="hy-AM"/>
        </w:rPr>
        <w:t>քաղաքականության բարեփոխումները սպասվում է, որ 2024-2026 թվականներին կունենա միջինում 0</w:t>
      </w:r>
      <w:r w:rsidRPr="00E56A95">
        <w:rPr>
          <w:rFonts w:ascii="Cambria Math" w:eastAsia="Calibri" w:hAnsi="Cambria Math" w:cs="Cambria Math"/>
          <w:lang w:val="hy-AM"/>
        </w:rPr>
        <w:t>․</w:t>
      </w:r>
      <w:r w:rsidRPr="00E56A95">
        <w:rPr>
          <w:rFonts w:eastAsia="Calibri" w:cs="Cambria Math"/>
          <w:lang w:val="hy-AM"/>
        </w:rPr>
        <w:t>25</w:t>
      </w:r>
      <w:r w:rsidRPr="00E56A95">
        <w:rPr>
          <w:rFonts w:eastAsia="Calibri" w:cs="GHEA Grapalat"/>
          <w:lang w:val="hy-AM"/>
        </w:rPr>
        <w:t>%-ային կետ դրական</w:t>
      </w:r>
      <w:r w:rsidRPr="006226AF">
        <w:rPr>
          <w:rFonts w:eastAsia="Calibri" w:cs="GHEA Grapalat"/>
          <w:lang w:val="hy-AM"/>
        </w:rPr>
        <w:t xml:space="preserve"> ազդեցություն։ </w:t>
      </w:r>
    </w:p>
    <w:p w14:paraId="3274EC25" w14:textId="77777777" w:rsidR="00BF0F38" w:rsidRPr="009A615D" w:rsidRDefault="00BF0F38" w:rsidP="00BF0F38">
      <w:pPr>
        <w:spacing w:before="0"/>
        <w:ind w:firstLine="0"/>
        <w:rPr>
          <w:rFonts w:cs="Calibri"/>
          <w:b/>
          <w:bCs/>
          <w:iCs/>
          <w:lang w:val="hy-AM"/>
        </w:rPr>
      </w:pPr>
      <w:bookmarkStart w:id="92" w:name="_Hlk152316570"/>
      <w:r w:rsidRPr="003C36D5">
        <w:rPr>
          <w:rFonts w:eastAsia="Calibri" w:cs="Arial"/>
          <w:b/>
          <w:iCs/>
          <w:lang w:val="hy-AM"/>
        </w:rPr>
        <w:t>Աղյուսակ 2.2.</w:t>
      </w:r>
      <w:r>
        <w:rPr>
          <w:rFonts w:eastAsia="Calibri" w:cs="Arial"/>
          <w:iCs/>
          <w:lang w:val="hy-AM"/>
        </w:rPr>
        <w:t xml:space="preserve"> </w:t>
      </w:r>
      <w:r w:rsidRPr="009A615D">
        <w:rPr>
          <w:rFonts w:eastAsia="Calibri" w:cs="Arial"/>
          <w:bCs/>
          <w:iCs/>
          <w:lang w:val="hy-AM"/>
        </w:rPr>
        <w:t>Հարկային եկամուտների կանխատեսումներն ըստ առանձին հարկատեսակների</w:t>
      </w:r>
      <w:r w:rsidRPr="009A615D">
        <w:rPr>
          <w:rStyle w:val="FootnoteReference"/>
          <w:rFonts w:eastAsia="Calibri" w:cs="Arial"/>
          <w:bCs/>
          <w:iCs/>
          <w:lang w:val="hy-AM"/>
        </w:rPr>
        <w:footnoteReference w:id="19"/>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770"/>
        <w:gridCol w:w="791"/>
        <w:gridCol w:w="765"/>
        <w:gridCol w:w="764"/>
        <w:gridCol w:w="762"/>
        <w:gridCol w:w="634"/>
        <w:gridCol w:w="635"/>
        <w:gridCol w:w="633"/>
        <w:gridCol w:w="638"/>
        <w:gridCol w:w="625"/>
      </w:tblGrid>
      <w:tr w:rsidR="00BF0F38" w:rsidRPr="00246B7C" w14:paraId="158B9EBA" w14:textId="77777777" w:rsidTr="008931FF">
        <w:trPr>
          <w:trHeight w:val="323"/>
        </w:trPr>
        <w:tc>
          <w:tcPr>
            <w:tcW w:w="2928" w:type="dxa"/>
            <w:vMerge w:val="restart"/>
            <w:shd w:val="clear" w:color="auto" w:fill="auto"/>
            <w:noWrap/>
            <w:vAlign w:val="bottom"/>
            <w:hideMark/>
          </w:tcPr>
          <w:bookmarkEnd w:id="92"/>
          <w:p w14:paraId="4A94143E" w14:textId="77777777" w:rsidR="00BF0F38" w:rsidRPr="003C36D5" w:rsidRDefault="00BF0F38" w:rsidP="008931FF">
            <w:pPr>
              <w:spacing w:before="0" w:after="0" w:line="240" w:lineRule="auto"/>
              <w:ind w:firstLine="0"/>
              <w:jc w:val="center"/>
              <w:rPr>
                <w:rFonts w:eastAsia="Times New Roman" w:cs="Times New Roman"/>
                <w:b/>
                <w:bCs/>
                <w:color w:val="000000"/>
                <w:sz w:val="18"/>
                <w:szCs w:val="18"/>
                <w:lang w:val="hy-AM"/>
              </w:rPr>
            </w:pPr>
            <w:r w:rsidRPr="003C36D5">
              <w:rPr>
                <w:rFonts w:ascii="Calibri" w:eastAsia="Times New Roman" w:hAnsi="Calibri" w:cs="Calibri"/>
                <w:b/>
                <w:bCs/>
                <w:color w:val="000000"/>
                <w:sz w:val="18"/>
                <w:szCs w:val="18"/>
                <w:lang w:val="hy-AM"/>
              </w:rPr>
              <w:t> </w:t>
            </w:r>
          </w:p>
        </w:tc>
        <w:tc>
          <w:tcPr>
            <w:tcW w:w="3772" w:type="dxa"/>
            <w:gridSpan w:val="5"/>
            <w:shd w:val="clear" w:color="auto" w:fill="auto"/>
            <w:noWrap/>
            <w:vAlign w:val="bottom"/>
            <w:hideMark/>
          </w:tcPr>
          <w:p w14:paraId="2DD96F55"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Մլրդ դրամ</w:t>
            </w:r>
          </w:p>
        </w:tc>
        <w:tc>
          <w:tcPr>
            <w:tcW w:w="3165" w:type="dxa"/>
            <w:gridSpan w:val="5"/>
            <w:shd w:val="clear" w:color="auto" w:fill="auto"/>
            <w:noWrap/>
            <w:vAlign w:val="bottom"/>
            <w:hideMark/>
          </w:tcPr>
          <w:p w14:paraId="0990DD6F"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 ՀՆԱ-ում</w:t>
            </w:r>
          </w:p>
        </w:tc>
      </w:tr>
      <w:tr w:rsidR="00BF0F38" w:rsidRPr="003C36D5" w14:paraId="3953EE70" w14:textId="77777777" w:rsidTr="008931FF">
        <w:trPr>
          <w:trHeight w:val="323"/>
        </w:trPr>
        <w:tc>
          <w:tcPr>
            <w:tcW w:w="2928" w:type="dxa"/>
            <w:vMerge/>
            <w:vAlign w:val="center"/>
            <w:hideMark/>
          </w:tcPr>
          <w:p w14:paraId="28551047" w14:textId="77777777" w:rsidR="00BF0F38" w:rsidRPr="00246B7C" w:rsidRDefault="00BF0F38" w:rsidP="008931FF">
            <w:pPr>
              <w:spacing w:before="0" w:after="0" w:line="240" w:lineRule="auto"/>
              <w:ind w:firstLine="0"/>
              <w:jc w:val="left"/>
              <w:rPr>
                <w:rFonts w:eastAsia="Times New Roman" w:cs="Times New Roman"/>
                <w:b/>
                <w:bCs/>
                <w:color w:val="000000"/>
                <w:sz w:val="18"/>
                <w:szCs w:val="18"/>
              </w:rPr>
            </w:pPr>
          </w:p>
        </w:tc>
        <w:tc>
          <w:tcPr>
            <w:tcW w:w="757" w:type="dxa"/>
            <w:shd w:val="clear" w:color="auto" w:fill="auto"/>
            <w:noWrap/>
            <w:vAlign w:val="bottom"/>
            <w:hideMark/>
          </w:tcPr>
          <w:p w14:paraId="625E2AF0"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2023</w:t>
            </w:r>
          </w:p>
        </w:tc>
        <w:tc>
          <w:tcPr>
            <w:tcW w:w="738" w:type="dxa"/>
            <w:shd w:val="clear" w:color="auto" w:fill="auto"/>
            <w:noWrap/>
            <w:vAlign w:val="bottom"/>
            <w:hideMark/>
          </w:tcPr>
          <w:p w14:paraId="51A22D67"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2024</w:t>
            </w:r>
          </w:p>
        </w:tc>
        <w:tc>
          <w:tcPr>
            <w:tcW w:w="765" w:type="dxa"/>
            <w:shd w:val="clear" w:color="auto" w:fill="auto"/>
            <w:noWrap/>
            <w:vAlign w:val="bottom"/>
            <w:hideMark/>
          </w:tcPr>
          <w:p w14:paraId="55B497B1"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2025</w:t>
            </w:r>
          </w:p>
        </w:tc>
        <w:tc>
          <w:tcPr>
            <w:tcW w:w="750" w:type="dxa"/>
            <w:shd w:val="clear" w:color="auto" w:fill="auto"/>
            <w:noWrap/>
            <w:vAlign w:val="bottom"/>
            <w:hideMark/>
          </w:tcPr>
          <w:p w14:paraId="0C2C41E3"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2026</w:t>
            </w:r>
          </w:p>
        </w:tc>
        <w:tc>
          <w:tcPr>
            <w:tcW w:w="762" w:type="dxa"/>
            <w:shd w:val="clear" w:color="auto" w:fill="auto"/>
            <w:noWrap/>
            <w:vAlign w:val="bottom"/>
            <w:hideMark/>
          </w:tcPr>
          <w:p w14:paraId="18E85A1D"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2027</w:t>
            </w:r>
          </w:p>
        </w:tc>
        <w:tc>
          <w:tcPr>
            <w:tcW w:w="634" w:type="dxa"/>
            <w:shd w:val="clear" w:color="auto" w:fill="auto"/>
            <w:noWrap/>
            <w:vAlign w:val="bottom"/>
            <w:hideMark/>
          </w:tcPr>
          <w:p w14:paraId="24D5CA4D"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2023</w:t>
            </w:r>
          </w:p>
        </w:tc>
        <w:tc>
          <w:tcPr>
            <w:tcW w:w="635" w:type="dxa"/>
            <w:shd w:val="clear" w:color="auto" w:fill="auto"/>
            <w:noWrap/>
            <w:vAlign w:val="bottom"/>
            <w:hideMark/>
          </w:tcPr>
          <w:p w14:paraId="38BEB58E"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2024</w:t>
            </w:r>
          </w:p>
        </w:tc>
        <w:tc>
          <w:tcPr>
            <w:tcW w:w="633" w:type="dxa"/>
            <w:shd w:val="clear" w:color="auto" w:fill="auto"/>
            <w:noWrap/>
            <w:vAlign w:val="bottom"/>
            <w:hideMark/>
          </w:tcPr>
          <w:p w14:paraId="0747CA4D"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2025</w:t>
            </w:r>
          </w:p>
        </w:tc>
        <w:tc>
          <w:tcPr>
            <w:tcW w:w="638" w:type="dxa"/>
            <w:shd w:val="clear" w:color="auto" w:fill="auto"/>
            <w:noWrap/>
            <w:vAlign w:val="bottom"/>
            <w:hideMark/>
          </w:tcPr>
          <w:p w14:paraId="6828AAE9"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2026</w:t>
            </w:r>
          </w:p>
        </w:tc>
        <w:tc>
          <w:tcPr>
            <w:tcW w:w="625" w:type="dxa"/>
            <w:shd w:val="clear" w:color="auto" w:fill="auto"/>
            <w:noWrap/>
            <w:vAlign w:val="bottom"/>
            <w:hideMark/>
          </w:tcPr>
          <w:p w14:paraId="7B319CA9" w14:textId="77777777" w:rsidR="00BF0F38" w:rsidRPr="00246B7C" w:rsidRDefault="00BF0F38" w:rsidP="008931FF">
            <w:pPr>
              <w:spacing w:before="0" w:after="0" w:line="240" w:lineRule="auto"/>
              <w:ind w:firstLine="0"/>
              <w:jc w:val="center"/>
              <w:rPr>
                <w:rFonts w:eastAsia="Times New Roman" w:cs="Times New Roman"/>
                <w:b/>
                <w:bCs/>
                <w:color w:val="000000"/>
                <w:sz w:val="18"/>
                <w:szCs w:val="18"/>
              </w:rPr>
            </w:pPr>
            <w:r w:rsidRPr="00246B7C">
              <w:rPr>
                <w:rFonts w:eastAsia="Times New Roman" w:cs="Times New Roman"/>
                <w:b/>
                <w:bCs/>
                <w:color w:val="000000"/>
                <w:sz w:val="18"/>
                <w:szCs w:val="18"/>
              </w:rPr>
              <w:t>2027</w:t>
            </w:r>
          </w:p>
        </w:tc>
      </w:tr>
      <w:tr w:rsidR="00BF0F38" w:rsidRPr="003C36D5" w14:paraId="6D8A3D79" w14:textId="77777777" w:rsidTr="008931FF">
        <w:trPr>
          <w:trHeight w:val="309"/>
        </w:trPr>
        <w:tc>
          <w:tcPr>
            <w:tcW w:w="2928" w:type="dxa"/>
            <w:shd w:val="clear" w:color="auto" w:fill="auto"/>
            <w:vAlign w:val="center"/>
            <w:hideMark/>
          </w:tcPr>
          <w:p w14:paraId="63EF2004" w14:textId="77777777" w:rsidR="00BF0F38" w:rsidRPr="00246B7C" w:rsidRDefault="00BF0F38" w:rsidP="008931FF">
            <w:pPr>
              <w:spacing w:before="0" w:after="0" w:line="240" w:lineRule="auto"/>
              <w:ind w:firstLine="0"/>
              <w:jc w:val="left"/>
              <w:rPr>
                <w:rFonts w:eastAsia="Times New Roman" w:cs="Times New Roman"/>
                <w:b/>
                <w:bCs/>
                <w:color w:val="000000"/>
                <w:sz w:val="18"/>
                <w:szCs w:val="18"/>
              </w:rPr>
            </w:pPr>
            <w:r w:rsidRPr="00246B7C">
              <w:rPr>
                <w:rFonts w:eastAsia="Times New Roman" w:cs="Times New Roman"/>
                <w:b/>
                <w:bCs/>
                <w:color w:val="000000"/>
                <w:sz w:val="18"/>
                <w:szCs w:val="18"/>
              </w:rPr>
              <w:t>Ընդ</w:t>
            </w:r>
            <w:r w:rsidRPr="00246B7C">
              <w:rPr>
                <w:rFonts w:eastAsia="Times New Roman" w:cs="Times New Roman"/>
                <w:b/>
                <w:bCs/>
                <w:color w:val="000000"/>
                <w:sz w:val="18"/>
                <w:szCs w:val="18"/>
                <w:lang w:val="hy-AM"/>
              </w:rPr>
              <w:t>ամենը</w:t>
            </w:r>
            <w:r w:rsidRPr="00246B7C">
              <w:rPr>
                <w:rFonts w:eastAsia="Times New Roman" w:cs="Times New Roman"/>
                <w:b/>
                <w:bCs/>
                <w:color w:val="000000"/>
                <w:sz w:val="18"/>
                <w:szCs w:val="18"/>
              </w:rPr>
              <w:t xml:space="preserve"> հարկեր և տուրքեր</w:t>
            </w:r>
          </w:p>
        </w:tc>
        <w:tc>
          <w:tcPr>
            <w:tcW w:w="757" w:type="dxa"/>
            <w:shd w:val="clear" w:color="auto" w:fill="auto"/>
            <w:noWrap/>
            <w:vAlign w:val="bottom"/>
            <w:hideMark/>
          </w:tcPr>
          <w:p w14:paraId="67AC37C8"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2273.9</w:t>
            </w:r>
          </w:p>
        </w:tc>
        <w:tc>
          <w:tcPr>
            <w:tcW w:w="738" w:type="dxa"/>
            <w:shd w:val="clear" w:color="auto" w:fill="auto"/>
            <w:noWrap/>
            <w:vAlign w:val="bottom"/>
            <w:hideMark/>
          </w:tcPr>
          <w:p w14:paraId="54E4D6EF"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2496.9</w:t>
            </w:r>
          </w:p>
        </w:tc>
        <w:tc>
          <w:tcPr>
            <w:tcW w:w="765" w:type="dxa"/>
            <w:shd w:val="clear" w:color="auto" w:fill="auto"/>
            <w:noWrap/>
            <w:vAlign w:val="bottom"/>
            <w:hideMark/>
          </w:tcPr>
          <w:p w14:paraId="6A168283"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2812.3</w:t>
            </w:r>
          </w:p>
        </w:tc>
        <w:tc>
          <w:tcPr>
            <w:tcW w:w="750" w:type="dxa"/>
            <w:shd w:val="clear" w:color="auto" w:fill="auto"/>
            <w:noWrap/>
            <w:vAlign w:val="bottom"/>
            <w:hideMark/>
          </w:tcPr>
          <w:p w14:paraId="7C99C6CF"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3182.0</w:t>
            </w:r>
          </w:p>
        </w:tc>
        <w:tc>
          <w:tcPr>
            <w:tcW w:w="762" w:type="dxa"/>
            <w:shd w:val="clear" w:color="auto" w:fill="auto"/>
            <w:noWrap/>
            <w:vAlign w:val="bottom"/>
            <w:hideMark/>
          </w:tcPr>
          <w:p w14:paraId="326CF0A1"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3541.2</w:t>
            </w:r>
          </w:p>
        </w:tc>
        <w:tc>
          <w:tcPr>
            <w:tcW w:w="634" w:type="dxa"/>
            <w:shd w:val="clear" w:color="auto" w:fill="auto"/>
            <w:noWrap/>
            <w:vAlign w:val="bottom"/>
            <w:hideMark/>
          </w:tcPr>
          <w:p w14:paraId="18582D07"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23.9</w:t>
            </w:r>
          </w:p>
        </w:tc>
        <w:tc>
          <w:tcPr>
            <w:tcW w:w="635" w:type="dxa"/>
            <w:shd w:val="clear" w:color="auto" w:fill="auto"/>
            <w:noWrap/>
            <w:vAlign w:val="bottom"/>
            <w:hideMark/>
          </w:tcPr>
          <w:p w14:paraId="09C4258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24.4</w:t>
            </w:r>
          </w:p>
        </w:tc>
        <w:tc>
          <w:tcPr>
            <w:tcW w:w="633" w:type="dxa"/>
            <w:shd w:val="clear" w:color="auto" w:fill="auto"/>
            <w:noWrap/>
            <w:vAlign w:val="bottom"/>
            <w:hideMark/>
          </w:tcPr>
          <w:p w14:paraId="44E0B0E4"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25.1</w:t>
            </w:r>
          </w:p>
        </w:tc>
        <w:tc>
          <w:tcPr>
            <w:tcW w:w="638" w:type="dxa"/>
            <w:shd w:val="clear" w:color="auto" w:fill="auto"/>
            <w:noWrap/>
            <w:vAlign w:val="bottom"/>
            <w:hideMark/>
          </w:tcPr>
          <w:p w14:paraId="7AEEF68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25.9</w:t>
            </w:r>
          </w:p>
        </w:tc>
        <w:tc>
          <w:tcPr>
            <w:tcW w:w="625" w:type="dxa"/>
            <w:shd w:val="clear" w:color="auto" w:fill="auto"/>
            <w:noWrap/>
            <w:vAlign w:val="bottom"/>
            <w:hideMark/>
          </w:tcPr>
          <w:p w14:paraId="3C74F28F"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26.2</w:t>
            </w:r>
          </w:p>
        </w:tc>
      </w:tr>
      <w:tr w:rsidR="00BF0F38" w:rsidRPr="003C36D5" w14:paraId="47D003D2" w14:textId="77777777" w:rsidTr="008931FF">
        <w:trPr>
          <w:trHeight w:val="252"/>
        </w:trPr>
        <w:tc>
          <w:tcPr>
            <w:tcW w:w="2928" w:type="dxa"/>
            <w:shd w:val="clear" w:color="000000" w:fill="FFFFFF"/>
            <w:vAlign w:val="bottom"/>
            <w:hideMark/>
          </w:tcPr>
          <w:p w14:paraId="6B654FE1"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Ավելացված արժեքի հարկ</w:t>
            </w:r>
          </w:p>
        </w:tc>
        <w:tc>
          <w:tcPr>
            <w:tcW w:w="757" w:type="dxa"/>
            <w:shd w:val="clear" w:color="000000" w:fill="FFFFFF"/>
            <w:noWrap/>
            <w:vAlign w:val="bottom"/>
            <w:hideMark/>
          </w:tcPr>
          <w:p w14:paraId="28B64D9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767.2</w:t>
            </w:r>
          </w:p>
        </w:tc>
        <w:tc>
          <w:tcPr>
            <w:tcW w:w="738" w:type="dxa"/>
            <w:shd w:val="clear" w:color="auto" w:fill="auto"/>
            <w:noWrap/>
            <w:vAlign w:val="bottom"/>
            <w:hideMark/>
          </w:tcPr>
          <w:p w14:paraId="74CAA3FE"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849.8</w:t>
            </w:r>
          </w:p>
        </w:tc>
        <w:tc>
          <w:tcPr>
            <w:tcW w:w="765" w:type="dxa"/>
            <w:shd w:val="clear" w:color="auto" w:fill="auto"/>
            <w:noWrap/>
            <w:vAlign w:val="bottom"/>
            <w:hideMark/>
          </w:tcPr>
          <w:p w14:paraId="1D022BD4"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950.3</w:t>
            </w:r>
          </w:p>
        </w:tc>
        <w:tc>
          <w:tcPr>
            <w:tcW w:w="750" w:type="dxa"/>
            <w:shd w:val="clear" w:color="auto" w:fill="auto"/>
            <w:noWrap/>
            <w:vAlign w:val="bottom"/>
            <w:hideMark/>
          </w:tcPr>
          <w:p w14:paraId="775834DC"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1059.2</w:t>
            </w:r>
          </w:p>
        </w:tc>
        <w:tc>
          <w:tcPr>
            <w:tcW w:w="762" w:type="dxa"/>
            <w:shd w:val="clear" w:color="auto" w:fill="auto"/>
            <w:noWrap/>
            <w:vAlign w:val="bottom"/>
            <w:hideMark/>
          </w:tcPr>
          <w:p w14:paraId="0DF0DBC1"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1177.4</w:t>
            </w:r>
          </w:p>
        </w:tc>
        <w:tc>
          <w:tcPr>
            <w:tcW w:w="634" w:type="dxa"/>
            <w:shd w:val="clear" w:color="auto" w:fill="auto"/>
            <w:noWrap/>
            <w:vAlign w:val="bottom"/>
            <w:hideMark/>
          </w:tcPr>
          <w:p w14:paraId="6C2B2A17"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8.1</w:t>
            </w:r>
          </w:p>
        </w:tc>
        <w:tc>
          <w:tcPr>
            <w:tcW w:w="635" w:type="dxa"/>
            <w:shd w:val="clear" w:color="auto" w:fill="auto"/>
            <w:noWrap/>
            <w:vAlign w:val="bottom"/>
            <w:hideMark/>
          </w:tcPr>
          <w:p w14:paraId="4EFAB04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8.3</w:t>
            </w:r>
          </w:p>
        </w:tc>
        <w:tc>
          <w:tcPr>
            <w:tcW w:w="633" w:type="dxa"/>
            <w:shd w:val="clear" w:color="auto" w:fill="auto"/>
            <w:noWrap/>
            <w:vAlign w:val="bottom"/>
            <w:hideMark/>
          </w:tcPr>
          <w:p w14:paraId="0249CB26"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8.5</w:t>
            </w:r>
          </w:p>
        </w:tc>
        <w:tc>
          <w:tcPr>
            <w:tcW w:w="638" w:type="dxa"/>
            <w:shd w:val="clear" w:color="auto" w:fill="auto"/>
            <w:noWrap/>
            <w:vAlign w:val="bottom"/>
            <w:hideMark/>
          </w:tcPr>
          <w:p w14:paraId="6403101F"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8.6</w:t>
            </w:r>
          </w:p>
        </w:tc>
        <w:tc>
          <w:tcPr>
            <w:tcW w:w="625" w:type="dxa"/>
            <w:shd w:val="clear" w:color="auto" w:fill="auto"/>
            <w:noWrap/>
            <w:vAlign w:val="bottom"/>
            <w:hideMark/>
          </w:tcPr>
          <w:p w14:paraId="648E729E"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8.7</w:t>
            </w:r>
          </w:p>
        </w:tc>
      </w:tr>
      <w:tr w:rsidR="00BF0F38" w:rsidRPr="003C36D5" w14:paraId="17F12828" w14:textId="77777777" w:rsidTr="008931FF">
        <w:trPr>
          <w:trHeight w:val="252"/>
        </w:trPr>
        <w:tc>
          <w:tcPr>
            <w:tcW w:w="2928" w:type="dxa"/>
            <w:shd w:val="clear" w:color="000000" w:fill="FFFFFF"/>
            <w:vAlign w:val="bottom"/>
            <w:hideMark/>
          </w:tcPr>
          <w:p w14:paraId="122F62C3"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Եկամտային հարկ</w:t>
            </w:r>
          </w:p>
        </w:tc>
        <w:tc>
          <w:tcPr>
            <w:tcW w:w="757" w:type="dxa"/>
            <w:shd w:val="clear" w:color="000000" w:fill="FFFFFF"/>
            <w:noWrap/>
            <w:vAlign w:val="bottom"/>
            <w:hideMark/>
          </w:tcPr>
          <w:p w14:paraId="3EEC93A7"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606.5</w:t>
            </w:r>
          </w:p>
        </w:tc>
        <w:tc>
          <w:tcPr>
            <w:tcW w:w="738" w:type="dxa"/>
            <w:shd w:val="clear" w:color="auto" w:fill="auto"/>
            <w:noWrap/>
            <w:vAlign w:val="bottom"/>
            <w:hideMark/>
          </w:tcPr>
          <w:p w14:paraId="14E94C15"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653.2</w:t>
            </w:r>
          </w:p>
        </w:tc>
        <w:tc>
          <w:tcPr>
            <w:tcW w:w="765" w:type="dxa"/>
            <w:shd w:val="clear" w:color="auto" w:fill="auto"/>
            <w:noWrap/>
            <w:vAlign w:val="bottom"/>
            <w:hideMark/>
          </w:tcPr>
          <w:p w14:paraId="5518700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748.2</w:t>
            </w:r>
          </w:p>
        </w:tc>
        <w:tc>
          <w:tcPr>
            <w:tcW w:w="750" w:type="dxa"/>
            <w:shd w:val="clear" w:color="auto" w:fill="auto"/>
            <w:noWrap/>
            <w:vAlign w:val="bottom"/>
            <w:hideMark/>
          </w:tcPr>
          <w:p w14:paraId="258DE747"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843.7</w:t>
            </w:r>
          </w:p>
        </w:tc>
        <w:tc>
          <w:tcPr>
            <w:tcW w:w="762" w:type="dxa"/>
            <w:shd w:val="clear" w:color="auto" w:fill="auto"/>
            <w:noWrap/>
            <w:vAlign w:val="bottom"/>
            <w:hideMark/>
          </w:tcPr>
          <w:p w14:paraId="4FEE4D8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946.7</w:t>
            </w:r>
          </w:p>
        </w:tc>
        <w:tc>
          <w:tcPr>
            <w:tcW w:w="634" w:type="dxa"/>
            <w:shd w:val="clear" w:color="auto" w:fill="auto"/>
            <w:noWrap/>
            <w:vAlign w:val="bottom"/>
            <w:hideMark/>
          </w:tcPr>
          <w:p w14:paraId="04204F58"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6.4</w:t>
            </w:r>
          </w:p>
        </w:tc>
        <w:tc>
          <w:tcPr>
            <w:tcW w:w="635" w:type="dxa"/>
            <w:shd w:val="clear" w:color="auto" w:fill="auto"/>
            <w:noWrap/>
            <w:vAlign w:val="bottom"/>
            <w:hideMark/>
          </w:tcPr>
          <w:p w14:paraId="669091A6"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6.4</w:t>
            </w:r>
          </w:p>
        </w:tc>
        <w:tc>
          <w:tcPr>
            <w:tcW w:w="633" w:type="dxa"/>
            <w:shd w:val="clear" w:color="auto" w:fill="auto"/>
            <w:noWrap/>
            <w:vAlign w:val="bottom"/>
            <w:hideMark/>
          </w:tcPr>
          <w:p w14:paraId="53306D5D"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6.7</w:t>
            </w:r>
          </w:p>
        </w:tc>
        <w:tc>
          <w:tcPr>
            <w:tcW w:w="638" w:type="dxa"/>
            <w:shd w:val="clear" w:color="auto" w:fill="auto"/>
            <w:noWrap/>
            <w:vAlign w:val="bottom"/>
            <w:hideMark/>
          </w:tcPr>
          <w:p w14:paraId="03E05D62"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6.9</w:t>
            </w:r>
          </w:p>
        </w:tc>
        <w:tc>
          <w:tcPr>
            <w:tcW w:w="625" w:type="dxa"/>
            <w:shd w:val="clear" w:color="auto" w:fill="auto"/>
            <w:noWrap/>
            <w:vAlign w:val="bottom"/>
            <w:hideMark/>
          </w:tcPr>
          <w:p w14:paraId="516B2ED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7.0</w:t>
            </w:r>
          </w:p>
        </w:tc>
      </w:tr>
      <w:tr w:rsidR="00BF0F38" w:rsidRPr="003C36D5" w14:paraId="2FA3B52C" w14:textId="77777777" w:rsidTr="008931FF">
        <w:trPr>
          <w:trHeight w:val="252"/>
        </w:trPr>
        <w:tc>
          <w:tcPr>
            <w:tcW w:w="2928" w:type="dxa"/>
            <w:shd w:val="clear" w:color="000000" w:fill="FFFFFF"/>
            <w:vAlign w:val="bottom"/>
            <w:hideMark/>
          </w:tcPr>
          <w:p w14:paraId="199E3A89"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Սոցիալական վճարումներ</w:t>
            </w:r>
          </w:p>
        </w:tc>
        <w:tc>
          <w:tcPr>
            <w:tcW w:w="757" w:type="dxa"/>
            <w:shd w:val="clear" w:color="000000" w:fill="FFFFFF"/>
            <w:noWrap/>
            <w:vAlign w:val="bottom"/>
            <w:hideMark/>
          </w:tcPr>
          <w:p w14:paraId="66384F7E"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90.3</w:t>
            </w:r>
          </w:p>
        </w:tc>
        <w:tc>
          <w:tcPr>
            <w:tcW w:w="738" w:type="dxa"/>
            <w:shd w:val="clear" w:color="auto" w:fill="auto"/>
            <w:noWrap/>
            <w:vAlign w:val="bottom"/>
            <w:hideMark/>
          </w:tcPr>
          <w:p w14:paraId="194E77AE"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101.5</w:t>
            </w:r>
          </w:p>
        </w:tc>
        <w:tc>
          <w:tcPr>
            <w:tcW w:w="765" w:type="dxa"/>
            <w:shd w:val="clear" w:color="auto" w:fill="auto"/>
            <w:noWrap/>
            <w:vAlign w:val="bottom"/>
            <w:hideMark/>
          </w:tcPr>
          <w:p w14:paraId="72521F0E"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114.0</w:t>
            </w:r>
          </w:p>
        </w:tc>
        <w:tc>
          <w:tcPr>
            <w:tcW w:w="750" w:type="dxa"/>
            <w:shd w:val="clear" w:color="auto" w:fill="auto"/>
            <w:noWrap/>
            <w:vAlign w:val="bottom"/>
            <w:hideMark/>
          </w:tcPr>
          <w:p w14:paraId="537E5BEA"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128.2</w:t>
            </w:r>
          </w:p>
        </w:tc>
        <w:tc>
          <w:tcPr>
            <w:tcW w:w="762" w:type="dxa"/>
            <w:shd w:val="clear" w:color="auto" w:fill="auto"/>
            <w:noWrap/>
            <w:vAlign w:val="bottom"/>
            <w:hideMark/>
          </w:tcPr>
          <w:p w14:paraId="3198F55A"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143.6</w:t>
            </w:r>
          </w:p>
        </w:tc>
        <w:tc>
          <w:tcPr>
            <w:tcW w:w="634" w:type="dxa"/>
            <w:shd w:val="clear" w:color="auto" w:fill="auto"/>
            <w:noWrap/>
            <w:vAlign w:val="bottom"/>
            <w:hideMark/>
          </w:tcPr>
          <w:p w14:paraId="54095343"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0.9</w:t>
            </w:r>
          </w:p>
        </w:tc>
        <w:tc>
          <w:tcPr>
            <w:tcW w:w="635" w:type="dxa"/>
            <w:shd w:val="clear" w:color="auto" w:fill="auto"/>
            <w:noWrap/>
            <w:vAlign w:val="bottom"/>
            <w:hideMark/>
          </w:tcPr>
          <w:p w14:paraId="04CC1BD1"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1.0</w:t>
            </w:r>
          </w:p>
        </w:tc>
        <w:tc>
          <w:tcPr>
            <w:tcW w:w="633" w:type="dxa"/>
            <w:shd w:val="clear" w:color="auto" w:fill="auto"/>
            <w:noWrap/>
            <w:vAlign w:val="bottom"/>
            <w:hideMark/>
          </w:tcPr>
          <w:p w14:paraId="2553D8AD"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1.0</w:t>
            </w:r>
          </w:p>
        </w:tc>
        <w:tc>
          <w:tcPr>
            <w:tcW w:w="638" w:type="dxa"/>
            <w:shd w:val="clear" w:color="auto" w:fill="auto"/>
            <w:noWrap/>
            <w:vAlign w:val="bottom"/>
            <w:hideMark/>
          </w:tcPr>
          <w:p w14:paraId="1CAC1DB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1.0</w:t>
            </w:r>
          </w:p>
        </w:tc>
        <w:tc>
          <w:tcPr>
            <w:tcW w:w="625" w:type="dxa"/>
            <w:shd w:val="clear" w:color="auto" w:fill="auto"/>
            <w:noWrap/>
            <w:vAlign w:val="bottom"/>
            <w:hideMark/>
          </w:tcPr>
          <w:p w14:paraId="11FCF084"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1.1</w:t>
            </w:r>
          </w:p>
        </w:tc>
      </w:tr>
      <w:tr w:rsidR="00BF0F38" w:rsidRPr="003C36D5" w14:paraId="266D6073" w14:textId="77777777" w:rsidTr="008931FF">
        <w:trPr>
          <w:trHeight w:val="252"/>
        </w:trPr>
        <w:tc>
          <w:tcPr>
            <w:tcW w:w="2928" w:type="dxa"/>
            <w:shd w:val="clear" w:color="000000" w:fill="FFFFFF"/>
            <w:noWrap/>
            <w:vAlign w:val="bottom"/>
            <w:hideMark/>
          </w:tcPr>
          <w:p w14:paraId="366A1BD2"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Շահութահարկ</w:t>
            </w:r>
          </w:p>
        </w:tc>
        <w:tc>
          <w:tcPr>
            <w:tcW w:w="757" w:type="dxa"/>
            <w:shd w:val="clear" w:color="000000" w:fill="FFFFFF"/>
            <w:noWrap/>
            <w:vAlign w:val="bottom"/>
            <w:hideMark/>
          </w:tcPr>
          <w:p w14:paraId="1FBA2208"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321.5</w:t>
            </w:r>
          </w:p>
        </w:tc>
        <w:tc>
          <w:tcPr>
            <w:tcW w:w="738" w:type="dxa"/>
            <w:shd w:val="clear" w:color="auto" w:fill="auto"/>
            <w:noWrap/>
            <w:vAlign w:val="bottom"/>
            <w:hideMark/>
          </w:tcPr>
          <w:p w14:paraId="42B83F1C"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335.5</w:t>
            </w:r>
          </w:p>
        </w:tc>
        <w:tc>
          <w:tcPr>
            <w:tcW w:w="765" w:type="dxa"/>
            <w:shd w:val="clear" w:color="auto" w:fill="auto"/>
            <w:noWrap/>
            <w:vAlign w:val="bottom"/>
            <w:hideMark/>
          </w:tcPr>
          <w:p w14:paraId="3159E379"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372.5</w:t>
            </w:r>
          </w:p>
        </w:tc>
        <w:tc>
          <w:tcPr>
            <w:tcW w:w="750" w:type="dxa"/>
            <w:shd w:val="clear" w:color="auto" w:fill="auto"/>
            <w:noWrap/>
            <w:vAlign w:val="bottom"/>
            <w:hideMark/>
          </w:tcPr>
          <w:p w14:paraId="60786BAD"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411.7</w:t>
            </w:r>
          </w:p>
        </w:tc>
        <w:tc>
          <w:tcPr>
            <w:tcW w:w="762" w:type="dxa"/>
            <w:shd w:val="clear" w:color="auto" w:fill="auto"/>
            <w:noWrap/>
            <w:vAlign w:val="bottom"/>
            <w:hideMark/>
          </w:tcPr>
          <w:p w14:paraId="06C7BA1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454.4</w:t>
            </w:r>
          </w:p>
        </w:tc>
        <w:tc>
          <w:tcPr>
            <w:tcW w:w="634" w:type="dxa"/>
            <w:shd w:val="clear" w:color="auto" w:fill="auto"/>
            <w:noWrap/>
            <w:vAlign w:val="bottom"/>
            <w:hideMark/>
          </w:tcPr>
          <w:p w14:paraId="3739FF6F"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3.4</w:t>
            </w:r>
          </w:p>
        </w:tc>
        <w:tc>
          <w:tcPr>
            <w:tcW w:w="635" w:type="dxa"/>
            <w:shd w:val="clear" w:color="auto" w:fill="auto"/>
            <w:noWrap/>
            <w:vAlign w:val="bottom"/>
            <w:hideMark/>
          </w:tcPr>
          <w:p w14:paraId="47091652"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3.3</w:t>
            </w:r>
          </w:p>
        </w:tc>
        <w:tc>
          <w:tcPr>
            <w:tcW w:w="633" w:type="dxa"/>
            <w:shd w:val="clear" w:color="auto" w:fill="auto"/>
            <w:noWrap/>
            <w:vAlign w:val="bottom"/>
            <w:hideMark/>
          </w:tcPr>
          <w:p w14:paraId="42AA2F31"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3.3</w:t>
            </w:r>
          </w:p>
        </w:tc>
        <w:tc>
          <w:tcPr>
            <w:tcW w:w="638" w:type="dxa"/>
            <w:shd w:val="clear" w:color="auto" w:fill="auto"/>
            <w:noWrap/>
            <w:vAlign w:val="bottom"/>
            <w:hideMark/>
          </w:tcPr>
          <w:p w14:paraId="15E137C1"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3.3</w:t>
            </w:r>
          </w:p>
        </w:tc>
        <w:tc>
          <w:tcPr>
            <w:tcW w:w="625" w:type="dxa"/>
            <w:shd w:val="clear" w:color="auto" w:fill="auto"/>
            <w:noWrap/>
            <w:vAlign w:val="bottom"/>
            <w:hideMark/>
          </w:tcPr>
          <w:p w14:paraId="7C24AF7E"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3.4</w:t>
            </w:r>
          </w:p>
        </w:tc>
      </w:tr>
      <w:tr w:rsidR="00BF0F38" w:rsidRPr="003C36D5" w14:paraId="70F81A66" w14:textId="77777777" w:rsidTr="008931FF">
        <w:trPr>
          <w:trHeight w:val="252"/>
        </w:trPr>
        <w:tc>
          <w:tcPr>
            <w:tcW w:w="2928" w:type="dxa"/>
            <w:shd w:val="clear" w:color="000000" w:fill="FFFFFF"/>
            <w:noWrap/>
            <w:vAlign w:val="bottom"/>
            <w:hideMark/>
          </w:tcPr>
          <w:p w14:paraId="4D19D000"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Ակցիզային հարկ</w:t>
            </w:r>
          </w:p>
        </w:tc>
        <w:tc>
          <w:tcPr>
            <w:tcW w:w="757" w:type="dxa"/>
            <w:shd w:val="clear" w:color="000000" w:fill="FFFFFF"/>
            <w:noWrap/>
            <w:vAlign w:val="bottom"/>
            <w:hideMark/>
          </w:tcPr>
          <w:p w14:paraId="724D80FD"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149.4</w:t>
            </w:r>
          </w:p>
        </w:tc>
        <w:tc>
          <w:tcPr>
            <w:tcW w:w="738" w:type="dxa"/>
            <w:shd w:val="clear" w:color="auto" w:fill="auto"/>
            <w:noWrap/>
            <w:vAlign w:val="bottom"/>
            <w:hideMark/>
          </w:tcPr>
          <w:p w14:paraId="225A66D1"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171.4</w:t>
            </w:r>
          </w:p>
        </w:tc>
        <w:tc>
          <w:tcPr>
            <w:tcW w:w="765" w:type="dxa"/>
            <w:shd w:val="clear" w:color="auto" w:fill="auto"/>
            <w:noWrap/>
            <w:vAlign w:val="bottom"/>
            <w:hideMark/>
          </w:tcPr>
          <w:p w14:paraId="012731FA"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194.2</w:t>
            </w:r>
          </w:p>
        </w:tc>
        <w:tc>
          <w:tcPr>
            <w:tcW w:w="750" w:type="dxa"/>
            <w:shd w:val="clear" w:color="auto" w:fill="auto"/>
            <w:noWrap/>
            <w:vAlign w:val="bottom"/>
            <w:hideMark/>
          </w:tcPr>
          <w:p w14:paraId="57B4F353"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222.1</w:t>
            </w:r>
          </w:p>
        </w:tc>
        <w:tc>
          <w:tcPr>
            <w:tcW w:w="762" w:type="dxa"/>
            <w:shd w:val="clear" w:color="auto" w:fill="auto"/>
            <w:noWrap/>
            <w:vAlign w:val="bottom"/>
            <w:hideMark/>
          </w:tcPr>
          <w:p w14:paraId="53E79723"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245.9</w:t>
            </w:r>
          </w:p>
        </w:tc>
        <w:tc>
          <w:tcPr>
            <w:tcW w:w="634" w:type="dxa"/>
            <w:shd w:val="clear" w:color="auto" w:fill="auto"/>
            <w:noWrap/>
            <w:vAlign w:val="bottom"/>
            <w:hideMark/>
          </w:tcPr>
          <w:p w14:paraId="769DF2CD"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1.6</w:t>
            </w:r>
          </w:p>
        </w:tc>
        <w:tc>
          <w:tcPr>
            <w:tcW w:w="635" w:type="dxa"/>
            <w:shd w:val="clear" w:color="auto" w:fill="auto"/>
            <w:noWrap/>
            <w:vAlign w:val="bottom"/>
            <w:hideMark/>
          </w:tcPr>
          <w:p w14:paraId="2478A18E"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1.7</w:t>
            </w:r>
          </w:p>
        </w:tc>
        <w:tc>
          <w:tcPr>
            <w:tcW w:w="633" w:type="dxa"/>
            <w:shd w:val="clear" w:color="auto" w:fill="auto"/>
            <w:noWrap/>
            <w:vAlign w:val="bottom"/>
            <w:hideMark/>
          </w:tcPr>
          <w:p w14:paraId="42DA7A76"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1.7</w:t>
            </w:r>
          </w:p>
        </w:tc>
        <w:tc>
          <w:tcPr>
            <w:tcW w:w="638" w:type="dxa"/>
            <w:shd w:val="clear" w:color="auto" w:fill="auto"/>
            <w:noWrap/>
            <w:vAlign w:val="bottom"/>
            <w:hideMark/>
          </w:tcPr>
          <w:p w14:paraId="5298CB58"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1.8</w:t>
            </w:r>
          </w:p>
        </w:tc>
        <w:tc>
          <w:tcPr>
            <w:tcW w:w="625" w:type="dxa"/>
            <w:shd w:val="clear" w:color="auto" w:fill="auto"/>
            <w:noWrap/>
            <w:vAlign w:val="bottom"/>
            <w:hideMark/>
          </w:tcPr>
          <w:p w14:paraId="4ABDDDF0"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1.8</w:t>
            </w:r>
          </w:p>
        </w:tc>
      </w:tr>
      <w:tr w:rsidR="00BF0F38" w:rsidRPr="003C36D5" w14:paraId="6F99ABC4" w14:textId="77777777" w:rsidTr="008931FF">
        <w:trPr>
          <w:trHeight w:val="252"/>
        </w:trPr>
        <w:tc>
          <w:tcPr>
            <w:tcW w:w="2928" w:type="dxa"/>
            <w:shd w:val="clear" w:color="000000" w:fill="FFFFFF"/>
            <w:noWrap/>
            <w:vAlign w:val="bottom"/>
            <w:hideMark/>
          </w:tcPr>
          <w:p w14:paraId="7919AF91"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Մաքսատուրք</w:t>
            </w:r>
          </w:p>
        </w:tc>
        <w:tc>
          <w:tcPr>
            <w:tcW w:w="757" w:type="dxa"/>
            <w:shd w:val="clear" w:color="000000" w:fill="FFFFFF"/>
            <w:noWrap/>
            <w:vAlign w:val="bottom"/>
            <w:hideMark/>
          </w:tcPr>
          <w:p w14:paraId="697138E5"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75.3</w:t>
            </w:r>
          </w:p>
        </w:tc>
        <w:tc>
          <w:tcPr>
            <w:tcW w:w="738" w:type="dxa"/>
            <w:shd w:val="clear" w:color="auto" w:fill="auto"/>
            <w:noWrap/>
            <w:vAlign w:val="bottom"/>
            <w:hideMark/>
          </w:tcPr>
          <w:p w14:paraId="37A0A6B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80.1</w:t>
            </w:r>
          </w:p>
        </w:tc>
        <w:tc>
          <w:tcPr>
            <w:tcW w:w="765" w:type="dxa"/>
            <w:shd w:val="clear" w:color="auto" w:fill="auto"/>
            <w:noWrap/>
            <w:vAlign w:val="bottom"/>
            <w:hideMark/>
          </w:tcPr>
          <w:p w14:paraId="2927DE05"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85.8</w:t>
            </w:r>
          </w:p>
        </w:tc>
        <w:tc>
          <w:tcPr>
            <w:tcW w:w="750" w:type="dxa"/>
            <w:shd w:val="clear" w:color="auto" w:fill="auto"/>
            <w:noWrap/>
            <w:vAlign w:val="bottom"/>
            <w:hideMark/>
          </w:tcPr>
          <w:p w14:paraId="797D3A1C"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91.6</w:t>
            </w:r>
          </w:p>
        </w:tc>
        <w:tc>
          <w:tcPr>
            <w:tcW w:w="762" w:type="dxa"/>
            <w:shd w:val="clear" w:color="auto" w:fill="auto"/>
            <w:noWrap/>
            <w:vAlign w:val="bottom"/>
            <w:hideMark/>
          </w:tcPr>
          <w:p w14:paraId="542B2B46"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97.0</w:t>
            </w:r>
          </w:p>
        </w:tc>
        <w:tc>
          <w:tcPr>
            <w:tcW w:w="634" w:type="dxa"/>
            <w:shd w:val="clear" w:color="auto" w:fill="auto"/>
            <w:noWrap/>
            <w:vAlign w:val="bottom"/>
            <w:hideMark/>
          </w:tcPr>
          <w:p w14:paraId="1727F3E0"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0.8</w:t>
            </w:r>
          </w:p>
        </w:tc>
        <w:tc>
          <w:tcPr>
            <w:tcW w:w="635" w:type="dxa"/>
            <w:shd w:val="clear" w:color="auto" w:fill="auto"/>
            <w:noWrap/>
            <w:vAlign w:val="bottom"/>
            <w:hideMark/>
          </w:tcPr>
          <w:p w14:paraId="72C38AE0"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0.8</w:t>
            </w:r>
          </w:p>
        </w:tc>
        <w:tc>
          <w:tcPr>
            <w:tcW w:w="633" w:type="dxa"/>
            <w:shd w:val="clear" w:color="auto" w:fill="auto"/>
            <w:noWrap/>
            <w:vAlign w:val="bottom"/>
            <w:hideMark/>
          </w:tcPr>
          <w:p w14:paraId="52B39D8C"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0.8</w:t>
            </w:r>
          </w:p>
        </w:tc>
        <w:tc>
          <w:tcPr>
            <w:tcW w:w="638" w:type="dxa"/>
            <w:shd w:val="clear" w:color="auto" w:fill="auto"/>
            <w:noWrap/>
            <w:vAlign w:val="bottom"/>
            <w:hideMark/>
          </w:tcPr>
          <w:p w14:paraId="4FAFEC8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0.7</w:t>
            </w:r>
          </w:p>
        </w:tc>
        <w:tc>
          <w:tcPr>
            <w:tcW w:w="625" w:type="dxa"/>
            <w:shd w:val="clear" w:color="auto" w:fill="auto"/>
            <w:noWrap/>
            <w:vAlign w:val="bottom"/>
            <w:hideMark/>
          </w:tcPr>
          <w:p w14:paraId="2B121418"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0.7</w:t>
            </w:r>
          </w:p>
        </w:tc>
      </w:tr>
      <w:tr w:rsidR="00BF0F38" w:rsidRPr="003C36D5" w14:paraId="61E69F7E" w14:textId="77777777" w:rsidTr="008931FF">
        <w:trPr>
          <w:trHeight w:val="252"/>
        </w:trPr>
        <w:tc>
          <w:tcPr>
            <w:tcW w:w="2928" w:type="dxa"/>
            <w:shd w:val="clear" w:color="000000" w:fill="FFFFFF"/>
            <w:vAlign w:val="bottom"/>
            <w:hideMark/>
          </w:tcPr>
          <w:p w14:paraId="755F703E"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Շրջանառության հարկ</w:t>
            </w:r>
          </w:p>
        </w:tc>
        <w:tc>
          <w:tcPr>
            <w:tcW w:w="757" w:type="dxa"/>
            <w:shd w:val="clear" w:color="000000" w:fill="FFFFFF"/>
            <w:noWrap/>
            <w:vAlign w:val="bottom"/>
            <w:hideMark/>
          </w:tcPr>
          <w:p w14:paraId="6961E60B"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52.2</w:t>
            </w:r>
          </w:p>
        </w:tc>
        <w:tc>
          <w:tcPr>
            <w:tcW w:w="738" w:type="dxa"/>
            <w:shd w:val="clear" w:color="auto" w:fill="auto"/>
            <w:noWrap/>
            <w:vAlign w:val="bottom"/>
            <w:hideMark/>
          </w:tcPr>
          <w:p w14:paraId="6BC32702"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56.3</w:t>
            </w:r>
          </w:p>
        </w:tc>
        <w:tc>
          <w:tcPr>
            <w:tcW w:w="765" w:type="dxa"/>
            <w:shd w:val="clear" w:color="auto" w:fill="auto"/>
            <w:noWrap/>
            <w:vAlign w:val="bottom"/>
            <w:hideMark/>
          </w:tcPr>
          <w:p w14:paraId="38BC70F6"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75.8</w:t>
            </w:r>
          </w:p>
        </w:tc>
        <w:tc>
          <w:tcPr>
            <w:tcW w:w="750" w:type="dxa"/>
            <w:shd w:val="clear" w:color="auto" w:fill="auto"/>
            <w:noWrap/>
            <w:vAlign w:val="bottom"/>
            <w:hideMark/>
          </w:tcPr>
          <w:p w14:paraId="30466350"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107.2</w:t>
            </w:r>
          </w:p>
        </w:tc>
        <w:tc>
          <w:tcPr>
            <w:tcW w:w="762" w:type="dxa"/>
            <w:shd w:val="clear" w:color="auto" w:fill="auto"/>
            <w:noWrap/>
            <w:vAlign w:val="bottom"/>
            <w:hideMark/>
          </w:tcPr>
          <w:p w14:paraId="175CB4A7"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129.0</w:t>
            </w:r>
          </w:p>
        </w:tc>
        <w:tc>
          <w:tcPr>
            <w:tcW w:w="634" w:type="dxa"/>
            <w:shd w:val="clear" w:color="auto" w:fill="auto"/>
            <w:noWrap/>
            <w:vAlign w:val="bottom"/>
            <w:hideMark/>
          </w:tcPr>
          <w:p w14:paraId="5A8B342C"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0.5</w:t>
            </w:r>
          </w:p>
        </w:tc>
        <w:tc>
          <w:tcPr>
            <w:tcW w:w="635" w:type="dxa"/>
            <w:shd w:val="clear" w:color="auto" w:fill="auto"/>
            <w:noWrap/>
            <w:vAlign w:val="bottom"/>
            <w:hideMark/>
          </w:tcPr>
          <w:p w14:paraId="295D5D18"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0.5</w:t>
            </w:r>
          </w:p>
        </w:tc>
        <w:tc>
          <w:tcPr>
            <w:tcW w:w="633" w:type="dxa"/>
            <w:shd w:val="clear" w:color="auto" w:fill="auto"/>
            <w:noWrap/>
            <w:vAlign w:val="bottom"/>
            <w:hideMark/>
          </w:tcPr>
          <w:p w14:paraId="7DC924C7"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0.7</w:t>
            </w:r>
          </w:p>
        </w:tc>
        <w:tc>
          <w:tcPr>
            <w:tcW w:w="638" w:type="dxa"/>
            <w:shd w:val="clear" w:color="auto" w:fill="auto"/>
            <w:noWrap/>
            <w:vAlign w:val="bottom"/>
            <w:hideMark/>
          </w:tcPr>
          <w:p w14:paraId="2894D5F0"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0.9</w:t>
            </w:r>
          </w:p>
        </w:tc>
        <w:tc>
          <w:tcPr>
            <w:tcW w:w="625" w:type="dxa"/>
            <w:shd w:val="clear" w:color="auto" w:fill="auto"/>
            <w:noWrap/>
            <w:vAlign w:val="bottom"/>
            <w:hideMark/>
          </w:tcPr>
          <w:p w14:paraId="70E02489"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1.0</w:t>
            </w:r>
          </w:p>
        </w:tc>
      </w:tr>
      <w:tr w:rsidR="00BF0F38" w:rsidRPr="003C36D5" w14:paraId="63027D1F" w14:textId="77777777" w:rsidTr="008931FF">
        <w:trPr>
          <w:trHeight w:val="267"/>
        </w:trPr>
        <w:tc>
          <w:tcPr>
            <w:tcW w:w="2928" w:type="dxa"/>
            <w:shd w:val="clear" w:color="000000" w:fill="FFFFFF"/>
            <w:noWrap/>
            <w:vAlign w:val="bottom"/>
            <w:hideMark/>
          </w:tcPr>
          <w:p w14:paraId="67818B33" w14:textId="77777777" w:rsidR="00BF0F38" w:rsidRPr="00246B7C" w:rsidRDefault="00BF0F38" w:rsidP="008931FF">
            <w:pPr>
              <w:spacing w:before="0" w:after="0" w:line="240" w:lineRule="auto"/>
              <w:ind w:firstLineChars="200" w:firstLine="360"/>
              <w:jc w:val="left"/>
              <w:rPr>
                <w:rFonts w:eastAsia="Times New Roman" w:cs="Times New Roman"/>
                <w:b/>
                <w:bCs/>
                <w:color w:val="000000"/>
                <w:sz w:val="18"/>
                <w:szCs w:val="18"/>
              </w:rPr>
            </w:pPr>
            <w:r w:rsidRPr="00246B7C">
              <w:rPr>
                <w:rFonts w:eastAsia="Times New Roman" w:cs="Times New Roman"/>
                <w:b/>
                <w:bCs/>
                <w:color w:val="000000"/>
                <w:sz w:val="18"/>
                <w:szCs w:val="18"/>
              </w:rPr>
              <w:t>Այլ հարկեր</w:t>
            </w:r>
          </w:p>
        </w:tc>
        <w:tc>
          <w:tcPr>
            <w:tcW w:w="757" w:type="dxa"/>
            <w:shd w:val="clear" w:color="000000" w:fill="FFFFFF"/>
            <w:noWrap/>
            <w:vAlign w:val="bottom"/>
            <w:hideMark/>
          </w:tcPr>
          <w:p w14:paraId="6FC608FA"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211.5</w:t>
            </w:r>
          </w:p>
        </w:tc>
        <w:tc>
          <w:tcPr>
            <w:tcW w:w="738" w:type="dxa"/>
            <w:shd w:val="clear" w:color="auto" w:fill="auto"/>
            <w:noWrap/>
            <w:vAlign w:val="bottom"/>
            <w:hideMark/>
          </w:tcPr>
          <w:p w14:paraId="1B535CC7"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249.1</w:t>
            </w:r>
          </w:p>
        </w:tc>
        <w:tc>
          <w:tcPr>
            <w:tcW w:w="765" w:type="dxa"/>
            <w:shd w:val="clear" w:color="auto" w:fill="auto"/>
            <w:noWrap/>
            <w:vAlign w:val="bottom"/>
            <w:hideMark/>
          </w:tcPr>
          <w:p w14:paraId="681AFECE"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271.6</w:t>
            </w:r>
          </w:p>
        </w:tc>
        <w:tc>
          <w:tcPr>
            <w:tcW w:w="750" w:type="dxa"/>
            <w:shd w:val="clear" w:color="auto" w:fill="auto"/>
            <w:noWrap/>
            <w:vAlign w:val="bottom"/>
            <w:hideMark/>
          </w:tcPr>
          <w:p w14:paraId="6EAE0DBC"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318.3</w:t>
            </w:r>
          </w:p>
        </w:tc>
        <w:tc>
          <w:tcPr>
            <w:tcW w:w="762" w:type="dxa"/>
            <w:shd w:val="clear" w:color="auto" w:fill="auto"/>
            <w:noWrap/>
            <w:vAlign w:val="bottom"/>
            <w:hideMark/>
          </w:tcPr>
          <w:p w14:paraId="2651CA87" w14:textId="77777777" w:rsidR="00BF0F38" w:rsidRPr="00B11696" w:rsidRDefault="00BF0F38" w:rsidP="008931FF">
            <w:pPr>
              <w:spacing w:before="0" w:after="0" w:line="240" w:lineRule="auto"/>
              <w:ind w:firstLine="0"/>
              <w:jc w:val="right"/>
              <w:rPr>
                <w:rFonts w:eastAsia="Times New Roman" w:cs="Times New Roman"/>
                <w:sz w:val="18"/>
                <w:szCs w:val="18"/>
              </w:rPr>
            </w:pPr>
            <w:r w:rsidRPr="00B11696">
              <w:rPr>
                <w:color w:val="000000"/>
                <w:sz w:val="18"/>
                <w:szCs w:val="20"/>
              </w:rPr>
              <w:t>347.1</w:t>
            </w:r>
          </w:p>
        </w:tc>
        <w:tc>
          <w:tcPr>
            <w:tcW w:w="634" w:type="dxa"/>
            <w:shd w:val="clear" w:color="auto" w:fill="auto"/>
            <w:noWrap/>
            <w:vAlign w:val="bottom"/>
            <w:hideMark/>
          </w:tcPr>
          <w:p w14:paraId="2AD35FCE"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2.2</w:t>
            </w:r>
          </w:p>
        </w:tc>
        <w:tc>
          <w:tcPr>
            <w:tcW w:w="635" w:type="dxa"/>
            <w:shd w:val="clear" w:color="auto" w:fill="auto"/>
            <w:noWrap/>
            <w:vAlign w:val="bottom"/>
            <w:hideMark/>
          </w:tcPr>
          <w:p w14:paraId="0A0F359C"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2.4</w:t>
            </w:r>
          </w:p>
        </w:tc>
        <w:tc>
          <w:tcPr>
            <w:tcW w:w="633" w:type="dxa"/>
            <w:shd w:val="clear" w:color="auto" w:fill="auto"/>
            <w:noWrap/>
            <w:vAlign w:val="bottom"/>
            <w:hideMark/>
          </w:tcPr>
          <w:p w14:paraId="04885800"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2.4</w:t>
            </w:r>
          </w:p>
        </w:tc>
        <w:tc>
          <w:tcPr>
            <w:tcW w:w="638" w:type="dxa"/>
            <w:shd w:val="clear" w:color="auto" w:fill="auto"/>
            <w:noWrap/>
            <w:vAlign w:val="bottom"/>
            <w:hideMark/>
          </w:tcPr>
          <w:p w14:paraId="7DA49F8F"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2.6</w:t>
            </w:r>
          </w:p>
        </w:tc>
        <w:tc>
          <w:tcPr>
            <w:tcW w:w="625" w:type="dxa"/>
            <w:shd w:val="clear" w:color="auto" w:fill="auto"/>
            <w:noWrap/>
            <w:vAlign w:val="bottom"/>
            <w:hideMark/>
          </w:tcPr>
          <w:p w14:paraId="2F8A2D8E" w14:textId="77777777" w:rsidR="00BF0F38" w:rsidRPr="00B11696" w:rsidRDefault="00BF0F38" w:rsidP="008931FF">
            <w:pPr>
              <w:spacing w:before="0" w:after="0" w:line="240" w:lineRule="auto"/>
              <w:ind w:firstLine="0"/>
              <w:jc w:val="right"/>
              <w:rPr>
                <w:rFonts w:eastAsia="Times New Roman" w:cs="Times New Roman"/>
                <w:color w:val="000000"/>
                <w:sz w:val="18"/>
                <w:szCs w:val="18"/>
              </w:rPr>
            </w:pPr>
            <w:r w:rsidRPr="00B11696">
              <w:rPr>
                <w:color w:val="000000"/>
                <w:sz w:val="18"/>
                <w:szCs w:val="20"/>
              </w:rPr>
              <w:t>2.6</w:t>
            </w:r>
          </w:p>
        </w:tc>
      </w:tr>
    </w:tbl>
    <w:p w14:paraId="7186F49C" w14:textId="77777777" w:rsidR="00BF0F38" w:rsidRPr="00875CAD" w:rsidRDefault="00BF0F38" w:rsidP="00BF0F38">
      <w:pPr>
        <w:tabs>
          <w:tab w:val="left" w:pos="0"/>
        </w:tabs>
        <w:spacing w:before="120" w:after="0" w:line="276" w:lineRule="auto"/>
        <w:ind w:firstLine="0"/>
        <w:rPr>
          <w:rFonts w:eastAsia="Calibri" w:cs="GHEA Grapalat"/>
          <w:lang w:val="hy-AM"/>
        </w:rPr>
      </w:pPr>
    </w:p>
    <w:p w14:paraId="61630985" w14:textId="77777777" w:rsidR="00BF0F38" w:rsidRPr="00D439F2" w:rsidRDefault="00BF0F38" w:rsidP="00BF0F38">
      <w:pPr>
        <w:tabs>
          <w:tab w:val="left" w:pos="0"/>
        </w:tabs>
        <w:spacing w:before="120" w:after="0" w:line="276" w:lineRule="auto"/>
        <w:ind w:firstLine="0"/>
        <w:rPr>
          <w:rFonts w:eastAsia="Times New Roman" w:cs="Times New Roman"/>
          <w:lang w:val="hy-AM"/>
        </w:rPr>
      </w:pPr>
      <w:r w:rsidRPr="00002342">
        <w:rPr>
          <w:rFonts w:eastAsia="Times New Roman" w:cs="Times New Roman"/>
          <w:b/>
          <w:lang w:val="hy-AM"/>
        </w:rPr>
        <w:lastRenderedPageBreak/>
        <w:t xml:space="preserve">Միջնաժամկետ </w:t>
      </w:r>
      <w:r>
        <w:rPr>
          <w:rFonts w:eastAsia="Times New Roman" w:cs="Times New Roman"/>
          <w:b/>
          <w:lang w:val="hy-AM"/>
        </w:rPr>
        <w:t>հատվածում</w:t>
      </w:r>
      <w:r w:rsidRPr="00002342">
        <w:rPr>
          <w:rFonts w:eastAsia="Times New Roman" w:cs="Times New Roman"/>
          <w:b/>
          <w:lang w:val="hy-AM"/>
        </w:rPr>
        <w:t xml:space="preserve"> ընթացիկ ծախսերը կայունանում են իրենց վերջին տարիների միջին մակարդակների մոտ՝ </w:t>
      </w:r>
      <w:r>
        <w:rPr>
          <w:rFonts w:eastAsia="Times New Roman" w:cs="Times New Roman"/>
          <w:b/>
          <w:lang w:val="hy-AM"/>
        </w:rPr>
        <w:t>պահպանվելով</w:t>
      </w:r>
      <w:r w:rsidRPr="00002342">
        <w:rPr>
          <w:rFonts w:eastAsia="Times New Roman" w:cs="Times New Roman"/>
          <w:b/>
          <w:lang w:val="hy-AM"/>
        </w:rPr>
        <w:t xml:space="preserve"> հարկաբյուջետային կանոնի </w:t>
      </w:r>
      <w:r>
        <w:rPr>
          <w:rFonts w:eastAsia="Times New Roman" w:cs="Times New Roman"/>
          <w:b/>
          <w:lang w:val="hy-AM"/>
        </w:rPr>
        <w:t>սահմաններում</w:t>
      </w:r>
      <w:r w:rsidRPr="00002342">
        <w:rPr>
          <w:rFonts w:eastAsia="Times New Roman" w:cs="Times New Roman"/>
          <w:b/>
          <w:lang w:val="hy-AM"/>
        </w:rPr>
        <w:t xml:space="preserve">, իսկ կապիտալ ծախսերը՝ պատմական մակարդակներից զգալիորեն բարձր մակարդակում՝ տնտեսական և անվտանգային ենթակառուցվածքների ամրապնդման համար։ </w:t>
      </w:r>
      <w:r w:rsidRPr="00E2722B">
        <w:rPr>
          <w:rFonts w:eastAsia="Times New Roman" w:cs="Times New Roman"/>
          <w:lang w:val="hy-AM"/>
        </w:rPr>
        <w:t>ՄԺԾԾ հարկաբյուջետային շրջանակը կառուցվել է պետական բյուջեի կապիտալ ծախսերի համար «առաջ բերված» հնարավորություններ ձևավորելու տրամաբանությամբ, որի ազդեցությունն իր վրա կրում է պետական բյուջեի պակասուրդը</w:t>
      </w:r>
      <w:r w:rsidRPr="00CE77E7">
        <w:rPr>
          <w:rFonts w:eastAsia="Times New Roman" w:cs="Times New Roman"/>
          <w:lang w:val="hy-AM"/>
        </w:rPr>
        <w:t>, որը աճում է 5</w:t>
      </w:r>
      <w:r w:rsidRPr="00CE77E7">
        <w:rPr>
          <w:rFonts w:ascii="Cambria Math" w:eastAsia="Times New Roman" w:hAnsi="Cambria Math" w:cs="Cambria Math"/>
          <w:lang w:val="hy-AM"/>
        </w:rPr>
        <w:t>․</w:t>
      </w:r>
      <w:r w:rsidRPr="00E2722B">
        <w:rPr>
          <w:rFonts w:eastAsia="Times New Roman" w:cs="Times New Roman"/>
          <w:lang w:val="hy-AM"/>
        </w:rPr>
        <w:t>5%-ի 2025թ</w:t>
      </w:r>
      <w:r w:rsidRPr="00CE77E7">
        <w:rPr>
          <w:rFonts w:ascii="Cambria Math" w:eastAsia="Times New Roman" w:hAnsi="Cambria Math" w:cs="Cambria Math"/>
          <w:lang w:val="hy-AM"/>
        </w:rPr>
        <w:t>․</w:t>
      </w:r>
      <w:r w:rsidRPr="00E2722B">
        <w:rPr>
          <w:rFonts w:eastAsia="Times New Roman" w:cs="Times New Roman"/>
          <w:lang w:val="hy-AM"/>
        </w:rPr>
        <w:t>-ին, այնուհետև նվազելով մինչև պարտքի բեռը կայուն պահող՝ 3.5% մակարդակի։</w:t>
      </w:r>
      <w:r>
        <w:rPr>
          <w:rFonts w:eastAsia="Times New Roman" w:cs="Times New Roman"/>
          <w:lang w:val="hy-AM"/>
        </w:rPr>
        <w:t xml:space="preserve"> Արդյունքում կառավարության պարտք/ՀՆԱ ցուցանիշը</w:t>
      </w:r>
      <w:r w:rsidRPr="006226AF">
        <w:rPr>
          <w:rFonts w:eastAsia="Times New Roman" w:cs="Times New Roman"/>
          <w:lang w:val="hy-AM"/>
        </w:rPr>
        <w:t xml:space="preserve"> </w:t>
      </w:r>
      <w:r>
        <w:rPr>
          <w:rFonts w:eastAsia="Times New Roman" w:cs="Times New Roman"/>
          <w:lang w:val="hy-AM"/>
        </w:rPr>
        <w:t>աճում է, ապա միջնաժամկետի վերջում կայունանում 55</w:t>
      </w:r>
      <w:r w:rsidRPr="00E2722B">
        <w:rPr>
          <w:rFonts w:eastAsia="Times New Roman" w:cs="Times New Roman"/>
          <w:lang w:val="hy-AM"/>
        </w:rPr>
        <w:t>%</w:t>
      </w:r>
      <w:r>
        <w:rPr>
          <w:rFonts w:eastAsia="Times New Roman" w:cs="Times New Roman"/>
          <w:lang w:val="hy-AM"/>
        </w:rPr>
        <w:t xml:space="preserve"> մակարդակում։ Միջնաժամկետ հատվածում պարտքի բեռի աճին նպաստող հիմնական գործոնները պարտքի իրական տոկոսադրույքի աճը և առաջնային պակասուրդն են, իսկ տնտեսական աճը պարտքի նվազեցման ուղղությամբ է ներգործում։  </w:t>
      </w:r>
      <w:r w:rsidRPr="00E2722B">
        <w:rPr>
          <w:rFonts w:eastAsia="Times New Roman" w:cs="Times New Roman"/>
          <w:lang w:val="hy-AM"/>
        </w:rPr>
        <w:t xml:space="preserve">  </w:t>
      </w:r>
    </w:p>
    <w:p w14:paraId="2F710F1B" w14:textId="77777777" w:rsidR="00BF0F38" w:rsidRPr="005E2F67" w:rsidRDefault="00BF0F38" w:rsidP="00BF0F38">
      <w:pPr>
        <w:keepNext/>
        <w:keepLines/>
        <w:tabs>
          <w:tab w:val="left" w:pos="0"/>
        </w:tabs>
        <w:spacing w:before="120" w:after="0" w:line="276" w:lineRule="auto"/>
        <w:ind w:firstLine="0"/>
        <w:jc w:val="left"/>
        <w:rPr>
          <w:rFonts w:eastAsia="Times New Roman" w:cs="Times New Roman"/>
          <w:i/>
          <w:lang w:val="hy-AM"/>
        </w:rPr>
      </w:pPr>
      <w:r w:rsidRPr="005E2F67">
        <w:rPr>
          <w:rFonts w:eastAsia="Times New Roman" w:cs="Times New Roman"/>
          <w:b/>
          <w:i/>
          <w:lang w:val="hy-AM"/>
        </w:rPr>
        <w:t xml:space="preserve">Գծապատկեր 2.2. </w:t>
      </w:r>
      <w:r w:rsidRPr="005E2F67">
        <w:rPr>
          <w:rFonts w:eastAsia="Times New Roman" w:cs="Times New Roman"/>
          <w:lang w:val="hy-AM"/>
        </w:rPr>
        <w:t xml:space="preserve">Պետական բյուջեի եկամուտները, ծախսերը և </w:t>
      </w:r>
      <w:r>
        <w:rPr>
          <w:rFonts w:eastAsia="Times New Roman" w:cs="Times New Roman"/>
          <w:lang w:val="hy-AM"/>
        </w:rPr>
        <w:t xml:space="preserve">հաշվեկշիռը </w:t>
      </w:r>
      <w:r w:rsidRPr="00B90540">
        <w:rPr>
          <w:rFonts w:eastAsia="Times New Roman" w:cs="Times New Roman"/>
          <w:lang w:val="hy-AM"/>
        </w:rPr>
        <w:t>(</w:t>
      </w:r>
      <w:r>
        <w:rPr>
          <w:rFonts w:eastAsia="Times New Roman" w:cs="Times New Roman"/>
          <w:lang w:val="hy-AM"/>
        </w:rPr>
        <w:t xml:space="preserve"> </w:t>
      </w:r>
      <w:r w:rsidRPr="005E2F67">
        <w:rPr>
          <w:rFonts w:eastAsia="Times New Roman" w:cs="Times New Roman"/>
          <w:lang w:val="hy-AM"/>
        </w:rPr>
        <w:t>մլրդ դրամ</w:t>
      </w:r>
      <w:r>
        <w:rPr>
          <w:rFonts w:eastAsia="Times New Roman" w:cs="Times New Roman"/>
          <w:lang w:val="hy-AM"/>
        </w:rPr>
        <w:t>ով</w:t>
      </w:r>
      <w:r w:rsidRPr="00B90540">
        <w:rPr>
          <w:rFonts w:eastAsia="Times New Roman" w:cs="Times New Roman"/>
          <w:lang w:val="hy-AM"/>
        </w:rPr>
        <w:t>)</w:t>
      </w:r>
      <w:r w:rsidRPr="005E2F67">
        <w:rPr>
          <w:rFonts w:eastAsia="Times New Roman" w:cs="Times New Roman"/>
          <w:lang w:val="hy-AM"/>
        </w:rPr>
        <w:t xml:space="preserve"> </w:t>
      </w:r>
      <w:r>
        <w:rPr>
          <w:rFonts w:eastAsia="Times New Roman" w:cs="Times New Roman"/>
          <w:lang w:val="hy-AM"/>
        </w:rPr>
        <w:t>և պետական բյուջեի պակասուրդի</w:t>
      </w:r>
      <w:r w:rsidRPr="00B90540">
        <w:rPr>
          <w:rFonts w:eastAsia="Times New Roman" w:cs="Times New Roman"/>
          <w:lang w:val="hy-AM"/>
        </w:rPr>
        <w:t xml:space="preserve"> </w:t>
      </w:r>
      <w:r>
        <w:rPr>
          <w:rFonts w:eastAsia="Times New Roman" w:cs="Times New Roman"/>
          <w:lang w:val="hy-AM"/>
        </w:rPr>
        <w:t xml:space="preserve">մակարդակները </w:t>
      </w:r>
      <w:r w:rsidRPr="00B90540">
        <w:rPr>
          <w:rFonts w:eastAsia="Times New Roman" w:cs="Times New Roman"/>
          <w:lang w:val="hy-AM"/>
        </w:rPr>
        <w:t>(</w:t>
      </w:r>
      <w:r>
        <w:rPr>
          <w:rFonts w:eastAsia="Times New Roman" w:cs="Times New Roman"/>
          <w:lang w:val="hy-AM"/>
        </w:rPr>
        <w:t xml:space="preserve">կշիռը ՀՆԱ-ում, </w:t>
      </w:r>
      <w:r w:rsidRPr="00B90540">
        <w:rPr>
          <w:rFonts w:eastAsia="Times New Roman" w:cs="Times New Roman"/>
          <w:lang w:val="hy-AM"/>
        </w:rPr>
        <w:t>%)</w:t>
      </w:r>
    </w:p>
    <w:p w14:paraId="1F5D45D8" w14:textId="77777777" w:rsidR="00BF0F38" w:rsidRDefault="00BF0F38" w:rsidP="00BF0F38">
      <w:pPr>
        <w:tabs>
          <w:tab w:val="left" w:pos="0"/>
        </w:tabs>
        <w:spacing w:before="120" w:after="0" w:line="276" w:lineRule="auto"/>
        <w:ind w:right="-517" w:firstLine="0"/>
        <w:jc w:val="left"/>
        <w:rPr>
          <w:rFonts w:eastAsia="Times New Roman" w:cs="Times New Roman"/>
          <w:lang w:val="hy-AM"/>
        </w:rPr>
      </w:pPr>
      <w:r w:rsidRPr="00D439F2">
        <w:rPr>
          <w:rFonts w:eastAsia="Times New Roman" w:cs="Times New Roman"/>
          <w:noProof/>
        </w:rPr>
        <w:drawing>
          <wp:inline distT="0" distB="0" distL="0" distR="0" wp14:anchorId="0F2DBD33" wp14:editId="68C019A7">
            <wp:extent cx="2933700" cy="3432175"/>
            <wp:effectExtent l="0" t="0" r="0" b="15875"/>
            <wp:docPr id="57" name="Chart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D439F2">
        <w:rPr>
          <w:rFonts w:eastAsia="Times New Roman" w:cs="Times New Roman"/>
          <w:lang w:val="hy-AM"/>
        </w:rPr>
        <w:t xml:space="preserve"> </w:t>
      </w:r>
      <w:r w:rsidRPr="00D439F2">
        <w:rPr>
          <w:rFonts w:eastAsia="Times New Roman" w:cs="Times New Roman"/>
          <w:noProof/>
        </w:rPr>
        <w:drawing>
          <wp:inline distT="0" distB="0" distL="0" distR="0" wp14:anchorId="2CA50A7D" wp14:editId="529029B0">
            <wp:extent cx="3131820" cy="3438525"/>
            <wp:effectExtent l="0" t="0" r="11430" b="9525"/>
            <wp:docPr id="58"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84D2A70" w14:textId="77777777" w:rsidR="00BF0F38" w:rsidRDefault="00BF0F38" w:rsidP="00BF0F38">
      <w:pPr>
        <w:tabs>
          <w:tab w:val="left" w:pos="0"/>
        </w:tabs>
        <w:spacing w:before="120" w:after="0" w:line="276" w:lineRule="auto"/>
        <w:ind w:firstLine="0"/>
        <w:rPr>
          <w:rFonts w:eastAsia="Times New Roman" w:cs="Times New Roman"/>
          <w:lang w:val="hy-AM"/>
        </w:rPr>
      </w:pPr>
      <w:r w:rsidRPr="00D439F2">
        <w:rPr>
          <w:rFonts w:eastAsia="Times New Roman" w:cs="Times New Roman"/>
          <w:lang w:val="hy-AM"/>
        </w:rPr>
        <w:t>Միջնաժամկետ</w:t>
      </w:r>
      <w:r>
        <w:rPr>
          <w:rFonts w:eastAsia="Times New Roman" w:cs="Times New Roman"/>
          <w:lang w:val="hy-AM"/>
        </w:rPr>
        <w:t xml:space="preserve"> հատվածում ևս հարկաբյուջետային քաղաքականությունը կունանա հիմնականում չեզոքին մոտ ազդեցություն ամբողջական պահանջարկի վրա՝ եկամուտների զսպող, և ծախսերի խթանող ազդեցություններով, որն աստիճանաբար զրոյանում է միջնաժամկետի վերջում արտացոլելով պակասուրդի աստիճանական ճշգրտման ազդեցությունը։ </w:t>
      </w:r>
    </w:p>
    <w:p w14:paraId="2361E2A8" w14:textId="77777777" w:rsidR="00BF0F38" w:rsidRDefault="00BF0F38" w:rsidP="00BF0F38">
      <w:pPr>
        <w:tabs>
          <w:tab w:val="left" w:pos="0"/>
        </w:tabs>
        <w:spacing w:before="120" w:after="0" w:line="276" w:lineRule="auto"/>
        <w:ind w:right="-517" w:firstLine="0"/>
        <w:jc w:val="left"/>
        <w:rPr>
          <w:rFonts w:eastAsia="Times New Roman" w:cs="Times New Roman"/>
          <w:lang w:val="hy-AM"/>
        </w:rPr>
      </w:pPr>
    </w:p>
    <w:p w14:paraId="7D4103F2" w14:textId="77777777" w:rsidR="00BF0F38" w:rsidRDefault="00BF0F38" w:rsidP="00BF0F38">
      <w:pPr>
        <w:keepNext/>
        <w:keepLines/>
        <w:tabs>
          <w:tab w:val="left" w:pos="0"/>
        </w:tabs>
        <w:spacing w:before="120" w:after="0" w:line="276" w:lineRule="auto"/>
        <w:ind w:firstLine="0"/>
        <w:jc w:val="left"/>
        <w:rPr>
          <w:rFonts w:eastAsia="Times New Roman" w:cs="Times New Roman"/>
          <w:b/>
          <w:lang w:val="hy-AM"/>
        </w:rPr>
      </w:pPr>
      <w:r w:rsidRPr="00D439F2">
        <w:rPr>
          <w:rFonts w:eastAsia="Calibri" w:cs="Times New Roman"/>
          <w:i/>
          <w:sz w:val="18"/>
          <w:szCs w:val="16"/>
          <w:lang w:val="hy-AM"/>
        </w:rPr>
        <w:lastRenderedPageBreak/>
        <w:t>Աղբյուրը՝ ՀՀ ՖՆ</w:t>
      </w:r>
      <w:r w:rsidRPr="00D439F2">
        <w:rPr>
          <w:rFonts w:eastAsia="Times New Roman" w:cs="Times New Roman"/>
          <w:b/>
          <w:lang w:val="hy-AM"/>
        </w:rPr>
        <w:t xml:space="preserve"> </w:t>
      </w:r>
    </w:p>
    <w:p w14:paraId="42414E9B" w14:textId="77777777" w:rsidR="00BF0F38" w:rsidRPr="005E2F67" w:rsidRDefault="00BF0F38" w:rsidP="00BF0F38">
      <w:pPr>
        <w:keepNext/>
        <w:keepLines/>
        <w:tabs>
          <w:tab w:val="left" w:pos="0"/>
        </w:tabs>
        <w:spacing w:before="120" w:after="0" w:line="276" w:lineRule="auto"/>
        <w:ind w:firstLine="0"/>
        <w:jc w:val="left"/>
        <w:rPr>
          <w:rFonts w:eastAsia="Times New Roman" w:cs="Times New Roman"/>
          <w:b/>
          <w:lang w:val="hy-AM"/>
        </w:rPr>
      </w:pPr>
      <w:r w:rsidRPr="005E2F67">
        <w:rPr>
          <w:rFonts w:eastAsia="Times New Roman" w:cs="Times New Roman"/>
          <w:b/>
          <w:lang w:val="hy-AM"/>
        </w:rPr>
        <w:t xml:space="preserve">Գծապատկեր 2.3. </w:t>
      </w:r>
      <w:r w:rsidRPr="005E2F67">
        <w:rPr>
          <w:rFonts w:eastAsia="Times New Roman" w:cs="Times New Roman"/>
          <w:lang w:val="hy-AM"/>
        </w:rPr>
        <w:t>Հարկաբյուջետային ազդակը</w:t>
      </w:r>
      <w:r>
        <w:rPr>
          <w:rStyle w:val="FootnoteReference"/>
          <w:rFonts w:eastAsia="Times New Roman" w:cs="Times New Roman"/>
          <w:lang w:val="hy-AM"/>
        </w:rPr>
        <w:footnoteReference w:id="20"/>
      </w:r>
    </w:p>
    <w:p w14:paraId="5E71552B" w14:textId="77777777" w:rsidR="00BF0F38" w:rsidRPr="00D439F2" w:rsidRDefault="00BF0F38" w:rsidP="00BF0F38">
      <w:pPr>
        <w:tabs>
          <w:tab w:val="left" w:pos="0"/>
        </w:tabs>
        <w:spacing w:before="120" w:after="0" w:line="276" w:lineRule="auto"/>
        <w:ind w:firstLine="0"/>
        <w:rPr>
          <w:rFonts w:eastAsia="Times New Roman" w:cs="Times New Roman"/>
          <w:lang w:val="hy-AM"/>
        </w:rPr>
      </w:pPr>
      <w:r w:rsidRPr="00D439F2">
        <w:rPr>
          <w:rFonts w:eastAsia="Calibri" w:cs="Times New Roman"/>
          <w:noProof/>
        </w:rPr>
        <w:drawing>
          <wp:inline distT="0" distB="0" distL="0" distR="0" wp14:anchorId="7F9C1B54" wp14:editId="22D14FEA">
            <wp:extent cx="6096000" cy="2447925"/>
            <wp:effectExtent l="0" t="0" r="0" b="9525"/>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CDD29B0" w14:textId="77777777" w:rsidR="00BF0F38" w:rsidRDefault="00BF0F38" w:rsidP="00BF0F38">
      <w:pPr>
        <w:tabs>
          <w:tab w:val="left" w:pos="0"/>
        </w:tabs>
        <w:spacing w:before="120" w:after="0" w:line="276" w:lineRule="auto"/>
        <w:ind w:firstLine="0"/>
        <w:contextualSpacing/>
        <w:jc w:val="left"/>
        <w:rPr>
          <w:rFonts w:eastAsia="Calibri" w:cs="Times New Roman"/>
          <w:i/>
          <w:sz w:val="18"/>
          <w:szCs w:val="16"/>
          <w:lang w:val="hy-AM"/>
        </w:rPr>
      </w:pPr>
      <w:r>
        <w:rPr>
          <w:rFonts w:eastAsia="Calibri" w:cs="Times New Roman"/>
          <w:i/>
          <w:sz w:val="18"/>
          <w:szCs w:val="16"/>
          <w:lang w:val="hy-AM"/>
        </w:rPr>
        <w:tab/>
      </w:r>
      <w:r w:rsidRPr="00D439F2">
        <w:rPr>
          <w:rFonts w:eastAsia="Calibri" w:cs="Times New Roman"/>
          <w:i/>
          <w:sz w:val="18"/>
          <w:szCs w:val="16"/>
          <w:lang w:val="hy-AM"/>
        </w:rPr>
        <w:t>Աղբյուրը՝ ՀՀ ՖՆ գնահատականներ</w:t>
      </w:r>
    </w:p>
    <w:p w14:paraId="0B952154" w14:textId="77777777" w:rsidR="00BF0F38" w:rsidRPr="00D439F2" w:rsidRDefault="00BF0F38" w:rsidP="00BF0F38">
      <w:pPr>
        <w:tabs>
          <w:tab w:val="left" w:pos="0"/>
        </w:tabs>
        <w:spacing w:before="120" w:after="0" w:line="276" w:lineRule="auto"/>
        <w:ind w:firstLine="0"/>
        <w:rPr>
          <w:rFonts w:eastAsia="Times New Roman" w:cs="Times New Roman"/>
          <w:lang w:val="hy-AM"/>
        </w:rPr>
      </w:pPr>
      <w:r>
        <w:rPr>
          <w:rFonts w:eastAsia="Calibri" w:cs="Times New Roman"/>
          <w:b/>
          <w:bCs/>
          <w:lang w:val="hy-AM"/>
        </w:rPr>
        <w:t>Միջնաժամկետ հարկաբյուջետային շրջանակն ամրապնդում է</w:t>
      </w:r>
      <w:r w:rsidRPr="00D439F2">
        <w:rPr>
          <w:rFonts w:eastAsia="Calibri" w:cs="Times New Roman"/>
          <w:b/>
          <w:bCs/>
          <w:lang w:val="hy-AM"/>
        </w:rPr>
        <w:t xml:space="preserve"> «ոսկե կանոնների» տրամաբանությունը:</w:t>
      </w:r>
      <w:r w:rsidRPr="00D439F2">
        <w:rPr>
          <w:rFonts w:eastAsia="Calibri" w:cs="Times New Roman"/>
          <w:lang w:val="hy-AM"/>
        </w:rPr>
        <w:t xml:space="preserve"> </w:t>
      </w:r>
      <w:r w:rsidRPr="00D439F2">
        <w:rPr>
          <w:rFonts w:eastAsia="Times New Roman" w:cs="Times New Roman"/>
          <w:lang w:val="hy-AM"/>
        </w:rPr>
        <w:t xml:space="preserve">Մասնավորապես, ընդհանուր ծախսերում կապիտալ ծախսերի մասնաբաժնի մեծացման արդյունքում կապիտալ ծախսերի ծավալը միջնաժամկետ ժամանակահատվածում զգալիորեն կգերազանցի պետական բյուջեի պակասուրդի մեծությանը, իսկ հարկեր/ՀՆԱ հարաբերակցության բարելավման և ընթացիկ ծախսերի աճի պայմաններում կանխատեսվող հորիզոնի վերջում հարկային եկամուտներ/ՀՆԱ-ն կգերազանցի ընթացիկ ծախսերի մակարդակը շուրջ </w:t>
      </w:r>
      <w:r>
        <w:rPr>
          <w:rFonts w:eastAsia="Times New Roman" w:cs="Times New Roman"/>
          <w:lang w:val="hy-AM"/>
        </w:rPr>
        <w:t>2.3</w:t>
      </w:r>
      <w:r w:rsidRPr="00D439F2">
        <w:rPr>
          <w:rFonts w:eastAsia="Times New Roman" w:cs="Times New Roman"/>
          <w:lang w:val="hy-AM"/>
        </w:rPr>
        <w:t xml:space="preserve"> տոկոսային կետով:</w:t>
      </w:r>
    </w:p>
    <w:p w14:paraId="732C4591" w14:textId="77777777" w:rsidR="00BF0F38" w:rsidRPr="005E2F67" w:rsidRDefault="00BF0F38" w:rsidP="00BF0F38">
      <w:pPr>
        <w:keepNext/>
        <w:keepLines/>
        <w:tabs>
          <w:tab w:val="left" w:pos="0"/>
        </w:tabs>
        <w:spacing w:before="120" w:after="0" w:line="276" w:lineRule="auto"/>
        <w:ind w:firstLine="0"/>
        <w:jc w:val="left"/>
        <w:rPr>
          <w:rFonts w:eastAsia="Times New Roman" w:cs="Times New Roman"/>
          <w:b/>
          <w:lang w:val="hy-AM"/>
        </w:rPr>
      </w:pPr>
      <w:r w:rsidRPr="005E2F67">
        <w:rPr>
          <w:rFonts w:eastAsia="Times New Roman" w:cs="Times New Roman"/>
          <w:b/>
          <w:lang w:val="hy-AM"/>
        </w:rPr>
        <w:t xml:space="preserve">Գծապատկեր 2.4. </w:t>
      </w:r>
      <w:r w:rsidRPr="005E2F67">
        <w:rPr>
          <w:rFonts w:eastAsia="Times New Roman" w:cs="Times New Roman"/>
          <w:lang w:val="hy-AM"/>
        </w:rPr>
        <w:t>Ոսկե կանոններից շեղումը 20</w:t>
      </w:r>
      <w:r>
        <w:rPr>
          <w:rFonts w:eastAsia="Times New Roman" w:cs="Times New Roman"/>
          <w:lang w:val="hy-AM"/>
        </w:rPr>
        <w:t>21</w:t>
      </w:r>
      <w:r w:rsidRPr="005E2F67">
        <w:rPr>
          <w:rFonts w:eastAsia="Times New Roman" w:cs="Times New Roman"/>
          <w:lang w:val="hy-AM"/>
        </w:rPr>
        <w:t>թ</w:t>
      </w:r>
      <w:r w:rsidRPr="005E2F67">
        <w:rPr>
          <w:rFonts w:ascii="Cambria Math" w:eastAsia="Times New Roman" w:hAnsi="Cambria Math" w:cs="Cambria Math"/>
          <w:lang w:val="hy-AM"/>
        </w:rPr>
        <w:t>․</w:t>
      </w:r>
      <w:r w:rsidRPr="005E2F67">
        <w:rPr>
          <w:rFonts w:eastAsia="Times New Roman" w:cs="Times New Roman"/>
          <w:lang w:val="hy-AM"/>
        </w:rPr>
        <w:t xml:space="preserve"> և վերադարձը դրանց պահպանմանը միջնաժամկետում</w:t>
      </w:r>
    </w:p>
    <w:p w14:paraId="0475B268" w14:textId="77777777" w:rsidR="00BF0F38" w:rsidRPr="00D439F2" w:rsidRDefault="00BF0F38" w:rsidP="00BF0F38">
      <w:pPr>
        <w:tabs>
          <w:tab w:val="left" w:pos="0"/>
        </w:tabs>
        <w:spacing w:before="120" w:after="0" w:line="276" w:lineRule="auto"/>
        <w:ind w:firstLine="0"/>
        <w:rPr>
          <w:rFonts w:eastAsia="Times New Roman" w:cs="Times New Roman"/>
          <w:noProof/>
          <w:lang w:val="hy-AM"/>
        </w:rPr>
      </w:pPr>
      <w:r w:rsidRPr="00D439F2">
        <w:rPr>
          <w:rFonts w:eastAsia="Calibri" w:cs="Times New Roman"/>
          <w:noProof/>
        </w:rPr>
        <w:drawing>
          <wp:inline distT="0" distB="0" distL="0" distR="0" wp14:anchorId="52F39B26" wp14:editId="6693E428">
            <wp:extent cx="3048000" cy="2447925"/>
            <wp:effectExtent l="0" t="0" r="0" b="9525"/>
            <wp:docPr id="16120834" name="Chart 161208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D439F2">
        <w:rPr>
          <w:rFonts w:eastAsia="Calibri" w:cs="Times New Roman"/>
          <w:noProof/>
        </w:rPr>
        <w:drawing>
          <wp:inline distT="0" distB="0" distL="0" distR="0" wp14:anchorId="52A4CD30" wp14:editId="1760918B">
            <wp:extent cx="3048000" cy="2447925"/>
            <wp:effectExtent l="0" t="0" r="0" b="9525"/>
            <wp:docPr id="16120840" name="Chart 161208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249F475" w14:textId="77777777" w:rsidR="00BF0F38" w:rsidRPr="001A687C" w:rsidRDefault="00BF0F38" w:rsidP="00BF0F38">
      <w:pPr>
        <w:tabs>
          <w:tab w:val="left" w:pos="0"/>
        </w:tabs>
        <w:spacing w:before="120" w:after="0" w:line="276" w:lineRule="auto"/>
        <w:ind w:firstLine="0"/>
        <w:contextualSpacing/>
        <w:jc w:val="left"/>
        <w:rPr>
          <w:rFonts w:eastAsia="Calibri" w:cs="Times New Roman"/>
          <w:i/>
          <w:sz w:val="18"/>
          <w:szCs w:val="16"/>
          <w:lang w:val="hy-AM"/>
        </w:rPr>
      </w:pPr>
      <w:r>
        <w:rPr>
          <w:rFonts w:eastAsia="Calibri" w:cs="Times New Roman"/>
          <w:i/>
          <w:sz w:val="18"/>
          <w:szCs w:val="16"/>
          <w:lang w:val="hy-AM"/>
        </w:rPr>
        <w:tab/>
      </w:r>
      <w:r w:rsidRPr="00D439F2">
        <w:rPr>
          <w:rFonts w:eastAsia="Calibri" w:cs="Times New Roman"/>
          <w:i/>
          <w:sz w:val="18"/>
          <w:szCs w:val="16"/>
          <w:lang w:val="hy-AM"/>
        </w:rPr>
        <w:t>Աղբյուրը՝ ՀՀ ՖՆ</w:t>
      </w:r>
    </w:p>
    <w:p w14:paraId="5A33FA94" w14:textId="77777777" w:rsidR="00BF0F38" w:rsidRPr="00A8776E" w:rsidRDefault="00BF0F38" w:rsidP="00BF0F38">
      <w:pPr>
        <w:keepNext/>
        <w:keepLines/>
        <w:tabs>
          <w:tab w:val="left" w:pos="0"/>
        </w:tabs>
        <w:spacing w:before="120" w:after="0" w:line="276" w:lineRule="auto"/>
        <w:ind w:firstLine="0"/>
        <w:jc w:val="left"/>
        <w:rPr>
          <w:rFonts w:eastAsia="Times New Roman" w:cs="Times New Roman"/>
          <w:lang w:val="hy-AM"/>
        </w:rPr>
      </w:pPr>
      <w:r w:rsidRPr="00A8776E">
        <w:rPr>
          <w:rFonts w:eastAsia="Times New Roman" w:cs="Times New Roman"/>
          <w:b/>
          <w:lang w:val="hy-AM"/>
        </w:rPr>
        <w:lastRenderedPageBreak/>
        <w:t>Գծապատկեր 2</w:t>
      </w:r>
      <w:r w:rsidRPr="006226AF">
        <w:rPr>
          <w:rFonts w:eastAsia="Times New Roman" w:cs="Times New Roman"/>
          <w:b/>
          <w:lang w:val="hy-AM"/>
        </w:rPr>
        <w:t xml:space="preserve">.5. </w:t>
      </w:r>
      <w:r w:rsidRPr="006226AF">
        <w:rPr>
          <w:rFonts w:eastAsia="Times New Roman" w:cs="Times New Roman"/>
          <w:lang w:val="hy-AM"/>
        </w:rPr>
        <w:t>ՀՀ կառավարության</w:t>
      </w:r>
      <w:r w:rsidRPr="00A8776E">
        <w:rPr>
          <w:rFonts w:eastAsia="Times New Roman" w:cs="Times New Roman"/>
          <w:lang w:val="hy-AM"/>
        </w:rPr>
        <w:t xml:space="preserve"> պարտքի դինամիկան և այն պայմանավորող գործոնները</w:t>
      </w:r>
      <w:r w:rsidRPr="00A8776E">
        <w:rPr>
          <w:rFonts w:eastAsia="Times New Roman" w:cs="Times New Roman"/>
          <w:vertAlign w:val="superscript"/>
          <w:lang w:val="hy-AM"/>
        </w:rPr>
        <w:footnoteReference w:id="21"/>
      </w:r>
    </w:p>
    <w:p w14:paraId="1720E3F3" w14:textId="77777777" w:rsidR="00BF0F38" w:rsidRPr="00D439F2" w:rsidRDefault="00BF0F38" w:rsidP="00BF0F38">
      <w:pPr>
        <w:tabs>
          <w:tab w:val="left" w:pos="0"/>
        </w:tabs>
        <w:spacing w:before="120" w:after="0" w:line="276" w:lineRule="auto"/>
        <w:ind w:firstLine="0"/>
        <w:rPr>
          <w:rFonts w:eastAsia="Times New Roman" w:cs="Times New Roman"/>
          <w:i/>
          <w:iCs/>
          <w:lang w:val="hy-AM"/>
        </w:rPr>
      </w:pPr>
      <w:r w:rsidRPr="00D439F2">
        <w:rPr>
          <w:rFonts w:eastAsia="Times New Roman" w:cs="Times New Roman"/>
          <w:noProof/>
        </w:rPr>
        <w:drawing>
          <wp:inline distT="0" distB="0" distL="0" distR="0" wp14:anchorId="6EBC3292" wp14:editId="44ED0A44">
            <wp:extent cx="2916000" cy="2880000"/>
            <wp:effectExtent l="0" t="0" r="17780" b="15875"/>
            <wp:docPr id="16120841" name="Chart 161208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D439F2">
        <w:rPr>
          <w:rFonts w:eastAsia="Times New Roman" w:cs="Times New Roman"/>
          <w:noProof/>
        </w:rPr>
        <w:drawing>
          <wp:inline distT="0" distB="0" distL="0" distR="0" wp14:anchorId="54AFBD07" wp14:editId="74F385B7">
            <wp:extent cx="2916000" cy="2880000"/>
            <wp:effectExtent l="0" t="0" r="17780" b="15875"/>
            <wp:docPr id="16120842" name="Char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3D58F22" w14:textId="77777777" w:rsidR="00BF0F38" w:rsidRDefault="00BF0F38" w:rsidP="00BF0F38">
      <w:pPr>
        <w:tabs>
          <w:tab w:val="left" w:pos="0"/>
        </w:tabs>
        <w:spacing w:before="120" w:after="0" w:line="276" w:lineRule="auto"/>
        <w:ind w:firstLine="0"/>
        <w:contextualSpacing/>
        <w:jc w:val="left"/>
        <w:rPr>
          <w:rFonts w:eastAsia="Calibri" w:cs="Times New Roman"/>
          <w:i/>
          <w:sz w:val="18"/>
          <w:szCs w:val="16"/>
          <w:lang w:val="hy-AM"/>
        </w:rPr>
      </w:pPr>
      <w:r w:rsidRPr="00D439F2">
        <w:rPr>
          <w:rFonts w:eastAsia="Calibri" w:cs="Times New Roman"/>
          <w:i/>
          <w:sz w:val="18"/>
          <w:szCs w:val="16"/>
          <w:lang w:val="hy-AM"/>
        </w:rPr>
        <w:t>Աղբյուրը՝ ՀՀ ՖՆ</w:t>
      </w:r>
      <w:bookmarkEnd w:id="88"/>
      <w:bookmarkEnd w:id="89"/>
      <w:bookmarkEnd w:id="90"/>
      <w:bookmarkEnd w:id="91"/>
    </w:p>
    <w:p w14:paraId="12E0EB7D" w14:textId="77777777" w:rsidR="00BF0F38" w:rsidRPr="0082790F" w:rsidRDefault="00BF0F38" w:rsidP="00BF0F38">
      <w:pPr>
        <w:pStyle w:val="Heading3"/>
        <w:rPr>
          <w:rFonts w:eastAsia="Times New Roman" w:cs="Times New Roman"/>
          <w:color w:val="44546A" w:themeColor="text2"/>
          <w:sz w:val="24"/>
          <w:szCs w:val="24"/>
        </w:rPr>
      </w:pPr>
      <w:bookmarkStart w:id="93" w:name="_Toc138956189"/>
      <w:bookmarkStart w:id="94" w:name="_Toc170750547"/>
      <w:bookmarkStart w:id="95" w:name="_Toc170926308"/>
      <w:r w:rsidRPr="0082790F">
        <w:rPr>
          <w:rFonts w:eastAsia="Times New Roman" w:cs="Times New Roman"/>
          <w:color w:val="44546A" w:themeColor="text2"/>
          <w:sz w:val="24"/>
          <w:szCs w:val="24"/>
        </w:rPr>
        <w:t>2.4. ՀԱՐԿԱԲՅՈՒՋԵՏԱՅԻՆ ՌԻՍԿԵՐ</w:t>
      </w:r>
      <w:bookmarkEnd w:id="93"/>
      <w:bookmarkEnd w:id="94"/>
      <w:bookmarkEnd w:id="95"/>
    </w:p>
    <w:p w14:paraId="59B6CF9C" w14:textId="77777777" w:rsidR="00BF0F38" w:rsidRPr="009053A7" w:rsidRDefault="00BF0F38" w:rsidP="005824C8">
      <w:pPr>
        <w:tabs>
          <w:tab w:val="left" w:pos="0"/>
        </w:tabs>
        <w:spacing w:before="120" w:after="0" w:line="276" w:lineRule="auto"/>
        <w:ind w:firstLine="0"/>
        <w:rPr>
          <w:rFonts w:eastAsia="Times New Roman" w:cs="Times New Roman"/>
          <w:lang w:val="hy-AM"/>
        </w:rPr>
      </w:pPr>
      <w:r w:rsidRPr="009053A7">
        <w:rPr>
          <w:rFonts w:eastAsia="Times New Roman" w:cs="Times New Roman"/>
          <w:lang w:val="hy-AM"/>
        </w:rPr>
        <w:t>Հարկաբյուջետային կանխատեսումները հիմնված են մի շարք ենթադրությունների և հիմնական դատողությունների վրա,  որոնց համար օգտագործվել է տվյալ պահի դրությամբ առկա և հասանելի ամբողջ տեղեկատվությունը: Ինչպես ցանկացած կանխատեսում, հարկաբյուջետային կանխատեսումները նույնպես պարունակում են ռիսկեր կապված նրա հետ, որ փաստացի իրադարձությունները կարող են տարբերվել սպասումներից: 2025-2027 թթ. ՄԺԾԾ հիմնական մակրոտնտեսական հարկաբյուջետային ռիսկերը հետևյալն են.</w:t>
      </w:r>
    </w:p>
    <w:p w14:paraId="55476C29" w14:textId="77777777" w:rsidR="00BF0F38" w:rsidRPr="0082790F"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82790F">
        <w:rPr>
          <w:rFonts w:eastAsia="Times New Roman" w:cs="Times New Roman"/>
          <w:b/>
          <w:lang w:val="hy-AM"/>
        </w:rPr>
        <w:t>Ներքին կամ արտաքին ցնցումների ներքո մակրոտնտեսական անբարենպաստ զարգացումների ռիսկ։</w:t>
      </w:r>
      <w:r w:rsidRPr="0082790F">
        <w:rPr>
          <w:rFonts w:eastAsia="Times New Roman" w:cs="Times New Roman"/>
          <w:lang w:val="hy-AM"/>
        </w:rPr>
        <w:t xml:space="preserve"> «1.5. Մակրոտնտեսական կանխատեսումների ռիսկերը» </w:t>
      </w:r>
      <w:r w:rsidRPr="00D2167A">
        <w:rPr>
          <w:rFonts w:eastAsia="Times New Roman" w:cs="Times New Roman"/>
          <w:lang w:val="hy-AM"/>
        </w:rPr>
        <w:t>բաժնում քննարկված՝ արտաքին կամ ներքին միջավայրից բխող ռիսկերը, ինչպես</w:t>
      </w:r>
      <w:r>
        <w:rPr>
          <w:rFonts w:eastAsia="Times New Roman" w:cs="Times New Roman"/>
          <w:lang w:val="hy-AM"/>
        </w:rPr>
        <w:t xml:space="preserve"> օրինակ</w:t>
      </w:r>
      <w:r w:rsidRPr="00D2167A">
        <w:rPr>
          <w:rFonts w:eastAsia="Times New Roman" w:cs="Times New Roman"/>
          <w:lang w:val="hy-AM"/>
        </w:rPr>
        <w:t xml:space="preserve"> </w:t>
      </w:r>
      <w:r>
        <w:rPr>
          <w:rFonts w:eastAsia="Times New Roman" w:cs="Times New Roman"/>
          <w:lang w:val="hy-AM"/>
        </w:rPr>
        <w:t>ռ</w:t>
      </w:r>
      <w:r w:rsidRPr="00D2167A">
        <w:rPr>
          <w:rFonts w:eastAsia="Times New Roman" w:cs="Times New Roman"/>
          <w:lang w:val="hy-AM"/>
        </w:rPr>
        <w:t>ուս-ուկրաինական պատերազմի արդյունքում առաջացած դրական գործոնների չեզոքացումը և մարդկանց ու կապիտալի գրանցված հոսքերի հետշրջումը, տարածաշրջանային և աշխարհաքաղաքական լարվածությունների սրման պայմաններում ներմուծվող ռազմավարական ապրանքների գների հնարավոր բարձրացումը, ՀՀ ապրանքների արտահանման մատակարարումների լոգիստիկ խնդիրների խորացումը  բացասաբար կանդր</w:t>
      </w:r>
      <w:r>
        <w:rPr>
          <w:rFonts w:eastAsia="Times New Roman" w:cs="Times New Roman"/>
          <w:lang w:val="hy-AM"/>
        </w:rPr>
        <w:t>ա</w:t>
      </w:r>
      <w:r w:rsidRPr="00D2167A">
        <w:rPr>
          <w:rFonts w:eastAsia="Times New Roman" w:cs="Times New Roman"/>
          <w:lang w:val="hy-AM"/>
        </w:rPr>
        <w:t xml:space="preserve">դառնան ֆինանսավորման պահանջի վրա՝ մի կողմից հանգեցնելով սպասվածից փոքր հարկման բազաների ձևավորման, մյուս կողմից՝ ծախսային ճնշումների մեծացման։ </w:t>
      </w:r>
    </w:p>
    <w:p w14:paraId="300D4E97" w14:textId="77777777" w:rsidR="00BF0F38" w:rsidRPr="0082790F"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D2167A">
        <w:rPr>
          <w:rFonts w:eastAsia="Times New Roman" w:cs="Times New Roman"/>
          <w:b/>
          <w:lang w:val="hy-AM"/>
        </w:rPr>
        <w:t>Հ</w:t>
      </w:r>
      <w:r w:rsidRPr="0082790F">
        <w:rPr>
          <w:rFonts w:eastAsia="Times New Roman" w:cs="Times New Roman"/>
          <w:b/>
          <w:lang w:val="hy-AM"/>
        </w:rPr>
        <w:t xml:space="preserve">արկեր/ՀՆԱ ցուցանիշի՝ </w:t>
      </w:r>
      <w:r w:rsidRPr="00D2167A">
        <w:rPr>
          <w:rFonts w:eastAsia="Times New Roman" w:cs="Times New Roman"/>
          <w:b/>
          <w:lang w:val="hy-AM"/>
        </w:rPr>
        <w:t xml:space="preserve">հարկային վարչարարության ազդեցությամբ </w:t>
      </w:r>
      <w:r w:rsidRPr="0082790F">
        <w:rPr>
          <w:rFonts w:eastAsia="Times New Roman" w:cs="Times New Roman"/>
          <w:b/>
          <w:lang w:val="hy-AM"/>
        </w:rPr>
        <w:t>սպասվ</w:t>
      </w:r>
      <w:r w:rsidRPr="00D2167A">
        <w:rPr>
          <w:rFonts w:eastAsia="Times New Roman" w:cs="Times New Roman"/>
          <w:b/>
          <w:lang w:val="hy-AM"/>
        </w:rPr>
        <w:t>ող</w:t>
      </w:r>
      <w:r>
        <w:rPr>
          <w:rFonts w:eastAsia="Times New Roman" w:cs="Times New Roman"/>
          <w:b/>
          <w:lang w:val="hy-AM"/>
        </w:rPr>
        <w:t>ից</w:t>
      </w:r>
      <w:r w:rsidRPr="00D2167A">
        <w:rPr>
          <w:rFonts w:eastAsia="Times New Roman" w:cs="Times New Roman"/>
          <w:b/>
          <w:lang w:val="hy-AM"/>
        </w:rPr>
        <w:t xml:space="preserve"> </w:t>
      </w:r>
      <w:r w:rsidRPr="0082790F">
        <w:rPr>
          <w:rFonts w:eastAsia="Times New Roman" w:cs="Times New Roman"/>
          <w:b/>
          <w:lang w:val="hy-AM"/>
        </w:rPr>
        <w:t>ավելի դանդաղ բարելավման ռիսկ։</w:t>
      </w:r>
      <w:r w:rsidRPr="0082790F">
        <w:rPr>
          <w:rFonts w:eastAsia="Times New Roman" w:cs="Times New Roman"/>
          <w:lang w:val="hy-AM"/>
        </w:rPr>
        <w:t xml:space="preserve"> Միջնաժամկետ հատվածի համար պլանավորված</w:t>
      </w:r>
      <w:r w:rsidRPr="00D2167A">
        <w:rPr>
          <w:rFonts w:eastAsia="Times New Roman" w:cs="Times New Roman"/>
          <w:lang w:val="hy-AM"/>
        </w:rPr>
        <w:t>՝ միջինում 0</w:t>
      </w:r>
      <w:r w:rsidRPr="00D2167A">
        <w:rPr>
          <w:rFonts w:ascii="Cambria Math" w:eastAsia="Times New Roman" w:hAnsi="Cambria Math" w:cs="Cambria Math"/>
          <w:lang w:val="hy-AM"/>
        </w:rPr>
        <w:t>․</w:t>
      </w:r>
      <w:r w:rsidRPr="0082790F">
        <w:rPr>
          <w:rFonts w:eastAsia="Times New Roman" w:cs="Times New Roman"/>
          <w:lang w:val="hy-AM"/>
        </w:rPr>
        <w:t>6%-ային կետով հարկեր/ՀՆԱ բարելավումներ</w:t>
      </w:r>
      <w:r w:rsidRPr="00D2167A">
        <w:rPr>
          <w:rFonts w:eastAsia="Times New Roman" w:cs="Times New Roman"/>
          <w:lang w:val="hy-AM"/>
        </w:rPr>
        <w:t>ում հարկային վարչարարության մասնակցությունը 0</w:t>
      </w:r>
      <w:r w:rsidRPr="00D2167A">
        <w:rPr>
          <w:rFonts w:ascii="Cambria Math" w:eastAsia="Times New Roman" w:hAnsi="Cambria Math" w:cs="Cambria Math"/>
          <w:lang w:val="hy-AM"/>
        </w:rPr>
        <w:t>․</w:t>
      </w:r>
      <w:r w:rsidRPr="0082790F">
        <w:rPr>
          <w:rFonts w:eastAsia="Times New Roman" w:cs="Times New Roman"/>
          <w:lang w:val="hy-AM"/>
        </w:rPr>
        <w:t xml:space="preserve">5%-ային կետ է, իսկ տարբերությունը ձևավորվում է հարկային </w:t>
      </w:r>
      <w:r w:rsidRPr="0082790F">
        <w:rPr>
          <w:rFonts w:eastAsia="Times New Roman" w:cs="Times New Roman"/>
          <w:lang w:val="hy-AM"/>
        </w:rPr>
        <w:lastRenderedPageBreak/>
        <w:t>օրենսդրության բար</w:t>
      </w:r>
      <w:r>
        <w:rPr>
          <w:rFonts w:eastAsia="Times New Roman" w:cs="Times New Roman"/>
          <w:lang w:val="hy-AM"/>
        </w:rPr>
        <w:t>ե</w:t>
      </w:r>
      <w:r w:rsidRPr="0082790F">
        <w:rPr>
          <w:rFonts w:eastAsia="Times New Roman" w:cs="Times New Roman"/>
          <w:lang w:val="hy-AM"/>
        </w:rPr>
        <w:t>փ</w:t>
      </w:r>
      <w:r>
        <w:rPr>
          <w:rFonts w:eastAsia="Times New Roman" w:cs="Times New Roman"/>
          <w:lang w:val="hy-AM"/>
        </w:rPr>
        <w:t>ո</w:t>
      </w:r>
      <w:r w:rsidRPr="0082790F">
        <w:rPr>
          <w:rFonts w:eastAsia="Times New Roman" w:cs="Times New Roman"/>
          <w:lang w:val="hy-AM"/>
        </w:rPr>
        <w:t xml:space="preserve">խումների, տնտեսության կառուցվածքի փոփոխության և տնտեսական պարբերաշրջանի ազդեցության ներքո։ </w:t>
      </w:r>
      <w:r w:rsidRPr="00D2167A">
        <w:rPr>
          <w:rFonts w:eastAsia="Times New Roman" w:cs="Times New Roman"/>
          <w:lang w:val="hy-AM"/>
        </w:rPr>
        <w:t xml:space="preserve">Ընդ որում, հարկային վարչարարության արդյունքում հարկեր/ՀՆԱ բարելավումները պետք է տեղի ունենան հարկային վարչարարության առկա ճեղքի նվազեցման հաշվին, որի վրա հարկային վարչարարության միջոցառումների ազդեցությունը ոչ գծային է։ Հարկային վարչարարության ազդեցությամբ հարկեր/ՀՆԱ ցուցանիշի բարելավման ռիսկը ներառվել է հարկային  «2025-2027 թվականների ՄԺԾԾ հարկային եկամուտների վրա մակրոտնտեսական ցուցանիշների կանխատեսվածից շեղման ռիսկերի ազդեցության քանակական գնահատումը» բաժնում քանակական տեսքի բերված հարկաբյուջետային ռիսկերի շրջանակում։ </w:t>
      </w:r>
    </w:p>
    <w:p w14:paraId="098CCDB3" w14:textId="77777777" w:rsidR="00BF0F38" w:rsidRPr="0082790F"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82790F">
        <w:rPr>
          <w:rFonts w:eastAsia="Times New Roman" w:cs="Times New Roman"/>
          <w:b/>
          <w:lang w:val="hy-AM"/>
        </w:rPr>
        <w:t>Միջազգային ֆինանսական շուկաների անկայունության և ֆինանսավորման պայմանների վատթարացման ռիսկ։</w:t>
      </w:r>
      <w:r w:rsidRPr="0082790F">
        <w:rPr>
          <w:rFonts w:eastAsia="Times New Roman" w:cs="Times New Roman"/>
          <w:lang w:val="hy-AM"/>
        </w:rPr>
        <w:t xml:space="preserve"> Զարգացած երկրն</w:t>
      </w:r>
      <w:r w:rsidRPr="00D2167A">
        <w:rPr>
          <w:rFonts w:eastAsia="Times New Roman" w:cs="Times New Roman"/>
          <w:lang w:val="hy-AM"/>
        </w:rPr>
        <w:t xml:space="preserve">երում տոկոսադրույքների սպասվող նվազեցման փոխարեն դրանց բարձր մակարդակի պահպանումը կամ հետագա աճը, ցածր եկամտային և զարգացող երկրներում պարտքային հիմնախնդիրների սրումը, համաշխարհային ֆինանսական շուկայում այլ ռիսկերի առարկայացումը կարող է վատթարացնել միջազգային ֆինանսական շուկաներից փոխառությունների պայմանները ՀՀ կառավարության համար և դժվարեցնել բյուջեի պակասուրդի ֆինանսավորումը։ Պարտքի կայունության և պարտքի կառավարման ռազմավարության իրականացման համար նման ռիսկերի շրջանակն արտացոլված է համապատասխան բաժիններում։ </w:t>
      </w:r>
      <w:r w:rsidRPr="0082790F">
        <w:rPr>
          <w:rFonts w:eastAsia="Times New Roman" w:cs="Times New Roman"/>
          <w:lang w:val="hy-AM"/>
        </w:rPr>
        <w:t xml:space="preserve"> </w:t>
      </w:r>
    </w:p>
    <w:p w14:paraId="79BC1381" w14:textId="77777777" w:rsidR="00BF0F38" w:rsidRPr="0082790F"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82790F">
        <w:rPr>
          <w:rFonts w:eastAsia="Times New Roman" w:cs="Times New Roman"/>
          <w:b/>
          <w:lang w:val="hy-AM"/>
        </w:rPr>
        <w:t>Լրացուցիչ ֆինանսավորման պահանջ առաջացնող այլ ներքին ռիսկեր։</w:t>
      </w:r>
      <w:r w:rsidRPr="0082790F">
        <w:rPr>
          <w:rFonts w:eastAsia="Times New Roman" w:cs="Times New Roman"/>
          <w:lang w:val="hy-AM"/>
        </w:rPr>
        <w:t xml:space="preserve"> Նման ռիսկերի շարքում են</w:t>
      </w:r>
      <w:r w:rsidRPr="00C5441E">
        <w:rPr>
          <w:rFonts w:eastAsia="Times New Roman" w:cs="Times New Roman"/>
          <w:lang w:val="hy-AM"/>
        </w:rPr>
        <w:t xml:space="preserve"> </w:t>
      </w:r>
      <w:r>
        <w:rPr>
          <w:rFonts w:eastAsia="Times New Roman" w:cs="Times New Roman"/>
          <w:lang w:val="hy-AM"/>
        </w:rPr>
        <w:t>Լոռու և Տավուշի մարզերում տեղի ունեցած ջրհեղեղի հետևանքների հաղթահարման համար ֆինանսավորման կարիքը,</w:t>
      </w:r>
      <w:r w:rsidRPr="0082790F">
        <w:rPr>
          <w:rFonts w:eastAsia="Times New Roman" w:cs="Times New Roman"/>
          <w:lang w:val="hy-AM"/>
        </w:rPr>
        <w:t xml:space="preserve"> Լեռնային Ղարաբաղից բռնի տեղահանված անձանց՝ ՀՀ տնտեսության ինտեգրման </w:t>
      </w:r>
      <w:r>
        <w:rPr>
          <w:rFonts w:eastAsia="Times New Roman" w:cs="Times New Roman"/>
          <w:lang w:val="hy-AM"/>
        </w:rPr>
        <w:t>դանդաղումը և</w:t>
      </w:r>
      <w:r w:rsidRPr="0082790F">
        <w:rPr>
          <w:rFonts w:eastAsia="Times New Roman" w:cs="Times New Roman"/>
          <w:lang w:val="hy-AM"/>
        </w:rPr>
        <w:t xml:space="preserve"> աջակցության ծրագրերի երկարաձգումը</w:t>
      </w:r>
      <w:r>
        <w:rPr>
          <w:rFonts w:eastAsia="Times New Roman" w:cs="Times New Roman"/>
          <w:lang w:val="hy-AM"/>
        </w:rPr>
        <w:t>,</w:t>
      </w:r>
      <w:r w:rsidRPr="0082790F">
        <w:rPr>
          <w:rFonts w:eastAsia="Times New Roman" w:cs="Times New Roman"/>
          <w:lang w:val="hy-AM"/>
        </w:rPr>
        <w:t xml:space="preserve"> տարածաշրջանային անվտանգային միջավայրի վատթարացման պայմաններում անվտանգությանն ու պաշտպանությանն ուղղվող միջոցների ծավալի աճի լրացուցիչ կարիքի առաջացումը, ՀՀ դրամի արժևորման արդյունքում արտահանելի հատվածի համար տնտեսական աջակցության լրացուցիչ ծրագրերի իրականացումը և այլ</w:t>
      </w:r>
      <w:r>
        <w:rPr>
          <w:rFonts w:eastAsia="Times New Roman" w:cs="Times New Roman"/>
          <w:lang w:val="hy-AM"/>
        </w:rPr>
        <w:t xml:space="preserve"> հնարավոր ծախսային ճնշումները</w:t>
      </w:r>
      <w:r w:rsidRPr="0082790F">
        <w:rPr>
          <w:rFonts w:eastAsia="Times New Roman" w:cs="Times New Roman"/>
          <w:lang w:val="hy-AM"/>
        </w:rPr>
        <w:t xml:space="preserve">։ </w:t>
      </w:r>
    </w:p>
    <w:p w14:paraId="3F454701" w14:textId="77777777" w:rsidR="00BF0F38" w:rsidRPr="00D2167A"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Pr>
          <w:rFonts w:eastAsia="Times New Roman" w:cs="Times New Roman"/>
          <w:b/>
          <w:lang w:val="hy-AM"/>
        </w:rPr>
        <w:t xml:space="preserve">Ծախսերի թերակատարում և </w:t>
      </w:r>
      <w:r w:rsidRPr="0082790F">
        <w:rPr>
          <w:rFonts w:eastAsia="Times New Roman" w:cs="Times New Roman"/>
          <w:b/>
          <w:lang w:val="hy-AM"/>
        </w:rPr>
        <w:t>ավելի թույլ խթանող ազդակի ձևավորում</w:t>
      </w:r>
      <w:r w:rsidRPr="0082790F">
        <w:rPr>
          <w:rFonts w:eastAsia="Times New Roman" w:cs="Times New Roman"/>
          <w:lang w:val="hy-AM"/>
        </w:rPr>
        <w:t>:</w:t>
      </w:r>
      <w:r w:rsidRPr="00D2167A">
        <w:rPr>
          <w:rFonts w:eastAsia="Times New Roman" w:cs="Times New Roman"/>
          <w:lang w:val="hy-AM"/>
        </w:rPr>
        <w:t xml:space="preserve"> 2025-2027թթ. ՄԺԾԾ հարկաբյուջետային սցենարում նախատեսվել է կապիտալ ծախսերի զգալի աճ՝ 2026 թվական</w:t>
      </w:r>
      <w:r>
        <w:rPr>
          <w:rFonts w:eastAsia="Times New Roman" w:cs="Times New Roman"/>
          <w:lang w:val="hy-AM"/>
        </w:rPr>
        <w:t>ին</w:t>
      </w:r>
      <w:r w:rsidRPr="00D2167A">
        <w:rPr>
          <w:rFonts w:eastAsia="Times New Roman" w:cs="Times New Roman"/>
          <w:lang w:val="hy-AM"/>
        </w:rPr>
        <w:t xml:space="preserve"> հասցնելով դրանց մակարդակը ՀՆԱ-ի 7.1%</w:t>
      </w:r>
      <w:r w:rsidRPr="00D2167A">
        <w:rPr>
          <w:rFonts w:eastAsia="Times New Roman" w:cs="Times New Roman"/>
          <w:lang w:val="hy-AM"/>
        </w:rPr>
        <w:noBreakHyphen/>
      </w:r>
      <w:r>
        <w:rPr>
          <w:rFonts w:eastAsia="Times New Roman" w:cs="Times New Roman"/>
          <w:lang w:val="hy-AM"/>
        </w:rPr>
        <w:t>ի</w:t>
      </w:r>
      <w:r w:rsidRPr="00D2167A">
        <w:rPr>
          <w:rFonts w:eastAsia="Times New Roman" w:cs="Times New Roman"/>
          <w:lang w:val="hy-AM"/>
        </w:rPr>
        <w:t xml:space="preserve">: Սակայն հաշվի առնելով նախորդ տարիների փաստացի կատարողականները (չնայած այն հանգամանքին, որ առկա է եղել կատարողականների բարելավման միտում), առկա է ծրագրավորված ցուցանիշների թերակատարման ռիսկ, ինչը կարող է բացասական ազդեցություն ունենալ </w:t>
      </w:r>
      <w:r>
        <w:rPr>
          <w:rFonts w:eastAsia="Times New Roman" w:cs="Times New Roman"/>
          <w:lang w:val="hy-AM"/>
        </w:rPr>
        <w:t xml:space="preserve">ինչպես ամբողջական պահանջարկի և ընթացիկ </w:t>
      </w:r>
      <w:r w:rsidRPr="00D2167A">
        <w:rPr>
          <w:rFonts w:eastAsia="Times New Roman" w:cs="Times New Roman"/>
          <w:lang w:val="hy-AM"/>
        </w:rPr>
        <w:t xml:space="preserve">տնտեսական </w:t>
      </w:r>
      <w:r>
        <w:rPr>
          <w:rFonts w:eastAsia="Times New Roman" w:cs="Times New Roman"/>
          <w:lang w:val="hy-AM"/>
        </w:rPr>
        <w:t>ցուցանիշների վրա</w:t>
      </w:r>
      <w:r w:rsidRPr="00D2167A">
        <w:rPr>
          <w:rFonts w:eastAsia="Times New Roman" w:cs="Times New Roman"/>
          <w:lang w:val="hy-AM"/>
        </w:rPr>
        <w:t xml:space="preserve">, </w:t>
      </w:r>
      <w:r>
        <w:rPr>
          <w:rFonts w:eastAsia="Times New Roman" w:cs="Times New Roman"/>
          <w:lang w:val="hy-AM"/>
        </w:rPr>
        <w:t xml:space="preserve">այնպես էլ ունենալ երկարաժամկետ ազդեցություններ տնտեսության ներուժի վրա։ </w:t>
      </w:r>
    </w:p>
    <w:p w14:paraId="5FC1D70A" w14:textId="77777777" w:rsidR="00BF0F38" w:rsidRPr="009053A7" w:rsidRDefault="00BF0F38" w:rsidP="005824C8">
      <w:pPr>
        <w:tabs>
          <w:tab w:val="left" w:pos="0"/>
          <w:tab w:val="left" w:pos="284"/>
        </w:tabs>
        <w:spacing w:before="120" w:after="0" w:line="276" w:lineRule="auto"/>
        <w:ind w:firstLine="0"/>
        <w:rPr>
          <w:rFonts w:eastAsia="Times New Roman" w:cs="Times New Roman"/>
          <w:b/>
          <w:lang w:val="hy-AM"/>
        </w:rPr>
      </w:pPr>
      <w:r w:rsidRPr="009053A7">
        <w:rPr>
          <w:rFonts w:eastAsia="Times New Roman" w:cs="Times New Roman"/>
          <w:b/>
          <w:lang w:val="hy-AM"/>
        </w:rPr>
        <w:t>Հարկաբյուջետային շրջանակի հնարավոր փոփոխությունները մակրոտնտեսական կանխատեսումների շեղումների դեպքում և սթրես թեստերի ներքո</w:t>
      </w:r>
      <w:r w:rsidRPr="009053A7">
        <w:rPr>
          <w:rFonts w:eastAsia="Times New Roman" w:cs="Times New Roman"/>
          <w:b/>
          <w:vertAlign w:val="superscript"/>
          <w:lang w:val="hy-AM"/>
        </w:rPr>
        <w:footnoteReference w:id="22"/>
      </w:r>
      <w:r w:rsidRPr="009053A7">
        <w:rPr>
          <w:rFonts w:eastAsia="Times New Roman" w:cs="Times New Roman"/>
          <w:b/>
          <w:lang w:val="hy-AM"/>
        </w:rPr>
        <w:t>.</w:t>
      </w:r>
    </w:p>
    <w:p w14:paraId="2A638721" w14:textId="77777777" w:rsidR="00BF0F38" w:rsidRPr="00E56A95" w:rsidRDefault="00BF0F38" w:rsidP="005824C8">
      <w:pPr>
        <w:numPr>
          <w:ilvl w:val="1"/>
          <w:numId w:val="20"/>
        </w:numPr>
        <w:tabs>
          <w:tab w:val="left" w:pos="0"/>
          <w:tab w:val="left" w:pos="284"/>
          <w:tab w:val="left" w:pos="567"/>
        </w:tabs>
        <w:spacing w:before="120" w:after="0" w:line="276" w:lineRule="auto"/>
        <w:ind w:left="0" w:firstLine="0"/>
        <w:contextualSpacing/>
        <w:rPr>
          <w:rFonts w:eastAsia="Calibri" w:cs="Times New Roman"/>
          <w:lang w:val="hy-AM"/>
        </w:rPr>
      </w:pPr>
      <w:r w:rsidRPr="009053A7">
        <w:rPr>
          <w:rFonts w:eastAsia="Times New Roman" w:cs="Times New Roman"/>
          <w:b/>
          <w:lang w:val="hy-AM"/>
        </w:rPr>
        <w:t>Հարկային եկամուտներ:</w:t>
      </w:r>
      <w:r w:rsidRPr="009053A7">
        <w:rPr>
          <w:rFonts w:eastAsia="Times New Roman" w:cs="Times New Roman"/>
          <w:lang w:val="hy-AM"/>
        </w:rPr>
        <w:t xml:space="preserve"> Միջնաժամկետ հորիզոնում ՀՀ պետական բյուջեի հարկային </w:t>
      </w:r>
      <w:r w:rsidRPr="00E56A95">
        <w:rPr>
          <w:rFonts w:eastAsia="Times New Roman" w:cs="Times New Roman"/>
          <w:lang w:val="hy-AM"/>
        </w:rPr>
        <w:t xml:space="preserve">եկամուտների վրա գնահատված է մակրոտնտեսական ցուցանիշների՝ իրական ՀՆԱ-ի աճի, </w:t>
      </w:r>
      <w:r w:rsidRPr="00E56A95">
        <w:rPr>
          <w:rFonts w:eastAsia="Times New Roman" w:cs="Times New Roman"/>
          <w:lang w:val="hy-AM"/>
        </w:rPr>
        <w:lastRenderedPageBreak/>
        <w:t>գնաճի, փոխարժեքի տատանողականության և ներմուծման ռիսկերի շեղման ամփոփ գնահատականը, ինչպես նաև հարկային եկամուտների վարչարարության բարելավման ռիսկեր: Հարկային եկամուտների վրա ազդող վերոնշյալ ռիսկերի միաժամանակյա ի հայտ գալու պարագայում հարկային եկամուտների ծրագրված մակարդակից շեղումը կկազմի շուրջ 115.8 մլրդ ՀՀ դրամ 2025 թ</w:t>
      </w:r>
      <w:r w:rsidRPr="00E56A95">
        <w:rPr>
          <w:rFonts w:ascii="Cambria Math" w:eastAsia="Times New Roman" w:hAnsi="Cambria Math" w:cs="Cambria Math"/>
          <w:lang w:val="hy-AM"/>
        </w:rPr>
        <w:t>.</w:t>
      </w:r>
      <w:r w:rsidRPr="00E56A95">
        <w:rPr>
          <w:rFonts w:eastAsia="Times New Roman" w:cs="Times New Roman"/>
          <w:lang w:val="hy-AM"/>
        </w:rPr>
        <w:t>, 160.0 մլրդ ՀՀ դրամ 2026 թ</w:t>
      </w:r>
      <w:r w:rsidRPr="00E56A95">
        <w:rPr>
          <w:rFonts w:ascii="Cambria Math" w:eastAsia="Times New Roman" w:hAnsi="Cambria Math" w:cs="Cambria Math"/>
          <w:lang w:val="hy-AM"/>
        </w:rPr>
        <w:t>.</w:t>
      </w:r>
      <w:r w:rsidRPr="00E56A95">
        <w:rPr>
          <w:rFonts w:eastAsia="Times New Roman" w:cs="Times New Roman"/>
          <w:lang w:val="hy-AM"/>
        </w:rPr>
        <w:t xml:space="preserve"> և 182.4 մլրդ ՀՀ դրամ 2027 թ</w:t>
      </w:r>
      <w:r w:rsidRPr="00E56A95">
        <w:rPr>
          <w:rFonts w:ascii="Cambria Math" w:eastAsia="Times New Roman" w:hAnsi="Cambria Math" w:cs="Cambria Math"/>
          <w:lang w:val="hy-AM"/>
        </w:rPr>
        <w:t>.</w:t>
      </w:r>
      <w:r w:rsidRPr="00E56A95">
        <w:rPr>
          <w:rFonts w:eastAsia="Times New Roman" w:cs="Times New Roman"/>
          <w:lang w:val="hy-AM"/>
        </w:rPr>
        <w:t>:</w:t>
      </w:r>
    </w:p>
    <w:p w14:paraId="4743D76D" w14:textId="77777777" w:rsidR="00BF0F38" w:rsidRPr="00E56A95"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E56A95">
        <w:rPr>
          <w:rFonts w:eastAsia="Times New Roman" w:cs="Times New Roman"/>
          <w:b/>
          <w:lang w:val="hy-AM"/>
        </w:rPr>
        <w:t>Պետական բյուջեի ծախսեր:</w:t>
      </w:r>
      <w:r w:rsidRPr="00E56A95">
        <w:rPr>
          <w:rFonts w:eastAsia="Times New Roman" w:cs="Times New Roman"/>
          <w:lang w:val="hy-AM"/>
        </w:rPr>
        <w:t xml:space="preserve"> Կանխատեսումներում մեծ ուշադրություն է դարձվում նաև պետական բյուջեի ծախսերի պլանավորված մակարդակների ապահովումը խաթարող ռիսկերին, որոնք կարող են հանգեցնել լրացուցիչ ֆինանսավորման պահանջի առաջացման: ՀՀ պետական բյուջեի ծախսերի վրա գնահատված է մակրոտնտեսական ցուցանիշների՝ իրական ՀՆԱ-ի աճի, գնաճի, փոխարժեքի տատանողականության և ներմուծման, կանխատեսումներից շեղման, ինչպես նաև՝ հարկային քաղաքականության և վարչարարության պլանավորված ուղեգծից ավելի դանդաղ իրականացման  ռիսկերի ամփոփ գնահատականը։ Նշված ռիսկերի միաժամանակյա ի հայտ գալու պարագայում 2025-2027 թթ</w:t>
      </w:r>
      <w:r w:rsidRPr="00E56A95">
        <w:rPr>
          <w:rFonts w:ascii="Cambria Math" w:eastAsia="Times New Roman" w:hAnsi="Cambria Math" w:cs="Cambria Math"/>
          <w:lang w:val="hy-AM"/>
        </w:rPr>
        <w:t>.</w:t>
      </w:r>
      <w:r w:rsidRPr="00E56A95">
        <w:rPr>
          <w:rFonts w:eastAsia="Times New Roman" w:cs="Times New Roman"/>
          <w:lang w:val="hy-AM"/>
        </w:rPr>
        <w:t xml:space="preserve"> լրացուցիչ ֆինանսավորման պահանջը կկազմի շուրջ 124.5</w:t>
      </w:r>
      <w:r w:rsidRPr="00E56A95">
        <w:rPr>
          <w:rFonts w:eastAsia="Times New Roman" w:cs="Sylfaen"/>
          <w:lang w:val="hy-AM"/>
        </w:rPr>
        <w:t xml:space="preserve">–201 մլրդ ՀՀ դրամ կամ ՀՆԱ-ի 1.1-1.5%-ը: </w:t>
      </w:r>
    </w:p>
    <w:p w14:paraId="10AC53A8" w14:textId="77777777" w:rsidR="00BF0F38" w:rsidRPr="00D267CC" w:rsidRDefault="00BF0F38" w:rsidP="005824C8">
      <w:pPr>
        <w:numPr>
          <w:ilvl w:val="1"/>
          <w:numId w:val="20"/>
        </w:numPr>
        <w:tabs>
          <w:tab w:val="left" w:pos="0"/>
          <w:tab w:val="left" w:pos="284"/>
          <w:tab w:val="left" w:pos="567"/>
        </w:tabs>
        <w:spacing w:before="120" w:after="0" w:line="276" w:lineRule="auto"/>
        <w:ind w:left="0" w:firstLine="0"/>
        <w:contextualSpacing/>
        <w:rPr>
          <w:rFonts w:eastAsia="Times New Roman" w:cs="Times New Roman"/>
          <w:lang w:val="hy-AM"/>
        </w:rPr>
      </w:pPr>
      <w:r w:rsidRPr="00E56A95">
        <w:rPr>
          <w:rFonts w:eastAsia="Times New Roman" w:cs="Times New Roman"/>
          <w:b/>
          <w:lang w:val="hy-AM"/>
        </w:rPr>
        <w:t xml:space="preserve">ՀՀ կառավարության պարտք։ </w:t>
      </w:r>
      <w:r w:rsidRPr="00E56A95">
        <w:rPr>
          <w:rFonts w:eastAsia="Times New Roman" w:cs="Times New Roman"/>
          <w:lang w:val="hy-AM"/>
        </w:rPr>
        <w:t>Միջնաժամկետ հատվածի համար նախանշած՝ պարտքի կայուն և կառավարելի</w:t>
      </w:r>
      <w:r w:rsidRPr="00D267CC">
        <w:rPr>
          <w:rFonts w:eastAsia="Times New Roman" w:cs="Times New Roman"/>
          <w:lang w:val="hy-AM"/>
        </w:rPr>
        <w:t xml:space="preserve"> մակարդակի պահպանման հարկաբյուջետային սցենարի վրա հիմնված պարտքի ռիսկերի գնահատումը ցույց է տվել, որ ինչպես ՀՀ կառավարության պարտքի, այնպես էլ պարտքի </w:t>
      </w:r>
      <w:r w:rsidRPr="00D267CC">
        <w:rPr>
          <w:rFonts w:eastAsia="Times New Roman" w:cs="Times New Roman"/>
          <w:szCs w:val="24"/>
          <w:lang w:val="hy-AM"/>
        </w:rPr>
        <w:t xml:space="preserve">սպասարկման ռիսկերը գնահատվում են ցածր, թեպետ նաև տեսանելի է, որ նոր հնարավոր շոկերը </w:t>
      </w:r>
      <w:r w:rsidRPr="00D267CC">
        <w:rPr>
          <w:rFonts w:eastAsia="Times New Roman" w:cs="Times New Roman"/>
          <w:lang w:val="hy-AM"/>
        </w:rPr>
        <w:t xml:space="preserve">(հատկապես՝ մի քանի շոկերի համադրությունը) կարող են վտանգել պարտքի կայունությունը։ Բացի այդ, պարտքի կառուցվածքը, չնայած վերջին տարիներին դիտված զգալի բարելավմանը, շարունակում է պարտքի պորտֆելի համար միջին կամ բարձր խոցելիություն ազդանշել, իսկ պարտք ձևավորող գործոնների պատմական տատանողականությունը՝ պատմությունից պրոյեկտվող բարձր անորոշություն ապագայի համար։ Միաժամանակ, մակրոտնտեսական ենթադրություններից շեղումների ռիսկերը գնահատելու համար իրականացվել է սցենարային վերլուծություն, որը ցույց է տվել, որ սույն փաստաթղթում քննարկվող մակրոտնտեսական և հարկաբյուջետային ռիսկերի նյութականացման որոշակի սցենարների դեպքում պարտքի հետագիծը (ի վերջո, նաև մակարդակը) անկայուն կդառնա։ </w:t>
      </w:r>
    </w:p>
    <w:p w14:paraId="3E120C74" w14:textId="77777777" w:rsidR="00BF0F38" w:rsidRPr="00826519" w:rsidRDefault="00BF0F38" w:rsidP="005824C8">
      <w:pPr>
        <w:tabs>
          <w:tab w:val="left" w:pos="0"/>
        </w:tabs>
        <w:spacing w:before="120" w:after="0" w:line="276" w:lineRule="auto"/>
        <w:ind w:firstLine="0"/>
        <w:rPr>
          <w:rFonts w:eastAsia="Times New Roman" w:cs="Times New Roman"/>
          <w:lang w:val="hy-AM"/>
        </w:rPr>
      </w:pPr>
      <w:r w:rsidRPr="007770DD">
        <w:rPr>
          <w:rFonts w:eastAsia="Times New Roman" w:cs="Times New Roman"/>
          <w:lang w:val="hy-AM"/>
        </w:rPr>
        <w:t>Ամփոփելով հարկաբյուջետային ռիսկերի նկարագրությունը կարող ենք նշել, որ 2025-2027 թթ</w:t>
      </w:r>
      <w:r w:rsidRPr="007770DD">
        <w:rPr>
          <w:rFonts w:ascii="Cambria Math" w:eastAsia="Times New Roman" w:hAnsi="Cambria Math" w:cs="Cambria Math"/>
          <w:lang w:val="hy-AM"/>
        </w:rPr>
        <w:t>.</w:t>
      </w:r>
      <w:r w:rsidRPr="007770DD">
        <w:rPr>
          <w:rFonts w:eastAsia="Times New Roman" w:cs="Times New Roman"/>
          <w:lang w:val="hy-AM"/>
        </w:rPr>
        <w:t xml:space="preserve"> ՄԺԾԾ հարկաբյուջետային շրջանակի հիմնական ռիսկերը վերաբերում են </w:t>
      </w:r>
      <w:r>
        <w:rPr>
          <w:rFonts w:eastAsia="Times New Roman" w:cs="Times New Roman"/>
          <w:lang w:val="hy-AM"/>
        </w:rPr>
        <w:t>մակրոտնտեսական անբարենպաստ զարգացումներին, հարկային եկամուտներ/ՀՆԱ ցուցանիշի թիրախավորված բարելավումների ոչ ամբողջական ապահովմանը, միջազգային ֆինանսական շուկաների իրավիճակի վատթարացմանը և ՀՀ կառավարության փոխառության հնարավորությունների սահմանափակմանը, լրացուցիչ ծախսային կարիքների առաջացմանը, ծ</w:t>
      </w:r>
      <w:r w:rsidRPr="00F56A94">
        <w:rPr>
          <w:rFonts w:eastAsia="Times New Roman" w:cs="Times New Roman"/>
          <w:lang w:val="hy-AM"/>
        </w:rPr>
        <w:t>ախսերի թերակատարմ</w:t>
      </w:r>
      <w:r>
        <w:rPr>
          <w:rFonts w:eastAsia="Times New Roman" w:cs="Times New Roman"/>
          <w:lang w:val="hy-AM"/>
        </w:rPr>
        <w:t>անը</w:t>
      </w:r>
      <w:r w:rsidRPr="00F56A94">
        <w:rPr>
          <w:rFonts w:eastAsia="Times New Roman" w:cs="Times New Roman"/>
          <w:lang w:val="hy-AM"/>
        </w:rPr>
        <w:t xml:space="preserve"> և ավելի թույլ խթանող ազդակի ձևավորմ</w:t>
      </w:r>
      <w:r>
        <w:rPr>
          <w:rFonts w:eastAsia="Times New Roman" w:cs="Times New Roman"/>
          <w:lang w:val="hy-AM"/>
        </w:rPr>
        <w:t xml:space="preserve">անը։ </w:t>
      </w:r>
      <w:r w:rsidRPr="00826519">
        <w:rPr>
          <w:rFonts w:eastAsia="Times New Roman" w:cs="Times New Roman"/>
          <w:lang w:val="hy-AM"/>
        </w:rPr>
        <w:t>Սցենարային վերլուծության միջոցով նշված ռիսկերին տրվել է քանակական արտահայտություն, և դրանց կառավարման համար ձեռնարկվել են համարժեք միջոցառումներ՝</w:t>
      </w:r>
      <w:r w:rsidRPr="00C5441E">
        <w:rPr>
          <w:rFonts w:eastAsia="Times New Roman" w:cs="Times New Roman"/>
          <w:lang w:val="hy-AM"/>
        </w:rPr>
        <w:t xml:space="preserve"> </w:t>
      </w:r>
      <w:r w:rsidRPr="009E5286">
        <w:rPr>
          <w:rFonts w:eastAsia="Times New Roman" w:cs="Times New Roman"/>
          <w:lang w:val="hy-AM"/>
        </w:rPr>
        <w:t xml:space="preserve">գանձապետական </w:t>
      </w:r>
      <w:r>
        <w:rPr>
          <w:rFonts w:eastAsia="Times New Roman" w:cs="Times New Roman"/>
          <w:lang w:val="hy-AM"/>
        </w:rPr>
        <w:t>կայունացման</w:t>
      </w:r>
      <w:r w:rsidRPr="009E5286">
        <w:rPr>
          <w:rFonts w:eastAsia="Times New Roman" w:cs="Times New Roman"/>
          <w:lang w:val="hy-AM"/>
        </w:rPr>
        <w:t xml:space="preserve"> հաշվում</w:t>
      </w:r>
      <w:r>
        <w:rPr>
          <w:rFonts w:eastAsia="Times New Roman" w:cs="Times New Roman"/>
          <w:lang w:val="hy-AM"/>
        </w:rPr>
        <w:t xml:space="preserve"> առնվազն</w:t>
      </w:r>
      <w:r w:rsidRPr="00826519">
        <w:rPr>
          <w:rFonts w:eastAsia="Times New Roman" w:cs="Times New Roman"/>
          <w:lang w:val="hy-AM"/>
        </w:rPr>
        <w:t xml:space="preserve"> </w:t>
      </w:r>
      <w:r w:rsidRPr="00C5441E">
        <w:rPr>
          <w:rFonts w:eastAsia="Times New Roman" w:cs="Times New Roman"/>
          <w:lang w:val="hy-AM"/>
        </w:rPr>
        <w:t xml:space="preserve">ՀՆԱ 1% </w:t>
      </w:r>
      <w:r>
        <w:rPr>
          <w:rFonts w:eastAsia="Times New Roman" w:cs="Times New Roman"/>
          <w:lang w:val="hy-AM"/>
        </w:rPr>
        <w:t>չափով</w:t>
      </w:r>
      <w:r w:rsidRPr="00826519">
        <w:rPr>
          <w:rFonts w:eastAsia="Times New Roman" w:cs="Times New Roman"/>
          <w:lang w:val="hy-AM"/>
        </w:rPr>
        <w:t xml:space="preserve"> «</w:t>
      </w:r>
      <w:r w:rsidRPr="00C5441E">
        <w:rPr>
          <w:rFonts w:eastAsia="Times New Roman" w:cs="Times New Roman"/>
          <w:lang w:val="hy-AM"/>
        </w:rPr>
        <w:t>իրացվելիության</w:t>
      </w:r>
      <w:r w:rsidRPr="00826519">
        <w:rPr>
          <w:rFonts w:eastAsia="Times New Roman" w:cs="Times New Roman"/>
          <w:lang w:val="hy-AM"/>
        </w:rPr>
        <w:t xml:space="preserve"> բարձիկի» ստեղծման </w:t>
      </w:r>
      <w:r>
        <w:rPr>
          <w:rFonts w:eastAsia="Times New Roman" w:cs="Times New Roman"/>
          <w:lang w:val="hy-AM"/>
        </w:rPr>
        <w:t>ճանապարհով</w:t>
      </w:r>
      <w:r w:rsidRPr="00826519">
        <w:rPr>
          <w:rFonts w:eastAsia="Times New Roman" w:cs="Times New Roman"/>
          <w:lang w:val="hy-AM"/>
        </w:rPr>
        <w:t>։</w:t>
      </w:r>
      <w:r>
        <w:rPr>
          <w:rFonts w:eastAsia="Times New Roman" w:cs="Times New Roman"/>
          <w:lang w:val="hy-AM"/>
        </w:rPr>
        <w:t xml:space="preserve"> Միաժամանակ, տարբեր ռիսկերի առար</w:t>
      </w:r>
      <w:r w:rsidRPr="00C5441E">
        <w:rPr>
          <w:rFonts w:eastAsia="Times New Roman" w:cs="Times New Roman"/>
          <w:lang w:val="hy-AM"/>
        </w:rPr>
        <w:t>կայացման պարագայում կառավարությունը կ</w:t>
      </w:r>
      <w:r>
        <w:rPr>
          <w:rFonts w:eastAsia="Times New Roman" w:cs="Times New Roman"/>
          <w:lang w:val="hy-AM"/>
        </w:rPr>
        <w:t>կ</w:t>
      </w:r>
      <w:r w:rsidRPr="00C5441E">
        <w:rPr>
          <w:rFonts w:eastAsia="Times New Roman" w:cs="Times New Roman"/>
          <w:lang w:val="hy-AM"/>
        </w:rPr>
        <w:t xml:space="preserve">իրառի հասանելի գործիքները եկամտային ներուժի բարձրացման նպատակով (այդ թվում՝ հարկային վարչարարության լրացուցիչ գործիքների կիրառում), </w:t>
      </w:r>
      <w:r>
        <w:rPr>
          <w:rFonts w:eastAsia="Times New Roman" w:cs="Times New Roman"/>
          <w:lang w:val="hy-AM"/>
        </w:rPr>
        <w:t>կճշգրտվեն</w:t>
      </w:r>
      <w:r w:rsidRPr="00C5441E">
        <w:rPr>
          <w:rFonts w:eastAsia="Times New Roman" w:cs="Times New Roman"/>
          <w:lang w:val="hy-AM"/>
        </w:rPr>
        <w:t xml:space="preserve"> </w:t>
      </w:r>
      <w:r w:rsidRPr="00DC1866">
        <w:rPr>
          <w:rFonts w:eastAsia="Times New Roman" w:cs="Times New Roman"/>
          <w:lang w:val="hy-AM"/>
        </w:rPr>
        <w:t>ծախսային առաջնահերթություններ</w:t>
      </w:r>
      <w:r>
        <w:rPr>
          <w:rFonts w:eastAsia="Times New Roman" w:cs="Times New Roman"/>
          <w:lang w:val="hy-AM"/>
        </w:rPr>
        <w:t xml:space="preserve">ն ու շրջանակը, իսկ հարկաբյուջետային կայունության ռիսկերի առարակայացման դեպքում՝ կվերանայվի հարկաբյուջետային շրջանակը։ Բացի այդ, </w:t>
      </w:r>
      <w:r>
        <w:rPr>
          <w:rFonts w:eastAsia="Times New Roman" w:cs="Times New Roman"/>
          <w:lang w:val="hy-AM"/>
        </w:rPr>
        <w:lastRenderedPageBreak/>
        <w:t>առաջացող ռիսկերին դիմագրավելու տեսակետից յուրաքանչյուր տարվա պետական բյուջեում կնախատեսվեն լրացուցիչ «բարձիկներ» պահուստային ֆոնդերում։</w:t>
      </w:r>
    </w:p>
    <w:p w14:paraId="55748F5D" w14:textId="77777777" w:rsidR="00BF0F38" w:rsidRPr="0045668E" w:rsidRDefault="00BF0F38" w:rsidP="005824C8">
      <w:pPr>
        <w:tabs>
          <w:tab w:val="left" w:pos="0"/>
        </w:tabs>
        <w:spacing w:before="120" w:after="0" w:line="276" w:lineRule="auto"/>
        <w:ind w:firstLine="0"/>
        <w:contextualSpacing/>
        <w:rPr>
          <w:rFonts w:eastAsia="Times New Roman" w:cs="Times New Roman"/>
          <w:b/>
          <w:color w:val="44546A" w:themeColor="text2"/>
          <w:sz w:val="28"/>
          <w:szCs w:val="28"/>
          <w:lang w:val="hy-AM"/>
        </w:rPr>
      </w:pPr>
      <w:bookmarkStart w:id="96" w:name="_Toc77451206"/>
      <w:bookmarkStart w:id="97" w:name="_Toc77837856"/>
      <w:bookmarkStart w:id="98" w:name="_Toc106822900"/>
    </w:p>
    <w:p w14:paraId="73ACB8BA" w14:textId="77777777" w:rsidR="00BF0F38" w:rsidRPr="005F6F3B" w:rsidRDefault="00BF0F38" w:rsidP="005824C8">
      <w:pPr>
        <w:pStyle w:val="Heading3"/>
        <w:rPr>
          <w:rFonts w:eastAsia="Times New Roman" w:cs="Times New Roman"/>
          <w:color w:val="44546A" w:themeColor="text2"/>
          <w:sz w:val="24"/>
          <w:szCs w:val="24"/>
        </w:rPr>
      </w:pPr>
      <w:bookmarkStart w:id="99" w:name="_Toc107428585"/>
      <w:bookmarkStart w:id="100" w:name="_Toc138956190"/>
      <w:bookmarkStart w:id="101" w:name="_Toc170750548"/>
      <w:bookmarkStart w:id="102" w:name="_Toc170926309"/>
      <w:r w:rsidRPr="005F6F3B">
        <w:rPr>
          <w:rFonts w:eastAsia="Times New Roman" w:cs="Times New Roman"/>
          <w:color w:val="44546A" w:themeColor="text2"/>
          <w:sz w:val="24"/>
          <w:szCs w:val="24"/>
        </w:rPr>
        <w:t>2.5. ՀԱՐԿԱԲՅՈՒՋԵՏԱՅԻՆ ՔԱՂԱՔԱԿԱՆՈՒԹՅԱՆ ՀԱՄԱՊԱՏԱՍԽԱՆՈՒԹՅՈՒՆԸ ՀԱՐԿԱԲՅՈՒՋԵՏԱՅԻՆ ԿԱՆՈՆՆԵՐԻՆ</w:t>
      </w:r>
      <w:bookmarkEnd w:id="96"/>
      <w:bookmarkEnd w:id="97"/>
      <w:bookmarkEnd w:id="98"/>
      <w:bookmarkEnd w:id="99"/>
      <w:bookmarkEnd w:id="100"/>
      <w:bookmarkEnd w:id="101"/>
      <w:bookmarkEnd w:id="102"/>
    </w:p>
    <w:p w14:paraId="44379E86" w14:textId="77777777" w:rsidR="00BF0F38" w:rsidRPr="00CC6252" w:rsidRDefault="00BF0F38" w:rsidP="005824C8">
      <w:pPr>
        <w:tabs>
          <w:tab w:val="left" w:pos="0"/>
        </w:tabs>
        <w:spacing w:before="120" w:after="0" w:line="276" w:lineRule="auto"/>
        <w:ind w:firstLine="0"/>
        <w:rPr>
          <w:lang w:val="hy-AM"/>
        </w:rPr>
      </w:pPr>
      <w:r w:rsidRPr="00CC6252">
        <w:rPr>
          <w:lang w:val="hy-AM"/>
        </w:rPr>
        <w:t xml:space="preserve">ՀՀ հարկաբյուջետային կանոնների ներկա համակարգը գործարկվել է ՀՀ Ազգային ժողովի կողմից 2017 </w:t>
      </w:r>
      <w:r>
        <w:rPr>
          <w:lang w:val="hy-AM"/>
        </w:rPr>
        <w:t>թ</w:t>
      </w:r>
      <w:r>
        <w:rPr>
          <w:rFonts w:ascii="Cambria Math" w:hAnsi="Cambria Math" w:cs="Cambria Math"/>
          <w:lang w:val="hy-AM"/>
        </w:rPr>
        <w:t>.</w:t>
      </w:r>
      <w:r w:rsidRPr="00CC6252">
        <w:rPr>
          <w:lang w:val="hy-AM"/>
        </w:rPr>
        <w:t xml:space="preserve"> դեկտեմբերի 20-ին ՀՀ բյուջետային համակարգի մասին և Պետական պատքի մասին ՀՀ օրենքներում փոփոխություններ և լրացումն</w:t>
      </w:r>
      <w:r w:rsidRPr="00CC6252">
        <w:rPr>
          <w:lang w:val="hy-AM"/>
        </w:rPr>
        <w:softHyphen/>
        <w:t xml:space="preserve">եր կատարող օրենքների, ինչպես նաև են ՀՀ Կառավարության՝ 2018 </w:t>
      </w:r>
      <w:r>
        <w:rPr>
          <w:lang w:val="hy-AM"/>
        </w:rPr>
        <w:t>թ</w:t>
      </w:r>
      <w:r>
        <w:rPr>
          <w:rFonts w:ascii="Cambria Math" w:hAnsi="Cambria Math" w:cs="Cambria Math"/>
          <w:lang w:val="hy-AM"/>
        </w:rPr>
        <w:t>.</w:t>
      </w:r>
      <w:r w:rsidRPr="00CC6252">
        <w:rPr>
          <w:lang w:val="hy-AM"/>
        </w:rPr>
        <w:t xml:space="preserve"> օգոստոսի 23-ի N 942-</w:t>
      </w:r>
      <w:r w:rsidRPr="00CC6252">
        <w:rPr>
          <w:rFonts w:cs="Sylfaen"/>
          <w:lang w:val="hy-AM"/>
        </w:rPr>
        <w:t>Ն</w:t>
      </w:r>
      <w:r w:rsidRPr="00CC6252">
        <w:rPr>
          <w:lang w:val="hy-AM"/>
        </w:rPr>
        <w:t xml:space="preserve"> որոշման ընդունմամբ: Կանոնների համակարգը ներառում է ծախսային կանոններ, որոնք ուժի մեջ են մտնում պարտքի սահմանված շեմերը գերազանցելիս։ Մասնավորապես</w:t>
      </w:r>
      <w:r>
        <w:rPr>
          <w:rFonts w:ascii="Cambria Math" w:eastAsia="MS Gothic" w:hAnsi="Cambria Math" w:cs="Cambria Math"/>
          <w:lang w:val="hy-AM"/>
        </w:rPr>
        <w:t>.</w:t>
      </w:r>
    </w:p>
    <w:p w14:paraId="24C94456" w14:textId="77777777" w:rsidR="00BF0F38" w:rsidRPr="007057BA"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Երբ ՀՀ կառավարության պարտք/ՀՆԱ հարաբերակցությունը գերազանցում է 40%-ը, պետական բյուջեի կապիտալ ծախսերը չպետք է փոքր լինեն բյուջեի պակասուրդից:</w:t>
      </w:r>
    </w:p>
    <w:p w14:paraId="584F5FEC" w14:textId="77777777" w:rsidR="00BF0F38" w:rsidRPr="007057BA"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ՀՀ կառավարության պարտք/ՀՆԱ 50-60% միջակայքում ընթացիկ առաջնային ծախսերի աճի տեմպը սահմանափակվում է նախորդ 7 տարիների ՀՆԱ-ների միջին աճով, ինչպես նաև հաջորդ տարում կազմվող պետական միջնաժամկետ ծախսերի ծրագրում ՀՀ կառավարությունը ներկայացնում է միջոցառումների ծրագիր՝ համախառն ներքին արդյունքի նկատմամբ ՀՀ կառավարության պարտքի մակարդակի կանխատեսվող հետագիծը 5 տարիների ընթացքում 50 տոկոսից նվազեցնելու համար:</w:t>
      </w:r>
    </w:p>
    <w:p w14:paraId="781FC1EA" w14:textId="77777777" w:rsidR="00BF0F38" w:rsidRPr="007057BA" w:rsidRDefault="00BF0F38" w:rsidP="005824C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 xml:space="preserve">Երբ ՀՀ կառավարության պարտքը գերազանցում է ՀՆԱ 60%-ը, ընթացիկ առաջնային ծախսերի աճի տեմպը սահմանափակվում է նախորդ 7 տարիների ՀՆԱ-ների միջին աճից 0.5 տոկոսային կետով նվազեցված ցուցանիշով, ընթացիկ ծախսերը սահմանափակվում են հարկերի և տուրքերի մեծությամբ, ինչպես նաև ՀՀ կառավարությունը Ազգային ժողովի ֆինանսավարկային և բյուջետային ու տնտեսական հարցերի մշտական հանձնաժողովների քննարկմանը ներկայացնում է միջոցառումների ծրագիր՝ ՀՆԱ նկատմամբ ՀՀ կառավարության պարտքի մակարդակի կանխատեսվող հետագիծը 5 տարիների ընթացքում 60 տոկոսից նվազեցնելու համար: </w:t>
      </w:r>
    </w:p>
    <w:p w14:paraId="755F1E66" w14:textId="77777777" w:rsidR="00BF0F38" w:rsidRDefault="00BF0F38" w:rsidP="005824C8">
      <w:pPr>
        <w:numPr>
          <w:ilvl w:val="0"/>
          <w:numId w:val="24"/>
        </w:numPr>
        <w:tabs>
          <w:tab w:val="left" w:pos="0"/>
          <w:tab w:val="left" w:pos="284"/>
        </w:tabs>
        <w:autoSpaceDE w:val="0"/>
        <w:autoSpaceDN w:val="0"/>
        <w:adjustRightInd w:val="0"/>
        <w:spacing w:before="120" w:after="0" w:line="276" w:lineRule="auto"/>
        <w:ind w:firstLine="0"/>
        <w:rPr>
          <w:lang w:val="hy-AM"/>
        </w:rPr>
      </w:pPr>
      <w:r w:rsidRPr="007057BA">
        <w:rPr>
          <w:rFonts w:cs="GHEA Grapalat"/>
          <w:lang w:val="hy-AM"/>
        </w:rPr>
        <w:t>Ներկայացված սահմանափակումները չեն գործում ՀՀ կառավարության որոշմամբ սահմանված բացառիկ դեպքերում՝ ելնելով խոշորածավալ տարերային և տեխնածին աղետների, պատերազմական գործողությունների, տնտեսությունը խաղաղ ժամանակաշրջանից պատերազմական ժամանակաշրջանի փոխադրման,</w:t>
      </w:r>
      <w:r w:rsidRPr="00CC6252">
        <w:rPr>
          <w:lang w:val="hy-AM"/>
        </w:rPr>
        <w:t xml:space="preserve"> տնտեսական ցնցման հանգամանքներով պայմանավորված բացասական տնտեսական զարգացումների պարագայում:</w:t>
      </w:r>
    </w:p>
    <w:p w14:paraId="5D1E1A93" w14:textId="77777777" w:rsidR="00BF0F38" w:rsidRPr="00964EE4" w:rsidRDefault="00BF0F38" w:rsidP="005824C8">
      <w:pPr>
        <w:tabs>
          <w:tab w:val="left" w:pos="0"/>
          <w:tab w:val="left" w:pos="284"/>
        </w:tabs>
        <w:autoSpaceDE w:val="0"/>
        <w:autoSpaceDN w:val="0"/>
        <w:adjustRightInd w:val="0"/>
        <w:spacing w:before="120" w:after="0" w:line="276" w:lineRule="auto"/>
        <w:ind w:firstLine="0"/>
        <w:rPr>
          <w:b/>
          <w:bCs/>
          <w:lang w:val="hy-AM"/>
        </w:rPr>
      </w:pPr>
      <w:r w:rsidRPr="00C5441E">
        <w:rPr>
          <w:b/>
          <w:bCs/>
          <w:lang w:val="hy-AM"/>
        </w:rPr>
        <w:t xml:space="preserve">2021-2023 թվականներին հարկաբյուջետային քաղաքականությունը աստիճանաբար վերադարձել է բնականոն իրավիճակների համար գործող կանոններին համապատասխանության տիրույթ` </w:t>
      </w:r>
      <w:r w:rsidRPr="007B2A3D">
        <w:rPr>
          <w:b/>
          <w:bCs/>
          <w:lang w:val="hy-AM"/>
        </w:rPr>
        <w:t xml:space="preserve"> </w:t>
      </w:r>
      <w:r w:rsidRPr="00C5441E">
        <w:rPr>
          <w:rFonts w:eastAsia="GHEA Grapalat" w:cs="GHEA Grapalat"/>
          <w:b/>
          <w:lang w:val="hy-AM"/>
        </w:rPr>
        <w:t>COVID-19 համավարակի և 44-օրյա պատերազմի տնտեսական և հարկաբյուջետային հետևանքների ազդեցությամբ</w:t>
      </w:r>
      <w:r w:rsidRPr="00964EE4">
        <w:rPr>
          <w:rFonts w:eastAsia="GHEA Grapalat" w:cs="GHEA Grapalat"/>
          <w:b/>
          <w:lang w:val="hy-AM"/>
        </w:rPr>
        <w:t xml:space="preserve"> </w:t>
      </w:r>
      <w:r w:rsidRPr="007B2A3D">
        <w:rPr>
          <w:rFonts w:eastAsia="GHEA Grapalat" w:cs="GHEA Grapalat"/>
          <w:b/>
          <w:lang w:val="hy-AM"/>
        </w:rPr>
        <w:t xml:space="preserve">«բացառիկ դեպքի» կարգավորումների ակտիվացումից հետո։  </w:t>
      </w:r>
      <w:r w:rsidRPr="00C5441E">
        <w:rPr>
          <w:rFonts w:eastAsia="GHEA Grapalat" w:cs="GHEA Grapalat"/>
          <w:lang w:val="hy-AM"/>
        </w:rPr>
        <w:t>Ընդ որում, 2021թ</w:t>
      </w:r>
      <w:r w:rsidRPr="00C5441E">
        <w:rPr>
          <w:rFonts w:ascii="Cambria Math" w:eastAsia="GHEA Grapalat" w:hAnsi="Cambria Math" w:cs="Cambria Math"/>
          <w:lang w:val="hy-AM"/>
        </w:rPr>
        <w:t>․</w:t>
      </w:r>
      <w:r w:rsidRPr="00C5441E">
        <w:rPr>
          <w:rFonts w:eastAsia="GHEA Grapalat" w:cs="GHEA Grapalat"/>
          <w:lang w:val="hy-AM"/>
        </w:rPr>
        <w:t>-ին, այդ հետևանքների ոչ ամբողջական հաղթահարման պայմաններում «բացառիկ դեպքի» կարգավորումները պահպանվել են, սակայն կառավարությունը կ</w:t>
      </w:r>
      <w:r>
        <w:rPr>
          <w:rFonts w:eastAsia="GHEA Grapalat" w:cs="GHEA Grapalat"/>
          <w:lang w:val="hy-AM"/>
        </w:rPr>
        <w:t>ր</w:t>
      </w:r>
      <w:r w:rsidRPr="00C5441E">
        <w:rPr>
          <w:rFonts w:eastAsia="GHEA Grapalat" w:cs="GHEA Grapalat"/>
          <w:lang w:val="hy-AM"/>
        </w:rPr>
        <w:t>ճատել է կանոններից շեղման չափերը։</w:t>
      </w:r>
      <w:r w:rsidRPr="00C5441E">
        <w:rPr>
          <w:rFonts w:eastAsia="GHEA Grapalat" w:cs="GHEA Grapalat"/>
          <w:b/>
          <w:lang w:val="hy-AM"/>
        </w:rPr>
        <w:t xml:space="preserve"> </w:t>
      </w:r>
      <w:r w:rsidRPr="007B2A3D">
        <w:rPr>
          <w:rFonts w:eastAsia="Calibri"/>
          <w:lang w:val="hy-AM"/>
        </w:rPr>
        <w:t>2022 թ</w:t>
      </w:r>
      <w:r w:rsidRPr="00C5441E">
        <w:rPr>
          <w:rFonts w:eastAsia="Calibri" w:cs="Cambria Math"/>
          <w:lang w:val="hy-AM"/>
        </w:rPr>
        <w:t>.-</w:t>
      </w:r>
      <w:r w:rsidRPr="00C5441E">
        <w:rPr>
          <w:rFonts w:eastAsia="Calibri" w:cs="Cambria Math"/>
          <w:lang w:val="hy-AM"/>
        </w:rPr>
        <w:lastRenderedPageBreak/>
        <w:t xml:space="preserve">ին արդեն կապիտալ ծախսերի կանոնին համապատասխանությունը վերականգնվել է, և </w:t>
      </w:r>
      <w:r w:rsidRPr="007B2A3D">
        <w:rPr>
          <w:rFonts w:eastAsia="Calibri"/>
          <w:lang w:val="hy-AM"/>
        </w:rPr>
        <w:t xml:space="preserve">պետական բյուջեի կապիտալ ծախսերը գերազանցել են պետական բյուջեի պակասուրդը շուրջ 201 մլրդ դրամով, </w:t>
      </w:r>
      <w:r>
        <w:rPr>
          <w:rFonts w:eastAsia="Calibri"/>
          <w:lang w:val="hy-AM"/>
        </w:rPr>
        <w:t>իսկ</w:t>
      </w:r>
      <w:r w:rsidRPr="007B2A3D">
        <w:rPr>
          <w:rFonts w:eastAsia="Calibri"/>
          <w:lang w:val="hy-AM"/>
        </w:rPr>
        <w:t xml:space="preserve"> ընթացիկ առաջնային ծախսերի շեղման չափը կանոնից կրճատվել է 30 մլրդ դրամի։</w:t>
      </w:r>
      <w:r>
        <w:rPr>
          <w:rFonts w:eastAsia="Calibri"/>
          <w:lang w:val="hy-AM"/>
        </w:rPr>
        <w:t xml:space="preserve"> </w:t>
      </w:r>
      <w:r w:rsidRPr="00402E5E">
        <w:rPr>
          <w:rFonts w:eastAsia="GHEA Grapalat" w:cs="GHEA Grapalat"/>
          <w:lang w:val="hy-AM"/>
        </w:rPr>
        <w:t xml:space="preserve"> 2023 թվականին </w:t>
      </w:r>
      <w:r w:rsidRPr="00402E5E">
        <w:rPr>
          <w:rFonts w:eastAsia="Calibri"/>
          <w:lang w:val="hy-AM"/>
        </w:rPr>
        <w:t>պետական բյուջեի կապիտալ ծախսերը գերազանցել են պետական բյուջեի պակասուրդը շուրջ 283.7 մլրդ դրամով</w:t>
      </w:r>
      <w:r>
        <w:rPr>
          <w:rFonts w:eastAsia="Calibri"/>
          <w:lang w:val="hy-AM"/>
        </w:rPr>
        <w:t xml:space="preserve">, իսկ </w:t>
      </w:r>
      <w:r w:rsidRPr="00402E5E">
        <w:rPr>
          <w:rFonts w:eastAsia="Calibri"/>
          <w:lang w:val="hy-AM"/>
        </w:rPr>
        <w:t xml:space="preserve">ընթացիկ առաջնային </w:t>
      </w:r>
      <w:r>
        <w:rPr>
          <w:rFonts w:eastAsia="Calibri"/>
          <w:lang w:val="hy-AM"/>
        </w:rPr>
        <w:t>ծախսերի</w:t>
      </w:r>
      <w:r w:rsidRPr="00402E5E">
        <w:rPr>
          <w:rFonts w:eastAsia="Calibri"/>
          <w:lang w:val="hy-AM"/>
        </w:rPr>
        <w:t xml:space="preserve"> շեղման չափը</w:t>
      </w:r>
      <w:r>
        <w:rPr>
          <w:rFonts w:eastAsia="Calibri"/>
          <w:lang w:val="hy-AM"/>
        </w:rPr>
        <w:t xml:space="preserve"> կանոնից</w:t>
      </w:r>
      <w:r w:rsidRPr="00402E5E">
        <w:rPr>
          <w:rFonts w:eastAsia="Calibri"/>
          <w:lang w:val="hy-AM"/>
        </w:rPr>
        <w:t xml:space="preserve"> կազմել է 42.6 մլրդ դրամ</w:t>
      </w:r>
      <w:r>
        <w:rPr>
          <w:rFonts w:eastAsia="Calibri"/>
          <w:lang w:val="hy-AM"/>
        </w:rPr>
        <w:t xml:space="preserve">։ Կարևոր է նշել, որ ընթացիկ ծախսերի մասով շեղումները </w:t>
      </w:r>
      <w:r w:rsidRPr="007B2A3D">
        <w:rPr>
          <w:rFonts w:eastAsia="Calibri"/>
          <w:lang w:val="hy-AM"/>
        </w:rPr>
        <w:t xml:space="preserve">գրանցվել </w:t>
      </w:r>
      <w:r>
        <w:rPr>
          <w:rFonts w:eastAsia="Calibri"/>
          <w:lang w:val="hy-AM"/>
        </w:rPr>
        <w:t>են</w:t>
      </w:r>
      <w:r w:rsidRPr="007B2A3D">
        <w:rPr>
          <w:rFonts w:eastAsia="Calibri"/>
          <w:lang w:val="hy-AM"/>
        </w:rPr>
        <w:t xml:space="preserve"> տարվա ընթացքում պետական բյուջեի եկամուտների պլանի բարձրացման պայմաններում՝ </w:t>
      </w:r>
      <w:r>
        <w:rPr>
          <w:rFonts w:eastAsia="Calibri"/>
          <w:lang w:val="hy-AM"/>
        </w:rPr>
        <w:t>համապատասխան տարիների</w:t>
      </w:r>
      <w:r w:rsidRPr="007B2A3D">
        <w:rPr>
          <w:rFonts w:eastAsia="Calibri"/>
          <w:lang w:val="hy-AM"/>
        </w:rPr>
        <w:t xml:space="preserve"> պետական բյուջեի մասին </w:t>
      </w:r>
      <w:r>
        <w:rPr>
          <w:rFonts w:eastAsia="Calibri"/>
          <w:lang w:val="hy-AM"/>
        </w:rPr>
        <w:t>օ</w:t>
      </w:r>
      <w:r w:rsidRPr="007B2A3D">
        <w:rPr>
          <w:rFonts w:eastAsia="Calibri"/>
          <w:lang w:val="hy-AM"/>
        </w:rPr>
        <w:t>րենքի դրույթներին (ինչը թույլ է տալիս ավելացնել ծախսերը հարկային եկամուտների ավելացման պարագայում),</w:t>
      </w:r>
      <w:r>
        <w:rPr>
          <w:rFonts w:eastAsia="Calibri"/>
          <w:lang w:val="hy-AM"/>
        </w:rPr>
        <w:t xml:space="preserve"> բացի այդ՝ </w:t>
      </w:r>
      <w:r w:rsidRPr="007B2A3D">
        <w:rPr>
          <w:rFonts w:eastAsia="Calibri"/>
          <w:lang w:val="hy-AM"/>
        </w:rPr>
        <w:t>պլանավորված մակարդակից ծախսերի ավելացումները հիմնականում միանգամյա ծախսերի բնույթ են կրել և չեն ենթադրել երկարաժամկետ ծախսային պարտավորությունների բեռի ավելացում</w:t>
      </w:r>
      <w:r>
        <w:rPr>
          <w:rFonts w:eastAsia="Calibri"/>
          <w:lang w:val="hy-AM"/>
        </w:rPr>
        <w:t xml:space="preserve"> </w:t>
      </w:r>
      <w:r w:rsidRPr="00C5441E">
        <w:rPr>
          <w:rFonts w:eastAsia="Calibri"/>
          <w:lang w:val="hy-AM"/>
        </w:rPr>
        <w:t>(</w:t>
      </w:r>
      <w:r>
        <w:rPr>
          <w:rFonts w:eastAsia="Calibri"/>
          <w:lang w:val="hy-AM"/>
        </w:rPr>
        <w:t xml:space="preserve">օրինակ՝ </w:t>
      </w:r>
      <w:r w:rsidRPr="007B2A3D">
        <w:rPr>
          <w:rFonts w:eastAsia="Calibri"/>
          <w:lang w:val="hy-AM"/>
        </w:rPr>
        <w:t>ԼՂ-ից բռնի տեղահանված անձանց սոցիալական կարիքների ուղղությամբ կատարված ծախսերը</w:t>
      </w:r>
      <w:r w:rsidRPr="00C5441E">
        <w:rPr>
          <w:rFonts w:eastAsia="Calibri"/>
          <w:lang w:val="hy-AM"/>
        </w:rPr>
        <w:t>)</w:t>
      </w:r>
      <w:r>
        <w:rPr>
          <w:rFonts w:eastAsia="Calibri"/>
          <w:lang w:val="hy-AM"/>
        </w:rPr>
        <w:t>, ինչի արդյունքում</w:t>
      </w:r>
      <w:r w:rsidRPr="00C5441E">
        <w:rPr>
          <w:lang w:val="hy-AM"/>
        </w:rPr>
        <w:t xml:space="preserve"> </w:t>
      </w:r>
      <w:r w:rsidRPr="00F56A94">
        <w:rPr>
          <w:rFonts w:eastAsia="Calibri"/>
          <w:lang w:val="hy-AM"/>
        </w:rPr>
        <w:t>հաշվարկված շեղումը գնահատվում է որպես երկարաժամկետ ճնշումներ չառաջացնող և հարկաբյուջետային կայունության տեսակետից վտանգներ չի ստեղծում։</w:t>
      </w:r>
    </w:p>
    <w:p w14:paraId="66EE6C6A" w14:textId="77777777" w:rsidR="00BF0F38" w:rsidRPr="00402E5E" w:rsidRDefault="00BF0F38" w:rsidP="005824C8">
      <w:pPr>
        <w:spacing w:line="276" w:lineRule="auto"/>
        <w:ind w:firstLine="0"/>
        <w:rPr>
          <w:rFonts w:eastAsia="Calibri"/>
          <w:lang w:val="hy-AM"/>
        </w:rPr>
      </w:pPr>
      <w:r w:rsidRPr="00F56A94">
        <w:rPr>
          <w:rFonts w:eastAsia="Calibri"/>
          <w:lang w:val="hy-AM"/>
        </w:rPr>
        <w:t>Միաժամանակ, կառավարությունը վերականգնել է համապատասխանությունը նաև պարտքի կանոնին, հաշվի առնելով, որ 2022թ.-ի վերջի դրությամբ ՀՀ կառավարության պարտք/ՀՆԱ հարաբերակցությունը կազմել է 46.7%, իսկ 2023թ</w:t>
      </w:r>
      <w:r w:rsidRPr="00F56A94">
        <w:rPr>
          <w:rFonts w:ascii="Cambria Math" w:eastAsia="Calibri" w:hAnsi="Cambria Math" w:cs="Cambria Math"/>
          <w:lang w:val="hy-AM"/>
        </w:rPr>
        <w:t>․</w:t>
      </w:r>
      <w:r w:rsidRPr="00C5441E">
        <w:rPr>
          <w:rFonts w:eastAsia="Calibri"/>
          <w:lang w:val="hy-AM"/>
        </w:rPr>
        <w:t>-ի վերջին՝ 48</w:t>
      </w:r>
      <w:r w:rsidRPr="00F56A94">
        <w:rPr>
          <w:rFonts w:ascii="Cambria Math" w:eastAsia="Calibri" w:hAnsi="Cambria Math" w:cs="Cambria Math"/>
          <w:lang w:val="hy-AM"/>
        </w:rPr>
        <w:t>․</w:t>
      </w:r>
      <w:r w:rsidRPr="00C5441E">
        <w:rPr>
          <w:rFonts w:eastAsia="Calibri"/>
          <w:lang w:val="hy-AM"/>
        </w:rPr>
        <w:t>1%</w:t>
      </w:r>
      <w:r w:rsidRPr="00F56A94">
        <w:rPr>
          <w:rFonts w:eastAsia="Calibri"/>
          <w:lang w:val="hy-AM"/>
        </w:rPr>
        <w:t>` ցածր լինելով 50%-ի շեմից</w:t>
      </w:r>
      <w:r>
        <w:rPr>
          <w:rFonts w:eastAsia="Calibri"/>
          <w:lang w:val="hy-AM"/>
        </w:rPr>
        <w:t>՝ այդպիսով ոչ միայն ապահովելով</w:t>
      </w:r>
      <w:r w:rsidRPr="00F56A94">
        <w:rPr>
          <w:rFonts w:eastAsia="Calibri"/>
          <w:lang w:val="hy-AM"/>
        </w:rPr>
        <w:t xml:space="preserve"> ՀՀ կառավարության պարտքի նվազեցման 2022-2026թթ. վերանայված ծրագրի թիրախը</w:t>
      </w:r>
      <w:r>
        <w:rPr>
          <w:rFonts w:eastAsia="Calibri"/>
          <w:lang w:val="hy-AM"/>
        </w:rPr>
        <w:t>, այլ նաև նվազեցնելով պարտքը դեպի ապահով մակարդակներ։</w:t>
      </w:r>
    </w:p>
    <w:p w14:paraId="63C217BD" w14:textId="52C3FC7F" w:rsidR="00BF0F38" w:rsidRDefault="00BF0F38" w:rsidP="005824C8">
      <w:pPr>
        <w:ind w:firstLine="0"/>
        <w:rPr>
          <w:rFonts w:eastAsia="Calibri"/>
          <w:lang w:val="hy-AM"/>
        </w:rPr>
      </w:pPr>
      <w:r w:rsidRPr="00255616">
        <w:rPr>
          <w:rFonts w:eastAsia="Calibri"/>
          <w:b/>
          <w:lang w:val="hy-AM"/>
        </w:rPr>
        <w:t>2024թ</w:t>
      </w:r>
      <w:r w:rsidRPr="00E9731E">
        <w:rPr>
          <w:rFonts w:ascii="Cambria Math" w:eastAsia="Calibri" w:hAnsi="Cambria Math" w:cs="Cambria Math"/>
          <w:b/>
          <w:lang w:val="hy-AM"/>
        </w:rPr>
        <w:t>․</w:t>
      </w:r>
      <w:r w:rsidRPr="0082790F">
        <w:rPr>
          <w:rFonts w:eastAsia="Calibri"/>
          <w:b/>
          <w:lang w:val="hy-AM"/>
        </w:rPr>
        <w:t xml:space="preserve"> և միջնաժամկետ հատվածի համար 2022-2023թթ</w:t>
      </w:r>
      <w:r w:rsidRPr="0082790F">
        <w:rPr>
          <w:rFonts w:ascii="Cambria Math" w:eastAsia="Calibri" w:hAnsi="Cambria Math" w:cs="Cambria Math"/>
          <w:b/>
          <w:lang w:val="hy-AM"/>
        </w:rPr>
        <w:t>․</w:t>
      </w:r>
      <w:r w:rsidRPr="0082790F">
        <w:rPr>
          <w:rFonts w:eastAsia="Calibri"/>
          <w:b/>
          <w:lang w:val="hy-AM"/>
        </w:rPr>
        <w:t xml:space="preserve"> կառավարության պարտք/ՀՆԱ ցուցանիշի համար գրանցված 50%-ից ցածր ցուցանիշները ձևավորել են հարկաբյուջետային տարածք ընթացիկ ծախսերի համար, </w:t>
      </w:r>
      <w:r w:rsidRPr="00255616">
        <w:rPr>
          <w:rFonts w:eastAsia="Calibri"/>
          <w:b/>
          <w:lang w:val="hy-AM"/>
        </w:rPr>
        <w:t>որը, պարտքի բեռի</w:t>
      </w:r>
      <w:r w:rsidRPr="00E9731E">
        <w:rPr>
          <w:rFonts w:eastAsia="Calibri"/>
          <w:b/>
          <w:lang w:val="hy-AM"/>
        </w:rPr>
        <w:t xml:space="preserve"> կանխատեսվող աճի հետ</w:t>
      </w:r>
      <w:r w:rsidRPr="0082790F">
        <w:rPr>
          <w:rFonts w:eastAsia="Calibri"/>
          <w:b/>
          <w:lang w:val="hy-AM"/>
        </w:rPr>
        <w:t xml:space="preserve"> արդեն կանոնով է սահմանափակվում 2026թ-ից</w:t>
      </w:r>
      <w:r w:rsidRPr="00255616">
        <w:rPr>
          <w:rFonts w:eastAsia="Calibri"/>
          <w:b/>
          <w:lang w:val="hy-AM"/>
        </w:rPr>
        <w:t xml:space="preserve">։ </w:t>
      </w:r>
      <w:r w:rsidRPr="0082790F">
        <w:rPr>
          <w:rFonts w:eastAsia="Calibri"/>
          <w:lang w:val="hy-AM"/>
        </w:rPr>
        <w:t>Կ</w:t>
      </w:r>
      <w:r w:rsidRPr="00E9731E">
        <w:rPr>
          <w:rFonts w:eastAsia="Calibri"/>
          <w:lang w:val="hy-AM"/>
        </w:rPr>
        <w:t>ա</w:t>
      </w:r>
      <w:r w:rsidRPr="00255616">
        <w:rPr>
          <w:rFonts w:eastAsia="Calibri"/>
          <w:lang w:val="hy-AM"/>
        </w:rPr>
        <w:t>ռավարության</w:t>
      </w:r>
      <w:r w:rsidRPr="00654AEF">
        <w:rPr>
          <w:rFonts w:eastAsia="Calibri"/>
          <w:lang w:val="hy-AM"/>
        </w:rPr>
        <w:t xml:space="preserve"> պարտք/ՀՆԱ ցուցանիշ</w:t>
      </w:r>
      <w:r>
        <w:rPr>
          <w:rFonts w:eastAsia="Calibri"/>
          <w:lang w:val="hy-AM"/>
        </w:rPr>
        <w:t>ի</w:t>
      </w:r>
      <w:r w:rsidRPr="00654AEF">
        <w:rPr>
          <w:rFonts w:eastAsia="Calibri"/>
          <w:lang w:val="hy-AM"/>
        </w:rPr>
        <w:t xml:space="preserve"> նվազ</w:t>
      </w:r>
      <w:r>
        <w:rPr>
          <w:rFonts w:eastAsia="Calibri"/>
          <w:lang w:val="hy-AM"/>
        </w:rPr>
        <w:t>ումը</w:t>
      </w:r>
      <w:r w:rsidRPr="00654AEF">
        <w:rPr>
          <w:rFonts w:eastAsia="Calibri"/>
          <w:lang w:val="hy-AM"/>
        </w:rPr>
        <w:t xml:space="preserve"> հարկաբյուջետային քաղաքականությունը տեղափոխ</w:t>
      </w:r>
      <w:r>
        <w:rPr>
          <w:rFonts w:eastAsia="Calibri"/>
          <w:lang w:val="hy-AM"/>
        </w:rPr>
        <w:t>ել</w:t>
      </w:r>
      <w:r w:rsidRPr="00654AEF">
        <w:rPr>
          <w:rFonts w:eastAsia="Calibri"/>
          <w:lang w:val="hy-AM"/>
        </w:rPr>
        <w:t xml:space="preserve"> </w:t>
      </w:r>
      <w:r>
        <w:rPr>
          <w:rFonts w:eastAsia="Calibri"/>
          <w:lang w:val="hy-AM"/>
        </w:rPr>
        <w:t xml:space="preserve">է </w:t>
      </w:r>
      <w:r w:rsidRPr="00654AEF">
        <w:rPr>
          <w:rFonts w:eastAsia="Calibri"/>
          <w:lang w:val="hy-AM"/>
        </w:rPr>
        <w:t>կանոններով  սահմանափակման առավել մեղմ ռեժիմների՝ թույլ տալով վարել առավել ճկուն հարկաբյուջետային քաղաքականություն</w:t>
      </w:r>
      <w:r>
        <w:rPr>
          <w:rFonts w:eastAsia="Calibri"/>
          <w:lang w:val="hy-AM"/>
        </w:rPr>
        <w:t xml:space="preserve"> ընթացիկ ծախսերի մասով, սակայն պահպանելով «ոսկե կանոններին» համապատասխանությունը։ Այնուամենայնիվ, ընթացիկ ծախսերի հետագա աճը միջնաժամկետի վերջում սահմանափակվում է հարկաբյուջետային կանոնով՝ հաշվի առնելով պարտքի բեռի կանխատեսվող աճը և </w:t>
      </w:r>
      <w:r w:rsidRPr="00AB5ED2">
        <w:rPr>
          <w:rFonts w:eastAsia="Calibri"/>
          <w:lang w:val="hy-AM"/>
        </w:rPr>
        <w:t>զսպել</w:t>
      </w:r>
      <w:r>
        <w:rPr>
          <w:rFonts w:eastAsia="Calibri"/>
          <w:lang w:val="hy-AM"/>
        </w:rPr>
        <w:t>ով</w:t>
      </w:r>
      <w:r w:rsidRPr="00AB5ED2">
        <w:rPr>
          <w:rFonts w:eastAsia="Calibri"/>
          <w:lang w:val="hy-AM"/>
        </w:rPr>
        <w:t xml:space="preserve"> ապագայում եկամուտ գեներացնելու կարողություններին պարտավորությունների (ընթացիկ ծախսերի գծով ստանձնվող օրենսդրական պարտավորությունների և պարտքային պարտավորությունների ձևով) առաջանցիկ ավելացումը։</w:t>
      </w:r>
      <w:r>
        <w:rPr>
          <w:rFonts w:eastAsia="Calibri"/>
          <w:lang w:val="hy-AM"/>
        </w:rPr>
        <w:t xml:space="preserve">  Արդյունքում ընթացիկ ծախսերի համար ևս միջնաժամկետի սկզբում ձևավորվում են «առաջ բերված» լրացուցիչ հնարավորություններ, որոնք նախ և առաջ կծառայեն անհետաձգելի ծախսային կարիքների ֆինանսավորմանը։</w:t>
      </w:r>
    </w:p>
    <w:p w14:paraId="43BA795D" w14:textId="63CECDD5" w:rsidR="005824C8" w:rsidRDefault="005824C8" w:rsidP="005824C8">
      <w:pPr>
        <w:ind w:firstLine="0"/>
        <w:rPr>
          <w:rFonts w:eastAsia="Calibri"/>
          <w:lang w:val="hy-AM"/>
        </w:rPr>
      </w:pPr>
    </w:p>
    <w:p w14:paraId="0FBB578C" w14:textId="211A504E" w:rsidR="005824C8" w:rsidRDefault="005824C8" w:rsidP="005824C8">
      <w:pPr>
        <w:ind w:firstLine="0"/>
        <w:rPr>
          <w:rFonts w:eastAsia="Calibri"/>
          <w:lang w:val="hy-AM"/>
        </w:rPr>
      </w:pPr>
    </w:p>
    <w:p w14:paraId="09878DE4" w14:textId="305B173B" w:rsidR="005824C8" w:rsidRDefault="005824C8" w:rsidP="005824C8">
      <w:pPr>
        <w:ind w:firstLine="0"/>
        <w:rPr>
          <w:rFonts w:eastAsia="Calibri"/>
          <w:lang w:val="hy-AM"/>
        </w:rPr>
      </w:pPr>
    </w:p>
    <w:p w14:paraId="3196FD23" w14:textId="087A053B" w:rsidR="005824C8" w:rsidRDefault="005824C8" w:rsidP="005824C8">
      <w:pPr>
        <w:ind w:firstLine="0"/>
        <w:rPr>
          <w:rFonts w:eastAsia="Calibri"/>
          <w:lang w:val="hy-AM"/>
        </w:rPr>
      </w:pPr>
    </w:p>
    <w:p w14:paraId="4C274FEC" w14:textId="1B31E003" w:rsidR="005824C8" w:rsidRDefault="005824C8" w:rsidP="005824C8">
      <w:pPr>
        <w:ind w:firstLine="0"/>
        <w:rPr>
          <w:rFonts w:eastAsia="Calibri"/>
          <w:lang w:val="hy-AM"/>
        </w:rPr>
      </w:pPr>
    </w:p>
    <w:p w14:paraId="636B8D4F" w14:textId="77777777" w:rsidR="005824C8" w:rsidRPr="0082790F" w:rsidRDefault="005824C8" w:rsidP="005824C8">
      <w:pPr>
        <w:ind w:firstLine="0"/>
        <w:rPr>
          <w:rFonts w:eastAsia="Calibri"/>
          <w:lang w:val="hy-AM"/>
        </w:rPr>
      </w:pPr>
    </w:p>
    <w:p w14:paraId="298E99F0" w14:textId="77777777" w:rsidR="00595339" w:rsidRPr="005E2F67" w:rsidRDefault="00595339" w:rsidP="00595339">
      <w:pPr>
        <w:keepNext/>
        <w:keepLines/>
        <w:tabs>
          <w:tab w:val="left" w:pos="0"/>
        </w:tabs>
        <w:spacing w:before="120" w:after="0" w:line="276" w:lineRule="auto"/>
        <w:ind w:firstLine="0"/>
        <w:jc w:val="left"/>
        <w:rPr>
          <w:rFonts w:eastAsiaTheme="majorEastAsia" w:cs="Times New Roman"/>
          <w:b/>
          <w:lang w:val="hy-AM"/>
        </w:rPr>
      </w:pPr>
      <w:r w:rsidRPr="005E2F67">
        <w:rPr>
          <w:rFonts w:eastAsiaTheme="majorEastAsia" w:cs="Times New Roman"/>
          <w:b/>
          <w:lang w:val="hy-AM"/>
        </w:rPr>
        <w:t xml:space="preserve">Աղյուսակ 2.2. </w:t>
      </w:r>
      <w:r w:rsidRPr="005E2F67">
        <w:rPr>
          <w:rFonts w:eastAsiaTheme="majorEastAsia" w:cs="Times New Roman"/>
          <w:lang w:val="hy-AM"/>
        </w:rPr>
        <w:t>Փաստացի և ծրագրավորված հարկաբյուջետային քաղաքականության համապատասխանությունը հարկաբյուջետային կանոններին</w:t>
      </w:r>
    </w:p>
    <w:tbl>
      <w:tblPr>
        <w:tblW w:w="9754" w:type="dxa"/>
        <w:tblInd w:w="-15" w:type="dxa"/>
        <w:tblLook w:val="04A0" w:firstRow="1" w:lastRow="0" w:firstColumn="1" w:lastColumn="0" w:noHBand="0" w:noVBand="1"/>
      </w:tblPr>
      <w:tblGrid>
        <w:gridCol w:w="1252"/>
        <w:gridCol w:w="1238"/>
        <w:gridCol w:w="876"/>
        <w:gridCol w:w="687"/>
        <w:gridCol w:w="10"/>
        <w:gridCol w:w="647"/>
        <w:gridCol w:w="735"/>
        <w:gridCol w:w="615"/>
        <w:gridCol w:w="755"/>
        <w:gridCol w:w="776"/>
        <w:gridCol w:w="721"/>
        <w:gridCol w:w="754"/>
        <w:gridCol w:w="780"/>
      </w:tblGrid>
      <w:tr w:rsidR="00595339" w:rsidRPr="00BB7339" w14:paraId="33A5AB2C" w14:textId="77777777" w:rsidTr="00595339">
        <w:trPr>
          <w:trHeight w:val="568"/>
        </w:trPr>
        <w:tc>
          <w:tcPr>
            <w:tcW w:w="1205" w:type="dxa"/>
            <w:vMerge w:val="restart"/>
            <w:tcBorders>
              <w:top w:val="single" w:sz="4" w:space="0" w:color="auto"/>
              <w:left w:val="single" w:sz="4" w:space="0" w:color="auto"/>
              <w:bottom w:val="single" w:sz="4" w:space="0" w:color="auto"/>
              <w:right w:val="single" w:sz="4" w:space="0" w:color="auto"/>
            </w:tcBorders>
            <w:shd w:val="clear" w:color="000000" w:fill="5B9BD5"/>
            <w:vAlign w:val="center"/>
            <w:hideMark/>
          </w:tcPr>
          <w:p w14:paraId="5EB44E59"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Կանոնի ցուցանիշ</w:t>
            </w:r>
          </w:p>
        </w:tc>
        <w:tc>
          <w:tcPr>
            <w:tcW w:w="1192" w:type="dxa"/>
            <w:vMerge w:val="restart"/>
            <w:tcBorders>
              <w:top w:val="single" w:sz="4" w:space="0" w:color="auto"/>
              <w:left w:val="single" w:sz="4" w:space="0" w:color="auto"/>
              <w:bottom w:val="single" w:sz="4" w:space="0" w:color="auto"/>
              <w:right w:val="single" w:sz="4" w:space="0" w:color="auto"/>
            </w:tcBorders>
            <w:shd w:val="clear" w:color="000000" w:fill="5B9BD5"/>
            <w:vAlign w:val="center"/>
            <w:hideMark/>
          </w:tcPr>
          <w:p w14:paraId="462E9515"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Ուղենիշային ցուցանիշ</w:t>
            </w:r>
          </w:p>
        </w:tc>
        <w:tc>
          <w:tcPr>
            <w:tcW w:w="1563" w:type="dxa"/>
            <w:gridSpan w:val="2"/>
            <w:tcBorders>
              <w:top w:val="single" w:sz="4" w:space="0" w:color="auto"/>
              <w:left w:val="single" w:sz="4" w:space="0" w:color="auto"/>
              <w:bottom w:val="single" w:sz="4" w:space="0" w:color="auto"/>
              <w:right w:val="single" w:sz="4" w:space="0" w:color="auto"/>
            </w:tcBorders>
            <w:shd w:val="clear" w:color="000000" w:fill="5B9BD5"/>
            <w:noWrap/>
            <w:vAlign w:val="center"/>
            <w:hideMark/>
          </w:tcPr>
          <w:p w14:paraId="041A1DED"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2023</w:t>
            </w:r>
          </w:p>
        </w:tc>
        <w:tc>
          <w:tcPr>
            <w:tcW w:w="1392" w:type="dxa"/>
            <w:gridSpan w:val="3"/>
            <w:tcBorders>
              <w:top w:val="single" w:sz="4" w:space="0" w:color="auto"/>
              <w:left w:val="single" w:sz="4" w:space="0" w:color="auto"/>
              <w:bottom w:val="single" w:sz="4" w:space="0" w:color="auto"/>
              <w:right w:val="single" w:sz="4" w:space="0" w:color="auto"/>
            </w:tcBorders>
            <w:shd w:val="clear" w:color="000000" w:fill="5B9BD5"/>
            <w:vAlign w:val="center"/>
            <w:hideMark/>
          </w:tcPr>
          <w:p w14:paraId="78FAB1A9"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2024</w:t>
            </w:r>
          </w:p>
        </w:tc>
        <w:tc>
          <w:tcPr>
            <w:tcW w:w="1370" w:type="dxa"/>
            <w:gridSpan w:val="2"/>
            <w:tcBorders>
              <w:top w:val="single" w:sz="4" w:space="0" w:color="auto"/>
              <w:left w:val="single" w:sz="4" w:space="0" w:color="auto"/>
              <w:bottom w:val="single" w:sz="4" w:space="0" w:color="auto"/>
              <w:right w:val="single" w:sz="4" w:space="0" w:color="auto"/>
            </w:tcBorders>
            <w:shd w:val="clear" w:color="000000" w:fill="5B9BD5"/>
            <w:vAlign w:val="center"/>
            <w:hideMark/>
          </w:tcPr>
          <w:p w14:paraId="447E92CF"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2025</w:t>
            </w:r>
          </w:p>
        </w:tc>
        <w:tc>
          <w:tcPr>
            <w:tcW w:w="1497" w:type="dxa"/>
            <w:gridSpan w:val="2"/>
            <w:tcBorders>
              <w:top w:val="single" w:sz="4" w:space="0" w:color="auto"/>
              <w:left w:val="single" w:sz="4" w:space="0" w:color="auto"/>
              <w:bottom w:val="single" w:sz="4" w:space="0" w:color="auto"/>
              <w:right w:val="single" w:sz="4" w:space="0" w:color="auto"/>
            </w:tcBorders>
            <w:shd w:val="clear" w:color="000000" w:fill="5B9BD5"/>
            <w:vAlign w:val="center"/>
            <w:hideMark/>
          </w:tcPr>
          <w:p w14:paraId="46D2F720"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2026</w:t>
            </w:r>
          </w:p>
        </w:tc>
        <w:tc>
          <w:tcPr>
            <w:tcW w:w="1534" w:type="dxa"/>
            <w:gridSpan w:val="2"/>
            <w:tcBorders>
              <w:top w:val="single" w:sz="4" w:space="0" w:color="auto"/>
              <w:left w:val="single" w:sz="4" w:space="0" w:color="auto"/>
              <w:bottom w:val="single" w:sz="4" w:space="0" w:color="auto"/>
              <w:right w:val="single" w:sz="4" w:space="0" w:color="auto"/>
            </w:tcBorders>
            <w:shd w:val="clear" w:color="000000" w:fill="5B9BD5"/>
            <w:vAlign w:val="center"/>
            <w:hideMark/>
          </w:tcPr>
          <w:p w14:paraId="265F5DFE"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2027</w:t>
            </w:r>
          </w:p>
        </w:tc>
      </w:tr>
      <w:tr w:rsidR="00595339" w:rsidRPr="00BB7339" w14:paraId="73A58F8A" w14:textId="77777777" w:rsidTr="00595339">
        <w:trPr>
          <w:trHeight w:val="676"/>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75A47EEA" w14:textId="77777777" w:rsidR="00595339" w:rsidRPr="00CC54AC" w:rsidRDefault="00595339" w:rsidP="00644DF6">
            <w:pPr>
              <w:spacing w:before="0" w:after="0" w:line="240" w:lineRule="auto"/>
              <w:ind w:firstLine="0"/>
              <w:jc w:val="left"/>
              <w:rPr>
                <w:rFonts w:eastAsia="Times New Roman" w:cs="Times New Roman"/>
                <w:color w:val="FFFFFF"/>
                <w:sz w:val="16"/>
                <w:szCs w:val="16"/>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42A5BF3C" w14:textId="77777777" w:rsidR="00595339" w:rsidRPr="00CC54AC" w:rsidRDefault="00595339" w:rsidP="00644DF6">
            <w:pPr>
              <w:spacing w:before="0" w:after="0" w:line="240" w:lineRule="auto"/>
              <w:ind w:firstLine="0"/>
              <w:jc w:val="left"/>
              <w:rPr>
                <w:rFonts w:eastAsia="Times New Roman" w:cs="Times New Roman"/>
                <w:color w:val="FFFFFF"/>
                <w:sz w:val="16"/>
                <w:szCs w:val="16"/>
              </w:rPr>
            </w:pPr>
          </w:p>
        </w:tc>
        <w:tc>
          <w:tcPr>
            <w:tcW w:w="876"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6BA62DBF"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Սահմ</w:t>
            </w:r>
            <w:r w:rsidRPr="00CC54AC">
              <w:rPr>
                <w:rFonts w:ascii="Cambria Math" w:eastAsia="Times New Roman" w:hAnsi="Cambria Math" w:cs="Cambria Math"/>
                <w:color w:val="FFFFFF"/>
                <w:sz w:val="16"/>
                <w:szCs w:val="16"/>
              </w:rPr>
              <w:t>․</w:t>
            </w:r>
          </w:p>
        </w:tc>
        <w:tc>
          <w:tcPr>
            <w:tcW w:w="686"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6135E721"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Փաստ</w:t>
            </w:r>
            <w:r w:rsidRPr="00CC54AC">
              <w:rPr>
                <w:rFonts w:ascii="Cambria Math" w:eastAsia="Times New Roman" w:hAnsi="Cambria Math" w:cs="Cambria Math"/>
                <w:color w:val="FFFFFF"/>
                <w:sz w:val="16"/>
                <w:szCs w:val="16"/>
              </w:rPr>
              <w:t>․</w:t>
            </w:r>
          </w:p>
        </w:tc>
        <w:tc>
          <w:tcPr>
            <w:tcW w:w="657" w:type="dxa"/>
            <w:gridSpan w:val="2"/>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6BF0C8CF"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Սահմ</w:t>
            </w:r>
            <w:r w:rsidRPr="00CC54AC">
              <w:rPr>
                <w:rFonts w:ascii="Cambria Math" w:eastAsia="Times New Roman" w:hAnsi="Cambria Math" w:cs="Cambria Math"/>
                <w:color w:val="FFFFFF"/>
                <w:sz w:val="16"/>
                <w:szCs w:val="16"/>
              </w:rPr>
              <w:t>․</w:t>
            </w:r>
          </w:p>
        </w:tc>
        <w:tc>
          <w:tcPr>
            <w:tcW w:w="734"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0F5495A7"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Պլան</w:t>
            </w:r>
          </w:p>
        </w:tc>
        <w:tc>
          <w:tcPr>
            <w:tcW w:w="614"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3AFDE33D"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Սահմ</w:t>
            </w:r>
            <w:r w:rsidRPr="00CC54AC">
              <w:rPr>
                <w:rFonts w:ascii="Cambria Math" w:eastAsia="Times New Roman" w:hAnsi="Cambria Math" w:cs="Cambria Math"/>
                <w:color w:val="FFFFFF"/>
                <w:sz w:val="16"/>
                <w:szCs w:val="16"/>
              </w:rPr>
              <w:t>․</w:t>
            </w:r>
          </w:p>
        </w:tc>
        <w:tc>
          <w:tcPr>
            <w:tcW w:w="756"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39035E26"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Պլան</w:t>
            </w:r>
          </w:p>
        </w:tc>
        <w:tc>
          <w:tcPr>
            <w:tcW w:w="803"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513F9A1E"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Սահմ</w:t>
            </w:r>
            <w:r w:rsidRPr="00CC54AC">
              <w:rPr>
                <w:rFonts w:ascii="Cambria Math" w:eastAsia="Times New Roman" w:hAnsi="Cambria Math" w:cs="Cambria Math"/>
                <w:color w:val="FFFFFF"/>
                <w:sz w:val="16"/>
                <w:szCs w:val="16"/>
              </w:rPr>
              <w:t>․</w:t>
            </w:r>
          </w:p>
        </w:tc>
        <w:tc>
          <w:tcPr>
            <w:tcW w:w="694"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1008413A"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Պլան</w:t>
            </w:r>
          </w:p>
        </w:tc>
        <w:tc>
          <w:tcPr>
            <w:tcW w:w="754"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27BAF6C2"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Սահմ</w:t>
            </w:r>
            <w:r w:rsidRPr="00CC54AC">
              <w:rPr>
                <w:rFonts w:ascii="Cambria Math" w:eastAsia="Times New Roman" w:hAnsi="Cambria Math" w:cs="Cambria Math"/>
                <w:color w:val="FFFFFF"/>
                <w:sz w:val="16"/>
                <w:szCs w:val="16"/>
              </w:rPr>
              <w:t>․</w:t>
            </w:r>
          </w:p>
        </w:tc>
        <w:tc>
          <w:tcPr>
            <w:tcW w:w="780" w:type="dxa"/>
            <w:tcBorders>
              <w:top w:val="single" w:sz="4" w:space="0" w:color="auto"/>
              <w:left w:val="single" w:sz="4" w:space="0" w:color="auto"/>
              <w:bottom w:val="single" w:sz="4" w:space="0" w:color="auto"/>
              <w:right w:val="single" w:sz="4" w:space="0" w:color="auto"/>
            </w:tcBorders>
            <w:shd w:val="clear" w:color="000000" w:fill="5B9BD5"/>
            <w:textDirection w:val="btLr"/>
            <w:vAlign w:val="center"/>
            <w:hideMark/>
          </w:tcPr>
          <w:p w14:paraId="4A993C27" w14:textId="77777777" w:rsidR="00595339" w:rsidRPr="00CC54AC" w:rsidRDefault="00595339" w:rsidP="00644DF6">
            <w:pPr>
              <w:spacing w:before="0" w:after="0" w:line="240" w:lineRule="auto"/>
              <w:ind w:firstLine="0"/>
              <w:jc w:val="center"/>
              <w:rPr>
                <w:rFonts w:eastAsia="Times New Roman" w:cs="Times New Roman"/>
                <w:color w:val="FFFFFF"/>
                <w:sz w:val="16"/>
                <w:szCs w:val="16"/>
              </w:rPr>
            </w:pPr>
            <w:r w:rsidRPr="00CC54AC">
              <w:rPr>
                <w:rFonts w:eastAsia="Times New Roman" w:cs="Times New Roman"/>
                <w:color w:val="FFFFFF"/>
                <w:sz w:val="16"/>
                <w:szCs w:val="16"/>
              </w:rPr>
              <w:t>Պլան</w:t>
            </w:r>
          </w:p>
        </w:tc>
      </w:tr>
      <w:tr w:rsidR="00595339" w:rsidRPr="00BB7339" w14:paraId="3FAA91A6" w14:textId="77777777" w:rsidTr="0068287F">
        <w:trPr>
          <w:trHeight w:val="798"/>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08623" w14:textId="77777777" w:rsidR="00595339" w:rsidRPr="00CC54AC" w:rsidRDefault="00595339" w:rsidP="00644DF6">
            <w:pPr>
              <w:spacing w:before="0" w:after="0" w:line="240" w:lineRule="auto"/>
              <w:ind w:firstLine="0"/>
              <w:rPr>
                <w:rFonts w:eastAsia="Times New Roman" w:cs="Times New Roman"/>
                <w:color w:val="000000"/>
                <w:sz w:val="16"/>
                <w:szCs w:val="16"/>
              </w:rPr>
            </w:pPr>
            <w:r w:rsidRPr="00CC54AC">
              <w:rPr>
                <w:rFonts w:eastAsia="Times New Roman" w:cs="Times New Roman"/>
                <w:color w:val="000000"/>
                <w:sz w:val="16"/>
                <w:szCs w:val="16"/>
              </w:rPr>
              <w:t>Պետական բյուջեի ոչ ֆինանսական ակտիվների գծով ծախսեր</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6C0DC"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&gt;/= պետական բյուջեի պակասուրդ, մլրդ դրամ</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19116"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274.0</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7D8AE"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472.6</w:t>
            </w:r>
          </w:p>
        </w:tc>
        <w:tc>
          <w:tcPr>
            <w:tcW w:w="65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AF03CF7"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482.9</w:t>
            </w:r>
          </w:p>
        </w:tc>
        <w:tc>
          <w:tcPr>
            <w:tcW w:w="7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D5F9A95"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666.4</w:t>
            </w:r>
          </w:p>
        </w:tc>
        <w:tc>
          <w:tcPr>
            <w:tcW w:w="61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7BA3193"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615.8</w:t>
            </w:r>
          </w:p>
        </w:tc>
        <w:tc>
          <w:tcPr>
            <w:tcW w:w="7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D0CC087"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784.9</w:t>
            </w:r>
          </w:p>
        </w:tc>
        <w:tc>
          <w:tcPr>
            <w:tcW w:w="80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D42B2A5"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553.9</w:t>
            </w:r>
          </w:p>
        </w:tc>
        <w:tc>
          <w:tcPr>
            <w:tcW w:w="69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2CC0EE0"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873.9</w:t>
            </w:r>
          </w:p>
        </w:tc>
        <w:tc>
          <w:tcPr>
            <w:tcW w:w="75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9638448"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472.7</w:t>
            </w:r>
          </w:p>
        </w:tc>
        <w:tc>
          <w:tcPr>
            <w:tcW w:w="78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9D6C759"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858.6</w:t>
            </w:r>
          </w:p>
        </w:tc>
      </w:tr>
      <w:tr w:rsidR="00595339" w:rsidRPr="00BB7339" w14:paraId="7B3A29A0" w14:textId="77777777" w:rsidTr="0068287F">
        <w:trPr>
          <w:trHeight w:val="798"/>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271F0" w14:textId="77777777" w:rsidR="00595339" w:rsidRPr="00CC54AC" w:rsidRDefault="00595339" w:rsidP="00644DF6">
            <w:pPr>
              <w:spacing w:before="0" w:after="0" w:line="240" w:lineRule="auto"/>
              <w:ind w:firstLine="0"/>
              <w:rPr>
                <w:rFonts w:eastAsia="Times New Roman" w:cs="Times New Roman"/>
                <w:color w:val="000000"/>
                <w:sz w:val="16"/>
                <w:szCs w:val="16"/>
              </w:rPr>
            </w:pPr>
            <w:r w:rsidRPr="00CC54AC">
              <w:rPr>
                <w:rFonts w:eastAsia="Times New Roman" w:cs="Times New Roman"/>
                <w:color w:val="000000"/>
                <w:sz w:val="16"/>
                <w:szCs w:val="16"/>
              </w:rPr>
              <w:t>Պետական բյուջեի ընթացիկ առաջնային ծախսերի աճի տեմպ</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9B57E"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&lt;/= նախորդ 7 տարիների անվանական ՀՆԱ աճի միջին տեմպ, %</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46A2F"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5.1</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A4486"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5.9</w:t>
            </w:r>
          </w:p>
        </w:tc>
        <w:tc>
          <w:tcPr>
            <w:tcW w:w="65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3038C0A"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7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A2040C8"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13.9</w:t>
            </w:r>
          </w:p>
        </w:tc>
        <w:tc>
          <w:tcPr>
            <w:tcW w:w="61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262411A"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7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E685371"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14.1</w:t>
            </w:r>
          </w:p>
        </w:tc>
        <w:tc>
          <w:tcPr>
            <w:tcW w:w="80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355FD74"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9.4</w:t>
            </w:r>
          </w:p>
        </w:tc>
        <w:tc>
          <w:tcPr>
            <w:tcW w:w="69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4E91817"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8.7</w:t>
            </w:r>
          </w:p>
        </w:tc>
        <w:tc>
          <w:tcPr>
            <w:tcW w:w="75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D4E1919"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9.7</w:t>
            </w:r>
          </w:p>
        </w:tc>
        <w:tc>
          <w:tcPr>
            <w:tcW w:w="78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825BFC2"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9.4</w:t>
            </w:r>
          </w:p>
        </w:tc>
      </w:tr>
      <w:tr w:rsidR="00595339" w:rsidRPr="00BB7339" w14:paraId="2457B69E" w14:textId="77777777" w:rsidTr="0068287F">
        <w:trPr>
          <w:trHeight w:val="798"/>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C927" w14:textId="77777777" w:rsidR="00595339" w:rsidRPr="00CC54AC" w:rsidRDefault="00595339" w:rsidP="00644DF6">
            <w:pPr>
              <w:spacing w:before="0" w:after="0" w:line="240" w:lineRule="auto"/>
              <w:ind w:firstLine="0"/>
              <w:rPr>
                <w:rFonts w:eastAsia="Times New Roman" w:cs="Times New Roman"/>
                <w:color w:val="000000"/>
                <w:sz w:val="16"/>
                <w:szCs w:val="16"/>
              </w:rPr>
            </w:pPr>
            <w:r w:rsidRPr="00CC54AC">
              <w:rPr>
                <w:rFonts w:eastAsia="Times New Roman" w:cs="Times New Roman"/>
                <w:color w:val="000000"/>
                <w:sz w:val="16"/>
                <w:szCs w:val="16"/>
              </w:rPr>
              <w:t>Պետական բյուջեի ընթացիկ ծախսեր</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0918B"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&lt;/= հարկային եկամուտների և տուրքերի ծավալ, մլրդ դրամ</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C5A0F"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2235.0</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7F194"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2127.0</w:t>
            </w:r>
          </w:p>
        </w:tc>
        <w:tc>
          <w:tcPr>
            <w:tcW w:w="65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2BB85A0"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7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6F01E9D8"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2451.2</w:t>
            </w:r>
          </w:p>
        </w:tc>
        <w:tc>
          <w:tcPr>
            <w:tcW w:w="61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774EF72"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7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C12A914"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2728.5</w:t>
            </w:r>
          </w:p>
        </w:tc>
        <w:tc>
          <w:tcPr>
            <w:tcW w:w="80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2ED34BE"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69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10D13A6"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2938.2</w:t>
            </w:r>
          </w:p>
        </w:tc>
        <w:tc>
          <w:tcPr>
            <w:tcW w:w="75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DB78ABD"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w:t>
            </w:r>
          </w:p>
        </w:tc>
        <w:tc>
          <w:tcPr>
            <w:tcW w:w="78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55260C8"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3228.1</w:t>
            </w:r>
          </w:p>
        </w:tc>
      </w:tr>
      <w:tr w:rsidR="00595339" w:rsidRPr="00BB7339" w14:paraId="1F67398A" w14:textId="77777777" w:rsidTr="00595339">
        <w:trPr>
          <w:trHeight w:val="322"/>
        </w:trPr>
        <w:tc>
          <w:tcPr>
            <w:tcW w:w="23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059CB2"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Կառավարության պարտք/ՀՆԱ, %</w:t>
            </w:r>
          </w:p>
        </w:tc>
        <w:tc>
          <w:tcPr>
            <w:tcW w:w="157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93592"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48.1</w:t>
            </w:r>
          </w:p>
        </w:tc>
        <w:tc>
          <w:tcPr>
            <w:tcW w:w="138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57692B3B"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50.</w:t>
            </w:r>
            <w:r w:rsidRPr="00CA66D7">
              <w:rPr>
                <w:rFonts w:eastAsia="Times New Roman" w:cs="Times New Roman"/>
                <w:color w:val="000000"/>
                <w:sz w:val="16"/>
                <w:szCs w:val="16"/>
              </w:rPr>
              <w:t>5</w:t>
            </w:r>
          </w:p>
        </w:tc>
        <w:tc>
          <w:tcPr>
            <w:tcW w:w="137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8AC66BF"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53.</w:t>
            </w:r>
            <w:r w:rsidRPr="00CA66D7">
              <w:rPr>
                <w:rFonts w:eastAsia="Times New Roman" w:cs="Times New Roman"/>
                <w:color w:val="000000"/>
                <w:sz w:val="16"/>
                <w:szCs w:val="16"/>
              </w:rPr>
              <w:t>7</w:t>
            </w:r>
          </w:p>
        </w:tc>
        <w:tc>
          <w:tcPr>
            <w:tcW w:w="149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08EEB84F"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w:t>
            </w:r>
            <w:r w:rsidRPr="00CA66D7">
              <w:rPr>
                <w:rFonts w:eastAsia="Times New Roman" w:cs="Times New Roman"/>
                <w:color w:val="000000"/>
                <w:sz w:val="16"/>
                <w:szCs w:val="16"/>
              </w:rPr>
              <w:t>5</w:t>
            </w:r>
            <w:r w:rsidRPr="00CC54AC">
              <w:rPr>
                <w:rFonts w:eastAsia="Times New Roman" w:cs="Times New Roman"/>
                <w:color w:val="000000"/>
                <w:sz w:val="16"/>
                <w:szCs w:val="16"/>
              </w:rPr>
              <w:t>.</w:t>
            </w:r>
            <w:r w:rsidRPr="00CA66D7">
              <w:rPr>
                <w:rFonts w:eastAsia="Times New Roman" w:cs="Times New Roman"/>
                <w:color w:val="000000"/>
                <w:sz w:val="16"/>
                <w:szCs w:val="16"/>
              </w:rPr>
              <w:t>0</w:t>
            </w:r>
          </w:p>
        </w:tc>
        <w:tc>
          <w:tcPr>
            <w:tcW w:w="153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4921592F" w14:textId="77777777" w:rsidR="00595339" w:rsidRPr="00CC54AC" w:rsidRDefault="00595339" w:rsidP="00644DF6">
            <w:pPr>
              <w:spacing w:before="0" w:after="0" w:line="240" w:lineRule="auto"/>
              <w:ind w:firstLine="0"/>
              <w:jc w:val="center"/>
              <w:rPr>
                <w:rFonts w:eastAsia="Times New Roman" w:cs="Times New Roman"/>
                <w:color w:val="000000"/>
                <w:sz w:val="16"/>
                <w:szCs w:val="16"/>
              </w:rPr>
            </w:pPr>
            <w:r w:rsidRPr="00CC54AC">
              <w:rPr>
                <w:rFonts w:eastAsia="Times New Roman" w:cs="Times New Roman"/>
                <w:color w:val="000000"/>
                <w:sz w:val="16"/>
                <w:szCs w:val="16"/>
              </w:rPr>
              <w:t>5</w:t>
            </w:r>
            <w:r w:rsidRPr="00CA66D7">
              <w:rPr>
                <w:rFonts w:eastAsia="Times New Roman" w:cs="Times New Roman"/>
                <w:color w:val="000000"/>
                <w:sz w:val="16"/>
                <w:szCs w:val="16"/>
              </w:rPr>
              <w:t>5</w:t>
            </w:r>
            <w:r w:rsidRPr="00CC54AC">
              <w:rPr>
                <w:rFonts w:eastAsia="Times New Roman" w:cs="Times New Roman"/>
                <w:color w:val="000000"/>
                <w:sz w:val="16"/>
                <w:szCs w:val="16"/>
              </w:rPr>
              <w:t>.</w:t>
            </w:r>
            <w:r w:rsidRPr="00CA66D7">
              <w:rPr>
                <w:rFonts w:eastAsia="Times New Roman" w:cs="Times New Roman"/>
                <w:color w:val="000000"/>
                <w:sz w:val="16"/>
                <w:szCs w:val="16"/>
              </w:rPr>
              <w:t>0</w:t>
            </w:r>
          </w:p>
        </w:tc>
      </w:tr>
    </w:tbl>
    <w:p w14:paraId="56173853" w14:textId="77777777" w:rsidR="00595339" w:rsidRPr="00CC6252" w:rsidRDefault="00595339" w:rsidP="00595339">
      <w:pPr>
        <w:keepNext/>
        <w:keepLines/>
        <w:tabs>
          <w:tab w:val="left" w:pos="0"/>
        </w:tabs>
        <w:spacing w:before="120" w:after="0" w:line="276" w:lineRule="auto"/>
        <w:ind w:firstLine="0"/>
        <w:jc w:val="left"/>
        <w:rPr>
          <w:rFonts w:eastAsiaTheme="majorEastAsia" w:cs="Times New Roman"/>
          <w:b/>
          <w:i/>
          <w:sz w:val="18"/>
          <w:szCs w:val="18"/>
          <w:lang w:val="hy-AM"/>
        </w:rPr>
      </w:pPr>
      <w:r w:rsidRPr="00CC6252">
        <w:rPr>
          <w:rFonts w:eastAsiaTheme="majorEastAsia" w:cs="Times New Roman"/>
          <w:b/>
          <w:i/>
          <w:sz w:val="18"/>
          <w:szCs w:val="18"/>
          <w:lang w:val="hy-AM"/>
        </w:rPr>
        <w:t>«-»-ը նշանակում է, որ պետական պարտքի առկա չափի դեպքում կիրառելի չէ</w:t>
      </w:r>
    </w:p>
    <w:p w14:paraId="53D8B625" w14:textId="77777777" w:rsidR="00595339" w:rsidRDefault="00595339" w:rsidP="00595339">
      <w:pPr>
        <w:tabs>
          <w:tab w:val="left" w:pos="0"/>
        </w:tabs>
        <w:spacing w:before="120" w:after="0" w:line="276" w:lineRule="auto"/>
        <w:ind w:firstLine="0"/>
        <w:jc w:val="left"/>
        <w:rPr>
          <w:rFonts w:eastAsia="Times New Roman" w:cs="Times New Roman"/>
          <w:b/>
          <w:color w:val="44546A" w:themeColor="text2"/>
          <w:sz w:val="28"/>
          <w:szCs w:val="28"/>
          <w:lang w:val="hy-AM"/>
        </w:rPr>
      </w:pPr>
    </w:p>
    <w:p w14:paraId="3BD09C28" w14:textId="77777777" w:rsidR="00595339" w:rsidRDefault="00595339" w:rsidP="00595339">
      <w:pPr>
        <w:tabs>
          <w:tab w:val="left" w:pos="0"/>
        </w:tabs>
        <w:spacing w:before="120" w:after="0" w:line="276" w:lineRule="auto"/>
        <w:ind w:firstLine="0"/>
        <w:jc w:val="left"/>
        <w:rPr>
          <w:rFonts w:eastAsia="Times New Roman" w:cs="Times New Roman"/>
          <w:b/>
          <w:color w:val="44546A" w:themeColor="text2"/>
          <w:sz w:val="28"/>
          <w:szCs w:val="28"/>
          <w:lang w:val="hy-AM"/>
        </w:rPr>
      </w:pPr>
      <w:r>
        <w:rPr>
          <w:rFonts w:eastAsia="Times New Roman" w:cs="Times New Roman"/>
          <w:b/>
          <w:color w:val="44546A" w:themeColor="text2"/>
          <w:sz w:val="28"/>
          <w:szCs w:val="28"/>
          <w:lang w:val="hy-AM"/>
        </w:rPr>
        <w:br w:type="page"/>
      </w:r>
    </w:p>
    <w:p w14:paraId="4D0387E4" w14:textId="77777777" w:rsidR="00595339" w:rsidRPr="00FE0674" w:rsidRDefault="00595339" w:rsidP="00595339">
      <w:pPr>
        <w:keepNext/>
        <w:keepLines/>
        <w:tabs>
          <w:tab w:val="left" w:pos="0"/>
        </w:tabs>
        <w:spacing w:before="120" w:after="0" w:line="276" w:lineRule="auto"/>
        <w:ind w:left="360" w:firstLine="0"/>
        <w:contextualSpacing/>
        <w:jc w:val="left"/>
        <w:outlineLvl w:val="2"/>
        <w:rPr>
          <w:rFonts w:eastAsia="Times New Roman" w:cs="Times New Roman"/>
          <w:b/>
          <w:color w:val="44546A" w:themeColor="text2"/>
          <w:sz w:val="24"/>
          <w:szCs w:val="24"/>
          <w:lang w:val="hy-AM"/>
        </w:rPr>
      </w:pPr>
      <w:bookmarkStart w:id="103" w:name="_Toc77837857"/>
      <w:bookmarkStart w:id="104" w:name="_Toc106822901"/>
      <w:bookmarkStart w:id="105" w:name="_Toc107428586"/>
      <w:bookmarkStart w:id="106" w:name="_Toc138956191"/>
      <w:bookmarkStart w:id="107" w:name="_Toc170926310"/>
      <w:r w:rsidRPr="00FE0674">
        <w:rPr>
          <w:rFonts w:eastAsia="Times New Roman" w:cs="Times New Roman"/>
          <w:b/>
          <w:color w:val="44546A" w:themeColor="text2"/>
          <w:sz w:val="24"/>
          <w:szCs w:val="24"/>
          <w:lang w:val="hy-AM"/>
        </w:rPr>
        <w:lastRenderedPageBreak/>
        <w:t>2.6. ՊԵՏԱԿԱՆ ԲՅՈՒՋԵԻ ՑՈՒՑԱՆԻՇՆԵՐԻ ԿԱՆԽԱՏԵՍՈՒՄՆԵՐԻ ՀԱՄԵՄԱՏԱԿԱՆ ԱՂՅՈՒՍԱԿՆԵՐ</w:t>
      </w:r>
      <w:bookmarkEnd w:id="103"/>
      <w:bookmarkEnd w:id="104"/>
      <w:bookmarkEnd w:id="105"/>
      <w:bookmarkEnd w:id="106"/>
      <w:r>
        <w:rPr>
          <w:rStyle w:val="FootnoteReference"/>
          <w:rFonts w:eastAsia="Times New Roman" w:cs="Times New Roman"/>
          <w:b/>
          <w:color w:val="44546A" w:themeColor="text2"/>
          <w:sz w:val="24"/>
          <w:szCs w:val="24"/>
          <w:lang w:val="hy-AM"/>
        </w:rPr>
        <w:footnoteReference w:id="23"/>
      </w:r>
      <w:bookmarkEnd w:id="107"/>
    </w:p>
    <w:p w14:paraId="1B811C1C" w14:textId="77777777" w:rsidR="00595339" w:rsidRDefault="00595339" w:rsidP="00595339">
      <w:pPr>
        <w:keepNext/>
        <w:keepLines/>
        <w:tabs>
          <w:tab w:val="left" w:pos="0"/>
        </w:tabs>
        <w:spacing w:before="120" w:after="0" w:line="276" w:lineRule="auto"/>
        <w:ind w:firstLine="0"/>
        <w:jc w:val="left"/>
        <w:rPr>
          <w:rFonts w:eastAsia="Times New Roman" w:cs="Times New Roman"/>
          <w:lang w:val="hy-AM"/>
        </w:rPr>
      </w:pPr>
      <w:r w:rsidRPr="005E2F67">
        <w:rPr>
          <w:rFonts w:eastAsia="Times New Roman" w:cs="Times New Roman"/>
          <w:b/>
          <w:i/>
          <w:lang w:val="hy-AM"/>
        </w:rPr>
        <w:t>Աղյուսակ 2.3</w:t>
      </w:r>
      <w:r w:rsidRPr="005E2F67">
        <w:rPr>
          <w:rFonts w:eastAsia="Times New Roman" w:cs="Times New Roman"/>
          <w:b/>
          <w:lang w:val="hy-AM"/>
        </w:rPr>
        <w:t xml:space="preserve">. </w:t>
      </w:r>
      <w:r w:rsidRPr="005E2F67">
        <w:rPr>
          <w:rFonts w:eastAsia="Times New Roman" w:cs="Times New Roman"/>
          <w:lang w:val="hy-AM"/>
        </w:rPr>
        <w:t>Պետական բյուջեի եկամուտների կանխատ</w:t>
      </w:r>
      <w:r>
        <w:rPr>
          <w:rFonts w:eastAsia="Times New Roman" w:cs="Times New Roman"/>
          <w:lang w:val="hy-AM"/>
        </w:rPr>
        <w:t xml:space="preserve">եսումների համեմատական աղյուսակը, </w:t>
      </w:r>
      <w:r w:rsidRPr="005E2F67">
        <w:rPr>
          <w:rFonts w:eastAsia="Times New Roman" w:cs="Times New Roman"/>
          <w:lang w:val="hy-AM"/>
        </w:rPr>
        <w:t>մլրդ դրամ</w:t>
      </w:r>
    </w:p>
    <w:p w14:paraId="43200F53" w14:textId="77777777" w:rsidR="00595339" w:rsidRPr="005E2F67" w:rsidRDefault="00595339" w:rsidP="00595339">
      <w:pPr>
        <w:keepNext/>
        <w:keepLines/>
        <w:tabs>
          <w:tab w:val="left" w:pos="0"/>
        </w:tabs>
        <w:spacing w:before="120" w:after="0" w:line="276" w:lineRule="auto"/>
        <w:ind w:firstLine="0"/>
        <w:jc w:val="left"/>
        <w:rPr>
          <w:rFonts w:eastAsia="Times New Roman" w:cs="Times New Roman"/>
          <w:lang w:val="hy-AM"/>
        </w:rPr>
      </w:pPr>
    </w:p>
    <w:tbl>
      <w:tblPr>
        <w:tblW w:w="9878" w:type="dxa"/>
        <w:tblLook w:val="04A0" w:firstRow="1" w:lastRow="0" w:firstColumn="1" w:lastColumn="0" w:noHBand="0" w:noVBand="1"/>
      </w:tblPr>
      <w:tblGrid>
        <w:gridCol w:w="1359"/>
        <w:gridCol w:w="2962"/>
        <w:gridCol w:w="1113"/>
        <w:gridCol w:w="1113"/>
        <w:gridCol w:w="1113"/>
        <w:gridCol w:w="1113"/>
        <w:gridCol w:w="1113"/>
      </w:tblGrid>
      <w:tr w:rsidR="00595339" w:rsidRPr="00C37A67" w14:paraId="7D95D9D4" w14:textId="77777777" w:rsidTr="00595339">
        <w:trPr>
          <w:trHeight w:val="1013"/>
        </w:trPr>
        <w:tc>
          <w:tcPr>
            <w:tcW w:w="1351"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3FF8C2FC"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Ընդունման տարին</w:t>
            </w:r>
          </w:p>
        </w:tc>
        <w:tc>
          <w:tcPr>
            <w:tcW w:w="2962" w:type="dxa"/>
            <w:tcBorders>
              <w:top w:val="single" w:sz="8" w:space="0" w:color="FFFFFF"/>
              <w:left w:val="nil"/>
              <w:bottom w:val="single" w:sz="8" w:space="0" w:color="FFFFFF"/>
              <w:right w:val="single" w:sz="8" w:space="0" w:color="FFFFFF"/>
            </w:tcBorders>
            <w:shd w:val="clear" w:color="000000" w:fill="8EA9DB"/>
            <w:noWrap/>
            <w:vAlign w:val="center"/>
            <w:hideMark/>
          </w:tcPr>
          <w:p w14:paraId="455D2399"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Ծրագիր</w:t>
            </w:r>
          </w:p>
        </w:tc>
        <w:tc>
          <w:tcPr>
            <w:tcW w:w="1113" w:type="dxa"/>
            <w:tcBorders>
              <w:top w:val="single" w:sz="8" w:space="0" w:color="FFFFFF"/>
              <w:left w:val="nil"/>
              <w:bottom w:val="single" w:sz="8" w:space="0" w:color="FFFFFF"/>
              <w:right w:val="single" w:sz="8" w:space="0" w:color="FFFFFF"/>
            </w:tcBorders>
            <w:shd w:val="clear" w:color="000000" w:fill="8EA9DB"/>
            <w:noWrap/>
            <w:vAlign w:val="center"/>
            <w:hideMark/>
          </w:tcPr>
          <w:p w14:paraId="212B8D8F"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2023</w:t>
            </w:r>
          </w:p>
        </w:tc>
        <w:tc>
          <w:tcPr>
            <w:tcW w:w="1113" w:type="dxa"/>
            <w:tcBorders>
              <w:top w:val="single" w:sz="8" w:space="0" w:color="FFFFFF"/>
              <w:left w:val="nil"/>
              <w:bottom w:val="single" w:sz="8" w:space="0" w:color="FFFFFF"/>
              <w:right w:val="single" w:sz="8" w:space="0" w:color="FFFFFF"/>
            </w:tcBorders>
            <w:shd w:val="clear" w:color="000000" w:fill="8EA9DB"/>
            <w:noWrap/>
            <w:vAlign w:val="center"/>
            <w:hideMark/>
          </w:tcPr>
          <w:p w14:paraId="1EE26CC9"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2024</w:t>
            </w:r>
          </w:p>
        </w:tc>
        <w:tc>
          <w:tcPr>
            <w:tcW w:w="1113" w:type="dxa"/>
            <w:tcBorders>
              <w:top w:val="single" w:sz="8" w:space="0" w:color="FFFFFF"/>
              <w:left w:val="nil"/>
              <w:bottom w:val="single" w:sz="8" w:space="0" w:color="FFFFFF"/>
              <w:right w:val="single" w:sz="8" w:space="0" w:color="FFFFFF"/>
            </w:tcBorders>
            <w:shd w:val="clear" w:color="000000" w:fill="8EA9DB"/>
            <w:noWrap/>
            <w:vAlign w:val="center"/>
            <w:hideMark/>
          </w:tcPr>
          <w:p w14:paraId="6F741995"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2025</w:t>
            </w:r>
          </w:p>
        </w:tc>
        <w:tc>
          <w:tcPr>
            <w:tcW w:w="1113" w:type="dxa"/>
            <w:tcBorders>
              <w:top w:val="single" w:sz="8" w:space="0" w:color="FFFFFF"/>
              <w:left w:val="nil"/>
              <w:bottom w:val="single" w:sz="8" w:space="0" w:color="FFFFFF"/>
              <w:right w:val="single" w:sz="8" w:space="0" w:color="FFFFFF"/>
            </w:tcBorders>
            <w:shd w:val="clear" w:color="000000" w:fill="8EA9DB"/>
            <w:noWrap/>
            <w:vAlign w:val="center"/>
            <w:hideMark/>
          </w:tcPr>
          <w:p w14:paraId="54065CAB"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2026</w:t>
            </w:r>
          </w:p>
        </w:tc>
        <w:tc>
          <w:tcPr>
            <w:tcW w:w="1113" w:type="dxa"/>
            <w:tcBorders>
              <w:top w:val="single" w:sz="8" w:space="0" w:color="FFFFFF"/>
              <w:left w:val="nil"/>
              <w:bottom w:val="single" w:sz="8" w:space="0" w:color="FFFFFF"/>
              <w:right w:val="single" w:sz="8" w:space="0" w:color="FFFFFF"/>
            </w:tcBorders>
            <w:shd w:val="clear" w:color="000000" w:fill="8EA9DB"/>
            <w:noWrap/>
            <w:vAlign w:val="center"/>
            <w:hideMark/>
          </w:tcPr>
          <w:p w14:paraId="131DE98F"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2027</w:t>
            </w:r>
          </w:p>
        </w:tc>
      </w:tr>
      <w:tr w:rsidR="00595339" w:rsidRPr="00C37A67" w14:paraId="610507AC" w14:textId="77777777" w:rsidTr="00595339">
        <w:trPr>
          <w:trHeight w:val="347"/>
        </w:trPr>
        <w:tc>
          <w:tcPr>
            <w:tcW w:w="1351"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78D293C5"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w:t>
            </w:r>
          </w:p>
        </w:tc>
        <w:tc>
          <w:tcPr>
            <w:tcW w:w="2962" w:type="dxa"/>
            <w:tcBorders>
              <w:top w:val="nil"/>
              <w:left w:val="nil"/>
              <w:bottom w:val="single" w:sz="8" w:space="0" w:color="B4C6E7"/>
              <w:right w:val="single" w:sz="8" w:space="0" w:color="B4C6E7"/>
            </w:tcBorders>
            <w:shd w:val="clear" w:color="auto" w:fill="auto"/>
            <w:noWrap/>
            <w:vAlign w:val="center"/>
            <w:hideMark/>
          </w:tcPr>
          <w:p w14:paraId="417BF336" w14:textId="77777777" w:rsidR="00595339" w:rsidRPr="00C37A67" w:rsidRDefault="00595339" w:rsidP="00644DF6">
            <w:pPr>
              <w:spacing w:before="0" w:after="0" w:line="240" w:lineRule="auto"/>
              <w:ind w:firstLine="0"/>
              <w:rPr>
                <w:rFonts w:eastAsia="Times New Roman" w:cs="Calibri"/>
                <w:color w:val="000000"/>
              </w:rPr>
            </w:pPr>
            <w:r w:rsidRPr="00C37A67">
              <w:rPr>
                <w:rFonts w:eastAsia="Times New Roman" w:cs="Calibri"/>
                <w:color w:val="000000"/>
              </w:rPr>
              <w:t>Փաստացի</w:t>
            </w:r>
          </w:p>
        </w:tc>
        <w:tc>
          <w:tcPr>
            <w:tcW w:w="1113" w:type="dxa"/>
            <w:tcBorders>
              <w:top w:val="nil"/>
              <w:left w:val="nil"/>
              <w:bottom w:val="single" w:sz="8" w:space="0" w:color="B4C6E7"/>
              <w:right w:val="single" w:sz="8" w:space="0" w:color="B4C6E7"/>
            </w:tcBorders>
            <w:shd w:val="clear" w:color="auto" w:fill="auto"/>
            <w:vAlign w:val="center"/>
            <w:hideMark/>
          </w:tcPr>
          <w:p w14:paraId="4B2E4831"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2,410.7</w:t>
            </w:r>
          </w:p>
        </w:tc>
        <w:tc>
          <w:tcPr>
            <w:tcW w:w="1113" w:type="dxa"/>
            <w:tcBorders>
              <w:top w:val="nil"/>
              <w:left w:val="nil"/>
              <w:bottom w:val="single" w:sz="8" w:space="0" w:color="B4C6E7"/>
              <w:right w:val="single" w:sz="8" w:space="0" w:color="B4C6E7"/>
            </w:tcBorders>
            <w:shd w:val="clear" w:color="auto" w:fill="auto"/>
            <w:noWrap/>
            <w:vAlign w:val="center"/>
            <w:hideMark/>
          </w:tcPr>
          <w:p w14:paraId="49945704"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noWrap/>
            <w:vAlign w:val="center"/>
            <w:hideMark/>
          </w:tcPr>
          <w:p w14:paraId="5ADB1EC6"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noWrap/>
            <w:vAlign w:val="center"/>
            <w:hideMark/>
          </w:tcPr>
          <w:p w14:paraId="23388878"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4AD824B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52DDA710"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19043C1C"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noWrap/>
            <w:vAlign w:val="center"/>
            <w:hideMark/>
          </w:tcPr>
          <w:p w14:paraId="5282C3DB"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7DA07F8C"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24.11%</w:t>
            </w:r>
          </w:p>
        </w:tc>
        <w:tc>
          <w:tcPr>
            <w:tcW w:w="1113" w:type="dxa"/>
            <w:tcBorders>
              <w:top w:val="nil"/>
              <w:left w:val="nil"/>
              <w:bottom w:val="single" w:sz="8" w:space="0" w:color="B4C6E7"/>
              <w:right w:val="single" w:sz="8" w:space="0" w:color="B4C6E7"/>
            </w:tcBorders>
            <w:shd w:val="clear" w:color="auto" w:fill="auto"/>
            <w:noWrap/>
            <w:vAlign w:val="center"/>
            <w:hideMark/>
          </w:tcPr>
          <w:p w14:paraId="114A19A5"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noWrap/>
            <w:vAlign w:val="center"/>
            <w:hideMark/>
          </w:tcPr>
          <w:p w14:paraId="62C6851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noWrap/>
            <w:vAlign w:val="center"/>
            <w:hideMark/>
          </w:tcPr>
          <w:p w14:paraId="74ED8FE2"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58B5D5F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0622714A" w14:textId="77777777" w:rsidTr="00595339">
        <w:trPr>
          <w:trHeight w:val="347"/>
        </w:trPr>
        <w:tc>
          <w:tcPr>
            <w:tcW w:w="1351"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1C5EFE36"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2022</w:t>
            </w:r>
          </w:p>
        </w:tc>
        <w:tc>
          <w:tcPr>
            <w:tcW w:w="2962" w:type="dxa"/>
            <w:tcBorders>
              <w:top w:val="nil"/>
              <w:left w:val="nil"/>
              <w:bottom w:val="single" w:sz="8" w:space="0" w:color="B4C6E7"/>
              <w:right w:val="single" w:sz="8" w:space="0" w:color="B4C6E7"/>
            </w:tcBorders>
            <w:shd w:val="clear" w:color="auto" w:fill="auto"/>
            <w:noWrap/>
            <w:vAlign w:val="center"/>
            <w:hideMark/>
          </w:tcPr>
          <w:p w14:paraId="034B1897"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2023-2025</w:t>
            </w:r>
          </w:p>
        </w:tc>
        <w:tc>
          <w:tcPr>
            <w:tcW w:w="1113" w:type="dxa"/>
            <w:tcBorders>
              <w:top w:val="nil"/>
              <w:left w:val="nil"/>
              <w:bottom w:val="single" w:sz="8" w:space="0" w:color="B4C6E7"/>
              <w:right w:val="single" w:sz="8" w:space="0" w:color="B4C6E7"/>
            </w:tcBorders>
            <w:shd w:val="clear" w:color="auto" w:fill="auto"/>
            <w:vAlign w:val="center"/>
            <w:hideMark/>
          </w:tcPr>
          <w:p w14:paraId="72FB0A7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2,305.7</w:t>
            </w:r>
          </w:p>
        </w:tc>
        <w:tc>
          <w:tcPr>
            <w:tcW w:w="1113" w:type="dxa"/>
            <w:tcBorders>
              <w:top w:val="nil"/>
              <w:left w:val="nil"/>
              <w:bottom w:val="single" w:sz="8" w:space="0" w:color="B4C6E7"/>
              <w:right w:val="single" w:sz="8" w:space="0" w:color="B4C6E7"/>
            </w:tcBorders>
            <w:shd w:val="clear" w:color="auto" w:fill="auto"/>
            <w:vAlign w:val="center"/>
            <w:hideMark/>
          </w:tcPr>
          <w:p w14:paraId="23CD0DC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2,609.6</w:t>
            </w:r>
          </w:p>
        </w:tc>
        <w:tc>
          <w:tcPr>
            <w:tcW w:w="1113" w:type="dxa"/>
            <w:tcBorders>
              <w:top w:val="nil"/>
              <w:left w:val="nil"/>
              <w:bottom w:val="single" w:sz="8" w:space="0" w:color="B4C6E7"/>
              <w:right w:val="single" w:sz="8" w:space="0" w:color="B4C6E7"/>
            </w:tcBorders>
            <w:shd w:val="clear" w:color="auto" w:fill="auto"/>
            <w:vAlign w:val="center"/>
            <w:hideMark/>
          </w:tcPr>
          <w:p w14:paraId="0C96BC5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2,940.6</w:t>
            </w:r>
          </w:p>
        </w:tc>
        <w:tc>
          <w:tcPr>
            <w:tcW w:w="1113" w:type="dxa"/>
            <w:tcBorders>
              <w:top w:val="nil"/>
              <w:left w:val="nil"/>
              <w:bottom w:val="single" w:sz="8" w:space="0" w:color="B4C6E7"/>
              <w:right w:val="single" w:sz="8" w:space="0" w:color="B4C6E7"/>
            </w:tcBorders>
            <w:shd w:val="clear" w:color="auto" w:fill="auto"/>
            <w:noWrap/>
            <w:vAlign w:val="center"/>
            <w:hideMark/>
          </w:tcPr>
          <w:p w14:paraId="0DC4847E"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471B874D"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42481A74"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7260CEF7"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vAlign w:val="center"/>
            <w:hideMark/>
          </w:tcPr>
          <w:p w14:paraId="06F0C495"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5DB23C8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25.47%</w:t>
            </w:r>
          </w:p>
        </w:tc>
        <w:tc>
          <w:tcPr>
            <w:tcW w:w="1113" w:type="dxa"/>
            <w:tcBorders>
              <w:top w:val="nil"/>
              <w:left w:val="nil"/>
              <w:bottom w:val="single" w:sz="8" w:space="0" w:color="B4C6E7"/>
              <w:right w:val="single" w:sz="8" w:space="0" w:color="B4C6E7"/>
            </w:tcBorders>
            <w:shd w:val="clear" w:color="auto" w:fill="auto"/>
            <w:vAlign w:val="center"/>
            <w:hideMark/>
          </w:tcPr>
          <w:p w14:paraId="19C7F96E"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25.81%</w:t>
            </w:r>
          </w:p>
        </w:tc>
        <w:tc>
          <w:tcPr>
            <w:tcW w:w="1113" w:type="dxa"/>
            <w:tcBorders>
              <w:top w:val="nil"/>
              <w:left w:val="nil"/>
              <w:bottom w:val="single" w:sz="8" w:space="0" w:color="B4C6E7"/>
              <w:right w:val="single" w:sz="8" w:space="0" w:color="B4C6E7"/>
            </w:tcBorders>
            <w:shd w:val="clear" w:color="auto" w:fill="auto"/>
            <w:vAlign w:val="center"/>
            <w:hideMark/>
          </w:tcPr>
          <w:p w14:paraId="27B8BF4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26.15%</w:t>
            </w:r>
          </w:p>
        </w:tc>
        <w:tc>
          <w:tcPr>
            <w:tcW w:w="1113" w:type="dxa"/>
            <w:tcBorders>
              <w:top w:val="nil"/>
              <w:left w:val="nil"/>
              <w:bottom w:val="single" w:sz="8" w:space="0" w:color="B4C6E7"/>
              <w:right w:val="single" w:sz="8" w:space="0" w:color="B4C6E7"/>
            </w:tcBorders>
            <w:shd w:val="clear" w:color="auto" w:fill="auto"/>
            <w:noWrap/>
            <w:vAlign w:val="center"/>
            <w:hideMark/>
          </w:tcPr>
          <w:p w14:paraId="758E400F"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6D3C6DA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1E3DB1EB"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632BAC2E"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noWrap/>
            <w:vAlign w:val="center"/>
            <w:hideMark/>
          </w:tcPr>
          <w:p w14:paraId="1D794AF6"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2023թ. Պետական բյուջե</w:t>
            </w:r>
          </w:p>
        </w:tc>
        <w:tc>
          <w:tcPr>
            <w:tcW w:w="1113" w:type="dxa"/>
            <w:tcBorders>
              <w:top w:val="nil"/>
              <w:left w:val="nil"/>
              <w:bottom w:val="single" w:sz="8" w:space="0" w:color="B4C6E7"/>
              <w:right w:val="single" w:sz="8" w:space="0" w:color="B4C6E7"/>
            </w:tcBorders>
            <w:shd w:val="clear" w:color="auto" w:fill="auto"/>
            <w:vAlign w:val="center"/>
            <w:hideMark/>
          </w:tcPr>
          <w:p w14:paraId="513D8892"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2,353.9</w:t>
            </w:r>
          </w:p>
        </w:tc>
        <w:tc>
          <w:tcPr>
            <w:tcW w:w="1113" w:type="dxa"/>
            <w:tcBorders>
              <w:top w:val="nil"/>
              <w:left w:val="nil"/>
              <w:bottom w:val="single" w:sz="8" w:space="0" w:color="B4C6E7"/>
              <w:right w:val="single" w:sz="8" w:space="0" w:color="B4C6E7"/>
            </w:tcBorders>
            <w:shd w:val="clear" w:color="auto" w:fill="auto"/>
            <w:vAlign w:val="center"/>
            <w:hideMark/>
          </w:tcPr>
          <w:p w14:paraId="40AD34A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4FC924C2"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noWrap/>
            <w:vAlign w:val="center"/>
            <w:hideMark/>
          </w:tcPr>
          <w:p w14:paraId="7294149E"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35E7F20D"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13B61C43"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3FDF4C01"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vAlign w:val="center"/>
            <w:hideMark/>
          </w:tcPr>
          <w:p w14:paraId="74738EB6"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1036DFD8"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25.26%</w:t>
            </w:r>
          </w:p>
        </w:tc>
        <w:tc>
          <w:tcPr>
            <w:tcW w:w="1113" w:type="dxa"/>
            <w:tcBorders>
              <w:top w:val="nil"/>
              <w:left w:val="nil"/>
              <w:bottom w:val="single" w:sz="8" w:space="0" w:color="B4C6E7"/>
              <w:right w:val="single" w:sz="8" w:space="0" w:color="B4C6E7"/>
            </w:tcBorders>
            <w:shd w:val="clear" w:color="auto" w:fill="auto"/>
            <w:vAlign w:val="center"/>
            <w:hideMark/>
          </w:tcPr>
          <w:p w14:paraId="2436218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4BB143DC"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6A85268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1123566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2887F883" w14:textId="77777777" w:rsidTr="00595339">
        <w:trPr>
          <w:trHeight w:val="347"/>
        </w:trPr>
        <w:tc>
          <w:tcPr>
            <w:tcW w:w="1351"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4C66F953"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2023</w:t>
            </w:r>
          </w:p>
        </w:tc>
        <w:tc>
          <w:tcPr>
            <w:tcW w:w="2962" w:type="dxa"/>
            <w:tcBorders>
              <w:top w:val="nil"/>
              <w:left w:val="nil"/>
              <w:bottom w:val="single" w:sz="8" w:space="0" w:color="B4C6E7"/>
              <w:right w:val="single" w:sz="8" w:space="0" w:color="B4C6E7"/>
            </w:tcBorders>
            <w:shd w:val="clear" w:color="auto" w:fill="auto"/>
            <w:noWrap/>
            <w:vAlign w:val="center"/>
            <w:hideMark/>
          </w:tcPr>
          <w:p w14:paraId="2577CDD4"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2024-2026</w:t>
            </w:r>
          </w:p>
        </w:tc>
        <w:tc>
          <w:tcPr>
            <w:tcW w:w="1113" w:type="dxa"/>
            <w:tcBorders>
              <w:top w:val="nil"/>
              <w:left w:val="nil"/>
              <w:bottom w:val="single" w:sz="8" w:space="0" w:color="B4C6E7"/>
              <w:right w:val="single" w:sz="8" w:space="0" w:color="B4C6E7"/>
            </w:tcBorders>
            <w:shd w:val="clear" w:color="auto" w:fill="auto"/>
            <w:vAlign w:val="center"/>
            <w:hideMark/>
          </w:tcPr>
          <w:p w14:paraId="00200E5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2,385.7</w:t>
            </w:r>
          </w:p>
        </w:tc>
        <w:tc>
          <w:tcPr>
            <w:tcW w:w="1113" w:type="dxa"/>
            <w:tcBorders>
              <w:top w:val="nil"/>
              <w:left w:val="nil"/>
              <w:bottom w:val="single" w:sz="8" w:space="0" w:color="B4C6E7"/>
              <w:right w:val="single" w:sz="8" w:space="0" w:color="B4C6E7"/>
            </w:tcBorders>
            <w:shd w:val="clear" w:color="auto" w:fill="auto"/>
            <w:vAlign w:val="center"/>
            <w:hideMark/>
          </w:tcPr>
          <w:p w14:paraId="68D2EEA7"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2,671.1</w:t>
            </w:r>
          </w:p>
        </w:tc>
        <w:tc>
          <w:tcPr>
            <w:tcW w:w="1113" w:type="dxa"/>
            <w:tcBorders>
              <w:top w:val="nil"/>
              <w:left w:val="nil"/>
              <w:bottom w:val="single" w:sz="8" w:space="0" w:color="B4C6E7"/>
              <w:right w:val="single" w:sz="8" w:space="0" w:color="B4C6E7"/>
            </w:tcBorders>
            <w:shd w:val="clear" w:color="auto" w:fill="auto"/>
            <w:vAlign w:val="center"/>
            <w:hideMark/>
          </w:tcPr>
          <w:p w14:paraId="7F1A6EB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2,986.4</w:t>
            </w:r>
          </w:p>
        </w:tc>
        <w:tc>
          <w:tcPr>
            <w:tcW w:w="1113" w:type="dxa"/>
            <w:tcBorders>
              <w:top w:val="nil"/>
              <w:left w:val="nil"/>
              <w:bottom w:val="single" w:sz="8" w:space="0" w:color="B4C6E7"/>
              <w:right w:val="single" w:sz="8" w:space="0" w:color="B4C6E7"/>
            </w:tcBorders>
            <w:shd w:val="clear" w:color="auto" w:fill="auto"/>
            <w:vAlign w:val="center"/>
            <w:hideMark/>
          </w:tcPr>
          <w:p w14:paraId="34160F8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3,367.4</w:t>
            </w:r>
          </w:p>
        </w:tc>
        <w:tc>
          <w:tcPr>
            <w:tcW w:w="1113" w:type="dxa"/>
            <w:tcBorders>
              <w:top w:val="nil"/>
              <w:left w:val="nil"/>
              <w:bottom w:val="single" w:sz="8" w:space="0" w:color="B4C6E7"/>
              <w:right w:val="single" w:sz="8" w:space="0" w:color="B4C6E7"/>
            </w:tcBorders>
            <w:shd w:val="clear" w:color="auto" w:fill="auto"/>
            <w:vAlign w:val="center"/>
            <w:hideMark/>
          </w:tcPr>
          <w:p w14:paraId="4D5DF4DF"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55A38103"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035589D8"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vAlign w:val="center"/>
            <w:hideMark/>
          </w:tcPr>
          <w:p w14:paraId="0395C531"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23BA923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25.02%</w:t>
            </w:r>
          </w:p>
        </w:tc>
        <w:tc>
          <w:tcPr>
            <w:tcW w:w="1113" w:type="dxa"/>
            <w:tcBorders>
              <w:top w:val="nil"/>
              <w:left w:val="nil"/>
              <w:bottom w:val="single" w:sz="8" w:space="0" w:color="B4C6E7"/>
              <w:right w:val="single" w:sz="8" w:space="0" w:color="B4C6E7"/>
            </w:tcBorders>
            <w:shd w:val="clear" w:color="auto" w:fill="auto"/>
            <w:vAlign w:val="center"/>
            <w:hideMark/>
          </w:tcPr>
          <w:p w14:paraId="4788F2C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25.18%</w:t>
            </w:r>
          </w:p>
        </w:tc>
        <w:tc>
          <w:tcPr>
            <w:tcW w:w="1113" w:type="dxa"/>
            <w:tcBorders>
              <w:top w:val="nil"/>
              <w:left w:val="nil"/>
              <w:bottom w:val="single" w:sz="8" w:space="0" w:color="B4C6E7"/>
              <w:right w:val="single" w:sz="8" w:space="0" w:color="B4C6E7"/>
            </w:tcBorders>
            <w:shd w:val="clear" w:color="auto" w:fill="auto"/>
            <w:vAlign w:val="center"/>
            <w:hideMark/>
          </w:tcPr>
          <w:p w14:paraId="6BD73E4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25.30%</w:t>
            </w:r>
          </w:p>
        </w:tc>
        <w:tc>
          <w:tcPr>
            <w:tcW w:w="1113" w:type="dxa"/>
            <w:tcBorders>
              <w:top w:val="nil"/>
              <w:left w:val="nil"/>
              <w:bottom w:val="single" w:sz="8" w:space="0" w:color="B4C6E7"/>
              <w:right w:val="single" w:sz="8" w:space="0" w:color="B4C6E7"/>
            </w:tcBorders>
            <w:shd w:val="clear" w:color="auto" w:fill="auto"/>
            <w:vAlign w:val="center"/>
            <w:hideMark/>
          </w:tcPr>
          <w:p w14:paraId="3B7CC5D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25.63%</w:t>
            </w:r>
          </w:p>
        </w:tc>
        <w:tc>
          <w:tcPr>
            <w:tcW w:w="1113" w:type="dxa"/>
            <w:tcBorders>
              <w:top w:val="nil"/>
              <w:left w:val="nil"/>
              <w:bottom w:val="single" w:sz="8" w:space="0" w:color="B4C6E7"/>
              <w:right w:val="single" w:sz="8" w:space="0" w:color="B4C6E7"/>
            </w:tcBorders>
            <w:shd w:val="clear" w:color="auto" w:fill="auto"/>
            <w:vAlign w:val="center"/>
            <w:hideMark/>
          </w:tcPr>
          <w:p w14:paraId="3CBDBA5E"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4510BB0E"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7C993A43"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noWrap/>
            <w:vAlign w:val="center"/>
            <w:hideMark/>
          </w:tcPr>
          <w:p w14:paraId="1D5D04F1"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2024թ. Պետական բյուջե</w:t>
            </w:r>
          </w:p>
        </w:tc>
        <w:tc>
          <w:tcPr>
            <w:tcW w:w="1113" w:type="dxa"/>
            <w:tcBorders>
              <w:top w:val="nil"/>
              <w:left w:val="nil"/>
              <w:bottom w:val="single" w:sz="8" w:space="0" w:color="B4C6E7"/>
              <w:right w:val="single" w:sz="8" w:space="0" w:color="B4C6E7"/>
            </w:tcBorders>
            <w:shd w:val="clear" w:color="auto" w:fill="auto"/>
            <w:vAlign w:val="center"/>
            <w:hideMark/>
          </w:tcPr>
          <w:p w14:paraId="14935AE9"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2,408.1</w:t>
            </w:r>
          </w:p>
        </w:tc>
        <w:tc>
          <w:tcPr>
            <w:tcW w:w="1113" w:type="dxa"/>
            <w:tcBorders>
              <w:top w:val="nil"/>
              <w:left w:val="nil"/>
              <w:bottom w:val="single" w:sz="8" w:space="0" w:color="B4C6E7"/>
              <w:right w:val="single" w:sz="8" w:space="0" w:color="B4C6E7"/>
            </w:tcBorders>
            <w:shd w:val="clear" w:color="auto" w:fill="auto"/>
            <w:vAlign w:val="center"/>
            <w:hideMark/>
          </w:tcPr>
          <w:p w14:paraId="7413497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2,663.1</w:t>
            </w:r>
          </w:p>
        </w:tc>
        <w:tc>
          <w:tcPr>
            <w:tcW w:w="1113" w:type="dxa"/>
            <w:tcBorders>
              <w:top w:val="nil"/>
              <w:left w:val="nil"/>
              <w:bottom w:val="single" w:sz="8" w:space="0" w:color="B4C6E7"/>
              <w:right w:val="single" w:sz="8" w:space="0" w:color="B4C6E7"/>
            </w:tcBorders>
            <w:shd w:val="clear" w:color="auto" w:fill="auto"/>
            <w:noWrap/>
            <w:vAlign w:val="center"/>
            <w:hideMark/>
          </w:tcPr>
          <w:p w14:paraId="22F5B272"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46CB880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092E0209"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6613E215" w14:textId="77777777" w:rsidTr="00595339">
        <w:trPr>
          <w:trHeight w:val="347"/>
        </w:trPr>
        <w:tc>
          <w:tcPr>
            <w:tcW w:w="1351" w:type="dxa"/>
            <w:vMerge/>
            <w:tcBorders>
              <w:top w:val="nil"/>
              <w:left w:val="single" w:sz="8" w:space="0" w:color="B4C6E7"/>
              <w:bottom w:val="single" w:sz="8" w:space="0" w:color="B4C6E7"/>
              <w:right w:val="single" w:sz="8" w:space="0" w:color="B4C6E7"/>
            </w:tcBorders>
            <w:vAlign w:val="center"/>
            <w:hideMark/>
          </w:tcPr>
          <w:p w14:paraId="2DE4F33C"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vAlign w:val="center"/>
            <w:hideMark/>
          </w:tcPr>
          <w:p w14:paraId="435414E5"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0BB275B4"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25.48%</w:t>
            </w:r>
          </w:p>
        </w:tc>
        <w:tc>
          <w:tcPr>
            <w:tcW w:w="1113" w:type="dxa"/>
            <w:tcBorders>
              <w:top w:val="nil"/>
              <w:left w:val="nil"/>
              <w:bottom w:val="single" w:sz="8" w:space="0" w:color="B4C6E7"/>
              <w:right w:val="single" w:sz="8" w:space="0" w:color="B4C6E7"/>
            </w:tcBorders>
            <w:shd w:val="clear" w:color="auto" w:fill="auto"/>
            <w:vAlign w:val="center"/>
            <w:hideMark/>
          </w:tcPr>
          <w:p w14:paraId="585A2C1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25.30%</w:t>
            </w:r>
          </w:p>
        </w:tc>
        <w:tc>
          <w:tcPr>
            <w:tcW w:w="1113" w:type="dxa"/>
            <w:tcBorders>
              <w:top w:val="nil"/>
              <w:left w:val="nil"/>
              <w:bottom w:val="single" w:sz="8" w:space="0" w:color="B4C6E7"/>
              <w:right w:val="single" w:sz="8" w:space="0" w:color="B4C6E7"/>
            </w:tcBorders>
            <w:shd w:val="clear" w:color="auto" w:fill="auto"/>
            <w:vAlign w:val="center"/>
            <w:hideMark/>
          </w:tcPr>
          <w:p w14:paraId="1659726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008788CF"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6A980C1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533DB3A5" w14:textId="77777777" w:rsidTr="00595339">
        <w:trPr>
          <w:trHeight w:val="347"/>
        </w:trPr>
        <w:tc>
          <w:tcPr>
            <w:tcW w:w="1351"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23D5393D"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2024</w:t>
            </w:r>
          </w:p>
        </w:tc>
        <w:tc>
          <w:tcPr>
            <w:tcW w:w="2962" w:type="dxa"/>
            <w:tcBorders>
              <w:top w:val="nil"/>
              <w:left w:val="nil"/>
              <w:bottom w:val="single" w:sz="8" w:space="0" w:color="B4C6E7"/>
              <w:right w:val="single" w:sz="8" w:space="0" w:color="B4C6E7"/>
            </w:tcBorders>
            <w:shd w:val="clear" w:color="auto" w:fill="auto"/>
            <w:noWrap/>
            <w:vAlign w:val="center"/>
            <w:hideMark/>
          </w:tcPr>
          <w:p w14:paraId="4601AB6E"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2025-2027</w:t>
            </w:r>
          </w:p>
        </w:tc>
        <w:tc>
          <w:tcPr>
            <w:tcW w:w="1113" w:type="dxa"/>
            <w:tcBorders>
              <w:top w:val="nil"/>
              <w:left w:val="nil"/>
              <w:bottom w:val="single" w:sz="8" w:space="0" w:color="B4C6E7"/>
              <w:right w:val="single" w:sz="8" w:space="0" w:color="B4C6E7"/>
            </w:tcBorders>
            <w:shd w:val="clear" w:color="auto" w:fill="auto"/>
            <w:vAlign w:val="center"/>
            <w:hideMark/>
          </w:tcPr>
          <w:p w14:paraId="491A85B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198950EB"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2,634.7</w:t>
            </w:r>
          </w:p>
        </w:tc>
        <w:tc>
          <w:tcPr>
            <w:tcW w:w="1113" w:type="dxa"/>
            <w:tcBorders>
              <w:top w:val="nil"/>
              <w:left w:val="nil"/>
              <w:bottom w:val="single" w:sz="8" w:space="0" w:color="B4C6E7"/>
              <w:right w:val="single" w:sz="8" w:space="0" w:color="B4C6E7"/>
            </w:tcBorders>
            <w:shd w:val="clear" w:color="auto" w:fill="auto"/>
            <w:vAlign w:val="center"/>
            <w:hideMark/>
          </w:tcPr>
          <w:p w14:paraId="43F2161F"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2,897.6</w:t>
            </w:r>
          </w:p>
        </w:tc>
        <w:tc>
          <w:tcPr>
            <w:tcW w:w="1113" w:type="dxa"/>
            <w:tcBorders>
              <w:top w:val="nil"/>
              <w:left w:val="nil"/>
              <w:bottom w:val="single" w:sz="8" w:space="0" w:color="B4C6E7"/>
              <w:right w:val="single" w:sz="8" w:space="0" w:color="B4C6E7"/>
            </w:tcBorders>
            <w:shd w:val="clear" w:color="auto" w:fill="auto"/>
            <w:vAlign w:val="center"/>
            <w:hideMark/>
          </w:tcPr>
          <w:p w14:paraId="3947796E"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3,258.2</w:t>
            </w:r>
          </w:p>
        </w:tc>
        <w:tc>
          <w:tcPr>
            <w:tcW w:w="1113" w:type="dxa"/>
            <w:tcBorders>
              <w:top w:val="nil"/>
              <w:left w:val="nil"/>
              <w:bottom w:val="single" w:sz="8" w:space="0" w:color="B4C6E7"/>
              <w:right w:val="single" w:sz="8" w:space="0" w:color="B4C6E7"/>
            </w:tcBorders>
            <w:shd w:val="clear" w:color="auto" w:fill="auto"/>
            <w:vAlign w:val="center"/>
            <w:hideMark/>
          </w:tcPr>
          <w:p w14:paraId="060A467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3,614.1</w:t>
            </w:r>
          </w:p>
        </w:tc>
      </w:tr>
      <w:tr w:rsidR="00595339" w:rsidRPr="00C37A67" w14:paraId="19F7703E" w14:textId="77777777" w:rsidTr="00595339">
        <w:trPr>
          <w:trHeight w:val="347"/>
        </w:trPr>
        <w:tc>
          <w:tcPr>
            <w:tcW w:w="1351" w:type="dxa"/>
            <w:vMerge/>
            <w:tcBorders>
              <w:top w:val="single" w:sz="8" w:space="0" w:color="FFFFFF"/>
              <w:left w:val="single" w:sz="8" w:space="0" w:color="B4C6E7"/>
              <w:bottom w:val="single" w:sz="8" w:space="0" w:color="B4C6E7"/>
              <w:right w:val="single" w:sz="8" w:space="0" w:color="B4C6E7"/>
            </w:tcBorders>
            <w:vAlign w:val="center"/>
            <w:hideMark/>
          </w:tcPr>
          <w:p w14:paraId="0121A32D" w14:textId="77777777" w:rsidR="00595339" w:rsidRPr="00C37A67" w:rsidRDefault="00595339" w:rsidP="00644DF6">
            <w:pPr>
              <w:spacing w:before="0" w:after="0" w:line="240" w:lineRule="auto"/>
              <w:ind w:firstLine="0"/>
              <w:jc w:val="left"/>
              <w:rPr>
                <w:rFonts w:eastAsia="Times New Roman" w:cs="Calibri"/>
                <w:color w:val="000000"/>
              </w:rPr>
            </w:pPr>
          </w:p>
        </w:tc>
        <w:tc>
          <w:tcPr>
            <w:tcW w:w="2962" w:type="dxa"/>
            <w:tcBorders>
              <w:top w:val="nil"/>
              <w:left w:val="nil"/>
              <w:bottom w:val="single" w:sz="8" w:space="0" w:color="B4C6E7"/>
              <w:right w:val="single" w:sz="8" w:space="0" w:color="B4C6E7"/>
            </w:tcBorders>
            <w:shd w:val="clear" w:color="auto" w:fill="auto"/>
            <w:noWrap/>
            <w:vAlign w:val="center"/>
            <w:hideMark/>
          </w:tcPr>
          <w:p w14:paraId="027DADD9"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113" w:type="dxa"/>
            <w:tcBorders>
              <w:top w:val="nil"/>
              <w:left w:val="nil"/>
              <w:bottom w:val="single" w:sz="8" w:space="0" w:color="B4C6E7"/>
              <w:right w:val="single" w:sz="8" w:space="0" w:color="B4C6E7"/>
            </w:tcBorders>
            <w:shd w:val="clear" w:color="auto" w:fill="auto"/>
            <w:vAlign w:val="center"/>
            <w:hideMark/>
          </w:tcPr>
          <w:p w14:paraId="2A830FAA"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113" w:type="dxa"/>
            <w:tcBorders>
              <w:top w:val="nil"/>
              <w:left w:val="nil"/>
              <w:bottom w:val="single" w:sz="8" w:space="0" w:color="B4C6E7"/>
              <w:right w:val="single" w:sz="8" w:space="0" w:color="B4C6E7"/>
            </w:tcBorders>
            <w:shd w:val="clear" w:color="auto" w:fill="auto"/>
            <w:vAlign w:val="center"/>
            <w:hideMark/>
          </w:tcPr>
          <w:p w14:paraId="00FCA3B8"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25.74%</w:t>
            </w:r>
          </w:p>
        </w:tc>
        <w:tc>
          <w:tcPr>
            <w:tcW w:w="1113" w:type="dxa"/>
            <w:tcBorders>
              <w:top w:val="nil"/>
              <w:left w:val="nil"/>
              <w:bottom w:val="single" w:sz="8" w:space="0" w:color="B4C6E7"/>
              <w:right w:val="single" w:sz="8" w:space="0" w:color="B4C6E7"/>
            </w:tcBorders>
            <w:shd w:val="clear" w:color="auto" w:fill="auto"/>
            <w:vAlign w:val="center"/>
            <w:hideMark/>
          </w:tcPr>
          <w:p w14:paraId="7721827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25.88%</w:t>
            </w:r>
          </w:p>
        </w:tc>
        <w:tc>
          <w:tcPr>
            <w:tcW w:w="1113" w:type="dxa"/>
            <w:tcBorders>
              <w:top w:val="nil"/>
              <w:left w:val="nil"/>
              <w:bottom w:val="single" w:sz="8" w:space="0" w:color="B4C6E7"/>
              <w:right w:val="single" w:sz="8" w:space="0" w:color="B4C6E7"/>
            </w:tcBorders>
            <w:shd w:val="clear" w:color="auto" w:fill="auto"/>
            <w:vAlign w:val="center"/>
            <w:hideMark/>
          </w:tcPr>
          <w:p w14:paraId="5B966B9A"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26.47%</w:t>
            </w:r>
          </w:p>
        </w:tc>
        <w:tc>
          <w:tcPr>
            <w:tcW w:w="1113" w:type="dxa"/>
            <w:tcBorders>
              <w:top w:val="nil"/>
              <w:left w:val="nil"/>
              <w:bottom w:val="single" w:sz="8" w:space="0" w:color="B4C6E7"/>
              <w:right w:val="single" w:sz="8" w:space="0" w:color="B4C6E7"/>
            </w:tcBorders>
            <w:shd w:val="clear" w:color="auto" w:fill="auto"/>
            <w:vAlign w:val="center"/>
            <w:hideMark/>
          </w:tcPr>
          <w:p w14:paraId="34AADD4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26.76%</w:t>
            </w:r>
          </w:p>
        </w:tc>
      </w:tr>
    </w:tbl>
    <w:p w14:paraId="4499BBA3" w14:textId="77777777" w:rsidR="00595339" w:rsidRPr="0080682B" w:rsidRDefault="00595339" w:rsidP="00595339">
      <w:pPr>
        <w:keepNext/>
        <w:keepLines/>
        <w:tabs>
          <w:tab w:val="left" w:pos="0"/>
        </w:tabs>
        <w:spacing w:before="120" w:after="0" w:line="276" w:lineRule="auto"/>
        <w:ind w:firstLine="0"/>
        <w:jc w:val="left"/>
        <w:rPr>
          <w:rFonts w:eastAsia="Times New Roman" w:cs="Times New Roman"/>
          <w:b/>
          <w:i/>
          <w:lang w:val="hy-AM"/>
        </w:rPr>
      </w:pPr>
    </w:p>
    <w:p w14:paraId="58C03022" w14:textId="77777777" w:rsidR="00595339" w:rsidRDefault="00595339" w:rsidP="00595339">
      <w:pPr>
        <w:tabs>
          <w:tab w:val="left" w:pos="0"/>
          <w:tab w:val="left" w:pos="2367"/>
        </w:tabs>
        <w:spacing w:before="120" w:after="0" w:line="276" w:lineRule="auto"/>
        <w:ind w:firstLine="0"/>
        <w:rPr>
          <w:rFonts w:eastAsia="Times New Roman" w:cs="Times New Roman"/>
          <w:lang w:val="hy-AM"/>
        </w:rPr>
      </w:pPr>
      <w:r w:rsidRPr="005E2F67">
        <w:rPr>
          <w:rFonts w:eastAsia="Times New Roman" w:cs="Times New Roman"/>
          <w:b/>
          <w:i/>
          <w:lang w:val="hy-AM"/>
        </w:rPr>
        <w:t xml:space="preserve">Աղյուսակ 2.4. </w:t>
      </w:r>
      <w:r w:rsidRPr="005E2F67">
        <w:rPr>
          <w:rFonts w:eastAsia="Times New Roman" w:cs="Times New Roman"/>
          <w:lang w:val="hy-AM"/>
        </w:rPr>
        <w:t>Պետական բյուջեի հարկային եկամուտների կանխատեսումների համեմատական աղյուսակը, մլրդ դրամ</w:t>
      </w:r>
    </w:p>
    <w:tbl>
      <w:tblPr>
        <w:tblW w:w="9694" w:type="dxa"/>
        <w:tblLook w:val="04A0" w:firstRow="1" w:lastRow="0" w:firstColumn="1" w:lastColumn="0" w:noHBand="0" w:noVBand="1"/>
      </w:tblPr>
      <w:tblGrid>
        <w:gridCol w:w="1359"/>
        <w:gridCol w:w="3204"/>
        <w:gridCol w:w="1074"/>
        <w:gridCol w:w="1074"/>
        <w:gridCol w:w="1074"/>
        <w:gridCol w:w="1074"/>
        <w:gridCol w:w="929"/>
      </w:tblGrid>
      <w:tr w:rsidR="00595339" w:rsidRPr="00C37A67" w14:paraId="5CEF3AA9" w14:textId="77777777" w:rsidTr="00595339">
        <w:trPr>
          <w:trHeight w:val="1002"/>
        </w:trPr>
        <w:tc>
          <w:tcPr>
            <w:tcW w:w="1303"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600372F9"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Ընդունման տարին</w:t>
            </w:r>
          </w:p>
        </w:tc>
        <w:tc>
          <w:tcPr>
            <w:tcW w:w="3204" w:type="dxa"/>
            <w:tcBorders>
              <w:top w:val="single" w:sz="8" w:space="0" w:color="FFFFFF"/>
              <w:left w:val="nil"/>
              <w:bottom w:val="single" w:sz="8" w:space="0" w:color="FFFFFF"/>
              <w:right w:val="single" w:sz="8" w:space="0" w:color="FFFFFF"/>
            </w:tcBorders>
            <w:shd w:val="clear" w:color="000000" w:fill="8EA9DB"/>
            <w:noWrap/>
            <w:vAlign w:val="center"/>
            <w:hideMark/>
          </w:tcPr>
          <w:p w14:paraId="7F5EA680"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Ծրագիր</w:t>
            </w:r>
          </w:p>
        </w:tc>
        <w:tc>
          <w:tcPr>
            <w:tcW w:w="1074" w:type="dxa"/>
            <w:tcBorders>
              <w:top w:val="single" w:sz="8" w:space="0" w:color="FFFFFF"/>
              <w:left w:val="nil"/>
              <w:bottom w:val="single" w:sz="8" w:space="0" w:color="FFFFFF"/>
              <w:right w:val="single" w:sz="8" w:space="0" w:color="FFFFFF"/>
            </w:tcBorders>
            <w:shd w:val="clear" w:color="000000" w:fill="8EA9DB"/>
            <w:noWrap/>
            <w:vAlign w:val="center"/>
            <w:hideMark/>
          </w:tcPr>
          <w:p w14:paraId="6D2679DA"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2023</w:t>
            </w:r>
          </w:p>
        </w:tc>
        <w:tc>
          <w:tcPr>
            <w:tcW w:w="1074" w:type="dxa"/>
            <w:tcBorders>
              <w:top w:val="single" w:sz="8" w:space="0" w:color="FFFFFF"/>
              <w:left w:val="nil"/>
              <w:bottom w:val="single" w:sz="8" w:space="0" w:color="FFFFFF"/>
              <w:right w:val="single" w:sz="8" w:space="0" w:color="FFFFFF"/>
            </w:tcBorders>
            <w:shd w:val="clear" w:color="000000" w:fill="8EA9DB"/>
            <w:noWrap/>
            <w:vAlign w:val="center"/>
            <w:hideMark/>
          </w:tcPr>
          <w:p w14:paraId="781D9C0C"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2024</w:t>
            </w:r>
          </w:p>
        </w:tc>
        <w:tc>
          <w:tcPr>
            <w:tcW w:w="1074" w:type="dxa"/>
            <w:tcBorders>
              <w:top w:val="single" w:sz="8" w:space="0" w:color="FFFFFF"/>
              <w:left w:val="nil"/>
              <w:bottom w:val="single" w:sz="8" w:space="0" w:color="FFFFFF"/>
              <w:right w:val="single" w:sz="8" w:space="0" w:color="FFFFFF"/>
            </w:tcBorders>
            <w:shd w:val="clear" w:color="000000" w:fill="8EA9DB"/>
            <w:noWrap/>
            <w:vAlign w:val="center"/>
            <w:hideMark/>
          </w:tcPr>
          <w:p w14:paraId="22F8824E"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2025</w:t>
            </w:r>
          </w:p>
        </w:tc>
        <w:tc>
          <w:tcPr>
            <w:tcW w:w="1074" w:type="dxa"/>
            <w:tcBorders>
              <w:top w:val="single" w:sz="8" w:space="0" w:color="FFFFFF"/>
              <w:left w:val="nil"/>
              <w:bottom w:val="single" w:sz="8" w:space="0" w:color="FFFFFF"/>
              <w:right w:val="single" w:sz="8" w:space="0" w:color="FFFFFF"/>
            </w:tcBorders>
            <w:shd w:val="clear" w:color="000000" w:fill="8EA9DB"/>
            <w:noWrap/>
            <w:vAlign w:val="center"/>
            <w:hideMark/>
          </w:tcPr>
          <w:p w14:paraId="32ABAD3F"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2026</w:t>
            </w:r>
          </w:p>
        </w:tc>
        <w:tc>
          <w:tcPr>
            <w:tcW w:w="891" w:type="dxa"/>
            <w:tcBorders>
              <w:top w:val="single" w:sz="8" w:space="0" w:color="FFFFFF"/>
              <w:left w:val="nil"/>
              <w:bottom w:val="single" w:sz="8" w:space="0" w:color="FFFFFF"/>
              <w:right w:val="single" w:sz="8" w:space="0" w:color="FFFFFF"/>
            </w:tcBorders>
            <w:shd w:val="clear" w:color="000000" w:fill="8EA9DB"/>
            <w:noWrap/>
            <w:vAlign w:val="center"/>
            <w:hideMark/>
          </w:tcPr>
          <w:p w14:paraId="7F222B97"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2027</w:t>
            </w:r>
          </w:p>
        </w:tc>
      </w:tr>
      <w:tr w:rsidR="00595339" w:rsidRPr="00C37A67" w14:paraId="3A38EF96" w14:textId="77777777" w:rsidTr="00595339">
        <w:trPr>
          <w:trHeight w:val="344"/>
        </w:trPr>
        <w:tc>
          <w:tcPr>
            <w:tcW w:w="1303"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0AA5A81"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w:t>
            </w:r>
          </w:p>
        </w:tc>
        <w:tc>
          <w:tcPr>
            <w:tcW w:w="3204" w:type="dxa"/>
            <w:tcBorders>
              <w:top w:val="nil"/>
              <w:left w:val="nil"/>
              <w:bottom w:val="single" w:sz="8" w:space="0" w:color="B4C6E7"/>
              <w:right w:val="single" w:sz="8" w:space="0" w:color="B4C6E7"/>
            </w:tcBorders>
            <w:shd w:val="clear" w:color="auto" w:fill="auto"/>
            <w:noWrap/>
            <w:vAlign w:val="center"/>
            <w:hideMark/>
          </w:tcPr>
          <w:p w14:paraId="025F0366" w14:textId="77777777" w:rsidR="00595339" w:rsidRPr="00C37A67" w:rsidRDefault="00595339" w:rsidP="00644DF6">
            <w:pPr>
              <w:spacing w:before="0" w:after="0" w:line="240" w:lineRule="auto"/>
              <w:ind w:firstLine="0"/>
              <w:rPr>
                <w:rFonts w:eastAsia="Times New Roman" w:cs="Calibri"/>
                <w:color w:val="000000"/>
              </w:rPr>
            </w:pPr>
            <w:r w:rsidRPr="00C37A67">
              <w:rPr>
                <w:rFonts w:eastAsia="Times New Roman" w:cs="Calibri"/>
                <w:color w:val="000000"/>
              </w:rPr>
              <w:t>Փաստացի</w:t>
            </w:r>
          </w:p>
        </w:tc>
        <w:tc>
          <w:tcPr>
            <w:tcW w:w="1074" w:type="dxa"/>
            <w:tcBorders>
              <w:top w:val="nil"/>
              <w:left w:val="nil"/>
              <w:bottom w:val="single" w:sz="8" w:space="0" w:color="B4C6E7"/>
              <w:right w:val="single" w:sz="8" w:space="0" w:color="B4C6E7"/>
            </w:tcBorders>
            <w:shd w:val="clear" w:color="auto" w:fill="auto"/>
            <w:vAlign w:val="center"/>
            <w:hideMark/>
          </w:tcPr>
          <w:p w14:paraId="12120F3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2,273.9</w:t>
            </w:r>
          </w:p>
        </w:tc>
        <w:tc>
          <w:tcPr>
            <w:tcW w:w="1074" w:type="dxa"/>
            <w:tcBorders>
              <w:top w:val="nil"/>
              <w:left w:val="nil"/>
              <w:bottom w:val="single" w:sz="8" w:space="0" w:color="B4C6E7"/>
              <w:right w:val="single" w:sz="8" w:space="0" w:color="B4C6E7"/>
            </w:tcBorders>
            <w:shd w:val="clear" w:color="auto" w:fill="auto"/>
            <w:noWrap/>
            <w:vAlign w:val="center"/>
            <w:hideMark/>
          </w:tcPr>
          <w:p w14:paraId="59DD6195"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1CF56401"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0D0A29CC"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59F229C2"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032666B1"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354C2DDA"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noWrap/>
            <w:vAlign w:val="center"/>
            <w:hideMark/>
          </w:tcPr>
          <w:p w14:paraId="4687CE4D"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63022C1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23.92%</w:t>
            </w:r>
          </w:p>
        </w:tc>
        <w:tc>
          <w:tcPr>
            <w:tcW w:w="1074" w:type="dxa"/>
            <w:tcBorders>
              <w:top w:val="nil"/>
              <w:left w:val="nil"/>
              <w:bottom w:val="single" w:sz="8" w:space="0" w:color="B4C6E7"/>
              <w:right w:val="single" w:sz="8" w:space="0" w:color="B4C6E7"/>
            </w:tcBorders>
            <w:shd w:val="clear" w:color="auto" w:fill="auto"/>
            <w:noWrap/>
            <w:vAlign w:val="center"/>
            <w:hideMark/>
          </w:tcPr>
          <w:p w14:paraId="6562A9E6"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151CCF33"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0D45878F"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3F6E3CFC"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5EB41FB8" w14:textId="77777777" w:rsidTr="00595339">
        <w:trPr>
          <w:trHeight w:val="344"/>
        </w:trPr>
        <w:tc>
          <w:tcPr>
            <w:tcW w:w="1303"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733E514A"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2022</w:t>
            </w:r>
          </w:p>
        </w:tc>
        <w:tc>
          <w:tcPr>
            <w:tcW w:w="3204" w:type="dxa"/>
            <w:tcBorders>
              <w:top w:val="nil"/>
              <w:left w:val="nil"/>
              <w:bottom w:val="single" w:sz="8" w:space="0" w:color="B4C6E7"/>
              <w:right w:val="single" w:sz="8" w:space="0" w:color="B4C6E7"/>
            </w:tcBorders>
            <w:shd w:val="clear" w:color="auto" w:fill="auto"/>
            <w:noWrap/>
            <w:vAlign w:val="center"/>
            <w:hideMark/>
          </w:tcPr>
          <w:p w14:paraId="38C17E8B"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2023-2025</w:t>
            </w:r>
          </w:p>
        </w:tc>
        <w:tc>
          <w:tcPr>
            <w:tcW w:w="1074" w:type="dxa"/>
            <w:tcBorders>
              <w:top w:val="nil"/>
              <w:left w:val="nil"/>
              <w:bottom w:val="single" w:sz="8" w:space="0" w:color="B4C6E7"/>
              <w:right w:val="single" w:sz="8" w:space="0" w:color="B4C6E7"/>
            </w:tcBorders>
            <w:shd w:val="clear" w:color="auto" w:fill="auto"/>
            <w:vAlign w:val="center"/>
            <w:hideMark/>
          </w:tcPr>
          <w:p w14:paraId="7220723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2,228.3</w:t>
            </w:r>
          </w:p>
        </w:tc>
        <w:tc>
          <w:tcPr>
            <w:tcW w:w="1074" w:type="dxa"/>
            <w:tcBorders>
              <w:top w:val="nil"/>
              <w:left w:val="nil"/>
              <w:bottom w:val="single" w:sz="8" w:space="0" w:color="B4C6E7"/>
              <w:right w:val="single" w:sz="8" w:space="0" w:color="B4C6E7"/>
            </w:tcBorders>
            <w:shd w:val="clear" w:color="auto" w:fill="auto"/>
            <w:vAlign w:val="center"/>
            <w:hideMark/>
          </w:tcPr>
          <w:p w14:paraId="61CB5C89"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2,539.0</w:t>
            </w:r>
          </w:p>
        </w:tc>
        <w:tc>
          <w:tcPr>
            <w:tcW w:w="1074" w:type="dxa"/>
            <w:tcBorders>
              <w:top w:val="nil"/>
              <w:left w:val="nil"/>
              <w:bottom w:val="single" w:sz="8" w:space="0" w:color="B4C6E7"/>
              <w:right w:val="single" w:sz="8" w:space="0" w:color="B4C6E7"/>
            </w:tcBorders>
            <w:shd w:val="clear" w:color="auto" w:fill="auto"/>
            <w:vAlign w:val="center"/>
            <w:hideMark/>
          </w:tcPr>
          <w:p w14:paraId="51A9CD9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2,874.4</w:t>
            </w:r>
          </w:p>
        </w:tc>
        <w:tc>
          <w:tcPr>
            <w:tcW w:w="1074" w:type="dxa"/>
            <w:tcBorders>
              <w:top w:val="nil"/>
              <w:left w:val="nil"/>
              <w:bottom w:val="single" w:sz="8" w:space="0" w:color="B4C6E7"/>
              <w:right w:val="single" w:sz="8" w:space="0" w:color="B4C6E7"/>
            </w:tcBorders>
            <w:shd w:val="clear" w:color="auto" w:fill="auto"/>
            <w:noWrap/>
            <w:vAlign w:val="center"/>
            <w:hideMark/>
          </w:tcPr>
          <w:p w14:paraId="7A41AB57"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4457285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0E84F370"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3F31CEEE"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vAlign w:val="center"/>
            <w:hideMark/>
          </w:tcPr>
          <w:p w14:paraId="74DC4850"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41CF2CAF"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24.57%</w:t>
            </w:r>
          </w:p>
        </w:tc>
        <w:tc>
          <w:tcPr>
            <w:tcW w:w="1074" w:type="dxa"/>
            <w:tcBorders>
              <w:top w:val="nil"/>
              <w:left w:val="nil"/>
              <w:bottom w:val="single" w:sz="8" w:space="0" w:color="B4C6E7"/>
              <w:right w:val="single" w:sz="8" w:space="0" w:color="B4C6E7"/>
            </w:tcBorders>
            <w:shd w:val="clear" w:color="auto" w:fill="auto"/>
            <w:vAlign w:val="center"/>
            <w:hideMark/>
          </w:tcPr>
          <w:p w14:paraId="43F206B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25.11%</w:t>
            </w:r>
          </w:p>
        </w:tc>
        <w:tc>
          <w:tcPr>
            <w:tcW w:w="1074" w:type="dxa"/>
            <w:tcBorders>
              <w:top w:val="nil"/>
              <w:left w:val="nil"/>
              <w:bottom w:val="single" w:sz="8" w:space="0" w:color="B4C6E7"/>
              <w:right w:val="single" w:sz="8" w:space="0" w:color="B4C6E7"/>
            </w:tcBorders>
            <w:shd w:val="clear" w:color="auto" w:fill="auto"/>
            <w:vAlign w:val="center"/>
            <w:hideMark/>
          </w:tcPr>
          <w:p w14:paraId="36F8B62F"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25.55%</w:t>
            </w:r>
          </w:p>
        </w:tc>
        <w:tc>
          <w:tcPr>
            <w:tcW w:w="1074" w:type="dxa"/>
            <w:tcBorders>
              <w:top w:val="nil"/>
              <w:left w:val="nil"/>
              <w:bottom w:val="single" w:sz="8" w:space="0" w:color="B4C6E7"/>
              <w:right w:val="single" w:sz="8" w:space="0" w:color="B4C6E7"/>
            </w:tcBorders>
            <w:shd w:val="clear" w:color="auto" w:fill="auto"/>
            <w:noWrap/>
            <w:vAlign w:val="center"/>
            <w:hideMark/>
          </w:tcPr>
          <w:p w14:paraId="7E71EDC8"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73BC0126"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0F9A3C15"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1D7BC111"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noWrap/>
            <w:vAlign w:val="center"/>
            <w:hideMark/>
          </w:tcPr>
          <w:p w14:paraId="2FAA778D"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2023թ. Պետական բյուջե</w:t>
            </w:r>
          </w:p>
        </w:tc>
        <w:tc>
          <w:tcPr>
            <w:tcW w:w="1074" w:type="dxa"/>
            <w:tcBorders>
              <w:top w:val="nil"/>
              <w:left w:val="nil"/>
              <w:bottom w:val="single" w:sz="8" w:space="0" w:color="B4C6E7"/>
              <w:right w:val="single" w:sz="8" w:space="0" w:color="B4C6E7"/>
            </w:tcBorders>
            <w:shd w:val="clear" w:color="auto" w:fill="auto"/>
            <w:vAlign w:val="center"/>
            <w:hideMark/>
          </w:tcPr>
          <w:p w14:paraId="39B935E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2,255.6</w:t>
            </w:r>
          </w:p>
        </w:tc>
        <w:tc>
          <w:tcPr>
            <w:tcW w:w="1074" w:type="dxa"/>
            <w:tcBorders>
              <w:top w:val="nil"/>
              <w:left w:val="nil"/>
              <w:bottom w:val="single" w:sz="8" w:space="0" w:color="B4C6E7"/>
              <w:right w:val="single" w:sz="8" w:space="0" w:color="B4C6E7"/>
            </w:tcBorders>
            <w:shd w:val="clear" w:color="auto" w:fill="auto"/>
            <w:vAlign w:val="center"/>
            <w:hideMark/>
          </w:tcPr>
          <w:p w14:paraId="115615BF"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vAlign w:val="center"/>
            <w:hideMark/>
          </w:tcPr>
          <w:p w14:paraId="2E8CFBA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719F2981"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02083307"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6AA20780"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2AFFAF60"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vAlign w:val="center"/>
            <w:hideMark/>
          </w:tcPr>
          <w:p w14:paraId="2DF7B3C4"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12B8416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24.21%</w:t>
            </w:r>
          </w:p>
        </w:tc>
        <w:tc>
          <w:tcPr>
            <w:tcW w:w="1074" w:type="dxa"/>
            <w:tcBorders>
              <w:top w:val="nil"/>
              <w:left w:val="nil"/>
              <w:bottom w:val="single" w:sz="8" w:space="0" w:color="B4C6E7"/>
              <w:right w:val="single" w:sz="8" w:space="0" w:color="B4C6E7"/>
            </w:tcBorders>
            <w:shd w:val="clear" w:color="auto" w:fill="auto"/>
            <w:vAlign w:val="center"/>
            <w:hideMark/>
          </w:tcPr>
          <w:p w14:paraId="41B17557"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74" w:type="dxa"/>
            <w:tcBorders>
              <w:top w:val="nil"/>
              <w:left w:val="nil"/>
              <w:bottom w:val="single" w:sz="8" w:space="0" w:color="B4C6E7"/>
              <w:right w:val="single" w:sz="8" w:space="0" w:color="B4C6E7"/>
            </w:tcBorders>
            <w:shd w:val="clear" w:color="auto" w:fill="auto"/>
            <w:vAlign w:val="center"/>
            <w:hideMark/>
          </w:tcPr>
          <w:p w14:paraId="4FEF668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74" w:type="dxa"/>
            <w:tcBorders>
              <w:top w:val="nil"/>
              <w:left w:val="nil"/>
              <w:bottom w:val="single" w:sz="8" w:space="0" w:color="B4C6E7"/>
              <w:right w:val="single" w:sz="8" w:space="0" w:color="B4C6E7"/>
            </w:tcBorders>
            <w:shd w:val="clear" w:color="auto" w:fill="auto"/>
            <w:vAlign w:val="center"/>
            <w:hideMark/>
          </w:tcPr>
          <w:p w14:paraId="2E3DB777"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10B4295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3507FC9A" w14:textId="77777777" w:rsidTr="00595339">
        <w:trPr>
          <w:trHeight w:val="344"/>
        </w:trPr>
        <w:tc>
          <w:tcPr>
            <w:tcW w:w="1303"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506BC19"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2023</w:t>
            </w:r>
          </w:p>
        </w:tc>
        <w:tc>
          <w:tcPr>
            <w:tcW w:w="3204" w:type="dxa"/>
            <w:tcBorders>
              <w:top w:val="nil"/>
              <w:left w:val="nil"/>
              <w:bottom w:val="single" w:sz="8" w:space="0" w:color="B4C6E7"/>
              <w:right w:val="single" w:sz="8" w:space="0" w:color="B4C6E7"/>
            </w:tcBorders>
            <w:shd w:val="clear" w:color="auto" w:fill="auto"/>
            <w:noWrap/>
            <w:vAlign w:val="center"/>
            <w:hideMark/>
          </w:tcPr>
          <w:p w14:paraId="4E6AFBEC"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2024-2026</w:t>
            </w:r>
          </w:p>
        </w:tc>
        <w:tc>
          <w:tcPr>
            <w:tcW w:w="1074" w:type="dxa"/>
            <w:tcBorders>
              <w:top w:val="nil"/>
              <w:left w:val="nil"/>
              <w:bottom w:val="single" w:sz="8" w:space="0" w:color="B4C6E7"/>
              <w:right w:val="single" w:sz="8" w:space="0" w:color="B4C6E7"/>
            </w:tcBorders>
            <w:shd w:val="clear" w:color="auto" w:fill="auto"/>
            <w:vAlign w:val="center"/>
            <w:hideMark/>
          </w:tcPr>
          <w:p w14:paraId="794F7BB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2,287.4</w:t>
            </w:r>
          </w:p>
        </w:tc>
        <w:tc>
          <w:tcPr>
            <w:tcW w:w="1074" w:type="dxa"/>
            <w:tcBorders>
              <w:top w:val="nil"/>
              <w:left w:val="nil"/>
              <w:bottom w:val="single" w:sz="8" w:space="0" w:color="B4C6E7"/>
              <w:right w:val="single" w:sz="8" w:space="0" w:color="B4C6E7"/>
            </w:tcBorders>
            <w:shd w:val="clear" w:color="auto" w:fill="auto"/>
            <w:vAlign w:val="center"/>
            <w:hideMark/>
          </w:tcPr>
          <w:p w14:paraId="7949829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2,573.1</w:t>
            </w:r>
          </w:p>
        </w:tc>
        <w:tc>
          <w:tcPr>
            <w:tcW w:w="1074" w:type="dxa"/>
            <w:tcBorders>
              <w:top w:val="nil"/>
              <w:left w:val="nil"/>
              <w:bottom w:val="single" w:sz="8" w:space="0" w:color="B4C6E7"/>
              <w:right w:val="single" w:sz="8" w:space="0" w:color="B4C6E7"/>
            </w:tcBorders>
            <w:shd w:val="clear" w:color="auto" w:fill="auto"/>
            <w:vAlign w:val="center"/>
            <w:hideMark/>
          </w:tcPr>
          <w:p w14:paraId="14244276"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2,896.9</w:t>
            </w:r>
          </w:p>
        </w:tc>
        <w:tc>
          <w:tcPr>
            <w:tcW w:w="1074" w:type="dxa"/>
            <w:tcBorders>
              <w:top w:val="nil"/>
              <w:left w:val="nil"/>
              <w:bottom w:val="single" w:sz="8" w:space="0" w:color="B4C6E7"/>
              <w:right w:val="single" w:sz="8" w:space="0" w:color="B4C6E7"/>
            </w:tcBorders>
            <w:shd w:val="clear" w:color="auto" w:fill="auto"/>
            <w:vAlign w:val="center"/>
            <w:hideMark/>
          </w:tcPr>
          <w:p w14:paraId="4E166DB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3,281.2</w:t>
            </w:r>
          </w:p>
        </w:tc>
        <w:tc>
          <w:tcPr>
            <w:tcW w:w="891" w:type="dxa"/>
            <w:tcBorders>
              <w:top w:val="nil"/>
              <w:left w:val="nil"/>
              <w:bottom w:val="single" w:sz="8" w:space="0" w:color="B4C6E7"/>
              <w:right w:val="single" w:sz="8" w:space="0" w:color="B4C6E7"/>
            </w:tcBorders>
            <w:shd w:val="clear" w:color="auto" w:fill="auto"/>
            <w:vAlign w:val="center"/>
            <w:hideMark/>
          </w:tcPr>
          <w:p w14:paraId="4D7C4FA3"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60423C39"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0E72785D"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vAlign w:val="center"/>
            <w:hideMark/>
          </w:tcPr>
          <w:p w14:paraId="58804826"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4C5CB4C4"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23.99%</w:t>
            </w:r>
          </w:p>
        </w:tc>
        <w:tc>
          <w:tcPr>
            <w:tcW w:w="1074" w:type="dxa"/>
            <w:tcBorders>
              <w:top w:val="nil"/>
              <w:left w:val="nil"/>
              <w:bottom w:val="single" w:sz="8" w:space="0" w:color="B4C6E7"/>
              <w:right w:val="single" w:sz="8" w:space="0" w:color="B4C6E7"/>
            </w:tcBorders>
            <w:shd w:val="clear" w:color="auto" w:fill="auto"/>
            <w:vAlign w:val="center"/>
            <w:hideMark/>
          </w:tcPr>
          <w:p w14:paraId="1B8FB0A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24.26%</w:t>
            </w:r>
          </w:p>
        </w:tc>
        <w:tc>
          <w:tcPr>
            <w:tcW w:w="1074" w:type="dxa"/>
            <w:tcBorders>
              <w:top w:val="nil"/>
              <w:left w:val="nil"/>
              <w:bottom w:val="single" w:sz="8" w:space="0" w:color="B4C6E7"/>
              <w:right w:val="single" w:sz="8" w:space="0" w:color="B4C6E7"/>
            </w:tcBorders>
            <w:shd w:val="clear" w:color="auto" w:fill="auto"/>
            <w:vAlign w:val="center"/>
            <w:hideMark/>
          </w:tcPr>
          <w:p w14:paraId="72799EC8"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24.54%</w:t>
            </w:r>
          </w:p>
        </w:tc>
        <w:tc>
          <w:tcPr>
            <w:tcW w:w="1074" w:type="dxa"/>
            <w:tcBorders>
              <w:top w:val="nil"/>
              <w:left w:val="nil"/>
              <w:bottom w:val="single" w:sz="8" w:space="0" w:color="B4C6E7"/>
              <w:right w:val="single" w:sz="8" w:space="0" w:color="B4C6E7"/>
            </w:tcBorders>
            <w:shd w:val="clear" w:color="auto" w:fill="auto"/>
            <w:vAlign w:val="center"/>
            <w:hideMark/>
          </w:tcPr>
          <w:p w14:paraId="3ECD58D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24.98%</w:t>
            </w:r>
          </w:p>
        </w:tc>
        <w:tc>
          <w:tcPr>
            <w:tcW w:w="891" w:type="dxa"/>
            <w:tcBorders>
              <w:top w:val="nil"/>
              <w:left w:val="nil"/>
              <w:bottom w:val="single" w:sz="8" w:space="0" w:color="B4C6E7"/>
              <w:right w:val="single" w:sz="8" w:space="0" w:color="B4C6E7"/>
            </w:tcBorders>
            <w:shd w:val="clear" w:color="auto" w:fill="auto"/>
            <w:vAlign w:val="center"/>
            <w:hideMark/>
          </w:tcPr>
          <w:p w14:paraId="66D6FA03"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0A5A0310"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680D4F90"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noWrap/>
            <w:vAlign w:val="center"/>
            <w:hideMark/>
          </w:tcPr>
          <w:p w14:paraId="61B246FD"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2024թ. Պետական բյուջե</w:t>
            </w:r>
          </w:p>
        </w:tc>
        <w:tc>
          <w:tcPr>
            <w:tcW w:w="1074" w:type="dxa"/>
            <w:tcBorders>
              <w:top w:val="nil"/>
              <w:left w:val="nil"/>
              <w:bottom w:val="single" w:sz="8" w:space="0" w:color="B4C6E7"/>
              <w:right w:val="single" w:sz="8" w:space="0" w:color="B4C6E7"/>
            </w:tcBorders>
            <w:shd w:val="clear" w:color="auto" w:fill="auto"/>
            <w:vAlign w:val="center"/>
            <w:hideMark/>
          </w:tcPr>
          <w:p w14:paraId="0F5A4589"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2,277.8</w:t>
            </w:r>
          </w:p>
        </w:tc>
        <w:tc>
          <w:tcPr>
            <w:tcW w:w="1074" w:type="dxa"/>
            <w:tcBorders>
              <w:top w:val="nil"/>
              <w:left w:val="nil"/>
              <w:bottom w:val="single" w:sz="8" w:space="0" w:color="B4C6E7"/>
              <w:right w:val="single" w:sz="8" w:space="0" w:color="B4C6E7"/>
            </w:tcBorders>
            <w:shd w:val="clear" w:color="auto" w:fill="auto"/>
            <w:vAlign w:val="center"/>
            <w:hideMark/>
          </w:tcPr>
          <w:p w14:paraId="152A424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2,553.1</w:t>
            </w:r>
          </w:p>
        </w:tc>
        <w:tc>
          <w:tcPr>
            <w:tcW w:w="1074" w:type="dxa"/>
            <w:tcBorders>
              <w:top w:val="nil"/>
              <w:left w:val="nil"/>
              <w:bottom w:val="single" w:sz="8" w:space="0" w:color="B4C6E7"/>
              <w:right w:val="single" w:sz="8" w:space="0" w:color="B4C6E7"/>
            </w:tcBorders>
            <w:shd w:val="clear" w:color="auto" w:fill="auto"/>
            <w:vAlign w:val="center"/>
            <w:hideMark/>
          </w:tcPr>
          <w:p w14:paraId="113D8FC3"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01C0E9E2"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60D945D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5029B9ED" w14:textId="77777777" w:rsidTr="00595339">
        <w:trPr>
          <w:trHeight w:val="344"/>
        </w:trPr>
        <w:tc>
          <w:tcPr>
            <w:tcW w:w="1303" w:type="dxa"/>
            <w:vMerge/>
            <w:tcBorders>
              <w:top w:val="nil"/>
              <w:left w:val="single" w:sz="8" w:space="0" w:color="B4C6E7"/>
              <w:bottom w:val="single" w:sz="8" w:space="0" w:color="B4C6E7"/>
              <w:right w:val="single" w:sz="8" w:space="0" w:color="B4C6E7"/>
            </w:tcBorders>
            <w:vAlign w:val="center"/>
            <w:hideMark/>
          </w:tcPr>
          <w:p w14:paraId="3A3423C7"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vAlign w:val="center"/>
            <w:hideMark/>
          </w:tcPr>
          <w:p w14:paraId="7D4D4E26"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19BC053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24.10%</w:t>
            </w:r>
          </w:p>
        </w:tc>
        <w:tc>
          <w:tcPr>
            <w:tcW w:w="1074" w:type="dxa"/>
            <w:tcBorders>
              <w:top w:val="nil"/>
              <w:left w:val="nil"/>
              <w:bottom w:val="single" w:sz="8" w:space="0" w:color="B4C6E7"/>
              <w:right w:val="single" w:sz="8" w:space="0" w:color="B4C6E7"/>
            </w:tcBorders>
            <w:shd w:val="clear" w:color="auto" w:fill="auto"/>
            <w:vAlign w:val="center"/>
            <w:hideMark/>
          </w:tcPr>
          <w:p w14:paraId="5D21AB5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24.3%</w:t>
            </w:r>
          </w:p>
        </w:tc>
        <w:tc>
          <w:tcPr>
            <w:tcW w:w="1074" w:type="dxa"/>
            <w:tcBorders>
              <w:top w:val="nil"/>
              <w:left w:val="nil"/>
              <w:bottom w:val="single" w:sz="8" w:space="0" w:color="B4C6E7"/>
              <w:right w:val="single" w:sz="8" w:space="0" w:color="B4C6E7"/>
            </w:tcBorders>
            <w:shd w:val="clear" w:color="auto" w:fill="auto"/>
            <w:vAlign w:val="center"/>
            <w:hideMark/>
          </w:tcPr>
          <w:p w14:paraId="6FB6C23A"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74" w:type="dxa"/>
            <w:tcBorders>
              <w:top w:val="nil"/>
              <w:left w:val="nil"/>
              <w:bottom w:val="single" w:sz="8" w:space="0" w:color="B4C6E7"/>
              <w:right w:val="single" w:sz="8" w:space="0" w:color="B4C6E7"/>
            </w:tcBorders>
            <w:shd w:val="clear" w:color="auto" w:fill="auto"/>
            <w:noWrap/>
            <w:vAlign w:val="center"/>
            <w:hideMark/>
          </w:tcPr>
          <w:p w14:paraId="51462FEB"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891" w:type="dxa"/>
            <w:tcBorders>
              <w:top w:val="nil"/>
              <w:left w:val="nil"/>
              <w:bottom w:val="single" w:sz="8" w:space="0" w:color="B4C6E7"/>
              <w:right w:val="single" w:sz="8" w:space="0" w:color="B4C6E7"/>
            </w:tcBorders>
            <w:shd w:val="clear" w:color="auto" w:fill="auto"/>
            <w:vAlign w:val="center"/>
            <w:hideMark/>
          </w:tcPr>
          <w:p w14:paraId="0CA9262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1F540885" w14:textId="77777777" w:rsidTr="00595339">
        <w:trPr>
          <w:trHeight w:val="344"/>
        </w:trPr>
        <w:tc>
          <w:tcPr>
            <w:tcW w:w="1303"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6BCE9A6D"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lastRenderedPageBreak/>
              <w:t>2024</w:t>
            </w:r>
          </w:p>
        </w:tc>
        <w:tc>
          <w:tcPr>
            <w:tcW w:w="3204" w:type="dxa"/>
            <w:tcBorders>
              <w:top w:val="nil"/>
              <w:left w:val="nil"/>
              <w:bottom w:val="single" w:sz="8" w:space="0" w:color="B4C6E7"/>
              <w:right w:val="single" w:sz="8" w:space="0" w:color="B4C6E7"/>
            </w:tcBorders>
            <w:shd w:val="clear" w:color="auto" w:fill="auto"/>
            <w:noWrap/>
            <w:vAlign w:val="center"/>
            <w:hideMark/>
          </w:tcPr>
          <w:p w14:paraId="700745ED"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2025-2027</w:t>
            </w:r>
          </w:p>
        </w:tc>
        <w:tc>
          <w:tcPr>
            <w:tcW w:w="1074" w:type="dxa"/>
            <w:tcBorders>
              <w:top w:val="nil"/>
              <w:left w:val="nil"/>
              <w:bottom w:val="single" w:sz="8" w:space="0" w:color="B4C6E7"/>
              <w:right w:val="single" w:sz="8" w:space="0" w:color="B4C6E7"/>
            </w:tcBorders>
            <w:shd w:val="clear" w:color="auto" w:fill="auto"/>
            <w:vAlign w:val="center"/>
            <w:hideMark/>
          </w:tcPr>
          <w:p w14:paraId="62127887"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74" w:type="dxa"/>
            <w:tcBorders>
              <w:top w:val="nil"/>
              <w:left w:val="nil"/>
              <w:bottom w:val="single" w:sz="8" w:space="0" w:color="B4C6E7"/>
              <w:right w:val="single" w:sz="8" w:space="0" w:color="B4C6E7"/>
            </w:tcBorders>
            <w:shd w:val="clear" w:color="auto" w:fill="auto"/>
            <w:vAlign w:val="center"/>
            <w:hideMark/>
          </w:tcPr>
          <w:p w14:paraId="79A6AE61"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2,496.9</w:t>
            </w:r>
          </w:p>
        </w:tc>
        <w:tc>
          <w:tcPr>
            <w:tcW w:w="1074" w:type="dxa"/>
            <w:tcBorders>
              <w:top w:val="nil"/>
              <w:left w:val="nil"/>
              <w:bottom w:val="single" w:sz="8" w:space="0" w:color="B4C6E7"/>
              <w:right w:val="single" w:sz="8" w:space="0" w:color="B4C6E7"/>
            </w:tcBorders>
            <w:shd w:val="clear" w:color="auto" w:fill="auto"/>
            <w:vAlign w:val="center"/>
            <w:hideMark/>
          </w:tcPr>
          <w:p w14:paraId="0A7CA931"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2,812.3</w:t>
            </w:r>
          </w:p>
        </w:tc>
        <w:tc>
          <w:tcPr>
            <w:tcW w:w="1074" w:type="dxa"/>
            <w:tcBorders>
              <w:top w:val="nil"/>
              <w:left w:val="nil"/>
              <w:bottom w:val="single" w:sz="8" w:space="0" w:color="B4C6E7"/>
              <w:right w:val="single" w:sz="8" w:space="0" w:color="B4C6E7"/>
            </w:tcBorders>
            <w:shd w:val="clear" w:color="auto" w:fill="auto"/>
            <w:vAlign w:val="center"/>
            <w:hideMark/>
          </w:tcPr>
          <w:p w14:paraId="6B736A4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3,182.0</w:t>
            </w:r>
          </w:p>
        </w:tc>
        <w:tc>
          <w:tcPr>
            <w:tcW w:w="891" w:type="dxa"/>
            <w:tcBorders>
              <w:top w:val="nil"/>
              <w:left w:val="nil"/>
              <w:bottom w:val="single" w:sz="8" w:space="0" w:color="B4C6E7"/>
              <w:right w:val="single" w:sz="8" w:space="0" w:color="B4C6E7"/>
            </w:tcBorders>
            <w:shd w:val="clear" w:color="auto" w:fill="auto"/>
            <w:vAlign w:val="center"/>
            <w:hideMark/>
          </w:tcPr>
          <w:p w14:paraId="45C12FD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3,541.2</w:t>
            </w:r>
          </w:p>
        </w:tc>
      </w:tr>
      <w:tr w:rsidR="00595339" w:rsidRPr="00C37A67" w14:paraId="151264DD" w14:textId="77777777" w:rsidTr="00595339">
        <w:trPr>
          <w:trHeight w:val="344"/>
        </w:trPr>
        <w:tc>
          <w:tcPr>
            <w:tcW w:w="1303" w:type="dxa"/>
            <w:vMerge/>
            <w:tcBorders>
              <w:top w:val="single" w:sz="8" w:space="0" w:color="FFFFFF"/>
              <w:left w:val="single" w:sz="8" w:space="0" w:color="B4C6E7"/>
              <w:bottom w:val="single" w:sz="8" w:space="0" w:color="B4C6E7"/>
              <w:right w:val="single" w:sz="8" w:space="0" w:color="B4C6E7"/>
            </w:tcBorders>
            <w:vAlign w:val="center"/>
            <w:hideMark/>
          </w:tcPr>
          <w:p w14:paraId="75D79481" w14:textId="77777777" w:rsidR="00595339" w:rsidRPr="00C37A67" w:rsidRDefault="00595339" w:rsidP="00644DF6">
            <w:pPr>
              <w:spacing w:before="0" w:after="0" w:line="240" w:lineRule="auto"/>
              <w:ind w:firstLine="0"/>
              <w:jc w:val="left"/>
              <w:rPr>
                <w:rFonts w:eastAsia="Times New Roman" w:cs="Calibri"/>
                <w:color w:val="000000"/>
              </w:rPr>
            </w:pPr>
          </w:p>
        </w:tc>
        <w:tc>
          <w:tcPr>
            <w:tcW w:w="3204" w:type="dxa"/>
            <w:tcBorders>
              <w:top w:val="nil"/>
              <w:left w:val="nil"/>
              <w:bottom w:val="single" w:sz="8" w:space="0" w:color="B4C6E7"/>
              <w:right w:val="single" w:sz="8" w:space="0" w:color="B4C6E7"/>
            </w:tcBorders>
            <w:shd w:val="clear" w:color="auto" w:fill="auto"/>
            <w:vAlign w:val="center"/>
            <w:hideMark/>
          </w:tcPr>
          <w:p w14:paraId="6A690FEC"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74" w:type="dxa"/>
            <w:tcBorders>
              <w:top w:val="nil"/>
              <w:left w:val="nil"/>
              <w:bottom w:val="single" w:sz="8" w:space="0" w:color="B4C6E7"/>
              <w:right w:val="single" w:sz="8" w:space="0" w:color="B4C6E7"/>
            </w:tcBorders>
            <w:shd w:val="clear" w:color="auto" w:fill="auto"/>
            <w:vAlign w:val="center"/>
            <w:hideMark/>
          </w:tcPr>
          <w:p w14:paraId="5B94C2B3"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74" w:type="dxa"/>
            <w:tcBorders>
              <w:top w:val="nil"/>
              <w:left w:val="nil"/>
              <w:bottom w:val="single" w:sz="8" w:space="0" w:color="B4C6E7"/>
              <w:right w:val="single" w:sz="8" w:space="0" w:color="B4C6E7"/>
            </w:tcBorders>
            <w:shd w:val="clear" w:color="auto" w:fill="auto"/>
            <w:vAlign w:val="center"/>
            <w:hideMark/>
          </w:tcPr>
          <w:p w14:paraId="74FE316E"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24.39%</w:t>
            </w:r>
          </w:p>
        </w:tc>
        <w:tc>
          <w:tcPr>
            <w:tcW w:w="1074" w:type="dxa"/>
            <w:tcBorders>
              <w:top w:val="nil"/>
              <w:left w:val="nil"/>
              <w:bottom w:val="single" w:sz="8" w:space="0" w:color="B4C6E7"/>
              <w:right w:val="single" w:sz="8" w:space="0" w:color="B4C6E7"/>
            </w:tcBorders>
            <w:shd w:val="clear" w:color="auto" w:fill="auto"/>
            <w:vAlign w:val="center"/>
            <w:hideMark/>
          </w:tcPr>
          <w:p w14:paraId="56BB3216"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25.12%</w:t>
            </w:r>
          </w:p>
        </w:tc>
        <w:tc>
          <w:tcPr>
            <w:tcW w:w="1074" w:type="dxa"/>
            <w:tcBorders>
              <w:top w:val="nil"/>
              <w:left w:val="nil"/>
              <w:bottom w:val="single" w:sz="8" w:space="0" w:color="B4C6E7"/>
              <w:right w:val="single" w:sz="8" w:space="0" w:color="B4C6E7"/>
            </w:tcBorders>
            <w:shd w:val="clear" w:color="auto" w:fill="auto"/>
            <w:vAlign w:val="center"/>
            <w:hideMark/>
          </w:tcPr>
          <w:p w14:paraId="667D49D6"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25.85%</w:t>
            </w:r>
          </w:p>
        </w:tc>
        <w:tc>
          <w:tcPr>
            <w:tcW w:w="891" w:type="dxa"/>
            <w:tcBorders>
              <w:top w:val="nil"/>
              <w:left w:val="nil"/>
              <w:bottom w:val="single" w:sz="8" w:space="0" w:color="B4C6E7"/>
              <w:right w:val="single" w:sz="8" w:space="0" w:color="B4C6E7"/>
            </w:tcBorders>
            <w:shd w:val="clear" w:color="auto" w:fill="auto"/>
            <w:vAlign w:val="center"/>
            <w:hideMark/>
          </w:tcPr>
          <w:p w14:paraId="6F867A6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26.22%</w:t>
            </w:r>
          </w:p>
        </w:tc>
      </w:tr>
    </w:tbl>
    <w:p w14:paraId="7DB4229C" w14:textId="77777777" w:rsidR="00595339" w:rsidRDefault="00595339" w:rsidP="00595339">
      <w:pPr>
        <w:tabs>
          <w:tab w:val="left" w:pos="0"/>
          <w:tab w:val="left" w:pos="2367"/>
        </w:tabs>
        <w:spacing w:before="120" w:after="0" w:line="276" w:lineRule="auto"/>
        <w:ind w:firstLine="0"/>
        <w:rPr>
          <w:rFonts w:eastAsia="Times New Roman" w:cs="Times New Roman"/>
          <w:b/>
          <w:i/>
          <w:lang w:val="hy-AM"/>
        </w:rPr>
      </w:pPr>
    </w:p>
    <w:p w14:paraId="02A0C0F3" w14:textId="77777777" w:rsidR="00595339" w:rsidRPr="005E2F67" w:rsidRDefault="00595339" w:rsidP="00595339">
      <w:pPr>
        <w:tabs>
          <w:tab w:val="left" w:pos="0"/>
        </w:tabs>
        <w:spacing w:before="120" w:after="0" w:line="276" w:lineRule="auto"/>
        <w:ind w:firstLine="0"/>
        <w:jc w:val="center"/>
        <w:rPr>
          <w:rFonts w:cs="Arial"/>
          <w:color w:val="FFFFFF"/>
          <w:lang w:val="hy-AM"/>
        </w:rPr>
      </w:pPr>
    </w:p>
    <w:p w14:paraId="6C16CA92" w14:textId="77777777" w:rsidR="00595339" w:rsidRDefault="00595339" w:rsidP="00595339">
      <w:pPr>
        <w:keepNext/>
        <w:keepLines/>
        <w:tabs>
          <w:tab w:val="left" w:pos="0"/>
        </w:tabs>
        <w:spacing w:before="120" w:after="0" w:line="276" w:lineRule="auto"/>
        <w:ind w:firstLine="0"/>
        <w:jc w:val="left"/>
        <w:rPr>
          <w:rFonts w:eastAsia="Times New Roman" w:cs="Times New Roman"/>
          <w:lang w:val="hy-AM"/>
        </w:rPr>
      </w:pPr>
      <w:r w:rsidRPr="005E2F67">
        <w:rPr>
          <w:rFonts w:eastAsia="Times New Roman" w:cs="Times New Roman"/>
          <w:b/>
          <w:i/>
          <w:lang w:val="hy-AM"/>
        </w:rPr>
        <w:t xml:space="preserve">Աղյուսակ 2.5. </w:t>
      </w:r>
      <w:r w:rsidRPr="005E2F67">
        <w:rPr>
          <w:rFonts w:eastAsia="Times New Roman" w:cs="Times New Roman"/>
          <w:lang w:val="hy-AM"/>
        </w:rPr>
        <w:t>Պետական բյուջեի ծախսերի կանխատեսումների համեմատական աղյուսակը, մլրդ դրամ</w:t>
      </w:r>
    </w:p>
    <w:tbl>
      <w:tblPr>
        <w:tblW w:w="9728" w:type="dxa"/>
        <w:tblLook w:val="04A0" w:firstRow="1" w:lastRow="0" w:firstColumn="1" w:lastColumn="0" w:noHBand="0" w:noVBand="1"/>
      </w:tblPr>
      <w:tblGrid>
        <w:gridCol w:w="1359"/>
        <w:gridCol w:w="3155"/>
        <w:gridCol w:w="1058"/>
        <w:gridCol w:w="1058"/>
        <w:gridCol w:w="1058"/>
        <w:gridCol w:w="1058"/>
        <w:gridCol w:w="1058"/>
      </w:tblGrid>
      <w:tr w:rsidR="00595339" w:rsidRPr="00C37A67" w14:paraId="62B17621" w14:textId="77777777" w:rsidTr="00595339">
        <w:trPr>
          <w:trHeight w:val="986"/>
        </w:trPr>
        <w:tc>
          <w:tcPr>
            <w:tcW w:w="1283"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416627E5"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Ընդունման տարին</w:t>
            </w:r>
          </w:p>
        </w:tc>
        <w:tc>
          <w:tcPr>
            <w:tcW w:w="3155" w:type="dxa"/>
            <w:tcBorders>
              <w:top w:val="single" w:sz="8" w:space="0" w:color="FFFFFF"/>
              <w:left w:val="nil"/>
              <w:bottom w:val="single" w:sz="8" w:space="0" w:color="FFFFFF"/>
              <w:right w:val="single" w:sz="8" w:space="0" w:color="FFFFFF"/>
            </w:tcBorders>
            <w:shd w:val="clear" w:color="000000" w:fill="8EA9DB"/>
            <w:noWrap/>
            <w:vAlign w:val="center"/>
            <w:hideMark/>
          </w:tcPr>
          <w:p w14:paraId="0715597B"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Ծրագիր</w:t>
            </w:r>
          </w:p>
        </w:tc>
        <w:tc>
          <w:tcPr>
            <w:tcW w:w="1058" w:type="dxa"/>
            <w:tcBorders>
              <w:top w:val="single" w:sz="8" w:space="0" w:color="FFFFFF"/>
              <w:left w:val="nil"/>
              <w:bottom w:val="single" w:sz="8" w:space="0" w:color="FFFFFF"/>
              <w:right w:val="single" w:sz="8" w:space="0" w:color="FFFFFF"/>
            </w:tcBorders>
            <w:shd w:val="clear" w:color="000000" w:fill="8EA9DB"/>
            <w:noWrap/>
            <w:vAlign w:val="center"/>
            <w:hideMark/>
          </w:tcPr>
          <w:p w14:paraId="59167CA1"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2023</w:t>
            </w:r>
          </w:p>
        </w:tc>
        <w:tc>
          <w:tcPr>
            <w:tcW w:w="1058" w:type="dxa"/>
            <w:tcBorders>
              <w:top w:val="single" w:sz="8" w:space="0" w:color="FFFFFF"/>
              <w:left w:val="nil"/>
              <w:bottom w:val="single" w:sz="8" w:space="0" w:color="FFFFFF"/>
              <w:right w:val="single" w:sz="8" w:space="0" w:color="FFFFFF"/>
            </w:tcBorders>
            <w:shd w:val="clear" w:color="000000" w:fill="8EA9DB"/>
            <w:noWrap/>
            <w:vAlign w:val="center"/>
            <w:hideMark/>
          </w:tcPr>
          <w:p w14:paraId="4EB80820"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2024</w:t>
            </w:r>
          </w:p>
        </w:tc>
        <w:tc>
          <w:tcPr>
            <w:tcW w:w="1058" w:type="dxa"/>
            <w:tcBorders>
              <w:top w:val="single" w:sz="8" w:space="0" w:color="FFFFFF"/>
              <w:left w:val="nil"/>
              <w:bottom w:val="single" w:sz="8" w:space="0" w:color="FFFFFF"/>
              <w:right w:val="single" w:sz="8" w:space="0" w:color="FFFFFF"/>
            </w:tcBorders>
            <w:shd w:val="clear" w:color="000000" w:fill="8EA9DB"/>
            <w:noWrap/>
            <w:vAlign w:val="center"/>
            <w:hideMark/>
          </w:tcPr>
          <w:p w14:paraId="051C9316"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2025</w:t>
            </w:r>
          </w:p>
        </w:tc>
        <w:tc>
          <w:tcPr>
            <w:tcW w:w="1058" w:type="dxa"/>
            <w:tcBorders>
              <w:top w:val="single" w:sz="8" w:space="0" w:color="FFFFFF"/>
              <w:left w:val="nil"/>
              <w:bottom w:val="single" w:sz="8" w:space="0" w:color="FFFFFF"/>
              <w:right w:val="single" w:sz="8" w:space="0" w:color="FFFFFF"/>
            </w:tcBorders>
            <w:shd w:val="clear" w:color="000000" w:fill="8EA9DB"/>
            <w:noWrap/>
            <w:vAlign w:val="center"/>
            <w:hideMark/>
          </w:tcPr>
          <w:p w14:paraId="34437634"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2026</w:t>
            </w:r>
          </w:p>
        </w:tc>
        <w:tc>
          <w:tcPr>
            <w:tcW w:w="1058" w:type="dxa"/>
            <w:tcBorders>
              <w:top w:val="single" w:sz="8" w:space="0" w:color="FFFFFF"/>
              <w:left w:val="nil"/>
              <w:bottom w:val="single" w:sz="8" w:space="0" w:color="FFFFFF"/>
              <w:right w:val="single" w:sz="8" w:space="0" w:color="FFFFFF"/>
            </w:tcBorders>
            <w:shd w:val="clear" w:color="000000" w:fill="8EA9DB"/>
            <w:noWrap/>
            <w:vAlign w:val="center"/>
            <w:hideMark/>
          </w:tcPr>
          <w:p w14:paraId="1B1A801C"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2027</w:t>
            </w:r>
          </w:p>
        </w:tc>
      </w:tr>
      <w:tr w:rsidR="00595339" w:rsidRPr="00C37A67" w14:paraId="0DEE1D38" w14:textId="77777777" w:rsidTr="00595339">
        <w:trPr>
          <w:trHeight w:val="338"/>
        </w:trPr>
        <w:tc>
          <w:tcPr>
            <w:tcW w:w="1283"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4D0DC686"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w:t>
            </w:r>
          </w:p>
        </w:tc>
        <w:tc>
          <w:tcPr>
            <w:tcW w:w="3155" w:type="dxa"/>
            <w:tcBorders>
              <w:top w:val="nil"/>
              <w:left w:val="nil"/>
              <w:bottom w:val="single" w:sz="8" w:space="0" w:color="B4C6E7"/>
              <w:right w:val="single" w:sz="8" w:space="0" w:color="B4C6E7"/>
            </w:tcBorders>
            <w:shd w:val="clear" w:color="auto" w:fill="auto"/>
            <w:noWrap/>
            <w:vAlign w:val="center"/>
            <w:hideMark/>
          </w:tcPr>
          <w:p w14:paraId="2485EA28" w14:textId="77777777" w:rsidR="00595339" w:rsidRPr="00C37A67" w:rsidRDefault="00595339" w:rsidP="00644DF6">
            <w:pPr>
              <w:spacing w:before="0" w:after="0" w:line="240" w:lineRule="auto"/>
              <w:ind w:firstLine="0"/>
              <w:rPr>
                <w:rFonts w:eastAsia="Times New Roman" w:cs="Calibri"/>
                <w:color w:val="000000"/>
              </w:rPr>
            </w:pPr>
            <w:r w:rsidRPr="00C37A67">
              <w:rPr>
                <w:rFonts w:eastAsia="Times New Roman" w:cs="Calibri"/>
                <w:color w:val="000000"/>
              </w:rPr>
              <w:t>Փաստացի</w:t>
            </w:r>
          </w:p>
        </w:tc>
        <w:tc>
          <w:tcPr>
            <w:tcW w:w="1058" w:type="dxa"/>
            <w:tcBorders>
              <w:top w:val="nil"/>
              <w:left w:val="nil"/>
              <w:bottom w:val="single" w:sz="8" w:space="0" w:color="B4C6E7"/>
              <w:right w:val="single" w:sz="8" w:space="0" w:color="B4C6E7"/>
            </w:tcBorders>
            <w:shd w:val="clear" w:color="auto" w:fill="auto"/>
            <w:vAlign w:val="center"/>
            <w:hideMark/>
          </w:tcPr>
          <w:p w14:paraId="4074D474"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2,599.6</w:t>
            </w:r>
          </w:p>
        </w:tc>
        <w:tc>
          <w:tcPr>
            <w:tcW w:w="1058" w:type="dxa"/>
            <w:tcBorders>
              <w:top w:val="nil"/>
              <w:left w:val="nil"/>
              <w:bottom w:val="single" w:sz="8" w:space="0" w:color="B4C6E7"/>
              <w:right w:val="single" w:sz="8" w:space="0" w:color="B4C6E7"/>
            </w:tcBorders>
            <w:shd w:val="clear" w:color="auto" w:fill="auto"/>
            <w:noWrap/>
            <w:vAlign w:val="center"/>
            <w:hideMark/>
          </w:tcPr>
          <w:p w14:paraId="5D072A66"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76F27719"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4ECFF770"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1B54592F"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2D476A82" w14:textId="77777777" w:rsidTr="00595339">
        <w:trPr>
          <w:trHeight w:val="338"/>
        </w:trPr>
        <w:tc>
          <w:tcPr>
            <w:tcW w:w="1283" w:type="dxa"/>
            <w:vMerge/>
            <w:tcBorders>
              <w:top w:val="nil"/>
              <w:left w:val="single" w:sz="8" w:space="0" w:color="B4C6E7"/>
              <w:bottom w:val="single" w:sz="8" w:space="0" w:color="B4C6E7"/>
              <w:right w:val="single" w:sz="8" w:space="0" w:color="B4C6E7"/>
            </w:tcBorders>
            <w:vAlign w:val="center"/>
            <w:hideMark/>
          </w:tcPr>
          <w:p w14:paraId="02E3A937"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noWrap/>
            <w:vAlign w:val="center"/>
            <w:hideMark/>
          </w:tcPr>
          <w:p w14:paraId="72DF5B79"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7DC52F8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27.35%</w:t>
            </w:r>
          </w:p>
        </w:tc>
        <w:tc>
          <w:tcPr>
            <w:tcW w:w="1058" w:type="dxa"/>
            <w:tcBorders>
              <w:top w:val="nil"/>
              <w:left w:val="nil"/>
              <w:bottom w:val="single" w:sz="8" w:space="0" w:color="B4C6E7"/>
              <w:right w:val="single" w:sz="8" w:space="0" w:color="B4C6E7"/>
            </w:tcBorders>
            <w:shd w:val="clear" w:color="auto" w:fill="auto"/>
            <w:noWrap/>
            <w:vAlign w:val="center"/>
            <w:hideMark/>
          </w:tcPr>
          <w:p w14:paraId="10BC9D6B"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2EEFC9D8"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401F313F"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07B10632"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09427341" w14:textId="77777777" w:rsidTr="00595339">
        <w:trPr>
          <w:trHeight w:val="338"/>
        </w:trPr>
        <w:tc>
          <w:tcPr>
            <w:tcW w:w="1283"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27CDB580"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2022</w:t>
            </w:r>
          </w:p>
        </w:tc>
        <w:tc>
          <w:tcPr>
            <w:tcW w:w="3155" w:type="dxa"/>
            <w:tcBorders>
              <w:top w:val="nil"/>
              <w:left w:val="nil"/>
              <w:bottom w:val="single" w:sz="8" w:space="0" w:color="B4C6E7"/>
              <w:right w:val="single" w:sz="8" w:space="0" w:color="B4C6E7"/>
            </w:tcBorders>
            <w:shd w:val="clear" w:color="auto" w:fill="auto"/>
            <w:noWrap/>
            <w:vAlign w:val="center"/>
            <w:hideMark/>
          </w:tcPr>
          <w:p w14:paraId="19B8B2CA"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2023-2025</w:t>
            </w:r>
          </w:p>
        </w:tc>
        <w:tc>
          <w:tcPr>
            <w:tcW w:w="1058" w:type="dxa"/>
            <w:tcBorders>
              <w:top w:val="nil"/>
              <w:left w:val="nil"/>
              <w:bottom w:val="single" w:sz="8" w:space="0" w:color="B4C6E7"/>
              <w:right w:val="single" w:sz="8" w:space="0" w:color="B4C6E7"/>
            </w:tcBorders>
            <w:shd w:val="clear" w:color="auto" w:fill="auto"/>
            <w:vAlign w:val="center"/>
            <w:hideMark/>
          </w:tcPr>
          <w:p w14:paraId="5DAFA734"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2,597.9</w:t>
            </w:r>
          </w:p>
        </w:tc>
        <w:tc>
          <w:tcPr>
            <w:tcW w:w="1058" w:type="dxa"/>
            <w:tcBorders>
              <w:top w:val="nil"/>
              <w:left w:val="nil"/>
              <w:bottom w:val="single" w:sz="8" w:space="0" w:color="B4C6E7"/>
              <w:right w:val="single" w:sz="8" w:space="0" w:color="B4C6E7"/>
            </w:tcBorders>
            <w:shd w:val="clear" w:color="auto" w:fill="auto"/>
            <w:vAlign w:val="center"/>
            <w:hideMark/>
          </w:tcPr>
          <w:p w14:paraId="36AE5C1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2,882.9</w:t>
            </w:r>
          </w:p>
        </w:tc>
        <w:tc>
          <w:tcPr>
            <w:tcW w:w="1058" w:type="dxa"/>
            <w:tcBorders>
              <w:top w:val="nil"/>
              <w:left w:val="nil"/>
              <w:bottom w:val="single" w:sz="8" w:space="0" w:color="B4C6E7"/>
              <w:right w:val="single" w:sz="8" w:space="0" w:color="B4C6E7"/>
            </w:tcBorders>
            <w:shd w:val="clear" w:color="auto" w:fill="auto"/>
            <w:vAlign w:val="center"/>
            <w:hideMark/>
          </w:tcPr>
          <w:p w14:paraId="5A0FD544"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3,223.0</w:t>
            </w:r>
          </w:p>
        </w:tc>
        <w:tc>
          <w:tcPr>
            <w:tcW w:w="1058" w:type="dxa"/>
            <w:tcBorders>
              <w:top w:val="nil"/>
              <w:left w:val="nil"/>
              <w:bottom w:val="single" w:sz="8" w:space="0" w:color="B4C6E7"/>
              <w:right w:val="single" w:sz="8" w:space="0" w:color="B4C6E7"/>
            </w:tcBorders>
            <w:shd w:val="clear" w:color="auto" w:fill="auto"/>
            <w:noWrap/>
            <w:vAlign w:val="center"/>
            <w:hideMark/>
          </w:tcPr>
          <w:p w14:paraId="2C7575A9"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312F93B6"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5FC3B191" w14:textId="77777777" w:rsidTr="00595339">
        <w:trPr>
          <w:trHeight w:val="338"/>
        </w:trPr>
        <w:tc>
          <w:tcPr>
            <w:tcW w:w="1283" w:type="dxa"/>
            <w:vMerge/>
            <w:tcBorders>
              <w:top w:val="nil"/>
              <w:left w:val="single" w:sz="8" w:space="0" w:color="B4C6E7"/>
              <w:bottom w:val="single" w:sz="8" w:space="0" w:color="B4C6E7"/>
              <w:right w:val="single" w:sz="8" w:space="0" w:color="B4C6E7"/>
            </w:tcBorders>
            <w:vAlign w:val="center"/>
            <w:hideMark/>
          </w:tcPr>
          <w:p w14:paraId="554C38B0"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vAlign w:val="center"/>
            <w:hideMark/>
          </w:tcPr>
          <w:p w14:paraId="68279AFE"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5271E10F"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28.67%</w:t>
            </w:r>
          </w:p>
        </w:tc>
        <w:tc>
          <w:tcPr>
            <w:tcW w:w="1058" w:type="dxa"/>
            <w:tcBorders>
              <w:top w:val="nil"/>
              <w:left w:val="nil"/>
              <w:bottom w:val="single" w:sz="8" w:space="0" w:color="B4C6E7"/>
              <w:right w:val="single" w:sz="8" w:space="0" w:color="B4C6E7"/>
            </w:tcBorders>
            <w:shd w:val="clear" w:color="auto" w:fill="auto"/>
            <w:vAlign w:val="center"/>
            <w:hideMark/>
          </w:tcPr>
          <w:p w14:paraId="75D3CDA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28.51%</w:t>
            </w:r>
          </w:p>
        </w:tc>
        <w:tc>
          <w:tcPr>
            <w:tcW w:w="1058" w:type="dxa"/>
            <w:tcBorders>
              <w:top w:val="nil"/>
              <w:left w:val="nil"/>
              <w:bottom w:val="single" w:sz="8" w:space="0" w:color="B4C6E7"/>
              <w:right w:val="single" w:sz="8" w:space="0" w:color="B4C6E7"/>
            </w:tcBorders>
            <w:shd w:val="clear" w:color="auto" w:fill="auto"/>
            <w:vAlign w:val="center"/>
            <w:hideMark/>
          </w:tcPr>
          <w:p w14:paraId="5986156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28.65%</w:t>
            </w:r>
          </w:p>
        </w:tc>
        <w:tc>
          <w:tcPr>
            <w:tcW w:w="1058" w:type="dxa"/>
            <w:tcBorders>
              <w:top w:val="nil"/>
              <w:left w:val="nil"/>
              <w:bottom w:val="single" w:sz="8" w:space="0" w:color="B4C6E7"/>
              <w:right w:val="single" w:sz="8" w:space="0" w:color="B4C6E7"/>
            </w:tcBorders>
            <w:shd w:val="clear" w:color="auto" w:fill="auto"/>
            <w:noWrap/>
            <w:vAlign w:val="center"/>
            <w:hideMark/>
          </w:tcPr>
          <w:p w14:paraId="07F0DDA1"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3E73139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490F442B" w14:textId="77777777" w:rsidTr="00595339">
        <w:trPr>
          <w:trHeight w:val="338"/>
        </w:trPr>
        <w:tc>
          <w:tcPr>
            <w:tcW w:w="1283" w:type="dxa"/>
            <w:vMerge/>
            <w:tcBorders>
              <w:top w:val="nil"/>
              <w:left w:val="single" w:sz="8" w:space="0" w:color="B4C6E7"/>
              <w:bottom w:val="single" w:sz="8" w:space="0" w:color="B4C6E7"/>
              <w:right w:val="single" w:sz="8" w:space="0" w:color="B4C6E7"/>
            </w:tcBorders>
            <w:vAlign w:val="center"/>
            <w:hideMark/>
          </w:tcPr>
          <w:p w14:paraId="717FF179"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noWrap/>
            <w:vAlign w:val="center"/>
            <w:hideMark/>
          </w:tcPr>
          <w:p w14:paraId="545F9B14"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2023թ. Պետական բյուջե</w:t>
            </w:r>
          </w:p>
        </w:tc>
        <w:tc>
          <w:tcPr>
            <w:tcW w:w="1058" w:type="dxa"/>
            <w:tcBorders>
              <w:top w:val="nil"/>
              <w:left w:val="nil"/>
              <w:bottom w:val="single" w:sz="8" w:space="0" w:color="B4C6E7"/>
              <w:right w:val="single" w:sz="8" w:space="0" w:color="B4C6E7"/>
            </w:tcBorders>
            <w:shd w:val="clear" w:color="auto" w:fill="auto"/>
            <w:vAlign w:val="center"/>
            <w:hideMark/>
          </w:tcPr>
          <w:p w14:paraId="72CD2C4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2,642.9</w:t>
            </w:r>
          </w:p>
        </w:tc>
        <w:tc>
          <w:tcPr>
            <w:tcW w:w="1058" w:type="dxa"/>
            <w:tcBorders>
              <w:top w:val="nil"/>
              <w:left w:val="nil"/>
              <w:bottom w:val="single" w:sz="8" w:space="0" w:color="B4C6E7"/>
              <w:right w:val="single" w:sz="8" w:space="0" w:color="B4C6E7"/>
            </w:tcBorders>
            <w:shd w:val="clear" w:color="auto" w:fill="auto"/>
            <w:vAlign w:val="center"/>
            <w:hideMark/>
          </w:tcPr>
          <w:p w14:paraId="44295E3D"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0211231B"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667C6739"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4D90DA3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6465CB7A" w14:textId="77777777" w:rsidTr="00595339">
        <w:trPr>
          <w:trHeight w:val="338"/>
        </w:trPr>
        <w:tc>
          <w:tcPr>
            <w:tcW w:w="1283" w:type="dxa"/>
            <w:vMerge/>
            <w:tcBorders>
              <w:top w:val="nil"/>
              <w:left w:val="single" w:sz="8" w:space="0" w:color="B4C6E7"/>
              <w:bottom w:val="single" w:sz="8" w:space="0" w:color="B4C6E7"/>
              <w:right w:val="single" w:sz="8" w:space="0" w:color="B4C6E7"/>
            </w:tcBorders>
            <w:vAlign w:val="center"/>
            <w:hideMark/>
          </w:tcPr>
          <w:p w14:paraId="69B71291"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vAlign w:val="center"/>
            <w:hideMark/>
          </w:tcPr>
          <w:p w14:paraId="2F502290"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304AB8A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28.36%</w:t>
            </w:r>
          </w:p>
        </w:tc>
        <w:tc>
          <w:tcPr>
            <w:tcW w:w="1058" w:type="dxa"/>
            <w:tcBorders>
              <w:top w:val="nil"/>
              <w:left w:val="nil"/>
              <w:bottom w:val="single" w:sz="8" w:space="0" w:color="B4C6E7"/>
              <w:right w:val="single" w:sz="8" w:space="0" w:color="B4C6E7"/>
            </w:tcBorders>
            <w:shd w:val="clear" w:color="auto" w:fill="auto"/>
            <w:vAlign w:val="center"/>
            <w:hideMark/>
          </w:tcPr>
          <w:p w14:paraId="3D9A4C9C"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6379DF2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5571C26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083B422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7D712305" w14:textId="77777777" w:rsidTr="00595339">
        <w:trPr>
          <w:trHeight w:val="338"/>
        </w:trPr>
        <w:tc>
          <w:tcPr>
            <w:tcW w:w="1283" w:type="dxa"/>
            <w:vMerge w:val="restart"/>
            <w:tcBorders>
              <w:top w:val="nil"/>
              <w:left w:val="single" w:sz="8" w:space="0" w:color="B4C6E7"/>
              <w:bottom w:val="nil"/>
              <w:right w:val="single" w:sz="8" w:space="0" w:color="B4C6E7"/>
            </w:tcBorders>
            <w:shd w:val="clear" w:color="auto" w:fill="auto"/>
            <w:vAlign w:val="center"/>
            <w:hideMark/>
          </w:tcPr>
          <w:p w14:paraId="303BE415"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2023</w:t>
            </w:r>
          </w:p>
        </w:tc>
        <w:tc>
          <w:tcPr>
            <w:tcW w:w="3155" w:type="dxa"/>
            <w:tcBorders>
              <w:top w:val="nil"/>
              <w:left w:val="nil"/>
              <w:bottom w:val="single" w:sz="8" w:space="0" w:color="B4C6E7"/>
              <w:right w:val="single" w:sz="8" w:space="0" w:color="B4C6E7"/>
            </w:tcBorders>
            <w:shd w:val="clear" w:color="auto" w:fill="auto"/>
            <w:noWrap/>
            <w:vAlign w:val="center"/>
            <w:hideMark/>
          </w:tcPr>
          <w:p w14:paraId="04A9CE87"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2024-2026</w:t>
            </w:r>
          </w:p>
        </w:tc>
        <w:tc>
          <w:tcPr>
            <w:tcW w:w="1058" w:type="dxa"/>
            <w:tcBorders>
              <w:top w:val="nil"/>
              <w:left w:val="nil"/>
              <w:bottom w:val="single" w:sz="8" w:space="0" w:color="B4C6E7"/>
              <w:right w:val="single" w:sz="8" w:space="0" w:color="B4C6E7"/>
            </w:tcBorders>
            <w:shd w:val="clear" w:color="auto" w:fill="auto"/>
            <w:vAlign w:val="center"/>
            <w:hideMark/>
          </w:tcPr>
          <w:p w14:paraId="0164BCCE"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2,659.6</w:t>
            </w:r>
          </w:p>
        </w:tc>
        <w:tc>
          <w:tcPr>
            <w:tcW w:w="1058" w:type="dxa"/>
            <w:tcBorders>
              <w:top w:val="nil"/>
              <w:left w:val="nil"/>
              <w:bottom w:val="single" w:sz="8" w:space="0" w:color="B4C6E7"/>
              <w:right w:val="single" w:sz="8" w:space="0" w:color="B4C6E7"/>
            </w:tcBorders>
            <w:shd w:val="clear" w:color="auto" w:fill="auto"/>
            <w:vAlign w:val="center"/>
            <w:hideMark/>
          </w:tcPr>
          <w:p w14:paraId="10ABE15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2,973.6</w:t>
            </w:r>
          </w:p>
        </w:tc>
        <w:tc>
          <w:tcPr>
            <w:tcW w:w="1058" w:type="dxa"/>
            <w:tcBorders>
              <w:top w:val="nil"/>
              <w:left w:val="nil"/>
              <w:bottom w:val="single" w:sz="8" w:space="0" w:color="B4C6E7"/>
              <w:right w:val="single" w:sz="8" w:space="0" w:color="B4C6E7"/>
            </w:tcBorders>
            <w:shd w:val="clear" w:color="auto" w:fill="auto"/>
            <w:vAlign w:val="center"/>
            <w:hideMark/>
          </w:tcPr>
          <w:p w14:paraId="2CEF6F9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3,306.1</w:t>
            </w:r>
          </w:p>
        </w:tc>
        <w:tc>
          <w:tcPr>
            <w:tcW w:w="1058" w:type="dxa"/>
            <w:tcBorders>
              <w:top w:val="nil"/>
              <w:left w:val="nil"/>
              <w:bottom w:val="single" w:sz="8" w:space="0" w:color="B4C6E7"/>
              <w:right w:val="single" w:sz="8" w:space="0" w:color="B4C6E7"/>
            </w:tcBorders>
            <w:shd w:val="clear" w:color="auto" w:fill="auto"/>
            <w:vAlign w:val="center"/>
            <w:hideMark/>
          </w:tcPr>
          <w:p w14:paraId="7897C0D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3,701.9</w:t>
            </w:r>
          </w:p>
        </w:tc>
        <w:tc>
          <w:tcPr>
            <w:tcW w:w="1058" w:type="dxa"/>
            <w:tcBorders>
              <w:top w:val="nil"/>
              <w:left w:val="nil"/>
              <w:bottom w:val="single" w:sz="8" w:space="0" w:color="B4C6E7"/>
              <w:right w:val="single" w:sz="8" w:space="0" w:color="B4C6E7"/>
            </w:tcBorders>
            <w:shd w:val="clear" w:color="auto" w:fill="auto"/>
            <w:vAlign w:val="center"/>
            <w:hideMark/>
          </w:tcPr>
          <w:p w14:paraId="70CCD76B"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47FCE4F3" w14:textId="77777777" w:rsidTr="00595339">
        <w:trPr>
          <w:trHeight w:val="338"/>
        </w:trPr>
        <w:tc>
          <w:tcPr>
            <w:tcW w:w="1283" w:type="dxa"/>
            <w:vMerge/>
            <w:tcBorders>
              <w:top w:val="nil"/>
              <w:left w:val="single" w:sz="8" w:space="0" w:color="B4C6E7"/>
              <w:bottom w:val="nil"/>
              <w:right w:val="single" w:sz="8" w:space="0" w:color="B4C6E7"/>
            </w:tcBorders>
            <w:vAlign w:val="center"/>
            <w:hideMark/>
          </w:tcPr>
          <w:p w14:paraId="78598075"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vAlign w:val="center"/>
            <w:hideMark/>
          </w:tcPr>
          <w:p w14:paraId="1CA1FC45"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0D57AEF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27.9%</w:t>
            </w:r>
          </w:p>
        </w:tc>
        <w:tc>
          <w:tcPr>
            <w:tcW w:w="1058" w:type="dxa"/>
            <w:tcBorders>
              <w:top w:val="nil"/>
              <w:left w:val="nil"/>
              <w:bottom w:val="single" w:sz="8" w:space="0" w:color="B4C6E7"/>
              <w:right w:val="single" w:sz="8" w:space="0" w:color="B4C6E7"/>
            </w:tcBorders>
            <w:shd w:val="clear" w:color="auto" w:fill="auto"/>
            <w:vAlign w:val="center"/>
            <w:hideMark/>
          </w:tcPr>
          <w:p w14:paraId="77E03A0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28.0%</w:t>
            </w:r>
          </w:p>
        </w:tc>
        <w:tc>
          <w:tcPr>
            <w:tcW w:w="1058" w:type="dxa"/>
            <w:tcBorders>
              <w:top w:val="nil"/>
              <w:left w:val="nil"/>
              <w:bottom w:val="single" w:sz="8" w:space="0" w:color="B4C6E7"/>
              <w:right w:val="single" w:sz="8" w:space="0" w:color="B4C6E7"/>
            </w:tcBorders>
            <w:shd w:val="clear" w:color="auto" w:fill="auto"/>
            <w:vAlign w:val="center"/>
            <w:hideMark/>
          </w:tcPr>
          <w:p w14:paraId="701E375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28.0%</w:t>
            </w:r>
          </w:p>
        </w:tc>
        <w:tc>
          <w:tcPr>
            <w:tcW w:w="1058" w:type="dxa"/>
            <w:tcBorders>
              <w:top w:val="nil"/>
              <w:left w:val="nil"/>
              <w:bottom w:val="single" w:sz="8" w:space="0" w:color="B4C6E7"/>
              <w:right w:val="single" w:sz="8" w:space="0" w:color="B4C6E7"/>
            </w:tcBorders>
            <w:shd w:val="clear" w:color="auto" w:fill="auto"/>
            <w:vAlign w:val="center"/>
            <w:hideMark/>
          </w:tcPr>
          <w:p w14:paraId="523EE67E"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28.2%</w:t>
            </w:r>
          </w:p>
        </w:tc>
        <w:tc>
          <w:tcPr>
            <w:tcW w:w="1058" w:type="dxa"/>
            <w:tcBorders>
              <w:top w:val="nil"/>
              <w:left w:val="nil"/>
              <w:bottom w:val="single" w:sz="8" w:space="0" w:color="B4C6E7"/>
              <w:right w:val="single" w:sz="8" w:space="0" w:color="B4C6E7"/>
            </w:tcBorders>
            <w:shd w:val="clear" w:color="auto" w:fill="auto"/>
            <w:vAlign w:val="center"/>
            <w:hideMark/>
          </w:tcPr>
          <w:p w14:paraId="521D456A"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14D12D9B" w14:textId="77777777" w:rsidTr="00595339">
        <w:trPr>
          <w:trHeight w:val="338"/>
        </w:trPr>
        <w:tc>
          <w:tcPr>
            <w:tcW w:w="1283" w:type="dxa"/>
            <w:vMerge/>
            <w:tcBorders>
              <w:top w:val="nil"/>
              <w:left w:val="single" w:sz="8" w:space="0" w:color="B4C6E7"/>
              <w:bottom w:val="nil"/>
              <w:right w:val="single" w:sz="8" w:space="0" w:color="B4C6E7"/>
            </w:tcBorders>
            <w:vAlign w:val="center"/>
            <w:hideMark/>
          </w:tcPr>
          <w:p w14:paraId="4BE81844"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noWrap/>
            <w:vAlign w:val="center"/>
            <w:hideMark/>
          </w:tcPr>
          <w:p w14:paraId="21F7C850"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2024թ. Պետական բյուջե</w:t>
            </w:r>
          </w:p>
        </w:tc>
        <w:tc>
          <w:tcPr>
            <w:tcW w:w="1058" w:type="dxa"/>
            <w:tcBorders>
              <w:top w:val="nil"/>
              <w:left w:val="nil"/>
              <w:bottom w:val="single" w:sz="8" w:space="0" w:color="B4C6E7"/>
              <w:right w:val="single" w:sz="8" w:space="0" w:color="B4C6E7"/>
            </w:tcBorders>
            <w:shd w:val="clear" w:color="auto" w:fill="auto"/>
            <w:vAlign w:val="center"/>
            <w:hideMark/>
          </w:tcPr>
          <w:p w14:paraId="39CC7636"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2,653.4</w:t>
            </w:r>
          </w:p>
        </w:tc>
        <w:tc>
          <w:tcPr>
            <w:tcW w:w="1058" w:type="dxa"/>
            <w:tcBorders>
              <w:top w:val="nil"/>
              <w:left w:val="nil"/>
              <w:bottom w:val="single" w:sz="8" w:space="0" w:color="B4C6E7"/>
              <w:right w:val="single" w:sz="8" w:space="0" w:color="B4C6E7"/>
            </w:tcBorders>
            <w:shd w:val="clear" w:color="auto" w:fill="auto"/>
            <w:vAlign w:val="center"/>
            <w:hideMark/>
          </w:tcPr>
          <w:p w14:paraId="73DFC497"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3,146.0</w:t>
            </w:r>
          </w:p>
        </w:tc>
        <w:tc>
          <w:tcPr>
            <w:tcW w:w="1058" w:type="dxa"/>
            <w:tcBorders>
              <w:top w:val="nil"/>
              <w:left w:val="nil"/>
              <w:bottom w:val="single" w:sz="8" w:space="0" w:color="B4C6E7"/>
              <w:right w:val="single" w:sz="8" w:space="0" w:color="B4C6E7"/>
            </w:tcBorders>
            <w:shd w:val="clear" w:color="auto" w:fill="auto"/>
            <w:vAlign w:val="center"/>
            <w:hideMark/>
          </w:tcPr>
          <w:p w14:paraId="6A85BFE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2820D6AB"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0ED8235C"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6FE1110D" w14:textId="77777777" w:rsidTr="00595339">
        <w:trPr>
          <w:trHeight w:val="338"/>
        </w:trPr>
        <w:tc>
          <w:tcPr>
            <w:tcW w:w="1283" w:type="dxa"/>
            <w:vMerge/>
            <w:tcBorders>
              <w:top w:val="nil"/>
              <w:left w:val="single" w:sz="8" w:space="0" w:color="B4C6E7"/>
              <w:bottom w:val="nil"/>
              <w:right w:val="single" w:sz="8" w:space="0" w:color="B4C6E7"/>
            </w:tcBorders>
            <w:vAlign w:val="center"/>
            <w:hideMark/>
          </w:tcPr>
          <w:p w14:paraId="37CF5B17"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vAlign w:val="center"/>
            <w:hideMark/>
          </w:tcPr>
          <w:p w14:paraId="28E65BA5"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28569E1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28.1%</w:t>
            </w:r>
          </w:p>
        </w:tc>
        <w:tc>
          <w:tcPr>
            <w:tcW w:w="1058" w:type="dxa"/>
            <w:tcBorders>
              <w:top w:val="nil"/>
              <w:left w:val="nil"/>
              <w:bottom w:val="single" w:sz="8" w:space="0" w:color="B4C6E7"/>
              <w:right w:val="single" w:sz="8" w:space="0" w:color="B4C6E7"/>
            </w:tcBorders>
            <w:shd w:val="clear" w:color="auto" w:fill="auto"/>
            <w:vAlign w:val="center"/>
            <w:hideMark/>
          </w:tcPr>
          <w:p w14:paraId="1DFA8C7A"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29.9%</w:t>
            </w:r>
          </w:p>
        </w:tc>
        <w:tc>
          <w:tcPr>
            <w:tcW w:w="1058" w:type="dxa"/>
            <w:tcBorders>
              <w:top w:val="nil"/>
              <w:left w:val="nil"/>
              <w:bottom w:val="single" w:sz="8" w:space="0" w:color="B4C6E7"/>
              <w:right w:val="single" w:sz="8" w:space="0" w:color="B4C6E7"/>
            </w:tcBorders>
            <w:shd w:val="clear" w:color="auto" w:fill="auto"/>
            <w:vAlign w:val="center"/>
            <w:hideMark/>
          </w:tcPr>
          <w:p w14:paraId="2FEBF4CB"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noWrap/>
            <w:vAlign w:val="center"/>
            <w:hideMark/>
          </w:tcPr>
          <w:p w14:paraId="0A1AECBC"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45F8ABB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5D0C95ED" w14:textId="77777777" w:rsidTr="00595339">
        <w:trPr>
          <w:trHeight w:val="338"/>
        </w:trPr>
        <w:tc>
          <w:tcPr>
            <w:tcW w:w="1283"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2858240C"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2024</w:t>
            </w:r>
          </w:p>
        </w:tc>
        <w:tc>
          <w:tcPr>
            <w:tcW w:w="3155" w:type="dxa"/>
            <w:tcBorders>
              <w:top w:val="nil"/>
              <w:left w:val="nil"/>
              <w:bottom w:val="single" w:sz="8" w:space="0" w:color="B4C6E7"/>
              <w:right w:val="single" w:sz="8" w:space="0" w:color="B4C6E7"/>
            </w:tcBorders>
            <w:shd w:val="clear" w:color="auto" w:fill="auto"/>
            <w:noWrap/>
            <w:vAlign w:val="center"/>
            <w:hideMark/>
          </w:tcPr>
          <w:p w14:paraId="586BB1CE"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2025-2027</w:t>
            </w:r>
          </w:p>
        </w:tc>
        <w:tc>
          <w:tcPr>
            <w:tcW w:w="1058" w:type="dxa"/>
            <w:tcBorders>
              <w:top w:val="nil"/>
              <w:left w:val="nil"/>
              <w:bottom w:val="single" w:sz="8" w:space="0" w:color="B4C6E7"/>
              <w:right w:val="single" w:sz="8" w:space="0" w:color="B4C6E7"/>
            </w:tcBorders>
            <w:shd w:val="clear" w:color="auto" w:fill="auto"/>
            <w:vAlign w:val="center"/>
            <w:hideMark/>
          </w:tcPr>
          <w:p w14:paraId="369116AF"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77201229"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3,117.6</w:t>
            </w:r>
          </w:p>
        </w:tc>
        <w:tc>
          <w:tcPr>
            <w:tcW w:w="1058" w:type="dxa"/>
            <w:tcBorders>
              <w:top w:val="nil"/>
              <w:left w:val="nil"/>
              <w:bottom w:val="single" w:sz="8" w:space="0" w:color="B4C6E7"/>
              <w:right w:val="single" w:sz="8" w:space="0" w:color="B4C6E7"/>
            </w:tcBorders>
            <w:shd w:val="clear" w:color="auto" w:fill="auto"/>
            <w:vAlign w:val="center"/>
            <w:hideMark/>
          </w:tcPr>
          <w:p w14:paraId="24659FE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3,513.4</w:t>
            </w:r>
          </w:p>
        </w:tc>
        <w:tc>
          <w:tcPr>
            <w:tcW w:w="1058" w:type="dxa"/>
            <w:tcBorders>
              <w:top w:val="nil"/>
              <w:left w:val="nil"/>
              <w:bottom w:val="single" w:sz="8" w:space="0" w:color="B4C6E7"/>
              <w:right w:val="single" w:sz="8" w:space="0" w:color="B4C6E7"/>
            </w:tcBorders>
            <w:shd w:val="clear" w:color="auto" w:fill="auto"/>
            <w:vAlign w:val="center"/>
            <w:hideMark/>
          </w:tcPr>
          <w:p w14:paraId="69B39E01"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3,812.1</w:t>
            </w:r>
          </w:p>
        </w:tc>
        <w:tc>
          <w:tcPr>
            <w:tcW w:w="1058" w:type="dxa"/>
            <w:tcBorders>
              <w:top w:val="nil"/>
              <w:left w:val="nil"/>
              <w:bottom w:val="single" w:sz="8" w:space="0" w:color="B4C6E7"/>
              <w:right w:val="single" w:sz="8" w:space="0" w:color="B4C6E7"/>
            </w:tcBorders>
            <w:shd w:val="clear" w:color="auto" w:fill="auto"/>
            <w:vAlign w:val="center"/>
            <w:hideMark/>
          </w:tcPr>
          <w:p w14:paraId="2AC184B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4,086.8</w:t>
            </w:r>
          </w:p>
        </w:tc>
      </w:tr>
      <w:tr w:rsidR="00595339" w:rsidRPr="00C37A67" w14:paraId="04EA3190" w14:textId="77777777" w:rsidTr="00595339">
        <w:trPr>
          <w:trHeight w:val="338"/>
        </w:trPr>
        <w:tc>
          <w:tcPr>
            <w:tcW w:w="1283" w:type="dxa"/>
            <w:vMerge/>
            <w:tcBorders>
              <w:top w:val="single" w:sz="8" w:space="0" w:color="FFFFFF"/>
              <w:left w:val="single" w:sz="8" w:space="0" w:color="B4C6E7"/>
              <w:bottom w:val="single" w:sz="8" w:space="0" w:color="B4C6E7"/>
              <w:right w:val="single" w:sz="8" w:space="0" w:color="B4C6E7"/>
            </w:tcBorders>
            <w:vAlign w:val="center"/>
            <w:hideMark/>
          </w:tcPr>
          <w:p w14:paraId="46E08934" w14:textId="77777777" w:rsidR="00595339" w:rsidRPr="00C37A67" w:rsidRDefault="00595339" w:rsidP="00644DF6">
            <w:pPr>
              <w:spacing w:before="0" w:after="0" w:line="240" w:lineRule="auto"/>
              <w:ind w:firstLine="0"/>
              <w:jc w:val="left"/>
              <w:rPr>
                <w:rFonts w:eastAsia="Times New Roman" w:cs="Calibri"/>
                <w:color w:val="000000"/>
              </w:rPr>
            </w:pPr>
          </w:p>
        </w:tc>
        <w:tc>
          <w:tcPr>
            <w:tcW w:w="3155" w:type="dxa"/>
            <w:tcBorders>
              <w:top w:val="nil"/>
              <w:left w:val="nil"/>
              <w:bottom w:val="single" w:sz="8" w:space="0" w:color="B4C6E7"/>
              <w:right w:val="single" w:sz="8" w:space="0" w:color="B4C6E7"/>
            </w:tcBorders>
            <w:shd w:val="clear" w:color="auto" w:fill="auto"/>
            <w:vAlign w:val="center"/>
            <w:hideMark/>
          </w:tcPr>
          <w:p w14:paraId="2EFC5D25"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58" w:type="dxa"/>
            <w:tcBorders>
              <w:top w:val="nil"/>
              <w:left w:val="nil"/>
              <w:bottom w:val="single" w:sz="8" w:space="0" w:color="B4C6E7"/>
              <w:right w:val="single" w:sz="8" w:space="0" w:color="B4C6E7"/>
            </w:tcBorders>
            <w:shd w:val="clear" w:color="auto" w:fill="auto"/>
            <w:vAlign w:val="center"/>
            <w:hideMark/>
          </w:tcPr>
          <w:p w14:paraId="228E1256"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58" w:type="dxa"/>
            <w:tcBorders>
              <w:top w:val="nil"/>
              <w:left w:val="nil"/>
              <w:bottom w:val="single" w:sz="8" w:space="0" w:color="B4C6E7"/>
              <w:right w:val="single" w:sz="8" w:space="0" w:color="B4C6E7"/>
            </w:tcBorders>
            <w:shd w:val="clear" w:color="auto" w:fill="auto"/>
            <w:vAlign w:val="center"/>
            <w:hideMark/>
          </w:tcPr>
          <w:p w14:paraId="3F62221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30.5%</w:t>
            </w:r>
          </w:p>
        </w:tc>
        <w:tc>
          <w:tcPr>
            <w:tcW w:w="1058" w:type="dxa"/>
            <w:tcBorders>
              <w:top w:val="nil"/>
              <w:left w:val="nil"/>
              <w:bottom w:val="single" w:sz="8" w:space="0" w:color="B4C6E7"/>
              <w:right w:val="single" w:sz="8" w:space="0" w:color="B4C6E7"/>
            </w:tcBorders>
            <w:shd w:val="clear" w:color="auto" w:fill="auto"/>
            <w:vAlign w:val="center"/>
            <w:hideMark/>
          </w:tcPr>
          <w:p w14:paraId="32C1C23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31.4%</w:t>
            </w:r>
          </w:p>
        </w:tc>
        <w:tc>
          <w:tcPr>
            <w:tcW w:w="1058" w:type="dxa"/>
            <w:tcBorders>
              <w:top w:val="nil"/>
              <w:left w:val="nil"/>
              <w:bottom w:val="single" w:sz="8" w:space="0" w:color="B4C6E7"/>
              <w:right w:val="single" w:sz="8" w:space="0" w:color="B4C6E7"/>
            </w:tcBorders>
            <w:shd w:val="clear" w:color="auto" w:fill="auto"/>
            <w:vAlign w:val="center"/>
            <w:hideMark/>
          </w:tcPr>
          <w:p w14:paraId="4E43876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31.0%</w:t>
            </w:r>
          </w:p>
        </w:tc>
        <w:tc>
          <w:tcPr>
            <w:tcW w:w="1058" w:type="dxa"/>
            <w:tcBorders>
              <w:top w:val="nil"/>
              <w:left w:val="nil"/>
              <w:bottom w:val="single" w:sz="8" w:space="0" w:color="B4C6E7"/>
              <w:right w:val="single" w:sz="8" w:space="0" w:color="B4C6E7"/>
            </w:tcBorders>
            <w:shd w:val="clear" w:color="auto" w:fill="auto"/>
            <w:vAlign w:val="center"/>
            <w:hideMark/>
          </w:tcPr>
          <w:p w14:paraId="0FAD42D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30.3%</w:t>
            </w:r>
          </w:p>
        </w:tc>
      </w:tr>
    </w:tbl>
    <w:p w14:paraId="277C13AB" w14:textId="77777777" w:rsidR="00595339" w:rsidRDefault="00595339" w:rsidP="00595339">
      <w:pPr>
        <w:keepNext/>
        <w:keepLines/>
        <w:tabs>
          <w:tab w:val="left" w:pos="0"/>
        </w:tabs>
        <w:spacing w:before="120" w:after="0" w:line="276" w:lineRule="auto"/>
        <w:ind w:firstLine="0"/>
        <w:jc w:val="left"/>
        <w:rPr>
          <w:rFonts w:eastAsia="Times New Roman" w:cs="Times New Roman"/>
          <w:b/>
          <w:i/>
          <w:sz w:val="20"/>
          <w:szCs w:val="20"/>
        </w:rPr>
      </w:pPr>
    </w:p>
    <w:p w14:paraId="5E0B3CFE" w14:textId="77777777" w:rsidR="00595339" w:rsidRDefault="00595339" w:rsidP="00595339">
      <w:pPr>
        <w:keepNext/>
        <w:keepLines/>
        <w:tabs>
          <w:tab w:val="left" w:pos="0"/>
        </w:tabs>
        <w:spacing w:before="120" w:after="0" w:line="276" w:lineRule="auto"/>
        <w:ind w:firstLine="0"/>
        <w:jc w:val="left"/>
        <w:rPr>
          <w:rFonts w:eastAsia="Times New Roman" w:cs="Times New Roman"/>
          <w:lang w:val="hy-AM"/>
        </w:rPr>
      </w:pPr>
      <w:r w:rsidRPr="005E2F67">
        <w:rPr>
          <w:rFonts w:eastAsia="Times New Roman" w:cs="Times New Roman"/>
          <w:b/>
          <w:lang w:val="hy-AM"/>
        </w:rPr>
        <w:t xml:space="preserve">Աղյուսակ 2.6. </w:t>
      </w:r>
      <w:r w:rsidRPr="005E2F67">
        <w:rPr>
          <w:rFonts w:eastAsia="Times New Roman" w:cs="Times New Roman"/>
          <w:lang w:val="hy-AM"/>
        </w:rPr>
        <w:t xml:space="preserve">Պետական բյուջեի ընթացիկ ծախսերի կանխատեսումների համեմատական աղյուսակը, մլրդ </w:t>
      </w:r>
      <w:r>
        <w:rPr>
          <w:rFonts w:eastAsia="Times New Roman" w:cs="Times New Roman"/>
          <w:lang w:val="hy-AM"/>
        </w:rPr>
        <w:t>դրամ</w:t>
      </w:r>
    </w:p>
    <w:tbl>
      <w:tblPr>
        <w:tblW w:w="9830" w:type="dxa"/>
        <w:tblLook w:val="04A0" w:firstRow="1" w:lastRow="0" w:firstColumn="1" w:lastColumn="0" w:noHBand="0" w:noVBand="1"/>
      </w:tblPr>
      <w:tblGrid>
        <w:gridCol w:w="1359"/>
        <w:gridCol w:w="3188"/>
        <w:gridCol w:w="1069"/>
        <w:gridCol w:w="1069"/>
        <w:gridCol w:w="1069"/>
        <w:gridCol w:w="1069"/>
        <w:gridCol w:w="1069"/>
      </w:tblGrid>
      <w:tr w:rsidR="00595339" w:rsidRPr="00C37A67" w14:paraId="4D608A74" w14:textId="77777777" w:rsidTr="00595339">
        <w:trPr>
          <w:trHeight w:val="672"/>
        </w:trPr>
        <w:tc>
          <w:tcPr>
            <w:tcW w:w="1297"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702FCD1D"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Ընդունման տարին</w:t>
            </w:r>
          </w:p>
        </w:tc>
        <w:tc>
          <w:tcPr>
            <w:tcW w:w="3188" w:type="dxa"/>
            <w:tcBorders>
              <w:top w:val="single" w:sz="8" w:space="0" w:color="FFFFFF"/>
              <w:left w:val="nil"/>
              <w:bottom w:val="single" w:sz="8" w:space="0" w:color="FFFFFF"/>
              <w:right w:val="single" w:sz="8" w:space="0" w:color="FFFFFF"/>
            </w:tcBorders>
            <w:shd w:val="clear" w:color="000000" w:fill="8EA9DB"/>
            <w:noWrap/>
            <w:vAlign w:val="center"/>
            <w:hideMark/>
          </w:tcPr>
          <w:p w14:paraId="74DCC080"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Ծրագիր</w:t>
            </w:r>
          </w:p>
        </w:tc>
        <w:tc>
          <w:tcPr>
            <w:tcW w:w="1069" w:type="dxa"/>
            <w:tcBorders>
              <w:top w:val="single" w:sz="8" w:space="0" w:color="FFFFFF"/>
              <w:left w:val="nil"/>
              <w:bottom w:val="single" w:sz="8" w:space="0" w:color="FFFFFF"/>
              <w:right w:val="single" w:sz="8" w:space="0" w:color="FFFFFF"/>
            </w:tcBorders>
            <w:shd w:val="clear" w:color="000000" w:fill="8EA9DB"/>
            <w:noWrap/>
            <w:vAlign w:val="center"/>
            <w:hideMark/>
          </w:tcPr>
          <w:p w14:paraId="53D1EF27"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2023</w:t>
            </w:r>
          </w:p>
        </w:tc>
        <w:tc>
          <w:tcPr>
            <w:tcW w:w="1069" w:type="dxa"/>
            <w:tcBorders>
              <w:top w:val="single" w:sz="8" w:space="0" w:color="FFFFFF"/>
              <w:left w:val="nil"/>
              <w:bottom w:val="single" w:sz="8" w:space="0" w:color="FFFFFF"/>
              <w:right w:val="single" w:sz="8" w:space="0" w:color="FFFFFF"/>
            </w:tcBorders>
            <w:shd w:val="clear" w:color="000000" w:fill="8EA9DB"/>
            <w:noWrap/>
            <w:vAlign w:val="center"/>
            <w:hideMark/>
          </w:tcPr>
          <w:p w14:paraId="37D0805D"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2024</w:t>
            </w:r>
          </w:p>
        </w:tc>
        <w:tc>
          <w:tcPr>
            <w:tcW w:w="1069" w:type="dxa"/>
            <w:tcBorders>
              <w:top w:val="single" w:sz="8" w:space="0" w:color="FFFFFF"/>
              <w:left w:val="nil"/>
              <w:bottom w:val="single" w:sz="8" w:space="0" w:color="FFFFFF"/>
              <w:right w:val="single" w:sz="8" w:space="0" w:color="FFFFFF"/>
            </w:tcBorders>
            <w:shd w:val="clear" w:color="000000" w:fill="8EA9DB"/>
            <w:noWrap/>
            <w:vAlign w:val="center"/>
            <w:hideMark/>
          </w:tcPr>
          <w:p w14:paraId="54D9376A"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2025</w:t>
            </w:r>
          </w:p>
        </w:tc>
        <w:tc>
          <w:tcPr>
            <w:tcW w:w="1069" w:type="dxa"/>
            <w:tcBorders>
              <w:top w:val="single" w:sz="8" w:space="0" w:color="FFFFFF"/>
              <w:left w:val="nil"/>
              <w:bottom w:val="single" w:sz="8" w:space="0" w:color="FFFFFF"/>
              <w:right w:val="single" w:sz="8" w:space="0" w:color="FFFFFF"/>
            </w:tcBorders>
            <w:shd w:val="clear" w:color="000000" w:fill="8EA9DB"/>
            <w:noWrap/>
            <w:vAlign w:val="center"/>
            <w:hideMark/>
          </w:tcPr>
          <w:p w14:paraId="2C2FD039"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2026</w:t>
            </w:r>
          </w:p>
        </w:tc>
        <w:tc>
          <w:tcPr>
            <w:tcW w:w="1069" w:type="dxa"/>
            <w:tcBorders>
              <w:top w:val="single" w:sz="8" w:space="0" w:color="FFFFFF"/>
              <w:left w:val="nil"/>
              <w:bottom w:val="single" w:sz="8" w:space="0" w:color="FFFFFF"/>
              <w:right w:val="single" w:sz="8" w:space="0" w:color="FFFFFF"/>
            </w:tcBorders>
            <w:shd w:val="clear" w:color="000000" w:fill="8EA9DB"/>
            <w:noWrap/>
            <w:vAlign w:val="center"/>
            <w:hideMark/>
          </w:tcPr>
          <w:p w14:paraId="4153F811" w14:textId="77777777" w:rsidR="00595339" w:rsidRPr="00C37A67" w:rsidRDefault="00595339" w:rsidP="00644DF6">
            <w:pPr>
              <w:spacing w:before="0" w:after="0" w:line="240" w:lineRule="auto"/>
              <w:ind w:firstLine="0"/>
              <w:jc w:val="center"/>
              <w:rPr>
                <w:rFonts w:eastAsia="Times New Roman" w:cs="Calibri"/>
                <w:color w:val="FFFFFF"/>
              </w:rPr>
            </w:pPr>
            <w:r w:rsidRPr="00C37A67">
              <w:rPr>
                <w:rFonts w:eastAsia="Times New Roman" w:cs="Calibri"/>
                <w:color w:val="FFFFFF"/>
              </w:rPr>
              <w:t>2027</w:t>
            </w:r>
          </w:p>
        </w:tc>
      </w:tr>
      <w:tr w:rsidR="00595339" w:rsidRPr="00C37A67" w14:paraId="2A422623" w14:textId="77777777" w:rsidTr="00595339">
        <w:trPr>
          <w:trHeight w:val="343"/>
        </w:trPr>
        <w:tc>
          <w:tcPr>
            <w:tcW w:w="1297"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0BAC5BA9"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w:t>
            </w:r>
          </w:p>
        </w:tc>
        <w:tc>
          <w:tcPr>
            <w:tcW w:w="3188" w:type="dxa"/>
            <w:tcBorders>
              <w:top w:val="nil"/>
              <w:left w:val="nil"/>
              <w:bottom w:val="single" w:sz="8" w:space="0" w:color="B4C6E7"/>
              <w:right w:val="single" w:sz="8" w:space="0" w:color="B4C6E7"/>
            </w:tcBorders>
            <w:shd w:val="clear" w:color="auto" w:fill="auto"/>
            <w:noWrap/>
            <w:vAlign w:val="center"/>
            <w:hideMark/>
          </w:tcPr>
          <w:p w14:paraId="6E451BDD" w14:textId="77777777" w:rsidR="00595339" w:rsidRPr="00C37A67" w:rsidRDefault="00595339" w:rsidP="00644DF6">
            <w:pPr>
              <w:spacing w:before="0" w:after="0" w:line="240" w:lineRule="auto"/>
              <w:ind w:firstLine="0"/>
              <w:rPr>
                <w:rFonts w:eastAsia="Times New Roman" w:cs="Calibri"/>
                <w:color w:val="000000"/>
              </w:rPr>
            </w:pPr>
            <w:r w:rsidRPr="00C37A67">
              <w:rPr>
                <w:rFonts w:eastAsia="Times New Roman" w:cs="Calibri"/>
                <w:color w:val="000000"/>
              </w:rPr>
              <w:t>Փաստացի</w:t>
            </w:r>
          </w:p>
        </w:tc>
        <w:tc>
          <w:tcPr>
            <w:tcW w:w="1069" w:type="dxa"/>
            <w:tcBorders>
              <w:top w:val="nil"/>
              <w:left w:val="nil"/>
              <w:bottom w:val="single" w:sz="8" w:space="0" w:color="B4C6E7"/>
              <w:right w:val="single" w:sz="8" w:space="0" w:color="B4C6E7"/>
            </w:tcBorders>
            <w:shd w:val="clear" w:color="auto" w:fill="auto"/>
            <w:vAlign w:val="center"/>
            <w:hideMark/>
          </w:tcPr>
          <w:p w14:paraId="6C4AD356"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2,127.0</w:t>
            </w:r>
          </w:p>
        </w:tc>
        <w:tc>
          <w:tcPr>
            <w:tcW w:w="1069" w:type="dxa"/>
            <w:tcBorders>
              <w:top w:val="nil"/>
              <w:left w:val="nil"/>
              <w:bottom w:val="single" w:sz="8" w:space="0" w:color="B4C6E7"/>
              <w:right w:val="single" w:sz="8" w:space="0" w:color="B4C6E7"/>
            </w:tcBorders>
            <w:shd w:val="clear" w:color="auto" w:fill="auto"/>
            <w:noWrap/>
            <w:vAlign w:val="center"/>
            <w:hideMark/>
          </w:tcPr>
          <w:p w14:paraId="0D9A735F"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7948B0F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74BAE3E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40C6EB6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45E63228"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46BDE462"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noWrap/>
            <w:vAlign w:val="center"/>
            <w:hideMark/>
          </w:tcPr>
          <w:p w14:paraId="7DEF4B01"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601D698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22.38%</w:t>
            </w:r>
          </w:p>
        </w:tc>
        <w:tc>
          <w:tcPr>
            <w:tcW w:w="1069" w:type="dxa"/>
            <w:tcBorders>
              <w:top w:val="nil"/>
              <w:left w:val="nil"/>
              <w:bottom w:val="single" w:sz="8" w:space="0" w:color="B4C6E7"/>
              <w:right w:val="single" w:sz="8" w:space="0" w:color="B4C6E7"/>
            </w:tcBorders>
            <w:shd w:val="clear" w:color="auto" w:fill="auto"/>
            <w:noWrap/>
            <w:vAlign w:val="center"/>
            <w:hideMark/>
          </w:tcPr>
          <w:p w14:paraId="6366967E"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71A844E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5F691A2D"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5E1E27B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6D2E816C" w14:textId="77777777" w:rsidTr="00595339">
        <w:trPr>
          <w:trHeight w:val="343"/>
        </w:trPr>
        <w:tc>
          <w:tcPr>
            <w:tcW w:w="1297"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2B1EF57C"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2022</w:t>
            </w:r>
          </w:p>
        </w:tc>
        <w:tc>
          <w:tcPr>
            <w:tcW w:w="3188" w:type="dxa"/>
            <w:tcBorders>
              <w:top w:val="nil"/>
              <w:left w:val="nil"/>
              <w:bottom w:val="single" w:sz="8" w:space="0" w:color="B4C6E7"/>
              <w:right w:val="single" w:sz="8" w:space="0" w:color="B4C6E7"/>
            </w:tcBorders>
            <w:shd w:val="clear" w:color="auto" w:fill="auto"/>
            <w:noWrap/>
            <w:vAlign w:val="center"/>
            <w:hideMark/>
          </w:tcPr>
          <w:p w14:paraId="5DBC5E6D"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2023-2025</w:t>
            </w:r>
          </w:p>
        </w:tc>
        <w:tc>
          <w:tcPr>
            <w:tcW w:w="1069" w:type="dxa"/>
            <w:tcBorders>
              <w:top w:val="nil"/>
              <w:left w:val="nil"/>
              <w:bottom w:val="single" w:sz="8" w:space="0" w:color="B4C6E7"/>
              <w:right w:val="single" w:sz="8" w:space="0" w:color="B4C6E7"/>
            </w:tcBorders>
            <w:shd w:val="clear" w:color="auto" w:fill="auto"/>
            <w:vAlign w:val="center"/>
            <w:hideMark/>
          </w:tcPr>
          <w:p w14:paraId="1E7F6746"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2,082.6</w:t>
            </w:r>
          </w:p>
        </w:tc>
        <w:tc>
          <w:tcPr>
            <w:tcW w:w="1069" w:type="dxa"/>
            <w:tcBorders>
              <w:top w:val="nil"/>
              <w:left w:val="nil"/>
              <w:bottom w:val="single" w:sz="8" w:space="0" w:color="B4C6E7"/>
              <w:right w:val="single" w:sz="8" w:space="0" w:color="B4C6E7"/>
            </w:tcBorders>
            <w:shd w:val="clear" w:color="auto" w:fill="auto"/>
            <w:vAlign w:val="center"/>
            <w:hideMark/>
          </w:tcPr>
          <w:p w14:paraId="18A99C9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2,293.2</w:t>
            </w:r>
          </w:p>
        </w:tc>
        <w:tc>
          <w:tcPr>
            <w:tcW w:w="1069" w:type="dxa"/>
            <w:tcBorders>
              <w:top w:val="nil"/>
              <w:left w:val="nil"/>
              <w:bottom w:val="single" w:sz="8" w:space="0" w:color="B4C6E7"/>
              <w:right w:val="single" w:sz="8" w:space="0" w:color="B4C6E7"/>
            </w:tcBorders>
            <w:shd w:val="clear" w:color="auto" w:fill="auto"/>
            <w:vAlign w:val="center"/>
            <w:hideMark/>
          </w:tcPr>
          <w:p w14:paraId="3DE8C3C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2,512.2</w:t>
            </w:r>
          </w:p>
        </w:tc>
        <w:tc>
          <w:tcPr>
            <w:tcW w:w="1069" w:type="dxa"/>
            <w:tcBorders>
              <w:top w:val="nil"/>
              <w:left w:val="nil"/>
              <w:bottom w:val="single" w:sz="8" w:space="0" w:color="B4C6E7"/>
              <w:right w:val="single" w:sz="8" w:space="0" w:color="B4C6E7"/>
            </w:tcBorders>
            <w:shd w:val="clear" w:color="auto" w:fill="auto"/>
            <w:noWrap/>
            <w:vAlign w:val="center"/>
            <w:hideMark/>
          </w:tcPr>
          <w:p w14:paraId="25ABF70C"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513158F5"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295146A4"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2C2804F2"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vAlign w:val="center"/>
            <w:hideMark/>
          </w:tcPr>
          <w:p w14:paraId="1652835F"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7686839D"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22.97%</w:t>
            </w:r>
          </w:p>
        </w:tc>
        <w:tc>
          <w:tcPr>
            <w:tcW w:w="1069" w:type="dxa"/>
            <w:tcBorders>
              <w:top w:val="nil"/>
              <w:left w:val="nil"/>
              <w:bottom w:val="single" w:sz="8" w:space="0" w:color="B4C6E7"/>
              <w:right w:val="single" w:sz="8" w:space="0" w:color="B4C6E7"/>
            </w:tcBorders>
            <w:shd w:val="clear" w:color="auto" w:fill="auto"/>
            <w:vAlign w:val="center"/>
            <w:hideMark/>
          </w:tcPr>
          <w:p w14:paraId="21740F67"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22.71%</w:t>
            </w:r>
          </w:p>
        </w:tc>
        <w:tc>
          <w:tcPr>
            <w:tcW w:w="1069" w:type="dxa"/>
            <w:tcBorders>
              <w:top w:val="nil"/>
              <w:left w:val="nil"/>
              <w:bottom w:val="single" w:sz="8" w:space="0" w:color="B4C6E7"/>
              <w:right w:val="single" w:sz="8" w:space="0" w:color="B4C6E7"/>
            </w:tcBorders>
            <w:shd w:val="clear" w:color="auto" w:fill="auto"/>
            <w:vAlign w:val="center"/>
            <w:hideMark/>
          </w:tcPr>
          <w:p w14:paraId="7C7FB583"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22.35%</w:t>
            </w:r>
          </w:p>
        </w:tc>
        <w:tc>
          <w:tcPr>
            <w:tcW w:w="1069" w:type="dxa"/>
            <w:tcBorders>
              <w:top w:val="nil"/>
              <w:left w:val="nil"/>
              <w:bottom w:val="single" w:sz="8" w:space="0" w:color="B4C6E7"/>
              <w:right w:val="single" w:sz="8" w:space="0" w:color="B4C6E7"/>
            </w:tcBorders>
            <w:shd w:val="clear" w:color="auto" w:fill="auto"/>
            <w:noWrap/>
            <w:vAlign w:val="center"/>
            <w:hideMark/>
          </w:tcPr>
          <w:p w14:paraId="4A634D4A"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5E98DC88"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0924B857"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2E0FD75F"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noWrap/>
            <w:vAlign w:val="center"/>
            <w:hideMark/>
          </w:tcPr>
          <w:p w14:paraId="30C63087"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2023թ. Պետական բյուջե</w:t>
            </w:r>
          </w:p>
        </w:tc>
        <w:tc>
          <w:tcPr>
            <w:tcW w:w="1069" w:type="dxa"/>
            <w:tcBorders>
              <w:top w:val="nil"/>
              <w:left w:val="nil"/>
              <w:bottom w:val="single" w:sz="8" w:space="0" w:color="B4C6E7"/>
              <w:right w:val="single" w:sz="8" w:space="0" w:color="B4C6E7"/>
            </w:tcBorders>
            <w:shd w:val="clear" w:color="auto" w:fill="auto"/>
            <w:vAlign w:val="center"/>
            <w:hideMark/>
          </w:tcPr>
          <w:p w14:paraId="3E407CC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2,095.2</w:t>
            </w:r>
          </w:p>
        </w:tc>
        <w:tc>
          <w:tcPr>
            <w:tcW w:w="1069" w:type="dxa"/>
            <w:tcBorders>
              <w:top w:val="nil"/>
              <w:left w:val="nil"/>
              <w:bottom w:val="single" w:sz="8" w:space="0" w:color="B4C6E7"/>
              <w:right w:val="single" w:sz="8" w:space="0" w:color="B4C6E7"/>
            </w:tcBorders>
            <w:shd w:val="clear" w:color="auto" w:fill="auto"/>
            <w:vAlign w:val="center"/>
            <w:hideMark/>
          </w:tcPr>
          <w:p w14:paraId="4B0031BE"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6181102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2F548E1E"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59DCDD5A"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10B33A8F"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60C091A2"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vAlign w:val="center"/>
            <w:hideMark/>
          </w:tcPr>
          <w:p w14:paraId="569FDE40"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4E1E1464"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22.48%</w:t>
            </w:r>
          </w:p>
        </w:tc>
        <w:tc>
          <w:tcPr>
            <w:tcW w:w="1069" w:type="dxa"/>
            <w:tcBorders>
              <w:top w:val="nil"/>
              <w:left w:val="nil"/>
              <w:bottom w:val="single" w:sz="8" w:space="0" w:color="B4C6E7"/>
              <w:right w:val="single" w:sz="8" w:space="0" w:color="B4C6E7"/>
            </w:tcBorders>
            <w:shd w:val="clear" w:color="auto" w:fill="auto"/>
            <w:vAlign w:val="center"/>
            <w:hideMark/>
          </w:tcPr>
          <w:p w14:paraId="730123AE"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0DC2C4DF"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04075FD4"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29F4001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0DDCAA34" w14:textId="77777777" w:rsidTr="00595339">
        <w:trPr>
          <w:trHeight w:val="343"/>
        </w:trPr>
        <w:tc>
          <w:tcPr>
            <w:tcW w:w="1297"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46DA4422"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2023</w:t>
            </w:r>
          </w:p>
        </w:tc>
        <w:tc>
          <w:tcPr>
            <w:tcW w:w="3188" w:type="dxa"/>
            <w:tcBorders>
              <w:top w:val="nil"/>
              <w:left w:val="nil"/>
              <w:bottom w:val="single" w:sz="8" w:space="0" w:color="B4C6E7"/>
              <w:right w:val="single" w:sz="8" w:space="0" w:color="B4C6E7"/>
            </w:tcBorders>
            <w:shd w:val="clear" w:color="auto" w:fill="auto"/>
            <w:noWrap/>
            <w:vAlign w:val="center"/>
            <w:hideMark/>
          </w:tcPr>
          <w:p w14:paraId="3E74B16E"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 xml:space="preserve"> ՄԺԾԾ 2024-2026</w:t>
            </w:r>
          </w:p>
        </w:tc>
        <w:tc>
          <w:tcPr>
            <w:tcW w:w="1069" w:type="dxa"/>
            <w:tcBorders>
              <w:top w:val="nil"/>
              <w:left w:val="nil"/>
              <w:bottom w:val="single" w:sz="8" w:space="0" w:color="B4C6E7"/>
              <w:right w:val="single" w:sz="8" w:space="0" w:color="B4C6E7"/>
            </w:tcBorders>
            <w:shd w:val="clear" w:color="auto" w:fill="auto"/>
            <w:vAlign w:val="center"/>
            <w:hideMark/>
          </w:tcPr>
          <w:p w14:paraId="1DC7A41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2,095.3</w:t>
            </w:r>
          </w:p>
        </w:tc>
        <w:tc>
          <w:tcPr>
            <w:tcW w:w="1069" w:type="dxa"/>
            <w:tcBorders>
              <w:top w:val="nil"/>
              <w:left w:val="nil"/>
              <w:bottom w:val="single" w:sz="8" w:space="0" w:color="B4C6E7"/>
              <w:right w:val="single" w:sz="8" w:space="0" w:color="B4C6E7"/>
            </w:tcBorders>
            <w:shd w:val="clear" w:color="auto" w:fill="auto"/>
            <w:vAlign w:val="center"/>
            <w:hideMark/>
          </w:tcPr>
          <w:p w14:paraId="0EEE41F3"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2,308.3</w:t>
            </w:r>
          </w:p>
        </w:tc>
        <w:tc>
          <w:tcPr>
            <w:tcW w:w="1069" w:type="dxa"/>
            <w:tcBorders>
              <w:top w:val="nil"/>
              <w:left w:val="nil"/>
              <w:bottom w:val="single" w:sz="8" w:space="0" w:color="B4C6E7"/>
              <w:right w:val="single" w:sz="8" w:space="0" w:color="B4C6E7"/>
            </w:tcBorders>
            <w:shd w:val="clear" w:color="auto" w:fill="auto"/>
            <w:vAlign w:val="center"/>
            <w:hideMark/>
          </w:tcPr>
          <w:p w14:paraId="6564C0F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2,537.2</w:t>
            </w:r>
          </w:p>
        </w:tc>
        <w:tc>
          <w:tcPr>
            <w:tcW w:w="1069" w:type="dxa"/>
            <w:tcBorders>
              <w:top w:val="nil"/>
              <w:left w:val="nil"/>
              <w:bottom w:val="single" w:sz="8" w:space="0" w:color="B4C6E7"/>
              <w:right w:val="single" w:sz="8" w:space="0" w:color="B4C6E7"/>
            </w:tcBorders>
            <w:shd w:val="clear" w:color="auto" w:fill="auto"/>
            <w:vAlign w:val="center"/>
            <w:hideMark/>
          </w:tcPr>
          <w:p w14:paraId="654BE50D"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2,839.1</w:t>
            </w:r>
          </w:p>
        </w:tc>
        <w:tc>
          <w:tcPr>
            <w:tcW w:w="1069" w:type="dxa"/>
            <w:tcBorders>
              <w:top w:val="nil"/>
              <w:left w:val="nil"/>
              <w:bottom w:val="single" w:sz="8" w:space="0" w:color="B4C6E7"/>
              <w:right w:val="single" w:sz="8" w:space="0" w:color="B4C6E7"/>
            </w:tcBorders>
            <w:shd w:val="clear" w:color="auto" w:fill="auto"/>
            <w:vAlign w:val="center"/>
            <w:hideMark/>
          </w:tcPr>
          <w:p w14:paraId="2B9F0056"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31423194"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657A40E4"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vAlign w:val="center"/>
            <w:hideMark/>
          </w:tcPr>
          <w:p w14:paraId="1E1846EB"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246561EA"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21.98%</w:t>
            </w:r>
          </w:p>
        </w:tc>
        <w:tc>
          <w:tcPr>
            <w:tcW w:w="1069" w:type="dxa"/>
            <w:tcBorders>
              <w:top w:val="nil"/>
              <w:left w:val="nil"/>
              <w:bottom w:val="single" w:sz="8" w:space="0" w:color="B4C6E7"/>
              <w:right w:val="single" w:sz="8" w:space="0" w:color="B4C6E7"/>
            </w:tcBorders>
            <w:shd w:val="clear" w:color="auto" w:fill="auto"/>
            <w:vAlign w:val="center"/>
            <w:hideMark/>
          </w:tcPr>
          <w:p w14:paraId="606A1ED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21.76%</w:t>
            </w:r>
          </w:p>
        </w:tc>
        <w:tc>
          <w:tcPr>
            <w:tcW w:w="1069" w:type="dxa"/>
            <w:tcBorders>
              <w:top w:val="nil"/>
              <w:left w:val="nil"/>
              <w:bottom w:val="single" w:sz="8" w:space="0" w:color="B4C6E7"/>
              <w:right w:val="single" w:sz="8" w:space="0" w:color="B4C6E7"/>
            </w:tcBorders>
            <w:shd w:val="clear" w:color="auto" w:fill="auto"/>
            <w:vAlign w:val="center"/>
            <w:hideMark/>
          </w:tcPr>
          <w:p w14:paraId="622E9105"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21.49%</w:t>
            </w:r>
          </w:p>
        </w:tc>
        <w:tc>
          <w:tcPr>
            <w:tcW w:w="1069" w:type="dxa"/>
            <w:tcBorders>
              <w:top w:val="nil"/>
              <w:left w:val="nil"/>
              <w:bottom w:val="single" w:sz="8" w:space="0" w:color="B4C6E7"/>
              <w:right w:val="single" w:sz="8" w:space="0" w:color="B4C6E7"/>
            </w:tcBorders>
            <w:shd w:val="clear" w:color="auto" w:fill="auto"/>
            <w:vAlign w:val="center"/>
            <w:hideMark/>
          </w:tcPr>
          <w:p w14:paraId="2F7E6860"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21.61%</w:t>
            </w:r>
          </w:p>
        </w:tc>
        <w:tc>
          <w:tcPr>
            <w:tcW w:w="1069" w:type="dxa"/>
            <w:tcBorders>
              <w:top w:val="nil"/>
              <w:left w:val="nil"/>
              <w:bottom w:val="single" w:sz="8" w:space="0" w:color="B4C6E7"/>
              <w:right w:val="single" w:sz="8" w:space="0" w:color="B4C6E7"/>
            </w:tcBorders>
            <w:shd w:val="clear" w:color="auto" w:fill="auto"/>
            <w:vAlign w:val="center"/>
            <w:hideMark/>
          </w:tcPr>
          <w:p w14:paraId="1F76F282"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r>
      <w:tr w:rsidR="00595339" w:rsidRPr="00C37A67" w14:paraId="66F32EF0"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5374D820"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noWrap/>
            <w:vAlign w:val="center"/>
            <w:hideMark/>
          </w:tcPr>
          <w:p w14:paraId="449429E7" w14:textId="77777777" w:rsidR="00595339" w:rsidRPr="00C37A67" w:rsidRDefault="00595339" w:rsidP="00644DF6">
            <w:pPr>
              <w:spacing w:before="0" w:after="0" w:line="240" w:lineRule="auto"/>
              <w:ind w:firstLine="0"/>
              <w:jc w:val="left"/>
              <w:rPr>
                <w:rFonts w:eastAsia="Times New Roman" w:cs="Calibri"/>
                <w:color w:val="000000"/>
              </w:rPr>
            </w:pPr>
            <w:r w:rsidRPr="00C37A67">
              <w:rPr>
                <w:rFonts w:eastAsia="Times New Roman" w:cs="Calibri"/>
                <w:color w:val="000000"/>
              </w:rPr>
              <w:t>2024թ. Պետական բյուջե</w:t>
            </w:r>
          </w:p>
        </w:tc>
        <w:tc>
          <w:tcPr>
            <w:tcW w:w="1069" w:type="dxa"/>
            <w:tcBorders>
              <w:top w:val="nil"/>
              <w:left w:val="nil"/>
              <w:bottom w:val="single" w:sz="8" w:space="0" w:color="B4C6E7"/>
              <w:right w:val="single" w:sz="8" w:space="0" w:color="B4C6E7"/>
            </w:tcBorders>
            <w:shd w:val="clear" w:color="auto" w:fill="auto"/>
            <w:vAlign w:val="center"/>
            <w:hideMark/>
          </w:tcPr>
          <w:p w14:paraId="03185A7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2,091.3</w:t>
            </w:r>
          </w:p>
        </w:tc>
        <w:tc>
          <w:tcPr>
            <w:tcW w:w="1069" w:type="dxa"/>
            <w:tcBorders>
              <w:top w:val="nil"/>
              <w:left w:val="nil"/>
              <w:bottom w:val="single" w:sz="8" w:space="0" w:color="B4C6E7"/>
              <w:right w:val="single" w:sz="8" w:space="0" w:color="B4C6E7"/>
            </w:tcBorders>
            <w:shd w:val="clear" w:color="auto" w:fill="auto"/>
            <w:vAlign w:val="center"/>
            <w:hideMark/>
          </w:tcPr>
          <w:p w14:paraId="58523428"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2,450.7</w:t>
            </w:r>
          </w:p>
        </w:tc>
        <w:tc>
          <w:tcPr>
            <w:tcW w:w="1069" w:type="dxa"/>
            <w:tcBorders>
              <w:top w:val="nil"/>
              <w:left w:val="nil"/>
              <w:bottom w:val="single" w:sz="8" w:space="0" w:color="B4C6E7"/>
              <w:right w:val="single" w:sz="8" w:space="0" w:color="B4C6E7"/>
            </w:tcBorders>
            <w:shd w:val="clear" w:color="auto" w:fill="auto"/>
            <w:vAlign w:val="center"/>
            <w:hideMark/>
          </w:tcPr>
          <w:p w14:paraId="64A7C896"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13C6FC1C"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53C27AF0"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ascii="Calibri" w:eastAsia="Times New Roman" w:hAnsi="Calibri" w:cs="Calibri"/>
                <w:color w:val="000000"/>
              </w:rPr>
              <w:t> </w:t>
            </w:r>
          </w:p>
        </w:tc>
      </w:tr>
      <w:tr w:rsidR="00595339" w:rsidRPr="00C37A67" w14:paraId="0144450E" w14:textId="77777777" w:rsidTr="00595339">
        <w:trPr>
          <w:trHeight w:val="343"/>
        </w:trPr>
        <w:tc>
          <w:tcPr>
            <w:tcW w:w="1297" w:type="dxa"/>
            <w:vMerge/>
            <w:tcBorders>
              <w:top w:val="nil"/>
              <w:left w:val="single" w:sz="8" w:space="0" w:color="B4C6E7"/>
              <w:bottom w:val="single" w:sz="8" w:space="0" w:color="B4C6E7"/>
              <w:right w:val="single" w:sz="8" w:space="0" w:color="B4C6E7"/>
            </w:tcBorders>
            <w:vAlign w:val="center"/>
            <w:hideMark/>
          </w:tcPr>
          <w:p w14:paraId="1A5CA0A8"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vAlign w:val="center"/>
            <w:hideMark/>
          </w:tcPr>
          <w:p w14:paraId="6E8BFCFC"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0B7532F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22.13%</w:t>
            </w:r>
          </w:p>
        </w:tc>
        <w:tc>
          <w:tcPr>
            <w:tcW w:w="1069" w:type="dxa"/>
            <w:tcBorders>
              <w:top w:val="nil"/>
              <w:left w:val="nil"/>
              <w:bottom w:val="single" w:sz="8" w:space="0" w:color="B4C6E7"/>
              <w:right w:val="single" w:sz="8" w:space="0" w:color="B4C6E7"/>
            </w:tcBorders>
            <w:shd w:val="clear" w:color="auto" w:fill="auto"/>
            <w:vAlign w:val="center"/>
            <w:hideMark/>
          </w:tcPr>
          <w:p w14:paraId="2A317C29"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23.3%</w:t>
            </w:r>
          </w:p>
        </w:tc>
        <w:tc>
          <w:tcPr>
            <w:tcW w:w="1069" w:type="dxa"/>
            <w:tcBorders>
              <w:top w:val="nil"/>
              <w:left w:val="nil"/>
              <w:bottom w:val="single" w:sz="8" w:space="0" w:color="B4C6E7"/>
              <w:right w:val="single" w:sz="8" w:space="0" w:color="B4C6E7"/>
            </w:tcBorders>
            <w:shd w:val="clear" w:color="auto" w:fill="auto"/>
            <w:vAlign w:val="center"/>
            <w:hideMark/>
          </w:tcPr>
          <w:p w14:paraId="4774F47B"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noWrap/>
            <w:vAlign w:val="center"/>
            <w:hideMark/>
          </w:tcPr>
          <w:p w14:paraId="6CD3E660"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1839ECF6"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ascii="Calibri" w:eastAsia="Times New Roman" w:hAnsi="Calibri" w:cs="Calibri"/>
                <w:i/>
                <w:iCs/>
                <w:color w:val="000000"/>
              </w:rPr>
              <w:t> </w:t>
            </w:r>
          </w:p>
        </w:tc>
      </w:tr>
      <w:tr w:rsidR="00595339" w:rsidRPr="00C37A67" w14:paraId="70620173" w14:textId="77777777" w:rsidTr="00595339">
        <w:trPr>
          <w:trHeight w:val="343"/>
        </w:trPr>
        <w:tc>
          <w:tcPr>
            <w:tcW w:w="1297"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3319D997" w14:textId="77777777" w:rsidR="00595339" w:rsidRPr="00C37A67" w:rsidRDefault="00595339" w:rsidP="00644DF6">
            <w:pPr>
              <w:spacing w:before="0" w:after="0" w:line="240" w:lineRule="auto"/>
              <w:ind w:firstLine="0"/>
              <w:jc w:val="center"/>
              <w:rPr>
                <w:rFonts w:eastAsia="Times New Roman" w:cs="Calibri"/>
                <w:color w:val="000000"/>
              </w:rPr>
            </w:pPr>
            <w:r w:rsidRPr="00C37A67">
              <w:rPr>
                <w:rFonts w:eastAsia="Times New Roman" w:cs="Calibri"/>
                <w:color w:val="000000"/>
              </w:rPr>
              <w:t>2024</w:t>
            </w:r>
          </w:p>
        </w:tc>
        <w:tc>
          <w:tcPr>
            <w:tcW w:w="3188" w:type="dxa"/>
            <w:tcBorders>
              <w:top w:val="nil"/>
              <w:left w:val="nil"/>
              <w:bottom w:val="single" w:sz="8" w:space="0" w:color="B4C6E7"/>
              <w:right w:val="single" w:sz="8" w:space="0" w:color="B4C6E7"/>
            </w:tcBorders>
            <w:shd w:val="clear" w:color="auto" w:fill="auto"/>
            <w:noWrap/>
            <w:vAlign w:val="center"/>
            <w:hideMark/>
          </w:tcPr>
          <w:p w14:paraId="01BD55D8" w14:textId="77777777" w:rsidR="00595339" w:rsidRPr="00C37A67" w:rsidRDefault="00595339" w:rsidP="00644DF6">
            <w:pPr>
              <w:spacing w:before="0" w:after="0" w:line="240" w:lineRule="auto"/>
              <w:ind w:firstLine="0"/>
              <w:jc w:val="left"/>
              <w:rPr>
                <w:rFonts w:eastAsia="Times New Roman" w:cs="Calibri"/>
                <w:color w:val="000000"/>
              </w:rPr>
            </w:pPr>
            <w:r w:rsidRPr="001E29E5">
              <w:rPr>
                <w:rFonts w:eastAsia="Times New Roman" w:cs="Times New Roman"/>
                <w:color w:val="000000"/>
              </w:rPr>
              <w:t>ՄԺԾԾ 2025-2027</w:t>
            </w:r>
          </w:p>
        </w:tc>
        <w:tc>
          <w:tcPr>
            <w:tcW w:w="1069" w:type="dxa"/>
            <w:tcBorders>
              <w:top w:val="nil"/>
              <w:left w:val="nil"/>
              <w:bottom w:val="single" w:sz="8" w:space="0" w:color="B4C6E7"/>
              <w:right w:val="single" w:sz="8" w:space="0" w:color="B4C6E7"/>
            </w:tcBorders>
            <w:shd w:val="clear" w:color="auto" w:fill="auto"/>
            <w:vAlign w:val="center"/>
            <w:hideMark/>
          </w:tcPr>
          <w:p w14:paraId="5792F23B" w14:textId="77777777" w:rsidR="00595339" w:rsidRPr="00C37A67" w:rsidRDefault="00595339" w:rsidP="00644DF6">
            <w:pPr>
              <w:spacing w:before="0" w:after="0" w:line="240" w:lineRule="auto"/>
              <w:ind w:firstLine="0"/>
              <w:jc w:val="right"/>
              <w:rPr>
                <w:rFonts w:ascii="Calibri" w:eastAsia="Times New Roman" w:hAnsi="Calibri" w:cs="Calibri"/>
                <w:color w:val="000000"/>
              </w:rPr>
            </w:pPr>
            <w:r w:rsidRPr="00C37A67">
              <w:rPr>
                <w:rFonts w:ascii="Calibri" w:eastAsia="Times New Roman" w:hAnsi="Calibri" w:cs="Calibri"/>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3B63B0D1"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2,451.2</w:t>
            </w:r>
          </w:p>
        </w:tc>
        <w:tc>
          <w:tcPr>
            <w:tcW w:w="1069" w:type="dxa"/>
            <w:tcBorders>
              <w:top w:val="nil"/>
              <w:left w:val="nil"/>
              <w:bottom w:val="single" w:sz="8" w:space="0" w:color="B4C6E7"/>
              <w:right w:val="single" w:sz="8" w:space="0" w:color="B4C6E7"/>
            </w:tcBorders>
            <w:shd w:val="clear" w:color="auto" w:fill="auto"/>
            <w:vAlign w:val="center"/>
            <w:hideMark/>
          </w:tcPr>
          <w:p w14:paraId="7A831FE2"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2,728.5</w:t>
            </w:r>
          </w:p>
        </w:tc>
        <w:tc>
          <w:tcPr>
            <w:tcW w:w="1069" w:type="dxa"/>
            <w:tcBorders>
              <w:top w:val="nil"/>
              <w:left w:val="nil"/>
              <w:bottom w:val="single" w:sz="8" w:space="0" w:color="B4C6E7"/>
              <w:right w:val="single" w:sz="8" w:space="0" w:color="B4C6E7"/>
            </w:tcBorders>
            <w:shd w:val="clear" w:color="auto" w:fill="auto"/>
            <w:vAlign w:val="center"/>
            <w:hideMark/>
          </w:tcPr>
          <w:p w14:paraId="136B18C4"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2,938.2</w:t>
            </w:r>
          </w:p>
        </w:tc>
        <w:tc>
          <w:tcPr>
            <w:tcW w:w="1069" w:type="dxa"/>
            <w:tcBorders>
              <w:top w:val="nil"/>
              <w:left w:val="nil"/>
              <w:bottom w:val="single" w:sz="8" w:space="0" w:color="B4C6E7"/>
              <w:right w:val="single" w:sz="8" w:space="0" w:color="B4C6E7"/>
            </w:tcBorders>
            <w:shd w:val="clear" w:color="auto" w:fill="auto"/>
            <w:vAlign w:val="center"/>
            <w:hideMark/>
          </w:tcPr>
          <w:p w14:paraId="0EA1CDD4" w14:textId="77777777" w:rsidR="00595339" w:rsidRPr="00C37A67" w:rsidRDefault="00595339" w:rsidP="00644DF6">
            <w:pPr>
              <w:spacing w:before="0" w:after="0" w:line="240" w:lineRule="auto"/>
              <w:ind w:firstLine="0"/>
              <w:jc w:val="right"/>
              <w:rPr>
                <w:rFonts w:eastAsia="Times New Roman" w:cs="Calibri"/>
                <w:color w:val="000000"/>
              </w:rPr>
            </w:pPr>
            <w:r w:rsidRPr="00C37A67">
              <w:rPr>
                <w:rFonts w:eastAsia="Times New Roman" w:cs="Calibri"/>
                <w:color w:val="000000"/>
              </w:rPr>
              <w:t>3,228.1</w:t>
            </w:r>
          </w:p>
        </w:tc>
      </w:tr>
      <w:tr w:rsidR="00595339" w:rsidRPr="00C37A67" w14:paraId="6D40948E" w14:textId="77777777" w:rsidTr="00595339">
        <w:trPr>
          <w:trHeight w:val="343"/>
        </w:trPr>
        <w:tc>
          <w:tcPr>
            <w:tcW w:w="1297" w:type="dxa"/>
            <w:vMerge/>
            <w:tcBorders>
              <w:top w:val="single" w:sz="8" w:space="0" w:color="FFFFFF"/>
              <w:left w:val="single" w:sz="8" w:space="0" w:color="B4C6E7"/>
              <w:bottom w:val="single" w:sz="8" w:space="0" w:color="B4C6E7"/>
              <w:right w:val="single" w:sz="8" w:space="0" w:color="B4C6E7"/>
            </w:tcBorders>
            <w:vAlign w:val="center"/>
            <w:hideMark/>
          </w:tcPr>
          <w:p w14:paraId="7ADE84E5" w14:textId="77777777" w:rsidR="00595339" w:rsidRPr="00C37A67" w:rsidRDefault="00595339" w:rsidP="00644DF6">
            <w:pPr>
              <w:spacing w:before="0" w:after="0" w:line="240" w:lineRule="auto"/>
              <w:ind w:firstLine="0"/>
              <w:jc w:val="left"/>
              <w:rPr>
                <w:rFonts w:eastAsia="Times New Roman" w:cs="Calibri"/>
                <w:color w:val="000000"/>
              </w:rPr>
            </w:pPr>
          </w:p>
        </w:tc>
        <w:tc>
          <w:tcPr>
            <w:tcW w:w="3188" w:type="dxa"/>
            <w:tcBorders>
              <w:top w:val="nil"/>
              <w:left w:val="nil"/>
              <w:bottom w:val="single" w:sz="8" w:space="0" w:color="B4C6E7"/>
              <w:right w:val="single" w:sz="8" w:space="0" w:color="B4C6E7"/>
            </w:tcBorders>
            <w:shd w:val="clear" w:color="auto" w:fill="auto"/>
            <w:vAlign w:val="center"/>
            <w:hideMark/>
          </w:tcPr>
          <w:p w14:paraId="459D4997" w14:textId="77777777" w:rsidR="00595339" w:rsidRPr="00C37A67" w:rsidRDefault="00595339" w:rsidP="00644DF6">
            <w:pPr>
              <w:spacing w:before="0" w:after="0" w:line="240" w:lineRule="auto"/>
              <w:ind w:firstLine="0"/>
              <w:jc w:val="left"/>
              <w:rPr>
                <w:rFonts w:eastAsia="Times New Roman" w:cs="Calibri"/>
                <w:i/>
                <w:iCs/>
                <w:color w:val="000000"/>
              </w:rPr>
            </w:pPr>
            <w:r w:rsidRPr="00C37A67">
              <w:rPr>
                <w:rFonts w:eastAsia="Times New Roman" w:cs="Calibri"/>
                <w:i/>
                <w:iCs/>
                <w:color w:val="000000"/>
              </w:rPr>
              <w:t>%-ով՝ ՀՆԱ-ի նկատմամբ</w:t>
            </w:r>
          </w:p>
        </w:tc>
        <w:tc>
          <w:tcPr>
            <w:tcW w:w="1069" w:type="dxa"/>
            <w:tcBorders>
              <w:top w:val="nil"/>
              <w:left w:val="nil"/>
              <w:bottom w:val="single" w:sz="8" w:space="0" w:color="B4C6E7"/>
              <w:right w:val="single" w:sz="8" w:space="0" w:color="B4C6E7"/>
            </w:tcBorders>
            <w:shd w:val="clear" w:color="auto" w:fill="auto"/>
            <w:vAlign w:val="center"/>
            <w:hideMark/>
          </w:tcPr>
          <w:p w14:paraId="3E1CFE32" w14:textId="77777777" w:rsidR="00595339" w:rsidRPr="00C37A67" w:rsidRDefault="00595339" w:rsidP="00644DF6">
            <w:pPr>
              <w:spacing w:before="0" w:after="0" w:line="240" w:lineRule="auto"/>
              <w:ind w:firstLine="0"/>
              <w:jc w:val="right"/>
              <w:rPr>
                <w:rFonts w:ascii="Calibri" w:eastAsia="Times New Roman" w:hAnsi="Calibri" w:cs="Calibri"/>
                <w:i/>
                <w:iCs/>
                <w:color w:val="000000"/>
              </w:rPr>
            </w:pPr>
            <w:r w:rsidRPr="00C37A67">
              <w:rPr>
                <w:rFonts w:ascii="Calibri" w:eastAsia="Times New Roman" w:hAnsi="Calibri" w:cs="Calibri"/>
                <w:i/>
                <w:iCs/>
                <w:color w:val="000000"/>
              </w:rPr>
              <w:t> </w:t>
            </w:r>
          </w:p>
        </w:tc>
        <w:tc>
          <w:tcPr>
            <w:tcW w:w="1069" w:type="dxa"/>
            <w:tcBorders>
              <w:top w:val="nil"/>
              <w:left w:val="nil"/>
              <w:bottom w:val="single" w:sz="8" w:space="0" w:color="B4C6E7"/>
              <w:right w:val="single" w:sz="8" w:space="0" w:color="B4C6E7"/>
            </w:tcBorders>
            <w:shd w:val="clear" w:color="auto" w:fill="auto"/>
            <w:vAlign w:val="center"/>
            <w:hideMark/>
          </w:tcPr>
          <w:p w14:paraId="7950A3EB"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23.95%</w:t>
            </w:r>
          </w:p>
        </w:tc>
        <w:tc>
          <w:tcPr>
            <w:tcW w:w="1069" w:type="dxa"/>
            <w:tcBorders>
              <w:top w:val="nil"/>
              <w:left w:val="nil"/>
              <w:bottom w:val="single" w:sz="8" w:space="0" w:color="B4C6E7"/>
              <w:right w:val="single" w:sz="8" w:space="0" w:color="B4C6E7"/>
            </w:tcBorders>
            <w:shd w:val="clear" w:color="auto" w:fill="auto"/>
            <w:vAlign w:val="center"/>
            <w:hideMark/>
          </w:tcPr>
          <w:p w14:paraId="25AD73D2"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24.37%</w:t>
            </w:r>
          </w:p>
        </w:tc>
        <w:tc>
          <w:tcPr>
            <w:tcW w:w="1069" w:type="dxa"/>
            <w:tcBorders>
              <w:top w:val="nil"/>
              <w:left w:val="nil"/>
              <w:bottom w:val="single" w:sz="8" w:space="0" w:color="B4C6E7"/>
              <w:right w:val="single" w:sz="8" w:space="0" w:color="B4C6E7"/>
            </w:tcBorders>
            <w:shd w:val="clear" w:color="auto" w:fill="auto"/>
            <w:vAlign w:val="center"/>
            <w:hideMark/>
          </w:tcPr>
          <w:p w14:paraId="0A41061A"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23.87%</w:t>
            </w:r>
          </w:p>
        </w:tc>
        <w:tc>
          <w:tcPr>
            <w:tcW w:w="1069" w:type="dxa"/>
            <w:tcBorders>
              <w:top w:val="nil"/>
              <w:left w:val="nil"/>
              <w:bottom w:val="single" w:sz="8" w:space="0" w:color="B4C6E7"/>
              <w:right w:val="single" w:sz="8" w:space="0" w:color="B4C6E7"/>
            </w:tcBorders>
            <w:shd w:val="clear" w:color="auto" w:fill="auto"/>
            <w:vAlign w:val="center"/>
            <w:hideMark/>
          </w:tcPr>
          <w:p w14:paraId="7B93B981" w14:textId="77777777" w:rsidR="00595339" w:rsidRPr="00C37A67" w:rsidRDefault="00595339" w:rsidP="00644DF6">
            <w:pPr>
              <w:spacing w:before="0" w:after="0" w:line="240" w:lineRule="auto"/>
              <w:ind w:firstLine="0"/>
              <w:jc w:val="right"/>
              <w:rPr>
                <w:rFonts w:eastAsia="Times New Roman" w:cs="Calibri"/>
                <w:i/>
                <w:iCs/>
                <w:color w:val="000000"/>
              </w:rPr>
            </w:pPr>
            <w:r w:rsidRPr="00C37A67">
              <w:rPr>
                <w:rFonts w:eastAsia="Times New Roman" w:cs="Calibri"/>
                <w:i/>
                <w:iCs/>
                <w:color w:val="000000"/>
              </w:rPr>
              <w:t>23.90%</w:t>
            </w:r>
          </w:p>
        </w:tc>
      </w:tr>
    </w:tbl>
    <w:p w14:paraId="618FEDD1" w14:textId="77777777" w:rsidR="00595339" w:rsidRPr="0080682B" w:rsidRDefault="00595339" w:rsidP="00595339">
      <w:pPr>
        <w:keepNext/>
        <w:keepLines/>
        <w:tabs>
          <w:tab w:val="left" w:pos="0"/>
        </w:tabs>
        <w:spacing w:before="120" w:after="0" w:line="276" w:lineRule="auto"/>
        <w:ind w:firstLine="0"/>
        <w:jc w:val="left"/>
        <w:rPr>
          <w:rFonts w:eastAsia="Times New Roman" w:cs="Times New Roman"/>
          <w:b/>
          <w:i/>
          <w:lang w:val="hy-AM"/>
        </w:rPr>
      </w:pPr>
    </w:p>
    <w:p w14:paraId="69A349DC" w14:textId="77777777" w:rsidR="00595339" w:rsidRPr="005E2F67" w:rsidRDefault="00595339" w:rsidP="00595339">
      <w:pPr>
        <w:keepNext/>
        <w:keepLines/>
        <w:tabs>
          <w:tab w:val="left" w:pos="0"/>
        </w:tabs>
        <w:spacing w:before="120" w:after="0" w:line="276" w:lineRule="auto"/>
        <w:ind w:firstLine="0"/>
        <w:jc w:val="left"/>
        <w:rPr>
          <w:rFonts w:eastAsia="Times New Roman" w:cs="Times New Roman"/>
          <w:lang w:val="hy-AM"/>
        </w:rPr>
      </w:pPr>
      <w:r w:rsidRPr="005E2F67">
        <w:rPr>
          <w:rFonts w:eastAsia="Times New Roman" w:cs="Times New Roman"/>
          <w:b/>
          <w:lang w:val="hy-AM"/>
        </w:rPr>
        <w:t xml:space="preserve">Աղյուսակ 2.7. </w:t>
      </w:r>
      <w:r w:rsidRPr="005E2F67">
        <w:rPr>
          <w:rFonts w:eastAsia="Times New Roman" w:cs="Times New Roman"/>
          <w:lang w:val="hy-AM"/>
        </w:rPr>
        <w:t>Պետական բյուջեի ոչ ֆինանսական ակտիվների գծով զուտ ծախսերի կանխատե</w:t>
      </w:r>
      <w:r>
        <w:rPr>
          <w:rFonts w:eastAsia="Times New Roman" w:cs="Times New Roman"/>
          <w:lang w:val="hy-AM"/>
        </w:rPr>
        <w:t>սումների համեմատական աղյուսակը, մլրդ դրամ</w:t>
      </w:r>
    </w:p>
    <w:tbl>
      <w:tblPr>
        <w:tblW w:w="9943" w:type="dxa"/>
        <w:tblLook w:val="04A0" w:firstRow="1" w:lastRow="0" w:firstColumn="1" w:lastColumn="0" w:noHBand="0" w:noVBand="1"/>
      </w:tblPr>
      <w:tblGrid>
        <w:gridCol w:w="1359"/>
        <w:gridCol w:w="3226"/>
        <w:gridCol w:w="1081"/>
        <w:gridCol w:w="1081"/>
        <w:gridCol w:w="1081"/>
        <w:gridCol w:w="1081"/>
        <w:gridCol w:w="1081"/>
      </w:tblGrid>
      <w:tr w:rsidR="00595339" w:rsidRPr="001E29E5" w14:paraId="3C8F6DF1" w14:textId="77777777" w:rsidTr="00B0598B">
        <w:trPr>
          <w:trHeight w:val="664"/>
        </w:trPr>
        <w:tc>
          <w:tcPr>
            <w:tcW w:w="1312"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38555C15"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Ընդունման տարին</w:t>
            </w:r>
          </w:p>
        </w:tc>
        <w:tc>
          <w:tcPr>
            <w:tcW w:w="3226" w:type="dxa"/>
            <w:tcBorders>
              <w:top w:val="single" w:sz="8" w:space="0" w:color="FFFFFF"/>
              <w:left w:val="nil"/>
              <w:bottom w:val="single" w:sz="8" w:space="0" w:color="FFFFFF"/>
              <w:right w:val="single" w:sz="8" w:space="0" w:color="FFFFFF"/>
            </w:tcBorders>
            <w:shd w:val="clear" w:color="000000" w:fill="8EA9DB"/>
            <w:noWrap/>
            <w:vAlign w:val="center"/>
            <w:hideMark/>
          </w:tcPr>
          <w:p w14:paraId="3DBA5F54"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Ծրագիր</w:t>
            </w:r>
          </w:p>
        </w:tc>
        <w:tc>
          <w:tcPr>
            <w:tcW w:w="1081" w:type="dxa"/>
            <w:tcBorders>
              <w:top w:val="single" w:sz="8" w:space="0" w:color="FFFFFF"/>
              <w:left w:val="nil"/>
              <w:bottom w:val="single" w:sz="8" w:space="0" w:color="FFFFFF"/>
              <w:right w:val="single" w:sz="8" w:space="0" w:color="FFFFFF"/>
            </w:tcBorders>
            <w:shd w:val="clear" w:color="000000" w:fill="8EA9DB"/>
            <w:noWrap/>
            <w:vAlign w:val="center"/>
            <w:hideMark/>
          </w:tcPr>
          <w:p w14:paraId="31E80138"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2023</w:t>
            </w:r>
          </w:p>
        </w:tc>
        <w:tc>
          <w:tcPr>
            <w:tcW w:w="1081" w:type="dxa"/>
            <w:tcBorders>
              <w:top w:val="single" w:sz="8" w:space="0" w:color="FFFFFF"/>
              <w:left w:val="nil"/>
              <w:bottom w:val="single" w:sz="8" w:space="0" w:color="FFFFFF"/>
              <w:right w:val="single" w:sz="8" w:space="0" w:color="FFFFFF"/>
            </w:tcBorders>
            <w:shd w:val="clear" w:color="000000" w:fill="8EA9DB"/>
            <w:noWrap/>
            <w:vAlign w:val="center"/>
            <w:hideMark/>
          </w:tcPr>
          <w:p w14:paraId="2C8383CF"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2024</w:t>
            </w:r>
          </w:p>
        </w:tc>
        <w:tc>
          <w:tcPr>
            <w:tcW w:w="1081" w:type="dxa"/>
            <w:tcBorders>
              <w:top w:val="single" w:sz="8" w:space="0" w:color="FFFFFF"/>
              <w:left w:val="nil"/>
              <w:bottom w:val="single" w:sz="8" w:space="0" w:color="FFFFFF"/>
              <w:right w:val="single" w:sz="8" w:space="0" w:color="FFFFFF"/>
            </w:tcBorders>
            <w:shd w:val="clear" w:color="000000" w:fill="8EA9DB"/>
            <w:noWrap/>
            <w:vAlign w:val="center"/>
            <w:hideMark/>
          </w:tcPr>
          <w:p w14:paraId="4C645418"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2025</w:t>
            </w:r>
          </w:p>
        </w:tc>
        <w:tc>
          <w:tcPr>
            <w:tcW w:w="1081" w:type="dxa"/>
            <w:tcBorders>
              <w:top w:val="single" w:sz="8" w:space="0" w:color="FFFFFF"/>
              <w:left w:val="nil"/>
              <w:bottom w:val="single" w:sz="8" w:space="0" w:color="FFFFFF"/>
              <w:right w:val="single" w:sz="8" w:space="0" w:color="FFFFFF"/>
            </w:tcBorders>
            <w:shd w:val="clear" w:color="000000" w:fill="8EA9DB"/>
            <w:noWrap/>
            <w:vAlign w:val="center"/>
            <w:hideMark/>
          </w:tcPr>
          <w:p w14:paraId="3FFB09E4"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2026</w:t>
            </w:r>
          </w:p>
        </w:tc>
        <w:tc>
          <w:tcPr>
            <w:tcW w:w="1081" w:type="dxa"/>
            <w:tcBorders>
              <w:top w:val="single" w:sz="8" w:space="0" w:color="FFFFFF"/>
              <w:left w:val="nil"/>
              <w:bottom w:val="single" w:sz="8" w:space="0" w:color="FFFFFF"/>
              <w:right w:val="single" w:sz="8" w:space="0" w:color="FFFFFF"/>
            </w:tcBorders>
            <w:shd w:val="clear" w:color="000000" w:fill="8EA9DB"/>
            <w:noWrap/>
            <w:vAlign w:val="center"/>
            <w:hideMark/>
          </w:tcPr>
          <w:p w14:paraId="1CB73C42" w14:textId="77777777" w:rsidR="00595339" w:rsidRPr="001E29E5" w:rsidRDefault="00595339" w:rsidP="00644DF6">
            <w:pPr>
              <w:spacing w:before="0" w:after="0" w:line="240" w:lineRule="auto"/>
              <w:ind w:firstLine="0"/>
              <w:jc w:val="center"/>
              <w:rPr>
                <w:rFonts w:eastAsia="Times New Roman" w:cs="Times New Roman"/>
                <w:color w:val="FFFFFF"/>
              </w:rPr>
            </w:pPr>
            <w:r w:rsidRPr="001E29E5">
              <w:rPr>
                <w:rFonts w:eastAsia="Times New Roman" w:cs="Times New Roman"/>
                <w:color w:val="FFFFFF"/>
              </w:rPr>
              <w:t>2027</w:t>
            </w:r>
          </w:p>
        </w:tc>
      </w:tr>
      <w:tr w:rsidR="00595339" w:rsidRPr="001E29E5" w14:paraId="4ED0AFDB" w14:textId="77777777" w:rsidTr="00B0598B">
        <w:trPr>
          <w:trHeight w:val="339"/>
        </w:trPr>
        <w:tc>
          <w:tcPr>
            <w:tcW w:w="131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57998B4" w14:textId="77777777" w:rsidR="00595339" w:rsidRPr="001E29E5" w:rsidRDefault="00595339" w:rsidP="00644DF6">
            <w:pPr>
              <w:spacing w:before="0" w:after="0" w:line="240" w:lineRule="auto"/>
              <w:ind w:firstLine="0"/>
              <w:jc w:val="center"/>
              <w:rPr>
                <w:rFonts w:eastAsia="Times New Roman" w:cs="Times New Roman"/>
                <w:color w:val="000000"/>
              </w:rPr>
            </w:pPr>
            <w:r w:rsidRPr="001E29E5">
              <w:rPr>
                <w:rFonts w:eastAsia="Times New Roman" w:cs="Times New Roman"/>
                <w:color w:val="000000"/>
              </w:rPr>
              <w:t>-</w:t>
            </w:r>
          </w:p>
        </w:tc>
        <w:tc>
          <w:tcPr>
            <w:tcW w:w="3226" w:type="dxa"/>
            <w:tcBorders>
              <w:top w:val="nil"/>
              <w:left w:val="nil"/>
              <w:bottom w:val="single" w:sz="8" w:space="0" w:color="B4C6E7"/>
              <w:right w:val="single" w:sz="8" w:space="0" w:color="B4C6E7"/>
            </w:tcBorders>
            <w:shd w:val="clear" w:color="auto" w:fill="auto"/>
            <w:noWrap/>
            <w:vAlign w:val="center"/>
            <w:hideMark/>
          </w:tcPr>
          <w:p w14:paraId="04E42FA6" w14:textId="77777777" w:rsidR="00595339" w:rsidRPr="001E29E5" w:rsidRDefault="00595339" w:rsidP="00644DF6">
            <w:pPr>
              <w:spacing w:before="0" w:after="0" w:line="240" w:lineRule="auto"/>
              <w:ind w:firstLine="0"/>
              <w:rPr>
                <w:rFonts w:eastAsia="Times New Roman" w:cs="Times New Roman"/>
                <w:color w:val="000000"/>
              </w:rPr>
            </w:pPr>
            <w:r w:rsidRPr="001E29E5">
              <w:rPr>
                <w:rFonts w:eastAsia="Times New Roman" w:cs="Times New Roman"/>
                <w:color w:val="000000"/>
              </w:rPr>
              <w:t>Փաստացի</w:t>
            </w:r>
          </w:p>
        </w:tc>
        <w:tc>
          <w:tcPr>
            <w:tcW w:w="1081" w:type="dxa"/>
            <w:tcBorders>
              <w:top w:val="nil"/>
              <w:left w:val="nil"/>
              <w:bottom w:val="single" w:sz="8" w:space="0" w:color="B4C6E7"/>
              <w:right w:val="single" w:sz="8" w:space="0" w:color="B4C6E7"/>
            </w:tcBorders>
            <w:shd w:val="clear" w:color="auto" w:fill="auto"/>
            <w:vAlign w:val="center"/>
            <w:hideMark/>
          </w:tcPr>
          <w:p w14:paraId="4104A941"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472.6</w:t>
            </w:r>
          </w:p>
        </w:tc>
        <w:tc>
          <w:tcPr>
            <w:tcW w:w="1081" w:type="dxa"/>
            <w:tcBorders>
              <w:top w:val="nil"/>
              <w:left w:val="nil"/>
              <w:bottom w:val="single" w:sz="8" w:space="0" w:color="B4C6E7"/>
              <w:right w:val="single" w:sz="8" w:space="0" w:color="B4C6E7"/>
            </w:tcBorders>
            <w:shd w:val="clear" w:color="auto" w:fill="auto"/>
            <w:noWrap/>
            <w:vAlign w:val="center"/>
            <w:hideMark/>
          </w:tcPr>
          <w:p w14:paraId="6ADDF40F"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5FE8CE4C"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013F145A"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6BFC72E5"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r>
      <w:tr w:rsidR="00595339" w:rsidRPr="001E29E5" w14:paraId="49264D29"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36F742E5"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noWrap/>
            <w:vAlign w:val="center"/>
            <w:hideMark/>
          </w:tcPr>
          <w:p w14:paraId="46CE18F8"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6BA0AA66"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4.97%</w:t>
            </w:r>
          </w:p>
        </w:tc>
        <w:tc>
          <w:tcPr>
            <w:tcW w:w="1081" w:type="dxa"/>
            <w:tcBorders>
              <w:top w:val="nil"/>
              <w:left w:val="nil"/>
              <w:bottom w:val="single" w:sz="8" w:space="0" w:color="B4C6E7"/>
              <w:right w:val="single" w:sz="8" w:space="0" w:color="B4C6E7"/>
            </w:tcBorders>
            <w:shd w:val="clear" w:color="auto" w:fill="auto"/>
            <w:noWrap/>
            <w:vAlign w:val="center"/>
            <w:hideMark/>
          </w:tcPr>
          <w:p w14:paraId="0DB5EFC3"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17BBC41D"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195F4FD3"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78860979"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r>
      <w:tr w:rsidR="00595339" w:rsidRPr="001E29E5" w14:paraId="2491C171" w14:textId="77777777" w:rsidTr="00B0598B">
        <w:trPr>
          <w:trHeight w:val="339"/>
        </w:trPr>
        <w:tc>
          <w:tcPr>
            <w:tcW w:w="131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D6AEE71" w14:textId="77777777" w:rsidR="00595339" w:rsidRPr="001E29E5" w:rsidRDefault="00595339" w:rsidP="00644DF6">
            <w:pPr>
              <w:spacing w:before="0" w:after="0" w:line="240" w:lineRule="auto"/>
              <w:ind w:firstLine="0"/>
              <w:jc w:val="center"/>
              <w:rPr>
                <w:rFonts w:eastAsia="Times New Roman" w:cs="Times New Roman"/>
                <w:color w:val="000000"/>
              </w:rPr>
            </w:pPr>
            <w:r w:rsidRPr="001E29E5">
              <w:rPr>
                <w:rFonts w:eastAsia="Times New Roman" w:cs="Times New Roman"/>
                <w:color w:val="000000"/>
              </w:rPr>
              <w:t>2022</w:t>
            </w:r>
          </w:p>
        </w:tc>
        <w:tc>
          <w:tcPr>
            <w:tcW w:w="3226" w:type="dxa"/>
            <w:tcBorders>
              <w:top w:val="nil"/>
              <w:left w:val="nil"/>
              <w:bottom w:val="single" w:sz="8" w:space="0" w:color="B4C6E7"/>
              <w:right w:val="single" w:sz="8" w:space="0" w:color="B4C6E7"/>
            </w:tcBorders>
            <w:shd w:val="clear" w:color="auto" w:fill="auto"/>
            <w:noWrap/>
            <w:vAlign w:val="center"/>
            <w:hideMark/>
          </w:tcPr>
          <w:p w14:paraId="6A4A4901" w14:textId="77777777" w:rsidR="00595339" w:rsidRPr="001E29E5" w:rsidRDefault="00595339" w:rsidP="00644DF6">
            <w:pPr>
              <w:spacing w:before="0" w:after="0" w:line="240" w:lineRule="auto"/>
              <w:ind w:firstLine="0"/>
              <w:jc w:val="left"/>
              <w:rPr>
                <w:rFonts w:eastAsia="Times New Roman" w:cs="Times New Roman"/>
                <w:color w:val="000000"/>
              </w:rPr>
            </w:pPr>
            <w:r w:rsidRPr="001E29E5">
              <w:rPr>
                <w:rFonts w:eastAsia="Times New Roman" w:cs="Times New Roman"/>
                <w:color w:val="000000"/>
              </w:rPr>
              <w:t xml:space="preserve"> ՄԺԾԾ 2023-2025</w:t>
            </w:r>
          </w:p>
        </w:tc>
        <w:tc>
          <w:tcPr>
            <w:tcW w:w="1081" w:type="dxa"/>
            <w:tcBorders>
              <w:top w:val="nil"/>
              <w:left w:val="nil"/>
              <w:bottom w:val="single" w:sz="8" w:space="0" w:color="B4C6E7"/>
              <w:right w:val="single" w:sz="8" w:space="0" w:color="B4C6E7"/>
            </w:tcBorders>
            <w:shd w:val="clear" w:color="auto" w:fill="auto"/>
            <w:vAlign w:val="center"/>
            <w:hideMark/>
          </w:tcPr>
          <w:p w14:paraId="3EDF910B"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515.3</w:t>
            </w:r>
          </w:p>
        </w:tc>
        <w:tc>
          <w:tcPr>
            <w:tcW w:w="1081" w:type="dxa"/>
            <w:tcBorders>
              <w:top w:val="nil"/>
              <w:left w:val="nil"/>
              <w:bottom w:val="single" w:sz="8" w:space="0" w:color="B4C6E7"/>
              <w:right w:val="single" w:sz="8" w:space="0" w:color="B4C6E7"/>
            </w:tcBorders>
            <w:shd w:val="clear" w:color="auto" w:fill="auto"/>
            <w:vAlign w:val="center"/>
            <w:hideMark/>
          </w:tcPr>
          <w:p w14:paraId="21CC1922"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589.7</w:t>
            </w:r>
          </w:p>
        </w:tc>
        <w:tc>
          <w:tcPr>
            <w:tcW w:w="1081" w:type="dxa"/>
            <w:tcBorders>
              <w:top w:val="nil"/>
              <w:left w:val="nil"/>
              <w:bottom w:val="single" w:sz="8" w:space="0" w:color="B4C6E7"/>
              <w:right w:val="single" w:sz="8" w:space="0" w:color="B4C6E7"/>
            </w:tcBorders>
            <w:shd w:val="clear" w:color="auto" w:fill="auto"/>
            <w:vAlign w:val="center"/>
            <w:hideMark/>
          </w:tcPr>
          <w:p w14:paraId="2DECE16E"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710.8</w:t>
            </w:r>
          </w:p>
        </w:tc>
        <w:tc>
          <w:tcPr>
            <w:tcW w:w="1081" w:type="dxa"/>
            <w:tcBorders>
              <w:top w:val="nil"/>
              <w:left w:val="nil"/>
              <w:bottom w:val="single" w:sz="8" w:space="0" w:color="B4C6E7"/>
              <w:right w:val="single" w:sz="8" w:space="0" w:color="B4C6E7"/>
            </w:tcBorders>
            <w:shd w:val="clear" w:color="auto" w:fill="auto"/>
            <w:noWrap/>
            <w:vAlign w:val="center"/>
            <w:hideMark/>
          </w:tcPr>
          <w:p w14:paraId="7390F5A6"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1B2CE674"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r>
      <w:tr w:rsidR="00595339" w:rsidRPr="001E29E5" w14:paraId="340B3E54"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06B6C29A"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vAlign w:val="center"/>
            <w:hideMark/>
          </w:tcPr>
          <w:p w14:paraId="2C544A6A"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38B78E63"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5.70%</w:t>
            </w:r>
          </w:p>
        </w:tc>
        <w:tc>
          <w:tcPr>
            <w:tcW w:w="1081" w:type="dxa"/>
            <w:tcBorders>
              <w:top w:val="nil"/>
              <w:left w:val="nil"/>
              <w:bottom w:val="single" w:sz="8" w:space="0" w:color="B4C6E7"/>
              <w:right w:val="single" w:sz="8" w:space="0" w:color="B4C6E7"/>
            </w:tcBorders>
            <w:shd w:val="clear" w:color="auto" w:fill="auto"/>
            <w:vAlign w:val="center"/>
            <w:hideMark/>
          </w:tcPr>
          <w:p w14:paraId="74DE498C"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5.80%</w:t>
            </w:r>
          </w:p>
        </w:tc>
        <w:tc>
          <w:tcPr>
            <w:tcW w:w="1081" w:type="dxa"/>
            <w:tcBorders>
              <w:top w:val="nil"/>
              <w:left w:val="nil"/>
              <w:bottom w:val="single" w:sz="8" w:space="0" w:color="B4C6E7"/>
              <w:right w:val="single" w:sz="8" w:space="0" w:color="B4C6E7"/>
            </w:tcBorders>
            <w:shd w:val="clear" w:color="auto" w:fill="auto"/>
            <w:vAlign w:val="center"/>
            <w:hideMark/>
          </w:tcPr>
          <w:p w14:paraId="0EB87B0B"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6.30%</w:t>
            </w:r>
          </w:p>
        </w:tc>
        <w:tc>
          <w:tcPr>
            <w:tcW w:w="1081" w:type="dxa"/>
            <w:tcBorders>
              <w:top w:val="nil"/>
              <w:left w:val="nil"/>
              <w:bottom w:val="single" w:sz="8" w:space="0" w:color="B4C6E7"/>
              <w:right w:val="single" w:sz="8" w:space="0" w:color="B4C6E7"/>
            </w:tcBorders>
            <w:shd w:val="clear" w:color="auto" w:fill="auto"/>
            <w:noWrap/>
            <w:vAlign w:val="center"/>
            <w:hideMark/>
          </w:tcPr>
          <w:p w14:paraId="56552026" w14:textId="77777777" w:rsidR="00595339" w:rsidRPr="001E29E5" w:rsidRDefault="00595339" w:rsidP="00644DF6">
            <w:pPr>
              <w:spacing w:before="0" w:after="0" w:line="240" w:lineRule="auto"/>
              <w:ind w:firstLine="0"/>
              <w:jc w:val="right"/>
              <w:rPr>
                <w:rFonts w:ascii="Calibri" w:eastAsia="Times New Roman" w:hAnsi="Calibri" w:cs="Times New Roman"/>
                <w:i/>
                <w:iCs/>
                <w:color w:val="000000"/>
              </w:rPr>
            </w:pPr>
            <w:r w:rsidRPr="001E29E5">
              <w:rPr>
                <w:rFonts w:ascii="Calibri" w:eastAsia="Times New Roman" w:hAnsi="Calibri" w:cs="Times New Roman"/>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1ABF32C4"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r>
      <w:tr w:rsidR="00595339" w:rsidRPr="001E29E5" w14:paraId="66CB5D46"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2E62EE0A"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noWrap/>
            <w:vAlign w:val="center"/>
            <w:hideMark/>
          </w:tcPr>
          <w:p w14:paraId="2452C116" w14:textId="77777777" w:rsidR="00595339" w:rsidRPr="001E29E5" w:rsidRDefault="00595339" w:rsidP="00644DF6">
            <w:pPr>
              <w:spacing w:before="0" w:after="0" w:line="240" w:lineRule="auto"/>
              <w:ind w:firstLine="0"/>
              <w:jc w:val="left"/>
              <w:rPr>
                <w:rFonts w:eastAsia="Times New Roman" w:cs="Times New Roman"/>
                <w:color w:val="000000"/>
              </w:rPr>
            </w:pPr>
            <w:r w:rsidRPr="001E29E5">
              <w:rPr>
                <w:rFonts w:eastAsia="Times New Roman" w:cs="Times New Roman"/>
                <w:color w:val="000000"/>
              </w:rPr>
              <w:t>2023թ. Պետական բյուջե</w:t>
            </w:r>
          </w:p>
        </w:tc>
        <w:tc>
          <w:tcPr>
            <w:tcW w:w="1081" w:type="dxa"/>
            <w:tcBorders>
              <w:top w:val="nil"/>
              <w:left w:val="nil"/>
              <w:bottom w:val="single" w:sz="8" w:space="0" w:color="B4C6E7"/>
              <w:right w:val="single" w:sz="8" w:space="0" w:color="B4C6E7"/>
            </w:tcBorders>
            <w:shd w:val="clear" w:color="auto" w:fill="auto"/>
            <w:vAlign w:val="center"/>
            <w:hideMark/>
          </w:tcPr>
          <w:p w14:paraId="15C63F76"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547.7</w:t>
            </w:r>
          </w:p>
        </w:tc>
        <w:tc>
          <w:tcPr>
            <w:tcW w:w="1081" w:type="dxa"/>
            <w:tcBorders>
              <w:top w:val="nil"/>
              <w:left w:val="nil"/>
              <w:bottom w:val="single" w:sz="8" w:space="0" w:color="B4C6E7"/>
              <w:right w:val="single" w:sz="8" w:space="0" w:color="B4C6E7"/>
            </w:tcBorders>
            <w:shd w:val="clear" w:color="auto" w:fill="auto"/>
            <w:vAlign w:val="center"/>
            <w:hideMark/>
          </w:tcPr>
          <w:p w14:paraId="717D5CDE"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7160AA08"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2467D8A3"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3EEEB610"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r>
      <w:tr w:rsidR="00595339" w:rsidRPr="001E29E5" w14:paraId="677A7F5A"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22C641FD"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vAlign w:val="center"/>
            <w:hideMark/>
          </w:tcPr>
          <w:p w14:paraId="2ADE4E8B"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2D77F6D9"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5.88%</w:t>
            </w:r>
          </w:p>
        </w:tc>
        <w:tc>
          <w:tcPr>
            <w:tcW w:w="1081" w:type="dxa"/>
            <w:tcBorders>
              <w:top w:val="nil"/>
              <w:left w:val="nil"/>
              <w:bottom w:val="single" w:sz="8" w:space="0" w:color="B4C6E7"/>
              <w:right w:val="single" w:sz="8" w:space="0" w:color="B4C6E7"/>
            </w:tcBorders>
            <w:shd w:val="clear" w:color="auto" w:fill="auto"/>
            <w:vAlign w:val="center"/>
            <w:hideMark/>
          </w:tcPr>
          <w:p w14:paraId="6E45C031"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04EAFE15"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46221CDB"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25B9E45D"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r>
      <w:tr w:rsidR="00595339" w:rsidRPr="001E29E5" w14:paraId="0DB91383" w14:textId="77777777" w:rsidTr="00B0598B">
        <w:trPr>
          <w:trHeight w:val="339"/>
        </w:trPr>
        <w:tc>
          <w:tcPr>
            <w:tcW w:w="131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174890B" w14:textId="77777777" w:rsidR="00595339" w:rsidRPr="001E29E5" w:rsidRDefault="00595339" w:rsidP="00644DF6">
            <w:pPr>
              <w:spacing w:before="0" w:after="0" w:line="240" w:lineRule="auto"/>
              <w:ind w:firstLine="0"/>
              <w:jc w:val="center"/>
              <w:rPr>
                <w:rFonts w:eastAsia="Times New Roman" w:cs="Times New Roman"/>
                <w:color w:val="000000"/>
              </w:rPr>
            </w:pPr>
            <w:r w:rsidRPr="001E29E5">
              <w:rPr>
                <w:rFonts w:eastAsia="Times New Roman" w:cs="Times New Roman"/>
                <w:color w:val="000000"/>
              </w:rPr>
              <w:t>2023</w:t>
            </w:r>
          </w:p>
        </w:tc>
        <w:tc>
          <w:tcPr>
            <w:tcW w:w="3226" w:type="dxa"/>
            <w:tcBorders>
              <w:top w:val="nil"/>
              <w:left w:val="nil"/>
              <w:bottom w:val="single" w:sz="8" w:space="0" w:color="B4C6E7"/>
              <w:right w:val="single" w:sz="8" w:space="0" w:color="B4C6E7"/>
            </w:tcBorders>
            <w:shd w:val="clear" w:color="auto" w:fill="auto"/>
            <w:noWrap/>
            <w:vAlign w:val="center"/>
            <w:hideMark/>
          </w:tcPr>
          <w:p w14:paraId="4EBA53AC" w14:textId="77777777" w:rsidR="00595339" w:rsidRPr="001E29E5" w:rsidRDefault="00595339" w:rsidP="00644DF6">
            <w:pPr>
              <w:spacing w:before="0" w:after="0" w:line="240" w:lineRule="auto"/>
              <w:ind w:firstLine="0"/>
              <w:jc w:val="left"/>
              <w:rPr>
                <w:rFonts w:eastAsia="Times New Roman" w:cs="Times New Roman"/>
                <w:color w:val="000000"/>
              </w:rPr>
            </w:pPr>
            <w:r w:rsidRPr="001E29E5">
              <w:rPr>
                <w:rFonts w:eastAsia="Times New Roman" w:cs="Times New Roman"/>
                <w:color w:val="000000"/>
              </w:rPr>
              <w:t xml:space="preserve"> ՄԺԾԾ 2024-2026</w:t>
            </w:r>
          </w:p>
        </w:tc>
        <w:tc>
          <w:tcPr>
            <w:tcW w:w="1081" w:type="dxa"/>
            <w:tcBorders>
              <w:top w:val="nil"/>
              <w:left w:val="nil"/>
              <w:bottom w:val="single" w:sz="8" w:space="0" w:color="B4C6E7"/>
              <w:right w:val="single" w:sz="8" w:space="0" w:color="B4C6E7"/>
            </w:tcBorders>
            <w:shd w:val="clear" w:color="auto" w:fill="auto"/>
            <w:vAlign w:val="center"/>
            <w:hideMark/>
          </w:tcPr>
          <w:p w14:paraId="5D28BDCE"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564.3</w:t>
            </w:r>
          </w:p>
        </w:tc>
        <w:tc>
          <w:tcPr>
            <w:tcW w:w="1081" w:type="dxa"/>
            <w:tcBorders>
              <w:top w:val="nil"/>
              <w:left w:val="nil"/>
              <w:bottom w:val="single" w:sz="8" w:space="0" w:color="B4C6E7"/>
              <w:right w:val="single" w:sz="8" w:space="0" w:color="B4C6E7"/>
            </w:tcBorders>
            <w:shd w:val="clear" w:color="auto" w:fill="auto"/>
            <w:vAlign w:val="center"/>
            <w:hideMark/>
          </w:tcPr>
          <w:p w14:paraId="7F067D3F"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665.3</w:t>
            </w:r>
          </w:p>
        </w:tc>
        <w:tc>
          <w:tcPr>
            <w:tcW w:w="1081" w:type="dxa"/>
            <w:tcBorders>
              <w:top w:val="nil"/>
              <w:left w:val="nil"/>
              <w:bottom w:val="single" w:sz="8" w:space="0" w:color="B4C6E7"/>
              <w:right w:val="single" w:sz="8" w:space="0" w:color="B4C6E7"/>
            </w:tcBorders>
            <w:shd w:val="clear" w:color="auto" w:fill="auto"/>
            <w:vAlign w:val="center"/>
            <w:hideMark/>
          </w:tcPr>
          <w:p w14:paraId="36FFCBEE"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768.9</w:t>
            </w:r>
          </w:p>
        </w:tc>
        <w:tc>
          <w:tcPr>
            <w:tcW w:w="1081" w:type="dxa"/>
            <w:tcBorders>
              <w:top w:val="nil"/>
              <w:left w:val="nil"/>
              <w:bottom w:val="single" w:sz="8" w:space="0" w:color="B4C6E7"/>
              <w:right w:val="single" w:sz="8" w:space="0" w:color="B4C6E7"/>
            </w:tcBorders>
            <w:shd w:val="clear" w:color="auto" w:fill="auto"/>
            <w:vAlign w:val="center"/>
            <w:hideMark/>
          </w:tcPr>
          <w:p w14:paraId="0E3F2EA0"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862.9</w:t>
            </w:r>
          </w:p>
        </w:tc>
        <w:tc>
          <w:tcPr>
            <w:tcW w:w="1081" w:type="dxa"/>
            <w:tcBorders>
              <w:top w:val="nil"/>
              <w:left w:val="nil"/>
              <w:bottom w:val="single" w:sz="8" w:space="0" w:color="B4C6E7"/>
              <w:right w:val="single" w:sz="8" w:space="0" w:color="B4C6E7"/>
            </w:tcBorders>
            <w:shd w:val="clear" w:color="auto" w:fill="auto"/>
            <w:vAlign w:val="center"/>
            <w:hideMark/>
          </w:tcPr>
          <w:p w14:paraId="28EC5657"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r>
      <w:tr w:rsidR="00595339" w:rsidRPr="001E29E5" w14:paraId="7ED406B8"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102E3C25"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vAlign w:val="center"/>
            <w:hideMark/>
          </w:tcPr>
          <w:p w14:paraId="58C609B8"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406FAD1D"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5.9%</w:t>
            </w:r>
          </w:p>
        </w:tc>
        <w:tc>
          <w:tcPr>
            <w:tcW w:w="1081" w:type="dxa"/>
            <w:tcBorders>
              <w:top w:val="nil"/>
              <w:left w:val="nil"/>
              <w:bottom w:val="single" w:sz="8" w:space="0" w:color="B4C6E7"/>
              <w:right w:val="single" w:sz="8" w:space="0" w:color="B4C6E7"/>
            </w:tcBorders>
            <w:shd w:val="clear" w:color="auto" w:fill="auto"/>
            <w:vAlign w:val="center"/>
            <w:hideMark/>
          </w:tcPr>
          <w:p w14:paraId="17510023"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6.3%</w:t>
            </w:r>
          </w:p>
        </w:tc>
        <w:tc>
          <w:tcPr>
            <w:tcW w:w="1081" w:type="dxa"/>
            <w:tcBorders>
              <w:top w:val="nil"/>
              <w:left w:val="nil"/>
              <w:bottom w:val="single" w:sz="8" w:space="0" w:color="B4C6E7"/>
              <w:right w:val="single" w:sz="8" w:space="0" w:color="B4C6E7"/>
            </w:tcBorders>
            <w:shd w:val="clear" w:color="auto" w:fill="auto"/>
            <w:vAlign w:val="center"/>
            <w:hideMark/>
          </w:tcPr>
          <w:p w14:paraId="197F06F3"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6.5%</w:t>
            </w:r>
          </w:p>
        </w:tc>
        <w:tc>
          <w:tcPr>
            <w:tcW w:w="1081" w:type="dxa"/>
            <w:tcBorders>
              <w:top w:val="nil"/>
              <w:left w:val="nil"/>
              <w:bottom w:val="single" w:sz="8" w:space="0" w:color="B4C6E7"/>
              <w:right w:val="single" w:sz="8" w:space="0" w:color="B4C6E7"/>
            </w:tcBorders>
            <w:shd w:val="clear" w:color="auto" w:fill="auto"/>
            <w:vAlign w:val="center"/>
            <w:hideMark/>
          </w:tcPr>
          <w:p w14:paraId="393A4FA6"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6.6%</w:t>
            </w:r>
          </w:p>
        </w:tc>
        <w:tc>
          <w:tcPr>
            <w:tcW w:w="1081" w:type="dxa"/>
            <w:tcBorders>
              <w:top w:val="nil"/>
              <w:left w:val="nil"/>
              <w:bottom w:val="single" w:sz="8" w:space="0" w:color="B4C6E7"/>
              <w:right w:val="single" w:sz="8" w:space="0" w:color="B4C6E7"/>
            </w:tcBorders>
            <w:shd w:val="clear" w:color="auto" w:fill="auto"/>
            <w:vAlign w:val="center"/>
            <w:hideMark/>
          </w:tcPr>
          <w:p w14:paraId="0D0E7610"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r>
      <w:tr w:rsidR="00595339" w:rsidRPr="001E29E5" w14:paraId="137AA452"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2712C8EA"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noWrap/>
            <w:vAlign w:val="center"/>
            <w:hideMark/>
          </w:tcPr>
          <w:p w14:paraId="16B28D74" w14:textId="77777777" w:rsidR="00595339" w:rsidRPr="001E29E5" w:rsidRDefault="00595339" w:rsidP="00644DF6">
            <w:pPr>
              <w:spacing w:before="0" w:after="0" w:line="240" w:lineRule="auto"/>
              <w:ind w:firstLine="0"/>
              <w:jc w:val="left"/>
              <w:rPr>
                <w:rFonts w:eastAsia="Times New Roman" w:cs="Times New Roman"/>
                <w:color w:val="000000"/>
              </w:rPr>
            </w:pPr>
            <w:r w:rsidRPr="001E29E5">
              <w:rPr>
                <w:rFonts w:eastAsia="Times New Roman" w:cs="Times New Roman"/>
                <w:color w:val="000000"/>
              </w:rPr>
              <w:t>2024թ. Պետական բյուջե</w:t>
            </w:r>
          </w:p>
        </w:tc>
        <w:tc>
          <w:tcPr>
            <w:tcW w:w="1081" w:type="dxa"/>
            <w:tcBorders>
              <w:top w:val="nil"/>
              <w:left w:val="nil"/>
              <w:bottom w:val="single" w:sz="8" w:space="0" w:color="B4C6E7"/>
              <w:right w:val="single" w:sz="8" w:space="0" w:color="B4C6E7"/>
            </w:tcBorders>
            <w:shd w:val="clear" w:color="auto" w:fill="auto"/>
            <w:vAlign w:val="center"/>
            <w:hideMark/>
          </w:tcPr>
          <w:p w14:paraId="5AE969D0"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562.1</w:t>
            </w:r>
          </w:p>
        </w:tc>
        <w:tc>
          <w:tcPr>
            <w:tcW w:w="1081" w:type="dxa"/>
            <w:tcBorders>
              <w:top w:val="nil"/>
              <w:left w:val="nil"/>
              <w:bottom w:val="single" w:sz="8" w:space="0" w:color="B4C6E7"/>
              <w:right w:val="single" w:sz="8" w:space="0" w:color="B4C6E7"/>
            </w:tcBorders>
            <w:shd w:val="clear" w:color="auto" w:fill="auto"/>
            <w:vAlign w:val="center"/>
            <w:hideMark/>
          </w:tcPr>
          <w:p w14:paraId="478D4620"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695.3</w:t>
            </w:r>
          </w:p>
        </w:tc>
        <w:tc>
          <w:tcPr>
            <w:tcW w:w="1081" w:type="dxa"/>
            <w:tcBorders>
              <w:top w:val="nil"/>
              <w:left w:val="nil"/>
              <w:bottom w:val="single" w:sz="8" w:space="0" w:color="B4C6E7"/>
              <w:right w:val="single" w:sz="8" w:space="0" w:color="B4C6E7"/>
            </w:tcBorders>
            <w:shd w:val="clear" w:color="auto" w:fill="auto"/>
            <w:vAlign w:val="center"/>
            <w:hideMark/>
          </w:tcPr>
          <w:p w14:paraId="11C8133E"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4396EE4A"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104072A3"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ascii="Calibri" w:eastAsia="Times New Roman" w:hAnsi="Calibri" w:cs="Calibri"/>
                <w:color w:val="000000"/>
              </w:rPr>
              <w:t> </w:t>
            </w:r>
          </w:p>
        </w:tc>
      </w:tr>
      <w:tr w:rsidR="00595339" w:rsidRPr="001E29E5" w14:paraId="37580EB1" w14:textId="77777777" w:rsidTr="00B0598B">
        <w:trPr>
          <w:trHeight w:val="339"/>
        </w:trPr>
        <w:tc>
          <w:tcPr>
            <w:tcW w:w="1312" w:type="dxa"/>
            <w:vMerge/>
            <w:tcBorders>
              <w:top w:val="nil"/>
              <w:left w:val="single" w:sz="8" w:space="0" w:color="B4C6E7"/>
              <w:bottom w:val="single" w:sz="8" w:space="0" w:color="B4C6E7"/>
              <w:right w:val="single" w:sz="8" w:space="0" w:color="B4C6E7"/>
            </w:tcBorders>
            <w:vAlign w:val="center"/>
            <w:hideMark/>
          </w:tcPr>
          <w:p w14:paraId="62FE8DBE"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vAlign w:val="center"/>
            <w:hideMark/>
          </w:tcPr>
          <w:p w14:paraId="5A909574"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77C25E66"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6.0%</w:t>
            </w:r>
          </w:p>
        </w:tc>
        <w:tc>
          <w:tcPr>
            <w:tcW w:w="1081" w:type="dxa"/>
            <w:tcBorders>
              <w:top w:val="nil"/>
              <w:left w:val="nil"/>
              <w:bottom w:val="single" w:sz="8" w:space="0" w:color="B4C6E7"/>
              <w:right w:val="single" w:sz="8" w:space="0" w:color="B4C6E7"/>
            </w:tcBorders>
            <w:shd w:val="clear" w:color="auto" w:fill="auto"/>
            <w:vAlign w:val="center"/>
            <w:hideMark/>
          </w:tcPr>
          <w:p w14:paraId="76AC7865"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6.6%</w:t>
            </w:r>
          </w:p>
        </w:tc>
        <w:tc>
          <w:tcPr>
            <w:tcW w:w="1081" w:type="dxa"/>
            <w:tcBorders>
              <w:top w:val="nil"/>
              <w:left w:val="nil"/>
              <w:bottom w:val="single" w:sz="8" w:space="0" w:color="B4C6E7"/>
              <w:right w:val="single" w:sz="8" w:space="0" w:color="B4C6E7"/>
            </w:tcBorders>
            <w:shd w:val="clear" w:color="auto" w:fill="auto"/>
            <w:vAlign w:val="center"/>
            <w:hideMark/>
          </w:tcPr>
          <w:p w14:paraId="5193B8F2" w14:textId="77777777" w:rsidR="00595339" w:rsidRPr="001E29E5" w:rsidRDefault="00595339" w:rsidP="00644DF6">
            <w:pPr>
              <w:spacing w:before="0" w:after="0" w:line="240" w:lineRule="auto"/>
              <w:ind w:firstLine="0"/>
              <w:jc w:val="right"/>
              <w:rPr>
                <w:rFonts w:ascii="Calibri" w:eastAsia="Times New Roman" w:hAnsi="Calibri" w:cs="Times New Roman"/>
                <w:i/>
                <w:iCs/>
                <w:color w:val="000000"/>
              </w:rPr>
            </w:pPr>
            <w:r w:rsidRPr="001E29E5">
              <w:rPr>
                <w:rFonts w:ascii="Calibri" w:eastAsia="Times New Roman" w:hAnsi="Calibri" w:cs="Times New Roman"/>
                <w:i/>
                <w:iCs/>
                <w:color w:val="000000"/>
              </w:rPr>
              <w:t> </w:t>
            </w:r>
          </w:p>
        </w:tc>
        <w:tc>
          <w:tcPr>
            <w:tcW w:w="1081" w:type="dxa"/>
            <w:tcBorders>
              <w:top w:val="nil"/>
              <w:left w:val="nil"/>
              <w:bottom w:val="single" w:sz="8" w:space="0" w:color="B4C6E7"/>
              <w:right w:val="single" w:sz="8" w:space="0" w:color="B4C6E7"/>
            </w:tcBorders>
            <w:shd w:val="clear" w:color="auto" w:fill="auto"/>
            <w:noWrap/>
            <w:vAlign w:val="center"/>
            <w:hideMark/>
          </w:tcPr>
          <w:p w14:paraId="2B2AF84D" w14:textId="77777777" w:rsidR="00595339" w:rsidRPr="001E29E5" w:rsidRDefault="00595339" w:rsidP="00644DF6">
            <w:pPr>
              <w:spacing w:before="0" w:after="0" w:line="240" w:lineRule="auto"/>
              <w:ind w:firstLine="0"/>
              <w:jc w:val="right"/>
              <w:rPr>
                <w:rFonts w:ascii="Calibri" w:eastAsia="Times New Roman" w:hAnsi="Calibri" w:cs="Times New Roman"/>
                <w:i/>
                <w:iCs/>
                <w:color w:val="000000"/>
              </w:rPr>
            </w:pPr>
            <w:r w:rsidRPr="001E29E5">
              <w:rPr>
                <w:rFonts w:ascii="Calibri" w:eastAsia="Times New Roman" w:hAnsi="Calibri" w:cs="Times New Roman"/>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2A847A64"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ascii="Calibri" w:eastAsia="Times New Roman" w:hAnsi="Calibri" w:cs="Calibri"/>
                <w:i/>
                <w:iCs/>
                <w:color w:val="000000"/>
              </w:rPr>
              <w:t> </w:t>
            </w:r>
          </w:p>
        </w:tc>
      </w:tr>
      <w:tr w:rsidR="00595339" w:rsidRPr="001E29E5" w14:paraId="6EF21C34" w14:textId="77777777" w:rsidTr="00B0598B">
        <w:trPr>
          <w:trHeight w:val="339"/>
        </w:trPr>
        <w:tc>
          <w:tcPr>
            <w:tcW w:w="1312"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48387743" w14:textId="77777777" w:rsidR="00595339" w:rsidRPr="001E29E5" w:rsidRDefault="00595339" w:rsidP="00644DF6">
            <w:pPr>
              <w:spacing w:before="0" w:after="0" w:line="240" w:lineRule="auto"/>
              <w:ind w:firstLine="0"/>
              <w:jc w:val="center"/>
              <w:rPr>
                <w:rFonts w:eastAsia="Times New Roman" w:cs="Times New Roman"/>
                <w:color w:val="000000"/>
              </w:rPr>
            </w:pPr>
            <w:r w:rsidRPr="001E29E5">
              <w:rPr>
                <w:rFonts w:eastAsia="Times New Roman" w:cs="Times New Roman"/>
                <w:color w:val="000000"/>
              </w:rPr>
              <w:t>2024</w:t>
            </w:r>
          </w:p>
        </w:tc>
        <w:tc>
          <w:tcPr>
            <w:tcW w:w="3226" w:type="dxa"/>
            <w:tcBorders>
              <w:top w:val="nil"/>
              <w:left w:val="nil"/>
              <w:bottom w:val="single" w:sz="8" w:space="0" w:color="B4C6E7"/>
              <w:right w:val="single" w:sz="8" w:space="0" w:color="B4C6E7"/>
            </w:tcBorders>
            <w:shd w:val="clear" w:color="auto" w:fill="auto"/>
            <w:noWrap/>
            <w:vAlign w:val="center"/>
            <w:hideMark/>
          </w:tcPr>
          <w:p w14:paraId="394432D0" w14:textId="77777777" w:rsidR="00595339" w:rsidRPr="001E29E5" w:rsidRDefault="00595339" w:rsidP="00644DF6">
            <w:pPr>
              <w:spacing w:before="0" w:after="0" w:line="240" w:lineRule="auto"/>
              <w:ind w:firstLine="0"/>
              <w:jc w:val="left"/>
              <w:rPr>
                <w:rFonts w:eastAsia="Times New Roman" w:cs="Times New Roman"/>
                <w:color w:val="000000"/>
              </w:rPr>
            </w:pPr>
            <w:r w:rsidRPr="001E29E5">
              <w:rPr>
                <w:rFonts w:eastAsia="Times New Roman" w:cs="Times New Roman"/>
                <w:color w:val="000000"/>
              </w:rPr>
              <w:t xml:space="preserve"> ՄԺԾԾ 2025-2027</w:t>
            </w:r>
          </w:p>
        </w:tc>
        <w:tc>
          <w:tcPr>
            <w:tcW w:w="1081" w:type="dxa"/>
            <w:tcBorders>
              <w:top w:val="nil"/>
              <w:left w:val="nil"/>
              <w:bottom w:val="single" w:sz="8" w:space="0" w:color="B4C6E7"/>
              <w:right w:val="single" w:sz="8" w:space="0" w:color="B4C6E7"/>
            </w:tcBorders>
            <w:shd w:val="clear" w:color="auto" w:fill="auto"/>
            <w:vAlign w:val="center"/>
            <w:hideMark/>
          </w:tcPr>
          <w:p w14:paraId="085E1781" w14:textId="77777777" w:rsidR="00595339" w:rsidRPr="001E29E5" w:rsidRDefault="00595339" w:rsidP="00644DF6">
            <w:pPr>
              <w:spacing w:before="0" w:after="0" w:line="240" w:lineRule="auto"/>
              <w:ind w:firstLine="0"/>
              <w:jc w:val="right"/>
              <w:rPr>
                <w:rFonts w:ascii="Calibri" w:eastAsia="Times New Roman" w:hAnsi="Calibri" w:cs="Times New Roman"/>
                <w:color w:val="000000"/>
              </w:rPr>
            </w:pPr>
            <w:r w:rsidRPr="001E29E5">
              <w:rPr>
                <w:rFonts w:ascii="Calibri" w:eastAsia="Times New Roman" w:hAnsi="Calibri" w:cs="Times New Roman"/>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1CB85D59"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666.4</w:t>
            </w:r>
          </w:p>
        </w:tc>
        <w:tc>
          <w:tcPr>
            <w:tcW w:w="1081" w:type="dxa"/>
            <w:tcBorders>
              <w:top w:val="nil"/>
              <w:left w:val="nil"/>
              <w:bottom w:val="single" w:sz="8" w:space="0" w:color="B4C6E7"/>
              <w:right w:val="single" w:sz="8" w:space="0" w:color="B4C6E7"/>
            </w:tcBorders>
            <w:shd w:val="clear" w:color="auto" w:fill="auto"/>
            <w:vAlign w:val="center"/>
            <w:hideMark/>
          </w:tcPr>
          <w:p w14:paraId="67E1DC9F"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784.9</w:t>
            </w:r>
          </w:p>
        </w:tc>
        <w:tc>
          <w:tcPr>
            <w:tcW w:w="1081" w:type="dxa"/>
            <w:tcBorders>
              <w:top w:val="nil"/>
              <w:left w:val="nil"/>
              <w:bottom w:val="single" w:sz="8" w:space="0" w:color="B4C6E7"/>
              <w:right w:val="single" w:sz="8" w:space="0" w:color="B4C6E7"/>
            </w:tcBorders>
            <w:shd w:val="clear" w:color="auto" w:fill="auto"/>
            <w:vAlign w:val="center"/>
            <w:hideMark/>
          </w:tcPr>
          <w:p w14:paraId="5ED9AFEE"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873.9</w:t>
            </w:r>
          </w:p>
        </w:tc>
        <w:tc>
          <w:tcPr>
            <w:tcW w:w="1081" w:type="dxa"/>
            <w:tcBorders>
              <w:top w:val="nil"/>
              <w:left w:val="nil"/>
              <w:bottom w:val="single" w:sz="8" w:space="0" w:color="B4C6E7"/>
              <w:right w:val="single" w:sz="8" w:space="0" w:color="B4C6E7"/>
            </w:tcBorders>
            <w:shd w:val="clear" w:color="auto" w:fill="auto"/>
            <w:vAlign w:val="center"/>
            <w:hideMark/>
          </w:tcPr>
          <w:p w14:paraId="603F1414" w14:textId="77777777" w:rsidR="00595339" w:rsidRPr="001E29E5" w:rsidRDefault="00595339" w:rsidP="00644DF6">
            <w:pPr>
              <w:spacing w:before="0" w:after="0" w:line="240" w:lineRule="auto"/>
              <w:ind w:firstLine="0"/>
              <w:jc w:val="right"/>
              <w:rPr>
                <w:rFonts w:eastAsia="Times New Roman" w:cs="Times New Roman"/>
                <w:color w:val="000000"/>
              </w:rPr>
            </w:pPr>
            <w:r w:rsidRPr="001E29E5">
              <w:rPr>
                <w:rFonts w:eastAsia="Times New Roman" w:cs="Times New Roman"/>
                <w:color w:val="000000"/>
              </w:rPr>
              <w:t>858.6</w:t>
            </w:r>
          </w:p>
        </w:tc>
      </w:tr>
      <w:tr w:rsidR="00595339" w:rsidRPr="001E29E5" w14:paraId="320F9524" w14:textId="77777777" w:rsidTr="00B0598B">
        <w:trPr>
          <w:trHeight w:val="339"/>
        </w:trPr>
        <w:tc>
          <w:tcPr>
            <w:tcW w:w="1312" w:type="dxa"/>
            <w:vMerge/>
            <w:tcBorders>
              <w:top w:val="single" w:sz="8" w:space="0" w:color="FFFFFF"/>
              <w:left w:val="single" w:sz="8" w:space="0" w:color="B4C6E7"/>
              <w:bottom w:val="single" w:sz="8" w:space="0" w:color="B4C6E7"/>
              <w:right w:val="single" w:sz="8" w:space="0" w:color="B4C6E7"/>
            </w:tcBorders>
            <w:vAlign w:val="center"/>
            <w:hideMark/>
          </w:tcPr>
          <w:p w14:paraId="5930E808" w14:textId="77777777" w:rsidR="00595339" w:rsidRPr="001E29E5" w:rsidRDefault="00595339" w:rsidP="00644DF6">
            <w:pPr>
              <w:spacing w:before="0" w:after="0" w:line="240" w:lineRule="auto"/>
              <w:ind w:firstLine="0"/>
              <w:jc w:val="left"/>
              <w:rPr>
                <w:rFonts w:eastAsia="Times New Roman" w:cs="Times New Roman"/>
                <w:color w:val="000000"/>
              </w:rPr>
            </w:pPr>
          </w:p>
        </w:tc>
        <w:tc>
          <w:tcPr>
            <w:tcW w:w="3226" w:type="dxa"/>
            <w:tcBorders>
              <w:top w:val="nil"/>
              <w:left w:val="nil"/>
              <w:bottom w:val="single" w:sz="8" w:space="0" w:color="B4C6E7"/>
              <w:right w:val="single" w:sz="8" w:space="0" w:color="B4C6E7"/>
            </w:tcBorders>
            <w:shd w:val="clear" w:color="auto" w:fill="auto"/>
            <w:vAlign w:val="center"/>
            <w:hideMark/>
          </w:tcPr>
          <w:p w14:paraId="44425F89" w14:textId="77777777" w:rsidR="00595339" w:rsidRPr="001E29E5" w:rsidRDefault="00595339" w:rsidP="00644DF6">
            <w:pPr>
              <w:spacing w:before="0" w:after="0" w:line="240" w:lineRule="auto"/>
              <w:ind w:firstLine="0"/>
              <w:jc w:val="left"/>
              <w:rPr>
                <w:rFonts w:eastAsia="Times New Roman" w:cs="Times New Roman"/>
                <w:i/>
                <w:iCs/>
                <w:color w:val="000000"/>
              </w:rPr>
            </w:pPr>
            <w:r w:rsidRPr="001E29E5">
              <w:rPr>
                <w:rFonts w:eastAsia="Times New Roman" w:cs="Times New Roman"/>
                <w:i/>
                <w:iCs/>
                <w:color w:val="000000"/>
              </w:rPr>
              <w:t>%-ով՝ ՀՆԱ-ի նկատմամբ</w:t>
            </w:r>
          </w:p>
        </w:tc>
        <w:tc>
          <w:tcPr>
            <w:tcW w:w="1081" w:type="dxa"/>
            <w:tcBorders>
              <w:top w:val="nil"/>
              <w:left w:val="nil"/>
              <w:bottom w:val="single" w:sz="8" w:space="0" w:color="B4C6E7"/>
              <w:right w:val="single" w:sz="8" w:space="0" w:color="B4C6E7"/>
            </w:tcBorders>
            <w:shd w:val="clear" w:color="auto" w:fill="auto"/>
            <w:vAlign w:val="center"/>
            <w:hideMark/>
          </w:tcPr>
          <w:p w14:paraId="4157E270" w14:textId="77777777" w:rsidR="00595339" w:rsidRPr="001E29E5" w:rsidRDefault="00595339" w:rsidP="00644DF6">
            <w:pPr>
              <w:spacing w:before="0" w:after="0" w:line="240" w:lineRule="auto"/>
              <w:ind w:firstLine="0"/>
              <w:jc w:val="right"/>
              <w:rPr>
                <w:rFonts w:ascii="Calibri" w:eastAsia="Times New Roman" w:hAnsi="Calibri" w:cs="Times New Roman"/>
                <w:i/>
                <w:iCs/>
                <w:color w:val="000000"/>
              </w:rPr>
            </w:pPr>
            <w:r w:rsidRPr="001E29E5">
              <w:rPr>
                <w:rFonts w:ascii="Calibri" w:eastAsia="Times New Roman" w:hAnsi="Calibri" w:cs="Times New Roman"/>
                <w:i/>
                <w:iCs/>
                <w:color w:val="000000"/>
              </w:rPr>
              <w:t> </w:t>
            </w:r>
          </w:p>
        </w:tc>
        <w:tc>
          <w:tcPr>
            <w:tcW w:w="1081" w:type="dxa"/>
            <w:tcBorders>
              <w:top w:val="nil"/>
              <w:left w:val="nil"/>
              <w:bottom w:val="single" w:sz="8" w:space="0" w:color="B4C6E7"/>
              <w:right w:val="single" w:sz="8" w:space="0" w:color="B4C6E7"/>
            </w:tcBorders>
            <w:shd w:val="clear" w:color="auto" w:fill="auto"/>
            <w:vAlign w:val="center"/>
            <w:hideMark/>
          </w:tcPr>
          <w:p w14:paraId="6396AA18"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6.5%</w:t>
            </w:r>
          </w:p>
        </w:tc>
        <w:tc>
          <w:tcPr>
            <w:tcW w:w="1081" w:type="dxa"/>
            <w:tcBorders>
              <w:top w:val="nil"/>
              <w:left w:val="nil"/>
              <w:bottom w:val="single" w:sz="8" w:space="0" w:color="B4C6E7"/>
              <w:right w:val="single" w:sz="8" w:space="0" w:color="B4C6E7"/>
            </w:tcBorders>
            <w:shd w:val="clear" w:color="auto" w:fill="auto"/>
            <w:vAlign w:val="center"/>
            <w:hideMark/>
          </w:tcPr>
          <w:p w14:paraId="26083888"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7.0%</w:t>
            </w:r>
          </w:p>
        </w:tc>
        <w:tc>
          <w:tcPr>
            <w:tcW w:w="1081" w:type="dxa"/>
            <w:tcBorders>
              <w:top w:val="nil"/>
              <w:left w:val="nil"/>
              <w:bottom w:val="single" w:sz="8" w:space="0" w:color="B4C6E7"/>
              <w:right w:val="single" w:sz="8" w:space="0" w:color="B4C6E7"/>
            </w:tcBorders>
            <w:shd w:val="clear" w:color="auto" w:fill="auto"/>
            <w:vAlign w:val="center"/>
            <w:hideMark/>
          </w:tcPr>
          <w:p w14:paraId="246D7CC5"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7.1%</w:t>
            </w:r>
          </w:p>
        </w:tc>
        <w:tc>
          <w:tcPr>
            <w:tcW w:w="1081" w:type="dxa"/>
            <w:tcBorders>
              <w:top w:val="nil"/>
              <w:left w:val="nil"/>
              <w:bottom w:val="single" w:sz="8" w:space="0" w:color="B4C6E7"/>
              <w:right w:val="single" w:sz="8" w:space="0" w:color="B4C6E7"/>
            </w:tcBorders>
            <w:shd w:val="clear" w:color="auto" w:fill="auto"/>
            <w:vAlign w:val="center"/>
            <w:hideMark/>
          </w:tcPr>
          <w:p w14:paraId="1758505C" w14:textId="77777777" w:rsidR="00595339" w:rsidRPr="001E29E5" w:rsidRDefault="00595339" w:rsidP="00644DF6">
            <w:pPr>
              <w:spacing w:before="0" w:after="0" w:line="240" w:lineRule="auto"/>
              <w:ind w:firstLine="0"/>
              <w:jc w:val="right"/>
              <w:rPr>
                <w:rFonts w:eastAsia="Times New Roman" w:cs="Times New Roman"/>
                <w:i/>
                <w:iCs/>
                <w:color w:val="000000"/>
              </w:rPr>
            </w:pPr>
            <w:r w:rsidRPr="001E29E5">
              <w:rPr>
                <w:rFonts w:eastAsia="Times New Roman" w:cs="Times New Roman"/>
                <w:i/>
                <w:iCs/>
                <w:color w:val="000000"/>
              </w:rPr>
              <w:t>6.4%</w:t>
            </w:r>
          </w:p>
        </w:tc>
      </w:tr>
    </w:tbl>
    <w:p w14:paraId="1AD95701" w14:textId="77777777" w:rsidR="00595339" w:rsidRPr="005E2F67" w:rsidRDefault="00595339" w:rsidP="00595339">
      <w:pPr>
        <w:keepNext/>
        <w:keepLines/>
        <w:tabs>
          <w:tab w:val="left" w:pos="0"/>
        </w:tabs>
        <w:spacing w:before="120" w:after="0" w:line="276" w:lineRule="auto"/>
        <w:ind w:firstLine="0"/>
        <w:jc w:val="left"/>
        <w:rPr>
          <w:rFonts w:eastAsia="Times New Roman" w:cs="Times New Roman"/>
          <w:i/>
          <w:lang w:val="hy-AM"/>
        </w:rPr>
      </w:pPr>
      <w:r w:rsidRPr="005E2F67">
        <w:rPr>
          <w:rFonts w:eastAsia="Times New Roman" w:cs="Times New Roman"/>
          <w:b/>
          <w:lang w:val="hy-AM"/>
        </w:rPr>
        <w:t xml:space="preserve">Աղյուսակ 2.8. </w:t>
      </w:r>
      <w:r w:rsidRPr="005E2F67">
        <w:rPr>
          <w:rFonts w:eastAsia="Times New Roman" w:cs="Times New Roman"/>
          <w:lang w:val="hy-AM"/>
        </w:rPr>
        <w:t>Պետական բյուջեի պակասուրդի ֆինանսավորման կանխատե</w:t>
      </w:r>
      <w:r>
        <w:rPr>
          <w:rFonts w:eastAsia="Times New Roman" w:cs="Times New Roman"/>
          <w:lang w:val="hy-AM"/>
        </w:rPr>
        <w:t xml:space="preserve">սումների համեմատական աղյուսակը, </w:t>
      </w:r>
      <w:r w:rsidRPr="005E2F67">
        <w:rPr>
          <w:rFonts w:eastAsia="Times New Roman" w:cs="Times New Roman"/>
          <w:lang w:val="hy-AM"/>
        </w:rPr>
        <w:t>մլրդ դրամ</w:t>
      </w:r>
    </w:p>
    <w:p w14:paraId="1EEB7B6F" w14:textId="77777777" w:rsidR="00595339" w:rsidRPr="0080682B" w:rsidRDefault="00595339" w:rsidP="00595339">
      <w:pPr>
        <w:keepNext/>
        <w:keepLines/>
        <w:tabs>
          <w:tab w:val="left" w:pos="0"/>
        </w:tabs>
        <w:spacing w:before="120" w:after="0" w:line="276" w:lineRule="auto"/>
        <w:ind w:firstLine="0"/>
        <w:jc w:val="left"/>
        <w:rPr>
          <w:rFonts w:eastAsia="Times New Roman" w:cs="Times New Roman"/>
          <w:b/>
          <w:i/>
          <w:lang w:val="hy-AM"/>
        </w:rPr>
      </w:pPr>
    </w:p>
    <w:tbl>
      <w:tblPr>
        <w:tblW w:w="9709" w:type="dxa"/>
        <w:tblLook w:val="04A0" w:firstRow="1" w:lastRow="0" w:firstColumn="1" w:lastColumn="0" w:noHBand="0" w:noVBand="1"/>
      </w:tblPr>
      <w:tblGrid>
        <w:gridCol w:w="1359"/>
        <w:gridCol w:w="3347"/>
        <w:gridCol w:w="1002"/>
        <w:gridCol w:w="1002"/>
        <w:gridCol w:w="1002"/>
        <w:gridCol w:w="1002"/>
        <w:gridCol w:w="1002"/>
      </w:tblGrid>
      <w:tr w:rsidR="00B0598B" w:rsidRPr="00560690" w14:paraId="1262A5DA" w14:textId="77777777" w:rsidTr="00B0598B">
        <w:trPr>
          <w:trHeight w:val="983"/>
        </w:trPr>
        <w:tc>
          <w:tcPr>
            <w:tcW w:w="1352"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4AEB2265"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Ընդունման տարին</w:t>
            </w:r>
          </w:p>
        </w:tc>
        <w:tc>
          <w:tcPr>
            <w:tcW w:w="3347" w:type="dxa"/>
            <w:tcBorders>
              <w:top w:val="single" w:sz="8" w:space="0" w:color="FFFFFF"/>
              <w:left w:val="nil"/>
              <w:bottom w:val="single" w:sz="8" w:space="0" w:color="FFFFFF"/>
              <w:right w:val="single" w:sz="8" w:space="0" w:color="FFFFFF"/>
            </w:tcBorders>
            <w:shd w:val="clear" w:color="000000" w:fill="8EA9DB"/>
            <w:noWrap/>
            <w:vAlign w:val="center"/>
            <w:hideMark/>
          </w:tcPr>
          <w:p w14:paraId="39936B10"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Ծրագիր</w:t>
            </w:r>
          </w:p>
        </w:tc>
        <w:tc>
          <w:tcPr>
            <w:tcW w:w="1002" w:type="dxa"/>
            <w:tcBorders>
              <w:top w:val="single" w:sz="8" w:space="0" w:color="FFFFFF"/>
              <w:left w:val="nil"/>
              <w:bottom w:val="single" w:sz="8" w:space="0" w:color="FFFFFF"/>
              <w:right w:val="single" w:sz="8" w:space="0" w:color="FFFFFF"/>
            </w:tcBorders>
            <w:shd w:val="clear" w:color="000000" w:fill="8EA9DB"/>
            <w:noWrap/>
            <w:vAlign w:val="center"/>
            <w:hideMark/>
          </w:tcPr>
          <w:p w14:paraId="677F0DA4"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2023</w:t>
            </w:r>
          </w:p>
        </w:tc>
        <w:tc>
          <w:tcPr>
            <w:tcW w:w="1002" w:type="dxa"/>
            <w:tcBorders>
              <w:top w:val="single" w:sz="8" w:space="0" w:color="FFFFFF"/>
              <w:left w:val="nil"/>
              <w:bottom w:val="single" w:sz="8" w:space="0" w:color="FFFFFF"/>
              <w:right w:val="single" w:sz="8" w:space="0" w:color="FFFFFF"/>
            </w:tcBorders>
            <w:shd w:val="clear" w:color="000000" w:fill="8EA9DB"/>
            <w:noWrap/>
            <w:vAlign w:val="center"/>
            <w:hideMark/>
          </w:tcPr>
          <w:p w14:paraId="103B3BB3"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2024</w:t>
            </w:r>
          </w:p>
        </w:tc>
        <w:tc>
          <w:tcPr>
            <w:tcW w:w="1002" w:type="dxa"/>
            <w:tcBorders>
              <w:top w:val="single" w:sz="8" w:space="0" w:color="FFFFFF"/>
              <w:left w:val="nil"/>
              <w:bottom w:val="single" w:sz="8" w:space="0" w:color="FFFFFF"/>
              <w:right w:val="single" w:sz="8" w:space="0" w:color="FFFFFF"/>
            </w:tcBorders>
            <w:shd w:val="clear" w:color="000000" w:fill="8EA9DB"/>
            <w:noWrap/>
            <w:vAlign w:val="center"/>
            <w:hideMark/>
          </w:tcPr>
          <w:p w14:paraId="4B6E03D0"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2025</w:t>
            </w:r>
          </w:p>
        </w:tc>
        <w:tc>
          <w:tcPr>
            <w:tcW w:w="1002" w:type="dxa"/>
            <w:tcBorders>
              <w:top w:val="single" w:sz="8" w:space="0" w:color="FFFFFF"/>
              <w:left w:val="nil"/>
              <w:bottom w:val="single" w:sz="8" w:space="0" w:color="FFFFFF"/>
              <w:right w:val="single" w:sz="8" w:space="0" w:color="FFFFFF"/>
            </w:tcBorders>
            <w:shd w:val="clear" w:color="000000" w:fill="8EA9DB"/>
            <w:noWrap/>
            <w:vAlign w:val="center"/>
            <w:hideMark/>
          </w:tcPr>
          <w:p w14:paraId="56952ED5"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2026</w:t>
            </w:r>
          </w:p>
        </w:tc>
        <w:tc>
          <w:tcPr>
            <w:tcW w:w="1002" w:type="dxa"/>
            <w:tcBorders>
              <w:top w:val="single" w:sz="8" w:space="0" w:color="FFFFFF"/>
              <w:left w:val="nil"/>
              <w:bottom w:val="single" w:sz="8" w:space="0" w:color="FFFFFF"/>
              <w:right w:val="single" w:sz="8" w:space="0" w:color="FFFFFF"/>
            </w:tcBorders>
            <w:shd w:val="clear" w:color="000000" w:fill="8EA9DB"/>
            <w:noWrap/>
            <w:vAlign w:val="center"/>
            <w:hideMark/>
          </w:tcPr>
          <w:p w14:paraId="34328D47" w14:textId="77777777" w:rsidR="00595339" w:rsidRPr="00560690" w:rsidRDefault="00595339" w:rsidP="00644DF6">
            <w:pPr>
              <w:spacing w:before="0" w:after="0" w:line="240" w:lineRule="auto"/>
              <w:ind w:firstLine="0"/>
              <w:jc w:val="center"/>
              <w:rPr>
                <w:rFonts w:eastAsia="Times New Roman" w:cs="Calibri"/>
                <w:color w:val="FFFFFF"/>
              </w:rPr>
            </w:pPr>
            <w:r w:rsidRPr="00560690">
              <w:rPr>
                <w:rFonts w:eastAsia="Times New Roman" w:cs="Calibri"/>
                <w:color w:val="FFFFFF"/>
              </w:rPr>
              <w:t>2027</w:t>
            </w:r>
          </w:p>
        </w:tc>
      </w:tr>
      <w:tr w:rsidR="00595339" w:rsidRPr="00560690" w14:paraId="5BA78093" w14:textId="77777777" w:rsidTr="00B0598B">
        <w:trPr>
          <w:trHeight w:val="337"/>
        </w:trPr>
        <w:tc>
          <w:tcPr>
            <w:tcW w:w="135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D81537D" w14:textId="77777777" w:rsidR="00595339" w:rsidRPr="00560690" w:rsidRDefault="00595339" w:rsidP="00644DF6">
            <w:pPr>
              <w:spacing w:before="0" w:after="0" w:line="240" w:lineRule="auto"/>
              <w:ind w:firstLine="0"/>
              <w:jc w:val="center"/>
              <w:rPr>
                <w:rFonts w:eastAsia="Times New Roman" w:cs="Calibri"/>
                <w:color w:val="000000"/>
              </w:rPr>
            </w:pPr>
            <w:r w:rsidRPr="00560690">
              <w:rPr>
                <w:rFonts w:eastAsia="Times New Roman" w:cs="Calibri"/>
                <w:color w:val="000000"/>
              </w:rPr>
              <w:t>-</w:t>
            </w:r>
          </w:p>
        </w:tc>
        <w:tc>
          <w:tcPr>
            <w:tcW w:w="3347" w:type="dxa"/>
            <w:tcBorders>
              <w:top w:val="nil"/>
              <w:left w:val="nil"/>
              <w:bottom w:val="single" w:sz="8" w:space="0" w:color="B4C6E7"/>
              <w:right w:val="single" w:sz="8" w:space="0" w:color="B4C6E7"/>
            </w:tcBorders>
            <w:shd w:val="clear" w:color="auto" w:fill="auto"/>
            <w:noWrap/>
            <w:vAlign w:val="center"/>
            <w:hideMark/>
          </w:tcPr>
          <w:p w14:paraId="156CE490" w14:textId="77777777" w:rsidR="00595339" w:rsidRPr="00560690" w:rsidRDefault="00595339" w:rsidP="00644DF6">
            <w:pPr>
              <w:spacing w:before="0" w:after="0" w:line="240" w:lineRule="auto"/>
              <w:ind w:firstLine="0"/>
              <w:rPr>
                <w:rFonts w:eastAsia="Times New Roman" w:cs="Calibri"/>
                <w:color w:val="000000"/>
              </w:rPr>
            </w:pPr>
            <w:r w:rsidRPr="00560690">
              <w:rPr>
                <w:rFonts w:eastAsia="Times New Roman" w:cs="Calibri"/>
                <w:color w:val="000000"/>
              </w:rPr>
              <w:t>Փաստացի</w:t>
            </w:r>
          </w:p>
        </w:tc>
        <w:tc>
          <w:tcPr>
            <w:tcW w:w="1002" w:type="dxa"/>
            <w:tcBorders>
              <w:top w:val="nil"/>
              <w:left w:val="nil"/>
              <w:bottom w:val="single" w:sz="8" w:space="0" w:color="B4C6E7"/>
              <w:right w:val="single" w:sz="8" w:space="0" w:color="B4C6E7"/>
            </w:tcBorders>
            <w:shd w:val="clear" w:color="auto" w:fill="auto"/>
            <w:vAlign w:val="center"/>
            <w:hideMark/>
          </w:tcPr>
          <w:p w14:paraId="0D892F6C"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339.9</w:t>
            </w:r>
          </w:p>
        </w:tc>
        <w:tc>
          <w:tcPr>
            <w:tcW w:w="1002" w:type="dxa"/>
            <w:tcBorders>
              <w:top w:val="nil"/>
              <w:left w:val="nil"/>
              <w:bottom w:val="single" w:sz="8" w:space="0" w:color="B4C6E7"/>
              <w:right w:val="single" w:sz="8" w:space="0" w:color="B4C6E7"/>
            </w:tcBorders>
            <w:shd w:val="clear" w:color="auto" w:fill="auto"/>
            <w:noWrap/>
            <w:vAlign w:val="center"/>
            <w:hideMark/>
          </w:tcPr>
          <w:p w14:paraId="62ED042B"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39C5DFD4"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7728ABAB"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6E4EAF49"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r>
      <w:tr w:rsidR="00595339" w:rsidRPr="00560690" w14:paraId="55F21713"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43FC6763"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noWrap/>
            <w:vAlign w:val="center"/>
            <w:hideMark/>
          </w:tcPr>
          <w:p w14:paraId="45170E97"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20979797"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3.6%</w:t>
            </w:r>
          </w:p>
        </w:tc>
        <w:tc>
          <w:tcPr>
            <w:tcW w:w="1002" w:type="dxa"/>
            <w:tcBorders>
              <w:top w:val="nil"/>
              <w:left w:val="nil"/>
              <w:bottom w:val="single" w:sz="8" w:space="0" w:color="B4C6E7"/>
              <w:right w:val="single" w:sz="8" w:space="0" w:color="B4C6E7"/>
            </w:tcBorders>
            <w:shd w:val="clear" w:color="auto" w:fill="auto"/>
            <w:noWrap/>
            <w:vAlign w:val="center"/>
            <w:hideMark/>
          </w:tcPr>
          <w:p w14:paraId="729F426F"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62C4A092"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2C50F1CF"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85953D6"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r>
      <w:tr w:rsidR="00595339" w:rsidRPr="00560690" w14:paraId="71890800" w14:textId="77777777" w:rsidTr="00B0598B">
        <w:trPr>
          <w:trHeight w:val="337"/>
        </w:trPr>
        <w:tc>
          <w:tcPr>
            <w:tcW w:w="135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436C280B" w14:textId="77777777" w:rsidR="00595339" w:rsidRPr="00560690" w:rsidRDefault="00595339" w:rsidP="00644DF6">
            <w:pPr>
              <w:spacing w:before="0" w:after="0" w:line="240" w:lineRule="auto"/>
              <w:ind w:firstLine="0"/>
              <w:jc w:val="center"/>
              <w:rPr>
                <w:rFonts w:eastAsia="Times New Roman" w:cs="Calibri"/>
                <w:color w:val="000000"/>
              </w:rPr>
            </w:pPr>
            <w:r w:rsidRPr="00560690">
              <w:rPr>
                <w:rFonts w:eastAsia="Times New Roman" w:cs="Calibri"/>
                <w:color w:val="000000"/>
              </w:rPr>
              <w:t>2022</w:t>
            </w:r>
          </w:p>
        </w:tc>
        <w:tc>
          <w:tcPr>
            <w:tcW w:w="3347" w:type="dxa"/>
            <w:tcBorders>
              <w:top w:val="nil"/>
              <w:left w:val="nil"/>
              <w:bottom w:val="single" w:sz="8" w:space="0" w:color="B4C6E7"/>
              <w:right w:val="single" w:sz="8" w:space="0" w:color="B4C6E7"/>
            </w:tcBorders>
            <w:shd w:val="clear" w:color="auto" w:fill="auto"/>
            <w:noWrap/>
            <w:vAlign w:val="center"/>
            <w:hideMark/>
          </w:tcPr>
          <w:p w14:paraId="2748F64E" w14:textId="77777777" w:rsidR="00595339" w:rsidRPr="00560690" w:rsidRDefault="00595339" w:rsidP="00644DF6">
            <w:pPr>
              <w:spacing w:before="0" w:after="0" w:line="240" w:lineRule="auto"/>
              <w:ind w:firstLine="0"/>
              <w:jc w:val="left"/>
              <w:rPr>
                <w:rFonts w:eastAsia="Times New Roman" w:cs="Calibri"/>
                <w:color w:val="000000"/>
              </w:rPr>
            </w:pPr>
            <w:r w:rsidRPr="00560690">
              <w:rPr>
                <w:rFonts w:eastAsia="Times New Roman" w:cs="Calibri"/>
                <w:color w:val="000000"/>
              </w:rPr>
              <w:t xml:space="preserve"> ՄԺԾԾ 2023-2025</w:t>
            </w:r>
          </w:p>
        </w:tc>
        <w:tc>
          <w:tcPr>
            <w:tcW w:w="1002" w:type="dxa"/>
            <w:tcBorders>
              <w:top w:val="nil"/>
              <w:left w:val="nil"/>
              <w:bottom w:val="single" w:sz="8" w:space="0" w:color="B4C6E7"/>
              <w:right w:val="single" w:sz="8" w:space="0" w:color="B4C6E7"/>
            </w:tcBorders>
            <w:shd w:val="clear" w:color="auto" w:fill="auto"/>
            <w:vAlign w:val="center"/>
            <w:hideMark/>
          </w:tcPr>
          <w:p w14:paraId="351DCCAD"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436.2</w:t>
            </w:r>
          </w:p>
        </w:tc>
        <w:tc>
          <w:tcPr>
            <w:tcW w:w="1002" w:type="dxa"/>
            <w:tcBorders>
              <w:top w:val="nil"/>
              <w:left w:val="nil"/>
              <w:bottom w:val="single" w:sz="8" w:space="0" w:color="B4C6E7"/>
              <w:right w:val="single" w:sz="8" w:space="0" w:color="B4C6E7"/>
            </w:tcBorders>
            <w:shd w:val="clear" w:color="auto" w:fill="auto"/>
            <w:vAlign w:val="center"/>
            <w:hideMark/>
          </w:tcPr>
          <w:p w14:paraId="5341E77B"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417.3</w:t>
            </w:r>
          </w:p>
        </w:tc>
        <w:tc>
          <w:tcPr>
            <w:tcW w:w="1002" w:type="dxa"/>
            <w:tcBorders>
              <w:top w:val="nil"/>
              <w:left w:val="nil"/>
              <w:bottom w:val="single" w:sz="8" w:space="0" w:color="B4C6E7"/>
              <w:right w:val="single" w:sz="8" w:space="0" w:color="B4C6E7"/>
            </w:tcBorders>
            <w:shd w:val="clear" w:color="auto" w:fill="auto"/>
            <w:vAlign w:val="center"/>
            <w:hideMark/>
          </w:tcPr>
          <w:p w14:paraId="225A4356"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426.4</w:t>
            </w:r>
          </w:p>
        </w:tc>
        <w:tc>
          <w:tcPr>
            <w:tcW w:w="1002" w:type="dxa"/>
            <w:tcBorders>
              <w:top w:val="nil"/>
              <w:left w:val="nil"/>
              <w:bottom w:val="single" w:sz="8" w:space="0" w:color="B4C6E7"/>
              <w:right w:val="single" w:sz="8" w:space="0" w:color="B4C6E7"/>
            </w:tcBorders>
            <w:shd w:val="clear" w:color="auto" w:fill="auto"/>
            <w:noWrap/>
            <w:vAlign w:val="center"/>
            <w:hideMark/>
          </w:tcPr>
          <w:p w14:paraId="7BD5F20F"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59B43603"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r>
      <w:tr w:rsidR="00595339" w:rsidRPr="00560690" w14:paraId="3D131DF9"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3104CBF5"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vAlign w:val="center"/>
            <w:hideMark/>
          </w:tcPr>
          <w:p w14:paraId="20113578"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4F3D10AA"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4.79%</w:t>
            </w:r>
          </w:p>
        </w:tc>
        <w:tc>
          <w:tcPr>
            <w:tcW w:w="1002" w:type="dxa"/>
            <w:tcBorders>
              <w:top w:val="nil"/>
              <w:left w:val="nil"/>
              <w:bottom w:val="single" w:sz="8" w:space="0" w:color="B4C6E7"/>
              <w:right w:val="single" w:sz="8" w:space="0" w:color="B4C6E7"/>
            </w:tcBorders>
            <w:shd w:val="clear" w:color="auto" w:fill="auto"/>
            <w:vAlign w:val="center"/>
            <w:hideMark/>
          </w:tcPr>
          <w:p w14:paraId="74B51BF4"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4.12%</w:t>
            </w:r>
          </w:p>
        </w:tc>
        <w:tc>
          <w:tcPr>
            <w:tcW w:w="1002" w:type="dxa"/>
            <w:tcBorders>
              <w:top w:val="nil"/>
              <w:left w:val="nil"/>
              <w:bottom w:val="single" w:sz="8" w:space="0" w:color="B4C6E7"/>
              <w:right w:val="single" w:sz="8" w:space="0" w:color="B4C6E7"/>
            </w:tcBorders>
            <w:shd w:val="clear" w:color="auto" w:fill="auto"/>
            <w:vAlign w:val="center"/>
            <w:hideMark/>
          </w:tcPr>
          <w:p w14:paraId="62FE4371"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3.78%</w:t>
            </w:r>
          </w:p>
        </w:tc>
        <w:tc>
          <w:tcPr>
            <w:tcW w:w="1002" w:type="dxa"/>
            <w:tcBorders>
              <w:top w:val="nil"/>
              <w:left w:val="nil"/>
              <w:bottom w:val="single" w:sz="8" w:space="0" w:color="B4C6E7"/>
              <w:right w:val="single" w:sz="8" w:space="0" w:color="B4C6E7"/>
            </w:tcBorders>
            <w:shd w:val="clear" w:color="auto" w:fill="auto"/>
            <w:noWrap/>
            <w:vAlign w:val="center"/>
            <w:hideMark/>
          </w:tcPr>
          <w:p w14:paraId="4F6E4428" w14:textId="77777777" w:rsidR="00595339" w:rsidRPr="00560690" w:rsidRDefault="00595339" w:rsidP="00644DF6">
            <w:pPr>
              <w:spacing w:before="0" w:after="0" w:line="240" w:lineRule="auto"/>
              <w:ind w:firstLine="0"/>
              <w:jc w:val="right"/>
              <w:rPr>
                <w:rFonts w:ascii="Calibri" w:eastAsia="Times New Roman" w:hAnsi="Calibri"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543980E8"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r>
      <w:tr w:rsidR="00595339" w:rsidRPr="00560690" w14:paraId="01881254"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21719D32"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noWrap/>
            <w:vAlign w:val="center"/>
            <w:hideMark/>
          </w:tcPr>
          <w:p w14:paraId="1EA8426F" w14:textId="77777777" w:rsidR="00595339" w:rsidRPr="00560690" w:rsidRDefault="00595339" w:rsidP="00644DF6">
            <w:pPr>
              <w:spacing w:before="0" w:after="0" w:line="240" w:lineRule="auto"/>
              <w:ind w:firstLine="0"/>
              <w:jc w:val="left"/>
              <w:rPr>
                <w:rFonts w:eastAsia="Times New Roman" w:cs="Calibri"/>
                <w:color w:val="000000"/>
              </w:rPr>
            </w:pPr>
            <w:r w:rsidRPr="00560690">
              <w:rPr>
                <w:rFonts w:eastAsia="Times New Roman" w:cs="Calibri"/>
                <w:color w:val="000000"/>
              </w:rPr>
              <w:t>2023թ. Պետական բյուջե</w:t>
            </w:r>
          </w:p>
        </w:tc>
        <w:tc>
          <w:tcPr>
            <w:tcW w:w="1002" w:type="dxa"/>
            <w:tcBorders>
              <w:top w:val="nil"/>
              <w:left w:val="nil"/>
              <w:bottom w:val="single" w:sz="8" w:space="0" w:color="B4C6E7"/>
              <w:right w:val="single" w:sz="8" w:space="0" w:color="B4C6E7"/>
            </w:tcBorders>
            <w:shd w:val="clear" w:color="auto" w:fill="auto"/>
            <w:vAlign w:val="center"/>
            <w:hideMark/>
          </w:tcPr>
          <w:p w14:paraId="380969CD"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424.9</w:t>
            </w:r>
          </w:p>
        </w:tc>
        <w:tc>
          <w:tcPr>
            <w:tcW w:w="1002" w:type="dxa"/>
            <w:tcBorders>
              <w:top w:val="nil"/>
              <w:left w:val="nil"/>
              <w:bottom w:val="single" w:sz="8" w:space="0" w:color="B4C6E7"/>
              <w:right w:val="single" w:sz="8" w:space="0" w:color="B4C6E7"/>
            </w:tcBorders>
            <w:shd w:val="clear" w:color="auto" w:fill="auto"/>
            <w:vAlign w:val="center"/>
            <w:hideMark/>
          </w:tcPr>
          <w:p w14:paraId="5C2CB044"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97315E4"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0F1BA8F8"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32DDD1B"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r>
      <w:tr w:rsidR="00595339" w:rsidRPr="00560690" w14:paraId="69B4D7ED"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5C33D8DC"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vAlign w:val="center"/>
            <w:hideMark/>
          </w:tcPr>
          <w:p w14:paraId="4C13608A"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1E6B73AA"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4.56%</w:t>
            </w:r>
          </w:p>
        </w:tc>
        <w:tc>
          <w:tcPr>
            <w:tcW w:w="1002" w:type="dxa"/>
            <w:tcBorders>
              <w:top w:val="nil"/>
              <w:left w:val="nil"/>
              <w:bottom w:val="single" w:sz="8" w:space="0" w:color="B4C6E7"/>
              <w:right w:val="single" w:sz="8" w:space="0" w:color="B4C6E7"/>
            </w:tcBorders>
            <w:shd w:val="clear" w:color="auto" w:fill="auto"/>
            <w:vAlign w:val="center"/>
            <w:hideMark/>
          </w:tcPr>
          <w:p w14:paraId="1B40F8F5"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269B8B53"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83CAB19"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0A7C9D8D"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r>
      <w:tr w:rsidR="00595339" w:rsidRPr="00560690" w14:paraId="70231B90" w14:textId="77777777" w:rsidTr="00B0598B">
        <w:trPr>
          <w:trHeight w:val="337"/>
        </w:trPr>
        <w:tc>
          <w:tcPr>
            <w:tcW w:w="1352"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9CC97A8" w14:textId="77777777" w:rsidR="00595339" w:rsidRPr="00560690" w:rsidRDefault="00595339" w:rsidP="00644DF6">
            <w:pPr>
              <w:spacing w:before="0" w:after="0" w:line="240" w:lineRule="auto"/>
              <w:ind w:firstLine="0"/>
              <w:jc w:val="center"/>
              <w:rPr>
                <w:rFonts w:eastAsia="Times New Roman" w:cs="Calibri"/>
                <w:color w:val="000000"/>
              </w:rPr>
            </w:pPr>
            <w:r w:rsidRPr="00560690">
              <w:rPr>
                <w:rFonts w:eastAsia="Times New Roman" w:cs="Calibri"/>
                <w:color w:val="000000"/>
              </w:rPr>
              <w:t>2023</w:t>
            </w:r>
          </w:p>
        </w:tc>
        <w:tc>
          <w:tcPr>
            <w:tcW w:w="3347" w:type="dxa"/>
            <w:tcBorders>
              <w:top w:val="nil"/>
              <w:left w:val="nil"/>
              <w:bottom w:val="single" w:sz="8" w:space="0" w:color="B4C6E7"/>
              <w:right w:val="single" w:sz="8" w:space="0" w:color="B4C6E7"/>
            </w:tcBorders>
            <w:shd w:val="clear" w:color="auto" w:fill="auto"/>
            <w:noWrap/>
            <w:vAlign w:val="center"/>
            <w:hideMark/>
          </w:tcPr>
          <w:p w14:paraId="18E2EBD7" w14:textId="77777777" w:rsidR="00595339" w:rsidRPr="00560690" w:rsidRDefault="00595339" w:rsidP="00644DF6">
            <w:pPr>
              <w:spacing w:before="0" w:after="0" w:line="240" w:lineRule="auto"/>
              <w:ind w:firstLine="0"/>
              <w:jc w:val="left"/>
              <w:rPr>
                <w:rFonts w:eastAsia="Times New Roman" w:cs="Calibri"/>
                <w:color w:val="000000"/>
              </w:rPr>
            </w:pPr>
            <w:r w:rsidRPr="00560690">
              <w:rPr>
                <w:rFonts w:eastAsia="Times New Roman" w:cs="Calibri"/>
                <w:color w:val="000000"/>
              </w:rPr>
              <w:t xml:space="preserve"> ՄԺԾԾ 2024-2026</w:t>
            </w:r>
          </w:p>
        </w:tc>
        <w:tc>
          <w:tcPr>
            <w:tcW w:w="1002" w:type="dxa"/>
            <w:tcBorders>
              <w:top w:val="nil"/>
              <w:left w:val="nil"/>
              <w:bottom w:val="single" w:sz="8" w:space="0" w:color="B4C6E7"/>
              <w:right w:val="single" w:sz="8" w:space="0" w:color="B4C6E7"/>
            </w:tcBorders>
            <w:shd w:val="clear" w:color="auto" w:fill="auto"/>
            <w:vAlign w:val="center"/>
            <w:hideMark/>
          </w:tcPr>
          <w:p w14:paraId="547E487B"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409.9</w:t>
            </w:r>
          </w:p>
        </w:tc>
        <w:tc>
          <w:tcPr>
            <w:tcW w:w="1002" w:type="dxa"/>
            <w:tcBorders>
              <w:top w:val="nil"/>
              <w:left w:val="nil"/>
              <w:bottom w:val="single" w:sz="8" w:space="0" w:color="B4C6E7"/>
              <w:right w:val="single" w:sz="8" w:space="0" w:color="B4C6E7"/>
            </w:tcBorders>
            <w:shd w:val="clear" w:color="auto" w:fill="auto"/>
            <w:vAlign w:val="center"/>
            <w:hideMark/>
          </w:tcPr>
          <w:p w14:paraId="0BAF8B6D"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446.5</w:t>
            </w:r>
          </w:p>
        </w:tc>
        <w:tc>
          <w:tcPr>
            <w:tcW w:w="1002" w:type="dxa"/>
            <w:tcBorders>
              <w:top w:val="nil"/>
              <w:left w:val="nil"/>
              <w:bottom w:val="single" w:sz="8" w:space="0" w:color="B4C6E7"/>
              <w:right w:val="single" w:sz="8" w:space="0" w:color="B4C6E7"/>
            </w:tcBorders>
            <w:shd w:val="clear" w:color="auto" w:fill="auto"/>
            <w:vAlign w:val="center"/>
            <w:hideMark/>
          </w:tcPr>
          <w:p w14:paraId="688487EC"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463.7</w:t>
            </w:r>
          </w:p>
        </w:tc>
        <w:tc>
          <w:tcPr>
            <w:tcW w:w="1002" w:type="dxa"/>
            <w:tcBorders>
              <w:top w:val="nil"/>
              <w:left w:val="nil"/>
              <w:bottom w:val="single" w:sz="8" w:space="0" w:color="B4C6E7"/>
              <w:right w:val="single" w:sz="8" w:space="0" w:color="B4C6E7"/>
            </w:tcBorders>
            <w:shd w:val="clear" w:color="auto" w:fill="auto"/>
            <w:vAlign w:val="center"/>
            <w:hideMark/>
          </w:tcPr>
          <w:p w14:paraId="3F5F52D5"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478.5</w:t>
            </w:r>
          </w:p>
        </w:tc>
        <w:tc>
          <w:tcPr>
            <w:tcW w:w="1002" w:type="dxa"/>
            <w:tcBorders>
              <w:top w:val="nil"/>
              <w:left w:val="nil"/>
              <w:bottom w:val="single" w:sz="8" w:space="0" w:color="B4C6E7"/>
              <w:right w:val="single" w:sz="8" w:space="0" w:color="B4C6E7"/>
            </w:tcBorders>
            <w:shd w:val="clear" w:color="auto" w:fill="auto"/>
            <w:vAlign w:val="center"/>
            <w:hideMark/>
          </w:tcPr>
          <w:p w14:paraId="46F99703"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r>
      <w:tr w:rsidR="00595339" w:rsidRPr="00560690" w14:paraId="1C16A4D2"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0DE55C7A"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vAlign w:val="center"/>
            <w:hideMark/>
          </w:tcPr>
          <w:p w14:paraId="33195CDC"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6F0C21A9"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4.30%</w:t>
            </w:r>
          </w:p>
        </w:tc>
        <w:tc>
          <w:tcPr>
            <w:tcW w:w="1002" w:type="dxa"/>
            <w:tcBorders>
              <w:top w:val="nil"/>
              <w:left w:val="nil"/>
              <w:bottom w:val="single" w:sz="8" w:space="0" w:color="B4C6E7"/>
              <w:right w:val="single" w:sz="8" w:space="0" w:color="B4C6E7"/>
            </w:tcBorders>
            <w:shd w:val="clear" w:color="auto" w:fill="auto"/>
            <w:vAlign w:val="center"/>
            <w:hideMark/>
          </w:tcPr>
          <w:p w14:paraId="3F744402"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4.21%</w:t>
            </w:r>
          </w:p>
        </w:tc>
        <w:tc>
          <w:tcPr>
            <w:tcW w:w="1002" w:type="dxa"/>
            <w:tcBorders>
              <w:top w:val="nil"/>
              <w:left w:val="nil"/>
              <w:bottom w:val="single" w:sz="8" w:space="0" w:color="B4C6E7"/>
              <w:right w:val="single" w:sz="8" w:space="0" w:color="B4C6E7"/>
            </w:tcBorders>
            <w:shd w:val="clear" w:color="auto" w:fill="auto"/>
            <w:vAlign w:val="center"/>
            <w:hideMark/>
          </w:tcPr>
          <w:p w14:paraId="6A61E50E"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3.93%</w:t>
            </w:r>
          </w:p>
        </w:tc>
        <w:tc>
          <w:tcPr>
            <w:tcW w:w="1002" w:type="dxa"/>
            <w:tcBorders>
              <w:top w:val="nil"/>
              <w:left w:val="nil"/>
              <w:bottom w:val="single" w:sz="8" w:space="0" w:color="B4C6E7"/>
              <w:right w:val="single" w:sz="8" w:space="0" w:color="B4C6E7"/>
            </w:tcBorders>
            <w:shd w:val="clear" w:color="auto" w:fill="auto"/>
            <w:vAlign w:val="center"/>
            <w:hideMark/>
          </w:tcPr>
          <w:p w14:paraId="489D2C3E"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3.64%</w:t>
            </w:r>
          </w:p>
        </w:tc>
        <w:tc>
          <w:tcPr>
            <w:tcW w:w="1002" w:type="dxa"/>
            <w:tcBorders>
              <w:top w:val="nil"/>
              <w:left w:val="nil"/>
              <w:bottom w:val="single" w:sz="8" w:space="0" w:color="B4C6E7"/>
              <w:right w:val="single" w:sz="8" w:space="0" w:color="B4C6E7"/>
            </w:tcBorders>
            <w:shd w:val="clear" w:color="auto" w:fill="auto"/>
            <w:vAlign w:val="center"/>
            <w:hideMark/>
          </w:tcPr>
          <w:p w14:paraId="50B71E6A"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r>
      <w:tr w:rsidR="00595339" w:rsidRPr="00560690" w14:paraId="0D2C95CE"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2BBDDDBD"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noWrap/>
            <w:vAlign w:val="center"/>
            <w:hideMark/>
          </w:tcPr>
          <w:p w14:paraId="2DF06025" w14:textId="77777777" w:rsidR="00595339" w:rsidRPr="00560690" w:rsidRDefault="00595339" w:rsidP="00644DF6">
            <w:pPr>
              <w:spacing w:before="0" w:after="0" w:line="240" w:lineRule="auto"/>
              <w:ind w:firstLine="0"/>
              <w:jc w:val="left"/>
              <w:rPr>
                <w:rFonts w:eastAsia="Times New Roman" w:cs="Calibri"/>
                <w:color w:val="000000"/>
              </w:rPr>
            </w:pPr>
            <w:r w:rsidRPr="00560690">
              <w:rPr>
                <w:rFonts w:eastAsia="Times New Roman" w:cs="Calibri"/>
                <w:color w:val="000000"/>
              </w:rPr>
              <w:t>2024թ. Պետական բյուջե</w:t>
            </w:r>
          </w:p>
        </w:tc>
        <w:tc>
          <w:tcPr>
            <w:tcW w:w="1002" w:type="dxa"/>
            <w:tcBorders>
              <w:top w:val="nil"/>
              <w:left w:val="nil"/>
              <w:bottom w:val="single" w:sz="8" w:space="0" w:color="B4C6E7"/>
              <w:right w:val="single" w:sz="8" w:space="0" w:color="B4C6E7"/>
            </w:tcBorders>
            <w:shd w:val="clear" w:color="auto" w:fill="auto"/>
            <w:vAlign w:val="center"/>
            <w:hideMark/>
          </w:tcPr>
          <w:p w14:paraId="79A54607"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381.3</w:t>
            </w:r>
          </w:p>
        </w:tc>
        <w:tc>
          <w:tcPr>
            <w:tcW w:w="1002" w:type="dxa"/>
            <w:tcBorders>
              <w:top w:val="nil"/>
              <w:left w:val="nil"/>
              <w:bottom w:val="single" w:sz="8" w:space="0" w:color="B4C6E7"/>
              <w:right w:val="single" w:sz="8" w:space="0" w:color="B4C6E7"/>
            </w:tcBorders>
            <w:shd w:val="clear" w:color="auto" w:fill="auto"/>
            <w:vAlign w:val="center"/>
            <w:hideMark/>
          </w:tcPr>
          <w:p w14:paraId="547C6B89"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482.9</w:t>
            </w:r>
          </w:p>
        </w:tc>
        <w:tc>
          <w:tcPr>
            <w:tcW w:w="1002" w:type="dxa"/>
            <w:tcBorders>
              <w:top w:val="nil"/>
              <w:left w:val="nil"/>
              <w:bottom w:val="single" w:sz="8" w:space="0" w:color="B4C6E7"/>
              <w:right w:val="single" w:sz="8" w:space="0" w:color="B4C6E7"/>
            </w:tcBorders>
            <w:shd w:val="clear" w:color="auto" w:fill="auto"/>
            <w:vAlign w:val="center"/>
            <w:hideMark/>
          </w:tcPr>
          <w:p w14:paraId="44363D50"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6FDAF808"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E6A402B"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ascii="Calibri" w:eastAsia="Times New Roman" w:hAnsi="Calibri" w:cs="Calibri"/>
                <w:color w:val="000000"/>
              </w:rPr>
              <w:t> </w:t>
            </w:r>
          </w:p>
        </w:tc>
      </w:tr>
      <w:tr w:rsidR="00595339" w:rsidRPr="00560690" w14:paraId="27B63005" w14:textId="77777777" w:rsidTr="00B0598B">
        <w:trPr>
          <w:trHeight w:val="337"/>
        </w:trPr>
        <w:tc>
          <w:tcPr>
            <w:tcW w:w="1352" w:type="dxa"/>
            <w:vMerge/>
            <w:tcBorders>
              <w:top w:val="nil"/>
              <w:left w:val="single" w:sz="8" w:space="0" w:color="B4C6E7"/>
              <w:bottom w:val="single" w:sz="8" w:space="0" w:color="B4C6E7"/>
              <w:right w:val="single" w:sz="8" w:space="0" w:color="B4C6E7"/>
            </w:tcBorders>
            <w:vAlign w:val="center"/>
            <w:hideMark/>
          </w:tcPr>
          <w:p w14:paraId="027BADB2"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vAlign w:val="center"/>
            <w:hideMark/>
          </w:tcPr>
          <w:p w14:paraId="5DC33F6F"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266560E4"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4.04%</w:t>
            </w:r>
          </w:p>
        </w:tc>
        <w:tc>
          <w:tcPr>
            <w:tcW w:w="1002" w:type="dxa"/>
            <w:tcBorders>
              <w:top w:val="nil"/>
              <w:left w:val="nil"/>
              <w:bottom w:val="single" w:sz="8" w:space="0" w:color="B4C6E7"/>
              <w:right w:val="single" w:sz="8" w:space="0" w:color="B4C6E7"/>
            </w:tcBorders>
            <w:shd w:val="clear" w:color="auto" w:fill="auto"/>
            <w:vAlign w:val="center"/>
            <w:hideMark/>
          </w:tcPr>
          <w:p w14:paraId="1A42D3F6"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4.59%</w:t>
            </w:r>
          </w:p>
        </w:tc>
        <w:tc>
          <w:tcPr>
            <w:tcW w:w="1002" w:type="dxa"/>
            <w:tcBorders>
              <w:top w:val="nil"/>
              <w:left w:val="nil"/>
              <w:bottom w:val="single" w:sz="8" w:space="0" w:color="B4C6E7"/>
              <w:right w:val="single" w:sz="8" w:space="0" w:color="B4C6E7"/>
            </w:tcBorders>
            <w:shd w:val="clear" w:color="auto" w:fill="auto"/>
            <w:vAlign w:val="center"/>
            <w:hideMark/>
          </w:tcPr>
          <w:p w14:paraId="10CA42A3" w14:textId="77777777" w:rsidR="00595339" w:rsidRPr="00560690" w:rsidRDefault="00595339" w:rsidP="00644DF6">
            <w:pPr>
              <w:spacing w:before="0" w:after="0" w:line="240" w:lineRule="auto"/>
              <w:ind w:firstLine="0"/>
              <w:jc w:val="right"/>
              <w:rPr>
                <w:rFonts w:ascii="Calibri" w:eastAsia="Times New Roman" w:hAnsi="Calibri"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noWrap/>
            <w:vAlign w:val="center"/>
            <w:hideMark/>
          </w:tcPr>
          <w:p w14:paraId="3A6B1885" w14:textId="77777777" w:rsidR="00595339" w:rsidRPr="00560690" w:rsidRDefault="00595339" w:rsidP="00644DF6">
            <w:pPr>
              <w:spacing w:before="0" w:after="0" w:line="240" w:lineRule="auto"/>
              <w:ind w:firstLine="0"/>
              <w:jc w:val="right"/>
              <w:rPr>
                <w:rFonts w:ascii="Calibri" w:eastAsia="Times New Roman" w:hAnsi="Calibri"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39986DB9"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ascii="Calibri" w:eastAsia="Times New Roman" w:hAnsi="Calibri" w:cs="Calibri"/>
                <w:i/>
                <w:iCs/>
                <w:color w:val="000000"/>
              </w:rPr>
              <w:t> </w:t>
            </w:r>
          </w:p>
        </w:tc>
      </w:tr>
      <w:tr w:rsidR="00595339" w:rsidRPr="00560690" w14:paraId="761B52E6" w14:textId="77777777" w:rsidTr="00B0598B">
        <w:trPr>
          <w:trHeight w:val="337"/>
        </w:trPr>
        <w:tc>
          <w:tcPr>
            <w:tcW w:w="1352" w:type="dxa"/>
            <w:vMerge w:val="restart"/>
            <w:tcBorders>
              <w:top w:val="single" w:sz="8" w:space="0" w:color="FFFFFF"/>
              <w:left w:val="single" w:sz="8" w:space="0" w:color="B4C6E7"/>
              <w:bottom w:val="single" w:sz="8" w:space="0" w:color="B4C6E7"/>
              <w:right w:val="single" w:sz="8" w:space="0" w:color="B4C6E7"/>
            </w:tcBorders>
            <w:shd w:val="clear" w:color="auto" w:fill="auto"/>
            <w:vAlign w:val="center"/>
            <w:hideMark/>
          </w:tcPr>
          <w:p w14:paraId="135CF32E" w14:textId="77777777" w:rsidR="00595339" w:rsidRPr="00560690" w:rsidRDefault="00595339" w:rsidP="00644DF6">
            <w:pPr>
              <w:spacing w:before="0" w:after="0" w:line="240" w:lineRule="auto"/>
              <w:ind w:firstLine="0"/>
              <w:jc w:val="center"/>
              <w:rPr>
                <w:rFonts w:eastAsia="Times New Roman" w:cs="Calibri"/>
                <w:color w:val="000000"/>
              </w:rPr>
            </w:pPr>
            <w:r w:rsidRPr="00560690">
              <w:rPr>
                <w:rFonts w:eastAsia="Times New Roman" w:cs="Calibri"/>
                <w:color w:val="000000"/>
              </w:rPr>
              <w:t>2024</w:t>
            </w:r>
          </w:p>
        </w:tc>
        <w:tc>
          <w:tcPr>
            <w:tcW w:w="3347" w:type="dxa"/>
            <w:tcBorders>
              <w:top w:val="nil"/>
              <w:left w:val="nil"/>
              <w:bottom w:val="single" w:sz="8" w:space="0" w:color="B4C6E7"/>
              <w:right w:val="single" w:sz="8" w:space="0" w:color="B4C6E7"/>
            </w:tcBorders>
            <w:shd w:val="clear" w:color="auto" w:fill="auto"/>
            <w:noWrap/>
            <w:vAlign w:val="center"/>
            <w:hideMark/>
          </w:tcPr>
          <w:p w14:paraId="6FE9EA80" w14:textId="77777777" w:rsidR="00595339" w:rsidRPr="00560690" w:rsidRDefault="00595339" w:rsidP="00644DF6">
            <w:pPr>
              <w:spacing w:before="0" w:after="0" w:line="240" w:lineRule="auto"/>
              <w:ind w:firstLine="0"/>
              <w:jc w:val="left"/>
              <w:rPr>
                <w:rFonts w:eastAsia="Times New Roman" w:cs="Calibri"/>
                <w:color w:val="000000"/>
              </w:rPr>
            </w:pPr>
            <w:r w:rsidRPr="00560690">
              <w:rPr>
                <w:rFonts w:eastAsia="Times New Roman" w:cs="Calibri"/>
                <w:color w:val="000000"/>
              </w:rPr>
              <w:t xml:space="preserve"> ՄԺԾԾ 2025-2027</w:t>
            </w:r>
          </w:p>
        </w:tc>
        <w:tc>
          <w:tcPr>
            <w:tcW w:w="1002" w:type="dxa"/>
            <w:tcBorders>
              <w:top w:val="nil"/>
              <w:left w:val="nil"/>
              <w:bottom w:val="single" w:sz="8" w:space="0" w:color="B4C6E7"/>
              <w:right w:val="single" w:sz="8" w:space="0" w:color="B4C6E7"/>
            </w:tcBorders>
            <w:shd w:val="clear" w:color="auto" w:fill="auto"/>
            <w:vAlign w:val="center"/>
            <w:hideMark/>
          </w:tcPr>
          <w:p w14:paraId="7BD61294" w14:textId="77777777" w:rsidR="00595339" w:rsidRPr="00560690" w:rsidRDefault="00595339" w:rsidP="00644DF6">
            <w:pPr>
              <w:spacing w:before="0" w:after="0" w:line="240" w:lineRule="auto"/>
              <w:ind w:firstLine="0"/>
              <w:jc w:val="right"/>
              <w:rPr>
                <w:rFonts w:ascii="Calibri" w:eastAsia="Times New Roman" w:hAnsi="Calibri" w:cs="Calibri"/>
                <w:color w:val="000000"/>
              </w:rPr>
            </w:pPr>
            <w:r w:rsidRPr="00560690">
              <w:rPr>
                <w:rFonts w:ascii="Calibri" w:eastAsia="Times New Roman" w:hAnsi="Calibri" w:cs="Calibri"/>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5E93AF20"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482.9</w:t>
            </w:r>
          </w:p>
        </w:tc>
        <w:tc>
          <w:tcPr>
            <w:tcW w:w="1002" w:type="dxa"/>
            <w:tcBorders>
              <w:top w:val="nil"/>
              <w:left w:val="nil"/>
              <w:bottom w:val="single" w:sz="8" w:space="0" w:color="B4C6E7"/>
              <w:right w:val="single" w:sz="8" w:space="0" w:color="B4C6E7"/>
            </w:tcBorders>
            <w:shd w:val="clear" w:color="auto" w:fill="auto"/>
            <w:vAlign w:val="center"/>
            <w:hideMark/>
          </w:tcPr>
          <w:p w14:paraId="62B24619"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615.8</w:t>
            </w:r>
          </w:p>
        </w:tc>
        <w:tc>
          <w:tcPr>
            <w:tcW w:w="1002" w:type="dxa"/>
            <w:tcBorders>
              <w:top w:val="nil"/>
              <w:left w:val="nil"/>
              <w:bottom w:val="single" w:sz="8" w:space="0" w:color="B4C6E7"/>
              <w:right w:val="single" w:sz="8" w:space="0" w:color="B4C6E7"/>
            </w:tcBorders>
            <w:shd w:val="clear" w:color="auto" w:fill="auto"/>
            <w:vAlign w:val="center"/>
            <w:hideMark/>
          </w:tcPr>
          <w:p w14:paraId="6C38275D"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553.9</w:t>
            </w:r>
          </w:p>
        </w:tc>
        <w:tc>
          <w:tcPr>
            <w:tcW w:w="1002" w:type="dxa"/>
            <w:tcBorders>
              <w:top w:val="nil"/>
              <w:left w:val="nil"/>
              <w:bottom w:val="single" w:sz="8" w:space="0" w:color="B4C6E7"/>
              <w:right w:val="single" w:sz="8" w:space="0" w:color="B4C6E7"/>
            </w:tcBorders>
            <w:shd w:val="clear" w:color="auto" w:fill="auto"/>
            <w:vAlign w:val="center"/>
            <w:hideMark/>
          </w:tcPr>
          <w:p w14:paraId="414B0569" w14:textId="77777777" w:rsidR="00595339" w:rsidRPr="00560690" w:rsidRDefault="00595339" w:rsidP="00644DF6">
            <w:pPr>
              <w:spacing w:before="0" w:after="0" w:line="240" w:lineRule="auto"/>
              <w:ind w:firstLine="0"/>
              <w:jc w:val="right"/>
              <w:rPr>
                <w:rFonts w:eastAsia="Times New Roman" w:cs="Calibri"/>
                <w:color w:val="000000"/>
              </w:rPr>
            </w:pPr>
            <w:r w:rsidRPr="00560690">
              <w:rPr>
                <w:rFonts w:eastAsia="Times New Roman" w:cs="Calibri"/>
                <w:color w:val="000000"/>
              </w:rPr>
              <w:t>472.7</w:t>
            </w:r>
          </w:p>
        </w:tc>
      </w:tr>
      <w:tr w:rsidR="00595339" w:rsidRPr="00560690" w14:paraId="1AB0178D" w14:textId="77777777" w:rsidTr="00B0598B">
        <w:trPr>
          <w:trHeight w:val="337"/>
        </w:trPr>
        <w:tc>
          <w:tcPr>
            <w:tcW w:w="1352" w:type="dxa"/>
            <w:vMerge/>
            <w:tcBorders>
              <w:top w:val="single" w:sz="8" w:space="0" w:color="FFFFFF"/>
              <w:left w:val="single" w:sz="8" w:space="0" w:color="B4C6E7"/>
              <w:bottom w:val="single" w:sz="8" w:space="0" w:color="B4C6E7"/>
              <w:right w:val="single" w:sz="8" w:space="0" w:color="B4C6E7"/>
            </w:tcBorders>
            <w:vAlign w:val="center"/>
            <w:hideMark/>
          </w:tcPr>
          <w:p w14:paraId="114845E2" w14:textId="77777777" w:rsidR="00595339" w:rsidRPr="00560690" w:rsidRDefault="00595339" w:rsidP="00644DF6">
            <w:pPr>
              <w:spacing w:before="0" w:after="0" w:line="240" w:lineRule="auto"/>
              <w:ind w:firstLine="0"/>
              <w:jc w:val="left"/>
              <w:rPr>
                <w:rFonts w:eastAsia="Times New Roman" w:cs="Calibri"/>
                <w:color w:val="000000"/>
              </w:rPr>
            </w:pPr>
          </w:p>
        </w:tc>
        <w:tc>
          <w:tcPr>
            <w:tcW w:w="3347" w:type="dxa"/>
            <w:tcBorders>
              <w:top w:val="nil"/>
              <w:left w:val="nil"/>
              <w:bottom w:val="single" w:sz="8" w:space="0" w:color="B4C6E7"/>
              <w:right w:val="single" w:sz="8" w:space="0" w:color="B4C6E7"/>
            </w:tcBorders>
            <w:shd w:val="clear" w:color="auto" w:fill="auto"/>
            <w:vAlign w:val="center"/>
            <w:hideMark/>
          </w:tcPr>
          <w:p w14:paraId="1CAD9A30" w14:textId="77777777" w:rsidR="00595339" w:rsidRPr="00560690" w:rsidRDefault="00595339" w:rsidP="00644DF6">
            <w:pPr>
              <w:spacing w:before="0" w:after="0" w:line="240" w:lineRule="auto"/>
              <w:ind w:firstLine="0"/>
              <w:jc w:val="left"/>
              <w:rPr>
                <w:rFonts w:eastAsia="Times New Roman" w:cs="Calibri"/>
                <w:i/>
                <w:iCs/>
                <w:color w:val="000000"/>
              </w:rPr>
            </w:pPr>
            <w:r w:rsidRPr="00560690">
              <w:rPr>
                <w:rFonts w:eastAsia="Times New Roman" w:cs="Calibri"/>
                <w:i/>
                <w:iCs/>
                <w:color w:val="000000"/>
              </w:rPr>
              <w:t>%-ով՝ ՀՆԱ-ի նկատմամբ</w:t>
            </w:r>
          </w:p>
        </w:tc>
        <w:tc>
          <w:tcPr>
            <w:tcW w:w="1002" w:type="dxa"/>
            <w:tcBorders>
              <w:top w:val="nil"/>
              <w:left w:val="nil"/>
              <w:bottom w:val="single" w:sz="8" w:space="0" w:color="B4C6E7"/>
              <w:right w:val="single" w:sz="8" w:space="0" w:color="B4C6E7"/>
            </w:tcBorders>
            <w:shd w:val="clear" w:color="auto" w:fill="auto"/>
            <w:vAlign w:val="center"/>
            <w:hideMark/>
          </w:tcPr>
          <w:p w14:paraId="4B00E7EC" w14:textId="77777777" w:rsidR="00595339" w:rsidRPr="00560690" w:rsidRDefault="00595339" w:rsidP="00644DF6">
            <w:pPr>
              <w:spacing w:before="0" w:after="0" w:line="240" w:lineRule="auto"/>
              <w:ind w:firstLine="0"/>
              <w:jc w:val="right"/>
              <w:rPr>
                <w:rFonts w:ascii="Calibri" w:eastAsia="Times New Roman" w:hAnsi="Calibri" w:cs="Calibri"/>
                <w:i/>
                <w:iCs/>
                <w:color w:val="000000"/>
              </w:rPr>
            </w:pPr>
            <w:r w:rsidRPr="00560690">
              <w:rPr>
                <w:rFonts w:ascii="Calibri" w:eastAsia="Times New Roman" w:hAnsi="Calibri" w:cs="Calibri"/>
                <w:i/>
                <w:iCs/>
                <w:color w:val="000000"/>
              </w:rPr>
              <w:t> </w:t>
            </w:r>
          </w:p>
        </w:tc>
        <w:tc>
          <w:tcPr>
            <w:tcW w:w="1002" w:type="dxa"/>
            <w:tcBorders>
              <w:top w:val="nil"/>
              <w:left w:val="nil"/>
              <w:bottom w:val="single" w:sz="8" w:space="0" w:color="B4C6E7"/>
              <w:right w:val="single" w:sz="8" w:space="0" w:color="B4C6E7"/>
            </w:tcBorders>
            <w:shd w:val="clear" w:color="auto" w:fill="auto"/>
            <w:vAlign w:val="center"/>
            <w:hideMark/>
          </w:tcPr>
          <w:p w14:paraId="7CCE2352"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4.72%</w:t>
            </w:r>
          </w:p>
        </w:tc>
        <w:tc>
          <w:tcPr>
            <w:tcW w:w="1002" w:type="dxa"/>
            <w:tcBorders>
              <w:top w:val="nil"/>
              <w:left w:val="nil"/>
              <w:bottom w:val="single" w:sz="8" w:space="0" w:color="B4C6E7"/>
              <w:right w:val="single" w:sz="8" w:space="0" w:color="B4C6E7"/>
            </w:tcBorders>
            <w:shd w:val="clear" w:color="auto" w:fill="auto"/>
            <w:vAlign w:val="center"/>
            <w:hideMark/>
          </w:tcPr>
          <w:p w14:paraId="0B2DF1C9"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5.50%</w:t>
            </w:r>
          </w:p>
        </w:tc>
        <w:tc>
          <w:tcPr>
            <w:tcW w:w="1002" w:type="dxa"/>
            <w:tcBorders>
              <w:top w:val="nil"/>
              <w:left w:val="nil"/>
              <w:bottom w:val="single" w:sz="8" w:space="0" w:color="B4C6E7"/>
              <w:right w:val="single" w:sz="8" w:space="0" w:color="B4C6E7"/>
            </w:tcBorders>
            <w:shd w:val="clear" w:color="auto" w:fill="auto"/>
            <w:vAlign w:val="center"/>
            <w:hideMark/>
          </w:tcPr>
          <w:p w14:paraId="7CA15C32"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4.50%</w:t>
            </w:r>
          </w:p>
        </w:tc>
        <w:tc>
          <w:tcPr>
            <w:tcW w:w="1002" w:type="dxa"/>
            <w:tcBorders>
              <w:top w:val="nil"/>
              <w:left w:val="nil"/>
              <w:bottom w:val="single" w:sz="8" w:space="0" w:color="B4C6E7"/>
              <w:right w:val="single" w:sz="8" w:space="0" w:color="B4C6E7"/>
            </w:tcBorders>
            <w:shd w:val="clear" w:color="auto" w:fill="auto"/>
            <w:vAlign w:val="center"/>
            <w:hideMark/>
          </w:tcPr>
          <w:p w14:paraId="555AE27F" w14:textId="77777777" w:rsidR="00595339" w:rsidRPr="00560690" w:rsidRDefault="00595339" w:rsidP="00644DF6">
            <w:pPr>
              <w:spacing w:before="0" w:after="0" w:line="240" w:lineRule="auto"/>
              <w:ind w:firstLine="0"/>
              <w:jc w:val="right"/>
              <w:rPr>
                <w:rFonts w:eastAsia="Times New Roman" w:cs="Calibri"/>
                <w:i/>
                <w:iCs/>
                <w:color w:val="000000"/>
              </w:rPr>
            </w:pPr>
            <w:r w:rsidRPr="00560690">
              <w:rPr>
                <w:rFonts w:eastAsia="Times New Roman" w:cs="Calibri"/>
                <w:i/>
                <w:iCs/>
                <w:color w:val="000000"/>
              </w:rPr>
              <w:t>3.50%</w:t>
            </w:r>
          </w:p>
        </w:tc>
      </w:tr>
    </w:tbl>
    <w:p w14:paraId="487ED445" w14:textId="77777777" w:rsidR="00595339" w:rsidRDefault="00595339">
      <w:pPr>
        <w:spacing w:before="0" w:after="160" w:line="259" w:lineRule="auto"/>
        <w:ind w:firstLine="0"/>
        <w:jc w:val="left"/>
        <w:rPr>
          <w:rFonts w:eastAsiaTheme="majorEastAsia" w:cstheme="majorBidi"/>
          <w:b/>
          <w:bCs/>
          <w:caps/>
          <w:color w:val="44546A" w:themeColor="text2"/>
          <w:sz w:val="24"/>
          <w:szCs w:val="24"/>
          <w:lang w:val="hy-AM"/>
        </w:rPr>
      </w:pPr>
      <w:r>
        <w:rPr>
          <w:sz w:val="24"/>
          <w:szCs w:val="24"/>
          <w:lang w:val="hy-AM"/>
        </w:rPr>
        <w:br w:type="page"/>
      </w:r>
    </w:p>
    <w:p w14:paraId="07D650C3" w14:textId="2565DD2A" w:rsidR="00080175" w:rsidRPr="00197356" w:rsidRDefault="00080175" w:rsidP="00C30825">
      <w:pPr>
        <w:pStyle w:val="Heading2"/>
        <w:tabs>
          <w:tab w:val="left" w:pos="0"/>
        </w:tabs>
        <w:spacing w:before="120" w:after="0" w:line="276" w:lineRule="auto"/>
        <w:rPr>
          <w:sz w:val="24"/>
          <w:szCs w:val="24"/>
        </w:rPr>
      </w:pPr>
      <w:bookmarkStart w:id="108" w:name="_Toc170926311"/>
      <w:r w:rsidRPr="00FE0674">
        <w:rPr>
          <w:sz w:val="24"/>
          <w:szCs w:val="24"/>
          <w:lang w:val="hy-AM"/>
        </w:rPr>
        <w:lastRenderedPageBreak/>
        <w:t>ԳԼՈՒԽ 3</w:t>
      </w:r>
      <w:r w:rsidRPr="00197356">
        <w:rPr>
          <w:sz w:val="24"/>
          <w:szCs w:val="24"/>
          <w:lang w:val="hy-AM"/>
        </w:rPr>
        <w:t xml:space="preserve">. </w:t>
      </w:r>
      <w:r w:rsidRPr="00197356">
        <w:rPr>
          <w:sz w:val="24"/>
          <w:szCs w:val="24"/>
        </w:rPr>
        <w:t>ՀՀ 202</w:t>
      </w:r>
      <w:r w:rsidR="00197356">
        <w:rPr>
          <w:sz w:val="24"/>
          <w:szCs w:val="24"/>
        </w:rPr>
        <w:t>5</w:t>
      </w:r>
      <w:r w:rsidRPr="00197356">
        <w:rPr>
          <w:sz w:val="24"/>
          <w:szCs w:val="24"/>
        </w:rPr>
        <w:t>–202</w:t>
      </w:r>
      <w:r w:rsidR="00197356">
        <w:rPr>
          <w:sz w:val="24"/>
          <w:szCs w:val="24"/>
        </w:rPr>
        <w:t>7</w:t>
      </w:r>
      <w:r w:rsidRPr="00197356">
        <w:rPr>
          <w:sz w:val="24"/>
          <w:szCs w:val="24"/>
        </w:rPr>
        <w:t>ԹԹ ՊԵՏԱԿԱՆ ԲՅՈՒՋԵՆԵՐԻ ԵԿԱՄՈՒՏՆԵՐԻ ՔԱՂԱՔԱԿԱՆՈՒԹՅՈՒՆ ԵՎ ԿԱՆԽԱՏԵՍՈՒՄ</w:t>
      </w:r>
      <w:bookmarkEnd w:id="25"/>
      <w:bookmarkEnd w:id="26"/>
      <w:bookmarkEnd w:id="27"/>
      <w:bookmarkEnd w:id="28"/>
      <w:bookmarkEnd w:id="108"/>
    </w:p>
    <w:p w14:paraId="43E50AB4" w14:textId="45CB7C9D" w:rsidR="00080175" w:rsidRDefault="00080175" w:rsidP="00C30825">
      <w:pPr>
        <w:pStyle w:val="Heading3"/>
        <w:tabs>
          <w:tab w:val="left" w:pos="0"/>
        </w:tabs>
        <w:spacing w:before="120" w:after="0" w:line="276" w:lineRule="auto"/>
        <w:rPr>
          <w:rFonts w:eastAsia="Times New Roman" w:cs="Times New Roman"/>
          <w:caps w:val="0"/>
          <w:color w:val="44546A" w:themeColor="text2"/>
          <w:sz w:val="24"/>
          <w:szCs w:val="24"/>
        </w:rPr>
      </w:pPr>
      <w:bookmarkStart w:id="109" w:name="_Toc77356416"/>
      <w:bookmarkStart w:id="110" w:name="_Toc170926312"/>
      <w:r w:rsidRPr="00197356">
        <w:rPr>
          <w:rFonts w:eastAsia="Times New Roman" w:cs="Times New Roman"/>
          <w:caps w:val="0"/>
          <w:color w:val="44546A" w:themeColor="text2"/>
          <w:sz w:val="24"/>
          <w:szCs w:val="24"/>
        </w:rPr>
        <w:t xml:space="preserve">3.1. </w:t>
      </w:r>
      <w:bookmarkStart w:id="111" w:name="_Toc519513625"/>
      <w:bookmarkStart w:id="112" w:name="_Toc13837283"/>
      <w:bookmarkStart w:id="113" w:name="_Toc45838529"/>
      <w:r w:rsidRPr="00197356">
        <w:rPr>
          <w:rFonts w:eastAsia="Times New Roman" w:cs="Times New Roman"/>
          <w:caps w:val="0"/>
          <w:color w:val="44546A" w:themeColor="text2"/>
          <w:sz w:val="24"/>
          <w:szCs w:val="24"/>
        </w:rPr>
        <w:t>ՊԵՏԱԿԱՆ ԵԿԱՄՈՒՏՆԵՐԻ ՔԱՂԱՔԱԿԱՆՈՒԹՅԱՆ ՀԻՄՆԱԿԱՆ ԱՌԱՆՁՆԱՀԱՏԿՈՒԹՅՈՒՆՆԵՐԸ 202</w:t>
      </w:r>
      <w:r w:rsidR="00197356" w:rsidRPr="00197356">
        <w:rPr>
          <w:rFonts w:eastAsia="Times New Roman" w:cs="Times New Roman"/>
          <w:caps w:val="0"/>
          <w:color w:val="44546A" w:themeColor="text2"/>
          <w:sz w:val="24"/>
          <w:szCs w:val="24"/>
          <w:lang w:val="es-ES"/>
        </w:rPr>
        <w:t>5</w:t>
      </w:r>
      <w:r w:rsidRPr="00197356">
        <w:rPr>
          <w:rFonts w:eastAsia="Times New Roman" w:cs="Times New Roman"/>
          <w:caps w:val="0"/>
          <w:color w:val="44546A" w:themeColor="text2"/>
          <w:sz w:val="24"/>
          <w:szCs w:val="24"/>
        </w:rPr>
        <w:t>-202</w:t>
      </w:r>
      <w:r w:rsidR="00197356" w:rsidRPr="00197356">
        <w:rPr>
          <w:rFonts w:eastAsia="Times New Roman" w:cs="Times New Roman"/>
          <w:caps w:val="0"/>
          <w:color w:val="44546A" w:themeColor="text2"/>
          <w:sz w:val="24"/>
          <w:szCs w:val="24"/>
          <w:lang w:val="es-ES"/>
        </w:rPr>
        <w:t>7</w:t>
      </w:r>
      <w:r w:rsidRPr="00197356">
        <w:rPr>
          <w:rFonts w:eastAsia="Times New Roman" w:cs="Times New Roman"/>
          <w:caps w:val="0"/>
          <w:color w:val="44546A" w:themeColor="text2"/>
          <w:sz w:val="24"/>
          <w:szCs w:val="24"/>
        </w:rPr>
        <w:t xml:space="preserve"> ԹՎԱԿԱՆՆԵՐԻՆ</w:t>
      </w:r>
      <w:bookmarkEnd w:id="109"/>
      <w:bookmarkEnd w:id="110"/>
      <w:bookmarkEnd w:id="111"/>
      <w:bookmarkEnd w:id="112"/>
      <w:bookmarkEnd w:id="113"/>
    </w:p>
    <w:p w14:paraId="44D86844" w14:textId="77777777" w:rsidR="00080175" w:rsidRPr="002B0611" w:rsidRDefault="00080175" w:rsidP="00C30825">
      <w:pPr>
        <w:tabs>
          <w:tab w:val="left" w:pos="0"/>
        </w:tabs>
        <w:spacing w:before="120" w:after="0" w:line="276" w:lineRule="auto"/>
        <w:ind w:firstLine="0"/>
        <w:rPr>
          <w:lang w:val="hy-AM"/>
        </w:rPr>
      </w:pPr>
    </w:p>
    <w:p w14:paraId="1FA72B8F" w14:textId="77777777" w:rsidR="00B22F47" w:rsidRDefault="00B22F47" w:rsidP="005824C8">
      <w:pPr>
        <w:tabs>
          <w:tab w:val="left" w:pos="0"/>
          <w:tab w:val="left" w:pos="567"/>
        </w:tabs>
        <w:spacing w:before="120" w:after="0" w:line="276" w:lineRule="auto"/>
        <w:ind w:firstLine="0"/>
        <w:rPr>
          <w:szCs w:val="20"/>
          <w:lang w:val="hy-AM" w:eastAsia="x-none"/>
        </w:rPr>
      </w:pPr>
      <w:bookmarkStart w:id="114" w:name="_Toc14687620"/>
      <w:bookmarkStart w:id="115" w:name="_Toc45838530"/>
      <w:bookmarkStart w:id="116" w:name="_Toc77356417"/>
      <w:bookmarkStart w:id="117" w:name="_Toc519513627"/>
      <w:bookmarkStart w:id="118" w:name="_Toc13837285"/>
      <w:r>
        <w:rPr>
          <w:szCs w:val="20"/>
          <w:lang w:val="hy-AM" w:eastAsia="x-none"/>
        </w:rPr>
        <w:t>ՄԺԾԾ առանցքային հարցերից են պետական եկամուտների վարչարարության ուղղությունները և դրանց կանխատեսելիությունը միջնաժամկետ հեռանկարում: Պետական ծախ</w:t>
      </w:r>
      <w:r>
        <w:rPr>
          <w:szCs w:val="20"/>
          <w:lang w:val="hy-AM" w:eastAsia="x-none"/>
        </w:rPr>
        <w:softHyphen/>
        <w:t>սե</w:t>
      </w:r>
      <w:r>
        <w:rPr>
          <w:szCs w:val="20"/>
          <w:lang w:val="hy-AM" w:eastAsia="x-none"/>
        </w:rPr>
        <w:softHyphen/>
        <w:t>րը ներքին ֆի</w:t>
      </w:r>
      <w:r>
        <w:rPr>
          <w:szCs w:val="20"/>
          <w:lang w:val="hy-AM" w:eastAsia="x-none"/>
        </w:rPr>
        <w:softHyphen/>
        <w:t>նան</w:t>
      </w:r>
      <w:r>
        <w:rPr>
          <w:szCs w:val="20"/>
          <w:lang w:val="hy-AM" w:eastAsia="x-none"/>
        </w:rPr>
        <w:softHyphen/>
        <w:t>սական ռե</w:t>
      </w:r>
      <w:r>
        <w:rPr>
          <w:szCs w:val="20"/>
          <w:lang w:val="hy-AM" w:eastAsia="x-none"/>
        </w:rPr>
        <w:softHyphen/>
        <w:t>սուրս</w:t>
      </w:r>
      <w:r>
        <w:rPr>
          <w:szCs w:val="20"/>
          <w:lang w:val="hy-AM" w:eastAsia="x-none"/>
        </w:rPr>
        <w:softHyphen/>
      </w:r>
      <w:r>
        <w:rPr>
          <w:szCs w:val="20"/>
          <w:lang w:val="hy-AM" w:eastAsia="x-none"/>
        </w:rPr>
        <w:softHyphen/>
        <w:t>ներով ապահովելու պահանջը, ինչպես և նախորդ տարիներին, կառավարության հիմնա</w:t>
      </w:r>
      <w:r>
        <w:rPr>
          <w:szCs w:val="20"/>
          <w:lang w:val="hy-AM" w:eastAsia="x-none"/>
        </w:rPr>
        <w:softHyphen/>
        <w:t>կան խնդիրն է, որի լուծումը ՀՀ կառավարությանը հնարավո</w:t>
      </w:r>
      <w:r>
        <w:rPr>
          <w:szCs w:val="20"/>
          <w:lang w:val="hy-AM" w:eastAsia="x-none"/>
        </w:rPr>
        <w:softHyphen/>
        <w:t>րություն է ընձեռում ի հաշիվ սե</w:t>
      </w:r>
      <w:r>
        <w:rPr>
          <w:szCs w:val="20"/>
          <w:lang w:val="hy-AM" w:eastAsia="x-none"/>
        </w:rPr>
        <w:softHyphen/>
        <w:t>փա</w:t>
      </w:r>
      <w:r>
        <w:rPr>
          <w:szCs w:val="20"/>
          <w:lang w:val="hy-AM" w:eastAsia="x-none"/>
        </w:rPr>
        <w:softHyphen/>
        <w:t>կան ռեսուրսների իրականացնել արդ</w:t>
      </w:r>
      <w:r>
        <w:rPr>
          <w:szCs w:val="20"/>
          <w:lang w:val="hy-AM" w:eastAsia="x-none"/>
        </w:rPr>
        <w:softHyphen/>
        <w:t>յու</w:t>
      </w:r>
      <w:r>
        <w:rPr>
          <w:szCs w:val="20"/>
          <w:lang w:val="hy-AM" w:eastAsia="x-none"/>
        </w:rPr>
        <w:softHyphen/>
        <w:t>նա</w:t>
      </w:r>
      <w:r>
        <w:rPr>
          <w:szCs w:val="20"/>
          <w:lang w:val="hy-AM" w:eastAsia="x-none"/>
        </w:rPr>
        <w:softHyphen/>
      </w:r>
      <w:r>
        <w:rPr>
          <w:szCs w:val="20"/>
          <w:lang w:val="hy-AM" w:eastAsia="x-none"/>
        </w:rPr>
        <w:softHyphen/>
        <w:t>վետ ծախ</w:t>
      </w:r>
      <w:r>
        <w:rPr>
          <w:szCs w:val="20"/>
          <w:lang w:val="hy-AM" w:eastAsia="x-none"/>
        </w:rPr>
        <w:softHyphen/>
        <w:t>սային քաղաքականություն: Այս թիրախի հա</w:t>
      </w:r>
      <w:r>
        <w:rPr>
          <w:szCs w:val="20"/>
          <w:lang w:val="hy-AM" w:eastAsia="x-none"/>
        </w:rPr>
        <w:softHyphen/>
        <w:t>սա</w:t>
      </w:r>
      <w:r>
        <w:rPr>
          <w:szCs w:val="20"/>
          <w:lang w:val="hy-AM" w:eastAsia="x-none"/>
        </w:rPr>
        <w:softHyphen/>
        <w:t>նելի</w:t>
      </w:r>
      <w:r>
        <w:rPr>
          <w:szCs w:val="20"/>
          <w:lang w:val="hy-AM" w:eastAsia="x-none"/>
        </w:rPr>
        <w:softHyphen/>
        <w:t>ության տե</w:t>
      </w:r>
      <w:r>
        <w:rPr>
          <w:szCs w:val="20"/>
          <w:lang w:val="hy-AM" w:eastAsia="x-none"/>
        </w:rPr>
        <w:softHyphen/>
        <w:t>սանկ</w:t>
      </w:r>
      <w:r>
        <w:rPr>
          <w:szCs w:val="20"/>
          <w:lang w:val="hy-AM" w:eastAsia="x-none"/>
        </w:rPr>
        <w:softHyphen/>
        <w:t>յու</w:t>
      </w:r>
      <w:r>
        <w:rPr>
          <w:szCs w:val="20"/>
          <w:lang w:val="hy-AM" w:eastAsia="x-none"/>
        </w:rPr>
        <w:softHyphen/>
        <w:t>նից առավել ընդ</w:t>
      </w:r>
      <w:r>
        <w:rPr>
          <w:szCs w:val="20"/>
          <w:lang w:val="hy-AM" w:eastAsia="x-none"/>
        </w:rPr>
        <w:softHyphen/>
        <w:t>գծ</w:t>
      </w:r>
      <w:r>
        <w:rPr>
          <w:szCs w:val="20"/>
          <w:lang w:val="hy-AM" w:eastAsia="x-none"/>
        </w:rPr>
        <w:softHyphen/>
        <w:t>վում է հարկային եկամուտների դերը:</w:t>
      </w:r>
    </w:p>
    <w:p w14:paraId="6B3ECFDC" w14:textId="77777777" w:rsidR="00B22F47" w:rsidRDefault="00B22F47" w:rsidP="005824C8">
      <w:pPr>
        <w:tabs>
          <w:tab w:val="left" w:pos="0"/>
          <w:tab w:val="left" w:pos="567"/>
        </w:tabs>
        <w:spacing w:before="120" w:after="0" w:line="276" w:lineRule="auto"/>
        <w:ind w:firstLine="0"/>
        <w:rPr>
          <w:szCs w:val="20"/>
          <w:highlight w:val="yellow"/>
          <w:lang w:val="hy-AM" w:eastAsia="x-none"/>
        </w:rPr>
      </w:pPr>
      <w:r>
        <w:rPr>
          <w:szCs w:val="20"/>
          <w:lang w:val="hy-AM" w:eastAsia="x-none"/>
        </w:rPr>
        <w:tab/>
        <w:t>Միջնաժամկետ հատվածում հարկային եկամուտների չափը մե</w:t>
      </w:r>
      <w:r>
        <w:rPr>
          <w:szCs w:val="20"/>
          <w:lang w:val="hy-AM" w:eastAsia="x-none"/>
        </w:rPr>
        <w:softHyphen/>
        <w:t>ծա</w:t>
      </w:r>
      <w:r>
        <w:rPr>
          <w:szCs w:val="20"/>
          <w:lang w:val="hy-AM" w:eastAsia="x-none"/>
        </w:rPr>
        <w:softHyphen/>
        <w:t>պես կախվածության մեջ կլինի մի կող</w:t>
      </w:r>
      <w:r>
        <w:rPr>
          <w:szCs w:val="20"/>
          <w:lang w:val="hy-AM" w:eastAsia="x-none"/>
        </w:rPr>
        <w:softHyphen/>
        <w:t>մից մակրոտնտե</w:t>
      </w:r>
      <w:r>
        <w:rPr>
          <w:szCs w:val="20"/>
          <w:lang w:val="hy-AM" w:eastAsia="x-none"/>
        </w:rPr>
        <w:softHyphen/>
        <w:t>սական զար</w:t>
      </w:r>
      <w:r>
        <w:rPr>
          <w:szCs w:val="20"/>
          <w:lang w:val="hy-AM" w:eastAsia="x-none"/>
        </w:rPr>
        <w:softHyphen/>
        <w:t>գացում</w:t>
      </w:r>
      <w:r>
        <w:rPr>
          <w:szCs w:val="20"/>
          <w:lang w:val="hy-AM" w:eastAsia="x-none"/>
        </w:rPr>
        <w:softHyphen/>
        <w:t>նե</w:t>
      </w:r>
      <w:r>
        <w:rPr>
          <w:szCs w:val="20"/>
          <w:lang w:val="hy-AM" w:eastAsia="x-none"/>
        </w:rPr>
        <w:softHyphen/>
        <w:t>րի կանխա</w:t>
      </w:r>
      <w:r>
        <w:rPr>
          <w:szCs w:val="20"/>
          <w:lang w:val="hy-AM" w:eastAsia="x-none"/>
        </w:rPr>
        <w:softHyphen/>
        <w:t>տեսվող և արձանագրվելիք միտումների հա</w:t>
      </w:r>
      <w:r>
        <w:rPr>
          <w:szCs w:val="20"/>
          <w:lang w:val="hy-AM" w:eastAsia="x-none"/>
        </w:rPr>
        <w:softHyphen/>
        <w:t>մա</w:t>
      </w:r>
      <w:r>
        <w:rPr>
          <w:szCs w:val="20"/>
          <w:lang w:val="hy-AM" w:eastAsia="x-none"/>
        </w:rPr>
        <w:softHyphen/>
        <w:t>պա</w:t>
      </w:r>
      <w:r>
        <w:rPr>
          <w:szCs w:val="20"/>
          <w:lang w:val="hy-AM" w:eastAsia="x-none"/>
        </w:rPr>
        <w:softHyphen/>
        <w:t>տասխանու</w:t>
      </w:r>
      <w:r>
        <w:rPr>
          <w:szCs w:val="20"/>
          <w:lang w:val="hy-AM" w:eastAsia="x-none"/>
        </w:rPr>
        <w:softHyphen/>
        <w:t>թյունից, իսկ մյուս կողմից` հարկ վճարողների վարքագծից ու ՀՀ կա</w:t>
      </w:r>
      <w:r>
        <w:rPr>
          <w:szCs w:val="20"/>
          <w:lang w:val="hy-AM" w:eastAsia="x-none"/>
        </w:rPr>
        <w:softHyphen/>
        <w:t>ռա</w:t>
      </w:r>
      <w:r>
        <w:rPr>
          <w:szCs w:val="20"/>
          <w:lang w:val="hy-AM" w:eastAsia="x-none"/>
        </w:rPr>
        <w:softHyphen/>
        <w:t>վա</w:t>
      </w:r>
      <w:r>
        <w:rPr>
          <w:szCs w:val="20"/>
          <w:lang w:val="hy-AM" w:eastAsia="x-none"/>
        </w:rPr>
        <w:softHyphen/>
        <w:t>րու</w:t>
      </w:r>
      <w:r>
        <w:rPr>
          <w:szCs w:val="20"/>
          <w:lang w:val="hy-AM" w:eastAsia="x-none"/>
        </w:rPr>
        <w:softHyphen/>
        <w:t>թյան վար</w:t>
      </w:r>
      <w:r>
        <w:rPr>
          <w:szCs w:val="20"/>
          <w:lang w:val="hy-AM" w:eastAsia="x-none"/>
        </w:rPr>
        <w:softHyphen/>
        <w:t>չարարական միջոցա</w:t>
      </w:r>
      <w:r>
        <w:rPr>
          <w:szCs w:val="20"/>
          <w:lang w:val="hy-AM" w:eastAsia="x-none"/>
        </w:rPr>
        <w:softHyphen/>
        <w:t>ռում</w:t>
      </w:r>
      <w:r>
        <w:rPr>
          <w:szCs w:val="20"/>
          <w:lang w:val="hy-AM" w:eastAsia="x-none"/>
        </w:rPr>
        <w:softHyphen/>
        <w:t>նե</w:t>
      </w:r>
      <w:r>
        <w:rPr>
          <w:szCs w:val="20"/>
          <w:lang w:val="hy-AM" w:eastAsia="x-none"/>
        </w:rPr>
        <w:softHyphen/>
        <w:t>րի և օրենսդրական փոփոխությունների իրա</w:t>
      </w:r>
      <w:r>
        <w:rPr>
          <w:szCs w:val="20"/>
          <w:lang w:val="hy-AM" w:eastAsia="x-none"/>
        </w:rPr>
        <w:softHyphen/>
        <w:t>կա</w:t>
      </w:r>
      <w:r>
        <w:rPr>
          <w:szCs w:val="20"/>
          <w:lang w:val="hy-AM" w:eastAsia="x-none"/>
        </w:rPr>
        <w:softHyphen/>
        <w:t>նացման արդ</w:t>
      </w:r>
      <w:r>
        <w:rPr>
          <w:szCs w:val="20"/>
          <w:lang w:val="hy-AM" w:eastAsia="x-none"/>
        </w:rPr>
        <w:softHyphen/>
        <w:t>յու</w:t>
      </w:r>
      <w:r>
        <w:rPr>
          <w:szCs w:val="20"/>
          <w:lang w:val="hy-AM" w:eastAsia="x-none"/>
        </w:rPr>
        <w:softHyphen/>
        <w:t>նա</w:t>
      </w:r>
      <w:r>
        <w:rPr>
          <w:szCs w:val="20"/>
          <w:lang w:val="hy-AM" w:eastAsia="x-none"/>
        </w:rPr>
        <w:softHyphen/>
        <w:t>վետու</w:t>
      </w:r>
      <w:r>
        <w:rPr>
          <w:szCs w:val="20"/>
          <w:lang w:val="hy-AM" w:eastAsia="x-none"/>
        </w:rPr>
        <w:softHyphen/>
        <w:t xml:space="preserve">թյունից: </w:t>
      </w:r>
    </w:p>
    <w:p w14:paraId="63B90CA0" w14:textId="77777777" w:rsidR="00B22F47" w:rsidRDefault="00B22F47" w:rsidP="005824C8">
      <w:pPr>
        <w:tabs>
          <w:tab w:val="left" w:pos="0"/>
        </w:tabs>
        <w:spacing w:before="120" w:after="0" w:line="276" w:lineRule="auto"/>
        <w:ind w:firstLine="0"/>
        <w:rPr>
          <w:rFonts w:cs="Sylfaen"/>
          <w:b/>
          <w:bCs/>
          <w:iCs/>
          <w:highlight w:val="yellow"/>
          <w:lang w:val="af-ZA" w:eastAsia="en-GB"/>
        </w:rPr>
      </w:pPr>
    </w:p>
    <w:p w14:paraId="4D2650EF" w14:textId="77777777" w:rsidR="00B22F47" w:rsidRDefault="00B22F47" w:rsidP="005824C8">
      <w:pPr>
        <w:tabs>
          <w:tab w:val="left" w:pos="0"/>
        </w:tabs>
        <w:spacing w:before="120" w:after="0" w:line="276" w:lineRule="auto"/>
        <w:ind w:firstLine="0"/>
        <w:rPr>
          <w:rFonts w:eastAsia="MS Mincho" w:cs="MS Mincho"/>
          <w:b/>
          <w:bCs/>
          <w:iCs/>
          <w:lang w:val="hy-AM" w:eastAsia="en-GB"/>
        </w:rPr>
      </w:pPr>
      <w:r>
        <w:rPr>
          <w:rFonts w:cs="Sylfaen"/>
          <w:b/>
          <w:bCs/>
          <w:iCs/>
          <w:lang w:val="hy-AM" w:eastAsia="en-GB"/>
        </w:rPr>
        <w:tab/>
        <w:t>Հարկային ե</w:t>
      </w:r>
      <w:r>
        <w:rPr>
          <w:rFonts w:cs="Sylfaen"/>
          <w:b/>
          <w:bCs/>
          <w:iCs/>
          <w:lang w:val="af-ZA" w:eastAsia="en-GB"/>
        </w:rPr>
        <w:t xml:space="preserve">կամուտների </w:t>
      </w:r>
      <w:r>
        <w:rPr>
          <w:rFonts w:cs="Sylfaen"/>
          <w:b/>
          <w:bCs/>
          <w:iCs/>
          <w:lang w:val="hy-AM" w:eastAsia="en-GB"/>
        </w:rPr>
        <w:t xml:space="preserve">վարչարարության </w:t>
      </w:r>
      <w:r>
        <w:rPr>
          <w:rFonts w:cs="Sylfaen"/>
          <w:b/>
          <w:bCs/>
          <w:iCs/>
          <w:lang w:val="af-ZA" w:eastAsia="en-GB"/>
        </w:rPr>
        <w:t>հիմնական նպատակները</w:t>
      </w:r>
      <w:r>
        <w:rPr>
          <w:rFonts w:ascii="Cambria Math" w:eastAsia="MS Mincho" w:hAnsi="Cambria Math" w:cs="Cambria Math"/>
          <w:b/>
          <w:bCs/>
          <w:iCs/>
          <w:lang w:val="hy-AM" w:eastAsia="en-GB"/>
        </w:rPr>
        <w:t>․</w:t>
      </w:r>
    </w:p>
    <w:p w14:paraId="51FBAF80" w14:textId="77777777" w:rsidR="00B22F47" w:rsidRDefault="00B22F47" w:rsidP="005824C8">
      <w:pPr>
        <w:tabs>
          <w:tab w:val="left" w:pos="0"/>
          <w:tab w:val="left" w:pos="567"/>
        </w:tabs>
        <w:spacing w:before="120" w:after="0" w:line="276" w:lineRule="auto"/>
        <w:ind w:firstLine="0"/>
        <w:rPr>
          <w:szCs w:val="20"/>
          <w:lang w:val="hy-AM" w:eastAsia="x-none"/>
        </w:rPr>
      </w:pPr>
      <w:r>
        <w:rPr>
          <w:szCs w:val="20"/>
          <w:lang w:val="hy-AM" w:eastAsia="x-none"/>
        </w:rPr>
        <w:tab/>
        <w:t>Պետության հարկային և մաքսային համակարգի արդյունավետությունն ուղղակիորեն կախված է հարկային և մաքսային վարչարարության արդյունավետ մեթոդների, գործիքների, հմուտ և բանիմաց կադրային ռեսուրսների առկայությունից, ինչպես նաև տնտեսական զարգացումներին և օրենսդրական փոփոխություններին համահունչ ճկուն, արագ արձագանքող մեխանիզմների ու մոտեցումների կիրա</w:t>
      </w:r>
      <w:r>
        <w:rPr>
          <w:szCs w:val="20"/>
          <w:lang w:val="hy-AM" w:eastAsia="x-none"/>
        </w:rPr>
        <w:softHyphen/>
        <w:t>ռումից։</w:t>
      </w:r>
    </w:p>
    <w:p w14:paraId="3F8890B3" w14:textId="77777777" w:rsidR="00B22F47" w:rsidRDefault="00B22F47" w:rsidP="005824C8">
      <w:pPr>
        <w:tabs>
          <w:tab w:val="left" w:pos="0"/>
          <w:tab w:val="left" w:pos="567"/>
        </w:tabs>
        <w:spacing w:before="120" w:after="0" w:line="276" w:lineRule="auto"/>
        <w:ind w:firstLine="0"/>
        <w:rPr>
          <w:szCs w:val="20"/>
          <w:lang w:val="hy-AM" w:eastAsia="x-none"/>
        </w:rPr>
      </w:pPr>
      <w:r>
        <w:rPr>
          <w:szCs w:val="20"/>
          <w:lang w:val="hy-AM" w:eastAsia="x-none"/>
        </w:rPr>
        <w:tab/>
      </w:r>
      <w:r>
        <w:rPr>
          <w:color w:val="212121"/>
          <w:shd w:val="clear" w:color="auto" w:fill="FFFFFF"/>
          <w:lang w:val="hy-AM"/>
        </w:rPr>
        <w:t>Հարկային և մաքսային համակարգի հարկաբյուջետային գործառույթն առանցքային նշանակու</w:t>
      </w:r>
      <w:r>
        <w:rPr>
          <w:color w:val="212121"/>
          <w:shd w:val="clear" w:color="auto" w:fill="FFFFFF"/>
          <w:lang w:val="hy-AM"/>
        </w:rPr>
        <w:softHyphen/>
        <w:t>թյուն ունի տնտեսության զարգացման համար, որի արդյունավետ իրականացումն առավել հրատապ է դառնում հատկապես տնտեսական ու գործարար միջավայրի փոփոխությունների, ինչպես նաև արտա</w:t>
      </w:r>
      <w:r>
        <w:rPr>
          <w:color w:val="212121"/>
          <w:shd w:val="clear" w:color="auto" w:fill="FFFFFF"/>
          <w:lang w:val="hy-AM"/>
        </w:rPr>
        <w:softHyphen/>
        <w:t>կարգ իրավիճակների պայմաններում:</w:t>
      </w:r>
      <w:r>
        <w:rPr>
          <w:szCs w:val="20"/>
          <w:lang w:val="hy-AM" w:eastAsia="x-none"/>
        </w:rPr>
        <w:t xml:space="preserve"> ՀՀ կառավարության գործունեության ծրագրով, ինչպես նաև ՀՀ կառավարության այլ ռազմավարական փաստաթղթերով սահմանված՝ հարկային ու մաքսային վարչարարության բարելավման ուղենիշների իրագործման նպատակով ՀՀ կառավարության 2019 թվականի դեկտեմբերի 12-ի թիվ 1830-Լ որոշմամբ հաստատվել է ՀՀ ՊԵԿ զարգացման և վարչա</w:t>
      </w:r>
      <w:r>
        <w:rPr>
          <w:szCs w:val="20"/>
          <w:lang w:val="hy-AM" w:eastAsia="x-none"/>
        </w:rPr>
        <w:softHyphen/>
        <w:t>րարության բարելավման ռազմավարական ծրագիրը: Ռազմավարական ծրագրով ՊԵԿ կողմից իրակա</w:t>
      </w:r>
      <w:r>
        <w:rPr>
          <w:szCs w:val="20"/>
          <w:lang w:val="hy-AM" w:eastAsia="x-none"/>
        </w:rPr>
        <w:softHyphen/>
        <w:t>նացվող բարեփոխումներն ուղղված են հարկային ու մաքսային վարչարարության պարզեցմանը, դրա արդյունավետության բարձրացմանը, իրավախախտումների կանխարգելմանը, ենթակառուցվածք</w:t>
      </w:r>
      <w:r>
        <w:rPr>
          <w:szCs w:val="20"/>
          <w:lang w:val="hy-AM" w:eastAsia="x-none"/>
        </w:rPr>
        <w:softHyphen/>
        <w:t>ների արդիականացմանը, հարկ վճարողներին թվային տեխնոլոգիաների վրա հիմնված սպասարկման ծառայությունների տրամադրանը, հարկ վճարող-ՊԵԿ համագործակցության և վստահության ամրա</w:t>
      </w:r>
      <w:r>
        <w:rPr>
          <w:szCs w:val="20"/>
          <w:lang w:val="hy-AM" w:eastAsia="x-none"/>
        </w:rPr>
        <w:softHyphen/>
        <w:t>պնդմանը՝ նպատակ ունենալով հասարակության մեջ արմատավորել կամավոր հարկային կարգա</w:t>
      </w:r>
      <w:r>
        <w:rPr>
          <w:szCs w:val="20"/>
          <w:lang w:val="hy-AM" w:eastAsia="x-none"/>
        </w:rPr>
        <w:softHyphen/>
        <w:t>պահությունը: Միաժամանակ, տնտեսական և գործարար միջավայրում շարունակական փոփոխություն</w:t>
      </w:r>
      <w:r>
        <w:rPr>
          <w:szCs w:val="20"/>
          <w:lang w:val="hy-AM" w:eastAsia="x-none"/>
        </w:rPr>
        <w:softHyphen/>
        <w:t xml:space="preserve">ներն </w:t>
      </w:r>
      <w:r>
        <w:rPr>
          <w:szCs w:val="20"/>
          <w:lang w:val="hy-AM" w:eastAsia="x-none"/>
        </w:rPr>
        <w:lastRenderedPageBreak/>
        <w:t>անհրաժեշտություն են ստեղծում կանխատեսել նոր մարտահրավերները, սահմանել նոր ռազմա</w:t>
      </w:r>
      <w:r>
        <w:rPr>
          <w:szCs w:val="20"/>
          <w:lang w:val="hy-AM" w:eastAsia="x-none"/>
        </w:rPr>
        <w:softHyphen/>
        <w:t>վարական նպատակներ և համապատասխան քայլեր ձեռնարկել դրանք իրագործելու համար: Այդ տեսանկյունից ՊԵԿ ռազմավարությունը պարբերաբար ուսումնասիրվում է` ՀՀ կառավարության կողմից սահմանված բարեփոխումների առաջնահերթություններին ու ժամանակի առաջ քաշած պահանջներին համապատասխանեցնելու նպատակով:</w:t>
      </w:r>
    </w:p>
    <w:p w14:paraId="7523FCA3" w14:textId="09D5248C" w:rsidR="00B22F47" w:rsidRDefault="00B22F47" w:rsidP="005824C8">
      <w:pPr>
        <w:tabs>
          <w:tab w:val="left" w:pos="0"/>
          <w:tab w:val="left" w:pos="567"/>
        </w:tabs>
        <w:spacing w:before="120" w:after="0" w:line="276" w:lineRule="auto"/>
        <w:ind w:firstLine="0"/>
        <w:rPr>
          <w:rFonts w:ascii="Cambria Math" w:eastAsia="MS Mincho" w:hAnsi="Cambria Math" w:cs="Cambria Math"/>
          <w:iCs/>
          <w:lang w:val="af-ZA" w:eastAsia="en-GB"/>
        </w:rPr>
      </w:pPr>
      <w:r>
        <w:rPr>
          <w:szCs w:val="20"/>
          <w:lang w:val="hy-AM" w:eastAsia="x-none"/>
        </w:rPr>
        <w:tab/>
      </w:r>
      <w:r>
        <w:rPr>
          <w:rFonts w:cs="Sylfaen"/>
          <w:iCs/>
          <w:lang w:val="hy-AM" w:eastAsia="en-GB"/>
        </w:rPr>
        <w:t>Միջնաժամկետ հատվածում</w:t>
      </w:r>
      <w:r>
        <w:rPr>
          <w:rFonts w:cs="Sylfaen"/>
          <w:iCs/>
          <w:lang w:val="af-ZA" w:eastAsia="en-GB"/>
        </w:rPr>
        <w:t xml:space="preserve"> մասնավորապես, կարևորվելու են եկամուտների </w:t>
      </w:r>
      <w:r w:rsidR="00C643A2">
        <w:rPr>
          <w:rFonts w:eastAsia="Times New Roman"/>
          <w:bCs/>
          <w:iCs/>
          <w:color w:val="000000"/>
          <w:sz w:val="24"/>
          <w:szCs w:val="24"/>
          <w:shd w:val="clear" w:color="auto" w:fill="FFFFFF"/>
          <w:lang w:val="hy-AM" w:eastAsia="ru-RU"/>
        </w:rPr>
        <w:t>վարչարա</w:t>
      </w:r>
      <w:r w:rsidR="00C643A2">
        <w:rPr>
          <w:rFonts w:eastAsia="Times New Roman"/>
          <w:bCs/>
          <w:iCs/>
          <w:color w:val="000000"/>
          <w:sz w:val="24"/>
          <w:szCs w:val="24"/>
          <w:shd w:val="clear" w:color="auto" w:fill="FFFFFF"/>
          <w:lang w:val="hy-AM" w:eastAsia="ru-RU"/>
        </w:rPr>
        <w:softHyphen/>
        <w:t>րու</w:t>
      </w:r>
      <w:r w:rsidR="00C643A2">
        <w:rPr>
          <w:rFonts w:eastAsia="Times New Roman"/>
          <w:bCs/>
          <w:iCs/>
          <w:color w:val="000000"/>
          <w:sz w:val="24"/>
          <w:szCs w:val="24"/>
          <w:shd w:val="clear" w:color="auto" w:fill="FFFFFF"/>
          <w:lang w:val="hy-AM" w:eastAsia="ru-RU"/>
        </w:rPr>
        <w:softHyphen/>
        <w:t>թյան</w:t>
      </w:r>
      <w:r>
        <w:rPr>
          <w:rFonts w:cs="Sylfaen"/>
          <w:iCs/>
          <w:lang w:val="af-ZA" w:eastAsia="en-GB"/>
        </w:rPr>
        <w:t xml:space="preserve"> հետևյալ ուղղու</w:t>
      </w:r>
      <w:r>
        <w:rPr>
          <w:rFonts w:cs="Sylfaen"/>
          <w:iCs/>
          <w:lang w:val="af-ZA" w:eastAsia="en-GB"/>
        </w:rPr>
        <w:softHyphen/>
        <w:t>թյուն</w:t>
      </w:r>
      <w:r>
        <w:rPr>
          <w:rFonts w:cs="Sylfaen"/>
          <w:iCs/>
          <w:lang w:val="af-ZA" w:eastAsia="en-GB"/>
        </w:rPr>
        <w:softHyphen/>
        <w:t>ները</w:t>
      </w:r>
      <w:r>
        <w:rPr>
          <w:rFonts w:ascii="Cambria Math" w:eastAsia="MS Mincho" w:hAnsi="Cambria Math" w:cs="Cambria Math"/>
          <w:iCs/>
          <w:lang w:val="af-ZA" w:eastAsia="en-GB"/>
        </w:rPr>
        <w:t>․</w:t>
      </w:r>
    </w:p>
    <w:p w14:paraId="00A002B6" w14:textId="77777777" w:rsidR="00B22F47" w:rsidRDefault="00B22F47" w:rsidP="005824C8">
      <w:pPr>
        <w:tabs>
          <w:tab w:val="left" w:pos="0"/>
          <w:tab w:val="left" w:pos="567"/>
        </w:tabs>
        <w:spacing w:before="120" w:after="0" w:line="276" w:lineRule="auto"/>
        <w:ind w:firstLine="0"/>
        <w:rPr>
          <w:szCs w:val="20"/>
          <w:lang w:val="af-ZA" w:eastAsia="x-none"/>
        </w:rPr>
      </w:pPr>
      <w:r>
        <w:rPr>
          <w:rFonts w:ascii="Cambria Math" w:eastAsia="MS Mincho" w:hAnsi="Cambria Math" w:cs="Cambria Math"/>
          <w:iCs/>
          <w:lang w:val="af-ZA" w:eastAsia="en-GB"/>
        </w:rPr>
        <w:tab/>
        <w:t xml:space="preserve">1. </w:t>
      </w:r>
      <w:r>
        <w:rPr>
          <w:rFonts w:ascii="Cambria Math" w:eastAsia="MS Mincho" w:hAnsi="Cambria Math" w:cs="Cambria Math"/>
          <w:iCs/>
          <w:lang w:val="hy-AM" w:eastAsia="en-GB"/>
        </w:rPr>
        <w:t>Հ</w:t>
      </w:r>
      <w:r>
        <w:rPr>
          <w:szCs w:val="20"/>
          <w:lang w:eastAsia="x-none"/>
        </w:rPr>
        <w:t>արկային</w:t>
      </w:r>
      <w:r>
        <w:rPr>
          <w:szCs w:val="20"/>
          <w:lang w:val="af-ZA" w:eastAsia="x-none"/>
        </w:rPr>
        <w:t xml:space="preserve"> </w:t>
      </w:r>
      <w:r>
        <w:rPr>
          <w:szCs w:val="20"/>
          <w:lang w:eastAsia="x-none"/>
        </w:rPr>
        <w:t>ծառայության</w:t>
      </w:r>
      <w:r>
        <w:rPr>
          <w:szCs w:val="20"/>
          <w:lang w:val="af-ZA" w:eastAsia="x-none"/>
        </w:rPr>
        <w:t xml:space="preserve"> </w:t>
      </w:r>
      <w:r>
        <w:rPr>
          <w:szCs w:val="20"/>
          <w:lang w:eastAsia="x-none"/>
        </w:rPr>
        <w:t>մասով</w:t>
      </w:r>
      <w:r>
        <w:rPr>
          <w:szCs w:val="20"/>
          <w:lang w:val="af-ZA" w:eastAsia="x-none"/>
        </w:rPr>
        <w:t xml:space="preserve"> </w:t>
      </w:r>
      <w:r>
        <w:rPr>
          <w:szCs w:val="20"/>
          <w:lang w:eastAsia="x-none"/>
        </w:rPr>
        <w:t>ապահովել</w:t>
      </w:r>
      <w:r>
        <w:rPr>
          <w:szCs w:val="20"/>
          <w:lang w:val="af-ZA" w:eastAsia="x-none"/>
        </w:rPr>
        <w:t xml:space="preserve"> </w:t>
      </w:r>
      <w:r>
        <w:rPr>
          <w:szCs w:val="20"/>
          <w:lang w:eastAsia="x-none"/>
        </w:rPr>
        <w:t>ՀՀ</w:t>
      </w:r>
      <w:r>
        <w:rPr>
          <w:szCs w:val="20"/>
          <w:lang w:val="af-ZA" w:eastAsia="x-none"/>
        </w:rPr>
        <w:t xml:space="preserve"> </w:t>
      </w:r>
      <w:r>
        <w:rPr>
          <w:szCs w:val="20"/>
          <w:lang w:eastAsia="x-none"/>
        </w:rPr>
        <w:t>պետական</w:t>
      </w:r>
      <w:r>
        <w:rPr>
          <w:szCs w:val="20"/>
          <w:lang w:val="af-ZA" w:eastAsia="x-none"/>
        </w:rPr>
        <w:t xml:space="preserve"> </w:t>
      </w:r>
      <w:r>
        <w:rPr>
          <w:szCs w:val="20"/>
          <w:lang w:eastAsia="x-none"/>
        </w:rPr>
        <w:t>բյուջեի</w:t>
      </w:r>
      <w:r>
        <w:rPr>
          <w:szCs w:val="20"/>
          <w:lang w:val="af-ZA" w:eastAsia="x-none"/>
        </w:rPr>
        <w:t xml:space="preserve"> </w:t>
      </w:r>
      <w:r>
        <w:rPr>
          <w:szCs w:val="20"/>
          <w:lang w:eastAsia="x-none"/>
        </w:rPr>
        <w:t>հարկային</w:t>
      </w:r>
      <w:r>
        <w:rPr>
          <w:szCs w:val="20"/>
          <w:lang w:val="af-ZA" w:eastAsia="x-none"/>
        </w:rPr>
        <w:t xml:space="preserve"> </w:t>
      </w:r>
      <w:r>
        <w:rPr>
          <w:szCs w:val="20"/>
          <w:lang w:eastAsia="x-none"/>
        </w:rPr>
        <w:t>մարմնի</w:t>
      </w:r>
      <w:r>
        <w:rPr>
          <w:szCs w:val="20"/>
          <w:lang w:val="af-ZA" w:eastAsia="x-none"/>
        </w:rPr>
        <w:t xml:space="preserve"> </w:t>
      </w:r>
      <w:r>
        <w:rPr>
          <w:szCs w:val="20"/>
          <w:lang w:eastAsia="x-none"/>
        </w:rPr>
        <w:t>կողմից</w:t>
      </w:r>
      <w:r>
        <w:rPr>
          <w:szCs w:val="20"/>
          <w:lang w:val="af-ZA" w:eastAsia="x-none"/>
        </w:rPr>
        <w:t xml:space="preserve"> </w:t>
      </w:r>
      <w:r>
        <w:rPr>
          <w:szCs w:val="20"/>
          <w:lang w:eastAsia="x-none"/>
        </w:rPr>
        <w:t>վերահսկվող</w:t>
      </w:r>
      <w:r>
        <w:rPr>
          <w:szCs w:val="20"/>
          <w:lang w:val="af-ZA" w:eastAsia="x-none"/>
        </w:rPr>
        <w:t xml:space="preserve"> </w:t>
      </w:r>
      <w:r>
        <w:rPr>
          <w:szCs w:val="20"/>
          <w:lang w:eastAsia="x-none"/>
        </w:rPr>
        <w:t>եկամուտների</w:t>
      </w:r>
      <w:r>
        <w:rPr>
          <w:szCs w:val="20"/>
          <w:lang w:val="af-ZA" w:eastAsia="x-none"/>
        </w:rPr>
        <w:t xml:space="preserve"> </w:t>
      </w:r>
      <w:r>
        <w:rPr>
          <w:szCs w:val="20"/>
          <w:lang w:eastAsia="x-none"/>
        </w:rPr>
        <w:t>հավաքագրումը՝</w:t>
      </w:r>
      <w:r>
        <w:rPr>
          <w:szCs w:val="20"/>
          <w:lang w:val="af-ZA" w:eastAsia="x-none"/>
        </w:rPr>
        <w:t xml:space="preserve"> </w:t>
      </w:r>
      <w:r>
        <w:rPr>
          <w:szCs w:val="20"/>
          <w:lang w:eastAsia="x-none"/>
        </w:rPr>
        <w:t>թվայնացված</w:t>
      </w:r>
      <w:r>
        <w:rPr>
          <w:szCs w:val="20"/>
          <w:lang w:val="af-ZA" w:eastAsia="x-none"/>
        </w:rPr>
        <w:t xml:space="preserve"> </w:t>
      </w:r>
      <w:r>
        <w:rPr>
          <w:szCs w:val="20"/>
          <w:lang w:eastAsia="x-none"/>
        </w:rPr>
        <w:t>ու</w:t>
      </w:r>
      <w:r>
        <w:rPr>
          <w:szCs w:val="20"/>
          <w:lang w:val="af-ZA" w:eastAsia="x-none"/>
        </w:rPr>
        <w:t xml:space="preserve"> </w:t>
      </w:r>
      <w:r>
        <w:rPr>
          <w:szCs w:val="20"/>
          <w:lang w:eastAsia="x-none"/>
        </w:rPr>
        <w:t>բարձրորակ</w:t>
      </w:r>
      <w:r>
        <w:rPr>
          <w:szCs w:val="20"/>
          <w:lang w:val="af-ZA" w:eastAsia="x-none"/>
        </w:rPr>
        <w:t xml:space="preserve"> </w:t>
      </w:r>
      <w:r>
        <w:rPr>
          <w:szCs w:val="20"/>
          <w:lang w:eastAsia="x-none"/>
        </w:rPr>
        <w:t>ծառայությունների</w:t>
      </w:r>
      <w:r>
        <w:rPr>
          <w:szCs w:val="20"/>
          <w:lang w:val="af-ZA" w:eastAsia="x-none"/>
        </w:rPr>
        <w:t xml:space="preserve"> </w:t>
      </w:r>
      <w:r>
        <w:rPr>
          <w:szCs w:val="20"/>
          <w:lang w:eastAsia="x-none"/>
        </w:rPr>
        <w:t>մատուց</w:t>
      </w:r>
      <w:r>
        <w:rPr>
          <w:szCs w:val="20"/>
          <w:lang w:val="af-ZA" w:eastAsia="x-none"/>
        </w:rPr>
        <w:softHyphen/>
      </w:r>
      <w:r>
        <w:rPr>
          <w:szCs w:val="20"/>
          <w:lang w:eastAsia="x-none"/>
        </w:rPr>
        <w:t>մամբ</w:t>
      </w:r>
      <w:r>
        <w:rPr>
          <w:szCs w:val="20"/>
          <w:lang w:val="af-ZA" w:eastAsia="x-none"/>
        </w:rPr>
        <w:t xml:space="preserve">, </w:t>
      </w:r>
      <w:r>
        <w:rPr>
          <w:szCs w:val="20"/>
          <w:lang w:eastAsia="x-none"/>
        </w:rPr>
        <w:t>հասցեական</w:t>
      </w:r>
      <w:r>
        <w:rPr>
          <w:szCs w:val="20"/>
          <w:lang w:val="af-ZA" w:eastAsia="x-none"/>
        </w:rPr>
        <w:t xml:space="preserve"> </w:t>
      </w:r>
      <w:r>
        <w:rPr>
          <w:szCs w:val="20"/>
          <w:lang w:eastAsia="x-none"/>
        </w:rPr>
        <w:t>ու</w:t>
      </w:r>
      <w:r>
        <w:rPr>
          <w:szCs w:val="20"/>
          <w:lang w:val="af-ZA" w:eastAsia="x-none"/>
        </w:rPr>
        <w:t xml:space="preserve"> «</w:t>
      </w:r>
      <w:r>
        <w:rPr>
          <w:szCs w:val="20"/>
          <w:lang w:eastAsia="x-none"/>
        </w:rPr>
        <w:t>անտեսանելի</w:t>
      </w:r>
      <w:r>
        <w:rPr>
          <w:szCs w:val="20"/>
          <w:lang w:val="af-ZA" w:eastAsia="x-none"/>
        </w:rPr>
        <w:t xml:space="preserve">» </w:t>
      </w:r>
      <w:r>
        <w:rPr>
          <w:szCs w:val="20"/>
          <w:lang w:eastAsia="x-none"/>
        </w:rPr>
        <w:t>վարչարարությամբ</w:t>
      </w:r>
      <w:r>
        <w:rPr>
          <w:szCs w:val="20"/>
          <w:lang w:val="af-ZA" w:eastAsia="x-none"/>
        </w:rPr>
        <w:t xml:space="preserve"> </w:t>
      </w:r>
      <w:r>
        <w:rPr>
          <w:szCs w:val="20"/>
          <w:lang w:eastAsia="x-none"/>
        </w:rPr>
        <w:t>հարկային</w:t>
      </w:r>
      <w:r>
        <w:rPr>
          <w:szCs w:val="20"/>
          <w:lang w:val="af-ZA" w:eastAsia="x-none"/>
        </w:rPr>
        <w:t xml:space="preserve"> </w:t>
      </w:r>
      <w:r>
        <w:rPr>
          <w:szCs w:val="20"/>
          <w:lang w:eastAsia="x-none"/>
        </w:rPr>
        <w:t>կարգապահության</w:t>
      </w:r>
      <w:r>
        <w:rPr>
          <w:szCs w:val="20"/>
          <w:lang w:val="af-ZA" w:eastAsia="x-none"/>
        </w:rPr>
        <w:t xml:space="preserve"> </w:t>
      </w:r>
      <w:r>
        <w:rPr>
          <w:szCs w:val="20"/>
          <w:lang w:eastAsia="x-none"/>
        </w:rPr>
        <w:t>բարելավման</w:t>
      </w:r>
      <w:r>
        <w:rPr>
          <w:szCs w:val="20"/>
          <w:lang w:val="af-ZA" w:eastAsia="x-none"/>
        </w:rPr>
        <w:t xml:space="preserve"> </w:t>
      </w:r>
      <w:r>
        <w:rPr>
          <w:szCs w:val="20"/>
          <w:lang w:eastAsia="x-none"/>
        </w:rPr>
        <w:t>միջոցով</w:t>
      </w:r>
      <w:r>
        <w:rPr>
          <w:szCs w:val="20"/>
          <w:lang w:val="af-ZA" w:eastAsia="x-none"/>
        </w:rPr>
        <w:t>,</w:t>
      </w:r>
    </w:p>
    <w:p w14:paraId="1594BF96" w14:textId="77777777" w:rsidR="00B22F47" w:rsidRDefault="00B22F47" w:rsidP="005824C8">
      <w:pPr>
        <w:tabs>
          <w:tab w:val="left" w:pos="0"/>
          <w:tab w:val="left" w:pos="567"/>
        </w:tabs>
        <w:spacing w:before="120" w:after="0" w:line="276" w:lineRule="auto"/>
        <w:ind w:firstLine="0"/>
        <w:rPr>
          <w:szCs w:val="20"/>
          <w:lang w:val="af-ZA" w:eastAsia="x-none"/>
        </w:rPr>
      </w:pPr>
      <w:r>
        <w:rPr>
          <w:szCs w:val="20"/>
          <w:lang w:val="af-ZA" w:eastAsia="x-none"/>
        </w:rPr>
        <w:tab/>
      </w:r>
      <w:r>
        <w:rPr>
          <w:szCs w:val="20"/>
          <w:lang w:val="hy-AM" w:eastAsia="x-none"/>
        </w:rPr>
        <w:t>2. Մ</w:t>
      </w:r>
      <w:r>
        <w:rPr>
          <w:szCs w:val="20"/>
          <w:lang w:eastAsia="x-none"/>
        </w:rPr>
        <w:t>աքսային</w:t>
      </w:r>
      <w:r>
        <w:rPr>
          <w:szCs w:val="20"/>
          <w:lang w:val="af-ZA" w:eastAsia="x-none"/>
        </w:rPr>
        <w:t xml:space="preserve"> </w:t>
      </w:r>
      <w:r>
        <w:rPr>
          <w:szCs w:val="20"/>
          <w:lang w:eastAsia="x-none"/>
        </w:rPr>
        <w:t>ծառայության</w:t>
      </w:r>
      <w:r>
        <w:rPr>
          <w:szCs w:val="20"/>
          <w:lang w:val="af-ZA" w:eastAsia="x-none"/>
        </w:rPr>
        <w:t xml:space="preserve"> </w:t>
      </w:r>
      <w:r>
        <w:rPr>
          <w:szCs w:val="20"/>
          <w:lang w:eastAsia="x-none"/>
        </w:rPr>
        <w:t>մասով</w:t>
      </w:r>
      <w:r>
        <w:rPr>
          <w:szCs w:val="20"/>
          <w:lang w:val="af-ZA" w:eastAsia="x-none"/>
        </w:rPr>
        <w:t xml:space="preserve"> </w:t>
      </w:r>
      <w:r>
        <w:rPr>
          <w:szCs w:val="20"/>
          <w:lang w:eastAsia="x-none"/>
        </w:rPr>
        <w:t>ապահովել</w:t>
      </w:r>
      <w:r>
        <w:rPr>
          <w:szCs w:val="20"/>
          <w:lang w:val="af-ZA" w:eastAsia="x-none"/>
        </w:rPr>
        <w:t xml:space="preserve"> </w:t>
      </w:r>
      <w:r>
        <w:rPr>
          <w:szCs w:val="20"/>
          <w:lang w:eastAsia="x-none"/>
        </w:rPr>
        <w:t>տնտեսական</w:t>
      </w:r>
      <w:r>
        <w:rPr>
          <w:szCs w:val="20"/>
          <w:lang w:val="af-ZA" w:eastAsia="x-none"/>
        </w:rPr>
        <w:t xml:space="preserve"> </w:t>
      </w:r>
      <w:r>
        <w:rPr>
          <w:szCs w:val="20"/>
          <w:lang w:eastAsia="x-none"/>
        </w:rPr>
        <w:t>անվտանգությունը</w:t>
      </w:r>
      <w:r>
        <w:rPr>
          <w:szCs w:val="20"/>
          <w:lang w:val="af-ZA" w:eastAsia="x-none"/>
        </w:rPr>
        <w:t xml:space="preserve">, </w:t>
      </w:r>
      <w:r>
        <w:rPr>
          <w:szCs w:val="20"/>
          <w:lang w:eastAsia="x-none"/>
        </w:rPr>
        <w:t>աջակցել</w:t>
      </w:r>
      <w:r>
        <w:rPr>
          <w:szCs w:val="20"/>
          <w:lang w:val="af-ZA" w:eastAsia="x-none"/>
        </w:rPr>
        <w:t xml:space="preserve"> </w:t>
      </w:r>
      <w:r>
        <w:rPr>
          <w:szCs w:val="20"/>
          <w:lang w:eastAsia="x-none"/>
        </w:rPr>
        <w:t>ՀՀ</w:t>
      </w:r>
      <w:r>
        <w:rPr>
          <w:szCs w:val="20"/>
          <w:lang w:val="af-ZA" w:eastAsia="x-none"/>
        </w:rPr>
        <w:t xml:space="preserve"> </w:t>
      </w:r>
      <w:r>
        <w:rPr>
          <w:szCs w:val="20"/>
          <w:lang w:eastAsia="x-none"/>
        </w:rPr>
        <w:t>տնտեսության</w:t>
      </w:r>
      <w:r>
        <w:rPr>
          <w:szCs w:val="20"/>
          <w:lang w:val="af-ZA" w:eastAsia="x-none"/>
        </w:rPr>
        <w:t xml:space="preserve"> </w:t>
      </w:r>
      <w:r>
        <w:rPr>
          <w:szCs w:val="20"/>
          <w:lang w:eastAsia="x-none"/>
        </w:rPr>
        <w:t>կայուն</w:t>
      </w:r>
      <w:r>
        <w:rPr>
          <w:szCs w:val="20"/>
          <w:lang w:val="af-ZA" w:eastAsia="x-none"/>
        </w:rPr>
        <w:t xml:space="preserve"> </w:t>
      </w:r>
      <w:r>
        <w:rPr>
          <w:szCs w:val="20"/>
          <w:lang w:eastAsia="x-none"/>
        </w:rPr>
        <w:t>զարգացմանը</w:t>
      </w:r>
      <w:r>
        <w:rPr>
          <w:szCs w:val="20"/>
          <w:lang w:val="af-ZA" w:eastAsia="x-none"/>
        </w:rPr>
        <w:t xml:space="preserve">` </w:t>
      </w:r>
      <w:r>
        <w:rPr>
          <w:szCs w:val="20"/>
          <w:lang w:eastAsia="x-none"/>
        </w:rPr>
        <w:t>արտաքին</w:t>
      </w:r>
      <w:r>
        <w:rPr>
          <w:szCs w:val="20"/>
          <w:lang w:val="af-ZA" w:eastAsia="x-none"/>
        </w:rPr>
        <w:t xml:space="preserve"> </w:t>
      </w:r>
      <w:r>
        <w:rPr>
          <w:szCs w:val="20"/>
          <w:lang w:eastAsia="x-none"/>
        </w:rPr>
        <w:t>առևտրաշրջանառության</w:t>
      </w:r>
      <w:r>
        <w:rPr>
          <w:szCs w:val="20"/>
          <w:lang w:val="af-ZA" w:eastAsia="x-none"/>
        </w:rPr>
        <w:t xml:space="preserve"> </w:t>
      </w:r>
      <w:r>
        <w:rPr>
          <w:szCs w:val="20"/>
          <w:lang w:eastAsia="x-none"/>
        </w:rPr>
        <w:t>խթանման</w:t>
      </w:r>
      <w:r>
        <w:rPr>
          <w:szCs w:val="20"/>
          <w:lang w:val="af-ZA" w:eastAsia="x-none"/>
        </w:rPr>
        <w:t xml:space="preserve">, </w:t>
      </w:r>
      <w:r>
        <w:rPr>
          <w:szCs w:val="20"/>
          <w:lang w:eastAsia="x-none"/>
        </w:rPr>
        <w:t>մաքսային</w:t>
      </w:r>
      <w:r>
        <w:rPr>
          <w:szCs w:val="20"/>
          <w:lang w:val="af-ZA" w:eastAsia="x-none"/>
        </w:rPr>
        <w:t xml:space="preserve"> </w:t>
      </w:r>
      <w:r>
        <w:rPr>
          <w:szCs w:val="20"/>
          <w:lang w:eastAsia="x-none"/>
        </w:rPr>
        <w:t>վարչա</w:t>
      </w:r>
      <w:r>
        <w:rPr>
          <w:szCs w:val="20"/>
          <w:lang w:val="af-ZA" w:eastAsia="x-none"/>
        </w:rPr>
        <w:softHyphen/>
      </w:r>
      <w:r>
        <w:rPr>
          <w:szCs w:val="20"/>
          <w:lang w:eastAsia="x-none"/>
        </w:rPr>
        <w:t>րարության</w:t>
      </w:r>
      <w:r>
        <w:rPr>
          <w:szCs w:val="20"/>
          <w:lang w:val="af-ZA" w:eastAsia="x-none"/>
        </w:rPr>
        <w:t xml:space="preserve"> </w:t>
      </w:r>
      <w:r>
        <w:rPr>
          <w:szCs w:val="20"/>
          <w:lang w:eastAsia="x-none"/>
        </w:rPr>
        <w:t>կատարելագործման</w:t>
      </w:r>
      <w:r>
        <w:rPr>
          <w:szCs w:val="20"/>
          <w:lang w:val="af-ZA" w:eastAsia="x-none"/>
        </w:rPr>
        <w:t xml:space="preserve">, </w:t>
      </w:r>
      <w:r>
        <w:rPr>
          <w:szCs w:val="20"/>
          <w:lang w:eastAsia="x-none"/>
        </w:rPr>
        <w:t>թվայնացված</w:t>
      </w:r>
      <w:r>
        <w:rPr>
          <w:szCs w:val="20"/>
          <w:lang w:val="af-ZA" w:eastAsia="x-none"/>
        </w:rPr>
        <w:t xml:space="preserve"> </w:t>
      </w:r>
      <w:r>
        <w:rPr>
          <w:szCs w:val="20"/>
          <w:lang w:eastAsia="x-none"/>
        </w:rPr>
        <w:t>ու</w:t>
      </w:r>
      <w:r>
        <w:rPr>
          <w:szCs w:val="20"/>
          <w:lang w:val="af-ZA" w:eastAsia="x-none"/>
        </w:rPr>
        <w:t xml:space="preserve"> </w:t>
      </w:r>
      <w:r>
        <w:rPr>
          <w:szCs w:val="20"/>
          <w:lang w:eastAsia="x-none"/>
        </w:rPr>
        <w:t>բարձրորակ</w:t>
      </w:r>
      <w:r>
        <w:rPr>
          <w:szCs w:val="20"/>
          <w:lang w:val="af-ZA" w:eastAsia="x-none"/>
        </w:rPr>
        <w:t xml:space="preserve"> </w:t>
      </w:r>
      <w:r>
        <w:rPr>
          <w:szCs w:val="20"/>
          <w:lang w:eastAsia="x-none"/>
        </w:rPr>
        <w:t>ծառայությունների</w:t>
      </w:r>
      <w:r>
        <w:rPr>
          <w:szCs w:val="20"/>
          <w:lang w:val="af-ZA" w:eastAsia="x-none"/>
        </w:rPr>
        <w:t xml:space="preserve"> </w:t>
      </w:r>
      <w:r>
        <w:rPr>
          <w:szCs w:val="20"/>
          <w:lang w:eastAsia="x-none"/>
        </w:rPr>
        <w:t>մատուցման</w:t>
      </w:r>
      <w:r>
        <w:rPr>
          <w:szCs w:val="20"/>
          <w:lang w:val="af-ZA" w:eastAsia="x-none"/>
        </w:rPr>
        <w:t xml:space="preserve"> </w:t>
      </w:r>
      <w:r>
        <w:rPr>
          <w:szCs w:val="20"/>
          <w:lang w:eastAsia="x-none"/>
        </w:rPr>
        <w:t>և</w:t>
      </w:r>
      <w:r>
        <w:rPr>
          <w:szCs w:val="20"/>
          <w:lang w:val="af-ZA" w:eastAsia="x-none"/>
        </w:rPr>
        <w:t xml:space="preserve"> </w:t>
      </w:r>
      <w:r>
        <w:rPr>
          <w:szCs w:val="20"/>
          <w:lang w:eastAsia="x-none"/>
        </w:rPr>
        <w:t>մաքսա</w:t>
      </w:r>
      <w:r>
        <w:rPr>
          <w:szCs w:val="20"/>
          <w:lang w:val="af-ZA" w:eastAsia="x-none"/>
        </w:rPr>
        <w:softHyphen/>
      </w:r>
      <w:r>
        <w:rPr>
          <w:szCs w:val="20"/>
          <w:lang w:eastAsia="x-none"/>
        </w:rPr>
        <w:t>յին</w:t>
      </w:r>
      <w:r>
        <w:rPr>
          <w:szCs w:val="20"/>
          <w:lang w:val="af-ZA" w:eastAsia="x-none"/>
        </w:rPr>
        <w:t xml:space="preserve"> </w:t>
      </w:r>
      <w:r>
        <w:rPr>
          <w:szCs w:val="20"/>
          <w:lang w:eastAsia="x-none"/>
        </w:rPr>
        <w:t>հսկողության</w:t>
      </w:r>
      <w:r>
        <w:rPr>
          <w:szCs w:val="20"/>
          <w:lang w:val="af-ZA" w:eastAsia="x-none"/>
        </w:rPr>
        <w:t xml:space="preserve"> </w:t>
      </w:r>
      <w:r>
        <w:rPr>
          <w:szCs w:val="20"/>
          <w:lang w:eastAsia="x-none"/>
        </w:rPr>
        <w:t>արդյունավետության</w:t>
      </w:r>
      <w:r>
        <w:rPr>
          <w:szCs w:val="20"/>
          <w:lang w:val="af-ZA" w:eastAsia="x-none"/>
        </w:rPr>
        <w:t xml:space="preserve"> </w:t>
      </w:r>
      <w:r>
        <w:rPr>
          <w:szCs w:val="20"/>
          <w:lang w:eastAsia="x-none"/>
        </w:rPr>
        <w:t>բարձրացման</w:t>
      </w:r>
      <w:r>
        <w:rPr>
          <w:szCs w:val="20"/>
          <w:lang w:val="af-ZA" w:eastAsia="x-none"/>
        </w:rPr>
        <w:t xml:space="preserve"> </w:t>
      </w:r>
      <w:r>
        <w:rPr>
          <w:szCs w:val="20"/>
          <w:lang w:eastAsia="x-none"/>
        </w:rPr>
        <w:t>միջոցով</w:t>
      </w:r>
      <w:r>
        <w:rPr>
          <w:szCs w:val="20"/>
          <w:lang w:val="af-ZA" w:eastAsia="x-none"/>
        </w:rPr>
        <w:t>:</w:t>
      </w:r>
    </w:p>
    <w:p w14:paraId="06868B34" w14:textId="77777777" w:rsidR="00B22F47" w:rsidRDefault="00B22F47" w:rsidP="005824C8">
      <w:pPr>
        <w:tabs>
          <w:tab w:val="left" w:pos="0"/>
          <w:tab w:val="left" w:pos="567"/>
        </w:tabs>
        <w:spacing w:before="120" w:after="0" w:line="276" w:lineRule="auto"/>
        <w:ind w:firstLine="0"/>
        <w:rPr>
          <w:szCs w:val="20"/>
          <w:lang w:val="hy-AM" w:eastAsia="x-none"/>
        </w:rPr>
      </w:pPr>
      <w:r>
        <w:rPr>
          <w:szCs w:val="20"/>
          <w:lang w:val="af-ZA" w:eastAsia="x-none"/>
        </w:rPr>
        <w:tab/>
      </w:r>
      <w:r>
        <w:rPr>
          <w:szCs w:val="20"/>
          <w:lang w:val="hy-AM" w:eastAsia="x-none"/>
        </w:rPr>
        <w:t>ՀՀ ՊԵԿ տեսլականը թվային, արդյունավետ ու վստահելի հարկային և մաքսային մարմինների ձևավորումն է, որոնք</w:t>
      </w:r>
    </w:p>
    <w:p w14:paraId="72970139" w14:textId="77777777" w:rsidR="00B22F47" w:rsidRDefault="00B22F47" w:rsidP="005824C8">
      <w:pPr>
        <w:numPr>
          <w:ilvl w:val="0"/>
          <w:numId w:val="34"/>
        </w:numPr>
        <w:tabs>
          <w:tab w:val="left" w:pos="0"/>
          <w:tab w:val="left" w:pos="284"/>
        </w:tabs>
        <w:spacing w:before="120" w:after="0" w:line="276" w:lineRule="auto"/>
        <w:ind w:left="0" w:firstLine="0"/>
        <w:contextualSpacing/>
        <w:rPr>
          <w:szCs w:val="20"/>
          <w:lang w:val="hy-AM" w:eastAsia="x-none"/>
        </w:rPr>
      </w:pPr>
      <w:r>
        <w:rPr>
          <w:szCs w:val="20"/>
          <w:lang w:val="hy-AM" w:eastAsia="x-none"/>
        </w:rPr>
        <w:t>իրականացնում են «անտեսանելի», բայց արդյունավետ հարկային և մաքսային վարչարարու</w:t>
      </w:r>
      <w:r>
        <w:rPr>
          <w:szCs w:val="20"/>
          <w:lang w:val="hy-AM" w:eastAsia="x-none"/>
        </w:rPr>
        <w:softHyphen/>
        <w:t>թյուն,</w:t>
      </w:r>
    </w:p>
    <w:p w14:paraId="2616DA29" w14:textId="77777777" w:rsidR="00B22F47" w:rsidRDefault="00B22F47" w:rsidP="005824C8">
      <w:pPr>
        <w:numPr>
          <w:ilvl w:val="0"/>
          <w:numId w:val="34"/>
        </w:numPr>
        <w:tabs>
          <w:tab w:val="left" w:pos="0"/>
          <w:tab w:val="left" w:pos="284"/>
        </w:tabs>
        <w:spacing w:before="120" w:after="0" w:line="276" w:lineRule="auto"/>
        <w:ind w:left="0" w:firstLine="0"/>
        <w:contextualSpacing/>
        <w:rPr>
          <w:szCs w:val="20"/>
          <w:lang w:val="hy-AM" w:eastAsia="x-none"/>
        </w:rPr>
      </w:pPr>
      <w:r>
        <w:rPr>
          <w:szCs w:val="20"/>
          <w:lang w:val="hy-AM" w:eastAsia="x-none"/>
        </w:rPr>
        <w:t xml:space="preserve">մատուցում են միջազգայնորեն մրցունակ ու բարձրորակ ծառայություններ, </w:t>
      </w:r>
    </w:p>
    <w:p w14:paraId="55BC2F16" w14:textId="77777777" w:rsidR="00B22F47" w:rsidRDefault="00B22F47" w:rsidP="005824C8">
      <w:pPr>
        <w:numPr>
          <w:ilvl w:val="0"/>
          <w:numId w:val="34"/>
        </w:numPr>
        <w:tabs>
          <w:tab w:val="left" w:pos="0"/>
          <w:tab w:val="left" w:pos="284"/>
        </w:tabs>
        <w:spacing w:before="120" w:after="0" w:line="276" w:lineRule="auto"/>
        <w:ind w:left="0" w:firstLine="0"/>
        <w:contextualSpacing/>
        <w:rPr>
          <w:szCs w:val="20"/>
          <w:lang w:val="hy-AM" w:eastAsia="x-none"/>
        </w:rPr>
      </w:pPr>
      <w:r>
        <w:rPr>
          <w:szCs w:val="20"/>
          <w:lang w:val="hy-AM" w:eastAsia="x-none"/>
        </w:rPr>
        <w:t>տեխնոլոգիական լուծումների և կառավարման նորարարական մոդելների կիրառմամբ շարունա</w:t>
      </w:r>
      <w:r>
        <w:rPr>
          <w:szCs w:val="20"/>
          <w:lang w:val="hy-AM" w:eastAsia="x-none"/>
        </w:rPr>
        <w:softHyphen/>
        <w:t>կաբար կատարելագործում են կարողություններն ու կառավարման մեխանիզմները:</w:t>
      </w:r>
    </w:p>
    <w:p w14:paraId="2F6730D1" w14:textId="77777777" w:rsidR="00B22F47" w:rsidRDefault="00B22F47" w:rsidP="005824C8">
      <w:pPr>
        <w:tabs>
          <w:tab w:val="left" w:pos="0"/>
          <w:tab w:val="left" w:pos="284"/>
        </w:tabs>
        <w:spacing w:before="120" w:after="0" w:line="276" w:lineRule="auto"/>
        <w:ind w:firstLine="0"/>
        <w:rPr>
          <w:rFonts w:cs="Sylfaen"/>
          <w:b/>
          <w:bCs/>
          <w:iCs/>
          <w:lang w:val="hy-AM" w:eastAsia="en-GB"/>
        </w:rPr>
      </w:pPr>
      <w:r>
        <w:rPr>
          <w:rFonts w:cs="Sylfaen"/>
          <w:b/>
          <w:bCs/>
          <w:iCs/>
          <w:lang w:val="af-ZA" w:eastAsia="en-GB"/>
        </w:rPr>
        <w:t>Հարկային և մաքսային մարմինների ռազմավարական նպատակներ</w:t>
      </w:r>
      <w:r>
        <w:rPr>
          <w:rFonts w:cs="Sylfaen"/>
          <w:b/>
          <w:bCs/>
          <w:iCs/>
          <w:lang w:val="hy-AM" w:eastAsia="en-GB"/>
        </w:rPr>
        <w:t xml:space="preserve"> են</w:t>
      </w:r>
      <w:r>
        <w:rPr>
          <w:rFonts w:ascii="Cambria Math" w:eastAsia="MS Mincho" w:hAnsi="Cambria Math" w:cs="Cambria Math"/>
          <w:b/>
          <w:bCs/>
          <w:iCs/>
          <w:lang w:val="hy-AM" w:eastAsia="en-GB"/>
        </w:rPr>
        <w:t>․</w:t>
      </w:r>
    </w:p>
    <w:p w14:paraId="24C882E4" w14:textId="77777777" w:rsidR="00B22F47" w:rsidRDefault="00B22F47" w:rsidP="005824C8">
      <w:pPr>
        <w:numPr>
          <w:ilvl w:val="0"/>
          <w:numId w:val="35"/>
        </w:numPr>
        <w:tabs>
          <w:tab w:val="left" w:pos="0"/>
          <w:tab w:val="left" w:pos="284"/>
        </w:tabs>
        <w:spacing w:before="120" w:after="0" w:line="276" w:lineRule="auto"/>
        <w:ind w:left="0" w:firstLine="0"/>
        <w:contextualSpacing/>
        <w:rPr>
          <w:szCs w:val="20"/>
          <w:lang w:val="hy-AM" w:eastAsia="x-none"/>
        </w:rPr>
      </w:pPr>
      <w:r>
        <w:rPr>
          <w:szCs w:val="20"/>
          <w:lang w:val="hy-AM" w:eastAsia="x-none"/>
        </w:rPr>
        <w:t>Կառավարման համակարգերի կատարելագործումը, հարկ վճարողներին թվայնացված ծառա</w:t>
      </w:r>
      <w:r>
        <w:rPr>
          <w:szCs w:val="20"/>
          <w:lang w:val="hy-AM" w:eastAsia="x-none"/>
        </w:rPr>
        <w:softHyphen/>
        <w:t>յությունների մատուցումը: Այս նպատակի իրագործման արդյունքում կներդրվեն հարկ վճարողներին ժամանակակից տեխնոլոգիաների վրա հիմնված ծառայությունների մատուցման գործիքներ, այլ պետական մարմինների և ՊԵԿ միջև տեղեկատվության փոխանակման էլեկտրոնային համակարգեր, որոնք կհանգեցնեն ծախսվող ռեսուրսների խնայմանը, կապահովվի ՊԵԿ ցանցի հեռահար լիարժեք սպասարկումը և հարկային/մաքսային տեղեկատվական շտեմարանների արդյունավետ շահագործումը,</w:t>
      </w:r>
    </w:p>
    <w:p w14:paraId="3B522AD0" w14:textId="77777777" w:rsidR="00B22F47" w:rsidRDefault="00B22F47" w:rsidP="005824C8">
      <w:pPr>
        <w:numPr>
          <w:ilvl w:val="0"/>
          <w:numId w:val="35"/>
        </w:numPr>
        <w:tabs>
          <w:tab w:val="left" w:pos="0"/>
          <w:tab w:val="left" w:pos="284"/>
        </w:tabs>
        <w:spacing w:before="120" w:after="0" w:line="276" w:lineRule="auto"/>
        <w:ind w:left="0" w:firstLine="0"/>
        <w:contextualSpacing/>
        <w:rPr>
          <w:szCs w:val="20"/>
          <w:lang w:val="hy-AM" w:eastAsia="x-none"/>
        </w:rPr>
      </w:pPr>
      <w:r>
        <w:rPr>
          <w:szCs w:val="20"/>
          <w:lang w:val="hy-AM" w:eastAsia="x-none"/>
        </w:rPr>
        <w:t>Վարչարարության արդյունավետության բարձրացումը, եկամուտների ավելացումը և ստվերի կրճատումը: Այս նպատակի իրագործման արդյունքում միջազգային լավագույն փորձին համահունչ կներդրվեն և կկատարելագործվեն ռիսկերի կառավարման ինքնաշխատ մեխանիզմները, կապահովվի վարչարարական գործիքների թիրախավորված կիրառում, իրական ռիսկային հարկ վճարողների բացահայտում, վերջիններիս կարգապահության բարելավմանն ուղղված վարչարարության իրակա</w:t>
      </w:r>
      <w:r>
        <w:rPr>
          <w:szCs w:val="20"/>
          <w:lang w:val="hy-AM" w:eastAsia="x-none"/>
        </w:rPr>
        <w:softHyphen/>
        <w:t>նացում, ինչպես նաև օրինապահ հարկ վճարողների նկատմամբ մեղմ (աննկատ) և գործընկերային վարչարարություն,</w:t>
      </w:r>
    </w:p>
    <w:p w14:paraId="5A413A10" w14:textId="77777777" w:rsidR="00B22F47" w:rsidRDefault="00B22F47" w:rsidP="005824C8">
      <w:pPr>
        <w:numPr>
          <w:ilvl w:val="0"/>
          <w:numId w:val="35"/>
        </w:numPr>
        <w:tabs>
          <w:tab w:val="left" w:pos="0"/>
          <w:tab w:val="left" w:pos="284"/>
        </w:tabs>
        <w:spacing w:before="120" w:after="0" w:line="276" w:lineRule="auto"/>
        <w:ind w:left="0" w:firstLine="0"/>
        <w:contextualSpacing/>
        <w:rPr>
          <w:szCs w:val="20"/>
          <w:lang w:val="hy-AM" w:eastAsia="x-none"/>
        </w:rPr>
      </w:pPr>
      <w:r>
        <w:rPr>
          <w:szCs w:val="20"/>
          <w:lang w:val="hy-AM" w:eastAsia="x-none"/>
        </w:rPr>
        <w:t>Առկա ենթակառուցվածքների արդիականացումը, ինչպես նաև ժամանակակից նոր ենթա</w:t>
      </w:r>
      <w:r>
        <w:rPr>
          <w:szCs w:val="20"/>
          <w:lang w:val="hy-AM" w:eastAsia="x-none"/>
        </w:rPr>
        <w:softHyphen/>
        <w:t>կառուցվածքների կառուցումը, որի արդյունքում հարկային և մաքսային ընթացակարգերը կլինեն ավտո</w:t>
      </w:r>
      <w:r>
        <w:rPr>
          <w:szCs w:val="20"/>
          <w:lang w:val="hy-AM" w:eastAsia="x-none"/>
        </w:rPr>
        <w:softHyphen/>
        <w:t xml:space="preserve">մատացված գրեթե բոլոր (հիմնական) գործընթացների մասով, կներդրվեն </w:t>
      </w:r>
      <w:r>
        <w:rPr>
          <w:szCs w:val="20"/>
          <w:lang w:val="hy-AM" w:eastAsia="x-none"/>
        </w:rPr>
        <w:lastRenderedPageBreak/>
        <w:t>արդյունավետ մեխա</w:t>
      </w:r>
      <w:r>
        <w:rPr>
          <w:szCs w:val="20"/>
          <w:lang w:val="hy-AM" w:eastAsia="x-none"/>
        </w:rPr>
        <w:softHyphen/>
        <w:t>նիզմներ ԵԱՏՄ շրջանակներում տեղեկատվության փոխանակման և համագործակցության ապա</w:t>
      </w:r>
      <w:r>
        <w:rPr>
          <w:szCs w:val="20"/>
          <w:lang w:val="hy-AM" w:eastAsia="x-none"/>
        </w:rPr>
        <w:softHyphen/>
        <w:t>հովման, ինչպես նաև սահմանահատման գործընթացի առավել արագ կազմակերպման համար,</w:t>
      </w:r>
    </w:p>
    <w:p w14:paraId="135D631D" w14:textId="77777777" w:rsidR="00B22F47" w:rsidRDefault="00B22F47" w:rsidP="005824C8">
      <w:pPr>
        <w:numPr>
          <w:ilvl w:val="0"/>
          <w:numId w:val="35"/>
        </w:numPr>
        <w:tabs>
          <w:tab w:val="left" w:pos="0"/>
          <w:tab w:val="left" w:pos="284"/>
        </w:tabs>
        <w:spacing w:before="120" w:after="0" w:line="276" w:lineRule="auto"/>
        <w:ind w:left="0" w:firstLine="0"/>
        <w:contextualSpacing/>
        <w:rPr>
          <w:szCs w:val="20"/>
          <w:lang w:val="hy-AM" w:eastAsia="x-none"/>
        </w:rPr>
      </w:pPr>
      <w:r>
        <w:rPr>
          <w:szCs w:val="20"/>
          <w:lang w:val="hy-AM" w:eastAsia="x-none"/>
        </w:rPr>
        <w:t>Հանրության հետ երկխոսության կառուցողական մթնոլորտի ձևավորումը, ինչպես նաև հարկա</w:t>
      </w:r>
      <w:r>
        <w:rPr>
          <w:szCs w:val="20"/>
          <w:lang w:val="hy-AM" w:eastAsia="x-none"/>
        </w:rPr>
        <w:softHyphen/>
        <w:t>յին և մաքսային վարչարարության մասնակիցների միջև փոխհարաբերությունների բարելավումը, որը կնպաստի ՊԵԿ գործունեության նկատմամբ հանրության վստահության բարձրացմանը և կարգա</w:t>
      </w:r>
      <w:r>
        <w:rPr>
          <w:szCs w:val="20"/>
          <w:lang w:val="hy-AM" w:eastAsia="x-none"/>
        </w:rPr>
        <w:softHyphen/>
        <w:t>պահու</w:t>
      </w:r>
      <w:r>
        <w:rPr>
          <w:szCs w:val="20"/>
          <w:lang w:val="hy-AM" w:eastAsia="x-none"/>
        </w:rPr>
        <w:softHyphen/>
        <w:t>թյան բարելավմանը: Նշվածին հասնելու համար պետք է ընդլայնել հասարակության հետ հետա</w:t>
      </w:r>
      <w:r>
        <w:rPr>
          <w:szCs w:val="20"/>
          <w:lang w:val="hy-AM" w:eastAsia="x-none"/>
        </w:rPr>
        <w:softHyphen/>
        <w:t>դարձ կապի հնարավորությունները՝ ապահովելով արդյունավետ հարթակ հարկ վճարողների և ՊԵԿ փոխգործակցության համար,</w:t>
      </w:r>
    </w:p>
    <w:p w14:paraId="00B00736" w14:textId="77777777" w:rsidR="00B22F47" w:rsidRDefault="00B22F47" w:rsidP="005824C8">
      <w:pPr>
        <w:numPr>
          <w:ilvl w:val="0"/>
          <w:numId w:val="35"/>
        </w:numPr>
        <w:tabs>
          <w:tab w:val="left" w:pos="0"/>
          <w:tab w:val="left" w:pos="284"/>
        </w:tabs>
        <w:spacing w:before="120" w:after="0" w:line="276" w:lineRule="auto"/>
        <w:ind w:left="0" w:firstLine="0"/>
        <w:contextualSpacing/>
        <w:rPr>
          <w:szCs w:val="20"/>
          <w:lang w:val="hy-AM" w:eastAsia="x-none"/>
        </w:rPr>
      </w:pPr>
      <w:r>
        <w:rPr>
          <w:szCs w:val="20"/>
          <w:lang w:val="hy-AM" w:eastAsia="x-none"/>
        </w:rPr>
        <w:t>Մարդկային ռեսուրսների կառավարման համակարգի բարելավումը: Այս նպատակի իրագործ</w:t>
      </w:r>
      <w:r>
        <w:rPr>
          <w:szCs w:val="20"/>
          <w:lang w:val="hy-AM" w:eastAsia="x-none"/>
        </w:rPr>
        <w:softHyphen/>
        <w:t>ման արդյունքում կապահովվի մրցունակ կադրային քաղաքականության իրականացում, որը համապա</w:t>
      </w:r>
      <w:r>
        <w:rPr>
          <w:szCs w:val="20"/>
          <w:lang w:val="hy-AM" w:eastAsia="x-none"/>
        </w:rPr>
        <w:softHyphen/>
        <w:t>տասխանում և նպաստում է սահմանված գործառութային նպատակների արդյունավետ իրագործմանը։ Կիրականացվի ներքին կանոնակարգերի վերանայում՝ նպաստելով որակյալ կադրերի ներգրավմանը, մասնագիտական զարգացմանը և առաջխաղացմանը, ինչպես նաև կատարողականի գնահատման հիման վրա աշխատանքի համարժեք վարձատրությանը։</w:t>
      </w:r>
    </w:p>
    <w:p w14:paraId="6BCA56C8" w14:textId="6A4D80AD" w:rsidR="00092B19" w:rsidRDefault="00092B19" w:rsidP="00B22F47">
      <w:pPr>
        <w:spacing w:before="120" w:after="0" w:line="276" w:lineRule="auto"/>
        <w:ind w:firstLine="0"/>
        <w:jc w:val="left"/>
        <w:rPr>
          <w:rFonts w:eastAsia="Times New Roman" w:cs="Times New Roman"/>
          <w:b/>
          <w:color w:val="44546A" w:themeColor="text2"/>
          <w:sz w:val="24"/>
          <w:szCs w:val="24"/>
          <w:lang w:val="hy-AM"/>
        </w:rPr>
      </w:pPr>
    </w:p>
    <w:p w14:paraId="4C7027DF" w14:textId="29C286E8" w:rsidR="00080175" w:rsidRPr="009C0852" w:rsidRDefault="00080175" w:rsidP="00C30825">
      <w:pPr>
        <w:pStyle w:val="Heading3"/>
        <w:tabs>
          <w:tab w:val="left" w:pos="0"/>
        </w:tabs>
        <w:spacing w:before="120" w:after="0" w:line="276" w:lineRule="auto"/>
        <w:rPr>
          <w:rFonts w:eastAsia="Times New Roman" w:cs="Times New Roman"/>
          <w:caps w:val="0"/>
          <w:color w:val="44546A" w:themeColor="text2"/>
          <w:sz w:val="24"/>
          <w:szCs w:val="24"/>
        </w:rPr>
      </w:pPr>
      <w:bookmarkStart w:id="119" w:name="_Toc170926313"/>
      <w:r w:rsidRPr="00FE0674">
        <w:rPr>
          <w:rFonts w:eastAsia="Times New Roman" w:cs="Times New Roman"/>
          <w:caps w:val="0"/>
          <w:color w:val="44546A" w:themeColor="text2"/>
          <w:sz w:val="24"/>
          <w:szCs w:val="24"/>
        </w:rPr>
        <w:t xml:space="preserve">3.2. </w:t>
      </w:r>
      <w:r w:rsidRPr="00827A35">
        <w:rPr>
          <w:rFonts w:eastAsia="Times New Roman" w:cs="Times New Roman"/>
          <w:caps w:val="0"/>
          <w:color w:val="44546A" w:themeColor="text2"/>
          <w:sz w:val="24"/>
          <w:szCs w:val="24"/>
        </w:rPr>
        <w:t>ՀՀ 202</w:t>
      </w:r>
      <w:r w:rsidR="00197356" w:rsidRPr="00197356">
        <w:rPr>
          <w:rFonts w:eastAsia="Times New Roman" w:cs="Times New Roman"/>
          <w:caps w:val="0"/>
          <w:color w:val="44546A" w:themeColor="text2"/>
          <w:sz w:val="24"/>
          <w:szCs w:val="24"/>
        </w:rPr>
        <w:t>5</w:t>
      </w:r>
      <w:r w:rsidRPr="00827A35">
        <w:rPr>
          <w:rFonts w:eastAsia="Times New Roman" w:cs="Times New Roman"/>
          <w:caps w:val="0"/>
          <w:color w:val="44546A" w:themeColor="text2"/>
          <w:sz w:val="24"/>
          <w:szCs w:val="24"/>
        </w:rPr>
        <w:t>-202</w:t>
      </w:r>
      <w:r w:rsidR="00197356" w:rsidRPr="00197356">
        <w:rPr>
          <w:rFonts w:eastAsia="Times New Roman" w:cs="Times New Roman"/>
          <w:caps w:val="0"/>
          <w:color w:val="44546A" w:themeColor="text2"/>
          <w:sz w:val="24"/>
          <w:szCs w:val="24"/>
        </w:rPr>
        <w:t>7</w:t>
      </w:r>
      <w:r w:rsidRPr="00827A35">
        <w:rPr>
          <w:rFonts w:eastAsia="Times New Roman" w:cs="Times New Roman"/>
          <w:caps w:val="0"/>
          <w:color w:val="44546A" w:themeColor="text2"/>
          <w:sz w:val="24"/>
          <w:szCs w:val="24"/>
        </w:rPr>
        <w:t xml:space="preserve"> ԹՎԱԿԱՆՆԵՐԻ ՊԵՏԱԿԱՆ ԲՅՈՒՋԵՆԵՐԻ ԵԿԱՄՈՒՏՆԵՐԻ ԿԱՆԽԱՏԵՍՈՒՄԸ</w:t>
      </w:r>
      <w:bookmarkStart w:id="120" w:name="_Toc45838531"/>
      <w:bookmarkStart w:id="121" w:name="_Toc77356418"/>
      <w:bookmarkEnd w:id="114"/>
      <w:bookmarkEnd w:id="115"/>
      <w:bookmarkEnd w:id="116"/>
      <w:bookmarkEnd w:id="119"/>
    </w:p>
    <w:p w14:paraId="46FB6BC8" w14:textId="77777777" w:rsidR="00827A35" w:rsidRPr="007830E5" w:rsidRDefault="00827A35" w:rsidP="00827A35">
      <w:pPr>
        <w:tabs>
          <w:tab w:val="left" w:pos="0"/>
          <w:tab w:val="left" w:pos="851"/>
        </w:tabs>
        <w:overflowPunct w:val="0"/>
        <w:autoSpaceDE w:val="0"/>
        <w:autoSpaceDN w:val="0"/>
        <w:adjustRightInd w:val="0"/>
        <w:spacing w:before="120" w:after="0" w:line="276" w:lineRule="auto"/>
        <w:ind w:firstLine="0"/>
        <w:contextualSpacing/>
        <w:textAlignment w:val="baseline"/>
        <w:rPr>
          <w:szCs w:val="20"/>
          <w:lang w:val="hy-AM" w:eastAsia="x-none"/>
        </w:rPr>
      </w:pPr>
      <w:r w:rsidRPr="007830E5">
        <w:rPr>
          <w:szCs w:val="20"/>
          <w:lang w:val="hy-AM" w:eastAsia="x-none"/>
        </w:rPr>
        <w:t>ՀՀ</w:t>
      </w:r>
      <w:r>
        <w:rPr>
          <w:szCs w:val="20"/>
          <w:lang w:val="hy-AM" w:eastAsia="x-none"/>
        </w:rPr>
        <w:t xml:space="preserve"> 2025-2027</w:t>
      </w:r>
      <w:r w:rsidRPr="007830E5">
        <w:rPr>
          <w:szCs w:val="20"/>
          <w:lang w:val="hy-AM" w:eastAsia="x-none"/>
        </w:rPr>
        <w:t xml:space="preserve"> թվականների պետական բյուջեների եկամուտները կանխատեսվել են հա</w:t>
      </w:r>
      <w:r w:rsidRPr="007830E5">
        <w:rPr>
          <w:szCs w:val="20"/>
          <w:lang w:val="hy-AM" w:eastAsia="x-none"/>
        </w:rPr>
        <w:softHyphen/>
        <w:t>մա</w:t>
      </w:r>
      <w:r w:rsidRPr="007830E5">
        <w:rPr>
          <w:szCs w:val="20"/>
          <w:lang w:val="hy-AM" w:eastAsia="x-none"/>
        </w:rPr>
        <w:softHyphen/>
        <w:t>պա</w:t>
      </w:r>
      <w:r w:rsidRPr="007830E5">
        <w:rPr>
          <w:szCs w:val="20"/>
          <w:lang w:val="hy-AM" w:eastAsia="x-none"/>
        </w:rPr>
        <w:softHyphen/>
      </w:r>
      <w:r w:rsidRPr="007830E5">
        <w:rPr>
          <w:szCs w:val="20"/>
          <w:lang w:val="hy-AM" w:eastAsia="x-none"/>
        </w:rPr>
        <w:softHyphen/>
        <w:t>տաս</w:t>
      </w:r>
      <w:r w:rsidRPr="007830E5">
        <w:rPr>
          <w:szCs w:val="20"/>
          <w:lang w:val="hy-AM" w:eastAsia="x-none"/>
        </w:rPr>
        <w:softHyphen/>
        <w:t>խա</w:t>
      </w:r>
      <w:r w:rsidRPr="007830E5">
        <w:rPr>
          <w:szCs w:val="20"/>
          <w:lang w:val="hy-AM" w:eastAsia="x-none"/>
        </w:rPr>
        <w:softHyphen/>
        <w:t>նա</w:t>
      </w:r>
      <w:r w:rsidRPr="007830E5">
        <w:rPr>
          <w:szCs w:val="20"/>
          <w:lang w:val="hy-AM" w:eastAsia="x-none"/>
        </w:rPr>
        <w:softHyphen/>
        <w:t>բար</w:t>
      </w:r>
      <w:r>
        <w:rPr>
          <w:szCs w:val="20"/>
          <w:lang w:val="hy-AM" w:eastAsia="x-none"/>
        </w:rPr>
        <w:t>` 2,897.6, 3,258.2</w:t>
      </w:r>
      <w:r w:rsidRPr="007830E5">
        <w:rPr>
          <w:szCs w:val="20"/>
          <w:lang w:val="hy-AM" w:eastAsia="x-none"/>
        </w:rPr>
        <w:t xml:space="preserve"> և</w:t>
      </w:r>
      <w:r>
        <w:rPr>
          <w:szCs w:val="20"/>
          <w:lang w:val="hy-AM" w:eastAsia="x-none"/>
        </w:rPr>
        <w:t xml:space="preserve"> 3,614.1</w:t>
      </w:r>
      <w:r w:rsidRPr="007830E5">
        <w:rPr>
          <w:szCs w:val="20"/>
          <w:lang w:val="hy-AM" w:eastAsia="x-none"/>
        </w:rPr>
        <w:t xml:space="preserve"> մլրդ դրամի չափով: Եկա</w:t>
      </w:r>
      <w:r w:rsidRPr="007830E5">
        <w:rPr>
          <w:szCs w:val="20"/>
          <w:lang w:val="hy-AM" w:eastAsia="x-none"/>
        </w:rPr>
        <w:softHyphen/>
        <w:t>մուտ</w:t>
      </w:r>
      <w:r w:rsidRPr="007830E5">
        <w:rPr>
          <w:szCs w:val="20"/>
          <w:lang w:val="hy-AM" w:eastAsia="x-none"/>
        </w:rPr>
        <w:softHyphen/>
      </w:r>
      <w:r w:rsidRPr="007830E5">
        <w:rPr>
          <w:szCs w:val="20"/>
          <w:lang w:val="hy-AM" w:eastAsia="x-none"/>
        </w:rPr>
        <w:softHyphen/>
      </w:r>
      <w:r w:rsidRPr="007830E5">
        <w:rPr>
          <w:szCs w:val="20"/>
          <w:lang w:val="hy-AM" w:eastAsia="x-none"/>
        </w:rPr>
        <w:softHyphen/>
        <w:t>ների տա</w:t>
      </w:r>
      <w:r w:rsidRPr="007830E5">
        <w:rPr>
          <w:szCs w:val="20"/>
          <w:lang w:val="hy-AM" w:eastAsia="x-none"/>
        </w:rPr>
        <w:softHyphen/>
      </w:r>
      <w:r w:rsidRPr="007830E5">
        <w:rPr>
          <w:szCs w:val="20"/>
          <w:lang w:val="hy-AM" w:eastAsia="x-none"/>
        </w:rPr>
        <w:softHyphen/>
        <w:t>րեկան ծրա</w:t>
      </w:r>
      <w:r w:rsidRPr="007830E5">
        <w:rPr>
          <w:szCs w:val="20"/>
          <w:lang w:val="hy-AM" w:eastAsia="x-none"/>
        </w:rPr>
        <w:softHyphen/>
        <w:t>գրա</w:t>
      </w:r>
      <w:r w:rsidRPr="007830E5">
        <w:rPr>
          <w:szCs w:val="20"/>
          <w:lang w:val="hy-AM" w:eastAsia="x-none"/>
        </w:rPr>
        <w:softHyphen/>
        <w:t>յին ծավալները կապահովվեն հիմնականում ի հաշիվ հար</w:t>
      </w:r>
      <w:r w:rsidRPr="007830E5">
        <w:rPr>
          <w:szCs w:val="20"/>
          <w:lang w:val="hy-AM" w:eastAsia="x-none"/>
        </w:rPr>
        <w:softHyphen/>
        <w:t>կային եկա</w:t>
      </w:r>
      <w:r w:rsidRPr="007830E5">
        <w:rPr>
          <w:szCs w:val="20"/>
          <w:lang w:val="hy-AM" w:eastAsia="x-none"/>
        </w:rPr>
        <w:softHyphen/>
        <w:t>մուտ</w:t>
      </w:r>
      <w:r w:rsidRPr="007830E5">
        <w:rPr>
          <w:szCs w:val="20"/>
          <w:lang w:val="hy-AM" w:eastAsia="x-none"/>
        </w:rPr>
        <w:softHyphen/>
        <w:t>ների:</w:t>
      </w:r>
    </w:p>
    <w:p w14:paraId="3662B05F" w14:textId="77777777" w:rsidR="00827A35" w:rsidRPr="00C6424A" w:rsidRDefault="00827A35" w:rsidP="00827A35">
      <w:pPr>
        <w:tabs>
          <w:tab w:val="left" w:pos="0"/>
        </w:tabs>
        <w:spacing w:before="120" w:after="0" w:line="276" w:lineRule="auto"/>
        <w:ind w:firstLine="0"/>
        <w:rPr>
          <w:rFonts w:cs="Sylfaen"/>
          <w:iCs/>
          <w:lang w:val="hy-AM" w:eastAsia="en-GB"/>
        </w:rPr>
      </w:pPr>
    </w:p>
    <w:p w14:paraId="031508C1" w14:textId="77777777" w:rsidR="00827A35" w:rsidRPr="0009603E" w:rsidRDefault="00827A35" w:rsidP="00827A35">
      <w:pPr>
        <w:tabs>
          <w:tab w:val="left" w:pos="0"/>
        </w:tabs>
        <w:spacing w:before="120" w:after="0" w:line="276" w:lineRule="auto"/>
        <w:ind w:firstLine="0"/>
        <w:jc w:val="left"/>
        <w:rPr>
          <w:lang w:val="hy-AM"/>
        </w:rPr>
      </w:pPr>
      <w:r w:rsidRPr="0009603E">
        <w:rPr>
          <w:b/>
          <w:lang w:val="hy-AM"/>
        </w:rPr>
        <w:t>Աղյուսակ</w:t>
      </w:r>
      <w:r w:rsidRPr="0009603E">
        <w:rPr>
          <w:b/>
          <w:lang w:val="af-ZA"/>
        </w:rPr>
        <w:t xml:space="preserve"> 3.2.</w:t>
      </w:r>
      <w:r w:rsidRPr="0009603E">
        <w:rPr>
          <w:b/>
          <w:lang w:val="hy-AM"/>
        </w:rPr>
        <w:t>1</w:t>
      </w:r>
      <w:r w:rsidRPr="0009603E">
        <w:rPr>
          <w:b/>
          <w:lang w:val="af-ZA"/>
        </w:rPr>
        <w:t xml:space="preserve">.  </w:t>
      </w:r>
      <w:r w:rsidRPr="0009603E">
        <w:rPr>
          <w:lang w:val="af-ZA"/>
        </w:rPr>
        <w:t>2021-2027</w:t>
      </w:r>
      <w:r w:rsidRPr="0009603E">
        <w:rPr>
          <w:lang w:val="hy-AM"/>
        </w:rPr>
        <w:t>թթ</w:t>
      </w:r>
      <w:r w:rsidRPr="0009603E">
        <w:rPr>
          <w:lang w:val="af-ZA"/>
        </w:rPr>
        <w:t xml:space="preserve"> </w:t>
      </w:r>
      <w:r w:rsidRPr="0009603E">
        <w:rPr>
          <w:lang w:val="hy-AM"/>
        </w:rPr>
        <w:t>փաստացի և</w:t>
      </w:r>
      <w:r w:rsidRPr="0009603E">
        <w:rPr>
          <w:lang w:val="af-ZA"/>
        </w:rPr>
        <w:t xml:space="preserve"> </w:t>
      </w:r>
      <w:r w:rsidRPr="0009603E">
        <w:rPr>
          <w:lang w:val="hy-AM"/>
        </w:rPr>
        <w:t>ծրագրված</w:t>
      </w:r>
      <w:r w:rsidRPr="0009603E">
        <w:rPr>
          <w:lang w:val="af-ZA"/>
        </w:rPr>
        <w:t xml:space="preserve"> </w:t>
      </w:r>
      <w:r w:rsidRPr="0009603E">
        <w:rPr>
          <w:lang w:val="hy-AM"/>
        </w:rPr>
        <w:t>եկամուտները</w:t>
      </w:r>
      <w:r w:rsidRPr="0009603E">
        <w:rPr>
          <w:lang w:val="af-ZA"/>
        </w:rPr>
        <w:t xml:space="preserve">, </w:t>
      </w:r>
      <w:r w:rsidRPr="0009603E">
        <w:rPr>
          <w:lang w:val="hy-AM"/>
        </w:rPr>
        <w:t>մլրդ</w:t>
      </w:r>
      <w:r w:rsidRPr="0009603E">
        <w:rPr>
          <w:lang w:val="af-ZA"/>
        </w:rPr>
        <w:t xml:space="preserve"> </w:t>
      </w:r>
      <w:r w:rsidRPr="0009603E">
        <w:rPr>
          <w:lang w:val="hy-AM"/>
        </w:rPr>
        <w:t>դրամ</w:t>
      </w:r>
    </w:p>
    <w:p w14:paraId="58FD783A" w14:textId="77777777" w:rsidR="00827A35" w:rsidRPr="0009603E" w:rsidRDefault="00827A35" w:rsidP="00827A35">
      <w:pPr>
        <w:tabs>
          <w:tab w:val="left" w:pos="0"/>
        </w:tabs>
        <w:spacing w:before="120" w:after="0" w:line="276" w:lineRule="auto"/>
        <w:ind w:firstLine="0"/>
        <w:jc w:val="left"/>
        <w:rPr>
          <w:rFonts w:cs="Sylfaen"/>
          <w:lang w:val="hy-AM" w:eastAsia="en-GB"/>
        </w:rPr>
      </w:pPr>
    </w:p>
    <w:tbl>
      <w:tblPr>
        <w:tblW w:w="9824" w:type="dxa"/>
        <w:tblInd w:w="-450" w:type="dxa"/>
        <w:tblLayout w:type="fixed"/>
        <w:tblLook w:val="04A0" w:firstRow="1" w:lastRow="0" w:firstColumn="1" w:lastColumn="0" w:noHBand="0" w:noVBand="1"/>
      </w:tblPr>
      <w:tblGrid>
        <w:gridCol w:w="2848"/>
        <w:gridCol w:w="967"/>
        <w:gridCol w:w="967"/>
        <w:gridCol w:w="968"/>
        <w:gridCol w:w="1044"/>
        <w:gridCol w:w="996"/>
        <w:gridCol w:w="927"/>
        <w:gridCol w:w="1107"/>
      </w:tblGrid>
      <w:tr w:rsidR="00827A35" w:rsidRPr="00801EBB" w14:paraId="69E7FA39" w14:textId="77777777" w:rsidTr="007220FA">
        <w:trPr>
          <w:trHeight w:val="176"/>
          <w:tblHeader/>
        </w:trPr>
        <w:tc>
          <w:tcPr>
            <w:tcW w:w="2848" w:type="dxa"/>
            <w:vMerge w:val="restart"/>
            <w:shd w:val="clear" w:color="auto" w:fill="auto"/>
            <w:vAlign w:val="center"/>
          </w:tcPr>
          <w:p w14:paraId="0EFA380B" w14:textId="77777777" w:rsidR="00827A35" w:rsidRPr="00801EBB" w:rsidRDefault="00827A35" w:rsidP="00A90AAE">
            <w:pPr>
              <w:tabs>
                <w:tab w:val="left" w:pos="0"/>
              </w:tabs>
              <w:spacing w:before="120" w:after="0" w:line="240" w:lineRule="auto"/>
              <w:ind w:right="42" w:firstLine="0"/>
              <w:jc w:val="center"/>
              <w:rPr>
                <w:iCs/>
                <w:sz w:val="18"/>
                <w:szCs w:val="18"/>
                <w:lang w:val="af-ZA"/>
              </w:rPr>
            </w:pPr>
            <w:r w:rsidRPr="00801EBB">
              <w:rPr>
                <w:iCs/>
                <w:sz w:val="18"/>
                <w:szCs w:val="18"/>
              </w:rPr>
              <w:t>Եկամտատեսակ</w:t>
            </w:r>
          </w:p>
        </w:tc>
        <w:tc>
          <w:tcPr>
            <w:tcW w:w="2902" w:type="dxa"/>
            <w:gridSpan w:val="3"/>
            <w:tcBorders>
              <w:bottom w:val="single" w:sz="2" w:space="0" w:color="auto"/>
            </w:tcBorders>
            <w:shd w:val="clear" w:color="auto" w:fill="auto"/>
            <w:noWrap/>
            <w:vAlign w:val="center"/>
          </w:tcPr>
          <w:p w14:paraId="3044C8DA" w14:textId="77777777" w:rsidR="00827A35" w:rsidRPr="00801EBB" w:rsidRDefault="00827A35" w:rsidP="00A90AAE">
            <w:pPr>
              <w:tabs>
                <w:tab w:val="left" w:pos="0"/>
              </w:tabs>
              <w:spacing w:before="120" w:after="0" w:line="240" w:lineRule="auto"/>
              <w:ind w:right="42" w:firstLine="0"/>
              <w:jc w:val="center"/>
              <w:rPr>
                <w:sz w:val="18"/>
                <w:szCs w:val="18"/>
                <w:lang w:val="hy-AM"/>
              </w:rPr>
            </w:pPr>
            <w:r w:rsidRPr="00801EBB">
              <w:rPr>
                <w:sz w:val="18"/>
                <w:szCs w:val="18"/>
                <w:lang w:val="hy-AM"/>
              </w:rPr>
              <w:t>Փաստ</w:t>
            </w:r>
          </w:p>
        </w:tc>
        <w:tc>
          <w:tcPr>
            <w:tcW w:w="1044" w:type="dxa"/>
            <w:shd w:val="clear" w:color="auto" w:fill="auto"/>
            <w:noWrap/>
            <w:vAlign w:val="center"/>
          </w:tcPr>
          <w:p w14:paraId="59DA1847" w14:textId="77777777" w:rsidR="00827A35" w:rsidRPr="007A3F14" w:rsidRDefault="00827A35" w:rsidP="00A90AAE">
            <w:pPr>
              <w:tabs>
                <w:tab w:val="left" w:pos="0"/>
              </w:tabs>
              <w:spacing w:before="120" w:after="0" w:line="240" w:lineRule="auto"/>
              <w:ind w:right="42" w:firstLine="0"/>
              <w:jc w:val="center"/>
              <w:rPr>
                <w:sz w:val="18"/>
                <w:szCs w:val="18"/>
                <w:lang w:val="hy-AM"/>
              </w:rPr>
            </w:pPr>
            <w:r>
              <w:rPr>
                <w:sz w:val="18"/>
                <w:szCs w:val="18"/>
                <w:lang w:val="hy-AM"/>
              </w:rPr>
              <w:t>Բյուջե</w:t>
            </w:r>
          </w:p>
        </w:tc>
        <w:tc>
          <w:tcPr>
            <w:tcW w:w="3030" w:type="dxa"/>
            <w:gridSpan w:val="3"/>
            <w:tcBorders>
              <w:bottom w:val="single" w:sz="2" w:space="0" w:color="auto"/>
            </w:tcBorders>
            <w:shd w:val="clear" w:color="auto" w:fill="auto"/>
            <w:noWrap/>
            <w:vAlign w:val="center"/>
          </w:tcPr>
          <w:p w14:paraId="1EE247C4" w14:textId="77777777" w:rsidR="00827A35" w:rsidRPr="00801EBB" w:rsidRDefault="00827A35" w:rsidP="00A90AAE">
            <w:pPr>
              <w:tabs>
                <w:tab w:val="left" w:pos="0"/>
              </w:tabs>
              <w:spacing w:before="120" w:after="0" w:line="240" w:lineRule="auto"/>
              <w:ind w:right="42" w:firstLine="0"/>
              <w:jc w:val="center"/>
              <w:rPr>
                <w:sz w:val="18"/>
                <w:szCs w:val="18"/>
                <w:lang w:val="hy-AM"/>
              </w:rPr>
            </w:pPr>
            <w:r w:rsidRPr="00801EBB">
              <w:rPr>
                <w:sz w:val="18"/>
                <w:szCs w:val="18"/>
                <w:lang w:val="hy-AM"/>
              </w:rPr>
              <w:t>ՄԺԾԾ</w:t>
            </w:r>
          </w:p>
        </w:tc>
      </w:tr>
      <w:tr w:rsidR="00827A35" w:rsidRPr="00801EBB" w14:paraId="750E33C4" w14:textId="77777777" w:rsidTr="007220FA">
        <w:trPr>
          <w:trHeight w:val="70"/>
          <w:tblHeader/>
        </w:trPr>
        <w:tc>
          <w:tcPr>
            <w:tcW w:w="2848" w:type="dxa"/>
            <w:vMerge/>
            <w:tcBorders>
              <w:bottom w:val="single" w:sz="2" w:space="0" w:color="auto"/>
            </w:tcBorders>
            <w:shd w:val="clear" w:color="auto" w:fill="auto"/>
            <w:vAlign w:val="center"/>
            <w:hideMark/>
          </w:tcPr>
          <w:p w14:paraId="03775C9D" w14:textId="77777777" w:rsidR="00827A35" w:rsidRPr="00801EBB" w:rsidRDefault="00827A35" w:rsidP="00A90AAE">
            <w:pPr>
              <w:tabs>
                <w:tab w:val="left" w:pos="0"/>
              </w:tabs>
              <w:spacing w:before="120" w:after="0" w:line="240" w:lineRule="auto"/>
              <w:ind w:right="42" w:firstLine="0"/>
              <w:jc w:val="center"/>
              <w:rPr>
                <w:iCs/>
                <w:sz w:val="18"/>
                <w:szCs w:val="18"/>
              </w:rPr>
            </w:pPr>
          </w:p>
        </w:tc>
        <w:tc>
          <w:tcPr>
            <w:tcW w:w="967" w:type="dxa"/>
            <w:tcBorders>
              <w:top w:val="single" w:sz="2" w:space="0" w:color="auto"/>
              <w:bottom w:val="single" w:sz="2" w:space="0" w:color="auto"/>
            </w:tcBorders>
            <w:shd w:val="clear" w:color="auto" w:fill="auto"/>
            <w:noWrap/>
            <w:vAlign w:val="center"/>
            <w:hideMark/>
          </w:tcPr>
          <w:p w14:paraId="1528A8D6" w14:textId="77777777" w:rsidR="00827A35" w:rsidRPr="00801EBB" w:rsidRDefault="00827A35" w:rsidP="00A90AAE">
            <w:pPr>
              <w:tabs>
                <w:tab w:val="left" w:pos="0"/>
              </w:tabs>
              <w:spacing w:before="120" w:after="0" w:line="240" w:lineRule="auto"/>
              <w:ind w:right="42" w:firstLine="0"/>
              <w:jc w:val="center"/>
              <w:rPr>
                <w:sz w:val="18"/>
                <w:szCs w:val="18"/>
              </w:rPr>
            </w:pPr>
            <w:r>
              <w:rPr>
                <w:sz w:val="18"/>
                <w:szCs w:val="18"/>
              </w:rPr>
              <w:t>2021</w:t>
            </w:r>
            <w:r w:rsidRPr="00801EBB">
              <w:rPr>
                <w:sz w:val="18"/>
                <w:szCs w:val="18"/>
              </w:rPr>
              <w:t xml:space="preserve"> </w:t>
            </w:r>
          </w:p>
        </w:tc>
        <w:tc>
          <w:tcPr>
            <w:tcW w:w="967" w:type="dxa"/>
            <w:tcBorders>
              <w:top w:val="single" w:sz="2" w:space="0" w:color="auto"/>
              <w:bottom w:val="single" w:sz="2" w:space="0" w:color="auto"/>
            </w:tcBorders>
            <w:shd w:val="clear" w:color="auto" w:fill="auto"/>
            <w:noWrap/>
            <w:vAlign w:val="center"/>
            <w:hideMark/>
          </w:tcPr>
          <w:p w14:paraId="53E1DD40" w14:textId="77777777" w:rsidR="00827A35" w:rsidRPr="00801EBB" w:rsidRDefault="00827A35" w:rsidP="00A90AAE">
            <w:pPr>
              <w:tabs>
                <w:tab w:val="left" w:pos="0"/>
              </w:tabs>
              <w:spacing w:before="120" w:after="0" w:line="240" w:lineRule="auto"/>
              <w:ind w:right="42" w:firstLine="0"/>
              <w:jc w:val="center"/>
              <w:rPr>
                <w:sz w:val="18"/>
                <w:szCs w:val="18"/>
              </w:rPr>
            </w:pPr>
            <w:r w:rsidRPr="00801EBB">
              <w:rPr>
                <w:sz w:val="18"/>
                <w:szCs w:val="18"/>
              </w:rPr>
              <w:t>202</w:t>
            </w:r>
            <w:r>
              <w:rPr>
                <w:sz w:val="18"/>
                <w:szCs w:val="18"/>
              </w:rPr>
              <w:t>2</w:t>
            </w:r>
            <w:r w:rsidRPr="00801EBB">
              <w:rPr>
                <w:sz w:val="18"/>
                <w:szCs w:val="18"/>
              </w:rPr>
              <w:t xml:space="preserve"> </w:t>
            </w:r>
          </w:p>
        </w:tc>
        <w:tc>
          <w:tcPr>
            <w:tcW w:w="968" w:type="dxa"/>
            <w:tcBorders>
              <w:top w:val="single" w:sz="2" w:space="0" w:color="auto"/>
              <w:bottom w:val="single" w:sz="2" w:space="0" w:color="auto"/>
            </w:tcBorders>
            <w:shd w:val="clear" w:color="auto" w:fill="auto"/>
            <w:noWrap/>
            <w:vAlign w:val="center"/>
            <w:hideMark/>
          </w:tcPr>
          <w:p w14:paraId="1AF1D358" w14:textId="77777777" w:rsidR="00827A35" w:rsidRPr="00801EBB" w:rsidRDefault="00827A35" w:rsidP="00A90AAE">
            <w:pPr>
              <w:tabs>
                <w:tab w:val="left" w:pos="0"/>
              </w:tabs>
              <w:spacing w:before="120" w:after="0" w:line="240" w:lineRule="auto"/>
              <w:ind w:right="42" w:firstLine="0"/>
              <w:jc w:val="center"/>
              <w:rPr>
                <w:sz w:val="18"/>
                <w:szCs w:val="18"/>
              </w:rPr>
            </w:pPr>
            <w:r w:rsidRPr="00801EBB">
              <w:rPr>
                <w:sz w:val="18"/>
                <w:szCs w:val="18"/>
              </w:rPr>
              <w:t>2</w:t>
            </w:r>
            <w:r>
              <w:rPr>
                <w:sz w:val="18"/>
                <w:szCs w:val="18"/>
              </w:rPr>
              <w:t>023</w:t>
            </w:r>
            <w:r w:rsidRPr="00801EBB">
              <w:rPr>
                <w:sz w:val="18"/>
                <w:szCs w:val="18"/>
              </w:rPr>
              <w:t xml:space="preserve"> </w:t>
            </w:r>
          </w:p>
        </w:tc>
        <w:tc>
          <w:tcPr>
            <w:tcW w:w="1044" w:type="dxa"/>
            <w:tcBorders>
              <w:bottom w:val="single" w:sz="2" w:space="0" w:color="auto"/>
            </w:tcBorders>
            <w:shd w:val="clear" w:color="auto" w:fill="auto"/>
            <w:noWrap/>
            <w:vAlign w:val="center"/>
            <w:hideMark/>
          </w:tcPr>
          <w:p w14:paraId="4A458A72" w14:textId="77777777" w:rsidR="00827A35" w:rsidRPr="00801EBB" w:rsidRDefault="00827A35" w:rsidP="00A90AAE">
            <w:pPr>
              <w:tabs>
                <w:tab w:val="left" w:pos="0"/>
              </w:tabs>
              <w:spacing w:before="120" w:after="0" w:line="240" w:lineRule="auto"/>
              <w:ind w:right="42" w:firstLine="0"/>
              <w:jc w:val="center"/>
              <w:rPr>
                <w:sz w:val="18"/>
                <w:szCs w:val="18"/>
              </w:rPr>
            </w:pPr>
            <w:r>
              <w:rPr>
                <w:sz w:val="18"/>
                <w:szCs w:val="18"/>
              </w:rPr>
              <w:t>2024</w:t>
            </w:r>
          </w:p>
        </w:tc>
        <w:tc>
          <w:tcPr>
            <w:tcW w:w="996" w:type="dxa"/>
            <w:tcBorders>
              <w:top w:val="single" w:sz="2" w:space="0" w:color="auto"/>
              <w:bottom w:val="single" w:sz="2" w:space="0" w:color="auto"/>
            </w:tcBorders>
            <w:shd w:val="clear" w:color="auto" w:fill="auto"/>
            <w:noWrap/>
            <w:vAlign w:val="center"/>
            <w:hideMark/>
          </w:tcPr>
          <w:p w14:paraId="68DD0915" w14:textId="77777777" w:rsidR="00827A35" w:rsidRPr="00801EBB" w:rsidRDefault="00827A35" w:rsidP="00A90AAE">
            <w:pPr>
              <w:tabs>
                <w:tab w:val="left" w:pos="0"/>
              </w:tabs>
              <w:spacing w:before="120" w:after="0" w:line="240" w:lineRule="auto"/>
              <w:ind w:right="42" w:firstLine="0"/>
              <w:jc w:val="center"/>
              <w:rPr>
                <w:sz w:val="18"/>
                <w:szCs w:val="18"/>
              </w:rPr>
            </w:pPr>
            <w:r>
              <w:rPr>
                <w:sz w:val="18"/>
                <w:szCs w:val="18"/>
              </w:rPr>
              <w:t>2025</w:t>
            </w:r>
            <w:r w:rsidRPr="00801EBB">
              <w:rPr>
                <w:sz w:val="18"/>
                <w:szCs w:val="18"/>
              </w:rPr>
              <w:t xml:space="preserve"> </w:t>
            </w:r>
          </w:p>
        </w:tc>
        <w:tc>
          <w:tcPr>
            <w:tcW w:w="927" w:type="dxa"/>
            <w:tcBorders>
              <w:top w:val="single" w:sz="2" w:space="0" w:color="auto"/>
              <w:bottom w:val="single" w:sz="2" w:space="0" w:color="auto"/>
            </w:tcBorders>
            <w:shd w:val="clear" w:color="auto" w:fill="auto"/>
            <w:vAlign w:val="center"/>
            <w:hideMark/>
          </w:tcPr>
          <w:p w14:paraId="02B26A63" w14:textId="77777777" w:rsidR="00827A35" w:rsidRPr="00801EBB" w:rsidRDefault="00827A35" w:rsidP="00A90AAE">
            <w:pPr>
              <w:tabs>
                <w:tab w:val="left" w:pos="0"/>
              </w:tabs>
              <w:spacing w:before="120" w:after="0" w:line="240" w:lineRule="auto"/>
              <w:ind w:right="42" w:firstLine="0"/>
              <w:jc w:val="center"/>
              <w:rPr>
                <w:sz w:val="18"/>
                <w:szCs w:val="18"/>
              </w:rPr>
            </w:pPr>
            <w:r>
              <w:rPr>
                <w:sz w:val="18"/>
                <w:szCs w:val="18"/>
              </w:rPr>
              <w:t>2026</w:t>
            </w:r>
          </w:p>
        </w:tc>
        <w:tc>
          <w:tcPr>
            <w:tcW w:w="1107" w:type="dxa"/>
            <w:tcBorders>
              <w:top w:val="single" w:sz="2" w:space="0" w:color="auto"/>
              <w:bottom w:val="single" w:sz="2" w:space="0" w:color="auto"/>
            </w:tcBorders>
            <w:shd w:val="clear" w:color="auto" w:fill="auto"/>
            <w:vAlign w:val="center"/>
            <w:hideMark/>
          </w:tcPr>
          <w:p w14:paraId="11A7FFD4" w14:textId="77777777" w:rsidR="00827A35" w:rsidRPr="00801EBB" w:rsidRDefault="00827A35" w:rsidP="00A90AAE">
            <w:pPr>
              <w:tabs>
                <w:tab w:val="left" w:pos="0"/>
              </w:tabs>
              <w:spacing w:before="120" w:after="0" w:line="240" w:lineRule="auto"/>
              <w:ind w:right="42" w:firstLine="0"/>
              <w:jc w:val="center"/>
              <w:rPr>
                <w:sz w:val="18"/>
                <w:szCs w:val="18"/>
              </w:rPr>
            </w:pPr>
            <w:r>
              <w:rPr>
                <w:sz w:val="18"/>
                <w:szCs w:val="18"/>
              </w:rPr>
              <w:t>2027</w:t>
            </w:r>
          </w:p>
        </w:tc>
      </w:tr>
      <w:tr w:rsidR="007220FA" w:rsidRPr="00801EBB" w14:paraId="75E49C16" w14:textId="77777777" w:rsidTr="007220FA">
        <w:trPr>
          <w:trHeight w:val="89"/>
        </w:trPr>
        <w:tc>
          <w:tcPr>
            <w:tcW w:w="2848" w:type="dxa"/>
            <w:tcBorders>
              <w:top w:val="single" w:sz="2" w:space="0" w:color="auto"/>
            </w:tcBorders>
            <w:shd w:val="clear" w:color="auto" w:fill="FFFFFF"/>
            <w:vAlign w:val="center"/>
            <w:hideMark/>
          </w:tcPr>
          <w:p w14:paraId="3CE4EF8C"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Պետական բյուջեի </w:t>
            </w:r>
            <w:r w:rsidRPr="00801EBB">
              <w:rPr>
                <w:bCs/>
                <w:color w:val="000000"/>
                <w:sz w:val="18"/>
                <w:szCs w:val="18"/>
              </w:rPr>
              <w:t>եկամուտներ</w:t>
            </w:r>
          </w:p>
        </w:tc>
        <w:tc>
          <w:tcPr>
            <w:tcW w:w="967" w:type="dxa"/>
            <w:tcBorders>
              <w:top w:val="single" w:sz="2" w:space="0" w:color="auto"/>
            </w:tcBorders>
            <w:shd w:val="clear" w:color="auto" w:fill="FFFFFF"/>
            <w:noWrap/>
            <w:vAlign w:val="center"/>
            <w:hideMark/>
          </w:tcPr>
          <w:p w14:paraId="35C6A5C0" w14:textId="6323813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1,683.9</w:t>
            </w:r>
          </w:p>
        </w:tc>
        <w:tc>
          <w:tcPr>
            <w:tcW w:w="967" w:type="dxa"/>
            <w:tcBorders>
              <w:top w:val="single" w:sz="2" w:space="0" w:color="auto"/>
            </w:tcBorders>
            <w:shd w:val="clear" w:color="auto" w:fill="FFFFFF"/>
            <w:noWrap/>
            <w:vAlign w:val="center"/>
            <w:hideMark/>
          </w:tcPr>
          <w:p w14:paraId="20D19310" w14:textId="3FEF37F2"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2,063.1</w:t>
            </w:r>
          </w:p>
        </w:tc>
        <w:tc>
          <w:tcPr>
            <w:tcW w:w="968" w:type="dxa"/>
            <w:tcBorders>
              <w:top w:val="single" w:sz="2" w:space="0" w:color="auto"/>
            </w:tcBorders>
            <w:shd w:val="clear" w:color="auto" w:fill="FFFFFF"/>
            <w:noWrap/>
            <w:vAlign w:val="center"/>
            <w:hideMark/>
          </w:tcPr>
          <w:p w14:paraId="23039E43" w14:textId="1BCB2C29"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2,358.8</w:t>
            </w:r>
          </w:p>
        </w:tc>
        <w:tc>
          <w:tcPr>
            <w:tcW w:w="1044" w:type="dxa"/>
            <w:tcBorders>
              <w:top w:val="single" w:sz="2" w:space="0" w:color="auto"/>
            </w:tcBorders>
            <w:shd w:val="clear" w:color="auto" w:fill="FFFFFF"/>
            <w:noWrap/>
            <w:vAlign w:val="center"/>
            <w:hideMark/>
          </w:tcPr>
          <w:p w14:paraId="5CDB34D3" w14:textId="664F4C4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2,723.6</w:t>
            </w:r>
          </w:p>
        </w:tc>
        <w:tc>
          <w:tcPr>
            <w:tcW w:w="996" w:type="dxa"/>
            <w:tcBorders>
              <w:top w:val="single" w:sz="2" w:space="0" w:color="auto"/>
            </w:tcBorders>
            <w:shd w:val="clear" w:color="auto" w:fill="auto"/>
            <w:noWrap/>
            <w:vAlign w:val="center"/>
            <w:hideMark/>
          </w:tcPr>
          <w:p w14:paraId="60865D3D" w14:textId="16CD64D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2,897.6</w:t>
            </w:r>
          </w:p>
        </w:tc>
        <w:tc>
          <w:tcPr>
            <w:tcW w:w="927" w:type="dxa"/>
            <w:tcBorders>
              <w:top w:val="single" w:sz="2" w:space="0" w:color="auto"/>
            </w:tcBorders>
            <w:shd w:val="clear" w:color="auto" w:fill="auto"/>
            <w:vAlign w:val="center"/>
            <w:hideMark/>
          </w:tcPr>
          <w:p w14:paraId="1DB3DE28" w14:textId="77E7E88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3,258.2</w:t>
            </w:r>
          </w:p>
        </w:tc>
        <w:tc>
          <w:tcPr>
            <w:tcW w:w="1107" w:type="dxa"/>
            <w:tcBorders>
              <w:top w:val="single" w:sz="2" w:space="0" w:color="auto"/>
            </w:tcBorders>
            <w:shd w:val="clear" w:color="auto" w:fill="auto"/>
            <w:vAlign w:val="center"/>
            <w:hideMark/>
          </w:tcPr>
          <w:p w14:paraId="185E54B7" w14:textId="6698D4D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3,614.1</w:t>
            </w:r>
          </w:p>
        </w:tc>
      </w:tr>
      <w:tr w:rsidR="007220FA" w:rsidRPr="00801EBB" w14:paraId="264BAA50" w14:textId="77777777" w:rsidTr="007220FA">
        <w:trPr>
          <w:trHeight w:val="199"/>
        </w:trPr>
        <w:tc>
          <w:tcPr>
            <w:tcW w:w="2848" w:type="dxa"/>
            <w:tcBorders>
              <w:bottom w:val="single" w:sz="2" w:space="0" w:color="auto"/>
            </w:tcBorders>
            <w:shd w:val="clear" w:color="auto" w:fill="FFFFFF"/>
            <w:vAlign w:val="center"/>
            <w:hideMark/>
          </w:tcPr>
          <w:p w14:paraId="5E44ED41"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ՀՆԱ-ի նկատմամբ (%) </w:t>
            </w:r>
          </w:p>
        </w:tc>
        <w:tc>
          <w:tcPr>
            <w:tcW w:w="967" w:type="dxa"/>
            <w:tcBorders>
              <w:bottom w:val="single" w:sz="2" w:space="0" w:color="auto"/>
            </w:tcBorders>
            <w:shd w:val="clear" w:color="auto" w:fill="FFFFFF"/>
            <w:noWrap/>
            <w:vAlign w:val="center"/>
            <w:hideMark/>
          </w:tcPr>
          <w:p w14:paraId="154EBACC" w14:textId="19564A24"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24.1</w:t>
            </w:r>
          </w:p>
        </w:tc>
        <w:tc>
          <w:tcPr>
            <w:tcW w:w="967" w:type="dxa"/>
            <w:tcBorders>
              <w:bottom w:val="single" w:sz="2" w:space="0" w:color="auto"/>
            </w:tcBorders>
            <w:shd w:val="clear" w:color="auto" w:fill="FFFFFF"/>
            <w:noWrap/>
            <w:vAlign w:val="center"/>
            <w:hideMark/>
          </w:tcPr>
          <w:p w14:paraId="0860D1F8" w14:textId="732AA2C7"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24.3</w:t>
            </w:r>
          </w:p>
        </w:tc>
        <w:tc>
          <w:tcPr>
            <w:tcW w:w="968" w:type="dxa"/>
            <w:tcBorders>
              <w:bottom w:val="single" w:sz="2" w:space="0" w:color="auto"/>
            </w:tcBorders>
            <w:shd w:val="clear" w:color="auto" w:fill="FFFFFF"/>
            <w:noWrap/>
            <w:vAlign w:val="center"/>
            <w:hideMark/>
          </w:tcPr>
          <w:p w14:paraId="0563D0DE" w14:textId="15471FF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24.8</w:t>
            </w:r>
          </w:p>
        </w:tc>
        <w:tc>
          <w:tcPr>
            <w:tcW w:w="1044" w:type="dxa"/>
            <w:tcBorders>
              <w:bottom w:val="single" w:sz="2" w:space="0" w:color="auto"/>
            </w:tcBorders>
            <w:shd w:val="clear" w:color="auto" w:fill="FFFFFF"/>
            <w:noWrap/>
            <w:vAlign w:val="center"/>
            <w:hideMark/>
          </w:tcPr>
          <w:p w14:paraId="615089D9" w14:textId="5ECAD3F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25.9</w:t>
            </w:r>
          </w:p>
        </w:tc>
        <w:tc>
          <w:tcPr>
            <w:tcW w:w="996" w:type="dxa"/>
            <w:tcBorders>
              <w:bottom w:val="single" w:sz="2" w:space="0" w:color="auto"/>
            </w:tcBorders>
            <w:shd w:val="clear" w:color="auto" w:fill="auto"/>
            <w:noWrap/>
            <w:vAlign w:val="center"/>
            <w:hideMark/>
          </w:tcPr>
          <w:p w14:paraId="69C52252" w14:textId="7820A8B8"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25.9</w:t>
            </w:r>
          </w:p>
        </w:tc>
        <w:tc>
          <w:tcPr>
            <w:tcW w:w="927" w:type="dxa"/>
            <w:tcBorders>
              <w:bottom w:val="single" w:sz="2" w:space="0" w:color="auto"/>
            </w:tcBorders>
            <w:shd w:val="clear" w:color="auto" w:fill="auto"/>
            <w:vAlign w:val="center"/>
            <w:hideMark/>
          </w:tcPr>
          <w:p w14:paraId="4AC2917C" w14:textId="45AB7D4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26.5</w:t>
            </w:r>
          </w:p>
        </w:tc>
        <w:tc>
          <w:tcPr>
            <w:tcW w:w="1107" w:type="dxa"/>
            <w:tcBorders>
              <w:bottom w:val="single" w:sz="2" w:space="0" w:color="auto"/>
            </w:tcBorders>
            <w:shd w:val="clear" w:color="auto" w:fill="auto"/>
            <w:vAlign w:val="center"/>
            <w:hideMark/>
          </w:tcPr>
          <w:p w14:paraId="255418E4" w14:textId="7C35FF8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26.8</w:t>
            </w:r>
          </w:p>
        </w:tc>
      </w:tr>
      <w:tr w:rsidR="007220FA" w:rsidRPr="00801EBB" w14:paraId="39A99BE6" w14:textId="77777777" w:rsidTr="007220FA">
        <w:trPr>
          <w:trHeight w:val="429"/>
        </w:trPr>
        <w:tc>
          <w:tcPr>
            <w:tcW w:w="2848" w:type="dxa"/>
            <w:tcBorders>
              <w:top w:val="single" w:sz="2" w:space="0" w:color="auto"/>
            </w:tcBorders>
            <w:shd w:val="clear" w:color="auto" w:fill="FFFFFF"/>
            <w:vAlign w:val="center"/>
            <w:hideMark/>
          </w:tcPr>
          <w:p w14:paraId="3FD17D7A"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1. Հարկային եկամուտներ և պետական տուրքեր</w:t>
            </w:r>
          </w:p>
        </w:tc>
        <w:tc>
          <w:tcPr>
            <w:tcW w:w="967" w:type="dxa"/>
            <w:tcBorders>
              <w:top w:val="single" w:sz="2" w:space="0" w:color="auto"/>
            </w:tcBorders>
            <w:shd w:val="clear" w:color="auto" w:fill="FFFFFF"/>
            <w:noWrap/>
            <w:vAlign w:val="center"/>
            <w:hideMark/>
          </w:tcPr>
          <w:p w14:paraId="62C796EC" w14:textId="2E252358"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1,586.9</w:t>
            </w:r>
          </w:p>
        </w:tc>
        <w:tc>
          <w:tcPr>
            <w:tcW w:w="967" w:type="dxa"/>
            <w:tcBorders>
              <w:top w:val="single" w:sz="2" w:space="0" w:color="auto"/>
            </w:tcBorders>
            <w:shd w:val="clear" w:color="auto" w:fill="FFFFFF"/>
            <w:noWrap/>
            <w:vAlign w:val="center"/>
            <w:hideMark/>
          </w:tcPr>
          <w:p w14:paraId="1DF5C144" w14:textId="14A02F3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1,926.0</w:t>
            </w:r>
          </w:p>
        </w:tc>
        <w:tc>
          <w:tcPr>
            <w:tcW w:w="968" w:type="dxa"/>
            <w:tcBorders>
              <w:top w:val="single" w:sz="2" w:space="0" w:color="auto"/>
            </w:tcBorders>
            <w:shd w:val="clear" w:color="auto" w:fill="FFFFFF"/>
            <w:noWrap/>
            <w:vAlign w:val="center"/>
            <w:hideMark/>
          </w:tcPr>
          <w:p w14:paraId="780405E5" w14:textId="3EF3339B"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2,221.9</w:t>
            </w:r>
          </w:p>
        </w:tc>
        <w:tc>
          <w:tcPr>
            <w:tcW w:w="1044" w:type="dxa"/>
            <w:tcBorders>
              <w:top w:val="single" w:sz="2" w:space="0" w:color="auto"/>
            </w:tcBorders>
            <w:shd w:val="clear" w:color="auto" w:fill="FFFFFF"/>
            <w:noWrap/>
            <w:vAlign w:val="center"/>
            <w:hideMark/>
          </w:tcPr>
          <w:p w14:paraId="4D632B3C" w14:textId="59FEE41F"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2,613.6</w:t>
            </w:r>
          </w:p>
        </w:tc>
        <w:tc>
          <w:tcPr>
            <w:tcW w:w="996" w:type="dxa"/>
            <w:tcBorders>
              <w:top w:val="single" w:sz="2" w:space="0" w:color="auto"/>
            </w:tcBorders>
            <w:shd w:val="clear" w:color="auto" w:fill="auto"/>
            <w:noWrap/>
            <w:vAlign w:val="center"/>
            <w:hideMark/>
          </w:tcPr>
          <w:p w14:paraId="707E7F2D" w14:textId="7D19B9D9"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2,812.3</w:t>
            </w:r>
          </w:p>
        </w:tc>
        <w:tc>
          <w:tcPr>
            <w:tcW w:w="927" w:type="dxa"/>
            <w:tcBorders>
              <w:top w:val="single" w:sz="2" w:space="0" w:color="auto"/>
            </w:tcBorders>
            <w:shd w:val="clear" w:color="auto" w:fill="auto"/>
            <w:vAlign w:val="center"/>
            <w:hideMark/>
          </w:tcPr>
          <w:p w14:paraId="3FE1CE25" w14:textId="76E981F2"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3,182.0</w:t>
            </w:r>
          </w:p>
        </w:tc>
        <w:tc>
          <w:tcPr>
            <w:tcW w:w="1107" w:type="dxa"/>
            <w:tcBorders>
              <w:top w:val="single" w:sz="2" w:space="0" w:color="auto"/>
            </w:tcBorders>
            <w:shd w:val="clear" w:color="auto" w:fill="auto"/>
            <w:vAlign w:val="center"/>
            <w:hideMark/>
          </w:tcPr>
          <w:p w14:paraId="54AE3164" w14:textId="4C716FEB"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3,541.2</w:t>
            </w:r>
          </w:p>
        </w:tc>
      </w:tr>
      <w:tr w:rsidR="007220FA" w:rsidRPr="00801EBB" w14:paraId="71F15ED5" w14:textId="77777777" w:rsidTr="007220FA">
        <w:trPr>
          <w:trHeight w:val="142"/>
        </w:trPr>
        <w:tc>
          <w:tcPr>
            <w:tcW w:w="2848" w:type="dxa"/>
            <w:shd w:val="clear" w:color="auto" w:fill="FFFFFF"/>
            <w:vAlign w:val="center"/>
            <w:hideMark/>
          </w:tcPr>
          <w:p w14:paraId="3ACEA6D7"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ՀՆԱ-ի նկատմամբ (%) </w:t>
            </w:r>
          </w:p>
        </w:tc>
        <w:tc>
          <w:tcPr>
            <w:tcW w:w="967" w:type="dxa"/>
            <w:shd w:val="clear" w:color="auto" w:fill="FFFFFF"/>
            <w:noWrap/>
            <w:vAlign w:val="center"/>
            <w:hideMark/>
          </w:tcPr>
          <w:p w14:paraId="24E3493E" w14:textId="341CB164"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22.7</w:t>
            </w:r>
          </w:p>
        </w:tc>
        <w:tc>
          <w:tcPr>
            <w:tcW w:w="967" w:type="dxa"/>
            <w:shd w:val="clear" w:color="auto" w:fill="FFFFFF"/>
            <w:noWrap/>
            <w:vAlign w:val="center"/>
            <w:hideMark/>
          </w:tcPr>
          <w:p w14:paraId="3E7D9FC6" w14:textId="3EC3334F"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22.7</w:t>
            </w:r>
          </w:p>
        </w:tc>
        <w:tc>
          <w:tcPr>
            <w:tcW w:w="968" w:type="dxa"/>
            <w:shd w:val="clear" w:color="auto" w:fill="FFFFFF"/>
            <w:noWrap/>
            <w:vAlign w:val="center"/>
            <w:hideMark/>
          </w:tcPr>
          <w:p w14:paraId="74673702" w14:textId="0F376E65"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23.4</w:t>
            </w:r>
          </w:p>
        </w:tc>
        <w:tc>
          <w:tcPr>
            <w:tcW w:w="1044" w:type="dxa"/>
            <w:shd w:val="clear" w:color="auto" w:fill="FFFFFF"/>
            <w:noWrap/>
            <w:vAlign w:val="center"/>
            <w:hideMark/>
          </w:tcPr>
          <w:p w14:paraId="36B63DE4" w14:textId="04D234C4" w:rsidR="007220FA" w:rsidRPr="00007BBF" w:rsidRDefault="007220FA" w:rsidP="007220FA">
            <w:pPr>
              <w:tabs>
                <w:tab w:val="left" w:pos="0"/>
              </w:tabs>
              <w:spacing w:before="120" w:after="0" w:line="240" w:lineRule="auto"/>
              <w:ind w:right="42" w:firstLine="0"/>
              <w:jc w:val="right"/>
              <w:rPr>
                <w:color w:val="000000"/>
                <w:sz w:val="18"/>
                <w:szCs w:val="18"/>
                <w:lang w:val="hy-AM"/>
              </w:rPr>
            </w:pPr>
            <w:r>
              <w:rPr>
                <w:rFonts w:cs="Calibri"/>
                <w:color w:val="000000"/>
                <w:sz w:val="18"/>
                <w:szCs w:val="18"/>
              </w:rPr>
              <w:t>24.9</w:t>
            </w:r>
          </w:p>
        </w:tc>
        <w:tc>
          <w:tcPr>
            <w:tcW w:w="996" w:type="dxa"/>
            <w:shd w:val="clear" w:color="auto" w:fill="auto"/>
            <w:noWrap/>
            <w:vAlign w:val="center"/>
            <w:hideMark/>
          </w:tcPr>
          <w:p w14:paraId="0871188B" w14:textId="7C81CEC7"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25.1</w:t>
            </w:r>
          </w:p>
        </w:tc>
        <w:tc>
          <w:tcPr>
            <w:tcW w:w="927" w:type="dxa"/>
            <w:shd w:val="clear" w:color="auto" w:fill="auto"/>
            <w:vAlign w:val="center"/>
            <w:hideMark/>
          </w:tcPr>
          <w:p w14:paraId="75C72F43" w14:textId="1D1D2A6C"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25.9</w:t>
            </w:r>
          </w:p>
        </w:tc>
        <w:tc>
          <w:tcPr>
            <w:tcW w:w="1107" w:type="dxa"/>
            <w:shd w:val="clear" w:color="auto" w:fill="auto"/>
            <w:vAlign w:val="center"/>
            <w:hideMark/>
          </w:tcPr>
          <w:p w14:paraId="756D01F7" w14:textId="79987A9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26.2</w:t>
            </w:r>
          </w:p>
        </w:tc>
      </w:tr>
      <w:tr w:rsidR="007220FA" w:rsidRPr="00801EBB" w14:paraId="45DAACBF" w14:textId="77777777" w:rsidTr="007220FA">
        <w:trPr>
          <w:trHeight w:val="178"/>
        </w:trPr>
        <w:tc>
          <w:tcPr>
            <w:tcW w:w="2848" w:type="dxa"/>
            <w:tcBorders>
              <w:bottom w:val="single" w:sz="2" w:space="0" w:color="auto"/>
            </w:tcBorders>
            <w:shd w:val="clear" w:color="auto" w:fill="FFFFFF"/>
            <w:vAlign w:val="center"/>
            <w:hideMark/>
          </w:tcPr>
          <w:p w14:paraId="53D00631"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Ընդհանուրի նկատմամբ (%) </w:t>
            </w:r>
          </w:p>
        </w:tc>
        <w:tc>
          <w:tcPr>
            <w:tcW w:w="967" w:type="dxa"/>
            <w:tcBorders>
              <w:bottom w:val="single" w:sz="2" w:space="0" w:color="auto"/>
            </w:tcBorders>
            <w:shd w:val="clear" w:color="auto" w:fill="FFFFFF"/>
            <w:noWrap/>
            <w:vAlign w:val="center"/>
            <w:hideMark/>
          </w:tcPr>
          <w:p w14:paraId="6E8A6688" w14:textId="4A38E533" w:rsidR="007220FA" w:rsidRPr="007B191D" w:rsidRDefault="007220FA" w:rsidP="007220FA">
            <w:pPr>
              <w:tabs>
                <w:tab w:val="left" w:pos="0"/>
              </w:tabs>
              <w:spacing w:before="120" w:after="0" w:line="240" w:lineRule="auto"/>
              <w:ind w:right="42" w:firstLine="0"/>
              <w:jc w:val="right"/>
              <w:rPr>
                <w:color w:val="000000"/>
                <w:sz w:val="18"/>
                <w:szCs w:val="18"/>
                <w:lang w:val="hy-AM"/>
              </w:rPr>
            </w:pPr>
            <w:r>
              <w:rPr>
                <w:rFonts w:cs="Calibri"/>
                <w:color w:val="000000"/>
                <w:sz w:val="18"/>
                <w:szCs w:val="18"/>
              </w:rPr>
              <w:t>94.2</w:t>
            </w:r>
          </w:p>
        </w:tc>
        <w:tc>
          <w:tcPr>
            <w:tcW w:w="967" w:type="dxa"/>
            <w:tcBorders>
              <w:bottom w:val="single" w:sz="2" w:space="0" w:color="auto"/>
            </w:tcBorders>
            <w:shd w:val="clear" w:color="auto" w:fill="FFFFFF"/>
            <w:noWrap/>
            <w:vAlign w:val="center"/>
            <w:hideMark/>
          </w:tcPr>
          <w:p w14:paraId="4E8C5C5A" w14:textId="211CC26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93.4</w:t>
            </w:r>
          </w:p>
        </w:tc>
        <w:tc>
          <w:tcPr>
            <w:tcW w:w="968" w:type="dxa"/>
            <w:tcBorders>
              <w:bottom w:val="single" w:sz="2" w:space="0" w:color="auto"/>
            </w:tcBorders>
            <w:shd w:val="clear" w:color="auto" w:fill="FFFFFF"/>
            <w:noWrap/>
            <w:vAlign w:val="center"/>
            <w:hideMark/>
          </w:tcPr>
          <w:p w14:paraId="79BFC6BA" w14:textId="7BB44EC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94.2</w:t>
            </w:r>
          </w:p>
        </w:tc>
        <w:tc>
          <w:tcPr>
            <w:tcW w:w="1044" w:type="dxa"/>
            <w:tcBorders>
              <w:bottom w:val="single" w:sz="2" w:space="0" w:color="auto"/>
            </w:tcBorders>
            <w:shd w:val="clear" w:color="auto" w:fill="FFFFFF"/>
            <w:noWrap/>
            <w:vAlign w:val="center"/>
            <w:hideMark/>
          </w:tcPr>
          <w:p w14:paraId="4D37CC33" w14:textId="2423BC59"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96.0</w:t>
            </w:r>
          </w:p>
        </w:tc>
        <w:tc>
          <w:tcPr>
            <w:tcW w:w="996" w:type="dxa"/>
            <w:tcBorders>
              <w:bottom w:val="single" w:sz="2" w:space="0" w:color="auto"/>
            </w:tcBorders>
            <w:shd w:val="clear" w:color="auto" w:fill="auto"/>
            <w:noWrap/>
            <w:vAlign w:val="center"/>
            <w:hideMark/>
          </w:tcPr>
          <w:p w14:paraId="70A19977" w14:textId="59303C95"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97.1</w:t>
            </w:r>
          </w:p>
        </w:tc>
        <w:tc>
          <w:tcPr>
            <w:tcW w:w="927" w:type="dxa"/>
            <w:tcBorders>
              <w:bottom w:val="single" w:sz="2" w:space="0" w:color="auto"/>
            </w:tcBorders>
            <w:shd w:val="clear" w:color="auto" w:fill="auto"/>
            <w:vAlign w:val="center"/>
            <w:hideMark/>
          </w:tcPr>
          <w:p w14:paraId="02895B60" w14:textId="18ACBB6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97.7</w:t>
            </w:r>
          </w:p>
        </w:tc>
        <w:tc>
          <w:tcPr>
            <w:tcW w:w="1107" w:type="dxa"/>
            <w:tcBorders>
              <w:bottom w:val="single" w:sz="2" w:space="0" w:color="auto"/>
            </w:tcBorders>
            <w:shd w:val="clear" w:color="auto" w:fill="auto"/>
            <w:vAlign w:val="center"/>
            <w:hideMark/>
          </w:tcPr>
          <w:p w14:paraId="6A833023" w14:textId="35E38EE7"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98.0</w:t>
            </w:r>
          </w:p>
        </w:tc>
      </w:tr>
      <w:tr w:rsidR="007220FA" w:rsidRPr="00801EBB" w14:paraId="4BB06FB9" w14:textId="77777777" w:rsidTr="007220FA">
        <w:trPr>
          <w:trHeight w:val="39"/>
        </w:trPr>
        <w:tc>
          <w:tcPr>
            <w:tcW w:w="2848" w:type="dxa"/>
            <w:tcBorders>
              <w:top w:val="single" w:sz="2" w:space="0" w:color="auto"/>
            </w:tcBorders>
            <w:shd w:val="clear" w:color="auto" w:fill="FFFFFF"/>
            <w:vAlign w:val="center"/>
            <w:hideMark/>
          </w:tcPr>
          <w:p w14:paraId="7121F9CB"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 2. Այլ եկամուտներ </w:t>
            </w:r>
          </w:p>
        </w:tc>
        <w:tc>
          <w:tcPr>
            <w:tcW w:w="967" w:type="dxa"/>
            <w:tcBorders>
              <w:top w:val="single" w:sz="2" w:space="0" w:color="auto"/>
            </w:tcBorders>
            <w:shd w:val="clear" w:color="auto" w:fill="FFFFFF"/>
            <w:noWrap/>
            <w:vAlign w:val="center"/>
            <w:hideMark/>
          </w:tcPr>
          <w:p w14:paraId="3F78DBDB" w14:textId="459E9F29"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84.6</w:t>
            </w:r>
          </w:p>
        </w:tc>
        <w:tc>
          <w:tcPr>
            <w:tcW w:w="967" w:type="dxa"/>
            <w:tcBorders>
              <w:top w:val="single" w:sz="2" w:space="0" w:color="auto"/>
            </w:tcBorders>
            <w:shd w:val="clear" w:color="auto" w:fill="FFFFFF"/>
            <w:noWrap/>
            <w:vAlign w:val="center"/>
            <w:hideMark/>
          </w:tcPr>
          <w:p w14:paraId="1A9724D2" w14:textId="2A158AEF"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122.1</w:t>
            </w:r>
          </w:p>
        </w:tc>
        <w:tc>
          <w:tcPr>
            <w:tcW w:w="968" w:type="dxa"/>
            <w:tcBorders>
              <w:top w:val="single" w:sz="2" w:space="0" w:color="auto"/>
            </w:tcBorders>
            <w:shd w:val="clear" w:color="auto" w:fill="FFFFFF"/>
            <w:noWrap/>
            <w:vAlign w:val="center"/>
            <w:hideMark/>
          </w:tcPr>
          <w:p w14:paraId="336C51F9" w14:textId="1AF87D29"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123.7</w:t>
            </w:r>
          </w:p>
        </w:tc>
        <w:tc>
          <w:tcPr>
            <w:tcW w:w="1044" w:type="dxa"/>
            <w:tcBorders>
              <w:top w:val="single" w:sz="2" w:space="0" w:color="auto"/>
            </w:tcBorders>
            <w:shd w:val="clear" w:color="auto" w:fill="FFFFFF"/>
            <w:noWrap/>
            <w:vAlign w:val="center"/>
            <w:hideMark/>
          </w:tcPr>
          <w:p w14:paraId="5D919473" w14:textId="219A68DC"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87.7</w:t>
            </w:r>
          </w:p>
        </w:tc>
        <w:tc>
          <w:tcPr>
            <w:tcW w:w="996" w:type="dxa"/>
            <w:tcBorders>
              <w:top w:val="single" w:sz="2" w:space="0" w:color="auto"/>
            </w:tcBorders>
            <w:shd w:val="clear" w:color="auto" w:fill="auto"/>
            <w:noWrap/>
            <w:vAlign w:val="center"/>
            <w:hideMark/>
          </w:tcPr>
          <w:p w14:paraId="34F8D532" w14:textId="3B695E1B"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64.7</w:t>
            </w:r>
          </w:p>
        </w:tc>
        <w:tc>
          <w:tcPr>
            <w:tcW w:w="927" w:type="dxa"/>
            <w:tcBorders>
              <w:top w:val="single" w:sz="2" w:space="0" w:color="auto"/>
            </w:tcBorders>
            <w:shd w:val="clear" w:color="auto" w:fill="auto"/>
            <w:vAlign w:val="center"/>
            <w:hideMark/>
          </w:tcPr>
          <w:p w14:paraId="4917BBB3" w14:textId="044AF24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65.7</w:t>
            </w:r>
          </w:p>
        </w:tc>
        <w:tc>
          <w:tcPr>
            <w:tcW w:w="1107" w:type="dxa"/>
            <w:tcBorders>
              <w:top w:val="single" w:sz="2" w:space="0" w:color="auto"/>
            </w:tcBorders>
            <w:shd w:val="clear" w:color="auto" w:fill="auto"/>
            <w:vAlign w:val="center"/>
            <w:hideMark/>
          </w:tcPr>
          <w:p w14:paraId="2E88A861" w14:textId="259A03D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66.8</w:t>
            </w:r>
          </w:p>
        </w:tc>
      </w:tr>
      <w:tr w:rsidR="007220FA" w:rsidRPr="00801EBB" w14:paraId="7FBA88CD" w14:textId="77777777" w:rsidTr="007220FA">
        <w:trPr>
          <w:trHeight w:val="120"/>
        </w:trPr>
        <w:tc>
          <w:tcPr>
            <w:tcW w:w="2848" w:type="dxa"/>
            <w:shd w:val="clear" w:color="auto" w:fill="FFFFFF"/>
            <w:vAlign w:val="center"/>
            <w:hideMark/>
          </w:tcPr>
          <w:p w14:paraId="4ABAE7EB"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ՀՆԱ-ի նկատմամբ (%) </w:t>
            </w:r>
          </w:p>
        </w:tc>
        <w:tc>
          <w:tcPr>
            <w:tcW w:w="967" w:type="dxa"/>
            <w:shd w:val="clear" w:color="auto" w:fill="FFFFFF"/>
            <w:noWrap/>
            <w:vAlign w:val="center"/>
            <w:hideMark/>
          </w:tcPr>
          <w:p w14:paraId="7F6008CB" w14:textId="7D26089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1.2</w:t>
            </w:r>
          </w:p>
        </w:tc>
        <w:tc>
          <w:tcPr>
            <w:tcW w:w="967" w:type="dxa"/>
            <w:shd w:val="clear" w:color="auto" w:fill="FFFFFF"/>
            <w:noWrap/>
            <w:vAlign w:val="center"/>
            <w:hideMark/>
          </w:tcPr>
          <w:p w14:paraId="223E5F90" w14:textId="36289AD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1.4</w:t>
            </w:r>
          </w:p>
        </w:tc>
        <w:tc>
          <w:tcPr>
            <w:tcW w:w="968" w:type="dxa"/>
            <w:shd w:val="clear" w:color="auto" w:fill="FFFFFF"/>
            <w:noWrap/>
            <w:vAlign w:val="center"/>
            <w:hideMark/>
          </w:tcPr>
          <w:p w14:paraId="4DE4EF0E" w14:textId="387D01D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1.3</w:t>
            </w:r>
          </w:p>
        </w:tc>
        <w:tc>
          <w:tcPr>
            <w:tcW w:w="1044" w:type="dxa"/>
            <w:shd w:val="clear" w:color="auto" w:fill="FFFFFF"/>
            <w:noWrap/>
            <w:vAlign w:val="center"/>
            <w:hideMark/>
          </w:tcPr>
          <w:p w14:paraId="62B3BA76" w14:textId="36009E8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0.8</w:t>
            </w:r>
          </w:p>
        </w:tc>
        <w:tc>
          <w:tcPr>
            <w:tcW w:w="996" w:type="dxa"/>
            <w:shd w:val="clear" w:color="auto" w:fill="auto"/>
            <w:noWrap/>
            <w:vAlign w:val="center"/>
            <w:hideMark/>
          </w:tcPr>
          <w:p w14:paraId="24051A8F" w14:textId="2DB7593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0.6</w:t>
            </w:r>
          </w:p>
        </w:tc>
        <w:tc>
          <w:tcPr>
            <w:tcW w:w="927" w:type="dxa"/>
            <w:shd w:val="clear" w:color="auto" w:fill="auto"/>
            <w:vAlign w:val="center"/>
            <w:hideMark/>
          </w:tcPr>
          <w:p w14:paraId="72D8A3AE" w14:textId="15D61C82"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0.5</w:t>
            </w:r>
          </w:p>
        </w:tc>
        <w:tc>
          <w:tcPr>
            <w:tcW w:w="1107" w:type="dxa"/>
            <w:shd w:val="clear" w:color="auto" w:fill="auto"/>
            <w:vAlign w:val="center"/>
            <w:hideMark/>
          </w:tcPr>
          <w:p w14:paraId="7C0C5234" w14:textId="59EFEBFD"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0.5</w:t>
            </w:r>
          </w:p>
        </w:tc>
      </w:tr>
      <w:tr w:rsidR="007220FA" w:rsidRPr="00801EBB" w14:paraId="68D25354" w14:textId="77777777" w:rsidTr="007220FA">
        <w:trPr>
          <w:trHeight w:val="70"/>
        </w:trPr>
        <w:tc>
          <w:tcPr>
            <w:tcW w:w="2848" w:type="dxa"/>
            <w:tcBorders>
              <w:bottom w:val="single" w:sz="2" w:space="0" w:color="auto"/>
            </w:tcBorders>
            <w:shd w:val="clear" w:color="auto" w:fill="FFFFFF"/>
            <w:vAlign w:val="center"/>
            <w:hideMark/>
          </w:tcPr>
          <w:p w14:paraId="321F20AD"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Ընդհանուրի նկատմամբ (%) </w:t>
            </w:r>
          </w:p>
        </w:tc>
        <w:tc>
          <w:tcPr>
            <w:tcW w:w="967" w:type="dxa"/>
            <w:tcBorders>
              <w:bottom w:val="single" w:sz="2" w:space="0" w:color="auto"/>
            </w:tcBorders>
            <w:shd w:val="clear" w:color="auto" w:fill="FFFFFF"/>
            <w:noWrap/>
            <w:vAlign w:val="center"/>
            <w:hideMark/>
          </w:tcPr>
          <w:p w14:paraId="6F355E98" w14:textId="1D10FBE2"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5.0</w:t>
            </w:r>
          </w:p>
        </w:tc>
        <w:tc>
          <w:tcPr>
            <w:tcW w:w="967" w:type="dxa"/>
            <w:tcBorders>
              <w:bottom w:val="single" w:sz="2" w:space="0" w:color="auto"/>
            </w:tcBorders>
            <w:shd w:val="clear" w:color="auto" w:fill="FFFFFF"/>
            <w:noWrap/>
            <w:vAlign w:val="center"/>
            <w:hideMark/>
          </w:tcPr>
          <w:p w14:paraId="6D7ACD93" w14:textId="082E9D4D"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5.9</w:t>
            </w:r>
          </w:p>
        </w:tc>
        <w:tc>
          <w:tcPr>
            <w:tcW w:w="968" w:type="dxa"/>
            <w:tcBorders>
              <w:bottom w:val="single" w:sz="2" w:space="0" w:color="auto"/>
            </w:tcBorders>
            <w:shd w:val="clear" w:color="auto" w:fill="FFFFFF"/>
            <w:noWrap/>
            <w:vAlign w:val="center"/>
            <w:hideMark/>
          </w:tcPr>
          <w:p w14:paraId="1B2D7106" w14:textId="035A5406" w:rsidR="007220FA" w:rsidRPr="00CE099A" w:rsidRDefault="007220FA" w:rsidP="007220FA">
            <w:pPr>
              <w:tabs>
                <w:tab w:val="left" w:pos="0"/>
              </w:tabs>
              <w:spacing w:before="120" w:after="0" w:line="240" w:lineRule="auto"/>
              <w:ind w:right="42" w:firstLine="0"/>
              <w:jc w:val="right"/>
              <w:rPr>
                <w:color w:val="000000"/>
                <w:sz w:val="18"/>
                <w:szCs w:val="18"/>
                <w:lang w:val="hy-AM"/>
              </w:rPr>
            </w:pPr>
            <w:r>
              <w:rPr>
                <w:rFonts w:cs="Calibri"/>
                <w:color w:val="000000"/>
                <w:sz w:val="18"/>
                <w:szCs w:val="18"/>
              </w:rPr>
              <w:t>5.2</w:t>
            </w:r>
          </w:p>
        </w:tc>
        <w:tc>
          <w:tcPr>
            <w:tcW w:w="1044" w:type="dxa"/>
            <w:tcBorders>
              <w:bottom w:val="single" w:sz="2" w:space="0" w:color="auto"/>
            </w:tcBorders>
            <w:shd w:val="clear" w:color="auto" w:fill="FFFFFF"/>
            <w:noWrap/>
            <w:vAlign w:val="center"/>
            <w:hideMark/>
          </w:tcPr>
          <w:p w14:paraId="3955A6F5" w14:textId="7406ED5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3.2</w:t>
            </w:r>
          </w:p>
        </w:tc>
        <w:tc>
          <w:tcPr>
            <w:tcW w:w="996" w:type="dxa"/>
            <w:tcBorders>
              <w:bottom w:val="single" w:sz="2" w:space="0" w:color="auto"/>
            </w:tcBorders>
            <w:shd w:val="clear" w:color="auto" w:fill="auto"/>
            <w:noWrap/>
            <w:vAlign w:val="center"/>
            <w:hideMark/>
          </w:tcPr>
          <w:p w14:paraId="25F2CC30" w14:textId="384EF952"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2.2</w:t>
            </w:r>
          </w:p>
        </w:tc>
        <w:tc>
          <w:tcPr>
            <w:tcW w:w="927" w:type="dxa"/>
            <w:tcBorders>
              <w:bottom w:val="single" w:sz="2" w:space="0" w:color="auto"/>
            </w:tcBorders>
            <w:shd w:val="clear" w:color="auto" w:fill="auto"/>
            <w:vAlign w:val="center"/>
            <w:hideMark/>
          </w:tcPr>
          <w:p w14:paraId="6E901657" w14:textId="79D0845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2.0</w:t>
            </w:r>
          </w:p>
        </w:tc>
        <w:tc>
          <w:tcPr>
            <w:tcW w:w="1107" w:type="dxa"/>
            <w:tcBorders>
              <w:bottom w:val="single" w:sz="2" w:space="0" w:color="auto"/>
            </w:tcBorders>
            <w:shd w:val="clear" w:color="auto" w:fill="auto"/>
            <w:vAlign w:val="center"/>
            <w:hideMark/>
          </w:tcPr>
          <w:p w14:paraId="28B5FDB2" w14:textId="5E461804"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1.8</w:t>
            </w:r>
          </w:p>
        </w:tc>
      </w:tr>
      <w:tr w:rsidR="007220FA" w:rsidRPr="00801EBB" w14:paraId="4F22AC51" w14:textId="77777777" w:rsidTr="007220FA">
        <w:trPr>
          <w:trHeight w:val="90"/>
        </w:trPr>
        <w:tc>
          <w:tcPr>
            <w:tcW w:w="2848" w:type="dxa"/>
            <w:tcBorders>
              <w:top w:val="single" w:sz="2" w:space="0" w:color="auto"/>
            </w:tcBorders>
            <w:shd w:val="clear" w:color="auto" w:fill="FFFFFF"/>
            <w:vAlign w:val="center"/>
            <w:hideMark/>
          </w:tcPr>
          <w:p w14:paraId="67D3AA29"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3. Պաշտոնական դրամաշնորհներ </w:t>
            </w:r>
          </w:p>
        </w:tc>
        <w:tc>
          <w:tcPr>
            <w:tcW w:w="967" w:type="dxa"/>
            <w:tcBorders>
              <w:top w:val="single" w:sz="2" w:space="0" w:color="auto"/>
            </w:tcBorders>
            <w:shd w:val="clear" w:color="auto" w:fill="FFFFFF"/>
            <w:noWrap/>
            <w:vAlign w:val="center"/>
            <w:hideMark/>
          </w:tcPr>
          <w:p w14:paraId="3E33CF45" w14:textId="1FC714A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12.4</w:t>
            </w:r>
          </w:p>
        </w:tc>
        <w:tc>
          <w:tcPr>
            <w:tcW w:w="967" w:type="dxa"/>
            <w:tcBorders>
              <w:top w:val="single" w:sz="2" w:space="0" w:color="auto"/>
            </w:tcBorders>
            <w:shd w:val="clear" w:color="auto" w:fill="FFFFFF"/>
            <w:noWrap/>
            <w:vAlign w:val="center"/>
            <w:hideMark/>
          </w:tcPr>
          <w:p w14:paraId="64A364E1" w14:textId="4A4475E4"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15.0</w:t>
            </w:r>
          </w:p>
        </w:tc>
        <w:tc>
          <w:tcPr>
            <w:tcW w:w="968" w:type="dxa"/>
            <w:tcBorders>
              <w:top w:val="single" w:sz="2" w:space="0" w:color="auto"/>
            </w:tcBorders>
            <w:shd w:val="clear" w:color="auto" w:fill="FFFFFF"/>
            <w:noWrap/>
            <w:vAlign w:val="center"/>
            <w:hideMark/>
          </w:tcPr>
          <w:p w14:paraId="6B61EB45" w14:textId="1AC2E4FE"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13.1</w:t>
            </w:r>
          </w:p>
        </w:tc>
        <w:tc>
          <w:tcPr>
            <w:tcW w:w="1044" w:type="dxa"/>
            <w:tcBorders>
              <w:top w:val="single" w:sz="2" w:space="0" w:color="auto"/>
            </w:tcBorders>
            <w:shd w:val="clear" w:color="auto" w:fill="FFFFFF"/>
            <w:noWrap/>
            <w:vAlign w:val="center"/>
            <w:hideMark/>
          </w:tcPr>
          <w:p w14:paraId="268BA69C" w14:textId="0B941C7F"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22.3</w:t>
            </w:r>
          </w:p>
        </w:tc>
        <w:tc>
          <w:tcPr>
            <w:tcW w:w="996" w:type="dxa"/>
            <w:tcBorders>
              <w:top w:val="single" w:sz="2" w:space="0" w:color="auto"/>
            </w:tcBorders>
            <w:shd w:val="clear" w:color="auto" w:fill="auto"/>
            <w:noWrap/>
            <w:vAlign w:val="center"/>
            <w:hideMark/>
          </w:tcPr>
          <w:p w14:paraId="568381EB" w14:textId="007FD6E8"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20.6</w:t>
            </w:r>
          </w:p>
        </w:tc>
        <w:tc>
          <w:tcPr>
            <w:tcW w:w="927" w:type="dxa"/>
            <w:tcBorders>
              <w:top w:val="single" w:sz="2" w:space="0" w:color="auto"/>
            </w:tcBorders>
            <w:shd w:val="clear" w:color="auto" w:fill="auto"/>
            <w:vAlign w:val="center"/>
            <w:hideMark/>
          </w:tcPr>
          <w:p w14:paraId="0E1BE6A5" w14:textId="78776DBD"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10.6</w:t>
            </w:r>
          </w:p>
        </w:tc>
        <w:tc>
          <w:tcPr>
            <w:tcW w:w="1107" w:type="dxa"/>
            <w:tcBorders>
              <w:top w:val="single" w:sz="2" w:space="0" w:color="auto"/>
            </w:tcBorders>
            <w:shd w:val="clear" w:color="auto" w:fill="auto"/>
            <w:vAlign w:val="center"/>
            <w:hideMark/>
          </w:tcPr>
          <w:p w14:paraId="5F6C0C59" w14:textId="2EB4596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6.0</w:t>
            </w:r>
          </w:p>
        </w:tc>
      </w:tr>
      <w:tr w:rsidR="007220FA" w:rsidRPr="00801EBB" w14:paraId="2F6F0C5A" w14:textId="77777777" w:rsidTr="007220FA">
        <w:trPr>
          <w:trHeight w:val="106"/>
        </w:trPr>
        <w:tc>
          <w:tcPr>
            <w:tcW w:w="2848" w:type="dxa"/>
            <w:shd w:val="clear" w:color="auto" w:fill="FFFFFF"/>
            <w:vAlign w:val="center"/>
            <w:hideMark/>
          </w:tcPr>
          <w:p w14:paraId="00396E2E"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ՀՆԱ-ի նկատմամբ (%) </w:t>
            </w:r>
          </w:p>
        </w:tc>
        <w:tc>
          <w:tcPr>
            <w:tcW w:w="967" w:type="dxa"/>
            <w:shd w:val="clear" w:color="auto" w:fill="FFFFFF"/>
            <w:noWrap/>
            <w:vAlign w:val="center"/>
            <w:hideMark/>
          </w:tcPr>
          <w:p w14:paraId="36448A84" w14:textId="3BA7D89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0.2</w:t>
            </w:r>
          </w:p>
        </w:tc>
        <w:tc>
          <w:tcPr>
            <w:tcW w:w="967" w:type="dxa"/>
            <w:shd w:val="clear" w:color="auto" w:fill="FFFFFF"/>
            <w:noWrap/>
            <w:vAlign w:val="center"/>
            <w:hideMark/>
          </w:tcPr>
          <w:p w14:paraId="7E82BF72" w14:textId="1E938B75"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0.2</w:t>
            </w:r>
          </w:p>
        </w:tc>
        <w:tc>
          <w:tcPr>
            <w:tcW w:w="968" w:type="dxa"/>
            <w:shd w:val="clear" w:color="auto" w:fill="FFFFFF"/>
            <w:noWrap/>
            <w:vAlign w:val="center"/>
            <w:hideMark/>
          </w:tcPr>
          <w:p w14:paraId="78F76A4D" w14:textId="1AA86FD8"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0.1</w:t>
            </w:r>
          </w:p>
        </w:tc>
        <w:tc>
          <w:tcPr>
            <w:tcW w:w="1044" w:type="dxa"/>
            <w:shd w:val="clear" w:color="auto" w:fill="FFFFFF"/>
            <w:noWrap/>
            <w:vAlign w:val="center"/>
            <w:hideMark/>
          </w:tcPr>
          <w:p w14:paraId="46B60FC5" w14:textId="45DDB75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0.2</w:t>
            </w:r>
          </w:p>
        </w:tc>
        <w:tc>
          <w:tcPr>
            <w:tcW w:w="996" w:type="dxa"/>
            <w:shd w:val="clear" w:color="auto" w:fill="auto"/>
            <w:noWrap/>
            <w:vAlign w:val="center"/>
            <w:hideMark/>
          </w:tcPr>
          <w:p w14:paraId="5187E5E3" w14:textId="6FBD70E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0.2</w:t>
            </w:r>
          </w:p>
        </w:tc>
        <w:tc>
          <w:tcPr>
            <w:tcW w:w="927" w:type="dxa"/>
            <w:shd w:val="clear" w:color="auto" w:fill="auto"/>
            <w:vAlign w:val="center"/>
            <w:hideMark/>
          </w:tcPr>
          <w:p w14:paraId="658B0FD4" w14:textId="43B4FADA"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0.1</w:t>
            </w:r>
          </w:p>
        </w:tc>
        <w:tc>
          <w:tcPr>
            <w:tcW w:w="1107" w:type="dxa"/>
            <w:shd w:val="clear" w:color="auto" w:fill="auto"/>
            <w:vAlign w:val="center"/>
            <w:hideMark/>
          </w:tcPr>
          <w:p w14:paraId="22EB141B" w14:textId="0864616B" w:rsidR="007220FA" w:rsidRPr="0009603E" w:rsidRDefault="007220FA" w:rsidP="007220FA">
            <w:pPr>
              <w:tabs>
                <w:tab w:val="left" w:pos="0"/>
              </w:tabs>
              <w:spacing w:before="120" w:after="0" w:line="240" w:lineRule="auto"/>
              <w:ind w:right="42" w:firstLine="0"/>
              <w:jc w:val="right"/>
              <w:rPr>
                <w:color w:val="000000"/>
                <w:sz w:val="18"/>
                <w:szCs w:val="18"/>
                <w:lang w:val="hy-AM"/>
              </w:rPr>
            </w:pPr>
            <w:r>
              <w:rPr>
                <w:rFonts w:cs="Calibri"/>
                <w:color w:val="000000"/>
                <w:sz w:val="18"/>
                <w:szCs w:val="18"/>
              </w:rPr>
              <w:t>0.0</w:t>
            </w:r>
          </w:p>
        </w:tc>
      </w:tr>
      <w:tr w:rsidR="007220FA" w:rsidRPr="00801EBB" w14:paraId="100CECD9" w14:textId="77777777" w:rsidTr="007220FA">
        <w:trPr>
          <w:trHeight w:val="55"/>
        </w:trPr>
        <w:tc>
          <w:tcPr>
            <w:tcW w:w="2848" w:type="dxa"/>
            <w:tcBorders>
              <w:bottom w:val="single" w:sz="2" w:space="0" w:color="auto"/>
            </w:tcBorders>
            <w:shd w:val="clear" w:color="auto" w:fill="FFFFFF"/>
            <w:vAlign w:val="center"/>
            <w:hideMark/>
          </w:tcPr>
          <w:p w14:paraId="5239A98B" w14:textId="77777777" w:rsidR="007220FA" w:rsidRPr="00801EBB" w:rsidRDefault="007220FA" w:rsidP="007220FA">
            <w:pPr>
              <w:tabs>
                <w:tab w:val="left" w:pos="0"/>
              </w:tabs>
              <w:spacing w:before="120" w:after="0" w:line="240" w:lineRule="auto"/>
              <w:ind w:right="42" w:firstLine="0"/>
              <w:jc w:val="left"/>
              <w:rPr>
                <w:color w:val="000000"/>
                <w:sz w:val="18"/>
                <w:szCs w:val="18"/>
              </w:rPr>
            </w:pPr>
            <w:r w:rsidRPr="00801EBB">
              <w:rPr>
                <w:color w:val="000000"/>
                <w:sz w:val="18"/>
                <w:szCs w:val="18"/>
              </w:rPr>
              <w:t xml:space="preserve">Ընդհանուրի նկատմամբ (%) </w:t>
            </w:r>
          </w:p>
        </w:tc>
        <w:tc>
          <w:tcPr>
            <w:tcW w:w="967" w:type="dxa"/>
            <w:tcBorders>
              <w:bottom w:val="single" w:sz="2" w:space="0" w:color="auto"/>
            </w:tcBorders>
            <w:shd w:val="clear" w:color="auto" w:fill="FFFFFF"/>
            <w:noWrap/>
            <w:vAlign w:val="center"/>
            <w:hideMark/>
          </w:tcPr>
          <w:p w14:paraId="092A12F7" w14:textId="4B2FEDDF"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0.7</w:t>
            </w:r>
          </w:p>
        </w:tc>
        <w:tc>
          <w:tcPr>
            <w:tcW w:w="967" w:type="dxa"/>
            <w:tcBorders>
              <w:bottom w:val="single" w:sz="2" w:space="0" w:color="auto"/>
            </w:tcBorders>
            <w:shd w:val="clear" w:color="auto" w:fill="FFFFFF"/>
            <w:noWrap/>
            <w:vAlign w:val="center"/>
            <w:hideMark/>
          </w:tcPr>
          <w:p w14:paraId="2E263C90" w14:textId="19184A1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0.7</w:t>
            </w:r>
          </w:p>
        </w:tc>
        <w:tc>
          <w:tcPr>
            <w:tcW w:w="968" w:type="dxa"/>
            <w:tcBorders>
              <w:bottom w:val="single" w:sz="2" w:space="0" w:color="auto"/>
            </w:tcBorders>
            <w:shd w:val="clear" w:color="auto" w:fill="FFFFFF"/>
            <w:noWrap/>
            <w:vAlign w:val="center"/>
            <w:hideMark/>
          </w:tcPr>
          <w:p w14:paraId="0BEE27F3" w14:textId="0B1FBC75"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0.6</w:t>
            </w:r>
          </w:p>
        </w:tc>
        <w:tc>
          <w:tcPr>
            <w:tcW w:w="1044" w:type="dxa"/>
            <w:tcBorders>
              <w:bottom w:val="single" w:sz="2" w:space="0" w:color="auto"/>
            </w:tcBorders>
            <w:shd w:val="clear" w:color="auto" w:fill="FFFFFF"/>
            <w:noWrap/>
            <w:vAlign w:val="center"/>
            <w:hideMark/>
          </w:tcPr>
          <w:p w14:paraId="4A7F3B44" w14:textId="5F0E20B5"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0.8</w:t>
            </w:r>
          </w:p>
        </w:tc>
        <w:tc>
          <w:tcPr>
            <w:tcW w:w="996" w:type="dxa"/>
            <w:tcBorders>
              <w:bottom w:val="single" w:sz="2" w:space="0" w:color="auto"/>
            </w:tcBorders>
            <w:shd w:val="clear" w:color="auto" w:fill="auto"/>
            <w:noWrap/>
            <w:vAlign w:val="center"/>
            <w:hideMark/>
          </w:tcPr>
          <w:p w14:paraId="0E117D11" w14:textId="5B4160C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0.7</w:t>
            </w:r>
          </w:p>
        </w:tc>
        <w:tc>
          <w:tcPr>
            <w:tcW w:w="927" w:type="dxa"/>
            <w:tcBorders>
              <w:bottom w:val="single" w:sz="2" w:space="0" w:color="auto"/>
            </w:tcBorders>
            <w:shd w:val="clear" w:color="auto" w:fill="auto"/>
            <w:vAlign w:val="center"/>
            <w:hideMark/>
          </w:tcPr>
          <w:p w14:paraId="4FF7B517" w14:textId="39AD5256"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0.3</w:t>
            </w:r>
          </w:p>
        </w:tc>
        <w:tc>
          <w:tcPr>
            <w:tcW w:w="1107" w:type="dxa"/>
            <w:tcBorders>
              <w:bottom w:val="single" w:sz="2" w:space="0" w:color="auto"/>
            </w:tcBorders>
            <w:shd w:val="clear" w:color="auto" w:fill="auto"/>
            <w:vAlign w:val="center"/>
            <w:hideMark/>
          </w:tcPr>
          <w:p w14:paraId="6CEB0ADF" w14:textId="2FC6DCF1" w:rsidR="007220FA" w:rsidRPr="00801EBB" w:rsidRDefault="007220FA" w:rsidP="007220FA">
            <w:pPr>
              <w:tabs>
                <w:tab w:val="left" w:pos="0"/>
              </w:tabs>
              <w:spacing w:before="120" w:after="0" w:line="240" w:lineRule="auto"/>
              <w:ind w:right="42" w:firstLine="0"/>
              <w:jc w:val="right"/>
              <w:rPr>
                <w:color w:val="000000"/>
                <w:sz w:val="18"/>
                <w:szCs w:val="18"/>
              </w:rPr>
            </w:pPr>
            <w:r>
              <w:rPr>
                <w:rFonts w:cs="Calibri"/>
                <w:color w:val="000000"/>
                <w:sz w:val="18"/>
                <w:szCs w:val="18"/>
              </w:rPr>
              <w:t>0.2</w:t>
            </w:r>
          </w:p>
        </w:tc>
      </w:tr>
    </w:tbl>
    <w:p w14:paraId="5AE70098" w14:textId="77777777" w:rsidR="00827A35" w:rsidRDefault="00827A35" w:rsidP="00827A35">
      <w:pPr>
        <w:tabs>
          <w:tab w:val="left" w:pos="0"/>
        </w:tabs>
        <w:spacing w:before="120" w:after="0" w:line="276" w:lineRule="auto"/>
        <w:ind w:firstLine="0"/>
        <w:rPr>
          <w:rFonts w:cs="Sylfaen"/>
          <w:iCs/>
          <w:lang w:val="af-ZA" w:eastAsia="en-GB"/>
        </w:rPr>
      </w:pPr>
    </w:p>
    <w:p w14:paraId="6B0EB729" w14:textId="77777777" w:rsidR="00827A35" w:rsidRDefault="00827A35" w:rsidP="00827A35">
      <w:pPr>
        <w:tabs>
          <w:tab w:val="left" w:pos="0"/>
        </w:tabs>
        <w:spacing w:before="120" w:after="0" w:line="276" w:lineRule="auto"/>
        <w:ind w:firstLine="0"/>
        <w:rPr>
          <w:rFonts w:cs="Sylfaen"/>
          <w:iCs/>
          <w:lang w:val="af-ZA" w:eastAsia="en-GB"/>
        </w:rPr>
      </w:pPr>
      <w:r>
        <w:rPr>
          <w:rFonts w:cs="Sylfaen"/>
          <w:iCs/>
          <w:lang w:val="af-ZA" w:eastAsia="en-GB"/>
        </w:rPr>
        <w:t>ՀՀ 2025-2027 թվականների պետական բյուջեների եկամուտները ծրագրելիս օգտագործվել են այն մակ</w:t>
      </w:r>
      <w:r>
        <w:rPr>
          <w:rFonts w:cs="Sylfaen"/>
          <w:iCs/>
          <w:lang w:val="af-ZA" w:eastAsia="en-GB"/>
        </w:rPr>
        <w:softHyphen/>
        <w:t>րո</w:t>
      </w:r>
      <w:r>
        <w:rPr>
          <w:rFonts w:cs="Sylfaen"/>
          <w:iCs/>
          <w:lang w:val="af-ZA" w:eastAsia="en-GB"/>
        </w:rPr>
        <w:softHyphen/>
      </w:r>
      <w:r>
        <w:rPr>
          <w:rFonts w:cs="Sylfaen"/>
          <w:iCs/>
          <w:lang w:val="af-ZA" w:eastAsia="en-GB"/>
        </w:rPr>
        <w:softHyphen/>
        <w:t>տնտեսական ցուցանիշների կանխատեսումները, որոնք էական ազդեցություն ունեն ա</w:t>
      </w:r>
      <w:r>
        <w:rPr>
          <w:rFonts w:cs="Sylfaen"/>
          <w:iCs/>
          <w:lang w:val="af-ZA" w:eastAsia="en-GB"/>
        </w:rPr>
        <w:softHyphen/>
        <w:t>ռան</w:t>
      </w:r>
      <w:r>
        <w:rPr>
          <w:rFonts w:cs="Sylfaen"/>
          <w:iCs/>
          <w:lang w:val="af-ZA" w:eastAsia="en-GB"/>
        </w:rPr>
        <w:softHyphen/>
      </w:r>
      <w:r>
        <w:rPr>
          <w:rFonts w:cs="Sylfaen"/>
          <w:iCs/>
          <w:lang w:val="af-ZA" w:eastAsia="en-GB"/>
        </w:rPr>
        <w:softHyphen/>
      </w:r>
      <w:r>
        <w:rPr>
          <w:rFonts w:cs="Sylfaen"/>
          <w:iCs/>
          <w:lang w:val="af-ZA" w:eastAsia="en-GB"/>
        </w:rPr>
        <w:softHyphen/>
        <w:t>ձին եկամտա</w:t>
      </w:r>
      <w:r>
        <w:rPr>
          <w:rFonts w:cs="Sylfaen"/>
          <w:iCs/>
          <w:lang w:val="af-ZA" w:eastAsia="en-GB"/>
        </w:rPr>
        <w:softHyphen/>
        <w:t>տե</w:t>
      </w:r>
      <w:r>
        <w:rPr>
          <w:rFonts w:cs="Sylfaen"/>
          <w:iCs/>
          <w:lang w:val="af-ZA" w:eastAsia="en-GB"/>
        </w:rPr>
        <w:softHyphen/>
        <w:t>սակ</w:t>
      </w:r>
      <w:r>
        <w:rPr>
          <w:rFonts w:cs="Sylfaen"/>
          <w:iCs/>
          <w:lang w:val="af-ZA" w:eastAsia="en-GB"/>
        </w:rPr>
        <w:softHyphen/>
      </w:r>
      <w:r>
        <w:rPr>
          <w:rFonts w:cs="Sylfaen"/>
          <w:iCs/>
          <w:lang w:val="af-ZA" w:eastAsia="en-GB"/>
        </w:rPr>
        <w:softHyphen/>
        <w:t>ների բազայի ձևավորման կամ հաշվարկման վրա: Առանձին դեպքերում հաշ</w:t>
      </w:r>
      <w:r>
        <w:rPr>
          <w:rFonts w:cs="Sylfaen"/>
          <w:iCs/>
          <w:lang w:val="af-ZA" w:eastAsia="en-GB"/>
        </w:rPr>
        <w:softHyphen/>
      </w:r>
      <w:r>
        <w:rPr>
          <w:rFonts w:cs="Sylfaen"/>
          <w:iCs/>
          <w:lang w:val="af-ZA" w:eastAsia="en-GB"/>
        </w:rPr>
        <w:softHyphen/>
      </w:r>
      <w:r>
        <w:rPr>
          <w:rFonts w:cs="Sylfaen"/>
          <w:iCs/>
          <w:lang w:val="af-ZA" w:eastAsia="en-GB"/>
        </w:rPr>
        <w:softHyphen/>
        <w:t>վի են առնվել նաև պայմանա</w:t>
      </w:r>
      <w:r>
        <w:rPr>
          <w:rFonts w:cs="Sylfaen"/>
          <w:iCs/>
          <w:lang w:val="af-ZA" w:eastAsia="en-GB"/>
        </w:rPr>
        <w:softHyphen/>
      </w:r>
      <w:r>
        <w:rPr>
          <w:rFonts w:cs="Sylfaen"/>
          <w:iCs/>
          <w:lang w:val="af-ZA" w:eastAsia="en-GB"/>
        </w:rPr>
        <w:softHyphen/>
        <w:t>գրային հարաբերություններով կարգավորվող ցու</w:t>
      </w:r>
      <w:r>
        <w:rPr>
          <w:rFonts w:cs="Sylfaen"/>
          <w:iCs/>
          <w:lang w:val="af-ZA" w:eastAsia="en-GB"/>
        </w:rPr>
        <w:softHyphen/>
        <w:t xml:space="preserve">ցանիշները: </w:t>
      </w:r>
    </w:p>
    <w:p w14:paraId="2E9587F9" w14:textId="799968A3" w:rsidR="00827A35" w:rsidRPr="007E334A" w:rsidRDefault="00827A35" w:rsidP="00827A35">
      <w:pPr>
        <w:tabs>
          <w:tab w:val="left" w:pos="0"/>
        </w:tabs>
        <w:spacing w:before="120" w:after="0" w:line="276" w:lineRule="auto"/>
        <w:ind w:firstLine="0"/>
        <w:rPr>
          <w:rFonts w:cs="Sylfaen"/>
          <w:iCs/>
          <w:lang w:val="af-ZA" w:eastAsia="en-GB"/>
        </w:rPr>
      </w:pPr>
      <w:r w:rsidRPr="00D94768">
        <w:rPr>
          <w:b/>
          <w:lang w:val="af-ZA"/>
        </w:rPr>
        <w:t>Հարկային եկամուտների գծով</w:t>
      </w:r>
      <w:r>
        <w:rPr>
          <w:rFonts w:cs="Sylfaen"/>
          <w:iCs/>
          <w:lang w:val="af-ZA" w:eastAsia="en-GB"/>
        </w:rPr>
        <w:t xml:space="preserve"> </w:t>
      </w:r>
      <w:r w:rsidRPr="007E334A">
        <w:rPr>
          <w:rFonts w:cs="Sylfaen"/>
          <w:iCs/>
          <w:lang w:val="af-ZA" w:eastAsia="en-GB"/>
        </w:rPr>
        <w:t>2025-2027թթ. բյու</w:t>
      </w:r>
      <w:r w:rsidRPr="007E334A">
        <w:rPr>
          <w:rFonts w:cs="Sylfaen"/>
          <w:iCs/>
          <w:lang w:val="af-ZA" w:eastAsia="en-GB"/>
        </w:rPr>
        <w:softHyphen/>
      </w:r>
      <w:r w:rsidRPr="007E334A">
        <w:rPr>
          <w:rFonts w:cs="Sylfaen"/>
          <w:iCs/>
          <w:lang w:val="af-ZA" w:eastAsia="en-GB"/>
        </w:rPr>
        <w:softHyphen/>
        <w:t>ջետային մուտքերը ծրագր</w:t>
      </w:r>
      <w:r w:rsidRPr="007E334A">
        <w:rPr>
          <w:rFonts w:cs="Sylfaen"/>
          <w:iCs/>
          <w:lang w:val="af-ZA" w:eastAsia="en-GB"/>
        </w:rPr>
        <w:softHyphen/>
        <w:t>վել են հարկային եկամուտներ/ՀՆԱ ցուցանիշի տա</w:t>
      </w:r>
      <w:r w:rsidRPr="007E334A">
        <w:rPr>
          <w:rFonts w:cs="Sylfaen"/>
          <w:iCs/>
          <w:lang w:val="af-ZA" w:eastAsia="en-GB"/>
        </w:rPr>
        <w:softHyphen/>
        <w:t>րե</w:t>
      </w:r>
      <w:r w:rsidRPr="007E334A">
        <w:rPr>
          <w:rFonts w:cs="Sylfaen"/>
          <w:iCs/>
          <w:lang w:val="af-ZA" w:eastAsia="en-GB"/>
        </w:rPr>
        <w:softHyphen/>
        <w:t xml:space="preserve">կան </w:t>
      </w:r>
      <w:r w:rsidRPr="00085E80">
        <w:rPr>
          <w:rFonts w:cs="Sylfaen"/>
          <w:iCs/>
          <w:lang w:val="af-ZA" w:eastAsia="en-GB"/>
        </w:rPr>
        <w:t>միջինը 0.</w:t>
      </w:r>
      <w:r w:rsidR="000E5C56">
        <w:rPr>
          <w:rFonts w:cs="Sylfaen"/>
          <w:iCs/>
          <w:lang w:val="af-ZA" w:eastAsia="en-GB"/>
        </w:rPr>
        <w:t>6</w:t>
      </w:r>
      <w:r w:rsidRPr="00085E80">
        <w:rPr>
          <w:rFonts w:cs="Sylfaen"/>
          <w:iCs/>
          <w:lang w:val="af-ZA" w:eastAsia="en-GB"/>
        </w:rPr>
        <w:t xml:space="preserve"> տոկոսային </w:t>
      </w:r>
      <w:r w:rsidRPr="007E334A">
        <w:rPr>
          <w:rFonts w:cs="Sylfaen"/>
          <w:iCs/>
          <w:lang w:val="af-ZA" w:eastAsia="en-GB"/>
        </w:rPr>
        <w:t>կետ աճ ապա</w:t>
      </w:r>
      <w:r w:rsidRPr="007E334A">
        <w:rPr>
          <w:rFonts w:cs="Sylfaen"/>
          <w:iCs/>
          <w:lang w:val="af-ZA" w:eastAsia="en-GB"/>
        </w:rPr>
        <w:softHyphen/>
      </w:r>
      <w:r w:rsidRPr="007E334A">
        <w:rPr>
          <w:rFonts w:cs="Sylfaen"/>
          <w:iCs/>
          <w:lang w:val="af-ZA" w:eastAsia="en-GB"/>
        </w:rPr>
        <w:softHyphen/>
        <w:t>հովելու սկզբուն</w:t>
      </w:r>
      <w:r w:rsidRPr="007E334A">
        <w:rPr>
          <w:rFonts w:cs="Sylfaen"/>
          <w:iCs/>
          <w:lang w:val="af-ZA" w:eastAsia="en-GB"/>
        </w:rPr>
        <w:softHyphen/>
        <w:t xml:space="preserve">քի հիման վրա: Հաշվարկներում լրացուցիչ ենթադրվել է, որ հարկային </w:t>
      </w:r>
      <w:r w:rsidRPr="00B34EAE">
        <w:rPr>
          <w:rFonts w:cs="Sylfaen"/>
          <w:iCs/>
          <w:lang w:val="af-ZA" w:eastAsia="en-GB"/>
        </w:rPr>
        <w:t>եկամուտներ/ՀՆԱ ցուցանիշի սպասողական մակարդակը ապա</w:t>
      </w:r>
      <w:r w:rsidRPr="00B34EAE">
        <w:rPr>
          <w:rFonts w:cs="Sylfaen"/>
          <w:iCs/>
          <w:lang w:val="af-ZA" w:eastAsia="en-GB"/>
        </w:rPr>
        <w:softHyphen/>
        <w:t>հո</w:t>
      </w:r>
      <w:r w:rsidRPr="00B34EAE">
        <w:rPr>
          <w:rFonts w:cs="Sylfaen"/>
          <w:iCs/>
          <w:lang w:val="af-ZA" w:eastAsia="en-GB"/>
        </w:rPr>
        <w:softHyphen/>
        <w:t>վե</w:t>
      </w:r>
      <w:r w:rsidRPr="00B34EAE">
        <w:rPr>
          <w:rFonts w:cs="Sylfaen"/>
          <w:iCs/>
          <w:lang w:val="af-ZA" w:eastAsia="en-GB"/>
        </w:rPr>
        <w:softHyphen/>
        <w:t>լու համար բա</w:t>
      </w:r>
      <w:r w:rsidRPr="00B34EAE">
        <w:rPr>
          <w:rFonts w:cs="Sylfaen"/>
          <w:iCs/>
          <w:lang w:val="af-ZA" w:eastAsia="en-GB"/>
        </w:rPr>
        <w:softHyphen/>
      </w:r>
      <w:r w:rsidRPr="00B34EAE">
        <w:rPr>
          <w:rFonts w:cs="Sylfaen"/>
          <w:iCs/>
          <w:lang w:val="af-ZA" w:eastAsia="en-GB"/>
        </w:rPr>
        <w:softHyphen/>
        <w:t>վարար հիմքեր կստեղծեն առկա օրենս</w:t>
      </w:r>
      <w:r w:rsidRPr="00B34EAE">
        <w:rPr>
          <w:rFonts w:cs="Sylfaen"/>
          <w:iCs/>
          <w:lang w:val="af-ZA" w:eastAsia="en-GB"/>
        </w:rPr>
        <w:softHyphen/>
        <w:t>դրա</w:t>
      </w:r>
      <w:r w:rsidRPr="00B34EAE">
        <w:rPr>
          <w:rFonts w:cs="Sylfaen"/>
          <w:iCs/>
          <w:lang w:val="af-ZA" w:eastAsia="en-GB"/>
        </w:rPr>
        <w:softHyphen/>
      </w:r>
      <w:r w:rsidRPr="00B34EAE">
        <w:rPr>
          <w:rFonts w:cs="Sylfaen"/>
          <w:iCs/>
          <w:lang w:val="af-ZA" w:eastAsia="en-GB"/>
        </w:rPr>
        <w:softHyphen/>
        <w:t>կան նա</w:t>
      </w:r>
      <w:r w:rsidRPr="00B34EAE">
        <w:rPr>
          <w:rFonts w:cs="Sylfaen"/>
          <w:iCs/>
          <w:lang w:val="af-ZA" w:eastAsia="en-GB"/>
        </w:rPr>
        <w:softHyphen/>
        <w:t>խադրյալները, կի</w:t>
      </w:r>
      <w:r w:rsidRPr="00B34EAE">
        <w:rPr>
          <w:rFonts w:cs="Sylfaen"/>
          <w:iCs/>
          <w:lang w:val="af-ZA" w:eastAsia="en-GB"/>
        </w:rPr>
        <w:softHyphen/>
        <w:t>րառ</w:t>
      </w:r>
      <w:r w:rsidRPr="00B34EAE">
        <w:rPr>
          <w:rFonts w:cs="Sylfaen"/>
          <w:iCs/>
          <w:lang w:val="af-ZA" w:eastAsia="en-GB"/>
        </w:rPr>
        <w:softHyphen/>
      </w:r>
      <w:r w:rsidRPr="00B34EAE">
        <w:rPr>
          <w:rFonts w:cs="Sylfaen"/>
          <w:iCs/>
          <w:lang w:val="af-ZA" w:eastAsia="en-GB"/>
        </w:rPr>
        <w:softHyphen/>
        <w:t>վելիք վարչարարական միջոցա</w:t>
      </w:r>
      <w:r w:rsidRPr="00B34EAE">
        <w:rPr>
          <w:rFonts w:cs="Sylfaen"/>
          <w:iCs/>
          <w:lang w:val="af-ZA" w:eastAsia="en-GB"/>
        </w:rPr>
        <w:softHyphen/>
        <w:t>ռում</w:t>
      </w:r>
      <w:r w:rsidRPr="00B34EAE">
        <w:rPr>
          <w:rFonts w:cs="Sylfaen"/>
          <w:iCs/>
          <w:lang w:val="af-ZA" w:eastAsia="en-GB"/>
        </w:rPr>
        <w:softHyphen/>
        <w:t>ները, ինչպես նաև մակ</w:t>
      </w:r>
      <w:r w:rsidRPr="00B34EAE">
        <w:rPr>
          <w:rFonts w:cs="Sylfaen"/>
          <w:iCs/>
          <w:lang w:val="af-ZA" w:eastAsia="en-GB"/>
        </w:rPr>
        <w:softHyphen/>
        <w:t>րո</w:t>
      </w:r>
      <w:r w:rsidRPr="00B34EAE">
        <w:rPr>
          <w:rFonts w:cs="Sylfaen"/>
          <w:iCs/>
          <w:lang w:val="af-ZA" w:eastAsia="en-GB"/>
        </w:rPr>
        <w:softHyphen/>
        <w:t>տնտե</w:t>
      </w:r>
      <w:r w:rsidRPr="00B34EAE">
        <w:rPr>
          <w:rFonts w:cs="Sylfaen"/>
          <w:iCs/>
          <w:lang w:val="af-ZA" w:eastAsia="en-GB"/>
        </w:rPr>
        <w:softHyphen/>
        <w:t>սական զար</w:t>
      </w:r>
      <w:r w:rsidRPr="00B34EAE">
        <w:rPr>
          <w:rFonts w:cs="Sylfaen"/>
          <w:iCs/>
          <w:lang w:val="af-ZA" w:eastAsia="en-GB"/>
        </w:rPr>
        <w:softHyphen/>
        <w:t>գա</w:t>
      </w:r>
      <w:r w:rsidRPr="00B34EAE">
        <w:rPr>
          <w:rFonts w:cs="Sylfaen"/>
          <w:iCs/>
          <w:lang w:val="af-ZA" w:eastAsia="en-GB"/>
        </w:rPr>
        <w:softHyphen/>
        <w:t>ցում</w:t>
      </w:r>
      <w:r w:rsidRPr="00B34EAE">
        <w:rPr>
          <w:rFonts w:cs="Sylfaen"/>
          <w:iCs/>
          <w:lang w:val="af-ZA" w:eastAsia="en-GB"/>
        </w:rPr>
        <w:softHyphen/>
        <w:t>նե</w:t>
      </w:r>
      <w:r w:rsidRPr="00B34EAE">
        <w:rPr>
          <w:rFonts w:cs="Sylfaen"/>
          <w:iCs/>
          <w:lang w:val="af-ZA" w:eastAsia="en-GB"/>
        </w:rPr>
        <w:softHyphen/>
        <w:t>րը:</w:t>
      </w:r>
      <w:r w:rsidRPr="007E334A">
        <w:rPr>
          <w:rFonts w:cs="Sylfaen"/>
          <w:iCs/>
          <w:lang w:val="af-ZA" w:eastAsia="en-GB"/>
        </w:rPr>
        <w:t xml:space="preserve"> </w:t>
      </w:r>
    </w:p>
    <w:p w14:paraId="398E1A79" w14:textId="10AB945B" w:rsidR="00827A35" w:rsidRPr="007E334A" w:rsidRDefault="00827A35" w:rsidP="00827A35">
      <w:pPr>
        <w:tabs>
          <w:tab w:val="left" w:pos="0"/>
        </w:tabs>
        <w:spacing w:before="120" w:after="0" w:line="276" w:lineRule="auto"/>
        <w:ind w:firstLine="0"/>
        <w:rPr>
          <w:rFonts w:cs="Sylfaen"/>
          <w:iCs/>
          <w:lang w:val="hy-AM" w:eastAsia="en-GB"/>
        </w:rPr>
      </w:pPr>
      <w:r w:rsidRPr="007E334A">
        <w:rPr>
          <w:rFonts w:cs="Sylfaen"/>
          <w:iCs/>
          <w:lang w:val="hy-AM" w:eastAsia="en-GB"/>
        </w:rPr>
        <w:t>Նշվածով պայամանավորված 2025-2027թթ</w:t>
      </w:r>
      <w:r w:rsidRPr="007E334A">
        <w:rPr>
          <w:rFonts w:ascii="Cambria Math" w:hAnsi="Cambria Math" w:cs="Sylfaen"/>
          <w:iCs/>
          <w:lang w:val="hy-AM" w:eastAsia="en-GB"/>
        </w:rPr>
        <w:t>․</w:t>
      </w:r>
      <w:r w:rsidRPr="007E334A">
        <w:rPr>
          <w:rFonts w:cs="Sylfaen"/>
          <w:iCs/>
          <w:lang w:val="hy-AM" w:eastAsia="en-GB"/>
        </w:rPr>
        <w:t xml:space="preserve"> հարկային </w:t>
      </w:r>
      <w:r w:rsidRPr="007E334A">
        <w:rPr>
          <w:rFonts w:cs="Sylfaen"/>
          <w:iCs/>
          <w:lang w:val="af-ZA" w:eastAsia="en-GB"/>
        </w:rPr>
        <w:t xml:space="preserve">եկամուտների աճերը կկազմեն 2025թ.՝ </w:t>
      </w:r>
      <w:r w:rsidR="00197356">
        <w:rPr>
          <w:rFonts w:cs="Sylfaen"/>
          <w:iCs/>
          <w:lang w:val="af-ZA" w:eastAsia="en-GB"/>
        </w:rPr>
        <w:t>198.7</w:t>
      </w:r>
      <w:r w:rsidRPr="007E334A">
        <w:rPr>
          <w:rFonts w:cs="Sylfaen"/>
          <w:iCs/>
          <w:lang w:val="af-ZA" w:eastAsia="en-GB"/>
        </w:rPr>
        <w:t xml:space="preserve"> մլրդ դրամ, 2026թ.՝ 369.7 մլրդ դրամ և 2027թ.՝ 359.2 մլրդ դրամ:</w:t>
      </w:r>
    </w:p>
    <w:p w14:paraId="1B9A6495" w14:textId="22261121" w:rsidR="00827A35" w:rsidRPr="007E334A" w:rsidRDefault="00827A35" w:rsidP="00827A35">
      <w:pPr>
        <w:tabs>
          <w:tab w:val="left" w:pos="0"/>
        </w:tabs>
        <w:spacing w:before="120" w:after="0" w:line="276" w:lineRule="auto"/>
        <w:ind w:firstLine="0"/>
        <w:rPr>
          <w:lang w:val="af-ZA"/>
        </w:rPr>
      </w:pPr>
      <w:r w:rsidRPr="007E334A">
        <w:rPr>
          <w:rFonts w:cs="Sylfaen"/>
          <w:iCs/>
          <w:lang w:val="af-ZA" w:eastAsia="en-GB"/>
        </w:rPr>
        <w:t>Ըստ թիրախային (բարձր) տնտեսական աճի սցենարի</w:t>
      </w:r>
      <w:r w:rsidRPr="007E334A">
        <w:rPr>
          <w:rStyle w:val="FootnoteReference"/>
          <w:rFonts w:cs="Sylfaen"/>
          <w:iCs/>
          <w:lang w:val="af-ZA" w:eastAsia="en-GB"/>
        </w:rPr>
        <w:footnoteReference w:id="24"/>
      </w:r>
      <w:r w:rsidRPr="007E334A">
        <w:rPr>
          <w:rFonts w:cs="Sylfaen"/>
          <w:iCs/>
          <w:lang w:val="af-ZA" w:eastAsia="en-GB"/>
        </w:rPr>
        <w:t xml:space="preserve">  ՀՀ կառավարությունը </w:t>
      </w:r>
      <w:r w:rsidRPr="00197356">
        <w:rPr>
          <w:rFonts w:cs="Sylfaen"/>
          <w:iCs/>
          <w:lang w:val="af-ZA" w:eastAsia="en-GB"/>
        </w:rPr>
        <w:t xml:space="preserve">2024 թվականին և միջնաժամկետ հատվածում </w:t>
      </w:r>
      <w:r w:rsidRPr="007E334A">
        <w:rPr>
          <w:rFonts w:cs="Sylfaen"/>
          <w:iCs/>
          <w:lang w:val="af-ZA" w:eastAsia="en-GB"/>
        </w:rPr>
        <w:t xml:space="preserve">նպատակադրում է տարեկան միջինում առնվազն </w:t>
      </w:r>
      <w:r w:rsidR="00197356">
        <w:rPr>
          <w:rFonts w:cs="Sylfaen"/>
          <w:iCs/>
          <w:lang w:val="af-ZA" w:eastAsia="en-GB"/>
        </w:rPr>
        <w:t>5.7</w:t>
      </w:r>
      <w:r w:rsidRPr="00197356">
        <w:rPr>
          <w:rFonts w:cs="Sylfaen"/>
          <w:iCs/>
          <w:lang w:val="af-ZA" w:eastAsia="en-GB"/>
        </w:rPr>
        <w:t xml:space="preserve">% </w:t>
      </w:r>
      <w:r w:rsidRPr="007E334A">
        <w:rPr>
          <w:rFonts w:cs="Sylfaen"/>
          <w:iCs/>
          <w:lang w:val="af-ZA" w:eastAsia="en-GB"/>
        </w:rPr>
        <w:t>տնտեսական աճ</w:t>
      </w:r>
      <w:r w:rsidRPr="00197356">
        <w:rPr>
          <w:rFonts w:cs="Sylfaen"/>
          <w:iCs/>
          <w:lang w:val="af-ZA" w:eastAsia="en-GB"/>
        </w:rPr>
        <w:t>ի պայմաններում ապահովել հարկեր/ՀՆԱ հարաբերակցության տարեկան</w:t>
      </w:r>
      <w:r w:rsidRPr="009C1AED">
        <w:rPr>
          <w:lang w:val="hy-AM"/>
        </w:rPr>
        <w:t xml:space="preserve"> </w:t>
      </w:r>
      <w:r>
        <w:rPr>
          <w:lang w:val="hy-AM"/>
        </w:rPr>
        <w:t>միջինը</w:t>
      </w:r>
      <w:r w:rsidRPr="007E334A">
        <w:rPr>
          <w:lang w:val="af-ZA"/>
        </w:rPr>
        <w:t xml:space="preserve"> </w:t>
      </w:r>
      <w:r>
        <w:rPr>
          <w:lang w:val="af-ZA"/>
        </w:rPr>
        <w:t>0.</w:t>
      </w:r>
      <w:r w:rsidR="000E5C56">
        <w:rPr>
          <w:lang w:val="af-ZA"/>
        </w:rPr>
        <w:t>6</w:t>
      </w:r>
      <w:r w:rsidRPr="007E334A">
        <w:rPr>
          <w:lang w:val="af-ZA"/>
        </w:rPr>
        <w:t xml:space="preserve"> </w:t>
      </w:r>
      <w:r w:rsidRPr="007E334A">
        <w:rPr>
          <w:lang w:val="hy-AM"/>
        </w:rPr>
        <w:t>տոկոսային</w:t>
      </w:r>
      <w:r w:rsidRPr="007E334A">
        <w:rPr>
          <w:lang w:val="af-ZA"/>
        </w:rPr>
        <w:t xml:space="preserve"> </w:t>
      </w:r>
      <w:r w:rsidRPr="007E334A">
        <w:rPr>
          <w:lang w:val="hy-AM"/>
        </w:rPr>
        <w:t>կետով</w:t>
      </w:r>
      <w:r w:rsidRPr="007E334A">
        <w:rPr>
          <w:lang w:val="af-ZA"/>
        </w:rPr>
        <w:t xml:space="preserve"> աճ</w:t>
      </w:r>
      <w:r w:rsidRPr="007E334A">
        <w:rPr>
          <w:lang w:val="hy-AM"/>
        </w:rPr>
        <w:t>՝ 2027թ. հասցնելով այն 26.2</w:t>
      </w:r>
      <w:r w:rsidRPr="007E334A">
        <w:rPr>
          <w:lang w:val="af-ZA"/>
        </w:rPr>
        <w:t xml:space="preserve">%-ի: </w:t>
      </w:r>
    </w:p>
    <w:p w14:paraId="0D116CB1" w14:textId="77777777" w:rsidR="00827A35" w:rsidRPr="007E334A" w:rsidRDefault="00827A35" w:rsidP="00827A35">
      <w:pPr>
        <w:tabs>
          <w:tab w:val="left" w:pos="0"/>
        </w:tabs>
        <w:spacing w:before="120" w:after="0" w:line="276" w:lineRule="auto"/>
        <w:ind w:firstLine="0"/>
        <w:rPr>
          <w:rFonts w:cs="Sylfaen"/>
          <w:iCs/>
          <w:lang w:val="af-ZA" w:eastAsia="en-GB"/>
        </w:rPr>
      </w:pPr>
    </w:p>
    <w:p w14:paraId="70837D7E" w14:textId="77777777" w:rsidR="00827A35" w:rsidRDefault="00827A35" w:rsidP="00827A35">
      <w:pPr>
        <w:keepNext/>
        <w:keepLines/>
        <w:tabs>
          <w:tab w:val="left" w:pos="0"/>
        </w:tabs>
        <w:spacing w:before="120" w:after="0" w:line="276" w:lineRule="auto"/>
        <w:ind w:firstLine="0"/>
        <w:jc w:val="left"/>
        <w:rPr>
          <w:rFonts w:cs="Sylfaen"/>
          <w:bCs/>
          <w:lang w:val="fr-FR"/>
        </w:rPr>
      </w:pPr>
      <w:r w:rsidRPr="0031357F">
        <w:rPr>
          <w:rFonts w:cs="Sylfaen"/>
          <w:b/>
          <w:lang w:val="fr-FR"/>
        </w:rPr>
        <w:lastRenderedPageBreak/>
        <w:t>Գծապատկեր</w:t>
      </w:r>
      <w:r w:rsidRPr="0031357F">
        <w:rPr>
          <w:rFonts w:cs="Sylfaen"/>
          <w:b/>
          <w:lang w:val="af-ZA"/>
        </w:rPr>
        <w:t xml:space="preserve"> 3.2.1. </w:t>
      </w:r>
      <w:r w:rsidRPr="0031357F">
        <w:rPr>
          <w:rFonts w:cs="Sylfaen"/>
          <w:bCs/>
          <w:lang w:val="fr-FR"/>
        </w:rPr>
        <w:t>ՀՀ</w:t>
      </w:r>
      <w:r>
        <w:rPr>
          <w:rFonts w:cs="Sylfaen"/>
          <w:bCs/>
          <w:lang w:val="af-ZA"/>
        </w:rPr>
        <w:t xml:space="preserve"> 2021-2027</w:t>
      </w:r>
      <w:r w:rsidRPr="0031357F">
        <w:rPr>
          <w:rFonts w:cs="Sylfaen"/>
          <w:bCs/>
          <w:lang w:val="fr-FR"/>
        </w:rPr>
        <w:t>թթ.</w:t>
      </w:r>
      <w:r w:rsidRPr="0031357F">
        <w:rPr>
          <w:rFonts w:cs="Sylfaen"/>
          <w:bCs/>
          <w:lang w:val="af-ZA"/>
        </w:rPr>
        <w:t xml:space="preserve"> </w:t>
      </w:r>
      <w:r w:rsidRPr="0031357F">
        <w:rPr>
          <w:rFonts w:cs="Sylfaen"/>
          <w:bCs/>
          <w:lang w:val="fr-FR"/>
        </w:rPr>
        <w:t>հարկային</w:t>
      </w:r>
      <w:r w:rsidRPr="0031357F">
        <w:rPr>
          <w:rFonts w:cs="Sylfaen"/>
          <w:bCs/>
          <w:lang w:val="af-ZA"/>
        </w:rPr>
        <w:t xml:space="preserve"> </w:t>
      </w:r>
      <w:r w:rsidRPr="0031357F">
        <w:rPr>
          <w:rFonts w:cs="Sylfaen"/>
          <w:bCs/>
          <w:lang w:val="fr-FR"/>
        </w:rPr>
        <w:t>եկամուտները</w:t>
      </w:r>
      <w:r w:rsidRPr="0031357F">
        <w:rPr>
          <w:rFonts w:cs="Sylfaen"/>
          <w:bCs/>
          <w:lang w:val="af-ZA"/>
        </w:rPr>
        <w:t xml:space="preserve"> </w:t>
      </w:r>
      <w:r w:rsidRPr="0031357F">
        <w:rPr>
          <w:rFonts w:cs="Sylfaen"/>
          <w:bCs/>
          <w:lang w:val="fr-FR"/>
        </w:rPr>
        <w:t>մլրդ</w:t>
      </w:r>
      <w:r w:rsidRPr="0031357F">
        <w:rPr>
          <w:rFonts w:cs="Sylfaen"/>
          <w:bCs/>
          <w:lang w:val="af-ZA"/>
        </w:rPr>
        <w:t xml:space="preserve"> </w:t>
      </w:r>
      <w:r w:rsidRPr="0031357F">
        <w:rPr>
          <w:rFonts w:cs="Sylfaen"/>
          <w:bCs/>
          <w:lang w:val="fr-FR"/>
        </w:rPr>
        <w:t>դրամով</w:t>
      </w:r>
      <w:r w:rsidRPr="0031357F">
        <w:rPr>
          <w:rFonts w:cs="Sylfaen"/>
          <w:bCs/>
          <w:lang w:val="af-ZA"/>
        </w:rPr>
        <w:t xml:space="preserve"> </w:t>
      </w:r>
      <w:r w:rsidRPr="0031357F">
        <w:rPr>
          <w:rFonts w:cs="Sylfaen"/>
          <w:bCs/>
          <w:lang w:val="fr-FR"/>
        </w:rPr>
        <w:t>և</w:t>
      </w:r>
      <w:r w:rsidRPr="0031357F">
        <w:rPr>
          <w:rFonts w:cs="Sylfaen"/>
          <w:bCs/>
          <w:lang w:val="af-ZA"/>
        </w:rPr>
        <w:t xml:space="preserve"> </w:t>
      </w:r>
      <w:r w:rsidRPr="0031357F">
        <w:rPr>
          <w:rFonts w:cs="Sylfaen"/>
          <w:bCs/>
          <w:lang w:val="fr-FR"/>
        </w:rPr>
        <w:t>կշիռը</w:t>
      </w:r>
      <w:r w:rsidRPr="0031357F">
        <w:rPr>
          <w:rFonts w:cs="Sylfaen"/>
          <w:bCs/>
          <w:lang w:val="af-ZA"/>
        </w:rPr>
        <w:t xml:space="preserve"> </w:t>
      </w:r>
      <w:r w:rsidRPr="0031357F">
        <w:rPr>
          <w:rFonts w:cs="Sylfaen"/>
          <w:bCs/>
          <w:lang w:val="fr-FR"/>
        </w:rPr>
        <w:t>ՀՆԱ</w:t>
      </w:r>
      <w:r w:rsidRPr="0031357F">
        <w:rPr>
          <w:rFonts w:cs="Sylfaen"/>
          <w:bCs/>
          <w:lang w:val="af-ZA"/>
        </w:rPr>
        <w:t>-</w:t>
      </w:r>
      <w:r w:rsidRPr="0031357F">
        <w:rPr>
          <w:rFonts w:cs="Sylfaen"/>
          <w:bCs/>
          <w:lang w:val="fr-FR"/>
        </w:rPr>
        <w:t>ի</w:t>
      </w:r>
      <w:r w:rsidRPr="0031357F">
        <w:rPr>
          <w:rFonts w:cs="Sylfaen"/>
          <w:bCs/>
          <w:lang w:val="af-ZA"/>
        </w:rPr>
        <w:t xml:space="preserve"> </w:t>
      </w:r>
      <w:r w:rsidRPr="0031357F">
        <w:rPr>
          <w:rFonts w:cs="Sylfaen"/>
          <w:bCs/>
          <w:lang w:val="fr-FR"/>
        </w:rPr>
        <w:t>նկատմամբ</w:t>
      </w:r>
    </w:p>
    <w:p w14:paraId="7F7237A4" w14:textId="77777777" w:rsidR="00827A35" w:rsidRPr="0031357F" w:rsidRDefault="00827A35" w:rsidP="00827A35">
      <w:pPr>
        <w:keepNext/>
        <w:keepLines/>
        <w:tabs>
          <w:tab w:val="left" w:pos="0"/>
        </w:tabs>
        <w:spacing w:before="120" w:after="0" w:line="276" w:lineRule="auto"/>
        <w:ind w:firstLine="0"/>
        <w:jc w:val="left"/>
        <w:rPr>
          <w:rFonts w:cs="Sylfaen"/>
          <w:bCs/>
          <w:lang w:val="fr-FR"/>
        </w:rPr>
      </w:pPr>
      <w:r w:rsidRPr="0066010F">
        <w:rPr>
          <w:noProof/>
        </w:rPr>
        <w:drawing>
          <wp:inline distT="0" distB="0" distL="0" distR="0" wp14:anchorId="614169EA" wp14:editId="56C5885B">
            <wp:extent cx="6257925" cy="4191000"/>
            <wp:effectExtent l="0" t="0" r="9525"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BCD8BEF" w14:textId="77777777" w:rsidR="00827A35" w:rsidRDefault="00827A35" w:rsidP="00827A35">
      <w:pPr>
        <w:keepNext/>
        <w:keepLines/>
        <w:tabs>
          <w:tab w:val="left" w:pos="0"/>
        </w:tabs>
        <w:spacing w:before="120" w:after="0" w:line="276" w:lineRule="auto"/>
        <w:ind w:firstLine="0"/>
        <w:jc w:val="left"/>
        <w:rPr>
          <w:rFonts w:cs="Sylfaen"/>
          <w:b/>
          <w:sz w:val="20"/>
          <w:szCs w:val="20"/>
          <w:lang w:val="fr-FR"/>
        </w:rPr>
      </w:pPr>
    </w:p>
    <w:p w14:paraId="777E2550" w14:textId="77777777" w:rsidR="00827A35" w:rsidRDefault="00827A35" w:rsidP="00827A35">
      <w:pPr>
        <w:keepNext/>
        <w:keepLines/>
        <w:tabs>
          <w:tab w:val="left" w:pos="0"/>
        </w:tabs>
        <w:spacing w:before="120" w:after="0" w:line="276" w:lineRule="auto"/>
        <w:ind w:firstLine="0"/>
        <w:jc w:val="center"/>
        <w:rPr>
          <w:rFonts w:cs="Sylfaen"/>
          <w:b/>
          <w:sz w:val="20"/>
          <w:szCs w:val="20"/>
          <w:highlight w:val="yellow"/>
          <w:lang w:val="fr-FR"/>
        </w:rPr>
      </w:pPr>
      <w:r>
        <w:rPr>
          <w:rFonts w:cs="Sylfaen"/>
          <w:b/>
          <w:sz w:val="20"/>
          <w:szCs w:val="20"/>
          <w:lang w:val="fr-FR"/>
        </w:rPr>
        <w:t>`</w:t>
      </w:r>
    </w:p>
    <w:p w14:paraId="3D6A77EE" w14:textId="77777777" w:rsidR="00827A35" w:rsidRDefault="00827A35" w:rsidP="00827A35">
      <w:pPr>
        <w:keepNext/>
        <w:keepLines/>
        <w:tabs>
          <w:tab w:val="left" w:pos="0"/>
        </w:tabs>
        <w:spacing w:before="120" w:after="0" w:line="276" w:lineRule="auto"/>
        <w:ind w:firstLine="0"/>
        <w:jc w:val="left"/>
        <w:rPr>
          <w:rFonts w:cs="Sylfaen"/>
          <w:b/>
          <w:sz w:val="20"/>
          <w:szCs w:val="20"/>
          <w:highlight w:val="yellow"/>
          <w:lang w:val="af-ZA"/>
        </w:rPr>
      </w:pPr>
    </w:p>
    <w:p w14:paraId="3887C7B1" w14:textId="100612C5" w:rsidR="00827A35" w:rsidRPr="00E7122F" w:rsidRDefault="00827A35" w:rsidP="00827A35">
      <w:pPr>
        <w:pStyle w:val="BodyText"/>
        <w:tabs>
          <w:tab w:val="left" w:pos="0"/>
          <w:tab w:val="left" w:pos="9120"/>
        </w:tabs>
        <w:spacing w:before="120" w:after="0" w:line="276" w:lineRule="auto"/>
        <w:ind w:firstLine="0"/>
        <w:rPr>
          <w:rFonts w:cs="Sylfaen"/>
          <w:iCs/>
          <w:lang w:val="af-ZA" w:eastAsia="en-GB"/>
        </w:rPr>
      </w:pPr>
      <w:r w:rsidRPr="0049686C">
        <w:rPr>
          <w:b/>
          <w:lang w:val="af-ZA"/>
        </w:rPr>
        <w:t>Պաշտոնական դրամաշնորհները</w:t>
      </w:r>
      <w:r>
        <w:rPr>
          <w:rFonts w:cs="Sylfaen"/>
          <w:iCs/>
          <w:lang w:val="af-ZA" w:eastAsia="en-GB"/>
        </w:rPr>
        <w:t xml:space="preserve"> 2025-2027</w:t>
      </w:r>
      <w:r w:rsidRPr="0049686C">
        <w:rPr>
          <w:rFonts w:cs="Sylfaen"/>
          <w:iCs/>
          <w:lang w:val="af-ZA" w:eastAsia="en-GB"/>
        </w:rPr>
        <w:t>թթ. համար ծրագրվել են` հաշվի առ</w:t>
      </w:r>
      <w:r w:rsidRPr="0049686C">
        <w:rPr>
          <w:rFonts w:cs="Sylfaen"/>
          <w:iCs/>
          <w:lang w:val="af-ZA" w:eastAsia="en-GB"/>
        </w:rPr>
        <w:softHyphen/>
        <w:t>նե</w:t>
      </w:r>
      <w:r w:rsidRPr="0049686C">
        <w:rPr>
          <w:rFonts w:cs="Sylfaen"/>
          <w:iCs/>
          <w:lang w:val="af-ZA" w:eastAsia="en-GB"/>
        </w:rPr>
        <w:softHyphen/>
      </w:r>
      <w:r w:rsidRPr="0049686C">
        <w:rPr>
          <w:rFonts w:cs="Sylfaen"/>
          <w:iCs/>
          <w:lang w:val="af-ZA" w:eastAsia="en-GB"/>
        </w:rPr>
        <w:softHyphen/>
        <w:t>լով առկա պայմանագրերը և դո</w:t>
      </w:r>
      <w:r w:rsidRPr="0049686C">
        <w:rPr>
          <w:rFonts w:cs="Sylfaen"/>
          <w:iCs/>
          <w:lang w:val="af-ZA" w:eastAsia="en-GB"/>
        </w:rPr>
        <w:softHyphen/>
        <w:t>նոր</w:t>
      </w:r>
      <w:r w:rsidRPr="0049686C">
        <w:rPr>
          <w:rFonts w:cs="Sylfaen"/>
          <w:iCs/>
          <w:lang w:val="af-ZA" w:eastAsia="en-GB"/>
        </w:rPr>
        <w:softHyphen/>
        <w:t>նե</w:t>
      </w:r>
      <w:r w:rsidRPr="0049686C">
        <w:rPr>
          <w:rFonts w:cs="Sylfaen"/>
          <w:iCs/>
          <w:lang w:val="af-ZA" w:eastAsia="en-GB"/>
        </w:rPr>
        <w:softHyphen/>
        <w:t>րի հետ ձեռքբերված նախնական համաձայնությունները: Նպատակային դրամաշնորհները</w:t>
      </w:r>
      <w:r>
        <w:rPr>
          <w:rFonts w:cs="Sylfaen"/>
          <w:iCs/>
          <w:lang w:val="af-ZA" w:eastAsia="en-GB"/>
        </w:rPr>
        <w:t xml:space="preserve"> 2025-2027</w:t>
      </w:r>
      <w:r w:rsidRPr="0049686C">
        <w:rPr>
          <w:rFonts w:cs="Sylfaen"/>
          <w:iCs/>
          <w:lang w:val="af-ZA" w:eastAsia="en-GB"/>
        </w:rPr>
        <w:t xml:space="preserve">թթ. համար ծրագրվել են </w:t>
      </w:r>
      <w:r w:rsidRPr="00E7122F">
        <w:rPr>
          <w:rFonts w:cs="Sylfaen"/>
          <w:iCs/>
          <w:lang w:val="af-ZA" w:eastAsia="en-GB"/>
        </w:rPr>
        <w:t xml:space="preserve">համապատասխանաբար </w:t>
      </w:r>
      <w:r w:rsidR="00197356">
        <w:rPr>
          <w:rFonts w:cs="Sylfaen"/>
          <w:iCs/>
          <w:lang w:val="af-ZA" w:eastAsia="en-GB"/>
        </w:rPr>
        <w:t>20.6</w:t>
      </w:r>
      <w:r w:rsidRPr="00E7122F">
        <w:rPr>
          <w:rFonts w:cs="Sylfaen"/>
          <w:iCs/>
          <w:lang w:val="af-ZA" w:eastAsia="en-GB"/>
        </w:rPr>
        <w:t xml:space="preserve"> մլրդ դրա</w:t>
      </w:r>
      <w:r w:rsidRPr="00E7122F">
        <w:rPr>
          <w:rFonts w:cs="Sylfaen"/>
          <w:iCs/>
          <w:lang w:val="af-ZA" w:eastAsia="en-GB"/>
        </w:rPr>
        <w:softHyphen/>
        <w:t>մի</w:t>
      </w:r>
      <w:r>
        <w:rPr>
          <w:rFonts w:cs="Sylfaen"/>
          <w:iCs/>
          <w:lang w:val="af-ZA" w:eastAsia="en-GB"/>
        </w:rPr>
        <w:t xml:space="preserve">, </w:t>
      </w:r>
      <w:r w:rsidR="00197356">
        <w:rPr>
          <w:rFonts w:cs="Sylfaen"/>
          <w:iCs/>
          <w:lang w:val="af-ZA" w:eastAsia="en-GB"/>
        </w:rPr>
        <w:t>10.6</w:t>
      </w:r>
      <w:r w:rsidRPr="00E7122F">
        <w:rPr>
          <w:rFonts w:cs="Sylfaen"/>
          <w:iCs/>
          <w:lang w:val="af-ZA" w:eastAsia="en-GB"/>
        </w:rPr>
        <w:t xml:space="preserve"> մլրդ դրամի և</w:t>
      </w:r>
      <w:r>
        <w:rPr>
          <w:rFonts w:cs="Sylfaen"/>
          <w:iCs/>
          <w:lang w:val="af-ZA" w:eastAsia="en-GB"/>
        </w:rPr>
        <w:t xml:space="preserve"> 6</w:t>
      </w:r>
      <w:r w:rsidRPr="00E7122F">
        <w:rPr>
          <w:rFonts w:cs="Sylfaen"/>
          <w:iCs/>
          <w:lang w:val="af-ZA" w:eastAsia="en-GB"/>
        </w:rPr>
        <w:t xml:space="preserve"> մլրդ դրամի չափով:</w:t>
      </w:r>
    </w:p>
    <w:p w14:paraId="6AE6ED15" w14:textId="673431E7" w:rsidR="00827A35" w:rsidRDefault="00827A35" w:rsidP="007B7DEC">
      <w:pPr>
        <w:tabs>
          <w:tab w:val="left" w:pos="0"/>
          <w:tab w:val="left" w:pos="9120"/>
        </w:tabs>
        <w:spacing w:before="120" w:after="0" w:line="276" w:lineRule="auto"/>
        <w:ind w:firstLine="0"/>
        <w:rPr>
          <w:rFonts w:cs="Sylfaen"/>
          <w:iCs/>
          <w:lang w:val="af-ZA" w:eastAsia="en-GB"/>
        </w:rPr>
      </w:pPr>
      <w:r w:rsidRPr="00D94768">
        <w:rPr>
          <w:b/>
          <w:lang w:val="af-ZA"/>
        </w:rPr>
        <w:t>Այլ եկամուտները</w:t>
      </w:r>
      <w:r>
        <w:rPr>
          <w:rFonts w:cs="Sylfaen"/>
          <w:iCs/>
          <w:lang w:val="af-ZA" w:eastAsia="en-GB"/>
        </w:rPr>
        <w:t xml:space="preserve"> 2025-2027թթ. համար ծրագրվել են համապատասխանաբար </w:t>
      </w:r>
      <w:r w:rsidRPr="00E7122F">
        <w:rPr>
          <w:rFonts w:cs="Sylfaen"/>
          <w:iCs/>
          <w:lang w:val="af-ZA" w:eastAsia="en-GB"/>
        </w:rPr>
        <w:t>64.7 մլրդ դրա</w:t>
      </w:r>
      <w:r w:rsidRPr="00E7122F">
        <w:rPr>
          <w:rFonts w:cs="Sylfaen"/>
          <w:iCs/>
          <w:lang w:val="af-ZA" w:eastAsia="en-GB"/>
        </w:rPr>
        <w:softHyphen/>
        <w:t>մի, 65.7 մլրդ դրամի և 66.8 մլրդ դրամի չափով, հաշվի առնելով գանձման համար պ</w:t>
      </w:r>
      <w:r>
        <w:rPr>
          <w:rFonts w:cs="Sylfaen"/>
          <w:iCs/>
          <w:lang w:val="af-ZA" w:eastAsia="en-GB"/>
        </w:rPr>
        <w:t>ատաս</w:t>
      </w:r>
      <w:r>
        <w:rPr>
          <w:rFonts w:cs="Sylfaen"/>
          <w:iCs/>
          <w:lang w:val="af-ZA" w:eastAsia="en-GB"/>
        </w:rPr>
        <w:softHyphen/>
        <w:t>խա</w:t>
      </w:r>
      <w:r>
        <w:rPr>
          <w:rFonts w:cs="Sylfaen"/>
          <w:iCs/>
          <w:lang w:val="af-ZA" w:eastAsia="en-GB"/>
        </w:rPr>
        <w:softHyphen/>
        <w:t>նա</w:t>
      </w:r>
      <w:r>
        <w:rPr>
          <w:rFonts w:cs="Sylfaen"/>
          <w:iCs/>
          <w:lang w:val="af-ZA" w:eastAsia="en-GB"/>
        </w:rPr>
        <w:softHyphen/>
        <w:t>տու պետական կա</w:t>
      </w:r>
      <w:r>
        <w:rPr>
          <w:rFonts w:cs="Sylfaen"/>
          <w:iCs/>
          <w:lang w:val="af-ZA" w:eastAsia="en-GB"/>
        </w:rPr>
        <w:softHyphen/>
        <w:t>ռավարման մարմինների կողմից ՀՀ 2025 թվականի բյուջետային գործ</w:t>
      </w:r>
      <w:r>
        <w:rPr>
          <w:rFonts w:cs="Sylfaen"/>
          <w:iCs/>
          <w:lang w:val="af-ZA" w:eastAsia="en-GB"/>
        </w:rPr>
        <w:softHyphen/>
        <w:t>ըն</w:t>
      </w:r>
      <w:r>
        <w:rPr>
          <w:rFonts w:cs="Sylfaen"/>
          <w:iCs/>
          <w:lang w:val="af-ZA" w:eastAsia="en-GB"/>
        </w:rPr>
        <w:softHyphen/>
      </w:r>
      <w:r>
        <w:rPr>
          <w:rFonts w:cs="Sylfaen"/>
          <w:iCs/>
          <w:lang w:val="af-ZA" w:eastAsia="en-GB"/>
        </w:rPr>
        <w:softHyphen/>
        <w:t>թացի շրջա</w:t>
      </w:r>
      <w:r>
        <w:rPr>
          <w:rFonts w:cs="Sylfaen"/>
          <w:iCs/>
          <w:lang w:val="af-ZA" w:eastAsia="en-GB"/>
        </w:rPr>
        <w:softHyphen/>
      </w:r>
      <w:r>
        <w:rPr>
          <w:rFonts w:cs="Sylfaen"/>
          <w:iCs/>
          <w:lang w:val="af-ZA" w:eastAsia="en-GB"/>
        </w:rPr>
        <w:softHyphen/>
        <w:t>նակում հա</w:t>
      </w:r>
      <w:r>
        <w:rPr>
          <w:rFonts w:cs="Sylfaen"/>
          <w:iCs/>
          <w:lang w:val="af-ZA" w:eastAsia="en-GB"/>
        </w:rPr>
        <w:softHyphen/>
        <w:t>մա</w:t>
      </w:r>
      <w:r>
        <w:rPr>
          <w:rFonts w:cs="Sylfaen"/>
          <w:iCs/>
          <w:lang w:val="af-ZA" w:eastAsia="en-GB"/>
        </w:rPr>
        <w:softHyphen/>
        <w:t>պա</w:t>
      </w:r>
      <w:r>
        <w:rPr>
          <w:rFonts w:cs="Sylfaen"/>
          <w:iCs/>
          <w:lang w:val="af-ZA" w:eastAsia="en-GB"/>
        </w:rPr>
        <w:softHyphen/>
        <w:t>տաս</w:t>
      </w:r>
      <w:r>
        <w:rPr>
          <w:rFonts w:cs="Sylfaen"/>
          <w:iCs/>
          <w:lang w:val="af-ZA" w:eastAsia="en-GB"/>
        </w:rPr>
        <w:softHyphen/>
        <w:t>խան հայտերով ներկայացված կանխատեսումները, կատար</w:t>
      </w:r>
      <w:r>
        <w:rPr>
          <w:rFonts w:cs="Sylfaen"/>
          <w:iCs/>
          <w:lang w:val="af-ZA" w:eastAsia="en-GB"/>
        </w:rPr>
        <w:softHyphen/>
        <w:t>ված օրենս</w:t>
      </w:r>
      <w:r>
        <w:rPr>
          <w:rFonts w:cs="Sylfaen"/>
          <w:iCs/>
          <w:lang w:val="af-ZA" w:eastAsia="en-GB"/>
        </w:rPr>
        <w:softHyphen/>
        <w:t>դրա</w:t>
      </w:r>
      <w:r>
        <w:rPr>
          <w:rFonts w:cs="Sylfaen"/>
          <w:iCs/>
          <w:lang w:val="af-ZA" w:eastAsia="en-GB"/>
        </w:rPr>
        <w:softHyphen/>
        <w:t>կան փոփոխությունները, ինչ</w:t>
      </w:r>
      <w:r>
        <w:rPr>
          <w:rFonts w:cs="Sylfaen"/>
          <w:iCs/>
          <w:lang w:val="af-ZA" w:eastAsia="en-GB"/>
        </w:rPr>
        <w:softHyphen/>
        <w:t>պես նաև առանձին եկամտատեսակների գծով նա</w:t>
      </w:r>
      <w:r>
        <w:rPr>
          <w:rFonts w:cs="Sylfaen"/>
          <w:iCs/>
          <w:lang w:val="af-ZA" w:eastAsia="en-GB"/>
        </w:rPr>
        <w:softHyphen/>
        <w:t>խորդ տա</w:t>
      </w:r>
      <w:r>
        <w:rPr>
          <w:rFonts w:cs="Sylfaen"/>
          <w:iCs/>
          <w:lang w:val="af-ZA" w:eastAsia="en-GB"/>
        </w:rPr>
        <w:softHyphen/>
        <w:t>րի</w:t>
      </w:r>
      <w:r>
        <w:rPr>
          <w:rFonts w:cs="Sylfaen"/>
          <w:iCs/>
          <w:lang w:val="af-ZA" w:eastAsia="en-GB"/>
        </w:rPr>
        <w:softHyphen/>
        <w:t>նե</w:t>
      </w:r>
      <w:r>
        <w:rPr>
          <w:rFonts w:cs="Sylfaen"/>
          <w:iCs/>
          <w:lang w:val="af-ZA" w:eastAsia="en-GB"/>
        </w:rPr>
        <w:softHyphen/>
        <w:t>րին արձանագրված միտումները:</w:t>
      </w:r>
    </w:p>
    <w:p w14:paraId="382236D1" w14:textId="77777777" w:rsidR="00827A35" w:rsidRDefault="00827A35" w:rsidP="00827A35">
      <w:pPr>
        <w:tabs>
          <w:tab w:val="left" w:pos="0"/>
        </w:tabs>
        <w:spacing w:before="120" w:after="0" w:line="276" w:lineRule="auto"/>
        <w:ind w:firstLine="0"/>
        <w:rPr>
          <w:rFonts w:cs="Sylfaen"/>
          <w:iCs/>
          <w:lang w:val="af-ZA" w:eastAsia="en-GB"/>
        </w:rPr>
      </w:pPr>
      <w:r>
        <w:rPr>
          <w:rFonts w:cs="Sylfaen"/>
          <w:iCs/>
          <w:lang w:val="af-ZA" w:eastAsia="en-GB"/>
        </w:rPr>
        <w:t>Այլ եկամուտների ՄԺԾԾ կանխատեսումների ընդհանուր պատկերն ըստ եկամտի հիմնական աղբյուրների հետևյալն է.</w:t>
      </w:r>
    </w:p>
    <w:p w14:paraId="139DB0E4" w14:textId="77777777" w:rsidR="00827A35" w:rsidRDefault="00827A35" w:rsidP="00827A35">
      <w:pPr>
        <w:tabs>
          <w:tab w:val="left" w:pos="0"/>
        </w:tabs>
        <w:spacing w:before="120" w:after="0" w:line="276" w:lineRule="auto"/>
        <w:ind w:firstLine="0"/>
        <w:rPr>
          <w:rFonts w:cs="Sylfaen"/>
          <w:iCs/>
          <w:lang w:val="af-ZA" w:eastAsia="en-GB"/>
        </w:rPr>
      </w:pPr>
    </w:p>
    <w:p w14:paraId="2397E0D0" w14:textId="77777777" w:rsidR="00827A35" w:rsidRPr="0031357F" w:rsidRDefault="00827A35" w:rsidP="00827A35">
      <w:pPr>
        <w:keepNext/>
        <w:keepLines/>
        <w:tabs>
          <w:tab w:val="left" w:pos="0"/>
        </w:tabs>
        <w:spacing w:before="120" w:after="0" w:line="276" w:lineRule="auto"/>
        <w:ind w:firstLine="0"/>
        <w:rPr>
          <w:rFonts w:cs="Sylfaen"/>
          <w:iCs/>
          <w:lang w:val="af-ZA" w:eastAsia="en-GB"/>
        </w:rPr>
      </w:pPr>
      <w:r w:rsidRPr="0031357F">
        <w:rPr>
          <w:rFonts w:cs="Sylfaen"/>
          <w:b/>
          <w:iCs/>
          <w:lang w:val="af-ZA" w:eastAsia="en-GB"/>
        </w:rPr>
        <w:lastRenderedPageBreak/>
        <w:t xml:space="preserve">Աղյուսակ 3.2.3 </w:t>
      </w:r>
      <w:r w:rsidRPr="0031357F">
        <w:rPr>
          <w:rFonts w:cs="Sylfaen"/>
          <w:iCs/>
          <w:lang w:val="af-ZA" w:eastAsia="en-GB"/>
        </w:rPr>
        <w:t>Այլ եկամուտների կազմում հաշվառվող եկամտատեսակների գծով ՀՀ</w:t>
      </w:r>
      <w:r>
        <w:rPr>
          <w:rFonts w:cs="Sylfaen"/>
          <w:iCs/>
          <w:lang w:val="af-ZA" w:eastAsia="en-GB"/>
        </w:rPr>
        <w:t xml:space="preserve"> 2025-2027</w:t>
      </w:r>
      <w:r w:rsidRPr="0031357F">
        <w:rPr>
          <w:rFonts w:cs="Sylfaen"/>
          <w:iCs/>
          <w:lang w:val="af-ZA" w:eastAsia="en-GB"/>
        </w:rPr>
        <w:t>թթ. ՄԺԾԾ շրջանակներում կատարված կանխատեսումները</w:t>
      </w:r>
      <w:r>
        <w:rPr>
          <w:rFonts w:cs="Sylfaen"/>
          <w:iCs/>
          <w:lang w:val="af-ZA" w:eastAsia="en-GB"/>
        </w:rPr>
        <w:t xml:space="preserve">, </w:t>
      </w:r>
      <w:r w:rsidRPr="0031357F">
        <w:rPr>
          <w:rFonts w:cs="Sylfaen"/>
          <w:iCs/>
          <w:lang w:val="af-ZA" w:eastAsia="en-GB"/>
        </w:rPr>
        <w:t>մլրդ դրամ</w:t>
      </w:r>
    </w:p>
    <w:tbl>
      <w:tblPr>
        <w:tblW w:w="9501" w:type="dxa"/>
        <w:tblLook w:val="04A0" w:firstRow="1" w:lastRow="0" w:firstColumn="1" w:lastColumn="0" w:noHBand="0" w:noVBand="1"/>
      </w:tblPr>
      <w:tblGrid>
        <w:gridCol w:w="3622"/>
        <w:gridCol w:w="799"/>
        <w:gridCol w:w="822"/>
        <w:gridCol w:w="831"/>
        <w:gridCol w:w="971"/>
        <w:gridCol w:w="900"/>
        <w:gridCol w:w="785"/>
        <w:gridCol w:w="765"/>
        <w:gridCol w:w="6"/>
      </w:tblGrid>
      <w:tr w:rsidR="00827A35" w:rsidRPr="00325C27" w14:paraId="32A07C1C" w14:textId="77777777" w:rsidTr="007220FA">
        <w:trPr>
          <w:gridAfter w:val="1"/>
          <w:wAfter w:w="6" w:type="dxa"/>
          <w:trHeight w:val="89"/>
          <w:tblHeader/>
        </w:trPr>
        <w:tc>
          <w:tcPr>
            <w:tcW w:w="3745" w:type="dxa"/>
            <w:vMerge w:val="restart"/>
            <w:shd w:val="clear" w:color="auto" w:fill="auto"/>
            <w:vAlign w:val="center"/>
            <w:hideMark/>
          </w:tcPr>
          <w:p w14:paraId="14985811" w14:textId="77777777" w:rsidR="00827A35" w:rsidRPr="00325C27" w:rsidRDefault="00827A35" w:rsidP="00A90AAE">
            <w:pPr>
              <w:tabs>
                <w:tab w:val="left" w:pos="0"/>
              </w:tabs>
              <w:spacing w:before="120" w:after="0" w:line="240" w:lineRule="auto"/>
              <w:ind w:firstLine="0"/>
              <w:jc w:val="center"/>
              <w:rPr>
                <w:iCs/>
                <w:color w:val="000000"/>
                <w:sz w:val="18"/>
                <w:szCs w:val="18"/>
              </w:rPr>
            </w:pPr>
            <w:r w:rsidRPr="00325C27">
              <w:rPr>
                <w:iCs/>
                <w:color w:val="000000"/>
                <w:sz w:val="18"/>
                <w:szCs w:val="18"/>
              </w:rPr>
              <w:t>Այլ եկամուտներ</w:t>
            </w:r>
          </w:p>
        </w:tc>
        <w:tc>
          <w:tcPr>
            <w:tcW w:w="803" w:type="dxa"/>
            <w:tcBorders>
              <w:bottom w:val="single" w:sz="2" w:space="0" w:color="auto"/>
            </w:tcBorders>
            <w:shd w:val="clear" w:color="auto" w:fill="auto"/>
            <w:vAlign w:val="center"/>
          </w:tcPr>
          <w:p w14:paraId="3377491C" w14:textId="77777777" w:rsidR="00827A35" w:rsidRPr="00325C27" w:rsidRDefault="00827A35" w:rsidP="00A90AAE">
            <w:pPr>
              <w:tabs>
                <w:tab w:val="left" w:pos="0"/>
              </w:tabs>
              <w:spacing w:before="120" w:after="0" w:line="240" w:lineRule="auto"/>
              <w:ind w:firstLine="0"/>
              <w:jc w:val="center"/>
              <w:rPr>
                <w:sz w:val="18"/>
                <w:szCs w:val="18"/>
                <w:lang w:val="hy-AM"/>
              </w:rPr>
            </w:pPr>
          </w:p>
        </w:tc>
        <w:tc>
          <w:tcPr>
            <w:tcW w:w="826" w:type="dxa"/>
            <w:tcBorders>
              <w:bottom w:val="single" w:sz="2" w:space="0" w:color="auto"/>
            </w:tcBorders>
            <w:shd w:val="clear" w:color="auto" w:fill="auto"/>
            <w:vAlign w:val="center"/>
          </w:tcPr>
          <w:p w14:paraId="023C9536" w14:textId="77777777" w:rsidR="00827A35" w:rsidRPr="00B816FC" w:rsidRDefault="00827A35" w:rsidP="00A90AAE">
            <w:pPr>
              <w:tabs>
                <w:tab w:val="left" w:pos="0"/>
              </w:tabs>
              <w:spacing w:before="120" w:after="0" w:line="240" w:lineRule="auto"/>
              <w:ind w:firstLine="0"/>
              <w:jc w:val="center"/>
              <w:rPr>
                <w:sz w:val="18"/>
                <w:szCs w:val="18"/>
                <w:u w:val="single"/>
                <w:lang w:val="hy-AM"/>
              </w:rPr>
            </w:pPr>
            <w:r>
              <w:rPr>
                <w:sz w:val="18"/>
                <w:szCs w:val="18"/>
                <w:lang w:val="hy-AM"/>
              </w:rPr>
              <w:t>Փաստ</w:t>
            </w:r>
          </w:p>
        </w:tc>
        <w:tc>
          <w:tcPr>
            <w:tcW w:w="835" w:type="dxa"/>
            <w:tcBorders>
              <w:bottom w:val="single" w:sz="2" w:space="0" w:color="auto"/>
            </w:tcBorders>
            <w:shd w:val="clear" w:color="auto" w:fill="auto"/>
            <w:vAlign w:val="center"/>
          </w:tcPr>
          <w:p w14:paraId="6934EA84" w14:textId="77777777" w:rsidR="00827A35" w:rsidRPr="00325C27" w:rsidRDefault="00827A35" w:rsidP="00A90AAE">
            <w:pPr>
              <w:tabs>
                <w:tab w:val="left" w:pos="0"/>
              </w:tabs>
              <w:spacing w:before="120" w:after="0" w:line="240" w:lineRule="auto"/>
              <w:ind w:firstLine="0"/>
              <w:jc w:val="center"/>
              <w:rPr>
                <w:sz w:val="18"/>
                <w:szCs w:val="18"/>
                <w:lang w:val="hy-AM"/>
              </w:rPr>
            </w:pPr>
          </w:p>
        </w:tc>
        <w:tc>
          <w:tcPr>
            <w:tcW w:w="987" w:type="dxa"/>
            <w:shd w:val="clear" w:color="auto" w:fill="auto"/>
            <w:vAlign w:val="center"/>
          </w:tcPr>
          <w:p w14:paraId="2E15C91C" w14:textId="77777777" w:rsidR="00827A35" w:rsidRPr="00E94E16" w:rsidRDefault="00827A35" w:rsidP="00A90AAE">
            <w:pPr>
              <w:tabs>
                <w:tab w:val="left" w:pos="0"/>
              </w:tabs>
              <w:spacing w:before="120" w:after="0" w:line="240" w:lineRule="auto"/>
              <w:ind w:firstLine="0"/>
              <w:jc w:val="center"/>
              <w:rPr>
                <w:sz w:val="18"/>
                <w:szCs w:val="18"/>
                <w:lang w:val="hy-AM"/>
              </w:rPr>
            </w:pPr>
            <w:r>
              <w:rPr>
                <w:sz w:val="18"/>
                <w:szCs w:val="18"/>
                <w:lang w:val="hy-AM"/>
              </w:rPr>
              <w:t>Բյուջե</w:t>
            </w:r>
          </w:p>
        </w:tc>
        <w:tc>
          <w:tcPr>
            <w:tcW w:w="2299" w:type="dxa"/>
            <w:gridSpan w:val="3"/>
            <w:tcBorders>
              <w:bottom w:val="single" w:sz="2" w:space="0" w:color="auto"/>
            </w:tcBorders>
            <w:shd w:val="clear" w:color="auto" w:fill="auto"/>
            <w:noWrap/>
            <w:vAlign w:val="center"/>
            <w:hideMark/>
          </w:tcPr>
          <w:p w14:paraId="14D10B05" w14:textId="77777777" w:rsidR="00827A35" w:rsidRPr="00325C27" w:rsidRDefault="00827A35" w:rsidP="00A90AAE">
            <w:pPr>
              <w:tabs>
                <w:tab w:val="left" w:pos="0"/>
              </w:tabs>
              <w:spacing w:before="120" w:after="0" w:line="240" w:lineRule="auto"/>
              <w:ind w:firstLine="0"/>
              <w:jc w:val="center"/>
              <w:rPr>
                <w:iCs/>
                <w:color w:val="000000"/>
                <w:sz w:val="18"/>
                <w:szCs w:val="18"/>
              </w:rPr>
            </w:pPr>
            <w:r w:rsidRPr="00325C27">
              <w:rPr>
                <w:sz w:val="18"/>
                <w:szCs w:val="18"/>
                <w:lang w:val="hy-AM"/>
              </w:rPr>
              <w:t>ՄԺԾԾ</w:t>
            </w:r>
          </w:p>
        </w:tc>
      </w:tr>
      <w:tr w:rsidR="00827A35" w:rsidRPr="00325C27" w14:paraId="58454D93" w14:textId="77777777" w:rsidTr="007220FA">
        <w:trPr>
          <w:trHeight w:val="251"/>
          <w:tblHeader/>
        </w:trPr>
        <w:tc>
          <w:tcPr>
            <w:tcW w:w="3745" w:type="dxa"/>
            <w:vMerge/>
            <w:tcBorders>
              <w:bottom w:val="single" w:sz="2" w:space="0" w:color="auto"/>
            </w:tcBorders>
            <w:shd w:val="clear" w:color="auto" w:fill="auto"/>
            <w:vAlign w:val="center"/>
          </w:tcPr>
          <w:p w14:paraId="51C607FA" w14:textId="77777777" w:rsidR="00827A35" w:rsidRPr="00325C27" w:rsidRDefault="00827A35" w:rsidP="00A90AAE">
            <w:pPr>
              <w:tabs>
                <w:tab w:val="left" w:pos="0"/>
              </w:tabs>
              <w:spacing w:before="120" w:after="0" w:line="240" w:lineRule="auto"/>
              <w:ind w:firstLine="0"/>
              <w:jc w:val="center"/>
              <w:rPr>
                <w:iCs/>
                <w:color w:val="000000"/>
                <w:sz w:val="18"/>
                <w:szCs w:val="18"/>
              </w:rPr>
            </w:pPr>
          </w:p>
        </w:tc>
        <w:tc>
          <w:tcPr>
            <w:tcW w:w="803" w:type="dxa"/>
            <w:tcBorders>
              <w:bottom w:val="single" w:sz="2" w:space="0" w:color="auto"/>
            </w:tcBorders>
          </w:tcPr>
          <w:p w14:paraId="352CD870" w14:textId="77777777" w:rsidR="00827A35" w:rsidRPr="00B816FC" w:rsidRDefault="00827A35" w:rsidP="00A90AAE">
            <w:pPr>
              <w:tabs>
                <w:tab w:val="left" w:pos="0"/>
              </w:tabs>
              <w:spacing w:before="120" w:after="0" w:line="240" w:lineRule="auto"/>
              <w:ind w:firstLine="0"/>
              <w:jc w:val="center"/>
              <w:rPr>
                <w:sz w:val="18"/>
                <w:szCs w:val="18"/>
                <w:lang w:val="hy-AM"/>
              </w:rPr>
            </w:pPr>
            <w:r>
              <w:rPr>
                <w:sz w:val="18"/>
                <w:szCs w:val="18"/>
                <w:lang w:val="hy-AM"/>
              </w:rPr>
              <w:t>2021թ</w:t>
            </w:r>
            <w:r>
              <w:rPr>
                <w:rFonts w:ascii="Cambria Math" w:hAnsi="Cambria Math" w:cs="Cambria Math"/>
                <w:sz w:val="18"/>
                <w:szCs w:val="18"/>
                <w:lang w:val="hy-AM"/>
              </w:rPr>
              <w:t>․</w:t>
            </w:r>
          </w:p>
        </w:tc>
        <w:tc>
          <w:tcPr>
            <w:tcW w:w="826" w:type="dxa"/>
            <w:tcBorders>
              <w:bottom w:val="single" w:sz="2" w:space="0" w:color="auto"/>
            </w:tcBorders>
          </w:tcPr>
          <w:p w14:paraId="147819A1" w14:textId="77777777" w:rsidR="00827A35" w:rsidRPr="00B816FC" w:rsidRDefault="00827A35" w:rsidP="00A90AAE">
            <w:pPr>
              <w:tabs>
                <w:tab w:val="left" w:pos="0"/>
              </w:tabs>
              <w:spacing w:before="120" w:after="0" w:line="240" w:lineRule="auto"/>
              <w:ind w:firstLine="0"/>
              <w:jc w:val="center"/>
              <w:rPr>
                <w:sz w:val="18"/>
                <w:szCs w:val="18"/>
                <w:lang w:val="hy-AM"/>
              </w:rPr>
            </w:pPr>
            <w:r>
              <w:rPr>
                <w:sz w:val="18"/>
                <w:szCs w:val="18"/>
                <w:lang w:val="hy-AM"/>
              </w:rPr>
              <w:t>2022թ</w:t>
            </w:r>
            <w:r>
              <w:rPr>
                <w:rFonts w:ascii="Cambria Math" w:hAnsi="Cambria Math" w:cs="Cambria Math"/>
                <w:sz w:val="18"/>
                <w:szCs w:val="18"/>
                <w:lang w:val="hy-AM"/>
              </w:rPr>
              <w:t>․</w:t>
            </w:r>
          </w:p>
        </w:tc>
        <w:tc>
          <w:tcPr>
            <w:tcW w:w="835" w:type="dxa"/>
            <w:tcBorders>
              <w:bottom w:val="single" w:sz="2" w:space="0" w:color="auto"/>
            </w:tcBorders>
          </w:tcPr>
          <w:p w14:paraId="5E7C0044" w14:textId="77777777" w:rsidR="00827A35" w:rsidRPr="00B816FC" w:rsidRDefault="00827A35" w:rsidP="00A90AAE">
            <w:pPr>
              <w:tabs>
                <w:tab w:val="left" w:pos="0"/>
              </w:tabs>
              <w:spacing w:before="120" w:after="0" w:line="240" w:lineRule="auto"/>
              <w:ind w:firstLine="0"/>
              <w:jc w:val="center"/>
              <w:rPr>
                <w:sz w:val="18"/>
                <w:szCs w:val="18"/>
                <w:lang w:val="hy-AM"/>
              </w:rPr>
            </w:pPr>
            <w:r>
              <w:rPr>
                <w:sz w:val="18"/>
                <w:szCs w:val="18"/>
                <w:lang w:val="hy-AM"/>
              </w:rPr>
              <w:t>2023թ</w:t>
            </w:r>
            <w:r>
              <w:rPr>
                <w:rFonts w:ascii="Cambria Math" w:hAnsi="Cambria Math" w:cs="Cambria Math"/>
                <w:sz w:val="18"/>
                <w:szCs w:val="18"/>
                <w:lang w:val="hy-AM"/>
              </w:rPr>
              <w:t>․</w:t>
            </w:r>
          </w:p>
        </w:tc>
        <w:tc>
          <w:tcPr>
            <w:tcW w:w="987" w:type="dxa"/>
            <w:tcBorders>
              <w:bottom w:val="single" w:sz="2" w:space="0" w:color="auto"/>
            </w:tcBorders>
          </w:tcPr>
          <w:p w14:paraId="5623152E" w14:textId="77777777" w:rsidR="00827A35" w:rsidRPr="00E94E16" w:rsidRDefault="00827A35" w:rsidP="00A90AAE">
            <w:pPr>
              <w:tabs>
                <w:tab w:val="left" w:pos="0"/>
              </w:tabs>
              <w:spacing w:before="120" w:after="0" w:line="240" w:lineRule="auto"/>
              <w:ind w:firstLine="0"/>
              <w:jc w:val="center"/>
              <w:rPr>
                <w:sz w:val="18"/>
                <w:szCs w:val="18"/>
                <w:lang w:val="hy-AM"/>
              </w:rPr>
            </w:pPr>
            <w:r w:rsidRPr="00E94E16">
              <w:rPr>
                <w:sz w:val="18"/>
                <w:szCs w:val="18"/>
                <w:lang w:val="hy-AM"/>
              </w:rPr>
              <w:t>2024թ</w:t>
            </w:r>
            <w:r w:rsidRPr="00E94E16">
              <w:rPr>
                <w:rFonts w:ascii="Cambria Math" w:hAnsi="Cambria Math" w:cs="Cambria Math"/>
                <w:sz w:val="18"/>
                <w:szCs w:val="18"/>
                <w:lang w:val="hy-AM"/>
              </w:rPr>
              <w:t>․</w:t>
            </w:r>
          </w:p>
        </w:tc>
        <w:tc>
          <w:tcPr>
            <w:tcW w:w="900" w:type="dxa"/>
            <w:tcBorders>
              <w:top w:val="single" w:sz="2" w:space="0" w:color="auto"/>
              <w:bottom w:val="single" w:sz="2" w:space="0" w:color="auto"/>
            </w:tcBorders>
            <w:shd w:val="clear" w:color="auto" w:fill="auto"/>
            <w:noWrap/>
            <w:vAlign w:val="center"/>
          </w:tcPr>
          <w:p w14:paraId="1AF075CE" w14:textId="77777777" w:rsidR="00827A35" w:rsidRPr="00325C27" w:rsidRDefault="00827A35" w:rsidP="00A90AAE">
            <w:pPr>
              <w:tabs>
                <w:tab w:val="left" w:pos="0"/>
              </w:tabs>
              <w:spacing w:before="120" w:after="0" w:line="240" w:lineRule="auto"/>
              <w:ind w:firstLine="0"/>
              <w:jc w:val="center"/>
              <w:rPr>
                <w:iCs/>
                <w:color w:val="000000"/>
                <w:sz w:val="18"/>
                <w:szCs w:val="18"/>
              </w:rPr>
            </w:pPr>
            <w:r>
              <w:rPr>
                <w:sz w:val="18"/>
                <w:szCs w:val="18"/>
              </w:rPr>
              <w:t>2025</w:t>
            </w:r>
            <w:r>
              <w:rPr>
                <w:sz w:val="18"/>
                <w:szCs w:val="18"/>
                <w:lang w:val="hy-AM"/>
              </w:rPr>
              <w:t>թ</w:t>
            </w:r>
            <w:r>
              <w:rPr>
                <w:rFonts w:ascii="Cambria Math" w:hAnsi="Cambria Math" w:cs="Cambria Math"/>
                <w:sz w:val="18"/>
                <w:szCs w:val="18"/>
                <w:lang w:val="hy-AM"/>
              </w:rPr>
              <w:t>․</w:t>
            </w:r>
            <w:r w:rsidRPr="00325C27">
              <w:rPr>
                <w:sz w:val="18"/>
                <w:szCs w:val="18"/>
              </w:rPr>
              <w:t xml:space="preserve"> </w:t>
            </w:r>
          </w:p>
        </w:tc>
        <w:tc>
          <w:tcPr>
            <w:tcW w:w="634" w:type="dxa"/>
            <w:tcBorders>
              <w:top w:val="single" w:sz="2" w:space="0" w:color="auto"/>
              <w:bottom w:val="single" w:sz="2" w:space="0" w:color="auto"/>
            </w:tcBorders>
            <w:shd w:val="clear" w:color="auto" w:fill="auto"/>
            <w:noWrap/>
            <w:vAlign w:val="center"/>
          </w:tcPr>
          <w:p w14:paraId="15E42F7D" w14:textId="77777777" w:rsidR="00827A35" w:rsidRPr="00A36761" w:rsidRDefault="00827A35" w:rsidP="00A90AAE">
            <w:pPr>
              <w:tabs>
                <w:tab w:val="left" w:pos="0"/>
              </w:tabs>
              <w:spacing w:before="120" w:after="0" w:line="240" w:lineRule="auto"/>
              <w:ind w:firstLine="0"/>
              <w:jc w:val="center"/>
              <w:rPr>
                <w:rFonts w:ascii="Cambria Math" w:hAnsi="Cambria Math"/>
                <w:iCs/>
                <w:color w:val="000000"/>
                <w:sz w:val="18"/>
                <w:szCs w:val="18"/>
                <w:lang w:val="hy-AM"/>
              </w:rPr>
            </w:pPr>
            <w:r w:rsidRPr="00325C27">
              <w:rPr>
                <w:sz w:val="18"/>
                <w:szCs w:val="18"/>
              </w:rPr>
              <w:t>202</w:t>
            </w:r>
            <w:r>
              <w:rPr>
                <w:sz w:val="18"/>
                <w:szCs w:val="18"/>
                <w:lang w:val="hy-AM"/>
              </w:rPr>
              <w:t>6</w:t>
            </w:r>
            <w:r w:rsidRPr="00325C27">
              <w:rPr>
                <w:sz w:val="18"/>
                <w:szCs w:val="18"/>
              </w:rPr>
              <w:t>թ</w:t>
            </w:r>
            <w:r>
              <w:rPr>
                <w:rFonts w:ascii="Cambria Math" w:hAnsi="Cambria Math"/>
                <w:sz w:val="18"/>
                <w:szCs w:val="18"/>
                <w:lang w:val="hy-AM"/>
              </w:rPr>
              <w:t>․</w:t>
            </w:r>
          </w:p>
        </w:tc>
        <w:tc>
          <w:tcPr>
            <w:tcW w:w="771" w:type="dxa"/>
            <w:gridSpan w:val="2"/>
            <w:tcBorders>
              <w:top w:val="single" w:sz="2" w:space="0" w:color="auto"/>
              <w:bottom w:val="single" w:sz="2" w:space="0" w:color="auto"/>
            </w:tcBorders>
            <w:shd w:val="clear" w:color="auto" w:fill="auto"/>
            <w:noWrap/>
            <w:vAlign w:val="center"/>
          </w:tcPr>
          <w:p w14:paraId="6DFE851B" w14:textId="77777777" w:rsidR="00827A35" w:rsidRPr="00325C27" w:rsidRDefault="00827A35" w:rsidP="00A90AAE">
            <w:pPr>
              <w:tabs>
                <w:tab w:val="left" w:pos="0"/>
              </w:tabs>
              <w:spacing w:before="120" w:after="0" w:line="240" w:lineRule="auto"/>
              <w:ind w:firstLine="0"/>
              <w:jc w:val="center"/>
              <w:rPr>
                <w:iCs/>
                <w:color w:val="000000"/>
                <w:sz w:val="18"/>
                <w:szCs w:val="18"/>
              </w:rPr>
            </w:pPr>
            <w:r>
              <w:rPr>
                <w:sz w:val="18"/>
                <w:szCs w:val="18"/>
              </w:rPr>
              <w:t>2027թ</w:t>
            </w:r>
            <w:r>
              <w:rPr>
                <w:rFonts w:ascii="Cambria Math" w:hAnsi="Cambria Math" w:cs="Cambria Math"/>
                <w:sz w:val="18"/>
                <w:szCs w:val="18"/>
              </w:rPr>
              <w:t>․</w:t>
            </w:r>
            <w:r w:rsidRPr="00325C27">
              <w:rPr>
                <w:sz w:val="18"/>
                <w:szCs w:val="18"/>
              </w:rPr>
              <w:t xml:space="preserve"> </w:t>
            </w:r>
          </w:p>
        </w:tc>
      </w:tr>
      <w:tr w:rsidR="00827A35" w:rsidRPr="00325C27" w14:paraId="2115E302" w14:textId="77777777" w:rsidTr="007220FA">
        <w:trPr>
          <w:trHeight w:val="400"/>
        </w:trPr>
        <w:tc>
          <w:tcPr>
            <w:tcW w:w="3745" w:type="dxa"/>
            <w:tcBorders>
              <w:top w:val="single" w:sz="2" w:space="0" w:color="auto"/>
              <w:bottom w:val="single" w:sz="2" w:space="0" w:color="auto"/>
            </w:tcBorders>
            <w:shd w:val="clear" w:color="auto" w:fill="auto"/>
            <w:vAlign w:val="center"/>
            <w:hideMark/>
          </w:tcPr>
          <w:p w14:paraId="75BDE87A" w14:textId="77777777" w:rsidR="00827A35" w:rsidRPr="00325C27" w:rsidRDefault="00827A35" w:rsidP="00A90AAE">
            <w:pPr>
              <w:tabs>
                <w:tab w:val="left" w:pos="0"/>
              </w:tabs>
              <w:spacing w:before="120" w:after="0" w:line="240" w:lineRule="auto"/>
              <w:ind w:firstLine="0"/>
              <w:jc w:val="left"/>
              <w:rPr>
                <w:color w:val="000000"/>
                <w:sz w:val="18"/>
                <w:szCs w:val="18"/>
              </w:rPr>
            </w:pPr>
            <w:r w:rsidRPr="00325C27">
              <w:rPr>
                <w:color w:val="000000"/>
                <w:sz w:val="18"/>
                <w:szCs w:val="18"/>
              </w:rPr>
              <w:t>Ընդամենը, այդ թվում՝</w:t>
            </w:r>
          </w:p>
        </w:tc>
        <w:tc>
          <w:tcPr>
            <w:tcW w:w="803" w:type="dxa"/>
            <w:tcBorders>
              <w:top w:val="single" w:sz="2" w:space="0" w:color="auto"/>
            </w:tcBorders>
            <w:shd w:val="clear" w:color="auto" w:fill="FFFFFF"/>
            <w:vAlign w:val="center"/>
          </w:tcPr>
          <w:p w14:paraId="118C75A0"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84.6</w:t>
            </w:r>
          </w:p>
        </w:tc>
        <w:tc>
          <w:tcPr>
            <w:tcW w:w="826" w:type="dxa"/>
            <w:tcBorders>
              <w:top w:val="single" w:sz="2" w:space="0" w:color="auto"/>
            </w:tcBorders>
            <w:shd w:val="clear" w:color="auto" w:fill="FFFFFF"/>
            <w:vAlign w:val="center"/>
          </w:tcPr>
          <w:p w14:paraId="548944C7"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122.1</w:t>
            </w:r>
          </w:p>
        </w:tc>
        <w:tc>
          <w:tcPr>
            <w:tcW w:w="835" w:type="dxa"/>
            <w:tcBorders>
              <w:top w:val="single" w:sz="2" w:space="0" w:color="auto"/>
            </w:tcBorders>
            <w:shd w:val="clear" w:color="auto" w:fill="FFFFFF"/>
            <w:vAlign w:val="center"/>
          </w:tcPr>
          <w:p w14:paraId="31207557"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123.7</w:t>
            </w:r>
          </w:p>
        </w:tc>
        <w:tc>
          <w:tcPr>
            <w:tcW w:w="987" w:type="dxa"/>
            <w:tcBorders>
              <w:top w:val="single" w:sz="2" w:space="0" w:color="auto"/>
            </w:tcBorders>
            <w:shd w:val="clear" w:color="auto" w:fill="FFFFFF"/>
            <w:vAlign w:val="center"/>
          </w:tcPr>
          <w:p w14:paraId="4542456D"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87.7</w:t>
            </w:r>
          </w:p>
        </w:tc>
        <w:tc>
          <w:tcPr>
            <w:tcW w:w="900" w:type="dxa"/>
            <w:tcBorders>
              <w:top w:val="single" w:sz="2" w:space="0" w:color="auto"/>
              <w:bottom w:val="single" w:sz="2" w:space="0" w:color="auto"/>
            </w:tcBorders>
            <w:shd w:val="clear" w:color="auto" w:fill="auto"/>
            <w:noWrap/>
            <w:vAlign w:val="center"/>
            <w:hideMark/>
          </w:tcPr>
          <w:p w14:paraId="1A6E30A1"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64.7</w:t>
            </w:r>
          </w:p>
        </w:tc>
        <w:tc>
          <w:tcPr>
            <w:tcW w:w="634" w:type="dxa"/>
            <w:tcBorders>
              <w:top w:val="single" w:sz="2" w:space="0" w:color="auto"/>
              <w:bottom w:val="single" w:sz="2" w:space="0" w:color="auto"/>
            </w:tcBorders>
            <w:shd w:val="clear" w:color="auto" w:fill="auto"/>
            <w:noWrap/>
            <w:vAlign w:val="center"/>
            <w:hideMark/>
          </w:tcPr>
          <w:p w14:paraId="104C55A6"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65.7</w:t>
            </w:r>
          </w:p>
        </w:tc>
        <w:tc>
          <w:tcPr>
            <w:tcW w:w="771" w:type="dxa"/>
            <w:gridSpan w:val="2"/>
            <w:tcBorders>
              <w:top w:val="single" w:sz="2" w:space="0" w:color="auto"/>
              <w:bottom w:val="single" w:sz="2" w:space="0" w:color="auto"/>
            </w:tcBorders>
            <w:shd w:val="clear" w:color="auto" w:fill="auto"/>
            <w:noWrap/>
            <w:vAlign w:val="center"/>
            <w:hideMark/>
          </w:tcPr>
          <w:p w14:paraId="5B7E8DE1"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66.8</w:t>
            </w:r>
          </w:p>
        </w:tc>
      </w:tr>
      <w:tr w:rsidR="00827A35" w:rsidRPr="00325C27" w14:paraId="7592EBD0" w14:textId="77777777" w:rsidTr="007220FA">
        <w:trPr>
          <w:trHeight w:val="472"/>
        </w:trPr>
        <w:tc>
          <w:tcPr>
            <w:tcW w:w="3745" w:type="dxa"/>
            <w:tcBorders>
              <w:top w:val="single" w:sz="2" w:space="0" w:color="auto"/>
              <w:bottom w:val="single" w:sz="2" w:space="0" w:color="auto"/>
            </w:tcBorders>
            <w:shd w:val="clear" w:color="auto" w:fill="auto"/>
            <w:vAlign w:val="center"/>
            <w:hideMark/>
          </w:tcPr>
          <w:p w14:paraId="5FB27747" w14:textId="77777777" w:rsidR="00827A35" w:rsidRPr="00325C27" w:rsidRDefault="00827A35" w:rsidP="00A90AAE">
            <w:pPr>
              <w:tabs>
                <w:tab w:val="left" w:pos="0"/>
              </w:tabs>
              <w:spacing w:before="120" w:after="0" w:line="240" w:lineRule="auto"/>
              <w:ind w:firstLine="0"/>
              <w:jc w:val="left"/>
              <w:rPr>
                <w:color w:val="000000"/>
                <w:sz w:val="18"/>
                <w:szCs w:val="18"/>
              </w:rPr>
            </w:pPr>
            <w:r>
              <w:rPr>
                <w:rFonts w:cs="Calibri"/>
                <w:color w:val="000000"/>
                <w:sz w:val="18"/>
                <w:szCs w:val="18"/>
              </w:rPr>
              <w:t>1. Պետական սեփականություն հանդիսացող գույքի վարձակալությունից եկամուտներ</w:t>
            </w:r>
          </w:p>
        </w:tc>
        <w:tc>
          <w:tcPr>
            <w:tcW w:w="803" w:type="dxa"/>
            <w:tcBorders>
              <w:top w:val="single" w:sz="2" w:space="0" w:color="auto"/>
              <w:bottom w:val="single" w:sz="2" w:space="0" w:color="auto"/>
            </w:tcBorders>
            <w:vAlign w:val="center"/>
          </w:tcPr>
          <w:p w14:paraId="5C96B76F"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1.2</w:t>
            </w:r>
          </w:p>
        </w:tc>
        <w:tc>
          <w:tcPr>
            <w:tcW w:w="826" w:type="dxa"/>
            <w:tcBorders>
              <w:top w:val="single" w:sz="2" w:space="0" w:color="auto"/>
              <w:bottom w:val="single" w:sz="2" w:space="0" w:color="auto"/>
            </w:tcBorders>
            <w:vAlign w:val="center"/>
          </w:tcPr>
          <w:p w14:paraId="1D07F298"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3.8</w:t>
            </w:r>
          </w:p>
        </w:tc>
        <w:tc>
          <w:tcPr>
            <w:tcW w:w="835" w:type="dxa"/>
            <w:tcBorders>
              <w:top w:val="single" w:sz="2" w:space="0" w:color="auto"/>
              <w:bottom w:val="single" w:sz="2" w:space="0" w:color="auto"/>
            </w:tcBorders>
            <w:vAlign w:val="center"/>
          </w:tcPr>
          <w:p w14:paraId="54F27FD1"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3.6</w:t>
            </w:r>
          </w:p>
        </w:tc>
        <w:tc>
          <w:tcPr>
            <w:tcW w:w="987" w:type="dxa"/>
            <w:tcBorders>
              <w:top w:val="single" w:sz="2" w:space="0" w:color="auto"/>
              <w:bottom w:val="single" w:sz="2" w:space="0" w:color="auto"/>
            </w:tcBorders>
            <w:vAlign w:val="center"/>
          </w:tcPr>
          <w:p w14:paraId="761E6384"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5.1</w:t>
            </w:r>
          </w:p>
        </w:tc>
        <w:tc>
          <w:tcPr>
            <w:tcW w:w="900" w:type="dxa"/>
            <w:tcBorders>
              <w:top w:val="single" w:sz="2" w:space="0" w:color="auto"/>
              <w:bottom w:val="single" w:sz="2" w:space="0" w:color="auto"/>
            </w:tcBorders>
            <w:shd w:val="clear" w:color="auto" w:fill="auto"/>
            <w:noWrap/>
            <w:vAlign w:val="center"/>
            <w:hideMark/>
          </w:tcPr>
          <w:p w14:paraId="06DCC30E"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5.2</w:t>
            </w:r>
          </w:p>
        </w:tc>
        <w:tc>
          <w:tcPr>
            <w:tcW w:w="634" w:type="dxa"/>
            <w:tcBorders>
              <w:top w:val="single" w:sz="2" w:space="0" w:color="auto"/>
              <w:bottom w:val="single" w:sz="2" w:space="0" w:color="auto"/>
            </w:tcBorders>
            <w:shd w:val="clear" w:color="auto" w:fill="auto"/>
            <w:noWrap/>
            <w:vAlign w:val="center"/>
            <w:hideMark/>
          </w:tcPr>
          <w:p w14:paraId="5E33AC8D"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7.6</w:t>
            </w:r>
          </w:p>
        </w:tc>
        <w:tc>
          <w:tcPr>
            <w:tcW w:w="771" w:type="dxa"/>
            <w:gridSpan w:val="2"/>
            <w:tcBorders>
              <w:top w:val="single" w:sz="2" w:space="0" w:color="auto"/>
              <w:bottom w:val="single" w:sz="2" w:space="0" w:color="auto"/>
            </w:tcBorders>
            <w:shd w:val="clear" w:color="auto" w:fill="auto"/>
            <w:noWrap/>
            <w:vAlign w:val="center"/>
            <w:hideMark/>
          </w:tcPr>
          <w:p w14:paraId="7F6F8D76"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9.5</w:t>
            </w:r>
          </w:p>
        </w:tc>
      </w:tr>
      <w:tr w:rsidR="00827A35" w:rsidRPr="00325C27" w14:paraId="3D44D7F5" w14:textId="77777777" w:rsidTr="007220FA">
        <w:trPr>
          <w:trHeight w:val="75"/>
        </w:trPr>
        <w:tc>
          <w:tcPr>
            <w:tcW w:w="3745" w:type="dxa"/>
            <w:tcBorders>
              <w:top w:val="single" w:sz="2" w:space="0" w:color="auto"/>
              <w:bottom w:val="single" w:sz="2" w:space="0" w:color="auto"/>
            </w:tcBorders>
            <w:shd w:val="clear" w:color="auto" w:fill="auto"/>
            <w:vAlign w:val="center"/>
            <w:hideMark/>
          </w:tcPr>
          <w:p w14:paraId="206D85D2" w14:textId="77777777" w:rsidR="00827A35" w:rsidRPr="00325C27" w:rsidRDefault="00827A35" w:rsidP="00A90AAE">
            <w:pPr>
              <w:tabs>
                <w:tab w:val="left" w:pos="0"/>
              </w:tabs>
              <w:spacing w:before="120" w:after="0" w:line="240" w:lineRule="auto"/>
              <w:ind w:firstLine="0"/>
              <w:jc w:val="left"/>
              <w:rPr>
                <w:color w:val="000000"/>
                <w:sz w:val="18"/>
                <w:szCs w:val="18"/>
              </w:rPr>
            </w:pPr>
            <w:r>
              <w:rPr>
                <w:rFonts w:cs="Calibri"/>
                <w:color w:val="000000"/>
                <w:sz w:val="18"/>
                <w:szCs w:val="18"/>
              </w:rPr>
              <w:t>2. Տոկոսավճարների և շահաբաժինների տեսքով ստացվող եկամուտներ</w:t>
            </w:r>
          </w:p>
        </w:tc>
        <w:tc>
          <w:tcPr>
            <w:tcW w:w="803" w:type="dxa"/>
            <w:tcBorders>
              <w:top w:val="single" w:sz="2" w:space="0" w:color="auto"/>
              <w:bottom w:val="single" w:sz="2" w:space="0" w:color="auto"/>
            </w:tcBorders>
            <w:vAlign w:val="center"/>
          </w:tcPr>
          <w:p w14:paraId="24B39B7D"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30.3</w:t>
            </w:r>
          </w:p>
        </w:tc>
        <w:tc>
          <w:tcPr>
            <w:tcW w:w="826" w:type="dxa"/>
            <w:tcBorders>
              <w:top w:val="single" w:sz="2" w:space="0" w:color="auto"/>
              <w:bottom w:val="single" w:sz="2" w:space="0" w:color="auto"/>
            </w:tcBorders>
            <w:vAlign w:val="center"/>
          </w:tcPr>
          <w:p w14:paraId="1960C7DB"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40.0</w:t>
            </w:r>
          </w:p>
        </w:tc>
        <w:tc>
          <w:tcPr>
            <w:tcW w:w="835" w:type="dxa"/>
            <w:tcBorders>
              <w:top w:val="single" w:sz="2" w:space="0" w:color="auto"/>
              <w:bottom w:val="single" w:sz="2" w:space="0" w:color="auto"/>
            </w:tcBorders>
            <w:vAlign w:val="center"/>
          </w:tcPr>
          <w:p w14:paraId="30DFCDF0"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52.3</w:t>
            </w:r>
          </w:p>
        </w:tc>
        <w:tc>
          <w:tcPr>
            <w:tcW w:w="987" w:type="dxa"/>
            <w:tcBorders>
              <w:top w:val="single" w:sz="2" w:space="0" w:color="auto"/>
              <w:bottom w:val="single" w:sz="2" w:space="0" w:color="auto"/>
            </w:tcBorders>
            <w:vAlign w:val="center"/>
          </w:tcPr>
          <w:p w14:paraId="14EC3E91"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22.3</w:t>
            </w:r>
          </w:p>
        </w:tc>
        <w:tc>
          <w:tcPr>
            <w:tcW w:w="900" w:type="dxa"/>
            <w:tcBorders>
              <w:top w:val="single" w:sz="2" w:space="0" w:color="auto"/>
              <w:bottom w:val="single" w:sz="2" w:space="0" w:color="auto"/>
            </w:tcBorders>
            <w:shd w:val="clear" w:color="auto" w:fill="auto"/>
            <w:noWrap/>
            <w:vAlign w:val="center"/>
            <w:hideMark/>
          </w:tcPr>
          <w:p w14:paraId="4628F400"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3.8</w:t>
            </w:r>
          </w:p>
        </w:tc>
        <w:tc>
          <w:tcPr>
            <w:tcW w:w="634" w:type="dxa"/>
            <w:tcBorders>
              <w:top w:val="single" w:sz="2" w:space="0" w:color="auto"/>
              <w:bottom w:val="single" w:sz="2" w:space="0" w:color="auto"/>
            </w:tcBorders>
            <w:shd w:val="clear" w:color="auto" w:fill="auto"/>
            <w:noWrap/>
            <w:vAlign w:val="center"/>
            <w:hideMark/>
          </w:tcPr>
          <w:p w14:paraId="2C258E1A"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4.0</w:t>
            </w:r>
          </w:p>
        </w:tc>
        <w:tc>
          <w:tcPr>
            <w:tcW w:w="771" w:type="dxa"/>
            <w:gridSpan w:val="2"/>
            <w:tcBorders>
              <w:top w:val="single" w:sz="2" w:space="0" w:color="auto"/>
              <w:bottom w:val="single" w:sz="2" w:space="0" w:color="auto"/>
            </w:tcBorders>
            <w:shd w:val="clear" w:color="auto" w:fill="auto"/>
            <w:noWrap/>
            <w:vAlign w:val="center"/>
            <w:hideMark/>
          </w:tcPr>
          <w:p w14:paraId="37C936B7"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4.1</w:t>
            </w:r>
          </w:p>
        </w:tc>
      </w:tr>
      <w:tr w:rsidR="00827A35" w:rsidRPr="00325C27" w14:paraId="35FA067A" w14:textId="77777777" w:rsidTr="007220FA">
        <w:trPr>
          <w:trHeight w:val="607"/>
        </w:trPr>
        <w:tc>
          <w:tcPr>
            <w:tcW w:w="3745" w:type="dxa"/>
            <w:tcBorders>
              <w:top w:val="single" w:sz="2" w:space="0" w:color="auto"/>
              <w:bottom w:val="single" w:sz="2" w:space="0" w:color="auto"/>
            </w:tcBorders>
            <w:shd w:val="clear" w:color="auto" w:fill="auto"/>
            <w:vAlign w:val="center"/>
            <w:hideMark/>
          </w:tcPr>
          <w:p w14:paraId="151DA4CD" w14:textId="77777777" w:rsidR="00827A35" w:rsidRPr="00325C27" w:rsidRDefault="00827A35" w:rsidP="00A90AAE">
            <w:pPr>
              <w:tabs>
                <w:tab w:val="left" w:pos="0"/>
              </w:tabs>
              <w:spacing w:before="120" w:after="0" w:line="240" w:lineRule="auto"/>
              <w:ind w:firstLine="0"/>
              <w:jc w:val="left"/>
              <w:rPr>
                <w:color w:val="000000"/>
                <w:sz w:val="18"/>
                <w:szCs w:val="18"/>
              </w:rPr>
            </w:pPr>
            <w:r>
              <w:rPr>
                <w:rFonts w:ascii="Cambria Math" w:hAnsi="Cambria Math" w:cs="Calibri"/>
                <w:color w:val="000000"/>
                <w:sz w:val="18"/>
                <w:szCs w:val="18"/>
              </w:rPr>
              <w:t>3․</w:t>
            </w:r>
            <w:r>
              <w:rPr>
                <w:rFonts w:cs="Calibri"/>
                <w:color w:val="000000"/>
                <w:sz w:val="18"/>
                <w:szCs w:val="18"/>
              </w:rPr>
              <w:t>Պետության տված վարկերի օգտագործման դիմաց վճարներ</w:t>
            </w:r>
          </w:p>
        </w:tc>
        <w:tc>
          <w:tcPr>
            <w:tcW w:w="803" w:type="dxa"/>
            <w:tcBorders>
              <w:top w:val="single" w:sz="2" w:space="0" w:color="auto"/>
              <w:bottom w:val="single" w:sz="2" w:space="0" w:color="auto"/>
            </w:tcBorders>
            <w:vAlign w:val="center"/>
          </w:tcPr>
          <w:p w14:paraId="2D481B4C"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11.6</w:t>
            </w:r>
          </w:p>
        </w:tc>
        <w:tc>
          <w:tcPr>
            <w:tcW w:w="826" w:type="dxa"/>
            <w:tcBorders>
              <w:top w:val="single" w:sz="2" w:space="0" w:color="auto"/>
              <w:bottom w:val="single" w:sz="2" w:space="0" w:color="auto"/>
            </w:tcBorders>
            <w:vAlign w:val="center"/>
          </w:tcPr>
          <w:p w14:paraId="424C0FBF"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11.7</w:t>
            </w:r>
          </w:p>
        </w:tc>
        <w:tc>
          <w:tcPr>
            <w:tcW w:w="835" w:type="dxa"/>
            <w:tcBorders>
              <w:top w:val="single" w:sz="2" w:space="0" w:color="auto"/>
              <w:bottom w:val="single" w:sz="2" w:space="0" w:color="auto"/>
            </w:tcBorders>
            <w:vAlign w:val="center"/>
          </w:tcPr>
          <w:p w14:paraId="7B04E3C1"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12.4</w:t>
            </w:r>
          </w:p>
        </w:tc>
        <w:tc>
          <w:tcPr>
            <w:tcW w:w="987" w:type="dxa"/>
            <w:tcBorders>
              <w:top w:val="single" w:sz="2" w:space="0" w:color="auto"/>
              <w:bottom w:val="single" w:sz="2" w:space="0" w:color="auto"/>
            </w:tcBorders>
            <w:vAlign w:val="center"/>
          </w:tcPr>
          <w:p w14:paraId="05A26D5C"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13.0</w:t>
            </w:r>
          </w:p>
        </w:tc>
        <w:tc>
          <w:tcPr>
            <w:tcW w:w="900" w:type="dxa"/>
            <w:tcBorders>
              <w:top w:val="single" w:sz="2" w:space="0" w:color="auto"/>
              <w:bottom w:val="single" w:sz="2" w:space="0" w:color="auto"/>
            </w:tcBorders>
            <w:shd w:val="clear" w:color="auto" w:fill="auto"/>
            <w:noWrap/>
            <w:vAlign w:val="center"/>
            <w:hideMark/>
          </w:tcPr>
          <w:p w14:paraId="434A1AD8"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11.5</w:t>
            </w:r>
          </w:p>
        </w:tc>
        <w:tc>
          <w:tcPr>
            <w:tcW w:w="634" w:type="dxa"/>
            <w:tcBorders>
              <w:top w:val="single" w:sz="2" w:space="0" w:color="auto"/>
              <w:bottom w:val="single" w:sz="2" w:space="0" w:color="auto"/>
            </w:tcBorders>
            <w:shd w:val="clear" w:color="auto" w:fill="auto"/>
            <w:noWrap/>
            <w:vAlign w:val="center"/>
            <w:hideMark/>
          </w:tcPr>
          <w:p w14:paraId="0CF4A1B2"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9.5</w:t>
            </w:r>
          </w:p>
        </w:tc>
        <w:tc>
          <w:tcPr>
            <w:tcW w:w="771" w:type="dxa"/>
            <w:gridSpan w:val="2"/>
            <w:tcBorders>
              <w:top w:val="single" w:sz="2" w:space="0" w:color="auto"/>
              <w:bottom w:val="single" w:sz="2" w:space="0" w:color="auto"/>
            </w:tcBorders>
            <w:shd w:val="clear" w:color="auto" w:fill="auto"/>
            <w:noWrap/>
            <w:vAlign w:val="center"/>
            <w:hideMark/>
          </w:tcPr>
          <w:p w14:paraId="1FEBD93F"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8.1</w:t>
            </w:r>
          </w:p>
        </w:tc>
      </w:tr>
      <w:tr w:rsidR="00827A35" w:rsidRPr="00325C27" w14:paraId="6BF3E27E" w14:textId="77777777" w:rsidTr="007220FA">
        <w:trPr>
          <w:trHeight w:val="481"/>
        </w:trPr>
        <w:tc>
          <w:tcPr>
            <w:tcW w:w="3745" w:type="dxa"/>
            <w:tcBorders>
              <w:top w:val="single" w:sz="2" w:space="0" w:color="auto"/>
              <w:bottom w:val="single" w:sz="2" w:space="0" w:color="auto"/>
            </w:tcBorders>
            <w:shd w:val="clear" w:color="auto" w:fill="auto"/>
            <w:vAlign w:val="center"/>
            <w:hideMark/>
          </w:tcPr>
          <w:p w14:paraId="53D73FD3" w14:textId="77777777" w:rsidR="00827A35" w:rsidRPr="00325C27" w:rsidRDefault="00827A35" w:rsidP="00A90AAE">
            <w:pPr>
              <w:tabs>
                <w:tab w:val="left" w:pos="0"/>
              </w:tabs>
              <w:spacing w:before="120" w:after="0" w:line="240" w:lineRule="auto"/>
              <w:ind w:firstLine="0"/>
              <w:jc w:val="left"/>
              <w:rPr>
                <w:color w:val="000000"/>
                <w:sz w:val="18"/>
                <w:szCs w:val="18"/>
              </w:rPr>
            </w:pPr>
            <w:r>
              <w:rPr>
                <w:rFonts w:cs="Calibri"/>
                <w:color w:val="000000"/>
                <w:sz w:val="18"/>
                <w:szCs w:val="18"/>
              </w:rPr>
              <w:t>4. Իրավախախտումների համար գործադիր, դատական մարմինների կողմից կիրառվող պատժամիջոցներից մուտքեր</w:t>
            </w:r>
          </w:p>
        </w:tc>
        <w:tc>
          <w:tcPr>
            <w:tcW w:w="803" w:type="dxa"/>
            <w:tcBorders>
              <w:top w:val="single" w:sz="2" w:space="0" w:color="auto"/>
              <w:bottom w:val="single" w:sz="2" w:space="0" w:color="auto"/>
            </w:tcBorders>
            <w:vAlign w:val="center"/>
          </w:tcPr>
          <w:p w14:paraId="03B862C3"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16.4</w:t>
            </w:r>
          </w:p>
        </w:tc>
        <w:tc>
          <w:tcPr>
            <w:tcW w:w="826" w:type="dxa"/>
            <w:tcBorders>
              <w:top w:val="single" w:sz="2" w:space="0" w:color="auto"/>
              <w:bottom w:val="single" w:sz="2" w:space="0" w:color="auto"/>
            </w:tcBorders>
            <w:vAlign w:val="center"/>
          </w:tcPr>
          <w:p w14:paraId="53B195E6"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19.5</w:t>
            </w:r>
          </w:p>
        </w:tc>
        <w:tc>
          <w:tcPr>
            <w:tcW w:w="835" w:type="dxa"/>
            <w:tcBorders>
              <w:top w:val="single" w:sz="2" w:space="0" w:color="auto"/>
              <w:bottom w:val="single" w:sz="2" w:space="0" w:color="auto"/>
            </w:tcBorders>
            <w:vAlign w:val="center"/>
          </w:tcPr>
          <w:p w14:paraId="5ED08832"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25.1</w:t>
            </w:r>
          </w:p>
        </w:tc>
        <w:tc>
          <w:tcPr>
            <w:tcW w:w="987" w:type="dxa"/>
            <w:tcBorders>
              <w:top w:val="single" w:sz="2" w:space="0" w:color="auto"/>
              <w:bottom w:val="single" w:sz="2" w:space="0" w:color="auto"/>
            </w:tcBorders>
            <w:vAlign w:val="center"/>
          </w:tcPr>
          <w:p w14:paraId="0105D8BC"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21.4</w:t>
            </w:r>
          </w:p>
        </w:tc>
        <w:tc>
          <w:tcPr>
            <w:tcW w:w="900" w:type="dxa"/>
            <w:tcBorders>
              <w:top w:val="single" w:sz="2" w:space="0" w:color="auto"/>
              <w:bottom w:val="single" w:sz="2" w:space="0" w:color="auto"/>
            </w:tcBorders>
            <w:shd w:val="clear" w:color="auto" w:fill="auto"/>
            <w:noWrap/>
            <w:vAlign w:val="center"/>
            <w:hideMark/>
          </w:tcPr>
          <w:p w14:paraId="58584D5B"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22.7</w:t>
            </w:r>
          </w:p>
        </w:tc>
        <w:tc>
          <w:tcPr>
            <w:tcW w:w="634" w:type="dxa"/>
            <w:tcBorders>
              <w:top w:val="single" w:sz="2" w:space="0" w:color="auto"/>
              <w:bottom w:val="single" w:sz="2" w:space="0" w:color="auto"/>
            </w:tcBorders>
            <w:shd w:val="clear" w:color="auto" w:fill="auto"/>
            <w:noWrap/>
            <w:vAlign w:val="center"/>
            <w:hideMark/>
          </w:tcPr>
          <w:p w14:paraId="4E9C8A94"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22.5</w:t>
            </w:r>
          </w:p>
        </w:tc>
        <w:tc>
          <w:tcPr>
            <w:tcW w:w="771" w:type="dxa"/>
            <w:gridSpan w:val="2"/>
            <w:tcBorders>
              <w:top w:val="single" w:sz="2" w:space="0" w:color="auto"/>
              <w:bottom w:val="single" w:sz="2" w:space="0" w:color="auto"/>
            </w:tcBorders>
            <w:shd w:val="clear" w:color="auto" w:fill="auto"/>
            <w:noWrap/>
            <w:vAlign w:val="center"/>
            <w:hideMark/>
          </w:tcPr>
          <w:p w14:paraId="667D31FF"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22.6</w:t>
            </w:r>
          </w:p>
        </w:tc>
      </w:tr>
      <w:tr w:rsidR="00827A35" w:rsidRPr="00325C27" w14:paraId="27061A06" w14:textId="77777777" w:rsidTr="007220FA">
        <w:trPr>
          <w:trHeight w:val="229"/>
        </w:trPr>
        <w:tc>
          <w:tcPr>
            <w:tcW w:w="3745" w:type="dxa"/>
            <w:tcBorders>
              <w:top w:val="single" w:sz="2" w:space="0" w:color="auto"/>
              <w:bottom w:val="single" w:sz="2" w:space="0" w:color="auto"/>
            </w:tcBorders>
            <w:shd w:val="clear" w:color="auto" w:fill="auto"/>
            <w:vAlign w:val="center"/>
            <w:hideMark/>
          </w:tcPr>
          <w:p w14:paraId="0644FA55" w14:textId="77777777" w:rsidR="00827A35" w:rsidRPr="00325C27" w:rsidRDefault="00827A35" w:rsidP="00A90AAE">
            <w:pPr>
              <w:tabs>
                <w:tab w:val="left" w:pos="0"/>
              </w:tabs>
              <w:spacing w:before="120" w:after="0" w:line="240" w:lineRule="auto"/>
              <w:ind w:firstLine="0"/>
              <w:jc w:val="left"/>
              <w:rPr>
                <w:color w:val="000000"/>
                <w:sz w:val="18"/>
                <w:szCs w:val="18"/>
              </w:rPr>
            </w:pPr>
            <w:r>
              <w:rPr>
                <w:rFonts w:cs="Calibri"/>
                <w:color w:val="000000"/>
                <w:sz w:val="18"/>
                <w:szCs w:val="18"/>
                <w:lang w:val="hy-AM"/>
              </w:rPr>
              <w:t>5</w:t>
            </w:r>
            <w:r>
              <w:rPr>
                <w:rFonts w:cs="Calibri"/>
                <w:color w:val="000000"/>
                <w:sz w:val="18"/>
                <w:szCs w:val="18"/>
              </w:rPr>
              <w:t>. Ապրանքների մատակարարումից և ծառայությունների մատուցումից եկամուտներ, որից`</w:t>
            </w:r>
          </w:p>
        </w:tc>
        <w:tc>
          <w:tcPr>
            <w:tcW w:w="803" w:type="dxa"/>
            <w:tcBorders>
              <w:top w:val="single" w:sz="2" w:space="0" w:color="auto"/>
              <w:bottom w:val="single" w:sz="2" w:space="0" w:color="auto"/>
            </w:tcBorders>
            <w:vAlign w:val="center"/>
          </w:tcPr>
          <w:p w14:paraId="1F443A6A"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21.3</w:t>
            </w:r>
          </w:p>
        </w:tc>
        <w:tc>
          <w:tcPr>
            <w:tcW w:w="826" w:type="dxa"/>
            <w:tcBorders>
              <w:top w:val="single" w:sz="2" w:space="0" w:color="auto"/>
              <w:bottom w:val="single" w:sz="2" w:space="0" w:color="auto"/>
            </w:tcBorders>
            <w:vAlign w:val="center"/>
          </w:tcPr>
          <w:p w14:paraId="1781BC71"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22.7</w:t>
            </w:r>
          </w:p>
        </w:tc>
        <w:tc>
          <w:tcPr>
            <w:tcW w:w="835" w:type="dxa"/>
            <w:tcBorders>
              <w:top w:val="single" w:sz="2" w:space="0" w:color="auto"/>
              <w:bottom w:val="single" w:sz="2" w:space="0" w:color="auto"/>
            </w:tcBorders>
            <w:vAlign w:val="center"/>
          </w:tcPr>
          <w:p w14:paraId="6726FCE9"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24.3</w:t>
            </w:r>
          </w:p>
        </w:tc>
        <w:tc>
          <w:tcPr>
            <w:tcW w:w="987" w:type="dxa"/>
            <w:tcBorders>
              <w:top w:val="single" w:sz="2" w:space="0" w:color="auto"/>
              <w:bottom w:val="single" w:sz="2" w:space="0" w:color="auto"/>
            </w:tcBorders>
            <w:vAlign w:val="center"/>
          </w:tcPr>
          <w:p w14:paraId="5DC169E2"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21.1</w:t>
            </w:r>
          </w:p>
        </w:tc>
        <w:tc>
          <w:tcPr>
            <w:tcW w:w="900" w:type="dxa"/>
            <w:tcBorders>
              <w:top w:val="single" w:sz="2" w:space="0" w:color="auto"/>
              <w:bottom w:val="single" w:sz="2" w:space="0" w:color="auto"/>
            </w:tcBorders>
            <w:shd w:val="clear" w:color="auto" w:fill="auto"/>
            <w:noWrap/>
            <w:vAlign w:val="center"/>
            <w:hideMark/>
          </w:tcPr>
          <w:p w14:paraId="6007EAE0"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19.8</w:t>
            </w:r>
          </w:p>
        </w:tc>
        <w:tc>
          <w:tcPr>
            <w:tcW w:w="634" w:type="dxa"/>
            <w:tcBorders>
              <w:top w:val="single" w:sz="2" w:space="0" w:color="auto"/>
              <w:bottom w:val="single" w:sz="2" w:space="0" w:color="auto"/>
            </w:tcBorders>
            <w:shd w:val="clear" w:color="auto" w:fill="auto"/>
            <w:noWrap/>
            <w:vAlign w:val="center"/>
            <w:hideMark/>
          </w:tcPr>
          <w:p w14:paraId="2ACA832B"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20.3</w:t>
            </w:r>
          </w:p>
        </w:tc>
        <w:tc>
          <w:tcPr>
            <w:tcW w:w="771" w:type="dxa"/>
            <w:gridSpan w:val="2"/>
            <w:tcBorders>
              <w:top w:val="single" w:sz="2" w:space="0" w:color="auto"/>
              <w:bottom w:val="single" w:sz="2" w:space="0" w:color="auto"/>
            </w:tcBorders>
            <w:shd w:val="clear" w:color="auto" w:fill="auto"/>
            <w:noWrap/>
            <w:vAlign w:val="center"/>
            <w:hideMark/>
          </w:tcPr>
          <w:p w14:paraId="3616E2C3" w14:textId="77777777" w:rsidR="00827A35" w:rsidRPr="00325C27"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20.8</w:t>
            </w:r>
          </w:p>
        </w:tc>
      </w:tr>
      <w:tr w:rsidR="00827A35" w:rsidRPr="00325C27" w14:paraId="24BBD98B" w14:textId="77777777" w:rsidTr="007220FA">
        <w:trPr>
          <w:trHeight w:val="229"/>
        </w:trPr>
        <w:tc>
          <w:tcPr>
            <w:tcW w:w="3745" w:type="dxa"/>
            <w:tcBorders>
              <w:top w:val="single" w:sz="2" w:space="0" w:color="auto"/>
              <w:bottom w:val="single" w:sz="2" w:space="0" w:color="auto"/>
            </w:tcBorders>
            <w:shd w:val="clear" w:color="auto" w:fill="auto"/>
            <w:vAlign w:val="center"/>
          </w:tcPr>
          <w:p w14:paraId="30212116" w14:textId="77777777" w:rsidR="00827A35" w:rsidRPr="005A3BD3" w:rsidRDefault="00827A35" w:rsidP="00A90AAE">
            <w:pPr>
              <w:tabs>
                <w:tab w:val="left" w:pos="0"/>
              </w:tabs>
              <w:spacing w:before="120" w:after="0" w:line="240" w:lineRule="auto"/>
              <w:ind w:firstLine="0"/>
              <w:jc w:val="left"/>
              <w:rPr>
                <w:color w:val="000000"/>
                <w:sz w:val="18"/>
                <w:szCs w:val="18"/>
                <w:lang w:val="hy-AM"/>
              </w:rPr>
            </w:pPr>
            <w:r>
              <w:rPr>
                <w:rFonts w:cs="Calibri"/>
                <w:color w:val="000000"/>
                <w:sz w:val="18"/>
                <w:szCs w:val="18"/>
                <w:lang w:val="hy-AM"/>
              </w:rPr>
              <w:t>6</w:t>
            </w:r>
            <w:r>
              <w:rPr>
                <w:rFonts w:cs="Calibri"/>
                <w:color w:val="000000"/>
                <w:sz w:val="18"/>
                <w:szCs w:val="18"/>
              </w:rPr>
              <w:t>. Օրենքով և այլ իրավական ակտերով սահմանված` պետական բյուջե մուտքագրվող այլ եկամուտներ</w:t>
            </w:r>
          </w:p>
        </w:tc>
        <w:tc>
          <w:tcPr>
            <w:tcW w:w="803" w:type="dxa"/>
            <w:tcBorders>
              <w:top w:val="single" w:sz="2" w:space="0" w:color="auto"/>
              <w:bottom w:val="single" w:sz="2" w:space="0" w:color="auto"/>
            </w:tcBorders>
            <w:vAlign w:val="center"/>
          </w:tcPr>
          <w:p w14:paraId="01FF18B8" w14:textId="77777777" w:rsidR="00827A35" w:rsidRPr="005A3BD3" w:rsidRDefault="00827A35" w:rsidP="00A90AAE">
            <w:pPr>
              <w:tabs>
                <w:tab w:val="left" w:pos="0"/>
              </w:tabs>
              <w:spacing w:before="120" w:after="0" w:line="240" w:lineRule="auto"/>
              <w:ind w:firstLine="0"/>
              <w:jc w:val="right"/>
              <w:rPr>
                <w:color w:val="000000"/>
                <w:sz w:val="18"/>
                <w:szCs w:val="18"/>
                <w:lang w:val="hy-AM"/>
              </w:rPr>
            </w:pPr>
            <w:r>
              <w:rPr>
                <w:rFonts w:cs="Calibri"/>
                <w:color w:val="000000"/>
                <w:sz w:val="18"/>
                <w:szCs w:val="18"/>
              </w:rPr>
              <w:t>3.8</w:t>
            </w:r>
          </w:p>
        </w:tc>
        <w:tc>
          <w:tcPr>
            <w:tcW w:w="826" w:type="dxa"/>
            <w:tcBorders>
              <w:top w:val="single" w:sz="2" w:space="0" w:color="auto"/>
              <w:bottom w:val="single" w:sz="2" w:space="0" w:color="auto"/>
            </w:tcBorders>
            <w:vAlign w:val="center"/>
          </w:tcPr>
          <w:p w14:paraId="32640883" w14:textId="77777777" w:rsidR="00827A35" w:rsidRPr="005A3BD3"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24.4</w:t>
            </w:r>
          </w:p>
        </w:tc>
        <w:tc>
          <w:tcPr>
            <w:tcW w:w="835" w:type="dxa"/>
            <w:tcBorders>
              <w:top w:val="single" w:sz="2" w:space="0" w:color="auto"/>
              <w:bottom w:val="single" w:sz="2" w:space="0" w:color="auto"/>
            </w:tcBorders>
            <w:vAlign w:val="center"/>
          </w:tcPr>
          <w:p w14:paraId="42A74FE0"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6.0</w:t>
            </w:r>
          </w:p>
        </w:tc>
        <w:tc>
          <w:tcPr>
            <w:tcW w:w="987" w:type="dxa"/>
            <w:tcBorders>
              <w:top w:val="single" w:sz="2" w:space="0" w:color="auto"/>
              <w:bottom w:val="single" w:sz="2" w:space="0" w:color="auto"/>
            </w:tcBorders>
            <w:vAlign w:val="center"/>
          </w:tcPr>
          <w:p w14:paraId="27B01D64" w14:textId="77777777" w:rsidR="00827A35" w:rsidRPr="00C70C7C" w:rsidRDefault="00827A35" w:rsidP="00A90AAE">
            <w:pPr>
              <w:tabs>
                <w:tab w:val="left" w:pos="0"/>
              </w:tabs>
              <w:spacing w:before="120" w:after="0" w:line="240" w:lineRule="auto"/>
              <w:ind w:firstLine="0"/>
              <w:jc w:val="right"/>
              <w:rPr>
                <w:color w:val="FF0000"/>
                <w:sz w:val="18"/>
                <w:szCs w:val="18"/>
              </w:rPr>
            </w:pPr>
            <w:r>
              <w:rPr>
                <w:rFonts w:cs="Calibri"/>
                <w:color w:val="000000"/>
                <w:sz w:val="18"/>
                <w:szCs w:val="18"/>
              </w:rPr>
              <w:t>4.7</w:t>
            </w:r>
          </w:p>
        </w:tc>
        <w:tc>
          <w:tcPr>
            <w:tcW w:w="900" w:type="dxa"/>
            <w:tcBorders>
              <w:top w:val="single" w:sz="2" w:space="0" w:color="auto"/>
              <w:bottom w:val="single" w:sz="2" w:space="0" w:color="auto"/>
            </w:tcBorders>
            <w:shd w:val="clear" w:color="auto" w:fill="auto"/>
            <w:noWrap/>
            <w:vAlign w:val="center"/>
          </w:tcPr>
          <w:p w14:paraId="2A645714"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1.7</w:t>
            </w:r>
          </w:p>
        </w:tc>
        <w:tc>
          <w:tcPr>
            <w:tcW w:w="634" w:type="dxa"/>
            <w:tcBorders>
              <w:top w:val="single" w:sz="2" w:space="0" w:color="auto"/>
              <w:bottom w:val="single" w:sz="2" w:space="0" w:color="auto"/>
            </w:tcBorders>
            <w:shd w:val="clear" w:color="auto" w:fill="auto"/>
            <w:noWrap/>
            <w:vAlign w:val="center"/>
          </w:tcPr>
          <w:p w14:paraId="666D5442"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1.8</w:t>
            </w:r>
          </w:p>
        </w:tc>
        <w:tc>
          <w:tcPr>
            <w:tcW w:w="771" w:type="dxa"/>
            <w:gridSpan w:val="2"/>
            <w:tcBorders>
              <w:top w:val="single" w:sz="2" w:space="0" w:color="auto"/>
              <w:bottom w:val="single" w:sz="2" w:space="0" w:color="auto"/>
            </w:tcBorders>
            <w:shd w:val="clear" w:color="auto" w:fill="auto"/>
            <w:noWrap/>
            <w:vAlign w:val="center"/>
          </w:tcPr>
          <w:p w14:paraId="0B465873" w14:textId="77777777" w:rsidR="00827A35" w:rsidRDefault="00827A35" w:rsidP="00A90AAE">
            <w:pPr>
              <w:tabs>
                <w:tab w:val="left" w:pos="0"/>
              </w:tabs>
              <w:spacing w:before="120" w:after="0" w:line="240" w:lineRule="auto"/>
              <w:ind w:firstLine="0"/>
              <w:jc w:val="right"/>
              <w:rPr>
                <w:color w:val="000000"/>
                <w:sz w:val="18"/>
                <w:szCs w:val="18"/>
              </w:rPr>
            </w:pPr>
            <w:r>
              <w:rPr>
                <w:rFonts w:cs="Calibri"/>
                <w:color w:val="000000"/>
                <w:sz w:val="18"/>
                <w:szCs w:val="18"/>
              </w:rPr>
              <w:t>1.8</w:t>
            </w:r>
          </w:p>
        </w:tc>
      </w:tr>
    </w:tbl>
    <w:p w14:paraId="559571F3" w14:textId="77777777" w:rsidR="00827A35" w:rsidRDefault="00827A35" w:rsidP="00827A35">
      <w:pPr>
        <w:tabs>
          <w:tab w:val="left" w:pos="0"/>
        </w:tabs>
        <w:spacing w:before="120" w:after="0" w:line="276" w:lineRule="auto"/>
        <w:ind w:firstLine="0"/>
        <w:rPr>
          <w:rFonts w:cs="Sylfaen"/>
          <w:iCs/>
          <w:sz w:val="20"/>
          <w:szCs w:val="20"/>
          <w:lang w:val="af-ZA" w:eastAsia="en-GB"/>
        </w:rPr>
      </w:pPr>
    </w:p>
    <w:p w14:paraId="67C9FBFB" w14:textId="77777777" w:rsidR="00080175" w:rsidRDefault="00080175" w:rsidP="00C30825">
      <w:pPr>
        <w:tabs>
          <w:tab w:val="left" w:pos="0"/>
        </w:tabs>
        <w:spacing w:before="120" w:after="0" w:line="276" w:lineRule="auto"/>
        <w:ind w:firstLine="0"/>
        <w:rPr>
          <w:rFonts w:cs="Sylfaen"/>
          <w:iCs/>
          <w:sz w:val="20"/>
          <w:szCs w:val="20"/>
          <w:lang w:val="af-ZA" w:eastAsia="en-GB"/>
        </w:rPr>
      </w:pPr>
    </w:p>
    <w:p w14:paraId="4AD4C365" w14:textId="77777777" w:rsidR="00080175" w:rsidRDefault="00080175" w:rsidP="00C30825">
      <w:pPr>
        <w:tabs>
          <w:tab w:val="left" w:pos="0"/>
        </w:tabs>
        <w:spacing w:before="120" w:after="0" w:line="276" w:lineRule="auto"/>
        <w:ind w:firstLine="0"/>
        <w:rPr>
          <w:rFonts w:cs="Sylfaen"/>
          <w:iCs/>
          <w:sz w:val="20"/>
          <w:szCs w:val="20"/>
          <w:lang w:val="af-ZA" w:eastAsia="en-GB"/>
        </w:rPr>
      </w:pPr>
    </w:p>
    <w:p w14:paraId="5F58D327" w14:textId="77777777" w:rsidR="00080175" w:rsidRPr="006F7A03" w:rsidRDefault="00080175" w:rsidP="00C30825">
      <w:pPr>
        <w:pStyle w:val="Heading2"/>
        <w:tabs>
          <w:tab w:val="left" w:pos="0"/>
        </w:tabs>
        <w:spacing w:before="120" w:after="0" w:line="276" w:lineRule="auto"/>
        <w:rPr>
          <w:sz w:val="24"/>
          <w:szCs w:val="24"/>
        </w:rPr>
      </w:pPr>
      <w:r>
        <w:rPr>
          <w:rFonts w:cs="Sylfaen"/>
          <w:iCs/>
          <w:sz w:val="20"/>
          <w:szCs w:val="20"/>
          <w:lang w:val="af-ZA" w:eastAsia="en-GB"/>
        </w:rPr>
        <w:br w:type="page"/>
      </w:r>
      <w:bookmarkStart w:id="122" w:name="_Toc170926314"/>
      <w:r w:rsidRPr="00FE0674">
        <w:rPr>
          <w:sz w:val="24"/>
          <w:szCs w:val="24"/>
          <w:lang w:val="hy-AM"/>
        </w:rPr>
        <w:lastRenderedPageBreak/>
        <w:t xml:space="preserve">ԳԼՈՒԽ </w:t>
      </w:r>
      <w:r w:rsidRPr="006F7A03">
        <w:rPr>
          <w:sz w:val="24"/>
          <w:szCs w:val="24"/>
          <w:lang w:val="hy-AM"/>
        </w:rPr>
        <w:t xml:space="preserve">4. </w:t>
      </w:r>
      <w:r w:rsidRPr="006F7A03">
        <w:rPr>
          <w:sz w:val="24"/>
          <w:szCs w:val="24"/>
        </w:rPr>
        <w:t>ԲՅՈՒՋԵՏԱՅԻՆ ՇՐՋԱՆԱԿ</w:t>
      </w:r>
      <w:bookmarkEnd w:id="117"/>
      <w:bookmarkEnd w:id="118"/>
      <w:bookmarkEnd w:id="120"/>
      <w:bookmarkEnd w:id="121"/>
      <w:bookmarkEnd w:id="122"/>
    </w:p>
    <w:p w14:paraId="6DA97AB9" w14:textId="77777777" w:rsidR="00080175" w:rsidRPr="006F7A03" w:rsidRDefault="00080175" w:rsidP="00C30825">
      <w:pPr>
        <w:pStyle w:val="Heading3"/>
        <w:tabs>
          <w:tab w:val="left" w:pos="0"/>
        </w:tabs>
        <w:spacing w:before="120" w:after="0" w:line="276" w:lineRule="auto"/>
        <w:rPr>
          <w:rFonts w:eastAsia="Times New Roman" w:cs="Times New Roman"/>
          <w:caps w:val="0"/>
          <w:color w:val="44546A" w:themeColor="text2"/>
          <w:sz w:val="24"/>
          <w:szCs w:val="24"/>
        </w:rPr>
      </w:pPr>
      <w:bookmarkStart w:id="123" w:name="_Toc77356419"/>
      <w:bookmarkStart w:id="124" w:name="_Toc170926315"/>
      <w:r w:rsidRPr="006F7A03">
        <w:rPr>
          <w:rFonts w:eastAsia="Times New Roman" w:cs="Times New Roman"/>
          <w:caps w:val="0"/>
          <w:color w:val="44546A" w:themeColor="text2"/>
          <w:sz w:val="24"/>
          <w:szCs w:val="24"/>
        </w:rPr>
        <w:t xml:space="preserve">4.1. </w:t>
      </w:r>
      <w:bookmarkStart w:id="125" w:name="_Toc296702352"/>
      <w:bookmarkStart w:id="126" w:name="_Toc519513628"/>
      <w:bookmarkStart w:id="127" w:name="_Toc13837286"/>
      <w:bookmarkStart w:id="128" w:name="_Toc45838532"/>
      <w:r w:rsidRPr="006F7A03">
        <w:rPr>
          <w:rFonts w:eastAsia="Times New Roman" w:cs="Times New Roman"/>
          <w:caps w:val="0"/>
          <w:color w:val="44546A" w:themeColor="text2"/>
          <w:sz w:val="24"/>
          <w:szCs w:val="24"/>
        </w:rPr>
        <w:t>ՊԵՏԱԿԱՆ ԲՅՈՒՋԵԻ ԴԵՖԻՑԻՏԸ</w:t>
      </w:r>
      <w:bookmarkEnd w:id="123"/>
      <w:bookmarkEnd w:id="124"/>
      <w:bookmarkEnd w:id="125"/>
      <w:bookmarkEnd w:id="126"/>
      <w:bookmarkEnd w:id="127"/>
      <w:bookmarkEnd w:id="128"/>
    </w:p>
    <w:p w14:paraId="31121205" w14:textId="77777777" w:rsidR="006F7A03" w:rsidRDefault="006F7A03" w:rsidP="006F7A03">
      <w:pPr>
        <w:tabs>
          <w:tab w:val="left" w:pos="0"/>
        </w:tabs>
        <w:spacing w:before="120" w:after="0" w:line="276" w:lineRule="auto"/>
        <w:ind w:firstLine="0"/>
        <w:rPr>
          <w:rFonts w:cs="Sylfaen"/>
          <w:lang w:val="hy-AM"/>
        </w:rPr>
      </w:pPr>
      <w:bookmarkStart w:id="129" w:name="_Toc13837288"/>
      <w:bookmarkStart w:id="130" w:name="_Toc14687624"/>
      <w:bookmarkStart w:id="131" w:name="_Toc45838535"/>
      <w:bookmarkStart w:id="132" w:name="_Toc77356421"/>
      <w:bookmarkStart w:id="133" w:name="_Toc41075569"/>
      <w:bookmarkStart w:id="134" w:name="_Toc519513634"/>
      <w:r w:rsidRPr="006F7A03">
        <w:rPr>
          <w:rFonts w:cs="Sylfaen"/>
          <w:lang w:val="hy-AM"/>
        </w:rPr>
        <w:t>Պետական  բյուջեի ձևավորումը առաջիկա տարիներին</w:t>
      </w:r>
      <w:r>
        <w:rPr>
          <w:rFonts w:cs="Sylfaen"/>
          <w:lang w:val="hy-AM"/>
        </w:rPr>
        <w:t xml:space="preserve"> շարունակելու  է ընթանալ բյուջե</w:t>
      </w:r>
      <w:r>
        <w:rPr>
          <w:rFonts w:cs="Sylfaen"/>
          <w:lang w:val="hy-AM"/>
        </w:rPr>
        <w:softHyphen/>
        <w:t>տա</w:t>
      </w:r>
      <w:r>
        <w:rPr>
          <w:rFonts w:cs="Sylfaen"/>
          <w:lang w:val="hy-AM"/>
        </w:rPr>
        <w:softHyphen/>
        <w:t>յին եկա</w:t>
      </w:r>
      <w:r>
        <w:rPr>
          <w:rFonts w:cs="Sylfaen"/>
          <w:lang w:val="hy-AM"/>
        </w:rPr>
        <w:softHyphen/>
        <w:t>մուտների նկատ</w:t>
      </w:r>
      <w:r>
        <w:rPr>
          <w:rFonts w:cs="Sylfaen"/>
          <w:lang w:val="hy-AM"/>
        </w:rPr>
        <w:softHyphen/>
        <w:t>մամբ ծախսերի գերազանցմամբ, ընդ որում՝ բյուջետային դեֆիցի</w:t>
      </w:r>
      <w:r>
        <w:rPr>
          <w:rFonts w:cs="Sylfaen"/>
          <w:lang w:val="hy-AM"/>
        </w:rPr>
        <w:softHyphen/>
        <w:t>տի ֆինան</w:t>
      </w:r>
      <w:r>
        <w:rPr>
          <w:rFonts w:cs="Sylfaen"/>
          <w:lang w:val="hy-AM"/>
        </w:rPr>
        <w:softHyphen/>
      </w:r>
      <w:r>
        <w:rPr>
          <w:rFonts w:cs="Sylfaen"/>
          <w:lang w:val="hy-AM"/>
        </w:rPr>
        <w:softHyphen/>
        <w:t>սա</w:t>
      </w:r>
      <w:r>
        <w:rPr>
          <w:rFonts w:cs="Sylfaen"/>
          <w:lang w:val="hy-AM"/>
        </w:rPr>
        <w:softHyphen/>
        <w:t>վորման համար միջոց</w:t>
      </w:r>
      <w:r>
        <w:rPr>
          <w:rFonts w:cs="Sylfaen"/>
          <w:lang w:val="hy-AM"/>
        </w:rPr>
        <w:softHyphen/>
        <w:t>ների ներգրավումն իրականացվելու է ինչպես ներքին, այն</w:t>
      </w:r>
      <w:r>
        <w:rPr>
          <w:rFonts w:cs="Sylfaen"/>
          <w:lang w:val="hy-AM"/>
        </w:rPr>
        <w:softHyphen/>
        <w:t>պես էլ արտա</w:t>
      </w:r>
      <w:r>
        <w:rPr>
          <w:rFonts w:cs="Sylfaen"/>
          <w:lang w:val="hy-AM"/>
        </w:rPr>
        <w:softHyphen/>
        <w:t>քին աղբյուր</w:t>
      </w:r>
      <w:r>
        <w:rPr>
          <w:rFonts w:cs="Sylfaen"/>
          <w:lang w:val="hy-AM"/>
        </w:rPr>
        <w:softHyphen/>
        <w:t xml:space="preserve">ներից: </w:t>
      </w:r>
    </w:p>
    <w:p w14:paraId="1D4A2455" w14:textId="3DFA36DF" w:rsidR="006F7A03" w:rsidRDefault="006F7A03" w:rsidP="006F7A03">
      <w:pPr>
        <w:tabs>
          <w:tab w:val="left" w:pos="0"/>
          <w:tab w:val="left" w:pos="2700"/>
        </w:tabs>
        <w:spacing w:before="120" w:after="0" w:line="276" w:lineRule="auto"/>
        <w:ind w:firstLine="0"/>
        <w:rPr>
          <w:rFonts w:cs="Sylfaen"/>
          <w:lang w:val="hy-AM"/>
        </w:rPr>
      </w:pPr>
      <w:r>
        <w:rPr>
          <w:rFonts w:cs="Sylfaen"/>
          <w:lang w:val="hy-AM"/>
        </w:rPr>
        <w:t>Ստորև ներկայացվում են ՀՀ 202</w:t>
      </w:r>
      <w:r w:rsidR="00197356" w:rsidRPr="00197356">
        <w:rPr>
          <w:rFonts w:cs="Sylfaen"/>
          <w:lang w:val="hy-AM"/>
        </w:rPr>
        <w:t>5</w:t>
      </w:r>
      <w:r>
        <w:rPr>
          <w:rFonts w:cs="Sylfaen"/>
          <w:lang w:val="hy-AM"/>
        </w:rPr>
        <w:t>-202</w:t>
      </w:r>
      <w:r w:rsidRPr="00220F43">
        <w:rPr>
          <w:rFonts w:cs="Sylfaen"/>
          <w:lang w:val="hy-AM"/>
        </w:rPr>
        <w:t>7</w:t>
      </w:r>
      <w:r>
        <w:rPr>
          <w:rFonts w:cs="Sylfaen"/>
          <w:lang w:val="hy-AM"/>
        </w:rPr>
        <w:t xml:space="preserve"> թվականների պետական բյուջեների դեֆիցիտի ֆինան</w:t>
      </w:r>
      <w:r>
        <w:rPr>
          <w:rFonts w:cs="Sylfaen"/>
          <w:lang w:val="hy-AM"/>
        </w:rPr>
        <w:softHyphen/>
        <w:t>սա</w:t>
      </w:r>
      <w:r>
        <w:rPr>
          <w:rFonts w:cs="Sylfaen"/>
          <w:lang w:val="hy-AM"/>
        </w:rPr>
        <w:softHyphen/>
      </w:r>
      <w:r>
        <w:rPr>
          <w:rFonts w:cs="Sylfaen"/>
          <w:lang w:val="hy-AM"/>
        </w:rPr>
        <w:softHyphen/>
        <w:t>վորման աղբյուրները (տես Աղյուսակ 4.1.1):</w:t>
      </w:r>
    </w:p>
    <w:p w14:paraId="4060948A" w14:textId="77777777" w:rsidR="006F7A03" w:rsidRDefault="006F7A03" w:rsidP="006F7A03">
      <w:pPr>
        <w:tabs>
          <w:tab w:val="left" w:pos="0"/>
          <w:tab w:val="left" w:pos="2700"/>
        </w:tabs>
        <w:spacing w:before="120" w:after="0" w:line="276" w:lineRule="auto"/>
        <w:ind w:firstLine="0"/>
        <w:rPr>
          <w:rFonts w:cs="Sylfaen"/>
          <w:lang w:val="hy-AM"/>
        </w:rPr>
      </w:pPr>
    </w:p>
    <w:p w14:paraId="542F4CCC" w14:textId="77777777" w:rsidR="006F7A03" w:rsidRPr="0031357F" w:rsidRDefault="006F7A03" w:rsidP="006F7A03">
      <w:pPr>
        <w:keepNext/>
        <w:keepLines/>
        <w:tabs>
          <w:tab w:val="left" w:pos="0"/>
        </w:tabs>
        <w:spacing w:before="120" w:after="0" w:line="276" w:lineRule="auto"/>
        <w:ind w:firstLine="0"/>
        <w:rPr>
          <w:lang w:val="hy-AM"/>
        </w:rPr>
      </w:pPr>
      <w:r w:rsidRPr="0031357F">
        <w:rPr>
          <w:b/>
          <w:lang w:val="hy-AM"/>
        </w:rPr>
        <w:t xml:space="preserve">Աղյուսակ 4.1.1. </w:t>
      </w:r>
      <w:r w:rsidRPr="0031357F">
        <w:rPr>
          <w:lang w:val="hy-AM"/>
        </w:rPr>
        <w:t>ՀՀ</w:t>
      </w:r>
      <w:r>
        <w:rPr>
          <w:lang w:val="hy-AM"/>
        </w:rPr>
        <w:t xml:space="preserve"> 202</w:t>
      </w:r>
      <w:r w:rsidRPr="00220F43">
        <w:rPr>
          <w:lang w:val="hy-AM"/>
        </w:rPr>
        <w:t>1</w:t>
      </w:r>
      <w:r>
        <w:rPr>
          <w:lang w:val="hy-AM"/>
        </w:rPr>
        <w:t>-202</w:t>
      </w:r>
      <w:r w:rsidRPr="00220F43">
        <w:rPr>
          <w:lang w:val="hy-AM"/>
        </w:rPr>
        <w:t>7</w:t>
      </w:r>
      <w:r w:rsidRPr="0031357F">
        <w:rPr>
          <w:lang w:val="hy-AM"/>
        </w:rPr>
        <w:t xml:space="preserve"> թթ պետական բյուջեների դեֆիցիտի ֆինանսավորման աղբյուրները, մլրդ դրամ</w:t>
      </w:r>
    </w:p>
    <w:tbl>
      <w:tblPr>
        <w:tblW w:w="9429" w:type="dxa"/>
        <w:tblInd w:w="-10" w:type="dxa"/>
        <w:tblLayout w:type="fixed"/>
        <w:tblLook w:val="04A0" w:firstRow="1" w:lastRow="0" w:firstColumn="1" w:lastColumn="0" w:noHBand="0" w:noVBand="1"/>
      </w:tblPr>
      <w:tblGrid>
        <w:gridCol w:w="3129"/>
        <w:gridCol w:w="900"/>
        <w:gridCol w:w="810"/>
        <w:gridCol w:w="990"/>
        <w:gridCol w:w="990"/>
        <w:gridCol w:w="900"/>
        <w:gridCol w:w="810"/>
        <w:gridCol w:w="900"/>
      </w:tblGrid>
      <w:tr w:rsidR="003D5ABC" w:rsidRPr="003D6F2C" w14:paraId="72AAEDDC" w14:textId="77777777" w:rsidTr="002F1B9B">
        <w:trPr>
          <w:trHeight w:val="315"/>
        </w:trPr>
        <w:tc>
          <w:tcPr>
            <w:tcW w:w="3129" w:type="dxa"/>
            <w:vMerge w:val="restart"/>
            <w:shd w:val="clear" w:color="auto" w:fill="auto"/>
            <w:vAlign w:val="center"/>
          </w:tcPr>
          <w:p w14:paraId="41964268" w14:textId="77777777" w:rsidR="003D5ABC" w:rsidRPr="003D6F2C" w:rsidRDefault="003D5ABC" w:rsidP="002F1B9B">
            <w:pPr>
              <w:tabs>
                <w:tab w:val="left" w:pos="0"/>
              </w:tabs>
              <w:spacing w:before="120" w:after="0" w:line="240" w:lineRule="auto"/>
              <w:ind w:firstLine="0"/>
              <w:rPr>
                <w:color w:val="000000"/>
                <w:sz w:val="18"/>
                <w:szCs w:val="18"/>
                <w:lang w:val="hy-AM"/>
              </w:rPr>
            </w:pPr>
            <w:r w:rsidRPr="003D6F2C">
              <w:rPr>
                <w:color w:val="000000"/>
                <w:sz w:val="18"/>
                <w:szCs w:val="18"/>
                <w:lang w:val="hy-AM"/>
              </w:rPr>
              <w:t>Ցուցանիշ</w:t>
            </w:r>
          </w:p>
        </w:tc>
        <w:tc>
          <w:tcPr>
            <w:tcW w:w="2700" w:type="dxa"/>
            <w:gridSpan w:val="3"/>
            <w:tcBorders>
              <w:bottom w:val="single" w:sz="2" w:space="0" w:color="auto"/>
            </w:tcBorders>
            <w:shd w:val="clear" w:color="auto" w:fill="auto"/>
            <w:noWrap/>
            <w:vAlign w:val="center"/>
          </w:tcPr>
          <w:p w14:paraId="3C7E7349" w14:textId="77777777" w:rsidR="003D5ABC" w:rsidRPr="003D6F2C" w:rsidRDefault="003D5ABC" w:rsidP="002F1B9B">
            <w:pPr>
              <w:tabs>
                <w:tab w:val="left" w:pos="0"/>
              </w:tabs>
              <w:spacing w:before="120" w:after="0" w:line="240" w:lineRule="auto"/>
              <w:ind w:firstLine="0"/>
              <w:jc w:val="center"/>
              <w:rPr>
                <w:color w:val="000000"/>
                <w:sz w:val="18"/>
                <w:szCs w:val="18"/>
                <w:lang w:val="hy-AM"/>
              </w:rPr>
            </w:pPr>
            <w:r w:rsidRPr="003D6F2C">
              <w:rPr>
                <w:color w:val="000000"/>
                <w:sz w:val="18"/>
                <w:szCs w:val="18"/>
                <w:lang w:val="hy-AM"/>
              </w:rPr>
              <w:t>Փաստ</w:t>
            </w:r>
          </w:p>
        </w:tc>
        <w:tc>
          <w:tcPr>
            <w:tcW w:w="990" w:type="dxa"/>
            <w:shd w:val="clear" w:color="auto" w:fill="auto"/>
            <w:noWrap/>
            <w:vAlign w:val="center"/>
          </w:tcPr>
          <w:p w14:paraId="5A1999C0" w14:textId="77777777" w:rsidR="003D5ABC" w:rsidRPr="003D6F2C" w:rsidRDefault="003D5ABC" w:rsidP="002F1B9B">
            <w:pPr>
              <w:tabs>
                <w:tab w:val="left" w:pos="0"/>
              </w:tabs>
              <w:spacing w:before="120" w:after="0" w:line="240" w:lineRule="auto"/>
              <w:ind w:firstLine="0"/>
              <w:jc w:val="center"/>
              <w:rPr>
                <w:color w:val="000000"/>
                <w:sz w:val="18"/>
                <w:szCs w:val="18"/>
                <w:lang w:val="hy-AM"/>
              </w:rPr>
            </w:pPr>
            <w:r w:rsidRPr="003D6F2C">
              <w:rPr>
                <w:color w:val="000000"/>
                <w:sz w:val="18"/>
                <w:szCs w:val="18"/>
              </w:rPr>
              <w:t>Բ</w:t>
            </w:r>
            <w:r w:rsidRPr="003D6F2C">
              <w:rPr>
                <w:color w:val="000000"/>
                <w:sz w:val="18"/>
                <w:szCs w:val="18"/>
                <w:lang w:val="hy-AM"/>
              </w:rPr>
              <w:t xml:space="preserve">յուջե  </w:t>
            </w:r>
          </w:p>
        </w:tc>
        <w:tc>
          <w:tcPr>
            <w:tcW w:w="2610" w:type="dxa"/>
            <w:gridSpan w:val="3"/>
            <w:tcBorders>
              <w:bottom w:val="single" w:sz="2" w:space="0" w:color="auto"/>
            </w:tcBorders>
            <w:shd w:val="clear" w:color="auto" w:fill="auto"/>
            <w:noWrap/>
            <w:vAlign w:val="center"/>
          </w:tcPr>
          <w:p w14:paraId="232C399C" w14:textId="77777777" w:rsidR="003D5ABC" w:rsidRPr="003D6F2C" w:rsidRDefault="003D5ABC" w:rsidP="002F1B9B">
            <w:pPr>
              <w:tabs>
                <w:tab w:val="left" w:pos="0"/>
              </w:tabs>
              <w:spacing w:before="120" w:after="0" w:line="240" w:lineRule="auto"/>
              <w:ind w:firstLine="0"/>
              <w:jc w:val="center"/>
              <w:rPr>
                <w:color w:val="000000"/>
                <w:sz w:val="18"/>
                <w:szCs w:val="18"/>
                <w:lang w:val="hy-AM"/>
              </w:rPr>
            </w:pPr>
            <w:r w:rsidRPr="003D6F2C">
              <w:rPr>
                <w:color w:val="000000"/>
                <w:sz w:val="18"/>
                <w:szCs w:val="18"/>
                <w:lang w:val="hy-AM"/>
              </w:rPr>
              <w:t>ՄԺԾԾ</w:t>
            </w:r>
          </w:p>
        </w:tc>
      </w:tr>
      <w:tr w:rsidR="003D5ABC" w:rsidRPr="003D6F2C" w14:paraId="2CC88B92" w14:textId="77777777" w:rsidTr="002F1B9B">
        <w:trPr>
          <w:trHeight w:val="315"/>
        </w:trPr>
        <w:tc>
          <w:tcPr>
            <w:tcW w:w="3129" w:type="dxa"/>
            <w:vMerge/>
            <w:tcBorders>
              <w:bottom w:val="single" w:sz="2" w:space="0" w:color="auto"/>
            </w:tcBorders>
            <w:shd w:val="clear" w:color="auto" w:fill="auto"/>
            <w:vAlign w:val="center"/>
            <w:hideMark/>
          </w:tcPr>
          <w:p w14:paraId="2274091C" w14:textId="77777777" w:rsidR="003D5ABC" w:rsidRPr="003D6F2C" w:rsidRDefault="003D5ABC" w:rsidP="002F1B9B">
            <w:pPr>
              <w:tabs>
                <w:tab w:val="left" w:pos="0"/>
              </w:tabs>
              <w:spacing w:before="120" w:after="0" w:line="240" w:lineRule="auto"/>
              <w:ind w:firstLine="0"/>
              <w:jc w:val="center"/>
              <w:rPr>
                <w:color w:val="000000"/>
                <w:sz w:val="18"/>
                <w:szCs w:val="18"/>
              </w:rPr>
            </w:pPr>
          </w:p>
        </w:tc>
        <w:tc>
          <w:tcPr>
            <w:tcW w:w="900" w:type="dxa"/>
            <w:tcBorders>
              <w:top w:val="single" w:sz="2" w:space="0" w:color="auto"/>
              <w:bottom w:val="single" w:sz="2" w:space="0" w:color="auto"/>
            </w:tcBorders>
            <w:shd w:val="clear" w:color="auto" w:fill="auto"/>
            <w:noWrap/>
            <w:vAlign w:val="center"/>
            <w:hideMark/>
          </w:tcPr>
          <w:p w14:paraId="588E3822" w14:textId="77777777" w:rsidR="003D5ABC" w:rsidRPr="003D6F2C" w:rsidRDefault="003D5ABC" w:rsidP="002F1B9B">
            <w:pPr>
              <w:tabs>
                <w:tab w:val="left" w:pos="0"/>
              </w:tabs>
              <w:spacing w:before="120" w:after="0" w:line="240" w:lineRule="auto"/>
              <w:ind w:firstLine="0"/>
              <w:jc w:val="center"/>
              <w:rPr>
                <w:color w:val="000000"/>
                <w:sz w:val="18"/>
                <w:szCs w:val="18"/>
              </w:rPr>
            </w:pPr>
            <w:r>
              <w:rPr>
                <w:color w:val="000000"/>
                <w:sz w:val="18"/>
                <w:szCs w:val="18"/>
                <w:lang w:val="hy-AM"/>
              </w:rPr>
              <w:t>202</w:t>
            </w:r>
            <w:r>
              <w:rPr>
                <w:color w:val="000000"/>
                <w:sz w:val="18"/>
                <w:szCs w:val="18"/>
              </w:rPr>
              <w:t>1</w:t>
            </w:r>
            <w:r w:rsidRPr="003D6F2C">
              <w:rPr>
                <w:color w:val="000000"/>
                <w:sz w:val="18"/>
                <w:szCs w:val="18"/>
                <w:lang w:val="hy-AM"/>
              </w:rPr>
              <w:t xml:space="preserve"> </w:t>
            </w:r>
          </w:p>
        </w:tc>
        <w:tc>
          <w:tcPr>
            <w:tcW w:w="810" w:type="dxa"/>
            <w:tcBorders>
              <w:top w:val="single" w:sz="2" w:space="0" w:color="auto"/>
              <w:bottom w:val="single" w:sz="2" w:space="0" w:color="auto"/>
            </w:tcBorders>
            <w:shd w:val="clear" w:color="auto" w:fill="auto"/>
            <w:noWrap/>
            <w:vAlign w:val="center"/>
            <w:hideMark/>
          </w:tcPr>
          <w:p w14:paraId="630C5CB2" w14:textId="77777777" w:rsidR="003D5ABC" w:rsidRPr="00220F43" w:rsidRDefault="003D5ABC" w:rsidP="002F1B9B">
            <w:pPr>
              <w:tabs>
                <w:tab w:val="left" w:pos="0"/>
              </w:tabs>
              <w:spacing w:before="120" w:after="0" w:line="240" w:lineRule="auto"/>
              <w:ind w:firstLine="0"/>
              <w:jc w:val="center"/>
              <w:rPr>
                <w:color w:val="000000"/>
                <w:sz w:val="18"/>
                <w:szCs w:val="18"/>
              </w:rPr>
            </w:pPr>
            <w:r>
              <w:rPr>
                <w:color w:val="000000"/>
                <w:sz w:val="18"/>
                <w:szCs w:val="18"/>
                <w:lang w:val="hy-AM"/>
              </w:rPr>
              <w:t>202</w:t>
            </w:r>
            <w:r>
              <w:rPr>
                <w:color w:val="000000"/>
                <w:sz w:val="18"/>
                <w:szCs w:val="18"/>
              </w:rPr>
              <w:t>2</w:t>
            </w:r>
          </w:p>
        </w:tc>
        <w:tc>
          <w:tcPr>
            <w:tcW w:w="990" w:type="dxa"/>
            <w:tcBorders>
              <w:top w:val="single" w:sz="2" w:space="0" w:color="auto"/>
              <w:bottom w:val="single" w:sz="2" w:space="0" w:color="auto"/>
            </w:tcBorders>
            <w:shd w:val="clear" w:color="auto" w:fill="auto"/>
            <w:noWrap/>
            <w:vAlign w:val="center"/>
            <w:hideMark/>
          </w:tcPr>
          <w:p w14:paraId="6C4D0B87" w14:textId="77777777" w:rsidR="003D5ABC" w:rsidRPr="003D6F2C" w:rsidRDefault="003D5ABC" w:rsidP="002F1B9B">
            <w:pPr>
              <w:tabs>
                <w:tab w:val="left" w:pos="0"/>
              </w:tabs>
              <w:spacing w:before="120" w:after="0" w:line="240" w:lineRule="auto"/>
              <w:ind w:firstLine="0"/>
              <w:jc w:val="center"/>
              <w:rPr>
                <w:color w:val="000000"/>
                <w:sz w:val="18"/>
                <w:szCs w:val="18"/>
              </w:rPr>
            </w:pPr>
            <w:r w:rsidRPr="003D6F2C">
              <w:rPr>
                <w:color w:val="000000"/>
                <w:sz w:val="18"/>
                <w:szCs w:val="18"/>
                <w:lang w:val="hy-AM"/>
              </w:rPr>
              <w:t>202</w:t>
            </w:r>
            <w:r>
              <w:rPr>
                <w:color w:val="000000"/>
                <w:sz w:val="18"/>
                <w:szCs w:val="18"/>
              </w:rPr>
              <w:t>3</w:t>
            </w:r>
            <w:r w:rsidRPr="003D6F2C">
              <w:rPr>
                <w:color w:val="000000"/>
                <w:sz w:val="18"/>
                <w:szCs w:val="18"/>
                <w:lang w:val="hy-AM"/>
              </w:rPr>
              <w:t xml:space="preserve"> </w:t>
            </w:r>
          </w:p>
        </w:tc>
        <w:tc>
          <w:tcPr>
            <w:tcW w:w="990" w:type="dxa"/>
            <w:tcBorders>
              <w:bottom w:val="single" w:sz="2" w:space="0" w:color="auto"/>
            </w:tcBorders>
            <w:shd w:val="clear" w:color="auto" w:fill="auto"/>
            <w:noWrap/>
            <w:vAlign w:val="center"/>
            <w:hideMark/>
          </w:tcPr>
          <w:p w14:paraId="62C02557" w14:textId="77777777" w:rsidR="003D5ABC" w:rsidRPr="003D6F2C" w:rsidRDefault="003D5ABC" w:rsidP="002F1B9B">
            <w:pPr>
              <w:tabs>
                <w:tab w:val="left" w:pos="0"/>
              </w:tabs>
              <w:spacing w:before="120" w:after="0" w:line="240" w:lineRule="auto"/>
              <w:ind w:firstLine="0"/>
              <w:jc w:val="center"/>
              <w:rPr>
                <w:b/>
                <w:color w:val="000000"/>
                <w:sz w:val="18"/>
                <w:szCs w:val="18"/>
              </w:rPr>
            </w:pPr>
            <w:r w:rsidRPr="003D6F2C">
              <w:rPr>
                <w:color w:val="000000"/>
                <w:sz w:val="18"/>
                <w:szCs w:val="18"/>
                <w:lang w:val="hy-AM"/>
              </w:rPr>
              <w:t>202</w:t>
            </w:r>
            <w:r>
              <w:rPr>
                <w:color w:val="000000"/>
                <w:sz w:val="18"/>
                <w:szCs w:val="18"/>
              </w:rPr>
              <w:t>4</w:t>
            </w:r>
          </w:p>
        </w:tc>
        <w:tc>
          <w:tcPr>
            <w:tcW w:w="900" w:type="dxa"/>
            <w:tcBorders>
              <w:top w:val="single" w:sz="2" w:space="0" w:color="auto"/>
              <w:bottom w:val="single" w:sz="2" w:space="0" w:color="auto"/>
            </w:tcBorders>
            <w:shd w:val="clear" w:color="auto" w:fill="auto"/>
            <w:noWrap/>
            <w:vAlign w:val="center"/>
            <w:hideMark/>
          </w:tcPr>
          <w:p w14:paraId="006558A5" w14:textId="77777777" w:rsidR="003D5ABC" w:rsidRPr="003D6F2C" w:rsidRDefault="003D5ABC" w:rsidP="002F1B9B">
            <w:pPr>
              <w:tabs>
                <w:tab w:val="left" w:pos="0"/>
              </w:tabs>
              <w:spacing w:before="120" w:after="0" w:line="240" w:lineRule="auto"/>
              <w:ind w:firstLine="0"/>
              <w:jc w:val="center"/>
              <w:rPr>
                <w:color w:val="000000"/>
                <w:sz w:val="18"/>
                <w:szCs w:val="18"/>
              </w:rPr>
            </w:pPr>
            <w:r>
              <w:rPr>
                <w:color w:val="000000"/>
                <w:sz w:val="18"/>
                <w:szCs w:val="18"/>
                <w:lang w:val="hy-AM"/>
              </w:rPr>
              <w:t>202</w:t>
            </w:r>
            <w:r>
              <w:rPr>
                <w:color w:val="000000"/>
                <w:sz w:val="18"/>
                <w:szCs w:val="18"/>
              </w:rPr>
              <w:t>5</w:t>
            </w:r>
            <w:r w:rsidRPr="003D6F2C">
              <w:rPr>
                <w:color w:val="000000"/>
                <w:sz w:val="18"/>
                <w:szCs w:val="18"/>
                <w:lang w:val="hy-AM"/>
              </w:rPr>
              <w:t xml:space="preserve"> </w:t>
            </w:r>
          </w:p>
        </w:tc>
        <w:tc>
          <w:tcPr>
            <w:tcW w:w="810" w:type="dxa"/>
            <w:tcBorders>
              <w:top w:val="single" w:sz="2" w:space="0" w:color="auto"/>
              <w:bottom w:val="single" w:sz="2" w:space="0" w:color="auto"/>
            </w:tcBorders>
            <w:shd w:val="clear" w:color="auto" w:fill="auto"/>
            <w:noWrap/>
            <w:vAlign w:val="center"/>
            <w:hideMark/>
          </w:tcPr>
          <w:p w14:paraId="4B0663D8" w14:textId="77777777" w:rsidR="003D5ABC" w:rsidRPr="003D6F2C" w:rsidRDefault="003D5ABC" w:rsidP="002F1B9B">
            <w:pPr>
              <w:tabs>
                <w:tab w:val="left" w:pos="0"/>
              </w:tabs>
              <w:spacing w:before="120" w:after="0" w:line="240" w:lineRule="auto"/>
              <w:ind w:firstLine="0"/>
              <w:jc w:val="center"/>
              <w:rPr>
                <w:color w:val="000000"/>
                <w:sz w:val="18"/>
                <w:szCs w:val="18"/>
              </w:rPr>
            </w:pPr>
            <w:r>
              <w:rPr>
                <w:color w:val="000000"/>
                <w:sz w:val="18"/>
                <w:szCs w:val="18"/>
                <w:lang w:val="hy-AM"/>
              </w:rPr>
              <w:t>202</w:t>
            </w:r>
            <w:r>
              <w:rPr>
                <w:color w:val="000000"/>
                <w:sz w:val="18"/>
                <w:szCs w:val="18"/>
              </w:rPr>
              <w:t>6</w:t>
            </w:r>
            <w:r w:rsidRPr="003D6F2C">
              <w:rPr>
                <w:color w:val="000000"/>
                <w:sz w:val="18"/>
                <w:szCs w:val="18"/>
                <w:lang w:val="hy-AM"/>
              </w:rPr>
              <w:t xml:space="preserve"> </w:t>
            </w:r>
          </w:p>
        </w:tc>
        <w:tc>
          <w:tcPr>
            <w:tcW w:w="900" w:type="dxa"/>
            <w:tcBorders>
              <w:top w:val="single" w:sz="2" w:space="0" w:color="auto"/>
              <w:bottom w:val="single" w:sz="2" w:space="0" w:color="auto"/>
            </w:tcBorders>
            <w:shd w:val="clear" w:color="auto" w:fill="auto"/>
            <w:vAlign w:val="center"/>
            <w:hideMark/>
          </w:tcPr>
          <w:p w14:paraId="4F312E42" w14:textId="77777777" w:rsidR="003D5ABC" w:rsidRPr="00220F43" w:rsidRDefault="003D5ABC" w:rsidP="002F1B9B">
            <w:pPr>
              <w:tabs>
                <w:tab w:val="left" w:pos="0"/>
              </w:tabs>
              <w:spacing w:before="120" w:after="0" w:line="240" w:lineRule="auto"/>
              <w:ind w:firstLine="0"/>
              <w:jc w:val="center"/>
              <w:rPr>
                <w:color w:val="000000"/>
                <w:sz w:val="18"/>
                <w:szCs w:val="18"/>
              </w:rPr>
            </w:pPr>
            <w:r>
              <w:rPr>
                <w:color w:val="000000"/>
                <w:sz w:val="18"/>
                <w:szCs w:val="18"/>
                <w:lang w:val="hy-AM"/>
              </w:rPr>
              <w:t>202</w:t>
            </w:r>
            <w:r>
              <w:rPr>
                <w:color w:val="000000"/>
                <w:sz w:val="18"/>
                <w:szCs w:val="18"/>
              </w:rPr>
              <w:t>7</w:t>
            </w:r>
          </w:p>
        </w:tc>
      </w:tr>
      <w:tr w:rsidR="003D5ABC" w:rsidRPr="00220F43" w14:paraId="34370037" w14:textId="77777777" w:rsidTr="002F1B9B">
        <w:trPr>
          <w:trHeight w:val="319"/>
        </w:trPr>
        <w:tc>
          <w:tcPr>
            <w:tcW w:w="3129" w:type="dxa"/>
            <w:tcBorders>
              <w:top w:val="single" w:sz="2" w:space="0" w:color="auto"/>
              <w:bottom w:val="single" w:sz="2" w:space="0" w:color="auto"/>
            </w:tcBorders>
            <w:shd w:val="clear" w:color="auto" w:fill="auto"/>
            <w:vAlign w:val="center"/>
            <w:hideMark/>
          </w:tcPr>
          <w:p w14:paraId="249F219A" w14:textId="77777777" w:rsidR="003D5ABC" w:rsidRPr="003D6F2C" w:rsidRDefault="003D5ABC" w:rsidP="002F1B9B">
            <w:pPr>
              <w:tabs>
                <w:tab w:val="left" w:pos="0"/>
              </w:tabs>
              <w:spacing w:before="120" w:after="0" w:line="240" w:lineRule="auto"/>
              <w:ind w:firstLine="0"/>
              <w:jc w:val="left"/>
              <w:rPr>
                <w:color w:val="000000"/>
                <w:sz w:val="18"/>
                <w:szCs w:val="18"/>
              </w:rPr>
            </w:pPr>
            <w:r w:rsidRPr="003D6F2C">
              <w:rPr>
                <w:rFonts w:cs="Calibri"/>
                <w:color w:val="000000"/>
                <w:sz w:val="18"/>
                <w:szCs w:val="18"/>
                <w:lang w:val="hy-AM"/>
              </w:rPr>
              <w:t>Պետական  բյուջեի  դեֆիցիտի ֆինանսավորման աղբյուրները</w:t>
            </w:r>
          </w:p>
        </w:tc>
        <w:tc>
          <w:tcPr>
            <w:tcW w:w="900" w:type="dxa"/>
            <w:tcBorders>
              <w:top w:val="single" w:sz="2" w:space="0" w:color="auto"/>
              <w:bottom w:val="single" w:sz="2" w:space="0" w:color="auto"/>
            </w:tcBorders>
            <w:shd w:val="clear" w:color="auto" w:fill="auto"/>
            <w:noWrap/>
            <w:vAlign w:val="center"/>
          </w:tcPr>
          <w:p w14:paraId="07D8E851"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320.5</w:t>
            </w:r>
          </w:p>
        </w:tc>
        <w:tc>
          <w:tcPr>
            <w:tcW w:w="810" w:type="dxa"/>
            <w:tcBorders>
              <w:top w:val="single" w:sz="2" w:space="0" w:color="auto"/>
              <w:bottom w:val="single" w:sz="2" w:space="0" w:color="auto"/>
            </w:tcBorders>
            <w:shd w:val="clear" w:color="auto" w:fill="auto"/>
            <w:noWrap/>
            <w:vAlign w:val="center"/>
            <w:hideMark/>
          </w:tcPr>
          <w:p w14:paraId="275516F6"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179.5</w:t>
            </w:r>
          </w:p>
        </w:tc>
        <w:tc>
          <w:tcPr>
            <w:tcW w:w="990" w:type="dxa"/>
            <w:tcBorders>
              <w:top w:val="single" w:sz="2" w:space="0" w:color="auto"/>
              <w:bottom w:val="single" w:sz="2" w:space="0" w:color="auto"/>
            </w:tcBorders>
            <w:shd w:val="clear" w:color="auto" w:fill="auto"/>
            <w:noWrap/>
            <w:vAlign w:val="center"/>
          </w:tcPr>
          <w:p w14:paraId="065EA34D" w14:textId="77777777" w:rsidR="003D5ABC" w:rsidRPr="006A5A53" w:rsidRDefault="003D5ABC" w:rsidP="006C1919">
            <w:pPr>
              <w:tabs>
                <w:tab w:val="left" w:pos="0"/>
              </w:tabs>
              <w:spacing w:before="120" w:after="0" w:line="240" w:lineRule="auto"/>
              <w:ind w:firstLine="0"/>
              <w:jc w:val="right"/>
              <w:rPr>
                <w:rFonts w:cs="Calibri"/>
                <w:color w:val="000000"/>
                <w:sz w:val="18"/>
                <w:szCs w:val="18"/>
                <w:lang w:val="hy-AM"/>
              </w:rPr>
            </w:pPr>
            <w:r w:rsidRPr="006A5A53">
              <w:rPr>
                <w:rFonts w:cs="Calibri"/>
                <w:color w:val="000000"/>
                <w:sz w:val="18"/>
                <w:szCs w:val="18"/>
                <w:lang w:val="hy-AM"/>
              </w:rPr>
              <w:t>188.9</w:t>
            </w:r>
          </w:p>
        </w:tc>
        <w:tc>
          <w:tcPr>
            <w:tcW w:w="990" w:type="dxa"/>
            <w:tcBorders>
              <w:top w:val="single" w:sz="2" w:space="0" w:color="auto"/>
              <w:bottom w:val="single" w:sz="2" w:space="0" w:color="auto"/>
            </w:tcBorders>
            <w:shd w:val="clear" w:color="auto" w:fill="auto"/>
            <w:noWrap/>
            <w:vAlign w:val="center"/>
          </w:tcPr>
          <w:p w14:paraId="77AB82D5"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ru-RU"/>
              </w:rPr>
            </w:pPr>
            <w:r w:rsidRPr="006C1919">
              <w:rPr>
                <w:rFonts w:cs="Calibri"/>
                <w:color w:val="000000"/>
                <w:sz w:val="18"/>
                <w:szCs w:val="18"/>
                <w:lang w:val="ru-RU"/>
              </w:rPr>
              <w:t>482,9</w:t>
            </w:r>
          </w:p>
        </w:tc>
        <w:tc>
          <w:tcPr>
            <w:tcW w:w="900" w:type="dxa"/>
            <w:tcBorders>
              <w:top w:val="single" w:sz="2" w:space="0" w:color="auto"/>
              <w:bottom w:val="single" w:sz="2" w:space="0" w:color="auto"/>
            </w:tcBorders>
            <w:shd w:val="clear" w:color="auto" w:fill="auto"/>
            <w:noWrap/>
            <w:vAlign w:val="center"/>
          </w:tcPr>
          <w:p w14:paraId="09C7189F"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615.8</w:t>
            </w:r>
          </w:p>
        </w:tc>
        <w:tc>
          <w:tcPr>
            <w:tcW w:w="810" w:type="dxa"/>
            <w:tcBorders>
              <w:top w:val="single" w:sz="2" w:space="0" w:color="auto"/>
              <w:bottom w:val="single" w:sz="2" w:space="0" w:color="auto"/>
            </w:tcBorders>
            <w:shd w:val="clear" w:color="auto" w:fill="auto"/>
            <w:noWrap/>
            <w:vAlign w:val="center"/>
          </w:tcPr>
          <w:p w14:paraId="36084D53"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553.9</w:t>
            </w:r>
          </w:p>
        </w:tc>
        <w:tc>
          <w:tcPr>
            <w:tcW w:w="900" w:type="dxa"/>
            <w:tcBorders>
              <w:top w:val="single" w:sz="2" w:space="0" w:color="auto"/>
              <w:bottom w:val="single" w:sz="2" w:space="0" w:color="auto"/>
            </w:tcBorders>
            <w:shd w:val="clear" w:color="auto" w:fill="auto"/>
            <w:vAlign w:val="center"/>
          </w:tcPr>
          <w:p w14:paraId="778B4084"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472.7</w:t>
            </w:r>
          </w:p>
        </w:tc>
      </w:tr>
      <w:tr w:rsidR="003D5ABC" w:rsidRPr="003D6F2C" w14:paraId="708980FE" w14:textId="77777777" w:rsidTr="002F1B9B">
        <w:trPr>
          <w:trHeight w:val="315"/>
        </w:trPr>
        <w:tc>
          <w:tcPr>
            <w:tcW w:w="3129" w:type="dxa"/>
            <w:tcBorders>
              <w:top w:val="single" w:sz="2" w:space="0" w:color="auto"/>
              <w:bottom w:val="single" w:sz="2" w:space="0" w:color="auto"/>
            </w:tcBorders>
            <w:shd w:val="clear" w:color="auto" w:fill="auto"/>
            <w:vAlign w:val="center"/>
            <w:hideMark/>
          </w:tcPr>
          <w:p w14:paraId="3D1005FD" w14:textId="77777777" w:rsidR="003D5ABC" w:rsidRPr="003D6F2C" w:rsidRDefault="003D5ABC" w:rsidP="002F1B9B">
            <w:pPr>
              <w:tabs>
                <w:tab w:val="left" w:pos="0"/>
              </w:tabs>
              <w:spacing w:before="120" w:after="0" w:line="240" w:lineRule="auto"/>
              <w:ind w:left="227" w:firstLine="0"/>
              <w:jc w:val="left"/>
              <w:rPr>
                <w:color w:val="000000"/>
                <w:sz w:val="18"/>
                <w:szCs w:val="18"/>
              </w:rPr>
            </w:pPr>
            <w:r w:rsidRPr="003D6F2C">
              <w:rPr>
                <w:rFonts w:cs="Calibri"/>
                <w:color w:val="000000"/>
                <w:sz w:val="18"/>
                <w:szCs w:val="18"/>
              </w:rPr>
              <w:t>1. Ներքին աղբյուրներ</w:t>
            </w:r>
          </w:p>
        </w:tc>
        <w:tc>
          <w:tcPr>
            <w:tcW w:w="900" w:type="dxa"/>
            <w:tcBorders>
              <w:top w:val="single" w:sz="2" w:space="0" w:color="auto"/>
              <w:bottom w:val="single" w:sz="2" w:space="0" w:color="auto"/>
            </w:tcBorders>
            <w:shd w:val="clear" w:color="auto" w:fill="auto"/>
            <w:noWrap/>
            <w:vAlign w:val="center"/>
          </w:tcPr>
          <w:p w14:paraId="2AC283BE"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101.2</w:t>
            </w:r>
          </w:p>
        </w:tc>
        <w:tc>
          <w:tcPr>
            <w:tcW w:w="810" w:type="dxa"/>
            <w:tcBorders>
              <w:top w:val="single" w:sz="2" w:space="0" w:color="auto"/>
              <w:bottom w:val="single" w:sz="2" w:space="0" w:color="auto"/>
            </w:tcBorders>
            <w:shd w:val="clear" w:color="auto" w:fill="auto"/>
            <w:noWrap/>
            <w:vAlign w:val="center"/>
            <w:hideMark/>
          </w:tcPr>
          <w:p w14:paraId="0344D8C8"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288.1</w:t>
            </w:r>
          </w:p>
        </w:tc>
        <w:tc>
          <w:tcPr>
            <w:tcW w:w="990" w:type="dxa"/>
            <w:tcBorders>
              <w:top w:val="single" w:sz="2" w:space="0" w:color="auto"/>
              <w:bottom w:val="single" w:sz="2" w:space="0" w:color="auto"/>
            </w:tcBorders>
            <w:shd w:val="clear" w:color="auto" w:fill="auto"/>
            <w:noWrap/>
            <w:vAlign w:val="center"/>
          </w:tcPr>
          <w:p w14:paraId="033D3273" w14:textId="77777777" w:rsidR="003D5ABC" w:rsidRPr="006A5A53" w:rsidRDefault="003D5ABC" w:rsidP="006C1919">
            <w:pPr>
              <w:tabs>
                <w:tab w:val="left" w:pos="0"/>
              </w:tabs>
              <w:spacing w:before="120" w:after="0" w:line="240" w:lineRule="auto"/>
              <w:ind w:firstLine="0"/>
              <w:jc w:val="right"/>
              <w:rPr>
                <w:rFonts w:cs="Calibri"/>
                <w:color w:val="000000"/>
                <w:sz w:val="18"/>
                <w:szCs w:val="18"/>
                <w:lang w:val="hy-AM"/>
              </w:rPr>
            </w:pPr>
            <w:r w:rsidRPr="006A5A53">
              <w:rPr>
                <w:rFonts w:cs="Calibri"/>
                <w:color w:val="000000"/>
                <w:sz w:val="18"/>
                <w:szCs w:val="18"/>
                <w:lang w:val="hy-AM"/>
              </w:rPr>
              <w:t>412.3</w:t>
            </w:r>
          </w:p>
        </w:tc>
        <w:tc>
          <w:tcPr>
            <w:tcW w:w="990" w:type="dxa"/>
            <w:tcBorders>
              <w:top w:val="single" w:sz="2" w:space="0" w:color="auto"/>
              <w:bottom w:val="single" w:sz="2" w:space="0" w:color="auto"/>
            </w:tcBorders>
            <w:shd w:val="clear" w:color="auto" w:fill="auto"/>
            <w:noWrap/>
            <w:vAlign w:val="center"/>
          </w:tcPr>
          <w:p w14:paraId="5DC50553"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ru-RU"/>
              </w:rPr>
            </w:pPr>
            <w:r w:rsidRPr="006C1919">
              <w:rPr>
                <w:rFonts w:cs="Calibri"/>
                <w:color w:val="000000"/>
                <w:sz w:val="18"/>
                <w:szCs w:val="18"/>
                <w:lang w:val="ru-RU"/>
              </w:rPr>
              <w:t>351,2</w:t>
            </w:r>
          </w:p>
        </w:tc>
        <w:tc>
          <w:tcPr>
            <w:tcW w:w="900" w:type="dxa"/>
            <w:tcBorders>
              <w:top w:val="single" w:sz="2" w:space="0" w:color="auto"/>
              <w:bottom w:val="single" w:sz="2" w:space="0" w:color="auto"/>
            </w:tcBorders>
            <w:shd w:val="clear" w:color="auto" w:fill="auto"/>
            <w:noWrap/>
            <w:vAlign w:val="center"/>
          </w:tcPr>
          <w:tbl>
            <w:tblPr>
              <w:tblW w:w="6460" w:type="dxa"/>
              <w:tblLayout w:type="fixed"/>
              <w:tblLook w:val="04A0" w:firstRow="1" w:lastRow="0" w:firstColumn="1" w:lastColumn="0" w:noHBand="0" w:noVBand="1"/>
            </w:tblPr>
            <w:tblGrid>
              <w:gridCol w:w="2100"/>
              <w:gridCol w:w="2200"/>
              <w:gridCol w:w="2160"/>
            </w:tblGrid>
            <w:tr w:rsidR="003D5ABC" w:rsidRPr="006C1919" w14:paraId="58F4C38E" w14:textId="77777777" w:rsidTr="003D5ABC">
              <w:trPr>
                <w:trHeight w:val="330"/>
              </w:trPr>
              <w:tc>
                <w:tcPr>
                  <w:tcW w:w="2100" w:type="dxa"/>
                  <w:tcBorders>
                    <w:top w:val="nil"/>
                    <w:left w:val="nil"/>
                    <w:bottom w:val="nil"/>
                    <w:right w:val="nil"/>
                  </w:tcBorders>
                  <w:shd w:val="clear" w:color="auto" w:fill="auto"/>
                  <w:noWrap/>
                  <w:vAlign w:val="bottom"/>
                  <w:hideMark/>
                </w:tcPr>
                <w:p w14:paraId="38CDEAAC" w14:textId="2CD45DAB" w:rsidR="003D5ABC" w:rsidRPr="003D5ABC" w:rsidRDefault="003D5ABC" w:rsidP="006C1919">
                  <w:pPr>
                    <w:tabs>
                      <w:tab w:val="left" w:pos="0"/>
                    </w:tabs>
                    <w:spacing w:before="120" w:after="0" w:line="240" w:lineRule="auto"/>
                    <w:ind w:firstLine="0"/>
                    <w:jc w:val="right"/>
                    <w:rPr>
                      <w:rFonts w:cs="Calibri"/>
                      <w:color w:val="000000"/>
                      <w:sz w:val="18"/>
                      <w:szCs w:val="18"/>
                      <w:lang w:val="ru-RU"/>
                    </w:rPr>
                  </w:pPr>
                  <w:r w:rsidRPr="003D5ABC">
                    <w:rPr>
                      <w:rFonts w:cs="Calibri"/>
                      <w:color w:val="000000"/>
                      <w:sz w:val="18"/>
                      <w:szCs w:val="18"/>
                      <w:lang w:val="ru-RU"/>
                    </w:rPr>
                    <w:t xml:space="preserve">  </w:t>
                  </w:r>
                  <w:r w:rsidRPr="006C1919">
                    <w:rPr>
                      <w:rFonts w:cs="Calibri"/>
                      <w:color w:val="000000"/>
                      <w:sz w:val="18"/>
                      <w:szCs w:val="18"/>
                      <w:lang w:val="hy-AM"/>
                    </w:rPr>
                    <w:t>253.1</w:t>
                  </w:r>
                  <w:r w:rsidRPr="003D5ABC">
                    <w:rPr>
                      <w:rFonts w:cs="Calibri"/>
                      <w:color w:val="000000"/>
                      <w:sz w:val="18"/>
                      <w:szCs w:val="18"/>
                      <w:lang w:val="ru-RU"/>
                    </w:rPr>
                    <w:t xml:space="preserve">                253.1 </w:t>
                  </w:r>
                </w:p>
              </w:tc>
              <w:tc>
                <w:tcPr>
                  <w:tcW w:w="2200" w:type="dxa"/>
                  <w:tcBorders>
                    <w:top w:val="nil"/>
                    <w:left w:val="nil"/>
                    <w:bottom w:val="nil"/>
                    <w:right w:val="nil"/>
                  </w:tcBorders>
                  <w:shd w:val="clear" w:color="auto" w:fill="auto"/>
                  <w:noWrap/>
                  <w:vAlign w:val="bottom"/>
                  <w:hideMark/>
                </w:tcPr>
                <w:p w14:paraId="4EB0A099" w14:textId="77777777" w:rsidR="003D5ABC" w:rsidRPr="003D5ABC" w:rsidRDefault="003D5ABC" w:rsidP="006C1919">
                  <w:pPr>
                    <w:tabs>
                      <w:tab w:val="left" w:pos="0"/>
                    </w:tabs>
                    <w:spacing w:before="120" w:after="0" w:line="240" w:lineRule="auto"/>
                    <w:ind w:firstLine="0"/>
                    <w:jc w:val="right"/>
                    <w:rPr>
                      <w:rFonts w:cs="Calibri"/>
                      <w:color w:val="000000"/>
                      <w:sz w:val="18"/>
                      <w:szCs w:val="18"/>
                      <w:lang w:val="ru-RU"/>
                    </w:rPr>
                  </w:pPr>
                  <w:r w:rsidRPr="003D5ABC">
                    <w:rPr>
                      <w:rFonts w:cs="Calibri"/>
                      <w:color w:val="000000"/>
                      <w:sz w:val="18"/>
                      <w:szCs w:val="18"/>
                      <w:lang w:val="ru-RU"/>
                    </w:rPr>
                    <w:t xml:space="preserve">                   244.5 </w:t>
                  </w:r>
                </w:p>
              </w:tc>
              <w:tc>
                <w:tcPr>
                  <w:tcW w:w="2160" w:type="dxa"/>
                  <w:tcBorders>
                    <w:top w:val="nil"/>
                    <w:left w:val="nil"/>
                    <w:bottom w:val="nil"/>
                    <w:right w:val="nil"/>
                  </w:tcBorders>
                  <w:shd w:val="clear" w:color="auto" w:fill="auto"/>
                  <w:noWrap/>
                  <w:vAlign w:val="bottom"/>
                  <w:hideMark/>
                </w:tcPr>
                <w:p w14:paraId="690DFECC" w14:textId="77777777" w:rsidR="003D5ABC" w:rsidRPr="003D5ABC" w:rsidRDefault="003D5ABC" w:rsidP="006C1919">
                  <w:pPr>
                    <w:tabs>
                      <w:tab w:val="left" w:pos="0"/>
                    </w:tabs>
                    <w:spacing w:before="120" w:after="0" w:line="240" w:lineRule="auto"/>
                    <w:ind w:firstLine="0"/>
                    <w:jc w:val="right"/>
                    <w:rPr>
                      <w:rFonts w:cs="Calibri"/>
                      <w:color w:val="000000"/>
                      <w:sz w:val="18"/>
                      <w:szCs w:val="18"/>
                      <w:lang w:val="ru-RU"/>
                    </w:rPr>
                  </w:pPr>
                  <w:r w:rsidRPr="003D5ABC">
                    <w:rPr>
                      <w:rFonts w:cs="Calibri"/>
                      <w:color w:val="000000"/>
                      <w:sz w:val="18"/>
                      <w:szCs w:val="18"/>
                      <w:lang w:val="ru-RU"/>
                    </w:rPr>
                    <w:t xml:space="preserve">                    97.5 </w:t>
                  </w:r>
                </w:p>
              </w:tc>
            </w:tr>
          </w:tbl>
          <w:p w14:paraId="6A6A1DAF" w14:textId="77777777" w:rsidR="003D5ABC" w:rsidRPr="006C1919" w:rsidRDefault="003D5ABC" w:rsidP="006C1919">
            <w:pPr>
              <w:tabs>
                <w:tab w:val="left" w:pos="0"/>
              </w:tabs>
              <w:spacing w:before="120" w:after="0" w:line="240" w:lineRule="auto"/>
              <w:ind w:firstLine="0"/>
              <w:jc w:val="right"/>
              <w:rPr>
                <w:rFonts w:cs="Calibri"/>
                <w:color w:val="000000" w:themeColor="text1"/>
                <w:sz w:val="18"/>
                <w:szCs w:val="18"/>
              </w:rPr>
            </w:pPr>
          </w:p>
        </w:tc>
        <w:tc>
          <w:tcPr>
            <w:tcW w:w="810" w:type="dxa"/>
            <w:tcBorders>
              <w:top w:val="single" w:sz="2" w:space="0" w:color="auto"/>
              <w:bottom w:val="single" w:sz="2" w:space="0" w:color="auto"/>
            </w:tcBorders>
            <w:shd w:val="clear" w:color="auto" w:fill="auto"/>
            <w:noWrap/>
            <w:vAlign w:val="center"/>
          </w:tcPr>
          <w:p w14:paraId="0401A14A" w14:textId="5B1C8DBB" w:rsidR="003D5ABC" w:rsidRPr="006C1919" w:rsidRDefault="006C1919" w:rsidP="006C1919">
            <w:pPr>
              <w:tabs>
                <w:tab w:val="left" w:pos="0"/>
              </w:tabs>
              <w:spacing w:before="120" w:after="0" w:line="240" w:lineRule="auto"/>
              <w:ind w:firstLine="0"/>
              <w:jc w:val="right"/>
              <w:rPr>
                <w:rFonts w:cs="Calibri"/>
                <w:color w:val="000000" w:themeColor="text1"/>
                <w:sz w:val="18"/>
                <w:szCs w:val="18"/>
                <w:lang w:val="hy-AM"/>
              </w:rPr>
            </w:pPr>
            <w:r w:rsidRPr="006C1919">
              <w:rPr>
                <w:rFonts w:cs="Calibri"/>
                <w:color w:val="000000" w:themeColor="text1"/>
                <w:sz w:val="18"/>
                <w:szCs w:val="18"/>
                <w:lang w:val="hy-AM"/>
              </w:rPr>
              <w:t>244.5</w:t>
            </w:r>
          </w:p>
        </w:tc>
        <w:tc>
          <w:tcPr>
            <w:tcW w:w="900" w:type="dxa"/>
            <w:tcBorders>
              <w:top w:val="single" w:sz="2" w:space="0" w:color="auto"/>
              <w:bottom w:val="single" w:sz="2" w:space="0" w:color="auto"/>
            </w:tcBorders>
            <w:shd w:val="clear" w:color="auto" w:fill="auto"/>
            <w:vAlign w:val="center"/>
          </w:tcPr>
          <w:p w14:paraId="4D9537C6" w14:textId="79833EF3" w:rsidR="003D5ABC" w:rsidRPr="006C1919" w:rsidRDefault="006C1919" w:rsidP="006C1919">
            <w:pPr>
              <w:tabs>
                <w:tab w:val="left" w:pos="0"/>
              </w:tabs>
              <w:spacing w:before="120" w:after="0" w:line="240" w:lineRule="auto"/>
              <w:ind w:firstLine="0"/>
              <w:jc w:val="right"/>
              <w:rPr>
                <w:rFonts w:cs="Calibri"/>
                <w:color w:val="000000" w:themeColor="text1"/>
                <w:sz w:val="18"/>
                <w:szCs w:val="18"/>
                <w:lang w:val="hy-AM"/>
              </w:rPr>
            </w:pPr>
            <w:r w:rsidRPr="006C1919">
              <w:rPr>
                <w:rFonts w:cs="Calibri"/>
                <w:color w:val="000000" w:themeColor="text1"/>
                <w:sz w:val="18"/>
                <w:szCs w:val="18"/>
                <w:lang w:val="hy-AM"/>
              </w:rPr>
              <w:t>97.5</w:t>
            </w:r>
          </w:p>
        </w:tc>
      </w:tr>
      <w:tr w:rsidR="003D5ABC" w:rsidRPr="003D6F2C" w14:paraId="63D7A91B" w14:textId="77777777" w:rsidTr="002F1B9B">
        <w:trPr>
          <w:trHeight w:val="463"/>
        </w:trPr>
        <w:tc>
          <w:tcPr>
            <w:tcW w:w="3129" w:type="dxa"/>
            <w:tcBorders>
              <w:top w:val="single" w:sz="2" w:space="0" w:color="auto"/>
              <w:bottom w:val="single" w:sz="2" w:space="0" w:color="auto"/>
            </w:tcBorders>
            <w:shd w:val="clear" w:color="auto" w:fill="auto"/>
            <w:vAlign w:val="center"/>
            <w:hideMark/>
          </w:tcPr>
          <w:p w14:paraId="662676D9" w14:textId="77777777" w:rsidR="003D5ABC" w:rsidRPr="003D6F2C" w:rsidRDefault="003D5ABC" w:rsidP="002F1B9B">
            <w:pPr>
              <w:tabs>
                <w:tab w:val="left" w:pos="0"/>
                <w:tab w:val="left" w:pos="337"/>
              </w:tabs>
              <w:spacing w:before="120" w:after="0" w:line="240" w:lineRule="auto"/>
              <w:ind w:left="227" w:firstLine="0"/>
              <w:jc w:val="left"/>
              <w:rPr>
                <w:color w:val="000000"/>
                <w:sz w:val="18"/>
                <w:szCs w:val="18"/>
              </w:rPr>
            </w:pPr>
            <w:r w:rsidRPr="003D6F2C">
              <w:rPr>
                <w:rFonts w:cs="Calibri"/>
                <w:color w:val="000000"/>
                <w:sz w:val="18"/>
                <w:szCs w:val="18"/>
              </w:rPr>
              <w:t>2. Արտաքին աղբյուրներ</w:t>
            </w:r>
          </w:p>
        </w:tc>
        <w:tc>
          <w:tcPr>
            <w:tcW w:w="900" w:type="dxa"/>
            <w:tcBorders>
              <w:top w:val="single" w:sz="2" w:space="0" w:color="auto"/>
              <w:bottom w:val="single" w:sz="2" w:space="0" w:color="auto"/>
            </w:tcBorders>
            <w:shd w:val="clear" w:color="auto" w:fill="auto"/>
            <w:noWrap/>
            <w:vAlign w:val="center"/>
          </w:tcPr>
          <w:p w14:paraId="6CAA564B"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219.3</w:t>
            </w:r>
          </w:p>
        </w:tc>
        <w:tc>
          <w:tcPr>
            <w:tcW w:w="810" w:type="dxa"/>
            <w:tcBorders>
              <w:top w:val="single" w:sz="2" w:space="0" w:color="auto"/>
              <w:bottom w:val="single" w:sz="2" w:space="0" w:color="auto"/>
            </w:tcBorders>
            <w:shd w:val="clear" w:color="auto" w:fill="auto"/>
            <w:noWrap/>
            <w:vAlign w:val="center"/>
            <w:hideMark/>
          </w:tcPr>
          <w:p w14:paraId="5DBD77ED" w14:textId="77777777" w:rsidR="003D5ABC" w:rsidRPr="00A96132" w:rsidRDefault="003D5ABC" w:rsidP="006C1919">
            <w:pPr>
              <w:tabs>
                <w:tab w:val="left" w:pos="0"/>
              </w:tabs>
              <w:spacing w:before="120" w:after="0" w:line="240" w:lineRule="auto"/>
              <w:ind w:firstLine="0"/>
              <w:jc w:val="right"/>
              <w:rPr>
                <w:rFonts w:cs="Calibri"/>
                <w:color w:val="000000"/>
                <w:sz w:val="18"/>
                <w:szCs w:val="18"/>
              </w:rPr>
            </w:pPr>
            <w:r w:rsidRPr="00A96132">
              <w:rPr>
                <w:rFonts w:cs="Calibri"/>
                <w:color w:val="000000"/>
                <w:sz w:val="18"/>
                <w:szCs w:val="18"/>
              </w:rPr>
              <w:t>(108.6)</w:t>
            </w:r>
          </w:p>
        </w:tc>
        <w:tc>
          <w:tcPr>
            <w:tcW w:w="990" w:type="dxa"/>
            <w:tcBorders>
              <w:top w:val="single" w:sz="2" w:space="0" w:color="auto"/>
              <w:bottom w:val="single" w:sz="2" w:space="0" w:color="auto"/>
            </w:tcBorders>
            <w:shd w:val="clear" w:color="auto" w:fill="auto"/>
            <w:noWrap/>
            <w:vAlign w:val="center"/>
          </w:tcPr>
          <w:p w14:paraId="48AEA287" w14:textId="77777777" w:rsidR="003D5ABC" w:rsidRPr="006A5A53" w:rsidRDefault="003D5ABC" w:rsidP="006C1919">
            <w:pPr>
              <w:tabs>
                <w:tab w:val="left" w:pos="0"/>
              </w:tabs>
              <w:spacing w:before="120" w:after="0" w:line="240" w:lineRule="auto"/>
              <w:ind w:firstLine="0"/>
              <w:jc w:val="right"/>
              <w:rPr>
                <w:rFonts w:cs="Calibri"/>
                <w:color w:val="000000"/>
                <w:sz w:val="18"/>
                <w:szCs w:val="18"/>
                <w:lang w:val="ru-RU"/>
              </w:rPr>
            </w:pPr>
            <w:r w:rsidRPr="006A5A53">
              <w:rPr>
                <w:rFonts w:cs="Calibri"/>
                <w:color w:val="000000"/>
                <w:sz w:val="18"/>
                <w:szCs w:val="18"/>
                <w:lang w:val="ru-RU"/>
              </w:rPr>
              <w:t>(223.5)</w:t>
            </w:r>
          </w:p>
        </w:tc>
        <w:tc>
          <w:tcPr>
            <w:tcW w:w="990" w:type="dxa"/>
            <w:tcBorders>
              <w:top w:val="single" w:sz="2" w:space="0" w:color="auto"/>
              <w:bottom w:val="single" w:sz="2" w:space="0" w:color="auto"/>
            </w:tcBorders>
            <w:shd w:val="clear" w:color="auto" w:fill="auto"/>
            <w:noWrap/>
            <w:vAlign w:val="center"/>
          </w:tcPr>
          <w:p w14:paraId="6E9DF04E" w14:textId="77777777" w:rsidR="003D5ABC" w:rsidRPr="006C1919" w:rsidRDefault="003D5ABC" w:rsidP="006C1919">
            <w:pPr>
              <w:tabs>
                <w:tab w:val="left" w:pos="0"/>
              </w:tabs>
              <w:spacing w:before="120" w:after="0" w:line="240" w:lineRule="auto"/>
              <w:ind w:firstLine="0"/>
              <w:jc w:val="right"/>
              <w:rPr>
                <w:rFonts w:cs="Calibri"/>
                <w:color w:val="000000"/>
                <w:sz w:val="18"/>
                <w:szCs w:val="18"/>
                <w:lang w:val="ru-RU"/>
              </w:rPr>
            </w:pPr>
            <w:r w:rsidRPr="006C1919">
              <w:rPr>
                <w:rFonts w:cs="Calibri"/>
                <w:color w:val="000000"/>
                <w:sz w:val="18"/>
                <w:szCs w:val="18"/>
                <w:lang w:val="ru-RU"/>
              </w:rPr>
              <w:t>131,7</w:t>
            </w:r>
          </w:p>
        </w:tc>
        <w:tc>
          <w:tcPr>
            <w:tcW w:w="900" w:type="dxa"/>
            <w:tcBorders>
              <w:top w:val="single" w:sz="2" w:space="0" w:color="auto"/>
              <w:bottom w:val="single" w:sz="2" w:space="0" w:color="auto"/>
            </w:tcBorders>
            <w:shd w:val="clear" w:color="auto" w:fill="auto"/>
            <w:noWrap/>
            <w:vAlign w:val="center"/>
          </w:tcPr>
          <w:p w14:paraId="3C18C351" w14:textId="091C05A5" w:rsidR="003D5ABC" w:rsidRPr="006C1919" w:rsidRDefault="006C1919"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362.7</w:t>
            </w:r>
          </w:p>
        </w:tc>
        <w:tc>
          <w:tcPr>
            <w:tcW w:w="810" w:type="dxa"/>
            <w:tcBorders>
              <w:top w:val="single" w:sz="2" w:space="0" w:color="auto"/>
              <w:bottom w:val="single" w:sz="2" w:space="0" w:color="auto"/>
            </w:tcBorders>
            <w:shd w:val="clear" w:color="auto" w:fill="auto"/>
            <w:noWrap/>
            <w:vAlign w:val="center"/>
          </w:tcPr>
          <w:p w14:paraId="1D09D252" w14:textId="3F1969FA" w:rsidR="003D5ABC" w:rsidRPr="006C1919" w:rsidRDefault="006C1919"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305.4</w:t>
            </w:r>
          </w:p>
        </w:tc>
        <w:tc>
          <w:tcPr>
            <w:tcW w:w="900" w:type="dxa"/>
            <w:tcBorders>
              <w:top w:val="single" w:sz="2" w:space="0" w:color="auto"/>
              <w:bottom w:val="single" w:sz="2" w:space="0" w:color="auto"/>
            </w:tcBorders>
            <w:shd w:val="clear" w:color="auto" w:fill="auto"/>
            <w:vAlign w:val="center"/>
          </w:tcPr>
          <w:p w14:paraId="1CD649BD" w14:textId="678F680C" w:rsidR="003D5ABC" w:rsidRPr="006C1919" w:rsidRDefault="006C1919" w:rsidP="006C1919">
            <w:pPr>
              <w:tabs>
                <w:tab w:val="left" w:pos="0"/>
              </w:tabs>
              <w:spacing w:before="120" w:after="0" w:line="240" w:lineRule="auto"/>
              <w:ind w:firstLine="0"/>
              <w:jc w:val="right"/>
              <w:rPr>
                <w:rFonts w:cs="Calibri"/>
                <w:color w:val="000000"/>
                <w:sz w:val="18"/>
                <w:szCs w:val="18"/>
                <w:lang w:val="hy-AM"/>
              </w:rPr>
            </w:pPr>
            <w:r w:rsidRPr="006C1919">
              <w:rPr>
                <w:rFonts w:cs="Calibri"/>
                <w:color w:val="000000"/>
                <w:sz w:val="18"/>
                <w:szCs w:val="18"/>
                <w:lang w:val="hy-AM"/>
              </w:rPr>
              <w:t>375.2</w:t>
            </w:r>
          </w:p>
        </w:tc>
      </w:tr>
    </w:tbl>
    <w:p w14:paraId="1C353DF3" w14:textId="77777777" w:rsidR="003D5ABC" w:rsidRDefault="003D5ABC" w:rsidP="006F7A03">
      <w:pPr>
        <w:tabs>
          <w:tab w:val="left" w:pos="0"/>
          <w:tab w:val="left" w:pos="2700"/>
        </w:tabs>
        <w:spacing w:before="120" w:after="0" w:line="276" w:lineRule="auto"/>
        <w:ind w:firstLine="0"/>
        <w:rPr>
          <w:rFonts w:cs="Sylfaen"/>
          <w:lang w:val="hy-AM"/>
        </w:rPr>
      </w:pPr>
    </w:p>
    <w:p w14:paraId="6BC0220D" w14:textId="38291C73" w:rsidR="006F7A03" w:rsidRPr="007830E5" w:rsidRDefault="006F7A03" w:rsidP="006F7A03">
      <w:pPr>
        <w:tabs>
          <w:tab w:val="left" w:pos="0"/>
          <w:tab w:val="left" w:pos="2700"/>
        </w:tabs>
        <w:spacing w:before="120" w:after="0" w:line="276" w:lineRule="auto"/>
        <w:ind w:firstLine="0"/>
        <w:rPr>
          <w:rFonts w:cs="Sylfaen"/>
          <w:lang w:val="hy-AM"/>
        </w:rPr>
      </w:pPr>
      <w:r w:rsidRPr="007830E5">
        <w:rPr>
          <w:rFonts w:cs="Sylfaen"/>
          <w:lang w:val="hy-AM"/>
        </w:rPr>
        <w:t>Պետական բյուջեի դեֆիցիտի հարաբերակցությունը ՀՆԱ-ի նկատմամբ</w:t>
      </w:r>
      <w:r>
        <w:rPr>
          <w:rFonts w:cs="Sylfaen"/>
          <w:lang w:val="hy-AM"/>
        </w:rPr>
        <w:t xml:space="preserve"> 2025-2027</w:t>
      </w:r>
      <w:r w:rsidRPr="007830E5">
        <w:rPr>
          <w:rFonts w:cs="Sylfaen"/>
          <w:lang w:val="hy-AM"/>
        </w:rPr>
        <w:t xml:space="preserve"> թվականին </w:t>
      </w:r>
      <w:r w:rsidR="007B7DEC">
        <w:rPr>
          <w:rFonts w:cs="Sylfaen"/>
          <w:lang w:val="hy-AM"/>
        </w:rPr>
        <w:t>կկայունանա և</w:t>
      </w:r>
      <w:r w:rsidRPr="007830E5">
        <w:rPr>
          <w:rFonts w:cs="Sylfaen"/>
          <w:lang w:val="hy-AM"/>
        </w:rPr>
        <w:t xml:space="preserve"> ՀՆԱ-ի</w:t>
      </w:r>
      <w:r w:rsidRPr="003D5ABC">
        <w:rPr>
          <w:rFonts w:cs="Sylfaen"/>
          <w:lang w:val="hy-AM"/>
        </w:rPr>
        <w:t xml:space="preserve"> 5.5</w:t>
      </w:r>
      <w:r w:rsidRPr="004A1036">
        <w:rPr>
          <w:rFonts w:cs="Sylfaen"/>
          <w:lang w:val="hy-AM"/>
        </w:rPr>
        <w:t xml:space="preserve">%-ից </w:t>
      </w:r>
      <w:r w:rsidR="007B7DEC">
        <w:rPr>
          <w:rFonts w:cs="Sylfaen"/>
          <w:lang w:val="hy-AM"/>
        </w:rPr>
        <w:t xml:space="preserve">կհասնի </w:t>
      </w:r>
      <w:r w:rsidRPr="003D5ABC">
        <w:rPr>
          <w:rFonts w:cs="Sylfaen"/>
          <w:lang w:val="hy-AM"/>
        </w:rPr>
        <w:t>3.5</w:t>
      </w:r>
      <w:r w:rsidRPr="004A1036">
        <w:rPr>
          <w:rFonts w:cs="Sylfaen"/>
          <w:lang w:val="hy-AM"/>
        </w:rPr>
        <w:t>%</w:t>
      </w:r>
      <w:r w:rsidR="007B7DEC">
        <w:rPr>
          <w:rFonts w:cs="Sylfaen"/>
          <w:lang w:val="hy-AM"/>
        </w:rPr>
        <w:t>-ի</w:t>
      </w:r>
      <w:r w:rsidRPr="004A1036">
        <w:rPr>
          <w:rFonts w:cs="Sylfaen"/>
          <w:lang w:val="hy-AM"/>
        </w:rPr>
        <w:t>:</w:t>
      </w:r>
      <w:r w:rsidRPr="007830E5">
        <w:rPr>
          <w:rFonts w:cs="Sylfaen"/>
          <w:lang w:val="hy-AM"/>
        </w:rPr>
        <w:t xml:space="preserve"> </w:t>
      </w:r>
    </w:p>
    <w:p w14:paraId="38C5DD5A" w14:textId="77777777" w:rsidR="003A2B66" w:rsidRPr="0031357F" w:rsidRDefault="003A2B66" w:rsidP="003A2B66">
      <w:pPr>
        <w:keepNext/>
        <w:keepLines/>
        <w:tabs>
          <w:tab w:val="left" w:pos="0"/>
        </w:tabs>
        <w:spacing w:before="120" w:after="0" w:line="276" w:lineRule="auto"/>
        <w:ind w:firstLine="0"/>
        <w:rPr>
          <w:b/>
          <w:lang w:val="hy-AM"/>
        </w:rPr>
      </w:pPr>
    </w:p>
    <w:p w14:paraId="19C987A3" w14:textId="77777777" w:rsidR="003A2B66" w:rsidRPr="0031357F" w:rsidRDefault="003A2B66" w:rsidP="003A2B66">
      <w:pPr>
        <w:keepNext/>
        <w:keepLines/>
        <w:tabs>
          <w:tab w:val="left" w:pos="0"/>
        </w:tabs>
        <w:spacing w:before="120" w:after="0" w:line="276" w:lineRule="auto"/>
        <w:ind w:firstLine="0"/>
        <w:rPr>
          <w:lang w:val="hy-AM"/>
        </w:rPr>
      </w:pPr>
      <w:r w:rsidRPr="0031357F">
        <w:rPr>
          <w:b/>
          <w:lang w:val="hy-AM"/>
        </w:rPr>
        <w:t xml:space="preserve">Աղյուսակ 4.1.2. </w:t>
      </w:r>
      <w:r w:rsidRPr="0031357F">
        <w:rPr>
          <w:rFonts w:cs="Sylfaen"/>
          <w:lang w:val="hy-AM"/>
        </w:rPr>
        <w:t>Ընդհանուր և առաջնային դեֆիցիտները</w:t>
      </w:r>
      <w:r>
        <w:rPr>
          <w:rFonts w:cs="Sylfaen"/>
          <w:lang w:val="hy-AM"/>
        </w:rPr>
        <w:t xml:space="preserve"> 202</w:t>
      </w:r>
      <w:r w:rsidRPr="00220F43">
        <w:rPr>
          <w:rFonts w:cs="Sylfaen"/>
          <w:lang w:val="hy-AM"/>
        </w:rPr>
        <w:t>5</w:t>
      </w:r>
      <w:r>
        <w:rPr>
          <w:rFonts w:cs="Sylfaen"/>
          <w:lang w:val="hy-AM"/>
        </w:rPr>
        <w:t>-202</w:t>
      </w:r>
      <w:r w:rsidRPr="00220F43">
        <w:rPr>
          <w:rFonts w:cs="Sylfaen"/>
          <w:lang w:val="hy-AM"/>
        </w:rPr>
        <w:t>7</w:t>
      </w:r>
      <w:r w:rsidRPr="0031357F">
        <w:rPr>
          <w:rFonts w:cs="Sylfaen"/>
          <w:lang w:val="hy-AM"/>
        </w:rPr>
        <w:t>թթ</w:t>
      </w:r>
      <w:r w:rsidRPr="0031357F">
        <w:rPr>
          <w:lang w:val="hy-AM"/>
        </w:rPr>
        <w:t xml:space="preserve"> </w:t>
      </w:r>
      <w:r w:rsidRPr="0031357F">
        <w:rPr>
          <w:rFonts w:cs="Sylfaen"/>
          <w:lang w:val="hy-AM"/>
        </w:rPr>
        <w:t>(% ՀՆԱ-ի նկատմամբ)</w:t>
      </w:r>
    </w:p>
    <w:tbl>
      <w:tblPr>
        <w:tblW w:w="9905" w:type="dxa"/>
        <w:tblInd w:w="-5" w:type="dxa"/>
        <w:tblLayout w:type="fixed"/>
        <w:tblLook w:val="04A0" w:firstRow="1" w:lastRow="0" w:firstColumn="1" w:lastColumn="0" w:noHBand="0" w:noVBand="1"/>
      </w:tblPr>
      <w:tblGrid>
        <w:gridCol w:w="6526"/>
        <w:gridCol w:w="1080"/>
        <w:gridCol w:w="990"/>
        <w:gridCol w:w="1309"/>
      </w:tblGrid>
      <w:tr w:rsidR="003A2B66" w:rsidRPr="003D6F2C" w14:paraId="29937098" w14:textId="77777777" w:rsidTr="002F1B9B">
        <w:trPr>
          <w:trHeight w:val="89"/>
        </w:trPr>
        <w:tc>
          <w:tcPr>
            <w:tcW w:w="6526" w:type="dxa"/>
            <w:vMerge w:val="restart"/>
            <w:shd w:val="clear" w:color="auto" w:fill="auto"/>
            <w:vAlign w:val="center"/>
            <w:hideMark/>
          </w:tcPr>
          <w:p w14:paraId="636525B2" w14:textId="77777777" w:rsidR="003A2B66" w:rsidRPr="003D6F2C" w:rsidRDefault="003A2B66" w:rsidP="002F1B9B">
            <w:pPr>
              <w:tabs>
                <w:tab w:val="left" w:pos="0"/>
              </w:tabs>
              <w:spacing w:before="120" w:after="0" w:line="240" w:lineRule="auto"/>
              <w:ind w:firstLine="0"/>
              <w:jc w:val="center"/>
              <w:rPr>
                <w:rFonts w:cs="Sylfaen"/>
                <w:color w:val="000000"/>
                <w:sz w:val="18"/>
                <w:szCs w:val="18"/>
                <w:lang w:val="hy-AM"/>
              </w:rPr>
            </w:pPr>
            <w:r w:rsidRPr="003D6F2C">
              <w:rPr>
                <w:rFonts w:cs="Sylfaen"/>
                <w:color w:val="000000"/>
                <w:sz w:val="18"/>
                <w:szCs w:val="18"/>
              </w:rPr>
              <w:t>Ցուցանիշ</w:t>
            </w:r>
          </w:p>
        </w:tc>
        <w:tc>
          <w:tcPr>
            <w:tcW w:w="3379" w:type="dxa"/>
            <w:gridSpan w:val="3"/>
            <w:tcBorders>
              <w:bottom w:val="single" w:sz="2" w:space="0" w:color="auto"/>
            </w:tcBorders>
            <w:shd w:val="clear" w:color="auto" w:fill="auto"/>
            <w:vAlign w:val="center"/>
          </w:tcPr>
          <w:p w14:paraId="3A640152" w14:textId="77777777" w:rsidR="003A2B66" w:rsidRPr="003D6F2C" w:rsidRDefault="003A2B66" w:rsidP="002F1B9B">
            <w:pPr>
              <w:tabs>
                <w:tab w:val="left" w:pos="0"/>
              </w:tabs>
              <w:spacing w:before="120" w:after="0" w:line="240" w:lineRule="auto"/>
              <w:ind w:firstLine="0"/>
              <w:jc w:val="center"/>
              <w:rPr>
                <w:rFonts w:cs="Sylfaen"/>
                <w:color w:val="000000"/>
                <w:sz w:val="18"/>
                <w:szCs w:val="18"/>
              </w:rPr>
            </w:pPr>
            <w:r w:rsidRPr="003D6F2C">
              <w:rPr>
                <w:color w:val="000000"/>
                <w:sz w:val="18"/>
                <w:szCs w:val="18"/>
                <w:lang w:val="hy-AM"/>
              </w:rPr>
              <w:t>ՄԺԾԾ</w:t>
            </w:r>
          </w:p>
        </w:tc>
      </w:tr>
      <w:tr w:rsidR="003A2B66" w:rsidRPr="003D6F2C" w14:paraId="76525813" w14:textId="77777777" w:rsidTr="002F1B9B">
        <w:trPr>
          <w:trHeight w:val="224"/>
        </w:trPr>
        <w:tc>
          <w:tcPr>
            <w:tcW w:w="6526" w:type="dxa"/>
            <w:vMerge/>
            <w:tcBorders>
              <w:bottom w:val="single" w:sz="2" w:space="0" w:color="auto"/>
            </w:tcBorders>
            <w:shd w:val="clear" w:color="auto" w:fill="auto"/>
          </w:tcPr>
          <w:p w14:paraId="18534DD7" w14:textId="77777777" w:rsidR="003A2B66" w:rsidRPr="003D6F2C" w:rsidRDefault="003A2B66" w:rsidP="002F1B9B">
            <w:pPr>
              <w:tabs>
                <w:tab w:val="left" w:pos="0"/>
              </w:tabs>
              <w:spacing w:before="120" w:after="0" w:line="240" w:lineRule="auto"/>
              <w:ind w:firstLine="0"/>
              <w:jc w:val="center"/>
              <w:rPr>
                <w:rFonts w:cs="Sylfaen"/>
                <w:color w:val="000000"/>
                <w:sz w:val="18"/>
                <w:szCs w:val="18"/>
              </w:rPr>
            </w:pPr>
          </w:p>
        </w:tc>
        <w:tc>
          <w:tcPr>
            <w:tcW w:w="1080" w:type="dxa"/>
            <w:tcBorders>
              <w:top w:val="single" w:sz="2" w:space="0" w:color="auto"/>
              <w:bottom w:val="single" w:sz="2" w:space="0" w:color="auto"/>
            </w:tcBorders>
            <w:shd w:val="clear" w:color="auto" w:fill="auto"/>
            <w:vAlign w:val="center"/>
          </w:tcPr>
          <w:p w14:paraId="4EDDE3AE" w14:textId="77777777" w:rsidR="003A2B66" w:rsidRPr="003D6F2C" w:rsidRDefault="003A2B66" w:rsidP="002F1B9B">
            <w:pPr>
              <w:tabs>
                <w:tab w:val="left" w:pos="0"/>
              </w:tabs>
              <w:spacing w:before="120" w:after="0" w:line="240" w:lineRule="auto"/>
              <w:ind w:firstLine="0"/>
              <w:jc w:val="center"/>
              <w:rPr>
                <w:rFonts w:cs="Sylfaen"/>
                <w:color w:val="000000"/>
                <w:sz w:val="18"/>
                <w:szCs w:val="18"/>
              </w:rPr>
            </w:pPr>
            <w:r>
              <w:rPr>
                <w:color w:val="000000"/>
                <w:sz w:val="18"/>
                <w:szCs w:val="18"/>
                <w:lang w:val="hy-AM"/>
              </w:rPr>
              <w:t>202</w:t>
            </w:r>
            <w:r>
              <w:rPr>
                <w:color w:val="000000"/>
                <w:sz w:val="18"/>
                <w:szCs w:val="18"/>
              </w:rPr>
              <w:t>5</w:t>
            </w:r>
            <w:r w:rsidRPr="003D6F2C">
              <w:rPr>
                <w:color w:val="000000"/>
                <w:sz w:val="18"/>
                <w:szCs w:val="18"/>
                <w:lang w:val="hy-AM"/>
              </w:rPr>
              <w:t xml:space="preserve"> </w:t>
            </w:r>
          </w:p>
        </w:tc>
        <w:tc>
          <w:tcPr>
            <w:tcW w:w="990" w:type="dxa"/>
            <w:tcBorders>
              <w:top w:val="single" w:sz="2" w:space="0" w:color="auto"/>
              <w:bottom w:val="single" w:sz="2" w:space="0" w:color="auto"/>
            </w:tcBorders>
            <w:shd w:val="clear" w:color="auto" w:fill="auto"/>
            <w:vAlign w:val="center"/>
          </w:tcPr>
          <w:p w14:paraId="31747B5B" w14:textId="77777777" w:rsidR="003A2B66" w:rsidRPr="00220F43" w:rsidRDefault="003A2B66" w:rsidP="002F1B9B">
            <w:pPr>
              <w:tabs>
                <w:tab w:val="left" w:pos="0"/>
              </w:tabs>
              <w:spacing w:before="120" w:after="0" w:line="240" w:lineRule="auto"/>
              <w:ind w:firstLine="0"/>
              <w:jc w:val="center"/>
              <w:rPr>
                <w:rFonts w:cs="Sylfaen"/>
                <w:color w:val="000000"/>
                <w:sz w:val="18"/>
                <w:szCs w:val="18"/>
              </w:rPr>
            </w:pPr>
            <w:r w:rsidRPr="003D6F2C">
              <w:rPr>
                <w:rFonts w:cs="Sylfaen"/>
                <w:color w:val="000000"/>
                <w:sz w:val="18"/>
                <w:szCs w:val="18"/>
              </w:rPr>
              <w:t>202</w:t>
            </w:r>
            <w:r>
              <w:rPr>
                <w:rFonts w:cs="Sylfaen"/>
                <w:color w:val="000000"/>
                <w:sz w:val="18"/>
                <w:szCs w:val="18"/>
              </w:rPr>
              <w:t>6</w:t>
            </w:r>
          </w:p>
        </w:tc>
        <w:tc>
          <w:tcPr>
            <w:tcW w:w="1309" w:type="dxa"/>
            <w:tcBorders>
              <w:top w:val="single" w:sz="2" w:space="0" w:color="auto"/>
              <w:bottom w:val="single" w:sz="2" w:space="0" w:color="auto"/>
            </w:tcBorders>
            <w:shd w:val="clear" w:color="auto" w:fill="auto"/>
            <w:vAlign w:val="center"/>
          </w:tcPr>
          <w:p w14:paraId="5CAD102C" w14:textId="77777777" w:rsidR="003A2B66" w:rsidRPr="003D6F2C" w:rsidRDefault="003A2B66" w:rsidP="002F1B9B">
            <w:pPr>
              <w:tabs>
                <w:tab w:val="left" w:pos="0"/>
              </w:tabs>
              <w:spacing w:before="120" w:after="0" w:line="240" w:lineRule="auto"/>
              <w:ind w:firstLine="0"/>
              <w:jc w:val="center"/>
              <w:rPr>
                <w:rFonts w:cs="Sylfaen"/>
                <w:color w:val="000000"/>
                <w:sz w:val="18"/>
                <w:szCs w:val="18"/>
              </w:rPr>
            </w:pPr>
            <w:r>
              <w:rPr>
                <w:rFonts w:cs="Sylfaen"/>
                <w:color w:val="000000"/>
                <w:sz w:val="18"/>
                <w:szCs w:val="18"/>
              </w:rPr>
              <w:t>2027</w:t>
            </w:r>
          </w:p>
        </w:tc>
      </w:tr>
      <w:tr w:rsidR="003A2B66" w:rsidRPr="003D6F2C" w14:paraId="2233C8C3" w14:textId="77777777" w:rsidTr="002F1B9B">
        <w:trPr>
          <w:trHeight w:val="681"/>
        </w:trPr>
        <w:tc>
          <w:tcPr>
            <w:tcW w:w="6526" w:type="dxa"/>
            <w:tcBorders>
              <w:top w:val="single" w:sz="2" w:space="0" w:color="auto"/>
              <w:bottom w:val="single" w:sz="2" w:space="0" w:color="auto"/>
            </w:tcBorders>
            <w:shd w:val="clear" w:color="auto" w:fill="auto"/>
            <w:hideMark/>
          </w:tcPr>
          <w:p w14:paraId="5009C6EA" w14:textId="77777777" w:rsidR="003A2B66" w:rsidRPr="003D6F2C" w:rsidRDefault="003A2B66" w:rsidP="002F1B9B">
            <w:pPr>
              <w:tabs>
                <w:tab w:val="left" w:pos="0"/>
              </w:tabs>
              <w:spacing w:before="120" w:after="0" w:line="240" w:lineRule="auto"/>
              <w:ind w:firstLine="0"/>
              <w:jc w:val="left"/>
              <w:rPr>
                <w:rFonts w:cs="Calibri"/>
                <w:color w:val="000000"/>
                <w:sz w:val="18"/>
                <w:szCs w:val="18"/>
                <w:lang w:val="hy-AM"/>
              </w:rPr>
            </w:pPr>
            <w:r w:rsidRPr="003D6F2C">
              <w:rPr>
                <w:rFonts w:cs="Calibri"/>
                <w:color w:val="000000"/>
                <w:sz w:val="18"/>
                <w:szCs w:val="18"/>
                <w:lang w:val="hy-AM"/>
              </w:rPr>
              <w:t>Ընդհանուր դեֆիցիտ (ընդհանուր եկամուտների և ծախսերի տարբերու</w:t>
            </w:r>
            <w:r w:rsidRPr="003D6F2C">
              <w:rPr>
                <w:rFonts w:cs="Calibri"/>
                <w:color w:val="000000"/>
                <w:sz w:val="18"/>
                <w:szCs w:val="18"/>
                <w:lang w:val="hy-AM"/>
              </w:rPr>
              <w:softHyphen/>
              <w:t>թյունը)</w:t>
            </w:r>
          </w:p>
        </w:tc>
        <w:tc>
          <w:tcPr>
            <w:tcW w:w="1080" w:type="dxa"/>
            <w:tcBorders>
              <w:top w:val="single" w:sz="2" w:space="0" w:color="auto"/>
              <w:bottom w:val="single" w:sz="2" w:space="0" w:color="auto"/>
            </w:tcBorders>
            <w:shd w:val="clear" w:color="auto" w:fill="auto"/>
            <w:vAlign w:val="center"/>
          </w:tcPr>
          <w:p w14:paraId="2220DC25" w14:textId="77777777" w:rsidR="003A2B66" w:rsidRPr="009408E9" w:rsidRDefault="003A2B66" w:rsidP="002F1B9B">
            <w:pPr>
              <w:tabs>
                <w:tab w:val="left" w:pos="0"/>
              </w:tabs>
              <w:spacing w:before="120" w:after="0" w:line="240" w:lineRule="auto"/>
              <w:ind w:firstLine="0"/>
              <w:jc w:val="center"/>
              <w:rPr>
                <w:rFonts w:cs="Calibri"/>
                <w:color w:val="000000"/>
                <w:sz w:val="18"/>
                <w:szCs w:val="18"/>
              </w:rPr>
            </w:pPr>
            <w:r>
              <w:rPr>
                <w:rFonts w:cs="Calibri"/>
                <w:color w:val="000000"/>
                <w:sz w:val="18"/>
                <w:szCs w:val="18"/>
              </w:rPr>
              <w:t>5.5</w:t>
            </w:r>
          </w:p>
        </w:tc>
        <w:tc>
          <w:tcPr>
            <w:tcW w:w="990" w:type="dxa"/>
            <w:tcBorders>
              <w:top w:val="single" w:sz="2" w:space="0" w:color="auto"/>
              <w:bottom w:val="single" w:sz="2" w:space="0" w:color="auto"/>
            </w:tcBorders>
            <w:shd w:val="clear" w:color="auto" w:fill="auto"/>
            <w:vAlign w:val="center"/>
          </w:tcPr>
          <w:p w14:paraId="61AA48D0" w14:textId="77777777" w:rsidR="003A2B66" w:rsidRPr="009408E9" w:rsidRDefault="003A2B66" w:rsidP="002F1B9B">
            <w:pPr>
              <w:tabs>
                <w:tab w:val="left" w:pos="0"/>
              </w:tabs>
              <w:spacing w:before="120" w:after="0" w:line="240" w:lineRule="auto"/>
              <w:ind w:firstLine="0"/>
              <w:jc w:val="center"/>
              <w:rPr>
                <w:rFonts w:cs="Calibri"/>
                <w:color w:val="000000"/>
                <w:sz w:val="18"/>
                <w:szCs w:val="18"/>
              </w:rPr>
            </w:pPr>
            <w:r>
              <w:rPr>
                <w:rFonts w:cs="Calibri"/>
                <w:color w:val="000000"/>
                <w:sz w:val="18"/>
                <w:szCs w:val="18"/>
              </w:rPr>
              <w:t>4.5</w:t>
            </w:r>
          </w:p>
        </w:tc>
        <w:tc>
          <w:tcPr>
            <w:tcW w:w="1309" w:type="dxa"/>
            <w:tcBorders>
              <w:top w:val="single" w:sz="2" w:space="0" w:color="auto"/>
              <w:bottom w:val="single" w:sz="2" w:space="0" w:color="auto"/>
            </w:tcBorders>
            <w:shd w:val="clear" w:color="auto" w:fill="auto"/>
            <w:vAlign w:val="center"/>
          </w:tcPr>
          <w:p w14:paraId="5CB83771" w14:textId="77777777" w:rsidR="003A2B66" w:rsidRPr="009408E9" w:rsidRDefault="003A2B66" w:rsidP="002F1B9B">
            <w:pPr>
              <w:tabs>
                <w:tab w:val="left" w:pos="0"/>
              </w:tabs>
              <w:spacing w:before="120" w:after="0" w:line="240" w:lineRule="auto"/>
              <w:ind w:firstLine="0"/>
              <w:jc w:val="center"/>
              <w:rPr>
                <w:rFonts w:cs="Calibri"/>
                <w:color w:val="000000"/>
                <w:sz w:val="18"/>
                <w:szCs w:val="18"/>
              </w:rPr>
            </w:pPr>
            <w:r>
              <w:rPr>
                <w:rFonts w:cs="Calibri"/>
                <w:color w:val="000000"/>
                <w:sz w:val="18"/>
                <w:szCs w:val="18"/>
              </w:rPr>
              <w:t>3.5</w:t>
            </w:r>
          </w:p>
        </w:tc>
      </w:tr>
      <w:tr w:rsidR="003A2B66" w:rsidRPr="003D6F2C" w14:paraId="7612D314" w14:textId="77777777" w:rsidTr="002F1B9B">
        <w:trPr>
          <w:trHeight w:val="681"/>
        </w:trPr>
        <w:tc>
          <w:tcPr>
            <w:tcW w:w="6526" w:type="dxa"/>
            <w:tcBorders>
              <w:top w:val="single" w:sz="2" w:space="0" w:color="auto"/>
              <w:bottom w:val="single" w:sz="2" w:space="0" w:color="auto"/>
            </w:tcBorders>
            <w:shd w:val="clear" w:color="auto" w:fill="auto"/>
            <w:hideMark/>
          </w:tcPr>
          <w:p w14:paraId="37A9AB18" w14:textId="77777777" w:rsidR="003A2B66" w:rsidRPr="003D6F2C" w:rsidRDefault="003A2B66" w:rsidP="002F1B9B">
            <w:pPr>
              <w:tabs>
                <w:tab w:val="left" w:pos="0"/>
              </w:tabs>
              <w:spacing w:before="120" w:after="0" w:line="240" w:lineRule="auto"/>
              <w:ind w:firstLine="0"/>
              <w:jc w:val="left"/>
              <w:rPr>
                <w:rFonts w:cs="Calibri"/>
                <w:color w:val="000000"/>
                <w:sz w:val="18"/>
                <w:szCs w:val="18"/>
                <w:lang w:val="hy-AM"/>
              </w:rPr>
            </w:pPr>
            <w:r w:rsidRPr="003D6F2C">
              <w:rPr>
                <w:rFonts w:cs="Calibri"/>
                <w:color w:val="000000"/>
                <w:sz w:val="18"/>
                <w:szCs w:val="18"/>
                <w:lang w:val="hy-AM"/>
              </w:rPr>
              <w:t>Առաջնային դեֆիցիտ (ընդհանուր եկամուտների և ծախսերի (առանց տոկոսավճարների) տարբերությունը)</w:t>
            </w:r>
          </w:p>
        </w:tc>
        <w:tc>
          <w:tcPr>
            <w:tcW w:w="1080" w:type="dxa"/>
            <w:tcBorders>
              <w:top w:val="single" w:sz="2" w:space="0" w:color="auto"/>
              <w:bottom w:val="single" w:sz="2" w:space="0" w:color="auto"/>
            </w:tcBorders>
            <w:shd w:val="clear" w:color="auto" w:fill="auto"/>
            <w:vAlign w:val="center"/>
          </w:tcPr>
          <w:p w14:paraId="031591C9" w14:textId="3057AA39" w:rsidR="003A2B66" w:rsidRPr="009408E9" w:rsidRDefault="003A2B66" w:rsidP="002F1B9B">
            <w:pPr>
              <w:tabs>
                <w:tab w:val="left" w:pos="0"/>
              </w:tabs>
              <w:spacing w:before="120" w:after="0" w:line="240" w:lineRule="auto"/>
              <w:ind w:firstLine="0"/>
              <w:jc w:val="center"/>
              <w:rPr>
                <w:rFonts w:cs="Calibri"/>
                <w:color w:val="000000"/>
                <w:sz w:val="18"/>
                <w:szCs w:val="18"/>
              </w:rPr>
            </w:pPr>
            <w:r w:rsidRPr="009408E9">
              <w:rPr>
                <w:rFonts w:cs="Calibri"/>
                <w:color w:val="000000"/>
                <w:sz w:val="18"/>
                <w:szCs w:val="18"/>
              </w:rPr>
              <w:t>(</w:t>
            </w:r>
            <w:r w:rsidR="00E30BF5">
              <w:rPr>
                <w:rFonts w:cs="Calibri"/>
                <w:color w:val="000000"/>
                <w:sz w:val="18"/>
                <w:szCs w:val="18"/>
                <w:lang w:val="hy-AM"/>
              </w:rPr>
              <w:t>2</w:t>
            </w:r>
            <w:r w:rsidRPr="009408E9">
              <w:rPr>
                <w:rFonts w:cs="Calibri"/>
                <w:color w:val="000000"/>
                <w:sz w:val="18"/>
                <w:szCs w:val="18"/>
              </w:rPr>
              <w:t>)</w:t>
            </w:r>
          </w:p>
        </w:tc>
        <w:tc>
          <w:tcPr>
            <w:tcW w:w="990" w:type="dxa"/>
            <w:tcBorders>
              <w:top w:val="single" w:sz="2" w:space="0" w:color="auto"/>
              <w:bottom w:val="single" w:sz="2" w:space="0" w:color="auto"/>
            </w:tcBorders>
            <w:shd w:val="clear" w:color="auto" w:fill="auto"/>
            <w:vAlign w:val="center"/>
          </w:tcPr>
          <w:p w14:paraId="6D868C3B" w14:textId="6DB0842B" w:rsidR="003A2B66" w:rsidRPr="009408E9" w:rsidRDefault="003A2B66" w:rsidP="002F1B9B">
            <w:pPr>
              <w:tabs>
                <w:tab w:val="left" w:pos="0"/>
              </w:tabs>
              <w:spacing w:before="120" w:after="0" w:line="240" w:lineRule="auto"/>
              <w:ind w:firstLine="0"/>
              <w:jc w:val="center"/>
              <w:rPr>
                <w:rFonts w:cs="Calibri"/>
                <w:color w:val="000000"/>
                <w:sz w:val="18"/>
                <w:szCs w:val="18"/>
              </w:rPr>
            </w:pPr>
            <w:r w:rsidRPr="009408E9">
              <w:rPr>
                <w:rFonts w:cs="Calibri"/>
                <w:color w:val="000000"/>
                <w:sz w:val="18"/>
                <w:szCs w:val="18"/>
              </w:rPr>
              <w:t>(0.</w:t>
            </w:r>
            <w:r w:rsidR="00E30BF5">
              <w:rPr>
                <w:rFonts w:cs="Calibri"/>
                <w:color w:val="000000"/>
                <w:sz w:val="18"/>
                <w:szCs w:val="18"/>
                <w:lang w:val="hy-AM"/>
              </w:rPr>
              <w:t>9</w:t>
            </w:r>
            <w:r w:rsidRPr="009408E9">
              <w:rPr>
                <w:rFonts w:cs="Calibri"/>
                <w:color w:val="000000"/>
                <w:sz w:val="18"/>
                <w:szCs w:val="18"/>
              </w:rPr>
              <w:t>)</w:t>
            </w:r>
          </w:p>
        </w:tc>
        <w:tc>
          <w:tcPr>
            <w:tcW w:w="1309" w:type="dxa"/>
            <w:tcBorders>
              <w:top w:val="single" w:sz="2" w:space="0" w:color="auto"/>
              <w:bottom w:val="single" w:sz="2" w:space="0" w:color="auto"/>
            </w:tcBorders>
            <w:shd w:val="clear" w:color="auto" w:fill="auto"/>
            <w:vAlign w:val="center"/>
          </w:tcPr>
          <w:p w14:paraId="5DBEA6D3" w14:textId="6BA175B5" w:rsidR="003A2B66" w:rsidRPr="003A2B66" w:rsidRDefault="00E30BF5" w:rsidP="002F1B9B">
            <w:pPr>
              <w:tabs>
                <w:tab w:val="left" w:pos="0"/>
              </w:tabs>
              <w:spacing w:before="120" w:after="0" w:line="240" w:lineRule="auto"/>
              <w:ind w:firstLine="0"/>
              <w:jc w:val="center"/>
              <w:rPr>
                <w:rFonts w:cs="Calibri"/>
                <w:color w:val="000000"/>
                <w:sz w:val="18"/>
                <w:szCs w:val="18"/>
                <w:lang w:val="hy-AM"/>
              </w:rPr>
            </w:pPr>
            <w:r>
              <w:rPr>
                <w:rFonts w:cs="Calibri"/>
                <w:color w:val="000000"/>
                <w:sz w:val="18"/>
                <w:szCs w:val="18"/>
                <w:lang w:val="hy-AM"/>
              </w:rPr>
              <w:t>0.2</w:t>
            </w:r>
          </w:p>
        </w:tc>
      </w:tr>
    </w:tbl>
    <w:p w14:paraId="44E73998" w14:textId="77777777" w:rsidR="006F7A03" w:rsidRPr="003D5ABC" w:rsidRDefault="006F7A03" w:rsidP="006F7A03">
      <w:pPr>
        <w:tabs>
          <w:tab w:val="left" w:pos="0"/>
        </w:tabs>
        <w:spacing w:before="120" w:after="0" w:line="276" w:lineRule="auto"/>
        <w:ind w:firstLine="0"/>
        <w:rPr>
          <w:lang w:val="hy-AM"/>
        </w:rPr>
      </w:pPr>
    </w:p>
    <w:p w14:paraId="0655C511" w14:textId="77777777" w:rsidR="006F7A03" w:rsidRPr="003D5ABC" w:rsidRDefault="006F7A03" w:rsidP="00C30825">
      <w:pPr>
        <w:pStyle w:val="Heading3"/>
        <w:tabs>
          <w:tab w:val="left" w:pos="0"/>
        </w:tabs>
        <w:spacing w:before="120" w:after="0" w:line="276" w:lineRule="auto"/>
        <w:rPr>
          <w:rFonts w:eastAsia="Times New Roman" w:cs="Times New Roman"/>
          <w:caps w:val="0"/>
          <w:color w:val="44546A" w:themeColor="text2"/>
          <w:sz w:val="24"/>
          <w:szCs w:val="24"/>
        </w:rPr>
      </w:pPr>
    </w:p>
    <w:p w14:paraId="14F6A2FF" w14:textId="79928DC5" w:rsidR="00080175" w:rsidRDefault="00080175" w:rsidP="00C30825">
      <w:pPr>
        <w:pStyle w:val="Heading3"/>
        <w:tabs>
          <w:tab w:val="left" w:pos="0"/>
        </w:tabs>
        <w:spacing w:before="120" w:after="0" w:line="276" w:lineRule="auto"/>
        <w:rPr>
          <w:rFonts w:eastAsia="Times New Roman" w:cs="Times New Roman"/>
          <w:caps w:val="0"/>
          <w:color w:val="44546A" w:themeColor="text2"/>
          <w:sz w:val="24"/>
          <w:szCs w:val="24"/>
        </w:rPr>
      </w:pPr>
      <w:bookmarkStart w:id="135" w:name="_Toc170926316"/>
      <w:r>
        <w:rPr>
          <w:rFonts w:eastAsia="Times New Roman" w:cs="Times New Roman"/>
          <w:caps w:val="0"/>
          <w:color w:val="44546A" w:themeColor="text2"/>
          <w:sz w:val="24"/>
          <w:szCs w:val="24"/>
        </w:rPr>
        <w:t>4.2</w:t>
      </w:r>
      <w:r w:rsidRPr="00FE0674">
        <w:rPr>
          <w:rFonts w:eastAsia="Times New Roman" w:cs="Times New Roman"/>
          <w:caps w:val="0"/>
          <w:color w:val="44546A" w:themeColor="text2"/>
          <w:sz w:val="24"/>
          <w:szCs w:val="24"/>
        </w:rPr>
        <w:t xml:space="preserve">. </w:t>
      </w:r>
      <w:r w:rsidRPr="006F7A03">
        <w:rPr>
          <w:rFonts w:eastAsia="Times New Roman" w:cs="Times New Roman"/>
          <w:caps w:val="0"/>
          <w:color w:val="44546A" w:themeColor="text2"/>
          <w:sz w:val="24"/>
          <w:szCs w:val="24"/>
        </w:rPr>
        <w:t xml:space="preserve">2024-2026 ԹՎԱԿԱՆՆԵՐԻ </w:t>
      </w:r>
      <w:bookmarkEnd w:id="129"/>
      <w:bookmarkEnd w:id="130"/>
      <w:bookmarkEnd w:id="131"/>
      <w:r w:rsidRPr="006F7A03">
        <w:rPr>
          <w:rFonts w:eastAsia="Times New Roman" w:cs="Times New Roman"/>
          <w:caps w:val="0"/>
          <w:color w:val="44546A" w:themeColor="text2"/>
          <w:sz w:val="24"/>
          <w:szCs w:val="24"/>
        </w:rPr>
        <w:t>ՊԵՏԱԿԱՆ ԲՅՈՒՋԵՆԵՐԻ ԾԱԽՍԵՐԻ ԿԱՆԽԱՏԵՍՈՒՄԸ` ԸՍՏ ՈԼՈՐՏՆԵՐԻ</w:t>
      </w:r>
      <w:bookmarkEnd w:id="132"/>
      <w:bookmarkEnd w:id="135"/>
    </w:p>
    <w:p w14:paraId="54D7D113" w14:textId="77777777" w:rsidR="00080175" w:rsidRPr="00BB785C" w:rsidRDefault="00080175" w:rsidP="00C30825">
      <w:pPr>
        <w:tabs>
          <w:tab w:val="left" w:pos="0"/>
        </w:tabs>
        <w:spacing w:before="120" w:after="0" w:line="276" w:lineRule="auto"/>
        <w:ind w:firstLine="0"/>
        <w:rPr>
          <w:lang w:val="hy-AM"/>
        </w:rPr>
      </w:pPr>
    </w:p>
    <w:p w14:paraId="69383E26" w14:textId="77777777" w:rsidR="006F7A03" w:rsidRPr="0092160E" w:rsidRDefault="006F7A03" w:rsidP="006F7A03">
      <w:pPr>
        <w:tabs>
          <w:tab w:val="left" w:pos="0"/>
        </w:tabs>
        <w:spacing w:before="120" w:after="0" w:line="276" w:lineRule="auto"/>
        <w:ind w:firstLine="0"/>
        <w:rPr>
          <w:b/>
          <w:bCs/>
          <w:color w:val="1F497D"/>
          <w:kern w:val="24"/>
          <w:sz w:val="24"/>
          <w:szCs w:val="24"/>
          <w:u w:val="single"/>
          <w:lang w:val="hy-AM"/>
        </w:rPr>
      </w:pPr>
      <w:bookmarkStart w:id="136" w:name="_Toc45838536"/>
      <w:bookmarkStart w:id="137" w:name="_Toc77356422"/>
      <w:r>
        <w:rPr>
          <w:rFonts w:cs="Sylfaen"/>
          <w:iCs/>
          <w:lang w:val="hy-AM" w:eastAsia="en-GB"/>
        </w:rPr>
        <w:t>Միջնաժամկետ հատվածում</w:t>
      </w:r>
      <w:r w:rsidRPr="00634388">
        <w:rPr>
          <w:rFonts w:cs="Sylfaen"/>
          <w:lang w:val="hy-AM"/>
        </w:rPr>
        <w:t xml:space="preserve"> ընդհանուր ծախսային շրջանակները</w:t>
      </w:r>
      <w:r w:rsidRPr="005E23A9">
        <w:rPr>
          <w:rFonts w:cs="Sylfaen"/>
          <w:lang w:val="hy-AM"/>
        </w:rPr>
        <w:t xml:space="preserve"> </w:t>
      </w:r>
      <w:r w:rsidRPr="00634388">
        <w:rPr>
          <w:rFonts w:cs="Sylfaen"/>
          <w:lang w:val="hy-AM"/>
        </w:rPr>
        <w:t>նախորդ հաստատված</w:t>
      </w:r>
      <w:r w:rsidRPr="005E23A9">
        <w:rPr>
          <w:rFonts w:cs="Sylfaen"/>
          <w:lang w:val="es-ES"/>
        </w:rPr>
        <w:t xml:space="preserve"> 202</w:t>
      </w:r>
      <w:r>
        <w:rPr>
          <w:rFonts w:cs="Sylfaen"/>
          <w:lang w:val="hy-AM"/>
        </w:rPr>
        <w:t>4</w:t>
      </w:r>
      <w:r w:rsidRPr="005E23A9">
        <w:rPr>
          <w:rFonts w:cs="Sylfaen"/>
          <w:lang w:val="es-ES"/>
        </w:rPr>
        <w:t>-202</w:t>
      </w:r>
      <w:r>
        <w:rPr>
          <w:rFonts w:cs="Sylfaen"/>
          <w:lang w:val="hy-AM"/>
        </w:rPr>
        <w:t>6թթ ՄԺԾԾ ընդհանուր ծախսային շրջանակների համեմատ</w:t>
      </w:r>
      <w:r w:rsidRPr="00AD0116">
        <w:rPr>
          <w:rFonts w:cs="Sylfaen"/>
          <w:lang w:val="hy-AM"/>
        </w:rPr>
        <w:t xml:space="preserve"> բարձր </w:t>
      </w:r>
      <w:r w:rsidRPr="00AD0116">
        <w:rPr>
          <w:rFonts w:cs="Sylfaen"/>
          <w:lang w:val="es-ES"/>
        </w:rPr>
        <w:t>են</w:t>
      </w:r>
      <w:r w:rsidRPr="00AD0116">
        <w:rPr>
          <w:rFonts w:cs="Sylfaen"/>
          <w:lang w:val="hy-AM"/>
        </w:rPr>
        <w:t>։</w:t>
      </w:r>
      <w:r w:rsidRPr="005E23A9">
        <w:rPr>
          <w:rFonts w:cs="Sylfaen"/>
          <w:u w:val="single"/>
          <w:lang w:val="hy-AM"/>
        </w:rPr>
        <w:t xml:space="preserve"> </w:t>
      </w:r>
    </w:p>
    <w:p w14:paraId="2DB526DA" w14:textId="45E6C002" w:rsidR="006F7A03" w:rsidRDefault="006F7A03" w:rsidP="006F7A03">
      <w:pPr>
        <w:tabs>
          <w:tab w:val="left" w:pos="0"/>
        </w:tabs>
        <w:spacing w:before="120" w:after="0" w:line="276" w:lineRule="auto"/>
        <w:ind w:firstLine="0"/>
        <w:rPr>
          <w:b/>
          <w:sz w:val="24"/>
          <w:szCs w:val="24"/>
          <w:lang w:val="hy-AM"/>
        </w:rPr>
      </w:pPr>
    </w:p>
    <w:p w14:paraId="4060EEE2" w14:textId="77777777" w:rsidR="004D1312" w:rsidRPr="005E23A9" w:rsidRDefault="004D1312" w:rsidP="006F7A03">
      <w:pPr>
        <w:tabs>
          <w:tab w:val="left" w:pos="0"/>
        </w:tabs>
        <w:spacing w:before="120" w:after="0" w:line="276" w:lineRule="auto"/>
        <w:ind w:firstLine="0"/>
        <w:rPr>
          <w:b/>
          <w:sz w:val="24"/>
          <w:szCs w:val="24"/>
          <w:lang w:val="hy-AM"/>
        </w:rPr>
      </w:pPr>
    </w:p>
    <w:p w14:paraId="19A03404" w14:textId="77777777" w:rsidR="006F7A03" w:rsidRPr="0031357F" w:rsidRDefault="006F7A03" w:rsidP="006F7A03">
      <w:pPr>
        <w:tabs>
          <w:tab w:val="left" w:pos="0"/>
        </w:tabs>
        <w:spacing w:before="120" w:after="0" w:line="276" w:lineRule="auto"/>
        <w:ind w:firstLine="0"/>
        <w:rPr>
          <w:b/>
          <w:lang w:val="af-ZA"/>
        </w:rPr>
      </w:pPr>
      <w:r w:rsidRPr="0031357F">
        <w:rPr>
          <w:rFonts w:eastAsia="Calibri"/>
          <w:b/>
          <w:i/>
          <w:iCs/>
          <w:color w:val="000000"/>
          <w:lang w:val="hy-AM"/>
        </w:rPr>
        <w:lastRenderedPageBreak/>
        <w:t>Գծապատկեր 4.2</w:t>
      </w:r>
      <w:r w:rsidRPr="0031357F">
        <w:rPr>
          <w:rFonts w:ascii="Cambria Math" w:eastAsia="Calibri" w:hAnsi="Cambria Math" w:cs="Cambria Math"/>
          <w:b/>
          <w:i/>
          <w:iCs/>
          <w:color w:val="000000"/>
          <w:lang w:val="hy-AM"/>
        </w:rPr>
        <w:t>․</w:t>
      </w:r>
      <w:r w:rsidRPr="0031357F">
        <w:rPr>
          <w:rFonts w:eastAsia="Calibri"/>
          <w:b/>
          <w:i/>
          <w:iCs/>
          <w:color w:val="000000"/>
          <w:lang w:val="hy-AM"/>
        </w:rPr>
        <w:t xml:space="preserve">1. </w:t>
      </w:r>
      <w:r w:rsidRPr="0031357F">
        <w:rPr>
          <w:rFonts w:eastAsia="Calibri"/>
          <w:bCs/>
          <w:i/>
          <w:iCs/>
          <w:color w:val="000000"/>
          <w:lang w:val="hy-AM"/>
        </w:rPr>
        <w:t xml:space="preserve">Միջնաժամկետ ծախսերի </w:t>
      </w:r>
      <w:r w:rsidRPr="0031357F">
        <w:rPr>
          <w:rFonts w:eastAsia="Calibri"/>
          <w:bCs/>
          <w:i/>
          <w:iCs/>
          <w:color w:val="000000"/>
          <w:lang w:val="ru-RU"/>
        </w:rPr>
        <w:t xml:space="preserve">շրջանակների </w:t>
      </w:r>
      <w:r w:rsidRPr="0031357F">
        <w:rPr>
          <w:rFonts w:eastAsia="Calibri"/>
          <w:bCs/>
          <w:i/>
          <w:iCs/>
          <w:color w:val="000000"/>
          <w:lang w:val="hy-AM"/>
        </w:rPr>
        <w:t xml:space="preserve">համեմատականը </w:t>
      </w:r>
    </w:p>
    <w:p w14:paraId="31F8477C" w14:textId="77777777" w:rsidR="006F7A03" w:rsidRPr="005E23A9" w:rsidRDefault="006F7A03" w:rsidP="006F7A03">
      <w:pPr>
        <w:tabs>
          <w:tab w:val="left" w:pos="0"/>
        </w:tabs>
        <w:spacing w:before="120" w:after="0" w:line="276" w:lineRule="auto"/>
        <w:ind w:firstLine="0"/>
        <w:jc w:val="center"/>
        <w:rPr>
          <w:rFonts w:cs="Sylfaen"/>
        </w:rPr>
      </w:pPr>
      <w:r w:rsidRPr="0092160E">
        <w:rPr>
          <w:rFonts w:cs="Sylfaen"/>
          <w:noProof/>
        </w:rPr>
        <w:drawing>
          <wp:inline distT="0" distB="0" distL="0" distR="0" wp14:anchorId="4C097C84" wp14:editId="22FAA939">
            <wp:extent cx="5695950" cy="2971800"/>
            <wp:effectExtent l="0" t="0" r="0" b="0"/>
            <wp:docPr id="16120835" name="Chart 161208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CDB2535" w14:textId="77777777" w:rsidR="006F7A03" w:rsidRPr="0049686C" w:rsidRDefault="006F7A03" w:rsidP="006F7A03">
      <w:pPr>
        <w:tabs>
          <w:tab w:val="left" w:pos="0"/>
        </w:tabs>
        <w:spacing w:before="120" w:after="0" w:line="276" w:lineRule="auto"/>
        <w:ind w:firstLine="0"/>
      </w:pPr>
      <w:r w:rsidRPr="005E23A9">
        <w:rPr>
          <w:rFonts w:cs="Arial"/>
        </w:rPr>
        <w:t>ՀՀ</w:t>
      </w:r>
      <w:r w:rsidRPr="005E23A9">
        <w:rPr>
          <w:lang w:val="af-ZA"/>
        </w:rPr>
        <w:t xml:space="preserve"> 202</w:t>
      </w:r>
      <w:r>
        <w:rPr>
          <w:lang w:val="hy-AM"/>
        </w:rPr>
        <w:t>5</w:t>
      </w:r>
      <w:r w:rsidRPr="005E23A9">
        <w:rPr>
          <w:lang w:val="af-ZA"/>
        </w:rPr>
        <w:t>-202</w:t>
      </w:r>
      <w:r>
        <w:rPr>
          <w:lang w:val="hy-AM"/>
        </w:rPr>
        <w:t>7</w:t>
      </w:r>
      <w:r w:rsidRPr="005E23A9">
        <w:rPr>
          <w:lang w:val="af-ZA"/>
        </w:rPr>
        <w:t xml:space="preserve"> </w:t>
      </w:r>
      <w:r w:rsidRPr="005E23A9">
        <w:rPr>
          <w:rFonts w:cs="Arial"/>
        </w:rPr>
        <w:t>թվականների</w:t>
      </w:r>
      <w:r w:rsidRPr="005E23A9">
        <w:rPr>
          <w:lang w:val="af-ZA"/>
        </w:rPr>
        <w:t xml:space="preserve"> </w:t>
      </w:r>
      <w:r w:rsidRPr="005E23A9">
        <w:rPr>
          <w:rFonts w:cs="Arial"/>
        </w:rPr>
        <w:t>պետական</w:t>
      </w:r>
      <w:r w:rsidRPr="005E23A9">
        <w:rPr>
          <w:lang w:val="af-ZA"/>
        </w:rPr>
        <w:t xml:space="preserve"> </w:t>
      </w:r>
      <w:r w:rsidRPr="005E23A9">
        <w:rPr>
          <w:rFonts w:cs="Arial"/>
        </w:rPr>
        <w:t>բյուջեների</w:t>
      </w:r>
      <w:r w:rsidRPr="005E23A9">
        <w:rPr>
          <w:lang w:val="af-ZA"/>
        </w:rPr>
        <w:t xml:space="preserve"> </w:t>
      </w:r>
      <w:r w:rsidRPr="005E23A9">
        <w:rPr>
          <w:rFonts w:cs="Arial"/>
        </w:rPr>
        <w:t>ծախսերի</w:t>
      </w:r>
      <w:r w:rsidRPr="005E23A9">
        <w:rPr>
          <w:lang w:val="af-ZA"/>
        </w:rPr>
        <w:t xml:space="preserve"> </w:t>
      </w:r>
      <w:r>
        <w:rPr>
          <w:lang w:val="ru-RU"/>
        </w:rPr>
        <w:t>շրջանակներն</w:t>
      </w:r>
      <w:r w:rsidRPr="005E23A9">
        <w:rPr>
          <w:lang w:val="af-ZA"/>
        </w:rPr>
        <w:t xml:space="preserve"> </w:t>
      </w:r>
      <w:r w:rsidRPr="005E23A9">
        <w:rPr>
          <w:rFonts w:cs="Arial"/>
        </w:rPr>
        <w:t>ըստ</w:t>
      </w:r>
      <w:r w:rsidRPr="005E23A9">
        <w:rPr>
          <w:lang w:val="af-ZA"/>
        </w:rPr>
        <w:t xml:space="preserve"> </w:t>
      </w:r>
      <w:r w:rsidRPr="005E23A9">
        <w:rPr>
          <w:rFonts w:cs="Arial"/>
        </w:rPr>
        <w:t>ոլորտ</w:t>
      </w:r>
      <w:r w:rsidRPr="005E23A9">
        <w:rPr>
          <w:lang w:val="af-ZA"/>
        </w:rPr>
        <w:softHyphen/>
      </w:r>
      <w:r w:rsidRPr="005E23A9">
        <w:rPr>
          <w:rFonts w:cs="Arial"/>
        </w:rPr>
        <w:t>ների</w:t>
      </w:r>
      <w:r w:rsidRPr="005E23A9">
        <w:rPr>
          <w:lang w:val="af-ZA"/>
        </w:rPr>
        <w:t xml:space="preserve"> </w:t>
      </w:r>
      <w:r w:rsidRPr="005E23A9">
        <w:rPr>
          <w:rFonts w:cs="Arial"/>
        </w:rPr>
        <w:t>բնութագրվում</w:t>
      </w:r>
      <w:r w:rsidRPr="005E23A9">
        <w:rPr>
          <w:lang w:val="af-ZA"/>
        </w:rPr>
        <w:t xml:space="preserve"> </w:t>
      </w:r>
      <w:r w:rsidRPr="005E23A9">
        <w:rPr>
          <w:rFonts w:cs="Arial"/>
        </w:rPr>
        <w:t>են</w:t>
      </w:r>
      <w:r w:rsidRPr="005E23A9">
        <w:rPr>
          <w:lang w:val="af-ZA"/>
        </w:rPr>
        <w:t xml:space="preserve"> </w:t>
      </w:r>
      <w:r w:rsidRPr="005E23A9">
        <w:rPr>
          <w:rFonts w:cs="Arial"/>
        </w:rPr>
        <w:t>ստորև</w:t>
      </w:r>
      <w:r w:rsidRPr="005E23A9">
        <w:rPr>
          <w:lang w:val="af-ZA"/>
        </w:rPr>
        <w:t xml:space="preserve"> </w:t>
      </w:r>
      <w:r w:rsidRPr="005E23A9">
        <w:rPr>
          <w:rFonts w:cs="Arial"/>
        </w:rPr>
        <w:t>ներկայացված</w:t>
      </w:r>
      <w:r w:rsidRPr="005E23A9">
        <w:rPr>
          <w:lang w:val="af-ZA"/>
        </w:rPr>
        <w:t xml:space="preserve"> </w:t>
      </w:r>
      <w:r w:rsidRPr="005E23A9">
        <w:rPr>
          <w:rFonts w:cs="Arial"/>
        </w:rPr>
        <w:t>ցուցանիշներով</w:t>
      </w:r>
      <w:r w:rsidRPr="0049686C">
        <w:rPr>
          <w:rFonts w:cs="Arial"/>
        </w:rPr>
        <w:t xml:space="preserve"> </w:t>
      </w:r>
      <w:r>
        <w:rPr>
          <w:rFonts w:cs="Arial"/>
          <w:lang w:val="hy-AM"/>
        </w:rPr>
        <w:t>(</w:t>
      </w:r>
      <w:r>
        <w:rPr>
          <w:rFonts w:cs="Arial"/>
        </w:rPr>
        <w:t xml:space="preserve">աղյուսակ </w:t>
      </w:r>
      <w:r w:rsidRPr="0049686C">
        <w:rPr>
          <w:rFonts w:cs="Arial"/>
        </w:rPr>
        <w:t>4.2.1</w:t>
      </w:r>
      <w:r>
        <w:rPr>
          <w:rFonts w:cs="Arial"/>
          <w:lang w:val="hy-AM"/>
        </w:rPr>
        <w:t>)</w:t>
      </w:r>
      <w:r w:rsidRPr="0049686C">
        <w:t>:</w:t>
      </w:r>
    </w:p>
    <w:p w14:paraId="1E2F2ED5" w14:textId="77777777" w:rsidR="006F7A03" w:rsidRDefault="006F7A03" w:rsidP="006F7A03">
      <w:pPr>
        <w:tabs>
          <w:tab w:val="left" w:pos="0"/>
        </w:tabs>
        <w:spacing w:before="120" w:after="0" w:line="276" w:lineRule="auto"/>
        <w:ind w:firstLine="0"/>
        <w:rPr>
          <w:rFonts w:cs="Arial"/>
          <w:b/>
          <w:sz w:val="20"/>
          <w:szCs w:val="20"/>
        </w:rPr>
      </w:pPr>
    </w:p>
    <w:p w14:paraId="13246D49" w14:textId="77777777" w:rsidR="006F7A03" w:rsidRPr="0031357F" w:rsidRDefault="006F7A03" w:rsidP="006F7A03">
      <w:pPr>
        <w:tabs>
          <w:tab w:val="left" w:pos="0"/>
        </w:tabs>
        <w:spacing w:before="120" w:after="0" w:line="276" w:lineRule="auto"/>
        <w:ind w:firstLine="0"/>
      </w:pPr>
      <w:r w:rsidRPr="0031357F">
        <w:rPr>
          <w:rFonts w:cs="Arial"/>
          <w:b/>
        </w:rPr>
        <w:t>Աղյուսակ</w:t>
      </w:r>
      <w:r w:rsidRPr="0031357F">
        <w:rPr>
          <w:b/>
          <w:lang w:val="af-ZA"/>
        </w:rPr>
        <w:t xml:space="preserve"> 4.</w:t>
      </w:r>
      <w:r w:rsidRPr="0031357F">
        <w:rPr>
          <w:b/>
          <w:lang w:val="hy-AM"/>
        </w:rPr>
        <w:t>2</w:t>
      </w:r>
      <w:r w:rsidRPr="0031357F">
        <w:rPr>
          <w:b/>
          <w:lang w:val="af-ZA"/>
        </w:rPr>
        <w:t xml:space="preserve">.1 </w:t>
      </w:r>
      <w:r w:rsidRPr="0031357F">
        <w:rPr>
          <w:rFonts w:cs="Arial"/>
        </w:rPr>
        <w:t>ՀՀ</w:t>
      </w:r>
      <w:r>
        <w:rPr>
          <w:lang w:val="af-ZA"/>
        </w:rPr>
        <w:t xml:space="preserve"> 202</w:t>
      </w:r>
      <w:r>
        <w:rPr>
          <w:lang w:val="hy-AM"/>
        </w:rPr>
        <w:t>1</w:t>
      </w:r>
      <w:r>
        <w:rPr>
          <w:lang w:val="af-ZA"/>
        </w:rPr>
        <w:t>-202</w:t>
      </w:r>
      <w:r>
        <w:rPr>
          <w:lang w:val="hy-AM"/>
        </w:rPr>
        <w:t>7</w:t>
      </w:r>
      <w:r w:rsidRPr="0031357F">
        <w:rPr>
          <w:rFonts w:cs="Arial"/>
          <w:lang w:val="it-IT"/>
        </w:rPr>
        <w:t>թթ</w:t>
      </w:r>
      <w:r w:rsidRPr="0031357F">
        <w:rPr>
          <w:lang w:val="af-ZA"/>
        </w:rPr>
        <w:t xml:space="preserve"> </w:t>
      </w:r>
      <w:r w:rsidRPr="0031357F">
        <w:rPr>
          <w:rFonts w:cs="Arial"/>
        </w:rPr>
        <w:t>պետական</w:t>
      </w:r>
      <w:r w:rsidRPr="0031357F">
        <w:rPr>
          <w:lang w:val="af-ZA"/>
        </w:rPr>
        <w:t xml:space="preserve"> </w:t>
      </w:r>
      <w:r w:rsidRPr="0031357F">
        <w:rPr>
          <w:rFonts w:cs="Arial"/>
        </w:rPr>
        <w:t>բյուջեների</w:t>
      </w:r>
      <w:r w:rsidRPr="0031357F">
        <w:rPr>
          <w:lang w:val="af-ZA"/>
        </w:rPr>
        <w:t xml:space="preserve"> </w:t>
      </w:r>
      <w:r w:rsidRPr="0031357F">
        <w:rPr>
          <w:rFonts w:cs="Arial"/>
        </w:rPr>
        <w:t>ծախսերը՝</w:t>
      </w:r>
      <w:r w:rsidRPr="0031357F">
        <w:rPr>
          <w:lang w:val="af-ZA"/>
        </w:rPr>
        <w:t xml:space="preserve"> </w:t>
      </w:r>
      <w:r w:rsidRPr="0031357F">
        <w:rPr>
          <w:rFonts w:cs="Arial"/>
        </w:rPr>
        <w:t>ըստ</w:t>
      </w:r>
      <w:r w:rsidRPr="0031357F">
        <w:rPr>
          <w:lang w:val="af-ZA"/>
        </w:rPr>
        <w:t xml:space="preserve"> </w:t>
      </w:r>
      <w:r w:rsidRPr="0031357F">
        <w:rPr>
          <w:rFonts w:cs="Arial"/>
        </w:rPr>
        <w:t>ոլորտների</w:t>
      </w:r>
      <w:r>
        <w:rPr>
          <w:rFonts w:cs="Arial"/>
        </w:rPr>
        <w:t>,</w:t>
      </w:r>
      <w:r w:rsidRPr="0031357F">
        <w:rPr>
          <w:lang w:val="af-ZA"/>
        </w:rPr>
        <w:t xml:space="preserve"> </w:t>
      </w:r>
      <w:r w:rsidRPr="0031357F">
        <w:rPr>
          <w:rFonts w:cs="Arial"/>
          <w:lang w:val="hy-AM"/>
        </w:rPr>
        <w:t>մլրդ</w:t>
      </w:r>
      <w:r w:rsidRPr="0031357F">
        <w:rPr>
          <w:lang w:val="af-ZA"/>
        </w:rPr>
        <w:t xml:space="preserve"> </w:t>
      </w:r>
      <w:r w:rsidRPr="0031357F">
        <w:rPr>
          <w:rFonts w:cs="Arial"/>
        </w:rPr>
        <w:t>դրամ</w:t>
      </w:r>
    </w:p>
    <w:p w14:paraId="77813D11" w14:textId="77777777" w:rsidR="006F7A03" w:rsidRDefault="006F7A03" w:rsidP="006F7A03">
      <w:pPr>
        <w:tabs>
          <w:tab w:val="left" w:pos="0"/>
        </w:tabs>
        <w:spacing w:before="120" w:after="0" w:line="276" w:lineRule="auto"/>
        <w:ind w:firstLine="0"/>
        <w:rPr>
          <w:sz w:val="20"/>
          <w:szCs w:val="20"/>
          <w:lang w:val="af-ZA"/>
        </w:rPr>
      </w:pPr>
    </w:p>
    <w:tbl>
      <w:tblPr>
        <w:tblW w:w="9923" w:type="dxa"/>
        <w:tblInd w:w="-630" w:type="dxa"/>
        <w:tblLayout w:type="fixed"/>
        <w:tblLook w:val="04A0" w:firstRow="1" w:lastRow="0" w:firstColumn="1" w:lastColumn="0" w:noHBand="0" w:noVBand="1"/>
      </w:tblPr>
      <w:tblGrid>
        <w:gridCol w:w="2988"/>
        <w:gridCol w:w="900"/>
        <w:gridCol w:w="900"/>
        <w:gridCol w:w="990"/>
        <w:gridCol w:w="1080"/>
        <w:gridCol w:w="990"/>
        <w:gridCol w:w="990"/>
        <w:gridCol w:w="1085"/>
      </w:tblGrid>
      <w:tr w:rsidR="006F7A03" w:rsidRPr="00615328" w14:paraId="68D703ED" w14:textId="77777777" w:rsidTr="004D1312">
        <w:trPr>
          <w:trHeight w:val="315"/>
        </w:trPr>
        <w:tc>
          <w:tcPr>
            <w:tcW w:w="2988" w:type="dxa"/>
            <w:vMerge w:val="restart"/>
            <w:shd w:val="clear" w:color="auto" w:fill="auto"/>
            <w:vAlign w:val="center"/>
          </w:tcPr>
          <w:p w14:paraId="3410B42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Sylfaen"/>
                <w:color w:val="000000"/>
                <w:sz w:val="16"/>
                <w:szCs w:val="16"/>
              </w:rPr>
              <w:t>Ցուցանիշ</w:t>
            </w:r>
          </w:p>
        </w:tc>
        <w:tc>
          <w:tcPr>
            <w:tcW w:w="2790" w:type="dxa"/>
            <w:gridSpan w:val="3"/>
            <w:tcBorders>
              <w:bottom w:val="single" w:sz="2" w:space="0" w:color="auto"/>
            </w:tcBorders>
            <w:shd w:val="clear" w:color="auto" w:fill="auto"/>
            <w:vAlign w:val="center"/>
          </w:tcPr>
          <w:p w14:paraId="7FDD1E0D"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Փաստ</w:t>
            </w:r>
          </w:p>
        </w:tc>
        <w:tc>
          <w:tcPr>
            <w:tcW w:w="1080" w:type="dxa"/>
            <w:shd w:val="clear" w:color="auto" w:fill="auto"/>
            <w:vAlign w:val="center"/>
          </w:tcPr>
          <w:p w14:paraId="60D6D4A7"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Բյուջե</w:t>
            </w:r>
          </w:p>
        </w:tc>
        <w:tc>
          <w:tcPr>
            <w:tcW w:w="3065" w:type="dxa"/>
            <w:gridSpan w:val="3"/>
            <w:tcBorders>
              <w:bottom w:val="single" w:sz="2" w:space="0" w:color="auto"/>
            </w:tcBorders>
            <w:shd w:val="clear" w:color="auto" w:fill="auto"/>
            <w:vAlign w:val="center"/>
          </w:tcPr>
          <w:p w14:paraId="2CA8F54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ՄԺԾԾ</w:t>
            </w:r>
          </w:p>
        </w:tc>
      </w:tr>
      <w:tr w:rsidR="006F7A03" w:rsidRPr="00615328" w14:paraId="2F548E71" w14:textId="77777777" w:rsidTr="004D1312">
        <w:trPr>
          <w:trHeight w:val="319"/>
        </w:trPr>
        <w:tc>
          <w:tcPr>
            <w:tcW w:w="2988" w:type="dxa"/>
            <w:vMerge/>
            <w:tcBorders>
              <w:bottom w:val="single" w:sz="2" w:space="0" w:color="auto"/>
            </w:tcBorders>
            <w:shd w:val="clear" w:color="auto" w:fill="auto"/>
            <w:vAlign w:val="center"/>
            <w:hideMark/>
          </w:tcPr>
          <w:p w14:paraId="1BBE987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p>
        </w:tc>
        <w:tc>
          <w:tcPr>
            <w:tcW w:w="900" w:type="dxa"/>
            <w:tcBorders>
              <w:top w:val="single" w:sz="2" w:space="0" w:color="auto"/>
              <w:bottom w:val="single" w:sz="2" w:space="0" w:color="auto"/>
            </w:tcBorders>
            <w:shd w:val="clear" w:color="auto" w:fill="auto"/>
            <w:vAlign w:val="center"/>
            <w:hideMark/>
          </w:tcPr>
          <w:p w14:paraId="79EB6F8E"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2021 </w:t>
            </w:r>
          </w:p>
        </w:tc>
        <w:tc>
          <w:tcPr>
            <w:tcW w:w="900" w:type="dxa"/>
            <w:tcBorders>
              <w:top w:val="single" w:sz="2" w:space="0" w:color="auto"/>
              <w:bottom w:val="single" w:sz="2" w:space="0" w:color="auto"/>
            </w:tcBorders>
            <w:shd w:val="clear" w:color="auto" w:fill="auto"/>
            <w:vAlign w:val="center"/>
            <w:hideMark/>
          </w:tcPr>
          <w:p w14:paraId="58239D7C"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2022</w:t>
            </w:r>
          </w:p>
        </w:tc>
        <w:tc>
          <w:tcPr>
            <w:tcW w:w="990" w:type="dxa"/>
            <w:tcBorders>
              <w:top w:val="single" w:sz="2" w:space="0" w:color="auto"/>
              <w:bottom w:val="single" w:sz="2" w:space="0" w:color="auto"/>
            </w:tcBorders>
            <w:shd w:val="clear" w:color="auto" w:fill="auto"/>
            <w:vAlign w:val="center"/>
            <w:hideMark/>
          </w:tcPr>
          <w:p w14:paraId="695D8479"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2023 </w:t>
            </w:r>
          </w:p>
        </w:tc>
        <w:tc>
          <w:tcPr>
            <w:tcW w:w="1080" w:type="dxa"/>
            <w:tcBorders>
              <w:bottom w:val="single" w:sz="2" w:space="0" w:color="auto"/>
            </w:tcBorders>
            <w:shd w:val="clear" w:color="auto" w:fill="auto"/>
            <w:vAlign w:val="center"/>
            <w:hideMark/>
          </w:tcPr>
          <w:p w14:paraId="43AFFB69"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2024</w:t>
            </w:r>
          </w:p>
        </w:tc>
        <w:tc>
          <w:tcPr>
            <w:tcW w:w="990" w:type="dxa"/>
            <w:tcBorders>
              <w:top w:val="single" w:sz="2" w:space="0" w:color="auto"/>
              <w:bottom w:val="single" w:sz="2" w:space="0" w:color="auto"/>
            </w:tcBorders>
            <w:shd w:val="clear" w:color="auto" w:fill="auto"/>
            <w:vAlign w:val="center"/>
            <w:hideMark/>
          </w:tcPr>
          <w:p w14:paraId="514CC2BC"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2025 </w:t>
            </w:r>
          </w:p>
        </w:tc>
        <w:tc>
          <w:tcPr>
            <w:tcW w:w="990" w:type="dxa"/>
            <w:tcBorders>
              <w:top w:val="single" w:sz="2" w:space="0" w:color="auto"/>
              <w:bottom w:val="single" w:sz="2" w:space="0" w:color="auto"/>
            </w:tcBorders>
            <w:shd w:val="clear" w:color="auto" w:fill="auto"/>
            <w:vAlign w:val="center"/>
            <w:hideMark/>
          </w:tcPr>
          <w:p w14:paraId="08D78D1A"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lang w:val="hy-AM"/>
              </w:rPr>
            </w:pPr>
            <w:r w:rsidRPr="00615328">
              <w:rPr>
                <w:rFonts w:cs="Calibri"/>
                <w:color w:val="000000"/>
                <w:sz w:val="16"/>
                <w:szCs w:val="16"/>
              </w:rPr>
              <w:t>202</w:t>
            </w:r>
            <w:r w:rsidRPr="00615328">
              <w:rPr>
                <w:rFonts w:cs="Calibri"/>
                <w:color w:val="000000"/>
                <w:sz w:val="16"/>
                <w:szCs w:val="16"/>
                <w:lang w:val="hy-AM"/>
              </w:rPr>
              <w:t>6</w:t>
            </w:r>
          </w:p>
        </w:tc>
        <w:tc>
          <w:tcPr>
            <w:tcW w:w="1085" w:type="dxa"/>
            <w:tcBorders>
              <w:top w:val="single" w:sz="2" w:space="0" w:color="auto"/>
              <w:bottom w:val="single" w:sz="2" w:space="0" w:color="auto"/>
            </w:tcBorders>
            <w:shd w:val="clear" w:color="auto" w:fill="auto"/>
            <w:vAlign w:val="center"/>
          </w:tcPr>
          <w:p w14:paraId="504CDA03"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rPr>
            </w:pPr>
            <w:r w:rsidRPr="00615328">
              <w:rPr>
                <w:rFonts w:cs="Calibri"/>
                <w:color w:val="000000"/>
                <w:sz w:val="16"/>
                <w:szCs w:val="16"/>
              </w:rPr>
              <w:t>202</w:t>
            </w:r>
            <w:r w:rsidRPr="00615328">
              <w:rPr>
                <w:rFonts w:cs="Calibri"/>
                <w:color w:val="000000"/>
                <w:sz w:val="16"/>
                <w:szCs w:val="16"/>
                <w:lang w:val="hy-AM"/>
              </w:rPr>
              <w:t>7</w:t>
            </w:r>
            <w:r w:rsidRPr="00615328">
              <w:rPr>
                <w:rFonts w:cs="Calibri"/>
                <w:color w:val="000000"/>
                <w:sz w:val="16"/>
                <w:szCs w:val="16"/>
              </w:rPr>
              <w:t xml:space="preserve"> </w:t>
            </w:r>
          </w:p>
        </w:tc>
      </w:tr>
      <w:tr w:rsidR="006F7A03" w:rsidRPr="00615328" w14:paraId="1931F54D" w14:textId="77777777" w:rsidTr="004D1312">
        <w:trPr>
          <w:trHeight w:val="315"/>
        </w:trPr>
        <w:tc>
          <w:tcPr>
            <w:tcW w:w="2988" w:type="dxa"/>
            <w:tcBorders>
              <w:top w:val="single" w:sz="2" w:space="0" w:color="auto"/>
            </w:tcBorders>
            <w:shd w:val="clear" w:color="auto" w:fill="auto"/>
            <w:vAlign w:val="center"/>
            <w:hideMark/>
          </w:tcPr>
          <w:p w14:paraId="59E9475C"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Ընդամենը</w:t>
            </w:r>
          </w:p>
        </w:tc>
        <w:tc>
          <w:tcPr>
            <w:tcW w:w="900" w:type="dxa"/>
            <w:tcBorders>
              <w:top w:val="single" w:sz="2" w:space="0" w:color="auto"/>
            </w:tcBorders>
            <w:shd w:val="clear" w:color="auto" w:fill="auto"/>
            <w:vAlign w:val="center"/>
            <w:hideMark/>
          </w:tcPr>
          <w:p w14:paraId="65638B1B"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ru-RU"/>
              </w:rPr>
            </w:pPr>
            <w:r w:rsidRPr="00615328">
              <w:rPr>
                <w:rFonts w:cs="Calibri"/>
                <w:color w:val="000000"/>
                <w:sz w:val="16"/>
                <w:szCs w:val="16"/>
                <w:lang w:val="ru-RU"/>
              </w:rPr>
              <w:t>2,004.3</w:t>
            </w:r>
          </w:p>
        </w:tc>
        <w:tc>
          <w:tcPr>
            <w:tcW w:w="900" w:type="dxa"/>
            <w:tcBorders>
              <w:top w:val="single" w:sz="2" w:space="0" w:color="auto"/>
            </w:tcBorders>
            <w:shd w:val="clear" w:color="auto" w:fill="auto"/>
            <w:vAlign w:val="center"/>
            <w:hideMark/>
          </w:tcPr>
          <w:p w14:paraId="36DC803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2,242.6</w:t>
            </w:r>
          </w:p>
        </w:tc>
        <w:tc>
          <w:tcPr>
            <w:tcW w:w="990" w:type="dxa"/>
            <w:tcBorders>
              <w:top w:val="single" w:sz="2" w:space="0" w:color="auto"/>
            </w:tcBorders>
            <w:shd w:val="clear" w:color="auto" w:fill="auto"/>
            <w:vAlign w:val="center"/>
          </w:tcPr>
          <w:p w14:paraId="442FD662"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2,547.6</w:t>
            </w:r>
          </w:p>
        </w:tc>
        <w:tc>
          <w:tcPr>
            <w:tcW w:w="1080" w:type="dxa"/>
            <w:tcBorders>
              <w:top w:val="single" w:sz="2" w:space="0" w:color="auto"/>
            </w:tcBorders>
            <w:shd w:val="clear" w:color="auto" w:fill="auto"/>
            <w:vAlign w:val="center"/>
          </w:tcPr>
          <w:p w14:paraId="7A4058F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3,206.5</w:t>
            </w:r>
          </w:p>
        </w:tc>
        <w:tc>
          <w:tcPr>
            <w:tcW w:w="990" w:type="dxa"/>
            <w:tcBorders>
              <w:top w:val="single" w:sz="2" w:space="0" w:color="auto"/>
            </w:tcBorders>
            <w:shd w:val="clear" w:color="auto" w:fill="auto"/>
            <w:vAlign w:val="center"/>
          </w:tcPr>
          <w:p w14:paraId="11A22D7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3,513.4</w:t>
            </w:r>
          </w:p>
        </w:tc>
        <w:tc>
          <w:tcPr>
            <w:tcW w:w="990" w:type="dxa"/>
            <w:tcBorders>
              <w:top w:val="single" w:sz="2" w:space="0" w:color="auto"/>
            </w:tcBorders>
            <w:shd w:val="clear" w:color="auto" w:fill="auto"/>
            <w:vAlign w:val="center"/>
          </w:tcPr>
          <w:p w14:paraId="15B6DC0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3,812.1</w:t>
            </w:r>
          </w:p>
        </w:tc>
        <w:tc>
          <w:tcPr>
            <w:tcW w:w="1085" w:type="dxa"/>
            <w:tcBorders>
              <w:top w:val="single" w:sz="2" w:space="0" w:color="auto"/>
            </w:tcBorders>
            <w:shd w:val="clear" w:color="auto" w:fill="auto"/>
            <w:vAlign w:val="center"/>
          </w:tcPr>
          <w:p w14:paraId="2323384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4,086.8</w:t>
            </w:r>
          </w:p>
        </w:tc>
      </w:tr>
      <w:tr w:rsidR="006F7A03" w:rsidRPr="00615328" w14:paraId="7B6C686F" w14:textId="77777777" w:rsidTr="004D1312">
        <w:trPr>
          <w:trHeight w:val="315"/>
        </w:trPr>
        <w:tc>
          <w:tcPr>
            <w:tcW w:w="2988" w:type="dxa"/>
            <w:tcBorders>
              <w:bottom w:val="single" w:sz="2" w:space="0" w:color="auto"/>
            </w:tcBorders>
            <w:shd w:val="clear" w:color="auto" w:fill="auto"/>
            <w:vAlign w:val="center"/>
            <w:hideMark/>
          </w:tcPr>
          <w:p w14:paraId="2C9C3CBA" w14:textId="77777777" w:rsidR="006F7A03" w:rsidRPr="00615328" w:rsidRDefault="006F7A03" w:rsidP="00A90AAE">
            <w:pPr>
              <w:tabs>
                <w:tab w:val="left" w:pos="0"/>
              </w:tabs>
              <w:spacing w:before="120" w:after="0" w:line="240" w:lineRule="auto"/>
              <w:ind w:left="227" w:firstLine="0"/>
              <w:rPr>
                <w:color w:val="000000"/>
                <w:sz w:val="16"/>
                <w:szCs w:val="16"/>
              </w:rPr>
            </w:pPr>
            <w:r w:rsidRPr="00615328">
              <w:rPr>
                <w:color w:val="000000"/>
                <w:sz w:val="16"/>
                <w:szCs w:val="16"/>
              </w:rPr>
              <w:t>ՀՆԱ-ի նկատմամբ (%)</w:t>
            </w:r>
          </w:p>
        </w:tc>
        <w:tc>
          <w:tcPr>
            <w:tcW w:w="900" w:type="dxa"/>
            <w:tcBorders>
              <w:bottom w:val="single" w:sz="2" w:space="0" w:color="auto"/>
            </w:tcBorders>
            <w:shd w:val="clear" w:color="auto" w:fill="auto"/>
            <w:vAlign w:val="center"/>
            <w:hideMark/>
          </w:tcPr>
          <w:p w14:paraId="00D2766E" w14:textId="77777777" w:rsidR="006F7A03" w:rsidRPr="00615328" w:rsidRDefault="006F7A03" w:rsidP="00A90AAE">
            <w:pPr>
              <w:tabs>
                <w:tab w:val="left" w:pos="0"/>
              </w:tabs>
              <w:spacing w:before="120" w:after="0" w:line="240" w:lineRule="auto"/>
              <w:ind w:left="227" w:firstLine="0"/>
              <w:rPr>
                <w:color w:val="000000"/>
                <w:sz w:val="16"/>
                <w:szCs w:val="16"/>
              </w:rPr>
            </w:pPr>
            <w:r w:rsidRPr="00615328">
              <w:rPr>
                <w:color w:val="000000"/>
                <w:sz w:val="16"/>
                <w:szCs w:val="16"/>
              </w:rPr>
              <w:t>28.7</w:t>
            </w:r>
          </w:p>
        </w:tc>
        <w:tc>
          <w:tcPr>
            <w:tcW w:w="900" w:type="dxa"/>
            <w:tcBorders>
              <w:bottom w:val="single" w:sz="2" w:space="0" w:color="auto"/>
            </w:tcBorders>
            <w:shd w:val="clear" w:color="auto" w:fill="auto"/>
            <w:vAlign w:val="center"/>
            <w:hideMark/>
          </w:tcPr>
          <w:p w14:paraId="2515F8AF" w14:textId="77777777" w:rsidR="006F7A03" w:rsidRPr="00615328" w:rsidRDefault="006F7A03" w:rsidP="00A90AAE">
            <w:pPr>
              <w:tabs>
                <w:tab w:val="left" w:pos="0"/>
              </w:tabs>
              <w:spacing w:before="120" w:after="0" w:line="240" w:lineRule="auto"/>
              <w:ind w:left="227" w:firstLine="0"/>
              <w:rPr>
                <w:color w:val="000000"/>
                <w:sz w:val="16"/>
                <w:szCs w:val="16"/>
              </w:rPr>
            </w:pPr>
            <w:r w:rsidRPr="00615328">
              <w:rPr>
                <w:color w:val="000000"/>
                <w:sz w:val="16"/>
                <w:szCs w:val="16"/>
              </w:rPr>
              <w:t>26.4</w:t>
            </w:r>
          </w:p>
        </w:tc>
        <w:tc>
          <w:tcPr>
            <w:tcW w:w="990" w:type="dxa"/>
            <w:tcBorders>
              <w:bottom w:val="single" w:sz="2" w:space="0" w:color="auto"/>
            </w:tcBorders>
            <w:shd w:val="clear" w:color="auto" w:fill="auto"/>
            <w:vAlign w:val="center"/>
          </w:tcPr>
          <w:p w14:paraId="56F2172F" w14:textId="77777777" w:rsidR="006F7A03" w:rsidRPr="00615328" w:rsidRDefault="006F7A03" w:rsidP="00A90AAE">
            <w:pPr>
              <w:tabs>
                <w:tab w:val="left" w:pos="0"/>
              </w:tabs>
              <w:spacing w:before="120" w:after="0" w:line="240" w:lineRule="auto"/>
              <w:ind w:left="227" w:firstLine="0"/>
              <w:rPr>
                <w:color w:val="000000"/>
                <w:sz w:val="16"/>
                <w:szCs w:val="16"/>
              </w:rPr>
            </w:pPr>
            <w:r>
              <w:rPr>
                <w:color w:val="000000"/>
                <w:sz w:val="16"/>
                <w:szCs w:val="16"/>
              </w:rPr>
              <w:t>26.8</w:t>
            </w:r>
          </w:p>
        </w:tc>
        <w:tc>
          <w:tcPr>
            <w:tcW w:w="1080" w:type="dxa"/>
            <w:tcBorders>
              <w:bottom w:val="single" w:sz="2" w:space="0" w:color="auto"/>
            </w:tcBorders>
            <w:shd w:val="clear" w:color="auto" w:fill="auto"/>
            <w:vAlign w:val="center"/>
          </w:tcPr>
          <w:p w14:paraId="2070419A" w14:textId="77777777" w:rsidR="006F7A03" w:rsidRPr="00615328" w:rsidRDefault="006F7A03" w:rsidP="00A90AAE">
            <w:pPr>
              <w:tabs>
                <w:tab w:val="left" w:pos="0"/>
              </w:tabs>
              <w:spacing w:before="120" w:after="0" w:line="240" w:lineRule="auto"/>
              <w:ind w:left="227" w:firstLine="0"/>
              <w:rPr>
                <w:color w:val="000000"/>
                <w:sz w:val="16"/>
                <w:szCs w:val="16"/>
              </w:rPr>
            </w:pPr>
            <w:r>
              <w:rPr>
                <w:color w:val="000000"/>
                <w:sz w:val="16"/>
                <w:szCs w:val="16"/>
              </w:rPr>
              <w:t>30.5</w:t>
            </w:r>
          </w:p>
        </w:tc>
        <w:tc>
          <w:tcPr>
            <w:tcW w:w="990" w:type="dxa"/>
            <w:tcBorders>
              <w:bottom w:val="single" w:sz="2" w:space="0" w:color="auto"/>
            </w:tcBorders>
            <w:shd w:val="clear" w:color="auto" w:fill="auto"/>
            <w:vAlign w:val="center"/>
          </w:tcPr>
          <w:p w14:paraId="0D9172BC" w14:textId="77777777" w:rsidR="006F7A03" w:rsidRPr="00615328" w:rsidRDefault="006F7A03" w:rsidP="00A90AAE">
            <w:pPr>
              <w:tabs>
                <w:tab w:val="left" w:pos="0"/>
              </w:tabs>
              <w:spacing w:before="120" w:after="0" w:line="240" w:lineRule="auto"/>
              <w:ind w:left="227" w:firstLine="0"/>
              <w:rPr>
                <w:color w:val="000000"/>
                <w:sz w:val="16"/>
                <w:szCs w:val="16"/>
              </w:rPr>
            </w:pPr>
            <w:r>
              <w:rPr>
                <w:color w:val="000000"/>
                <w:sz w:val="16"/>
                <w:szCs w:val="16"/>
              </w:rPr>
              <w:t>31.4</w:t>
            </w:r>
          </w:p>
        </w:tc>
        <w:tc>
          <w:tcPr>
            <w:tcW w:w="990" w:type="dxa"/>
            <w:tcBorders>
              <w:bottom w:val="single" w:sz="2" w:space="0" w:color="auto"/>
            </w:tcBorders>
            <w:shd w:val="clear" w:color="auto" w:fill="auto"/>
            <w:vAlign w:val="center"/>
          </w:tcPr>
          <w:p w14:paraId="1FEB5C35" w14:textId="77777777" w:rsidR="006F7A03" w:rsidRPr="00615328" w:rsidRDefault="006F7A03" w:rsidP="00A90AAE">
            <w:pPr>
              <w:tabs>
                <w:tab w:val="left" w:pos="0"/>
              </w:tabs>
              <w:spacing w:before="120" w:after="0" w:line="240" w:lineRule="auto"/>
              <w:ind w:left="227" w:firstLine="0"/>
              <w:rPr>
                <w:color w:val="000000"/>
                <w:sz w:val="16"/>
                <w:szCs w:val="16"/>
              </w:rPr>
            </w:pPr>
            <w:r>
              <w:rPr>
                <w:color w:val="000000"/>
                <w:sz w:val="16"/>
                <w:szCs w:val="16"/>
              </w:rPr>
              <w:t>31.0</w:t>
            </w:r>
          </w:p>
        </w:tc>
        <w:tc>
          <w:tcPr>
            <w:tcW w:w="1085" w:type="dxa"/>
            <w:tcBorders>
              <w:bottom w:val="single" w:sz="2" w:space="0" w:color="auto"/>
            </w:tcBorders>
            <w:shd w:val="clear" w:color="auto" w:fill="auto"/>
            <w:vAlign w:val="center"/>
          </w:tcPr>
          <w:p w14:paraId="233D22CA" w14:textId="77777777" w:rsidR="006F7A03" w:rsidRPr="00615328" w:rsidRDefault="006F7A03" w:rsidP="00A90AAE">
            <w:pPr>
              <w:tabs>
                <w:tab w:val="left" w:pos="0"/>
              </w:tabs>
              <w:spacing w:before="120" w:after="0" w:line="240" w:lineRule="auto"/>
              <w:ind w:left="227" w:firstLine="0"/>
              <w:rPr>
                <w:color w:val="000000"/>
                <w:sz w:val="16"/>
                <w:szCs w:val="16"/>
              </w:rPr>
            </w:pPr>
            <w:r>
              <w:rPr>
                <w:color w:val="000000"/>
                <w:sz w:val="16"/>
                <w:szCs w:val="16"/>
              </w:rPr>
              <w:t>30.3</w:t>
            </w:r>
          </w:p>
        </w:tc>
      </w:tr>
      <w:tr w:rsidR="006F7A03" w:rsidRPr="00615328" w14:paraId="610ECCDC" w14:textId="77777777" w:rsidTr="004D1312">
        <w:trPr>
          <w:trHeight w:val="825"/>
        </w:trPr>
        <w:tc>
          <w:tcPr>
            <w:tcW w:w="2988" w:type="dxa"/>
            <w:tcBorders>
              <w:top w:val="single" w:sz="2" w:space="0" w:color="auto"/>
            </w:tcBorders>
            <w:shd w:val="clear" w:color="auto" w:fill="auto"/>
            <w:vAlign w:val="center"/>
            <w:hideMark/>
          </w:tcPr>
          <w:p w14:paraId="08EF6E5A" w14:textId="77777777" w:rsidR="006F7A03" w:rsidRPr="00615328" w:rsidRDefault="006F7A03" w:rsidP="00A90AAE">
            <w:pPr>
              <w:tabs>
                <w:tab w:val="left" w:pos="0"/>
              </w:tabs>
              <w:spacing w:before="120" w:after="0" w:line="240" w:lineRule="auto"/>
              <w:ind w:firstLine="0"/>
              <w:jc w:val="left"/>
              <w:rPr>
                <w:rFonts w:cs="Calibri"/>
                <w:color w:val="000000"/>
                <w:sz w:val="16"/>
                <w:szCs w:val="16"/>
              </w:rPr>
            </w:pPr>
            <w:r w:rsidRPr="00615328">
              <w:rPr>
                <w:rFonts w:cs="Calibri"/>
                <w:color w:val="000000"/>
                <w:sz w:val="16"/>
                <w:szCs w:val="16"/>
              </w:rPr>
              <w:t xml:space="preserve">1. Ընդհանուր բնույթի հանրային ծառայություններ </w:t>
            </w:r>
            <w:r w:rsidRPr="00615328">
              <w:rPr>
                <w:rFonts w:cs="Calibri"/>
                <w:color w:val="000000"/>
                <w:sz w:val="16"/>
                <w:szCs w:val="16"/>
                <w:lang w:val="ru-RU"/>
              </w:rPr>
              <w:t>և</w:t>
            </w:r>
            <w:r w:rsidRPr="00615328">
              <w:rPr>
                <w:rFonts w:cs="Calibri"/>
                <w:color w:val="000000"/>
                <w:sz w:val="16"/>
                <w:szCs w:val="16"/>
              </w:rPr>
              <w:t xml:space="preserve"> պահուստային ֆոնդեր</w:t>
            </w:r>
          </w:p>
        </w:tc>
        <w:tc>
          <w:tcPr>
            <w:tcW w:w="900" w:type="dxa"/>
            <w:tcBorders>
              <w:top w:val="single" w:sz="2" w:space="0" w:color="auto"/>
            </w:tcBorders>
            <w:shd w:val="clear" w:color="auto" w:fill="auto"/>
            <w:vAlign w:val="center"/>
            <w:hideMark/>
          </w:tcPr>
          <w:p w14:paraId="6469284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381.0</w:t>
            </w:r>
          </w:p>
        </w:tc>
        <w:tc>
          <w:tcPr>
            <w:tcW w:w="900" w:type="dxa"/>
            <w:tcBorders>
              <w:top w:val="single" w:sz="2" w:space="0" w:color="auto"/>
            </w:tcBorders>
            <w:shd w:val="clear" w:color="auto" w:fill="auto"/>
            <w:vAlign w:val="center"/>
            <w:hideMark/>
          </w:tcPr>
          <w:p w14:paraId="313AB40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407.4</w:t>
            </w:r>
          </w:p>
        </w:tc>
        <w:tc>
          <w:tcPr>
            <w:tcW w:w="990" w:type="dxa"/>
            <w:tcBorders>
              <w:top w:val="single" w:sz="2" w:space="0" w:color="auto"/>
            </w:tcBorders>
            <w:shd w:val="clear" w:color="auto" w:fill="auto"/>
            <w:vAlign w:val="center"/>
          </w:tcPr>
          <w:p w14:paraId="3419965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522.5</w:t>
            </w:r>
          </w:p>
        </w:tc>
        <w:tc>
          <w:tcPr>
            <w:tcW w:w="1080" w:type="dxa"/>
            <w:tcBorders>
              <w:top w:val="single" w:sz="2" w:space="0" w:color="auto"/>
            </w:tcBorders>
            <w:shd w:val="clear" w:color="auto" w:fill="auto"/>
            <w:vAlign w:val="center"/>
          </w:tcPr>
          <w:p w14:paraId="54AA2023"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834.7</w:t>
            </w:r>
          </w:p>
        </w:tc>
        <w:tc>
          <w:tcPr>
            <w:tcW w:w="990" w:type="dxa"/>
            <w:tcBorders>
              <w:top w:val="single" w:sz="2" w:space="0" w:color="auto"/>
            </w:tcBorders>
            <w:shd w:val="clear" w:color="auto" w:fill="auto"/>
            <w:vAlign w:val="center"/>
          </w:tcPr>
          <w:p w14:paraId="1D9FBAF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805.3</w:t>
            </w:r>
          </w:p>
        </w:tc>
        <w:tc>
          <w:tcPr>
            <w:tcW w:w="990" w:type="dxa"/>
            <w:tcBorders>
              <w:top w:val="single" w:sz="2" w:space="0" w:color="auto"/>
            </w:tcBorders>
            <w:shd w:val="clear" w:color="auto" w:fill="auto"/>
            <w:vAlign w:val="center"/>
          </w:tcPr>
          <w:p w14:paraId="13D3ED1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965.0</w:t>
            </w:r>
          </w:p>
        </w:tc>
        <w:tc>
          <w:tcPr>
            <w:tcW w:w="1085" w:type="dxa"/>
            <w:tcBorders>
              <w:top w:val="single" w:sz="2" w:space="0" w:color="auto"/>
            </w:tcBorders>
            <w:shd w:val="clear" w:color="auto" w:fill="auto"/>
            <w:vAlign w:val="center"/>
          </w:tcPr>
          <w:p w14:paraId="443C86D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1,071.6</w:t>
            </w:r>
          </w:p>
        </w:tc>
      </w:tr>
      <w:tr w:rsidR="006F7A03" w:rsidRPr="00615328" w14:paraId="0E7E7409" w14:textId="77777777" w:rsidTr="004D1312">
        <w:trPr>
          <w:trHeight w:val="315"/>
        </w:trPr>
        <w:tc>
          <w:tcPr>
            <w:tcW w:w="2988" w:type="dxa"/>
            <w:shd w:val="clear" w:color="auto" w:fill="auto"/>
            <w:vAlign w:val="center"/>
            <w:hideMark/>
          </w:tcPr>
          <w:p w14:paraId="0FD60870"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color w:val="000000"/>
                <w:sz w:val="16"/>
                <w:szCs w:val="16"/>
              </w:rPr>
              <w:t>ՀՆԱ-ի նկատմամբ (%)</w:t>
            </w:r>
          </w:p>
        </w:tc>
        <w:tc>
          <w:tcPr>
            <w:tcW w:w="900" w:type="dxa"/>
            <w:shd w:val="clear" w:color="auto" w:fill="auto"/>
            <w:vAlign w:val="center"/>
            <w:hideMark/>
          </w:tcPr>
          <w:p w14:paraId="210E757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5.5</w:t>
            </w:r>
          </w:p>
        </w:tc>
        <w:tc>
          <w:tcPr>
            <w:tcW w:w="900" w:type="dxa"/>
            <w:shd w:val="clear" w:color="auto" w:fill="auto"/>
            <w:vAlign w:val="center"/>
            <w:hideMark/>
          </w:tcPr>
          <w:p w14:paraId="42BD730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4.8</w:t>
            </w:r>
          </w:p>
        </w:tc>
        <w:tc>
          <w:tcPr>
            <w:tcW w:w="990" w:type="dxa"/>
            <w:shd w:val="clear" w:color="auto" w:fill="auto"/>
            <w:vAlign w:val="center"/>
          </w:tcPr>
          <w:p w14:paraId="78F3C09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5.5</w:t>
            </w:r>
          </w:p>
        </w:tc>
        <w:tc>
          <w:tcPr>
            <w:tcW w:w="1080" w:type="dxa"/>
            <w:shd w:val="clear" w:color="auto" w:fill="auto"/>
            <w:vAlign w:val="center"/>
          </w:tcPr>
          <w:p w14:paraId="3A305F43"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7.9</w:t>
            </w:r>
          </w:p>
        </w:tc>
        <w:tc>
          <w:tcPr>
            <w:tcW w:w="990" w:type="dxa"/>
            <w:shd w:val="clear" w:color="auto" w:fill="auto"/>
            <w:vAlign w:val="center"/>
          </w:tcPr>
          <w:p w14:paraId="6CC3514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7.2</w:t>
            </w:r>
          </w:p>
        </w:tc>
        <w:tc>
          <w:tcPr>
            <w:tcW w:w="990" w:type="dxa"/>
            <w:shd w:val="clear" w:color="auto" w:fill="auto"/>
            <w:vAlign w:val="center"/>
          </w:tcPr>
          <w:p w14:paraId="1C12C72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7.8</w:t>
            </w:r>
          </w:p>
        </w:tc>
        <w:tc>
          <w:tcPr>
            <w:tcW w:w="1085" w:type="dxa"/>
            <w:shd w:val="clear" w:color="auto" w:fill="auto"/>
            <w:vAlign w:val="center"/>
          </w:tcPr>
          <w:p w14:paraId="176EBE12" w14:textId="77777777" w:rsidR="006F7A03" w:rsidRPr="006C3D86"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7.9</w:t>
            </w:r>
          </w:p>
        </w:tc>
      </w:tr>
      <w:tr w:rsidR="006F7A03" w:rsidRPr="00615328" w14:paraId="6A93E883" w14:textId="77777777" w:rsidTr="004D1312">
        <w:trPr>
          <w:trHeight w:val="81"/>
        </w:trPr>
        <w:tc>
          <w:tcPr>
            <w:tcW w:w="2988" w:type="dxa"/>
            <w:tcBorders>
              <w:bottom w:val="single" w:sz="2" w:space="0" w:color="auto"/>
            </w:tcBorders>
            <w:shd w:val="clear" w:color="auto" w:fill="auto"/>
            <w:vAlign w:val="center"/>
            <w:hideMark/>
          </w:tcPr>
          <w:p w14:paraId="2436394A"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lang w:val="ru-RU"/>
              </w:rPr>
              <w:t>Ընդհանուր</w:t>
            </w:r>
            <w:r w:rsidRPr="00615328">
              <w:rPr>
                <w:rFonts w:cs="Calibri"/>
                <w:color w:val="000000"/>
                <w:sz w:val="16"/>
                <w:szCs w:val="16"/>
              </w:rPr>
              <w:t xml:space="preserve"> </w:t>
            </w:r>
            <w:r w:rsidRPr="00615328">
              <w:rPr>
                <w:rFonts w:cs="Calibri"/>
                <w:color w:val="000000"/>
                <w:sz w:val="16"/>
                <w:szCs w:val="16"/>
                <w:lang w:val="ru-RU"/>
              </w:rPr>
              <w:t xml:space="preserve">ծախսերում </w:t>
            </w:r>
            <w:r w:rsidRPr="00615328">
              <w:rPr>
                <w:rFonts w:cs="Calibri"/>
                <w:color w:val="000000"/>
                <w:sz w:val="16"/>
                <w:szCs w:val="16"/>
              </w:rPr>
              <w:t>(%)</w:t>
            </w:r>
          </w:p>
        </w:tc>
        <w:tc>
          <w:tcPr>
            <w:tcW w:w="900" w:type="dxa"/>
            <w:tcBorders>
              <w:bottom w:val="single" w:sz="2" w:space="0" w:color="auto"/>
            </w:tcBorders>
            <w:shd w:val="clear" w:color="auto" w:fill="auto"/>
            <w:vAlign w:val="center"/>
            <w:hideMark/>
          </w:tcPr>
          <w:p w14:paraId="4F40925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19.0</w:t>
            </w:r>
          </w:p>
        </w:tc>
        <w:tc>
          <w:tcPr>
            <w:tcW w:w="900" w:type="dxa"/>
            <w:tcBorders>
              <w:bottom w:val="single" w:sz="2" w:space="0" w:color="auto"/>
            </w:tcBorders>
            <w:shd w:val="clear" w:color="auto" w:fill="auto"/>
            <w:vAlign w:val="center"/>
            <w:hideMark/>
          </w:tcPr>
          <w:p w14:paraId="7B39FD5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lang w:val="ru-RU"/>
              </w:rPr>
              <w:t>18.2</w:t>
            </w:r>
          </w:p>
        </w:tc>
        <w:tc>
          <w:tcPr>
            <w:tcW w:w="990" w:type="dxa"/>
            <w:tcBorders>
              <w:bottom w:val="single" w:sz="2" w:space="0" w:color="auto"/>
            </w:tcBorders>
            <w:shd w:val="clear" w:color="auto" w:fill="auto"/>
            <w:vAlign w:val="center"/>
          </w:tcPr>
          <w:p w14:paraId="7ABA1E7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20.5</w:t>
            </w:r>
          </w:p>
        </w:tc>
        <w:tc>
          <w:tcPr>
            <w:tcW w:w="1080" w:type="dxa"/>
            <w:tcBorders>
              <w:bottom w:val="single" w:sz="2" w:space="0" w:color="auto"/>
            </w:tcBorders>
            <w:shd w:val="clear" w:color="auto" w:fill="auto"/>
            <w:vAlign w:val="center"/>
          </w:tcPr>
          <w:p w14:paraId="512EDBD9"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26.0</w:t>
            </w:r>
          </w:p>
        </w:tc>
        <w:tc>
          <w:tcPr>
            <w:tcW w:w="990" w:type="dxa"/>
            <w:tcBorders>
              <w:bottom w:val="single" w:sz="2" w:space="0" w:color="auto"/>
            </w:tcBorders>
            <w:shd w:val="clear" w:color="auto" w:fill="auto"/>
            <w:vAlign w:val="center"/>
          </w:tcPr>
          <w:p w14:paraId="0DB4E4F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22.9</w:t>
            </w:r>
          </w:p>
        </w:tc>
        <w:tc>
          <w:tcPr>
            <w:tcW w:w="990" w:type="dxa"/>
            <w:tcBorders>
              <w:bottom w:val="single" w:sz="2" w:space="0" w:color="auto"/>
            </w:tcBorders>
            <w:shd w:val="clear" w:color="auto" w:fill="auto"/>
            <w:vAlign w:val="center"/>
          </w:tcPr>
          <w:p w14:paraId="6FC1402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25.3</w:t>
            </w:r>
          </w:p>
        </w:tc>
        <w:tc>
          <w:tcPr>
            <w:tcW w:w="1085" w:type="dxa"/>
            <w:tcBorders>
              <w:bottom w:val="single" w:sz="2" w:space="0" w:color="auto"/>
            </w:tcBorders>
            <w:shd w:val="clear" w:color="auto" w:fill="auto"/>
            <w:vAlign w:val="center"/>
          </w:tcPr>
          <w:p w14:paraId="63C7299A" w14:textId="77777777" w:rsidR="006F7A03" w:rsidRPr="006C3D86"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26.2</w:t>
            </w:r>
          </w:p>
        </w:tc>
      </w:tr>
      <w:tr w:rsidR="006F7A03" w:rsidRPr="00615328" w14:paraId="02D43AB2" w14:textId="77777777" w:rsidTr="004D1312">
        <w:trPr>
          <w:trHeight w:val="536"/>
        </w:trPr>
        <w:tc>
          <w:tcPr>
            <w:tcW w:w="2988" w:type="dxa"/>
            <w:tcBorders>
              <w:top w:val="single" w:sz="2" w:space="0" w:color="auto"/>
            </w:tcBorders>
            <w:shd w:val="clear" w:color="auto" w:fill="auto"/>
            <w:vAlign w:val="center"/>
            <w:hideMark/>
          </w:tcPr>
          <w:p w14:paraId="474BD530" w14:textId="77777777" w:rsidR="006F7A03" w:rsidRPr="00615328" w:rsidRDefault="006F7A03" w:rsidP="00A90AAE">
            <w:pPr>
              <w:tabs>
                <w:tab w:val="left" w:pos="0"/>
                <w:tab w:val="left" w:pos="525"/>
              </w:tabs>
              <w:spacing w:before="120" w:after="0" w:line="240" w:lineRule="auto"/>
              <w:ind w:firstLine="0"/>
              <w:jc w:val="left"/>
              <w:rPr>
                <w:rFonts w:cs="Calibri"/>
                <w:color w:val="000000"/>
                <w:sz w:val="16"/>
                <w:szCs w:val="16"/>
              </w:rPr>
            </w:pPr>
            <w:r w:rsidRPr="00615328">
              <w:rPr>
                <w:rFonts w:cs="Calibri"/>
                <w:color w:val="000000"/>
                <w:sz w:val="16"/>
                <w:szCs w:val="16"/>
              </w:rPr>
              <w:t>2. Պաշտպանություն, հասարակական կարգ, անվտանգություն և դատական գործունեություն</w:t>
            </w:r>
          </w:p>
        </w:tc>
        <w:tc>
          <w:tcPr>
            <w:tcW w:w="900" w:type="dxa"/>
            <w:tcBorders>
              <w:top w:val="single" w:sz="2" w:space="0" w:color="auto"/>
            </w:tcBorders>
            <w:shd w:val="clear" w:color="auto" w:fill="auto"/>
            <w:vAlign w:val="center"/>
            <w:hideMark/>
          </w:tcPr>
          <w:p w14:paraId="433E65F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496.0</w:t>
            </w:r>
          </w:p>
        </w:tc>
        <w:tc>
          <w:tcPr>
            <w:tcW w:w="900" w:type="dxa"/>
            <w:tcBorders>
              <w:top w:val="single" w:sz="2" w:space="0" w:color="auto"/>
            </w:tcBorders>
            <w:shd w:val="clear" w:color="auto" w:fill="auto"/>
            <w:vAlign w:val="center"/>
            <w:hideMark/>
          </w:tcPr>
          <w:p w14:paraId="4BDB3C5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677.3</w:t>
            </w:r>
          </w:p>
        </w:tc>
        <w:tc>
          <w:tcPr>
            <w:tcW w:w="990" w:type="dxa"/>
            <w:tcBorders>
              <w:top w:val="single" w:sz="2" w:space="0" w:color="auto"/>
            </w:tcBorders>
            <w:shd w:val="clear" w:color="auto" w:fill="auto"/>
            <w:vAlign w:val="center"/>
          </w:tcPr>
          <w:p w14:paraId="34A63CC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733.4</w:t>
            </w:r>
          </w:p>
        </w:tc>
        <w:tc>
          <w:tcPr>
            <w:tcW w:w="1080" w:type="dxa"/>
            <w:tcBorders>
              <w:top w:val="single" w:sz="2" w:space="0" w:color="auto"/>
            </w:tcBorders>
            <w:shd w:val="clear" w:color="auto" w:fill="auto"/>
            <w:vAlign w:val="center"/>
          </w:tcPr>
          <w:p w14:paraId="68777FF4"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780.5</w:t>
            </w:r>
          </w:p>
        </w:tc>
        <w:tc>
          <w:tcPr>
            <w:tcW w:w="990" w:type="dxa"/>
            <w:tcBorders>
              <w:top w:val="single" w:sz="2" w:space="0" w:color="auto"/>
            </w:tcBorders>
            <w:shd w:val="clear" w:color="auto" w:fill="auto"/>
            <w:vAlign w:val="center"/>
          </w:tcPr>
          <w:p w14:paraId="4B749AA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911.5</w:t>
            </w:r>
          </w:p>
        </w:tc>
        <w:tc>
          <w:tcPr>
            <w:tcW w:w="990" w:type="dxa"/>
            <w:tcBorders>
              <w:top w:val="single" w:sz="2" w:space="0" w:color="auto"/>
            </w:tcBorders>
            <w:shd w:val="clear" w:color="auto" w:fill="auto"/>
            <w:vAlign w:val="center"/>
          </w:tcPr>
          <w:p w14:paraId="535E629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880.1</w:t>
            </w:r>
          </w:p>
        </w:tc>
        <w:tc>
          <w:tcPr>
            <w:tcW w:w="1085" w:type="dxa"/>
            <w:tcBorders>
              <w:top w:val="single" w:sz="2" w:space="0" w:color="auto"/>
            </w:tcBorders>
            <w:shd w:val="clear" w:color="auto" w:fill="auto"/>
            <w:vAlign w:val="center"/>
          </w:tcPr>
          <w:p w14:paraId="66F93E3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896.1</w:t>
            </w:r>
          </w:p>
        </w:tc>
      </w:tr>
      <w:tr w:rsidR="006F7A03" w:rsidRPr="00615328" w14:paraId="7E22CAA9" w14:textId="77777777" w:rsidTr="004D1312">
        <w:trPr>
          <w:trHeight w:val="315"/>
        </w:trPr>
        <w:tc>
          <w:tcPr>
            <w:tcW w:w="2988" w:type="dxa"/>
            <w:shd w:val="clear" w:color="auto" w:fill="auto"/>
            <w:vAlign w:val="center"/>
            <w:hideMark/>
          </w:tcPr>
          <w:p w14:paraId="22DC5E10"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ՀՆԱ-ի նկատմամբ (%)</w:t>
            </w:r>
          </w:p>
        </w:tc>
        <w:tc>
          <w:tcPr>
            <w:tcW w:w="900" w:type="dxa"/>
            <w:shd w:val="clear" w:color="auto" w:fill="auto"/>
            <w:vAlign w:val="center"/>
            <w:hideMark/>
          </w:tcPr>
          <w:p w14:paraId="7B11436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7.1</w:t>
            </w:r>
          </w:p>
        </w:tc>
        <w:tc>
          <w:tcPr>
            <w:tcW w:w="900" w:type="dxa"/>
            <w:shd w:val="clear" w:color="auto" w:fill="auto"/>
            <w:vAlign w:val="center"/>
            <w:hideMark/>
          </w:tcPr>
          <w:p w14:paraId="6053FB7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8.0</w:t>
            </w:r>
          </w:p>
        </w:tc>
        <w:tc>
          <w:tcPr>
            <w:tcW w:w="990" w:type="dxa"/>
            <w:shd w:val="clear" w:color="auto" w:fill="auto"/>
            <w:vAlign w:val="center"/>
          </w:tcPr>
          <w:p w14:paraId="10E2184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7.7</w:t>
            </w:r>
          </w:p>
        </w:tc>
        <w:tc>
          <w:tcPr>
            <w:tcW w:w="1080" w:type="dxa"/>
            <w:shd w:val="clear" w:color="auto" w:fill="auto"/>
            <w:vAlign w:val="center"/>
          </w:tcPr>
          <w:p w14:paraId="4CC97FA1"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7.4</w:t>
            </w:r>
          </w:p>
        </w:tc>
        <w:tc>
          <w:tcPr>
            <w:tcW w:w="990" w:type="dxa"/>
            <w:shd w:val="clear" w:color="auto" w:fill="auto"/>
            <w:vAlign w:val="center"/>
          </w:tcPr>
          <w:p w14:paraId="693233A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8.1</w:t>
            </w:r>
          </w:p>
        </w:tc>
        <w:tc>
          <w:tcPr>
            <w:tcW w:w="990" w:type="dxa"/>
            <w:shd w:val="clear" w:color="auto" w:fill="auto"/>
            <w:vAlign w:val="center"/>
          </w:tcPr>
          <w:p w14:paraId="45F48AA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7.1</w:t>
            </w:r>
          </w:p>
        </w:tc>
        <w:tc>
          <w:tcPr>
            <w:tcW w:w="1085" w:type="dxa"/>
            <w:shd w:val="clear" w:color="auto" w:fill="auto"/>
            <w:vAlign w:val="center"/>
          </w:tcPr>
          <w:p w14:paraId="5177DB3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6.6</w:t>
            </w:r>
          </w:p>
        </w:tc>
      </w:tr>
      <w:tr w:rsidR="006F7A03" w:rsidRPr="00615328" w14:paraId="2A6335F0" w14:textId="77777777" w:rsidTr="004D1312">
        <w:trPr>
          <w:trHeight w:val="80"/>
        </w:trPr>
        <w:tc>
          <w:tcPr>
            <w:tcW w:w="2988" w:type="dxa"/>
            <w:tcBorders>
              <w:bottom w:val="single" w:sz="2" w:space="0" w:color="auto"/>
            </w:tcBorders>
            <w:shd w:val="clear" w:color="auto" w:fill="auto"/>
            <w:vAlign w:val="center"/>
            <w:hideMark/>
          </w:tcPr>
          <w:p w14:paraId="17C5C03D"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Ընդհանուր ծախսերում (%)</w:t>
            </w:r>
          </w:p>
        </w:tc>
        <w:tc>
          <w:tcPr>
            <w:tcW w:w="900" w:type="dxa"/>
            <w:tcBorders>
              <w:bottom w:val="single" w:sz="2" w:space="0" w:color="auto"/>
            </w:tcBorders>
            <w:shd w:val="clear" w:color="auto" w:fill="auto"/>
            <w:vAlign w:val="center"/>
            <w:hideMark/>
          </w:tcPr>
          <w:p w14:paraId="186CADF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24.7</w:t>
            </w:r>
          </w:p>
        </w:tc>
        <w:tc>
          <w:tcPr>
            <w:tcW w:w="900" w:type="dxa"/>
            <w:tcBorders>
              <w:bottom w:val="single" w:sz="2" w:space="0" w:color="auto"/>
            </w:tcBorders>
            <w:shd w:val="clear" w:color="auto" w:fill="auto"/>
            <w:vAlign w:val="center"/>
            <w:hideMark/>
          </w:tcPr>
          <w:p w14:paraId="1C5AB35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30.2</w:t>
            </w:r>
          </w:p>
        </w:tc>
        <w:tc>
          <w:tcPr>
            <w:tcW w:w="990" w:type="dxa"/>
            <w:tcBorders>
              <w:bottom w:val="single" w:sz="2" w:space="0" w:color="auto"/>
            </w:tcBorders>
            <w:shd w:val="clear" w:color="auto" w:fill="auto"/>
            <w:vAlign w:val="center"/>
          </w:tcPr>
          <w:p w14:paraId="5E9F364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28.8</w:t>
            </w:r>
          </w:p>
        </w:tc>
        <w:tc>
          <w:tcPr>
            <w:tcW w:w="1080" w:type="dxa"/>
            <w:tcBorders>
              <w:bottom w:val="single" w:sz="2" w:space="0" w:color="auto"/>
            </w:tcBorders>
            <w:shd w:val="clear" w:color="auto" w:fill="auto"/>
            <w:vAlign w:val="center"/>
          </w:tcPr>
          <w:p w14:paraId="1CF1E636"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24.3</w:t>
            </w:r>
          </w:p>
        </w:tc>
        <w:tc>
          <w:tcPr>
            <w:tcW w:w="990" w:type="dxa"/>
            <w:tcBorders>
              <w:bottom w:val="single" w:sz="2" w:space="0" w:color="auto"/>
            </w:tcBorders>
            <w:shd w:val="clear" w:color="auto" w:fill="auto"/>
            <w:vAlign w:val="center"/>
          </w:tcPr>
          <w:p w14:paraId="071963B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25.9</w:t>
            </w:r>
          </w:p>
        </w:tc>
        <w:tc>
          <w:tcPr>
            <w:tcW w:w="990" w:type="dxa"/>
            <w:tcBorders>
              <w:bottom w:val="single" w:sz="2" w:space="0" w:color="auto"/>
            </w:tcBorders>
            <w:shd w:val="clear" w:color="auto" w:fill="auto"/>
            <w:vAlign w:val="center"/>
          </w:tcPr>
          <w:p w14:paraId="7413ED0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23.1</w:t>
            </w:r>
          </w:p>
        </w:tc>
        <w:tc>
          <w:tcPr>
            <w:tcW w:w="1085" w:type="dxa"/>
            <w:tcBorders>
              <w:bottom w:val="single" w:sz="2" w:space="0" w:color="auto"/>
            </w:tcBorders>
            <w:shd w:val="clear" w:color="auto" w:fill="auto"/>
            <w:vAlign w:val="center"/>
          </w:tcPr>
          <w:p w14:paraId="3B78F53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21.9</w:t>
            </w:r>
          </w:p>
        </w:tc>
      </w:tr>
      <w:tr w:rsidR="006F7A03" w:rsidRPr="00615328" w14:paraId="0AB8FD91" w14:textId="77777777" w:rsidTr="004D1312">
        <w:trPr>
          <w:trHeight w:val="315"/>
        </w:trPr>
        <w:tc>
          <w:tcPr>
            <w:tcW w:w="2988" w:type="dxa"/>
            <w:tcBorders>
              <w:top w:val="single" w:sz="2" w:space="0" w:color="auto"/>
            </w:tcBorders>
            <w:shd w:val="clear" w:color="auto" w:fill="auto"/>
            <w:vAlign w:val="center"/>
            <w:hideMark/>
          </w:tcPr>
          <w:p w14:paraId="3B19098F"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lang w:val="ru-RU"/>
              </w:rPr>
              <w:t xml:space="preserve">3. </w:t>
            </w:r>
            <w:r w:rsidRPr="00615328">
              <w:rPr>
                <w:rFonts w:cs="Calibri"/>
                <w:color w:val="000000"/>
                <w:sz w:val="16"/>
                <w:szCs w:val="16"/>
              </w:rPr>
              <w:t>Տնտեսական ոլորտ</w:t>
            </w:r>
          </w:p>
        </w:tc>
        <w:tc>
          <w:tcPr>
            <w:tcW w:w="900" w:type="dxa"/>
            <w:tcBorders>
              <w:top w:val="single" w:sz="2" w:space="0" w:color="auto"/>
            </w:tcBorders>
            <w:shd w:val="clear" w:color="auto" w:fill="auto"/>
            <w:vAlign w:val="center"/>
            <w:hideMark/>
          </w:tcPr>
          <w:p w14:paraId="4A9096D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167.3</w:t>
            </w:r>
          </w:p>
        </w:tc>
        <w:tc>
          <w:tcPr>
            <w:tcW w:w="900" w:type="dxa"/>
            <w:tcBorders>
              <w:top w:val="single" w:sz="2" w:space="0" w:color="auto"/>
            </w:tcBorders>
            <w:shd w:val="clear" w:color="auto" w:fill="auto"/>
            <w:vAlign w:val="center"/>
            <w:hideMark/>
          </w:tcPr>
          <w:p w14:paraId="27F721B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192.1</w:t>
            </w:r>
          </w:p>
        </w:tc>
        <w:tc>
          <w:tcPr>
            <w:tcW w:w="990" w:type="dxa"/>
            <w:tcBorders>
              <w:top w:val="single" w:sz="2" w:space="0" w:color="auto"/>
            </w:tcBorders>
            <w:shd w:val="clear" w:color="auto" w:fill="auto"/>
            <w:vAlign w:val="center"/>
          </w:tcPr>
          <w:p w14:paraId="4ED5A6D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217.8</w:t>
            </w:r>
          </w:p>
        </w:tc>
        <w:tc>
          <w:tcPr>
            <w:tcW w:w="1080" w:type="dxa"/>
            <w:tcBorders>
              <w:top w:val="single" w:sz="2" w:space="0" w:color="auto"/>
            </w:tcBorders>
            <w:shd w:val="clear" w:color="auto" w:fill="auto"/>
            <w:vAlign w:val="center"/>
          </w:tcPr>
          <w:p w14:paraId="756DC6B7"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296.0</w:t>
            </w:r>
          </w:p>
        </w:tc>
        <w:tc>
          <w:tcPr>
            <w:tcW w:w="990" w:type="dxa"/>
            <w:tcBorders>
              <w:top w:val="single" w:sz="2" w:space="0" w:color="auto"/>
            </w:tcBorders>
            <w:shd w:val="clear" w:color="auto" w:fill="auto"/>
            <w:vAlign w:val="center"/>
          </w:tcPr>
          <w:p w14:paraId="0F6D4110"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303.2</w:t>
            </w:r>
          </w:p>
        </w:tc>
        <w:tc>
          <w:tcPr>
            <w:tcW w:w="990" w:type="dxa"/>
            <w:tcBorders>
              <w:top w:val="single" w:sz="2" w:space="0" w:color="auto"/>
            </w:tcBorders>
            <w:shd w:val="clear" w:color="auto" w:fill="auto"/>
            <w:vAlign w:val="center"/>
          </w:tcPr>
          <w:p w14:paraId="6D65A98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349.6</w:t>
            </w:r>
          </w:p>
        </w:tc>
        <w:tc>
          <w:tcPr>
            <w:tcW w:w="1085" w:type="dxa"/>
            <w:tcBorders>
              <w:top w:val="single" w:sz="2" w:space="0" w:color="auto"/>
            </w:tcBorders>
            <w:shd w:val="clear" w:color="auto" w:fill="auto"/>
            <w:vAlign w:val="center"/>
          </w:tcPr>
          <w:p w14:paraId="70265C8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387.8</w:t>
            </w:r>
          </w:p>
        </w:tc>
      </w:tr>
      <w:tr w:rsidR="006F7A03" w:rsidRPr="00615328" w14:paraId="2275406C" w14:textId="77777777" w:rsidTr="004D1312">
        <w:trPr>
          <w:trHeight w:val="315"/>
        </w:trPr>
        <w:tc>
          <w:tcPr>
            <w:tcW w:w="2988" w:type="dxa"/>
            <w:shd w:val="clear" w:color="auto" w:fill="auto"/>
            <w:vAlign w:val="center"/>
            <w:hideMark/>
          </w:tcPr>
          <w:p w14:paraId="75E458A6"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ՀՆԱ-ի նկատմամբ (%)</w:t>
            </w:r>
          </w:p>
        </w:tc>
        <w:tc>
          <w:tcPr>
            <w:tcW w:w="900" w:type="dxa"/>
            <w:shd w:val="clear" w:color="auto" w:fill="auto"/>
            <w:vAlign w:val="center"/>
            <w:hideMark/>
          </w:tcPr>
          <w:p w14:paraId="5429C24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2.4</w:t>
            </w:r>
          </w:p>
        </w:tc>
        <w:tc>
          <w:tcPr>
            <w:tcW w:w="900" w:type="dxa"/>
            <w:shd w:val="clear" w:color="auto" w:fill="auto"/>
            <w:vAlign w:val="center"/>
            <w:hideMark/>
          </w:tcPr>
          <w:p w14:paraId="610E0B7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2.3</w:t>
            </w:r>
          </w:p>
        </w:tc>
        <w:tc>
          <w:tcPr>
            <w:tcW w:w="990" w:type="dxa"/>
            <w:shd w:val="clear" w:color="auto" w:fill="auto"/>
            <w:vAlign w:val="center"/>
          </w:tcPr>
          <w:p w14:paraId="72DA6B2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2.3</w:t>
            </w:r>
          </w:p>
        </w:tc>
        <w:tc>
          <w:tcPr>
            <w:tcW w:w="1080" w:type="dxa"/>
            <w:shd w:val="clear" w:color="auto" w:fill="auto"/>
            <w:vAlign w:val="center"/>
          </w:tcPr>
          <w:p w14:paraId="404DCDB3"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2.8</w:t>
            </w:r>
          </w:p>
        </w:tc>
        <w:tc>
          <w:tcPr>
            <w:tcW w:w="990" w:type="dxa"/>
            <w:shd w:val="clear" w:color="auto" w:fill="auto"/>
            <w:vAlign w:val="center"/>
          </w:tcPr>
          <w:p w14:paraId="03D922B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2.7</w:t>
            </w:r>
          </w:p>
        </w:tc>
        <w:tc>
          <w:tcPr>
            <w:tcW w:w="990" w:type="dxa"/>
            <w:shd w:val="clear" w:color="auto" w:fill="auto"/>
            <w:vAlign w:val="center"/>
          </w:tcPr>
          <w:p w14:paraId="3C15CCC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2.8</w:t>
            </w:r>
          </w:p>
        </w:tc>
        <w:tc>
          <w:tcPr>
            <w:tcW w:w="1085" w:type="dxa"/>
            <w:shd w:val="clear" w:color="auto" w:fill="auto"/>
            <w:vAlign w:val="center"/>
          </w:tcPr>
          <w:p w14:paraId="2B5CCEC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2.9</w:t>
            </w:r>
          </w:p>
        </w:tc>
      </w:tr>
      <w:tr w:rsidR="006F7A03" w:rsidRPr="00615328" w14:paraId="31BD9258" w14:textId="77777777" w:rsidTr="004D1312">
        <w:trPr>
          <w:trHeight w:val="80"/>
        </w:trPr>
        <w:tc>
          <w:tcPr>
            <w:tcW w:w="2988" w:type="dxa"/>
            <w:tcBorders>
              <w:bottom w:val="single" w:sz="2" w:space="0" w:color="auto"/>
            </w:tcBorders>
            <w:shd w:val="clear" w:color="auto" w:fill="auto"/>
            <w:vAlign w:val="center"/>
            <w:hideMark/>
          </w:tcPr>
          <w:p w14:paraId="07353572"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Ընդհանուր ծախսերում (%)</w:t>
            </w:r>
          </w:p>
        </w:tc>
        <w:tc>
          <w:tcPr>
            <w:tcW w:w="900" w:type="dxa"/>
            <w:tcBorders>
              <w:bottom w:val="single" w:sz="2" w:space="0" w:color="auto"/>
            </w:tcBorders>
            <w:shd w:val="clear" w:color="auto" w:fill="auto"/>
            <w:vAlign w:val="center"/>
            <w:hideMark/>
          </w:tcPr>
          <w:p w14:paraId="1F50117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8.3</w:t>
            </w:r>
          </w:p>
        </w:tc>
        <w:tc>
          <w:tcPr>
            <w:tcW w:w="900" w:type="dxa"/>
            <w:tcBorders>
              <w:bottom w:val="single" w:sz="2" w:space="0" w:color="auto"/>
            </w:tcBorders>
            <w:shd w:val="clear" w:color="auto" w:fill="auto"/>
            <w:vAlign w:val="center"/>
            <w:hideMark/>
          </w:tcPr>
          <w:p w14:paraId="5DBA9470"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8.6</w:t>
            </w:r>
          </w:p>
        </w:tc>
        <w:tc>
          <w:tcPr>
            <w:tcW w:w="990" w:type="dxa"/>
            <w:tcBorders>
              <w:bottom w:val="single" w:sz="2" w:space="0" w:color="auto"/>
            </w:tcBorders>
            <w:shd w:val="clear" w:color="auto" w:fill="auto"/>
            <w:vAlign w:val="center"/>
          </w:tcPr>
          <w:p w14:paraId="59DD6BD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8.5</w:t>
            </w:r>
          </w:p>
        </w:tc>
        <w:tc>
          <w:tcPr>
            <w:tcW w:w="1080" w:type="dxa"/>
            <w:tcBorders>
              <w:bottom w:val="single" w:sz="2" w:space="0" w:color="auto"/>
            </w:tcBorders>
            <w:shd w:val="clear" w:color="auto" w:fill="auto"/>
            <w:vAlign w:val="center"/>
          </w:tcPr>
          <w:p w14:paraId="1E7F3189"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9.2</w:t>
            </w:r>
          </w:p>
        </w:tc>
        <w:tc>
          <w:tcPr>
            <w:tcW w:w="990" w:type="dxa"/>
            <w:tcBorders>
              <w:bottom w:val="single" w:sz="2" w:space="0" w:color="auto"/>
            </w:tcBorders>
            <w:shd w:val="clear" w:color="auto" w:fill="auto"/>
            <w:vAlign w:val="center"/>
          </w:tcPr>
          <w:p w14:paraId="109C161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8.6</w:t>
            </w:r>
          </w:p>
        </w:tc>
        <w:tc>
          <w:tcPr>
            <w:tcW w:w="990" w:type="dxa"/>
            <w:tcBorders>
              <w:bottom w:val="single" w:sz="2" w:space="0" w:color="auto"/>
            </w:tcBorders>
            <w:shd w:val="clear" w:color="auto" w:fill="auto"/>
            <w:vAlign w:val="center"/>
          </w:tcPr>
          <w:p w14:paraId="4F08F2A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9.2</w:t>
            </w:r>
          </w:p>
        </w:tc>
        <w:tc>
          <w:tcPr>
            <w:tcW w:w="1085" w:type="dxa"/>
            <w:tcBorders>
              <w:bottom w:val="single" w:sz="2" w:space="0" w:color="auto"/>
            </w:tcBorders>
            <w:shd w:val="clear" w:color="auto" w:fill="auto"/>
            <w:vAlign w:val="center"/>
          </w:tcPr>
          <w:p w14:paraId="25510F1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9.5</w:t>
            </w:r>
          </w:p>
        </w:tc>
      </w:tr>
      <w:tr w:rsidR="006F7A03" w:rsidRPr="00615328" w14:paraId="799022D1" w14:textId="77777777" w:rsidTr="004D1312">
        <w:trPr>
          <w:trHeight w:val="315"/>
        </w:trPr>
        <w:tc>
          <w:tcPr>
            <w:tcW w:w="2988" w:type="dxa"/>
            <w:tcBorders>
              <w:top w:val="single" w:sz="2" w:space="0" w:color="auto"/>
            </w:tcBorders>
            <w:shd w:val="clear" w:color="auto" w:fill="auto"/>
            <w:vAlign w:val="center"/>
            <w:hideMark/>
          </w:tcPr>
          <w:p w14:paraId="50A40665"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lang w:val="ru-RU"/>
              </w:rPr>
              <w:t xml:space="preserve">4. </w:t>
            </w:r>
            <w:r w:rsidRPr="00615328">
              <w:rPr>
                <w:rFonts w:cs="Calibri"/>
                <w:color w:val="000000"/>
                <w:sz w:val="16"/>
                <w:szCs w:val="16"/>
              </w:rPr>
              <w:t>Սոցիալական ոլորտ</w:t>
            </w:r>
          </w:p>
        </w:tc>
        <w:tc>
          <w:tcPr>
            <w:tcW w:w="900" w:type="dxa"/>
            <w:tcBorders>
              <w:top w:val="single" w:sz="2" w:space="0" w:color="auto"/>
            </w:tcBorders>
            <w:shd w:val="clear" w:color="auto" w:fill="auto"/>
            <w:vAlign w:val="center"/>
            <w:hideMark/>
          </w:tcPr>
          <w:p w14:paraId="3F96350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960.0</w:t>
            </w:r>
          </w:p>
        </w:tc>
        <w:tc>
          <w:tcPr>
            <w:tcW w:w="900" w:type="dxa"/>
            <w:tcBorders>
              <w:top w:val="single" w:sz="2" w:space="0" w:color="auto"/>
            </w:tcBorders>
            <w:shd w:val="clear" w:color="auto" w:fill="auto"/>
            <w:vAlign w:val="center"/>
            <w:hideMark/>
          </w:tcPr>
          <w:p w14:paraId="007CE2F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965.8</w:t>
            </w:r>
          </w:p>
        </w:tc>
        <w:tc>
          <w:tcPr>
            <w:tcW w:w="990" w:type="dxa"/>
            <w:tcBorders>
              <w:top w:val="single" w:sz="2" w:space="0" w:color="auto"/>
            </w:tcBorders>
            <w:shd w:val="clear" w:color="auto" w:fill="auto"/>
            <w:vAlign w:val="center"/>
          </w:tcPr>
          <w:p w14:paraId="521C425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1,073.9</w:t>
            </w:r>
          </w:p>
        </w:tc>
        <w:tc>
          <w:tcPr>
            <w:tcW w:w="1080" w:type="dxa"/>
            <w:tcBorders>
              <w:top w:val="single" w:sz="2" w:space="0" w:color="auto"/>
            </w:tcBorders>
            <w:shd w:val="clear" w:color="auto" w:fill="auto"/>
            <w:vAlign w:val="center"/>
          </w:tcPr>
          <w:p w14:paraId="212A2CA6"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1,295.3</w:t>
            </w:r>
          </w:p>
        </w:tc>
        <w:tc>
          <w:tcPr>
            <w:tcW w:w="990" w:type="dxa"/>
            <w:tcBorders>
              <w:top w:val="single" w:sz="2" w:space="0" w:color="auto"/>
            </w:tcBorders>
            <w:shd w:val="clear" w:color="auto" w:fill="auto"/>
            <w:vAlign w:val="center"/>
          </w:tcPr>
          <w:p w14:paraId="69FF92D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1,493.5</w:t>
            </w:r>
          </w:p>
        </w:tc>
        <w:tc>
          <w:tcPr>
            <w:tcW w:w="990" w:type="dxa"/>
            <w:tcBorders>
              <w:top w:val="single" w:sz="2" w:space="0" w:color="auto"/>
            </w:tcBorders>
            <w:shd w:val="clear" w:color="auto" w:fill="auto"/>
            <w:vAlign w:val="center"/>
          </w:tcPr>
          <w:p w14:paraId="0CB1980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1,617.5</w:t>
            </w:r>
          </w:p>
        </w:tc>
        <w:tc>
          <w:tcPr>
            <w:tcW w:w="1085" w:type="dxa"/>
            <w:tcBorders>
              <w:top w:val="single" w:sz="2" w:space="0" w:color="auto"/>
            </w:tcBorders>
            <w:shd w:val="clear" w:color="auto" w:fill="auto"/>
            <w:vAlign w:val="center"/>
          </w:tcPr>
          <w:p w14:paraId="14220E6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1,731.2</w:t>
            </w:r>
          </w:p>
        </w:tc>
      </w:tr>
      <w:tr w:rsidR="006F7A03" w:rsidRPr="00615328" w14:paraId="0293700B" w14:textId="77777777" w:rsidTr="004D1312">
        <w:trPr>
          <w:trHeight w:val="315"/>
        </w:trPr>
        <w:tc>
          <w:tcPr>
            <w:tcW w:w="2988" w:type="dxa"/>
            <w:shd w:val="clear" w:color="auto" w:fill="auto"/>
            <w:vAlign w:val="center"/>
            <w:hideMark/>
          </w:tcPr>
          <w:p w14:paraId="2994A71C"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ՀՆԱ-ի նկատմամբ (%)</w:t>
            </w:r>
          </w:p>
        </w:tc>
        <w:tc>
          <w:tcPr>
            <w:tcW w:w="900" w:type="dxa"/>
            <w:shd w:val="clear" w:color="auto" w:fill="auto"/>
            <w:vAlign w:val="center"/>
            <w:hideMark/>
          </w:tcPr>
          <w:p w14:paraId="46DBA85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13.7</w:t>
            </w:r>
          </w:p>
        </w:tc>
        <w:tc>
          <w:tcPr>
            <w:tcW w:w="900" w:type="dxa"/>
            <w:shd w:val="clear" w:color="auto" w:fill="auto"/>
            <w:vAlign w:val="center"/>
            <w:hideMark/>
          </w:tcPr>
          <w:p w14:paraId="73D5591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11.4</w:t>
            </w:r>
          </w:p>
        </w:tc>
        <w:tc>
          <w:tcPr>
            <w:tcW w:w="990" w:type="dxa"/>
            <w:shd w:val="clear" w:color="auto" w:fill="auto"/>
            <w:vAlign w:val="center"/>
          </w:tcPr>
          <w:p w14:paraId="5AC862A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11.3</w:t>
            </w:r>
          </w:p>
        </w:tc>
        <w:tc>
          <w:tcPr>
            <w:tcW w:w="1080" w:type="dxa"/>
            <w:shd w:val="clear" w:color="auto" w:fill="auto"/>
            <w:vAlign w:val="center"/>
          </w:tcPr>
          <w:p w14:paraId="547DBEFE"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12.3</w:t>
            </w:r>
          </w:p>
        </w:tc>
        <w:tc>
          <w:tcPr>
            <w:tcW w:w="990" w:type="dxa"/>
            <w:shd w:val="clear" w:color="auto" w:fill="auto"/>
            <w:vAlign w:val="center"/>
          </w:tcPr>
          <w:p w14:paraId="7714E8B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13.3</w:t>
            </w:r>
          </w:p>
        </w:tc>
        <w:tc>
          <w:tcPr>
            <w:tcW w:w="990" w:type="dxa"/>
            <w:shd w:val="clear" w:color="auto" w:fill="auto"/>
            <w:vAlign w:val="center"/>
          </w:tcPr>
          <w:p w14:paraId="782FC70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13.1</w:t>
            </w:r>
          </w:p>
        </w:tc>
        <w:tc>
          <w:tcPr>
            <w:tcW w:w="1085" w:type="dxa"/>
            <w:shd w:val="clear" w:color="auto" w:fill="auto"/>
            <w:vAlign w:val="center"/>
          </w:tcPr>
          <w:p w14:paraId="5BF2898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12.8</w:t>
            </w:r>
          </w:p>
        </w:tc>
      </w:tr>
      <w:tr w:rsidR="006F7A03" w:rsidRPr="00615328" w14:paraId="504C4313" w14:textId="77777777" w:rsidTr="004D1312">
        <w:trPr>
          <w:trHeight w:val="80"/>
        </w:trPr>
        <w:tc>
          <w:tcPr>
            <w:tcW w:w="2988" w:type="dxa"/>
            <w:tcBorders>
              <w:bottom w:val="single" w:sz="2" w:space="0" w:color="auto"/>
            </w:tcBorders>
            <w:shd w:val="clear" w:color="auto" w:fill="auto"/>
            <w:vAlign w:val="center"/>
            <w:hideMark/>
          </w:tcPr>
          <w:p w14:paraId="6D3E019A" w14:textId="77777777" w:rsidR="006F7A03" w:rsidRPr="00615328" w:rsidRDefault="006F7A03" w:rsidP="00A90AAE">
            <w:pPr>
              <w:tabs>
                <w:tab w:val="left" w:pos="0"/>
              </w:tabs>
              <w:spacing w:before="120" w:after="0" w:line="240" w:lineRule="auto"/>
              <w:ind w:left="227" w:firstLine="0"/>
              <w:rPr>
                <w:rFonts w:cs="Calibri"/>
                <w:color w:val="000000"/>
                <w:sz w:val="16"/>
                <w:szCs w:val="16"/>
              </w:rPr>
            </w:pPr>
            <w:r w:rsidRPr="00615328">
              <w:rPr>
                <w:rFonts w:cs="Calibri"/>
                <w:color w:val="000000"/>
                <w:sz w:val="16"/>
                <w:szCs w:val="16"/>
              </w:rPr>
              <w:t>Ընդհանուր ծախսերում (%)</w:t>
            </w:r>
          </w:p>
        </w:tc>
        <w:tc>
          <w:tcPr>
            <w:tcW w:w="900" w:type="dxa"/>
            <w:tcBorders>
              <w:bottom w:val="single" w:sz="2" w:space="0" w:color="auto"/>
            </w:tcBorders>
            <w:shd w:val="clear" w:color="auto" w:fill="auto"/>
            <w:vAlign w:val="center"/>
            <w:hideMark/>
          </w:tcPr>
          <w:p w14:paraId="7ED0663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47.9</w:t>
            </w:r>
          </w:p>
        </w:tc>
        <w:tc>
          <w:tcPr>
            <w:tcW w:w="900" w:type="dxa"/>
            <w:tcBorders>
              <w:bottom w:val="single" w:sz="2" w:space="0" w:color="auto"/>
            </w:tcBorders>
            <w:shd w:val="clear" w:color="auto" w:fill="auto"/>
            <w:vAlign w:val="center"/>
            <w:hideMark/>
          </w:tcPr>
          <w:p w14:paraId="1BEDFA5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43.1</w:t>
            </w:r>
          </w:p>
        </w:tc>
        <w:tc>
          <w:tcPr>
            <w:tcW w:w="990" w:type="dxa"/>
            <w:tcBorders>
              <w:bottom w:val="single" w:sz="2" w:space="0" w:color="auto"/>
            </w:tcBorders>
            <w:shd w:val="clear" w:color="auto" w:fill="auto"/>
            <w:vAlign w:val="center"/>
          </w:tcPr>
          <w:p w14:paraId="13AA860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42.2</w:t>
            </w:r>
          </w:p>
        </w:tc>
        <w:tc>
          <w:tcPr>
            <w:tcW w:w="1080" w:type="dxa"/>
            <w:tcBorders>
              <w:bottom w:val="single" w:sz="2" w:space="0" w:color="auto"/>
            </w:tcBorders>
            <w:shd w:val="clear" w:color="auto" w:fill="auto"/>
            <w:vAlign w:val="center"/>
          </w:tcPr>
          <w:p w14:paraId="0FE5400C" w14:textId="77777777" w:rsidR="006F7A03" w:rsidRPr="008D25E6" w:rsidRDefault="006F7A03" w:rsidP="00A90AAE">
            <w:pPr>
              <w:tabs>
                <w:tab w:val="left" w:pos="0"/>
              </w:tabs>
              <w:spacing w:before="120" w:after="0" w:line="240" w:lineRule="auto"/>
              <w:ind w:firstLine="0"/>
              <w:jc w:val="center"/>
              <w:rPr>
                <w:rFonts w:cs="Calibri"/>
                <w:color w:val="000000"/>
                <w:sz w:val="16"/>
                <w:szCs w:val="16"/>
              </w:rPr>
            </w:pPr>
            <w:r w:rsidRPr="008D25E6">
              <w:rPr>
                <w:rFonts w:cs="Calibri"/>
                <w:color w:val="000000"/>
                <w:sz w:val="16"/>
                <w:szCs w:val="16"/>
              </w:rPr>
              <w:t>40.4</w:t>
            </w:r>
          </w:p>
        </w:tc>
        <w:tc>
          <w:tcPr>
            <w:tcW w:w="990" w:type="dxa"/>
            <w:tcBorders>
              <w:bottom w:val="single" w:sz="2" w:space="0" w:color="auto"/>
            </w:tcBorders>
            <w:shd w:val="clear" w:color="auto" w:fill="auto"/>
            <w:vAlign w:val="center"/>
          </w:tcPr>
          <w:p w14:paraId="68D6BCF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42.5</w:t>
            </w:r>
          </w:p>
        </w:tc>
        <w:tc>
          <w:tcPr>
            <w:tcW w:w="990" w:type="dxa"/>
            <w:tcBorders>
              <w:bottom w:val="single" w:sz="2" w:space="0" w:color="auto"/>
            </w:tcBorders>
            <w:shd w:val="clear" w:color="auto" w:fill="auto"/>
            <w:vAlign w:val="center"/>
          </w:tcPr>
          <w:p w14:paraId="111D0B5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42.4</w:t>
            </w:r>
          </w:p>
        </w:tc>
        <w:tc>
          <w:tcPr>
            <w:tcW w:w="1085" w:type="dxa"/>
            <w:tcBorders>
              <w:bottom w:val="single" w:sz="2" w:space="0" w:color="auto"/>
            </w:tcBorders>
            <w:shd w:val="clear" w:color="auto" w:fill="auto"/>
            <w:vAlign w:val="center"/>
          </w:tcPr>
          <w:p w14:paraId="2248720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42.4</w:t>
            </w:r>
          </w:p>
        </w:tc>
      </w:tr>
    </w:tbl>
    <w:p w14:paraId="18B60E64" w14:textId="77777777" w:rsidR="006F7A03" w:rsidRPr="005E12F8" w:rsidRDefault="006F7A03" w:rsidP="006F7A03">
      <w:pPr>
        <w:tabs>
          <w:tab w:val="left" w:pos="0"/>
        </w:tabs>
        <w:spacing w:before="120" w:after="0" w:line="276" w:lineRule="auto"/>
        <w:ind w:firstLine="0"/>
        <w:rPr>
          <w:sz w:val="20"/>
          <w:szCs w:val="20"/>
          <w:lang w:val="af-ZA"/>
        </w:rPr>
      </w:pPr>
    </w:p>
    <w:p w14:paraId="1B52C7AE" w14:textId="77777777" w:rsidR="006F7A03" w:rsidRDefault="006F7A03" w:rsidP="006F7A03">
      <w:pPr>
        <w:tabs>
          <w:tab w:val="left" w:pos="0"/>
        </w:tabs>
        <w:spacing w:before="120" w:after="0" w:line="276" w:lineRule="auto"/>
        <w:ind w:firstLine="0"/>
        <w:rPr>
          <w:rFonts w:cs="Arial"/>
          <w:lang w:val="hy-AM"/>
        </w:rPr>
      </w:pPr>
    </w:p>
    <w:p w14:paraId="51C31E46" w14:textId="69645050" w:rsidR="006F7A03" w:rsidRPr="0031357F" w:rsidRDefault="006F7A03" w:rsidP="006F7A03">
      <w:pPr>
        <w:tabs>
          <w:tab w:val="left" w:pos="0"/>
        </w:tabs>
        <w:spacing w:before="120" w:after="0" w:line="276" w:lineRule="auto"/>
        <w:ind w:firstLine="0"/>
        <w:rPr>
          <w:lang w:val="hy-AM"/>
        </w:rPr>
      </w:pPr>
      <w:r w:rsidRPr="0031357F">
        <w:rPr>
          <w:rFonts w:eastAsia="Times New Roman" w:cs="Times Unicode"/>
          <w:b/>
          <w:bCs/>
          <w:i/>
          <w:iCs/>
          <w:lang w:val="hy-AM"/>
        </w:rPr>
        <w:lastRenderedPageBreak/>
        <w:t>Գծապատկե</w:t>
      </w:r>
      <w:r w:rsidRPr="0031357F">
        <w:rPr>
          <w:rFonts w:eastAsia="Times New Roman" w:cs="Times Unicode"/>
          <w:bCs/>
          <w:i/>
          <w:iCs/>
          <w:lang w:val="hy-AM"/>
        </w:rPr>
        <w:t>ր</w:t>
      </w:r>
      <w:r w:rsidRPr="0031357F">
        <w:rPr>
          <w:lang w:val="hy-AM"/>
        </w:rPr>
        <w:t xml:space="preserve"> </w:t>
      </w:r>
      <w:r w:rsidRPr="0031357F">
        <w:rPr>
          <w:b/>
          <w:lang w:val="hy-AM"/>
        </w:rPr>
        <w:t>4.2.2</w:t>
      </w:r>
      <w:r w:rsidRPr="0031357F">
        <w:rPr>
          <w:lang w:val="hy-AM"/>
        </w:rPr>
        <w:t xml:space="preserve"> </w:t>
      </w:r>
      <w:r w:rsidRPr="0031357F">
        <w:rPr>
          <w:caps/>
          <w:spacing w:val="10"/>
          <w:lang w:val="hy-AM"/>
        </w:rPr>
        <w:t>ՀՀ</w:t>
      </w:r>
      <w:r>
        <w:rPr>
          <w:caps/>
          <w:spacing w:val="10"/>
          <w:lang w:val="hy-AM"/>
        </w:rPr>
        <w:t xml:space="preserve"> 202</w:t>
      </w:r>
      <w:r w:rsidR="00B34EAE">
        <w:rPr>
          <w:caps/>
          <w:spacing w:val="10"/>
          <w:lang w:val="hy-AM"/>
        </w:rPr>
        <w:t>1</w:t>
      </w:r>
      <w:r>
        <w:rPr>
          <w:caps/>
          <w:spacing w:val="10"/>
          <w:lang w:val="hy-AM"/>
        </w:rPr>
        <w:t>-2027</w:t>
      </w:r>
      <w:r w:rsidRPr="0031357F">
        <w:rPr>
          <w:spacing w:val="10"/>
          <w:lang w:val="hy-AM"/>
        </w:rPr>
        <w:t>թթ</w:t>
      </w:r>
      <w:r>
        <w:rPr>
          <w:spacing w:val="10"/>
          <w:lang w:val="hy-AM"/>
        </w:rPr>
        <w:t>.</w:t>
      </w:r>
      <w:r w:rsidRPr="0031357F">
        <w:rPr>
          <w:caps/>
          <w:spacing w:val="10"/>
          <w:lang w:val="hy-AM"/>
        </w:rPr>
        <w:t xml:space="preserve"> </w:t>
      </w:r>
      <w:r w:rsidRPr="0031357F">
        <w:rPr>
          <w:spacing w:val="10"/>
          <w:lang w:val="hy-AM"/>
        </w:rPr>
        <w:t>թվականների ոլորտային ծախսերի մասնաբաժինը ընդհանուր ծախսերում</w:t>
      </w:r>
    </w:p>
    <w:p w14:paraId="456D48E2" w14:textId="77777777" w:rsidR="006F7A03" w:rsidRDefault="006F7A03" w:rsidP="006F7A03">
      <w:pPr>
        <w:tabs>
          <w:tab w:val="left" w:pos="0"/>
        </w:tabs>
        <w:spacing w:before="120" w:after="0" w:line="276" w:lineRule="auto"/>
        <w:ind w:firstLine="0"/>
        <w:jc w:val="center"/>
        <w:rPr>
          <w:lang w:val="hy-AM"/>
        </w:rPr>
      </w:pPr>
      <w:r>
        <w:rPr>
          <w:noProof/>
        </w:rPr>
        <w:drawing>
          <wp:inline distT="0" distB="0" distL="0" distR="0" wp14:anchorId="053ABE50" wp14:editId="39A3A4EE">
            <wp:extent cx="6106795" cy="3893913"/>
            <wp:effectExtent l="0" t="0" r="8255" b="1143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C91DDB2" w14:textId="77777777" w:rsidR="006F7A03" w:rsidRDefault="006F7A03" w:rsidP="006F7A03">
      <w:pPr>
        <w:tabs>
          <w:tab w:val="left" w:pos="0"/>
        </w:tabs>
        <w:spacing w:before="120" w:after="0" w:line="276" w:lineRule="auto"/>
        <w:ind w:firstLine="0"/>
        <w:rPr>
          <w:lang w:val="hy-AM"/>
        </w:rPr>
      </w:pPr>
    </w:p>
    <w:p w14:paraId="08AC7D3A" w14:textId="77777777" w:rsidR="006F7A03" w:rsidRPr="0031357F" w:rsidRDefault="006F7A03" w:rsidP="006F7A03">
      <w:pPr>
        <w:tabs>
          <w:tab w:val="left" w:pos="0"/>
        </w:tabs>
        <w:spacing w:before="120" w:after="0" w:line="276" w:lineRule="auto"/>
        <w:ind w:firstLine="0"/>
        <w:jc w:val="left"/>
        <w:rPr>
          <w:i/>
          <w:lang w:val="hy-AM"/>
        </w:rPr>
      </w:pPr>
      <w:r w:rsidRPr="0031357F">
        <w:rPr>
          <w:b/>
          <w:lang w:val="hy-AM"/>
        </w:rPr>
        <w:t xml:space="preserve">Աղյուսակ 4.2.1 </w:t>
      </w:r>
      <w:r w:rsidRPr="0018387E">
        <w:rPr>
          <w:bCs/>
          <w:lang w:val="hy-AM"/>
        </w:rPr>
        <w:t>2021-2027թթ</w:t>
      </w:r>
      <w:r>
        <w:rPr>
          <w:b/>
          <w:lang w:val="hy-AM"/>
        </w:rPr>
        <w:t xml:space="preserve"> ս</w:t>
      </w:r>
      <w:r w:rsidRPr="0031357F">
        <w:rPr>
          <w:lang w:val="hy-AM"/>
        </w:rPr>
        <w:t>ոցիալական ոլորտի բյուջետային ծախսերը, մլրդ դրամ</w:t>
      </w:r>
    </w:p>
    <w:p w14:paraId="5C4CDC61" w14:textId="77777777" w:rsidR="006F7A03" w:rsidRPr="0031357F" w:rsidRDefault="006F7A03" w:rsidP="006F7A03">
      <w:pPr>
        <w:tabs>
          <w:tab w:val="left" w:pos="0"/>
        </w:tabs>
        <w:spacing w:before="120" w:after="0" w:line="276" w:lineRule="auto"/>
        <w:ind w:firstLine="0"/>
        <w:jc w:val="left"/>
        <w:rPr>
          <w:i/>
          <w:lang w:val="hy-AM"/>
        </w:rPr>
      </w:pPr>
    </w:p>
    <w:tbl>
      <w:tblPr>
        <w:tblW w:w="9720" w:type="dxa"/>
        <w:tblLayout w:type="fixed"/>
        <w:tblLook w:val="04A0" w:firstRow="1" w:lastRow="0" w:firstColumn="1" w:lastColumn="0" w:noHBand="0" w:noVBand="1"/>
      </w:tblPr>
      <w:tblGrid>
        <w:gridCol w:w="3969"/>
        <w:gridCol w:w="992"/>
        <w:gridCol w:w="772"/>
        <w:gridCol w:w="786"/>
        <w:gridCol w:w="784"/>
        <w:gridCol w:w="779"/>
        <w:gridCol w:w="850"/>
        <w:gridCol w:w="788"/>
      </w:tblGrid>
      <w:tr w:rsidR="006F7A03" w:rsidRPr="008331C7" w14:paraId="77A8CF16" w14:textId="77777777" w:rsidTr="00A90AAE">
        <w:trPr>
          <w:trHeight w:val="315"/>
        </w:trPr>
        <w:tc>
          <w:tcPr>
            <w:tcW w:w="3969" w:type="dxa"/>
            <w:vMerge w:val="restart"/>
            <w:tcBorders>
              <w:top w:val="nil"/>
            </w:tcBorders>
            <w:shd w:val="clear" w:color="auto" w:fill="FFFFFF"/>
            <w:vAlign w:val="center"/>
          </w:tcPr>
          <w:p w14:paraId="0BAF6BEE" w14:textId="77777777" w:rsidR="006F7A03" w:rsidRPr="008331C7" w:rsidRDefault="006F7A03" w:rsidP="00A90AAE">
            <w:pPr>
              <w:tabs>
                <w:tab w:val="left" w:pos="0"/>
              </w:tabs>
              <w:spacing w:before="120" w:after="0" w:line="240" w:lineRule="auto"/>
              <w:ind w:firstLine="0"/>
              <w:rPr>
                <w:rFonts w:cs="Calibri"/>
                <w:bCs/>
                <w:color w:val="000000"/>
                <w:sz w:val="16"/>
                <w:szCs w:val="18"/>
              </w:rPr>
            </w:pPr>
            <w:r w:rsidRPr="008331C7">
              <w:rPr>
                <w:rFonts w:cs="Sylfaen"/>
                <w:color w:val="000000"/>
                <w:sz w:val="16"/>
                <w:szCs w:val="18"/>
              </w:rPr>
              <w:t>Ցուցանիշ</w:t>
            </w:r>
          </w:p>
        </w:tc>
        <w:tc>
          <w:tcPr>
            <w:tcW w:w="2550" w:type="dxa"/>
            <w:gridSpan w:val="3"/>
            <w:tcBorders>
              <w:left w:val="nil"/>
              <w:bottom w:val="single" w:sz="4" w:space="0" w:color="auto"/>
            </w:tcBorders>
            <w:shd w:val="clear" w:color="auto" w:fill="FFFFFF"/>
            <w:vAlign w:val="center"/>
          </w:tcPr>
          <w:p w14:paraId="63CC3225"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color w:val="000000"/>
                <w:sz w:val="16"/>
                <w:szCs w:val="18"/>
                <w:lang w:val="hy-AM"/>
              </w:rPr>
              <w:t>Փաստ</w:t>
            </w:r>
          </w:p>
        </w:tc>
        <w:tc>
          <w:tcPr>
            <w:tcW w:w="784" w:type="dxa"/>
            <w:tcBorders>
              <w:top w:val="nil"/>
            </w:tcBorders>
            <w:shd w:val="clear" w:color="auto" w:fill="FFFFFF"/>
            <w:vAlign w:val="center"/>
          </w:tcPr>
          <w:p w14:paraId="2BACA77C"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color w:val="000000"/>
                <w:sz w:val="16"/>
                <w:szCs w:val="18"/>
                <w:lang w:val="hy-AM"/>
              </w:rPr>
              <w:t>Բյուջե</w:t>
            </w:r>
          </w:p>
        </w:tc>
        <w:tc>
          <w:tcPr>
            <w:tcW w:w="2417" w:type="dxa"/>
            <w:gridSpan w:val="3"/>
            <w:tcBorders>
              <w:top w:val="nil"/>
              <w:left w:val="nil"/>
              <w:bottom w:val="single" w:sz="4" w:space="0" w:color="auto"/>
            </w:tcBorders>
            <w:shd w:val="clear" w:color="auto" w:fill="FFFFFF"/>
            <w:vAlign w:val="center"/>
          </w:tcPr>
          <w:p w14:paraId="19A2050F"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color w:val="000000"/>
                <w:sz w:val="16"/>
                <w:szCs w:val="18"/>
              </w:rPr>
              <w:t>ՄԺԾԾ</w:t>
            </w:r>
          </w:p>
        </w:tc>
      </w:tr>
      <w:tr w:rsidR="006F7A03" w:rsidRPr="008331C7" w14:paraId="1BC76729" w14:textId="77777777" w:rsidTr="00A90AAE">
        <w:trPr>
          <w:trHeight w:val="315"/>
        </w:trPr>
        <w:tc>
          <w:tcPr>
            <w:tcW w:w="3969" w:type="dxa"/>
            <w:vMerge/>
            <w:tcBorders>
              <w:bottom w:val="single" w:sz="4" w:space="0" w:color="auto"/>
            </w:tcBorders>
            <w:shd w:val="clear" w:color="auto" w:fill="FFFFFF"/>
            <w:vAlign w:val="center"/>
          </w:tcPr>
          <w:p w14:paraId="221D7981" w14:textId="77777777" w:rsidR="006F7A03" w:rsidRPr="008331C7" w:rsidRDefault="006F7A03" w:rsidP="00A90AAE">
            <w:pPr>
              <w:tabs>
                <w:tab w:val="left" w:pos="0"/>
              </w:tabs>
              <w:spacing w:before="120" w:after="0" w:line="240" w:lineRule="auto"/>
              <w:ind w:firstLine="0"/>
              <w:rPr>
                <w:rFonts w:cs="Calibri"/>
                <w:bCs/>
                <w:color w:val="000000"/>
                <w:sz w:val="16"/>
                <w:szCs w:val="18"/>
              </w:rPr>
            </w:pPr>
          </w:p>
        </w:tc>
        <w:tc>
          <w:tcPr>
            <w:tcW w:w="992" w:type="dxa"/>
            <w:tcBorders>
              <w:top w:val="single" w:sz="4" w:space="0" w:color="auto"/>
              <w:bottom w:val="single" w:sz="4" w:space="0" w:color="auto"/>
            </w:tcBorders>
            <w:shd w:val="clear" w:color="auto" w:fill="FFFFFF"/>
            <w:vAlign w:val="center"/>
          </w:tcPr>
          <w:p w14:paraId="5FCAFCBD" w14:textId="77777777" w:rsidR="006F7A03" w:rsidRPr="008331C7" w:rsidRDefault="006F7A03" w:rsidP="00A90AAE">
            <w:pPr>
              <w:tabs>
                <w:tab w:val="left" w:pos="0"/>
              </w:tabs>
              <w:spacing w:before="120" w:after="0" w:line="240" w:lineRule="auto"/>
              <w:ind w:firstLine="0"/>
              <w:jc w:val="center"/>
              <w:rPr>
                <w:rFonts w:cs="Calibri"/>
                <w:color w:val="000000"/>
                <w:sz w:val="16"/>
                <w:szCs w:val="18"/>
                <w:lang w:val="hy-AM"/>
              </w:rPr>
            </w:pPr>
            <w:r w:rsidRPr="008331C7">
              <w:rPr>
                <w:rFonts w:cs="Calibri"/>
                <w:color w:val="000000"/>
                <w:sz w:val="16"/>
                <w:szCs w:val="18"/>
                <w:lang w:val="hy-AM"/>
              </w:rPr>
              <w:t xml:space="preserve">2021 </w:t>
            </w:r>
          </w:p>
        </w:tc>
        <w:tc>
          <w:tcPr>
            <w:tcW w:w="772" w:type="dxa"/>
            <w:tcBorders>
              <w:top w:val="single" w:sz="4" w:space="0" w:color="auto"/>
              <w:bottom w:val="single" w:sz="4" w:space="0" w:color="auto"/>
            </w:tcBorders>
            <w:shd w:val="clear" w:color="auto" w:fill="FFFFFF"/>
            <w:vAlign w:val="center"/>
          </w:tcPr>
          <w:p w14:paraId="094EC551" w14:textId="77777777" w:rsidR="006F7A03" w:rsidRPr="008331C7" w:rsidRDefault="006F7A03" w:rsidP="00A90AAE">
            <w:pPr>
              <w:tabs>
                <w:tab w:val="left" w:pos="0"/>
              </w:tabs>
              <w:spacing w:before="120" w:after="0" w:line="240" w:lineRule="auto"/>
              <w:ind w:firstLine="0"/>
              <w:jc w:val="center"/>
              <w:rPr>
                <w:rFonts w:cs="Calibri"/>
                <w:color w:val="000000"/>
                <w:sz w:val="16"/>
                <w:szCs w:val="18"/>
                <w:lang w:val="hy-AM"/>
              </w:rPr>
            </w:pPr>
            <w:r w:rsidRPr="008331C7">
              <w:rPr>
                <w:rFonts w:cs="Calibri"/>
                <w:color w:val="000000"/>
                <w:sz w:val="16"/>
                <w:szCs w:val="18"/>
                <w:lang w:val="hy-AM"/>
              </w:rPr>
              <w:t>2022</w:t>
            </w:r>
          </w:p>
        </w:tc>
        <w:tc>
          <w:tcPr>
            <w:tcW w:w="786" w:type="dxa"/>
            <w:tcBorders>
              <w:top w:val="single" w:sz="4" w:space="0" w:color="auto"/>
              <w:bottom w:val="single" w:sz="4" w:space="0" w:color="auto"/>
            </w:tcBorders>
            <w:shd w:val="clear" w:color="auto" w:fill="FFFFFF"/>
            <w:vAlign w:val="center"/>
          </w:tcPr>
          <w:p w14:paraId="2DF4620F" w14:textId="77777777" w:rsidR="006F7A03" w:rsidRPr="008331C7" w:rsidRDefault="006F7A03" w:rsidP="00A90AAE">
            <w:pPr>
              <w:tabs>
                <w:tab w:val="left" w:pos="0"/>
              </w:tabs>
              <w:spacing w:before="120" w:after="0" w:line="240" w:lineRule="auto"/>
              <w:ind w:firstLine="0"/>
              <w:jc w:val="center"/>
              <w:rPr>
                <w:rFonts w:cs="Calibri"/>
                <w:color w:val="000000"/>
                <w:sz w:val="16"/>
                <w:szCs w:val="18"/>
                <w:lang w:val="hy-AM"/>
              </w:rPr>
            </w:pPr>
            <w:r w:rsidRPr="008331C7">
              <w:rPr>
                <w:rFonts w:cs="Calibri"/>
                <w:color w:val="000000"/>
                <w:sz w:val="16"/>
                <w:szCs w:val="18"/>
                <w:lang w:val="hy-AM"/>
              </w:rPr>
              <w:t xml:space="preserve">2023 </w:t>
            </w:r>
          </w:p>
        </w:tc>
        <w:tc>
          <w:tcPr>
            <w:tcW w:w="784" w:type="dxa"/>
            <w:tcBorders>
              <w:bottom w:val="single" w:sz="4" w:space="0" w:color="auto"/>
            </w:tcBorders>
            <w:shd w:val="clear" w:color="auto" w:fill="FFFFFF"/>
            <w:vAlign w:val="center"/>
          </w:tcPr>
          <w:p w14:paraId="1362A4AE" w14:textId="77777777" w:rsidR="006F7A03" w:rsidRPr="008331C7" w:rsidRDefault="006F7A03" w:rsidP="00A90AAE">
            <w:pPr>
              <w:tabs>
                <w:tab w:val="left" w:pos="0"/>
              </w:tabs>
              <w:spacing w:before="120" w:after="0" w:line="240" w:lineRule="auto"/>
              <w:ind w:firstLine="0"/>
              <w:jc w:val="center"/>
              <w:rPr>
                <w:rFonts w:cs="Calibri"/>
                <w:color w:val="000000"/>
                <w:sz w:val="16"/>
                <w:szCs w:val="18"/>
                <w:lang w:val="hy-AM"/>
              </w:rPr>
            </w:pPr>
            <w:r w:rsidRPr="008331C7">
              <w:rPr>
                <w:rFonts w:cs="Calibri"/>
                <w:color w:val="000000"/>
                <w:sz w:val="16"/>
                <w:szCs w:val="18"/>
                <w:lang w:val="hy-AM"/>
              </w:rPr>
              <w:t>2024</w:t>
            </w:r>
          </w:p>
        </w:tc>
        <w:tc>
          <w:tcPr>
            <w:tcW w:w="779" w:type="dxa"/>
            <w:tcBorders>
              <w:top w:val="single" w:sz="4" w:space="0" w:color="auto"/>
              <w:bottom w:val="single" w:sz="4" w:space="0" w:color="auto"/>
            </w:tcBorders>
            <w:shd w:val="clear" w:color="auto" w:fill="FFFFFF"/>
            <w:vAlign w:val="center"/>
          </w:tcPr>
          <w:p w14:paraId="4A5468C6" w14:textId="77777777" w:rsidR="006F7A03" w:rsidRPr="008331C7" w:rsidRDefault="006F7A03" w:rsidP="00A90AAE">
            <w:pPr>
              <w:tabs>
                <w:tab w:val="left" w:pos="0"/>
              </w:tabs>
              <w:spacing w:before="120" w:after="0" w:line="240" w:lineRule="auto"/>
              <w:ind w:firstLine="0"/>
              <w:jc w:val="center"/>
              <w:rPr>
                <w:rFonts w:cs="Calibri"/>
                <w:color w:val="000000"/>
                <w:sz w:val="16"/>
                <w:szCs w:val="18"/>
                <w:lang w:val="hy-AM"/>
              </w:rPr>
            </w:pPr>
            <w:r w:rsidRPr="008331C7">
              <w:rPr>
                <w:rFonts w:cs="Calibri"/>
                <w:color w:val="000000"/>
                <w:sz w:val="16"/>
                <w:szCs w:val="18"/>
                <w:lang w:val="hy-AM"/>
              </w:rPr>
              <w:t xml:space="preserve">2025 </w:t>
            </w:r>
          </w:p>
        </w:tc>
        <w:tc>
          <w:tcPr>
            <w:tcW w:w="850" w:type="dxa"/>
            <w:tcBorders>
              <w:top w:val="single" w:sz="4" w:space="0" w:color="auto"/>
              <w:bottom w:val="single" w:sz="4" w:space="0" w:color="auto"/>
            </w:tcBorders>
            <w:shd w:val="clear" w:color="auto" w:fill="FFFFFF"/>
            <w:vAlign w:val="center"/>
          </w:tcPr>
          <w:p w14:paraId="23444B4C"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lang w:val="hy-AM"/>
              </w:rPr>
            </w:pPr>
            <w:r w:rsidRPr="008331C7">
              <w:rPr>
                <w:rFonts w:cs="Calibri"/>
                <w:color w:val="000000"/>
                <w:sz w:val="16"/>
                <w:szCs w:val="18"/>
              </w:rPr>
              <w:t>202</w:t>
            </w:r>
            <w:r w:rsidRPr="008331C7">
              <w:rPr>
                <w:rFonts w:cs="Calibri"/>
                <w:color w:val="000000"/>
                <w:sz w:val="16"/>
                <w:szCs w:val="18"/>
                <w:lang w:val="hy-AM"/>
              </w:rPr>
              <w:t>6</w:t>
            </w:r>
          </w:p>
        </w:tc>
        <w:tc>
          <w:tcPr>
            <w:tcW w:w="788" w:type="dxa"/>
            <w:tcBorders>
              <w:top w:val="single" w:sz="4" w:space="0" w:color="auto"/>
              <w:bottom w:val="single" w:sz="4" w:space="0" w:color="auto"/>
            </w:tcBorders>
            <w:shd w:val="clear" w:color="auto" w:fill="FFFFFF"/>
            <w:vAlign w:val="center"/>
          </w:tcPr>
          <w:p w14:paraId="0E097482"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color w:val="000000"/>
                <w:sz w:val="16"/>
                <w:szCs w:val="18"/>
              </w:rPr>
              <w:t>202</w:t>
            </w:r>
            <w:r w:rsidRPr="008331C7">
              <w:rPr>
                <w:rFonts w:cs="Calibri"/>
                <w:color w:val="000000"/>
                <w:sz w:val="16"/>
                <w:szCs w:val="18"/>
                <w:lang w:val="hy-AM"/>
              </w:rPr>
              <w:t>7</w:t>
            </w:r>
            <w:r w:rsidRPr="008331C7">
              <w:rPr>
                <w:rFonts w:cs="Calibri"/>
                <w:color w:val="000000"/>
                <w:sz w:val="16"/>
                <w:szCs w:val="18"/>
              </w:rPr>
              <w:t xml:space="preserve"> </w:t>
            </w:r>
          </w:p>
        </w:tc>
      </w:tr>
      <w:tr w:rsidR="006F7A03" w:rsidRPr="008331C7" w14:paraId="7DB08439" w14:textId="77777777" w:rsidTr="00A90AAE">
        <w:trPr>
          <w:trHeight w:val="315"/>
        </w:trPr>
        <w:tc>
          <w:tcPr>
            <w:tcW w:w="3969" w:type="dxa"/>
            <w:tcBorders>
              <w:top w:val="single" w:sz="4" w:space="0" w:color="auto"/>
            </w:tcBorders>
            <w:shd w:val="clear" w:color="auto" w:fill="FFFFFF"/>
            <w:vAlign w:val="center"/>
            <w:hideMark/>
          </w:tcPr>
          <w:p w14:paraId="4BCD51C2" w14:textId="77777777" w:rsidR="006F7A03" w:rsidRPr="008331C7" w:rsidRDefault="006F7A03" w:rsidP="00A90AAE">
            <w:pPr>
              <w:tabs>
                <w:tab w:val="left" w:pos="0"/>
              </w:tabs>
              <w:spacing w:before="120" w:after="0" w:line="240" w:lineRule="auto"/>
              <w:ind w:firstLine="0"/>
              <w:jc w:val="left"/>
              <w:rPr>
                <w:rFonts w:cs="Calibri"/>
                <w:bCs/>
                <w:color w:val="000000"/>
                <w:sz w:val="16"/>
                <w:szCs w:val="18"/>
              </w:rPr>
            </w:pPr>
            <w:r w:rsidRPr="008331C7">
              <w:rPr>
                <w:rFonts w:cs="Calibri"/>
                <w:bCs/>
                <w:color w:val="000000"/>
                <w:sz w:val="16"/>
                <w:szCs w:val="18"/>
              </w:rPr>
              <w:t>Սոցիալական ոլորտ ընդամենը</w:t>
            </w:r>
          </w:p>
        </w:tc>
        <w:tc>
          <w:tcPr>
            <w:tcW w:w="992" w:type="dxa"/>
            <w:tcBorders>
              <w:top w:val="single" w:sz="4" w:space="0" w:color="auto"/>
            </w:tcBorders>
            <w:shd w:val="clear" w:color="auto" w:fill="auto"/>
            <w:vAlign w:val="center"/>
            <w:hideMark/>
          </w:tcPr>
          <w:p w14:paraId="1EC64C5B"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960</w:t>
            </w:r>
          </w:p>
        </w:tc>
        <w:tc>
          <w:tcPr>
            <w:tcW w:w="772" w:type="dxa"/>
            <w:tcBorders>
              <w:top w:val="single" w:sz="4" w:space="0" w:color="auto"/>
            </w:tcBorders>
            <w:shd w:val="clear" w:color="auto" w:fill="auto"/>
            <w:vAlign w:val="center"/>
            <w:hideMark/>
          </w:tcPr>
          <w:p w14:paraId="386C0079"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965.8</w:t>
            </w:r>
          </w:p>
        </w:tc>
        <w:tc>
          <w:tcPr>
            <w:tcW w:w="786" w:type="dxa"/>
            <w:tcBorders>
              <w:top w:val="single" w:sz="4" w:space="0" w:color="auto"/>
            </w:tcBorders>
            <w:shd w:val="clear" w:color="auto" w:fill="auto"/>
            <w:vAlign w:val="center"/>
          </w:tcPr>
          <w:p w14:paraId="225AEB64"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1,073.9</w:t>
            </w:r>
          </w:p>
        </w:tc>
        <w:tc>
          <w:tcPr>
            <w:tcW w:w="784" w:type="dxa"/>
            <w:tcBorders>
              <w:top w:val="single" w:sz="4" w:space="0" w:color="auto"/>
            </w:tcBorders>
            <w:shd w:val="clear" w:color="auto" w:fill="auto"/>
            <w:vAlign w:val="center"/>
          </w:tcPr>
          <w:p w14:paraId="15050F1B"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1,295.3</w:t>
            </w:r>
          </w:p>
        </w:tc>
        <w:tc>
          <w:tcPr>
            <w:tcW w:w="779" w:type="dxa"/>
            <w:tcBorders>
              <w:top w:val="single" w:sz="4" w:space="0" w:color="auto"/>
            </w:tcBorders>
            <w:shd w:val="clear" w:color="auto" w:fill="auto"/>
            <w:vAlign w:val="center"/>
          </w:tcPr>
          <w:p w14:paraId="7E2145FD"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1,493.5</w:t>
            </w:r>
          </w:p>
        </w:tc>
        <w:tc>
          <w:tcPr>
            <w:tcW w:w="850" w:type="dxa"/>
            <w:tcBorders>
              <w:top w:val="single" w:sz="4" w:space="0" w:color="auto"/>
            </w:tcBorders>
            <w:shd w:val="clear" w:color="auto" w:fill="auto"/>
            <w:vAlign w:val="center"/>
          </w:tcPr>
          <w:p w14:paraId="5D86EA2D"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1,617.5</w:t>
            </w:r>
          </w:p>
        </w:tc>
        <w:tc>
          <w:tcPr>
            <w:tcW w:w="788" w:type="dxa"/>
            <w:tcBorders>
              <w:top w:val="single" w:sz="4" w:space="0" w:color="auto"/>
            </w:tcBorders>
            <w:shd w:val="clear" w:color="auto" w:fill="auto"/>
            <w:vAlign w:val="center"/>
          </w:tcPr>
          <w:p w14:paraId="1BD2B683"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1,731.2</w:t>
            </w:r>
          </w:p>
        </w:tc>
      </w:tr>
      <w:tr w:rsidR="006F7A03" w:rsidRPr="008331C7" w14:paraId="32D5F1ED" w14:textId="77777777" w:rsidTr="00A90AAE">
        <w:trPr>
          <w:trHeight w:val="315"/>
        </w:trPr>
        <w:tc>
          <w:tcPr>
            <w:tcW w:w="3969" w:type="dxa"/>
            <w:tcBorders>
              <w:top w:val="nil"/>
            </w:tcBorders>
            <w:shd w:val="clear" w:color="auto" w:fill="FFFFFF"/>
            <w:vAlign w:val="center"/>
            <w:hideMark/>
          </w:tcPr>
          <w:p w14:paraId="77CD673B" w14:textId="77777777" w:rsidR="006F7A03" w:rsidRPr="008331C7" w:rsidRDefault="006F7A03" w:rsidP="00A90AAE">
            <w:pPr>
              <w:tabs>
                <w:tab w:val="left" w:pos="0"/>
              </w:tabs>
              <w:spacing w:before="120" w:after="0" w:line="240" w:lineRule="auto"/>
              <w:ind w:firstLine="0"/>
              <w:rPr>
                <w:rFonts w:cs="Calibri"/>
                <w:color w:val="000000"/>
                <w:sz w:val="16"/>
                <w:szCs w:val="18"/>
              </w:rPr>
            </w:pPr>
            <w:r w:rsidRPr="008331C7">
              <w:rPr>
                <w:rFonts w:cs="Calibri"/>
                <w:color w:val="000000"/>
                <w:sz w:val="16"/>
                <w:szCs w:val="18"/>
              </w:rPr>
              <w:t>ՀՆԱ-ի նկատմամբ (%)</w:t>
            </w:r>
          </w:p>
        </w:tc>
        <w:tc>
          <w:tcPr>
            <w:tcW w:w="992" w:type="dxa"/>
            <w:tcBorders>
              <w:top w:val="nil"/>
            </w:tcBorders>
            <w:shd w:val="clear" w:color="auto" w:fill="auto"/>
            <w:vAlign w:val="center"/>
            <w:hideMark/>
          </w:tcPr>
          <w:p w14:paraId="1DFE2B43"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11.8</w:t>
            </w:r>
          </w:p>
        </w:tc>
        <w:tc>
          <w:tcPr>
            <w:tcW w:w="772" w:type="dxa"/>
            <w:tcBorders>
              <w:top w:val="nil"/>
            </w:tcBorders>
            <w:shd w:val="clear" w:color="auto" w:fill="auto"/>
            <w:vAlign w:val="center"/>
            <w:hideMark/>
          </w:tcPr>
          <w:p w14:paraId="3ACE6150"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11.4</w:t>
            </w:r>
          </w:p>
        </w:tc>
        <w:tc>
          <w:tcPr>
            <w:tcW w:w="786" w:type="dxa"/>
            <w:tcBorders>
              <w:top w:val="nil"/>
            </w:tcBorders>
            <w:shd w:val="clear" w:color="auto" w:fill="auto"/>
            <w:vAlign w:val="center"/>
          </w:tcPr>
          <w:p w14:paraId="1A7807D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11.3</w:t>
            </w:r>
          </w:p>
        </w:tc>
        <w:tc>
          <w:tcPr>
            <w:tcW w:w="784" w:type="dxa"/>
            <w:tcBorders>
              <w:top w:val="nil"/>
            </w:tcBorders>
            <w:shd w:val="clear" w:color="auto" w:fill="auto"/>
            <w:vAlign w:val="center"/>
          </w:tcPr>
          <w:p w14:paraId="09D18B6A"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12.3</w:t>
            </w:r>
          </w:p>
        </w:tc>
        <w:tc>
          <w:tcPr>
            <w:tcW w:w="779" w:type="dxa"/>
            <w:tcBorders>
              <w:top w:val="nil"/>
            </w:tcBorders>
            <w:shd w:val="clear" w:color="auto" w:fill="auto"/>
            <w:vAlign w:val="center"/>
          </w:tcPr>
          <w:p w14:paraId="46DE1FD9"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13.3</w:t>
            </w:r>
          </w:p>
        </w:tc>
        <w:tc>
          <w:tcPr>
            <w:tcW w:w="850" w:type="dxa"/>
            <w:tcBorders>
              <w:top w:val="nil"/>
            </w:tcBorders>
            <w:shd w:val="clear" w:color="auto" w:fill="auto"/>
            <w:vAlign w:val="center"/>
          </w:tcPr>
          <w:p w14:paraId="5278A67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13.1</w:t>
            </w:r>
          </w:p>
        </w:tc>
        <w:tc>
          <w:tcPr>
            <w:tcW w:w="788" w:type="dxa"/>
            <w:tcBorders>
              <w:top w:val="nil"/>
            </w:tcBorders>
            <w:shd w:val="clear" w:color="auto" w:fill="auto"/>
            <w:vAlign w:val="center"/>
          </w:tcPr>
          <w:p w14:paraId="79970CE0"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12.8</w:t>
            </w:r>
          </w:p>
        </w:tc>
      </w:tr>
      <w:tr w:rsidR="006F7A03" w:rsidRPr="008331C7" w14:paraId="162B4F30" w14:textId="77777777" w:rsidTr="00A90AAE">
        <w:trPr>
          <w:trHeight w:val="315"/>
        </w:trPr>
        <w:tc>
          <w:tcPr>
            <w:tcW w:w="3969" w:type="dxa"/>
            <w:tcBorders>
              <w:top w:val="nil"/>
              <w:bottom w:val="single" w:sz="4" w:space="0" w:color="auto"/>
            </w:tcBorders>
            <w:shd w:val="clear" w:color="auto" w:fill="FFFFFF"/>
            <w:vAlign w:val="center"/>
            <w:hideMark/>
          </w:tcPr>
          <w:p w14:paraId="54AED103" w14:textId="77777777" w:rsidR="006F7A03" w:rsidRPr="008331C7" w:rsidRDefault="006F7A03" w:rsidP="00A90AAE">
            <w:pPr>
              <w:tabs>
                <w:tab w:val="left" w:pos="0"/>
              </w:tabs>
              <w:spacing w:before="120" w:after="0" w:line="240" w:lineRule="auto"/>
              <w:ind w:firstLine="0"/>
              <w:rPr>
                <w:rFonts w:cs="Calibri"/>
                <w:color w:val="000000"/>
                <w:sz w:val="16"/>
                <w:szCs w:val="18"/>
              </w:rPr>
            </w:pPr>
            <w:r w:rsidRPr="008331C7">
              <w:rPr>
                <w:rFonts w:cs="Calibri"/>
                <w:color w:val="000000"/>
                <w:sz w:val="16"/>
                <w:szCs w:val="18"/>
              </w:rPr>
              <w:t>Ընդհանուր ծախսերում (%)</w:t>
            </w:r>
          </w:p>
        </w:tc>
        <w:tc>
          <w:tcPr>
            <w:tcW w:w="992" w:type="dxa"/>
            <w:tcBorders>
              <w:top w:val="nil"/>
              <w:bottom w:val="single" w:sz="4" w:space="0" w:color="auto"/>
            </w:tcBorders>
            <w:shd w:val="clear" w:color="auto" w:fill="auto"/>
            <w:vAlign w:val="center"/>
            <w:hideMark/>
          </w:tcPr>
          <w:p w14:paraId="5195379B"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42.6</w:t>
            </w:r>
          </w:p>
        </w:tc>
        <w:tc>
          <w:tcPr>
            <w:tcW w:w="772" w:type="dxa"/>
            <w:tcBorders>
              <w:top w:val="nil"/>
              <w:bottom w:val="single" w:sz="4" w:space="0" w:color="auto"/>
            </w:tcBorders>
            <w:shd w:val="clear" w:color="auto" w:fill="auto"/>
            <w:vAlign w:val="center"/>
            <w:hideMark/>
          </w:tcPr>
          <w:p w14:paraId="64831524"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43.1</w:t>
            </w:r>
          </w:p>
        </w:tc>
        <w:tc>
          <w:tcPr>
            <w:tcW w:w="786" w:type="dxa"/>
            <w:tcBorders>
              <w:top w:val="nil"/>
              <w:bottom w:val="single" w:sz="4" w:space="0" w:color="auto"/>
            </w:tcBorders>
            <w:shd w:val="clear" w:color="auto" w:fill="auto"/>
            <w:vAlign w:val="center"/>
          </w:tcPr>
          <w:p w14:paraId="13CEEC2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42.2</w:t>
            </w:r>
          </w:p>
        </w:tc>
        <w:tc>
          <w:tcPr>
            <w:tcW w:w="784" w:type="dxa"/>
            <w:tcBorders>
              <w:top w:val="nil"/>
              <w:bottom w:val="single" w:sz="4" w:space="0" w:color="auto"/>
            </w:tcBorders>
            <w:shd w:val="clear" w:color="auto" w:fill="auto"/>
            <w:vAlign w:val="center"/>
          </w:tcPr>
          <w:p w14:paraId="044596F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40.4</w:t>
            </w:r>
          </w:p>
        </w:tc>
        <w:tc>
          <w:tcPr>
            <w:tcW w:w="779" w:type="dxa"/>
            <w:tcBorders>
              <w:top w:val="nil"/>
              <w:bottom w:val="single" w:sz="4" w:space="0" w:color="auto"/>
            </w:tcBorders>
            <w:shd w:val="clear" w:color="auto" w:fill="auto"/>
            <w:vAlign w:val="center"/>
          </w:tcPr>
          <w:p w14:paraId="7CBD478F"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42.5</w:t>
            </w:r>
          </w:p>
        </w:tc>
        <w:tc>
          <w:tcPr>
            <w:tcW w:w="850" w:type="dxa"/>
            <w:tcBorders>
              <w:top w:val="nil"/>
              <w:bottom w:val="single" w:sz="4" w:space="0" w:color="auto"/>
            </w:tcBorders>
            <w:shd w:val="clear" w:color="auto" w:fill="auto"/>
            <w:vAlign w:val="center"/>
          </w:tcPr>
          <w:p w14:paraId="046F443F"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42.4</w:t>
            </w:r>
          </w:p>
        </w:tc>
        <w:tc>
          <w:tcPr>
            <w:tcW w:w="788" w:type="dxa"/>
            <w:tcBorders>
              <w:top w:val="nil"/>
              <w:bottom w:val="single" w:sz="4" w:space="0" w:color="auto"/>
            </w:tcBorders>
            <w:shd w:val="clear" w:color="auto" w:fill="auto"/>
            <w:vAlign w:val="center"/>
          </w:tcPr>
          <w:p w14:paraId="3B99CBC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42.4</w:t>
            </w:r>
          </w:p>
        </w:tc>
      </w:tr>
      <w:tr w:rsidR="006F7A03" w:rsidRPr="008331C7" w14:paraId="0FA2E6F4" w14:textId="77777777" w:rsidTr="00A90AAE">
        <w:trPr>
          <w:trHeight w:val="315"/>
        </w:trPr>
        <w:tc>
          <w:tcPr>
            <w:tcW w:w="3969" w:type="dxa"/>
            <w:tcBorders>
              <w:top w:val="single" w:sz="4" w:space="0" w:color="auto"/>
            </w:tcBorders>
            <w:shd w:val="clear" w:color="auto" w:fill="FFFFFF"/>
            <w:vAlign w:val="center"/>
            <w:hideMark/>
          </w:tcPr>
          <w:p w14:paraId="16899944" w14:textId="77777777" w:rsidR="006F7A03" w:rsidRPr="008331C7" w:rsidRDefault="006F7A03" w:rsidP="00A90AAE">
            <w:pPr>
              <w:tabs>
                <w:tab w:val="left" w:pos="0"/>
              </w:tabs>
              <w:spacing w:before="120" w:after="0" w:line="240" w:lineRule="auto"/>
              <w:ind w:firstLine="0"/>
              <w:rPr>
                <w:rFonts w:cs="Calibri"/>
                <w:bCs/>
                <w:color w:val="000000"/>
                <w:sz w:val="16"/>
                <w:szCs w:val="18"/>
              </w:rPr>
            </w:pPr>
            <w:r w:rsidRPr="008331C7">
              <w:rPr>
                <w:rFonts w:cs="Calibri"/>
                <w:bCs/>
                <w:color w:val="000000"/>
                <w:sz w:val="16"/>
                <w:szCs w:val="18"/>
              </w:rPr>
              <w:t>1. Կրթություն</w:t>
            </w:r>
          </w:p>
        </w:tc>
        <w:tc>
          <w:tcPr>
            <w:tcW w:w="992" w:type="dxa"/>
            <w:tcBorders>
              <w:top w:val="single" w:sz="4" w:space="0" w:color="auto"/>
            </w:tcBorders>
            <w:shd w:val="clear" w:color="auto" w:fill="auto"/>
            <w:vAlign w:val="center"/>
            <w:hideMark/>
          </w:tcPr>
          <w:p w14:paraId="37C97B5A"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149.1</w:t>
            </w:r>
          </w:p>
        </w:tc>
        <w:tc>
          <w:tcPr>
            <w:tcW w:w="772" w:type="dxa"/>
            <w:tcBorders>
              <w:top w:val="single" w:sz="4" w:space="0" w:color="auto"/>
            </w:tcBorders>
            <w:shd w:val="clear" w:color="auto" w:fill="auto"/>
            <w:vAlign w:val="center"/>
            <w:hideMark/>
          </w:tcPr>
          <w:p w14:paraId="478E07A2"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165.4</w:t>
            </w:r>
          </w:p>
        </w:tc>
        <w:tc>
          <w:tcPr>
            <w:tcW w:w="786" w:type="dxa"/>
            <w:tcBorders>
              <w:top w:val="single" w:sz="4" w:space="0" w:color="auto"/>
            </w:tcBorders>
            <w:shd w:val="clear" w:color="auto" w:fill="auto"/>
            <w:vAlign w:val="center"/>
          </w:tcPr>
          <w:p w14:paraId="2EC7A6D2"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183.6</w:t>
            </w:r>
          </w:p>
        </w:tc>
        <w:tc>
          <w:tcPr>
            <w:tcW w:w="784" w:type="dxa"/>
            <w:tcBorders>
              <w:top w:val="single" w:sz="4" w:space="0" w:color="auto"/>
            </w:tcBorders>
            <w:shd w:val="clear" w:color="auto" w:fill="auto"/>
            <w:vAlign w:val="center"/>
          </w:tcPr>
          <w:p w14:paraId="3C579F61"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289.7</w:t>
            </w:r>
          </w:p>
        </w:tc>
        <w:tc>
          <w:tcPr>
            <w:tcW w:w="779" w:type="dxa"/>
            <w:tcBorders>
              <w:top w:val="single" w:sz="4" w:space="0" w:color="auto"/>
            </w:tcBorders>
            <w:shd w:val="clear" w:color="auto" w:fill="auto"/>
            <w:vAlign w:val="center"/>
          </w:tcPr>
          <w:p w14:paraId="088A24F5"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316.0</w:t>
            </w:r>
          </w:p>
        </w:tc>
        <w:tc>
          <w:tcPr>
            <w:tcW w:w="850" w:type="dxa"/>
            <w:tcBorders>
              <w:top w:val="single" w:sz="4" w:space="0" w:color="auto"/>
            </w:tcBorders>
            <w:shd w:val="clear" w:color="auto" w:fill="auto"/>
            <w:vAlign w:val="center"/>
          </w:tcPr>
          <w:p w14:paraId="36B880E1"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318.4</w:t>
            </w:r>
          </w:p>
        </w:tc>
        <w:tc>
          <w:tcPr>
            <w:tcW w:w="788" w:type="dxa"/>
            <w:tcBorders>
              <w:top w:val="single" w:sz="4" w:space="0" w:color="auto"/>
            </w:tcBorders>
            <w:shd w:val="clear" w:color="auto" w:fill="auto"/>
            <w:vAlign w:val="center"/>
          </w:tcPr>
          <w:p w14:paraId="5F350237"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318.4</w:t>
            </w:r>
          </w:p>
        </w:tc>
      </w:tr>
      <w:tr w:rsidR="006F7A03" w:rsidRPr="008331C7" w14:paraId="6453B957" w14:textId="77777777" w:rsidTr="00A90AAE">
        <w:trPr>
          <w:trHeight w:val="315"/>
        </w:trPr>
        <w:tc>
          <w:tcPr>
            <w:tcW w:w="3969" w:type="dxa"/>
            <w:tcBorders>
              <w:top w:val="nil"/>
            </w:tcBorders>
            <w:shd w:val="clear" w:color="auto" w:fill="FFFFFF"/>
            <w:vAlign w:val="center"/>
          </w:tcPr>
          <w:p w14:paraId="7782D27D" w14:textId="77777777" w:rsidR="006F7A03" w:rsidRPr="008331C7" w:rsidRDefault="006F7A03" w:rsidP="00A90AAE">
            <w:pPr>
              <w:tabs>
                <w:tab w:val="left" w:pos="0"/>
              </w:tabs>
              <w:spacing w:before="120" w:after="0" w:line="240" w:lineRule="auto"/>
              <w:ind w:left="227" w:firstLine="0"/>
              <w:rPr>
                <w:rFonts w:cs="Calibri"/>
                <w:color w:val="000000"/>
                <w:sz w:val="16"/>
                <w:szCs w:val="18"/>
              </w:rPr>
            </w:pPr>
            <w:r w:rsidRPr="008331C7">
              <w:rPr>
                <w:rFonts w:cs="Calibri"/>
                <w:color w:val="000000"/>
                <w:sz w:val="16"/>
                <w:szCs w:val="18"/>
              </w:rPr>
              <w:t>ՀՆԱ-ի նկատմամբ (%)</w:t>
            </w:r>
          </w:p>
        </w:tc>
        <w:tc>
          <w:tcPr>
            <w:tcW w:w="992" w:type="dxa"/>
            <w:tcBorders>
              <w:top w:val="nil"/>
            </w:tcBorders>
            <w:shd w:val="clear" w:color="auto" w:fill="auto"/>
            <w:vAlign w:val="center"/>
            <w:hideMark/>
          </w:tcPr>
          <w:p w14:paraId="70D1F9E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2.3</w:t>
            </w:r>
          </w:p>
        </w:tc>
        <w:tc>
          <w:tcPr>
            <w:tcW w:w="772" w:type="dxa"/>
            <w:tcBorders>
              <w:top w:val="nil"/>
            </w:tcBorders>
            <w:shd w:val="clear" w:color="auto" w:fill="auto"/>
            <w:vAlign w:val="center"/>
            <w:hideMark/>
          </w:tcPr>
          <w:p w14:paraId="426DBDF5"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1,9</w:t>
            </w:r>
          </w:p>
        </w:tc>
        <w:tc>
          <w:tcPr>
            <w:tcW w:w="786" w:type="dxa"/>
            <w:tcBorders>
              <w:top w:val="nil"/>
            </w:tcBorders>
            <w:shd w:val="clear" w:color="auto" w:fill="auto"/>
            <w:vAlign w:val="center"/>
          </w:tcPr>
          <w:p w14:paraId="071D372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1.9</w:t>
            </w:r>
          </w:p>
        </w:tc>
        <w:tc>
          <w:tcPr>
            <w:tcW w:w="784" w:type="dxa"/>
            <w:tcBorders>
              <w:top w:val="nil"/>
            </w:tcBorders>
            <w:shd w:val="clear" w:color="auto" w:fill="auto"/>
            <w:vAlign w:val="center"/>
          </w:tcPr>
          <w:p w14:paraId="06D969C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2.8</w:t>
            </w:r>
          </w:p>
        </w:tc>
        <w:tc>
          <w:tcPr>
            <w:tcW w:w="779" w:type="dxa"/>
            <w:tcBorders>
              <w:top w:val="nil"/>
            </w:tcBorders>
            <w:shd w:val="clear" w:color="auto" w:fill="auto"/>
            <w:vAlign w:val="center"/>
          </w:tcPr>
          <w:p w14:paraId="5DBC8B6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2.8</w:t>
            </w:r>
          </w:p>
        </w:tc>
        <w:tc>
          <w:tcPr>
            <w:tcW w:w="850" w:type="dxa"/>
            <w:tcBorders>
              <w:top w:val="nil"/>
            </w:tcBorders>
            <w:shd w:val="clear" w:color="auto" w:fill="auto"/>
            <w:vAlign w:val="center"/>
          </w:tcPr>
          <w:p w14:paraId="253CD585"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2.6</w:t>
            </w:r>
          </w:p>
        </w:tc>
        <w:tc>
          <w:tcPr>
            <w:tcW w:w="788" w:type="dxa"/>
            <w:tcBorders>
              <w:top w:val="nil"/>
            </w:tcBorders>
            <w:shd w:val="clear" w:color="auto" w:fill="auto"/>
            <w:vAlign w:val="center"/>
          </w:tcPr>
          <w:p w14:paraId="29D826C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2.4</w:t>
            </w:r>
          </w:p>
        </w:tc>
      </w:tr>
      <w:tr w:rsidR="006F7A03" w:rsidRPr="008331C7" w14:paraId="59FE543F" w14:textId="77777777" w:rsidTr="00A90AAE">
        <w:trPr>
          <w:trHeight w:val="315"/>
        </w:trPr>
        <w:tc>
          <w:tcPr>
            <w:tcW w:w="3969" w:type="dxa"/>
            <w:tcBorders>
              <w:top w:val="nil"/>
              <w:bottom w:val="single" w:sz="4" w:space="0" w:color="auto"/>
            </w:tcBorders>
            <w:shd w:val="clear" w:color="auto" w:fill="FFFFFF"/>
            <w:vAlign w:val="center"/>
          </w:tcPr>
          <w:p w14:paraId="7AFA28C7" w14:textId="77777777" w:rsidR="006F7A03" w:rsidRPr="008331C7" w:rsidRDefault="006F7A03" w:rsidP="00A90AAE">
            <w:pPr>
              <w:tabs>
                <w:tab w:val="left" w:pos="0"/>
              </w:tabs>
              <w:spacing w:before="120" w:after="0" w:line="240" w:lineRule="auto"/>
              <w:ind w:left="227" w:firstLine="0"/>
              <w:rPr>
                <w:rFonts w:cs="Calibri"/>
                <w:color w:val="000000"/>
                <w:sz w:val="16"/>
                <w:szCs w:val="18"/>
              </w:rPr>
            </w:pPr>
            <w:r w:rsidRPr="008331C7">
              <w:rPr>
                <w:rFonts w:cs="Calibri"/>
                <w:color w:val="000000"/>
                <w:sz w:val="16"/>
                <w:szCs w:val="18"/>
              </w:rPr>
              <w:t>Ընդհանուր ծախսերում (%)</w:t>
            </w:r>
          </w:p>
        </w:tc>
        <w:tc>
          <w:tcPr>
            <w:tcW w:w="992" w:type="dxa"/>
            <w:tcBorders>
              <w:top w:val="nil"/>
              <w:bottom w:val="single" w:sz="4" w:space="0" w:color="auto"/>
            </w:tcBorders>
            <w:shd w:val="clear" w:color="auto" w:fill="auto"/>
            <w:vAlign w:val="center"/>
            <w:hideMark/>
          </w:tcPr>
          <w:p w14:paraId="69FB42E4"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7.4</w:t>
            </w:r>
          </w:p>
        </w:tc>
        <w:tc>
          <w:tcPr>
            <w:tcW w:w="772" w:type="dxa"/>
            <w:tcBorders>
              <w:top w:val="nil"/>
              <w:bottom w:val="single" w:sz="4" w:space="0" w:color="auto"/>
            </w:tcBorders>
            <w:shd w:val="clear" w:color="auto" w:fill="auto"/>
            <w:vAlign w:val="center"/>
            <w:hideMark/>
          </w:tcPr>
          <w:p w14:paraId="6742148B"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7.4</w:t>
            </w:r>
          </w:p>
        </w:tc>
        <w:tc>
          <w:tcPr>
            <w:tcW w:w="786" w:type="dxa"/>
            <w:tcBorders>
              <w:top w:val="nil"/>
              <w:bottom w:val="single" w:sz="4" w:space="0" w:color="auto"/>
            </w:tcBorders>
            <w:shd w:val="clear" w:color="auto" w:fill="auto"/>
            <w:vAlign w:val="center"/>
          </w:tcPr>
          <w:p w14:paraId="6D1B120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7.2</w:t>
            </w:r>
          </w:p>
        </w:tc>
        <w:tc>
          <w:tcPr>
            <w:tcW w:w="784" w:type="dxa"/>
            <w:tcBorders>
              <w:top w:val="nil"/>
              <w:bottom w:val="single" w:sz="4" w:space="0" w:color="auto"/>
            </w:tcBorders>
            <w:shd w:val="clear" w:color="auto" w:fill="auto"/>
            <w:vAlign w:val="center"/>
          </w:tcPr>
          <w:p w14:paraId="428F883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9.0</w:t>
            </w:r>
          </w:p>
        </w:tc>
        <w:tc>
          <w:tcPr>
            <w:tcW w:w="779" w:type="dxa"/>
            <w:tcBorders>
              <w:top w:val="nil"/>
              <w:bottom w:val="single" w:sz="4" w:space="0" w:color="auto"/>
            </w:tcBorders>
            <w:shd w:val="clear" w:color="auto" w:fill="auto"/>
            <w:vAlign w:val="center"/>
          </w:tcPr>
          <w:p w14:paraId="1769483A"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9.0</w:t>
            </w:r>
          </w:p>
        </w:tc>
        <w:tc>
          <w:tcPr>
            <w:tcW w:w="850" w:type="dxa"/>
            <w:tcBorders>
              <w:top w:val="nil"/>
              <w:bottom w:val="single" w:sz="4" w:space="0" w:color="auto"/>
            </w:tcBorders>
            <w:shd w:val="clear" w:color="auto" w:fill="auto"/>
            <w:vAlign w:val="center"/>
          </w:tcPr>
          <w:p w14:paraId="3D048CE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8.4</w:t>
            </w:r>
          </w:p>
        </w:tc>
        <w:tc>
          <w:tcPr>
            <w:tcW w:w="788" w:type="dxa"/>
            <w:tcBorders>
              <w:top w:val="nil"/>
              <w:bottom w:val="single" w:sz="4" w:space="0" w:color="auto"/>
            </w:tcBorders>
            <w:shd w:val="clear" w:color="auto" w:fill="auto"/>
            <w:vAlign w:val="center"/>
          </w:tcPr>
          <w:p w14:paraId="729F07E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7.8</w:t>
            </w:r>
          </w:p>
        </w:tc>
      </w:tr>
      <w:tr w:rsidR="006F7A03" w:rsidRPr="008331C7" w14:paraId="3DBE1D7F" w14:textId="77777777" w:rsidTr="00A90AAE">
        <w:trPr>
          <w:trHeight w:val="315"/>
        </w:trPr>
        <w:tc>
          <w:tcPr>
            <w:tcW w:w="3969" w:type="dxa"/>
            <w:tcBorders>
              <w:top w:val="single" w:sz="4" w:space="0" w:color="auto"/>
            </w:tcBorders>
            <w:shd w:val="clear" w:color="auto" w:fill="FFFFFF"/>
            <w:vAlign w:val="center"/>
            <w:hideMark/>
          </w:tcPr>
          <w:p w14:paraId="0CF2EB80" w14:textId="77777777" w:rsidR="006F7A03" w:rsidRPr="008331C7" w:rsidRDefault="006F7A03" w:rsidP="00A90AAE">
            <w:pPr>
              <w:tabs>
                <w:tab w:val="left" w:pos="0"/>
              </w:tabs>
              <w:spacing w:before="120" w:after="0" w:line="240" w:lineRule="auto"/>
              <w:ind w:firstLine="0"/>
              <w:jc w:val="left"/>
              <w:rPr>
                <w:rFonts w:cs="Calibri"/>
                <w:bCs/>
                <w:color w:val="000000"/>
                <w:sz w:val="16"/>
                <w:szCs w:val="18"/>
              </w:rPr>
            </w:pPr>
            <w:r w:rsidRPr="008331C7">
              <w:rPr>
                <w:rFonts w:cs="Calibri"/>
                <w:bCs/>
                <w:color w:val="000000"/>
                <w:sz w:val="16"/>
                <w:szCs w:val="18"/>
              </w:rPr>
              <w:t>2. Սոցիալական պաշտպանություն</w:t>
            </w:r>
          </w:p>
        </w:tc>
        <w:tc>
          <w:tcPr>
            <w:tcW w:w="992" w:type="dxa"/>
            <w:tcBorders>
              <w:top w:val="single" w:sz="4" w:space="0" w:color="auto"/>
            </w:tcBorders>
            <w:shd w:val="clear" w:color="auto" w:fill="auto"/>
            <w:vAlign w:val="center"/>
            <w:hideMark/>
          </w:tcPr>
          <w:p w14:paraId="5E415594"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620</w:t>
            </w:r>
          </w:p>
        </w:tc>
        <w:tc>
          <w:tcPr>
            <w:tcW w:w="772" w:type="dxa"/>
            <w:tcBorders>
              <w:top w:val="single" w:sz="4" w:space="0" w:color="auto"/>
            </w:tcBorders>
            <w:shd w:val="clear" w:color="auto" w:fill="auto"/>
            <w:vAlign w:val="center"/>
            <w:hideMark/>
          </w:tcPr>
          <w:p w14:paraId="0B7D04EE"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614.5</w:t>
            </w:r>
          </w:p>
        </w:tc>
        <w:tc>
          <w:tcPr>
            <w:tcW w:w="786" w:type="dxa"/>
            <w:tcBorders>
              <w:top w:val="single" w:sz="4" w:space="0" w:color="auto"/>
            </w:tcBorders>
            <w:shd w:val="clear" w:color="auto" w:fill="auto"/>
            <w:vAlign w:val="center"/>
          </w:tcPr>
          <w:p w14:paraId="5632E318"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705.8</w:t>
            </w:r>
          </w:p>
        </w:tc>
        <w:tc>
          <w:tcPr>
            <w:tcW w:w="784" w:type="dxa"/>
            <w:tcBorders>
              <w:top w:val="single" w:sz="4" w:space="0" w:color="auto"/>
            </w:tcBorders>
            <w:shd w:val="clear" w:color="auto" w:fill="auto"/>
            <w:vAlign w:val="center"/>
          </w:tcPr>
          <w:p w14:paraId="793EF83E"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794.5</w:t>
            </w:r>
          </w:p>
        </w:tc>
        <w:tc>
          <w:tcPr>
            <w:tcW w:w="779" w:type="dxa"/>
            <w:tcBorders>
              <w:top w:val="single" w:sz="4" w:space="0" w:color="auto"/>
            </w:tcBorders>
            <w:shd w:val="clear" w:color="auto" w:fill="auto"/>
            <w:vAlign w:val="center"/>
          </w:tcPr>
          <w:p w14:paraId="7FC64B45"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913.0</w:t>
            </w:r>
          </w:p>
        </w:tc>
        <w:tc>
          <w:tcPr>
            <w:tcW w:w="850" w:type="dxa"/>
            <w:tcBorders>
              <w:top w:val="single" w:sz="4" w:space="0" w:color="auto"/>
            </w:tcBorders>
            <w:shd w:val="clear" w:color="auto" w:fill="auto"/>
            <w:vAlign w:val="center"/>
          </w:tcPr>
          <w:p w14:paraId="754293DE"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974.8</w:t>
            </w:r>
          </w:p>
        </w:tc>
        <w:tc>
          <w:tcPr>
            <w:tcW w:w="788" w:type="dxa"/>
            <w:tcBorders>
              <w:top w:val="single" w:sz="4" w:space="0" w:color="auto"/>
            </w:tcBorders>
            <w:shd w:val="clear" w:color="auto" w:fill="auto"/>
            <w:vAlign w:val="center"/>
          </w:tcPr>
          <w:p w14:paraId="162FAAF4"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1,059.5</w:t>
            </w:r>
          </w:p>
        </w:tc>
      </w:tr>
      <w:tr w:rsidR="006F7A03" w:rsidRPr="008331C7" w14:paraId="69D52D05" w14:textId="77777777" w:rsidTr="00A90AAE">
        <w:trPr>
          <w:trHeight w:val="315"/>
        </w:trPr>
        <w:tc>
          <w:tcPr>
            <w:tcW w:w="3969" w:type="dxa"/>
            <w:tcBorders>
              <w:top w:val="nil"/>
            </w:tcBorders>
            <w:shd w:val="clear" w:color="auto" w:fill="FFFFFF"/>
            <w:vAlign w:val="center"/>
            <w:hideMark/>
          </w:tcPr>
          <w:p w14:paraId="417E5639"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ՀՆԱ-ի նկատմամբ (%)</w:t>
            </w:r>
          </w:p>
        </w:tc>
        <w:tc>
          <w:tcPr>
            <w:tcW w:w="992" w:type="dxa"/>
            <w:tcBorders>
              <w:top w:val="nil"/>
            </w:tcBorders>
            <w:shd w:val="clear" w:color="auto" w:fill="auto"/>
            <w:vAlign w:val="center"/>
            <w:hideMark/>
          </w:tcPr>
          <w:p w14:paraId="26BE8E51"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bCs/>
                <w:color w:val="000000"/>
                <w:sz w:val="16"/>
                <w:szCs w:val="18"/>
              </w:rPr>
              <w:t>8.9</w:t>
            </w:r>
          </w:p>
        </w:tc>
        <w:tc>
          <w:tcPr>
            <w:tcW w:w="772" w:type="dxa"/>
            <w:tcBorders>
              <w:top w:val="nil"/>
            </w:tcBorders>
            <w:shd w:val="clear" w:color="auto" w:fill="auto"/>
            <w:vAlign w:val="center"/>
            <w:hideMark/>
          </w:tcPr>
          <w:p w14:paraId="7766897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bCs/>
                <w:color w:val="000000"/>
                <w:sz w:val="16"/>
                <w:szCs w:val="18"/>
              </w:rPr>
              <w:t>7.3</w:t>
            </w:r>
          </w:p>
        </w:tc>
        <w:tc>
          <w:tcPr>
            <w:tcW w:w="786" w:type="dxa"/>
            <w:tcBorders>
              <w:top w:val="nil"/>
            </w:tcBorders>
            <w:shd w:val="clear" w:color="auto" w:fill="auto"/>
            <w:vAlign w:val="center"/>
          </w:tcPr>
          <w:p w14:paraId="33B3DA51"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7.4</w:t>
            </w:r>
          </w:p>
        </w:tc>
        <w:tc>
          <w:tcPr>
            <w:tcW w:w="784" w:type="dxa"/>
            <w:tcBorders>
              <w:top w:val="nil"/>
            </w:tcBorders>
            <w:shd w:val="clear" w:color="auto" w:fill="auto"/>
            <w:vAlign w:val="center"/>
          </w:tcPr>
          <w:p w14:paraId="15CB31AA"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7.6</w:t>
            </w:r>
          </w:p>
        </w:tc>
        <w:tc>
          <w:tcPr>
            <w:tcW w:w="779" w:type="dxa"/>
            <w:tcBorders>
              <w:top w:val="nil"/>
            </w:tcBorders>
            <w:shd w:val="clear" w:color="auto" w:fill="auto"/>
            <w:vAlign w:val="center"/>
          </w:tcPr>
          <w:p w14:paraId="2F3D113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8.2</w:t>
            </w:r>
          </w:p>
        </w:tc>
        <w:tc>
          <w:tcPr>
            <w:tcW w:w="850" w:type="dxa"/>
            <w:tcBorders>
              <w:top w:val="nil"/>
            </w:tcBorders>
            <w:shd w:val="clear" w:color="auto" w:fill="auto"/>
            <w:vAlign w:val="center"/>
          </w:tcPr>
          <w:p w14:paraId="54CB19C4"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7.9</w:t>
            </w:r>
          </w:p>
        </w:tc>
        <w:tc>
          <w:tcPr>
            <w:tcW w:w="788" w:type="dxa"/>
            <w:tcBorders>
              <w:top w:val="nil"/>
            </w:tcBorders>
            <w:shd w:val="clear" w:color="auto" w:fill="auto"/>
            <w:vAlign w:val="center"/>
          </w:tcPr>
          <w:p w14:paraId="0EA84E6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7.8</w:t>
            </w:r>
          </w:p>
        </w:tc>
      </w:tr>
      <w:tr w:rsidR="006F7A03" w:rsidRPr="008331C7" w14:paraId="19487B62" w14:textId="77777777" w:rsidTr="00A90AAE">
        <w:trPr>
          <w:trHeight w:val="315"/>
        </w:trPr>
        <w:tc>
          <w:tcPr>
            <w:tcW w:w="3969" w:type="dxa"/>
            <w:tcBorders>
              <w:top w:val="nil"/>
              <w:bottom w:val="single" w:sz="4" w:space="0" w:color="auto"/>
            </w:tcBorders>
            <w:shd w:val="clear" w:color="auto" w:fill="FFFFFF"/>
            <w:vAlign w:val="center"/>
            <w:hideMark/>
          </w:tcPr>
          <w:p w14:paraId="322D03F7"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Ընդհանուր ծախսերում (%)</w:t>
            </w:r>
          </w:p>
        </w:tc>
        <w:tc>
          <w:tcPr>
            <w:tcW w:w="992" w:type="dxa"/>
            <w:tcBorders>
              <w:top w:val="nil"/>
              <w:bottom w:val="single" w:sz="4" w:space="0" w:color="auto"/>
            </w:tcBorders>
            <w:shd w:val="clear" w:color="auto" w:fill="auto"/>
            <w:vAlign w:val="center"/>
            <w:hideMark/>
          </w:tcPr>
          <w:p w14:paraId="03FDEAD5"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30.9</w:t>
            </w:r>
          </w:p>
        </w:tc>
        <w:tc>
          <w:tcPr>
            <w:tcW w:w="772" w:type="dxa"/>
            <w:tcBorders>
              <w:top w:val="nil"/>
              <w:bottom w:val="single" w:sz="4" w:space="0" w:color="auto"/>
            </w:tcBorders>
            <w:shd w:val="clear" w:color="auto" w:fill="auto"/>
            <w:vAlign w:val="center"/>
            <w:hideMark/>
          </w:tcPr>
          <w:p w14:paraId="3F26A78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27.4</w:t>
            </w:r>
          </w:p>
        </w:tc>
        <w:tc>
          <w:tcPr>
            <w:tcW w:w="786" w:type="dxa"/>
            <w:tcBorders>
              <w:top w:val="nil"/>
              <w:bottom w:val="single" w:sz="4" w:space="0" w:color="auto"/>
            </w:tcBorders>
            <w:shd w:val="clear" w:color="auto" w:fill="auto"/>
            <w:vAlign w:val="center"/>
          </w:tcPr>
          <w:p w14:paraId="48F597B8"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27.7</w:t>
            </w:r>
          </w:p>
        </w:tc>
        <w:tc>
          <w:tcPr>
            <w:tcW w:w="784" w:type="dxa"/>
            <w:tcBorders>
              <w:top w:val="nil"/>
              <w:bottom w:val="single" w:sz="4" w:space="0" w:color="auto"/>
            </w:tcBorders>
            <w:shd w:val="clear" w:color="auto" w:fill="auto"/>
            <w:vAlign w:val="center"/>
          </w:tcPr>
          <w:p w14:paraId="10CA5818"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24.8</w:t>
            </w:r>
          </w:p>
        </w:tc>
        <w:tc>
          <w:tcPr>
            <w:tcW w:w="779" w:type="dxa"/>
            <w:tcBorders>
              <w:top w:val="nil"/>
              <w:bottom w:val="single" w:sz="4" w:space="0" w:color="auto"/>
            </w:tcBorders>
            <w:shd w:val="clear" w:color="auto" w:fill="auto"/>
            <w:vAlign w:val="center"/>
          </w:tcPr>
          <w:p w14:paraId="3DA259E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26.0</w:t>
            </w:r>
          </w:p>
        </w:tc>
        <w:tc>
          <w:tcPr>
            <w:tcW w:w="850" w:type="dxa"/>
            <w:tcBorders>
              <w:top w:val="nil"/>
              <w:bottom w:val="single" w:sz="4" w:space="0" w:color="auto"/>
            </w:tcBorders>
            <w:shd w:val="clear" w:color="auto" w:fill="auto"/>
            <w:vAlign w:val="center"/>
          </w:tcPr>
          <w:p w14:paraId="18609E5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25.6</w:t>
            </w:r>
          </w:p>
        </w:tc>
        <w:tc>
          <w:tcPr>
            <w:tcW w:w="788" w:type="dxa"/>
            <w:tcBorders>
              <w:top w:val="nil"/>
              <w:bottom w:val="single" w:sz="4" w:space="0" w:color="auto"/>
            </w:tcBorders>
            <w:shd w:val="clear" w:color="auto" w:fill="auto"/>
            <w:vAlign w:val="center"/>
          </w:tcPr>
          <w:p w14:paraId="4DA6F66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25.9</w:t>
            </w:r>
          </w:p>
        </w:tc>
      </w:tr>
      <w:tr w:rsidR="006F7A03" w:rsidRPr="008331C7" w14:paraId="706D45A8" w14:textId="77777777" w:rsidTr="00A90AAE">
        <w:trPr>
          <w:trHeight w:val="315"/>
        </w:trPr>
        <w:tc>
          <w:tcPr>
            <w:tcW w:w="3969" w:type="dxa"/>
            <w:tcBorders>
              <w:top w:val="single" w:sz="4" w:space="0" w:color="auto"/>
            </w:tcBorders>
            <w:shd w:val="clear" w:color="auto" w:fill="FFFFFF"/>
            <w:vAlign w:val="center"/>
            <w:hideMark/>
          </w:tcPr>
          <w:p w14:paraId="0CB21288" w14:textId="77777777" w:rsidR="006F7A03" w:rsidRPr="008331C7" w:rsidRDefault="006F7A03" w:rsidP="00A90AAE">
            <w:pPr>
              <w:tabs>
                <w:tab w:val="left" w:pos="0"/>
              </w:tabs>
              <w:spacing w:before="120" w:after="0" w:line="240" w:lineRule="auto"/>
              <w:ind w:firstLine="0"/>
              <w:rPr>
                <w:rFonts w:cs="Calibri"/>
                <w:bCs/>
                <w:color w:val="000000"/>
                <w:sz w:val="16"/>
                <w:szCs w:val="18"/>
              </w:rPr>
            </w:pPr>
            <w:r w:rsidRPr="008331C7">
              <w:rPr>
                <w:rFonts w:cs="Calibri"/>
                <w:bCs/>
                <w:color w:val="000000"/>
                <w:sz w:val="16"/>
                <w:szCs w:val="18"/>
              </w:rPr>
              <w:t>3. Առողջապահություն</w:t>
            </w:r>
          </w:p>
        </w:tc>
        <w:tc>
          <w:tcPr>
            <w:tcW w:w="992" w:type="dxa"/>
            <w:tcBorders>
              <w:top w:val="single" w:sz="4" w:space="0" w:color="auto"/>
            </w:tcBorders>
            <w:shd w:val="clear" w:color="auto" w:fill="auto"/>
            <w:vAlign w:val="center"/>
            <w:hideMark/>
          </w:tcPr>
          <w:p w14:paraId="267D9A2A"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160.5</w:t>
            </w:r>
          </w:p>
        </w:tc>
        <w:tc>
          <w:tcPr>
            <w:tcW w:w="772" w:type="dxa"/>
            <w:tcBorders>
              <w:top w:val="single" w:sz="4" w:space="0" w:color="auto"/>
            </w:tcBorders>
            <w:shd w:val="clear" w:color="auto" w:fill="auto"/>
            <w:vAlign w:val="center"/>
            <w:hideMark/>
          </w:tcPr>
          <w:p w14:paraId="3B8FFDEC"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142.2</w:t>
            </w:r>
          </w:p>
        </w:tc>
        <w:tc>
          <w:tcPr>
            <w:tcW w:w="786" w:type="dxa"/>
            <w:tcBorders>
              <w:top w:val="single" w:sz="4" w:space="0" w:color="auto"/>
            </w:tcBorders>
            <w:shd w:val="clear" w:color="auto" w:fill="auto"/>
            <w:vAlign w:val="center"/>
          </w:tcPr>
          <w:p w14:paraId="1E0D1736"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141.3</w:t>
            </w:r>
          </w:p>
        </w:tc>
        <w:tc>
          <w:tcPr>
            <w:tcW w:w="784" w:type="dxa"/>
            <w:tcBorders>
              <w:top w:val="single" w:sz="4" w:space="0" w:color="auto"/>
            </w:tcBorders>
            <w:shd w:val="clear" w:color="auto" w:fill="auto"/>
            <w:vAlign w:val="center"/>
          </w:tcPr>
          <w:p w14:paraId="7740293D"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169.9</w:t>
            </w:r>
          </w:p>
        </w:tc>
        <w:tc>
          <w:tcPr>
            <w:tcW w:w="779" w:type="dxa"/>
            <w:tcBorders>
              <w:top w:val="single" w:sz="4" w:space="0" w:color="auto"/>
            </w:tcBorders>
            <w:shd w:val="clear" w:color="auto" w:fill="auto"/>
            <w:vAlign w:val="center"/>
          </w:tcPr>
          <w:p w14:paraId="737AF2F5"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220.1</w:t>
            </w:r>
          </w:p>
        </w:tc>
        <w:tc>
          <w:tcPr>
            <w:tcW w:w="850" w:type="dxa"/>
            <w:tcBorders>
              <w:top w:val="single" w:sz="4" w:space="0" w:color="auto"/>
            </w:tcBorders>
            <w:shd w:val="clear" w:color="auto" w:fill="auto"/>
            <w:vAlign w:val="center"/>
          </w:tcPr>
          <w:p w14:paraId="4EC78D20" w14:textId="77777777" w:rsidR="006F7A03" w:rsidRPr="008331C7" w:rsidRDefault="006F7A03" w:rsidP="00A90AAE">
            <w:pPr>
              <w:tabs>
                <w:tab w:val="left" w:pos="0"/>
              </w:tabs>
              <w:spacing w:before="120" w:after="0" w:line="240" w:lineRule="auto"/>
              <w:ind w:firstLine="0"/>
              <w:rPr>
                <w:rFonts w:cs="Calibri"/>
                <w:bCs/>
                <w:color w:val="000000"/>
                <w:sz w:val="16"/>
                <w:szCs w:val="18"/>
              </w:rPr>
            </w:pPr>
            <w:r w:rsidRPr="008331C7">
              <w:rPr>
                <w:rFonts w:cs="Calibri"/>
                <w:bCs/>
                <w:color w:val="000000"/>
                <w:sz w:val="16"/>
                <w:szCs w:val="18"/>
              </w:rPr>
              <w:t xml:space="preserve"> 285.5</w:t>
            </w:r>
          </w:p>
        </w:tc>
        <w:tc>
          <w:tcPr>
            <w:tcW w:w="788" w:type="dxa"/>
            <w:tcBorders>
              <w:top w:val="single" w:sz="4" w:space="0" w:color="auto"/>
            </w:tcBorders>
            <w:shd w:val="clear" w:color="auto" w:fill="auto"/>
            <w:vAlign w:val="center"/>
          </w:tcPr>
          <w:p w14:paraId="587DE2A9"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296.3</w:t>
            </w:r>
          </w:p>
        </w:tc>
      </w:tr>
      <w:tr w:rsidR="006F7A03" w:rsidRPr="008331C7" w14:paraId="16A80DCE" w14:textId="77777777" w:rsidTr="00A90AAE">
        <w:trPr>
          <w:trHeight w:val="315"/>
        </w:trPr>
        <w:tc>
          <w:tcPr>
            <w:tcW w:w="3969" w:type="dxa"/>
            <w:tcBorders>
              <w:top w:val="nil"/>
            </w:tcBorders>
            <w:shd w:val="clear" w:color="auto" w:fill="FFFFFF"/>
            <w:vAlign w:val="center"/>
            <w:hideMark/>
          </w:tcPr>
          <w:p w14:paraId="2B163D30"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ՀՆԱ-ի նկատմամբ (%)</w:t>
            </w:r>
          </w:p>
        </w:tc>
        <w:tc>
          <w:tcPr>
            <w:tcW w:w="992" w:type="dxa"/>
            <w:tcBorders>
              <w:top w:val="nil"/>
            </w:tcBorders>
            <w:shd w:val="clear" w:color="auto" w:fill="auto"/>
            <w:vAlign w:val="center"/>
            <w:hideMark/>
          </w:tcPr>
          <w:p w14:paraId="0F36175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2.3</w:t>
            </w:r>
          </w:p>
        </w:tc>
        <w:tc>
          <w:tcPr>
            <w:tcW w:w="772" w:type="dxa"/>
            <w:tcBorders>
              <w:top w:val="nil"/>
            </w:tcBorders>
            <w:shd w:val="clear" w:color="auto" w:fill="auto"/>
            <w:vAlign w:val="center"/>
            <w:hideMark/>
          </w:tcPr>
          <w:p w14:paraId="292ACB63"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1.9</w:t>
            </w:r>
          </w:p>
        </w:tc>
        <w:tc>
          <w:tcPr>
            <w:tcW w:w="786" w:type="dxa"/>
            <w:tcBorders>
              <w:top w:val="nil"/>
            </w:tcBorders>
            <w:shd w:val="clear" w:color="auto" w:fill="auto"/>
            <w:vAlign w:val="center"/>
          </w:tcPr>
          <w:p w14:paraId="69C959D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1.5</w:t>
            </w:r>
          </w:p>
        </w:tc>
        <w:tc>
          <w:tcPr>
            <w:tcW w:w="784" w:type="dxa"/>
            <w:tcBorders>
              <w:top w:val="nil"/>
            </w:tcBorders>
            <w:shd w:val="clear" w:color="auto" w:fill="auto"/>
            <w:vAlign w:val="center"/>
          </w:tcPr>
          <w:p w14:paraId="6C87CAB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1.6</w:t>
            </w:r>
          </w:p>
        </w:tc>
        <w:tc>
          <w:tcPr>
            <w:tcW w:w="779" w:type="dxa"/>
            <w:tcBorders>
              <w:top w:val="nil"/>
            </w:tcBorders>
            <w:shd w:val="clear" w:color="auto" w:fill="auto"/>
            <w:vAlign w:val="center"/>
          </w:tcPr>
          <w:p w14:paraId="3078D13B"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2.0</w:t>
            </w:r>
          </w:p>
        </w:tc>
        <w:tc>
          <w:tcPr>
            <w:tcW w:w="850" w:type="dxa"/>
            <w:tcBorders>
              <w:top w:val="nil"/>
            </w:tcBorders>
            <w:shd w:val="clear" w:color="auto" w:fill="auto"/>
            <w:vAlign w:val="center"/>
          </w:tcPr>
          <w:p w14:paraId="25FF9CE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2.3</w:t>
            </w:r>
          </w:p>
        </w:tc>
        <w:tc>
          <w:tcPr>
            <w:tcW w:w="788" w:type="dxa"/>
            <w:tcBorders>
              <w:top w:val="nil"/>
            </w:tcBorders>
            <w:shd w:val="clear" w:color="auto" w:fill="auto"/>
            <w:vAlign w:val="center"/>
          </w:tcPr>
          <w:p w14:paraId="5A33F76E"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2.2</w:t>
            </w:r>
          </w:p>
        </w:tc>
      </w:tr>
      <w:tr w:rsidR="006F7A03" w:rsidRPr="008331C7" w14:paraId="77C39522" w14:textId="77777777" w:rsidTr="00A90AAE">
        <w:trPr>
          <w:trHeight w:val="315"/>
        </w:trPr>
        <w:tc>
          <w:tcPr>
            <w:tcW w:w="3969" w:type="dxa"/>
            <w:tcBorders>
              <w:top w:val="nil"/>
              <w:bottom w:val="single" w:sz="4" w:space="0" w:color="auto"/>
            </w:tcBorders>
            <w:shd w:val="clear" w:color="auto" w:fill="FFFFFF"/>
            <w:vAlign w:val="center"/>
            <w:hideMark/>
          </w:tcPr>
          <w:p w14:paraId="48265F51"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Ընդհանուր ծախսերում (%)</w:t>
            </w:r>
          </w:p>
        </w:tc>
        <w:tc>
          <w:tcPr>
            <w:tcW w:w="992" w:type="dxa"/>
            <w:tcBorders>
              <w:top w:val="nil"/>
              <w:bottom w:val="single" w:sz="4" w:space="0" w:color="auto"/>
            </w:tcBorders>
            <w:shd w:val="clear" w:color="auto" w:fill="auto"/>
            <w:vAlign w:val="center"/>
            <w:hideMark/>
          </w:tcPr>
          <w:p w14:paraId="03238B35"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8.0</w:t>
            </w:r>
          </w:p>
        </w:tc>
        <w:tc>
          <w:tcPr>
            <w:tcW w:w="772" w:type="dxa"/>
            <w:tcBorders>
              <w:top w:val="nil"/>
              <w:bottom w:val="single" w:sz="4" w:space="0" w:color="auto"/>
            </w:tcBorders>
            <w:shd w:val="clear" w:color="auto" w:fill="auto"/>
            <w:vAlign w:val="center"/>
            <w:hideMark/>
          </w:tcPr>
          <w:p w14:paraId="05A02F7F"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7.1</w:t>
            </w:r>
          </w:p>
        </w:tc>
        <w:tc>
          <w:tcPr>
            <w:tcW w:w="786" w:type="dxa"/>
            <w:tcBorders>
              <w:top w:val="nil"/>
              <w:bottom w:val="single" w:sz="4" w:space="0" w:color="auto"/>
            </w:tcBorders>
            <w:shd w:val="clear" w:color="auto" w:fill="auto"/>
            <w:vAlign w:val="center"/>
          </w:tcPr>
          <w:p w14:paraId="6D4ADA4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5.5</w:t>
            </w:r>
          </w:p>
        </w:tc>
        <w:tc>
          <w:tcPr>
            <w:tcW w:w="784" w:type="dxa"/>
            <w:tcBorders>
              <w:top w:val="nil"/>
              <w:bottom w:val="single" w:sz="4" w:space="0" w:color="auto"/>
            </w:tcBorders>
            <w:shd w:val="clear" w:color="auto" w:fill="auto"/>
            <w:vAlign w:val="center"/>
          </w:tcPr>
          <w:p w14:paraId="6BA5B186"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5.3</w:t>
            </w:r>
          </w:p>
        </w:tc>
        <w:tc>
          <w:tcPr>
            <w:tcW w:w="779" w:type="dxa"/>
            <w:tcBorders>
              <w:top w:val="nil"/>
              <w:bottom w:val="single" w:sz="4" w:space="0" w:color="auto"/>
            </w:tcBorders>
            <w:shd w:val="clear" w:color="auto" w:fill="auto"/>
            <w:vAlign w:val="center"/>
          </w:tcPr>
          <w:p w14:paraId="4E98527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6.3</w:t>
            </w:r>
          </w:p>
        </w:tc>
        <w:tc>
          <w:tcPr>
            <w:tcW w:w="850" w:type="dxa"/>
            <w:tcBorders>
              <w:top w:val="nil"/>
              <w:bottom w:val="single" w:sz="4" w:space="0" w:color="auto"/>
            </w:tcBorders>
            <w:shd w:val="clear" w:color="auto" w:fill="auto"/>
            <w:vAlign w:val="center"/>
          </w:tcPr>
          <w:p w14:paraId="449FC77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7.5</w:t>
            </w:r>
          </w:p>
        </w:tc>
        <w:tc>
          <w:tcPr>
            <w:tcW w:w="788" w:type="dxa"/>
            <w:tcBorders>
              <w:top w:val="nil"/>
              <w:bottom w:val="single" w:sz="4" w:space="0" w:color="auto"/>
            </w:tcBorders>
            <w:shd w:val="clear" w:color="auto" w:fill="auto"/>
            <w:vAlign w:val="center"/>
          </w:tcPr>
          <w:p w14:paraId="40B4EBB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7.2</w:t>
            </w:r>
          </w:p>
        </w:tc>
      </w:tr>
      <w:tr w:rsidR="006F7A03" w:rsidRPr="008331C7" w14:paraId="017F90E0" w14:textId="77777777" w:rsidTr="00A90AAE">
        <w:trPr>
          <w:trHeight w:val="315"/>
        </w:trPr>
        <w:tc>
          <w:tcPr>
            <w:tcW w:w="3969" w:type="dxa"/>
            <w:tcBorders>
              <w:top w:val="single" w:sz="4" w:space="0" w:color="auto"/>
            </w:tcBorders>
            <w:shd w:val="clear" w:color="auto" w:fill="FFFFFF"/>
            <w:vAlign w:val="center"/>
            <w:hideMark/>
          </w:tcPr>
          <w:p w14:paraId="253D2866" w14:textId="77777777" w:rsidR="006F7A03" w:rsidRPr="008331C7" w:rsidRDefault="006F7A03" w:rsidP="00A90AAE">
            <w:pPr>
              <w:tabs>
                <w:tab w:val="left" w:pos="0"/>
              </w:tabs>
              <w:spacing w:before="120" w:after="0" w:line="240" w:lineRule="auto"/>
              <w:ind w:firstLine="0"/>
              <w:rPr>
                <w:rFonts w:cs="Calibri"/>
                <w:bCs/>
                <w:color w:val="000000"/>
                <w:sz w:val="16"/>
                <w:szCs w:val="18"/>
              </w:rPr>
            </w:pPr>
            <w:r w:rsidRPr="008331C7">
              <w:rPr>
                <w:rFonts w:cs="Calibri"/>
                <w:bCs/>
                <w:color w:val="000000"/>
                <w:sz w:val="16"/>
                <w:szCs w:val="18"/>
              </w:rPr>
              <w:t>4. Հանգիստ, մշակույթ և կրոն</w:t>
            </w:r>
          </w:p>
        </w:tc>
        <w:tc>
          <w:tcPr>
            <w:tcW w:w="992" w:type="dxa"/>
            <w:tcBorders>
              <w:top w:val="single" w:sz="4" w:space="0" w:color="auto"/>
            </w:tcBorders>
            <w:shd w:val="clear" w:color="auto" w:fill="auto"/>
            <w:vAlign w:val="center"/>
            <w:hideMark/>
          </w:tcPr>
          <w:p w14:paraId="36438C06"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lang w:val="hy-AM"/>
              </w:rPr>
              <w:t>30.4</w:t>
            </w:r>
          </w:p>
        </w:tc>
        <w:tc>
          <w:tcPr>
            <w:tcW w:w="772" w:type="dxa"/>
            <w:tcBorders>
              <w:top w:val="single" w:sz="4" w:space="0" w:color="auto"/>
            </w:tcBorders>
            <w:shd w:val="clear" w:color="auto" w:fill="auto"/>
            <w:vAlign w:val="center"/>
            <w:hideMark/>
          </w:tcPr>
          <w:p w14:paraId="585F9A25"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lang w:val="hy-AM"/>
              </w:rPr>
              <w:t>43.9</w:t>
            </w:r>
          </w:p>
        </w:tc>
        <w:tc>
          <w:tcPr>
            <w:tcW w:w="786" w:type="dxa"/>
            <w:tcBorders>
              <w:top w:val="single" w:sz="4" w:space="0" w:color="auto"/>
            </w:tcBorders>
            <w:shd w:val="clear" w:color="auto" w:fill="auto"/>
            <w:vAlign w:val="center"/>
          </w:tcPr>
          <w:p w14:paraId="66A960B8"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43.3</w:t>
            </w:r>
          </w:p>
        </w:tc>
        <w:tc>
          <w:tcPr>
            <w:tcW w:w="784" w:type="dxa"/>
            <w:tcBorders>
              <w:top w:val="single" w:sz="4" w:space="0" w:color="auto"/>
            </w:tcBorders>
            <w:shd w:val="clear" w:color="auto" w:fill="auto"/>
            <w:vAlign w:val="center"/>
          </w:tcPr>
          <w:p w14:paraId="0AF06689"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41.2</w:t>
            </w:r>
          </w:p>
        </w:tc>
        <w:tc>
          <w:tcPr>
            <w:tcW w:w="779" w:type="dxa"/>
            <w:tcBorders>
              <w:top w:val="single" w:sz="4" w:space="0" w:color="auto"/>
            </w:tcBorders>
            <w:shd w:val="clear" w:color="auto" w:fill="auto"/>
            <w:vAlign w:val="center"/>
          </w:tcPr>
          <w:p w14:paraId="439A5AA1"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44.4</w:t>
            </w:r>
          </w:p>
        </w:tc>
        <w:tc>
          <w:tcPr>
            <w:tcW w:w="850" w:type="dxa"/>
            <w:tcBorders>
              <w:top w:val="single" w:sz="4" w:space="0" w:color="auto"/>
            </w:tcBorders>
            <w:shd w:val="clear" w:color="auto" w:fill="auto"/>
            <w:vAlign w:val="center"/>
          </w:tcPr>
          <w:p w14:paraId="1393A98F"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38.7</w:t>
            </w:r>
          </w:p>
        </w:tc>
        <w:tc>
          <w:tcPr>
            <w:tcW w:w="788" w:type="dxa"/>
            <w:tcBorders>
              <w:top w:val="single" w:sz="4" w:space="0" w:color="auto"/>
            </w:tcBorders>
            <w:shd w:val="clear" w:color="auto" w:fill="auto"/>
            <w:vAlign w:val="center"/>
          </w:tcPr>
          <w:p w14:paraId="22DC88FA" w14:textId="77777777" w:rsidR="006F7A03" w:rsidRPr="008331C7" w:rsidRDefault="006F7A03" w:rsidP="00A90AAE">
            <w:pPr>
              <w:tabs>
                <w:tab w:val="left" w:pos="0"/>
              </w:tabs>
              <w:spacing w:before="120" w:after="0" w:line="240" w:lineRule="auto"/>
              <w:ind w:firstLine="0"/>
              <w:jc w:val="center"/>
              <w:rPr>
                <w:rFonts w:cs="Calibri"/>
                <w:bCs/>
                <w:color w:val="000000"/>
                <w:sz w:val="16"/>
                <w:szCs w:val="18"/>
              </w:rPr>
            </w:pPr>
            <w:r w:rsidRPr="008331C7">
              <w:rPr>
                <w:rFonts w:cs="Calibri"/>
                <w:bCs/>
                <w:color w:val="000000"/>
                <w:sz w:val="16"/>
                <w:szCs w:val="18"/>
              </w:rPr>
              <w:t>57.1</w:t>
            </w:r>
          </w:p>
        </w:tc>
      </w:tr>
      <w:tr w:rsidR="006F7A03" w:rsidRPr="008331C7" w14:paraId="3D7B5A26" w14:textId="77777777" w:rsidTr="00A90AAE">
        <w:trPr>
          <w:trHeight w:val="315"/>
        </w:trPr>
        <w:tc>
          <w:tcPr>
            <w:tcW w:w="3969" w:type="dxa"/>
            <w:tcBorders>
              <w:top w:val="nil"/>
            </w:tcBorders>
            <w:shd w:val="clear" w:color="auto" w:fill="FFFFFF"/>
            <w:vAlign w:val="center"/>
            <w:hideMark/>
          </w:tcPr>
          <w:p w14:paraId="15E5A1BE"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ՀՆԱ-ի նկատմամբ (%)</w:t>
            </w:r>
          </w:p>
        </w:tc>
        <w:tc>
          <w:tcPr>
            <w:tcW w:w="992" w:type="dxa"/>
            <w:tcBorders>
              <w:top w:val="nil"/>
            </w:tcBorders>
            <w:shd w:val="clear" w:color="auto" w:fill="auto"/>
            <w:vAlign w:val="center"/>
            <w:hideMark/>
          </w:tcPr>
          <w:p w14:paraId="257AAAA0"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0.4</w:t>
            </w:r>
          </w:p>
        </w:tc>
        <w:tc>
          <w:tcPr>
            <w:tcW w:w="772" w:type="dxa"/>
            <w:tcBorders>
              <w:top w:val="nil"/>
            </w:tcBorders>
            <w:shd w:val="clear" w:color="auto" w:fill="auto"/>
            <w:vAlign w:val="center"/>
            <w:hideMark/>
          </w:tcPr>
          <w:p w14:paraId="6DF08EBB"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0.5</w:t>
            </w:r>
          </w:p>
        </w:tc>
        <w:tc>
          <w:tcPr>
            <w:tcW w:w="786" w:type="dxa"/>
            <w:tcBorders>
              <w:top w:val="nil"/>
            </w:tcBorders>
            <w:shd w:val="clear" w:color="auto" w:fill="auto"/>
            <w:vAlign w:val="center"/>
          </w:tcPr>
          <w:p w14:paraId="40A092E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0.5</w:t>
            </w:r>
          </w:p>
        </w:tc>
        <w:tc>
          <w:tcPr>
            <w:tcW w:w="784" w:type="dxa"/>
            <w:tcBorders>
              <w:top w:val="nil"/>
            </w:tcBorders>
            <w:shd w:val="clear" w:color="auto" w:fill="auto"/>
            <w:vAlign w:val="center"/>
          </w:tcPr>
          <w:p w14:paraId="6B2FBC65"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0.4</w:t>
            </w:r>
          </w:p>
        </w:tc>
        <w:tc>
          <w:tcPr>
            <w:tcW w:w="779" w:type="dxa"/>
            <w:tcBorders>
              <w:top w:val="nil"/>
            </w:tcBorders>
            <w:shd w:val="clear" w:color="auto" w:fill="auto"/>
            <w:vAlign w:val="center"/>
          </w:tcPr>
          <w:p w14:paraId="215B55CC"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0.4</w:t>
            </w:r>
          </w:p>
        </w:tc>
        <w:tc>
          <w:tcPr>
            <w:tcW w:w="850" w:type="dxa"/>
            <w:tcBorders>
              <w:top w:val="nil"/>
            </w:tcBorders>
            <w:shd w:val="clear" w:color="auto" w:fill="auto"/>
            <w:vAlign w:val="center"/>
          </w:tcPr>
          <w:p w14:paraId="47F72430"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0.3</w:t>
            </w:r>
          </w:p>
        </w:tc>
        <w:tc>
          <w:tcPr>
            <w:tcW w:w="788" w:type="dxa"/>
            <w:tcBorders>
              <w:top w:val="nil"/>
            </w:tcBorders>
            <w:shd w:val="clear" w:color="auto" w:fill="auto"/>
            <w:vAlign w:val="center"/>
          </w:tcPr>
          <w:p w14:paraId="6F341E4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0.4</w:t>
            </w:r>
          </w:p>
        </w:tc>
      </w:tr>
      <w:tr w:rsidR="006F7A03" w:rsidRPr="008331C7" w14:paraId="609DE4AD" w14:textId="77777777" w:rsidTr="00A90AAE">
        <w:trPr>
          <w:trHeight w:val="315"/>
        </w:trPr>
        <w:tc>
          <w:tcPr>
            <w:tcW w:w="3969" w:type="dxa"/>
            <w:tcBorders>
              <w:top w:val="nil"/>
              <w:bottom w:val="single" w:sz="4" w:space="0" w:color="auto"/>
            </w:tcBorders>
            <w:shd w:val="clear" w:color="auto" w:fill="FFFFFF"/>
            <w:vAlign w:val="center"/>
            <w:hideMark/>
          </w:tcPr>
          <w:p w14:paraId="403E261E" w14:textId="77777777" w:rsidR="006F7A03" w:rsidRPr="008331C7" w:rsidRDefault="006F7A03" w:rsidP="00A90AAE">
            <w:pPr>
              <w:tabs>
                <w:tab w:val="left" w:pos="0"/>
              </w:tabs>
              <w:spacing w:before="120" w:after="0" w:line="240" w:lineRule="auto"/>
              <w:ind w:left="227" w:firstLine="0"/>
              <w:rPr>
                <w:rFonts w:cs="Calibri"/>
                <w:bCs/>
                <w:color w:val="000000"/>
                <w:sz w:val="16"/>
                <w:szCs w:val="18"/>
              </w:rPr>
            </w:pPr>
            <w:r w:rsidRPr="008331C7">
              <w:rPr>
                <w:rFonts w:cs="Calibri"/>
                <w:color w:val="000000"/>
                <w:sz w:val="16"/>
                <w:szCs w:val="18"/>
              </w:rPr>
              <w:t>Ընդհանուր ծախսերում (%)</w:t>
            </w:r>
          </w:p>
        </w:tc>
        <w:tc>
          <w:tcPr>
            <w:tcW w:w="992" w:type="dxa"/>
            <w:tcBorders>
              <w:top w:val="nil"/>
              <w:bottom w:val="single" w:sz="4" w:space="0" w:color="auto"/>
            </w:tcBorders>
            <w:shd w:val="clear" w:color="auto" w:fill="auto"/>
            <w:vAlign w:val="center"/>
            <w:hideMark/>
          </w:tcPr>
          <w:p w14:paraId="2B491D39"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1.5</w:t>
            </w:r>
          </w:p>
        </w:tc>
        <w:tc>
          <w:tcPr>
            <w:tcW w:w="772" w:type="dxa"/>
            <w:tcBorders>
              <w:top w:val="nil"/>
              <w:bottom w:val="single" w:sz="4" w:space="0" w:color="auto"/>
            </w:tcBorders>
            <w:shd w:val="clear" w:color="auto" w:fill="auto"/>
            <w:vAlign w:val="center"/>
            <w:hideMark/>
          </w:tcPr>
          <w:p w14:paraId="2EF2E2C2"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1.9</w:t>
            </w:r>
          </w:p>
        </w:tc>
        <w:tc>
          <w:tcPr>
            <w:tcW w:w="786" w:type="dxa"/>
            <w:tcBorders>
              <w:top w:val="nil"/>
              <w:bottom w:val="single" w:sz="4" w:space="0" w:color="auto"/>
            </w:tcBorders>
            <w:shd w:val="clear" w:color="auto" w:fill="auto"/>
            <w:vAlign w:val="center"/>
          </w:tcPr>
          <w:p w14:paraId="36F1F828"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1.7</w:t>
            </w:r>
          </w:p>
        </w:tc>
        <w:tc>
          <w:tcPr>
            <w:tcW w:w="784" w:type="dxa"/>
            <w:tcBorders>
              <w:top w:val="nil"/>
              <w:bottom w:val="single" w:sz="4" w:space="0" w:color="auto"/>
            </w:tcBorders>
            <w:shd w:val="clear" w:color="auto" w:fill="auto"/>
            <w:vAlign w:val="center"/>
          </w:tcPr>
          <w:p w14:paraId="7BC9DB89"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1.3</w:t>
            </w:r>
          </w:p>
        </w:tc>
        <w:tc>
          <w:tcPr>
            <w:tcW w:w="779" w:type="dxa"/>
            <w:tcBorders>
              <w:top w:val="nil"/>
              <w:bottom w:val="single" w:sz="4" w:space="0" w:color="auto"/>
            </w:tcBorders>
            <w:shd w:val="clear" w:color="auto" w:fill="auto"/>
            <w:vAlign w:val="center"/>
          </w:tcPr>
          <w:p w14:paraId="09F82224"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1.3</w:t>
            </w:r>
          </w:p>
        </w:tc>
        <w:tc>
          <w:tcPr>
            <w:tcW w:w="850" w:type="dxa"/>
            <w:tcBorders>
              <w:top w:val="nil"/>
              <w:bottom w:val="single" w:sz="4" w:space="0" w:color="auto"/>
            </w:tcBorders>
            <w:shd w:val="clear" w:color="auto" w:fill="auto"/>
            <w:vAlign w:val="center"/>
          </w:tcPr>
          <w:p w14:paraId="0F426CDD"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1.0</w:t>
            </w:r>
          </w:p>
        </w:tc>
        <w:tc>
          <w:tcPr>
            <w:tcW w:w="788" w:type="dxa"/>
            <w:tcBorders>
              <w:top w:val="nil"/>
              <w:bottom w:val="single" w:sz="4" w:space="0" w:color="auto"/>
            </w:tcBorders>
            <w:shd w:val="clear" w:color="auto" w:fill="auto"/>
            <w:vAlign w:val="center"/>
          </w:tcPr>
          <w:p w14:paraId="02570D17" w14:textId="77777777" w:rsidR="006F7A03" w:rsidRPr="008331C7" w:rsidRDefault="006F7A03" w:rsidP="00A90AAE">
            <w:pPr>
              <w:tabs>
                <w:tab w:val="left" w:pos="0"/>
              </w:tabs>
              <w:spacing w:before="120" w:after="0" w:line="240" w:lineRule="auto"/>
              <w:ind w:firstLine="0"/>
              <w:jc w:val="center"/>
              <w:rPr>
                <w:rFonts w:cs="Calibri"/>
                <w:color w:val="000000"/>
                <w:sz w:val="16"/>
                <w:szCs w:val="18"/>
              </w:rPr>
            </w:pPr>
            <w:r w:rsidRPr="008331C7">
              <w:rPr>
                <w:rFonts w:cs="Calibri"/>
                <w:color w:val="000000"/>
                <w:sz w:val="16"/>
                <w:szCs w:val="18"/>
              </w:rPr>
              <w:t>1.4</w:t>
            </w:r>
          </w:p>
        </w:tc>
      </w:tr>
    </w:tbl>
    <w:p w14:paraId="245A98F8" w14:textId="77777777" w:rsidR="006F7A03" w:rsidRPr="008331C7" w:rsidRDefault="006F7A03" w:rsidP="006F7A03">
      <w:pPr>
        <w:tabs>
          <w:tab w:val="left" w:pos="0"/>
        </w:tabs>
        <w:spacing w:before="120" w:after="0" w:line="276" w:lineRule="auto"/>
        <w:ind w:firstLine="0"/>
        <w:rPr>
          <w:rFonts w:ascii="Cambria Math" w:hAnsi="Cambria Math"/>
          <w:lang w:val="ru-RU"/>
        </w:rPr>
      </w:pPr>
    </w:p>
    <w:p w14:paraId="42AB1D96" w14:textId="77777777" w:rsidR="006F7A03" w:rsidRPr="005E23A9" w:rsidRDefault="006F7A03" w:rsidP="006F7A03">
      <w:pPr>
        <w:tabs>
          <w:tab w:val="left" w:pos="0"/>
        </w:tabs>
        <w:spacing w:before="120" w:after="0" w:line="276" w:lineRule="auto"/>
        <w:ind w:firstLine="0"/>
        <w:rPr>
          <w:lang w:val="hy-AM"/>
        </w:rPr>
      </w:pPr>
      <w:r w:rsidRPr="005E23A9">
        <w:rPr>
          <w:lang w:val="hy-AM"/>
        </w:rPr>
        <w:lastRenderedPageBreak/>
        <w:t xml:space="preserve">Միջնաժամկետ կտրվածքում կրթության ոլորտին հատկացվող միջոցները նախատեսվում է ուղղել կրթության առանձին տեսակների՝ նախադպրոցական, միջնակարգ, նախնական, միջին մասնագիտական, բարձրագույն, հետբուհական </w:t>
      </w:r>
      <w:r w:rsidRPr="007830E5">
        <w:rPr>
          <w:lang w:val="hy-AM"/>
        </w:rPr>
        <w:t xml:space="preserve">կրթությանը տրամադրվող </w:t>
      </w:r>
      <w:r>
        <w:rPr>
          <w:lang w:val="hy-AM"/>
        </w:rPr>
        <w:t>ծախսերի</w:t>
      </w:r>
      <w:r w:rsidRPr="007830E5">
        <w:rPr>
          <w:lang w:val="hy-AM"/>
        </w:rPr>
        <w:t xml:space="preserve"> ֆինանսավորմանը։</w:t>
      </w:r>
    </w:p>
    <w:p w14:paraId="399AE5E0" w14:textId="77777777" w:rsidR="006F7A03" w:rsidRPr="00B70F5E" w:rsidRDefault="006F7A03" w:rsidP="006F7A03">
      <w:pPr>
        <w:tabs>
          <w:tab w:val="left" w:pos="0"/>
        </w:tabs>
        <w:spacing w:before="120" w:after="0" w:line="276" w:lineRule="auto"/>
        <w:ind w:firstLine="0"/>
        <w:rPr>
          <w:lang w:val="hy-AM"/>
        </w:rPr>
      </w:pPr>
      <w:r w:rsidRPr="005E23A9">
        <w:rPr>
          <w:lang w:val="hy-AM"/>
        </w:rPr>
        <w:t>Առողջապահության ոլորտի ֆինանսավորման համար նախատեսվել է 202</w:t>
      </w:r>
      <w:r>
        <w:rPr>
          <w:lang w:val="hy-AM"/>
        </w:rPr>
        <w:t>5</w:t>
      </w:r>
      <w:r w:rsidRPr="005E23A9">
        <w:rPr>
          <w:lang w:val="hy-AM"/>
        </w:rPr>
        <w:t>-202</w:t>
      </w:r>
      <w:r>
        <w:rPr>
          <w:lang w:val="hy-AM"/>
        </w:rPr>
        <w:t>7</w:t>
      </w:r>
      <w:r w:rsidRPr="005E23A9">
        <w:rPr>
          <w:lang w:val="hy-AM"/>
        </w:rPr>
        <w:t xml:space="preserve">թթ համապատասխանաբար՝ </w:t>
      </w:r>
      <w:r w:rsidRPr="008D25E6">
        <w:rPr>
          <w:lang w:val="hy-AM"/>
        </w:rPr>
        <w:t>220.1, 285.5 և 296.3 մլրդ.</w:t>
      </w:r>
      <w:r w:rsidRPr="005E23A9">
        <w:rPr>
          <w:lang w:val="hy-AM"/>
        </w:rPr>
        <w:t xml:space="preserve"> դրամ։ Հաշվի առնելով առողջապահության համակարգի համաշխարհային արդի մարտահրավերները՝ միջնաժամկետ հատվածում ոլորտի </w:t>
      </w:r>
      <w:r w:rsidRPr="0049686C">
        <w:rPr>
          <w:lang w:val="hy-AM"/>
        </w:rPr>
        <w:t xml:space="preserve">լրացուցիչ ծախսերն ուղղվելու են </w:t>
      </w:r>
      <w:r>
        <w:rPr>
          <w:lang w:val="hy-AM"/>
        </w:rPr>
        <w:t xml:space="preserve">հիմնականում առողջության համապարփակ ապահովագրության համակարգի </w:t>
      </w:r>
      <w:r w:rsidRPr="007830E5">
        <w:rPr>
          <w:lang w:val="hy-AM"/>
        </w:rPr>
        <w:t xml:space="preserve">ներդրմանը՝ </w:t>
      </w:r>
      <w:r w:rsidRPr="003C1BB4">
        <w:rPr>
          <w:lang w:val="hy-AM"/>
        </w:rPr>
        <w:t xml:space="preserve">համապատասխանաբար  76.0, 145.4 </w:t>
      </w:r>
      <w:r>
        <w:rPr>
          <w:lang w:val="hy-AM"/>
        </w:rPr>
        <w:t xml:space="preserve">և 156.4 մլրդ դրամ: </w:t>
      </w:r>
    </w:p>
    <w:p w14:paraId="067188D0" w14:textId="77777777" w:rsidR="006F7A03" w:rsidRDefault="006F7A03" w:rsidP="006F7A03">
      <w:pPr>
        <w:tabs>
          <w:tab w:val="left" w:pos="0"/>
        </w:tabs>
        <w:spacing w:before="120" w:after="0" w:line="276" w:lineRule="auto"/>
        <w:ind w:firstLine="0"/>
        <w:rPr>
          <w:lang w:val="hy-AM"/>
        </w:rPr>
      </w:pPr>
      <w:r w:rsidRPr="005E23A9">
        <w:rPr>
          <w:lang w:val="hy-AM"/>
        </w:rPr>
        <w:t>Սոցիալական պաշտպանության ոլորտի ֆինանսավորումը 202</w:t>
      </w:r>
      <w:r>
        <w:rPr>
          <w:lang w:val="hy-AM"/>
        </w:rPr>
        <w:t>5</w:t>
      </w:r>
      <w:r w:rsidRPr="005E23A9">
        <w:rPr>
          <w:lang w:val="hy-AM"/>
        </w:rPr>
        <w:t>-202</w:t>
      </w:r>
      <w:r>
        <w:rPr>
          <w:lang w:val="hy-AM"/>
        </w:rPr>
        <w:t>7</w:t>
      </w:r>
      <w:r w:rsidRPr="005E23A9">
        <w:rPr>
          <w:lang w:val="hy-AM"/>
        </w:rPr>
        <w:t xml:space="preserve">թթ միջնաժամկետ կտրվածքում նկատելիորեն աճել է` կազմելով </w:t>
      </w:r>
      <w:r w:rsidRPr="008D25E6">
        <w:rPr>
          <w:lang w:val="hy-AM"/>
        </w:rPr>
        <w:t>913.0, 974.8 և 1,059.5 մլրդ</w:t>
      </w:r>
      <w:r>
        <w:rPr>
          <w:lang w:val="hy-AM"/>
        </w:rPr>
        <w:t>.</w:t>
      </w:r>
      <w:r w:rsidRPr="005E23A9">
        <w:rPr>
          <w:lang w:val="hy-AM"/>
        </w:rPr>
        <w:t xml:space="preserve"> </w:t>
      </w:r>
      <w:r>
        <w:rPr>
          <w:lang w:val="hy-AM"/>
        </w:rPr>
        <w:t>դրամ</w:t>
      </w:r>
      <w:r w:rsidRPr="005E23A9">
        <w:rPr>
          <w:lang w:val="hy-AM"/>
        </w:rPr>
        <w:t xml:space="preserve">։ </w:t>
      </w:r>
    </w:p>
    <w:p w14:paraId="4C9A3D26" w14:textId="77777777" w:rsidR="006F7A03" w:rsidRPr="00D85F52" w:rsidRDefault="006F7A03" w:rsidP="006F7A03">
      <w:pPr>
        <w:tabs>
          <w:tab w:val="left" w:pos="0"/>
        </w:tabs>
        <w:spacing w:before="120" w:after="0" w:line="276" w:lineRule="auto"/>
        <w:ind w:firstLine="0"/>
        <w:rPr>
          <w:color w:val="000000" w:themeColor="text1"/>
          <w:lang w:val="hy-AM"/>
        </w:rPr>
      </w:pPr>
      <w:r w:rsidRPr="00D85F52">
        <w:rPr>
          <w:color w:val="000000" w:themeColor="text1"/>
          <w:lang w:val="hy-AM"/>
        </w:rPr>
        <w:t>Սոցիալական պաշտպանության ոլորտի հատկացվող միջոցներից (միջինում 42%) ուղղվելու են տարեցներին և հաշմանդամներին աջակցության տրամադրմանը, մնացած (միջինում 58%) միջոցները՝ սոցիալական հատուկ արտոնությունների, բնակարային ապահովման, ընտանեկան նպաստների տրամադրման և այլ սոցիալական ծառայությունների ապահովմանը։</w:t>
      </w:r>
    </w:p>
    <w:p w14:paraId="5428AD60" w14:textId="77777777" w:rsidR="006F7A03" w:rsidRPr="0031357F" w:rsidRDefault="006F7A03" w:rsidP="006F7A03">
      <w:pPr>
        <w:tabs>
          <w:tab w:val="left" w:pos="0"/>
        </w:tabs>
        <w:spacing w:before="120" w:after="0" w:line="276" w:lineRule="auto"/>
        <w:ind w:firstLine="0"/>
        <w:rPr>
          <w:i/>
          <w:lang w:val="hy-AM"/>
        </w:rPr>
      </w:pPr>
      <w:r w:rsidRPr="0031357F">
        <w:rPr>
          <w:rFonts w:cs="Arial"/>
          <w:b/>
          <w:lang w:val="hy-AM"/>
        </w:rPr>
        <w:t>Աղյուսակ</w:t>
      </w:r>
      <w:r w:rsidRPr="0031357F">
        <w:rPr>
          <w:b/>
          <w:lang w:val="hy-AM"/>
        </w:rPr>
        <w:t xml:space="preserve"> 4.2.2 </w:t>
      </w:r>
      <w:r w:rsidRPr="0031357F">
        <w:rPr>
          <w:rFonts w:cs="Arial"/>
          <w:lang w:val="hy-AM"/>
        </w:rPr>
        <w:t>Տնտեսական ոլորտի</w:t>
      </w:r>
      <w:r>
        <w:rPr>
          <w:lang w:val="hy-AM"/>
        </w:rPr>
        <w:t xml:space="preserve"> 202</w:t>
      </w:r>
      <w:r w:rsidRPr="00615328">
        <w:rPr>
          <w:lang w:val="hy-AM"/>
        </w:rPr>
        <w:t>5</w:t>
      </w:r>
      <w:r>
        <w:rPr>
          <w:lang w:val="hy-AM"/>
        </w:rPr>
        <w:t>-202</w:t>
      </w:r>
      <w:r w:rsidRPr="00615328">
        <w:rPr>
          <w:lang w:val="hy-AM"/>
        </w:rPr>
        <w:t>7</w:t>
      </w:r>
      <w:r w:rsidRPr="0031357F">
        <w:rPr>
          <w:rFonts w:cs="Arial"/>
          <w:lang w:val="hy-AM"/>
        </w:rPr>
        <w:t>թթ</w:t>
      </w:r>
      <w:r w:rsidRPr="0031357F">
        <w:rPr>
          <w:lang w:val="hy-AM"/>
        </w:rPr>
        <w:t xml:space="preserve"> </w:t>
      </w:r>
      <w:r w:rsidRPr="0031357F">
        <w:rPr>
          <w:rFonts w:cs="Arial"/>
          <w:lang w:val="hy-AM"/>
        </w:rPr>
        <w:t>բյուջետային</w:t>
      </w:r>
      <w:r w:rsidRPr="0031357F">
        <w:rPr>
          <w:lang w:val="hy-AM"/>
        </w:rPr>
        <w:t xml:space="preserve"> </w:t>
      </w:r>
      <w:r w:rsidRPr="0031357F">
        <w:rPr>
          <w:rFonts w:cs="Arial"/>
          <w:lang w:val="hy-AM"/>
        </w:rPr>
        <w:t>ծախսերը,</w:t>
      </w:r>
      <w:r w:rsidRPr="0031357F">
        <w:rPr>
          <w:lang w:val="hy-AM"/>
        </w:rPr>
        <w:t xml:space="preserve"> </w:t>
      </w:r>
      <w:r w:rsidRPr="0031357F">
        <w:rPr>
          <w:rFonts w:cs="Arial"/>
          <w:lang w:val="hy-AM"/>
        </w:rPr>
        <w:t>մլրդ</w:t>
      </w:r>
      <w:r w:rsidRPr="0031357F">
        <w:rPr>
          <w:lang w:val="hy-AM"/>
        </w:rPr>
        <w:t xml:space="preserve"> </w:t>
      </w:r>
      <w:r w:rsidRPr="0031357F">
        <w:rPr>
          <w:rFonts w:cs="Arial"/>
          <w:lang w:val="hy-AM"/>
        </w:rPr>
        <w:t>դրամ</w:t>
      </w:r>
    </w:p>
    <w:tbl>
      <w:tblPr>
        <w:tblW w:w="9879" w:type="dxa"/>
        <w:tblInd w:w="50" w:type="dxa"/>
        <w:tblLayout w:type="fixed"/>
        <w:tblLook w:val="04A0" w:firstRow="1" w:lastRow="0" w:firstColumn="1" w:lastColumn="0" w:noHBand="0" w:noVBand="1"/>
      </w:tblPr>
      <w:tblGrid>
        <w:gridCol w:w="3778"/>
        <w:gridCol w:w="1134"/>
        <w:gridCol w:w="711"/>
        <w:gridCol w:w="850"/>
        <w:gridCol w:w="851"/>
        <w:gridCol w:w="850"/>
        <w:gridCol w:w="709"/>
        <w:gridCol w:w="996"/>
      </w:tblGrid>
      <w:tr w:rsidR="006F7A03" w:rsidRPr="00615328" w14:paraId="6A1B03D5" w14:textId="77777777" w:rsidTr="00A90AAE">
        <w:trPr>
          <w:trHeight w:val="315"/>
        </w:trPr>
        <w:tc>
          <w:tcPr>
            <w:tcW w:w="3778" w:type="dxa"/>
            <w:vMerge w:val="restart"/>
            <w:shd w:val="clear" w:color="auto" w:fill="auto"/>
            <w:vAlign w:val="center"/>
          </w:tcPr>
          <w:p w14:paraId="37901C29" w14:textId="77777777" w:rsidR="006F7A03" w:rsidRPr="00615328" w:rsidRDefault="006F7A03" w:rsidP="00A90AAE">
            <w:pPr>
              <w:tabs>
                <w:tab w:val="left" w:pos="0"/>
              </w:tabs>
              <w:spacing w:before="120" w:after="0" w:line="240" w:lineRule="auto"/>
              <w:ind w:firstLine="0"/>
              <w:rPr>
                <w:rFonts w:cs="Calibri"/>
                <w:b/>
                <w:bCs/>
                <w:color w:val="000000"/>
                <w:sz w:val="16"/>
                <w:szCs w:val="16"/>
              </w:rPr>
            </w:pPr>
            <w:r w:rsidRPr="00615328">
              <w:rPr>
                <w:rFonts w:cs="Sylfaen"/>
                <w:color w:val="000000"/>
                <w:sz w:val="16"/>
                <w:szCs w:val="16"/>
              </w:rPr>
              <w:t>Ցուցանիշներ</w:t>
            </w:r>
          </w:p>
        </w:tc>
        <w:tc>
          <w:tcPr>
            <w:tcW w:w="2695" w:type="dxa"/>
            <w:gridSpan w:val="3"/>
            <w:tcBorders>
              <w:bottom w:val="single" w:sz="4" w:space="0" w:color="auto"/>
            </w:tcBorders>
            <w:shd w:val="clear" w:color="auto" w:fill="auto"/>
            <w:vAlign w:val="center"/>
          </w:tcPr>
          <w:p w14:paraId="2E951408"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rPr>
            </w:pPr>
            <w:r w:rsidRPr="00615328">
              <w:rPr>
                <w:rFonts w:cs="Calibri"/>
                <w:bCs/>
                <w:color w:val="000000"/>
                <w:sz w:val="16"/>
                <w:szCs w:val="16"/>
                <w:lang w:val="hy-AM"/>
              </w:rPr>
              <w:t>Փաստ</w:t>
            </w:r>
          </w:p>
        </w:tc>
        <w:tc>
          <w:tcPr>
            <w:tcW w:w="851" w:type="dxa"/>
            <w:shd w:val="clear" w:color="auto" w:fill="auto"/>
            <w:vAlign w:val="center"/>
          </w:tcPr>
          <w:p w14:paraId="282E4728" w14:textId="77777777" w:rsidR="006F7A03" w:rsidRPr="00615328" w:rsidRDefault="006F7A03" w:rsidP="00A90AAE">
            <w:pPr>
              <w:tabs>
                <w:tab w:val="left" w:pos="0"/>
              </w:tabs>
              <w:spacing w:before="120" w:after="0" w:line="240" w:lineRule="auto"/>
              <w:ind w:firstLine="0"/>
              <w:jc w:val="center"/>
              <w:rPr>
                <w:rFonts w:cs="Calibri"/>
                <w:b/>
                <w:bCs/>
                <w:color w:val="000000"/>
                <w:sz w:val="16"/>
                <w:szCs w:val="16"/>
              </w:rPr>
            </w:pPr>
            <w:r w:rsidRPr="00615328">
              <w:rPr>
                <w:rFonts w:cs="Calibri"/>
                <w:color w:val="000000"/>
                <w:sz w:val="16"/>
                <w:szCs w:val="16"/>
                <w:lang w:val="hy-AM"/>
              </w:rPr>
              <w:t>Բյուջե</w:t>
            </w:r>
          </w:p>
        </w:tc>
        <w:tc>
          <w:tcPr>
            <w:tcW w:w="2555" w:type="dxa"/>
            <w:gridSpan w:val="3"/>
            <w:tcBorders>
              <w:bottom w:val="single" w:sz="4" w:space="0" w:color="auto"/>
            </w:tcBorders>
            <w:shd w:val="clear" w:color="auto" w:fill="auto"/>
            <w:vAlign w:val="center"/>
          </w:tcPr>
          <w:p w14:paraId="126C919E" w14:textId="77777777" w:rsidR="006F7A03" w:rsidRPr="00615328" w:rsidRDefault="006F7A03" w:rsidP="00A90AAE">
            <w:pPr>
              <w:tabs>
                <w:tab w:val="left" w:pos="0"/>
              </w:tabs>
              <w:spacing w:before="120" w:after="0" w:line="240" w:lineRule="auto"/>
              <w:ind w:firstLine="0"/>
              <w:jc w:val="center"/>
              <w:rPr>
                <w:rFonts w:cs="Calibri"/>
                <w:b/>
                <w:bCs/>
                <w:color w:val="000000"/>
                <w:sz w:val="16"/>
                <w:szCs w:val="16"/>
              </w:rPr>
            </w:pPr>
            <w:r w:rsidRPr="00615328">
              <w:rPr>
                <w:rFonts w:cs="Calibri"/>
                <w:color w:val="000000"/>
                <w:sz w:val="16"/>
                <w:szCs w:val="16"/>
              </w:rPr>
              <w:t>ՄԺԾԾ</w:t>
            </w:r>
          </w:p>
        </w:tc>
      </w:tr>
      <w:tr w:rsidR="006F7A03" w:rsidRPr="00615328" w14:paraId="2924136C" w14:textId="77777777" w:rsidTr="00A90AAE">
        <w:trPr>
          <w:trHeight w:val="366"/>
        </w:trPr>
        <w:tc>
          <w:tcPr>
            <w:tcW w:w="3778" w:type="dxa"/>
            <w:vMerge/>
            <w:tcBorders>
              <w:bottom w:val="single" w:sz="4" w:space="0" w:color="auto"/>
            </w:tcBorders>
            <w:shd w:val="clear" w:color="auto" w:fill="auto"/>
            <w:vAlign w:val="center"/>
          </w:tcPr>
          <w:p w14:paraId="296EED61" w14:textId="77777777" w:rsidR="006F7A03" w:rsidRPr="00615328" w:rsidRDefault="006F7A03" w:rsidP="00A90AAE">
            <w:pPr>
              <w:tabs>
                <w:tab w:val="left" w:pos="0"/>
              </w:tabs>
              <w:spacing w:before="120" w:after="0" w:line="240" w:lineRule="auto"/>
              <w:ind w:firstLine="0"/>
              <w:rPr>
                <w:rFonts w:cs="Calibri"/>
                <w:b/>
                <w:bCs/>
                <w:color w:val="000000"/>
                <w:sz w:val="16"/>
                <w:szCs w:val="16"/>
              </w:rPr>
            </w:pPr>
          </w:p>
        </w:tc>
        <w:tc>
          <w:tcPr>
            <w:tcW w:w="1134" w:type="dxa"/>
            <w:tcBorders>
              <w:top w:val="single" w:sz="4" w:space="0" w:color="auto"/>
              <w:bottom w:val="single" w:sz="4" w:space="0" w:color="auto"/>
            </w:tcBorders>
            <w:shd w:val="clear" w:color="auto" w:fill="auto"/>
            <w:vAlign w:val="center"/>
          </w:tcPr>
          <w:p w14:paraId="1F956467"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2021 </w:t>
            </w:r>
          </w:p>
        </w:tc>
        <w:tc>
          <w:tcPr>
            <w:tcW w:w="711" w:type="dxa"/>
            <w:tcBorders>
              <w:top w:val="single" w:sz="4" w:space="0" w:color="auto"/>
              <w:bottom w:val="single" w:sz="4" w:space="0" w:color="auto"/>
            </w:tcBorders>
            <w:shd w:val="clear" w:color="auto" w:fill="auto"/>
            <w:vAlign w:val="center"/>
          </w:tcPr>
          <w:p w14:paraId="413985CE"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2022</w:t>
            </w:r>
          </w:p>
        </w:tc>
        <w:tc>
          <w:tcPr>
            <w:tcW w:w="850" w:type="dxa"/>
            <w:tcBorders>
              <w:top w:val="single" w:sz="4" w:space="0" w:color="auto"/>
              <w:bottom w:val="single" w:sz="4" w:space="0" w:color="auto"/>
            </w:tcBorders>
            <w:shd w:val="clear" w:color="auto" w:fill="auto"/>
            <w:vAlign w:val="center"/>
          </w:tcPr>
          <w:p w14:paraId="56CF0720"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2023 </w:t>
            </w:r>
          </w:p>
        </w:tc>
        <w:tc>
          <w:tcPr>
            <w:tcW w:w="851" w:type="dxa"/>
            <w:tcBorders>
              <w:bottom w:val="single" w:sz="4" w:space="0" w:color="auto"/>
            </w:tcBorders>
            <w:shd w:val="clear" w:color="auto" w:fill="auto"/>
            <w:vAlign w:val="center"/>
          </w:tcPr>
          <w:p w14:paraId="5F5147EA"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2024</w:t>
            </w:r>
          </w:p>
        </w:tc>
        <w:tc>
          <w:tcPr>
            <w:tcW w:w="850" w:type="dxa"/>
            <w:tcBorders>
              <w:top w:val="single" w:sz="4" w:space="0" w:color="auto"/>
              <w:bottom w:val="single" w:sz="4" w:space="0" w:color="auto"/>
            </w:tcBorders>
            <w:shd w:val="clear" w:color="auto" w:fill="auto"/>
            <w:vAlign w:val="center"/>
          </w:tcPr>
          <w:p w14:paraId="4C40CE6C"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2025 </w:t>
            </w:r>
          </w:p>
        </w:tc>
        <w:tc>
          <w:tcPr>
            <w:tcW w:w="709" w:type="dxa"/>
            <w:tcBorders>
              <w:top w:val="single" w:sz="4" w:space="0" w:color="auto"/>
              <w:bottom w:val="single" w:sz="4" w:space="0" w:color="auto"/>
            </w:tcBorders>
            <w:shd w:val="clear" w:color="auto" w:fill="auto"/>
            <w:vAlign w:val="center"/>
          </w:tcPr>
          <w:p w14:paraId="6D3BED15"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lang w:val="hy-AM"/>
              </w:rPr>
            </w:pPr>
            <w:r w:rsidRPr="00615328">
              <w:rPr>
                <w:rFonts w:cs="Calibri"/>
                <w:color w:val="000000"/>
                <w:sz w:val="16"/>
                <w:szCs w:val="16"/>
              </w:rPr>
              <w:t>202</w:t>
            </w:r>
            <w:r w:rsidRPr="00615328">
              <w:rPr>
                <w:rFonts w:cs="Calibri"/>
                <w:color w:val="000000"/>
                <w:sz w:val="16"/>
                <w:szCs w:val="16"/>
                <w:lang w:val="hy-AM"/>
              </w:rPr>
              <w:t>6</w:t>
            </w:r>
          </w:p>
        </w:tc>
        <w:tc>
          <w:tcPr>
            <w:tcW w:w="996" w:type="dxa"/>
            <w:tcBorders>
              <w:top w:val="single" w:sz="4" w:space="0" w:color="auto"/>
              <w:bottom w:val="single" w:sz="4" w:space="0" w:color="auto"/>
            </w:tcBorders>
            <w:shd w:val="clear" w:color="auto" w:fill="auto"/>
            <w:vAlign w:val="center"/>
          </w:tcPr>
          <w:p w14:paraId="2F033564"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rPr>
            </w:pPr>
            <w:r w:rsidRPr="00615328">
              <w:rPr>
                <w:rFonts w:cs="Calibri"/>
                <w:color w:val="000000"/>
                <w:sz w:val="16"/>
                <w:szCs w:val="16"/>
              </w:rPr>
              <w:t>202</w:t>
            </w:r>
            <w:r w:rsidRPr="00615328">
              <w:rPr>
                <w:rFonts w:cs="Calibri"/>
                <w:color w:val="000000"/>
                <w:sz w:val="16"/>
                <w:szCs w:val="16"/>
                <w:lang w:val="hy-AM"/>
              </w:rPr>
              <w:t>7</w:t>
            </w:r>
            <w:r w:rsidRPr="00615328">
              <w:rPr>
                <w:rFonts w:cs="Calibri"/>
                <w:color w:val="000000"/>
                <w:sz w:val="16"/>
                <w:szCs w:val="16"/>
              </w:rPr>
              <w:t xml:space="preserve"> </w:t>
            </w:r>
          </w:p>
        </w:tc>
      </w:tr>
      <w:tr w:rsidR="006F7A03" w:rsidRPr="00615328" w14:paraId="11F0A6CC" w14:textId="77777777" w:rsidTr="00A90AAE">
        <w:trPr>
          <w:trHeight w:val="315"/>
        </w:trPr>
        <w:tc>
          <w:tcPr>
            <w:tcW w:w="3778" w:type="dxa"/>
            <w:tcBorders>
              <w:top w:val="single" w:sz="4" w:space="0" w:color="auto"/>
            </w:tcBorders>
            <w:shd w:val="clear" w:color="auto" w:fill="FFFFFF"/>
            <w:vAlign w:val="center"/>
            <w:hideMark/>
          </w:tcPr>
          <w:p w14:paraId="6809E4C2"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Տնտեսական ոլորտ ընդամենը</w:t>
            </w:r>
          </w:p>
        </w:tc>
        <w:tc>
          <w:tcPr>
            <w:tcW w:w="1134" w:type="dxa"/>
            <w:tcBorders>
              <w:top w:val="single" w:sz="4" w:space="0" w:color="auto"/>
            </w:tcBorders>
            <w:shd w:val="clear" w:color="auto" w:fill="FFFFFF"/>
            <w:vAlign w:val="center"/>
            <w:hideMark/>
          </w:tcPr>
          <w:p w14:paraId="5E99CE1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167.3</w:t>
            </w:r>
          </w:p>
        </w:tc>
        <w:tc>
          <w:tcPr>
            <w:tcW w:w="711" w:type="dxa"/>
            <w:tcBorders>
              <w:top w:val="single" w:sz="4" w:space="0" w:color="auto"/>
            </w:tcBorders>
            <w:shd w:val="clear" w:color="auto" w:fill="FFFFFF"/>
            <w:vAlign w:val="center"/>
            <w:hideMark/>
          </w:tcPr>
          <w:p w14:paraId="4D849D4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192.1</w:t>
            </w:r>
          </w:p>
        </w:tc>
        <w:tc>
          <w:tcPr>
            <w:tcW w:w="850" w:type="dxa"/>
            <w:tcBorders>
              <w:top w:val="single" w:sz="4" w:space="0" w:color="auto"/>
            </w:tcBorders>
            <w:shd w:val="clear" w:color="auto" w:fill="FFFFFF"/>
            <w:vAlign w:val="center"/>
          </w:tcPr>
          <w:p w14:paraId="7393755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217.8</w:t>
            </w:r>
          </w:p>
        </w:tc>
        <w:tc>
          <w:tcPr>
            <w:tcW w:w="851" w:type="dxa"/>
            <w:tcBorders>
              <w:top w:val="single" w:sz="4" w:space="0" w:color="auto"/>
            </w:tcBorders>
            <w:shd w:val="clear" w:color="auto" w:fill="FFFFFF"/>
            <w:vAlign w:val="center"/>
          </w:tcPr>
          <w:p w14:paraId="7B09EA7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296.0</w:t>
            </w:r>
          </w:p>
        </w:tc>
        <w:tc>
          <w:tcPr>
            <w:tcW w:w="850" w:type="dxa"/>
            <w:tcBorders>
              <w:top w:val="single" w:sz="4" w:space="0" w:color="auto"/>
            </w:tcBorders>
            <w:shd w:val="clear" w:color="auto" w:fill="FFFFFF"/>
            <w:vAlign w:val="center"/>
          </w:tcPr>
          <w:p w14:paraId="4675B3B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303.2</w:t>
            </w:r>
          </w:p>
        </w:tc>
        <w:tc>
          <w:tcPr>
            <w:tcW w:w="709" w:type="dxa"/>
            <w:tcBorders>
              <w:top w:val="single" w:sz="4" w:space="0" w:color="auto"/>
            </w:tcBorders>
            <w:shd w:val="clear" w:color="auto" w:fill="FFFFFF"/>
            <w:vAlign w:val="center"/>
          </w:tcPr>
          <w:p w14:paraId="2C7C92D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349.6</w:t>
            </w:r>
          </w:p>
        </w:tc>
        <w:tc>
          <w:tcPr>
            <w:tcW w:w="996" w:type="dxa"/>
            <w:tcBorders>
              <w:top w:val="single" w:sz="4" w:space="0" w:color="auto"/>
            </w:tcBorders>
            <w:shd w:val="clear" w:color="auto" w:fill="FFFFFF"/>
            <w:vAlign w:val="center"/>
          </w:tcPr>
          <w:p w14:paraId="421A9C7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387.8</w:t>
            </w:r>
          </w:p>
        </w:tc>
      </w:tr>
      <w:tr w:rsidR="006F7A03" w:rsidRPr="00615328" w14:paraId="05594272" w14:textId="77777777" w:rsidTr="00A90AAE">
        <w:trPr>
          <w:trHeight w:val="315"/>
        </w:trPr>
        <w:tc>
          <w:tcPr>
            <w:tcW w:w="3778" w:type="dxa"/>
            <w:shd w:val="clear" w:color="auto" w:fill="FFFFFF"/>
            <w:vAlign w:val="center"/>
            <w:hideMark/>
          </w:tcPr>
          <w:p w14:paraId="583B8A5E"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ՀՆԱ-ի նկատմամբ (%)</w:t>
            </w:r>
          </w:p>
        </w:tc>
        <w:tc>
          <w:tcPr>
            <w:tcW w:w="1134" w:type="dxa"/>
            <w:shd w:val="clear" w:color="auto" w:fill="FFFFFF"/>
            <w:vAlign w:val="center"/>
            <w:hideMark/>
          </w:tcPr>
          <w:p w14:paraId="7F38231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2.4</w:t>
            </w:r>
          </w:p>
        </w:tc>
        <w:tc>
          <w:tcPr>
            <w:tcW w:w="711" w:type="dxa"/>
            <w:shd w:val="clear" w:color="auto" w:fill="FFFFFF"/>
            <w:vAlign w:val="center"/>
            <w:hideMark/>
          </w:tcPr>
          <w:p w14:paraId="27A64B1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2.3</w:t>
            </w:r>
          </w:p>
        </w:tc>
        <w:tc>
          <w:tcPr>
            <w:tcW w:w="850" w:type="dxa"/>
            <w:shd w:val="clear" w:color="auto" w:fill="FFFFFF"/>
            <w:vAlign w:val="center"/>
          </w:tcPr>
          <w:p w14:paraId="319BC4B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2.3</w:t>
            </w:r>
          </w:p>
        </w:tc>
        <w:tc>
          <w:tcPr>
            <w:tcW w:w="851" w:type="dxa"/>
            <w:shd w:val="clear" w:color="auto" w:fill="FFFFFF"/>
            <w:vAlign w:val="center"/>
          </w:tcPr>
          <w:p w14:paraId="3FD76B8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2.8</w:t>
            </w:r>
          </w:p>
        </w:tc>
        <w:tc>
          <w:tcPr>
            <w:tcW w:w="850" w:type="dxa"/>
            <w:shd w:val="clear" w:color="auto" w:fill="FFFFFF"/>
            <w:vAlign w:val="center"/>
          </w:tcPr>
          <w:p w14:paraId="46446D2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2.7</w:t>
            </w:r>
          </w:p>
        </w:tc>
        <w:tc>
          <w:tcPr>
            <w:tcW w:w="709" w:type="dxa"/>
            <w:shd w:val="clear" w:color="auto" w:fill="FFFFFF"/>
            <w:vAlign w:val="center"/>
          </w:tcPr>
          <w:p w14:paraId="4A1C9F4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2.8</w:t>
            </w:r>
          </w:p>
        </w:tc>
        <w:tc>
          <w:tcPr>
            <w:tcW w:w="996" w:type="dxa"/>
            <w:shd w:val="clear" w:color="auto" w:fill="FFFFFF"/>
            <w:vAlign w:val="center"/>
          </w:tcPr>
          <w:p w14:paraId="47182BE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2.9</w:t>
            </w:r>
          </w:p>
        </w:tc>
      </w:tr>
      <w:tr w:rsidR="006F7A03" w:rsidRPr="00615328" w14:paraId="17864A92" w14:textId="77777777" w:rsidTr="00A90AAE">
        <w:trPr>
          <w:trHeight w:val="315"/>
        </w:trPr>
        <w:tc>
          <w:tcPr>
            <w:tcW w:w="3778" w:type="dxa"/>
            <w:tcBorders>
              <w:bottom w:val="single" w:sz="4" w:space="0" w:color="auto"/>
            </w:tcBorders>
            <w:shd w:val="clear" w:color="auto" w:fill="FFFFFF"/>
            <w:vAlign w:val="center"/>
            <w:hideMark/>
          </w:tcPr>
          <w:p w14:paraId="4C56B6C0"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Ընդհանուր ծախսերում (%)</w:t>
            </w:r>
          </w:p>
        </w:tc>
        <w:tc>
          <w:tcPr>
            <w:tcW w:w="1134" w:type="dxa"/>
            <w:tcBorders>
              <w:bottom w:val="single" w:sz="4" w:space="0" w:color="auto"/>
            </w:tcBorders>
            <w:shd w:val="clear" w:color="auto" w:fill="FFFFFF"/>
            <w:vAlign w:val="center"/>
            <w:hideMark/>
          </w:tcPr>
          <w:p w14:paraId="35ADCB7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8.3</w:t>
            </w:r>
          </w:p>
        </w:tc>
        <w:tc>
          <w:tcPr>
            <w:tcW w:w="711" w:type="dxa"/>
            <w:tcBorders>
              <w:bottom w:val="single" w:sz="4" w:space="0" w:color="auto"/>
            </w:tcBorders>
            <w:shd w:val="clear" w:color="auto" w:fill="FFFFFF"/>
            <w:vAlign w:val="center"/>
            <w:hideMark/>
          </w:tcPr>
          <w:p w14:paraId="6762E39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8.6</w:t>
            </w:r>
          </w:p>
        </w:tc>
        <w:tc>
          <w:tcPr>
            <w:tcW w:w="850" w:type="dxa"/>
            <w:tcBorders>
              <w:bottom w:val="single" w:sz="4" w:space="0" w:color="auto"/>
            </w:tcBorders>
            <w:shd w:val="clear" w:color="auto" w:fill="FFFFFF"/>
            <w:vAlign w:val="center"/>
          </w:tcPr>
          <w:p w14:paraId="57C2693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8.5</w:t>
            </w:r>
          </w:p>
        </w:tc>
        <w:tc>
          <w:tcPr>
            <w:tcW w:w="851" w:type="dxa"/>
            <w:tcBorders>
              <w:bottom w:val="single" w:sz="4" w:space="0" w:color="auto"/>
            </w:tcBorders>
            <w:shd w:val="clear" w:color="auto" w:fill="FFFFFF"/>
            <w:vAlign w:val="center"/>
          </w:tcPr>
          <w:p w14:paraId="584ADD0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9.2</w:t>
            </w:r>
          </w:p>
        </w:tc>
        <w:tc>
          <w:tcPr>
            <w:tcW w:w="850" w:type="dxa"/>
            <w:tcBorders>
              <w:bottom w:val="single" w:sz="4" w:space="0" w:color="auto"/>
            </w:tcBorders>
            <w:shd w:val="clear" w:color="auto" w:fill="FFFFFF"/>
            <w:vAlign w:val="center"/>
          </w:tcPr>
          <w:p w14:paraId="4B0F7B3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8.6</w:t>
            </w:r>
          </w:p>
        </w:tc>
        <w:tc>
          <w:tcPr>
            <w:tcW w:w="709" w:type="dxa"/>
            <w:tcBorders>
              <w:bottom w:val="single" w:sz="4" w:space="0" w:color="auto"/>
            </w:tcBorders>
            <w:shd w:val="clear" w:color="auto" w:fill="FFFFFF"/>
            <w:vAlign w:val="center"/>
          </w:tcPr>
          <w:p w14:paraId="2BF7B77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9.2</w:t>
            </w:r>
          </w:p>
        </w:tc>
        <w:tc>
          <w:tcPr>
            <w:tcW w:w="996" w:type="dxa"/>
            <w:tcBorders>
              <w:bottom w:val="single" w:sz="4" w:space="0" w:color="auto"/>
            </w:tcBorders>
            <w:shd w:val="clear" w:color="auto" w:fill="FFFFFF"/>
            <w:vAlign w:val="center"/>
          </w:tcPr>
          <w:p w14:paraId="5947189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9.5</w:t>
            </w:r>
          </w:p>
        </w:tc>
      </w:tr>
      <w:tr w:rsidR="006F7A03" w:rsidRPr="00615328" w14:paraId="538C3C79" w14:textId="77777777" w:rsidTr="00A90AAE">
        <w:trPr>
          <w:trHeight w:val="315"/>
        </w:trPr>
        <w:tc>
          <w:tcPr>
            <w:tcW w:w="3778" w:type="dxa"/>
            <w:tcBorders>
              <w:top w:val="single" w:sz="4" w:space="0" w:color="auto"/>
            </w:tcBorders>
            <w:shd w:val="clear" w:color="auto" w:fill="FFFFFF"/>
            <w:vAlign w:val="center"/>
            <w:hideMark/>
          </w:tcPr>
          <w:p w14:paraId="15E778FE" w14:textId="77777777" w:rsidR="006F7A03" w:rsidRPr="00615328" w:rsidRDefault="006F7A03" w:rsidP="00A90AAE">
            <w:pPr>
              <w:tabs>
                <w:tab w:val="left" w:pos="0"/>
              </w:tabs>
              <w:spacing w:before="120" w:after="0" w:line="240" w:lineRule="auto"/>
              <w:ind w:firstLine="0"/>
              <w:jc w:val="left"/>
              <w:rPr>
                <w:rFonts w:cs="Calibri"/>
                <w:bCs/>
                <w:color w:val="000000"/>
                <w:sz w:val="16"/>
                <w:szCs w:val="16"/>
              </w:rPr>
            </w:pPr>
            <w:r w:rsidRPr="00615328">
              <w:rPr>
                <w:rFonts w:cs="Calibri"/>
                <w:bCs/>
                <w:color w:val="000000"/>
                <w:sz w:val="16"/>
                <w:szCs w:val="16"/>
              </w:rPr>
              <w:t>1. Տնտեսական հարաբերություններ</w:t>
            </w:r>
          </w:p>
        </w:tc>
        <w:tc>
          <w:tcPr>
            <w:tcW w:w="1134" w:type="dxa"/>
            <w:tcBorders>
              <w:top w:val="single" w:sz="4" w:space="0" w:color="auto"/>
            </w:tcBorders>
            <w:shd w:val="clear" w:color="auto" w:fill="FFFFFF"/>
            <w:vAlign w:val="center"/>
            <w:hideMark/>
          </w:tcPr>
          <w:p w14:paraId="6C19535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151.8</w:t>
            </w:r>
          </w:p>
        </w:tc>
        <w:tc>
          <w:tcPr>
            <w:tcW w:w="711" w:type="dxa"/>
            <w:tcBorders>
              <w:top w:val="single" w:sz="4" w:space="0" w:color="auto"/>
            </w:tcBorders>
            <w:shd w:val="clear" w:color="auto" w:fill="FFFFFF"/>
            <w:vAlign w:val="center"/>
            <w:hideMark/>
          </w:tcPr>
          <w:p w14:paraId="229FB4E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175.8</w:t>
            </w:r>
          </w:p>
        </w:tc>
        <w:tc>
          <w:tcPr>
            <w:tcW w:w="850" w:type="dxa"/>
            <w:tcBorders>
              <w:top w:val="single" w:sz="4" w:space="0" w:color="auto"/>
            </w:tcBorders>
            <w:shd w:val="clear" w:color="auto" w:fill="FFFFFF"/>
            <w:vAlign w:val="center"/>
          </w:tcPr>
          <w:p w14:paraId="63EC030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199.2</w:t>
            </w:r>
          </w:p>
        </w:tc>
        <w:tc>
          <w:tcPr>
            <w:tcW w:w="851" w:type="dxa"/>
            <w:tcBorders>
              <w:top w:val="single" w:sz="4" w:space="0" w:color="auto"/>
            </w:tcBorders>
            <w:shd w:val="clear" w:color="auto" w:fill="FFFFFF"/>
            <w:vAlign w:val="center"/>
          </w:tcPr>
          <w:p w14:paraId="703CAF6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266.0</w:t>
            </w:r>
          </w:p>
        </w:tc>
        <w:tc>
          <w:tcPr>
            <w:tcW w:w="850" w:type="dxa"/>
            <w:tcBorders>
              <w:top w:val="single" w:sz="4" w:space="0" w:color="auto"/>
            </w:tcBorders>
            <w:shd w:val="clear" w:color="auto" w:fill="FFFFFF"/>
            <w:vAlign w:val="center"/>
          </w:tcPr>
          <w:p w14:paraId="632110E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272.1</w:t>
            </w:r>
          </w:p>
        </w:tc>
        <w:tc>
          <w:tcPr>
            <w:tcW w:w="709" w:type="dxa"/>
            <w:tcBorders>
              <w:top w:val="single" w:sz="4" w:space="0" w:color="auto"/>
            </w:tcBorders>
            <w:shd w:val="clear" w:color="auto" w:fill="FFFFFF"/>
            <w:vAlign w:val="center"/>
          </w:tcPr>
          <w:p w14:paraId="069240B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327.1</w:t>
            </w:r>
          </w:p>
        </w:tc>
        <w:tc>
          <w:tcPr>
            <w:tcW w:w="996" w:type="dxa"/>
            <w:tcBorders>
              <w:top w:val="single" w:sz="4" w:space="0" w:color="auto"/>
            </w:tcBorders>
            <w:shd w:val="clear" w:color="auto" w:fill="FFFFFF"/>
            <w:vAlign w:val="center"/>
          </w:tcPr>
          <w:p w14:paraId="33C97B4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356.8</w:t>
            </w:r>
          </w:p>
        </w:tc>
      </w:tr>
      <w:tr w:rsidR="006F7A03" w:rsidRPr="00615328" w14:paraId="2F486654" w14:textId="77777777" w:rsidTr="00A90AAE">
        <w:trPr>
          <w:trHeight w:val="315"/>
        </w:trPr>
        <w:tc>
          <w:tcPr>
            <w:tcW w:w="3778" w:type="dxa"/>
            <w:shd w:val="clear" w:color="auto" w:fill="FFFFFF"/>
            <w:vAlign w:val="center"/>
            <w:hideMark/>
          </w:tcPr>
          <w:p w14:paraId="45F8BF54"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ՀՆԱ-ի նկատմամբ (%)</w:t>
            </w:r>
          </w:p>
        </w:tc>
        <w:tc>
          <w:tcPr>
            <w:tcW w:w="1134" w:type="dxa"/>
            <w:shd w:val="clear" w:color="auto" w:fill="FFFFFF"/>
            <w:vAlign w:val="center"/>
            <w:hideMark/>
          </w:tcPr>
          <w:p w14:paraId="72D0DD6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2.2</w:t>
            </w:r>
          </w:p>
        </w:tc>
        <w:tc>
          <w:tcPr>
            <w:tcW w:w="711" w:type="dxa"/>
            <w:shd w:val="clear" w:color="auto" w:fill="FFFFFF"/>
            <w:vAlign w:val="center"/>
            <w:hideMark/>
          </w:tcPr>
          <w:p w14:paraId="51CA4A6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2.1</w:t>
            </w:r>
          </w:p>
        </w:tc>
        <w:tc>
          <w:tcPr>
            <w:tcW w:w="850" w:type="dxa"/>
            <w:shd w:val="clear" w:color="auto" w:fill="FFFFFF"/>
            <w:vAlign w:val="center"/>
          </w:tcPr>
          <w:p w14:paraId="58951BA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2.1</w:t>
            </w:r>
          </w:p>
        </w:tc>
        <w:tc>
          <w:tcPr>
            <w:tcW w:w="851" w:type="dxa"/>
            <w:shd w:val="clear" w:color="auto" w:fill="FFFFFF"/>
            <w:vAlign w:val="center"/>
          </w:tcPr>
          <w:p w14:paraId="6B536F8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2.5</w:t>
            </w:r>
          </w:p>
        </w:tc>
        <w:tc>
          <w:tcPr>
            <w:tcW w:w="850" w:type="dxa"/>
            <w:shd w:val="clear" w:color="auto" w:fill="FFFFFF"/>
            <w:vAlign w:val="center"/>
          </w:tcPr>
          <w:p w14:paraId="7AEB346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2.4</w:t>
            </w:r>
          </w:p>
        </w:tc>
        <w:tc>
          <w:tcPr>
            <w:tcW w:w="709" w:type="dxa"/>
            <w:shd w:val="clear" w:color="auto" w:fill="FFFFFF"/>
            <w:vAlign w:val="center"/>
          </w:tcPr>
          <w:p w14:paraId="2C4779C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2.7</w:t>
            </w:r>
          </w:p>
        </w:tc>
        <w:tc>
          <w:tcPr>
            <w:tcW w:w="996" w:type="dxa"/>
            <w:shd w:val="clear" w:color="auto" w:fill="FFFFFF"/>
            <w:vAlign w:val="center"/>
          </w:tcPr>
          <w:p w14:paraId="4D1810C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2.6</w:t>
            </w:r>
          </w:p>
        </w:tc>
      </w:tr>
      <w:tr w:rsidR="006F7A03" w:rsidRPr="00615328" w14:paraId="0C53B2F0" w14:textId="77777777" w:rsidTr="00A90AAE">
        <w:trPr>
          <w:trHeight w:val="315"/>
        </w:trPr>
        <w:tc>
          <w:tcPr>
            <w:tcW w:w="3778" w:type="dxa"/>
            <w:tcBorders>
              <w:bottom w:val="single" w:sz="4" w:space="0" w:color="auto"/>
            </w:tcBorders>
            <w:shd w:val="clear" w:color="auto" w:fill="FFFFFF"/>
            <w:vAlign w:val="center"/>
            <w:hideMark/>
          </w:tcPr>
          <w:p w14:paraId="078A7BA9"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Ընդհանուր ծախսերում (%)</w:t>
            </w:r>
          </w:p>
        </w:tc>
        <w:tc>
          <w:tcPr>
            <w:tcW w:w="1134" w:type="dxa"/>
            <w:tcBorders>
              <w:bottom w:val="single" w:sz="4" w:space="0" w:color="auto"/>
            </w:tcBorders>
            <w:shd w:val="clear" w:color="auto" w:fill="FFFFFF"/>
            <w:vAlign w:val="center"/>
            <w:hideMark/>
          </w:tcPr>
          <w:p w14:paraId="66B6BF6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7.6</w:t>
            </w:r>
          </w:p>
        </w:tc>
        <w:tc>
          <w:tcPr>
            <w:tcW w:w="711" w:type="dxa"/>
            <w:tcBorders>
              <w:bottom w:val="single" w:sz="4" w:space="0" w:color="auto"/>
            </w:tcBorders>
            <w:shd w:val="clear" w:color="auto" w:fill="FFFFFF"/>
            <w:vAlign w:val="center"/>
            <w:hideMark/>
          </w:tcPr>
          <w:p w14:paraId="0BD90D4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7.8</w:t>
            </w:r>
          </w:p>
        </w:tc>
        <w:tc>
          <w:tcPr>
            <w:tcW w:w="850" w:type="dxa"/>
            <w:tcBorders>
              <w:bottom w:val="single" w:sz="4" w:space="0" w:color="auto"/>
            </w:tcBorders>
            <w:shd w:val="clear" w:color="auto" w:fill="FFFFFF"/>
            <w:vAlign w:val="center"/>
          </w:tcPr>
          <w:p w14:paraId="20DE841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7.8</w:t>
            </w:r>
          </w:p>
        </w:tc>
        <w:tc>
          <w:tcPr>
            <w:tcW w:w="851" w:type="dxa"/>
            <w:tcBorders>
              <w:bottom w:val="single" w:sz="4" w:space="0" w:color="auto"/>
            </w:tcBorders>
            <w:shd w:val="clear" w:color="auto" w:fill="FFFFFF"/>
            <w:vAlign w:val="center"/>
          </w:tcPr>
          <w:p w14:paraId="137DCAB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8.3</w:t>
            </w:r>
          </w:p>
        </w:tc>
        <w:tc>
          <w:tcPr>
            <w:tcW w:w="850" w:type="dxa"/>
            <w:tcBorders>
              <w:bottom w:val="single" w:sz="4" w:space="0" w:color="auto"/>
            </w:tcBorders>
            <w:shd w:val="clear" w:color="auto" w:fill="FFFFFF"/>
            <w:vAlign w:val="center"/>
          </w:tcPr>
          <w:p w14:paraId="5BD65A9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7.7</w:t>
            </w:r>
          </w:p>
        </w:tc>
        <w:tc>
          <w:tcPr>
            <w:tcW w:w="709" w:type="dxa"/>
            <w:tcBorders>
              <w:bottom w:val="single" w:sz="4" w:space="0" w:color="auto"/>
            </w:tcBorders>
            <w:shd w:val="clear" w:color="auto" w:fill="FFFFFF"/>
            <w:vAlign w:val="center"/>
          </w:tcPr>
          <w:p w14:paraId="495F499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8.6</w:t>
            </w:r>
          </w:p>
        </w:tc>
        <w:tc>
          <w:tcPr>
            <w:tcW w:w="996" w:type="dxa"/>
            <w:tcBorders>
              <w:bottom w:val="single" w:sz="4" w:space="0" w:color="auto"/>
            </w:tcBorders>
            <w:shd w:val="clear" w:color="auto" w:fill="FFFFFF"/>
            <w:vAlign w:val="center"/>
          </w:tcPr>
          <w:p w14:paraId="67964EA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8.7</w:t>
            </w:r>
          </w:p>
        </w:tc>
      </w:tr>
      <w:tr w:rsidR="006F7A03" w:rsidRPr="00615328" w14:paraId="020A0E85" w14:textId="77777777" w:rsidTr="00A90AAE">
        <w:trPr>
          <w:trHeight w:val="315"/>
        </w:trPr>
        <w:tc>
          <w:tcPr>
            <w:tcW w:w="3778" w:type="dxa"/>
            <w:tcBorders>
              <w:top w:val="single" w:sz="4" w:space="0" w:color="auto"/>
            </w:tcBorders>
            <w:shd w:val="clear" w:color="auto" w:fill="FFFFFF"/>
            <w:vAlign w:val="center"/>
            <w:hideMark/>
          </w:tcPr>
          <w:p w14:paraId="02044E00" w14:textId="77777777" w:rsidR="006F7A03" w:rsidRPr="00615328" w:rsidRDefault="006F7A03" w:rsidP="00A90AAE">
            <w:pPr>
              <w:tabs>
                <w:tab w:val="left" w:pos="0"/>
              </w:tabs>
              <w:spacing w:before="120" w:after="0" w:line="240" w:lineRule="auto"/>
              <w:ind w:firstLine="0"/>
              <w:jc w:val="left"/>
              <w:rPr>
                <w:rFonts w:cs="Calibri"/>
                <w:bCs/>
                <w:color w:val="000000"/>
                <w:sz w:val="16"/>
                <w:szCs w:val="16"/>
              </w:rPr>
            </w:pPr>
            <w:r w:rsidRPr="00615328">
              <w:rPr>
                <w:rFonts w:cs="Calibri"/>
                <w:bCs/>
                <w:color w:val="000000"/>
                <w:sz w:val="16"/>
                <w:szCs w:val="16"/>
              </w:rPr>
              <w:t>2. Շրջակա  միջավայրի պաշտպանություն</w:t>
            </w:r>
          </w:p>
        </w:tc>
        <w:tc>
          <w:tcPr>
            <w:tcW w:w="1134" w:type="dxa"/>
            <w:tcBorders>
              <w:top w:val="single" w:sz="4" w:space="0" w:color="auto"/>
            </w:tcBorders>
            <w:shd w:val="clear" w:color="auto" w:fill="FFFFFF"/>
            <w:vAlign w:val="center"/>
            <w:hideMark/>
          </w:tcPr>
          <w:p w14:paraId="7A30FAF0"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6.0</w:t>
            </w:r>
          </w:p>
        </w:tc>
        <w:tc>
          <w:tcPr>
            <w:tcW w:w="711" w:type="dxa"/>
            <w:tcBorders>
              <w:top w:val="single" w:sz="4" w:space="0" w:color="auto"/>
            </w:tcBorders>
            <w:shd w:val="clear" w:color="auto" w:fill="FFFFFF"/>
            <w:vAlign w:val="center"/>
            <w:hideMark/>
          </w:tcPr>
          <w:p w14:paraId="4417B81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6.8</w:t>
            </w:r>
          </w:p>
        </w:tc>
        <w:tc>
          <w:tcPr>
            <w:tcW w:w="850" w:type="dxa"/>
            <w:tcBorders>
              <w:top w:val="single" w:sz="4" w:space="0" w:color="auto"/>
            </w:tcBorders>
            <w:shd w:val="clear" w:color="auto" w:fill="FFFFFF"/>
            <w:vAlign w:val="center"/>
          </w:tcPr>
          <w:p w14:paraId="5CFDE7F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7.7</w:t>
            </w:r>
          </w:p>
        </w:tc>
        <w:tc>
          <w:tcPr>
            <w:tcW w:w="851" w:type="dxa"/>
            <w:tcBorders>
              <w:top w:val="single" w:sz="4" w:space="0" w:color="auto"/>
            </w:tcBorders>
            <w:shd w:val="clear" w:color="auto" w:fill="FFFFFF"/>
            <w:vAlign w:val="center"/>
          </w:tcPr>
          <w:p w14:paraId="13B84BD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11.0</w:t>
            </w:r>
          </w:p>
        </w:tc>
        <w:tc>
          <w:tcPr>
            <w:tcW w:w="850" w:type="dxa"/>
            <w:tcBorders>
              <w:top w:val="single" w:sz="4" w:space="0" w:color="auto"/>
            </w:tcBorders>
            <w:shd w:val="clear" w:color="auto" w:fill="FFFFFF"/>
            <w:vAlign w:val="center"/>
          </w:tcPr>
          <w:p w14:paraId="2041520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14.9</w:t>
            </w:r>
          </w:p>
        </w:tc>
        <w:tc>
          <w:tcPr>
            <w:tcW w:w="709" w:type="dxa"/>
            <w:tcBorders>
              <w:top w:val="single" w:sz="4" w:space="0" w:color="auto"/>
            </w:tcBorders>
            <w:shd w:val="clear" w:color="auto" w:fill="FFFFFF"/>
            <w:vAlign w:val="center"/>
          </w:tcPr>
          <w:p w14:paraId="04F51D8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16.3</w:t>
            </w:r>
          </w:p>
        </w:tc>
        <w:tc>
          <w:tcPr>
            <w:tcW w:w="996" w:type="dxa"/>
            <w:tcBorders>
              <w:top w:val="single" w:sz="4" w:space="0" w:color="auto"/>
            </w:tcBorders>
            <w:shd w:val="clear" w:color="auto" w:fill="FFFFFF"/>
            <w:vAlign w:val="center"/>
          </w:tcPr>
          <w:p w14:paraId="4A7B94D8"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 xml:space="preserve">    24.9</w:t>
            </w:r>
          </w:p>
        </w:tc>
      </w:tr>
      <w:tr w:rsidR="006F7A03" w:rsidRPr="00615328" w14:paraId="6E98CD8F" w14:textId="77777777" w:rsidTr="00A90AAE">
        <w:trPr>
          <w:trHeight w:val="315"/>
        </w:trPr>
        <w:tc>
          <w:tcPr>
            <w:tcW w:w="3778" w:type="dxa"/>
            <w:shd w:val="clear" w:color="auto" w:fill="FFFFFF"/>
            <w:vAlign w:val="center"/>
            <w:hideMark/>
          </w:tcPr>
          <w:p w14:paraId="56DBB4F2"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ՀՆԱ-ի նկատմամբ (%)</w:t>
            </w:r>
          </w:p>
        </w:tc>
        <w:tc>
          <w:tcPr>
            <w:tcW w:w="1134" w:type="dxa"/>
            <w:shd w:val="clear" w:color="auto" w:fill="FFFFFF"/>
            <w:vAlign w:val="center"/>
            <w:hideMark/>
          </w:tcPr>
          <w:p w14:paraId="45B97D5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711" w:type="dxa"/>
            <w:shd w:val="clear" w:color="auto" w:fill="FFFFFF"/>
            <w:vAlign w:val="center"/>
            <w:hideMark/>
          </w:tcPr>
          <w:p w14:paraId="780A196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8.0</w:t>
            </w:r>
          </w:p>
        </w:tc>
        <w:tc>
          <w:tcPr>
            <w:tcW w:w="850" w:type="dxa"/>
            <w:shd w:val="clear" w:color="auto" w:fill="FFFFFF"/>
            <w:vAlign w:val="center"/>
          </w:tcPr>
          <w:p w14:paraId="367DFB2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851" w:type="dxa"/>
            <w:shd w:val="clear" w:color="auto" w:fill="FFFFFF"/>
            <w:vAlign w:val="center"/>
          </w:tcPr>
          <w:p w14:paraId="1A190CE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850" w:type="dxa"/>
            <w:shd w:val="clear" w:color="auto" w:fill="FFFFFF"/>
            <w:vAlign w:val="center"/>
          </w:tcPr>
          <w:p w14:paraId="4E114F9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709" w:type="dxa"/>
            <w:shd w:val="clear" w:color="auto" w:fill="FFFFFF"/>
            <w:vAlign w:val="center"/>
          </w:tcPr>
          <w:p w14:paraId="09281560"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996" w:type="dxa"/>
            <w:shd w:val="clear" w:color="auto" w:fill="FFFFFF"/>
            <w:vAlign w:val="center"/>
          </w:tcPr>
          <w:p w14:paraId="61C8C77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0.2</w:t>
            </w:r>
          </w:p>
        </w:tc>
      </w:tr>
      <w:tr w:rsidR="006F7A03" w:rsidRPr="00615328" w14:paraId="18A84D19" w14:textId="77777777" w:rsidTr="00A90AAE">
        <w:trPr>
          <w:trHeight w:val="315"/>
        </w:trPr>
        <w:tc>
          <w:tcPr>
            <w:tcW w:w="3778" w:type="dxa"/>
            <w:tcBorders>
              <w:bottom w:val="single" w:sz="4" w:space="0" w:color="auto"/>
            </w:tcBorders>
            <w:shd w:val="clear" w:color="auto" w:fill="FFFFFF"/>
            <w:vAlign w:val="center"/>
            <w:hideMark/>
          </w:tcPr>
          <w:p w14:paraId="7712E307"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Ընդհանուր ծախսերում (%)</w:t>
            </w:r>
          </w:p>
        </w:tc>
        <w:tc>
          <w:tcPr>
            <w:tcW w:w="1134" w:type="dxa"/>
            <w:tcBorders>
              <w:bottom w:val="single" w:sz="4" w:space="0" w:color="auto"/>
            </w:tcBorders>
            <w:shd w:val="clear" w:color="auto" w:fill="FFFFFF"/>
            <w:vAlign w:val="center"/>
            <w:hideMark/>
          </w:tcPr>
          <w:p w14:paraId="2A9C7BF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0.3</w:t>
            </w:r>
          </w:p>
        </w:tc>
        <w:tc>
          <w:tcPr>
            <w:tcW w:w="711" w:type="dxa"/>
            <w:tcBorders>
              <w:bottom w:val="single" w:sz="4" w:space="0" w:color="auto"/>
            </w:tcBorders>
            <w:shd w:val="clear" w:color="auto" w:fill="FFFFFF"/>
            <w:vAlign w:val="center"/>
            <w:hideMark/>
          </w:tcPr>
          <w:p w14:paraId="504C159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0.3</w:t>
            </w:r>
          </w:p>
        </w:tc>
        <w:tc>
          <w:tcPr>
            <w:tcW w:w="850" w:type="dxa"/>
            <w:tcBorders>
              <w:bottom w:val="single" w:sz="4" w:space="0" w:color="auto"/>
            </w:tcBorders>
            <w:shd w:val="clear" w:color="auto" w:fill="FFFFFF"/>
            <w:vAlign w:val="center"/>
          </w:tcPr>
          <w:p w14:paraId="11E4DC1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0.3</w:t>
            </w:r>
          </w:p>
        </w:tc>
        <w:tc>
          <w:tcPr>
            <w:tcW w:w="851" w:type="dxa"/>
            <w:tcBorders>
              <w:bottom w:val="single" w:sz="4" w:space="0" w:color="auto"/>
            </w:tcBorders>
            <w:shd w:val="clear" w:color="auto" w:fill="FFFFFF"/>
            <w:vAlign w:val="center"/>
          </w:tcPr>
          <w:p w14:paraId="13DBDB2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0.3</w:t>
            </w:r>
          </w:p>
        </w:tc>
        <w:tc>
          <w:tcPr>
            <w:tcW w:w="850" w:type="dxa"/>
            <w:tcBorders>
              <w:bottom w:val="single" w:sz="4" w:space="0" w:color="auto"/>
            </w:tcBorders>
            <w:shd w:val="clear" w:color="auto" w:fill="FFFFFF"/>
            <w:vAlign w:val="center"/>
          </w:tcPr>
          <w:p w14:paraId="7472887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0.4</w:t>
            </w:r>
          </w:p>
        </w:tc>
        <w:tc>
          <w:tcPr>
            <w:tcW w:w="709" w:type="dxa"/>
            <w:tcBorders>
              <w:bottom w:val="single" w:sz="4" w:space="0" w:color="auto"/>
            </w:tcBorders>
            <w:shd w:val="clear" w:color="auto" w:fill="FFFFFF"/>
            <w:vAlign w:val="center"/>
          </w:tcPr>
          <w:p w14:paraId="68E9D9E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0.4</w:t>
            </w:r>
          </w:p>
        </w:tc>
        <w:tc>
          <w:tcPr>
            <w:tcW w:w="996" w:type="dxa"/>
            <w:tcBorders>
              <w:bottom w:val="single" w:sz="4" w:space="0" w:color="auto"/>
            </w:tcBorders>
            <w:shd w:val="clear" w:color="auto" w:fill="FFFFFF"/>
            <w:vAlign w:val="center"/>
          </w:tcPr>
          <w:p w14:paraId="6E5A48D0"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0.6</w:t>
            </w:r>
          </w:p>
        </w:tc>
      </w:tr>
      <w:tr w:rsidR="006F7A03" w:rsidRPr="00615328" w14:paraId="3C2D93A5" w14:textId="77777777" w:rsidTr="00A90AAE">
        <w:trPr>
          <w:trHeight w:val="525"/>
        </w:trPr>
        <w:tc>
          <w:tcPr>
            <w:tcW w:w="3778" w:type="dxa"/>
            <w:tcBorders>
              <w:top w:val="single" w:sz="4" w:space="0" w:color="auto"/>
            </w:tcBorders>
            <w:shd w:val="clear" w:color="auto" w:fill="FFFFFF"/>
            <w:vAlign w:val="center"/>
            <w:hideMark/>
          </w:tcPr>
          <w:p w14:paraId="0BA2838A" w14:textId="77777777" w:rsidR="006F7A03" w:rsidRPr="00615328" w:rsidRDefault="006F7A03" w:rsidP="00A90AAE">
            <w:pPr>
              <w:tabs>
                <w:tab w:val="left" w:pos="0"/>
              </w:tabs>
              <w:spacing w:before="120" w:after="0" w:line="240" w:lineRule="auto"/>
              <w:ind w:firstLine="0"/>
              <w:jc w:val="left"/>
              <w:rPr>
                <w:rFonts w:cs="Calibri"/>
                <w:bCs/>
                <w:color w:val="000000"/>
                <w:sz w:val="16"/>
                <w:szCs w:val="16"/>
              </w:rPr>
            </w:pPr>
            <w:r w:rsidRPr="00615328">
              <w:rPr>
                <w:rFonts w:cs="Calibri"/>
                <w:bCs/>
                <w:color w:val="000000"/>
                <w:sz w:val="16"/>
                <w:szCs w:val="16"/>
              </w:rPr>
              <w:t>3. Բնակարանային շինարարություն և կոմունալ ծառայություններ</w:t>
            </w:r>
          </w:p>
        </w:tc>
        <w:tc>
          <w:tcPr>
            <w:tcW w:w="1134" w:type="dxa"/>
            <w:tcBorders>
              <w:top w:val="single" w:sz="4" w:space="0" w:color="auto"/>
            </w:tcBorders>
            <w:shd w:val="clear" w:color="auto" w:fill="FFFFFF"/>
            <w:vAlign w:val="center"/>
            <w:hideMark/>
          </w:tcPr>
          <w:p w14:paraId="749CF53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9.5</w:t>
            </w:r>
          </w:p>
        </w:tc>
        <w:tc>
          <w:tcPr>
            <w:tcW w:w="711" w:type="dxa"/>
            <w:tcBorders>
              <w:top w:val="single" w:sz="4" w:space="0" w:color="auto"/>
            </w:tcBorders>
            <w:shd w:val="clear" w:color="auto" w:fill="FFFFFF"/>
            <w:vAlign w:val="center"/>
            <w:hideMark/>
          </w:tcPr>
          <w:p w14:paraId="4478F02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9.5</w:t>
            </w:r>
          </w:p>
        </w:tc>
        <w:tc>
          <w:tcPr>
            <w:tcW w:w="850" w:type="dxa"/>
            <w:tcBorders>
              <w:top w:val="single" w:sz="4" w:space="0" w:color="auto"/>
            </w:tcBorders>
            <w:shd w:val="clear" w:color="auto" w:fill="FFFFFF"/>
            <w:vAlign w:val="center"/>
          </w:tcPr>
          <w:p w14:paraId="6EA24E5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10.9</w:t>
            </w:r>
          </w:p>
        </w:tc>
        <w:tc>
          <w:tcPr>
            <w:tcW w:w="851" w:type="dxa"/>
            <w:tcBorders>
              <w:top w:val="single" w:sz="4" w:space="0" w:color="auto"/>
            </w:tcBorders>
            <w:shd w:val="clear" w:color="auto" w:fill="FFFFFF"/>
            <w:vAlign w:val="center"/>
          </w:tcPr>
          <w:p w14:paraId="63A4BD6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19.0</w:t>
            </w:r>
          </w:p>
        </w:tc>
        <w:tc>
          <w:tcPr>
            <w:tcW w:w="850" w:type="dxa"/>
            <w:tcBorders>
              <w:top w:val="single" w:sz="4" w:space="0" w:color="auto"/>
            </w:tcBorders>
            <w:shd w:val="clear" w:color="auto" w:fill="FFFFFF"/>
            <w:vAlign w:val="center"/>
          </w:tcPr>
          <w:p w14:paraId="4202985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16.2</w:t>
            </w:r>
          </w:p>
        </w:tc>
        <w:tc>
          <w:tcPr>
            <w:tcW w:w="709" w:type="dxa"/>
            <w:tcBorders>
              <w:top w:val="single" w:sz="4" w:space="0" w:color="auto"/>
            </w:tcBorders>
            <w:shd w:val="clear" w:color="auto" w:fill="FFFFFF"/>
            <w:vAlign w:val="center"/>
          </w:tcPr>
          <w:p w14:paraId="789B3AD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6.1</w:t>
            </w:r>
          </w:p>
        </w:tc>
        <w:tc>
          <w:tcPr>
            <w:tcW w:w="996" w:type="dxa"/>
            <w:tcBorders>
              <w:top w:val="single" w:sz="4" w:space="0" w:color="auto"/>
            </w:tcBorders>
            <w:shd w:val="clear" w:color="auto" w:fill="FFFFFF"/>
            <w:vAlign w:val="center"/>
          </w:tcPr>
          <w:p w14:paraId="762D1FE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6.1</w:t>
            </w:r>
          </w:p>
        </w:tc>
      </w:tr>
      <w:tr w:rsidR="006F7A03" w:rsidRPr="00615328" w14:paraId="089B59C7" w14:textId="77777777" w:rsidTr="00A90AAE">
        <w:trPr>
          <w:trHeight w:val="315"/>
        </w:trPr>
        <w:tc>
          <w:tcPr>
            <w:tcW w:w="3778" w:type="dxa"/>
            <w:shd w:val="clear" w:color="auto" w:fill="FFFFFF"/>
            <w:vAlign w:val="center"/>
            <w:hideMark/>
          </w:tcPr>
          <w:p w14:paraId="3B85F9BB"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ՀՆԱ-ի նկատմամբ (%)</w:t>
            </w:r>
          </w:p>
        </w:tc>
        <w:tc>
          <w:tcPr>
            <w:tcW w:w="1134" w:type="dxa"/>
            <w:shd w:val="clear" w:color="auto" w:fill="FFFFFF"/>
            <w:vAlign w:val="center"/>
            <w:hideMark/>
          </w:tcPr>
          <w:p w14:paraId="1DCA5E2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711" w:type="dxa"/>
            <w:shd w:val="clear" w:color="auto" w:fill="FFFFFF"/>
            <w:vAlign w:val="center"/>
            <w:hideMark/>
          </w:tcPr>
          <w:p w14:paraId="778A516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850" w:type="dxa"/>
            <w:shd w:val="clear" w:color="auto" w:fill="FFFFFF"/>
            <w:vAlign w:val="center"/>
          </w:tcPr>
          <w:p w14:paraId="1062FEA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851" w:type="dxa"/>
            <w:shd w:val="clear" w:color="auto" w:fill="FFFFFF"/>
            <w:vAlign w:val="center"/>
          </w:tcPr>
          <w:p w14:paraId="40D0BCF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0.2</w:t>
            </w:r>
          </w:p>
        </w:tc>
        <w:tc>
          <w:tcPr>
            <w:tcW w:w="850" w:type="dxa"/>
            <w:shd w:val="clear" w:color="auto" w:fill="FFFFFF"/>
            <w:vAlign w:val="center"/>
          </w:tcPr>
          <w:p w14:paraId="22EE173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0.1</w:t>
            </w:r>
          </w:p>
        </w:tc>
        <w:tc>
          <w:tcPr>
            <w:tcW w:w="709" w:type="dxa"/>
            <w:shd w:val="clear" w:color="auto" w:fill="FFFFFF"/>
            <w:vAlign w:val="center"/>
          </w:tcPr>
          <w:p w14:paraId="22FD576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0.05</w:t>
            </w:r>
          </w:p>
        </w:tc>
        <w:tc>
          <w:tcPr>
            <w:tcW w:w="996" w:type="dxa"/>
            <w:shd w:val="clear" w:color="auto" w:fill="FFFFFF"/>
            <w:vAlign w:val="center"/>
          </w:tcPr>
          <w:p w14:paraId="6C0EA34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0.05</w:t>
            </w:r>
          </w:p>
        </w:tc>
      </w:tr>
      <w:tr w:rsidR="006F7A03" w:rsidRPr="00615328" w14:paraId="5C100561" w14:textId="77777777" w:rsidTr="00A90AAE">
        <w:trPr>
          <w:trHeight w:val="315"/>
        </w:trPr>
        <w:tc>
          <w:tcPr>
            <w:tcW w:w="3778" w:type="dxa"/>
            <w:tcBorders>
              <w:bottom w:val="single" w:sz="4" w:space="0" w:color="auto"/>
            </w:tcBorders>
            <w:shd w:val="clear" w:color="auto" w:fill="FFFFFF"/>
            <w:vAlign w:val="center"/>
            <w:hideMark/>
          </w:tcPr>
          <w:p w14:paraId="4ACFDF90" w14:textId="77777777" w:rsidR="006F7A03" w:rsidRPr="00615328" w:rsidRDefault="006F7A03" w:rsidP="00A90AAE">
            <w:pPr>
              <w:tabs>
                <w:tab w:val="left" w:pos="0"/>
              </w:tabs>
              <w:spacing w:before="120" w:after="0" w:line="240" w:lineRule="auto"/>
              <w:ind w:firstLine="0"/>
              <w:rPr>
                <w:rFonts w:cs="Calibri"/>
                <w:color w:val="000000"/>
                <w:sz w:val="16"/>
                <w:szCs w:val="16"/>
              </w:rPr>
            </w:pPr>
            <w:r w:rsidRPr="00615328">
              <w:rPr>
                <w:rFonts w:cs="Calibri"/>
                <w:color w:val="000000"/>
                <w:sz w:val="16"/>
                <w:szCs w:val="16"/>
              </w:rPr>
              <w:t>Ընդհանուր ծախսերում (%)</w:t>
            </w:r>
          </w:p>
        </w:tc>
        <w:tc>
          <w:tcPr>
            <w:tcW w:w="1134" w:type="dxa"/>
            <w:tcBorders>
              <w:bottom w:val="single" w:sz="4" w:space="0" w:color="auto"/>
            </w:tcBorders>
            <w:shd w:val="clear" w:color="auto" w:fill="FFFFFF"/>
            <w:vAlign w:val="center"/>
            <w:hideMark/>
          </w:tcPr>
          <w:p w14:paraId="23C080F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0.5</w:t>
            </w:r>
          </w:p>
        </w:tc>
        <w:tc>
          <w:tcPr>
            <w:tcW w:w="711" w:type="dxa"/>
            <w:tcBorders>
              <w:bottom w:val="single" w:sz="4" w:space="0" w:color="auto"/>
            </w:tcBorders>
            <w:shd w:val="clear" w:color="auto" w:fill="FFFFFF"/>
            <w:vAlign w:val="center"/>
            <w:hideMark/>
          </w:tcPr>
          <w:p w14:paraId="2B203B8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0.4</w:t>
            </w:r>
          </w:p>
        </w:tc>
        <w:tc>
          <w:tcPr>
            <w:tcW w:w="850" w:type="dxa"/>
            <w:tcBorders>
              <w:bottom w:val="single" w:sz="4" w:space="0" w:color="auto"/>
            </w:tcBorders>
            <w:shd w:val="clear" w:color="auto" w:fill="FFFFFF"/>
            <w:vAlign w:val="center"/>
          </w:tcPr>
          <w:p w14:paraId="0E99766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0.4</w:t>
            </w:r>
          </w:p>
        </w:tc>
        <w:tc>
          <w:tcPr>
            <w:tcW w:w="851" w:type="dxa"/>
            <w:tcBorders>
              <w:bottom w:val="single" w:sz="4" w:space="0" w:color="auto"/>
            </w:tcBorders>
            <w:shd w:val="clear" w:color="auto" w:fill="FFFFFF"/>
            <w:vAlign w:val="center"/>
          </w:tcPr>
          <w:p w14:paraId="3061042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0.6</w:t>
            </w:r>
          </w:p>
        </w:tc>
        <w:tc>
          <w:tcPr>
            <w:tcW w:w="850" w:type="dxa"/>
            <w:tcBorders>
              <w:bottom w:val="single" w:sz="4" w:space="0" w:color="auto"/>
            </w:tcBorders>
            <w:shd w:val="clear" w:color="auto" w:fill="FFFFFF"/>
            <w:vAlign w:val="center"/>
          </w:tcPr>
          <w:p w14:paraId="14E8E36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0.5</w:t>
            </w:r>
          </w:p>
        </w:tc>
        <w:tc>
          <w:tcPr>
            <w:tcW w:w="709" w:type="dxa"/>
            <w:tcBorders>
              <w:bottom w:val="single" w:sz="4" w:space="0" w:color="auto"/>
            </w:tcBorders>
            <w:shd w:val="clear" w:color="auto" w:fill="FFFFFF"/>
            <w:vAlign w:val="center"/>
          </w:tcPr>
          <w:p w14:paraId="45687F5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0.2</w:t>
            </w:r>
          </w:p>
        </w:tc>
        <w:tc>
          <w:tcPr>
            <w:tcW w:w="996" w:type="dxa"/>
            <w:tcBorders>
              <w:bottom w:val="single" w:sz="4" w:space="0" w:color="auto"/>
            </w:tcBorders>
            <w:shd w:val="clear" w:color="auto" w:fill="FFFFFF"/>
            <w:vAlign w:val="center"/>
          </w:tcPr>
          <w:p w14:paraId="54EB25A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sidRPr="00615328">
              <w:rPr>
                <w:rFonts w:cs="Calibri"/>
                <w:color w:val="000000"/>
                <w:sz w:val="16"/>
                <w:szCs w:val="16"/>
              </w:rPr>
              <w:t>0.2</w:t>
            </w:r>
          </w:p>
        </w:tc>
      </w:tr>
    </w:tbl>
    <w:p w14:paraId="6DAB3D4B" w14:textId="77777777" w:rsidR="006F7A03" w:rsidRPr="001D35FD" w:rsidRDefault="006F7A03" w:rsidP="006F7A03">
      <w:pPr>
        <w:tabs>
          <w:tab w:val="left" w:pos="0"/>
        </w:tabs>
        <w:spacing w:before="120" w:after="0" w:line="240" w:lineRule="auto"/>
        <w:ind w:firstLine="0"/>
        <w:jc w:val="center"/>
        <w:rPr>
          <w:rFonts w:cs="Calibri"/>
          <w:color w:val="000000"/>
          <w:sz w:val="18"/>
          <w:szCs w:val="18"/>
        </w:rPr>
      </w:pPr>
    </w:p>
    <w:p w14:paraId="5D5B4507" w14:textId="77777777" w:rsidR="006F7A03" w:rsidRPr="007830E5" w:rsidRDefault="006F7A03" w:rsidP="006F7A03">
      <w:pPr>
        <w:tabs>
          <w:tab w:val="left" w:pos="0"/>
        </w:tabs>
        <w:spacing w:before="120" w:after="0" w:line="276" w:lineRule="auto"/>
        <w:ind w:firstLine="0"/>
        <w:rPr>
          <w:rFonts w:cs="Arial"/>
          <w:lang w:val="hy-AM"/>
        </w:rPr>
      </w:pPr>
      <w:r w:rsidRPr="007830E5">
        <w:rPr>
          <w:rFonts w:cs="Arial"/>
          <w:lang w:val="hy-AM"/>
        </w:rPr>
        <w:t>Տնտեսության ճյուղերի</w:t>
      </w:r>
      <w:r>
        <w:rPr>
          <w:rFonts w:cs="Arial"/>
          <w:lang w:val="hy-AM"/>
        </w:rPr>
        <w:t xml:space="preserve"> 2025-2027</w:t>
      </w:r>
      <w:r w:rsidRPr="007830E5">
        <w:rPr>
          <w:rFonts w:cs="Arial"/>
          <w:lang w:val="hy-AM"/>
        </w:rPr>
        <w:t xml:space="preserve"> թվականների ծախսերը նպատակաուղղված են լինելու  ենթակառուցվածքների, տնտեսության իրական հատվածի, բարձր տեխնոլոգիական արդյունաբերական, ինչպես նաև բնապահպանական բարձր չափանիշներին համապատասխանող՝ արտահանմանը միտված մրցունակ և ներառական տնտեսության կառուցմանն ուղղված ծրագրերի իրականացմանը։</w:t>
      </w:r>
    </w:p>
    <w:p w14:paraId="11741535" w14:textId="77777777" w:rsidR="006F7A03" w:rsidRPr="005E23A9" w:rsidRDefault="006F7A03" w:rsidP="006F7A03">
      <w:pPr>
        <w:tabs>
          <w:tab w:val="left" w:pos="0"/>
        </w:tabs>
        <w:spacing w:before="120" w:after="0" w:line="276" w:lineRule="auto"/>
        <w:ind w:firstLine="0"/>
        <w:rPr>
          <w:lang w:val="hy-AM"/>
        </w:rPr>
      </w:pPr>
      <w:r w:rsidRPr="005E23A9">
        <w:rPr>
          <w:lang w:val="hy-AM"/>
        </w:rPr>
        <w:t>202</w:t>
      </w:r>
      <w:r>
        <w:rPr>
          <w:lang w:val="hy-AM"/>
        </w:rPr>
        <w:t>5</w:t>
      </w:r>
      <w:r w:rsidRPr="005E23A9">
        <w:rPr>
          <w:lang w:val="hy-AM"/>
        </w:rPr>
        <w:t>-202</w:t>
      </w:r>
      <w:r>
        <w:rPr>
          <w:lang w:val="hy-AM"/>
        </w:rPr>
        <w:t>7</w:t>
      </w:r>
      <w:r w:rsidRPr="005E23A9">
        <w:rPr>
          <w:rFonts w:cs="Arial"/>
          <w:lang w:val="hy-AM"/>
        </w:rPr>
        <w:t>թթ.</w:t>
      </w:r>
      <w:r w:rsidRPr="005E23A9">
        <w:rPr>
          <w:lang w:val="hy-AM"/>
        </w:rPr>
        <w:t xml:space="preserve"> </w:t>
      </w:r>
      <w:r w:rsidRPr="005E23A9">
        <w:rPr>
          <w:rFonts w:cs="Arial"/>
          <w:lang w:val="hy-AM"/>
        </w:rPr>
        <w:t>ժամանակահատվածում</w:t>
      </w:r>
      <w:r w:rsidRPr="005E23A9">
        <w:rPr>
          <w:lang w:val="hy-AM"/>
        </w:rPr>
        <w:t xml:space="preserve"> </w:t>
      </w:r>
      <w:r w:rsidRPr="005E23A9">
        <w:rPr>
          <w:rFonts w:cs="Arial"/>
          <w:lang w:val="hy-AM"/>
        </w:rPr>
        <w:t>պետական</w:t>
      </w:r>
      <w:r w:rsidRPr="005E23A9">
        <w:rPr>
          <w:lang w:val="hy-AM"/>
        </w:rPr>
        <w:t xml:space="preserve"> </w:t>
      </w:r>
      <w:r w:rsidRPr="005E23A9">
        <w:rPr>
          <w:rFonts w:cs="Arial"/>
          <w:lang w:val="hy-AM"/>
        </w:rPr>
        <w:t>բյուջեների</w:t>
      </w:r>
      <w:r w:rsidRPr="005E23A9">
        <w:rPr>
          <w:lang w:val="hy-AM"/>
        </w:rPr>
        <w:t xml:space="preserve"> </w:t>
      </w:r>
      <w:r w:rsidRPr="005E23A9">
        <w:rPr>
          <w:rFonts w:cs="Arial"/>
          <w:lang w:val="hy-AM"/>
        </w:rPr>
        <w:t>ծախ</w:t>
      </w:r>
      <w:r w:rsidRPr="005E23A9">
        <w:rPr>
          <w:lang w:val="hy-AM"/>
        </w:rPr>
        <w:softHyphen/>
      </w:r>
      <w:r w:rsidRPr="005E23A9">
        <w:rPr>
          <w:rFonts w:cs="Arial"/>
          <w:lang w:val="hy-AM"/>
        </w:rPr>
        <w:t>սերի</w:t>
      </w:r>
      <w:r w:rsidRPr="005E23A9">
        <w:rPr>
          <w:lang w:val="hy-AM"/>
        </w:rPr>
        <w:t xml:space="preserve"> </w:t>
      </w:r>
      <w:r w:rsidRPr="005E23A9">
        <w:rPr>
          <w:rFonts w:cs="Arial"/>
          <w:lang w:val="hy-AM"/>
        </w:rPr>
        <w:t>ընդհանուր</w:t>
      </w:r>
      <w:r w:rsidRPr="005E23A9">
        <w:rPr>
          <w:lang w:val="hy-AM"/>
        </w:rPr>
        <w:t xml:space="preserve"> </w:t>
      </w:r>
      <w:r w:rsidRPr="005E23A9">
        <w:rPr>
          <w:rFonts w:cs="Arial"/>
          <w:lang w:val="hy-AM"/>
        </w:rPr>
        <w:t>ծավալը</w:t>
      </w:r>
      <w:r w:rsidRPr="005E23A9">
        <w:rPr>
          <w:lang w:val="hy-AM"/>
        </w:rPr>
        <w:t xml:space="preserve"> </w:t>
      </w:r>
      <w:r w:rsidRPr="005E23A9">
        <w:rPr>
          <w:rFonts w:cs="Arial"/>
          <w:lang w:val="hy-AM"/>
        </w:rPr>
        <w:t>որոշ</w:t>
      </w:r>
      <w:r w:rsidRPr="005E23A9">
        <w:rPr>
          <w:lang w:val="hy-AM"/>
        </w:rPr>
        <w:t xml:space="preserve"> </w:t>
      </w:r>
      <w:r w:rsidRPr="005E23A9">
        <w:rPr>
          <w:rFonts w:cs="Arial"/>
          <w:lang w:val="hy-AM"/>
        </w:rPr>
        <w:t>կախ</w:t>
      </w:r>
      <w:r w:rsidRPr="005E23A9">
        <w:rPr>
          <w:lang w:val="hy-AM"/>
        </w:rPr>
        <w:softHyphen/>
      </w:r>
      <w:r w:rsidRPr="005E23A9">
        <w:rPr>
          <w:rFonts w:cs="Arial"/>
          <w:lang w:val="hy-AM"/>
        </w:rPr>
        <w:t>վածության</w:t>
      </w:r>
      <w:r w:rsidRPr="005E23A9">
        <w:rPr>
          <w:lang w:val="hy-AM"/>
        </w:rPr>
        <w:t xml:space="preserve"> </w:t>
      </w:r>
      <w:r w:rsidRPr="005E23A9">
        <w:rPr>
          <w:rFonts w:cs="Arial"/>
          <w:lang w:val="hy-AM"/>
        </w:rPr>
        <w:t>մեջ</w:t>
      </w:r>
      <w:r w:rsidRPr="005E23A9">
        <w:rPr>
          <w:lang w:val="hy-AM"/>
        </w:rPr>
        <w:t xml:space="preserve"> </w:t>
      </w:r>
      <w:r w:rsidRPr="005E23A9">
        <w:rPr>
          <w:rFonts w:cs="Arial"/>
          <w:lang w:val="hy-AM"/>
        </w:rPr>
        <w:t>կլինի</w:t>
      </w:r>
      <w:r w:rsidRPr="005E23A9">
        <w:rPr>
          <w:lang w:val="hy-AM"/>
        </w:rPr>
        <w:t xml:space="preserve"> նաև </w:t>
      </w:r>
      <w:r w:rsidRPr="005E23A9">
        <w:rPr>
          <w:rFonts w:cs="Arial"/>
          <w:lang w:val="hy-AM"/>
        </w:rPr>
        <w:t>արտաքին</w:t>
      </w:r>
      <w:r w:rsidRPr="005E23A9">
        <w:rPr>
          <w:lang w:val="hy-AM"/>
        </w:rPr>
        <w:t xml:space="preserve"> </w:t>
      </w:r>
      <w:r w:rsidRPr="005E23A9">
        <w:rPr>
          <w:rFonts w:cs="Arial"/>
          <w:lang w:val="hy-AM"/>
        </w:rPr>
        <w:t>հոսքերից</w:t>
      </w:r>
      <w:r w:rsidRPr="005E23A9">
        <w:rPr>
          <w:lang w:val="hy-AM"/>
        </w:rPr>
        <w:t xml:space="preserve">: </w:t>
      </w:r>
    </w:p>
    <w:p w14:paraId="2D5E48CE" w14:textId="77777777" w:rsidR="006F7A03" w:rsidRPr="005E23A9" w:rsidRDefault="006F7A03" w:rsidP="006F7A03">
      <w:pPr>
        <w:tabs>
          <w:tab w:val="left" w:pos="0"/>
        </w:tabs>
        <w:spacing w:before="120" w:after="0" w:line="276" w:lineRule="auto"/>
        <w:ind w:firstLine="0"/>
        <w:rPr>
          <w:rFonts w:cs="Arial"/>
          <w:b/>
          <w:sz w:val="20"/>
          <w:szCs w:val="20"/>
          <w:lang w:val="hy-AM"/>
        </w:rPr>
      </w:pPr>
    </w:p>
    <w:p w14:paraId="151BC34E" w14:textId="77777777" w:rsidR="006F7A03" w:rsidRPr="0031357F" w:rsidRDefault="006F7A03" w:rsidP="006F7A03">
      <w:pPr>
        <w:tabs>
          <w:tab w:val="left" w:pos="0"/>
        </w:tabs>
        <w:spacing w:before="120" w:after="0" w:line="276" w:lineRule="auto"/>
        <w:ind w:firstLine="0"/>
        <w:rPr>
          <w:lang w:val="hy-AM"/>
        </w:rPr>
      </w:pPr>
      <w:r w:rsidRPr="00A72EE1">
        <w:rPr>
          <w:rFonts w:cs="Arial"/>
          <w:b/>
          <w:lang w:val="hy-AM"/>
        </w:rPr>
        <w:lastRenderedPageBreak/>
        <w:t xml:space="preserve">Աղյուսակ 4.2.3 </w:t>
      </w:r>
      <w:r w:rsidRPr="00A72EE1">
        <w:rPr>
          <w:rFonts w:cs="Arial"/>
          <w:lang w:val="hy-AM"/>
        </w:rPr>
        <w:t>Արտաքին աղբյուրներից 2021-2027թթ միջոցների (վարկերի և պաշտո</w:t>
      </w:r>
      <w:r w:rsidRPr="00A72EE1">
        <w:rPr>
          <w:rFonts w:cs="Arial"/>
          <w:lang w:val="hy-AM"/>
        </w:rPr>
        <w:softHyphen/>
        <w:t>նական դրամաշնորհներ) հաշվին ֆինանսավորվող ծախսերը, մլրդ</w:t>
      </w:r>
      <w:r w:rsidRPr="00A72EE1">
        <w:rPr>
          <w:lang w:val="hy-AM"/>
        </w:rPr>
        <w:t xml:space="preserve"> </w:t>
      </w:r>
      <w:r w:rsidRPr="00A72EE1">
        <w:rPr>
          <w:rFonts w:cs="Arial"/>
          <w:lang w:val="hy-AM"/>
        </w:rPr>
        <w:t>դրամ</w:t>
      </w:r>
    </w:p>
    <w:tbl>
      <w:tblPr>
        <w:tblW w:w="9879" w:type="dxa"/>
        <w:tblInd w:w="50" w:type="dxa"/>
        <w:tblLayout w:type="fixed"/>
        <w:tblLook w:val="04A0" w:firstRow="1" w:lastRow="0" w:firstColumn="1" w:lastColumn="0" w:noHBand="0" w:noVBand="1"/>
      </w:tblPr>
      <w:tblGrid>
        <w:gridCol w:w="3778"/>
        <w:gridCol w:w="1134"/>
        <w:gridCol w:w="711"/>
        <w:gridCol w:w="850"/>
        <w:gridCol w:w="851"/>
        <w:gridCol w:w="850"/>
        <w:gridCol w:w="709"/>
        <w:gridCol w:w="996"/>
      </w:tblGrid>
      <w:tr w:rsidR="006F7A03" w:rsidRPr="00615328" w14:paraId="27298DD8" w14:textId="77777777" w:rsidTr="00A90AAE">
        <w:trPr>
          <w:trHeight w:val="315"/>
        </w:trPr>
        <w:tc>
          <w:tcPr>
            <w:tcW w:w="3778" w:type="dxa"/>
            <w:vMerge w:val="restart"/>
            <w:shd w:val="clear" w:color="auto" w:fill="auto"/>
            <w:vAlign w:val="center"/>
          </w:tcPr>
          <w:p w14:paraId="65205137" w14:textId="77777777" w:rsidR="006F7A03" w:rsidRPr="00615328" w:rsidRDefault="006F7A03" w:rsidP="00A90AAE">
            <w:pPr>
              <w:tabs>
                <w:tab w:val="left" w:pos="0"/>
              </w:tabs>
              <w:spacing w:before="120" w:after="0" w:line="240" w:lineRule="auto"/>
              <w:ind w:firstLine="0"/>
              <w:rPr>
                <w:rFonts w:cs="Calibri"/>
                <w:b/>
                <w:bCs/>
                <w:color w:val="000000"/>
                <w:sz w:val="16"/>
                <w:szCs w:val="16"/>
              </w:rPr>
            </w:pPr>
            <w:r w:rsidRPr="00615328">
              <w:rPr>
                <w:rFonts w:cs="Sylfaen"/>
                <w:color w:val="000000"/>
                <w:sz w:val="16"/>
                <w:szCs w:val="16"/>
              </w:rPr>
              <w:t>Ցուցանիշներ</w:t>
            </w:r>
          </w:p>
        </w:tc>
        <w:tc>
          <w:tcPr>
            <w:tcW w:w="2695" w:type="dxa"/>
            <w:gridSpan w:val="3"/>
            <w:tcBorders>
              <w:bottom w:val="single" w:sz="4" w:space="0" w:color="auto"/>
            </w:tcBorders>
            <w:shd w:val="clear" w:color="auto" w:fill="auto"/>
            <w:vAlign w:val="center"/>
          </w:tcPr>
          <w:p w14:paraId="23D88891"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rPr>
            </w:pPr>
            <w:r w:rsidRPr="00615328">
              <w:rPr>
                <w:rFonts w:cs="Calibri"/>
                <w:bCs/>
                <w:color w:val="000000"/>
                <w:sz w:val="16"/>
                <w:szCs w:val="16"/>
                <w:lang w:val="hy-AM"/>
              </w:rPr>
              <w:t>Փաստ</w:t>
            </w:r>
          </w:p>
        </w:tc>
        <w:tc>
          <w:tcPr>
            <w:tcW w:w="851" w:type="dxa"/>
            <w:shd w:val="clear" w:color="auto" w:fill="auto"/>
            <w:vAlign w:val="center"/>
          </w:tcPr>
          <w:p w14:paraId="44FBF77F" w14:textId="77777777" w:rsidR="006F7A03" w:rsidRPr="00615328" w:rsidRDefault="006F7A03" w:rsidP="00A90AAE">
            <w:pPr>
              <w:tabs>
                <w:tab w:val="left" w:pos="0"/>
              </w:tabs>
              <w:spacing w:before="120" w:after="0" w:line="240" w:lineRule="auto"/>
              <w:ind w:firstLine="0"/>
              <w:jc w:val="center"/>
              <w:rPr>
                <w:rFonts w:cs="Calibri"/>
                <w:b/>
                <w:bCs/>
                <w:color w:val="000000"/>
                <w:sz w:val="16"/>
                <w:szCs w:val="16"/>
              </w:rPr>
            </w:pPr>
            <w:r w:rsidRPr="00615328">
              <w:rPr>
                <w:rFonts w:cs="Calibri"/>
                <w:color w:val="000000"/>
                <w:sz w:val="16"/>
                <w:szCs w:val="16"/>
                <w:lang w:val="hy-AM"/>
              </w:rPr>
              <w:t>Բյուջե</w:t>
            </w:r>
          </w:p>
        </w:tc>
        <w:tc>
          <w:tcPr>
            <w:tcW w:w="2555" w:type="dxa"/>
            <w:gridSpan w:val="3"/>
            <w:tcBorders>
              <w:bottom w:val="single" w:sz="4" w:space="0" w:color="auto"/>
            </w:tcBorders>
            <w:shd w:val="clear" w:color="auto" w:fill="auto"/>
            <w:vAlign w:val="center"/>
          </w:tcPr>
          <w:p w14:paraId="11528E4B" w14:textId="77777777" w:rsidR="006F7A03" w:rsidRPr="00615328" w:rsidRDefault="006F7A03" w:rsidP="00A90AAE">
            <w:pPr>
              <w:tabs>
                <w:tab w:val="left" w:pos="0"/>
              </w:tabs>
              <w:spacing w:before="120" w:after="0" w:line="240" w:lineRule="auto"/>
              <w:ind w:firstLine="0"/>
              <w:jc w:val="center"/>
              <w:rPr>
                <w:rFonts w:cs="Calibri"/>
                <w:b/>
                <w:bCs/>
                <w:color w:val="000000"/>
                <w:sz w:val="16"/>
                <w:szCs w:val="16"/>
              </w:rPr>
            </w:pPr>
            <w:r w:rsidRPr="00615328">
              <w:rPr>
                <w:rFonts w:cs="Calibri"/>
                <w:color w:val="000000"/>
                <w:sz w:val="16"/>
                <w:szCs w:val="16"/>
              </w:rPr>
              <w:t>ՄԺԾԾ</w:t>
            </w:r>
          </w:p>
        </w:tc>
      </w:tr>
      <w:tr w:rsidR="006F7A03" w:rsidRPr="00615328" w14:paraId="239AB2F3" w14:textId="77777777" w:rsidTr="00A90AAE">
        <w:trPr>
          <w:trHeight w:val="366"/>
        </w:trPr>
        <w:tc>
          <w:tcPr>
            <w:tcW w:w="3778" w:type="dxa"/>
            <w:vMerge/>
            <w:tcBorders>
              <w:bottom w:val="single" w:sz="4" w:space="0" w:color="auto"/>
            </w:tcBorders>
            <w:shd w:val="clear" w:color="auto" w:fill="auto"/>
            <w:vAlign w:val="center"/>
          </w:tcPr>
          <w:p w14:paraId="00334C99" w14:textId="77777777" w:rsidR="006F7A03" w:rsidRPr="00615328" w:rsidRDefault="006F7A03" w:rsidP="00A90AAE">
            <w:pPr>
              <w:tabs>
                <w:tab w:val="left" w:pos="0"/>
              </w:tabs>
              <w:spacing w:before="120" w:after="0" w:line="240" w:lineRule="auto"/>
              <w:ind w:firstLine="0"/>
              <w:rPr>
                <w:rFonts w:cs="Calibri"/>
                <w:b/>
                <w:bCs/>
                <w:color w:val="000000"/>
                <w:sz w:val="16"/>
                <w:szCs w:val="16"/>
              </w:rPr>
            </w:pPr>
          </w:p>
        </w:tc>
        <w:tc>
          <w:tcPr>
            <w:tcW w:w="1134" w:type="dxa"/>
            <w:tcBorders>
              <w:top w:val="single" w:sz="4" w:space="0" w:color="auto"/>
              <w:bottom w:val="single" w:sz="4" w:space="0" w:color="auto"/>
            </w:tcBorders>
            <w:shd w:val="clear" w:color="auto" w:fill="auto"/>
            <w:vAlign w:val="center"/>
          </w:tcPr>
          <w:p w14:paraId="4B0E34BE"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2021 </w:t>
            </w:r>
          </w:p>
        </w:tc>
        <w:tc>
          <w:tcPr>
            <w:tcW w:w="711" w:type="dxa"/>
            <w:tcBorders>
              <w:top w:val="single" w:sz="4" w:space="0" w:color="auto"/>
              <w:bottom w:val="single" w:sz="4" w:space="0" w:color="auto"/>
            </w:tcBorders>
            <w:shd w:val="clear" w:color="auto" w:fill="auto"/>
            <w:vAlign w:val="center"/>
          </w:tcPr>
          <w:p w14:paraId="7B0A2879"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2022</w:t>
            </w:r>
          </w:p>
        </w:tc>
        <w:tc>
          <w:tcPr>
            <w:tcW w:w="850" w:type="dxa"/>
            <w:tcBorders>
              <w:top w:val="single" w:sz="4" w:space="0" w:color="auto"/>
              <w:bottom w:val="single" w:sz="4" w:space="0" w:color="auto"/>
            </w:tcBorders>
            <w:shd w:val="clear" w:color="auto" w:fill="auto"/>
            <w:vAlign w:val="center"/>
          </w:tcPr>
          <w:p w14:paraId="4FBFB52C"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2023 </w:t>
            </w:r>
          </w:p>
        </w:tc>
        <w:tc>
          <w:tcPr>
            <w:tcW w:w="851" w:type="dxa"/>
            <w:tcBorders>
              <w:bottom w:val="single" w:sz="4" w:space="0" w:color="auto"/>
            </w:tcBorders>
            <w:shd w:val="clear" w:color="auto" w:fill="auto"/>
            <w:vAlign w:val="center"/>
          </w:tcPr>
          <w:p w14:paraId="089645B6"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2024</w:t>
            </w:r>
          </w:p>
        </w:tc>
        <w:tc>
          <w:tcPr>
            <w:tcW w:w="850" w:type="dxa"/>
            <w:tcBorders>
              <w:top w:val="single" w:sz="4" w:space="0" w:color="auto"/>
              <w:bottom w:val="single" w:sz="4" w:space="0" w:color="auto"/>
            </w:tcBorders>
            <w:shd w:val="clear" w:color="auto" w:fill="auto"/>
            <w:vAlign w:val="center"/>
          </w:tcPr>
          <w:p w14:paraId="07FCF9BD" w14:textId="77777777" w:rsidR="006F7A03" w:rsidRPr="00615328" w:rsidRDefault="006F7A03" w:rsidP="00A90AAE">
            <w:pPr>
              <w:tabs>
                <w:tab w:val="left" w:pos="0"/>
              </w:tabs>
              <w:spacing w:before="120" w:after="0" w:line="240" w:lineRule="auto"/>
              <w:ind w:firstLine="0"/>
              <w:jc w:val="center"/>
              <w:rPr>
                <w:rFonts w:cs="Calibri"/>
                <w:color w:val="000000"/>
                <w:sz w:val="16"/>
                <w:szCs w:val="16"/>
                <w:lang w:val="hy-AM"/>
              </w:rPr>
            </w:pPr>
            <w:r w:rsidRPr="00615328">
              <w:rPr>
                <w:rFonts w:cs="Calibri"/>
                <w:color w:val="000000"/>
                <w:sz w:val="16"/>
                <w:szCs w:val="16"/>
                <w:lang w:val="hy-AM"/>
              </w:rPr>
              <w:t xml:space="preserve">2025 </w:t>
            </w:r>
          </w:p>
        </w:tc>
        <w:tc>
          <w:tcPr>
            <w:tcW w:w="709" w:type="dxa"/>
            <w:tcBorders>
              <w:top w:val="single" w:sz="4" w:space="0" w:color="auto"/>
              <w:bottom w:val="single" w:sz="4" w:space="0" w:color="auto"/>
            </w:tcBorders>
            <w:shd w:val="clear" w:color="auto" w:fill="auto"/>
            <w:vAlign w:val="center"/>
          </w:tcPr>
          <w:p w14:paraId="0F0577FE"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lang w:val="hy-AM"/>
              </w:rPr>
            </w:pPr>
            <w:r w:rsidRPr="00615328">
              <w:rPr>
                <w:rFonts w:cs="Calibri"/>
                <w:color w:val="000000"/>
                <w:sz w:val="16"/>
                <w:szCs w:val="16"/>
              </w:rPr>
              <w:t>202</w:t>
            </w:r>
            <w:r w:rsidRPr="00615328">
              <w:rPr>
                <w:rFonts w:cs="Calibri"/>
                <w:color w:val="000000"/>
                <w:sz w:val="16"/>
                <w:szCs w:val="16"/>
                <w:lang w:val="hy-AM"/>
              </w:rPr>
              <w:t>6</w:t>
            </w:r>
          </w:p>
        </w:tc>
        <w:tc>
          <w:tcPr>
            <w:tcW w:w="996" w:type="dxa"/>
            <w:tcBorders>
              <w:top w:val="single" w:sz="4" w:space="0" w:color="auto"/>
              <w:bottom w:val="single" w:sz="4" w:space="0" w:color="auto"/>
            </w:tcBorders>
            <w:shd w:val="clear" w:color="auto" w:fill="auto"/>
            <w:vAlign w:val="center"/>
          </w:tcPr>
          <w:p w14:paraId="5FD904D1" w14:textId="77777777" w:rsidR="006F7A03" w:rsidRPr="00615328" w:rsidRDefault="006F7A03" w:rsidP="00A90AAE">
            <w:pPr>
              <w:tabs>
                <w:tab w:val="left" w:pos="0"/>
              </w:tabs>
              <w:spacing w:before="120" w:after="0" w:line="240" w:lineRule="auto"/>
              <w:ind w:firstLine="0"/>
              <w:jc w:val="center"/>
              <w:rPr>
                <w:rFonts w:cs="Calibri"/>
                <w:bCs/>
                <w:color w:val="000000"/>
                <w:sz w:val="16"/>
                <w:szCs w:val="16"/>
              </w:rPr>
            </w:pPr>
            <w:r w:rsidRPr="00615328">
              <w:rPr>
                <w:rFonts w:cs="Calibri"/>
                <w:color w:val="000000"/>
                <w:sz w:val="16"/>
                <w:szCs w:val="16"/>
              </w:rPr>
              <w:t>202</w:t>
            </w:r>
            <w:r w:rsidRPr="00615328">
              <w:rPr>
                <w:rFonts w:cs="Calibri"/>
                <w:color w:val="000000"/>
                <w:sz w:val="16"/>
                <w:szCs w:val="16"/>
                <w:lang w:val="hy-AM"/>
              </w:rPr>
              <w:t>7</w:t>
            </w:r>
            <w:r w:rsidRPr="00615328">
              <w:rPr>
                <w:rFonts w:cs="Calibri"/>
                <w:color w:val="000000"/>
                <w:sz w:val="16"/>
                <w:szCs w:val="16"/>
              </w:rPr>
              <w:t xml:space="preserve"> </w:t>
            </w:r>
          </w:p>
        </w:tc>
      </w:tr>
      <w:tr w:rsidR="006F7A03" w:rsidRPr="00615328" w14:paraId="54D40DA4" w14:textId="77777777" w:rsidTr="00A90AAE">
        <w:trPr>
          <w:trHeight w:val="315"/>
        </w:trPr>
        <w:tc>
          <w:tcPr>
            <w:tcW w:w="3778" w:type="dxa"/>
            <w:tcBorders>
              <w:top w:val="single" w:sz="4" w:space="0" w:color="auto"/>
            </w:tcBorders>
            <w:shd w:val="clear" w:color="auto" w:fill="FFFFFF"/>
            <w:vAlign w:val="center"/>
            <w:hideMark/>
          </w:tcPr>
          <w:p w14:paraId="00CFD2C6" w14:textId="77777777" w:rsidR="006F7A03" w:rsidRPr="00C87A27" w:rsidRDefault="006F7A03" w:rsidP="00A90AAE">
            <w:pPr>
              <w:tabs>
                <w:tab w:val="left" w:pos="0"/>
              </w:tabs>
              <w:spacing w:before="120" w:after="0" w:line="240" w:lineRule="auto"/>
              <w:ind w:firstLine="0"/>
              <w:jc w:val="left"/>
              <w:rPr>
                <w:rFonts w:cs="Calibri"/>
                <w:bCs/>
                <w:color w:val="000000"/>
                <w:sz w:val="18"/>
                <w:szCs w:val="18"/>
              </w:rPr>
            </w:pPr>
            <w:r w:rsidRPr="00C87A27">
              <w:rPr>
                <w:rFonts w:cs="Arial"/>
                <w:bCs/>
                <w:color w:val="000000"/>
                <w:sz w:val="18"/>
                <w:szCs w:val="18"/>
              </w:rPr>
              <w:t>Արտաքին</w:t>
            </w:r>
            <w:r w:rsidRPr="00C87A27">
              <w:rPr>
                <w:rFonts w:cs="Calibri"/>
                <w:bCs/>
                <w:color w:val="000000"/>
                <w:sz w:val="18"/>
                <w:szCs w:val="18"/>
              </w:rPr>
              <w:t xml:space="preserve"> </w:t>
            </w:r>
            <w:r w:rsidRPr="00C87A27">
              <w:rPr>
                <w:rFonts w:cs="Arial"/>
                <w:bCs/>
                <w:color w:val="000000"/>
                <w:sz w:val="18"/>
                <w:szCs w:val="18"/>
              </w:rPr>
              <w:t>աղբյուրների</w:t>
            </w:r>
            <w:r w:rsidRPr="00C87A27">
              <w:rPr>
                <w:rFonts w:cs="Calibri"/>
                <w:bCs/>
                <w:color w:val="000000"/>
                <w:sz w:val="18"/>
                <w:szCs w:val="18"/>
              </w:rPr>
              <w:t xml:space="preserve"> </w:t>
            </w:r>
            <w:r w:rsidRPr="00C87A27">
              <w:rPr>
                <w:rFonts w:cs="Arial"/>
                <w:bCs/>
                <w:color w:val="000000"/>
                <w:sz w:val="18"/>
                <w:szCs w:val="18"/>
              </w:rPr>
              <w:t>հաշվին</w:t>
            </w:r>
            <w:r w:rsidRPr="00C87A27">
              <w:rPr>
                <w:rFonts w:cs="Calibri"/>
                <w:bCs/>
                <w:color w:val="000000"/>
                <w:sz w:val="18"/>
                <w:szCs w:val="18"/>
              </w:rPr>
              <w:t xml:space="preserve"> </w:t>
            </w:r>
            <w:r w:rsidRPr="00C87A27">
              <w:rPr>
                <w:rFonts w:cs="Arial"/>
                <w:bCs/>
                <w:color w:val="000000"/>
                <w:sz w:val="18"/>
                <w:szCs w:val="18"/>
              </w:rPr>
              <w:t>ֆինանսավորվող</w:t>
            </w:r>
            <w:r w:rsidRPr="00C87A27">
              <w:rPr>
                <w:rFonts w:cs="Calibri"/>
                <w:bCs/>
                <w:color w:val="000000"/>
                <w:sz w:val="18"/>
                <w:szCs w:val="18"/>
              </w:rPr>
              <w:t xml:space="preserve"> </w:t>
            </w:r>
            <w:r w:rsidRPr="00C87A27">
              <w:rPr>
                <w:rFonts w:cs="Arial"/>
                <w:bCs/>
                <w:color w:val="000000"/>
                <w:sz w:val="18"/>
                <w:szCs w:val="18"/>
              </w:rPr>
              <w:t>ծախսերի</w:t>
            </w:r>
            <w:r w:rsidRPr="00C87A27">
              <w:rPr>
                <w:rFonts w:cs="Calibri"/>
                <w:bCs/>
                <w:color w:val="000000"/>
                <w:sz w:val="18"/>
                <w:szCs w:val="18"/>
              </w:rPr>
              <w:t xml:space="preserve"> </w:t>
            </w:r>
            <w:r w:rsidRPr="00C87A27">
              <w:rPr>
                <w:rFonts w:cs="Arial"/>
                <w:bCs/>
                <w:color w:val="000000"/>
                <w:sz w:val="18"/>
                <w:szCs w:val="18"/>
              </w:rPr>
              <w:t>ծավալը</w:t>
            </w:r>
            <w:r w:rsidRPr="00C87A27">
              <w:rPr>
                <w:rFonts w:cs="Calibri"/>
                <w:bCs/>
                <w:color w:val="000000"/>
                <w:sz w:val="18"/>
                <w:szCs w:val="18"/>
              </w:rPr>
              <w:t xml:space="preserve"> (</w:t>
            </w:r>
            <w:r w:rsidRPr="00C87A27">
              <w:rPr>
                <w:rFonts w:cs="Arial"/>
                <w:bCs/>
                <w:color w:val="000000"/>
                <w:sz w:val="18"/>
                <w:szCs w:val="18"/>
              </w:rPr>
              <w:t>մլն</w:t>
            </w:r>
            <w:r w:rsidRPr="00C87A27">
              <w:rPr>
                <w:rFonts w:cs="Calibri"/>
                <w:bCs/>
                <w:color w:val="000000"/>
                <w:sz w:val="18"/>
                <w:szCs w:val="18"/>
              </w:rPr>
              <w:t xml:space="preserve"> </w:t>
            </w:r>
            <w:r w:rsidRPr="00C87A27">
              <w:rPr>
                <w:rFonts w:cs="Arial"/>
                <w:bCs/>
                <w:color w:val="000000"/>
                <w:sz w:val="18"/>
                <w:szCs w:val="18"/>
              </w:rPr>
              <w:t>դրամ</w:t>
            </w:r>
            <w:r w:rsidRPr="00C87A27">
              <w:rPr>
                <w:rFonts w:cs="Calibri"/>
                <w:bCs/>
                <w:color w:val="000000"/>
                <w:sz w:val="18"/>
                <w:szCs w:val="18"/>
              </w:rPr>
              <w:t>)</w:t>
            </w:r>
          </w:p>
        </w:tc>
        <w:tc>
          <w:tcPr>
            <w:tcW w:w="1134" w:type="dxa"/>
            <w:tcBorders>
              <w:top w:val="single" w:sz="4" w:space="0" w:color="auto"/>
            </w:tcBorders>
            <w:shd w:val="clear" w:color="auto" w:fill="FFFFFF"/>
            <w:vAlign w:val="center"/>
          </w:tcPr>
          <w:p w14:paraId="3FD595C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81.1</w:t>
            </w:r>
          </w:p>
        </w:tc>
        <w:tc>
          <w:tcPr>
            <w:tcW w:w="711" w:type="dxa"/>
            <w:tcBorders>
              <w:top w:val="single" w:sz="4" w:space="0" w:color="auto"/>
            </w:tcBorders>
            <w:shd w:val="clear" w:color="auto" w:fill="FFFFFF"/>
            <w:vAlign w:val="center"/>
          </w:tcPr>
          <w:p w14:paraId="7FDFAE5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57.1</w:t>
            </w:r>
          </w:p>
        </w:tc>
        <w:tc>
          <w:tcPr>
            <w:tcW w:w="850" w:type="dxa"/>
            <w:tcBorders>
              <w:top w:val="single" w:sz="4" w:space="0" w:color="auto"/>
            </w:tcBorders>
            <w:shd w:val="clear" w:color="auto" w:fill="FFFFFF"/>
            <w:vAlign w:val="center"/>
          </w:tcPr>
          <w:p w14:paraId="433003A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65.1</w:t>
            </w:r>
          </w:p>
        </w:tc>
        <w:tc>
          <w:tcPr>
            <w:tcW w:w="851" w:type="dxa"/>
            <w:tcBorders>
              <w:top w:val="single" w:sz="4" w:space="0" w:color="auto"/>
            </w:tcBorders>
            <w:shd w:val="clear" w:color="auto" w:fill="FFFFFF"/>
            <w:vAlign w:val="center"/>
          </w:tcPr>
          <w:p w14:paraId="240881B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101.2</w:t>
            </w:r>
          </w:p>
        </w:tc>
        <w:tc>
          <w:tcPr>
            <w:tcW w:w="850" w:type="dxa"/>
            <w:tcBorders>
              <w:top w:val="single" w:sz="4" w:space="0" w:color="auto"/>
            </w:tcBorders>
            <w:shd w:val="clear" w:color="auto" w:fill="FFFFFF"/>
            <w:vAlign w:val="center"/>
          </w:tcPr>
          <w:p w14:paraId="7565533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228.8</w:t>
            </w:r>
          </w:p>
        </w:tc>
        <w:tc>
          <w:tcPr>
            <w:tcW w:w="709" w:type="dxa"/>
            <w:tcBorders>
              <w:top w:val="single" w:sz="4" w:space="0" w:color="auto"/>
            </w:tcBorders>
            <w:shd w:val="clear" w:color="auto" w:fill="FFFFFF"/>
            <w:vAlign w:val="center"/>
          </w:tcPr>
          <w:p w14:paraId="4B359FD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248.2</w:t>
            </w:r>
          </w:p>
        </w:tc>
        <w:tc>
          <w:tcPr>
            <w:tcW w:w="996" w:type="dxa"/>
            <w:tcBorders>
              <w:top w:val="single" w:sz="4" w:space="0" w:color="auto"/>
            </w:tcBorders>
            <w:shd w:val="clear" w:color="auto" w:fill="FFFFFF"/>
            <w:vAlign w:val="center"/>
          </w:tcPr>
          <w:p w14:paraId="6341227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311.1</w:t>
            </w:r>
          </w:p>
        </w:tc>
      </w:tr>
      <w:tr w:rsidR="006F7A03" w:rsidRPr="00615328" w14:paraId="3DAF2B77" w14:textId="77777777" w:rsidTr="00A90AAE">
        <w:trPr>
          <w:trHeight w:val="315"/>
        </w:trPr>
        <w:tc>
          <w:tcPr>
            <w:tcW w:w="3778" w:type="dxa"/>
            <w:shd w:val="clear" w:color="auto" w:fill="FFFFFF"/>
            <w:vAlign w:val="center"/>
            <w:hideMark/>
          </w:tcPr>
          <w:p w14:paraId="661C2152" w14:textId="77777777" w:rsidR="006F7A03" w:rsidRPr="00C87A27" w:rsidRDefault="006F7A03" w:rsidP="00A90AAE">
            <w:pPr>
              <w:tabs>
                <w:tab w:val="left" w:pos="0"/>
              </w:tabs>
              <w:spacing w:before="120" w:after="0" w:line="240" w:lineRule="auto"/>
              <w:ind w:firstLine="0"/>
              <w:jc w:val="left"/>
              <w:rPr>
                <w:rFonts w:cs="Arial"/>
                <w:color w:val="000000"/>
                <w:sz w:val="18"/>
                <w:szCs w:val="18"/>
              </w:rPr>
            </w:pPr>
            <w:r w:rsidRPr="00C87A27">
              <w:rPr>
                <w:rFonts w:cs="Arial"/>
                <w:color w:val="000000"/>
                <w:sz w:val="18"/>
                <w:szCs w:val="18"/>
              </w:rPr>
              <w:t>ՀՆԱ-ի նկատմամբ (%)</w:t>
            </w:r>
          </w:p>
        </w:tc>
        <w:tc>
          <w:tcPr>
            <w:tcW w:w="1134" w:type="dxa"/>
            <w:shd w:val="clear" w:color="auto" w:fill="FFFFFF"/>
            <w:vAlign w:val="center"/>
          </w:tcPr>
          <w:p w14:paraId="6037315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1.2</w:t>
            </w:r>
          </w:p>
        </w:tc>
        <w:tc>
          <w:tcPr>
            <w:tcW w:w="711" w:type="dxa"/>
            <w:shd w:val="clear" w:color="auto" w:fill="FFFFFF"/>
            <w:vAlign w:val="center"/>
          </w:tcPr>
          <w:p w14:paraId="406C955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0.7</w:t>
            </w:r>
          </w:p>
        </w:tc>
        <w:tc>
          <w:tcPr>
            <w:tcW w:w="850" w:type="dxa"/>
            <w:shd w:val="clear" w:color="auto" w:fill="FFFFFF"/>
            <w:vAlign w:val="center"/>
          </w:tcPr>
          <w:p w14:paraId="20A945E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0.7</w:t>
            </w:r>
          </w:p>
        </w:tc>
        <w:tc>
          <w:tcPr>
            <w:tcW w:w="851" w:type="dxa"/>
            <w:shd w:val="clear" w:color="auto" w:fill="FFFFFF"/>
            <w:vAlign w:val="center"/>
          </w:tcPr>
          <w:p w14:paraId="18EB83F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1.0</w:t>
            </w:r>
          </w:p>
        </w:tc>
        <w:tc>
          <w:tcPr>
            <w:tcW w:w="850" w:type="dxa"/>
            <w:shd w:val="clear" w:color="auto" w:fill="FFFFFF"/>
            <w:vAlign w:val="center"/>
          </w:tcPr>
          <w:p w14:paraId="1E32546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2.0</w:t>
            </w:r>
          </w:p>
        </w:tc>
        <w:tc>
          <w:tcPr>
            <w:tcW w:w="709" w:type="dxa"/>
            <w:shd w:val="clear" w:color="auto" w:fill="FFFFFF"/>
            <w:vAlign w:val="center"/>
          </w:tcPr>
          <w:p w14:paraId="0BDDAE3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2.0</w:t>
            </w:r>
          </w:p>
        </w:tc>
        <w:tc>
          <w:tcPr>
            <w:tcW w:w="996" w:type="dxa"/>
            <w:shd w:val="clear" w:color="auto" w:fill="FFFFFF"/>
            <w:vAlign w:val="center"/>
          </w:tcPr>
          <w:p w14:paraId="52706A6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2.3</w:t>
            </w:r>
          </w:p>
        </w:tc>
      </w:tr>
      <w:tr w:rsidR="006F7A03" w:rsidRPr="00615328" w14:paraId="4EEA5654" w14:textId="77777777" w:rsidTr="00A90AAE">
        <w:trPr>
          <w:trHeight w:val="315"/>
        </w:trPr>
        <w:tc>
          <w:tcPr>
            <w:tcW w:w="3778" w:type="dxa"/>
            <w:tcBorders>
              <w:bottom w:val="single" w:sz="4" w:space="0" w:color="auto"/>
            </w:tcBorders>
            <w:shd w:val="clear" w:color="auto" w:fill="FFFFFF"/>
            <w:vAlign w:val="center"/>
            <w:hideMark/>
          </w:tcPr>
          <w:p w14:paraId="04234E99" w14:textId="77777777" w:rsidR="006F7A03" w:rsidRPr="00C87A27" w:rsidRDefault="006F7A03" w:rsidP="00A90AAE">
            <w:pPr>
              <w:tabs>
                <w:tab w:val="left" w:pos="0"/>
              </w:tabs>
              <w:spacing w:before="120" w:after="0" w:line="240" w:lineRule="auto"/>
              <w:ind w:firstLine="0"/>
              <w:jc w:val="left"/>
              <w:rPr>
                <w:rFonts w:cs="Arial"/>
                <w:color w:val="000000"/>
                <w:sz w:val="18"/>
                <w:szCs w:val="18"/>
              </w:rPr>
            </w:pPr>
            <w:r w:rsidRPr="00C87A27">
              <w:rPr>
                <w:rFonts w:cs="Arial"/>
                <w:color w:val="000000"/>
                <w:sz w:val="18"/>
                <w:szCs w:val="18"/>
              </w:rPr>
              <w:t>Ընդհանուր ծախսերում (%)</w:t>
            </w:r>
          </w:p>
        </w:tc>
        <w:tc>
          <w:tcPr>
            <w:tcW w:w="1134" w:type="dxa"/>
            <w:tcBorders>
              <w:bottom w:val="single" w:sz="4" w:space="0" w:color="auto"/>
            </w:tcBorders>
            <w:shd w:val="clear" w:color="auto" w:fill="FFFFFF"/>
            <w:vAlign w:val="center"/>
          </w:tcPr>
          <w:p w14:paraId="598AF94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4.0</w:t>
            </w:r>
          </w:p>
        </w:tc>
        <w:tc>
          <w:tcPr>
            <w:tcW w:w="711" w:type="dxa"/>
            <w:tcBorders>
              <w:bottom w:val="single" w:sz="4" w:space="0" w:color="auto"/>
            </w:tcBorders>
            <w:shd w:val="clear" w:color="auto" w:fill="FFFFFF"/>
            <w:vAlign w:val="center"/>
          </w:tcPr>
          <w:p w14:paraId="438B083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2.5</w:t>
            </w:r>
          </w:p>
        </w:tc>
        <w:tc>
          <w:tcPr>
            <w:tcW w:w="850" w:type="dxa"/>
            <w:tcBorders>
              <w:bottom w:val="single" w:sz="4" w:space="0" w:color="auto"/>
            </w:tcBorders>
            <w:shd w:val="clear" w:color="auto" w:fill="FFFFFF"/>
            <w:vAlign w:val="center"/>
          </w:tcPr>
          <w:p w14:paraId="47C8035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2.6</w:t>
            </w:r>
          </w:p>
        </w:tc>
        <w:tc>
          <w:tcPr>
            <w:tcW w:w="851" w:type="dxa"/>
            <w:tcBorders>
              <w:bottom w:val="single" w:sz="4" w:space="0" w:color="auto"/>
            </w:tcBorders>
            <w:shd w:val="clear" w:color="auto" w:fill="FFFFFF"/>
            <w:vAlign w:val="center"/>
          </w:tcPr>
          <w:p w14:paraId="5F362CF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3.2</w:t>
            </w:r>
          </w:p>
        </w:tc>
        <w:tc>
          <w:tcPr>
            <w:tcW w:w="850" w:type="dxa"/>
            <w:tcBorders>
              <w:bottom w:val="single" w:sz="4" w:space="0" w:color="auto"/>
            </w:tcBorders>
            <w:shd w:val="clear" w:color="auto" w:fill="FFFFFF"/>
            <w:vAlign w:val="center"/>
          </w:tcPr>
          <w:p w14:paraId="3C68480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6.5</w:t>
            </w:r>
          </w:p>
        </w:tc>
        <w:tc>
          <w:tcPr>
            <w:tcW w:w="709" w:type="dxa"/>
            <w:tcBorders>
              <w:bottom w:val="single" w:sz="4" w:space="0" w:color="auto"/>
            </w:tcBorders>
            <w:shd w:val="clear" w:color="auto" w:fill="FFFFFF"/>
            <w:vAlign w:val="center"/>
          </w:tcPr>
          <w:p w14:paraId="079F891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6.5</w:t>
            </w:r>
          </w:p>
        </w:tc>
        <w:tc>
          <w:tcPr>
            <w:tcW w:w="996" w:type="dxa"/>
            <w:tcBorders>
              <w:bottom w:val="single" w:sz="4" w:space="0" w:color="auto"/>
            </w:tcBorders>
            <w:shd w:val="clear" w:color="auto" w:fill="FFFFFF"/>
            <w:vAlign w:val="center"/>
          </w:tcPr>
          <w:p w14:paraId="0E5ADD59"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7.6</w:t>
            </w:r>
          </w:p>
        </w:tc>
      </w:tr>
      <w:tr w:rsidR="006F7A03" w:rsidRPr="00615328" w14:paraId="26CF2532" w14:textId="77777777" w:rsidTr="00A90AAE">
        <w:trPr>
          <w:trHeight w:val="315"/>
        </w:trPr>
        <w:tc>
          <w:tcPr>
            <w:tcW w:w="3778" w:type="dxa"/>
            <w:tcBorders>
              <w:top w:val="single" w:sz="4" w:space="0" w:color="auto"/>
            </w:tcBorders>
            <w:shd w:val="clear" w:color="auto" w:fill="FFFFFF"/>
            <w:vAlign w:val="center"/>
            <w:hideMark/>
          </w:tcPr>
          <w:p w14:paraId="0EFEBACC" w14:textId="77777777" w:rsidR="006F7A03" w:rsidRPr="00C87A27" w:rsidRDefault="006F7A03" w:rsidP="00A90AAE">
            <w:pPr>
              <w:tabs>
                <w:tab w:val="left" w:pos="0"/>
              </w:tabs>
              <w:spacing w:before="120" w:after="0" w:line="240" w:lineRule="auto"/>
              <w:ind w:firstLine="0"/>
              <w:jc w:val="left"/>
              <w:rPr>
                <w:bCs/>
                <w:color w:val="000000"/>
                <w:sz w:val="18"/>
                <w:szCs w:val="18"/>
              </w:rPr>
            </w:pPr>
            <w:r w:rsidRPr="00C87A27">
              <w:rPr>
                <w:bCs/>
                <w:color w:val="000000"/>
                <w:sz w:val="18"/>
                <w:szCs w:val="18"/>
              </w:rPr>
              <w:t xml:space="preserve">1. </w:t>
            </w:r>
            <w:r w:rsidRPr="00C87A27">
              <w:rPr>
                <w:rFonts w:cs="Arial"/>
                <w:bCs/>
                <w:color w:val="000000"/>
                <w:sz w:val="18"/>
                <w:szCs w:val="18"/>
              </w:rPr>
              <w:t>Վարկային</w:t>
            </w:r>
            <w:r w:rsidRPr="00C87A27">
              <w:rPr>
                <w:bCs/>
                <w:color w:val="000000"/>
                <w:sz w:val="18"/>
                <w:szCs w:val="18"/>
              </w:rPr>
              <w:t xml:space="preserve"> </w:t>
            </w:r>
            <w:r w:rsidRPr="00C87A27">
              <w:rPr>
                <w:rFonts w:cs="Arial"/>
                <w:bCs/>
                <w:color w:val="000000"/>
                <w:sz w:val="18"/>
                <w:szCs w:val="18"/>
              </w:rPr>
              <w:t>ծրագրերի</w:t>
            </w:r>
            <w:r w:rsidRPr="00C87A27">
              <w:rPr>
                <w:bCs/>
                <w:color w:val="000000"/>
                <w:sz w:val="18"/>
                <w:szCs w:val="18"/>
              </w:rPr>
              <w:t xml:space="preserve"> </w:t>
            </w:r>
            <w:r w:rsidRPr="00C87A27">
              <w:rPr>
                <w:rFonts w:cs="Arial"/>
                <w:bCs/>
                <w:color w:val="000000"/>
                <w:sz w:val="18"/>
                <w:szCs w:val="18"/>
              </w:rPr>
              <w:t>և</w:t>
            </w:r>
            <w:r w:rsidRPr="00C87A27">
              <w:rPr>
                <w:bCs/>
                <w:color w:val="000000"/>
                <w:sz w:val="18"/>
                <w:szCs w:val="18"/>
              </w:rPr>
              <w:t xml:space="preserve"> </w:t>
            </w:r>
            <w:r w:rsidRPr="00C87A27">
              <w:rPr>
                <w:rFonts w:cs="Arial"/>
                <w:bCs/>
                <w:color w:val="000000"/>
                <w:sz w:val="18"/>
                <w:szCs w:val="18"/>
              </w:rPr>
              <w:t>միջոցառումներ</w:t>
            </w:r>
          </w:p>
        </w:tc>
        <w:tc>
          <w:tcPr>
            <w:tcW w:w="1134" w:type="dxa"/>
            <w:tcBorders>
              <w:top w:val="single" w:sz="4" w:space="0" w:color="auto"/>
            </w:tcBorders>
            <w:shd w:val="clear" w:color="auto" w:fill="FFFFFF"/>
            <w:vAlign w:val="center"/>
          </w:tcPr>
          <w:p w14:paraId="5D50D54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73.6</w:t>
            </w:r>
          </w:p>
        </w:tc>
        <w:tc>
          <w:tcPr>
            <w:tcW w:w="711" w:type="dxa"/>
            <w:tcBorders>
              <w:top w:val="single" w:sz="4" w:space="0" w:color="auto"/>
            </w:tcBorders>
            <w:shd w:val="clear" w:color="auto" w:fill="FFFFFF"/>
            <w:vAlign w:val="center"/>
          </w:tcPr>
          <w:p w14:paraId="01124B2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46.9</w:t>
            </w:r>
          </w:p>
        </w:tc>
        <w:tc>
          <w:tcPr>
            <w:tcW w:w="850" w:type="dxa"/>
            <w:tcBorders>
              <w:top w:val="single" w:sz="4" w:space="0" w:color="auto"/>
            </w:tcBorders>
            <w:shd w:val="clear" w:color="auto" w:fill="FFFFFF"/>
            <w:vAlign w:val="center"/>
          </w:tcPr>
          <w:p w14:paraId="35DABD0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56.2</w:t>
            </w:r>
          </w:p>
        </w:tc>
        <w:tc>
          <w:tcPr>
            <w:tcW w:w="851" w:type="dxa"/>
            <w:tcBorders>
              <w:top w:val="single" w:sz="4" w:space="0" w:color="auto"/>
            </w:tcBorders>
            <w:shd w:val="clear" w:color="auto" w:fill="FFFFFF"/>
            <w:vAlign w:val="center"/>
          </w:tcPr>
          <w:p w14:paraId="2392EB3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86.5</w:t>
            </w:r>
          </w:p>
        </w:tc>
        <w:tc>
          <w:tcPr>
            <w:tcW w:w="850" w:type="dxa"/>
            <w:tcBorders>
              <w:top w:val="single" w:sz="4" w:space="0" w:color="auto"/>
            </w:tcBorders>
            <w:shd w:val="clear" w:color="auto" w:fill="FFFFFF"/>
            <w:vAlign w:val="center"/>
          </w:tcPr>
          <w:p w14:paraId="5657A12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214.2</w:t>
            </w:r>
          </w:p>
        </w:tc>
        <w:tc>
          <w:tcPr>
            <w:tcW w:w="709" w:type="dxa"/>
            <w:tcBorders>
              <w:top w:val="single" w:sz="4" w:space="0" w:color="auto"/>
            </w:tcBorders>
            <w:shd w:val="clear" w:color="auto" w:fill="FFFFFF"/>
            <w:vAlign w:val="center"/>
          </w:tcPr>
          <w:p w14:paraId="7ACF64F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238.5</w:t>
            </w:r>
          </w:p>
        </w:tc>
        <w:tc>
          <w:tcPr>
            <w:tcW w:w="996" w:type="dxa"/>
            <w:tcBorders>
              <w:top w:val="single" w:sz="4" w:space="0" w:color="auto"/>
            </w:tcBorders>
            <w:shd w:val="clear" w:color="auto" w:fill="FFFFFF"/>
            <w:vAlign w:val="center"/>
          </w:tcPr>
          <w:p w14:paraId="0161FA6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305.1</w:t>
            </w:r>
          </w:p>
        </w:tc>
      </w:tr>
      <w:tr w:rsidR="006F7A03" w:rsidRPr="00615328" w14:paraId="4B323502" w14:textId="77777777" w:rsidTr="00A90AAE">
        <w:trPr>
          <w:trHeight w:val="315"/>
        </w:trPr>
        <w:tc>
          <w:tcPr>
            <w:tcW w:w="3778" w:type="dxa"/>
            <w:shd w:val="clear" w:color="auto" w:fill="FFFFFF"/>
            <w:vAlign w:val="center"/>
            <w:hideMark/>
          </w:tcPr>
          <w:p w14:paraId="73D2AD5A" w14:textId="77777777" w:rsidR="006F7A03" w:rsidRPr="00C87A27" w:rsidRDefault="006F7A03" w:rsidP="00A90AAE">
            <w:pPr>
              <w:tabs>
                <w:tab w:val="left" w:pos="0"/>
              </w:tabs>
              <w:spacing w:before="120" w:after="0" w:line="240" w:lineRule="auto"/>
              <w:ind w:firstLine="0"/>
              <w:jc w:val="left"/>
              <w:rPr>
                <w:rFonts w:cs="Calibri"/>
                <w:color w:val="000000"/>
                <w:sz w:val="18"/>
                <w:szCs w:val="18"/>
              </w:rPr>
            </w:pPr>
            <w:r w:rsidRPr="00C87A27">
              <w:rPr>
                <w:rFonts w:cs="Arial"/>
                <w:color w:val="000000"/>
                <w:sz w:val="18"/>
                <w:szCs w:val="18"/>
              </w:rPr>
              <w:t>ՀՆԱ</w:t>
            </w:r>
            <w:r w:rsidRPr="00C87A27">
              <w:rPr>
                <w:rFonts w:cs="Calibri"/>
                <w:color w:val="000000"/>
                <w:sz w:val="18"/>
                <w:szCs w:val="18"/>
              </w:rPr>
              <w:t>-</w:t>
            </w:r>
            <w:r w:rsidRPr="00C87A27">
              <w:rPr>
                <w:rFonts w:cs="Arial"/>
                <w:color w:val="000000"/>
                <w:sz w:val="18"/>
                <w:szCs w:val="18"/>
              </w:rPr>
              <w:t>ի</w:t>
            </w:r>
            <w:r w:rsidRPr="00C87A27">
              <w:rPr>
                <w:rFonts w:cs="Calibri"/>
                <w:color w:val="000000"/>
                <w:sz w:val="18"/>
                <w:szCs w:val="18"/>
              </w:rPr>
              <w:t xml:space="preserve"> </w:t>
            </w:r>
            <w:r w:rsidRPr="00C87A27">
              <w:rPr>
                <w:rFonts w:cs="Arial"/>
                <w:color w:val="000000"/>
                <w:sz w:val="18"/>
                <w:szCs w:val="18"/>
              </w:rPr>
              <w:t>նկատմամբ</w:t>
            </w:r>
            <w:r w:rsidRPr="00C87A27">
              <w:rPr>
                <w:rFonts w:cs="Calibri"/>
                <w:color w:val="000000"/>
                <w:sz w:val="18"/>
                <w:szCs w:val="18"/>
              </w:rPr>
              <w:t xml:space="preserve"> (%)</w:t>
            </w:r>
          </w:p>
        </w:tc>
        <w:tc>
          <w:tcPr>
            <w:tcW w:w="1134" w:type="dxa"/>
            <w:shd w:val="clear" w:color="auto" w:fill="FFFFFF"/>
            <w:vAlign w:val="center"/>
          </w:tcPr>
          <w:p w14:paraId="7451584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1.1</w:t>
            </w:r>
          </w:p>
        </w:tc>
        <w:tc>
          <w:tcPr>
            <w:tcW w:w="711" w:type="dxa"/>
            <w:shd w:val="clear" w:color="auto" w:fill="FFFFFF"/>
            <w:vAlign w:val="center"/>
          </w:tcPr>
          <w:p w14:paraId="6FB3B64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0.6</w:t>
            </w:r>
          </w:p>
        </w:tc>
        <w:tc>
          <w:tcPr>
            <w:tcW w:w="850" w:type="dxa"/>
            <w:shd w:val="clear" w:color="auto" w:fill="FFFFFF"/>
            <w:vAlign w:val="center"/>
          </w:tcPr>
          <w:p w14:paraId="5C6423E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0.6</w:t>
            </w:r>
          </w:p>
        </w:tc>
        <w:tc>
          <w:tcPr>
            <w:tcW w:w="851" w:type="dxa"/>
            <w:shd w:val="clear" w:color="auto" w:fill="FFFFFF"/>
            <w:vAlign w:val="center"/>
          </w:tcPr>
          <w:p w14:paraId="08C1F64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0.8</w:t>
            </w:r>
          </w:p>
        </w:tc>
        <w:tc>
          <w:tcPr>
            <w:tcW w:w="850" w:type="dxa"/>
            <w:shd w:val="clear" w:color="auto" w:fill="FFFFFF"/>
            <w:vAlign w:val="center"/>
          </w:tcPr>
          <w:p w14:paraId="14113BA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1.9</w:t>
            </w:r>
          </w:p>
        </w:tc>
        <w:tc>
          <w:tcPr>
            <w:tcW w:w="709" w:type="dxa"/>
            <w:shd w:val="clear" w:color="auto" w:fill="FFFFFF"/>
            <w:vAlign w:val="center"/>
          </w:tcPr>
          <w:p w14:paraId="742A9BA2"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1.9</w:t>
            </w:r>
          </w:p>
        </w:tc>
        <w:tc>
          <w:tcPr>
            <w:tcW w:w="996" w:type="dxa"/>
            <w:shd w:val="clear" w:color="auto" w:fill="FFFFFF"/>
            <w:vAlign w:val="center"/>
          </w:tcPr>
          <w:p w14:paraId="21A17C8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2.3</w:t>
            </w:r>
          </w:p>
        </w:tc>
      </w:tr>
      <w:tr w:rsidR="006F7A03" w:rsidRPr="00615328" w14:paraId="22419454" w14:textId="77777777" w:rsidTr="00A90AAE">
        <w:trPr>
          <w:trHeight w:val="315"/>
        </w:trPr>
        <w:tc>
          <w:tcPr>
            <w:tcW w:w="3778" w:type="dxa"/>
            <w:tcBorders>
              <w:bottom w:val="single" w:sz="4" w:space="0" w:color="auto"/>
            </w:tcBorders>
            <w:shd w:val="clear" w:color="auto" w:fill="FFFFFF"/>
            <w:vAlign w:val="center"/>
            <w:hideMark/>
          </w:tcPr>
          <w:p w14:paraId="602866E4" w14:textId="77777777" w:rsidR="006F7A03" w:rsidRPr="00C87A27" w:rsidRDefault="006F7A03" w:rsidP="00A90AAE">
            <w:pPr>
              <w:tabs>
                <w:tab w:val="left" w:pos="0"/>
              </w:tabs>
              <w:spacing w:before="120" w:after="0" w:line="240" w:lineRule="auto"/>
              <w:ind w:firstLine="0"/>
              <w:jc w:val="left"/>
              <w:rPr>
                <w:rFonts w:cs="Calibri"/>
                <w:color w:val="000000"/>
                <w:sz w:val="18"/>
                <w:szCs w:val="18"/>
              </w:rPr>
            </w:pPr>
            <w:r w:rsidRPr="00C87A27">
              <w:rPr>
                <w:rFonts w:cs="Arial"/>
                <w:color w:val="000000"/>
                <w:sz w:val="18"/>
                <w:szCs w:val="18"/>
              </w:rPr>
              <w:t>Ընդհանուր</w:t>
            </w:r>
            <w:r w:rsidRPr="00C87A27">
              <w:rPr>
                <w:rFonts w:cs="Calibri"/>
                <w:color w:val="000000"/>
                <w:sz w:val="18"/>
                <w:szCs w:val="18"/>
              </w:rPr>
              <w:t xml:space="preserve"> </w:t>
            </w:r>
            <w:r w:rsidRPr="00C87A27">
              <w:rPr>
                <w:rFonts w:cs="Arial"/>
                <w:color w:val="000000"/>
                <w:sz w:val="18"/>
                <w:szCs w:val="18"/>
              </w:rPr>
              <w:t>ծախսերում</w:t>
            </w:r>
            <w:r w:rsidRPr="00C87A27">
              <w:rPr>
                <w:rFonts w:cs="Calibri"/>
                <w:color w:val="000000"/>
                <w:sz w:val="18"/>
                <w:szCs w:val="18"/>
              </w:rPr>
              <w:t xml:space="preserve"> (%)</w:t>
            </w:r>
          </w:p>
        </w:tc>
        <w:tc>
          <w:tcPr>
            <w:tcW w:w="1134" w:type="dxa"/>
            <w:tcBorders>
              <w:bottom w:val="single" w:sz="4" w:space="0" w:color="auto"/>
            </w:tcBorders>
            <w:shd w:val="clear" w:color="auto" w:fill="FFFFFF"/>
            <w:vAlign w:val="center"/>
          </w:tcPr>
          <w:p w14:paraId="0900188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3.7</w:t>
            </w:r>
          </w:p>
        </w:tc>
        <w:tc>
          <w:tcPr>
            <w:tcW w:w="711" w:type="dxa"/>
            <w:tcBorders>
              <w:bottom w:val="single" w:sz="4" w:space="0" w:color="auto"/>
            </w:tcBorders>
            <w:shd w:val="clear" w:color="auto" w:fill="FFFFFF"/>
            <w:vAlign w:val="center"/>
          </w:tcPr>
          <w:p w14:paraId="63B931B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2.1</w:t>
            </w:r>
          </w:p>
        </w:tc>
        <w:tc>
          <w:tcPr>
            <w:tcW w:w="850" w:type="dxa"/>
            <w:tcBorders>
              <w:bottom w:val="single" w:sz="4" w:space="0" w:color="auto"/>
            </w:tcBorders>
            <w:shd w:val="clear" w:color="auto" w:fill="FFFFFF"/>
            <w:vAlign w:val="center"/>
          </w:tcPr>
          <w:p w14:paraId="52B4B79B"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2.2</w:t>
            </w:r>
          </w:p>
        </w:tc>
        <w:tc>
          <w:tcPr>
            <w:tcW w:w="851" w:type="dxa"/>
            <w:tcBorders>
              <w:bottom w:val="single" w:sz="4" w:space="0" w:color="auto"/>
            </w:tcBorders>
            <w:shd w:val="clear" w:color="auto" w:fill="FFFFFF"/>
            <w:vAlign w:val="center"/>
          </w:tcPr>
          <w:p w14:paraId="79F4A0C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2.7</w:t>
            </w:r>
          </w:p>
        </w:tc>
        <w:tc>
          <w:tcPr>
            <w:tcW w:w="850" w:type="dxa"/>
            <w:tcBorders>
              <w:bottom w:val="single" w:sz="4" w:space="0" w:color="auto"/>
            </w:tcBorders>
            <w:shd w:val="clear" w:color="auto" w:fill="FFFFFF"/>
            <w:vAlign w:val="center"/>
          </w:tcPr>
          <w:p w14:paraId="38C7F81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6.1</w:t>
            </w:r>
          </w:p>
        </w:tc>
        <w:tc>
          <w:tcPr>
            <w:tcW w:w="709" w:type="dxa"/>
            <w:tcBorders>
              <w:bottom w:val="single" w:sz="4" w:space="0" w:color="auto"/>
            </w:tcBorders>
            <w:shd w:val="clear" w:color="auto" w:fill="FFFFFF"/>
            <w:vAlign w:val="center"/>
          </w:tcPr>
          <w:p w14:paraId="6A85341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6.3</w:t>
            </w:r>
          </w:p>
        </w:tc>
        <w:tc>
          <w:tcPr>
            <w:tcW w:w="996" w:type="dxa"/>
            <w:tcBorders>
              <w:bottom w:val="single" w:sz="4" w:space="0" w:color="auto"/>
            </w:tcBorders>
            <w:shd w:val="clear" w:color="auto" w:fill="FFFFFF"/>
            <w:vAlign w:val="center"/>
          </w:tcPr>
          <w:p w14:paraId="132C36DE"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7.5</w:t>
            </w:r>
          </w:p>
        </w:tc>
      </w:tr>
      <w:tr w:rsidR="006F7A03" w:rsidRPr="00615328" w14:paraId="280C76E5" w14:textId="77777777" w:rsidTr="00A90AAE">
        <w:trPr>
          <w:trHeight w:val="315"/>
        </w:trPr>
        <w:tc>
          <w:tcPr>
            <w:tcW w:w="3778" w:type="dxa"/>
            <w:tcBorders>
              <w:top w:val="single" w:sz="4" w:space="0" w:color="auto"/>
            </w:tcBorders>
            <w:shd w:val="clear" w:color="auto" w:fill="FFFFFF"/>
            <w:vAlign w:val="center"/>
            <w:hideMark/>
          </w:tcPr>
          <w:p w14:paraId="48E41E67" w14:textId="77777777" w:rsidR="006F7A03" w:rsidRPr="00C87A27" w:rsidRDefault="006F7A03" w:rsidP="00A90AAE">
            <w:pPr>
              <w:tabs>
                <w:tab w:val="left" w:pos="0"/>
              </w:tabs>
              <w:spacing w:before="120" w:after="0" w:line="240" w:lineRule="auto"/>
              <w:ind w:firstLine="0"/>
              <w:jc w:val="left"/>
              <w:rPr>
                <w:rFonts w:cs="Calibri"/>
                <w:color w:val="000000"/>
                <w:sz w:val="18"/>
                <w:szCs w:val="18"/>
              </w:rPr>
            </w:pPr>
            <w:r w:rsidRPr="00C87A27">
              <w:rPr>
                <w:bCs/>
                <w:color w:val="000000"/>
                <w:sz w:val="18"/>
                <w:szCs w:val="18"/>
              </w:rPr>
              <w:t xml:space="preserve">2. </w:t>
            </w:r>
            <w:r w:rsidRPr="00C87A27">
              <w:rPr>
                <w:rFonts w:cs="Arial"/>
                <w:bCs/>
                <w:color w:val="000000"/>
                <w:sz w:val="18"/>
                <w:szCs w:val="18"/>
              </w:rPr>
              <w:t>Դրամաշնորհային</w:t>
            </w:r>
            <w:r w:rsidRPr="00C87A27">
              <w:rPr>
                <w:bCs/>
                <w:color w:val="000000"/>
                <w:sz w:val="18"/>
                <w:szCs w:val="18"/>
              </w:rPr>
              <w:t xml:space="preserve"> </w:t>
            </w:r>
            <w:r w:rsidRPr="00C87A27">
              <w:rPr>
                <w:rFonts w:cs="Arial"/>
                <w:bCs/>
                <w:color w:val="000000"/>
                <w:sz w:val="18"/>
                <w:szCs w:val="18"/>
              </w:rPr>
              <w:t>ծրագրերի</w:t>
            </w:r>
            <w:r w:rsidRPr="00C87A27">
              <w:rPr>
                <w:bCs/>
                <w:color w:val="000000"/>
                <w:sz w:val="18"/>
                <w:szCs w:val="18"/>
              </w:rPr>
              <w:t xml:space="preserve"> </w:t>
            </w:r>
            <w:r w:rsidRPr="00C87A27">
              <w:rPr>
                <w:rFonts w:cs="Arial"/>
                <w:bCs/>
                <w:color w:val="000000"/>
                <w:sz w:val="18"/>
                <w:szCs w:val="18"/>
              </w:rPr>
              <w:t>և</w:t>
            </w:r>
            <w:r w:rsidRPr="00C87A27">
              <w:rPr>
                <w:bCs/>
                <w:color w:val="000000"/>
                <w:sz w:val="18"/>
                <w:szCs w:val="18"/>
              </w:rPr>
              <w:t xml:space="preserve"> </w:t>
            </w:r>
            <w:r w:rsidRPr="00C87A27">
              <w:rPr>
                <w:rFonts w:cs="Arial"/>
                <w:bCs/>
                <w:color w:val="000000"/>
                <w:sz w:val="18"/>
                <w:szCs w:val="18"/>
              </w:rPr>
              <w:t>միջոցառումներ</w:t>
            </w:r>
          </w:p>
        </w:tc>
        <w:tc>
          <w:tcPr>
            <w:tcW w:w="1134" w:type="dxa"/>
            <w:tcBorders>
              <w:top w:val="single" w:sz="4" w:space="0" w:color="auto"/>
            </w:tcBorders>
            <w:shd w:val="clear" w:color="auto" w:fill="FFFFFF"/>
            <w:vAlign w:val="center"/>
          </w:tcPr>
          <w:p w14:paraId="726F1E9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7.6</w:t>
            </w:r>
          </w:p>
        </w:tc>
        <w:tc>
          <w:tcPr>
            <w:tcW w:w="711" w:type="dxa"/>
            <w:tcBorders>
              <w:top w:val="single" w:sz="4" w:space="0" w:color="auto"/>
            </w:tcBorders>
            <w:shd w:val="clear" w:color="auto" w:fill="FFFFFF"/>
            <w:vAlign w:val="center"/>
          </w:tcPr>
          <w:p w14:paraId="2BF6A55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10.2</w:t>
            </w:r>
          </w:p>
        </w:tc>
        <w:tc>
          <w:tcPr>
            <w:tcW w:w="850" w:type="dxa"/>
            <w:tcBorders>
              <w:top w:val="single" w:sz="4" w:space="0" w:color="auto"/>
            </w:tcBorders>
            <w:shd w:val="clear" w:color="auto" w:fill="FFFFFF"/>
            <w:vAlign w:val="center"/>
          </w:tcPr>
          <w:p w14:paraId="30328DF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8.9</w:t>
            </w:r>
          </w:p>
        </w:tc>
        <w:tc>
          <w:tcPr>
            <w:tcW w:w="851" w:type="dxa"/>
            <w:tcBorders>
              <w:top w:val="single" w:sz="4" w:space="0" w:color="auto"/>
            </w:tcBorders>
            <w:shd w:val="clear" w:color="auto" w:fill="FFFFFF"/>
            <w:vAlign w:val="center"/>
          </w:tcPr>
          <w:p w14:paraId="1E7D2AE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14.7</w:t>
            </w:r>
          </w:p>
        </w:tc>
        <w:tc>
          <w:tcPr>
            <w:tcW w:w="850" w:type="dxa"/>
            <w:tcBorders>
              <w:top w:val="single" w:sz="4" w:space="0" w:color="auto"/>
            </w:tcBorders>
            <w:shd w:val="clear" w:color="auto" w:fill="FFFFFF"/>
            <w:vAlign w:val="center"/>
          </w:tcPr>
          <w:p w14:paraId="42E2ADA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14.6</w:t>
            </w:r>
          </w:p>
        </w:tc>
        <w:tc>
          <w:tcPr>
            <w:tcW w:w="709" w:type="dxa"/>
            <w:tcBorders>
              <w:top w:val="single" w:sz="4" w:space="0" w:color="auto"/>
            </w:tcBorders>
            <w:shd w:val="clear" w:color="auto" w:fill="FFFFFF"/>
            <w:vAlign w:val="center"/>
          </w:tcPr>
          <w:p w14:paraId="0D2D27E1"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9.7</w:t>
            </w:r>
          </w:p>
        </w:tc>
        <w:tc>
          <w:tcPr>
            <w:tcW w:w="996" w:type="dxa"/>
            <w:tcBorders>
              <w:top w:val="single" w:sz="4" w:space="0" w:color="auto"/>
            </w:tcBorders>
            <w:shd w:val="clear" w:color="auto" w:fill="FFFFFF"/>
            <w:vAlign w:val="center"/>
          </w:tcPr>
          <w:p w14:paraId="185FA367"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6.0</w:t>
            </w:r>
          </w:p>
        </w:tc>
      </w:tr>
      <w:tr w:rsidR="006F7A03" w:rsidRPr="00615328" w14:paraId="3AACA3A9" w14:textId="77777777" w:rsidTr="00A90AAE">
        <w:trPr>
          <w:trHeight w:val="315"/>
        </w:trPr>
        <w:tc>
          <w:tcPr>
            <w:tcW w:w="3778" w:type="dxa"/>
            <w:shd w:val="clear" w:color="auto" w:fill="FFFFFF"/>
            <w:vAlign w:val="center"/>
            <w:hideMark/>
          </w:tcPr>
          <w:p w14:paraId="0139E5D1" w14:textId="77777777" w:rsidR="006F7A03" w:rsidRPr="00C87A27" w:rsidRDefault="006F7A03" w:rsidP="00A90AAE">
            <w:pPr>
              <w:tabs>
                <w:tab w:val="left" w:pos="0"/>
              </w:tabs>
              <w:spacing w:before="120" w:after="0" w:line="240" w:lineRule="auto"/>
              <w:ind w:firstLine="0"/>
              <w:jc w:val="left"/>
              <w:rPr>
                <w:rFonts w:cs="Arial"/>
                <w:color w:val="000000"/>
                <w:sz w:val="18"/>
                <w:szCs w:val="18"/>
              </w:rPr>
            </w:pPr>
            <w:r w:rsidRPr="00C87A27">
              <w:rPr>
                <w:rFonts w:cs="Arial"/>
                <w:color w:val="000000"/>
                <w:sz w:val="18"/>
                <w:szCs w:val="18"/>
              </w:rPr>
              <w:t>ՀՆԱ-ի նկատմամբ (%)</w:t>
            </w:r>
          </w:p>
        </w:tc>
        <w:tc>
          <w:tcPr>
            <w:tcW w:w="1134" w:type="dxa"/>
            <w:shd w:val="clear" w:color="auto" w:fill="FFFFFF"/>
            <w:vAlign w:val="center"/>
          </w:tcPr>
          <w:p w14:paraId="2532465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711" w:type="dxa"/>
            <w:shd w:val="clear" w:color="auto" w:fill="FFFFFF"/>
            <w:vAlign w:val="center"/>
          </w:tcPr>
          <w:p w14:paraId="14C2238C"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850" w:type="dxa"/>
            <w:shd w:val="clear" w:color="auto" w:fill="FFFFFF"/>
            <w:vAlign w:val="center"/>
          </w:tcPr>
          <w:p w14:paraId="76DA74F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851" w:type="dxa"/>
            <w:shd w:val="clear" w:color="auto" w:fill="FFFFFF"/>
            <w:vAlign w:val="center"/>
          </w:tcPr>
          <w:p w14:paraId="35C5BAF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850" w:type="dxa"/>
            <w:shd w:val="clear" w:color="auto" w:fill="FFFFFF"/>
            <w:vAlign w:val="center"/>
          </w:tcPr>
          <w:p w14:paraId="7DA1D9B6"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709" w:type="dxa"/>
            <w:shd w:val="clear" w:color="auto" w:fill="FFFFFF"/>
            <w:vAlign w:val="center"/>
          </w:tcPr>
          <w:p w14:paraId="452A085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c>
          <w:tcPr>
            <w:tcW w:w="996" w:type="dxa"/>
            <w:shd w:val="clear" w:color="auto" w:fill="FFFFFF"/>
            <w:vAlign w:val="center"/>
          </w:tcPr>
          <w:p w14:paraId="788FAB54"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0.04</w:t>
            </w:r>
          </w:p>
        </w:tc>
      </w:tr>
      <w:tr w:rsidR="006F7A03" w:rsidRPr="00615328" w14:paraId="60117C69" w14:textId="77777777" w:rsidTr="00A90AAE">
        <w:trPr>
          <w:trHeight w:val="315"/>
        </w:trPr>
        <w:tc>
          <w:tcPr>
            <w:tcW w:w="3778" w:type="dxa"/>
            <w:tcBorders>
              <w:bottom w:val="single" w:sz="4" w:space="0" w:color="auto"/>
            </w:tcBorders>
            <w:shd w:val="clear" w:color="auto" w:fill="FFFFFF"/>
            <w:vAlign w:val="center"/>
            <w:hideMark/>
          </w:tcPr>
          <w:p w14:paraId="0C0F64D6" w14:textId="77777777" w:rsidR="006F7A03" w:rsidRPr="00C87A27" w:rsidRDefault="006F7A03" w:rsidP="00A90AAE">
            <w:pPr>
              <w:tabs>
                <w:tab w:val="left" w:pos="0"/>
              </w:tabs>
              <w:spacing w:before="120" w:after="0" w:line="240" w:lineRule="auto"/>
              <w:ind w:firstLine="0"/>
              <w:jc w:val="left"/>
              <w:rPr>
                <w:rFonts w:cs="Arial"/>
                <w:color w:val="000000"/>
                <w:sz w:val="18"/>
                <w:szCs w:val="18"/>
              </w:rPr>
            </w:pPr>
            <w:r w:rsidRPr="00C87A27">
              <w:rPr>
                <w:rFonts w:cs="Arial"/>
                <w:color w:val="000000"/>
                <w:sz w:val="18"/>
                <w:szCs w:val="18"/>
              </w:rPr>
              <w:t>Ընդհանուր ծախսերում (%)</w:t>
            </w:r>
          </w:p>
        </w:tc>
        <w:tc>
          <w:tcPr>
            <w:tcW w:w="1134" w:type="dxa"/>
            <w:tcBorders>
              <w:bottom w:val="single" w:sz="4" w:space="0" w:color="auto"/>
            </w:tcBorders>
            <w:shd w:val="clear" w:color="auto" w:fill="FFFFFF"/>
            <w:vAlign w:val="center"/>
          </w:tcPr>
          <w:p w14:paraId="459C226F"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0.4</w:t>
            </w:r>
          </w:p>
        </w:tc>
        <w:tc>
          <w:tcPr>
            <w:tcW w:w="711" w:type="dxa"/>
            <w:tcBorders>
              <w:bottom w:val="single" w:sz="4" w:space="0" w:color="auto"/>
            </w:tcBorders>
            <w:shd w:val="clear" w:color="auto" w:fill="FFFFFF"/>
            <w:vAlign w:val="center"/>
          </w:tcPr>
          <w:p w14:paraId="11E1DB1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0.5</w:t>
            </w:r>
          </w:p>
        </w:tc>
        <w:tc>
          <w:tcPr>
            <w:tcW w:w="850" w:type="dxa"/>
            <w:tcBorders>
              <w:bottom w:val="single" w:sz="4" w:space="0" w:color="auto"/>
            </w:tcBorders>
            <w:shd w:val="clear" w:color="auto" w:fill="FFFFFF"/>
            <w:vAlign w:val="center"/>
          </w:tcPr>
          <w:p w14:paraId="209F9265"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0.3</w:t>
            </w:r>
          </w:p>
        </w:tc>
        <w:tc>
          <w:tcPr>
            <w:tcW w:w="851" w:type="dxa"/>
            <w:tcBorders>
              <w:bottom w:val="single" w:sz="4" w:space="0" w:color="auto"/>
            </w:tcBorders>
            <w:shd w:val="clear" w:color="auto" w:fill="FFFFFF"/>
            <w:vAlign w:val="center"/>
          </w:tcPr>
          <w:p w14:paraId="24C002A3"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0.5</w:t>
            </w:r>
          </w:p>
        </w:tc>
        <w:tc>
          <w:tcPr>
            <w:tcW w:w="850" w:type="dxa"/>
            <w:tcBorders>
              <w:bottom w:val="single" w:sz="4" w:space="0" w:color="auto"/>
            </w:tcBorders>
            <w:shd w:val="clear" w:color="auto" w:fill="FFFFFF"/>
            <w:vAlign w:val="center"/>
          </w:tcPr>
          <w:p w14:paraId="7531E7CD"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0.4</w:t>
            </w:r>
          </w:p>
        </w:tc>
        <w:tc>
          <w:tcPr>
            <w:tcW w:w="709" w:type="dxa"/>
            <w:tcBorders>
              <w:bottom w:val="single" w:sz="4" w:space="0" w:color="auto"/>
            </w:tcBorders>
            <w:shd w:val="clear" w:color="auto" w:fill="FFFFFF"/>
            <w:vAlign w:val="center"/>
          </w:tcPr>
          <w:p w14:paraId="16969358"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0.3</w:t>
            </w:r>
          </w:p>
        </w:tc>
        <w:tc>
          <w:tcPr>
            <w:tcW w:w="996" w:type="dxa"/>
            <w:tcBorders>
              <w:bottom w:val="single" w:sz="4" w:space="0" w:color="auto"/>
            </w:tcBorders>
            <w:shd w:val="clear" w:color="auto" w:fill="FFFFFF"/>
            <w:vAlign w:val="center"/>
          </w:tcPr>
          <w:p w14:paraId="299F51CA" w14:textId="77777777" w:rsidR="006F7A03" w:rsidRPr="00615328" w:rsidRDefault="006F7A03" w:rsidP="00A90AAE">
            <w:pPr>
              <w:tabs>
                <w:tab w:val="left" w:pos="0"/>
              </w:tabs>
              <w:spacing w:before="120" w:after="0" w:line="240" w:lineRule="auto"/>
              <w:ind w:firstLine="0"/>
              <w:jc w:val="center"/>
              <w:rPr>
                <w:rFonts w:cs="Calibri"/>
                <w:color w:val="000000"/>
                <w:sz w:val="16"/>
                <w:szCs w:val="16"/>
              </w:rPr>
            </w:pPr>
            <w:r>
              <w:rPr>
                <w:rFonts w:cs="Calibri"/>
                <w:color w:val="000000"/>
                <w:sz w:val="16"/>
                <w:szCs w:val="16"/>
              </w:rPr>
              <w:t>0.1</w:t>
            </w:r>
          </w:p>
        </w:tc>
      </w:tr>
    </w:tbl>
    <w:p w14:paraId="19DEB3AB" w14:textId="77777777" w:rsidR="006F7A03" w:rsidRPr="00EE67EC" w:rsidRDefault="006F7A03" w:rsidP="006F7A03">
      <w:pPr>
        <w:tabs>
          <w:tab w:val="left" w:pos="0"/>
        </w:tabs>
        <w:spacing w:before="120" w:after="0" w:line="276" w:lineRule="auto"/>
        <w:ind w:firstLine="0"/>
        <w:rPr>
          <w:rFonts w:cs="Arial"/>
          <w:lang w:val="hy-AM"/>
        </w:rPr>
      </w:pPr>
    </w:p>
    <w:p w14:paraId="0F9F73B3" w14:textId="77777777" w:rsidR="006F7A03" w:rsidRDefault="006F7A03" w:rsidP="006F7A03">
      <w:pPr>
        <w:tabs>
          <w:tab w:val="left" w:pos="0"/>
        </w:tabs>
        <w:spacing w:before="120" w:after="0" w:line="276" w:lineRule="auto"/>
        <w:ind w:firstLine="0"/>
        <w:rPr>
          <w:lang w:val="hy-AM"/>
        </w:rPr>
      </w:pPr>
      <w:r w:rsidRPr="00EE67EC">
        <w:rPr>
          <w:rFonts w:cs="Arial"/>
          <w:lang w:val="hy-AM"/>
        </w:rPr>
        <w:t>Արտաքին</w:t>
      </w:r>
      <w:r w:rsidRPr="00EE67EC">
        <w:rPr>
          <w:lang w:val="hy-AM"/>
        </w:rPr>
        <w:t xml:space="preserve">  </w:t>
      </w:r>
      <w:r w:rsidRPr="00EE67EC">
        <w:rPr>
          <w:rFonts w:cs="Arial"/>
          <w:lang w:val="hy-AM"/>
        </w:rPr>
        <w:t>աղբյուրներից</w:t>
      </w:r>
      <w:r w:rsidRPr="00EE67EC">
        <w:rPr>
          <w:lang w:val="hy-AM"/>
        </w:rPr>
        <w:t xml:space="preserve"> </w:t>
      </w:r>
      <w:r w:rsidRPr="00EE67EC">
        <w:rPr>
          <w:rFonts w:cs="Arial"/>
          <w:lang w:val="hy-AM"/>
        </w:rPr>
        <w:t>վարկերի</w:t>
      </w:r>
      <w:r w:rsidRPr="00EE67EC">
        <w:rPr>
          <w:lang w:val="hy-AM"/>
        </w:rPr>
        <w:t xml:space="preserve"> </w:t>
      </w:r>
      <w:r w:rsidRPr="00EE67EC">
        <w:rPr>
          <w:rFonts w:cs="Arial"/>
          <w:lang w:val="hy-AM"/>
        </w:rPr>
        <w:t>և</w:t>
      </w:r>
      <w:r w:rsidRPr="00EE67EC">
        <w:rPr>
          <w:lang w:val="hy-AM"/>
        </w:rPr>
        <w:t xml:space="preserve"> </w:t>
      </w:r>
      <w:r w:rsidRPr="00EE67EC">
        <w:rPr>
          <w:rFonts w:cs="Arial"/>
          <w:lang w:val="hy-AM"/>
        </w:rPr>
        <w:t>պաշտոնական</w:t>
      </w:r>
      <w:r w:rsidRPr="00EE67EC">
        <w:rPr>
          <w:lang w:val="hy-AM"/>
        </w:rPr>
        <w:t xml:space="preserve"> </w:t>
      </w:r>
      <w:r w:rsidRPr="00EE67EC">
        <w:rPr>
          <w:rFonts w:cs="Arial"/>
          <w:lang w:val="hy-AM"/>
        </w:rPr>
        <w:t>դրամաշնորհների</w:t>
      </w:r>
      <w:r w:rsidRPr="00EE67EC">
        <w:rPr>
          <w:lang w:val="hy-AM"/>
        </w:rPr>
        <w:t xml:space="preserve"> </w:t>
      </w:r>
      <w:r w:rsidRPr="00EE67EC">
        <w:rPr>
          <w:rFonts w:cs="Arial"/>
          <w:lang w:val="hy-AM"/>
        </w:rPr>
        <w:t>տեսքով</w:t>
      </w:r>
      <w:r w:rsidRPr="00EE67EC">
        <w:rPr>
          <w:lang w:val="hy-AM"/>
        </w:rPr>
        <w:t xml:space="preserve"> </w:t>
      </w:r>
      <w:r w:rsidRPr="00EE67EC">
        <w:rPr>
          <w:rFonts w:cs="Arial"/>
          <w:lang w:val="hy-AM"/>
        </w:rPr>
        <w:t>ստաց</w:t>
      </w:r>
      <w:r w:rsidRPr="00EE67EC">
        <w:rPr>
          <w:lang w:val="hy-AM"/>
        </w:rPr>
        <w:softHyphen/>
      </w:r>
      <w:r w:rsidRPr="00EE67EC">
        <w:rPr>
          <w:rFonts w:cs="Arial"/>
          <w:lang w:val="hy-AM"/>
        </w:rPr>
        <w:t>վե</w:t>
      </w:r>
      <w:r w:rsidRPr="00EE67EC">
        <w:rPr>
          <w:lang w:val="hy-AM"/>
        </w:rPr>
        <w:softHyphen/>
      </w:r>
      <w:r w:rsidRPr="00EE67EC">
        <w:rPr>
          <w:rFonts w:cs="Arial"/>
          <w:lang w:val="hy-AM"/>
        </w:rPr>
        <w:t>լիք</w:t>
      </w:r>
      <w:r w:rsidRPr="00EE67EC">
        <w:rPr>
          <w:lang w:val="hy-AM"/>
        </w:rPr>
        <w:t xml:space="preserve"> </w:t>
      </w:r>
      <w:r w:rsidRPr="00EE67EC">
        <w:rPr>
          <w:rFonts w:cs="Arial"/>
          <w:lang w:val="hy-AM"/>
        </w:rPr>
        <w:t>մի</w:t>
      </w:r>
      <w:r w:rsidRPr="00EE67EC">
        <w:rPr>
          <w:lang w:val="hy-AM"/>
        </w:rPr>
        <w:softHyphen/>
      </w:r>
      <w:r w:rsidRPr="00EE67EC">
        <w:rPr>
          <w:rFonts w:cs="Arial"/>
          <w:lang w:val="hy-AM"/>
        </w:rPr>
        <w:t>ջոցների</w:t>
      </w:r>
      <w:r w:rsidRPr="00EE67EC">
        <w:rPr>
          <w:lang w:val="hy-AM"/>
        </w:rPr>
        <w:t xml:space="preserve"> </w:t>
      </w:r>
      <w:r w:rsidRPr="00EE67EC">
        <w:rPr>
          <w:rFonts w:cs="Arial"/>
          <w:lang w:val="hy-AM"/>
        </w:rPr>
        <w:t>հաշվին</w:t>
      </w:r>
      <w:r w:rsidRPr="00EE67EC">
        <w:rPr>
          <w:lang w:val="hy-AM"/>
        </w:rPr>
        <w:t xml:space="preserve"> </w:t>
      </w:r>
      <w:r w:rsidRPr="00EE67EC">
        <w:rPr>
          <w:rFonts w:cs="Arial"/>
          <w:lang w:val="hy-AM"/>
        </w:rPr>
        <w:t>կանխատեսվող</w:t>
      </w:r>
      <w:r>
        <w:rPr>
          <w:lang w:val="hy-AM"/>
        </w:rPr>
        <w:t xml:space="preserve"> 2025-</w:t>
      </w:r>
      <w:r w:rsidRPr="00A72EE1">
        <w:rPr>
          <w:lang w:val="hy-AM"/>
        </w:rPr>
        <w:t xml:space="preserve">2027 </w:t>
      </w:r>
      <w:r w:rsidRPr="00A72EE1">
        <w:rPr>
          <w:rFonts w:cs="Arial"/>
          <w:lang w:val="hy-AM"/>
        </w:rPr>
        <w:t>թվականների</w:t>
      </w:r>
      <w:r w:rsidRPr="00A72EE1">
        <w:rPr>
          <w:lang w:val="hy-AM"/>
        </w:rPr>
        <w:t xml:space="preserve"> </w:t>
      </w:r>
      <w:r w:rsidRPr="00A72EE1">
        <w:rPr>
          <w:rFonts w:cs="Arial"/>
          <w:lang w:val="hy-AM"/>
        </w:rPr>
        <w:t>ծախսերի</w:t>
      </w:r>
      <w:r w:rsidRPr="00A72EE1">
        <w:rPr>
          <w:lang w:val="hy-AM"/>
        </w:rPr>
        <w:t xml:space="preserve"> </w:t>
      </w:r>
      <w:r w:rsidRPr="00A72EE1">
        <w:rPr>
          <w:rFonts w:cs="Arial"/>
          <w:lang w:val="hy-AM"/>
        </w:rPr>
        <w:t>միջին</w:t>
      </w:r>
      <w:r w:rsidRPr="00A72EE1">
        <w:rPr>
          <w:lang w:val="hy-AM"/>
        </w:rPr>
        <w:t xml:space="preserve"> </w:t>
      </w:r>
      <w:r w:rsidRPr="00A72EE1">
        <w:rPr>
          <w:rFonts w:cs="Arial"/>
          <w:lang w:val="hy-AM"/>
        </w:rPr>
        <w:t>տարեկան</w:t>
      </w:r>
      <w:r w:rsidRPr="00A72EE1">
        <w:rPr>
          <w:lang w:val="hy-AM"/>
        </w:rPr>
        <w:t xml:space="preserve"> </w:t>
      </w:r>
      <w:r w:rsidRPr="00A72EE1">
        <w:rPr>
          <w:rFonts w:cs="Arial"/>
          <w:lang w:val="hy-AM"/>
        </w:rPr>
        <w:t>տե</w:t>
      </w:r>
      <w:r w:rsidRPr="00A72EE1">
        <w:rPr>
          <w:lang w:val="hy-AM"/>
        </w:rPr>
        <w:softHyphen/>
      </w:r>
      <w:r w:rsidRPr="00A72EE1">
        <w:rPr>
          <w:rFonts w:cs="Arial"/>
          <w:lang w:val="hy-AM"/>
        </w:rPr>
        <w:t>սա</w:t>
      </w:r>
      <w:r w:rsidRPr="00A72EE1">
        <w:rPr>
          <w:lang w:val="hy-AM"/>
        </w:rPr>
        <w:softHyphen/>
      </w:r>
      <w:r w:rsidRPr="00A72EE1">
        <w:rPr>
          <w:rFonts w:cs="Arial"/>
          <w:lang w:val="hy-AM"/>
        </w:rPr>
        <w:t>կա</w:t>
      </w:r>
      <w:r w:rsidRPr="00A72EE1">
        <w:rPr>
          <w:lang w:val="hy-AM"/>
        </w:rPr>
        <w:softHyphen/>
      </w:r>
      <w:r w:rsidRPr="00A72EE1">
        <w:rPr>
          <w:rFonts w:cs="Arial"/>
          <w:lang w:val="hy-AM"/>
        </w:rPr>
        <w:t>րար</w:t>
      </w:r>
      <w:r w:rsidRPr="00A72EE1">
        <w:rPr>
          <w:lang w:val="hy-AM"/>
        </w:rPr>
        <w:t xml:space="preserve"> </w:t>
      </w:r>
      <w:r w:rsidRPr="00A72EE1">
        <w:rPr>
          <w:rFonts w:cs="Arial"/>
          <w:lang w:val="hy-AM"/>
        </w:rPr>
        <w:t>կշիռը</w:t>
      </w:r>
      <w:r w:rsidRPr="00A72EE1">
        <w:rPr>
          <w:lang w:val="hy-AM"/>
        </w:rPr>
        <w:t xml:space="preserve"> </w:t>
      </w:r>
      <w:r w:rsidRPr="00A72EE1">
        <w:rPr>
          <w:rFonts w:cs="Arial"/>
          <w:lang w:val="hy-AM"/>
        </w:rPr>
        <w:t>բյուջետային</w:t>
      </w:r>
      <w:r w:rsidRPr="00A72EE1">
        <w:rPr>
          <w:lang w:val="hy-AM"/>
        </w:rPr>
        <w:t xml:space="preserve"> </w:t>
      </w:r>
      <w:r w:rsidRPr="00A72EE1">
        <w:rPr>
          <w:rFonts w:cs="Arial"/>
          <w:lang w:val="hy-AM"/>
        </w:rPr>
        <w:t>ծախսերի</w:t>
      </w:r>
      <w:r w:rsidRPr="00A72EE1">
        <w:rPr>
          <w:lang w:val="hy-AM"/>
        </w:rPr>
        <w:t xml:space="preserve"> </w:t>
      </w:r>
      <w:r w:rsidRPr="00A72EE1">
        <w:rPr>
          <w:rFonts w:cs="Arial"/>
          <w:lang w:val="hy-AM"/>
        </w:rPr>
        <w:t>ամբողջ</w:t>
      </w:r>
      <w:r w:rsidRPr="00A72EE1">
        <w:rPr>
          <w:lang w:val="hy-AM"/>
        </w:rPr>
        <w:t xml:space="preserve"> </w:t>
      </w:r>
      <w:r w:rsidRPr="00A72EE1">
        <w:rPr>
          <w:rFonts w:cs="Arial"/>
          <w:lang w:val="hy-AM"/>
        </w:rPr>
        <w:t>ծավալում</w:t>
      </w:r>
      <w:r w:rsidRPr="00A72EE1">
        <w:rPr>
          <w:lang w:val="hy-AM"/>
        </w:rPr>
        <w:t xml:space="preserve"> կազմում է 6.9 % և ՀՆԱ-ի նկատ</w:t>
      </w:r>
      <w:r w:rsidRPr="00A72EE1">
        <w:rPr>
          <w:lang w:val="hy-AM"/>
        </w:rPr>
        <w:softHyphen/>
        <w:t>մամբ՝ 2.1%:</w:t>
      </w:r>
    </w:p>
    <w:p w14:paraId="732665ED" w14:textId="77777777" w:rsidR="006F7A03" w:rsidRDefault="006F7A03" w:rsidP="006F7A03">
      <w:pPr>
        <w:tabs>
          <w:tab w:val="left" w:pos="0"/>
        </w:tabs>
        <w:spacing w:before="120" w:after="0" w:line="276" w:lineRule="auto"/>
        <w:ind w:firstLine="0"/>
        <w:rPr>
          <w:lang w:val="hy-AM"/>
        </w:rPr>
      </w:pPr>
    </w:p>
    <w:p w14:paraId="0590C4F4" w14:textId="77777777" w:rsidR="00080175" w:rsidRPr="006F347F" w:rsidRDefault="00080175" w:rsidP="00C30825">
      <w:pPr>
        <w:pStyle w:val="Heading2"/>
        <w:tabs>
          <w:tab w:val="left" w:pos="0"/>
        </w:tabs>
        <w:spacing w:before="120" w:after="0" w:line="276" w:lineRule="auto"/>
        <w:rPr>
          <w:rFonts w:eastAsia="Times New Roman" w:cs="Times New Roman"/>
          <w:caps w:val="0"/>
          <w:sz w:val="24"/>
          <w:szCs w:val="24"/>
          <w:lang w:val="hy-AM"/>
        </w:rPr>
      </w:pPr>
      <w:bookmarkStart w:id="138" w:name="_Toc170926317"/>
      <w:r>
        <w:rPr>
          <w:rFonts w:eastAsia="Times New Roman" w:cs="Times New Roman"/>
          <w:sz w:val="24"/>
          <w:szCs w:val="24"/>
          <w:lang w:val="hy-AM"/>
        </w:rPr>
        <w:t>4.3.</w:t>
      </w:r>
      <w:r w:rsidRPr="006F347F">
        <w:rPr>
          <w:rFonts w:eastAsia="Times New Roman" w:cs="Times New Roman"/>
          <w:sz w:val="24"/>
          <w:szCs w:val="24"/>
          <w:lang w:val="hy-AM"/>
        </w:rPr>
        <w:t xml:space="preserve">  </w:t>
      </w:r>
      <w:r w:rsidRPr="006F7A03">
        <w:rPr>
          <w:rFonts w:eastAsia="Times New Roman" w:cs="Times New Roman"/>
          <w:sz w:val="24"/>
          <w:szCs w:val="24"/>
          <w:lang w:val="hy-AM"/>
        </w:rPr>
        <w:t>ԿԱՆԽԱՏԵՍՎՈՂ ԾԱԽՍԵՐՆ ԸՍՏ ՏՆՏԵՍԱԳԻՏԱԿԱՆ ԴԱՍԱԿԱՐԳՄԱՆ</w:t>
      </w:r>
      <w:bookmarkEnd w:id="136"/>
      <w:bookmarkEnd w:id="137"/>
      <w:bookmarkEnd w:id="138"/>
    </w:p>
    <w:p w14:paraId="6938E4D1" w14:textId="77777777" w:rsidR="00B25841" w:rsidRPr="0080577D" w:rsidRDefault="00B25841" w:rsidP="00B25841">
      <w:pPr>
        <w:tabs>
          <w:tab w:val="left" w:pos="0"/>
        </w:tabs>
        <w:spacing w:before="120" w:after="0" w:line="276" w:lineRule="auto"/>
        <w:ind w:firstLine="0"/>
        <w:rPr>
          <w:rFonts w:cs="Arial"/>
          <w:lang w:val="hy-AM"/>
        </w:rPr>
      </w:pPr>
      <w:bookmarkStart w:id="139" w:name="_Toc77356424"/>
      <w:bookmarkEnd w:id="133"/>
      <w:bookmarkEnd w:id="134"/>
      <w:r w:rsidRPr="0080577D">
        <w:rPr>
          <w:rFonts w:cs="Arial"/>
          <w:lang w:val="hy-AM"/>
        </w:rPr>
        <w:t>2025-2027թթ. ժամանակահատվածում պետական բյուջեի ընթացիկ ծախսերի հարա</w:t>
      </w:r>
      <w:r w:rsidRPr="0080577D">
        <w:rPr>
          <w:rFonts w:cs="Arial"/>
          <w:lang w:val="hy-AM"/>
        </w:rPr>
        <w:softHyphen/>
        <w:t>բերակցությունը ՀՆԱ-ի նկատմամբ կտատանվի 24.4%-ից 23.9%-ի միջակայքում: Նույն ժամանակա</w:t>
      </w:r>
      <w:r w:rsidRPr="0080577D">
        <w:rPr>
          <w:rFonts w:cs="Arial"/>
          <w:lang w:val="hy-AM"/>
        </w:rPr>
        <w:softHyphen/>
        <w:t>հատվածում ոչ ֆինանսական ակտիվների գծով ծախսերի հարաբերակցությունները ՀՆԱ-ի նկատ</w:t>
      </w:r>
      <w:r w:rsidRPr="0080577D">
        <w:rPr>
          <w:rFonts w:cs="Arial"/>
          <w:lang w:val="hy-AM"/>
        </w:rPr>
        <w:softHyphen/>
        <w:t>մամբ կտատանվի 7.</w:t>
      </w:r>
      <w:r>
        <w:rPr>
          <w:rFonts w:cs="Arial"/>
          <w:lang w:val="hy-AM"/>
        </w:rPr>
        <w:t>0</w:t>
      </w:r>
      <w:r w:rsidRPr="0080577D">
        <w:rPr>
          <w:rFonts w:cs="Arial"/>
          <w:lang w:val="hy-AM"/>
        </w:rPr>
        <w:t>%-ից  6.</w:t>
      </w:r>
      <w:r>
        <w:rPr>
          <w:rFonts w:cs="Arial"/>
          <w:lang w:val="hy-AM"/>
        </w:rPr>
        <w:t>4</w:t>
      </w:r>
      <w:r w:rsidRPr="0080577D">
        <w:rPr>
          <w:rFonts w:cs="Arial"/>
          <w:lang w:val="hy-AM"/>
        </w:rPr>
        <w:t xml:space="preserve">%-ի միջակայքում: </w:t>
      </w:r>
    </w:p>
    <w:p w14:paraId="46AF042F" w14:textId="77777777" w:rsidR="00B25841" w:rsidRPr="00384CB0" w:rsidRDefault="00B25841" w:rsidP="00B25841">
      <w:pPr>
        <w:tabs>
          <w:tab w:val="left" w:pos="0"/>
        </w:tabs>
        <w:spacing w:before="120" w:after="0" w:line="276" w:lineRule="auto"/>
        <w:ind w:firstLine="0"/>
        <w:rPr>
          <w:rFonts w:eastAsia="Times New Roman" w:cs="Times New Roman"/>
          <w:color w:val="FF0000"/>
          <w:lang w:val="af-ZA"/>
        </w:rPr>
      </w:pPr>
    </w:p>
    <w:p w14:paraId="43406C3F" w14:textId="77777777" w:rsidR="00B25841" w:rsidRPr="00D45ABF" w:rsidRDefault="00B25841" w:rsidP="00B25841">
      <w:pPr>
        <w:tabs>
          <w:tab w:val="left" w:pos="0"/>
        </w:tabs>
        <w:spacing w:before="120" w:after="0" w:line="276" w:lineRule="auto"/>
        <w:ind w:firstLine="0"/>
        <w:rPr>
          <w:rFonts w:eastAsia="Times New Roman" w:cs="Times New Roman"/>
          <w:lang w:val="af-ZA"/>
        </w:rPr>
      </w:pPr>
      <w:r w:rsidRPr="0031357F">
        <w:rPr>
          <w:rFonts w:eastAsia="Times New Roman" w:cs="Sylfaen"/>
          <w:b/>
        </w:rPr>
        <w:t>Աղյուսակ</w:t>
      </w:r>
      <w:r w:rsidRPr="0031357F">
        <w:rPr>
          <w:rFonts w:eastAsia="Times New Roman" w:cs="Times New Roman"/>
          <w:b/>
          <w:lang w:val="af-ZA"/>
        </w:rPr>
        <w:t xml:space="preserve"> 4.3.1</w:t>
      </w:r>
      <w:r>
        <w:rPr>
          <w:rFonts w:eastAsia="Times New Roman" w:cs="Times New Roman"/>
          <w:lang w:val="af-ZA"/>
        </w:rPr>
        <w:t xml:space="preserve"> 2021</w:t>
      </w:r>
      <w:r w:rsidRPr="0031357F">
        <w:rPr>
          <w:rFonts w:eastAsia="Times New Roman" w:cs="Times New Roman"/>
          <w:lang w:val="af-ZA"/>
        </w:rPr>
        <w:t>-202</w:t>
      </w:r>
      <w:r>
        <w:rPr>
          <w:rFonts w:eastAsia="Times New Roman" w:cs="Times New Roman"/>
          <w:lang w:val="hy-AM"/>
        </w:rPr>
        <w:t>7</w:t>
      </w:r>
      <w:r w:rsidRPr="0031357F">
        <w:rPr>
          <w:rFonts w:eastAsia="Times New Roman" w:cs="Times New Roman"/>
          <w:lang w:val="it-IT"/>
        </w:rPr>
        <w:t>թթ</w:t>
      </w:r>
      <w:r>
        <w:rPr>
          <w:rFonts w:eastAsia="Times New Roman" w:cs="Times New Roman"/>
          <w:lang w:val="it-IT"/>
        </w:rPr>
        <w:t>.</w:t>
      </w:r>
      <w:r w:rsidRPr="0031357F">
        <w:rPr>
          <w:rFonts w:eastAsia="Times New Roman" w:cs="Times New Roman"/>
          <w:lang w:val="af-ZA"/>
        </w:rPr>
        <w:t xml:space="preserve"> </w:t>
      </w:r>
      <w:r w:rsidRPr="0031357F">
        <w:rPr>
          <w:rFonts w:eastAsia="Times New Roman" w:cs="Sylfaen"/>
        </w:rPr>
        <w:t>ընթացիկ</w:t>
      </w:r>
      <w:r w:rsidRPr="0031357F">
        <w:rPr>
          <w:rFonts w:eastAsia="Times New Roman" w:cs="Times New Roman"/>
          <w:lang w:val="af-ZA"/>
        </w:rPr>
        <w:t xml:space="preserve"> </w:t>
      </w:r>
      <w:r w:rsidRPr="0031357F">
        <w:rPr>
          <w:rFonts w:eastAsia="Times New Roman" w:cs="Sylfaen"/>
        </w:rPr>
        <w:t>և</w:t>
      </w:r>
      <w:r w:rsidRPr="0031357F">
        <w:rPr>
          <w:rFonts w:eastAsia="Times New Roman" w:cs="Times New Roman"/>
          <w:lang w:val="af-ZA"/>
        </w:rPr>
        <w:t xml:space="preserve"> </w:t>
      </w:r>
      <w:r w:rsidRPr="0031357F">
        <w:rPr>
          <w:rFonts w:eastAsia="Times New Roman" w:cs="Sylfaen"/>
        </w:rPr>
        <w:t>ոչ</w:t>
      </w:r>
      <w:r w:rsidRPr="0031357F">
        <w:rPr>
          <w:rFonts w:eastAsia="Times New Roman" w:cs="Sylfaen"/>
          <w:lang w:val="af-ZA"/>
        </w:rPr>
        <w:t xml:space="preserve"> </w:t>
      </w:r>
      <w:r w:rsidRPr="0031357F">
        <w:rPr>
          <w:rFonts w:eastAsia="Times New Roman" w:cs="Sylfaen"/>
        </w:rPr>
        <w:t>ֆինանսական</w:t>
      </w:r>
      <w:r w:rsidRPr="0031357F">
        <w:rPr>
          <w:rFonts w:eastAsia="Times New Roman" w:cs="Sylfaen"/>
          <w:lang w:val="af-ZA"/>
        </w:rPr>
        <w:t xml:space="preserve"> </w:t>
      </w:r>
      <w:r w:rsidRPr="0031357F">
        <w:rPr>
          <w:rFonts w:eastAsia="Times New Roman" w:cs="Sylfaen"/>
        </w:rPr>
        <w:t>ակտիվների</w:t>
      </w:r>
      <w:r w:rsidRPr="0031357F">
        <w:rPr>
          <w:rFonts w:eastAsia="Times New Roman" w:cs="Sylfaen"/>
          <w:lang w:val="af-ZA"/>
        </w:rPr>
        <w:t xml:space="preserve"> </w:t>
      </w:r>
      <w:r w:rsidRPr="0031357F">
        <w:rPr>
          <w:rFonts w:eastAsia="Times New Roman" w:cs="Sylfaen"/>
        </w:rPr>
        <w:t>գծով</w:t>
      </w:r>
      <w:r w:rsidRPr="0031357F">
        <w:rPr>
          <w:rFonts w:eastAsia="Times New Roman" w:cs="Sylfaen"/>
          <w:lang w:val="af-ZA"/>
        </w:rPr>
        <w:t xml:space="preserve"> </w:t>
      </w:r>
      <w:r w:rsidRPr="0031357F">
        <w:rPr>
          <w:rFonts w:eastAsia="Times New Roman" w:cs="Sylfaen"/>
        </w:rPr>
        <w:t>ծախսեր</w:t>
      </w:r>
      <w:r w:rsidRPr="0031357F">
        <w:rPr>
          <w:rFonts w:eastAsia="Times New Roman" w:cs="Sylfaen"/>
          <w:lang w:val="hy-AM"/>
        </w:rPr>
        <w:t>ը</w:t>
      </w:r>
      <w:r w:rsidRPr="0031357F">
        <w:rPr>
          <w:rFonts w:eastAsia="Times New Roman" w:cs="Times New Roman"/>
          <w:lang w:val="af-ZA"/>
        </w:rPr>
        <w:t xml:space="preserve"> </w:t>
      </w:r>
      <w:r w:rsidRPr="0031357F">
        <w:rPr>
          <w:rFonts w:eastAsia="Times New Roman" w:cs="Sylfaen"/>
        </w:rPr>
        <w:t>և</w:t>
      </w:r>
      <w:r w:rsidRPr="0031357F">
        <w:rPr>
          <w:rFonts w:eastAsia="Times New Roman" w:cs="Times New Roman"/>
          <w:lang w:val="af-ZA"/>
        </w:rPr>
        <w:t xml:space="preserve"> </w:t>
      </w:r>
      <w:r w:rsidRPr="0031357F">
        <w:rPr>
          <w:rFonts w:eastAsia="Times New Roman" w:cs="Sylfaen"/>
        </w:rPr>
        <w:t>հարաբերակցության</w:t>
      </w:r>
      <w:r w:rsidRPr="0031357F">
        <w:rPr>
          <w:rFonts w:eastAsia="Times New Roman" w:cs="Times New Roman"/>
          <w:lang w:val="af-ZA"/>
        </w:rPr>
        <w:t xml:space="preserve"> </w:t>
      </w:r>
      <w:r w:rsidRPr="0031357F">
        <w:rPr>
          <w:rFonts w:eastAsia="Times New Roman" w:cs="Sylfaen"/>
        </w:rPr>
        <w:t>միտումները</w:t>
      </w:r>
      <w:r w:rsidRPr="0031357F">
        <w:rPr>
          <w:rFonts w:eastAsia="Times New Roman" w:cs="Sylfaen"/>
          <w:lang w:val="af-ZA"/>
        </w:rPr>
        <w:t xml:space="preserve">, </w:t>
      </w:r>
      <w:r w:rsidRPr="0031357F">
        <w:rPr>
          <w:rFonts w:eastAsia="Times New Roman" w:cs="Times New Roman"/>
        </w:rPr>
        <w:t>մլ</w:t>
      </w:r>
      <w:r w:rsidRPr="0031357F">
        <w:rPr>
          <w:rFonts w:eastAsia="Times New Roman" w:cs="Times New Roman"/>
          <w:lang w:val="hy-AM"/>
        </w:rPr>
        <w:t>րդ</w:t>
      </w:r>
      <w:r w:rsidRPr="0031357F">
        <w:rPr>
          <w:rFonts w:eastAsia="Times New Roman" w:cs="Times New Roman"/>
          <w:lang w:val="af-ZA"/>
        </w:rPr>
        <w:t xml:space="preserve"> </w:t>
      </w:r>
      <w:r w:rsidRPr="0031357F">
        <w:rPr>
          <w:rFonts w:eastAsia="Times New Roman" w:cs="Times New Roman"/>
        </w:rPr>
        <w:t>դրամ</w:t>
      </w:r>
    </w:p>
    <w:p w14:paraId="19857951" w14:textId="77777777" w:rsidR="00B25841" w:rsidRPr="0031357F" w:rsidRDefault="00B25841" w:rsidP="00B25841">
      <w:pPr>
        <w:tabs>
          <w:tab w:val="left" w:pos="0"/>
        </w:tabs>
        <w:spacing w:before="120" w:after="0" w:line="276" w:lineRule="auto"/>
        <w:ind w:firstLine="0"/>
        <w:rPr>
          <w:rFonts w:eastAsia="Times New Roman" w:cs="Sylfaen"/>
          <w:lang w:val="af-ZA"/>
        </w:rPr>
      </w:pPr>
    </w:p>
    <w:tbl>
      <w:tblPr>
        <w:tblW w:w="10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7"/>
        <w:gridCol w:w="945"/>
        <w:gridCol w:w="1029"/>
        <w:gridCol w:w="903"/>
        <w:gridCol w:w="947"/>
        <w:gridCol w:w="996"/>
        <w:gridCol w:w="906"/>
        <w:gridCol w:w="908"/>
      </w:tblGrid>
      <w:tr w:rsidR="00B25841" w:rsidRPr="00C87A27" w14:paraId="39D85ED2" w14:textId="77777777" w:rsidTr="00A90AAE">
        <w:trPr>
          <w:trHeight w:val="324"/>
        </w:trPr>
        <w:tc>
          <w:tcPr>
            <w:tcW w:w="3387" w:type="dxa"/>
            <w:vMerge w:val="restart"/>
            <w:tcBorders>
              <w:top w:val="nil"/>
              <w:left w:val="nil"/>
              <w:right w:val="nil"/>
            </w:tcBorders>
            <w:shd w:val="clear" w:color="auto" w:fill="auto"/>
            <w:vAlign w:val="center"/>
          </w:tcPr>
          <w:p w14:paraId="308BD665" w14:textId="77777777" w:rsidR="00B25841" w:rsidRPr="00C87A27" w:rsidRDefault="00B25841" w:rsidP="00A90AAE">
            <w:pPr>
              <w:tabs>
                <w:tab w:val="left" w:pos="0"/>
              </w:tabs>
              <w:spacing w:before="120" w:after="0" w:line="240" w:lineRule="auto"/>
              <w:ind w:firstLine="0"/>
              <w:rPr>
                <w:rFonts w:eastAsia="Times New Roman" w:cs="Times New Roman"/>
                <w:color w:val="000000" w:themeColor="text1"/>
                <w:sz w:val="18"/>
                <w:szCs w:val="18"/>
              </w:rPr>
            </w:pPr>
            <w:r w:rsidRPr="00C87A27">
              <w:rPr>
                <w:rFonts w:eastAsia="Times New Roman" w:cs="Times New Roman"/>
                <w:color w:val="000000" w:themeColor="text1"/>
                <w:sz w:val="18"/>
                <w:szCs w:val="18"/>
              </w:rPr>
              <w:t>Ցուցանիշներ</w:t>
            </w:r>
          </w:p>
        </w:tc>
        <w:tc>
          <w:tcPr>
            <w:tcW w:w="2877" w:type="dxa"/>
            <w:gridSpan w:val="3"/>
            <w:tcBorders>
              <w:top w:val="nil"/>
              <w:left w:val="nil"/>
              <w:bottom w:val="single" w:sz="4" w:space="0" w:color="auto"/>
              <w:right w:val="nil"/>
            </w:tcBorders>
            <w:shd w:val="clear" w:color="auto" w:fill="auto"/>
            <w:vAlign w:val="center"/>
          </w:tcPr>
          <w:p w14:paraId="7FAC9C7B"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sidRPr="00C87A27">
              <w:rPr>
                <w:rFonts w:eastAsia="Times New Roman" w:cs="Times New Roman"/>
                <w:color w:val="000000" w:themeColor="text1"/>
                <w:sz w:val="18"/>
                <w:szCs w:val="18"/>
                <w:lang w:val="hy-AM"/>
              </w:rPr>
              <w:t>Փաստ</w:t>
            </w:r>
          </w:p>
        </w:tc>
        <w:tc>
          <w:tcPr>
            <w:tcW w:w="947" w:type="dxa"/>
            <w:tcBorders>
              <w:top w:val="nil"/>
              <w:left w:val="nil"/>
              <w:bottom w:val="nil"/>
              <w:right w:val="nil"/>
            </w:tcBorders>
            <w:shd w:val="clear" w:color="auto" w:fill="auto"/>
            <w:vAlign w:val="center"/>
          </w:tcPr>
          <w:p w14:paraId="1BFC18F1"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sidRPr="00C87A27">
              <w:rPr>
                <w:rFonts w:eastAsia="Times New Roman" w:cs="Times New Roman"/>
                <w:color w:val="000000" w:themeColor="text1"/>
                <w:sz w:val="18"/>
                <w:szCs w:val="18"/>
                <w:lang w:val="hy-AM"/>
              </w:rPr>
              <w:t>Բյուջե</w:t>
            </w:r>
          </w:p>
        </w:tc>
        <w:tc>
          <w:tcPr>
            <w:tcW w:w="2810" w:type="dxa"/>
            <w:gridSpan w:val="3"/>
            <w:tcBorders>
              <w:top w:val="nil"/>
              <w:left w:val="nil"/>
              <w:bottom w:val="single" w:sz="4" w:space="0" w:color="auto"/>
              <w:right w:val="nil"/>
            </w:tcBorders>
            <w:shd w:val="clear" w:color="auto" w:fill="auto"/>
            <w:vAlign w:val="center"/>
          </w:tcPr>
          <w:p w14:paraId="31558B93"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sidRPr="00C87A27">
              <w:rPr>
                <w:rFonts w:eastAsia="Times New Roman" w:cs="Times New Roman"/>
                <w:color w:val="000000" w:themeColor="text1"/>
                <w:sz w:val="18"/>
                <w:szCs w:val="18"/>
                <w:lang w:val="hy-AM"/>
              </w:rPr>
              <w:t>ՄԺԾԾ</w:t>
            </w:r>
          </w:p>
        </w:tc>
      </w:tr>
      <w:tr w:rsidR="00B25841" w:rsidRPr="00C87A27" w14:paraId="5BC3F5EA" w14:textId="77777777" w:rsidTr="00A90AAE">
        <w:trPr>
          <w:trHeight w:val="199"/>
        </w:trPr>
        <w:tc>
          <w:tcPr>
            <w:tcW w:w="3387" w:type="dxa"/>
            <w:vMerge/>
            <w:tcBorders>
              <w:left w:val="nil"/>
              <w:bottom w:val="single" w:sz="4" w:space="0" w:color="auto"/>
              <w:right w:val="nil"/>
            </w:tcBorders>
            <w:shd w:val="clear" w:color="auto" w:fill="auto"/>
            <w:vAlign w:val="center"/>
            <w:hideMark/>
          </w:tcPr>
          <w:p w14:paraId="3CBA5EA7"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p>
        </w:tc>
        <w:tc>
          <w:tcPr>
            <w:tcW w:w="945" w:type="dxa"/>
            <w:tcBorders>
              <w:top w:val="single" w:sz="4" w:space="0" w:color="auto"/>
              <w:left w:val="nil"/>
              <w:bottom w:val="single" w:sz="4" w:space="0" w:color="auto"/>
              <w:right w:val="nil"/>
            </w:tcBorders>
            <w:shd w:val="clear" w:color="auto" w:fill="auto"/>
            <w:vAlign w:val="center"/>
          </w:tcPr>
          <w:p w14:paraId="54CE07A1"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Pr>
                <w:rFonts w:eastAsia="Times New Roman" w:cs="Times New Roman"/>
                <w:color w:val="000000" w:themeColor="text1"/>
                <w:sz w:val="18"/>
                <w:szCs w:val="18"/>
                <w:lang w:val="hy-AM"/>
              </w:rPr>
              <w:t>2021</w:t>
            </w:r>
            <w:r w:rsidRPr="00C87A27">
              <w:rPr>
                <w:rFonts w:eastAsia="Times New Roman" w:cs="Times New Roman"/>
                <w:color w:val="000000" w:themeColor="text1"/>
                <w:sz w:val="18"/>
                <w:szCs w:val="18"/>
                <w:lang w:val="hy-AM"/>
              </w:rPr>
              <w:t xml:space="preserve"> </w:t>
            </w:r>
          </w:p>
        </w:tc>
        <w:tc>
          <w:tcPr>
            <w:tcW w:w="1029" w:type="dxa"/>
            <w:tcBorders>
              <w:top w:val="single" w:sz="4" w:space="0" w:color="auto"/>
              <w:left w:val="nil"/>
              <w:bottom w:val="single" w:sz="4" w:space="0" w:color="auto"/>
              <w:right w:val="nil"/>
            </w:tcBorders>
            <w:shd w:val="clear" w:color="auto" w:fill="auto"/>
            <w:vAlign w:val="center"/>
          </w:tcPr>
          <w:p w14:paraId="7F0798F4"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Pr>
                <w:rFonts w:eastAsia="Times New Roman" w:cs="Times New Roman"/>
                <w:color w:val="000000" w:themeColor="text1"/>
                <w:sz w:val="18"/>
                <w:szCs w:val="18"/>
                <w:lang w:val="hy-AM"/>
              </w:rPr>
              <w:t>2022</w:t>
            </w:r>
            <w:r w:rsidRPr="00C87A27">
              <w:rPr>
                <w:rFonts w:eastAsia="Times New Roman" w:cs="Times New Roman"/>
                <w:color w:val="000000" w:themeColor="text1"/>
                <w:sz w:val="18"/>
                <w:szCs w:val="18"/>
                <w:lang w:val="hy-AM"/>
              </w:rPr>
              <w:t xml:space="preserve"> </w:t>
            </w:r>
          </w:p>
        </w:tc>
        <w:tc>
          <w:tcPr>
            <w:tcW w:w="903" w:type="dxa"/>
            <w:tcBorders>
              <w:top w:val="single" w:sz="4" w:space="0" w:color="auto"/>
              <w:left w:val="nil"/>
              <w:bottom w:val="single" w:sz="4" w:space="0" w:color="auto"/>
              <w:right w:val="nil"/>
            </w:tcBorders>
            <w:shd w:val="clear" w:color="auto" w:fill="auto"/>
            <w:vAlign w:val="center"/>
          </w:tcPr>
          <w:p w14:paraId="6183D74D"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Pr>
                <w:rFonts w:eastAsia="Times New Roman" w:cs="Times New Roman"/>
                <w:color w:val="000000" w:themeColor="text1"/>
                <w:sz w:val="18"/>
                <w:szCs w:val="18"/>
                <w:lang w:val="hy-AM"/>
              </w:rPr>
              <w:t>2023</w:t>
            </w:r>
            <w:r w:rsidRPr="00C87A27">
              <w:rPr>
                <w:rFonts w:eastAsia="Times New Roman" w:cs="Times New Roman"/>
                <w:color w:val="000000" w:themeColor="text1"/>
                <w:sz w:val="18"/>
                <w:szCs w:val="18"/>
                <w:lang w:val="hy-AM"/>
              </w:rPr>
              <w:t xml:space="preserve"> </w:t>
            </w:r>
          </w:p>
        </w:tc>
        <w:tc>
          <w:tcPr>
            <w:tcW w:w="947" w:type="dxa"/>
            <w:tcBorders>
              <w:top w:val="nil"/>
              <w:left w:val="nil"/>
              <w:bottom w:val="single" w:sz="4" w:space="0" w:color="auto"/>
              <w:right w:val="nil"/>
            </w:tcBorders>
            <w:shd w:val="clear" w:color="auto" w:fill="auto"/>
            <w:vAlign w:val="center"/>
          </w:tcPr>
          <w:p w14:paraId="19E79F2F" w14:textId="77777777" w:rsidR="00B25841" w:rsidRPr="00A63F41" w:rsidRDefault="00B25841" w:rsidP="00A90AAE">
            <w:pPr>
              <w:tabs>
                <w:tab w:val="left" w:pos="0"/>
              </w:tabs>
              <w:spacing w:before="120" w:after="0" w:line="240" w:lineRule="auto"/>
              <w:ind w:firstLine="0"/>
              <w:jc w:val="center"/>
              <w:rPr>
                <w:rFonts w:eastAsia="Times New Roman" w:cs="Times New Roman"/>
                <w:sz w:val="18"/>
                <w:szCs w:val="18"/>
                <w:lang w:val="hy-AM"/>
              </w:rPr>
            </w:pPr>
            <w:r w:rsidRPr="00A63F41">
              <w:rPr>
                <w:rFonts w:eastAsia="Times New Roman" w:cs="Times New Roman"/>
                <w:sz w:val="18"/>
                <w:szCs w:val="18"/>
                <w:lang w:val="hy-AM"/>
              </w:rPr>
              <w:t>2024</w:t>
            </w:r>
          </w:p>
        </w:tc>
        <w:tc>
          <w:tcPr>
            <w:tcW w:w="996" w:type="dxa"/>
            <w:tcBorders>
              <w:top w:val="single" w:sz="4" w:space="0" w:color="auto"/>
              <w:left w:val="nil"/>
              <w:bottom w:val="single" w:sz="4" w:space="0" w:color="auto"/>
              <w:right w:val="nil"/>
            </w:tcBorders>
            <w:shd w:val="clear" w:color="auto" w:fill="auto"/>
            <w:vAlign w:val="center"/>
            <w:hideMark/>
          </w:tcPr>
          <w:p w14:paraId="65D28B5D"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Pr>
                <w:rFonts w:eastAsia="Times New Roman" w:cs="Times New Roman"/>
                <w:color w:val="000000" w:themeColor="text1"/>
                <w:sz w:val="18"/>
                <w:szCs w:val="18"/>
              </w:rPr>
              <w:t>2025</w:t>
            </w:r>
          </w:p>
        </w:tc>
        <w:tc>
          <w:tcPr>
            <w:tcW w:w="906" w:type="dxa"/>
            <w:tcBorders>
              <w:top w:val="single" w:sz="4" w:space="0" w:color="auto"/>
              <w:left w:val="nil"/>
              <w:bottom w:val="single" w:sz="4" w:space="0" w:color="auto"/>
              <w:right w:val="nil"/>
            </w:tcBorders>
            <w:shd w:val="clear" w:color="auto" w:fill="auto"/>
            <w:vAlign w:val="center"/>
            <w:hideMark/>
          </w:tcPr>
          <w:p w14:paraId="59395EF4"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Pr>
                <w:rFonts w:eastAsia="Times New Roman" w:cs="Times New Roman"/>
                <w:color w:val="000000" w:themeColor="text1"/>
                <w:sz w:val="18"/>
                <w:szCs w:val="18"/>
              </w:rPr>
              <w:t>2026</w:t>
            </w:r>
          </w:p>
        </w:tc>
        <w:tc>
          <w:tcPr>
            <w:tcW w:w="908" w:type="dxa"/>
            <w:tcBorders>
              <w:top w:val="single" w:sz="4" w:space="0" w:color="auto"/>
              <w:left w:val="nil"/>
              <w:bottom w:val="single" w:sz="4" w:space="0" w:color="auto"/>
              <w:right w:val="nil"/>
            </w:tcBorders>
            <w:shd w:val="clear" w:color="auto" w:fill="auto"/>
            <w:vAlign w:val="center"/>
            <w:hideMark/>
          </w:tcPr>
          <w:p w14:paraId="08FC8D43" w14:textId="77777777" w:rsidR="00B25841" w:rsidRPr="00C87A27"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Pr>
                <w:rFonts w:eastAsia="Times New Roman" w:cs="Times New Roman"/>
                <w:color w:val="000000" w:themeColor="text1"/>
                <w:sz w:val="18"/>
                <w:szCs w:val="18"/>
              </w:rPr>
              <w:t>2027</w:t>
            </w:r>
          </w:p>
        </w:tc>
      </w:tr>
      <w:tr w:rsidR="00B25841" w:rsidRPr="00C87A27" w14:paraId="705FFB6D" w14:textId="77777777" w:rsidTr="00A90AAE">
        <w:trPr>
          <w:trHeight w:val="510"/>
        </w:trPr>
        <w:tc>
          <w:tcPr>
            <w:tcW w:w="3387" w:type="dxa"/>
            <w:tcBorders>
              <w:top w:val="single" w:sz="4" w:space="0" w:color="auto"/>
              <w:left w:val="nil"/>
              <w:bottom w:val="nil"/>
              <w:right w:val="nil"/>
            </w:tcBorders>
            <w:shd w:val="clear" w:color="auto" w:fill="auto"/>
            <w:vAlign w:val="center"/>
            <w:hideMark/>
          </w:tcPr>
          <w:p w14:paraId="07BE0327" w14:textId="77777777" w:rsidR="00B25841" w:rsidRPr="00C87A27" w:rsidRDefault="00B25841" w:rsidP="00A90AAE">
            <w:pPr>
              <w:tabs>
                <w:tab w:val="left" w:pos="0"/>
              </w:tabs>
              <w:spacing w:before="120" w:after="0" w:line="240" w:lineRule="auto"/>
              <w:ind w:firstLine="0"/>
              <w:rPr>
                <w:rFonts w:eastAsia="Times New Roman" w:cs="Times New Roman"/>
                <w:bCs/>
                <w:sz w:val="18"/>
                <w:szCs w:val="18"/>
              </w:rPr>
            </w:pPr>
            <w:r w:rsidRPr="00C87A27">
              <w:rPr>
                <w:rFonts w:eastAsia="Times New Roman" w:cs="Times New Roman"/>
                <w:bCs/>
                <w:sz w:val="18"/>
                <w:szCs w:val="18"/>
              </w:rPr>
              <w:t>Ընդամենը ծախսեր</w:t>
            </w:r>
          </w:p>
        </w:tc>
        <w:tc>
          <w:tcPr>
            <w:tcW w:w="945" w:type="dxa"/>
            <w:tcBorders>
              <w:top w:val="single" w:sz="4" w:space="0" w:color="auto"/>
              <w:left w:val="nil"/>
              <w:bottom w:val="nil"/>
              <w:right w:val="nil"/>
            </w:tcBorders>
            <w:vAlign w:val="center"/>
          </w:tcPr>
          <w:p w14:paraId="1F8BAD49" w14:textId="77777777" w:rsidR="00B25841" w:rsidRPr="00C87A27" w:rsidRDefault="00B25841" w:rsidP="00A90AAE">
            <w:pPr>
              <w:tabs>
                <w:tab w:val="left" w:pos="0"/>
              </w:tabs>
              <w:spacing w:before="120" w:after="0" w:line="240" w:lineRule="auto"/>
              <w:ind w:firstLine="0"/>
              <w:jc w:val="center"/>
              <w:rPr>
                <w:bCs/>
                <w:sz w:val="18"/>
                <w:szCs w:val="18"/>
              </w:rPr>
            </w:pPr>
            <w:r>
              <w:rPr>
                <w:rFonts w:cs="Calibri"/>
                <w:color w:val="000000"/>
                <w:sz w:val="18"/>
                <w:szCs w:val="18"/>
              </w:rPr>
              <w:t>2,004</w:t>
            </w:r>
          </w:p>
        </w:tc>
        <w:tc>
          <w:tcPr>
            <w:tcW w:w="1029" w:type="dxa"/>
            <w:tcBorders>
              <w:top w:val="single" w:sz="4" w:space="0" w:color="auto"/>
              <w:left w:val="nil"/>
              <w:bottom w:val="nil"/>
              <w:right w:val="nil"/>
            </w:tcBorders>
            <w:vAlign w:val="center"/>
          </w:tcPr>
          <w:p w14:paraId="4C839340" w14:textId="77777777" w:rsidR="00B25841" w:rsidRPr="00C87A27" w:rsidRDefault="00B25841" w:rsidP="00A90AAE">
            <w:pPr>
              <w:tabs>
                <w:tab w:val="left" w:pos="0"/>
              </w:tabs>
              <w:spacing w:before="120" w:after="0" w:line="240" w:lineRule="auto"/>
              <w:ind w:firstLine="0"/>
              <w:jc w:val="center"/>
              <w:rPr>
                <w:bCs/>
                <w:sz w:val="18"/>
                <w:szCs w:val="18"/>
              </w:rPr>
            </w:pPr>
            <w:r>
              <w:rPr>
                <w:rFonts w:cs="Calibri"/>
                <w:color w:val="000000"/>
                <w:sz w:val="18"/>
                <w:szCs w:val="18"/>
              </w:rPr>
              <w:t>2,243</w:t>
            </w:r>
          </w:p>
        </w:tc>
        <w:tc>
          <w:tcPr>
            <w:tcW w:w="903" w:type="dxa"/>
            <w:tcBorders>
              <w:top w:val="single" w:sz="4" w:space="0" w:color="auto"/>
              <w:left w:val="nil"/>
              <w:bottom w:val="nil"/>
              <w:right w:val="nil"/>
            </w:tcBorders>
            <w:vAlign w:val="center"/>
          </w:tcPr>
          <w:p w14:paraId="6EB4CDE5" w14:textId="77777777" w:rsidR="00B25841" w:rsidRPr="00C87A27" w:rsidRDefault="00B25841" w:rsidP="00A90AAE">
            <w:pPr>
              <w:tabs>
                <w:tab w:val="left" w:pos="0"/>
              </w:tabs>
              <w:spacing w:before="120" w:after="0" w:line="240" w:lineRule="auto"/>
              <w:ind w:firstLine="0"/>
              <w:jc w:val="center"/>
              <w:rPr>
                <w:bCs/>
                <w:sz w:val="18"/>
                <w:szCs w:val="18"/>
              </w:rPr>
            </w:pPr>
            <w:r>
              <w:rPr>
                <w:rFonts w:cs="Calibri"/>
                <w:color w:val="000000"/>
                <w:sz w:val="18"/>
                <w:szCs w:val="18"/>
              </w:rPr>
              <w:t>2,548</w:t>
            </w:r>
          </w:p>
        </w:tc>
        <w:tc>
          <w:tcPr>
            <w:tcW w:w="947" w:type="dxa"/>
            <w:tcBorders>
              <w:top w:val="single" w:sz="4" w:space="0" w:color="auto"/>
              <w:left w:val="nil"/>
              <w:bottom w:val="nil"/>
              <w:right w:val="nil"/>
            </w:tcBorders>
            <w:vAlign w:val="center"/>
          </w:tcPr>
          <w:p w14:paraId="294BCD9E" w14:textId="77777777" w:rsidR="00B25841" w:rsidRPr="00A63F41" w:rsidRDefault="00B25841" w:rsidP="00A90AAE">
            <w:pPr>
              <w:tabs>
                <w:tab w:val="left" w:pos="0"/>
              </w:tabs>
              <w:spacing w:before="120" w:after="0" w:line="240" w:lineRule="auto"/>
              <w:ind w:firstLine="0"/>
              <w:jc w:val="center"/>
              <w:rPr>
                <w:bCs/>
                <w:sz w:val="18"/>
                <w:szCs w:val="18"/>
              </w:rPr>
            </w:pPr>
            <w:r>
              <w:rPr>
                <w:rFonts w:cs="Calibri"/>
                <w:color w:val="000000"/>
                <w:sz w:val="18"/>
                <w:szCs w:val="18"/>
              </w:rPr>
              <w:t>3,207</w:t>
            </w:r>
          </w:p>
        </w:tc>
        <w:tc>
          <w:tcPr>
            <w:tcW w:w="996" w:type="dxa"/>
            <w:tcBorders>
              <w:top w:val="single" w:sz="4" w:space="0" w:color="auto"/>
              <w:left w:val="nil"/>
              <w:bottom w:val="nil"/>
              <w:right w:val="nil"/>
            </w:tcBorders>
            <w:shd w:val="clear" w:color="auto" w:fill="auto"/>
            <w:vAlign w:val="center"/>
          </w:tcPr>
          <w:p w14:paraId="5C1BF0F3" w14:textId="77777777" w:rsidR="00B25841" w:rsidRPr="00C87A27" w:rsidRDefault="00B25841" w:rsidP="00A90AAE">
            <w:pPr>
              <w:tabs>
                <w:tab w:val="left" w:pos="0"/>
              </w:tabs>
              <w:spacing w:before="120" w:after="0" w:line="240" w:lineRule="auto"/>
              <w:ind w:firstLine="0"/>
              <w:jc w:val="center"/>
              <w:rPr>
                <w:bCs/>
                <w:sz w:val="18"/>
                <w:szCs w:val="18"/>
                <w:lang w:val="hy-AM"/>
              </w:rPr>
            </w:pPr>
            <w:r>
              <w:rPr>
                <w:rFonts w:cs="Calibri"/>
                <w:color w:val="000000"/>
                <w:sz w:val="18"/>
                <w:szCs w:val="18"/>
              </w:rPr>
              <w:t>3,513</w:t>
            </w:r>
          </w:p>
        </w:tc>
        <w:tc>
          <w:tcPr>
            <w:tcW w:w="906" w:type="dxa"/>
            <w:tcBorders>
              <w:top w:val="single" w:sz="4" w:space="0" w:color="auto"/>
              <w:left w:val="nil"/>
              <w:bottom w:val="nil"/>
              <w:right w:val="nil"/>
            </w:tcBorders>
            <w:shd w:val="clear" w:color="auto" w:fill="auto"/>
            <w:vAlign w:val="center"/>
          </w:tcPr>
          <w:p w14:paraId="36F79037" w14:textId="77777777" w:rsidR="00B25841" w:rsidRPr="00C87A27" w:rsidRDefault="00B25841" w:rsidP="00A90AAE">
            <w:pPr>
              <w:tabs>
                <w:tab w:val="left" w:pos="0"/>
              </w:tabs>
              <w:spacing w:before="120" w:after="0" w:line="240" w:lineRule="auto"/>
              <w:ind w:firstLine="0"/>
              <w:rPr>
                <w:bCs/>
                <w:sz w:val="18"/>
                <w:szCs w:val="18"/>
              </w:rPr>
            </w:pPr>
            <w:r>
              <w:rPr>
                <w:rFonts w:cs="Calibri"/>
                <w:color w:val="000000"/>
                <w:sz w:val="18"/>
                <w:szCs w:val="18"/>
              </w:rPr>
              <w:t>3,812</w:t>
            </w:r>
          </w:p>
        </w:tc>
        <w:tc>
          <w:tcPr>
            <w:tcW w:w="908" w:type="dxa"/>
            <w:tcBorders>
              <w:top w:val="single" w:sz="4" w:space="0" w:color="auto"/>
              <w:left w:val="nil"/>
              <w:bottom w:val="nil"/>
              <w:right w:val="nil"/>
            </w:tcBorders>
            <w:shd w:val="clear" w:color="auto" w:fill="auto"/>
            <w:vAlign w:val="center"/>
          </w:tcPr>
          <w:p w14:paraId="52646413" w14:textId="77777777" w:rsidR="00B25841" w:rsidRPr="00C87A27" w:rsidRDefault="00B25841" w:rsidP="00A90AAE">
            <w:pPr>
              <w:tabs>
                <w:tab w:val="left" w:pos="0"/>
              </w:tabs>
              <w:spacing w:before="120" w:after="0" w:line="240" w:lineRule="auto"/>
              <w:ind w:firstLine="0"/>
              <w:jc w:val="center"/>
              <w:rPr>
                <w:bCs/>
                <w:sz w:val="18"/>
                <w:szCs w:val="18"/>
                <w:lang w:val="hy-AM"/>
              </w:rPr>
            </w:pPr>
            <w:r>
              <w:rPr>
                <w:rFonts w:cs="Calibri"/>
                <w:color w:val="000000"/>
                <w:sz w:val="18"/>
                <w:szCs w:val="18"/>
              </w:rPr>
              <w:t>4,087</w:t>
            </w:r>
          </w:p>
        </w:tc>
      </w:tr>
      <w:tr w:rsidR="00B25841" w:rsidRPr="00C87A27" w14:paraId="5C168C15" w14:textId="77777777" w:rsidTr="00A90AAE">
        <w:trPr>
          <w:trHeight w:val="229"/>
        </w:trPr>
        <w:tc>
          <w:tcPr>
            <w:tcW w:w="3387" w:type="dxa"/>
            <w:tcBorders>
              <w:top w:val="single" w:sz="4" w:space="0" w:color="auto"/>
              <w:left w:val="nil"/>
              <w:bottom w:val="nil"/>
              <w:right w:val="nil"/>
            </w:tcBorders>
            <w:shd w:val="clear" w:color="000000" w:fill="FFFFFF"/>
            <w:vAlign w:val="center"/>
            <w:hideMark/>
          </w:tcPr>
          <w:p w14:paraId="2D3D6C3A" w14:textId="77777777" w:rsidR="00B25841" w:rsidRPr="00C87A27" w:rsidRDefault="00B25841" w:rsidP="00B56DC4">
            <w:pPr>
              <w:pStyle w:val="ListParagraph"/>
              <w:numPr>
                <w:ilvl w:val="0"/>
                <w:numId w:val="26"/>
              </w:numPr>
              <w:tabs>
                <w:tab w:val="left" w:pos="165"/>
              </w:tabs>
              <w:spacing w:before="120" w:after="0" w:line="240" w:lineRule="auto"/>
              <w:ind w:left="0" w:firstLine="0"/>
              <w:jc w:val="left"/>
              <w:rPr>
                <w:rFonts w:eastAsia="Times New Roman" w:cs="Times New Roman"/>
                <w:sz w:val="18"/>
                <w:szCs w:val="18"/>
              </w:rPr>
            </w:pPr>
            <w:r w:rsidRPr="00C87A27">
              <w:rPr>
                <w:rFonts w:eastAsia="Times New Roman" w:cs="Times New Roman"/>
                <w:sz w:val="18"/>
                <w:szCs w:val="18"/>
              </w:rPr>
              <w:t>Ընթացիկ ծախսեր</w:t>
            </w:r>
          </w:p>
        </w:tc>
        <w:tc>
          <w:tcPr>
            <w:tcW w:w="945" w:type="dxa"/>
            <w:tcBorders>
              <w:top w:val="single" w:sz="4" w:space="0" w:color="auto"/>
              <w:left w:val="nil"/>
              <w:bottom w:val="nil"/>
              <w:right w:val="nil"/>
            </w:tcBorders>
            <w:shd w:val="clear" w:color="000000" w:fill="FFFFFF"/>
            <w:vAlign w:val="center"/>
          </w:tcPr>
          <w:p w14:paraId="286DA8A4" w14:textId="77777777" w:rsidR="00B25841" w:rsidRPr="00C87A27" w:rsidRDefault="00B25841" w:rsidP="00A90AAE">
            <w:pPr>
              <w:tabs>
                <w:tab w:val="left" w:pos="0"/>
              </w:tabs>
              <w:spacing w:before="120" w:after="0" w:line="240" w:lineRule="auto"/>
              <w:ind w:firstLine="0"/>
              <w:jc w:val="center"/>
              <w:rPr>
                <w:sz w:val="18"/>
                <w:szCs w:val="18"/>
              </w:rPr>
            </w:pPr>
            <w:r>
              <w:rPr>
                <w:rFonts w:cs="Calibri"/>
                <w:color w:val="000000"/>
                <w:sz w:val="18"/>
                <w:szCs w:val="18"/>
              </w:rPr>
              <w:t>1,788</w:t>
            </w:r>
          </w:p>
        </w:tc>
        <w:tc>
          <w:tcPr>
            <w:tcW w:w="1029" w:type="dxa"/>
            <w:tcBorders>
              <w:top w:val="single" w:sz="4" w:space="0" w:color="auto"/>
              <w:left w:val="nil"/>
              <w:bottom w:val="nil"/>
              <w:right w:val="nil"/>
            </w:tcBorders>
            <w:shd w:val="clear" w:color="000000" w:fill="FFFFFF"/>
            <w:vAlign w:val="center"/>
          </w:tcPr>
          <w:p w14:paraId="11EB5E91" w14:textId="77777777" w:rsidR="00B25841" w:rsidRPr="00C87A27" w:rsidRDefault="00B25841" w:rsidP="00A90AAE">
            <w:pPr>
              <w:tabs>
                <w:tab w:val="left" w:pos="0"/>
              </w:tabs>
              <w:spacing w:before="120" w:after="0" w:line="240" w:lineRule="auto"/>
              <w:ind w:firstLine="0"/>
              <w:jc w:val="center"/>
              <w:rPr>
                <w:sz w:val="18"/>
                <w:szCs w:val="18"/>
              </w:rPr>
            </w:pPr>
            <w:r>
              <w:rPr>
                <w:rFonts w:cs="Calibri"/>
                <w:color w:val="000000"/>
                <w:sz w:val="18"/>
                <w:szCs w:val="18"/>
              </w:rPr>
              <w:t>1,862</w:t>
            </w:r>
          </w:p>
        </w:tc>
        <w:tc>
          <w:tcPr>
            <w:tcW w:w="903" w:type="dxa"/>
            <w:tcBorders>
              <w:top w:val="single" w:sz="4" w:space="0" w:color="auto"/>
              <w:left w:val="nil"/>
              <w:bottom w:val="nil"/>
              <w:right w:val="nil"/>
            </w:tcBorders>
            <w:shd w:val="clear" w:color="000000" w:fill="FFFFFF"/>
            <w:vAlign w:val="center"/>
          </w:tcPr>
          <w:p w14:paraId="0D97A2FE" w14:textId="77777777" w:rsidR="00B25841" w:rsidRPr="00C87A27" w:rsidRDefault="00B25841" w:rsidP="00A90AAE">
            <w:pPr>
              <w:tabs>
                <w:tab w:val="left" w:pos="0"/>
              </w:tabs>
              <w:spacing w:before="120" w:after="0" w:line="240" w:lineRule="auto"/>
              <w:ind w:firstLine="0"/>
              <w:jc w:val="center"/>
              <w:rPr>
                <w:sz w:val="18"/>
                <w:szCs w:val="18"/>
              </w:rPr>
            </w:pPr>
            <w:r>
              <w:rPr>
                <w:rFonts w:cs="Calibri"/>
                <w:color w:val="000000"/>
                <w:sz w:val="18"/>
                <w:szCs w:val="18"/>
              </w:rPr>
              <w:t>2,075</w:t>
            </w:r>
          </w:p>
        </w:tc>
        <w:tc>
          <w:tcPr>
            <w:tcW w:w="947" w:type="dxa"/>
            <w:tcBorders>
              <w:top w:val="single" w:sz="4" w:space="0" w:color="auto"/>
              <w:left w:val="nil"/>
              <w:bottom w:val="nil"/>
              <w:right w:val="nil"/>
            </w:tcBorders>
            <w:shd w:val="clear" w:color="000000" w:fill="FFFFFF"/>
            <w:vAlign w:val="center"/>
          </w:tcPr>
          <w:p w14:paraId="0D54943D" w14:textId="77777777" w:rsidR="00B25841" w:rsidRPr="00A63F41" w:rsidRDefault="00B25841" w:rsidP="00A90AAE">
            <w:pPr>
              <w:tabs>
                <w:tab w:val="left" w:pos="0"/>
              </w:tabs>
              <w:spacing w:before="120" w:after="0" w:line="240" w:lineRule="auto"/>
              <w:ind w:firstLine="0"/>
              <w:jc w:val="center"/>
              <w:rPr>
                <w:sz w:val="18"/>
                <w:szCs w:val="18"/>
              </w:rPr>
            </w:pPr>
            <w:r>
              <w:rPr>
                <w:rFonts w:cs="Calibri"/>
                <w:color w:val="000000"/>
                <w:sz w:val="18"/>
                <w:szCs w:val="18"/>
              </w:rPr>
              <w:t>2,511</w:t>
            </w:r>
          </w:p>
        </w:tc>
        <w:tc>
          <w:tcPr>
            <w:tcW w:w="996" w:type="dxa"/>
            <w:tcBorders>
              <w:top w:val="single" w:sz="4" w:space="0" w:color="auto"/>
              <w:left w:val="nil"/>
              <w:bottom w:val="nil"/>
              <w:right w:val="nil"/>
            </w:tcBorders>
            <w:shd w:val="clear" w:color="000000" w:fill="FFFFFF"/>
            <w:vAlign w:val="center"/>
          </w:tcPr>
          <w:p w14:paraId="00C790DA" w14:textId="77777777" w:rsidR="00B25841" w:rsidRPr="00C87A27" w:rsidRDefault="00B25841" w:rsidP="00A90AAE">
            <w:pPr>
              <w:tabs>
                <w:tab w:val="left" w:pos="0"/>
              </w:tabs>
              <w:spacing w:before="120" w:after="0" w:line="240" w:lineRule="auto"/>
              <w:ind w:firstLine="0"/>
              <w:jc w:val="center"/>
              <w:rPr>
                <w:sz w:val="18"/>
                <w:szCs w:val="18"/>
              </w:rPr>
            </w:pPr>
            <w:r>
              <w:rPr>
                <w:rFonts w:cs="Calibri"/>
                <w:color w:val="000000"/>
                <w:sz w:val="18"/>
                <w:szCs w:val="18"/>
              </w:rPr>
              <w:t>2,729</w:t>
            </w:r>
          </w:p>
        </w:tc>
        <w:tc>
          <w:tcPr>
            <w:tcW w:w="906" w:type="dxa"/>
            <w:tcBorders>
              <w:top w:val="single" w:sz="4" w:space="0" w:color="auto"/>
              <w:left w:val="nil"/>
              <w:bottom w:val="nil"/>
              <w:right w:val="nil"/>
            </w:tcBorders>
            <w:shd w:val="clear" w:color="000000" w:fill="FFFFFF"/>
            <w:vAlign w:val="center"/>
          </w:tcPr>
          <w:p w14:paraId="030CA083" w14:textId="77777777" w:rsidR="00B25841" w:rsidRPr="00C87A27" w:rsidRDefault="00B25841" w:rsidP="00A90AAE">
            <w:pPr>
              <w:tabs>
                <w:tab w:val="left" w:pos="0"/>
              </w:tabs>
              <w:spacing w:before="120" w:after="0" w:line="240" w:lineRule="auto"/>
              <w:ind w:firstLine="0"/>
              <w:jc w:val="center"/>
              <w:rPr>
                <w:sz w:val="18"/>
                <w:szCs w:val="18"/>
              </w:rPr>
            </w:pPr>
            <w:r>
              <w:rPr>
                <w:rFonts w:cs="Calibri"/>
                <w:color w:val="000000"/>
                <w:sz w:val="18"/>
                <w:szCs w:val="18"/>
              </w:rPr>
              <w:t>2,938</w:t>
            </w:r>
          </w:p>
        </w:tc>
        <w:tc>
          <w:tcPr>
            <w:tcW w:w="908" w:type="dxa"/>
            <w:tcBorders>
              <w:top w:val="single" w:sz="4" w:space="0" w:color="auto"/>
              <w:left w:val="nil"/>
              <w:bottom w:val="nil"/>
              <w:right w:val="nil"/>
            </w:tcBorders>
            <w:shd w:val="clear" w:color="000000" w:fill="FFFFFF"/>
            <w:vAlign w:val="center"/>
          </w:tcPr>
          <w:p w14:paraId="1676869A" w14:textId="77777777" w:rsidR="00B25841" w:rsidRPr="00C87A27" w:rsidRDefault="00B25841" w:rsidP="00A90AAE">
            <w:pPr>
              <w:tabs>
                <w:tab w:val="left" w:pos="0"/>
              </w:tabs>
              <w:spacing w:before="120" w:after="0" w:line="240" w:lineRule="auto"/>
              <w:ind w:firstLine="0"/>
              <w:jc w:val="center"/>
              <w:rPr>
                <w:sz w:val="18"/>
                <w:szCs w:val="18"/>
                <w:lang w:val="hy-AM"/>
              </w:rPr>
            </w:pPr>
            <w:r>
              <w:rPr>
                <w:rFonts w:cs="Calibri"/>
                <w:color w:val="000000"/>
                <w:sz w:val="18"/>
                <w:szCs w:val="18"/>
              </w:rPr>
              <w:t>3,228</w:t>
            </w:r>
          </w:p>
        </w:tc>
      </w:tr>
      <w:tr w:rsidR="00B25841" w:rsidRPr="00C87A27" w14:paraId="32FD2C91" w14:textId="77777777" w:rsidTr="00A90AAE">
        <w:trPr>
          <w:trHeight w:val="229"/>
        </w:trPr>
        <w:tc>
          <w:tcPr>
            <w:tcW w:w="3387" w:type="dxa"/>
            <w:tcBorders>
              <w:top w:val="nil"/>
              <w:left w:val="nil"/>
              <w:bottom w:val="nil"/>
              <w:right w:val="nil"/>
            </w:tcBorders>
            <w:shd w:val="clear" w:color="000000" w:fill="FFFFFF"/>
            <w:vAlign w:val="center"/>
            <w:hideMark/>
          </w:tcPr>
          <w:p w14:paraId="6808F3C8" w14:textId="77777777" w:rsidR="00B25841" w:rsidRPr="00C87A27" w:rsidRDefault="00B25841" w:rsidP="00A90AAE">
            <w:pPr>
              <w:tabs>
                <w:tab w:val="left" w:pos="0"/>
              </w:tabs>
              <w:spacing w:before="120" w:after="0" w:line="240" w:lineRule="auto"/>
              <w:ind w:firstLine="0"/>
              <w:rPr>
                <w:rFonts w:eastAsia="Times New Roman" w:cs="Times New Roman"/>
                <w:sz w:val="18"/>
                <w:szCs w:val="18"/>
              </w:rPr>
            </w:pPr>
            <w:r w:rsidRPr="00C87A27">
              <w:rPr>
                <w:rFonts w:cs="Calibri"/>
                <w:color w:val="000000"/>
                <w:sz w:val="18"/>
                <w:szCs w:val="18"/>
              </w:rPr>
              <w:t>ՀՆԱ-ի նկատմամբ (%)</w:t>
            </w:r>
          </w:p>
        </w:tc>
        <w:tc>
          <w:tcPr>
            <w:tcW w:w="945" w:type="dxa"/>
            <w:tcBorders>
              <w:top w:val="nil"/>
              <w:left w:val="nil"/>
              <w:bottom w:val="nil"/>
              <w:right w:val="nil"/>
            </w:tcBorders>
            <w:shd w:val="clear" w:color="000000" w:fill="FFFFFF"/>
            <w:vAlign w:val="center"/>
          </w:tcPr>
          <w:p w14:paraId="3A7D2243"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25.6</w:t>
            </w:r>
          </w:p>
        </w:tc>
        <w:tc>
          <w:tcPr>
            <w:tcW w:w="1029" w:type="dxa"/>
            <w:tcBorders>
              <w:top w:val="nil"/>
              <w:left w:val="nil"/>
              <w:bottom w:val="nil"/>
              <w:right w:val="nil"/>
            </w:tcBorders>
            <w:shd w:val="clear" w:color="000000" w:fill="FFFFFF"/>
            <w:vAlign w:val="center"/>
          </w:tcPr>
          <w:p w14:paraId="6D983FAD"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21.9</w:t>
            </w:r>
          </w:p>
        </w:tc>
        <w:tc>
          <w:tcPr>
            <w:tcW w:w="903" w:type="dxa"/>
            <w:tcBorders>
              <w:top w:val="nil"/>
              <w:left w:val="nil"/>
              <w:bottom w:val="nil"/>
              <w:right w:val="nil"/>
            </w:tcBorders>
            <w:shd w:val="clear" w:color="000000" w:fill="FFFFFF"/>
            <w:vAlign w:val="center"/>
          </w:tcPr>
          <w:p w14:paraId="04CFB9CD"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21.8</w:t>
            </w:r>
          </w:p>
        </w:tc>
        <w:tc>
          <w:tcPr>
            <w:tcW w:w="947" w:type="dxa"/>
            <w:tcBorders>
              <w:top w:val="nil"/>
              <w:left w:val="nil"/>
              <w:bottom w:val="nil"/>
              <w:right w:val="nil"/>
            </w:tcBorders>
            <w:shd w:val="clear" w:color="000000" w:fill="FFFFFF"/>
            <w:vAlign w:val="center"/>
          </w:tcPr>
          <w:p w14:paraId="30179AF5"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23.9</w:t>
            </w:r>
          </w:p>
        </w:tc>
        <w:tc>
          <w:tcPr>
            <w:tcW w:w="996" w:type="dxa"/>
            <w:tcBorders>
              <w:top w:val="nil"/>
              <w:left w:val="nil"/>
              <w:bottom w:val="nil"/>
              <w:right w:val="nil"/>
            </w:tcBorders>
            <w:shd w:val="clear" w:color="000000" w:fill="FFFFFF"/>
            <w:vAlign w:val="center"/>
          </w:tcPr>
          <w:p w14:paraId="14A0664C"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24.4</w:t>
            </w:r>
          </w:p>
        </w:tc>
        <w:tc>
          <w:tcPr>
            <w:tcW w:w="906" w:type="dxa"/>
            <w:tcBorders>
              <w:top w:val="nil"/>
              <w:left w:val="nil"/>
              <w:bottom w:val="nil"/>
              <w:right w:val="nil"/>
            </w:tcBorders>
            <w:shd w:val="clear" w:color="000000" w:fill="FFFFFF"/>
            <w:vAlign w:val="center"/>
          </w:tcPr>
          <w:p w14:paraId="68813B69"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23.9</w:t>
            </w:r>
          </w:p>
        </w:tc>
        <w:tc>
          <w:tcPr>
            <w:tcW w:w="908" w:type="dxa"/>
            <w:tcBorders>
              <w:top w:val="nil"/>
              <w:left w:val="nil"/>
              <w:bottom w:val="nil"/>
              <w:right w:val="nil"/>
            </w:tcBorders>
            <w:shd w:val="clear" w:color="000000" w:fill="FFFFFF"/>
            <w:vAlign w:val="center"/>
          </w:tcPr>
          <w:p w14:paraId="40D12820"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23.9</w:t>
            </w:r>
          </w:p>
        </w:tc>
      </w:tr>
      <w:tr w:rsidR="00B25841" w:rsidRPr="00C87A27" w14:paraId="44CB9A27" w14:textId="77777777" w:rsidTr="00A90AAE">
        <w:trPr>
          <w:trHeight w:val="448"/>
        </w:trPr>
        <w:tc>
          <w:tcPr>
            <w:tcW w:w="3387" w:type="dxa"/>
            <w:tcBorders>
              <w:top w:val="single" w:sz="4" w:space="0" w:color="auto"/>
              <w:left w:val="nil"/>
              <w:bottom w:val="nil"/>
              <w:right w:val="nil"/>
            </w:tcBorders>
            <w:shd w:val="clear" w:color="000000" w:fill="FFFFFF"/>
            <w:vAlign w:val="center"/>
            <w:hideMark/>
          </w:tcPr>
          <w:p w14:paraId="35A38175" w14:textId="77777777" w:rsidR="00B25841" w:rsidRPr="00C87A27" w:rsidRDefault="00B25841" w:rsidP="00A90AAE">
            <w:pPr>
              <w:tabs>
                <w:tab w:val="left" w:pos="0"/>
              </w:tabs>
              <w:spacing w:before="120" w:after="0" w:line="240" w:lineRule="auto"/>
              <w:ind w:firstLine="0"/>
              <w:rPr>
                <w:rFonts w:eastAsia="Times New Roman" w:cs="Times New Roman"/>
                <w:sz w:val="18"/>
                <w:szCs w:val="18"/>
              </w:rPr>
            </w:pPr>
            <w:r>
              <w:rPr>
                <w:rFonts w:eastAsia="Times New Roman" w:cs="Times New Roman"/>
                <w:sz w:val="18"/>
                <w:szCs w:val="18"/>
              </w:rPr>
              <w:t>2.</w:t>
            </w:r>
            <w:r w:rsidRPr="00C87A27">
              <w:rPr>
                <w:rFonts w:eastAsia="Times New Roman" w:cs="Times New Roman"/>
                <w:sz w:val="18"/>
                <w:szCs w:val="18"/>
              </w:rPr>
              <w:t>Ոչ ֆինանսական ակտիվների գծով  ծախսեր</w:t>
            </w:r>
            <w:r w:rsidRPr="00C87A27">
              <w:rPr>
                <w:rStyle w:val="FootnoteReference"/>
                <w:rFonts w:eastAsia="Times New Roman" w:cs="Times New Roman"/>
                <w:sz w:val="18"/>
                <w:szCs w:val="18"/>
              </w:rPr>
              <w:footnoteReference w:id="25"/>
            </w:r>
          </w:p>
        </w:tc>
        <w:tc>
          <w:tcPr>
            <w:tcW w:w="945" w:type="dxa"/>
            <w:tcBorders>
              <w:top w:val="single" w:sz="4" w:space="0" w:color="auto"/>
              <w:left w:val="nil"/>
              <w:bottom w:val="nil"/>
              <w:right w:val="nil"/>
            </w:tcBorders>
            <w:shd w:val="clear" w:color="000000" w:fill="FFFFFF"/>
            <w:vAlign w:val="center"/>
          </w:tcPr>
          <w:p w14:paraId="5CAA239E"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216</w:t>
            </w:r>
          </w:p>
        </w:tc>
        <w:tc>
          <w:tcPr>
            <w:tcW w:w="1029" w:type="dxa"/>
            <w:tcBorders>
              <w:top w:val="single" w:sz="4" w:space="0" w:color="auto"/>
              <w:left w:val="nil"/>
              <w:bottom w:val="nil"/>
              <w:right w:val="nil"/>
            </w:tcBorders>
            <w:shd w:val="clear" w:color="000000" w:fill="FFFFFF"/>
            <w:vAlign w:val="center"/>
          </w:tcPr>
          <w:p w14:paraId="0625547F"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380</w:t>
            </w:r>
          </w:p>
        </w:tc>
        <w:tc>
          <w:tcPr>
            <w:tcW w:w="903" w:type="dxa"/>
            <w:tcBorders>
              <w:top w:val="single" w:sz="4" w:space="0" w:color="auto"/>
              <w:left w:val="nil"/>
              <w:bottom w:val="nil"/>
              <w:right w:val="nil"/>
            </w:tcBorders>
            <w:shd w:val="clear" w:color="000000" w:fill="FFFFFF"/>
            <w:vAlign w:val="center"/>
          </w:tcPr>
          <w:p w14:paraId="6127356C"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473</w:t>
            </w:r>
          </w:p>
        </w:tc>
        <w:tc>
          <w:tcPr>
            <w:tcW w:w="947" w:type="dxa"/>
            <w:tcBorders>
              <w:top w:val="single" w:sz="4" w:space="0" w:color="auto"/>
              <w:left w:val="nil"/>
              <w:bottom w:val="nil"/>
              <w:right w:val="nil"/>
            </w:tcBorders>
            <w:shd w:val="clear" w:color="000000" w:fill="FFFFFF"/>
            <w:vAlign w:val="center"/>
          </w:tcPr>
          <w:p w14:paraId="38394D4C" w14:textId="77777777" w:rsidR="00B25841" w:rsidRPr="009D4BD6" w:rsidRDefault="00B25841" w:rsidP="00A90AAE">
            <w:pPr>
              <w:tabs>
                <w:tab w:val="left" w:pos="0"/>
              </w:tabs>
              <w:spacing w:before="120" w:after="0" w:line="240" w:lineRule="auto"/>
              <w:ind w:firstLine="0"/>
              <w:jc w:val="center"/>
              <w:rPr>
                <w:color w:val="FF0000"/>
                <w:sz w:val="18"/>
                <w:szCs w:val="18"/>
              </w:rPr>
            </w:pPr>
            <w:r>
              <w:rPr>
                <w:rFonts w:cs="Calibri"/>
                <w:color w:val="000000"/>
                <w:sz w:val="18"/>
                <w:szCs w:val="18"/>
              </w:rPr>
              <w:t>695</w:t>
            </w:r>
          </w:p>
        </w:tc>
        <w:tc>
          <w:tcPr>
            <w:tcW w:w="996" w:type="dxa"/>
            <w:tcBorders>
              <w:top w:val="single" w:sz="4" w:space="0" w:color="auto"/>
              <w:left w:val="nil"/>
              <w:bottom w:val="nil"/>
              <w:right w:val="nil"/>
            </w:tcBorders>
            <w:shd w:val="clear" w:color="000000" w:fill="FFFFFF"/>
            <w:vAlign w:val="center"/>
          </w:tcPr>
          <w:p w14:paraId="09572704"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785</w:t>
            </w:r>
          </w:p>
        </w:tc>
        <w:tc>
          <w:tcPr>
            <w:tcW w:w="906" w:type="dxa"/>
            <w:tcBorders>
              <w:top w:val="single" w:sz="4" w:space="0" w:color="auto"/>
              <w:left w:val="nil"/>
              <w:bottom w:val="nil"/>
              <w:right w:val="nil"/>
            </w:tcBorders>
            <w:shd w:val="clear" w:color="000000" w:fill="FFFFFF"/>
            <w:vAlign w:val="center"/>
          </w:tcPr>
          <w:p w14:paraId="6F808616"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874</w:t>
            </w:r>
          </w:p>
        </w:tc>
        <w:tc>
          <w:tcPr>
            <w:tcW w:w="908" w:type="dxa"/>
            <w:tcBorders>
              <w:top w:val="single" w:sz="4" w:space="0" w:color="auto"/>
              <w:left w:val="nil"/>
              <w:bottom w:val="nil"/>
              <w:right w:val="nil"/>
            </w:tcBorders>
            <w:shd w:val="clear" w:color="000000" w:fill="FFFFFF"/>
            <w:vAlign w:val="center"/>
          </w:tcPr>
          <w:p w14:paraId="30A4FEB1"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859</w:t>
            </w:r>
          </w:p>
        </w:tc>
      </w:tr>
      <w:tr w:rsidR="00B25841" w:rsidRPr="00C87A27" w14:paraId="77A951F2" w14:textId="77777777" w:rsidTr="00A90AAE">
        <w:trPr>
          <w:trHeight w:val="229"/>
        </w:trPr>
        <w:tc>
          <w:tcPr>
            <w:tcW w:w="3387" w:type="dxa"/>
            <w:tcBorders>
              <w:top w:val="nil"/>
              <w:left w:val="nil"/>
              <w:bottom w:val="single" w:sz="4" w:space="0" w:color="auto"/>
              <w:right w:val="nil"/>
            </w:tcBorders>
            <w:shd w:val="clear" w:color="000000" w:fill="FFFFFF"/>
            <w:vAlign w:val="center"/>
            <w:hideMark/>
          </w:tcPr>
          <w:p w14:paraId="51E59971" w14:textId="77777777" w:rsidR="00B25841" w:rsidRPr="00C87A27" w:rsidRDefault="00B25841" w:rsidP="00A90AAE">
            <w:pPr>
              <w:tabs>
                <w:tab w:val="left" w:pos="0"/>
              </w:tabs>
              <w:spacing w:before="120" w:after="0" w:line="240" w:lineRule="auto"/>
              <w:ind w:firstLine="0"/>
              <w:rPr>
                <w:rFonts w:eastAsia="Times New Roman" w:cs="Times New Roman"/>
                <w:sz w:val="18"/>
                <w:szCs w:val="18"/>
              </w:rPr>
            </w:pPr>
            <w:r w:rsidRPr="00C87A27">
              <w:rPr>
                <w:rFonts w:cs="Calibri"/>
                <w:color w:val="000000"/>
                <w:sz w:val="18"/>
                <w:szCs w:val="18"/>
              </w:rPr>
              <w:lastRenderedPageBreak/>
              <w:t>ՀՆԱ-ի նկատմամբ (%)</w:t>
            </w:r>
          </w:p>
        </w:tc>
        <w:tc>
          <w:tcPr>
            <w:tcW w:w="945" w:type="dxa"/>
            <w:tcBorders>
              <w:top w:val="nil"/>
              <w:left w:val="nil"/>
              <w:bottom w:val="single" w:sz="4" w:space="0" w:color="auto"/>
              <w:right w:val="nil"/>
            </w:tcBorders>
            <w:shd w:val="clear" w:color="000000" w:fill="FFFFFF"/>
            <w:vAlign w:val="center"/>
          </w:tcPr>
          <w:p w14:paraId="703C64A1"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3.1</w:t>
            </w:r>
          </w:p>
        </w:tc>
        <w:tc>
          <w:tcPr>
            <w:tcW w:w="1029" w:type="dxa"/>
            <w:tcBorders>
              <w:top w:val="nil"/>
              <w:left w:val="nil"/>
              <w:bottom w:val="single" w:sz="4" w:space="0" w:color="auto"/>
              <w:right w:val="nil"/>
            </w:tcBorders>
            <w:shd w:val="clear" w:color="000000" w:fill="FFFFFF"/>
            <w:vAlign w:val="center"/>
          </w:tcPr>
          <w:p w14:paraId="57ED79DC" w14:textId="77777777" w:rsidR="00B25841" w:rsidRPr="00C87A27" w:rsidRDefault="00B25841" w:rsidP="00A90AAE">
            <w:pPr>
              <w:tabs>
                <w:tab w:val="left" w:pos="0"/>
              </w:tabs>
              <w:spacing w:before="120" w:after="0" w:line="240" w:lineRule="auto"/>
              <w:ind w:firstLine="0"/>
              <w:jc w:val="center"/>
              <w:rPr>
                <w:color w:val="000000"/>
                <w:sz w:val="18"/>
                <w:szCs w:val="18"/>
              </w:rPr>
            </w:pPr>
            <w:r>
              <w:rPr>
                <w:rFonts w:cs="Calibri"/>
                <w:color w:val="000000"/>
                <w:sz w:val="18"/>
                <w:szCs w:val="18"/>
              </w:rPr>
              <w:t>4.5</w:t>
            </w:r>
          </w:p>
        </w:tc>
        <w:tc>
          <w:tcPr>
            <w:tcW w:w="903" w:type="dxa"/>
            <w:tcBorders>
              <w:top w:val="nil"/>
              <w:left w:val="nil"/>
              <w:bottom w:val="single" w:sz="4" w:space="0" w:color="auto"/>
              <w:right w:val="nil"/>
            </w:tcBorders>
            <w:shd w:val="clear" w:color="000000" w:fill="FFFFFF"/>
            <w:vAlign w:val="center"/>
          </w:tcPr>
          <w:p w14:paraId="4C68D30C"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5.0</w:t>
            </w:r>
          </w:p>
        </w:tc>
        <w:tc>
          <w:tcPr>
            <w:tcW w:w="947" w:type="dxa"/>
            <w:tcBorders>
              <w:top w:val="nil"/>
              <w:left w:val="nil"/>
              <w:bottom w:val="single" w:sz="4" w:space="0" w:color="auto"/>
              <w:right w:val="nil"/>
            </w:tcBorders>
            <w:shd w:val="clear" w:color="000000" w:fill="FFFFFF"/>
            <w:vAlign w:val="center"/>
          </w:tcPr>
          <w:p w14:paraId="6C75634D"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6.6</w:t>
            </w:r>
          </w:p>
        </w:tc>
        <w:tc>
          <w:tcPr>
            <w:tcW w:w="996" w:type="dxa"/>
            <w:tcBorders>
              <w:top w:val="nil"/>
              <w:left w:val="nil"/>
              <w:bottom w:val="single" w:sz="4" w:space="0" w:color="auto"/>
              <w:right w:val="nil"/>
            </w:tcBorders>
            <w:shd w:val="clear" w:color="000000" w:fill="FFFFFF"/>
            <w:vAlign w:val="center"/>
          </w:tcPr>
          <w:p w14:paraId="6E6F690C"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7.0</w:t>
            </w:r>
          </w:p>
        </w:tc>
        <w:tc>
          <w:tcPr>
            <w:tcW w:w="906" w:type="dxa"/>
            <w:tcBorders>
              <w:top w:val="nil"/>
              <w:left w:val="nil"/>
              <w:bottom w:val="single" w:sz="4" w:space="0" w:color="auto"/>
              <w:right w:val="nil"/>
            </w:tcBorders>
            <w:shd w:val="clear" w:color="000000" w:fill="FFFFFF"/>
            <w:vAlign w:val="center"/>
          </w:tcPr>
          <w:p w14:paraId="431DD6BD"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7.1</w:t>
            </w:r>
          </w:p>
        </w:tc>
        <w:tc>
          <w:tcPr>
            <w:tcW w:w="908" w:type="dxa"/>
            <w:tcBorders>
              <w:top w:val="nil"/>
              <w:left w:val="nil"/>
              <w:bottom w:val="single" w:sz="4" w:space="0" w:color="auto"/>
              <w:right w:val="nil"/>
            </w:tcBorders>
            <w:shd w:val="clear" w:color="000000" w:fill="FFFFFF"/>
            <w:vAlign w:val="center"/>
          </w:tcPr>
          <w:p w14:paraId="6AC3E15B" w14:textId="77777777" w:rsidR="00B25841" w:rsidRPr="005C38C7" w:rsidRDefault="00B25841" w:rsidP="00A90AAE">
            <w:pPr>
              <w:tabs>
                <w:tab w:val="left" w:pos="0"/>
              </w:tabs>
              <w:spacing w:before="120" w:after="0" w:line="240" w:lineRule="auto"/>
              <w:ind w:firstLine="0"/>
              <w:jc w:val="center"/>
              <w:rPr>
                <w:sz w:val="18"/>
                <w:szCs w:val="18"/>
              </w:rPr>
            </w:pPr>
            <w:r>
              <w:rPr>
                <w:rFonts w:cs="Calibri"/>
                <w:color w:val="000000"/>
                <w:sz w:val="18"/>
                <w:szCs w:val="18"/>
              </w:rPr>
              <w:t>6.4</w:t>
            </w:r>
          </w:p>
        </w:tc>
      </w:tr>
    </w:tbl>
    <w:p w14:paraId="35B9B4B7" w14:textId="77777777" w:rsidR="00B25841" w:rsidRDefault="00B25841" w:rsidP="00B25841">
      <w:pPr>
        <w:tabs>
          <w:tab w:val="left" w:pos="0"/>
        </w:tabs>
        <w:spacing w:before="120" w:after="0" w:line="240" w:lineRule="auto"/>
        <w:ind w:firstLine="0"/>
        <w:rPr>
          <w:rFonts w:eastAsia="Times New Roman" w:cs="Times New Roman"/>
          <w:bCs/>
          <w:color w:val="5B9BD5"/>
          <w:sz w:val="18"/>
          <w:szCs w:val="18"/>
        </w:rPr>
      </w:pPr>
    </w:p>
    <w:p w14:paraId="30569770" w14:textId="07AE4821" w:rsidR="00B25841" w:rsidRDefault="00B25841" w:rsidP="00B25841">
      <w:pPr>
        <w:tabs>
          <w:tab w:val="left" w:pos="0"/>
        </w:tabs>
        <w:spacing w:before="120" w:after="0" w:line="276" w:lineRule="auto"/>
        <w:ind w:firstLine="0"/>
        <w:jc w:val="left"/>
        <w:rPr>
          <w:rFonts w:eastAsia="Times New Roman" w:cs="Times New Roman"/>
          <w:noProof/>
          <w:lang w:val="hy-AM"/>
        </w:rPr>
      </w:pPr>
      <w:r w:rsidRPr="0031357F">
        <w:rPr>
          <w:rFonts w:eastAsia="Calibri" w:cs="Times New Roman"/>
          <w:b/>
          <w:iCs/>
          <w:color w:val="000000"/>
          <w:lang w:val="hy-AM"/>
        </w:rPr>
        <w:t>Գծապատկեր 4.3.1</w:t>
      </w:r>
      <w:r w:rsidRPr="0031357F">
        <w:rPr>
          <w:rFonts w:ascii="Cambria Math" w:eastAsia="Calibri" w:hAnsi="Cambria Math" w:cs="Times New Roman"/>
          <w:b/>
          <w:iCs/>
          <w:color w:val="000000"/>
          <w:lang w:val="hy-AM"/>
        </w:rPr>
        <w:t xml:space="preserve">․ </w:t>
      </w:r>
      <w:r w:rsidRPr="0031357F">
        <w:rPr>
          <w:rFonts w:eastAsia="Times New Roman" w:cs="Times New Roman"/>
          <w:lang w:val="af-ZA"/>
        </w:rPr>
        <w:t>202</w:t>
      </w:r>
      <w:r w:rsidR="00197356">
        <w:rPr>
          <w:rFonts w:eastAsia="Times New Roman" w:cs="Times New Roman"/>
          <w:lang w:val="af-ZA"/>
        </w:rPr>
        <w:t>1</w:t>
      </w:r>
      <w:r>
        <w:rPr>
          <w:rFonts w:eastAsia="Times New Roman" w:cs="Times New Roman"/>
          <w:lang w:val="af-ZA"/>
        </w:rPr>
        <w:t>-2027</w:t>
      </w:r>
      <w:r w:rsidRPr="0031357F">
        <w:rPr>
          <w:rFonts w:eastAsia="Times New Roman" w:cs="Times New Roman"/>
          <w:lang w:val="it-IT"/>
        </w:rPr>
        <w:t>թթ</w:t>
      </w:r>
      <w:r w:rsidRPr="0031357F">
        <w:rPr>
          <w:rFonts w:ascii="Cambria Math" w:eastAsia="Times New Roman" w:hAnsi="Cambria Math" w:cs="Times New Roman"/>
          <w:lang w:val="hy-AM"/>
        </w:rPr>
        <w:t>․</w:t>
      </w:r>
      <w:r w:rsidRPr="0031357F">
        <w:rPr>
          <w:rFonts w:eastAsia="Times New Roman" w:cs="Times New Roman"/>
          <w:lang w:val="af-ZA"/>
        </w:rPr>
        <w:t xml:space="preserve"> </w:t>
      </w:r>
      <w:r w:rsidRPr="0031357F">
        <w:rPr>
          <w:rFonts w:eastAsia="Times New Roman" w:cs="Sylfaen"/>
          <w:lang w:val="hy-AM"/>
        </w:rPr>
        <w:t>ընթացիկ</w:t>
      </w:r>
      <w:r w:rsidRPr="0031357F">
        <w:rPr>
          <w:rFonts w:eastAsia="Times New Roman" w:cs="Times New Roman"/>
          <w:lang w:val="af-ZA"/>
        </w:rPr>
        <w:t xml:space="preserve"> </w:t>
      </w:r>
      <w:r w:rsidRPr="0031357F">
        <w:rPr>
          <w:rFonts w:eastAsia="Times New Roman" w:cs="Sylfaen"/>
          <w:lang w:val="hy-AM"/>
        </w:rPr>
        <w:t>և</w:t>
      </w:r>
      <w:r w:rsidRPr="0031357F">
        <w:rPr>
          <w:rFonts w:eastAsia="Times New Roman" w:cs="Times New Roman"/>
          <w:lang w:val="af-ZA"/>
        </w:rPr>
        <w:t xml:space="preserve"> </w:t>
      </w:r>
      <w:r w:rsidRPr="0031357F">
        <w:rPr>
          <w:rFonts w:eastAsia="Times New Roman" w:cs="Sylfaen"/>
          <w:lang w:val="hy-AM"/>
        </w:rPr>
        <w:t>ոչ</w:t>
      </w:r>
      <w:r w:rsidRPr="0031357F">
        <w:rPr>
          <w:rFonts w:eastAsia="Times New Roman" w:cs="Sylfaen"/>
          <w:lang w:val="af-ZA"/>
        </w:rPr>
        <w:t xml:space="preserve"> </w:t>
      </w:r>
      <w:r w:rsidRPr="0031357F">
        <w:rPr>
          <w:rFonts w:eastAsia="Times New Roman" w:cs="Sylfaen"/>
          <w:lang w:val="hy-AM"/>
        </w:rPr>
        <w:t>ֆինանսական</w:t>
      </w:r>
      <w:r w:rsidRPr="0031357F">
        <w:rPr>
          <w:rFonts w:eastAsia="Times New Roman" w:cs="Sylfaen"/>
          <w:lang w:val="af-ZA"/>
        </w:rPr>
        <w:t xml:space="preserve"> </w:t>
      </w:r>
      <w:r w:rsidRPr="0031357F">
        <w:rPr>
          <w:rFonts w:eastAsia="Times New Roman" w:cs="Sylfaen"/>
          <w:lang w:val="hy-AM"/>
        </w:rPr>
        <w:t>ակտիվների</w:t>
      </w:r>
      <w:r w:rsidRPr="0031357F">
        <w:rPr>
          <w:rFonts w:eastAsia="Times New Roman" w:cs="Sylfaen"/>
          <w:lang w:val="af-ZA"/>
        </w:rPr>
        <w:t xml:space="preserve"> </w:t>
      </w:r>
      <w:r w:rsidRPr="0031357F">
        <w:rPr>
          <w:rFonts w:eastAsia="Times New Roman" w:cs="Sylfaen"/>
          <w:lang w:val="hy-AM"/>
        </w:rPr>
        <w:t>գծով</w:t>
      </w:r>
      <w:r w:rsidRPr="0031357F">
        <w:rPr>
          <w:rFonts w:eastAsia="Times New Roman" w:cs="Sylfaen"/>
          <w:lang w:val="af-ZA"/>
        </w:rPr>
        <w:t xml:space="preserve"> </w:t>
      </w:r>
      <w:r w:rsidRPr="0031357F">
        <w:rPr>
          <w:rFonts w:eastAsia="Times New Roman" w:cs="Sylfaen"/>
          <w:lang w:val="hy-AM"/>
        </w:rPr>
        <w:t>ծախսերի</w:t>
      </w:r>
      <w:r w:rsidRPr="0031357F">
        <w:rPr>
          <w:rFonts w:eastAsia="Times New Roman" w:cs="Times New Roman"/>
          <w:lang w:val="af-ZA"/>
        </w:rPr>
        <w:t xml:space="preserve"> </w:t>
      </w:r>
      <w:r w:rsidRPr="0031357F">
        <w:rPr>
          <w:rFonts w:eastAsia="Times New Roman" w:cs="Sylfaen"/>
          <w:lang w:val="hy-AM"/>
        </w:rPr>
        <w:t>փոփոխության</w:t>
      </w:r>
      <w:r w:rsidRPr="0031357F">
        <w:rPr>
          <w:rFonts w:eastAsia="Times New Roman" w:cs="Times New Roman"/>
          <w:lang w:val="af-ZA"/>
        </w:rPr>
        <w:t xml:space="preserve"> </w:t>
      </w:r>
      <w:r w:rsidRPr="0031357F">
        <w:rPr>
          <w:rFonts w:eastAsia="Times New Roman" w:cs="Sylfaen"/>
          <w:lang w:val="hy-AM"/>
        </w:rPr>
        <w:t>և</w:t>
      </w:r>
      <w:r w:rsidRPr="0031357F">
        <w:rPr>
          <w:rFonts w:eastAsia="Times New Roman" w:cs="Times New Roman"/>
          <w:lang w:val="af-ZA"/>
        </w:rPr>
        <w:t xml:space="preserve"> </w:t>
      </w:r>
      <w:r w:rsidRPr="0031357F">
        <w:rPr>
          <w:rFonts w:eastAsia="Times New Roman" w:cs="Sylfaen"/>
          <w:lang w:val="hy-AM"/>
        </w:rPr>
        <w:t>հարաբերակցության</w:t>
      </w:r>
      <w:r w:rsidRPr="0031357F">
        <w:rPr>
          <w:rFonts w:eastAsia="Times New Roman" w:cs="Times New Roman"/>
          <w:lang w:val="af-ZA"/>
        </w:rPr>
        <w:t xml:space="preserve"> </w:t>
      </w:r>
      <w:r w:rsidRPr="0031357F">
        <w:rPr>
          <w:rFonts w:eastAsia="Times New Roman" w:cs="Sylfaen"/>
          <w:lang w:val="hy-AM"/>
        </w:rPr>
        <w:t>միտումները</w:t>
      </w:r>
      <w:r w:rsidRPr="0031357F">
        <w:rPr>
          <w:rFonts w:eastAsia="Times New Roman" w:cs="Sylfaen"/>
          <w:lang w:val="af-ZA"/>
        </w:rPr>
        <w:t xml:space="preserve">, </w:t>
      </w:r>
      <w:r w:rsidRPr="0031357F">
        <w:rPr>
          <w:rFonts w:eastAsia="Times New Roman" w:cs="Times New Roman"/>
          <w:noProof/>
          <w:lang w:val="hy-AM"/>
        </w:rPr>
        <w:t>մլրդ դրամ</w:t>
      </w:r>
    </w:p>
    <w:p w14:paraId="04FC7E0E" w14:textId="77777777" w:rsidR="00B25841" w:rsidRDefault="00B25841" w:rsidP="00B25841">
      <w:pPr>
        <w:tabs>
          <w:tab w:val="left" w:pos="0"/>
        </w:tabs>
        <w:spacing w:before="120" w:after="0" w:line="276" w:lineRule="auto"/>
        <w:ind w:firstLine="0"/>
        <w:jc w:val="left"/>
        <w:rPr>
          <w:rFonts w:eastAsia="Times New Roman" w:cs="Times New Roman"/>
          <w:noProof/>
          <w:lang w:val="hy-AM"/>
        </w:rPr>
      </w:pPr>
    </w:p>
    <w:p w14:paraId="657C94CF" w14:textId="77777777" w:rsidR="00B25841" w:rsidRPr="00933A29" w:rsidRDefault="00B25841" w:rsidP="00B25841">
      <w:pPr>
        <w:tabs>
          <w:tab w:val="left" w:pos="0"/>
        </w:tabs>
        <w:spacing w:before="120" w:after="0" w:line="276" w:lineRule="auto"/>
        <w:ind w:firstLine="0"/>
        <w:jc w:val="center"/>
        <w:rPr>
          <w:rFonts w:eastAsia="Times New Roman" w:cs="Times New Roman"/>
          <w:lang w:val="hy-AM"/>
        </w:rPr>
      </w:pPr>
      <w:r w:rsidRPr="00933A29">
        <w:rPr>
          <w:rFonts w:eastAsia="Times New Roman" w:cs="Times New Roman"/>
          <w:noProof/>
        </w:rPr>
        <w:drawing>
          <wp:inline distT="0" distB="0" distL="0" distR="0" wp14:anchorId="4EAF13C4" wp14:editId="2D9633AD">
            <wp:extent cx="6267450" cy="3609975"/>
            <wp:effectExtent l="0" t="0" r="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765AC1A" w14:textId="77777777" w:rsidR="00B25841" w:rsidRPr="00933A29" w:rsidRDefault="00B25841" w:rsidP="00B25841">
      <w:pPr>
        <w:tabs>
          <w:tab w:val="left" w:pos="0"/>
        </w:tabs>
        <w:spacing w:before="120" w:after="0" w:line="276" w:lineRule="auto"/>
        <w:ind w:firstLine="0"/>
        <w:rPr>
          <w:rFonts w:eastAsia="Times New Roman" w:cs="Sylfaen"/>
          <w:lang w:val="hy-AM"/>
        </w:rPr>
      </w:pPr>
      <w:r>
        <w:rPr>
          <w:rFonts w:eastAsia="Times New Roman" w:cs="Sylfaen"/>
          <w:lang w:val="hy-AM"/>
        </w:rPr>
        <w:t>2025-2027</w:t>
      </w:r>
      <w:r w:rsidRPr="00933A29">
        <w:rPr>
          <w:rFonts w:eastAsia="Times New Roman" w:cs="Sylfaen"/>
          <w:lang w:val="hy-AM"/>
        </w:rPr>
        <w:t xml:space="preserve">թթ. ծախսերի ընդհանուր </w:t>
      </w:r>
      <w:r>
        <w:rPr>
          <w:rFonts w:eastAsia="Times New Roman" w:cs="Sylfaen"/>
          <w:lang w:val="hy-AM"/>
        </w:rPr>
        <w:t>ծավալի միջին տարեկանի շուրջ 77.9</w:t>
      </w:r>
      <w:r w:rsidRPr="00933A29">
        <w:rPr>
          <w:rFonts w:eastAsia="Times New Roman" w:cs="Sylfaen"/>
          <w:lang w:val="hy-AM"/>
        </w:rPr>
        <w:t xml:space="preserve">%-ը կկազմեն </w:t>
      </w:r>
      <w:r w:rsidRPr="00933A29">
        <w:rPr>
          <w:rFonts w:eastAsia="Times New Roman" w:cs="Sylfaen"/>
          <w:b/>
          <w:lang w:val="hy-AM"/>
        </w:rPr>
        <w:t>ընթացիկ ծախսերը</w:t>
      </w:r>
      <w:r>
        <w:rPr>
          <w:rFonts w:eastAsia="Times New Roman" w:cs="Sylfaen"/>
          <w:lang w:val="hy-AM"/>
        </w:rPr>
        <w:t>, (2024թ. այդ ցուցանիշը ծրագրվել է 78.3</w:t>
      </w:r>
      <w:r w:rsidRPr="00933A29">
        <w:rPr>
          <w:rFonts w:eastAsia="Times New Roman" w:cs="Sylfaen"/>
          <w:lang w:val="hy-AM"/>
        </w:rPr>
        <w:t xml:space="preserve">%): </w:t>
      </w:r>
    </w:p>
    <w:p w14:paraId="128858A9" w14:textId="77777777" w:rsidR="00B25841" w:rsidRPr="00933A29" w:rsidRDefault="00B25841" w:rsidP="00B25841">
      <w:pPr>
        <w:tabs>
          <w:tab w:val="left" w:pos="0"/>
        </w:tabs>
        <w:spacing w:before="120" w:after="0" w:line="276" w:lineRule="auto"/>
        <w:ind w:firstLine="0"/>
        <w:rPr>
          <w:rFonts w:eastAsia="Times New Roman" w:cs="Sylfaen"/>
          <w:lang w:val="hy-AM"/>
        </w:rPr>
      </w:pPr>
      <w:r w:rsidRPr="00933A29">
        <w:rPr>
          <w:rFonts w:eastAsia="Times New Roman" w:cs="Sylfaen"/>
          <w:lang w:val="hy-AM"/>
        </w:rPr>
        <w:t>Դիտարկվող ժամանակահատվածում ընթացիկ ծախսերն ուղղված կլին</w:t>
      </w:r>
      <w:r w:rsidRPr="004C02FD">
        <w:rPr>
          <w:rFonts w:eastAsia="Times New Roman" w:cs="Sylfaen"/>
          <w:lang w:val="hy-AM"/>
        </w:rPr>
        <w:t>են</w:t>
      </w:r>
      <w:r w:rsidRPr="00933A29">
        <w:rPr>
          <w:rFonts w:eastAsia="Times New Roman" w:cs="Sylfaen"/>
          <w:lang w:val="hy-AM"/>
        </w:rPr>
        <w:t xml:space="preserve"> ծառայությունների մատուցման, տրանսֆերտների տրամադրման, ֆինանսավորման ծախսերի իրականացման և հանրության կողմից անմիջականորեն օգտագործվող ակտիվների հետ կապված միջոցառումներին: </w:t>
      </w:r>
    </w:p>
    <w:p w14:paraId="13BDFE93" w14:textId="77777777" w:rsidR="00B25841" w:rsidRPr="00933A29" w:rsidRDefault="00B25841" w:rsidP="00B25841">
      <w:pPr>
        <w:tabs>
          <w:tab w:val="left" w:pos="0"/>
        </w:tabs>
        <w:spacing w:before="120" w:after="0" w:line="276" w:lineRule="auto"/>
        <w:ind w:firstLine="0"/>
        <w:rPr>
          <w:rFonts w:eastAsia="Times New Roman" w:cs="Sylfaen"/>
          <w:lang w:val="hy-AM"/>
        </w:rPr>
      </w:pPr>
      <w:r>
        <w:rPr>
          <w:rFonts w:eastAsia="Times New Roman" w:cs="Sylfaen"/>
          <w:lang w:val="hy-AM"/>
        </w:rPr>
        <w:t>2025-2027</w:t>
      </w:r>
      <w:r w:rsidRPr="00933A29">
        <w:rPr>
          <w:rFonts w:eastAsia="Times New Roman" w:cs="Sylfaen"/>
          <w:lang w:val="hy-AM"/>
        </w:rPr>
        <w:t>թթ. ընթացիկ ծախսերի ֆինանսավորման ըստ տնտեսագիտական դասակարգման կառուցվածքի ծախսերի հարաբերակցությունը ՀՆԱ-ի նկատմամբ ներկայացված է ստորև:</w:t>
      </w:r>
    </w:p>
    <w:p w14:paraId="7ADC0333" w14:textId="1CAD2559" w:rsidR="00802308" w:rsidRDefault="00802308">
      <w:pPr>
        <w:spacing w:before="0" w:after="160" w:line="259" w:lineRule="auto"/>
        <w:ind w:firstLine="0"/>
        <w:jc w:val="left"/>
        <w:rPr>
          <w:rFonts w:eastAsia="Calibri" w:cs="Times New Roman"/>
          <w:b/>
          <w:iCs/>
          <w:color w:val="000000"/>
          <w:lang w:val="hy-AM"/>
        </w:rPr>
      </w:pPr>
      <w:r>
        <w:rPr>
          <w:rFonts w:eastAsia="Calibri" w:cs="Times New Roman"/>
          <w:b/>
          <w:iCs/>
          <w:color w:val="000000"/>
          <w:lang w:val="hy-AM"/>
        </w:rPr>
        <w:br w:type="page"/>
      </w:r>
    </w:p>
    <w:p w14:paraId="397E7E1B" w14:textId="77777777" w:rsidR="00B25841" w:rsidRDefault="00B25841" w:rsidP="00B25841">
      <w:pPr>
        <w:tabs>
          <w:tab w:val="left" w:pos="0"/>
        </w:tabs>
        <w:spacing w:before="120" w:after="0" w:line="276" w:lineRule="auto"/>
        <w:ind w:firstLine="0"/>
        <w:rPr>
          <w:rFonts w:eastAsia="Calibri" w:cs="Times New Roman"/>
          <w:b/>
          <w:iCs/>
          <w:color w:val="000000"/>
          <w:lang w:val="hy-AM"/>
        </w:rPr>
      </w:pPr>
    </w:p>
    <w:p w14:paraId="6573A566" w14:textId="77777777" w:rsidR="00B25841" w:rsidRPr="0031357F" w:rsidRDefault="00B25841" w:rsidP="00B25841">
      <w:pPr>
        <w:tabs>
          <w:tab w:val="left" w:pos="0"/>
        </w:tabs>
        <w:spacing w:before="120" w:after="0" w:line="276" w:lineRule="auto"/>
        <w:ind w:firstLine="0"/>
        <w:rPr>
          <w:rFonts w:eastAsia="Times New Roman" w:cs="Sylfaen"/>
          <w:lang w:val="hy-AM"/>
        </w:rPr>
      </w:pPr>
      <w:r w:rsidRPr="0031357F">
        <w:rPr>
          <w:rFonts w:eastAsia="Calibri" w:cs="Times New Roman"/>
          <w:b/>
          <w:iCs/>
          <w:color w:val="000000"/>
          <w:lang w:val="hy-AM"/>
        </w:rPr>
        <w:t>Գծապատկեր 4.3.2</w:t>
      </w:r>
      <w:r w:rsidRPr="0031357F">
        <w:rPr>
          <w:rFonts w:ascii="Cambria Math" w:eastAsia="Calibri" w:hAnsi="Cambria Math" w:cs="Times New Roman"/>
          <w:b/>
          <w:iCs/>
          <w:color w:val="000000"/>
          <w:lang w:val="hy-AM"/>
        </w:rPr>
        <w:t>․</w:t>
      </w:r>
      <w:r w:rsidRPr="0031357F">
        <w:rPr>
          <w:rFonts w:eastAsia="Calibri" w:cs="Times New Roman"/>
          <w:b/>
          <w:iCs/>
          <w:color w:val="000000"/>
          <w:lang w:val="hy-AM"/>
        </w:rPr>
        <w:t xml:space="preserve"> </w:t>
      </w:r>
      <w:r>
        <w:rPr>
          <w:rFonts w:eastAsia="Times New Roman" w:cs="Sylfaen"/>
          <w:lang w:val="hy-AM"/>
        </w:rPr>
        <w:t>2021-2027</w:t>
      </w:r>
      <w:r w:rsidRPr="0031357F">
        <w:rPr>
          <w:rFonts w:eastAsia="Times New Roman" w:cs="Sylfaen"/>
          <w:lang w:val="hy-AM"/>
        </w:rPr>
        <w:t>թթ</w:t>
      </w:r>
      <w:r w:rsidRPr="0031357F">
        <w:rPr>
          <w:rFonts w:ascii="Cambria Math" w:eastAsia="Times New Roman" w:hAnsi="Cambria Math" w:cs="Sylfaen"/>
          <w:lang w:val="hy-AM"/>
        </w:rPr>
        <w:t xml:space="preserve">․ </w:t>
      </w:r>
      <w:r w:rsidRPr="0031357F">
        <w:rPr>
          <w:rFonts w:eastAsia="Times New Roman" w:cs="Sylfaen"/>
          <w:lang w:val="hy-AM"/>
        </w:rPr>
        <w:t>ընթացիկ ծախսերի ֆինանսավորման ըստ տնտեսագիտական դասակարգման կառուցվածքի ծախսերի հարաբերակցությունը ՀՆԱ-ի նկատմամբ, %</w:t>
      </w:r>
    </w:p>
    <w:p w14:paraId="209D2D39" w14:textId="77777777" w:rsidR="00B25841" w:rsidRDefault="00B25841" w:rsidP="00B25841">
      <w:pPr>
        <w:tabs>
          <w:tab w:val="left" w:pos="0"/>
        </w:tabs>
        <w:spacing w:before="120" w:after="0" w:line="276" w:lineRule="auto"/>
        <w:ind w:firstLine="0"/>
        <w:rPr>
          <w:rFonts w:eastAsia="Times New Roman" w:cs="Times New Roman"/>
          <w:lang w:val="hy-AM"/>
        </w:rPr>
      </w:pPr>
    </w:p>
    <w:p w14:paraId="48DC9E27" w14:textId="77777777" w:rsidR="00B25841" w:rsidRPr="00933A29" w:rsidRDefault="00B25841" w:rsidP="00B25841">
      <w:pPr>
        <w:tabs>
          <w:tab w:val="left" w:pos="0"/>
        </w:tabs>
        <w:spacing w:before="120" w:after="0" w:line="276" w:lineRule="auto"/>
        <w:ind w:firstLine="0"/>
        <w:rPr>
          <w:rFonts w:eastAsia="Times New Roman" w:cs="Times New Roman"/>
          <w:lang w:val="hy-AM"/>
        </w:rPr>
      </w:pPr>
      <w:r w:rsidRPr="00933A29">
        <w:rPr>
          <w:rFonts w:eastAsia="Times New Roman" w:cs="Times New Roman"/>
          <w:noProof/>
        </w:rPr>
        <w:drawing>
          <wp:inline distT="0" distB="0" distL="0" distR="0" wp14:anchorId="764935C8" wp14:editId="71A133DD">
            <wp:extent cx="6238875" cy="4095750"/>
            <wp:effectExtent l="0" t="0" r="952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2AC0BB8" w14:textId="77777777" w:rsidR="00B25841" w:rsidRPr="00933A29" w:rsidRDefault="00B25841" w:rsidP="00B25841">
      <w:pPr>
        <w:tabs>
          <w:tab w:val="left" w:pos="0"/>
        </w:tabs>
        <w:spacing w:before="120" w:after="0" w:line="276" w:lineRule="auto"/>
        <w:ind w:firstLine="0"/>
        <w:rPr>
          <w:rFonts w:eastAsia="Times New Roman" w:cs="Times New Roman"/>
          <w:lang w:val="hy-AM"/>
        </w:rPr>
      </w:pPr>
    </w:p>
    <w:p w14:paraId="2D4A6B9C" w14:textId="77777777" w:rsidR="00B25841" w:rsidRDefault="00B25841" w:rsidP="00B25841">
      <w:pPr>
        <w:tabs>
          <w:tab w:val="left" w:pos="0"/>
        </w:tabs>
        <w:spacing w:before="120" w:after="0" w:line="276" w:lineRule="auto"/>
        <w:ind w:firstLine="0"/>
        <w:rPr>
          <w:rFonts w:cs="Sylfaen"/>
          <w:iCs/>
          <w:lang w:val="hy-AM" w:eastAsia="en-GB"/>
        </w:rPr>
      </w:pPr>
      <w:r>
        <w:rPr>
          <w:rFonts w:cs="Sylfaen"/>
          <w:iCs/>
          <w:lang w:val="hy-AM" w:eastAsia="en-GB"/>
        </w:rPr>
        <w:t>Միջնաժամկետ հատվածում՝</w:t>
      </w:r>
    </w:p>
    <w:p w14:paraId="1B0F0A61" w14:textId="77777777" w:rsidR="00B25841" w:rsidRPr="007057BA" w:rsidRDefault="00B25841" w:rsidP="0080230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պետական բյուջեից աշխատավարձերին ուղղվող ծախսերը կկազմեն համապատասխանաբար՝</w:t>
      </w:r>
      <w:r>
        <w:rPr>
          <w:rFonts w:cs="GHEA Grapalat"/>
          <w:lang w:val="hy-AM"/>
        </w:rPr>
        <w:t xml:space="preserve"> 255</w:t>
      </w:r>
      <w:r w:rsidRPr="007B68F0">
        <w:rPr>
          <w:rFonts w:cs="GHEA Grapalat"/>
          <w:lang w:val="hy-AM"/>
        </w:rPr>
        <w:t>.</w:t>
      </w:r>
      <w:r>
        <w:rPr>
          <w:rFonts w:cs="GHEA Grapalat"/>
          <w:lang w:val="hy-AM"/>
        </w:rPr>
        <w:t>4, 263.</w:t>
      </w:r>
      <w:r w:rsidRPr="007B68F0">
        <w:rPr>
          <w:rFonts w:cs="GHEA Grapalat"/>
          <w:lang w:val="hy-AM"/>
        </w:rPr>
        <w:t>3</w:t>
      </w:r>
      <w:r w:rsidRPr="007057BA">
        <w:rPr>
          <w:rFonts w:cs="GHEA Grapalat"/>
          <w:lang w:val="hy-AM"/>
        </w:rPr>
        <w:t xml:space="preserve"> և</w:t>
      </w:r>
      <w:r>
        <w:rPr>
          <w:rFonts w:cs="GHEA Grapalat"/>
          <w:lang w:val="hy-AM"/>
        </w:rPr>
        <w:t xml:space="preserve"> 270.</w:t>
      </w:r>
      <w:r w:rsidRPr="007B68F0">
        <w:rPr>
          <w:rFonts w:cs="GHEA Grapalat"/>
          <w:lang w:val="hy-AM"/>
        </w:rPr>
        <w:t>7</w:t>
      </w:r>
      <w:r w:rsidRPr="007057BA">
        <w:rPr>
          <w:rFonts w:cs="GHEA Grapalat"/>
          <w:lang w:val="hy-AM"/>
        </w:rPr>
        <w:t xml:space="preserve"> մլրդ դրամ, </w:t>
      </w:r>
    </w:p>
    <w:p w14:paraId="2B0DE263" w14:textId="77777777" w:rsidR="00B25841" w:rsidRPr="007057BA" w:rsidRDefault="00B25841" w:rsidP="0080230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տոկոսավճարների գծով ծախսերը կկազմեն համապատասխանաբար՝</w:t>
      </w:r>
      <w:r>
        <w:rPr>
          <w:rFonts w:cs="GHEA Grapalat"/>
          <w:lang w:val="hy-AM"/>
        </w:rPr>
        <w:t xml:space="preserve"> 393.</w:t>
      </w:r>
      <w:r w:rsidRPr="007B68F0">
        <w:rPr>
          <w:rFonts w:cs="GHEA Grapalat"/>
          <w:lang w:val="hy-AM"/>
        </w:rPr>
        <w:t>6</w:t>
      </w:r>
      <w:r>
        <w:rPr>
          <w:rFonts w:cs="GHEA Grapalat"/>
          <w:lang w:val="hy-AM"/>
        </w:rPr>
        <w:t>, 440.</w:t>
      </w:r>
      <w:r w:rsidRPr="007B68F0">
        <w:rPr>
          <w:rFonts w:cs="GHEA Grapalat"/>
          <w:lang w:val="hy-AM"/>
        </w:rPr>
        <w:t>5</w:t>
      </w:r>
      <w:r w:rsidRPr="007057BA">
        <w:rPr>
          <w:rFonts w:cs="GHEA Grapalat"/>
          <w:lang w:val="hy-AM"/>
        </w:rPr>
        <w:t xml:space="preserve"> և</w:t>
      </w:r>
      <w:r>
        <w:rPr>
          <w:rFonts w:cs="GHEA Grapalat"/>
          <w:lang w:val="hy-AM"/>
        </w:rPr>
        <w:t xml:space="preserve"> 494.</w:t>
      </w:r>
      <w:r w:rsidRPr="007B68F0">
        <w:rPr>
          <w:rFonts w:cs="GHEA Grapalat"/>
          <w:lang w:val="hy-AM"/>
        </w:rPr>
        <w:t>1</w:t>
      </w:r>
      <w:r w:rsidRPr="007057BA">
        <w:rPr>
          <w:rFonts w:cs="GHEA Grapalat"/>
          <w:lang w:val="hy-AM"/>
        </w:rPr>
        <w:t xml:space="preserve"> մլրդ դրամ,</w:t>
      </w:r>
    </w:p>
    <w:p w14:paraId="4EB2BDD1" w14:textId="77777777" w:rsidR="00B25841" w:rsidRPr="007057BA" w:rsidRDefault="00B25841" w:rsidP="0080230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պետական բյուջեից կազմակերպություններին նախատեսվում է տրամադրել համապատասխանաբար՝</w:t>
      </w:r>
      <w:r>
        <w:rPr>
          <w:rFonts w:cs="GHEA Grapalat"/>
          <w:lang w:val="hy-AM"/>
        </w:rPr>
        <w:t xml:space="preserve"> 191.</w:t>
      </w:r>
      <w:r w:rsidRPr="007B68F0">
        <w:rPr>
          <w:rFonts w:cs="GHEA Grapalat"/>
          <w:lang w:val="hy-AM"/>
        </w:rPr>
        <w:t>6</w:t>
      </w:r>
      <w:r>
        <w:rPr>
          <w:rFonts w:cs="GHEA Grapalat"/>
          <w:lang w:val="hy-AM"/>
        </w:rPr>
        <w:t>, 187.</w:t>
      </w:r>
      <w:r w:rsidRPr="007B68F0">
        <w:rPr>
          <w:rFonts w:cs="GHEA Grapalat"/>
          <w:lang w:val="hy-AM"/>
        </w:rPr>
        <w:t>1</w:t>
      </w:r>
      <w:r w:rsidRPr="007057BA">
        <w:rPr>
          <w:rFonts w:cs="GHEA Grapalat"/>
          <w:lang w:val="hy-AM"/>
        </w:rPr>
        <w:t xml:space="preserve"> և</w:t>
      </w:r>
      <w:r>
        <w:rPr>
          <w:rFonts w:cs="GHEA Grapalat"/>
          <w:lang w:val="hy-AM"/>
        </w:rPr>
        <w:t xml:space="preserve"> 185.</w:t>
      </w:r>
      <w:r w:rsidRPr="007B68F0">
        <w:rPr>
          <w:rFonts w:cs="GHEA Grapalat"/>
          <w:lang w:val="hy-AM"/>
        </w:rPr>
        <w:t>9</w:t>
      </w:r>
      <w:r w:rsidRPr="007057BA">
        <w:rPr>
          <w:rFonts w:cs="GHEA Grapalat"/>
          <w:lang w:val="hy-AM"/>
        </w:rPr>
        <w:t xml:space="preserve"> մլրդ դրամի սուբսիդիաներ,</w:t>
      </w:r>
    </w:p>
    <w:p w14:paraId="3A28CA33" w14:textId="77777777" w:rsidR="00B25841" w:rsidRPr="007057BA" w:rsidRDefault="00B25841" w:rsidP="0080230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սոցիալական նպաստների և կենսաթոշակների վճարների գծով պետական բյուջեի ծախսերը կկազմեն համապատասխանաբար՝</w:t>
      </w:r>
      <w:r>
        <w:rPr>
          <w:rFonts w:cs="GHEA Grapalat"/>
          <w:lang w:val="hy-AM"/>
        </w:rPr>
        <w:t xml:space="preserve"> 1,007.</w:t>
      </w:r>
      <w:r w:rsidRPr="007B68F0">
        <w:rPr>
          <w:rFonts w:cs="GHEA Grapalat"/>
          <w:lang w:val="hy-AM"/>
        </w:rPr>
        <w:t>6</w:t>
      </w:r>
      <w:r>
        <w:rPr>
          <w:rFonts w:cs="GHEA Grapalat"/>
          <w:lang w:val="hy-AM"/>
        </w:rPr>
        <w:t>, 1,085.</w:t>
      </w:r>
      <w:r w:rsidRPr="007B68F0">
        <w:rPr>
          <w:rFonts w:cs="GHEA Grapalat"/>
          <w:lang w:val="hy-AM"/>
        </w:rPr>
        <w:t>0</w:t>
      </w:r>
      <w:r w:rsidRPr="007057BA">
        <w:rPr>
          <w:rFonts w:cs="GHEA Grapalat"/>
          <w:lang w:val="hy-AM"/>
        </w:rPr>
        <w:t xml:space="preserve"> և</w:t>
      </w:r>
      <w:r>
        <w:rPr>
          <w:rFonts w:cs="GHEA Grapalat"/>
          <w:lang w:val="hy-AM"/>
        </w:rPr>
        <w:t xml:space="preserve"> 1,165.</w:t>
      </w:r>
      <w:r w:rsidRPr="007B68F0">
        <w:rPr>
          <w:rFonts w:cs="GHEA Grapalat"/>
          <w:lang w:val="hy-AM"/>
        </w:rPr>
        <w:t>6</w:t>
      </w:r>
      <w:r w:rsidRPr="007057BA">
        <w:rPr>
          <w:rFonts w:cs="GHEA Grapalat"/>
          <w:lang w:val="hy-AM"/>
        </w:rPr>
        <w:t xml:space="preserve"> մլրդ դրամ, </w:t>
      </w:r>
    </w:p>
    <w:p w14:paraId="49E1E71C" w14:textId="77777777" w:rsidR="00B25841" w:rsidRPr="007057BA" w:rsidRDefault="00B25841" w:rsidP="00802308">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պետական բյուջեից նախատեսվում է տրամադրել դրամաշնորհներ համապատասխանաբար՝</w:t>
      </w:r>
      <w:r>
        <w:rPr>
          <w:rFonts w:cs="GHEA Grapalat"/>
          <w:lang w:val="hy-AM"/>
        </w:rPr>
        <w:t xml:space="preserve"> 346.</w:t>
      </w:r>
      <w:r w:rsidRPr="007B68F0">
        <w:rPr>
          <w:rFonts w:cs="GHEA Grapalat"/>
          <w:lang w:val="hy-AM"/>
        </w:rPr>
        <w:t>7</w:t>
      </w:r>
      <w:r>
        <w:rPr>
          <w:rFonts w:cs="GHEA Grapalat"/>
          <w:lang w:val="hy-AM"/>
        </w:rPr>
        <w:t>, 341.</w:t>
      </w:r>
      <w:r w:rsidRPr="007B68F0">
        <w:rPr>
          <w:rFonts w:cs="GHEA Grapalat"/>
          <w:lang w:val="hy-AM"/>
        </w:rPr>
        <w:t>7</w:t>
      </w:r>
      <w:r w:rsidRPr="007057BA">
        <w:rPr>
          <w:rFonts w:cs="GHEA Grapalat"/>
          <w:lang w:val="hy-AM"/>
        </w:rPr>
        <w:t xml:space="preserve"> և</w:t>
      </w:r>
      <w:r>
        <w:rPr>
          <w:rFonts w:cs="GHEA Grapalat"/>
          <w:lang w:val="hy-AM"/>
        </w:rPr>
        <w:t xml:space="preserve"> 384.</w:t>
      </w:r>
      <w:r w:rsidRPr="007B68F0">
        <w:rPr>
          <w:rFonts w:cs="GHEA Grapalat"/>
          <w:lang w:val="hy-AM"/>
        </w:rPr>
        <w:t>9</w:t>
      </w:r>
      <w:r w:rsidRPr="007057BA">
        <w:rPr>
          <w:rFonts w:cs="GHEA Grapalat"/>
          <w:lang w:val="hy-AM"/>
        </w:rPr>
        <w:t xml:space="preserve"> մլրդ դրամ,</w:t>
      </w:r>
    </w:p>
    <w:p w14:paraId="7A6BFC2D" w14:textId="77777777" w:rsidR="00B25841" w:rsidRDefault="00B25841" w:rsidP="00802308">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rPr>
      </w:pPr>
      <w:r w:rsidRPr="007057BA">
        <w:rPr>
          <w:rFonts w:cs="GHEA Grapalat"/>
          <w:lang w:val="hy-AM"/>
        </w:rPr>
        <w:t>պետական բյուջեից ծառայությունների և ապրանքների ձեռքբերման գծով նախատեսվում է համապատասխանաբար</w:t>
      </w:r>
      <w:r w:rsidRPr="00660A49">
        <w:rPr>
          <w:rFonts w:eastAsia="Times New Roman" w:cs="Times New Roman"/>
          <w:lang w:val="hy-AM"/>
        </w:rPr>
        <w:t xml:space="preserve">՝ </w:t>
      </w:r>
      <w:r>
        <w:rPr>
          <w:rFonts w:eastAsia="Times New Roman" w:cs="Times New Roman"/>
          <w:lang w:val="hy-AM"/>
        </w:rPr>
        <w:t>232.</w:t>
      </w:r>
      <w:r w:rsidRPr="007B68F0">
        <w:rPr>
          <w:rFonts w:eastAsia="Times New Roman" w:cs="Times New Roman"/>
          <w:lang w:val="hy-AM"/>
        </w:rPr>
        <w:t>9</w:t>
      </w:r>
      <w:r>
        <w:rPr>
          <w:rFonts w:eastAsia="Times New Roman" w:cs="Times New Roman"/>
          <w:lang w:val="hy-AM"/>
        </w:rPr>
        <w:t>, 302.</w:t>
      </w:r>
      <w:r w:rsidRPr="007B68F0">
        <w:rPr>
          <w:rFonts w:eastAsia="Times New Roman" w:cs="Times New Roman"/>
          <w:lang w:val="hy-AM"/>
        </w:rPr>
        <w:t>2</w:t>
      </w:r>
      <w:r>
        <w:rPr>
          <w:rFonts w:eastAsia="Times New Roman" w:cs="Times New Roman"/>
          <w:lang w:val="hy-AM"/>
        </w:rPr>
        <w:t xml:space="preserve"> և 316.</w:t>
      </w:r>
      <w:r w:rsidRPr="007B68F0">
        <w:rPr>
          <w:rFonts w:eastAsia="Times New Roman" w:cs="Times New Roman"/>
          <w:lang w:val="hy-AM"/>
        </w:rPr>
        <w:t>6</w:t>
      </w:r>
      <w:r>
        <w:rPr>
          <w:rFonts w:eastAsia="Times New Roman" w:cs="Times New Roman"/>
          <w:lang w:val="hy-AM"/>
        </w:rPr>
        <w:t xml:space="preserve"> մլրդ դրամ:</w:t>
      </w:r>
    </w:p>
    <w:p w14:paraId="1BB656D7" w14:textId="77777777" w:rsidR="00B25841" w:rsidRPr="00BB0AC6" w:rsidRDefault="00B25841" w:rsidP="00B25841">
      <w:pPr>
        <w:tabs>
          <w:tab w:val="left" w:pos="0"/>
          <w:tab w:val="left" w:pos="284"/>
        </w:tabs>
        <w:autoSpaceDE w:val="0"/>
        <w:autoSpaceDN w:val="0"/>
        <w:adjustRightInd w:val="0"/>
        <w:spacing w:before="120" w:after="0" w:line="276" w:lineRule="auto"/>
        <w:ind w:firstLine="0"/>
        <w:rPr>
          <w:rFonts w:cs="GHEA Grapalat"/>
          <w:lang w:val="hy-AM"/>
        </w:rPr>
      </w:pPr>
      <w:r w:rsidRPr="00BB0AC6">
        <w:rPr>
          <w:rFonts w:cs="GHEA Grapalat"/>
          <w:lang w:val="hy-AM"/>
        </w:rPr>
        <w:lastRenderedPageBreak/>
        <w:t>2025-2027թթ. միջնաժամկետ ժամանակահատվածում Սահմանամերձ համայնքների սոցիալական աջակցության մասին ՀՀ օրենքի կիրարկմամբ պայմանավորված նախատեսվել է պետական աջակցություն տրամադրել սահմանամերձ համայնքներին՝ յուրաքանչյուր տարվա համար շուրջ 1.0 մլրդ դրամի չափով:</w:t>
      </w:r>
    </w:p>
    <w:p w14:paraId="3D2E3FC3" w14:textId="77777777" w:rsidR="00B25841" w:rsidRPr="009C4272" w:rsidRDefault="00B25841" w:rsidP="00B25841">
      <w:pPr>
        <w:tabs>
          <w:tab w:val="left" w:pos="0"/>
        </w:tabs>
        <w:spacing w:before="120" w:after="0" w:line="276" w:lineRule="auto"/>
        <w:ind w:firstLine="0"/>
        <w:rPr>
          <w:rFonts w:eastAsia="Times New Roman" w:cs="Sylfaen"/>
          <w:b/>
          <w:color w:val="FF0000"/>
          <w:lang w:val="hy-AM"/>
        </w:rPr>
      </w:pPr>
    </w:p>
    <w:p w14:paraId="3250E485" w14:textId="77777777" w:rsidR="00B25841" w:rsidRPr="0031357F" w:rsidRDefault="00B25841" w:rsidP="00B25841">
      <w:pPr>
        <w:tabs>
          <w:tab w:val="left" w:pos="0"/>
        </w:tabs>
        <w:spacing w:before="120" w:after="0" w:line="276" w:lineRule="auto"/>
        <w:ind w:firstLine="0"/>
        <w:rPr>
          <w:rFonts w:eastAsia="Times New Roman" w:cs="Times New Roman"/>
          <w:lang w:val="hy-AM"/>
        </w:rPr>
      </w:pPr>
      <w:r w:rsidRPr="0031357F">
        <w:rPr>
          <w:rFonts w:eastAsia="Times New Roman" w:cs="Sylfaen"/>
          <w:b/>
          <w:lang w:val="hy-AM"/>
        </w:rPr>
        <w:t>Աղյուսակ</w:t>
      </w:r>
      <w:r w:rsidRPr="0031357F">
        <w:rPr>
          <w:rFonts w:eastAsia="Times New Roman" w:cs="Times New Roman"/>
          <w:b/>
          <w:lang w:val="af-ZA"/>
        </w:rPr>
        <w:t xml:space="preserve"> 4.</w:t>
      </w:r>
      <w:r w:rsidRPr="0031357F">
        <w:rPr>
          <w:rFonts w:eastAsia="Times New Roman" w:cs="Times New Roman"/>
          <w:b/>
          <w:lang w:val="hy-AM"/>
        </w:rPr>
        <w:t>3.</w:t>
      </w:r>
      <w:r w:rsidRPr="0031357F">
        <w:rPr>
          <w:rFonts w:eastAsia="Times New Roman" w:cs="Times New Roman"/>
          <w:b/>
          <w:lang w:val="af-ZA"/>
        </w:rPr>
        <w:t>2</w:t>
      </w:r>
      <w:r>
        <w:rPr>
          <w:rFonts w:eastAsia="Times New Roman" w:cs="Times New Roman"/>
          <w:lang w:val="af-ZA"/>
        </w:rPr>
        <w:t xml:space="preserve"> 2021-2027</w:t>
      </w:r>
      <w:r w:rsidRPr="0031357F">
        <w:rPr>
          <w:rFonts w:eastAsia="Times New Roman" w:cs="Times New Roman"/>
          <w:lang w:val="it-IT"/>
        </w:rPr>
        <w:t>թթ.</w:t>
      </w:r>
      <w:r w:rsidRPr="0031357F">
        <w:rPr>
          <w:rFonts w:eastAsia="Times New Roman" w:cs="Times New Roman"/>
          <w:lang w:val="af-ZA"/>
        </w:rPr>
        <w:t xml:space="preserve"> </w:t>
      </w:r>
      <w:r w:rsidRPr="0031357F">
        <w:rPr>
          <w:rFonts w:eastAsia="Times New Roman" w:cs="Sylfaen"/>
          <w:lang w:val="hy-AM"/>
        </w:rPr>
        <w:t>ընթացիկ</w:t>
      </w:r>
      <w:r w:rsidRPr="0031357F">
        <w:rPr>
          <w:rFonts w:eastAsia="Times New Roman" w:cs="Times New Roman"/>
          <w:lang w:val="hy-AM"/>
        </w:rPr>
        <w:t xml:space="preserve"> </w:t>
      </w:r>
      <w:r w:rsidRPr="0031357F">
        <w:rPr>
          <w:rFonts w:eastAsia="Times New Roman" w:cs="Sylfaen"/>
          <w:lang w:val="hy-AM"/>
        </w:rPr>
        <w:t>ծախսերի</w:t>
      </w:r>
      <w:r w:rsidRPr="0031357F">
        <w:rPr>
          <w:rFonts w:eastAsia="Times New Roman" w:cs="Times New Roman"/>
          <w:lang w:val="hy-AM"/>
        </w:rPr>
        <w:t xml:space="preserve"> ֆինանսավորման կառուցվածը ըստ տնտեսագիտական դասակարգման, մլրդ դրամ</w:t>
      </w:r>
    </w:p>
    <w:p w14:paraId="645BA37F" w14:textId="77777777" w:rsidR="00B25841" w:rsidRPr="00933A29" w:rsidRDefault="00B25841" w:rsidP="00B25841">
      <w:pPr>
        <w:tabs>
          <w:tab w:val="left" w:pos="0"/>
        </w:tabs>
        <w:spacing w:before="120" w:after="0" w:line="276" w:lineRule="auto"/>
        <w:ind w:firstLine="0"/>
        <w:jc w:val="right"/>
        <w:rPr>
          <w:rFonts w:eastAsia="Times New Roman" w:cs="Times New Roman"/>
          <w:sz w:val="20"/>
          <w:szCs w:val="20"/>
          <w:lang w:val="hy-AM"/>
        </w:rPr>
      </w:pPr>
    </w:p>
    <w:tbl>
      <w:tblPr>
        <w:tblW w:w="9182" w:type="dxa"/>
        <w:tblLook w:val="04A0" w:firstRow="1" w:lastRow="0" w:firstColumn="1" w:lastColumn="0" w:noHBand="0" w:noVBand="1"/>
      </w:tblPr>
      <w:tblGrid>
        <w:gridCol w:w="3150"/>
        <w:gridCol w:w="936"/>
        <w:gridCol w:w="850"/>
        <w:gridCol w:w="846"/>
        <w:gridCol w:w="268"/>
        <w:gridCol w:w="588"/>
        <w:gridCol w:w="333"/>
        <w:gridCol w:w="499"/>
        <w:gridCol w:w="861"/>
        <w:gridCol w:w="851"/>
      </w:tblGrid>
      <w:tr w:rsidR="00B25841" w:rsidRPr="00F80794" w14:paraId="0F2E82DF" w14:textId="77777777" w:rsidTr="00802308">
        <w:trPr>
          <w:trHeight w:val="632"/>
        </w:trPr>
        <w:tc>
          <w:tcPr>
            <w:tcW w:w="3150" w:type="dxa"/>
            <w:vMerge w:val="restart"/>
            <w:shd w:val="clear" w:color="auto" w:fill="auto"/>
            <w:vAlign w:val="center"/>
          </w:tcPr>
          <w:p w14:paraId="2A9C2F88"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sidRPr="00F80794">
              <w:rPr>
                <w:rFonts w:eastAsia="Times New Roman" w:cs="Times New Roman"/>
                <w:color w:val="000000" w:themeColor="text1"/>
                <w:sz w:val="18"/>
                <w:szCs w:val="18"/>
              </w:rPr>
              <w:t>Ցուցանիշներ</w:t>
            </w:r>
          </w:p>
        </w:tc>
        <w:tc>
          <w:tcPr>
            <w:tcW w:w="2900" w:type="dxa"/>
            <w:gridSpan w:val="4"/>
            <w:tcBorders>
              <w:bottom w:val="single" w:sz="4" w:space="0" w:color="auto"/>
            </w:tcBorders>
            <w:shd w:val="clear" w:color="auto" w:fill="auto"/>
          </w:tcPr>
          <w:p w14:paraId="44D83991"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sidRPr="00F80794">
              <w:rPr>
                <w:rFonts w:eastAsia="Times New Roman" w:cs="Times New Roman"/>
                <w:color w:val="000000" w:themeColor="text1"/>
                <w:sz w:val="18"/>
                <w:szCs w:val="18"/>
                <w:lang w:val="hy-AM"/>
              </w:rPr>
              <w:t>Փաստ</w:t>
            </w:r>
          </w:p>
        </w:tc>
        <w:tc>
          <w:tcPr>
            <w:tcW w:w="921" w:type="dxa"/>
            <w:gridSpan w:val="2"/>
            <w:shd w:val="clear" w:color="auto" w:fill="auto"/>
            <w:vAlign w:val="center"/>
          </w:tcPr>
          <w:p w14:paraId="36253C41"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sidRPr="00F80794">
              <w:rPr>
                <w:rFonts w:eastAsia="Times New Roman" w:cs="Times New Roman"/>
                <w:color w:val="000000" w:themeColor="text1"/>
                <w:sz w:val="18"/>
                <w:szCs w:val="18"/>
              </w:rPr>
              <w:t xml:space="preserve"> </w:t>
            </w:r>
            <w:r w:rsidRPr="00F80794">
              <w:rPr>
                <w:rFonts w:eastAsia="Times New Roman" w:cs="Times New Roman"/>
                <w:color w:val="000000" w:themeColor="text1"/>
                <w:sz w:val="18"/>
                <w:szCs w:val="18"/>
                <w:lang w:val="hy-AM"/>
              </w:rPr>
              <w:t>Բ</w:t>
            </w:r>
            <w:r w:rsidRPr="00F80794">
              <w:rPr>
                <w:rFonts w:eastAsia="Times New Roman" w:cs="Times New Roman"/>
                <w:color w:val="000000" w:themeColor="text1"/>
                <w:sz w:val="18"/>
                <w:szCs w:val="18"/>
              </w:rPr>
              <w:t>յուջե</w:t>
            </w:r>
          </w:p>
        </w:tc>
        <w:tc>
          <w:tcPr>
            <w:tcW w:w="2211" w:type="dxa"/>
            <w:gridSpan w:val="3"/>
            <w:tcBorders>
              <w:bottom w:val="single" w:sz="4" w:space="0" w:color="auto"/>
            </w:tcBorders>
            <w:shd w:val="clear" w:color="auto" w:fill="auto"/>
            <w:vAlign w:val="center"/>
          </w:tcPr>
          <w:p w14:paraId="4D855584"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sidRPr="00F80794">
              <w:rPr>
                <w:rFonts w:eastAsia="Times New Roman" w:cs="Times New Roman"/>
                <w:color w:val="000000" w:themeColor="text1"/>
                <w:sz w:val="18"/>
                <w:szCs w:val="18"/>
                <w:lang w:val="hy-AM"/>
              </w:rPr>
              <w:t>ՄԺԾԾ</w:t>
            </w:r>
          </w:p>
        </w:tc>
      </w:tr>
      <w:tr w:rsidR="00B25841" w:rsidRPr="00F80794" w14:paraId="43518646" w14:textId="77777777" w:rsidTr="00802308">
        <w:trPr>
          <w:trHeight w:val="436"/>
        </w:trPr>
        <w:tc>
          <w:tcPr>
            <w:tcW w:w="3150" w:type="dxa"/>
            <w:vMerge/>
            <w:tcBorders>
              <w:bottom w:val="single" w:sz="4" w:space="0" w:color="auto"/>
            </w:tcBorders>
            <w:shd w:val="clear" w:color="auto" w:fill="auto"/>
            <w:vAlign w:val="center"/>
            <w:hideMark/>
          </w:tcPr>
          <w:p w14:paraId="065F574B"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p>
        </w:tc>
        <w:tc>
          <w:tcPr>
            <w:tcW w:w="936" w:type="dxa"/>
            <w:tcBorders>
              <w:top w:val="single" w:sz="4" w:space="0" w:color="auto"/>
              <w:bottom w:val="single" w:sz="4" w:space="0" w:color="auto"/>
            </w:tcBorders>
            <w:shd w:val="clear" w:color="auto" w:fill="auto"/>
            <w:vAlign w:val="center"/>
          </w:tcPr>
          <w:p w14:paraId="12A48728"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lang w:val="hy-AM"/>
              </w:rPr>
            </w:pPr>
            <w:r>
              <w:rPr>
                <w:rFonts w:eastAsia="Times New Roman" w:cs="Times New Roman"/>
                <w:color w:val="000000" w:themeColor="text1"/>
                <w:sz w:val="18"/>
                <w:szCs w:val="18"/>
                <w:lang w:val="hy-AM"/>
              </w:rPr>
              <w:t>2021</w:t>
            </w:r>
          </w:p>
        </w:tc>
        <w:tc>
          <w:tcPr>
            <w:tcW w:w="850" w:type="dxa"/>
            <w:tcBorders>
              <w:top w:val="single" w:sz="4" w:space="0" w:color="auto"/>
              <w:bottom w:val="single" w:sz="4" w:space="0" w:color="auto"/>
            </w:tcBorders>
            <w:shd w:val="clear" w:color="auto" w:fill="auto"/>
            <w:vAlign w:val="center"/>
          </w:tcPr>
          <w:p w14:paraId="4CE1B1C4" w14:textId="77777777" w:rsidR="00B25841" w:rsidRPr="00F80794" w:rsidRDefault="00B25841" w:rsidP="00A90AAE">
            <w:pPr>
              <w:tabs>
                <w:tab w:val="left" w:pos="0"/>
              </w:tabs>
              <w:spacing w:before="120" w:after="0" w:line="240" w:lineRule="auto"/>
              <w:ind w:firstLine="0"/>
              <w:jc w:val="center"/>
              <w:rPr>
                <w:rFonts w:eastAsia="Times New Roman" w:cs="Times New Roman"/>
                <w:color w:val="000000" w:themeColor="text1"/>
                <w:sz w:val="18"/>
                <w:szCs w:val="18"/>
              </w:rPr>
            </w:pPr>
            <w:r>
              <w:rPr>
                <w:rFonts w:eastAsia="Times New Roman" w:cs="Times New Roman"/>
                <w:color w:val="000000" w:themeColor="text1"/>
                <w:sz w:val="18"/>
                <w:szCs w:val="18"/>
                <w:lang w:val="hy-AM"/>
              </w:rPr>
              <w:t>2022</w:t>
            </w:r>
            <w:r w:rsidRPr="00F80794">
              <w:rPr>
                <w:rFonts w:eastAsia="Times New Roman" w:cs="Times New Roman"/>
                <w:color w:val="000000" w:themeColor="text1"/>
                <w:sz w:val="18"/>
                <w:szCs w:val="18"/>
                <w:lang w:val="hy-AM"/>
              </w:rPr>
              <w:t xml:space="preserve"> </w:t>
            </w:r>
          </w:p>
        </w:tc>
        <w:tc>
          <w:tcPr>
            <w:tcW w:w="846" w:type="dxa"/>
            <w:tcBorders>
              <w:top w:val="single" w:sz="4" w:space="0" w:color="auto"/>
              <w:bottom w:val="single" w:sz="4" w:space="0" w:color="auto"/>
            </w:tcBorders>
            <w:shd w:val="clear" w:color="auto" w:fill="auto"/>
            <w:vAlign w:val="center"/>
          </w:tcPr>
          <w:p w14:paraId="096D9ACD" w14:textId="77777777" w:rsidR="00B25841" w:rsidRPr="002D7DCC" w:rsidRDefault="00B25841" w:rsidP="00A90AAE">
            <w:pPr>
              <w:tabs>
                <w:tab w:val="left" w:pos="0"/>
              </w:tabs>
              <w:spacing w:before="120" w:after="0" w:line="240" w:lineRule="auto"/>
              <w:ind w:firstLine="0"/>
              <w:jc w:val="center"/>
              <w:rPr>
                <w:rFonts w:eastAsia="Times New Roman" w:cs="Times New Roman"/>
                <w:sz w:val="18"/>
                <w:szCs w:val="18"/>
              </w:rPr>
            </w:pPr>
            <w:r w:rsidRPr="002D7DCC">
              <w:rPr>
                <w:rFonts w:eastAsia="Times New Roman" w:cs="Times New Roman"/>
                <w:sz w:val="18"/>
                <w:szCs w:val="18"/>
                <w:lang w:val="hy-AM"/>
              </w:rPr>
              <w:t xml:space="preserve">2023 </w:t>
            </w:r>
          </w:p>
        </w:tc>
        <w:tc>
          <w:tcPr>
            <w:tcW w:w="856" w:type="dxa"/>
            <w:gridSpan w:val="2"/>
            <w:tcBorders>
              <w:bottom w:val="single" w:sz="4" w:space="0" w:color="auto"/>
            </w:tcBorders>
            <w:shd w:val="clear" w:color="auto" w:fill="auto"/>
            <w:vAlign w:val="center"/>
            <w:hideMark/>
          </w:tcPr>
          <w:p w14:paraId="4CD861D8" w14:textId="77777777" w:rsidR="00B25841" w:rsidRPr="002D7DCC" w:rsidRDefault="00B25841" w:rsidP="00A90AAE">
            <w:pPr>
              <w:tabs>
                <w:tab w:val="left" w:pos="0"/>
              </w:tabs>
              <w:spacing w:before="120" w:after="0" w:line="240" w:lineRule="auto"/>
              <w:ind w:firstLine="0"/>
              <w:jc w:val="center"/>
              <w:rPr>
                <w:rFonts w:eastAsia="Times New Roman" w:cs="Times New Roman"/>
                <w:sz w:val="18"/>
                <w:szCs w:val="18"/>
              </w:rPr>
            </w:pPr>
            <w:r w:rsidRPr="002D7DCC">
              <w:rPr>
                <w:rFonts w:eastAsia="Times New Roman" w:cs="Times New Roman"/>
                <w:sz w:val="18"/>
                <w:szCs w:val="18"/>
              </w:rPr>
              <w:t>2024</w:t>
            </w:r>
          </w:p>
        </w:tc>
        <w:tc>
          <w:tcPr>
            <w:tcW w:w="832" w:type="dxa"/>
            <w:gridSpan w:val="2"/>
            <w:tcBorders>
              <w:top w:val="single" w:sz="4" w:space="0" w:color="auto"/>
              <w:bottom w:val="single" w:sz="4" w:space="0" w:color="auto"/>
            </w:tcBorders>
            <w:shd w:val="clear" w:color="auto" w:fill="auto"/>
            <w:vAlign w:val="center"/>
            <w:hideMark/>
          </w:tcPr>
          <w:p w14:paraId="242E7E3A" w14:textId="77777777" w:rsidR="00B25841" w:rsidRPr="0091096B" w:rsidRDefault="00B25841" w:rsidP="00A90AAE">
            <w:pPr>
              <w:tabs>
                <w:tab w:val="left" w:pos="0"/>
              </w:tabs>
              <w:spacing w:before="120" w:after="0" w:line="240" w:lineRule="auto"/>
              <w:ind w:firstLine="0"/>
              <w:jc w:val="center"/>
              <w:rPr>
                <w:rFonts w:eastAsia="Times New Roman" w:cs="Times New Roman"/>
                <w:sz w:val="18"/>
                <w:szCs w:val="18"/>
              </w:rPr>
            </w:pPr>
            <w:r w:rsidRPr="0091096B">
              <w:rPr>
                <w:rFonts w:eastAsia="Times New Roman" w:cs="Times New Roman"/>
                <w:sz w:val="18"/>
                <w:szCs w:val="18"/>
              </w:rPr>
              <w:t>202</w:t>
            </w:r>
            <w:r w:rsidRPr="0091096B">
              <w:rPr>
                <w:rFonts w:eastAsia="Times New Roman" w:cs="Times New Roman"/>
                <w:sz w:val="18"/>
                <w:szCs w:val="18"/>
                <w:lang w:val="hy-AM"/>
              </w:rPr>
              <w:t>5</w:t>
            </w:r>
          </w:p>
        </w:tc>
        <w:tc>
          <w:tcPr>
            <w:tcW w:w="861" w:type="dxa"/>
            <w:tcBorders>
              <w:top w:val="single" w:sz="4" w:space="0" w:color="auto"/>
              <w:bottom w:val="single" w:sz="4" w:space="0" w:color="auto"/>
            </w:tcBorders>
            <w:shd w:val="clear" w:color="auto" w:fill="auto"/>
            <w:vAlign w:val="center"/>
            <w:hideMark/>
          </w:tcPr>
          <w:p w14:paraId="26AD39FC" w14:textId="77777777" w:rsidR="00B25841" w:rsidRPr="0091096B" w:rsidRDefault="00B25841" w:rsidP="00A90AAE">
            <w:pPr>
              <w:tabs>
                <w:tab w:val="left" w:pos="0"/>
              </w:tabs>
              <w:spacing w:before="120" w:after="0" w:line="240" w:lineRule="auto"/>
              <w:ind w:firstLine="0"/>
              <w:jc w:val="center"/>
              <w:rPr>
                <w:rFonts w:eastAsia="Times New Roman" w:cs="Times New Roman"/>
                <w:sz w:val="18"/>
                <w:szCs w:val="18"/>
              </w:rPr>
            </w:pPr>
            <w:r w:rsidRPr="0091096B">
              <w:rPr>
                <w:rFonts w:eastAsia="Times New Roman" w:cs="Times New Roman"/>
                <w:sz w:val="18"/>
                <w:szCs w:val="18"/>
              </w:rPr>
              <w:t>202</w:t>
            </w:r>
            <w:r w:rsidRPr="0091096B">
              <w:rPr>
                <w:rFonts w:eastAsia="Times New Roman" w:cs="Times New Roman"/>
                <w:sz w:val="18"/>
                <w:szCs w:val="18"/>
                <w:lang w:val="hy-AM"/>
              </w:rPr>
              <w:t>6</w:t>
            </w:r>
            <w:r w:rsidRPr="0091096B">
              <w:rPr>
                <w:rFonts w:eastAsia="Times New Roman" w:cs="Times New Roman"/>
                <w:sz w:val="18"/>
                <w:szCs w:val="18"/>
              </w:rPr>
              <w:t xml:space="preserve"> </w:t>
            </w:r>
          </w:p>
        </w:tc>
        <w:tc>
          <w:tcPr>
            <w:tcW w:w="851" w:type="dxa"/>
            <w:tcBorders>
              <w:top w:val="single" w:sz="4" w:space="0" w:color="auto"/>
              <w:bottom w:val="single" w:sz="4" w:space="0" w:color="auto"/>
            </w:tcBorders>
            <w:shd w:val="clear" w:color="auto" w:fill="auto"/>
            <w:vAlign w:val="center"/>
            <w:hideMark/>
          </w:tcPr>
          <w:p w14:paraId="5E9633E3" w14:textId="77777777" w:rsidR="00B25841" w:rsidRPr="0091096B" w:rsidRDefault="00B25841" w:rsidP="00A90AAE">
            <w:pPr>
              <w:tabs>
                <w:tab w:val="left" w:pos="0"/>
              </w:tabs>
              <w:spacing w:before="120" w:after="0" w:line="240" w:lineRule="auto"/>
              <w:ind w:firstLine="0"/>
              <w:jc w:val="center"/>
              <w:rPr>
                <w:rFonts w:eastAsia="Times New Roman" w:cs="Times New Roman"/>
                <w:sz w:val="18"/>
                <w:szCs w:val="18"/>
              </w:rPr>
            </w:pPr>
            <w:r w:rsidRPr="0091096B">
              <w:rPr>
                <w:rFonts w:eastAsia="Times New Roman" w:cs="Times New Roman"/>
                <w:sz w:val="18"/>
                <w:szCs w:val="18"/>
              </w:rPr>
              <w:t>202</w:t>
            </w:r>
            <w:r w:rsidRPr="0091096B">
              <w:rPr>
                <w:rFonts w:eastAsia="Times New Roman" w:cs="Times New Roman"/>
                <w:sz w:val="18"/>
                <w:szCs w:val="18"/>
                <w:lang w:val="hy-AM"/>
              </w:rPr>
              <w:t>7</w:t>
            </w:r>
            <w:r w:rsidRPr="0091096B">
              <w:rPr>
                <w:rFonts w:eastAsia="Times New Roman" w:cs="Times New Roman"/>
                <w:sz w:val="18"/>
                <w:szCs w:val="18"/>
              </w:rPr>
              <w:t xml:space="preserve"> </w:t>
            </w:r>
          </w:p>
        </w:tc>
      </w:tr>
      <w:tr w:rsidR="00B25841" w:rsidRPr="00F80794" w14:paraId="35A48CF1" w14:textId="77777777" w:rsidTr="00802308">
        <w:trPr>
          <w:trHeight w:val="398"/>
        </w:trPr>
        <w:tc>
          <w:tcPr>
            <w:tcW w:w="3150" w:type="dxa"/>
            <w:tcBorders>
              <w:top w:val="single" w:sz="4" w:space="0" w:color="auto"/>
              <w:bottom w:val="single" w:sz="4" w:space="0" w:color="auto"/>
            </w:tcBorders>
            <w:shd w:val="clear" w:color="auto" w:fill="FFFFFF" w:themeFill="background1"/>
            <w:vAlign w:val="center"/>
            <w:hideMark/>
          </w:tcPr>
          <w:p w14:paraId="2998FA1B" w14:textId="77777777" w:rsidR="00B25841" w:rsidRPr="00F80794" w:rsidRDefault="00B25841" w:rsidP="00A90AAE">
            <w:pPr>
              <w:tabs>
                <w:tab w:val="left" w:pos="0"/>
              </w:tabs>
              <w:spacing w:before="120" w:after="0" w:line="240" w:lineRule="auto"/>
              <w:ind w:firstLine="0"/>
              <w:rPr>
                <w:rFonts w:eastAsia="Times New Roman" w:cs="Times New Roman"/>
                <w:bCs/>
                <w:sz w:val="18"/>
                <w:szCs w:val="18"/>
              </w:rPr>
            </w:pPr>
            <w:r w:rsidRPr="00F80794">
              <w:rPr>
                <w:rFonts w:eastAsia="Times New Roman" w:cs="Times New Roman"/>
                <w:bCs/>
                <w:sz w:val="18"/>
                <w:szCs w:val="18"/>
              </w:rPr>
              <w:t>Ընթացիկ ծախսեր</w:t>
            </w:r>
          </w:p>
        </w:tc>
        <w:tc>
          <w:tcPr>
            <w:tcW w:w="936" w:type="dxa"/>
            <w:tcBorders>
              <w:top w:val="single" w:sz="4" w:space="0" w:color="auto"/>
              <w:bottom w:val="single" w:sz="4" w:space="0" w:color="auto"/>
            </w:tcBorders>
            <w:shd w:val="clear" w:color="auto" w:fill="FFFFFF" w:themeFill="background1"/>
            <w:vAlign w:val="center"/>
          </w:tcPr>
          <w:p w14:paraId="6CBFAD01"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sidRPr="00F80794">
              <w:rPr>
                <w:bCs/>
                <w:color w:val="000000"/>
                <w:sz w:val="18"/>
                <w:szCs w:val="18"/>
              </w:rPr>
              <w:t>1,788.0</w:t>
            </w:r>
          </w:p>
        </w:tc>
        <w:tc>
          <w:tcPr>
            <w:tcW w:w="850" w:type="dxa"/>
            <w:tcBorders>
              <w:top w:val="single" w:sz="4" w:space="0" w:color="auto"/>
              <w:bottom w:val="single" w:sz="4" w:space="0" w:color="auto"/>
            </w:tcBorders>
            <w:shd w:val="clear" w:color="auto" w:fill="FFFFFF" w:themeFill="background1"/>
            <w:vAlign w:val="center"/>
          </w:tcPr>
          <w:p w14:paraId="105CFF58"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sidRPr="00F80794">
              <w:rPr>
                <w:bCs/>
                <w:color w:val="000000"/>
                <w:sz w:val="18"/>
                <w:szCs w:val="18"/>
              </w:rPr>
              <w:t>1,862.2</w:t>
            </w:r>
          </w:p>
        </w:tc>
        <w:tc>
          <w:tcPr>
            <w:tcW w:w="846" w:type="dxa"/>
            <w:tcBorders>
              <w:top w:val="single" w:sz="4" w:space="0" w:color="auto"/>
              <w:bottom w:val="single" w:sz="4" w:space="0" w:color="auto"/>
            </w:tcBorders>
            <w:shd w:val="clear" w:color="auto" w:fill="FFFFFF" w:themeFill="background1"/>
            <w:vAlign w:val="center"/>
          </w:tcPr>
          <w:p w14:paraId="5ABC8FBC"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Pr>
                <w:bCs/>
                <w:color w:val="000000"/>
                <w:sz w:val="18"/>
                <w:szCs w:val="18"/>
              </w:rPr>
              <w:t>2,075.1</w:t>
            </w:r>
          </w:p>
        </w:tc>
        <w:tc>
          <w:tcPr>
            <w:tcW w:w="856" w:type="dxa"/>
            <w:gridSpan w:val="2"/>
            <w:tcBorders>
              <w:top w:val="single" w:sz="4" w:space="0" w:color="auto"/>
              <w:bottom w:val="single" w:sz="4" w:space="0" w:color="auto"/>
            </w:tcBorders>
            <w:shd w:val="clear" w:color="auto" w:fill="FFFFFF" w:themeFill="background1"/>
            <w:noWrap/>
            <w:vAlign w:val="center"/>
          </w:tcPr>
          <w:p w14:paraId="0EE3050E"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Pr>
                <w:bCs/>
                <w:color w:val="000000"/>
                <w:sz w:val="18"/>
                <w:szCs w:val="18"/>
              </w:rPr>
              <w:t>2,511.2</w:t>
            </w:r>
          </w:p>
        </w:tc>
        <w:tc>
          <w:tcPr>
            <w:tcW w:w="832" w:type="dxa"/>
            <w:gridSpan w:val="2"/>
            <w:tcBorders>
              <w:top w:val="single" w:sz="4" w:space="0" w:color="auto"/>
              <w:bottom w:val="single" w:sz="4" w:space="0" w:color="auto"/>
            </w:tcBorders>
            <w:shd w:val="clear" w:color="auto" w:fill="FFFFFF" w:themeFill="background1"/>
            <w:noWrap/>
            <w:vAlign w:val="center"/>
          </w:tcPr>
          <w:p w14:paraId="364590D3"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Pr>
                <w:bCs/>
                <w:color w:val="000000"/>
                <w:sz w:val="18"/>
                <w:szCs w:val="18"/>
              </w:rPr>
              <w:t>2,728.5</w:t>
            </w:r>
          </w:p>
        </w:tc>
        <w:tc>
          <w:tcPr>
            <w:tcW w:w="861" w:type="dxa"/>
            <w:tcBorders>
              <w:top w:val="single" w:sz="4" w:space="0" w:color="auto"/>
              <w:bottom w:val="single" w:sz="4" w:space="0" w:color="auto"/>
            </w:tcBorders>
            <w:shd w:val="clear" w:color="auto" w:fill="FFFFFF" w:themeFill="background1"/>
            <w:noWrap/>
            <w:vAlign w:val="center"/>
          </w:tcPr>
          <w:p w14:paraId="25D1C4F9"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lang w:val="hy-AM"/>
              </w:rPr>
            </w:pPr>
            <w:r>
              <w:rPr>
                <w:bCs/>
                <w:color w:val="000000"/>
                <w:sz w:val="18"/>
                <w:szCs w:val="18"/>
              </w:rPr>
              <w:t>2,938.2</w:t>
            </w:r>
          </w:p>
        </w:tc>
        <w:tc>
          <w:tcPr>
            <w:tcW w:w="851" w:type="dxa"/>
            <w:tcBorders>
              <w:top w:val="single" w:sz="4" w:space="0" w:color="auto"/>
              <w:bottom w:val="single" w:sz="4" w:space="0" w:color="auto"/>
            </w:tcBorders>
            <w:shd w:val="clear" w:color="auto" w:fill="FFFFFF" w:themeFill="background1"/>
            <w:noWrap/>
            <w:vAlign w:val="center"/>
          </w:tcPr>
          <w:p w14:paraId="7B7E4185" w14:textId="77777777" w:rsidR="00B25841" w:rsidRPr="00F80794" w:rsidRDefault="00B25841" w:rsidP="00A90AAE">
            <w:pPr>
              <w:tabs>
                <w:tab w:val="left" w:pos="0"/>
              </w:tabs>
              <w:spacing w:before="120" w:after="0" w:line="240" w:lineRule="auto"/>
              <w:ind w:firstLine="0"/>
              <w:jc w:val="center"/>
              <w:rPr>
                <w:rFonts w:eastAsia="Times New Roman" w:cs="Arial"/>
                <w:bCs/>
                <w:color w:val="000000"/>
                <w:sz w:val="18"/>
                <w:szCs w:val="18"/>
              </w:rPr>
            </w:pPr>
            <w:r>
              <w:rPr>
                <w:bCs/>
                <w:color w:val="000000"/>
                <w:sz w:val="18"/>
                <w:szCs w:val="18"/>
              </w:rPr>
              <w:t>3,228.1</w:t>
            </w:r>
          </w:p>
        </w:tc>
      </w:tr>
      <w:tr w:rsidR="00B25841" w:rsidRPr="00F80794" w14:paraId="2BCE653F" w14:textId="77777777" w:rsidTr="00802308">
        <w:trPr>
          <w:trHeight w:val="612"/>
        </w:trPr>
        <w:tc>
          <w:tcPr>
            <w:tcW w:w="3150" w:type="dxa"/>
            <w:tcBorders>
              <w:top w:val="single" w:sz="4" w:space="0" w:color="auto"/>
              <w:bottom w:val="single" w:sz="4" w:space="0" w:color="auto"/>
            </w:tcBorders>
            <w:shd w:val="clear" w:color="auto" w:fill="FFFFFF" w:themeFill="background1"/>
            <w:vAlign w:val="center"/>
            <w:hideMark/>
          </w:tcPr>
          <w:p w14:paraId="04BFDCAF" w14:textId="77777777" w:rsidR="00B25841" w:rsidRPr="00F80794" w:rsidRDefault="00B25841" w:rsidP="00A90AAE">
            <w:pPr>
              <w:tabs>
                <w:tab w:val="left" w:pos="0"/>
              </w:tabs>
              <w:spacing w:before="120" w:after="0" w:line="240" w:lineRule="auto"/>
              <w:ind w:firstLine="0"/>
              <w:jc w:val="left"/>
              <w:rPr>
                <w:rFonts w:eastAsia="Times New Roman" w:cs="Times New Roman"/>
                <w:sz w:val="18"/>
                <w:szCs w:val="18"/>
              </w:rPr>
            </w:pPr>
            <w:r w:rsidRPr="00F80794">
              <w:rPr>
                <w:rFonts w:eastAsia="Times New Roman" w:cs="Times New Roman"/>
                <w:sz w:val="18"/>
                <w:szCs w:val="18"/>
              </w:rPr>
              <w:t>1. Աշխատանքի վարձատրություն</w:t>
            </w:r>
          </w:p>
        </w:tc>
        <w:tc>
          <w:tcPr>
            <w:tcW w:w="936" w:type="dxa"/>
            <w:tcBorders>
              <w:top w:val="single" w:sz="4" w:space="0" w:color="auto"/>
              <w:bottom w:val="single" w:sz="4" w:space="0" w:color="auto"/>
            </w:tcBorders>
            <w:shd w:val="clear" w:color="auto" w:fill="FFFFFF" w:themeFill="background1"/>
            <w:vAlign w:val="center"/>
          </w:tcPr>
          <w:p w14:paraId="4F81E4F7"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181.4</w:t>
            </w:r>
          </w:p>
        </w:tc>
        <w:tc>
          <w:tcPr>
            <w:tcW w:w="850" w:type="dxa"/>
            <w:tcBorders>
              <w:top w:val="single" w:sz="4" w:space="0" w:color="auto"/>
              <w:bottom w:val="single" w:sz="4" w:space="0" w:color="auto"/>
            </w:tcBorders>
            <w:shd w:val="clear" w:color="auto" w:fill="FFFFFF" w:themeFill="background1"/>
            <w:vAlign w:val="center"/>
          </w:tcPr>
          <w:p w14:paraId="4539A4D5"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194.1</w:t>
            </w:r>
          </w:p>
        </w:tc>
        <w:tc>
          <w:tcPr>
            <w:tcW w:w="846" w:type="dxa"/>
            <w:tcBorders>
              <w:top w:val="single" w:sz="4" w:space="0" w:color="auto"/>
              <w:bottom w:val="single" w:sz="4" w:space="0" w:color="auto"/>
            </w:tcBorders>
            <w:shd w:val="clear" w:color="auto" w:fill="FFFFFF" w:themeFill="background1"/>
            <w:vAlign w:val="center"/>
          </w:tcPr>
          <w:p w14:paraId="4F7555B2"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218.0</w:t>
            </w:r>
          </w:p>
        </w:tc>
        <w:tc>
          <w:tcPr>
            <w:tcW w:w="856" w:type="dxa"/>
            <w:gridSpan w:val="2"/>
            <w:tcBorders>
              <w:top w:val="single" w:sz="4" w:space="0" w:color="auto"/>
              <w:bottom w:val="single" w:sz="4" w:space="0" w:color="auto"/>
            </w:tcBorders>
            <w:shd w:val="clear" w:color="auto" w:fill="FFFFFF" w:themeFill="background1"/>
            <w:noWrap/>
            <w:vAlign w:val="center"/>
          </w:tcPr>
          <w:p w14:paraId="63657118"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240.5</w:t>
            </w:r>
          </w:p>
        </w:tc>
        <w:tc>
          <w:tcPr>
            <w:tcW w:w="832" w:type="dxa"/>
            <w:gridSpan w:val="2"/>
            <w:tcBorders>
              <w:top w:val="single" w:sz="4" w:space="0" w:color="auto"/>
              <w:bottom w:val="single" w:sz="4" w:space="0" w:color="auto"/>
            </w:tcBorders>
            <w:shd w:val="clear" w:color="auto" w:fill="FFFFFF" w:themeFill="background1"/>
            <w:noWrap/>
            <w:vAlign w:val="center"/>
          </w:tcPr>
          <w:p w14:paraId="45B080FB"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255.4</w:t>
            </w:r>
          </w:p>
        </w:tc>
        <w:tc>
          <w:tcPr>
            <w:tcW w:w="861" w:type="dxa"/>
            <w:tcBorders>
              <w:top w:val="single" w:sz="4" w:space="0" w:color="auto"/>
              <w:bottom w:val="single" w:sz="4" w:space="0" w:color="auto"/>
            </w:tcBorders>
            <w:shd w:val="clear" w:color="auto" w:fill="FFFFFF" w:themeFill="background1"/>
            <w:noWrap/>
            <w:vAlign w:val="center"/>
          </w:tcPr>
          <w:p w14:paraId="1F51002B"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263.3</w:t>
            </w:r>
          </w:p>
        </w:tc>
        <w:tc>
          <w:tcPr>
            <w:tcW w:w="851" w:type="dxa"/>
            <w:tcBorders>
              <w:top w:val="single" w:sz="4" w:space="0" w:color="auto"/>
              <w:bottom w:val="single" w:sz="4" w:space="0" w:color="auto"/>
            </w:tcBorders>
            <w:shd w:val="clear" w:color="auto" w:fill="FFFFFF" w:themeFill="background1"/>
            <w:noWrap/>
            <w:vAlign w:val="center"/>
          </w:tcPr>
          <w:p w14:paraId="01802314"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270.7</w:t>
            </w:r>
          </w:p>
        </w:tc>
      </w:tr>
      <w:tr w:rsidR="00B25841" w:rsidRPr="00F80794" w14:paraId="7E89E82A"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280EF775" w14:textId="77777777" w:rsidR="00B25841" w:rsidRPr="00F80794" w:rsidRDefault="00B25841" w:rsidP="00A90AAE">
            <w:pPr>
              <w:tabs>
                <w:tab w:val="left" w:pos="0"/>
              </w:tabs>
              <w:spacing w:before="120" w:after="0" w:line="240" w:lineRule="auto"/>
              <w:ind w:firstLine="0"/>
              <w:jc w:val="left"/>
              <w:rPr>
                <w:rFonts w:eastAsia="Times New Roman" w:cs="Times New Roman"/>
                <w:sz w:val="18"/>
                <w:szCs w:val="18"/>
              </w:rPr>
            </w:pPr>
            <w:r w:rsidRPr="00F80794">
              <w:rPr>
                <w:rFonts w:eastAsia="Times New Roman" w:cs="Times New Roman"/>
                <w:sz w:val="18"/>
                <w:szCs w:val="18"/>
              </w:rPr>
              <w:t>2. Ծ</w:t>
            </w:r>
            <w:r>
              <w:rPr>
                <w:rFonts w:eastAsia="Times New Roman" w:cs="Times New Roman"/>
                <w:sz w:val="18"/>
                <w:szCs w:val="18"/>
              </w:rPr>
              <w:t xml:space="preserve">առայությունների և </w:t>
            </w:r>
            <w:r w:rsidRPr="00F80794">
              <w:rPr>
                <w:rFonts w:eastAsia="Times New Roman" w:cs="Times New Roman"/>
                <w:sz w:val="18"/>
                <w:szCs w:val="18"/>
              </w:rPr>
              <w:t>ապրանքների ձեռքբերում</w:t>
            </w:r>
          </w:p>
        </w:tc>
        <w:tc>
          <w:tcPr>
            <w:tcW w:w="936" w:type="dxa"/>
            <w:tcBorders>
              <w:top w:val="single" w:sz="4" w:space="0" w:color="auto"/>
              <w:bottom w:val="single" w:sz="4" w:space="0" w:color="auto"/>
            </w:tcBorders>
            <w:shd w:val="clear" w:color="auto" w:fill="FFFFFF" w:themeFill="background1"/>
            <w:vAlign w:val="center"/>
          </w:tcPr>
          <w:p w14:paraId="6138131D"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198.5</w:t>
            </w:r>
          </w:p>
        </w:tc>
        <w:tc>
          <w:tcPr>
            <w:tcW w:w="850" w:type="dxa"/>
            <w:tcBorders>
              <w:top w:val="single" w:sz="4" w:space="0" w:color="auto"/>
              <w:bottom w:val="single" w:sz="4" w:space="0" w:color="auto"/>
            </w:tcBorders>
            <w:shd w:val="clear" w:color="auto" w:fill="FFFFFF" w:themeFill="background1"/>
            <w:vAlign w:val="center"/>
          </w:tcPr>
          <w:p w14:paraId="3F422C4B"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205.3</w:t>
            </w:r>
          </w:p>
        </w:tc>
        <w:tc>
          <w:tcPr>
            <w:tcW w:w="846" w:type="dxa"/>
            <w:tcBorders>
              <w:top w:val="single" w:sz="4" w:space="0" w:color="auto"/>
              <w:bottom w:val="single" w:sz="4" w:space="0" w:color="auto"/>
            </w:tcBorders>
            <w:shd w:val="clear" w:color="auto" w:fill="FFFFFF" w:themeFill="background1"/>
            <w:vAlign w:val="center"/>
          </w:tcPr>
          <w:p w14:paraId="68AA18DA"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191.1</w:t>
            </w:r>
          </w:p>
        </w:tc>
        <w:tc>
          <w:tcPr>
            <w:tcW w:w="856" w:type="dxa"/>
            <w:gridSpan w:val="2"/>
            <w:tcBorders>
              <w:top w:val="single" w:sz="4" w:space="0" w:color="auto"/>
              <w:bottom w:val="single" w:sz="4" w:space="0" w:color="auto"/>
            </w:tcBorders>
            <w:shd w:val="clear" w:color="auto" w:fill="FFFFFF" w:themeFill="background1"/>
            <w:noWrap/>
            <w:vAlign w:val="center"/>
          </w:tcPr>
          <w:p w14:paraId="60885AB4"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203.8</w:t>
            </w:r>
          </w:p>
        </w:tc>
        <w:tc>
          <w:tcPr>
            <w:tcW w:w="832" w:type="dxa"/>
            <w:gridSpan w:val="2"/>
            <w:tcBorders>
              <w:top w:val="single" w:sz="4" w:space="0" w:color="auto"/>
              <w:bottom w:val="single" w:sz="4" w:space="0" w:color="auto"/>
            </w:tcBorders>
            <w:shd w:val="clear" w:color="auto" w:fill="FFFFFF" w:themeFill="background1"/>
            <w:noWrap/>
            <w:vAlign w:val="center"/>
          </w:tcPr>
          <w:p w14:paraId="6A0CA0BA"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232.9</w:t>
            </w:r>
          </w:p>
        </w:tc>
        <w:tc>
          <w:tcPr>
            <w:tcW w:w="861" w:type="dxa"/>
            <w:tcBorders>
              <w:top w:val="single" w:sz="4" w:space="0" w:color="auto"/>
              <w:bottom w:val="single" w:sz="4" w:space="0" w:color="auto"/>
            </w:tcBorders>
            <w:shd w:val="clear" w:color="auto" w:fill="FFFFFF" w:themeFill="background1"/>
            <w:noWrap/>
            <w:vAlign w:val="center"/>
          </w:tcPr>
          <w:p w14:paraId="017EEAA6"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302.2</w:t>
            </w:r>
          </w:p>
        </w:tc>
        <w:tc>
          <w:tcPr>
            <w:tcW w:w="851" w:type="dxa"/>
            <w:tcBorders>
              <w:top w:val="single" w:sz="4" w:space="0" w:color="auto"/>
              <w:bottom w:val="single" w:sz="4" w:space="0" w:color="auto"/>
            </w:tcBorders>
            <w:shd w:val="clear" w:color="auto" w:fill="FFFFFF" w:themeFill="background1"/>
            <w:noWrap/>
            <w:vAlign w:val="center"/>
          </w:tcPr>
          <w:p w14:paraId="7CFC8511"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316.6</w:t>
            </w:r>
          </w:p>
        </w:tc>
      </w:tr>
      <w:tr w:rsidR="00B25841" w:rsidRPr="00F80794" w14:paraId="2EBDD916"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0B9C9CE8" w14:textId="77777777" w:rsidR="00B25841" w:rsidRPr="00F80794" w:rsidRDefault="00B25841" w:rsidP="00A90AAE">
            <w:pPr>
              <w:tabs>
                <w:tab w:val="left" w:pos="0"/>
              </w:tabs>
              <w:spacing w:before="120" w:after="0" w:line="240" w:lineRule="auto"/>
              <w:ind w:firstLine="0"/>
              <w:rPr>
                <w:rFonts w:eastAsia="Times New Roman" w:cs="Times New Roman"/>
                <w:sz w:val="18"/>
                <w:szCs w:val="18"/>
              </w:rPr>
            </w:pPr>
            <w:r w:rsidRPr="00F80794">
              <w:rPr>
                <w:rFonts w:eastAsia="Times New Roman" w:cs="Times New Roman"/>
                <w:sz w:val="18"/>
                <w:szCs w:val="18"/>
              </w:rPr>
              <w:t>3. Տոկոսավճարներ</w:t>
            </w:r>
          </w:p>
        </w:tc>
        <w:tc>
          <w:tcPr>
            <w:tcW w:w="936" w:type="dxa"/>
            <w:tcBorders>
              <w:top w:val="single" w:sz="4" w:space="0" w:color="auto"/>
              <w:bottom w:val="single" w:sz="4" w:space="0" w:color="auto"/>
            </w:tcBorders>
            <w:shd w:val="clear" w:color="auto" w:fill="FFFFFF" w:themeFill="background1"/>
            <w:vAlign w:val="center"/>
          </w:tcPr>
          <w:p w14:paraId="123C1752"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180.8</w:t>
            </w:r>
          </w:p>
        </w:tc>
        <w:tc>
          <w:tcPr>
            <w:tcW w:w="850" w:type="dxa"/>
            <w:tcBorders>
              <w:top w:val="single" w:sz="4" w:space="0" w:color="auto"/>
              <w:bottom w:val="single" w:sz="4" w:space="0" w:color="auto"/>
            </w:tcBorders>
            <w:shd w:val="clear" w:color="auto" w:fill="FFFFFF" w:themeFill="background1"/>
            <w:vAlign w:val="center"/>
          </w:tcPr>
          <w:p w14:paraId="2657709E"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198.3</w:t>
            </w:r>
          </w:p>
        </w:tc>
        <w:tc>
          <w:tcPr>
            <w:tcW w:w="846" w:type="dxa"/>
            <w:tcBorders>
              <w:top w:val="single" w:sz="4" w:space="0" w:color="auto"/>
              <w:bottom w:val="single" w:sz="4" w:space="0" w:color="auto"/>
            </w:tcBorders>
            <w:shd w:val="clear" w:color="auto" w:fill="FFFFFF" w:themeFill="background1"/>
            <w:vAlign w:val="center"/>
          </w:tcPr>
          <w:p w14:paraId="03883059"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253.4</w:t>
            </w:r>
          </w:p>
        </w:tc>
        <w:tc>
          <w:tcPr>
            <w:tcW w:w="856" w:type="dxa"/>
            <w:gridSpan w:val="2"/>
            <w:tcBorders>
              <w:top w:val="single" w:sz="4" w:space="0" w:color="auto"/>
              <w:bottom w:val="single" w:sz="4" w:space="0" w:color="auto"/>
            </w:tcBorders>
            <w:shd w:val="clear" w:color="auto" w:fill="FFFFFF" w:themeFill="background1"/>
            <w:noWrap/>
            <w:vAlign w:val="center"/>
          </w:tcPr>
          <w:p w14:paraId="1AB37CBC"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345.1</w:t>
            </w:r>
          </w:p>
        </w:tc>
        <w:tc>
          <w:tcPr>
            <w:tcW w:w="832" w:type="dxa"/>
            <w:gridSpan w:val="2"/>
            <w:tcBorders>
              <w:top w:val="single" w:sz="4" w:space="0" w:color="auto"/>
              <w:bottom w:val="single" w:sz="4" w:space="0" w:color="auto"/>
            </w:tcBorders>
            <w:shd w:val="clear" w:color="auto" w:fill="FFFFFF" w:themeFill="background1"/>
            <w:noWrap/>
            <w:vAlign w:val="center"/>
          </w:tcPr>
          <w:p w14:paraId="72C4E6D3"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393.6</w:t>
            </w:r>
          </w:p>
        </w:tc>
        <w:tc>
          <w:tcPr>
            <w:tcW w:w="861" w:type="dxa"/>
            <w:tcBorders>
              <w:top w:val="single" w:sz="4" w:space="0" w:color="auto"/>
              <w:bottom w:val="single" w:sz="4" w:space="0" w:color="auto"/>
            </w:tcBorders>
            <w:shd w:val="clear" w:color="auto" w:fill="FFFFFF" w:themeFill="background1"/>
            <w:noWrap/>
            <w:vAlign w:val="center"/>
          </w:tcPr>
          <w:p w14:paraId="06D82524"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440.5</w:t>
            </w:r>
          </w:p>
        </w:tc>
        <w:tc>
          <w:tcPr>
            <w:tcW w:w="851" w:type="dxa"/>
            <w:tcBorders>
              <w:top w:val="single" w:sz="4" w:space="0" w:color="auto"/>
              <w:bottom w:val="single" w:sz="4" w:space="0" w:color="auto"/>
            </w:tcBorders>
            <w:shd w:val="clear" w:color="auto" w:fill="FFFFFF" w:themeFill="background1"/>
            <w:noWrap/>
            <w:vAlign w:val="center"/>
          </w:tcPr>
          <w:p w14:paraId="2D158C8D"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494.1</w:t>
            </w:r>
          </w:p>
        </w:tc>
      </w:tr>
      <w:tr w:rsidR="00B25841" w:rsidRPr="00F80794" w14:paraId="0431CAB8"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443DEEFE" w14:textId="77777777" w:rsidR="00B25841" w:rsidRPr="00F80794" w:rsidRDefault="00B25841" w:rsidP="00A90AAE">
            <w:pPr>
              <w:tabs>
                <w:tab w:val="left" w:pos="0"/>
              </w:tabs>
              <w:spacing w:before="120" w:after="0" w:line="240" w:lineRule="auto"/>
              <w:ind w:firstLine="0"/>
              <w:rPr>
                <w:rFonts w:eastAsia="Times New Roman" w:cs="Times New Roman"/>
                <w:sz w:val="18"/>
                <w:szCs w:val="18"/>
              </w:rPr>
            </w:pPr>
            <w:r w:rsidRPr="00F80794">
              <w:rPr>
                <w:rFonts w:eastAsia="Times New Roman" w:cs="Times New Roman"/>
                <w:sz w:val="18"/>
                <w:szCs w:val="18"/>
              </w:rPr>
              <w:t>4. Սուբսիդիաներ</w:t>
            </w:r>
          </w:p>
        </w:tc>
        <w:tc>
          <w:tcPr>
            <w:tcW w:w="936" w:type="dxa"/>
            <w:tcBorders>
              <w:top w:val="single" w:sz="4" w:space="0" w:color="auto"/>
              <w:bottom w:val="single" w:sz="4" w:space="0" w:color="auto"/>
            </w:tcBorders>
            <w:shd w:val="clear" w:color="auto" w:fill="FFFFFF" w:themeFill="background1"/>
            <w:vAlign w:val="center"/>
          </w:tcPr>
          <w:p w14:paraId="1706637D"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136.8</w:t>
            </w:r>
          </w:p>
        </w:tc>
        <w:tc>
          <w:tcPr>
            <w:tcW w:w="850" w:type="dxa"/>
            <w:tcBorders>
              <w:top w:val="single" w:sz="4" w:space="0" w:color="auto"/>
              <w:bottom w:val="single" w:sz="4" w:space="0" w:color="auto"/>
            </w:tcBorders>
            <w:shd w:val="clear" w:color="auto" w:fill="FFFFFF" w:themeFill="background1"/>
            <w:vAlign w:val="center"/>
          </w:tcPr>
          <w:p w14:paraId="6B236463"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150.5</w:t>
            </w:r>
          </w:p>
        </w:tc>
        <w:tc>
          <w:tcPr>
            <w:tcW w:w="846" w:type="dxa"/>
            <w:tcBorders>
              <w:top w:val="single" w:sz="4" w:space="0" w:color="auto"/>
              <w:bottom w:val="single" w:sz="4" w:space="0" w:color="auto"/>
            </w:tcBorders>
            <w:shd w:val="clear" w:color="auto" w:fill="FFFFFF" w:themeFill="background1"/>
            <w:vAlign w:val="center"/>
          </w:tcPr>
          <w:p w14:paraId="47CF09B9"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164.0</w:t>
            </w:r>
          </w:p>
        </w:tc>
        <w:tc>
          <w:tcPr>
            <w:tcW w:w="856" w:type="dxa"/>
            <w:gridSpan w:val="2"/>
            <w:tcBorders>
              <w:top w:val="single" w:sz="4" w:space="0" w:color="auto"/>
              <w:bottom w:val="single" w:sz="4" w:space="0" w:color="auto"/>
            </w:tcBorders>
            <w:shd w:val="clear" w:color="auto" w:fill="FFFFFF" w:themeFill="background1"/>
            <w:noWrap/>
            <w:vAlign w:val="center"/>
          </w:tcPr>
          <w:p w14:paraId="6CB4DD70"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184.9</w:t>
            </w:r>
          </w:p>
        </w:tc>
        <w:tc>
          <w:tcPr>
            <w:tcW w:w="832" w:type="dxa"/>
            <w:gridSpan w:val="2"/>
            <w:tcBorders>
              <w:top w:val="single" w:sz="4" w:space="0" w:color="auto"/>
              <w:bottom w:val="single" w:sz="4" w:space="0" w:color="auto"/>
            </w:tcBorders>
            <w:shd w:val="clear" w:color="auto" w:fill="FFFFFF" w:themeFill="background1"/>
            <w:noWrap/>
            <w:vAlign w:val="center"/>
          </w:tcPr>
          <w:p w14:paraId="71A00CB8"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191.6</w:t>
            </w:r>
          </w:p>
        </w:tc>
        <w:tc>
          <w:tcPr>
            <w:tcW w:w="861" w:type="dxa"/>
            <w:tcBorders>
              <w:top w:val="single" w:sz="4" w:space="0" w:color="auto"/>
              <w:bottom w:val="single" w:sz="4" w:space="0" w:color="auto"/>
            </w:tcBorders>
            <w:shd w:val="clear" w:color="auto" w:fill="FFFFFF" w:themeFill="background1"/>
            <w:noWrap/>
            <w:vAlign w:val="center"/>
          </w:tcPr>
          <w:p w14:paraId="2414D293"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187.1</w:t>
            </w:r>
          </w:p>
        </w:tc>
        <w:tc>
          <w:tcPr>
            <w:tcW w:w="851" w:type="dxa"/>
            <w:tcBorders>
              <w:top w:val="single" w:sz="4" w:space="0" w:color="auto"/>
              <w:bottom w:val="single" w:sz="4" w:space="0" w:color="auto"/>
            </w:tcBorders>
            <w:shd w:val="clear" w:color="auto" w:fill="FFFFFF" w:themeFill="background1"/>
            <w:noWrap/>
            <w:vAlign w:val="center"/>
          </w:tcPr>
          <w:p w14:paraId="4DDF2240"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185.9</w:t>
            </w:r>
          </w:p>
        </w:tc>
      </w:tr>
      <w:tr w:rsidR="00B25841" w:rsidRPr="00F80794" w14:paraId="41F90866"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053AA3AE" w14:textId="77777777" w:rsidR="00B25841" w:rsidRPr="00F80794" w:rsidRDefault="00B25841" w:rsidP="00A90AAE">
            <w:pPr>
              <w:tabs>
                <w:tab w:val="left" w:pos="0"/>
              </w:tabs>
              <w:spacing w:before="120" w:after="0" w:line="240" w:lineRule="auto"/>
              <w:ind w:firstLine="0"/>
              <w:rPr>
                <w:rFonts w:eastAsia="Times New Roman" w:cs="Times New Roman"/>
                <w:sz w:val="18"/>
                <w:szCs w:val="18"/>
              </w:rPr>
            </w:pPr>
            <w:r w:rsidRPr="00F80794">
              <w:rPr>
                <w:rFonts w:eastAsia="Times New Roman" w:cs="Times New Roman"/>
                <w:sz w:val="18"/>
                <w:szCs w:val="18"/>
              </w:rPr>
              <w:t>5. Դրամաշնորհներ</w:t>
            </w:r>
          </w:p>
        </w:tc>
        <w:tc>
          <w:tcPr>
            <w:tcW w:w="936" w:type="dxa"/>
            <w:tcBorders>
              <w:top w:val="single" w:sz="4" w:space="0" w:color="auto"/>
              <w:bottom w:val="single" w:sz="4" w:space="0" w:color="auto"/>
            </w:tcBorders>
            <w:shd w:val="clear" w:color="auto" w:fill="FFFFFF" w:themeFill="background1"/>
            <w:vAlign w:val="center"/>
          </w:tcPr>
          <w:p w14:paraId="35A5EB7B"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204.7</w:t>
            </w:r>
          </w:p>
        </w:tc>
        <w:tc>
          <w:tcPr>
            <w:tcW w:w="850" w:type="dxa"/>
            <w:tcBorders>
              <w:top w:val="single" w:sz="4" w:space="0" w:color="auto"/>
              <w:bottom w:val="single" w:sz="4" w:space="0" w:color="auto"/>
            </w:tcBorders>
            <w:shd w:val="clear" w:color="auto" w:fill="FFFFFF" w:themeFill="background1"/>
            <w:vAlign w:val="center"/>
          </w:tcPr>
          <w:p w14:paraId="39479A09"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238.6</w:t>
            </w:r>
          </w:p>
        </w:tc>
        <w:tc>
          <w:tcPr>
            <w:tcW w:w="846" w:type="dxa"/>
            <w:tcBorders>
              <w:top w:val="single" w:sz="4" w:space="0" w:color="auto"/>
              <w:bottom w:val="single" w:sz="4" w:space="0" w:color="auto"/>
            </w:tcBorders>
            <w:shd w:val="clear" w:color="auto" w:fill="FFFFFF" w:themeFill="background1"/>
            <w:vAlign w:val="center"/>
          </w:tcPr>
          <w:p w14:paraId="0AED28A2"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281.0</w:t>
            </w:r>
          </w:p>
        </w:tc>
        <w:tc>
          <w:tcPr>
            <w:tcW w:w="856" w:type="dxa"/>
            <w:gridSpan w:val="2"/>
            <w:tcBorders>
              <w:top w:val="single" w:sz="4" w:space="0" w:color="auto"/>
              <w:bottom w:val="single" w:sz="4" w:space="0" w:color="auto"/>
            </w:tcBorders>
            <w:shd w:val="clear" w:color="auto" w:fill="FFFFFF" w:themeFill="background1"/>
            <w:noWrap/>
            <w:vAlign w:val="center"/>
          </w:tcPr>
          <w:p w14:paraId="473C8EC4"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293.3</w:t>
            </w:r>
          </w:p>
        </w:tc>
        <w:tc>
          <w:tcPr>
            <w:tcW w:w="832" w:type="dxa"/>
            <w:gridSpan w:val="2"/>
            <w:tcBorders>
              <w:top w:val="single" w:sz="4" w:space="0" w:color="auto"/>
              <w:bottom w:val="single" w:sz="4" w:space="0" w:color="auto"/>
            </w:tcBorders>
            <w:shd w:val="clear" w:color="auto" w:fill="FFFFFF" w:themeFill="background1"/>
            <w:noWrap/>
            <w:vAlign w:val="center"/>
          </w:tcPr>
          <w:p w14:paraId="793DCCB7"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346.7</w:t>
            </w:r>
          </w:p>
        </w:tc>
        <w:tc>
          <w:tcPr>
            <w:tcW w:w="861" w:type="dxa"/>
            <w:tcBorders>
              <w:top w:val="single" w:sz="4" w:space="0" w:color="auto"/>
              <w:bottom w:val="single" w:sz="4" w:space="0" w:color="auto"/>
            </w:tcBorders>
            <w:shd w:val="clear" w:color="auto" w:fill="FFFFFF" w:themeFill="background1"/>
            <w:noWrap/>
            <w:vAlign w:val="center"/>
          </w:tcPr>
          <w:p w14:paraId="52E38EAD"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341.7</w:t>
            </w:r>
          </w:p>
        </w:tc>
        <w:tc>
          <w:tcPr>
            <w:tcW w:w="851" w:type="dxa"/>
            <w:tcBorders>
              <w:top w:val="single" w:sz="4" w:space="0" w:color="auto"/>
              <w:bottom w:val="single" w:sz="4" w:space="0" w:color="auto"/>
            </w:tcBorders>
            <w:shd w:val="clear" w:color="auto" w:fill="FFFFFF" w:themeFill="background1"/>
            <w:noWrap/>
            <w:vAlign w:val="center"/>
          </w:tcPr>
          <w:p w14:paraId="7EE568F9"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384.9</w:t>
            </w:r>
          </w:p>
        </w:tc>
      </w:tr>
      <w:tr w:rsidR="00B25841" w:rsidRPr="00F80794" w14:paraId="45D02FA0"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09C41949" w14:textId="77777777" w:rsidR="00B25841" w:rsidRPr="00F80794" w:rsidRDefault="00B25841" w:rsidP="00A90AAE">
            <w:pPr>
              <w:tabs>
                <w:tab w:val="left" w:pos="0"/>
              </w:tabs>
              <w:spacing w:before="120" w:after="0" w:line="240" w:lineRule="auto"/>
              <w:ind w:firstLine="0"/>
              <w:jc w:val="left"/>
              <w:rPr>
                <w:rFonts w:eastAsia="Times New Roman" w:cs="Times New Roman"/>
                <w:sz w:val="18"/>
                <w:szCs w:val="18"/>
              </w:rPr>
            </w:pPr>
            <w:r>
              <w:rPr>
                <w:rFonts w:eastAsia="Times New Roman" w:cs="Times New Roman"/>
                <w:sz w:val="18"/>
                <w:szCs w:val="18"/>
              </w:rPr>
              <w:t xml:space="preserve">6. </w:t>
            </w:r>
            <w:r w:rsidRPr="00F80794">
              <w:rPr>
                <w:rFonts w:eastAsia="Times New Roman" w:cs="Times New Roman"/>
                <w:sz w:val="18"/>
                <w:szCs w:val="18"/>
              </w:rPr>
              <w:t>Սոցիալական նպաստներ և կենսաթոշակներ</w:t>
            </w:r>
          </w:p>
        </w:tc>
        <w:tc>
          <w:tcPr>
            <w:tcW w:w="936" w:type="dxa"/>
            <w:tcBorders>
              <w:top w:val="single" w:sz="4" w:space="0" w:color="auto"/>
              <w:bottom w:val="single" w:sz="4" w:space="0" w:color="auto"/>
            </w:tcBorders>
            <w:shd w:val="clear" w:color="auto" w:fill="FFFFFF" w:themeFill="background1"/>
            <w:vAlign w:val="center"/>
          </w:tcPr>
          <w:p w14:paraId="430AAC08"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621.2</w:t>
            </w:r>
          </w:p>
        </w:tc>
        <w:tc>
          <w:tcPr>
            <w:tcW w:w="850" w:type="dxa"/>
            <w:tcBorders>
              <w:top w:val="single" w:sz="4" w:space="0" w:color="auto"/>
              <w:bottom w:val="single" w:sz="4" w:space="0" w:color="auto"/>
            </w:tcBorders>
            <w:shd w:val="clear" w:color="auto" w:fill="FFFFFF" w:themeFill="background1"/>
            <w:vAlign w:val="center"/>
          </w:tcPr>
          <w:p w14:paraId="0B7696AF"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613.1</w:t>
            </w:r>
          </w:p>
        </w:tc>
        <w:tc>
          <w:tcPr>
            <w:tcW w:w="846" w:type="dxa"/>
            <w:tcBorders>
              <w:top w:val="single" w:sz="4" w:space="0" w:color="auto"/>
              <w:bottom w:val="single" w:sz="4" w:space="0" w:color="auto"/>
            </w:tcBorders>
            <w:shd w:val="clear" w:color="auto" w:fill="FFFFFF" w:themeFill="background1"/>
            <w:vAlign w:val="center"/>
          </w:tcPr>
          <w:p w14:paraId="5F7F8101"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710.2</w:t>
            </w:r>
          </w:p>
        </w:tc>
        <w:tc>
          <w:tcPr>
            <w:tcW w:w="856" w:type="dxa"/>
            <w:gridSpan w:val="2"/>
            <w:tcBorders>
              <w:top w:val="single" w:sz="4" w:space="0" w:color="auto"/>
              <w:bottom w:val="single" w:sz="4" w:space="0" w:color="auto"/>
            </w:tcBorders>
            <w:shd w:val="clear" w:color="auto" w:fill="FFFFFF" w:themeFill="background1"/>
            <w:noWrap/>
            <w:vAlign w:val="center"/>
          </w:tcPr>
          <w:p w14:paraId="3984DD81"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878.5</w:t>
            </w:r>
          </w:p>
        </w:tc>
        <w:tc>
          <w:tcPr>
            <w:tcW w:w="832" w:type="dxa"/>
            <w:gridSpan w:val="2"/>
            <w:tcBorders>
              <w:top w:val="single" w:sz="4" w:space="0" w:color="auto"/>
              <w:bottom w:val="single" w:sz="4" w:space="0" w:color="auto"/>
            </w:tcBorders>
            <w:shd w:val="clear" w:color="auto" w:fill="FFFFFF" w:themeFill="background1"/>
            <w:noWrap/>
            <w:vAlign w:val="center"/>
          </w:tcPr>
          <w:p w14:paraId="3932650C"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1,007.6</w:t>
            </w:r>
          </w:p>
        </w:tc>
        <w:tc>
          <w:tcPr>
            <w:tcW w:w="861" w:type="dxa"/>
            <w:tcBorders>
              <w:top w:val="single" w:sz="4" w:space="0" w:color="auto"/>
              <w:bottom w:val="single" w:sz="4" w:space="0" w:color="auto"/>
            </w:tcBorders>
            <w:shd w:val="clear" w:color="auto" w:fill="FFFFFF" w:themeFill="background1"/>
            <w:noWrap/>
            <w:vAlign w:val="center"/>
          </w:tcPr>
          <w:p w14:paraId="5D5B4643"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1,085.0</w:t>
            </w:r>
          </w:p>
        </w:tc>
        <w:tc>
          <w:tcPr>
            <w:tcW w:w="851" w:type="dxa"/>
            <w:tcBorders>
              <w:top w:val="single" w:sz="4" w:space="0" w:color="auto"/>
              <w:bottom w:val="single" w:sz="4" w:space="0" w:color="auto"/>
            </w:tcBorders>
            <w:shd w:val="clear" w:color="auto" w:fill="FFFFFF" w:themeFill="background1"/>
            <w:noWrap/>
            <w:vAlign w:val="center"/>
          </w:tcPr>
          <w:p w14:paraId="11A36E6E"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1,165.6</w:t>
            </w:r>
          </w:p>
        </w:tc>
      </w:tr>
      <w:tr w:rsidR="00B25841" w:rsidRPr="00F80794" w14:paraId="078FBD06" w14:textId="77777777" w:rsidTr="00802308">
        <w:trPr>
          <w:trHeight w:val="378"/>
        </w:trPr>
        <w:tc>
          <w:tcPr>
            <w:tcW w:w="3150" w:type="dxa"/>
            <w:tcBorders>
              <w:top w:val="single" w:sz="4" w:space="0" w:color="auto"/>
              <w:bottom w:val="single" w:sz="4" w:space="0" w:color="auto"/>
            </w:tcBorders>
            <w:shd w:val="clear" w:color="auto" w:fill="FFFFFF" w:themeFill="background1"/>
            <w:vAlign w:val="center"/>
            <w:hideMark/>
          </w:tcPr>
          <w:p w14:paraId="5EBFF9C5" w14:textId="77777777" w:rsidR="00B25841" w:rsidRPr="00F80794" w:rsidRDefault="00B25841" w:rsidP="00A90AAE">
            <w:pPr>
              <w:tabs>
                <w:tab w:val="left" w:pos="0"/>
              </w:tabs>
              <w:spacing w:before="120" w:after="0" w:line="240" w:lineRule="auto"/>
              <w:ind w:firstLine="0"/>
              <w:rPr>
                <w:rFonts w:eastAsia="Times New Roman" w:cs="Times New Roman"/>
                <w:sz w:val="18"/>
                <w:szCs w:val="18"/>
              </w:rPr>
            </w:pPr>
            <w:r w:rsidRPr="00F80794">
              <w:rPr>
                <w:rFonts w:eastAsia="Times New Roman" w:cs="Times New Roman"/>
                <w:sz w:val="18"/>
                <w:szCs w:val="18"/>
              </w:rPr>
              <w:t>7. Այլ ծախսեր</w:t>
            </w:r>
          </w:p>
        </w:tc>
        <w:tc>
          <w:tcPr>
            <w:tcW w:w="936" w:type="dxa"/>
            <w:tcBorders>
              <w:top w:val="single" w:sz="4" w:space="0" w:color="auto"/>
              <w:bottom w:val="single" w:sz="4" w:space="0" w:color="auto"/>
            </w:tcBorders>
            <w:shd w:val="clear" w:color="auto" w:fill="FFFFFF" w:themeFill="background1"/>
            <w:vAlign w:val="center"/>
          </w:tcPr>
          <w:p w14:paraId="05DDE2F2"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264.6</w:t>
            </w:r>
          </w:p>
        </w:tc>
        <w:tc>
          <w:tcPr>
            <w:tcW w:w="850" w:type="dxa"/>
            <w:tcBorders>
              <w:top w:val="single" w:sz="4" w:space="0" w:color="auto"/>
              <w:bottom w:val="single" w:sz="4" w:space="0" w:color="auto"/>
            </w:tcBorders>
            <w:shd w:val="clear" w:color="auto" w:fill="FFFFFF" w:themeFill="background1"/>
            <w:vAlign w:val="center"/>
          </w:tcPr>
          <w:p w14:paraId="2C58125E" w14:textId="77777777" w:rsidR="00B25841" w:rsidRPr="00F80794" w:rsidRDefault="00B25841" w:rsidP="00A90AAE">
            <w:pPr>
              <w:tabs>
                <w:tab w:val="left" w:pos="0"/>
              </w:tabs>
              <w:spacing w:before="120" w:after="0" w:line="240" w:lineRule="auto"/>
              <w:ind w:firstLine="0"/>
              <w:jc w:val="center"/>
              <w:rPr>
                <w:sz w:val="18"/>
                <w:szCs w:val="18"/>
              </w:rPr>
            </w:pPr>
            <w:r w:rsidRPr="00F80794">
              <w:rPr>
                <w:sz w:val="18"/>
                <w:szCs w:val="18"/>
              </w:rPr>
              <w:t>262.4</w:t>
            </w:r>
          </w:p>
        </w:tc>
        <w:tc>
          <w:tcPr>
            <w:tcW w:w="846" w:type="dxa"/>
            <w:tcBorders>
              <w:top w:val="single" w:sz="4" w:space="0" w:color="auto"/>
              <w:bottom w:val="single" w:sz="4" w:space="0" w:color="auto"/>
            </w:tcBorders>
            <w:shd w:val="clear" w:color="auto" w:fill="FFFFFF" w:themeFill="background1"/>
            <w:vAlign w:val="center"/>
          </w:tcPr>
          <w:p w14:paraId="49C55952" w14:textId="77777777" w:rsidR="00B25841" w:rsidRPr="00F80794" w:rsidRDefault="00B25841" w:rsidP="00A90AAE">
            <w:pPr>
              <w:tabs>
                <w:tab w:val="left" w:pos="0"/>
              </w:tabs>
              <w:spacing w:before="120" w:after="0" w:line="240" w:lineRule="auto"/>
              <w:ind w:firstLine="0"/>
              <w:jc w:val="center"/>
              <w:rPr>
                <w:sz w:val="18"/>
                <w:szCs w:val="18"/>
              </w:rPr>
            </w:pPr>
            <w:r>
              <w:rPr>
                <w:sz w:val="18"/>
                <w:szCs w:val="18"/>
              </w:rPr>
              <w:t>257.2</w:t>
            </w:r>
          </w:p>
        </w:tc>
        <w:tc>
          <w:tcPr>
            <w:tcW w:w="856" w:type="dxa"/>
            <w:gridSpan w:val="2"/>
            <w:tcBorders>
              <w:top w:val="single" w:sz="4" w:space="0" w:color="auto"/>
              <w:bottom w:val="single" w:sz="4" w:space="0" w:color="auto"/>
            </w:tcBorders>
            <w:shd w:val="clear" w:color="auto" w:fill="FFFFFF" w:themeFill="background1"/>
            <w:noWrap/>
            <w:vAlign w:val="center"/>
          </w:tcPr>
          <w:p w14:paraId="330068F8"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365.0</w:t>
            </w:r>
          </w:p>
        </w:tc>
        <w:tc>
          <w:tcPr>
            <w:tcW w:w="832" w:type="dxa"/>
            <w:gridSpan w:val="2"/>
            <w:tcBorders>
              <w:top w:val="single" w:sz="4" w:space="0" w:color="auto"/>
              <w:bottom w:val="single" w:sz="4" w:space="0" w:color="auto"/>
            </w:tcBorders>
            <w:shd w:val="clear" w:color="auto" w:fill="FFFFFF" w:themeFill="background1"/>
            <w:noWrap/>
            <w:vAlign w:val="center"/>
          </w:tcPr>
          <w:p w14:paraId="31C7C531"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300.6</w:t>
            </w:r>
          </w:p>
        </w:tc>
        <w:tc>
          <w:tcPr>
            <w:tcW w:w="861" w:type="dxa"/>
            <w:tcBorders>
              <w:top w:val="single" w:sz="4" w:space="0" w:color="auto"/>
              <w:bottom w:val="single" w:sz="4" w:space="0" w:color="auto"/>
            </w:tcBorders>
            <w:shd w:val="clear" w:color="auto" w:fill="FFFFFF" w:themeFill="background1"/>
            <w:noWrap/>
            <w:vAlign w:val="center"/>
          </w:tcPr>
          <w:p w14:paraId="57E4AD22"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318.3</w:t>
            </w:r>
          </w:p>
        </w:tc>
        <w:tc>
          <w:tcPr>
            <w:tcW w:w="851" w:type="dxa"/>
            <w:tcBorders>
              <w:top w:val="single" w:sz="4" w:space="0" w:color="auto"/>
              <w:bottom w:val="single" w:sz="4" w:space="0" w:color="auto"/>
            </w:tcBorders>
            <w:shd w:val="clear" w:color="auto" w:fill="FFFFFF" w:themeFill="background1"/>
            <w:noWrap/>
            <w:vAlign w:val="center"/>
          </w:tcPr>
          <w:p w14:paraId="7AD2E45D" w14:textId="77777777" w:rsidR="00B25841" w:rsidRPr="00F80794" w:rsidRDefault="00B25841" w:rsidP="00A90AAE">
            <w:pPr>
              <w:tabs>
                <w:tab w:val="left" w:pos="0"/>
              </w:tabs>
              <w:spacing w:before="120" w:after="0" w:line="240" w:lineRule="auto"/>
              <w:ind w:firstLine="0"/>
              <w:jc w:val="center"/>
              <w:rPr>
                <w:rFonts w:eastAsia="Times New Roman" w:cs="Times New Roman"/>
                <w:sz w:val="18"/>
                <w:szCs w:val="18"/>
              </w:rPr>
            </w:pPr>
            <w:r>
              <w:rPr>
                <w:sz w:val="18"/>
                <w:szCs w:val="18"/>
              </w:rPr>
              <w:t>410.3</w:t>
            </w:r>
          </w:p>
        </w:tc>
      </w:tr>
    </w:tbl>
    <w:p w14:paraId="30533EC3" w14:textId="77777777" w:rsidR="00B25841" w:rsidRPr="00933A29" w:rsidRDefault="00B25841" w:rsidP="00B25841">
      <w:pPr>
        <w:tabs>
          <w:tab w:val="left" w:pos="0"/>
        </w:tabs>
        <w:spacing w:before="120" w:after="0" w:line="276" w:lineRule="auto"/>
        <w:ind w:firstLine="0"/>
        <w:jc w:val="right"/>
        <w:rPr>
          <w:rFonts w:eastAsia="Times New Roman" w:cs="Times New Roman"/>
          <w:sz w:val="20"/>
          <w:szCs w:val="20"/>
          <w:lang w:val="hy-AM"/>
        </w:rPr>
      </w:pPr>
      <w:r w:rsidRPr="00933A29">
        <w:rPr>
          <w:rFonts w:eastAsia="Times New Roman" w:cs="Times New Roman"/>
          <w:sz w:val="20"/>
          <w:szCs w:val="20"/>
          <w:lang w:val="hy-AM"/>
        </w:rPr>
        <w:t xml:space="preserve">                                                                </w:t>
      </w:r>
    </w:p>
    <w:p w14:paraId="049B7F6F" w14:textId="77777777" w:rsidR="00B25841" w:rsidRPr="00933A29" w:rsidRDefault="00B25841" w:rsidP="00B25841">
      <w:pPr>
        <w:tabs>
          <w:tab w:val="left" w:pos="0"/>
        </w:tabs>
        <w:spacing w:before="120" w:after="0" w:line="276" w:lineRule="auto"/>
        <w:ind w:firstLine="0"/>
        <w:jc w:val="center"/>
        <w:rPr>
          <w:rFonts w:eastAsia="Times New Roman" w:cs="Times New Roman"/>
          <w:lang w:val="af-ZA"/>
        </w:rPr>
      </w:pPr>
    </w:p>
    <w:p w14:paraId="5C746877" w14:textId="77777777" w:rsidR="00B25841" w:rsidRPr="007E59A7" w:rsidRDefault="00B25841" w:rsidP="00B25841">
      <w:pPr>
        <w:tabs>
          <w:tab w:val="left" w:pos="0"/>
        </w:tabs>
        <w:spacing w:before="120" w:after="0" w:line="276" w:lineRule="auto"/>
        <w:ind w:firstLine="0"/>
        <w:rPr>
          <w:rFonts w:cs="Sylfaen"/>
          <w:iCs/>
          <w:lang w:val="hy-AM" w:eastAsia="en-GB"/>
        </w:rPr>
      </w:pPr>
      <w:r>
        <w:rPr>
          <w:rFonts w:cs="Sylfaen"/>
          <w:iCs/>
          <w:lang w:val="hy-AM" w:eastAsia="en-GB"/>
        </w:rPr>
        <w:t>Միջնաժամկետ հատվածում</w:t>
      </w:r>
      <w:r w:rsidRPr="00660A49">
        <w:rPr>
          <w:rFonts w:eastAsia="Times New Roman" w:cs="Sylfaen"/>
          <w:lang w:val="af-ZA"/>
        </w:rPr>
        <w:t xml:space="preserve"> </w:t>
      </w:r>
      <w:r w:rsidRPr="00933A29">
        <w:rPr>
          <w:rFonts w:eastAsia="Times New Roman" w:cs="Sylfaen"/>
        </w:rPr>
        <w:t>ծախսերի</w:t>
      </w:r>
      <w:r w:rsidRPr="00933A29">
        <w:rPr>
          <w:rFonts w:eastAsia="Times New Roman" w:cs="Times New Roman"/>
          <w:lang w:val="af-ZA"/>
        </w:rPr>
        <w:t xml:space="preserve"> </w:t>
      </w:r>
      <w:r w:rsidRPr="00933A29">
        <w:rPr>
          <w:rFonts w:eastAsia="Times New Roman" w:cs="Sylfaen"/>
        </w:rPr>
        <w:t>ընդհանուր</w:t>
      </w:r>
      <w:r w:rsidRPr="00933A29">
        <w:rPr>
          <w:rFonts w:eastAsia="Times New Roman" w:cs="Times New Roman"/>
          <w:lang w:val="af-ZA"/>
        </w:rPr>
        <w:t xml:space="preserve"> </w:t>
      </w:r>
      <w:r w:rsidRPr="00933A29">
        <w:rPr>
          <w:rFonts w:eastAsia="Times New Roman" w:cs="Sylfaen"/>
        </w:rPr>
        <w:t>ծավալի</w:t>
      </w:r>
      <w:r w:rsidRPr="00933A29">
        <w:rPr>
          <w:rFonts w:eastAsia="Times New Roman" w:cs="Times New Roman"/>
          <w:lang w:val="af-ZA"/>
        </w:rPr>
        <w:t xml:space="preserve"> </w:t>
      </w:r>
      <w:r w:rsidRPr="00933A29">
        <w:rPr>
          <w:rFonts w:eastAsia="Times New Roman" w:cs="Sylfaen"/>
        </w:rPr>
        <w:t>միջին</w:t>
      </w:r>
      <w:r w:rsidRPr="00933A29">
        <w:rPr>
          <w:rFonts w:eastAsia="Times New Roman" w:cs="Times New Roman"/>
          <w:lang w:val="af-ZA"/>
        </w:rPr>
        <w:t xml:space="preserve"> </w:t>
      </w:r>
      <w:r w:rsidRPr="00933A29">
        <w:rPr>
          <w:rFonts w:eastAsia="Times New Roman" w:cs="Sylfaen"/>
        </w:rPr>
        <w:t>տարեկանի</w:t>
      </w:r>
      <w:r w:rsidRPr="00933A29">
        <w:rPr>
          <w:rFonts w:eastAsia="Times New Roman" w:cs="Times New Roman"/>
          <w:lang w:val="af-ZA"/>
        </w:rPr>
        <w:t xml:space="preserve"> </w:t>
      </w:r>
      <w:r w:rsidRPr="00933A29">
        <w:rPr>
          <w:rFonts w:eastAsia="Times New Roman" w:cs="Sylfaen"/>
        </w:rPr>
        <w:t>շուրջ</w:t>
      </w:r>
      <w:r w:rsidRPr="00933A29">
        <w:rPr>
          <w:rFonts w:eastAsia="Times New Roman" w:cs="Times New Roman"/>
          <w:lang w:val="af-ZA"/>
        </w:rPr>
        <w:t xml:space="preserve"> 22</w:t>
      </w:r>
      <w:r>
        <w:rPr>
          <w:rFonts w:eastAsia="Times New Roman" w:cs="Times New Roman"/>
          <w:lang w:val="hy-AM"/>
        </w:rPr>
        <w:t>.</w:t>
      </w:r>
      <w:r w:rsidRPr="0091096B">
        <w:rPr>
          <w:rFonts w:eastAsia="Times New Roman" w:cs="Times New Roman"/>
          <w:lang w:val="af-ZA"/>
        </w:rPr>
        <w:t>5</w:t>
      </w:r>
      <w:r w:rsidRPr="00933A29">
        <w:rPr>
          <w:rFonts w:eastAsia="Times New Roman" w:cs="Times New Roman"/>
          <w:lang w:val="af-ZA"/>
        </w:rPr>
        <w:t>%-</w:t>
      </w:r>
      <w:r w:rsidRPr="00933A29">
        <w:rPr>
          <w:rFonts w:eastAsia="Times New Roman" w:cs="Sylfaen"/>
        </w:rPr>
        <w:t>ը</w:t>
      </w:r>
      <w:r w:rsidRPr="00933A29">
        <w:rPr>
          <w:rFonts w:eastAsia="Times New Roman" w:cs="Times New Roman"/>
          <w:lang w:val="af-ZA"/>
        </w:rPr>
        <w:t xml:space="preserve"> </w:t>
      </w:r>
      <w:r w:rsidRPr="00933A29">
        <w:rPr>
          <w:rFonts w:eastAsia="Times New Roman" w:cs="Sylfaen"/>
        </w:rPr>
        <w:t>կկազմեն</w:t>
      </w:r>
      <w:r w:rsidRPr="00933A29">
        <w:rPr>
          <w:rFonts w:eastAsia="Times New Roman" w:cs="Sylfaen"/>
          <w:lang w:val="af-ZA"/>
        </w:rPr>
        <w:t xml:space="preserve"> </w:t>
      </w:r>
      <w:r w:rsidRPr="00933A29">
        <w:rPr>
          <w:rFonts w:eastAsia="Times New Roman" w:cs="Sylfaen"/>
          <w:b/>
        </w:rPr>
        <w:t>ոչ</w:t>
      </w:r>
      <w:r w:rsidRPr="00933A29">
        <w:rPr>
          <w:rFonts w:eastAsia="Times New Roman" w:cs="Sylfaen"/>
          <w:b/>
          <w:lang w:val="af-ZA"/>
        </w:rPr>
        <w:t xml:space="preserve"> </w:t>
      </w:r>
      <w:r w:rsidRPr="00933A29">
        <w:rPr>
          <w:rFonts w:eastAsia="Times New Roman" w:cs="Sylfaen"/>
          <w:b/>
        </w:rPr>
        <w:t>ֆինանսական</w:t>
      </w:r>
      <w:r w:rsidRPr="00933A29">
        <w:rPr>
          <w:rFonts w:eastAsia="Times New Roman" w:cs="Sylfaen"/>
          <w:b/>
          <w:lang w:val="af-ZA"/>
        </w:rPr>
        <w:t xml:space="preserve"> </w:t>
      </w:r>
      <w:r w:rsidRPr="00933A29">
        <w:rPr>
          <w:rFonts w:eastAsia="Times New Roman" w:cs="Sylfaen"/>
          <w:b/>
        </w:rPr>
        <w:t>ակտիվների</w:t>
      </w:r>
      <w:r w:rsidRPr="00933A29">
        <w:rPr>
          <w:rFonts w:eastAsia="Times New Roman" w:cs="Sylfaen"/>
          <w:b/>
          <w:lang w:val="af-ZA"/>
        </w:rPr>
        <w:t xml:space="preserve"> </w:t>
      </w:r>
      <w:r w:rsidRPr="00933A29">
        <w:rPr>
          <w:rFonts w:eastAsia="Times New Roman" w:cs="Sylfaen"/>
          <w:b/>
        </w:rPr>
        <w:t>գծով</w:t>
      </w:r>
      <w:r w:rsidRPr="00933A29">
        <w:rPr>
          <w:rFonts w:eastAsia="Times New Roman" w:cs="Times New Roman"/>
          <w:b/>
          <w:lang w:val="af-ZA"/>
        </w:rPr>
        <w:t xml:space="preserve"> </w:t>
      </w:r>
      <w:r w:rsidRPr="00933A29">
        <w:rPr>
          <w:rFonts w:eastAsia="Times New Roman" w:cs="Sylfaen"/>
          <w:b/>
        </w:rPr>
        <w:t>ծախսերը</w:t>
      </w:r>
      <w:r w:rsidRPr="00933A29">
        <w:rPr>
          <w:rFonts w:eastAsia="Times New Roman" w:cs="Times New Roman"/>
          <w:lang w:val="af-ZA"/>
        </w:rPr>
        <w:t xml:space="preserve">: </w:t>
      </w:r>
      <w:r w:rsidRPr="007E59A7">
        <w:rPr>
          <w:rFonts w:cs="Sylfaen"/>
          <w:iCs/>
          <w:lang w:val="hy-AM" w:eastAsia="en-GB"/>
        </w:rPr>
        <w:t xml:space="preserve">Միջնաժամկետ հատվածում ոչ ֆինանսական ակտիվների գծով ծախսերի ֆինանսավորման կառուցվածքում արձանագրվում է արտաքին աղբյուրների ծավալի ավելացում: </w:t>
      </w:r>
    </w:p>
    <w:p w14:paraId="78D87E56" w14:textId="77777777" w:rsidR="00B25841" w:rsidRPr="007E59A7" w:rsidRDefault="00B25841" w:rsidP="00B25841">
      <w:pPr>
        <w:tabs>
          <w:tab w:val="left" w:pos="0"/>
        </w:tabs>
        <w:spacing w:before="120" w:after="0" w:line="276" w:lineRule="auto"/>
        <w:ind w:firstLine="0"/>
        <w:rPr>
          <w:rFonts w:cs="Sylfaen"/>
          <w:iCs/>
          <w:lang w:val="hy-AM" w:eastAsia="en-GB"/>
        </w:rPr>
      </w:pPr>
      <w:r w:rsidRPr="007E59A7">
        <w:rPr>
          <w:rFonts w:cs="Sylfaen"/>
          <w:iCs/>
          <w:lang w:val="hy-AM" w:eastAsia="en-GB"/>
        </w:rPr>
        <w:br w:type="page"/>
      </w:r>
    </w:p>
    <w:p w14:paraId="247392AB" w14:textId="77777777" w:rsidR="00B25841" w:rsidRPr="0031357F" w:rsidRDefault="00B25841" w:rsidP="00B25841">
      <w:pPr>
        <w:tabs>
          <w:tab w:val="left" w:pos="0"/>
        </w:tabs>
        <w:spacing w:before="120" w:after="0" w:line="276" w:lineRule="auto"/>
        <w:ind w:firstLine="0"/>
        <w:jc w:val="left"/>
        <w:rPr>
          <w:rFonts w:eastAsia="Times New Roman" w:cs="Sylfaen"/>
          <w:bCs/>
          <w:lang w:val="hy-AM"/>
        </w:rPr>
      </w:pPr>
      <w:r w:rsidRPr="0031357F">
        <w:rPr>
          <w:rFonts w:eastAsia="Calibri" w:cs="Times New Roman"/>
          <w:b/>
          <w:iCs/>
          <w:color w:val="000000"/>
          <w:lang w:val="hy-AM"/>
        </w:rPr>
        <w:lastRenderedPageBreak/>
        <w:t>Գծապատկեր 4.3.3</w:t>
      </w:r>
      <w:r w:rsidRPr="0031357F">
        <w:rPr>
          <w:rFonts w:ascii="Cambria Math" w:eastAsia="Calibri" w:hAnsi="Cambria Math" w:cs="Times New Roman"/>
          <w:b/>
          <w:iCs/>
          <w:color w:val="000000"/>
          <w:lang w:val="hy-AM"/>
        </w:rPr>
        <w:t xml:space="preserve">․ </w:t>
      </w:r>
      <w:r>
        <w:rPr>
          <w:rFonts w:eastAsia="Times New Roman" w:cs="Sylfaen"/>
          <w:lang w:val="hy-AM"/>
        </w:rPr>
        <w:t>2021</w:t>
      </w:r>
      <w:r w:rsidRPr="0031357F">
        <w:rPr>
          <w:rFonts w:eastAsia="Times New Roman" w:cs="Sylfaen"/>
          <w:lang w:val="hy-AM"/>
        </w:rPr>
        <w:t>-202</w:t>
      </w:r>
      <w:r>
        <w:rPr>
          <w:rFonts w:eastAsia="Times New Roman" w:cs="Sylfaen"/>
          <w:lang w:val="hy-AM"/>
        </w:rPr>
        <w:t>7</w:t>
      </w:r>
      <w:r w:rsidRPr="0031357F">
        <w:rPr>
          <w:rFonts w:eastAsia="Times New Roman" w:cs="Sylfaen"/>
          <w:lang w:val="hy-AM"/>
        </w:rPr>
        <w:t>թթ</w:t>
      </w:r>
      <w:r w:rsidRPr="0031357F">
        <w:rPr>
          <w:rFonts w:ascii="Cambria Math" w:eastAsia="Times New Roman" w:hAnsi="Cambria Math" w:cs="Sylfaen"/>
          <w:lang w:val="hy-AM"/>
        </w:rPr>
        <w:t xml:space="preserve">․ </w:t>
      </w:r>
      <w:r w:rsidRPr="0031357F">
        <w:rPr>
          <w:rFonts w:eastAsia="Times New Roman" w:cs="Sylfaen"/>
          <w:lang w:val="hy-AM"/>
        </w:rPr>
        <w:t xml:space="preserve">ոչ ֆինանսական ակտիվների գծով ծախսերի ֆինանսավորման կառուցվածքը, </w:t>
      </w:r>
      <w:r w:rsidRPr="0031357F">
        <w:rPr>
          <w:rFonts w:eastAsia="Times New Roman" w:cs="Sylfaen"/>
          <w:bCs/>
          <w:lang w:val="hy-AM"/>
        </w:rPr>
        <w:t>մլրդ դրամ</w:t>
      </w:r>
    </w:p>
    <w:p w14:paraId="00CE737B" w14:textId="77777777" w:rsidR="00B25841" w:rsidRPr="0031357F" w:rsidRDefault="00B25841" w:rsidP="00B25841">
      <w:pPr>
        <w:tabs>
          <w:tab w:val="left" w:pos="0"/>
        </w:tabs>
        <w:spacing w:before="120" w:after="0" w:line="276" w:lineRule="auto"/>
        <w:ind w:firstLine="0"/>
        <w:jc w:val="center"/>
        <w:rPr>
          <w:rFonts w:eastAsia="Times New Roman" w:cs="Sylfaen"/>
          <w:sz w:val="20"/>
          <w:szCs w:val="20"/>
          <w:lang w:val="hy-AM"/>
        </w:rPr>
      </w:pPr>
    </w:p>
    <w:p w14:paraId="0B30E27F" w14:textId="77777777" w:rsidR="00B25841" w:rsidRPr="00933A29" w:rsidRDefault="00B25841" w:rsidP="00B25841">
      <w:pPr>
        <w:tabs>
          <w:tab w:val="left" w:pos="0"/>
        </w:tabs>
        <w:spacing w:before="120" w:after="0" w:line="276" w:lineRule="auto"/>
        <w:ind w:firstLine="0"/>
        <w:rPr>
          <w:rFonts w:eastAsia="Times New Roman" w:cs="Times New Roman"/>
          <w:lang w:val="hy-AM"/>
        </w:rPr>
      </w:pPr>
      <w:r w:rsidRPr="00933A29">
        <w:rPr>
          <w:rFonts w:eastAsia="Times New Roman" w:cs="Times New Roman"/>
          <w:noProof/>
        </w:rPr>
        <w:drawing>
          <wp:inline distT="0" distB="0" distL="0" distR="0" wp14:anchorId="504F8904" wp14:editId="16482F4E">
            <wp:extent cx="6286500" cy="4314825"/>
            <wp:effectExtent l="0" t="0" r="0" b="952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D6DC713" w14:textId="77777777" w:rsidR="00B25841" w:rsidRPr="00933A29" w:rsidRDefault="00B25841" w:rsidP="00B25841">
      <w:pPr>
        <w:tabs>
          <w:tab w:val="left" w:pos="0"/>
        </w:tabs>
        <w:spacing w:before="120" w:after="0" w:line="276" w:lineRule="auto"/>
        <w:ind w:firstLine="0"/>
        <w:rPr>
          <w:rFonts w:eastAsia="Times New Roman" w:cs="Times New Roman"/>
          <w:lang w:val="hy-AM"/>
        </w:rPr>
      </w:pPr>
    </w:p>
    <w:p w14:paraId="277B1E4D" w14:textId="77777777" w:rsidR="00B25841" w:rsidRPr="00933A29" w:rsidRDefault="00B25841" w:rsidP="00B25841">
      <w:pPr>
        <w:tabs>
          <w:tab w:val="left" w:pos="0"/>
        </w:tabs>
        <w:spacing w:before="120" w:after="0" w:line="276" w:lineRule="auto"/>
        <w:ind w:firstLine="0"/>
        <w:rPr>
          <w:rFonts w:eastAsia="Times New Roman" w:cs="Times New Roman"/>
          <w:lang w:val="hy-AM"/>
        </w:rPr>
      </w:pPr>
      <w:r w:rsidRPr="00933A29">
        <w:rPr>
          <w:rFonts w:eastAsia="Times New Roman" w:cs="Times New Roman"/>
          <w:lang w:val="hy-AM"/>
        </w:rPr>
        <w:t xml:space="preserve">Ընդ որում միջնաժամկետ հատվածում </w:t>
      </w:r>
      <w:r w:rsidRPr="00933A29">
        <w:rPr>
          <w:rFonts w:eastAsia="Times New Roman" w:cs="Sylfaen"/>
          <w:lang w:val="hy-AM"/>
        </w:rPr>
        <w:t>ընդհանուր</w:t>
      </w:r>
      <w:r w:rsidRPr="00933A29">
        <w:rPr>
          <w:rFonts w:eastAsia="Times New Roman" w:cs="Times New Roman"/>
          <w:lang w:val="hy-AM"/>
        </w:rPr>
        <w:t xml:space="preserve"> </w:t>
      </w:r>
      <w:r w:rsidRPr="00933A29">
        <w:rPr>
          <w:rFonts w:eastAsia="Times New Roman" w:cs="Sylfaen"/>
          <w:lang w:val="hy-AM"/>
        </w:rPr>
        <w:t>ծավալի կանխատեսվող</w:t>
      </w:r>
      <w:r>
        <w:rPr>
          <w:rFonts w:eastAsia="Times New Roman" w:cs="Sylfaen"/>
          <w:lang w:val="hy-AM"/>
        </w:rPr>
        <w:t xml:space="preserve"> 2,562.5</w:t>
      </w:r>
      <w:r w:rsidRPr="00933A29">
        <w:rPr>
          <w:rFonts w:eastAsia="Times New Roman" w:cs="Times New Roman"/>
          <w:lang w:val="hy-AM"/>
        </w:rPr>
        <w:t xml:space="preserve"> </w:t>
      </w:r>
      <w:r w:rsidRPr="00933A29">
        <w:rPr>
          <w:rFonts w:eastAsia="Times New Roman" w:cs="Sylfaen"/>
          <w:lang w:val="hy-AM"/>
        </w:rPr>
        <w:t>մլրդ</w:t>
      </w:r>
      <w:r w:rsidRPr="00933A29">
        <w:rPr>
          <w:rFonts w:eastAsia="Times New Roman" w:cs="Times New Roman"/>
          <w:lang w:val="hy-AM"/>
        </w:rPr>
        <w:t xml:space="preserve"> </w:t>
      </w:r>
      <w:r w:rsidRPr="00933A29">
        <w:rPr>
          <w:rFonts w:eastAsia="Times New Roman" w:cs="Sylfaen"/>
          <w:lang w:val="hy-AM"/>
        </w:rPr>
        <w:t>դրամ</w:t>
      </w:r>
      <w:r w:rsidRPr="00933A29">
        <w:rPr>
          <w:rFonts w:eastAsia="Times New Roman" w:cs="Times New Roman"/>
          <w:lang w:val="hy-AM"/>
        </w:rPr>
        <w:t xml:space="preserve"> </w:t>
      </w:r>
      <w:r w:rsidRPr="00933A29">
        <w:rPr>
          <w:rFonts w:eastAsia="Times New Roman" w:cs="Sylfaen"/>
          <w:lang w:val="hy-AM"/>
        </w:rPr>
        <w:t>ոչ</w:t>
      </w:r>
      <w:r w:rsidRPr="00933A29">
        <w:rPr>
          <w:rFonts w:eastAsia="Times New Roman" w:cs="Times New Roman"/>
          <w:lang w:val="hy-AM"/>
        </w:rPr>
        <w:t xml:space="preserve"> </w:t>
      </w:r>
      <w:r w:rsidRPr="00933A29">
        <w:rPr>
          <w:rFonts w:eastAsia="Times New Roman" w:cs="Sylfaen"/>
          <w:lang w:val="hy-AM"/>
        </w:rPr>
        <w:t>ֆինանսական</w:t>
      </w:r>
      <w:r w:rsidRPr="00933A29">
        <w:rPr>
          <w:rFonts w:eastAsia="Times New Roman" w:cs="Times New Roman"/>
          <w:lang w:val="hy-AM"/>
        </w:rPr>
        <w:t xml:space="preserve"> </w:t>
      </w:r>
      <w:r w:rsidRPr="00933A29">
        <w:rPr>
          <w:rFonts w:eastAsia="Times New Roman" w:cs="Sylfaen"/>
          <w:lang w:val="hy-AM"/>
        </w:rPr>
        <w:t>ակտիվների</w:t>
      </w:r>
      <w:r w:rsidRPr="00933A29">
        <w:rPr>
          <w:rFonts w:eastAsia="Times New Roman" w:cs="Times New Roman"/>
          <w:lang w:val="hy-AM"/>
        </w:rPr>
        <w:t xml:space="preserve"> </w:t>
      </w:r>
      <w:r w:rsidRPr="00933A29">
        <w:rPr>
          <w:rFonts w:eastAsia="Times New Roman" w:cs="Sylfaen"/>
          <w:lang w:val="hy-AM"/>
        </w:rPr>
        <w:t>գծով</w:t>
      </w:r>
      <w:r w:rsidRPr="00933A29">
        <w:rPr>
          <w:rFonts w:eastAsia="Times New Roman" w:cs="Times New Roman"/>
          <w:lang w:val="hy-AM"/>
        </w:rPr>
        <w:t xml:space="preserve"> </w:t>
      </w:r>
      <w:r w:rsidRPr="00933A29">
        <w:rPr>
          <w:rFonts w:eastAsia="Times New Roman" w:cs="Sylfaen"/>
          <w:lang w:val="hy-AM"/>
        </w:rPr>
        <w:t>ծախսերի</w:t>
      </w:r>
      <w:r w:rsidRPr="00933A29">
        <w:rPr>
          <w:rFonts w:eastAsia="Times New Roman" w:cs="Times New Roman"/>
          <w:lang w:val="hy-AM"/>
        </w:rPr>
        <w:t xml:space="preserve"> </w:t>
      </w:r>
      <w:r w:rsidRPr="00933A29">
        <w:rPr>
          <w:rFonts w:eastAsia="Times New Roman" w:cs="Sylfaen"/>
          <w:lang w:val="hy-AM"/>
        </w:rPr>
        <w:t xml:space="preserve">շուրջ </w:t>
      </w:r>
      <w:r>
        <w:rPr>
          <w:rFonts w:eastAsia="Times New Roman" w:cs="Sylfaen"/>
          <w:lang w:val="hy-AM"/>
        </w:rPr>
        <w:t>33.7</w:t>
      </w:r>
      <w:r w:rsidRPr="00933A29">
        <w:rPr>
          <w:rFonts w:eastAsia="Times New Roman" w:cs="Times New Roman"/>
          <w:lang w:val="hy-AM"/>
        </w:rPr>
        <w:t>%-</w:t>
      </w:r>
      <w:r w:rsidRPr="00933A29">
        <w:rPr>
          <w:rFonts w:eastAsia="Times New Roman" w:cs="Sylfaen"/>
          <w:lang w:val="hy-AM"/>
        </w:rPr>
        <w:t>ը</w:t>
      </w:r>
      <w:r w:rsidRPr="00933A29">
        <w:rPr>
          <w:rFonts w:eastAsia="Times New Roman" w:cs="Times New Roman"/>
          <w:lang w:val="hy-AM"/>
        </w:rPr>
        <w:t xml:space="preserve"> (</w:t>
      </w:r>
      <w:r>
        <w:rPr>
          <w:rFonts w:eastAsia="Times New Roman" w:cs="Times New Roman"/>
          <w:lang w:val="hy-AM"/>
        </w:rPr>
        <w:t>863.0</w:t>
      </w:r>
      <w:r w:rsidRPr="00933A29">
        <w:rPr>
          <w:rFonts w:eastAsia="Times New Roman" w:cs="Times New Roman"/>
          <w:lang w:val="hy-AM"/>
        </w:rPr>
        <w:t xml:space="preserve"> </w:t>
      </w:r>
      <w:r w:rsidRPr="00933A29">
        <w:rPr>
          <w:rFonts w:eastAsia="Times New Roman" w:cs="Sylfaen"/>
          <w:lang w:val="hy-AM"/>
        </w:rPr>
        <w:t>մլրդ</w:t>
      </w:r>
      <w:r w:rsidRPr="00933A29">
        <w:rPr>
          <w:rFonts w:eastAsia="Times New Roman" w:cs="Times New Roman"/>
          <w:lang w:val="hy-AM"/>
        </w:rPr>
        <w:t xml:space="preserve"> </w:t>
      </w:r>
      <w:r w:rsidRPr="00933A29">
        <w:rPr>
          <w:rFonts w:eastAsia="Times New Roman" w:cs="Sylfaen"/>
          <w:lang w:val="hy-AM"/>
        </w:rPr>
        <w:t>դրամ</w:t>
      </w:r>
      <w:r w:rsidRPr="00933A29">
        <w:rPr>
          <w:rFonts w:eastAsia="Times New Roman" w:cs="Times New Roman"/>
          <w:lang w:val="hy-AM"/>
        </w:rPr>
        <w:t xml:space="preserve">) նախատեսվում է </w:t>
      </w:r>
      <w:r w:rsidRPr="00933A29">
        <w:rPr>
          <w:rFonts w:eastAsia="Times New Roman" w:cs="Sylfaen"/>
          <w:lang w:val="hy-AM"/>
        </w:rPr>
        <w:t>ֆինանսավորել</w:t>
      </w:r>
      <w:r w:rsidRPr="00933A29">
        <w:rPr>
          <w:rFonts w:eastAsia="Times New Roman" w:cs="Times New Roman"/>
          <w:lang w:val="hy-AM"/>
        </w:rPr>
        <w:t xml:space="preserve"> </w:t>
      </w:r>
      <w:r w:rsidRPr="00933A29">
        <w:rPr>
          <w:rFonts w:eastAsia="Times New Roman" w:cs="Sylfaen"/>
          <w:lang w:val="hy-AM"/>
        </w:rPr>
        <w:t>արտաքին</w:t>
      </w:r>
      <w:r w:rsidRPr="00933A29">
        <w:rPr>
          <w:rFonts w:eastAsia="Times New Roman" w:cs="Times New Roman"/>
          <w:lang w:val="hy-AM"/>
        </w:rPr>
        <w:t xml:space="preserve"> </w:t>
      </w:r>
      <w:r w:rsidRPr="00933A29">
        <w:rPr>
          <w:rFonts w:eastAsia="Times New Roman" w:cs="Sylfaen"/>
          <w:lang w:val="hy-AM"/>
        </w:rPr>
        <w:t xml:space="preserve">աղբյուրների, իսկ </w:t>
      </w:r>
      <w:r>
        <w:rPr>
          <w:rFonts w:eastAsia="Times New Roman" w:cs="Sylfaen"/>
          <w:lang w:val="hy-AM"/>
        </w:rPr>
        <w:t>66.3</w:t>
      </w:r>
      <w:r w:rsidRPr="00933A29">
        <w:rPr>
          <w:rFonts w:eastAsia="Times New Roman" w:cs="Times New Roman"/>
          <w:lang w:val="hy-AM"/>
        </w:rPr>
        <w:t>%-</w:t>
      </w:r>
      <w:r w:rsidRPr="00933A29">
        <w:rPr>
          <w:rFonts w:eastAsia="Times New Roman" w:cs="Sylfaen"/>
          <w:lang w:val="hy-AM"/>
        </w:rPr>
        <w:t>ը</w:t>
      </w:r>
      <w:r w:rsidRPr="00933A29">
        <w:rPr>
          <w:rFonts w:eastAsia="Times New Roman" w:cs="Times New Roman"/>
          <w:lang w:val="hy-AM"/>
        </w:rPr>
        <w:t xml:space="preserve"> (1,</w:t>
      </w:r>
      <w:r>
        <w:rPr>
          <w:rFonts w:eastAsia="Times New Roman" w:cs="Times New Roman"/>
          <w:lang w:val="hy-AM"/>
        </w:rPr>
        <w:t>699</w:t>
      </w:r>
      <w:r w:rsidRPr="00933A29">
        <w:rPr>
          <w:rFonts w:eastAsia="Times New Roman" w:cs="Times New Roman"/>
          <w:lang w:val="hy-AM"/>
        </w:rPr>
        <w:t>.</w:t>
      </w:r>
      <w:r>
        <w:rPr>
          <w:rFonts w:eastAsia="Times New Roman" w:cs="Times New Roman"/>
          <w:lang w:val="hy-AM"/>
        </w:rPr>
        <w:t>5</w:t>
      </w:r>
      <w:r w:rsidRPr="00933A29">
        <w:rPr>
          <w:rFonts w:eastAsia="Times New Roman" w:cs="Times New Roman"/>
          <w:lang w:val="hy-AM"/>
        </w:rPr>
        <w:t xml:space="preserve"> </w:t>
      </w:r>
      <w:r w:rsidRPr="00933A29">
        <w:rPr>
          <w:rFonts w:eastAsia="Times New Roman" w:cs="Sylfaen"/>
          <w:lang w:val="hy-AM"/>
        </w:rPr>
        <w:t>մլրդ</w:t>
      </w:r>
      <w:r w:rsidRPr="00933A29">
        <w:rPr>
          <w:rFonts w:eastAsia="Times New Roman" w:cs="Times New Roman"/>
          <w:lang w:val="hy-AM"/>
        </w:rPr>
        <w:t xml:space="preserve"> </w:t>
      </w:r>
      <w:r w:rsidRPr="00933A29">
        <w:rPr>
          <w:rFonts w:eastAsia="Times New Roman" w:cs="Sylfaen"/>
          <w:lang w:val="hy-AM"/>
        </w:rPr>
        <w:t>դրամ</w:t>
      </w:r>
      <w:r w:rsidRPr="00933A29">
        <w:rPr>
          <w:rFonts w:eastAsia="Times New Roman" w:cs="Times New Roman"/>
          <w:lang w:val="hy-AM"/>
        </w:rPr>
        <w:t xml:space="preserve">)՝ ներքին աղբյուրների  </w:t>
      </w:r>
      <w:r w:rsidRPr="00933A29">
        <w:rPr>
          <w:rFonts w:eastAsia="Times New Roman" w:cs="Sylfaen"/>
          <w:lang w:val="hy-AM"/>
        </w:rPr>
        <w:t>հաշվին</w:t>
      </w:r>
      <w:r w:rsidRPr="00933A29">
        <w:rPr>
          <w:rFonts w:eastAsia="Times New Roman" w:cs="Times New Roman"/>
          <w:lang w:val="hy-AM"/>
        </w:rPr>
        <w:t xml:space="preserve">: </w:t>
      </w:r>
      <w:r w:rsidRPr="00933A29">
        <w:rPr>
          <w:rFonts w:eastAsia="Times New Roman" w:cs="Sylfaen"/>
          <w:lang w:val="hy-AM"/>
        </w:rPr>
        <w:t>Ոչ</w:t>
      </w:r>
      <w:r w:rsidRPr="00933A29">
        <w:rPr>
          <w:rFonts w:eastAsia="Times New Roman" w:cs="Times New Roman"/>
          <w:lang w:val="hy-AM"/>
        </w:rPr>
        <w:t xml:space="preserve"> </w:t>
      </w:r>
      <w:r w:rsidRPr="00933A29">
        <w:rPr>
          <w:rFonts w:eastAsia="Times New Roman" w:cs="Sylfaen"/>
          <w:lang w:val="hy-AM"/>
        </w:rPr>
        <w:t>ֆինանսական</w:t>
      </w:r>
      <w:r w:rsidRPr="00933A29">
        <w:rPr>
          <w:rFonts w:eastAsia="Times New Roman" w:cs="Times New Roman"/>
          <w:lang w:val="hy-AM"/>
        </w:rPr>
        <w:t xml:space="preserve"> </w:t>
      </w:r>
      <w:r w:rsidRPr="00933A29">
        <w:rPr>
          <w:rFonts w:eastAsia="Times New Roman" w:cs="Sylfaen"/>
          <w:lang w:val="hy-AM"/>
        </w:rPr>
        <w:t>ակտիվների</w:t>
      </w:r>
      <w:r w:rsidRPr="00933A29">
        <w:rPr>
          <w:rFonts w:eastAsia="Times New Roman" w:cs="Times New Roman"/>
          <w:lang w:val="hy-AM"/>
        </w:rPr>
        <w:t xml:space="preserve"> </w:t>
      </w:r>
      <w:r w:rsidRPr="00933A29">
        <w:rPr>
          <w:rFonts w:eastAsia="Times New Roman" w:cs="Sylfaen"/>
          <w:lang w:val="hy-AM"/>
        </w:rPr>
        <w:t>գծով</w:t>
      </w:r>
      <w:r w:rsidRPr="00933A29">
        <w:rPr>
          <w:rFonts w:eastAsia="Times New Roman" w:cs="Times New Roman"/>
          <w:lang w:val="hy-AM"/>
        </w:rPr>
        <w:t xml:space="preserve"> </w:t>
      </w:r>
      <w:r w:rsidRPr="00933A29">
        <w:rPr>
          <w:rFonts w:eastAsia="Times New Roman" w:cs="Sylfaen"/>
          <w:lang w:val="hy-AM"/>
        </w:rPr>
        <w:t>ծախսերի</w:t>
      </w:r>
      <w:r w:rsidRPr="00933A29">
        <w:rPr>
          <w:rFonts w:eastAsia="Times New Roman" w:cs="Times New Roman"/>
          <w:lang w:val="hy-AM"/>
        </w:rPr>
        <w:t xml:space="preserve"> </w:t>
      </w:r>
      <w:r w:rsidRPr="00933A29">
        <w:rPr>
          <w:rFonts w:eastAsia="Times New Roman" w:cs="Sylfaen"/>
          <w:lang w:val="hy-AM"/>
        </w:rPr>
        <w:t>իրականացման</w:t>
      </w:r>
      <w:r w:rsidRPr="00933A29">
        <w:rPr>
          <w:rFonts w:eastAsia="Times New Roman" w:cs="Times New Roman"/>
          <w:lang w:val="hy-AM"/>
        </w:rPr>
        <w:t xml:space="preserve"> </w:t>
      </w:r>
      <w:r w:rsidRPr="00933A29">
        <w:rPr>
          <w:rFonts w:eastAsia="Times New Roman" w:cs="Sylfaen"/>
          <w:lang w:val="hy-AM"/>
        </w:rPr>
        <w:t>գերակայությունները</w:t>
      </w:r>
      <w:r w:rsidRPr="00933A29">
        <w:rPr>
          <w:rFonts w:eastAsia="Times New Roman" w:cs="Times New Roman"/>
          <w:lang w:val="hy-AM"/>
        </w:rPr>
        <w:t xml:space="preserve"> հանդիսանալու են ինչպես ենթակառուցվածքային, այնպես էլ սոցիալական</w:t>
      </w:r>
      <w:r>
        <w:rPr>
          <w:rFonts w:eastAsia="Times New Roman" w:cs="Times New Roman"/>
          <w:lang w:val="hy-AM"/>
        </w:rPr>
        <w:t xml:space="preserve"> և անվտանգության</w:t>
      </w:r>
      <w:r w:rsidRPr="00933A29">
        <w:rPr>
          <w:rFonts w:eastAsia="Times New Roman" w:cs="Times New Roman"/>
          <w:lang w:val="hy-AM"/>
        </w:rPr>
        <w:t xml:space="preserve"> ոլորտներում ներդրումները</w:t>
      </w:r>
      <w:r w:rsidRPr="00933A29">
        <w:rPr>
          <w:rFonts w:eastAsia="Times New Roman" w:cs="Sylfaen"/>
          <w:lang w:val="hy-AM"/>
        </w:rPr>
        <w:t>:</w:t>
      </w:r>
    </w:p>
    <w:p w14:paraId="39462B8B" w14:textId="77777777" w:rsidR="00B25841" w:rsidRDefault="00B25841" w:rsidP="00B25841">
      <w:pPr>
        <w:tabs>
          <w:tab w:val="left" w:pos="0"/>
        </w:tabs>
        <w:spacing w:before="120" w:after="0" w:line="276" w:lineRule="auto"/>
        <w:ind w:firstLine="0"/>
        <w:rPr>
          <w:rFonts w:eastAsia="Times New Roman" w:cs="Sylfaen"/>
          <w:sz w:val="20"/>
          <w:szCs w:val="20"/>
          <w:lang w:val="hy-AM"/>
        </w:rPr>
      </w:pPr>
      <w:r>
        <w:rPr>
          <w:rFonts w:eastAsia="Times New Roman" w:cs="Sylfaen"/>
          <w:sz w:val="20"/>
          <w:szCs w:val="20"/>
          <w:lang w:val="hy-AM"/>
        </w:rPr>
        <w:br w:type="page"/>
      </w:r>
    </w:p>
    <w:p w14:paraId="5401367B" w14:textId="77777777" w:rsidR="00B25841" w:rsidRDefault="00B25841" w:rsidP="00B25841">
      <w:pPr>
        <w:tabs>
          <w:tab w:val="left" w:pos="0"/>
        </w:tabs>
        <w:spacing w:before="120" w:after="0" w:line="276" w:lineRule="auto"/>
        <w:ind w:firstLine="0"/>
        <w:rPr>
          <w:rFonts w:eastAsia="Times New Roman" w:cs="Times New Roman"/>
          <w:lang w:val="hy-AM"/>
        </w:rPr>
      </w:pPr>
      <w:r w:rsidRPr="0031357F">
        <w:rPr>
          <w:rFonts w:eastAsia="Times New Roman" w:cs="Sylfaen"/>
          <w:b/>
          <w:lang w:val="hy-AM"/>
        </w:rPr>
        <w:lastRenderedPageBreak/>
        <w:t>Աղյուսակ</w:t>
      </w:r>
      <w:r w:rsidRPr="0031357F">
        <w:rPr>
          <w:rFonts w:eastAsia="Times New Roman" w:cs="Times New Roman"/>
          <w:b/>
          <w:lang w:val="af-ZA"/>
        </w:rPr>
        <w:t xml:space="preserve"> 4.</w:t>
      </w:r>
      <w:r w:rsidRPr="0031357F">
        <w:rPr>
          <w:rFonts w:eastAsia="Times New Roman" w:cs="Times New Roman"/>
          <w:b/>
          <w:lang w:val="hy-AM"/>
        </w:rPr>
        <w:t>3.3</w:t>
      </w:r>
      <w:r>
        <w:rPr>
          <w:rFonts w:eastAsia="Times New Roman" w:cs="Times New Roman"/>
          <w:lang w:val="af-ZA"/>
        </w:rPr>
        <w:t xml:space="preserve"> 2021-2027</w:t>
      </w:r>
      <w:r w:rsidRPr="0031357F">
        <w:rPr>
          <w:rFonts w:eastAsia="Times New Roman" w:cs="Times New Roman"/>
          <w:lang w:val="it-IT"/>
        </w:rPr>
        <w:t>թթ</w:t>
      </w:r>
      <w:r>
        <w:rPr>
          <w:rFonts w:ascii="Cambria Math" w:eastAsia="Times New Roman" w:hAnsi="Cambria Math" w:cs="Times New Roman"/>
          <w:lang w:val="hy-AM"/>
        </w:rPr>
        <w:t>․</w:t>
      </w:r>
      <w:r w:rsidRPr="0031357F">
        <w:rPr>
          <w:rFonts w:eastAsia="Times New Roman" w:cs="Times New Roman"/>
          <w:lang w:val="af-ZA"/>
        </w:rPr>
        <w:t xml:space="preserve"> </w:t>
      </w:r>
      <w:r w:rsidRPr="0031357F">
        <w:rPr>
          <w:rFonts w:eastAsia="Times New Roman" w:cs="Sylfaen"/>
          <w:lang w:val="hy-AM"/>
        </w:rPr>
        <w:t>ոչ</w:t>
      </w:r>
      <w:r w:rsidRPr="0031357F">
        <w:rPr>
          <w:rFonts w:eastAsia="Times New Roman" w:cs="Times New Roman"/>
          <w:lang w:val="hy-AM"/>
        </w:rPr>
        <w:t xml:space="preserve"> </w:t>
      </w:r>
      <w:r w:rsidRPr="0031357F">
        <w:rPr>
          <w:rFonts w:eastAsia="Times New Roman" w:cs="Sylfaen"/>
          <w:lang w:val="hy-AM"/>
        </w:rPr>
        <w:t>ֆինանսական</w:t>
      </w:r>
      <w:r w:rsidRPr="0031357F">
        <w:rPr>
          <w:rFonts w:eastAsia="Times New Roman" w:cs="Times New Roman"/>
          <w:lang w:val="hy-AM"/>
        </w:rPr>
        <w:t xml:space="preserve"> </w:t>
      </w:r>
      <w:r w:rsidRPr="0031357F">
        <w:rPr>
          <w:rFonts w:eastAsia="Times New Roman" w:cs="Sylfaen"/>
          <w:lang w:val="hy-AM"/>
        </w:rPr>
        <w:t>ակտիվ</w:t>
      </w:r>
      <w:r w:rsidRPr="0031357F">
        <w:rPr>
          <w:rFonts w:eastAsia="Times New Roman" w:cs="Sylfaen"/>
          <w:lang w:val="hy-AM"/>
        </w:rPr>
        <w:softHyphen/>
        <w:t>ների</w:t>
      </w:r>
      <w:r w:rsidRPr="0031357F">
        <w:rPr>
          <w:rFonts w:eastAsia="Times New Roman" w:cs="Times New Roman"/>
          <w:lang w:val="hy-AM"/>
        </w:rPr>
        <w:t xml:space="preserve"> </w:t>
      </w:r>
      <w:r w:rsidRPr="0031357F">
        <w:rPr>
          <w:rFonts w:eastAsia="Times New Roman" w:cs="Sylfaen"/>
          <w:lang w:val="hy-AM"/>
        </w:rPr>
        <w:t>գծով</w:t>
      </w:r>
      <w:r w:rsidRPr="0031357F">
        <w:rPr>
          <w:rFonts w:eastAsia="Times New Roman" w:cs="Times New Roman"/>
          <w:lang w:val="hy-AM"/>
        </w:rPr>
        <w:t xml:space="preserve"> </w:t>
      </w:r>
      <w:r w:rsidRPr="0031357F">
        <w:rPr>
          <w:rFonts w:eastAsia="Times New Roman" w:cs="Sylfaen"/>
          <w:lang w:val="hy-AM"/>
        </w:rPr>
        <w:t>ծախսերի</w:t>
      </w:r>
      <w:r w:rsidRPr="0031357F">
        <w:rPr>
          <w:rFonts w:eastAsia="Times New Roman" w:cs="Times New Roman"/>
          <w:lang w:val="hy-AM"/>
        </w:rPr>
        <w:t xml:space="preserve"> ֆինանսավորման կառուցվածը ըստ արտաքին և ներքին աղբյուրների, մլրդ դրամ</w:t>
      </w:r>
    </w:p>
    <w:p w14:paraId="4D93F55C" w14:textId="77777777" w:rsidR="00B25841" w:rsidRDefault="00B25841" w:rsidP="00B25841">
      <w:pPr>
        <w:tabs>
          <w:tab w:val="left" w:pos="0"/>
        </w:tabs>
        <w:spacing w:before="120" w:after="0" w:line="276" w:lineRule="auto"/>
        <w:ind w:firstLine="0"/>
        <w:rPr>
          <w:rFonts w:eastAsia="Times New Roman" w:cs="Times New Roman"/>
          <w:lang w:val="hy-AM"/>
        </w:rPr>
      </w:pPr>
    </w:p>
    <w:tbl>
      <w:tblPr>
        <w:tblW w:w="9820" w:type="dxa"/>
        <w:tblInd w:w="-10" w:type="dxa"/>
        <w:tblBorders>
          <w:top w:val="single" w:sz="4" w:space="0" w:color="auto"/>
          <w:bottom w:val="single" w:sz="4" w:space="0" w:color="auto"/>
          <w:insideH w:val="single" w:sz="4" w:space="0" w:color="auto"/>
        </w:tblBorders>
        <w:tblLook w:val="04A0" w:firstRow="1" w:lastRow="0" w:firstColumn="1" w:lastColumn="0" w:noHBand="0" w:noVBand="1"/>
      </w:tblPr>
      <w:tblGrid>
        <w:gridCol w:w="2321"/>
        <w:gridCol w:w="842"/>
        <w:gridCol w:w="877"/>
        <w:gridCol w:w="895"/>
        <w:gridCol w:w="854"/>
        <w:gridCol w:w="1327"/>
        <w:gridCol w:w="1372"/>
        <w:gridCol w:w="1332"/>
      </w:tblGrid>
      <w:tr w:rsidR="00B25841" w:rsidRPr="00802308" w14:paraId="4030D663" w14:textId="77777777" w:rsidTr="00802308">
        <w:trPr>
          <w:trHeight w:val="304"/>
        </w:trPr>
        <w:tc>
          <w:tcPr>
            <w:tcW w:w="2440" w:type="dxa"/>
            <w:shd w:val="clear" w:color="auto" w:fill="auto"/>
            <w:vAlign w:val="center"/>
            <w:hideMark/>
          </w:tcPr>
          <w:p w14:paraId="40389ABF" w14:textId="77777777" w:rsidR="00B25841" w:rsidRPr="00802308" w:rsidRDefault="00B25841" w:rsidP="00802308">
            <w:pPr>
              <w:spacing w:before="0" w:line="240" w:lineRule="auto"/>
              <w:ind w:firstLine="0"/>
              <w:jc w:val="left"/>
              <w:rPr>
                <w:b/>
                <w:bCs/>
                <w:color w:val="000000"/>
                <w:sz w:val="20"/>
                <w:szCs w:val="20"/>
              </w:rPr>
            </w:pPr>
            <w:r w:rsidRPr="00802308">
              <w:rPr>
                <w:bCs/>
                <w:i/>
                <w:color w:val="5B9BD5"/>
                <w:sz w:val="20"/>
                <w:szCs w:val="20"/>
                <w:lang w:val="hy-AM"/>
              </w:rPr>
              <w:br w:type="page"/>
            </w:r>
            <w:r w:rsidRPr="00802308">
              <w:rPr>
                <w:bCs/>
                <w:color w:val="000000"/>
                <w:sz w:val="20"/>
                <w:szCs w:val="20"/>
              </w:rPr>
              <w:t>Ցուցանիշներ</w:t>
            </w:r>
          </w:p>
        </w:tc>
        <w:tc>
          <w:tcPr>
            <w:tcW w:w="664" w:type="dxa"/>
            <w:shd w:val="clear" w:color="auto" w:fill="auto"/>
            <w:vAlign w:val="center"/>
            <w:hideMark/>
          </w:tcPr>
          <w:p w14:paraId="5695606F" w14:textId="77777777" w:rsidR="00B25841" w:rsidRPr="00802308" w:rsidRDefault="00B25841" w:rsidP="00802308">
            <w:pPr>
              <w:spacing w:before="0" w:line="240" w:lineRule="auto"/>
              <w:ind w:firstLine="15"/>
              <w:jc w:val="left"/>
              <w:rPr>
                <w:b/>
                <w:bCs/>
                <w:color w:val="000000"/>
                <w:sz w:val="20"/>
                <w:szCs w:val="20"/>
              </w:rPr>
            </w:pPr>
            <w:r w:rsidRPr="00802308">
              <w:rPr>
                <w:bCs/>
                <w:color w:val="000000"/>
                <w:sz w:val="20"/>
                <w:szCs w:val="20"/>
              </w:rPr>
              <w:t>2021թ.</w:t>
            </w:r>
          </w:p>
        </w:tc>
        <w:tc>
          <w:tcPr>
            <w:tcW w:w="894" w:type="dxa"/>
            <w:shd w:val="clear" w:color="auto" w:fill="auto"/>
            <w:vAlign w:val="center"/>
            <w:hideMark/>
          </w:tcPr>
          <w:p w14:paraId="3BA1745E" w14:textId="77777777" w:rsidR="00B25841" w:rsidRPr="00802308" w:rsidRDefault="00B25841" w:rsidP="00802308">
            <w:pPr>
              <w:spacing w:before="0" w:line="240" w:lineRule="auto"/>
              <w:ind w:firstLine="0"/>
              <w:jc w:val="left"/>
              <w:rPr>
                <w:b/>
                <w:bCs/>
                <w:color w:val="000000"/>
                <w:sz w:val="20"/>
                <w:szCs w:val="20"/>
              </w:rPr>
            </w:pPr>
            <w:r w:rsidRPr="00802308">
              <w:rPr>
                <w:bCs/>
                <w:color w:val="000000"/>
                <w:sz w:val="20"/>
                <w:szCs w:val="20"/>
              </w:rPr>
              <w:t>2022թ.</w:t>
            </w:r>
          </w:p>
        </w:tc>
        <w:tc>
          <w:tcPr>
            <w:tcW w:w="917" w:type="dxa"/>
            <w:shd w:val="clear" w:color="auto" w:fill="auto"/>
            <w:vAlign w:val="center"/>
            <w:hideMark/>
          </w:tcPr>
          <w:p w14:paraId="3BF9FF28" w14:textId="77777777" w:rsidR="00B25841" w:rsidRPr="00802308" w:rsidRDefault="00B25841" w:rsidP="00802308">
            <w:pPr>
              <w:spacing w:before="0" w:line="240" w:lineRule="auto"/>
              <w:ind w:firstLine="0"/>
              <w:jc w:val="left"/>
              <w:rPr>
                <w:b/>
                <w:bCs/>
                <w:color w:val="000000"/>
                <w:sz w:val="20"/>
                <w:szCs w:val="20"/>
              </w:rPr>
            </w:pPr>
            <w:r w:rsidRPr="00802308">
              <w:rPr>
                <w:bCs/>
                <w:color w:val="000000"/>
                <w:sz w:val="20"/>
                <w:szCs w:val="20"/>
              </w:rPr>
              <w:t>2023թ.</w:t>
            </w:r>
          </w:p>
        </w:tc>
        <w:tc>
          <w:tcPr>
            <w:tcW w:w="874" w:type="dxa"/>
            <w:shd w:val="clear" w:color="auto" w:fill="auto"/>
            <w:vAlign w:val="center"/>
            <w:hideMark/>
          </w:tcPr>
          <w:p w14:paraId="00BE868A" w14:textId="77777777" w:rsidR="00B25841" w:rsidRPr="00802308" w:rsidRDefault="00B25841" w:rsidP="00802308">
            <w:pPr>
              <w:spacing w:before="0" w:line="240" w:lineRule="auto"/>
              <w:ind w:hanging="30"/>
              <w:jc w:val="left"/>
              <w:rPr>
                <w:b/>
                <w:bCs/>
                <w:color w:val="000000"/>
                <w:sz w:val="20"/>
                <w:szCs w:val="20"/>
              </w:rPr>
            </w:pPr>
            <w:r w:rsidRPr="00802308">
              <w:rPr>
                <w:bCs/>
                <w:color w:val="000000"/>
                <w:sz w:val="20"/>
                <w:szCs w:val="20"/>
              </w:rPr>
              <w:t>2024թ.</w:t>
            </w:r>
          </w:p>
        </w:tc>
        <w:tc>
          <w:tcPr>
            <w:tcW w:w="1327" w:type="dxa"/>
          </w:tcPr>
          <w:p w14:paraId="283C09EA" w14:textId="77777777" w:rsidR="00B25841" w:rsidRPr="00802308" w:rsidRDefault="00B25841" w:rsidP="00802308">
            <w:pPr>
              <w:spacing w:before="0" w:line="240" w:lineRule="auto"/>
              <w:ind w:firstLine="0"/>
              <w:jc w:val="left"/>
              <w:rPr>
                <w:bCs/>
                <w:color w:val="000000"/>
                <w:sz w:val="20"/>
                <w:szCs w:val="20"/>
              </w:rPr>
            </w:pPr>
            <w:r w:rsidRPr="00802308">
              <w:rPr>
                <w:bCs/>
                <w:color w:val="000000"/>
                <w:sz w:val="20"/>
                <w:szCs w:val="20"/>
              </w:rPr>
              <w:t>2025 թ.</w:t>
            </w:r>
          </w:p>
        </w:tc>
        <w:tc>
          <w:tcPr>
            <w:tcW w:w="1372" w:type="dxa"/>
          </w:tcPr>
          <w:p w14:paraId="22552F2D" w14:textId="77777777" w:rsidR="00B25841" w:rsidRPr="00802308" w:rsidRDefault="00B25841" w:rsidP="00802308">
            <w:pPr>
              <w:spacing w:before="0" w:line="240" w:lineRule="auto"/>
              <w:ind w:firstLine="0"/>
              <w:jc w:val="left"/>
              <w:rPr>
                <w:bCs/>
                <w:color w:val="000000"/>
                <w:sz w:val="20"/>
                <w:szCs w:val="20"/>
              </w:rPr>
            </w:pPr>
            <w:r w:rsidRPr="00802308">
              <w:rPr>
                <w:bCs/>
                <w:color w:val="000000"/>
                <w:sz w:val="20"/>
                <w:szCs w:val="20"/>
              </w:rPr>
              <w:t>2026 թ.</w:t>
            </w:r>
          </w:p>
        </w:tc>
        <w:tc>
          <w:tcPr>
            <w:tcW w:w="1332" w:type="dxa"/>
          </w:tcPr>
          <w:p w14:paraId="38FF962C" w14:textId="77777777" w:rsidR="00B25841" w:rsidRPr="00802308" w:rsidRDefault="00B25841" w:rsidP="00802308">
            <w:pPr>
              <w:spacing w:before="0" w:line="240" w:lineRule="auto"/>
              <w:ind w:firstLine="0"/>
              <w:jc w:val="left"/>
              <w:rPr>
                <w:bCs/>
                <w:color w:val="000000"/>
                <w:sz w:val="20"/>
                <w:szCs w:val="20"/>
              </w:rPr>
            </w:pPr>
            <w:r w:rsidRPr="00802308">
              <w:rPr>
                <w:bCs/>
                <w:color w:val="000000"/>
                <w:sz w:val="20"/>
                <w:szCs w:val="20"/>
              </w:rPr>
              <w:t>2027 թ.</w:t>
            </w:r>
          </w:p>
        </w:tc>
      </w:tr>
      <w:tr w:rsidR="00B25841" w:rsidRPr="00802308" w14:paraId="618D9867" w14:textId="77777777" w:rsidTr="00802308">
        <w:trPr>
          <w:trHeight w:val="289"/>
        </w:trPr>
        <w:tc>
          <w:tcPr>
            <w:tcW w:w="2440" w:type="dxa"/>
            <w:shd w:val="clear" w:color="auto" w:fill="auto"/>
            <w:vAlign w:val="center"/>
            <w:hideMark/>
          </w:tcPr>
          <w:p w14:paraId="2C9D5F32" w14:textId="77777777" w:rsidR="00B25841" w:rsidRPr="00802308" w:rsidRDefault="00B25841" w:rsidP="00802308">
            <w:pPr>
              <w:spacing w:before="0" w:line="240" w:lineRule="auto"/>
              <w:ind w:firstLine="0"/>
              <w:jc w:val="left"/>
              <w:rPr>
                <w:b/>
                <w:bCs/>
                <w:i/>
                <w:iCs/>
                <w:color w:val="000000"/>
                <w:sz w:val="20"/>
                <w:szCs w:val="20"/>
              </w:rPr>
            </w:pPr>
            <w:r w:rsidRPr="00802308">
              <w:rPr>
                <w:b/>
                <w:bCs/>
                <w:i/>
                <w:iCs/>
                <w:color w:val="000000"/>
                <w:sz w:val="20"/>
                <w:szCs w:val="20"/>
              </w:rPr>
              <w:t xml:space="preserve"> Ընդամենը </w:t>
            </w:r>
          </w:p>
        </w:tc>
        <w:tc>
          <w:tcPr>
            <w:tcW w:w="664" w:type="dxa"/>
            <w:shd w:val="clear" w:color="auto" w:fill="auto"/>
            <w:vAlign w:val="center"/>
            <w:hideMark/>
          </w:tcPr>
          <w:p w14:paraId="2C59C2BA" w14:textId="77777777" w:rsidR="00B25841" w:rsidRPr="00802308" w:rsidRDefault="00B25841" w:rsidP="00802308">
            <w:pPr>
              <w:spacing w:before="0" w:line="240" w:lineRule="auto"/>
              <w:ind w:firstLine="15"/>
              <w:jc w:val="left"/>
              <w:rPr>
                <w:b/>
                <w:bCs/>
                <w:i/>
                <w:iCs/>
                <w:color w:val="000000"/>
                <w:sz w:val="20"/>
                <w:szCs w:val="20"/>
              </w:rPr>
            </w:pPr>
            <w:r w:rsidRPr="00802308">
              <w:rPr>
                <w:rFonts w:cs="Calibri"/>
                <w:b/>
                <w:bCs/>
                <w:i/>
                <w:iCs/>
                <w:color w:val="000000"/>
                <w:sz w:val="20"/>
                <w:szCs w:val="20"/>
              </w:rPr>
              <w:t>215.9</w:t>
            </w:r>
          </w:p>
        </w:tc>
        <w:tc>
          <w:tcPr>
            <w:tcW w:w="894" w:type="dxa"/>
            <w:shd w:val="clear" w:color="auto" w:fill="auto"/>
            <w:vAlign w:val="center"/>
            <w:hideMark/>
          </w:tcPr>
          <w:p w14:paraId="0A9030F1" w14:textId="77777777" w:rsidR="00B25841" w:rsidRPr="00802308" w:rsidRDefault="00B25841" w:rsidP="00802308">
            <w:pPr>
              <w:spacing w:before="0" w:line="240" w:lineRule="auto"/>
              <w:ind w:firstLine="0"/>
              <w:jc w:val="left"/>
              <w:rPr>
                <w:b/>
                <w:bCs/>
                <w:i/>
                <w:iCs/>
                <w:color w:val="000000"/>
                <w:sz w:val="20"/>
                <w:szCs w:val="20"/>
              </w:rPr>
            </w:pPr>
            <w:r w:rsidRPr="00802308">
              <w:rPr>
                <w:rFonts w:cs="Calibri"/>
                <w:b/>
                <w:bCs/>
                <w:i/>
                <w:iCs/>
                <w:color w:val="000000"/>
                <w:sz w:val="20"/>
                <w:szCs w:val="20"/>
              </w:rPr>
              <w:t>351.9</w:t>
            </w:r>
          </w:p>
        </w:tc>
        <w:tc>
          <w:tcPr>
            <w:tcW w:w="917" w:type="dxa"/>
            <w:shd w:val="clear" w:color="auto" w:fill="auto"/>
            <w:vAlign w:val="center"/>
            <w:hideMark/>
          </w:tcPr>
          <w:p w14:paraId="58B23915" w14:textId="77777777" w:rsidR="00B25841" w:rsidRPr="00802308" w:rsidRDefault="00B25841" w:rsidP="00802308">
            <w:pPr>
              <w:spacing w:before="0" w:line="240" w:lineRule="auto"/>
              <w:ind w:firstLine="0"/>
              <w:jc w:val="left"/>
              <w:rPr>
                <w:b/>
                <w:bCs/>
                <w:i/>
                <w:iCs/>
                <w:color w:val="000000"/>
                <w:sz w:val="20"/>
                <w:szCs w:val="20"/>
              </w:rPr>
            </w:pPr>
            <w:r w:rsidRPr="00802308">
              <w:rPr>
                <w:rFonts w:cs="Calibri"/>
                <w:b/>
                <w:bCs/>
                <w:i/>
                <w:iCs/>
                <w:color w:val="000000"/>
                <w:sz w:val="20"/>
                <w:szCs w:val="20"/>
              </w:rPr>
              <w:t>494.3</w:t>
            </w:r>
          </w:p>
        </w:tc>
        <w:tc>
          <w:tcPr>
            <w:tcW w:w="874" w:type="dxa"/>
            <w:shd w:val="clear" w:color="auto" w:fill="auto"/>
            <w:vAlign w:val="center"/>
            <w:hideMark/>
          </w:tcPr>
          <w:p w14:paraId="4844C8EC"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i/>
                <w:iCs/>
                <w:color w:val="000000"/>
                <w:sz w:val="20"/>
                <w:szCs w:val="20"/>
              </w:rPr>
              <w:t>710.0</w:t>
            </w:r>
          </w:p>
        </w:tc>
        <w:tc>
          <w:tcPr>
            <w:tcW w:w="1327" w:type="dxa"/>
            <w:vAlign w:val="center"/>
          </w:tcPr>
          <w:p w14:paraId="11DCEDF6" w14:textId="77777777" w:rsidR="00B25841" w:rsidRPr="00802308" w:rsidRDefault="00B25841" w:rsidP="00802308">
            <w:pPr>
              <w:spacing w:before="0" w:line="240" w:lineRule="auto"/>
              <w:jc w:val="left"/>
              <w:rPr>
                <w:b/>
                <w:bCs/>
                <w:color w:val="000000"/>
                <w:sz w:val="20"/>
                <w:szCs w:val="20"/>
              </w:rPr>
            </w:pPr>
            <w:r w:rsidRPr="00802308">
              <w:rPr>
                <w:rFonts w:cs="Calibri"/>
                <w:b/>
                <w:bCs/>
                <w:i/>
                <w:iCs/>
                <w:color w:val="000000"/>
                <w:sz w:val="20"/>
                <w:szCs w:val="20"/>
              </w:rPr>
              <w:t>799.9</w:t>
            </w:r>
          </w:p>
        </w:tc>
        <w:tc>
          <w:tcPr>
            <w:tcW w:w="1372" w:type="dxa"/>
            <w:vAlign w:val="center"/>
          </w:tcPr>
          <w:p w14:paraId="63A1C33E" w14:textId="77777777" w:rsidR="00B25841" w:rsidRPr="00802308" w:rsidRDefault="00B25841" w:rsidP="00802308">
            <w:pPr>
              <w:spacing w:before="0" w:line="240" w:lineRule="auto"/>
              <w:jc w:val="left"/>
              <w:rPr>
                <w:b/>
                <w:bCs/>
                <w:color w:val="000000"/>
                <w:sz w:val="20"/>
                <w:szCs w:val="20"/>
              </w:rPr>
            </w:pPr>
            <w:r w:rsidRPr="00802308">
              <w:rPr>
                <w:rFonts w:cs="Calibri"/>
                <w:b/>
                <w:bCs/>
                <w:i/>
                <w:iCs/>
                <w:color w:val="000000"/>
                <w:sz w:val="20"/>
                <w:szCs w:val="20"/>
              </w:rPr>
              <w:t>888.9</w:t>
            </w:r>
          </w:p>
        </w:tc>
        <w:tc>
          <w:tcPr>
            <w:tcW w:w="1332" w:type="dxa"/>
            <w:vAlign w:val="center"/>
          </w:tcPr>
          <w:p w14:paraId="4FCC094C" w14:textId="77777777" w:rsidR="00B25841" w:rsidRPr="00802308" w:rsidRDefault="00B25841" w:rsidP="00802308">
            <w:pPr>
              <w:spacing w:before="0" w:line="240" w:lineRule="auto"/>
              <w:jc w:val="left"/>
              <w:rPr>
                <w:b/>
                <w:bCs/>
                <w:color w:val="000000"/>
                <w:sz w:val="20"/>
                <w:szCs w:val="20"/>
              </w:rPr>
            </w:pPr>
            <w:r w:rsidRPr="00802308">
              <w:rPr>
                <w:rFonts w:cs="Calibri"/>
                <w:b/>
                <w:bCs/>
                <w:i/>
                <w:iCs/>
                <w:color w:val="000000"/>
                <w:sz w:val="20"/>
                <w:szCs w:val="20"/>
              </w:rPr>
              <w:t>873.6</w:t>
            </w:r>
          </w:p>
        </w:tc>
      </w:tr>
      <w:tr w:rsidR="00B25841" w:rsidRPr="00802308" w14:paraId="6C7035FE" w14:textId="77777777" w:rsidTr="00802308">
        <w:trPr>
          <w:trHeight w:val="289"/>
        </w:trPr>
        <w:tc>
          <w:tcPr>
            <w:tcW w:w="2440" w:type="dxa"/>
            <w:shd w:val="clear" w:color="auto" w:fill="auto"/>
            <w:vAlign w:val="center"/>
            <w:hideMark/>
          </w:tcPr>
          <w:p w14:paraId="101C818F"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w:t>
            </w:r>
            <w:r w:rsidRPr="00802308">
              <w:rPr>
                <w:i/>
                <w:iCs/>
                <w:color w:val="000000"/>
                <w:sz w:val="20"/>
                <w:szCs w:val="20"/>
                <w:lang w:val="hy-AM"/>
              </w:rPr>
              <w:t xml:space="preserve"> </w:t>
            </w:r>
            <w:r w:rsidRPr="00802308">
              <w:rPr>
                <w:i/>
                <w:iCs/>
                <w:color w:val="000000"/>
                <w:sz w:val="20"/>
                <w:szCs w:val="20"/>
              </w:rPr>
              <w:t xml:space="preserve">աղբյուրներ </w:t>
            </w:r>
          </w:p>
        </w:tc>
        <w:tc>
          <w:tcPr>
            <w:tcW w:w="664" w:type="dxa"/>
            <w:shd w:val="clear" w:color="auto" w:fill="auto"/>
            <w:vAlign w:val="center"/>
            <w:hideMark/>
          </w:tcPr>
          <w:p w14:paraId="30A31222" w14:textId="77777777" w:rsidR="00B25841" w:rsidRPr="00802308" w:rsidRDefault="00B25841" w:rsidP="00802308">
            <w:pPr>
              <w:spacing w:before="0" w:line="240" w:lineRule="auto"/>
              <w:ind w:firstLine="15"/>
              <w:jc w:val="left"/>
              <w:rPr>
                <w:b/>
                <w:i/>
                <w:iCs/>
                <w:color w:val="000000"/>
                <w:sz w:val="20"/>
                <w:szCs w:val="20"/>
              </w:rPr>
            </w:pPr>
            <w:r w:rsidRPr="00802308">
              <w:rPr>
                <w:rFonts w:cs="Calibri"/>
                <w:i/>
                <w:iCs/>
                <w:color w:val="000000"/>
                <w:sz w:val="20"/>
                <w:szCs w:val="20"/>
              </w:rPr>
              <w:t>82.9</w:t>
            </w:r>
          </w:p>
        </w:tc>
        <w:tc>
          <w:tcPr>
            <w:tcW w:w="894" w:type="dxa"/>
            <w:shd w:val="clear" w:color="auto" w:fill="auto"/>
            <w:vAlign w:val="center"/>
            <w:hideMark/>
          </w:tcPr>
          <w:p w14:paraId="7AFB6B41" w14:textId="77777777" w:rsidR="00B25841" w:rsidRPr="00802308" w:rsidRDefault="00B25841" w:rsidP="00802308">
            <w:pPr>
              <w:spacing w:before="0" w:line="240" w:lineRule="auto"/>
              <w:ind w:firstLine="0"/>
              <w:jc w:val="left"/>
              <w:rPr>
                <w:b/>
                <w:i/>
                <w:iCs/>
                <w:color w:val="000000"/>
                <w:sz w:val="20"/>
                <w:szCs w:val="20"/>
              </w:rPr>
            </w:pPr>
            <w:r w:rsidRPr="00802308">
              <w:rPr>
                <w:rFonts w:cs="Calibri"/>
                <w:i/>
                <w:iCs/>
                <w:color w:val="000000"/>
                <w:sz w:val="20"/>
                <w:szCs w:val="20"/>
              </w:rPr>
              <w:t>130.4</w:t>
            </w:r>
          </w:p>
        </w:tc>
        <w:tc>
          <w:tcPr>
            <w:tcW w:w="917" w:type="dxa"/>
            <w:shd w:val="clear" w:color="auto" w:fill="auto"/>
            <w:vAlign w:val="center"/>
            <w:hideMark/>
          </w:tcPr>
          <w:p w14:paraId="1A4E92B4" w14:textId="77777777" w:rsidR="00B25841" w:rsidRPr="00802308" w:rsidRDefault="00B25841" w:rsidP="00802308">
            <w:pPr>
              <w:spacing w:before="0" w:line="240" w:lineRule="auto"/>
              <w:ind w:firstLine="0"/>
              <w:jc w:val="left"/>
              <w:rPr>
                <w:b/>
                <w:i/>
                <w:iCs/>
                <w:color w:val="000000"/>
                <w:sz w:val="20"/>
                <w:szCs w:val="20"/>
              </w:rPr>
            </w:pPr>
            <w:r w:rsidRPr="00802308">
              <w:rPr>
                <w:rFonts w:cs="Calibri"/>
                <w:i/>
                <w:iCs/>
                <w:color w:val="000000"/>
                <w:sz w:val="20"/>
                <w:szCs w:val="20"/>
              </w:rPr>
              <w:t>76.2</w:t>
            </w:r>
          </w:p>
        </w:tc>
        <w:tc>
          <w:tcPr>
            <w:tcW w:w="874" w:type="dxa"/>
            <w:shd w:val="clear" w:color="auto" w:fill="auto"/>
            <w:vAlign w:val="center"/>
            <w:hideMark/>
          </w:tcPr>
          <w:p w14:paraId="535EC10E" w14:textId="77777777" w:rsidR="00B25841" w:rsidRPr="00802308" w:rsidRDefault="00B25841" w:rsidP="00802308">
            <w:pPr>
              <w:spacing w:before="0" w:line="240" w:lineRule="auto"/>
              <w:ind w:hanging="30"/>
              <w:jc w:val="left"/>
              <w:rPr>
                <w:b/>
                <w:color w:val="000000"/>
                <w:sz w:val="20"/>
                <w:szCs w:val="20"/>
              </w:rPr>
            </w:pPr>
            <w:r w:rsidRPr="00802308">
              <w:rPr>
                <w:rFonts w:cs="Calibri"/>
                <w:i/>
                <w:iCs/>
                <w:color w:val="000000"/>
                <w:sz w:val="20"/>
                <w:szCs w:val="20"/>
              </w:rPr>
              <w:t>121.9</w:t>
            </w:r>
          </w:p>
        </w:tc>
        <w:tc>
          <w:tcPr>
            <w:tcW w:w="1327" w:type="dxa"/>
            <w:vAlign w:val="center"/>
          </w:tcPr>
          <w:p w14:paraId="752122BB"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244.6</w:t>
            </w:r>
          </w:p>
        </w:tc>
        <w:tc>
          <w:tcPr>
            <w:tcW w:w="1372" w:type="dxa"/>
            <w:vAlign w:val="center"/>
          </w:tcPr>
          <w:p w14:paraId="133E4850"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281.4</w:t>
            </w:r>
          </w:p>
        </w:tc>
        <w:tc>
          <w:tcPr>
            <w:tcW w:w="1332" w:type="dxa"/>
            <w:vAlign w:val="center"/>
          </w:tcPr>
          <w:p w14:paraId="5768D996"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337.0</w:t>
            </w:r>
          </w:p>
        </w:tc>
      </w:tr>
      <w:tr w:rsidR="00B25841" w:rsidRPr="00802308" w14:paraId="63FDA485" w14:textId="77777777" w:rsidTr="00802308">
        <w:trPr>
          <w:trHeight w:val="289"/>
        </w:trPr>
        <w:tc>
          <w:tcPr>
            <w:tcW w:w="2440" w:type="dxa"/>
            <w:shd w:val="clear" w:color="auto" w:fill="auto"/>
            <w:vAlign w:val="center"/>
            <w:hideMark/>
          </w:tcPr>
          <w:p w14:paraId="27D43DB2"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144FA936"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133.0</w:t>
            </w:r>
          </w:p>
        </w:tc>
        <w:tc>
          <w:tcPr>
            <w:tcW w:w="894" w:type="dxa"/>
            <w:shd w:val="clear" w:color="auto" w:fill="auto"/>
            <w:vAlign w:val="center"/>
            <w:hideMark/>
          </w:tcPr>
          <w:p w14:paraId="4F1B4466"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221.6</w:t>
            </w:r>
          </w:p>
        </w:tc>
        <w:tc>
          <w:tcPr>
            <w:tcW w:w="917" w:type="dxa"/>
            <w:shd w:val="clear" w:color="auto" w:fill="auto"/>
            <w:vAlign w:val="center"/>
            <w:hideMark/>
          </w:tcPr>
          <w:p w14:paraId="641BD757" w14:textId="77777777" w:rsidR="00B25841" w:rsidRPr="00802308" w:rsidRDefault="00B25841" w:rsidP="00802308">
            <w:pPr>
              <w:spacing w:before="0" w:line="240" w:lineRule="auto"/>
              <w:ind w:firstLine="0"/>
              <w:jc w:val="left"/>
              <w:rPr>
                <w:b/>
                <w:color w:val="000000"/>
                <w:sz w:val="20"/>
                <w:szCs w:val="20"/>
              </w:rPr>
            </w:pPr>
            <w:r w:rsidRPr="00802308">
              <w:rPr>
                <w:rFonts w:cs="Calibri"/>
                <w:i/>
                <w:iCs/>
                <w:color w:val="000000"/>
                <w:sz w:val="20"/>
                <w:szCs w:val="20"/>
              </w:rPr>
              <w:t>418.1</w:t>
            </w:r>
          </w:p>
        </w:tc>
        <w:tc>
          <w:tcPr>
            <w:tcW w:w="874" w:type="dxa"/>
            <w:shd w:val="clear" w:color="auto" w:fill="auto"/>
            <w:vAlign w:val="center"/>
            <w:hideMark/>
          </w:tcPr>
          <w:p w14:paraId="1B212017" w14:textId="77777777" w:rsidR="00B25841" w:rsidRPr="00802308" w:rsidRDefault="00B25841" w:rsidP="00802308">
            <w:pPr>
              <w:spacing w:before="0" w:line="240" w:lineRule="auto"/>
              <w:ind w:hanging="30"/>
              <w:jc w:val="left"/>
              <w:rPr>
                <w:b/>
                <w:color w:val="000000"/>
                <w:sz w:val="20"/>
                <w:szCs w:val="20"/>
              </w:rPr>
            </w:pPr>
            <w:r w:rsidRPr="00802308">
              <w:rPr>
                <w:rFonts w:cs="Calibri"/>
                <w:i/>
                <w:iCs/>
                <w:color w:val="000000"/>
                <w:sz w:val="20"/>
                <w:szCs w:val="20"/>
              </w:rPr>
              <w:t>588.1</w:t>
            </w:r>
          </w:p>
        </w:tc>
        <w:tc>
          <w:tcPr>
            <w:tcW w:w="1327" w:type="dxa"/>
            <w:vAlign w:val="center"/>
          </w:tcPr>
          <w:p w14:paraId="60D8D304"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555.3</w:t>
            </w:r>
          </w:p>
        </w:tc>
        <w:tc>
          <w:tcPr>
            <w:tcW w:w="1372" w:type="dxa"/>
            <w:vAlign w:val="center"/>
          </w:tcPr>
          <w:p w14:paraId="79243749"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607.5</w:t>
            </w:r>
          </w:p>
        </w:tc>
        <w:tc>
          <w:tcPr>
            <w:tcW w:w="1332" w:type="dxa"/>
            <w:vAlign w:val="center"/>
          </w:tcPr>
          <w:p w14:paraId="7D69EEDE" w14:textId="77777777" w:rsidR="00B25841" w:rsidRPr="00802308" w:rsidRDefault="00B25841" w:rsidP="00802308">
            <w:pPr>
              <w:spacing w:before="0" w:line="240" w:lineRule="auto"/>
              <w:jc w:val="left"/>
              <w:rPr>
                <w:color w:val="000000"/>
                <w:sz w:val="20"/>
                <w:szCs w:val="20"/>
              </w:rPr>
            </w:pPr>
            <w:r w:rsidRPr="00802308">
              <w:rPr>
                <w:rFonts w:cs="Calibri"/>
                <w:i/>
                <w:iCs/>
                <w:color w:val="000000"/>
                <w:sz w:val="20"/>
                <w:szCs w:val="20"/>
              </w:rPr>
              <w:t>536.6</w:t>
            </w:r>
          </w:p>
        </w:tc>
      </w:tr>
      <w:tr w:rsidR="00B25841" w:rsidRPr="00802308" w14:paraId="7FB92426" w14:textId="77777777" w:rsidTr="00802308">
        <w:trPr>
          <w:trHeight w:val="289"/>
        </w:trPr>
        <w:tc>
          <w:tcPr>
            <w:tcW w:w="2440" w:type="dxa"/>
            <w:shd w:val="clear" w:color="auto" w:fill="auto"/>
            <w:vAlign w:val="center"/>
            <w:hideMark/>
          </w:tcPr>
          <w:p w14:paraId="149D757C"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Տրանսպորտ, այդ թվում </w:t>
            </w:r>
          </w:p>
        </w:tc>
        <w:tc>
          <w:tcPr>
            <w:tcW w:w="664" w:type="dxa"/>
            <w:shd w:val="clear" w:color="auto" w:fill="auto"/>
            <w:vAlign w:val="center"/>
            <w:hideMark/>
          </w:tcPr>
          <w:p w14:paraId="77B0D07D"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58.8</w:t>
            </w:r>
          </w:p>
        </w:tc>
        <w:tc>
          <w:tcPr>
            <w:tcW w:w="894" w:type="dxa"/>
            <w:shd w:val="clear" w:color="auto" w:fill="auto"/>
            <w:vAlign w:val="center"/>
            <w:hideMark/>
          </w:tcPr>
          <w:p w14:paraId="553B3F53"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99.5</w:t>
            </w:r>
          </w:p>
        </w:tc>
        <w:tc>
          <w:tcPr>
            <w:tcW w:w="917" w:type="dxa"/>
            <w:shd w:val="clear" w:color="auto" w:fill="auto"/>
            <w:vAlign w:val="center"/>
            <w:hideMark/>
          </w:tcPr>
          <w:p w14:paraId="5CF92CFD"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96.5</w:t>
            </w:r>
          </w:p>
        </w:tc>
        <w:tc>
          <w:tcPr>
            <w:tcW w:w="874" w:type="dxa"/>
            <w:shd w:val="clear" w:color="auto" w:fill="auto"/>
            <w:vAlign w:val="center"/>
            <w:hideMark/>
          </w:tcPr>
          <w:p w14:paraId="5E3FDDF2"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114.6</w:t>
            </w:r>
          </w:p>
        </w:tc>
        <w:tc>
          <w:tcPr>
            <w:tcW w:w="1327" w:type="dxa"/>
            <w:vAlign w:val="center"/>
          </w:tcPr>
          <w:p w14:paraId="5332664D"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136.4</w:t>
            </w:r>
          </w:p>
        </w:tc>
        <w:tc>
          <w:tcPr>
            <w:tcW w:w="1372" w:type="dxa"/>
            <w:vAlign w:val="center"/>
          </w:tcPr>
          <w:p w14:paraId="4F8B8C8F"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174.3</w:t>
            </w:r>
          </w:p>
        </w:tc>
        <w:tc>
          <w:tcPr>
            <w:tcW w:w="1332" w:type="dxa"/>
            <w:vAlign w:val="center"/>
          </w:tcPr>
          <w:p w14:paraId="379C3C11"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211.0</w:t>
            </w:r>
          </w:p>
        </w:tc>
      </w:tr>
      <w:tr w:rsidR="00B25841" w:rsidRPr="00802308" w14:paraId="6AB7C9C1" w14:textId="77777777" w:rsidTr="00802308">
        <w:trPr>
          <w:trHeight w:val="289"/>
        </w:trPr>
        <w:tc>
          <w:tcPr>
            <w:tcW w:w="2440" w:type="dxa"/>
            <w:shd w:val="clear" w:color="auto" w:fill="auto"/>
            <w:vAlign w:val="center"/>
            <w:hideMark/>
          </w:tcPr>
          <w:p w14:paraId="7CACCD0C"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w:t>
            </w:r>
            <w:r w:rsidRPr="00802308">
              <w:rPr>
                <w:i/>
                <w:iCs/>
                <w:color w:val="000000"/>
                <w:sz w:val="20"/>
                <w:szCs w:val="20"/>
                <w:lang w:val="hy-AM"/>
              </w:rPr>
              <w:t xml:space="preserve"> </w:t>
            </w:r>
            <w:r w:rsidRPr="00802308">
              <w:rPr>
                <w:i/>
                <w:iCs/>
                <w:color w:val="000000"/>
                <w:sz w:val="20"/>
                <w:szCs w:val="20"/>
              </w:rPr>
              <w:t>աղբյուրներ</w:t>
            </w:r>
          </w:p>
        </w:tc>
        <w:tc>
          <w:tcPr>
            <w:tcW w:w="664" w:type="dxa"/>
            <w:shd w:val="clear" w:color="auto" w:fill="auto"/>
            <w:vAlign w:val="center"/>
            <w:hideMark/>
          </w:tcPr>
          <w:p w14:paraId="0C434052"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24.7</w:t>
            </w:r>
          </w:p>
        </w:tc>
        <w:tc>
          <w:tcPr>
            <w:tcW w:w="894" w:type="dxa"/>
            <w:shd w:val="clear" w:color="auto" w:fill="auto"/>
            <w:vAlign w:val="center"/>
            <w:hideMark/>
          </w:tcPr>
          <w:p w14:paraId="0B07401E"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52.4</w:t>
            </w:r>
          </w:p>
        </w:tc>
        <w:tc>
          <w:tcPr>
            <w:tcW w:w="917" w:type="dxa"/>
            <w:shd w:val="clear" w:color="auto" w:fill="auto"/>
            <w:vAlign w:val="center"/>
            <w:hideMark/>
          </w:tcPr>
          <w:p w14:paraId="30336676"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27.0</w:t>
            </w:r>
          </w:p>
        </w:tc>
        <w:tc>
          <w:tcPr>
            <w:tcW w:w="874" w:type="dxa"/>
            <w:shd w:val="clear" w:color="auto" w:fill="auto"/>
            <w:vAlign w:val="center"/>
            <w:hideMark/>
          </w:tcPr>
          <w:p w14:paraId="3EEE931C"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43.1</w:t>
            </w:r>
          </w:p>
        </w:tc>
        <w:tc>
          <w:tcPr>
            <w:tcW w:w="1327" w:type="dxa"/>
            <w:vAlign w:val="center"/>
          </w:tcPr>
          <w:p w14:paraId="618E75A2"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66.0</w:t>
            </w:r>
          </w:p>
        </w:tc>
        <w:tc>
          <w:tcPr>
            <w:tcW w:w="1372" w:type="dxa"/>
            <w:vAlign w:val="center"/>
          </w:tcPr>
          <w:p w14:paraId="3143A73D"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93.7</w:t>
            </w:r>
          </w:p>
        </w:tc>
        <w:tc>
          <w:tcPr>
            <w:tcW w:w="1332" w:type="dxa"/>
            <w:vAlign w:val="center"/>
          </w:tcPr>
          <w:p w14:paraId="0B738B6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127.9</w:t>
            </w:r>
          </w:p>
        </w:tc>
      </w:tr>
      <w:tr w:rsidR="00B25841" w:rsidRPr="00802308" w14:paraId="34444669" w14:textId="77777777" w:rsidTr="00802308">
        <w:trPr>
          <w:trHeight w:val="289"/>
        </w:trPr>
        <w:tc>
          <w:tcPr>
            <w:tcW w:w="2440" w:type="dxa"/>
            <w:shd w:val="clear" w:color="auto" w:fill="auto"/>
            <w:vAlign w:val="center"/>
            <w:hideMark/>
          </w:tcPr>
          <w:p w14:paraId="27C3DB10"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1FB7C882"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34.1</w:t>
            </w:r>
          </w:p>
        </w:tc>
        <w:tc>
          <w:tcPr>
            <w:tcW w:w="894" w:type="dxa"/>
            <w:shd w:val="clear" w:color="auto" w:fill="auto"/>
            <w:vAlign w:val="center"/>
            <w:hideMark/>
          </w:tcPr>
          <w:p w14:paraId="6893F8F1"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47.1</w:t>
            </w:r>
          </w:p>
        </w:tc>
        <w:tc>
          <w:tcPr>
            <w:tcW w:w="917" w:type="dxa"/>
            <w:shd w:val="clear" w:color="auto" w:fill="auto"/>
            <w:vAlign w:val="center"/>
            <w:hideMark/>
          </w:tcPr>
          <w:p w14:paraId="0FC22DF7"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69.5</w:t>
            </w:r>
          </w:p>
        </w:tc>
        <w:tc>
          <w:tcPr>
            <w:tcW w:w="874" w:type="dxa"/>
            <w:shd w:val="clear" w:color="auto" w:fill="auto"/>
            <w:vAlign w:val="center"/>
            <w:hideMark/>
          </w:tcPr>
          <w:p w14:paraId="276A0C3D"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71.5</w:t>
            </w:r>
          </w:p>
        </w:tc>
        <w:tc>
          <w:tcPr>
            <w:tcW w:w="1327" w:type="dxa"/>
            <w:vAlign w:val="center"/>
          </w:tcPr>
          <w:p w14:paraId="2A6439C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70.4</w:t>
            </w:r>
          </w:p>
        </w:tc>
        <w:tc>
          <w:tcPr>
            <w:tcW w:w="1372" w:type="dxa"/>
            <w:vAlign w:val="center"/>
          </w:tcPr>
          <w:p w14:paraId="62097B4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80.6</w:t>
            </w:r>
          </w:p>
        </w:tc>
        <w:tc>
          <w:tcPr>
            <w:tcW w:w="1332" w:type="dxa"/>
            <w:vAlign w:val="center"/>
          </w:tcPr>
          <w:p w14:paraId="20CB59E4"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83.1</w:t>
            </w:r>
          </w:p>
        </w:tc>
      </w:tr>
      <w:tr w:rsidR="00B25841" w:rsidRPr="00802308" w14:paraId="76AC5EFD" w14:textId="77777777" w:rsidTr="00802308">
        <w:trPr>
          <w:trHeight w:val="289"/>
        </w:trPr>
        <w:tc>
          <w:tcPr>
            <w:tcW w:w="2440" w:type="dxa"/>
            <w:shd w:val="clear" w:color="auto" w:fill="auto"/>
            <w:vAlign w:val="center"/>
            <w:hideMark/>
          </w:tcPr>
          <w:p w14:paraId="3A4E0808"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Էներգետիկա, այդ թվում </w:t>
            </w:r>
          </w:p>
        </w:tc>
        <w:tc>
          <w:tcPr>
            <w:tcW w:w="664" w:type="dxa"/>
            <w:shd w:val="clear" w:color="auto" w:fill="auto"/>
            <w:vAlign w:val="center"/>
            <w:hideMark/>
          </w:tcPr>
          <w:p w14:paraId="5E96E53C"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1.2</w:t>
            </w:r>
          </w:p>
        </w:tc>
        <w:tc>
          <w:tcPr>
            <w:tcW w:w="894" w:type="dxa"/>
            <w:shd w:val="clear" w:color="auto" w:fill="auto"/>
            <w:vAlign w:val="center"/>
            <w:hideMark/>
          </w:tcPr>
          <w:p w14:paraId="5DE50FD4"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1.1</w:t>
            </w:r>
          </w:p>
        </w:tc>
        <w:tc>
          <w:tcPr>
            <w:tcW w:w="917" w:type="dxa"/>
            <w:shd w:val="clear" w:color="auto" w:fill="auto"/>
            <w:vAlign w:val="center"/>
            <w:hideMark/>
          </w:tcPr>
          <w:p w14:paraId="379D1A79"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1.1</w:t>
            </w:r>
          </w:p>
        </w:tc>
        <w:tc>
          <w:tcPr>
            <w:tcW w:w="874" w:type="dxa"/>
            <w:shd w:val="clear" w:color="auto" w:fill="auto"/>
            <w:vAlign w:val="center"/>
            <w:hideMark/>
          </w:tcPr>
          <w:p w14:paraId="210D615C"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3.9</w:t>
            </w:r>
          </w:p>
        </w:tc>
        <w:tc>
          <w:tcPr>
            <w:tcW w:w="1327" w:type="dxa"/>
            <w:vAlign w:val="center"/>
          </w:tcPr>
          <w:p w14:paraId="195CD241"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2.2</w:t>
            </w:r>
          </w:p>
        </w:tc>
        <w:tc>
          <w:tcPr>
            <w:tcW w:w="1372" w:type="dxa"/>
            <w:vAlign w:val="center"/>
          </w:tcPr>
          <w:p w14:paraId="18FAB433"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3.3</w:t>
            </w:r>
          </w:p>
        </w:tc>
        <w:tc>
          <w:tcPr>
            <w:tcW w:w="1332" w:type="dxa"/>
            <w:vAlign w:val="center"/>
          </w:tcPr>
          <w:p w14:paraId="64DFBEEC"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3.5</w:t>
            </w:r>
          </w:p>
        </w:tc>
      </w:tr>
      <w:tr w:rsidR="00B25841" w:rsidRPr="00802308" w14:paraId="6C46E97C" w14:textId="77777777" w:rsidTr="00802308">
        <w:trPr>
          <w:trHeight w:val="289"/>
        </w:trPr>
        <w:tc>
          <w:tcPr>
            <w:tcW w:w="2440" w:type="dxa"/>
            <w:shd w:val="clear" w:color="auto" w:fill="auto"/>
            <w:vAlign w:val="center"/>
            <w:hideMark/>
          </w:tcPr>
          <w:p w14:paraId="4DC50865"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1ADFE788"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1.2</w:t>
            </w:r>
          </w:p>
        </w:tc>
        <w:tc>
          <w:tcPr>
            <w:tcW w:w="894" w:type="dxa"/>
            <w:shd w:val="clear" w:color="auto" w:fill="auto"/>
            <w:vAlign w:val="center"/>
            <w:hideMark/>
          </w:tcPr>
          <w:p w14:paraId="1AC201E8"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1.1</w:t>
            </w:r>
          </w:p>
        </w:tc>
        <w:tc>
          <w:tcPr>
            <w:tcW w:w="917" w:type="dxa"/>
            <w:shd w:val="clear" w:color="auto" w:fill="auto"/>
            <w:vAlign w:val="center"/>
            <w:hideMark/>
          </w:tcPr>
          <w:p w14:paraId="1FCFEF49"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1.8</w:t>
            </w:r>
          </w:p>
        </w:tc>
        <w:tc>
          <w:tcPr>
            <w:tcW w:w="874" w:type="dxa"/>
            <w:shd w:val="clear" w:color="auto" w:fill="auto"/>
            <w:vAlign w:val="center"/>
            <w:hideMark/>
          </w:tcPr>
          <w:p w14:paraId="071B7A5F"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3.9</w:t>
            </w:r>
          </w:p>
        </w:tc>
        <w:tc>
          <w:tcPr>
            <w:tcW w:w="1327" w:type="dxa"/>
            <w:vAlign w:val="center"/>
          </w:tcPr>
          <w:p w14:paraId="4432407D"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2.2</w:t>
            </w:r>
          </w:p>
        </w:tc>
        <w:tc>
          <w:tcPr>
            <w:tcW w:w="1372" w:type="dxa"/>
            <w:vAlign w:val="center"/>
          </w:tcPr>
          <w:p w14:paraId="56E0DB2B"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3.3</w:t>
            </w:r>
          </w:p>
        </w:tc>
        <w:tc>
          <w:tcPr>
            <w:tcW w:w="1332" w:type="dxa"/>
            <w:vAlign w:val="center"/>
          </w:tcPr>
          <w:p w14:paraId="0B44DFB5"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3.5</w:t>
            </w:r>
          </w:p>
        </w:tc>
      </w:tr>
      <w:tr w:rsidR="00B25841" w:rsidRPr="00802308" w14:paraId="72BF597A" w14:textId="77777777" w:rsidTr="00802308">
        <w:trPr>
          <w:trHeight w:val="289"/>
        </w:trPr>
        <w:tc>
          <w:tcPr>
            <w:tcW w:w="2440" w:type="dxa"/>
            <w:shd w:val="clear" w:color="auto" w:fill="auto"/>
            <w:vAlign w:val="center"/>
            <w:hideMark/>
          </w:tcPr>
          <w:p w14:paraId="777825DE"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57519E2C"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0.0</w:t>
            </w:r>
          </w:p>
        </w:tc>
        <w:tc>
          <w:tcPr>
            <w:tcW w:w="894" w:type="dxa"/>
            <w:shd w:val="clear" w:color="auto" w:fill="auto"/>
            <w:vAlign w:val="center"/>
            <w:hideMark/>
          </w:tcPr>
          <w:p w14:paraId="712DE6CE"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0.0</w:t>
            </w:r>
          </w:p>
        </w:tc>
        <w:tc>
          <w:tcPr>
            <w:tcW w:w="917" w:type="dxa"/>
            <w:shd w:val="clear" w:color="auto" w:fill="auto"/>
            <w:vAlign w:val="center"/>
            <w:hideMark/>
          </w:tcPr>
          <w:p w14:paraId="08FC7176"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0.4</w:t>
            </w:r>
          </w:p>
        </w:tc>
        <w:tc>
          <w:tcPr>
            <w:tcW w:w="874" w:type="dxa"/>
            <w:shd w:val="clear" w:color="auto" w:fill="auto"/>
            <w:vAlign w:val="center"/>
            <w:hideMark/>
          </w:tcPr>
          <w:p w14:paraId="579982D3"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0.0</w:t>
            </w:r>
          </w:p>
        </w:tc>
        <w:tc>
          <w:tcPr>
            <w:tcW w:w="1327" w:type="dxa"/>
            <w:vAlign w:val="center"/>
          </w:tcPr>
          <w:p w14:paraId="373CB304"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72" w:type="dxa"/>
            <w:vAlign w:val="center"/>
          </w:tcPr>
          <w:p w14:paraId="2EAC7C8B"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32" w:type="dxa"/>
            <w:vAlign w:val="center"/>
          </w:tcPr>
          <w:p w14:paraId="2A329D0A"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r>
      <w:tr w:rsidR="00B25841" w:rsidRPr="00802308" w14:paraId="2613C28F" w14:textId="77777777" w:rsidTr="00802308">
        <w:trPr>
          <w:trHeight w:val="563"/>
        </w:trPr>
        <w:tc>
          <w:tcPr>
            <w:tcW w:w="2440" w:type="dxa"/>
            <w:shd w:val="clear" w:color="auto" w:fill="auto"/>
            <w:vAlign w:val="center"/>
            <w:hideMark/>
          </w:tcPr>
          <w:p w14:paraId="31D89D26"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Շրջակա միջավայր և գյուղատնտեսություն </w:t>
            </w:r>
          </w:p>
        </w:tc>
        <w:tc>
          <w:tcPr>
            <w:tcW w:w="664" w:type="dxa"/>
            <w:shd w:val="clear" w:color="auto" w:fill="auto"/>
            <w:vAlign w:val="center"/>
            <w:hideMark/>
          </w:tcPr>
          <w:p w14:paraId="5E119026"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7.3</w:t>
            </w:r>
          </w:p>
        </w:tc>
        <w:tc>
          <w:tcPr>
            <w:tcW w:w="894" w:type="dxa"/>
            <w:shd w:val="clear" w:color="auto" w:fill="auto"/>
            <w:vAlign w:val="center"/>
            <w:hideMark/>
          </w:tcPr>
          <w:p w14:paraId="62D3D75F"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5.8</w:t>
            </w:r>
          </w:p>
        </w:tc>
        <w:tc>
          <w:tcPr>
            <w:tcW w:w="917" w:type="dxa"/>
            <w:shd w:val="clear" w:color="auto" w:fill="auto"/>
            <w:vAlign w:val="center"/>
            <w:hideMark/>
          </w:tcPr>
          <w:p w14:paraId="73FA41FB"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2.7</w:t>
            </w:r>
          </w:p>
        </w:tc>
        <w:tc>
          <w:tcPr>
            <w:tcW w:w="874" w:type="dxa"/>
            <w:shd w:val="clear" w:color="auto" w:fill="auto"/>
            <w:vAlign w:val="center"/>
            <w:hideMark/>
          </w:tcPr>
          <w:p w14:paraId="62C23EA8"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1.2</w:t>
            </w:r>
          </w:p>
        </w:tc>
        <w:tc>
          <w:tcPr>
            <w:tcW w:w="1327" w:type="dxa"/>
            <w:vAlign w:val="center"/>
          </w:tcPr>
          <w:p w14:paraId="50EA9244"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2.3</w:t>
            </w:r>
          </w:p>
        </w:tc>
        <w:tc>
          <w:tcPr>
            <w:tcW w:w="1372" w:type="dxa"/>
            <w:vAlign w:val="center"/>
          </w:tcPr>
          <w:p w14:paraId="51FA0F5F"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2.8</w:t>
            </w:r>
          </w:p>
        </w:tc>
        <w:tc>
          <w:tcPr>
            <w:tcW w:w="1332" w:type="dxa"/>
            <w:vAlign w:val="center"/>
          </w:tcPr>
          <w:p w14:paraId="012C9318"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2.9</w:t>
            </w:r>
          </w:p>
        </w:tc>
      </w:tr>
      <w:tr w:rsidR="00B25841" w:rsidRPr="00802308" w14:paraId="6E27112A" w14:textId="77777777" w:rsidTr="00802308">
        <w:trPr>
          <w:trHeight w:val="289"/>
        </w:trPr>
        <w:tc>
          <w:tcPr>
            <w:tcW w:w="2440" w:type="dxa"/>
            <w:shd w:val="clear" w:color="auto" w:fill="auto"/>
            <w:vAlign w:val="center"/>
            <w:hideMark/>
          </w:tcPr>
          <w:p w14:paraId="5F1B9C53"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41490038"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6.8</w:t>
            </w:r>
          </w:p>
        </w:tc>
        <w:tc>
          <w:tcPr>
            <w:tcW w:w="894" w:type="dxa"/>
            <w:shd w:val="clear" w:color="auto" w:fill="auto"/>
            <w:vAlign w:val="center"/>
            <w:hideMark/>
          </w:tcPr>
          <w:p w14:paraId="289A4142"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5.2</w:t>
            </w:r>
          </w:p>
        </w:tc>
        <w:tc>
          <w:tcPr>
            <w:tcW w:w="917" w:type="dxa"/>
            <w:shd w:val="clear" w:color="auto" w:fill="auto"/>
            <w:vAlign w:val="center"/>
            <w:hideMark/>
          </w:tcPr>
          <w:p w14:paraId="40C63D72"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0.5</w:t>
            </w:r>
          </w:p>
        </w:tc>
        <w:tc>
          <w:tcPr>
            <w:tcW w:w="874" w:type="dxa"/>
            <w:shd w:val="clear" w:color="auto" w:fill="auto"/>
            <w:vAlign w:val="center"/>
            <w:hideMark/>
          </w:tcPr>
          <w:p w14:paraId="1030084C"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0.0</w:t>
            </w:r>
          </w:p>
        </w:tc>
        <w:tc>
          <w:tcPr>
            <w:tcW w:w="1327" w:type="dxa"/>
            <w:vAlign w:val="center"/>
          </w:tcPr>
          <w:p w14:paraId="1DBB02D5"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72" w:type="dxa"/>
            <w:vAlign w:val="center"/>
          </w:tcPr>
          <w:p w14:paraId="2A687A33"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32" w:type="dxa"/>
            <w:vAlign w:val="center"/>
          </w:tcPr>
          <w:p w14:paraId="0524C1AF"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r>
      <w:tr w:rsidR="00B25841" w:rsidRPr="00802308" w14:paraId="73B9F6EA" w14:textId="77777777" w:rsidTr="00802308">
        <w:trPr>
          <w:trHeight w:val="289"/>
        </w:trPr>
        <w:tc>
          <w:tcPr>
            <w:tcW w:w="2440" w:type="dxa"/>
            <w:shd w:val="clear" w:color="auto" w:fill="auto"/>
            <w:vAlign w:val="center"/>
            <w:hideMark/>
          </w:tcPr>
          <w:p w14:paraId="6BCA7A1B"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51BB55C5"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0.5</w:t>
            </w:r>
          </w:p>
        </w:tc>
        <w:tc>
          <w:tcPr>
            <w:tcW w:w="894" w:type="dxa"/>
            <w:shd w:val="clear" w:color="auto" w:fill="auto"/>
            <w:vAlign w:val="center"/>
            <w:hideMark/>
          </w:tcPr>
          <w:p w14:paraId="1AD63911"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0.6</w:t>
            </w:r>
          </w:p>
        </w:tc>
        <w:tc>
          <w:tcPr>
            <w:tcW w:w="917" w:type="dxa"/>
            <w:shd w:val="clear" w:color="auto" w:fill="auto"/>
            <w:vAlign w:val="center"/>
            <w:hideMark/>
          </w:tcPr>
          <w:p w14:paraId="2757F421"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2.2</w:t>
            </w:r>
          </w:p>
        </w:tc>
        <w:tc>
          <w:tcPr>
            <w:tcW w:w="874" w:type="dxa"/>
            <w:shd w:val="clear" w:color="auto" w:fill="auto"/>
            <w:vAlign w:val="center"/>
            <w:hideMark/>
          </w:tcPr>
          <w:p w14:paraId="743D5D3E"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1.2</w:t>
            </w:r>
          </w:p>
        </w:tc>
        <w:tc>
          <w:tcPr>
            <w:tcW w:w="1327" w:type="dxa"/>
            <w:vAlign w:val="center"/>
          </w:tcPr>
          <w:p w14:paraId="712F09C2"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2.3</w:t>
            </w:r>
          </w:p>
        </w:tc>
        <w:tc>
          <w:tcPr>
            <w:tcW w:w="1372" w:type="dxa"/>
            <w:vAlign w:val="center"/>
          </w:tcPr>
          <w:p w14:paraId="3496499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2.8</w:t>
            </w:r>
          </w:p>
        </w:tc>
        <w:tc>
          <w:tcPr>
            <w:tcW w:w="1332" w:type="dxa"/>
            <w:vAlign w:val="center"/>
          </w:tcPr>
          <w:p w14:paraId="04921846"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2.9</w:t>
            </w:r>
          </w:p>
        </w:tc>
      </w:tr>
      <w:tr w:rsidR="00B25841" w:rsidRPr="00802308" w14:paraId="6D5D7843" w14:textId="77777777" w:rsidTr="00802308">
        <w:trPr>
          <w:trHeight w:val="289"/>
        </w:trPr>
        <w:tc>
          <w:tcPr>
            <w:tcW w:w="2440" w:type="dxa"/>
            <w:shd w:val="clear" w:color="auto" w:fill="auto"/>
            <w:vAlign w:val="center"/>
            <w:hideMark/>
          </w:tcPr>
          <w:p w14:paraId="404265C5"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Ջրային տնտեսություն </w:t>
            </w:r>
          </w:p>
        </w:tc>
        <w:tc>
          <w:tcPr>
            <w:tcW w:w="664" w:type="dxa"/>
            <w:shd w:val="clear" w:color="auto" w:fill="auto"/>
            <w:vAlign w:val="center"/>
            <w:hideMark/>
          </w:tcPr>
          <w:p w14:paraId="4E470CA9"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20.2</w:t>
            </w:r>
          </w:p>
        </w:tc>
        <w:tc>
          <w:tcPr>
            <w:tcW w:w="894" w:type="dxa"/>
            <w:shd w:val="clear" w:color="auto" w:fill="auto"/>
            <w:vAlign w:val="center"/>
            <w:hideMark/>
          </w:tcPr>
          <w:p w14:paraId="16BD7DEC"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34.7</w:t>
            </w:r>
          </w:p>
        </w:tc>
        <w:tc>
          <w:tcPr>
            <w:tcW w:w="917" w:type="dxa"/>
            <w:shd w:val="clear" w:color="auto" w:fill="auto"/>
            <w:vAlign w:val="center"/>
            <w:hideMark/>
          </w:tcPr>
          <w:p w14:paraId="7E9487FE"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17.8</w:t>
            </w:r>
          </w:p>
        </w:tc>
        <w:tc>
          <w:tcPr>
            <w:tcW w:w="874" w:type="dxa"/>
            <w:shd w:val="clear" w:color="auto" w:fill="auto"/>
            <w:vAlign w:val="center"/>
            <w:hideMark/>
          </w:tcPr>
          <w:p w14:paraId="2332237F"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31.5</w:t>
            </w:r>
          </w:p>
        </w:tc>
        <w:tc>
          <w:tcPr>
            <w:tcW w:w="1327" w:type="dxa"/>
            <w:vAlign w:val="center"/>
          </w:tcPr>
          <w:p w14:paraId="55887B4E"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35.9</w:t>
            </w:r>
          </w:p>
        </w:tc>
        <w:tc>
          <w:tcPr>
            <w:tcW w:w="1372" w:type="dxa"/>
            <w:vAlign w:val="center"/>
          </w:tcPr>
          <w:p w14:paraId="6FEF33B4"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49.6</w:t>
            </w:r>
          </w:p>
        </w:tc>
        <w:tc>
          <w:tcPr>
            <w:tcW w:w="1332" w:type="dxa"/>
            <w:vAlign w:val="center"/>
          </w:tcPr>
          <w:p w14:paraId="469F6E76"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40.6</w:t>
            </w:r>
          </w:p>
        </w:tc>
      </w:tr>
      <w:tr w:rsidR="00B25841" w:rsidRPr="00802308" w14:paraId="52B0FA2B" w14:textId="77777777" w:rsidTr="00802308">
        <w:trPr>
          <w:trHeight w:val="289"/>
        </w:trPr>
        <w:tc>
          <w:tcPr>
            <w:tcW w:w="2440" w:type="dxa"/>
            <w:shd w:val="clear" w:color="auto" w:fill="auto"/>
            <w:vAlign w:val="center"/>
            <w:hideMark/>
          </w:tcPr>
          <w:p w14:paraId="35DB828C"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412C1764"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18.5</w:t>
            </w:r>
          </w:p>
        </w:tc>
        <w:tc>
          <w:tcPr>
            <w:tcW w:w="894" w:type="dxa"/>
            <w:shd w:val="clear" w:color="auto" w:fill="auto"/>
            <w:vAlign w:val="center"/>
            <w:hideMark/>
          </w:tcPr>
          <w:p w14:paraId="538A2BB2"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25.5</w:t>
            </w:r>
          </w:p>
        </w:tc>
        <w:tc>
          <w:tcPr>
            <w:tcW w:w="917" w:type="dxa"/>
            <w:shd w:val="clear" w:color="auto" w:fill="auto"/>
            <w:vAlign w:val="center"/>
            <w:hideMark/>
          </w:tcPr>
          <w:p w14:paraId="76BB39BB"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13.1</w:t>
            </w:r>
          </w:p>
        </w:tc>
        <w:tc>
          <w:tcPr>
            <w:tcW w:w="874" w:type="dxa"/>
            <w:shd w:val="clear" w:color="auto" w:fill="auto"/>
            <w:vAlign w:val="center"/>
            <w:hideMark/>
          </w:tcPr>
          <w:p w14:paraId="07A2B49F"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23.5</w:t>
            </w:r>
          </w:p>
        </w:tc>
        <w:tc>
          <w:tcPr>
            <w:tcW w:w="1327" w:type="dxa"/>
            <w:vAlign w:val="center"/>
          </w:tcPr>
          <w:p w14:paraId="07F7EAA4"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24.9</w:t>
            </w:r>
          </w:p>
        </w:tc>
        <w:tc>
          <w:tcPr>
            <w:tcW w:w="1372" w:type="dxa"/>
            <w:vAlign w:val="center"/>
          </w:tcPr>
          <w:p w14:paraId="4CF155DE"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32.1</w:t>
            </w:r>
          </w:p>
        </w:tc>
        <w:tc>
          <w:tcPr>
            <w:tcW w:w="1332" w:type="dxa"/>
            <w:vAlign w:val="center"/>
          </w:tcPr>
          <w:p w14:paraId="6177F9A4"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17.1</w:t>
            </w:r>
          </w:p>
        </w:tc>
      </w:tr>
      <w:tr w:rsidR="00B25841" w:rsidRPr="00802308" w14:paraId="2257E089" w14:textId="77777777" w:rsidTr="00802308">
        <w:trPr>
          <w:trHeight w:val="289"/>
        </w:trPr>
        <w:tc>
          <w:tcPr>
            <w:tcW w:w="2440" w:type="dxa"/>
            <w:shd w:val="clear" w:color="auto" w:fill="auto"/>
            <w:vAlign w:val="center"/>
            <w:hideMark/>
          </w:tcPr>
          <w:p w14:paraId="6A7A2B8B"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6BE57139"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1.7</w:t>
            </w:r>
          </w:p>
        </w:tc>
        <w:tc>
          <w:tcPr>
            <w:tcW w:w="894" w:type="dxa"/>
            <w:shd w:val="clear" w:color="auto" w:fill="auto"/>
            <w:vAlign w:val="center"/>
            <w:hideMark/>
          </w:tcPr>
          <w:p w14:paraId="5C358FF7"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9.2</w:t>
            </w:r>
          </w:p>
        </w:tc>
        <w:tc>
          <w:tcPr>
            <w:tcW w:w="917" w:type="dxa"/>
            <w:shd w:val="clear" w:color="auto" w:fill="auto"/>
            <w:vAlign w:val="center"/>
            <w:hideMark/>
          </w:tcPr>
          <w:p w14:paraId="0DE0E51A"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4.7</w:t>
            </w:r>
          </w:p>
        </w:tc>
        <w:tc>
          <w:tcPr>
            <w:tcW w:w="874" w:type="dxa"/>
            <w:shd w:val="clear" w:color="auto" w:fill="auto"/>
            <w:vAlign w:val="center"/>
            <w:hideMark/>
          </w:tcPr>
          <w:p w14:paraId="07C1DF48"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8.0</w:t>
            </w:r>
          </w:p>
        </w:tc>
        <w:tc>
          <w:tcPr>
            <w:tcW w:w="1327" w:type="dxa"/>
            <w:vAlign w:val="center"/>
          </w:tcPr>
          <w:p w14:paraId="339F6F8D"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11.0</w:t>
            </w:r>
          </w:p>
        </w:tc>
        <w:tc>
          <w:tcPr>
            <w:tcW w:w="1372" w:type="dxa"/>
            <w:vAlign w:val="center"/>
          </w:tcPr>
          <w:p w14:paraId="06873603"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17.5</w:t>
            </w:r>
          </w:p>
        </w:tc>
        <w:tc>
          <w:tcPr>
            <w:tcW w:w="1332" w:type="dxa"/>
            <w:vAlign w:val="center"/>
          </w:tcPr>
          <w:p w14:paraId="0C2FD700"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23.6</w:t>
            </w:r>
          </w:p>
        </w:tc>
      </w:tr>
      <w:tr w:rsidR="00B25841" w:rsidRPr="00802308" w14:paraId="3C4014D2" w14:textId="77777777" w:rsidTr="00802308">
        <w:trPr>
          <w:trHeight w:val="289"/>
        </w:trPr>
        <w:tc>
          <w:tcPr>
            <w:tcW w:w="2440" w:type="dxa"/>
            <w:shd w:val="clear" w:color="auto" w:fill="auto"/>
            <w:vAlign w:val="center"/>
            <w:hideMark/>
          </w:tcPr>
          <w:p w14:paraId="204DB0D4"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Առողջապահություն </w:t>
            </w:r>
          </w:p>
        </w:tc>
        <w:tc>
          <w:tcPr>
            <w:tcW w:w="664" w:type="dxa"/>
            <w:shd w:val="clear" w:color="auto" w:fill="auto"/>
            <w:vAlign w:val="center"/>
            <w:hideMark/>
          </w:tcPr>
          <w:p w14:paraId="5F856C50"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1.0</w:t>
            </w:r>
          </w:p>
        </w:tc>
        <w:tc>
          <w:tcPr>
            <w:tcW w:w="894" w:type="dxa"/>
            <w:shd w:val="clear" w:color="auto" w:fill="auto"/>
            <w:vAlign w:val="center"/>
            <w:hideMark/>
          </w:tcPr>
          <w:p w14:paraId="1C9914DA"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7.2</w:t>
            </w:r>
          </w:p>
        </w:tc>
        <w:tc>
          <w:tcPr>
            <w:tcW w:w="917" w:type="dxa"/>
            <w:shd w:val="clear" w:color="auto" w:fill="auto"/>
            <w:vAlign w:val="center"/>
            <w:hideMark/>
          </w:tcPr>
          <w:p w14:paraId="37C1B63A"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7.5</w:t>
            </w:r>
          </w:p>
        </w:tc>
        <w:tc>
          <w:tcPr>
            <w:tcW w:w="874" w:type="dxa"/>
            <w:shd w:val="clear" w:color="auto" w:fill="auto"/>
            <w:vAlign w:val="center"/>
            <w:hideMark/>
          </w:tcPr>
          <w:p w14:paraId="1D78B068"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11.1</w:t>
            </w:r>
          </w:p>
        </w:tc>
        <w:tc>
          <w:tcPr>
            <w:tcW w:w="1327" w:type="dxa"/>
            <w:vAlign w:val="center"/>
          </w:tcPr>
          <w:p w14:paraId="3A143762"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13.8</w:t>
            </w:r>
          </w:p>
        </w:tc>
        <w:tc>
          <w:tcPr>
            <w:tcW w:w="1372" w:type="dxa"/>
            <w:vAlign w:val="center"/>
          </w:tcPr>
          <w:p w14:paraId="349D8DE2"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10.0</w:t>
            </w:r>
          </w:p>
        </w:tc>
        <w:tc>
          <w:tcPr>
            <w:tcW w:w="1332" w:type="dxa"/>
            <w:vAlign w:val="center"/>
          </w:tcPr>
          <w:p w14:paraId="1B58E46E"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8.8</w:t>
            </w:r>
          </w:p>
        </w:tc>
      </w:tr>
      <w:tr w:rsidR="00B25841" w:rsidRPr="00802308" w14:paraId="6C16C6B2" w14:textId="77777777" w:rsidTr="00802308">
        <w:trPr>
          <w:trHeight w:val="289"/>
        </w:trPr>
        <w:tc>
          <w:tcPr>
            <w:tcW w:w="2440" w:type="dxa"/>
            <w:shd w:val="clear" w:color="auto" w:fill="auto"/>
            <w:vAlign w:val="center"/>
            <w:hideMark/>
          </w:tcPr>
          <w:p w14:paraId="016B935C"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1700E673"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1.0</w:t>
            </w:r>
          </w:p>
        </w:tc>
        <w:tc>
          <w:tcPr>
            <w:tcW w:w="894" w:type="dxa"/>
            <w:shd w:val="clear" w:color="auto" w:fill="auto"/>
            <w:vAlign w:val="center"/>
            <w:hideMark/>
          </w:tcPr>
          <w:p w14:paraId="18957BD5"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7.2</w:t>
            </w:r>
          </w:p>
        </w:tc>
        <w:tc>
          <w:tcPr>
            <w:tcW w:w="917" w:type="dxa"/>
            <w:shd w:val="clear" w:color="auto" w:fill="auto"/>
            <w:vAlign w:val="center"/>
            <w:hideMark/>
          </w:tcPr>
          <w:p w14:paraId="39BC663F"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3.0</w:t>
            </w:r>
          </w:p>
        </w:tc>
        <w:tc>
          <w:tcPr>
            <w:tcW w:w="874" w:type="dxa"/>
            <w:shd w:val="clear" w:color="auto" w:fill="auto"/>
            <w:vAlign w:val="center"/>
            <w:hideMark/>
          </w:tcPr>
          <w:p w14:paraId="0BAB4223"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0.0</w:t>
            </w:r>
          </w:p>
        </w:tc>
        <w:tc>
          <w:tcPr>
            <w:tcW w:w="1327" w:type="dxa"/>
            <w:vAlign w:val="center"/>
          </w:tcPr>
          <w:p w14:paraId="44150032" w14:textId="77777777" w:rsidR="00B25841" w:rsidRPr="00802308" w:rsidRDefault="00B25841" w:rsidP="00802308">
            <w:pPr>
              <w:spacing w:before="0" w:line="240" w:lineRule="auto"/>
              <w:jc w:val="left"/>
              <w:rPr>
                <w:b/>
                <w:color w:val="000000"/>
                <w:sz w:val="20"/>
                <w:szCs w:val="20"/>
              </w:rPr>
            </w:pPr>
            <w:r w:rsidRPr="00802308">
              <w:rPr>
                <w:rFonts w:cs="Calibri"/>
                <w:color w:val="000000"/>
                <w:sz w:val="20"/>
                <w:szCs w:val="20"/>
              </w:rPr>
              <w:t>0.0</w:t>
            </w:r>
          </w:p>
        </w:tc>
        <w:tc>
          <w:tcPr>
            <w:tcW w:w="1372" w:type="dxa"/>
            <w:vAlign w:val="center"/>
          </w:tcPr>
          <w:p w14:paraId="74B562F1" w14:textId="77777777" w:rsidR="00B25841" w:rsidRPr="00802308" w:rsidRDefault="00B25841" w:rsidP="00802308">
            <w:pPr>
              <w:spacing w:before="0" w:line="240" w:lineRule="auto"/>
              <w:jc w:val="left"/>
              <w:rPr>
                <w:b/>
                <w:color w:val="000000"/>
                <w:sz w:val="20"/>
                <w:szCs w:val="20"/>
              </w:rPr>
            </w:pPr>
            <w:r w:rsidRPr="00802308">
              <w:rPr>
                <w:rFonts w:cs="Calibri"/>
                <w:color w:val="000000"/>
                <w:sz w:val="20"/>
                <w:szCs w:val="20"/>
              </w:rPr>
              <w:t>0.0</w:t>
            </w:r>
          </w:p>
        </w:tc>
        <w:tc>
          <w:tcPr>
            <w:tcW w:w="1332" w:type="dxa"/>
            <w:vAlign w:val="center"/>
          </w:tcPr>
          <w:p w14:paraId="6DA19D27" w14:textId="77777777" w:rsidR="00B25841" w:rsidRPr="00802308" w:rsidRDefault="00B25841" w:rsidP="00802308">
            <w:pPr>
              <w:spacing w:before="0" w:line="240" w:lineRule="auto"/>
              <w:jc w:val="left"/>
              <w:rPr>
                <w:b/>
                <w:color w:val="000000"/>
                <w:sz w:val="20"/>
                <w:szCs w:val="20"/>
              </w:rPr>
            </w:pPr>
            <w:r w:rsidRPr="00802308">
              <w:rPr>
                <w:rFonts w:cs="Calibri"/>
                <w:color w:val="000000"/>
                <w:sz w:val="20"/>
                <w:szCs w:val="20"/>
              </w:rPr>
              <w:t>0.0</w:t>
            </w:r>
          </w:p>
        </w:tc>
      </w:tr>
      <w:tr w:rsidR="00B25841" w:rsidRPr="00802308" w14:paraId="6E340189" w14:textId="77777777" w:rsidTr="00802308">
        <w:trPr>
          <w:trHeight w:val="289"/>
        </w:trPr>
        <w:tc>
          <w:tcPr>
            <w:tcW w:w="2440" w:type="dxa"/>
            <w:shd w:val="clear" w:color="auto" w:fill="auto"/>
            <w:vAlign w:val="center"/>
            <w:hideMark/>
          </w:tcPr>
          <w:p w14:paraId="40D1794C"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3F274255"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0.0</w:t>
            </w:r>
          </w:p>
        </w:tc>
        <w:tc>
          <w:tcPr>
            <w:tcW w:w="894" w:type="dxa"/>
            <w:shd w:val="clear" w:color="auto" w:fill="auto"/>
            <w:vAlign w:val="center"/>
            <w:hideMark/>
          </w:tcPr>
          <w:p w14:paraId="60289C08"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0.0</w:t>
            </w:r>
          </w:p>
        </w:tc>
        <w:tc>
          <w:tcPr>
            <w:tcW w:w="917" w:type="dxa"/>
            <w:shd w:val="clear" w:color="auto" w:fill="auto"/>
            <w:vAlign w:val="center"/>
            <w:hideMark/>
          </w:tcPr>
          <w:p w14:paraId="10F6C0FE"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4.5</w:t>
            </w:r>
          </w:p>
        </w:tc>
        <w:tc>
          <w:tcPr>
            <w:tcW w:w="874" w:type="dxa"/>
            <w:shd w:val="clear" w:color="auto" w:fill="auto"/>
            <w:vAlign w:val="center"/>
            <w:hideMark/>
          </w:tcPr>
          <w:p w14:paraId="65567AD5"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11.1</w:t>
            </w:r>
          </w:p>
        </w:tc>
        <w:tc>
          <w:tcPr>
            <w:tcW w:w="1327" w:type="dxa"/>
            <w:vAlign w:val="center"/>
          </w:tcPr>
          <w:p w14:paraId="41B31DD0"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13.8</w:t>
            </w:r>
          </w:p>
        </w:tc>
        <w:tc>
          <w:tcPr>
            <w:tcW w:w="1372" w:type="dxa"/>
            <w:vAlign w:val="center"/>
          </w:tcPr>
          <w:p w14:paraId="0F8B85A3"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10.0</w:t>
            </w:r>
          </w:p>
        </w:tc>
        <w:tc>
          <w:tcPr>
            <w:tcW w:w="1332" w:type="dxa"/>
            <w:vAlign w:val="center"/>
          </w:tcPr>
          <w:p w14:paraId="7692863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8.8</w:t>
            </w:r>
          </w:p>
        </w:tc>
      </w:tr>
      <w:tr w:rsidR="00B25841" w:rsidRPr="00802308" w14:paraId="48BBE00A" w14:textId="77777777" w:rsidTr="00802308">
        <w:trPr>
          <w:trHeight w:val="563"/>
        </w:trPr>
        <w:tc>
          <w:tcPr>
            <w:tcW w:w="2440" w:type="dxa"/>
            <w:shd w:val="clear" w:color="auto" w:fill="auto"/>
            <w:vAlign w:val="center"/>
            <w:hideMark/>
          </w:tcPr>
          <w:p w14:paraId="5C2BD3E3"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Կրթություն</w:t>
            </w:r>
            <w:r w:rsidRPr="00802308">
              <w:rPr>
                <w:rFonts w:eastAsia="Microsoft JhengHei"/>
                <w:b/>
                <w:bCs/>
                <w:color w:val="000000"/>
                <w:sz w:val="20"/>
                <w:szCs w:val="20"/>
              </w:rPr>
              <w:t>﹐</w:t>
            </w:r>
            <w:r w:rsidRPr="00802308">
              <w:rPr>
                <w:b/>
                <w:bCs/>
                <w:color w:val="000000"/>
                <w:sz w:val="20"/>
                <w:szCs w:val="20"/>
              </w:rPr>
              <w:t xml:space="preserve">գիտություն մշակույթ և սպորտ </w:t>
            </w:r>
          </w:p>
        </w:tc>
        <w:tc>
          <w:tcPr>
            <w:tcW w:w="664" w:type="dxa"/>
            <w:shd w:val="clear" w:color="auto" w:fill="auto"/>
            <w:vAlign w:val="center"/>
            <w:hideMark/>
          </w:tcPr>
          <w:p w14:paraId="186C93B1"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10.0</w:t>
            </w:r>
          </w:p>
        </w:tc>
        <w:tc>
          <w:tcPr>
            <w:tcW w:w="894" w:type="dxa"/>
            <w:shd w:val="clear" w:color="auto" w:fill="auto"/>
            <w:vAlign w:val="center"/>
            <w:hideMark/>
          </w:tcPr>
          <w:p w14:paraId="186ABA2E"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33.3</w:t>
            </w:r>
          </w:p>
        </w:tc>
        <w:tc>
          <w:tcPr>
            <w:tcW w:w="917" w:type="dxa"/>
            <w:shd w:val="clear" w:color="auto" w:fill="auto"/>
            <w:vAlign w:val="center"/>
            <w:hideMark/>
          </w:tcPr>
          <w:p w14:paraId="5175381F"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29.6</w:t>
            </w:r>
          </w:p>
        </w:tc>
        <w:tc>
          <w:tcPr>
            <w:tcW w:w="874" w:type="dxa"/>
            <w:shd w:val="clear" w:color="auto" w:fill="auto"/>
            <w:vAlign w:val="center"/>
            <w:hideMark/>
          </w:tcPr>
          <w:p w14:paraId="18F6ED0F"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128.9</w:t>
            </w:r>
          </w:p>
        </w:tc>
        <w:tc>
          <w:tcPr>
            <w:tcW w:w="1327" w:type="dxa"/>
            <w:vAlign w:val="center"/>
          </w:tcPr>
          <w:p w14:paraId="53F10C39"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125.6</w:t>
            </w:r>
          </w:p>
        </w:tc>
        <w:tc>
          <w:tcPr>
            <w:tcW w:w="1372" w:type="dxa"/>
            <w:vAlign w:val="center"/>
          </w:tcPr>
          <w:p w14:paraId="616ED440"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133.6</w:t>
            </w:r>
          </w:p>
        </w:tc>
        <w:tc>
          <w:tcPr>
            <w:tcW w:w="1332" w:type="dxa"/>
            <w:vAlign w:val="center"/>
          </w:tcPr>
          <w:p w14:paraId="73D18A84"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184.6</w:t>
            </w:r>
          </w:p>
        </w:tc>
      </w:tr>
      <w:tr w:rsidR="00B25841" w:rsidRPr="00802308" w14:paraId="6498DC62" w14:textId="77777777" w:rsidTr="00802308">
        <w:trPr>
          <w:trHeight w:val="289"/>
        </w:trPr>
        <w:tc>
          <w:tcPr>
            <w:tcW w:w="2440" w:type="dxa"/>
            <w:shd w:val="clear" w:color="auto" w:fill="auto"/>
            <w:vAlign w:val="center"/>
            <w:hideMark/>
          </w:tcPr>
          <w:p w14:paraId="6A8EC3A9"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01F5170B"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8.5</w:t>
            </w:r>
          </w:p>
        </w:tc>
        <w:tc>
          <w:tcPr>
            <w:tcW w:w="894" w:type="dxa"/>
            <w:shd w:val="clear" w:color="auto" w:fill="auto"/>
            <w:vAlign w:val="center"/>
            <w:hideMark/>
          </w:tcPr>
          <w:p w14:paraId="3281C302"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9.0</w:t>
            </w:r>
          </w:p>
        </w:tc>
        <w:tc>
          <w:tcPr>
            <w:tcW w:w="917" w:type="dxa"/>
            <w:shd w:val="clear" w:color="auto" w:fill="auto"/>
            <w:vAlign w:val="center"/>
            <w:hideMark/>
          </w:tcPr>
          <w:p w14:paraId="3722FE8B"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14.2</w:t>
            </w:r>
          </w:p>
        </w:tc>
        <w:tc>
          <w:tcPr>
            <w:tcW w:w="874" w:type="dxa"/>
            <w:shd w:val="clear" w:color="auto" w:fill="auto"/>
            <w:vAlign w:val="center"/>
            <w:hideMark/>
          </w:tcPr>
          <w:p w14:paraId="548BEAAB"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14.2</w:t>
            </w:r>
          </w:p>
        </w:tc>
        <w:tc>
          <w:tcPr>
            <w:tcW w:w="1327" w:type="dxa"/>
            <w:vAlign w:val="center"/>
          </w:tcPr>
          <w:p w14:paraId="16B6899A"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11.6</w:t>
            </w:r>
          </w:p>
        </w:tc>
        <w:tc>
          <w:tcPr>
            <w:tcW w:w="1372" w:type="dxa"/>
            <w:vAlign w:val="center"/>
          </w:tcPr>
          <w:p w14:paraId="73C98680"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8.9</w:t>
            </w:r>
          </w:p>
        </w:tc>
        <w:tc>
          <w:tcPr>
            <w:tcW w:w="1332" w:type="dxa"/>
            <w:vAlign w:val="center"/>
          </w:tcPr>
          <w:p w14:paraId="1539C720"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8.3</w:t>
            </w:r>
          </w:p>
        </w:tc>
      </w:tr>
      <w:tr w:rsidR="00B25841" w:rsidRPr="00802308" w14:paraId="3ED55760" w14:textId="77777777" w:rsidTr="00802308">
        <w:trPr>
          <w:trHeight w:val="289"/>
        </w:trPr>
        <w:tc>
          <w:tcPr>
            <w:tcW w:w="2440" w:type="dxa"/>
            <w:shd w:val="clear" w:color="auto" w:fill="auto"/>
            <w:vAlign w:val="center"/>
            <w:hideMark/>
          </w:tcPr>
          <w:p w14:paraId="574B798F"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05835A9D"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1.4</w:t>
            </w:r>
          </w:p>
        </w:tc>
        <w:tc>
          <w:tcPr>
            <w:tcW w:w="894" w:type="dxa"/>
            <w:shd w:val="clear" w:color="auto" w:fill="auto"/>
            <w:vAlign w:val="center"/>
            <w:hideMark/>
          </w:tcPr>
          <w:p w14:paraId="1B37EF96"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24.4</w:t>
            </w:r>
          </w:p>
        </w:tc>
        <w:tc>
          <w:tcPr>
            <w:tcW w:w="917" w:type="dxa"/>
            <w:shd w:val="clear" w:color="auto" w:fill="auto"/>
            <w:vAlign w:val="center"/>
            <w:hideMark/>
          </w:tcPr>
          <w:p w14:paraId="4BEF09F5"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15.4</w:t>
            </w:r>
          </w:p>
        </w:tc>
        <w:tc>
          <w:tcPr>
            <w:tcW w:w="874" w:type="dxa"/>
            <w:shd w:val="clear" w:color="auto" w:fill="auto"/>
            <w:vAlign w:val="center"/>
            <w:hideMark/>
          </w:tcPr>
          <w:p w14:paraId="2C5DEC3F"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114.7</w:t>
            </w:r>
          </w:p>
        </w:tc>
        <w:tc>
          <w:tcPr>
            <w:tcW w:w="1327" w:type="dxa"/>
            <w:vAlign w:val="center"/>
          </w:tcPr>
          <w:p w14:paraId="2A3D0A79"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114.0</w:t>
            </w:r>
          </w:p>
        </w:tc>
        <w:tc>
          <w:tcPr>
            <w:tcW w:w="1372" w:type="dxa"/>
            <w:vAlign w:val="center"/>
          </w:tcPr>
          <w:p w14:paraId="02C798C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124.7</w:t>
            </w:r>
          </w:p>
        </w:tc>
        <w:tc>
          <w:tcPr>
            <w:tcW w:w="1332" w:type="dxa"/>
            <w:vAlign w:val="center"/>
          </w:tcPr>
          <w:p w14:paraId="3E3CD572"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176.3</w:t>
            </w:r>
          </w:p>
        </w:tc>
      </w:tr>
      <w:tr w:rsidR="00B25841" w:rsidRPr="00802308" w14:paraId="26709183" w14:textId="77777777" w:rsidTr="00802308">
        <w:trPr>
          <w:trHeight w:val="289"/>
        </w:trPr>
        <w:tc>
          <w:tcPr>
            <w:tcW w:w="2440" w:type="dxa"/>
            <w:shd w:val="clear" w:color="auto" w:fill="auto"/>
            <w:vAlign w:val="center"/>
            <w:hideMark/>
          </w:tcPr>
          <w:p w14:paraId="1985CA01"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Սոցիալական </w:t>
            </w:r>
          </w:p>
        </w:tc>
        <w:tc>
          <w:tcPr>
            <w:tcW w:w="664" w:type="dxa"/>
            <w:shd w:val="clear" w:color="auto" w:fill="auto"/>
            <w:vAlign w:val="center"/>
            <w:hideMark/>
          </w:tcPr>
          <w:p w14:paraId="3CA350D2"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2.5</w:t>
            </w:r>
          </w:p>
        </w:tc>
        <w:tc>
          <w:tcPr>
            <w:tcW w:w="894" w:type="dxa"/>
            <w:shd w:val="clear" w:color="auto" w:fill="auto"/>
            <w:vAlign w:val="center"/>
            <w:hideMark/>
          </w:tcPr>
          <w:p w14:paraId="60605490"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2.9</w:t>
            </w:r>
          </w:p>
        </w:tc>
        <w:tc>
          <w:tcPr>
            <w:tcW w:w="917" w:type="dxa"/>
            <w:shd w:val="clear" w:color="auto" w:fill="auto"/>
            <w:vAlign w:val="center"/>
            <w:hideMark/>
          </w:tcPr>
          <w:p w14:paraId="6A991511"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1.4</w:t>
            </w:r>
          </w:p>
        </w:tc>
        <w:tc>
          <w:tcPr>
            <w:tcW w:w="874" w:type="dxa"/>
            <w:shd w:val="clear" w:color="auto" w:fill="auto"/>
            <w:vAlign w:val="center"/>
            <w:hideMark/>
          </w:tcPr>
          <w:p w14:paraId="0DCA1794"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1.9</w:t>
            </w:r>
          </w:p>
        </w:tc>
        <w:tc>
          <w:tcPr>
            <w:tcW w:w="1327" w:type="dxa"/>
            <w:vAlign w:val="center"/>
          </w:tcPr>
          <w:p w14:paraId="1CF7398C"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1.4</w:t>
            </w:r>
          </w:p>
        </w:tc>
        <w:tc>
          <w:tcPr>
            <w:tcW w:w="1372" w:type="dxa"/>
            <w:vAlign w:val="center"/>
          </w:tcPr>
          <w:p w14:paraId="53676CDA"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1.4</w:t>
            </w:r>
          </w:p>
        </w:tc>
        <w:tc>
          <w:tcPr>
            <w:tcW w:w="1332" w:type="dxa"/>
            <w:vAlign w:val="center"/>
          </w:tcPr>
          <w:p w14:paraId="41C7BB7D"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2.7</w:t>
            </w:r>
          </w:p>
        </w:tc>
      </w:tr>
      <w:tr w:rsidR="00B25841" w:rsidRPr="00802308" w14:paraId="2B4D4813" w14:textId="77777777" w:rsidTr="00802308">
        <w:trPr>
          <w:trHeight w:val="289"/>
        </w:trPr>
        <w:tc>
          <w:tcPr>
            <w:tcW w:w="2440" w:type="dxa"/>
            <w:shd w:val="clear" w:color="auto" w:fill="auto"/>
            <w:vAlign w:val="center"/>
            <w:hideMark/>
          </w:tcPr>
          <w:p w14:paraId="478B2608"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403ED9C6"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1.2</w:t>
            </w:r>
          </w:p>
        </w:tc>
        <w:tc>
          <w:tcPr>
            <w:tcW w:w="894" w:type="dxa"/>
            <w:shd w:val="clear" w:color="auto" w:fill="auto"/>
            <w:vAlign w:val="center"/>
            <w:hideMark/>
          </w:tcPr>
          <w:p w14:paraId="463544BD"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2.6</w:t>
            </w:r>
          </w:p>
        </w:tc>
        <w:tc>
          <w:tcPr>
            <w:tcW w:w="917" w:type="dxa"/>
            <w:shd w:val="clear" w:color="auto" w:fill="auto"/>
            <w:vAlign w:val="center"/>
            <w:hideMark/>
          </w:tcPr>
          <w:p w14:paraId="049AEF44"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1.3</w:t>
            </w:r>
          </w:p>
        </w:tc>
        <w:tc>
          <w:tcPr>
            <w:tcW w:w="874" w:type="dxa"/>
            <w:shd w:val="clear" w:color="auto" w:fill="auto"/>
            <w:vAlign w:val="center"/>
            <w:hideMark/>
          </w:tcPr>
          <w:p w14:paraId="46D9A6B2"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0.8</w:t>
            </w:r>
          </w:p>
        </w:tc>
        <w:tc>
          <w:tcPr>
            <w:tcW w:w="1327" w:type="dxa"/>
            <w:vAlign w:val="center"/>
          </w:tcPr>
          <w:p w14:paraId="26DCCDD6"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72" w:type="dxa"/>
            <w:vAlign w:val="center"/>
          </w:tcPr>
          <w:p w14:paraId="7FD1560B"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c>
          <w:tcPr>
            <w:tcW w:w="1332" w:type="dxa"/>
            <w:vAlign w:val="center"/>
          </w:tcPr>
          <w:p w14:paraId="1CDED2E4"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0.0</w:t>
            </w:r>
          </w:p>
        </w:tc>
      </w:tr>
      <w:tr w:rsidR="00B25841" w:rsidRPr="00802308" w14:paraId="42B3459B" w14:textId="77777777" w:rsidTr="00802308">
        <w:trPr>
          <w:trHeight w:val="289"/>
        </w:trPr>
        <w:tc>
          <w:tcPr>
            <w:tcW w:w="2440" w:type="dxa"/>
            <w:shd w:val="clear" w:color="auto" w:fill="auto"/>
            <w:vAlign w:val="center"/>
            <w:hideMark/>
          </w:tcPr>
          <w:p w14:paraId="4ED2D32C"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08FC29C3"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1.3</w:t>
            </w:r>
          </w:p>
        </w:tc>
        <w:tc>
          <w:tcPr>
            <w:tcW w:w="894" w:type="dxa"/>
            <w:shd w:val="clear" w:color="auto" w:fill="auto"/>
            <w:vAlign w:val="center"/>
            <w:hideMark/>
          </w:tcPr>
          <w:p w14:paraId="4CDACB19"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0.3</w:t>
            </w:r>
          </w:p>
        </w:tc>
        <w:tc>
          <w:tcPr>
            <w:tcW w:w="917" w:type="dxa"/>
            <w:shd w:val="clear" w:color="auto" w:fill="auto"/>
            <w:vAlign w:val="center"/>
            <w:hideMark/>
          </w:tcPr>
          <w:p w14:paraId="00AE4CD6"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0.1</w:t>
            </w:r>
          </w:p>
        </w:tc>
        <w:tc>
          <w:tcPr>
            <w:tcW w:w="874" w:type="dxa"/>
            <w:shd w:val="clear" w:color="auto" w:fill="auto"/>
            <w:vAlign w:val="center"/>
            <w:hideMark/>
          </w:tcPr>
          <w:p w14:paraId="39C65D8C"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1.1</w:t>
            </w:r>
          </w:p>
        </w:tc>
        <w:tc>
          <w:tcPr>
            <w:tcW w:w="1327" w:type="dxa"/>
            <w:vAlign w:val="center"/>
          </w:tcPr>
          <w:p w14:paraId="09FF995B"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1.4</w:t>
            </w:r>
          </w:p>
        </w:tc>
        <w:tc>
          <w:tcPr>
            <w:tcW w:w="1372" w:type="dxa"/>
            <w:vAlign w:val="center"/>
          </w:tcPr>
          <w:p w14:paraId="2DAB00AA"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1.4</w:t>
            </w:r>
          </w:p>
        </w:tc>
        <w:tc>
          <w:tcPr>
            <w:tcW w:w="1332" w:type="dxa"/>
            <w:vAlign w:val="center"/>
          </w:tcPr>
          <w:p w14:paraId="144553F9"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2.7</w:t>
            </w:r>
          </w:p>
        </w:tc>
      </w:tr>
      <w:tr w:rsidR="00B25841" w:rsidRPr="00802308" w14:paraId="3C5A4CC7" w14:textId="77777777" w:rsidTr="00802308">
        <w:trPr>
          <w:trHeight w:val="289"/>
        </w:trPr>
        <w:tc>
          <w:tcPr>
            <w:tcW w:w="2440" w:type="dxa"/>
            <w:shd w:val="clear" w:color="auto" w:fill="auto"/>
            <w:vAlign w:val="center"/>
            <w:hideMark/>
          </w:tcPr>
          <w:p w14:paraId="72823674"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Ուժային </w:t>
            </w:r>
          </w:p>
        </w:tc>
        <w:tc>
          <w:tcPr>
            <w:tcW w:w="664" w:type="dxa"/>
            <w:shd w:val="clear" w:color="auto" w:fill="auto"/>
            <w:vAlign w:val="center"/>
            <w:hideMark/>
          </w:tcPr>
          <w:p w14:paraId="086FF69B"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88.7</w:t>
            </w:r>
          </w:p>
        </w:tc>
        <w:tc>
          <w:tcPr>
            <w:tcW w:w="894" w:type="dxa"/>
            <w:shd w:val="clear" w:color="auto" w:fill="auto"/>
            <w:vAlign w:val="center"/>
            <w:hideMark/>
          </w:tcPr>
          <w:p w14:paraId="4A545287"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131.3</w:t>
            </w:r>
          </w:p>
        </w:tc>
        <w:tc>
          <w:tcPr>
            <w:tcW w:w="917" w:type="dxa"/>
            <w:shd w:val="clear" w:color="auto" w:fill="auto"/>
            <w:vAlign w:val="center"/>
            <w:hideMark/>
          </w:tcPr>
          <w:p w14:paraId="1FEEE40E"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296.1</w:t>
            </w:r>
          </w:p>
        </w:tc>
        <w:tc>
          <w:tcPr>
            <w:tcW w:w="874" w:type="dxa"/>
            <w:shd w:val="clear" w:color="auto" w:fill="auto"/>
            <w:vAlign w:val="center"/>
            <w:hideMark/>
          </w:tcPr>
          <w:p w14:paraId="2AAFACDA"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297.3</w:t>
            </w:r>
          </w:p>
        </w:tc>
        <w:tc>
          <w:tcPr>
            <w:tcW w:w="1327" w:type="dxa"/>
            <w:vAlign w:val="center"/>
          </w:tcPr>
          <w:p w14:paraId="3086F0C7"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417.2</w:t>
            </w:r>
          </w:p>
        </w:tc>
        <w:tc>
          <w:tcPr>
            <w:tcW w:w="1372" w:type="dxa"/>
            <w:vAlign w:val="center"/>
          </w:tcPr>
          <w:p w14:paraId="43CFC401"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357.6</w:t>
            </w:r>
          </w:p>
        </w:tc>
        <w:tc>
          <w:tcPr>
            <w:tcW w:w="1332" w:type="dxa"/>
            <w:vAlign w:val="center"/>
          </w:tcPr>
          <w:p w14:paraId="149F3FAB"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344.2</w:t>
            </w:r>
          </w:p>
        </w:tc>
      </w:tr>
      <w:tr w:rsidR="00B25841" w:rsidRPr="00802308" w14:paraId="0424E222" w14:textId="77777777" w:rsidTr="00802308">
        <w:trPr>
          <w:trHeight w:val="289"/>
        </w:trPr>
        <w:tc>
          <w:tcPr>
            <w:tcW w:w="2440" w:type="dxa"/>
            <w:shd w:val="clear" w:color="auto" w:fill="auto"/>
            <w:vAlign w:val="center"/>
            <w:hideMark/>
          </w:tcPr>
          <w:p w14:paraId="6F4036F9" w14:textId="77777777" w:rsidR="00B25841" w:rsidRPr="00802308" w:rsidRDefault="00B25841" w:rsidP="00802308">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0D89CFA4"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0.0</w:t>
            </w:r>
          </w:p>
        </w:tc>
        <w:tc>
          <w:tcPr>
            <w:tcW w:w="894" w:type="dxa"/>
            <w:shd w:val="clear" w:color="auto" w:fill="auto"/>
            <w:vAlign w:val="center"/>
            <w:hideMark/>
          </w:tcPr>
          <w:p w14:paraId="7AEF90AE"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0.0</w:t>
            </w:r>
          </w:p>
        </w:tc>
        <w:tc>
          <w:tcPr>
            <w:tcW w:w="917" w:type="dxa"/>
            <w:shd w:val="clear" w:color="auto" w:fill="auto"/>
            <w:vAlign w:val="center"/>
            <w:hideMark/>
          </w:tcPr>
          <w:p w14:paraId="538E55B3"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0.0</w:t>
            </w:r>
          </w:p>
        </w:tc>
        <w:tc>
          <w:tcPr>
            <w:tcW w:w="874" w:type="dxa"/>
            <w:shd w:val="clear" w:color="auto" w:fill="auto"/>
            <w:vAlign w:val="center"/>
            <w:hideMark/>
          </w:tcPr>
          <w:p w14:paraId="167AA2D9"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0.0</w:t>
            </w:r>
          </w:p>
        </w:tc>
        <w:tc>
          <w:tcPr>
            <w:tcW w:w="1327" w:type="dxa"/>
            <w:vAlign w:val="center"/>
          </w:tcPr>
          <w:p w14:paraId="79C62B1B"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116.2</w:t>
            </w:r>
          </w:p>
        </w:tc>
        <w:tc>
          <w:tcPr>
            <w:tcW w:w="1372" w:type="dxa"/>
            <w:vAlign w:val="center"/>
          </w:tcPr>
          <w:p w14:paraId="4270A790"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116.4</w:t>
            </w:r>
          </w:p>
        </w:tc>
        <w:tc>
          <w:tcPr>
            <w:tcW w:w="1332" w:type="dxa"/>
            <w:vAlign w:val="center"/>
          </w:tcPr>
          <w:p w14:paraId="76D929C8"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139.7</w:t>
            </w:r>
          </w:p>
        </w:tc>
      </w:tr>
      <w:tr w:rsidR="00B25841" w:rsidRPr="00802308" w14:paraId="7D3DE745" w14:textId="77777777" w:rsidTr="00802308">
        <w:trPr>
          <w:trHeight w:val="289"/>
        </w:trPr>
        <w:tc>
          <w:tcPr>
            <w:tcW w:w="2440" w:type="dxa"/>
            <w:shd w:val="clear" w:color="auto" w:fill="auto"/>
            <w:vAlign w:val="center"/>
            <w:hideMark/>
          </w:tcPr>
          <w:p w14:paraId="1603EB3A" w14:textId="77777777" w:rsidR="00B25841" w:rsidRPr="00802308" w:rsidRDefault="00B25841" w:rsidP="00802308">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2F63BE61" w14:textId="77777777" w:rsidR="00B25841" w:rsidRPr="00802308" w:rsidRDefault="00B25841" w:rsidP="00802308">
            <w:pPr>
              <w:spacing w:before="0" w:line="240" w:lineRule="auto"/>
              <w:ind w:firstLine="15"/>
              <w:jc w:val="left"/>
              <w:rPr>
                <w:b/>
                <w:color w:val="000000"/>
                <w:sz w:val="20"/>
                <w:szCs w:val="20"/>
              </w:rPr>
            </w:pPr>
            <w:r w:rsidRPr="00802308">
              <w:rPr>
                <w:rFonts w:cs="Calibri"/>
                <w:color w:val="000000"/>
                <w:sz w:val="20"/>
                <w:szCs w:val="20"/>
              </w:rPr>
              <w:t>88.7</w:t>
            </w:r>
          </w:p>
        </w:tc>
        <w:tc>
          <w:tcPr>
            <w:tcW w:w="894" w:type="dxa"/>
            <w:shd w:val="clear" w:color="auto" w:fill="auto"/>
            <w:vAlign w:val="center"/>
            <w:hideMark/>
          </w:tcPr>
          <w:p w14:paraId="208B4C75"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131.3</w:t>
            </w:r>
          </w:p>
        </w:tc>
        <w:tc>
          <w:tcPr>
            <w:tcW w:w="917" w:type="dxa"/>
            <w:shd w:val="clear" w:color="auto" w:fill="auto"/>
            <w:vAlign w:val="center"/>
            <w:hideMark/>
          </w:tcPr>
          <w:p w14:paraId="1B00E758" w14:textId="77777777" w:rsidR="00B25841" w:rsidRPr="00802308" w:rsidRDefault="00B25841" w:rsidP="00802308">
            <w:pPr>
              <w:spacing w:before="0" w:line="240" w:lineRule="auto"/>
              <w:ind w:firstLine="0"/>
              <w:jc w:val="left"/>
              <w:rPr>
                <w:b/>
                <w:color w:val="000000"/>
                <w:sz w:val="20"/>
                <w:szCs w:val="20"/>
              </w:rPr>
            </w:pPr>
            <w:r w:rsidRPr="00802308">
              <w:rPr>
                <w:rFonts w:cs="Calibri"/>
                <w:color w:val="000000"/>
                <w:sz w:val="20"/>
                <w:szCs w:val="20"/>
              </w:rPr>
              <w:t>296.1</w:t>
            </w:r>
          </w:p>
        </w:tc>
        <w:tc>
          <w:tcPr>
            <w:tcW w:w="874" w:type="dxa"/>
            <w:shd w:val="clear" w:color="auto" w:fill="auto"/>
            <w:vAlign w:val="center"/>
            <w:hideMark/>
          </w:tcPr>
          <w:p w14:paraId="0CB7CF59" w14:textId="77777777" w:rsidR="00B25841" w:rsidRPr="00802308" w:rsidRDefault="00B25841" w:rsidP="00802308">
            <w:pPr>
              <w:spacing w:before="0" w:line="240" w:lineRule="auto"/>
              <w:ind w:hanging="30"/>
              <w:jc w:val="left"/>
              <w:rPr>
                <w:b/>
                <w:color w:val="000000"/>
                <w:sz w:val="20"/>
                <w:szCs w:val="20"/>
              </w:rPr>
            </w:pPr>
            <w:r w:rsidRPr="00802308">
              <w:rPr>
                <w:rFonts w:cs="Calibri"/>
                <w:color w:val="000000"/>
                <w:sz w:val="20"/>
                <w:szCs w:val="20"/>
              </w:rPr>
              <w:t>297.3</w:t>
            </w:r>
          </w:p>
        </w:tc>
        <w:tc>
          <w:tcPr>
            <w:tcW w:w="1327" w:type="dxa"/>
            <w:vAlign w:val="center"/>
          </w:tcPr>
          <w:p w14:paraId="029A3B8A"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301.0</w:t>
            </w:r>
          </w:p>
        </w:tc>
        <w:tc>
          <w:tcPr>
            <w:tcW w:w="1372" w:type="dxa"/>
            <w:vAlign w:val="center"/>
          </w:tcPr>
          <w:p w14:paraId="71EAC511"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241.2</w:t>
            </w:r>
          </w:p>
        </w:tc>
        <w:tc>
          <w:tcPr>
            <w:tcW w:w="1332" w:type="dxa"/>
            <w:vAlign w:val="center"/>
          </w:tcPr>
          <w:p w14:paraId="56971643" w14:textId="77777777" w:rsidR="00B25841" w:rsidRPr="00802308" w:rsidRDefault="00B25841" w:rsidP="00802308">
            <w:pPr>
              <w:spacing w:before="0" w:line="240" w:lineRule="auto"/>
              <w:jc w:val="left"/>
              <w:rPr>
                <w:color w:val="000000"/>
                <w:sz w:val="20"/>
                <w:szCs w:val="20"/>
              </w:rPr>
            </w:pPr>
            <w:r w:rsidRPr="00802308">
              <w:rPr>
                <w:rFonts w:cs="Calibri"/>
                <w:color w:val="000000"/>
                <w:sz w:val="20"/>
                <w:szCs w:val="20"/>
              </w:rPr>
              <w:t>204.5</w:t>
            </w:r>
          </w:p>
        </w:tc>
      </w:tr>
      <w:tr w:rsidR="00B25841" w:rsidRPr="00802308" w14:paraId="36E32934" w14:textId="77777777" w:rsidTr="00802308">
        <w:trPr>
          <w:trHeight w:val="289"/>
        </w:trPr>
        <w:tc>
          <w:tcPr>
            <w:tcW w:w="2440" w:type="dxa"/>
            <w:shd w:val="clear" w:color="auto" w:fill="auto"/>
            <w:vAlign w:val="center"/>
            <w:hideMark/>
          </w:tcPr>
          <w:p w14:paraId="4ADE4797" w14:textId="77777777" w:rsidR="00B25841" w:rsidRPr="00802308" w:rsidRDefault="00B25841" w:rsidP="00802308">
            <w:pPr>
              <w:spacing w:before="0" w:line="240" w:lineRule="auto"/>
              <w:ind w:left="-105" w:firstLine="0"/>
              <w:jc w:val="left"/>
              <w:rPr>
                <w:b/>
                <w:bCs/>
                <w:i/>
                <w:iCs/>
                <w:color w:val="000000"/>
                <w:sz w:val="20"/>
                <w:szCs w:val="20"/>
              </w:rPr>
            </w:pPr>
            <w:r w:rsidRPr="00802308">
              <w:rPr>
                <w:b/>
                <w:bCs/>
                <w:i/>
                <w:iCs/>
                <w:color w:val="000000"/>
                <w:sz w:val="20"/>
                <w:szCs w:val="20"/>
              </w:rPr>
              <w:t xml:space="preserve"> Այլ </w:t>
            </w:r>
          </w:p>
        </w:tc>
        <w:tc>
          <w:tcPr>
            <w:tcW w:w="664" w:type="dxa"/>
            <w:shd w:val="clear" w:color="auto" w:fill="auto"/>
            <w:vAlign w:val="center"/>
            <w:hideMark/>
          </w:tcPr>
          <w:p w14:paraId="4C6D39B5" w14:textId="77777777" w:rsidR="00B25841" w:rsidRPr="00802308" w:rsidRDefault="00B25841" w:rsidP="00802308">
            <w:pPr>
              <w:spacing w:before="0" w:line="240" w:lineRule="auto"/>
              <w:ind w:firstLine="15"/>
              <w:jc w:val="left"/>
              <w:rPr>
                <w:b/>
                <w:bCs/>
                <w:color w:val="000000"/>
                <w:sz w:val="20"/>
                <w:szCs w:val="20"/>
              </w:rPr>
            </w:pPr>
            <w:r w:rsidRPr="00802308">
              <w:rPr>
                <w:rFonts w:cs="Calibri"/>
                <w:b/>
                <w:bCs/>
                <w:color w:val="000000"/>
                <w:sz w:val="20"/>
                <w:szCs w:val="20"/>
              </w:rPr>
              <w:t>26.3</w:t>
            </w:r>
          </w:p>
        </w:tc>
        <w:tc>
          <w:tcPr>
            <w:tcW w:w="894" w:type="dxa"/>
            <w:shd w:val="clear" w:color="auto" w:fill="auto"/>
            <w:vAlign w:val="center"/>
            <w:hideMark/>
          </w:tcPr>
          <w:p w14:paraId="154BA408"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36.1</w:t>
            </w:r>
          </w:p>
        </w:tc>
        <w:tc>
          <w:tcPr>
            <w:tcW w:w="917" w:type="dxa"/>
            <w:shd w:val="clear" w:color="auto" w:fill="auto"/>
            <w:vAlign w:val="center"/>
            <w:hideMark/>
          </w:tcPr>
          <w:p w14:paraId="11E08121" w14:textId="77777777" w:rsidR="00B25841" w:rsidRPr="00802308" w:rsidRDefault="00B25841" w:rsidP="00802308">
            <w:pPr>
              <w:spacing w:before="0" w:line="240" w:lineRule="auto"/>
              <w:ind w:firstLine="0"/>
              <w:jc w:val="left"/>
              <w:rPr>
                <w:b/>
                <w:bCs/>
                <w:color w:val="000000"/>
                <w:sz w:val="20"/>
                <w:szCs w:val="20"/>
              </w:rPr>
            </w:pPr>
            <w:r w:rsidRPr="00802308">
              <w:rPr>
                <w:rFonts w:cs="Calibri"/>
                <w:b/>
                <w:bCs/>
                <w:color w:val="000000"/>
                <w:sz w:val="20"/>
                <w:szCs w:val="20"/>
              </w:rPr>
              <w:t>40.6</w:t>
            </w:r>
          </w:p>
        </w:tc>
        <w:tc>
          <w:tcPr>
            <w:tcW w:w="874" w:type="dxa"/>
            <w:shd w:val="clear" w:color="auto" w:fill="auto"/>
            <w:vAlign w:val="center"/>
            <w:hideMark/>
          </w:tcPr>
          <w:p w14:paraId="6CC687A2" w14:textId="77777777" w:rsidR="00B25841" w:rsidRPr="00802308" w:rsidRDefault="00B25841" w:rsidP="00802308">
            <w:pPr>
              <w:spacing w:before="0" w:line="240" w:lineRule="auto"/>
              <w:ind w:hanging="30"/>
              <w:jc w:val="left"/>
              <w:rPr>
                <w:b/>
                <w:bCs/>
                <w:color w:val="000000"/>
                <w:sz w:val="20"/>
                <w:szCs w:val="20"/>
              </w:rPr>
            </w:pPr>
            <w:r w:rsidRPr="00802308">
              <w:rPr>
                <w:rFonts w:cs="Calibri"/>
                <w:b/>
                <w:bCs/>
                <w:color w:val="000000"/>
                <w:sz w:val="20"/>
                <w:szCs w:val="20"/>
              </w:rPr>
              <w:t>119.6</w:t>
            </w:r>
          </w:p>
        </w:tc>
        <w:tc>
          <w:tcPr>
            <w:tcW w:w="1327" w:type="dxa"/>
            <w:vAlign w:val="center"/>
          </w:tcPr>
          <w:p w14:paraId="174E37FB"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65.0</w:t>
            </w:r>
          </w:p>
        </w:tc>
        <w:tc>
          <w:tcPr>
            <w:tcW w:w="1372" w:type="dxa"/>
            <w:vAlign w:val="center"/>
          </w:tcPr>
          <w:p w14:paraId="2EC661D7"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156.2</w:t>
            </w:r>
          </w:p>
        </w:tc>
        <w:tc>
          <w:tcPr>
            <w:tcW w:w="1332" w:type="dxa"/>
            <w:vAlign w:val="center"/>
          </w:tcPr>
          <w:p w14:paraId="0BA43DCA" w14:textId="77777777" w:rsidR="00B25841" w:rsidRPr="00802308" w:rsidRDefault="00B25841" w:rsidP="00802308">
            <w:pPr>
              <w:spacing w:before="0" w:line="240" w:lineRule="auto"/>
              <w:jc w:val="left"/>
              <w:rPr>
                <w:b/>
                <w:bCs/>
                <w:color w:val="000000"/>
                <w:sz w:val="20"/>
                <w:szCs w:val="20"/>
              </w:rPr>
            </w:pPr>
            <w:r w:rsidRPr="00802308">
              <w:rPr>
                <w:rFonts w:cs="Calibri"/>
                <w:b/>
                <w:bCs/>
                <w:color w:val="000000"/>
                <w:sz w:val="20"/>
                <w:szCs w:val="20"/>
              </w:rPr>
              <w:t>75.2</w:t>
            </w:r>
          </w:p>
        </w:tc>
      </w:tr>
      <w:tr w:rsidR="00B25841" w:rsidRPr="00802308" w14:paraId="66B8C3B0" w14:textId="77777777" w:rsidTr="00802308">
        <w:trPr>
          <w:trHeight w:val="289"/>
        </w:trPr>
        <w:tc>
          <w:tcPr>
            <w:tcW w:w="2440" w:type="dxa"/>
            <w:shd w:val="clear" w:color="auto" w:fill="auto"/>
            <w:vAlign w:val="center"/>
            <w:hideMark/>
          </w:tcPr>
          <w:p w14:paraId="43B079EB" w14:textId="77777777" w:rsidR="00B25841" w:rsidRPr="00802308" w:rsidRDefault="00B25841" w:rsidP="00A90AAE">
            <w:pPr>
              <w:spacing w:before="0" w:line="240" w:lineRule="auto"/>
              <w:ind w:left="-105" w:firstLine="0"/>
              <w:jc w:val="left"/>
              <w:rPr>
                <w:b/>
                <w:i/>
                <w:iCs/>
                <w:color w:val="000000"/>
                <w:sz w:val="20"/>
                <w:szCs w:val="20"/>
              </w:rPr>
            </w:pPr>
            <w:r w:rsidRPr="00802308">
              <w:rPr>
                <w:i/>
                <w:iCs/>
                <w:color w:val="000000"/>
                <w:sz w:val="20"/>
                <w:szCs w:val="20"/>
              </w:rPr>
              <w:t xml:space="preserve"> -արտաքին աղբյուրներ </w:t>
            </w:r>
          </w:p>
        </w:tc>
        <w:tc>
          <w:tcPr>
            <w:tcW w:w="664" w:type="dxa"/>
            <w:shd w:val="clear" w:color="auto" w:fill="auto"/>
            <w:vAlign w:val="center"/>
            <w:hideMark/>
          </w:tcPr>
          <w:p w14:paraId="644217E4" w14:textId="77777777" w:rsidR="00B25841" w:rsidRPr="00802308" w:rsidRDefault="00B25841" w:rsidP="00A90AAE">
            <w:pPr>
              <w:spacing w:before="0" w:line="240" w:lineRule="auto"/>
              <w:ind w:firstLine="15"/>
              <w:jc w:val="center"/>
              <w:rPr>
                <w:b/>
                <w:color w:val="000000"/>
                <w:sz w:val="20"/>
                <w:szCs w:val="20"/>
              </w:rPr>
            </w:pPr>
            <w:r w:rsidRPr="00802308">
              <w:rPr>
                <w:rFonts w:cs="Calibri"/>
                <w:color w:val="000000"/>
                <w:sz w:val="20"/>
                <w:szCs w:val="20"/>
              </w:rPr>
              <w:t>21.1</w:t>
            </w:r>
          </w:p>
        </w:tc>
        <w:tc>
          <w:tcPr>
            <w:tcW w:w="894" w:type="dxa"/>
            <w:shd w:val="clear" w:color="auto" w:fill="auto"/>
            <w:vAlign w:val="center"/>
            <w:hideMark/>
          </w:tcPr>
          <w:p w14:paraId="569B78C4" w14:textId="77777777" w:rsidR="00B25841" w:rsidRPr="00802308" w:rsidRDefault="00B25841" w:rsidP="00A90AAE">
            <w:pPr>
              <w:spacing w:before="0" w:line="240" w:lineRule="auto"/>
              <w:ind w:firstLine="0"/>
              <w:jc w:val="center"/>
              <w:rPr>
                <w:b/>
                <w:color w:val="000000"/>
                <w:sz w:val="20"/>
                <w:szCs w:val="20"/>
              </w:rPr>
            </w:pPr>
            <w:r w:rsidRPr="00802308">
              <w:rPr>
                <w:rFonts w:cs="Calibri"/>
                <w:color w:val="000000"/>
                <w:sz w:val="20"/>
                <w:szCs w:val="20"/>
              </w:rPr>
              <w:t>27.4</w:t>
            </w:r>
          </w:p>
        </w:tc>
        <w:tc>
          <w:tcPr>
            <w:tcW w:w="917" w:type="dxa"/>
            <w:shd w:val="clear" w:color="auto" w:fill="auto"/>
            <w:vAlign w:val="center"/>
            <w:hideMark/>
          </w:tcPr>
          <w:p w14:paraId="2574E979" w14:textId="77777777" w:rsidR="00B25841" w:rsidRPr="00802308" w:rsidRDefault="00B25841" w:rsidP="00A90AAE">
            <w:pPr>
              <w:spacing w:before="0" w:line="240" w:lineRule="auto"/>
              <w:ind w:firstLine="0"/>
              <w:jc w:val="center"/>
              <w:rPr>
                <w:b/>
                <w:color w:val="000000"/>
                <w:sz w:val="20"/>
                <w:szCs w:val="20"/>
              </w:rPr>
            </w:pPr>
            <w:r w:rsidRPr="00802308">
              <w:rPr>
                <w:rFonts w:cs="Calibri"/>
                <w:color w:val="000000"/>
                <w:sz w:val="20"/>
                <w:szCs w:val="20"/>
              </w:rPr>
              <w:t>15.3</w:t>
            </w:r>
          </w:p>
        </w:tc>
        <w:tc>
          <w:tcPr>
            <w:tcW w:w="874" w:type="dxa"/>
            <w:shd w:val="clear" w:color="auto" w:fill="auto"/>
            <w:vAlign w:val="center"/>
            <w:hideMark/>
          </w:tcPr>
          <w:p w14:paraId="112D7A83" w14:textId="77777777" w:rsidR="00B25841" w:rsidRPr="00802308" w:rsidRDefault="00B25841" w:rsidP="00A90AAE">
            <w:pPr>
              <w:spacing w:before="0" w:line="240" w:lineRule="auto"/>
              <w:ind w:hanging="30"/>
              <w:jc w:val="center"/>
              <w:rPr>
                <w:b/>
                <w:color w:val="000000"/>
                <w:sz w:val="20"/>
                <w:szCs w:val="20"/>
              </w:rPr>
            </w:pPr>
            <w:r w:rsidRPr="00802308">
              <w:rPr>
                <w:rFonts w:cs="Calibri"/>
                <w:color w:val="000000"/>
                <w:sz w:val="20"/>
                <w:szCs w:val="20"/>
              </w:rPr>
              <w:t>36.4</w:t>
            </w:r>
          </w:p>
        </w:tc>
        <w:tc>
          <w:tcPr>
            <w:tcW w:w="1327" w:type="dxa"/>
            <w:vAlign w:val="center"/>
          </w:tcPr>
          <w:p w14:paraId="18C1A5DF"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23.6</w:t>
            </w:r>
          </w:p>
        </w:tc>
        <w:tc>
          <w:tcPr>
            <w:tcW w:w="1372" w:type="dxa"/>
            <w:vAlign w:val="center"/>
          </w:tcPr>
          <w:p w14:paraId="58050AEA"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27.0</w:t>
            </w:r>
          </w:p>
        </w:tc>
        <w:tc>
          <w:tcPr>
            <w:tcW w:w="1332" w:type="dxa"/>
            <w:vAlign w:val="center"/>
          </w:tcPr>
          <w:p w14:paraId="5480A7F8"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40.5</w:t>
            </w:r>
          </w:p>
        </w:tc>
      </w:tr>
      <w:tr w:rsidR="00B25841" w:rsidRPr="00802308" w14:paraId="3CF55F5C" w14:textId="77777777" w:rsidTr="00802308">
        <w:trPr>
          <w:trHeight w:val="289"/>
        </w:trPr>
        <w:tc>
          <w:tcPr>
            <w:tcW w:w="2440" w:type="dxa"/>
            <w:shd w:val="clear" w:color="auto" w:fill="auto"/>
            <w:vAlign w:val="center"/>
            <w:hideMark/>
          </w:tcPr>
          <w:p w14:paraId="593814AC" w14:textId="77777777" w:rsidR="00B25841" w:rsidRPr="00802308" w:rsidRDefault="00B25841" w:rsidP="00A90AAE">
            <w:pPr>
              <w:spacing w:before="0" w:line="240" w:lineRule="auto"/>
              <w:ind w:left="-105" w:firstLine="0"/>
              <w:jc w:val="left"/>
              <w:rPr>
                <w:b/>
                <w:color w:val="000000"/>
                <w:sz w:val="20"/>
                <w:szCs w:val="20"/>
              </w:rPr>
            </w:pPr>
            <w:r w:rsidRPr="00802308">
              <w:rPr>
                <w:color w:val="000000"/>
                <w:sz w:val="20"/>
                <w:szCs w:val="20"/>
              </w:rPr>
              <w:t xml:space="preserve"> -  ներքին աղբյուրներ </w:t>
            </w:r>
          </w:p>
        </w:tc>
        <w:tc>
          <w:tcPr>
            <w:tcW w:w="664" w:type="dxa"/>
            <w:shd w:val="clear" w:color="auto" w:fill="auto"/>
            <w:vAlign w:val="center"/>
            <w:hideMark/>
          </w:tcPr>
          <w:p w14:paraId="577DED3D" w14:textId="77777777" w:rsidR="00B25841" w:rsidRPr="00802308" w:rsidRDefault="00B25841" w:rsidP="00A90AAE">
            <w:pPr>
              <w:spacing w:before="0" w:line="240" w:lineRule="auto"/>
              <w:ind w:firstLine="15"/>
              <w:jc w:val="center"/>
              <w:rPr>
                <w:b/>
                <w:color w:val="000000"/>
                <w:sz w:val="20"/>
                <w:szCs w:val="20"/>
              </w:rPr>
            </w:pPr>
            <w:r w:rsidRPr="00802308">
              <w:rPr>
                <w:rFonts w:cs="Calibri"/>
                <w:color w:val="000000"/>
                <w:sz w:val="20"/>
                <w:szCs w:val="20"/>
              </w:rPr>
              <w:t>5.2</w:t>
            </w:r>
          </w:p>
        </w:tc>
        <w:tc>
          <w:tcPr>
            <w:tcW w:w="894" w:type="dxa"/>
            <w:shd w:val="clear" w:color="auto" w:fill="auto"/>
            <w:vAlign w:val="center"/>
            <w:hideMark/>
          </w:tcPr>
          <w:p w14:paraId="15032670" w14:textId="77777777" w:rsidR="00B25841" w:rsidRPr="00802308" w:rsidRDefault="00B25841" w:rsidP="00A90AAE">
            <w:pPr>
              <w:spacing w:before="0" w:line="240" w:lineRule="auto"/>
              <w:ind w:firstLine="0"/>
              <w:jc w:val="center"/>
              <w:rPr>
                <w:b/>
                <w:color w:val="000000"/>
                <w:sz w:val="20"/>
                <w:szCs w:val="20"/>
              </w:rPr>
            </w:pPr>
            <w:r w:rsidRPr="00802308">
              <w:rPr>
                <w:rFonts w:cs="Calibri"/>
                <w:color w:val="000000"/>
                <w:sz w:val="20"/>
                <w:szCs w:val="20"/>
              </w:rPr>
              <w:t>8.7</w:t>
            </w:r>
          </w:p>
        </w:tc>
        <w:tc>
          <w:tcPr>
            <w:tcW w:w="917" w:type="dxa"/>
            <w:shd w:val="clear" w:color="auto" w:fill="auto"/>
            <w:vAlign w:val="center"/>
            <w:hideMark/>
          </w:tcPr>
          <w:p w14:paraId="34E65208" w14:textId="77777777" w:rsidR="00B25841" w:rsidRPr="00802308" w:rsidRDefault="00B25841" w:rsidP="00A90AAE">
            <w:pPr>
              <w:spacing w:before="0" w:line="240" w:lineRule="auto"/>
              <w:ind w:firstLine="0"/>
              <w:jc w:val="center"/>
              <w:rPr>
                <w:b/>
                <w:color w:val="000000"/>
                <w:sz w:val="20"/>
                <w:szCs w:val="20"/>
              </w:rPr>
            </w:pPr>
            <w:r w:rsidRPr="00802308">
              <w:rPr>
                <w:rFonts w:cs="Calibri"/>
                <w:color w:val="000000"/>
                <w:sz w:val="20"/>
                <w:szCs w:val="20"/>
              </w:rPr>
              <w:t>25.3</w:t>
            </w:r>
          </w:p>
        </w:tc>
        <w:tc>
          <w:tcPr>
            <w:tcW w:w="874" w:type="dxa"/>
            <w:shd w:val="clear" w:color="auto" w:fill="auto"/>
            <w:vAlign w:val="center"/>
            <w:hideMark/>
          </w:tcPr>
          <w:p w14:paraId="02E5D15B" w14:textId="77777777" w:rsidR="00B25841" w:rsidRPr="00802308" w:rsidRDefault="00B25841" w:rsidP="00A90AAE">
            <w:pPr>
              <w:spacing w:before="0" w:line="240" w:lineRule="auto"/>
              <w:ind w:hanging="30"/>
              <w:jc w:val="center"/>
              <w:rPr>
                <w:b/>
                <w:color w:val="000000"/>
                <w:sz w:val="20"/>
                <w:szCs w:val="20"/>
              </w:rPr>
            </w:pPr>
            <w:r w:rsidRPr="00802308">
              <w:rPr>
                <w:rFonts w:cs="Calibri"/>
                <w:color w:val="000000"/>
                <w:sz w:val="20"/>
                <w:szCs w:val="20"/>
              </w:rPr>
              <w:t>83.2</w:t>
            </w:r>
          </w:p>
        </w:tc>
        <w:tc>
          <w:tcPr>
            <w:tcW w:w="1327" w:type="dxa"/>
            <w:vAlign w:val="center"/>
          </w:tcPr>
          <w:p w14:paraId="459D385F"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41.4</w:t>
            </w:r>
          </w:p>
        </w:tc>
        <w:tc>
          <w:tcPr>
            <w:tcW w:w="1372" w:type="dxa"/>
            <w:vAlign w:val="center"/>
          </w:tcPr>
          <w:p w14:paraId="3B8863B7"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129.2</w:t>
            </w:r>
          </w:p>
        </w:tc>
        <w:tc>
          <w:tcPr>
            <w:tcW w:w="1332" w:type="dxa"/>
            <w:vAlign w:val="center"/>
          </w:tcPr>
          <w:p w14:paraId="7A662DBB" w14:textId="77777777" w:rsidR="00B25841" w:rsidRPr="00802308" w:rsidRDefault="00B25841" w:rsidP="00A90AAE">
            <w:pPr>
              <w:spacing w:before="0" w:line="240" w:lineRule="auto"/>
              <w:jc w:val="center"/>
              <w:rPr>
                <w:color w:val="000000"/>
                <w:sz w:val="20"/>
                <w:szCs w:val="20"/>
              </w:rPr>
            </w:pPr>
            <w:r w:rsidRPr="00802308">
              <w:rPr>
                <w:rFonts w:cs="Calibri"/>
                <w:color w:val="000000"/>
                <w:sz w:val="20"/>
                <w:szCs w:val="20"/>
              </w:rPr>
              <w:t>34.7</w:t>
            </w:r>
          </w:p>
        </w:tc>
      </w:tr>
    </w:tbl>
    <w:p w14:paraId="2C583326" w14:textId="77777777" w:rsidR="00B25841" w:rsidRPr="0031357F" w:rsidRDefault="00B25841" w:rsidP="00B25841">
      <w:pPr>
        <w:tabs>
          <w:tab w:val="left" w:pos="0"/>
        </w:tabs>
        <w:spacing w:before="120" w:after="0" w:line="276" w:lineRule="auto"/>
        <w:ind w:firstLine="0"/>
        <w:rPr>
          <w:rFonts w:eastAsia="Times New Roman" w:cs="Times New Roman"/>
          <w:lang w:val="hy-AM"/>
        </w:rPr>
      </w:pPr>
    </w:p>
    <w:p w14:paraId="27CCA742" w14:textId="77777777" w:rsidR="00080175" w:rsidRPr="003D01D9" w:rsidRDefault="00080175" w:rsidP="00C30825">
      <w:pPr>
        <w:tabs>
          <w:tab w:val="left" w:pos="0"/>
        </w:tabs>
        <w:spacing w:before="120" w:after="0" w:line="276" w:lineRule="auto"/>
        <w:ind w:firstLine="0"/>
        <w:jc w:val="right"/>
        <w:rPr>
          <w:rFonts w:eastAsia="Times New Roman" w:cs="Times New Roman"/>
          <w:sz w:val="20"/>
          <w:szCs w:val="20"/>
          <w:lang w:val="hy-AM"/>
        </w:rPr>
      </w:pPr>
    </w:p>
    <w:p w14:paraId="71394466" w14:textId="77777777" w:rsidR="00080175" w:rsidRDefault="00080175" w:rsidP="00C30825">
      <w:pPr>
        <w:pStyle w:val="Heading3"/>
        <w:tabs>
          <w:tab w:val="left" w:pos="0"/>
        </w:tabs>
        <w:spacing w:before="120" w:after="0" w:line="276" w:lineRule="auto"/>
        <w:rPr>
          <w:rFonts w:eastAsia="Times New Roman" w:cs="Times New Roman"/>
          <w:caps w:val="0"/>
          <w:color w:val="44546A" w:themeColor="text2"/>
          <w:sz w:val="24"/>
          <w:szCs w:val="24"/>
        </w:rPr>
      </w:pPr>
      <w:bookmarkStart w:id="140" w:name="_Toc170926318"/>
      <w:r w:rsidRPr="00FE0674">
        <w:rPr>
          <w:rFonts w:eastAsia="Times New Roman" w:cs="Times New Roman"/>
          <w:caps w:val="0"/>
          <w:color w:val="44546A" w:themeColor="text2"/>
          <w:sz w:val="24"/>
          <w:szCs w:val="24"/>
        </w:rPr>
        <w:lastRenderedPageBreak/>
        <w:t>4.</w:t>
      </w:r>
      <w:r w:rsidRPr="007F54C8">
        <w:rPr>
          <w:rFonts w:eastAsia="Times New Roman" w:cs="Times New Roman"/>
          <w:caps w:val="0"/>
          <w:color w:val="44546A" w:themeColor="text2"/>
          <w:sz w:val="24"/>
          <w:szCs w:val="24"/>
        </w:rPr>
        <w:t>4. 2024-2026 ԹՎԱԿԱՆՆԵՐԻ ՄԺԾԾ ԺԱՄԱՆԱԿԱՀԱՏՎԱԾՈՒՄ ՀՀ ՊԵՏԱԿԱՆ ԲՅՈՒՋԵԻՑ ՀԱՄԱՅՆՔՆԵՐԻՆ ՏՐՎՈՂ ՀԱՏԿԱՑՈՒՄՆԵՐԸ</w:t>
      </w:r>
      <w:bookmarkEnd w:id="139"/>
      <w:bookmarkEnd w:id="140"/>
    </w:p>
    <w:p w14:paraId="3D01EA73" w14:textId="77777777" w:rsidR="00080175" w:rsidRPr="00102369" w:rsidRDefault="00080175" w:rsidP="00C30825">
      <w:pPr>
        <w:tabs>
          <w:tab w:val="left" w:pos="0"/>
        </w:tabs>
        <w:spacing w:before="120" w:after="0" w:line="276" w:lineRule="auto"/>
        <w:ind w:firstLine="0"/>
        <w:rPr>
          <w:lang w:val="hy-AM"/>
        </w:rPr>
      </w:pPr>
    </w:p>
    <w:p w14:paraId="414815DD" w14:textId="04165D85" w:rsidR="007F54C8" w:rsidRDefault="007F54C8" w:rsidP="007F54C8">
      <w:pPr>
        <w:tabs>
          <w:tab w:val="left" w:pos="0"/>
        </w:tabs>
        <w:spacing w:before="120" w:after="0" w:line="276" w:lineRule="auto"/>
        <w:ind w:firstLine="0"/>
        <w:rPr>
          <w:rFonts w:eastAsia="Times New Roman" w:cs="Times New Roman"/>
          <w:lang w:val="hy-AM"/>
        </w:rPr>
      </w:pPr>
      <w:r>
        <w:rPr>
          <w:rFonts w:cs="Sylfaen"/>
          <w:iCs/>
          <w:lang w:val="hy-AM" w:eastAsia="en-GB"/>
        </w:rPr>
        <w:t>Միջնաժամկետ հատվածում</w:t>
      </w:r>
      <w:r>
        <w:rPr>
          <w:rFonts w:eastAsia="Times New Roman" w:cs="Times New Roman"/>
          <w:lang w:val="hy-AM"/>
        </w:rPr>
        <w:t xml:space="preserve"> պետական բյուջեից նախատեսվում է տրամադրել հատկացումներ ՀՀ համայնքներին, մասնավորապես 2025 թվականին՝ շուրջ 17</w:t>
      </w:r>
      <w:r w:rsidR="003E2B52">
        <w:rPr>
          <w:rFonts w:eastAsia="Times New Roman" w:cs="Times New Roman"/>
          <w:lang w:val="hy-AM"/>
        </w:rPr>
        <w:t>6</w:t>
      </w:r>
      <w:r>
        <w:rPr>
          <w:rFonts w:eastAsia="Times New Roman" w:cs="Times New Roman"/>
          <w:lang w:val="hy-AM"/>
        </w:rPr>
        <w:t>.</w:t>
      </w:r>
      <w:r w:rsidR="003E2B52">
        <w:rPr>
          <w:rFonts w:eastAsia="Times New Roman" w:cs="Times New Roman"/>
          <w:lang w:val="hy-AM"/>
        </w:rPr>
        <w:t>2</w:t>
      </w:r>
      <w:r>
        <w:rPr>
          <w:rFonts w:eastAsia="Times New Roman" w:cs="Times New Roman"/>
          <w:lang w:val="hy-AM"/>
        </w:rPr>
        <w:t xml:space="preserve"> մլրդ դրամ կամ ընդհանուր բյուջետային ծախսերի 5.</w:t>
      </w:r>
      <w:r w:rsidR="003E2B52">
        <w:rPr>
          <w:rFonts w:eastAsia="Times New Roman" w:cs="Times New Roman"/>
          <w:lang w:val="hy-AM"/>
        </w:rPr>
        <w:t>0</w:t>
      </w:r>
      <w:r>
        <w:rPr>
          <w:rFonts w:eastAsia="Times New Roman" w:cs="Times New Roman"/>
          <w:lang w:val="hy-AM"/>
        </w:rPr>
        <w:t xml:space="preserve"> և ՀՆԱ-ի 1.6 տոկոսը, 2026 թվականին՝ 1</w:t>
      </w:r>
      <w:r w:rsidR="003E2B52">
        <w:rPr>
          <w:rFonts w:eastAsia="Times New Roman" w:cs="Times New Roman"/>
          <w:lang w:val="hy-AM"/>
        </w:rPr>
        <w:t>89</w:t>
      </w:r>
      <w:r>
        <w:rPr>
          <w:rFonts w:eastAsia="Times New Roman" w:cs="Times New Roman"/>
          <w:lang w:val="hy-AM"/>
        </w:rPr>
        <w:t>.</w:t>
      </w:r>
      <w:r w:rsidR="00864AB0">
        <w:rPr>
          <w:rFonts w:eastAsia="Times New Roman" w:cs="Times New Roman"/>
          <w:lang w:val="hy-AM"/>
        </w:rPr>
        <w:t>9</w:t>
      </w:r>
      <w:r>
        <w:rPr>
          <w:rFonts w:eastAsia="Times New Roman" w:cs="Times New Roman"/>
          <w:lang w:val="hy-AM"/>
        </w:rPr>
        <w:t xml:space="preserve"> մլրդ դրամ կամ ընդհանուր բյուջետային ծախսերի 5.0 և ՀՆԱ-ի 1.</w:t>
      </w:r>
      <w:r w:rsidR="003E2B52">
        <w:rPr>
          <w:rFonts w:eastAsia="Times New Roman" w:cs="Times New Roman"/>
          <w:lang w:val="hy-AM"/>
        </w:rPr>
        <w:t>5</w:t>
      </w:r>
      <w:r>
        <w:rPr>
          <w:rFonts w:eastAsia="Times New Roman" w:cs="Times New Roman"/>
          <w:lang w:val="hy-AM"/>
        </w:rPr>
        <w:t xml:space="preserve"> տոկոսը իսկ 2027 թվականին 20</w:t>
      </w:r>
      <w:r w:rsidR="003E2B52">
        <w:rPr>
          <w:rFonts w:eastAsia="Times New Roman" w:cs="Times New Roman"/>
          <w:lang w:val="hy-AM"/>
        </w:rPr>
        <w:t>3</w:t>
      </w:r>
      <w:r>
        <w:rPr>
          <w:rFonts w:eastAsia="Times New Roman" w:cs="Times New Roman"/>
          <w:lang w:val="hy-AM"/>
        </w:rPr>
        <w:t>.</w:t>
      </w:r>
      <w:r w:rsidR="003E2B52">
        <w:rPr>
          <w:rFonts w:eastAsia="Times New Roman" w:cs="Times New Roman"/>
          <w:lang w:val="hy-AM"/>
        </w:rPr>
        <w:t>7</w:t>
      </w:r>
      <w:r>
        <w:rPr>
          <w:rFonts w:eastAsia="Times New Roman" w:cs="Times New Roman"/>
          <w:lang w:val="hy-AM"/>
        </w:rPr>
        <w:t xml:space="preserve"> մլրդ դրամ կամ ընդհանուր բյուջետային ծախսերի 5.0 և ՀՆԱ-ի 1.5 տոկոսը: Համայնքների բյուջեներին ֆինանսական համահարթեցման սկզբունքով դոտացիաների տրամադրման նպատակով 2025 թվականին նախատեսվում է տրամադրել շուրջ 98.2 մլրդ դրամ կամ ընդհանուր բյուջետային ծախսերի 2.8 և ՀՆԱ-ի 0.9 տոկոսը, 2026 թվականին՝ 109.2 մլրդ դրամ կամ ընդհանուր բյուջետային ծախսերի 2.9 և ՀՆԱ-ի 0.9 տոկոսը իսկ 2027 թվականին 119.7 մլրդ դրամ կամ ընդհանուր բյուջետային ծախսերի 2.9 և ՀՆԱ-ի 0.9 տոկոսը: </w:t>
      </w:r>
    </w:p>
    <w:p w14:paraId="057B9EAC" w14:textId="413563CE" w:rsidR="007F54C8" w:rsidRDefault="007F54C8" w:rsidP="007F54C8">
      <w:pPr>
        <w:tabs>
          <w:tab w:val="left" w:pos="0"/>
        </w:tabs>
        <w:spacing w:before="120" w:after="0" w:line="276" w:lineRule="auto"/>
        <w:ind w:firstLine="0"/>
        <w:rPr>
          <w:rFonts w:eastAsia="Times New Roman" w:cs="Times New Roman"/>
          <w:lang w:val="hy-AM"/>
        </w:rPr>
      </w:pPr>
      <w:r>
        <w:rPr>
          <w:rFonts w:eastAsia="Times New Roman" w:cs="Times New Roman"/>
          <w:lang w:val="hy-AM"/>
        </w:rPr>
        <w:t>Միջնաժամկետ ժամանակահատվածում նախատեսվել է համայնքներին տրամադրել սուբվենցիաներ՝  2025 թվականին՝ շուրջ 26.5 մլրդ կամ ընդհանուր բյուջետային ծախսերի 0.8 տոկոսը, 2026 թվականին՝ 22.4 մլրդ կամ ընդհանուր բյուջետային ծախսերի 0.6 տոկոսը և 2027 թվականին՝ 25.5 մլրդ կամ ընդհանուր բյուջետային ծախսերի 0.6 տոկոսը: Միջնաժամկետ ժամանակահատվածում նախատեսվում է պատվիրակված լիազորությունների ֆինանսավորման գծով համայնքներին տրամադրել՝ 2025 թվականին շուրջ 5</w:t>
      </w:r>
      <w:r w:rsidR="007D422B">
        <w:rPr>
          <w:rFonts w:eastAsia="Times New Roman" w:cs="Times New Roman"/>
          <w:lang w:val="hy-AM"/>
        </w:rPr>
        <w:t>1</w:t>
      </w:r>
      <w:r>
        <w:rPr>
          <w:rFonts w:eastAsia="Times New Roman" w:cs="Times New Roman"/>
          <w:lang w:val="hy-AM"/>
        </w:rPr>
        <w:t>.</w:t>
      </w:r>
      <w:r w:rsidR="007D422B">
        <w:rPr>
          <w:rFonts w:eastAsia="Times New Roman" w:cs="Times New Roman"/>
          <w:lang w:val="hy-AM"/>
        </w:rPr>
        <w:t>5</w:t>
      </w:r>
      <w:r>
        <w:rPr>
          <w:rFonts w:eastAsia="Times New Roman" w:cs="Times New Roman"/>
          <w:lang w:val="hy-AM"/>
        </w:rPr>
        <w:t xml:space="preserve"> մլրդ կամ ընդհանուր բյուջետային ծախսերի 1.5 տոկոսը, 2026 թվականին՝ </w:t>
      </w:r>
      <w:r w:rsidR="007D422B">
        <w:rPr>
          <w:rFonts w:eastAsia="Times New Roman" w:cs="Times New Roman"/>
          <w:lang w:val="hy-AM"/>
        </w:rPr>
        <w:t>58</w:t>
      </w:r>
      <w:r>
        <w:rPr>
          <w:rFonts w:eastAsia="Times New Roman" w:cs="Times New Roman"/>
          <w:lang w:val="hy-AM"/>
        </w:rPr>
        <w:t>.</w:t>
      </w:r>
      <w:r w:rsidR="00864AB0">
        <w:rPr>
          <w:rFonts w:eastAsia="Times New Roman" w:cs="Times New Roman"/>
          <w:lang w:val="hy-AM"/>
        </w:rPr>
        <w:t>3</w:t>
      </w:r>
      <w:r>
        <w:rPr>
          <w:rFonts w:eastAsia="Times New Roman" w:cs="Times New Roman"/>
          <w:lang w:val="hy-AM"/>
        </w:rPr>
        <w:t xml:space="preserve"> մլրդ կամ ընդհանուր բյուջետային ծախսերի 1.</w:t>
      </w:r>
      <w:r w:rsidR="007D422B">
        <w:rPr>
          <w:rFonts w:eastAsia="Times New Roman" w:cs="Times New Roman"/>
          <w:lang w:val="hy-AM"/>
        </w:rPr>
        <w:t>5</w:t>
      </w:r>
      <w:r>
        <w:rPr>
          <w:rFonts w:eastAsia="Times New Roman" w:cs="Times New Roman"/>
          <w:lang w:val="hy-AM"/>
        </w:rPr>
        <w:t xml:space="preserve"> տոկոսը և 2027 թվականին 5</w:t>
      </w:r>
      <w:r w:rsidR="007D422B">
        <w:rPr>
          <w:rFonts w:eastAsia="Times New Roman" w:cs="Times New Roman"/>
          <w:lang w:val="hy-AM"/>
        </w:rPr>
        <w:t>8</w:t>
      </w:r>
      <w:r>
        <w:rPr>
          <w:rFonts w:eastAsia="Times New Roman" w:cs="Times New Roman"/>
          <w:lang w:val="hy-AM"/>
        </w:rPr>
        <w:t>.</w:t>
      </w:r>
      <w:r w:rsidR="007D422B">
        <w:rPr>
          <w:rFonts w:eastAsia="Times New Roman" w:cs="Times New Roman"/>
          <w:lang w:val="hy-AM"/>
        </w:rPr>
        <w:t>5</w:t>
      </w:r>
      <w:r>
        <w:rPr>
          <w:rFonts w:eastAsia="Times New Roman" w:cs="Times New Roman"/>
          <w:lang w:val="hy-AM"/>
        </w:rPr>
        <w:t xml:space="preserve"> մլրդ դրամ կամ ընդհանուր բյուջետային ծախսերի 1.</w:t>
      </w:r>
      <w:r w:rsidR="00864AB0">
        <w:rPr>
          <w:rFonts w:eastAsia="Times New Roman" w:cs="Times New Roman"/>
          <w:lang w:val="hy-AM"/>
        </w:rPr>
        <w:t>5</w:t>
      </w:r>
      <w:r>
        <w:rPr>
          <w:rFonts w:eastAsia="Times New Roman" w:cs="Times New Roman"/>
          <w:lang w:val="hy-AM"/>
        </w:rPr>
        <w:t xml:space="preserve"> տոկոսը:</w:t>
      </w:r>
    </w:p>
    <w:p w14:paraId="7282E8B9" w14:textId="77777777" w:rsidR="007F54C8" w:rsidRDefault="007F54C8" w:rsidP="007F54C8">
      <w:pPr>
        <w:tabs>
          <w:tab w:val="left" w:pos="0"/>
        </w:tabs>
        <w:spacing w:before="120" w:after="0" w:line="276" w:lineRule="auto"/>
        <w:ind w:firstLine="0"/>
        <w:rPr>
          <w:rFonts w:eastAsia="Times New Roman" w:cs="Times New Roman"/>
          <w:lang w:val="hy-AM"/>
        </w:rPr>
      </w:pPr>
    </w:p>
    <w:p w14:paraId="232702E9" w14:textId="77777777" w:rsidR="007F54C8" w:rsidRDefault="007F54C8" w:rsidP="007F54C8">
      <w:pPr>
        <w:tabs>
          <w:tab w:val="left" w:pos="0"/>
        </w:tabs>
        <w:spacing w:before="120" w:after="0" w:line="276" w:lineRule="auto"/>
        <w:ind w:firstLine="0"/>
        <w:rPr>
          <w:rFonts w:eastAsia="Times New Roman" w:cs="Times New Roman"/>
          <w:lang w:val="af-ZA"/>
        </w:rPr>
      </w:pPr>
      <w:bookmarkStart w:id="141" w:name="_Toc57631763"/>
      <w:r>
        <w:rPr>
          <w:rFonts w:eastAsia="Times New Roman" w:cs="Sylfaen"/>
          <w:b/>
          <w:lang w:val="hy-AM"/>
        </w:rPr>
        <w:t xml:space="preserve">Աղյուսակ </w:t>
      </w:r>
      <w:r>
        <w:rPr>
          <w:rFonts w:eastAsia="Times New Roman" w:cs="Times New Roman"/>
          <w:b/>
          <w:caps/>
          <w:spacing w:val="10"/>
          <w:lang w:val="af-ZA"/>
        </w:rPr>
        <w:t>4.</w:t>
      </w:r>
      <w:r>
        <w:rPr>
          <w:rFonts w:eastAsia="Times New Roman" w:cs="Times New Roman"/>
          <w:b/>
          <w:caps/>
          <w:spacing w:val="10"/>
          <w:lang w:val="hy-AM"/>
        </w:rPr>
        <w:t>4.1</w:t>
      </w:r>
      <w:r>
        <w:rPr>
          <w:rFonts w:eastAsia="Times New Roman" w:cs="Times New Roman"/>
          <w:caps/>
          <w:spacing w:val="10"/>
          <w:lang w:val="af-ZA"/>
        </w:rPr>
        <w:t xml:space="preserve"> </w:t>
      </w:r>
      <w:r>
        <w:rPr>
          <w:rFonts w:ascii="Cambria Math" w:eastAsia="Times New Roman" w:hAnsi="Cambria Math" w:cs="Times New Roman"/>
          <w:caps/>
          <w:spacing w:val="10"/>
          <w:lang w:val="hy-AM"/>
        </w:rPr>
        <w:t xml:space="preserve"> </w:t>
      </w:r>
      <w:r>
        <w:rPr>
          <w:rFonts w:eastAsia="Times New Roman" w:cs="Times New Roman"/>
          <w:lang w:val="af-ZA"/>
        </w:rPr>
        <w:t>ՀՀ պետական բյուջեից ՀՀ համայնքների բյուջեներին տրվող հատկացումները</w:t>
      </w:r>
      <w:bookmarkEnd w:id="141"/>
      <w:r>
        <w:rPr>
          <w:rFonts w:eastAsia="Times New Roman" w:cs="Times New Roman"/>
          <w:lang w:val="af-ZA"/>
        </w:rPr>
        <w:t xml:space="preserve">, </w:t>
      </w:r>
      <w:r>
        <w:rPr>
          <w:rFonts w:eastAsia="Times New Roman" w:cs="Times New Roman"/>
          <w:lang w:val="hy-AM"/>
        </w:rPr>
        <w:t>մլրդ</w:t>
      </w:r>
      <w:r>
        <w:rPr>
          <w:rFonts w:eastAsia="Times New Roman" w:cs="Times New Roman"/>
          <w:lang w:val="af-ZA"/>
        </w:rPr>
        <w:t xml:space="preserve"> դրամ</w:t>
      </w:r>
    </w:p>
    <w:tbl>
      <w:tblPr>
        <w:tblStyle w:val="PlainTable2"/>
        <w:tblW w:w="9915" w:type="dxa"/>
        <w:tblLayout w:type="fixed"/>
        <w:tblLook w:val="04A0" w:firstRow="1" w:lastRow="0" w:firstColumn="1" w:lastColumn="0" w:noHBand="0" w:noVBand="1"/>
      </w:tblPr>
      <w:tblGrid>
        <w:gridCol w:w="4959"/>
        <w:gridCol w:w="1133"/>
        <w:gridCol w:w="850"/>
        <w:gridCol w:w="849"/>
        <w:gridCol w:w="1133"/>
        <w:gridCol w:w="709"/>
        <w:gridCol w:w="137"/>
        <w:gridCol w:w="145"/>
      </w:tblGrid>
      <w:tr w:rsidR="007F54C8" w14:paraId="07A02B64" w14:textId="77777777" w:rsidTr="007F54C8">
        <w:trPr>
          <w:gridAfter w:val="1"/>
          <w:cnfStyle w:val="100000000000" w:firstRow="1" w:lastRow="0" w:firstColumn="0" w:lastColumn="0" w:oddVBand="0" w:evenVBand="0" w:oddHBand="0" w:evenHBand="0" w:firstRowFirstColumn="0" w:firstRowLastColumn="0" w:lastRowFirstColumn="0" w:lastRowLastColumn="0"/>
          <w:wAfter w:w="145" w:type="dxa"/>
          <w:trHeight w:val="223"/>
        </w:trPr>
        <w:tc>
          <w:tcPr>
            <w:cnfStyle w:val="001000000000" w:firstRow="0" w:lastRow="0" w:firstColumn="1" w:lastColumn="0" w:oddVBand="0" w:evenVBand="0" w:oddHBand="0" w:evenHBand="0" w:firstRowFirstColumn="0" w:firstRowLastColumn="0" w:lastRowFirstColumn="0" w:lastRowLastColumn="0"/>
            <w:tcW w:w="4962" w:type="dxa"/>
            <w:vMerge w:val="restart"/>
            <w:tcBorders>
              <w:top w:val="nil"/>
              <w:left w:val="nil"/>
              <w:bottom w:val="single" w:sz="4" w:space="0" w:color="auto"/>
              <w:right w:val="nil"/>
            </w:tcBorders>
            <w:noWrap/>
            <w:hideMark/>
          </w:tcPr>
          <w:p w14:paraId="2AA7684E" w14:textId="77777777" w:rsidR="007F54C8" w:rsidRDefault="007F54C8">
            <w:pPr>
              <w:tabs>
                <w:tab w:val="left" w:pos="0"/>
              </w:tabs>
              <w:spacing w:before="120" w:after="0" w:line="240" w:lineRule="auto"/>
              <w:ind w:firstLine="0"/>
              <w:jc w:val="center"/>
              <w:rPr>
                <w:rFonts w:eastAsia="Times New Roman" w:cs="Sylfaen"/>
                <w:b w:val="0"/>
                <w:color w:val="000000" w:themeColor="text1"/>
                <w:sz w:val="18"/>
                <w:szCs w:val="18"/>
                <w:lang w:val="hy-AM"/>
              </w:rPr>
            </w:pPr>
            <w:r>
              <w:rPr>
                <w:rFonts w:eastAsia="Times New Roman" w:cs="Times New Roman"/>
                <w:b w:val="0"/>
                <w:i/>
                <w:iCs/>
                <w:color w:val="000000" w:themeColor="text1"/>
                <w:sz w:val="18"/>
                <w:szCs w:val="18"/>
                <w:lang w:val="hy-AM"/>
              </w:rPr>
              <w:tab/>
            </w:r>
            <w:r>
              <w:rPr>
                <w:rFonts w:ascii="Calibri" w:eastAsia="Times New Roman" w:hAnsi="Calibri" w:cs="Calibri"/>
                <w:b w:val="0"/>
                <w:color w:val="000000" w:themeColor="text1"/>
                <w:sz w:val="18"/>
                <w:szCs w:val="18"/>
                <w:lang w:val="hy-AM"/>
              </w:rPr>
              <w:t> </w:t>
            </w:r>
          </w:p>
          <w:p w14:paraId="735952FF" w14:textId="77777777" w:rsidR="007F54C8" w:rsidRDefault="007F54C8">
            <w:pPr>
              <w:tabs>
                <w:tab w:val="left" w:pos="0"/>
              </w:tabs>
              <w:spacing w:before="120" w:after="0" w:line="240" w:lineRule="auto"/>
              <w:ind w:firstLine="0"/>
              <w:jc w:val="center"/>
              <w:rPr>
                <w:rFonts w:eastAsia="Times New Roman" w:cs="Times New Roman"/>
                <w:b w:val="0"/>
                <w:i/>
                <w:iCs/>
                <w:color w:val="000000" w:themeColor="text1"/>
                <w:sz w:val="18"/>
                <w:szCs w:val="18"/>
                <w:lang w:val="hy-AM"/>
              </w:rPr>
            </w:pPr>
            <w:r>
              <w:rPr>
                <w:rFonts w:eastAsia="Times New Roman" w:cs="Sylfaen"/>
                <w:b w:val="0"/>
                <w:color w:val="000000" w:themeColor="text1"/>
                <w:sz w:val="18"/>
                <w:szCs w:val="18"/>
                <w:lang w:val="hy-AM"/>
              </w:rPr>
              <w:t>Ցուցանիշներ</w:t>
            </w:r>
          </w:p>
        </w:tc>
        <w:tc>
          <w:tcPr>
            <w:tcW w:w="1134" w:type="dxa"/>
            <w:tcBorders>
              <w:top w:val="nil"/>
              <w:left w:val="nil"/>
              <w:bottom w:val="nil"/>
              <w:right w:val="nil"/>
            </w:tcBorders>
            <w:hideMark/>
          </w:tcPr>
          <w:p w14:paraId="44D1F899" w14:textId="77777777" w:rsidR="007F54C8" w:rsidRDefault="007F54C8">
            <w:pPr>
              <w:tabs>
                <w:tab w:val="left" w:pos="0"/>
              </w:tabs>
              <w:spacing w:before="12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b w:val="0"/>
                <w:color w:val="000000" w:themeColor="text1"/>
                <w:sz w:val="18"/>
                <w:szCs w:val="18"/>
                <w:lang w:val="hy-AM"/>
              </w:rPr>
            </w:pPr>
            <w:r>
              <w:rPr>
                <w:rFonts w:eastAsia="Times New Roman" w:cs="Sylfaen"/>
                <w:b w:val="0"/>
                <w:color w:val="000000" w:themeColor="text1"/>
                <w:sz w:val="18"/>
                <w:szCs w:val="18"/>
                <w:lang w:val="hy-AM"/>
              </w:rPr>
              <w:t>Փաստ</w:t>
            </w:r>
          </w:p>
        </w:tc>
        <w:tc>
          <w:tcPr>
            <w:tcW w:w="851" w:type="dxa"/>
            <w:tcBorders>
              <w:top w:val="nil"/>
              <w:left w:val="nil"/>
              <w:bottom w:val="nil"/>
              <w:right w:val="nil"/>
            </w:tcBorders>
            <w:hideMark/>
          </w:tcPr>
          <w:p w14:paraId="463AD814" w14:textId="77777777" w:rsidR="007F54C8" w:rsidRDefault="007F54C8">
            <w:pPr>
              <w:tabs>
                <w:tab w:val="left" w:pos="0"/>
              </w:tabs>
              <w:spacing w:before="12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b w:val="0"/>
                <w:color w:val="000000" w:themeColor="text1"/>
                <w:sz w:val="18"/>
                <w:szCs w:val="18"/>
                <w:lang w:val="hy-AM"/>
              </w:rPr>
            </w:pPr>
            <w:r>
              <w:rPr>
                <w:rFonts w:eastAsia="Times New Roman" w:cs="Sylfaen"/>
                <w:b w:val="0"/>
                <w:color w:val="000000" w:themeColor="text1"/>
                <w:sz w:val="18"/>
                <w:szCs w:val="18"/>
                <w:lang w:val="hy-AM"/>
              </w:rPr>
              <w:t>Բյուջե</w:t>
            </w:r>
          </w:p>
        </w:tc>
        <w:tc>
          <w:tcPr>
            <w:tcW w:w="2830" w:type="dxa"/>
            <w:gridSpan w:val="4"/>
            <w:tcBorders>
              <w:top w:val="nil"/>
              <w:left w:val="nil"/>
              <w:bottom w:val="nil"/>
              <w:right w:val="nil"/>
            </w:tcBorders>
            <w:hideMark/>
          </w:tcPr>
          <w:p w14:paraId="5A805094" w14:textId="77777777" w:rsidR="007F54C8" w:rsidRDefault="007F54C8">
            <w:pPr>
              <w:tabs>
                <w:tab w:val="left" w:pos="0"/>
              </w:tabs>
              <w:spacing w:before="12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Sylfaen"/>
                <w:b w:val="0"/>
                <w:color w:val="000000" w:themeColor="text1"/>
                <w:sz w:val="18"/>
                <w:szCs w:val="18"/>
                <w:lang w:val="hy-AM"/>
              </w:rPr>
            </w:pPr>
            <w:r>
              <w:rPr>
                <w:rFonts w:eastAsia="Times New Roman" w:cs="Sylfaen"/>
                <w:b w:val="0"/>
                <w:color w:val="000000" w:themeColor="text1"/>
                <w:sz w:val="18"/>
                <w:szCs w:val="18"/>
                <w:lang w:val="hy-AM"/>
              </w:rPr>
              <w:t>ՄԺԾԾ</w:t>
            </w:r>
          </w:p>
        </w:tc>
      </w:tr>
      <w:tr w:rsidR="007F54C8" w14:paraId="6A0545D1" w14:textId="77777777" w:rsidTr="007F54C8">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4962" w:type="dxa"/>
            <w:vMerge/>
            <w:tcBorders>
              <w:top w:val="nil"/>
              <w:left w:val="nil"/>
              <w:bottom w:val="single" w:sz="4" w:space="0" w:color="auto"/>
              <w:right w:val="nil"/>
            </w:tcBorders>
            <w:vAlign w:val="center"/>
            <w:hideMark/>
          </w:tcPr>
          <w:p w14:paraId="26AD44D7" w14:textId="77777777" w:rsidR="007F54C8" w:rsidRDefault="007F54C8">
            <w:pPr>
              <w:spacing w:before="0" w:after="0" w:line="240" w:lineRule="auto"/>
              <w:ind w:firstLine="0"/>
              <w:jc w:val="left"/>
              <w:rPr>
                <w:rFonts w:eastAsia="Times New Roman" w:cs="Times New Roman"/>
                <w:i/>
                <w:iCs/>
                <w:color w:val="000000" w:themeColor="text1"/>
                <w:sz w:val="18"/>
                <w:szCs w:val="18"/>
                <w:lang w:val="hy-AM"/>
              </w:rPr>
            </w:pPr>
          </w:p>
        </w:tc>
        <w:tc>
          <w:tcPr>
            <w:tcW w:w="1134" w:type="dxa"/>
            <w:tcBorders>
              <w:left w:val="nil"/>
              <w:bottom w:val="single" w:sz="4" w:space="0" w:color="auto"/>
              <w:right w:val="nil"/>
            </w:tcBorders>
            <w:hideMark/>
          </w:tcPr>
          <w:p w14:paraId="6036B7B5"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Sylfaen"/>
                <w:color w:val="000000" w:themeColor="text1"/>
                <w:sz w:val="18"/>
                <w:szCs w:val="18"/>
                <w:lang w:val="hy-AM"/>
              </w:rPr>
            </w:pPr>
            <w:r>
              <w:rPr>
                <w:rFonts w:eastAsia="Times New Roman" w:cs="Sylfaen"/>
                <w:color w:val="000000" w:themeColor="text1"/>
                <w:sz w:val="18"/>
                <w:szCs w:val="18"/>
                <w:lang w:val="hy-AM"/>
              </w:rPr>
              <w:t>202</w:t>
            </w:r>
            <w:r>
              <w:rPr>
                <w:rFonts w:eastAsia="Times New Roman" w:cs="Sylfaen"/>
                <w:color w:val="000000" w:themeColor="text1"/>
                <w:sz w:val="18"/>
                <w:szCs w:val="18"/>
              </w:rPr>
              <w:t>3</w:t>
            </w:r>
            <w:r>
              <w:rPr>
                <w:rFonts w:eastAsia="Times New Roman" w:cs="Sylfaen"/>
                <w:color w:val="000000" w:themeColor="text1"/>
                <w:sz w:val="18"/>
                <w:szCs w:val="18"/>
                <w:lang w:val="hy-AM"/>
              </w:rPr>
              <w:t>թ.</w:t>
            </w:r>
          </w:p>
        </w:tc>
        <w:tc>
          <w:tcPr>
            <w:tcW w:w="851" w:type="dxa"/>
            <w:tcBorders>
              <w:top w:val="nil"/>
              <w:left w:val="nil"/>
              <w:bottom w:val="single" w:sz="4" w:space="0" w:color="auto"/>
              <w:right w:val="nil"/>
            </w:tcBorders>
            <w:hideMark/>
          </w:tcPr>
          <w:p w14:paraId="2E327F29"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themeColor="text1"/>
                <w:sz w:val="18"/>
                <w:szCs w:val="18"/>
                <w:lang w:val="hy-AM"/>
              </w:rPr>
            </w:pPr>
            <w:r>
              <w:rPr>
                <w:rFonts w:eastAsia="Times New Roman" w:cs="Sylfaen"/>
                <w:color w:val="000000" w:themeColor="text1"/>
                <w:sz w:val="18"/>
                <w:szCs w:val="18"/>
                <w:lang w:val="hy-AM"/>
              </w:rPr>
              <w:t>202</w:t>
            </w:r>
            <w:r>
              <w:rPr>
                <w:rFonts w:eastAsia="Times New Roman" w:cs="Sylfaen"/>
                <w:color w:val="000000" w:themeColor="text1"/>
                <w:sz w:val="18"/>
                <w:szCs w:val="18"/>
              </w:rPr>
              <w:t>4</w:t>
            </w:r>
            <w:r>
              <w:rPr>
                <w:rFonts w:eastAsia="Times New Roman" w:cs="Sylfaen"/>
                <w:color w:val="000000" w:themeColor="text1"/>
                <w:sz w:val="18"/>
                <w:szCs w:val="18"/>
                <w:lang w:val="hy-AM"/>
              </w:rPr>
              <w:t>թ.</w:t>
            </w:r>
          </w:p>
        </w:tc>
        <w:tc>
          <w:tcPr>
            <w:tcW w:w="850" w:type="dxa"/>
            <w:tcBorders>
              <w:left w:val="nil"/>
              <w:bottom w:val="single" w:sz="4" w:space="0" w:color="auto"/>
              <w:right w:val="nil"/>
            </w:tcBorders>
            <w:hideMark/>
          </w:tcPr>
          <w:p w14:paraId="62450AA7"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themeColor="text1"/>
                <w:sz w:val="18"/>
                <w:szCs w:val="18"/>
                <w:lang w:val="hy-AM"/>
              </w:rPr>
            </w:pPr>
            <w:r>
              <w:rPr>
                <w:rFonts w:eastAsia="Times New Roman" w:cs="Sylfaen"/>
                <w:color w:val="000000" w:themeColor="text1"/>
                <w:sz w:val="18"/>
                <w:szCs w:val="18"/>
                <w:lang w:val="hy-AM"/>
              </w:rPr>
              <w:t>202</w:t>
            </w:r>
            <w:r>
              <w:rPr>
                <w:rFonts w:eastAsia="Times New Roman" w:cs="Sylfaen"/>
                <w:color w:val="000000" w:themeColor="text1"/>
                <w:sz w:val="18"/>
                <w:szCs w:val="18"/>
              </w:rPr>
              <w:t>5</w:t>
            </w:r>
            <w:r>
              <w:rPr>
                <w:rFonts w:eastAsia="Times New Roman" w:cs="Sylfaen"/>
                <w:color w:val="000000" w:themeColor="text1"/>
                <w:sz w:val="18"/>
                <w:szCs w:val="18"/>
                <w:lang w:val="hy-AM"/>
              </w:rPr>
              <w:t>թ</w:t>
            </w:r>
            <w:r>
              <w:rPr>
                <w:rFonts w:eastAsia="Times New Roman" w:cs="Sylfaen"/>
                <w:color w:val="000000" w:themeColor="text1"/>
                <w:sz w:val="18"/>
                <w:szCs w:val="18"/>
              </w:rPr>
              <w:t>.</w:t>
            </w:r>
          </w:p>
        </w:tc>
        <w:tc>
          <w:tcPr>
            <w:tcW w:w="1134" w:type="dxa"/>
            <w:tcBorders>
              <w:left w:val="nil"/>
              <w:bottom w:val="single" w:sz="4" w:space="0" w:color="auto"/>
              <w:right w:val="nil"/>
            </w:tcBorders>
            <w:hideMark/>
          </w:tcPr>
          <w:p w14:paraId="0DB6A2CE"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themeColor="text1"/>
                <w:sz w:val="18"/>
                <w:szCs w:val="18"/>
              </w:rPr>
            </w:pPr>
            <w:r>
              <w:rPr>
                <w:rFonts w:eastAsia="Times New Roman" w:cs="Sylfaen"/>
                <w:color w:val="000000" w:themeColor="text1"/>
                <w:sz w:val="18"/>
                <w:szCs w:val="18"/>
                <w:lang w:val="hy-AM"/>
              </w:rPr>
              <w:t>202</w:t>
            </w:r>
            <w:r>
              <w:rPr>
                <w:rFonts w:eastAsia="Times New Roman" w:cs="Sylfaen"/>
                <w:color w:val="000000" w:themeColor="text1"/>
                <w:sz w:val="18"/>
                <w:szCs w:val="18"/>
              </w:rPr>
              <w:t>6</w:t>
            </w:r>
            <w:r>
              <w:rPr>
                <w:rFonts w:eastAsia="Times New Roman" w:cs="Sylfaen"/>
                <w:color w:val="000000" w:themeColor="text1"/>
                <w:sz w:val="18"/>
                <w:szCs w:val="18"/>
                <w:lang w:val="hy-AM"/>
              </w:rPr>
              <w:t>թ</w:t>
            </w:r>
            <w:r>
              <w:rPr>
                <w:rFonts w:eastAsia="Times New Roman" w:cs="Sylfaen"/>
                <w:color w:val="000000" w:themeColor="text1"/>
                <w:sz w:val="18"/>
                <w:szCs w:val="18"/>
              </w:rPr>
              <w:t>.</w:t>
            </w:r>
          </w:p>
        </w:tc>
        <w:tc>
          <w:tcPr>
            <w:tcW w:w="991" w:type="dxa"/>
            <w:gridSpan w:val="3"/>
            <w:tcBorders>
              <w:left w:val="nil"/>
              <w:right w:val="nil"/>
            </w:tcBorders>
            <w:hideMark/>
          </w:tcPr>
          <w:p w14:paraId="32906F29"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themeColor="text1"/>
                <w:sz w:val="18"/>
                <w:szCs w:val="18"/>
              </w:rPr>
            </w:pPr>
            <w:r>
              <w:rPr>
                <w:rFonts w:eastAsia="Times New Roman" w:cs="Sylfaen"/>
                <w:color w:val="000000" w:themeColor="text1"/>
                <w:sz w:val="18"/>
                <w:szCs w:val="18"/>
              </w:rPr>
              <w:t>2027թ.</w:t>
            </w:r>
          </w:p>
        </w:tc>
      </w:tr>
      <w:tr w:rsidR="007F54C8" w14:paraId="0BDC7F0F" w14:textId="77777777" w:rsidTr="007F54C8">
        <w:trPr>
          <w:gridAfter w:val="2"/>
          <w:wAfter w:w="282" w:type="dxa"/>
          <w:trHeight w:val="385"/>
        </w:trPr>
        <w:tc>
          <w:tcPr>
            <w:cnfStyle w:val="001000000000" w:firstRow="0" w:lastRow="0" w:firstColumn="1" w:lastColumn="0" w:oddVBand="0" w:evenVBand="0" w:oddHBand="0" w:evenHBand="0" w:firstRowFirstColumn="0" w:firstRowLastColumn="0" w:lastRowFirstColumn="0" w:lastRowLastColumn="0"/>
            <w:tcW w:w="4962" w:type="dxa"/>
            <w:tcBorders>
              <w:top w:val="single" w:sz="4" w:space="0" w:color="auto"/>
              <w:left w:val="nil"/>
              <w:bottom w:val="single" w:sz="4" w:space="0" w:color="7F7F7F" w:themeColor="text1" w:themeTint="80"/>
              <w:right w:val="nil"/>
            </w:tcBorders>
            <w:noWrap/>
            <w:hideMark/>
          </w:tcPr>
          <w:p w14:paraId="67545F88" w14:textId="77777777" w:rsidR="007F54C8" w:rsidRDefault="007F54C8">
            <w:pPr>
              <w:tabs>
                <w:tab w:val="left" w:pos="0"/>
              </w:tabs>
              <w:spacing w:before="120" w:after="0" w:line="240" w:lineRule="auto"/>
              <w:ind w:firstLine="0"/>
              <w:jc w:val="left"/>
              <w:rPr>
                <w:rFonts w:eastAsia="Times New Roman" w:cs="Times New Roman"/>
                <w:b w:val="0"/>
                <w:bCs w:val="0"/>
                <w:color w:val="000000"/>
                <w:sz w:val="18"/>
                <w:szCs w:val="18"/>
                <w:lang w:val="hy-AM"/>
              </w:rPr>
            </w:pPr>
            <w:r>
              <w:rPr>
                <w:rFonts w:eastAsia="Times New Roman" w:cs="Times New Roman"/>
                <w:b w:val="0"/>
                <w:bCs w:val="0"/>
                <w:color w:val="000000"/>
                <w:sz w:val="18"/>
                <w:szCs w:val="18"/>
                <w:lang w:val="hy-AM"/>
              </w:rPr>
              <w:t>ԸՆԴԱՄԵՆԸ</w:t>
            </w:r>
          </w:p>
        </w:tc>
        <w:tc>
          <w:tcPr>
            <w:tcW w:w="1134" w:type="dxa"/>
            <w:tcBorders>
              <w:top w:val="single" w:sz="4" w:space="0" w:color="auto"/>
              <w:left w:val="nil"/>
              <w:bottom w:val="single" w:sz="4" w:space="0" w:color="7F7F7F" w:themeColor="text1" w:themeTint="80"/>
              <w:right w:val="nil"/>
            </w:tcBorders>
            <w:vAlign w:val="center"/>
            <w:hideMark/>
          </w:tcPr>
          <w:p w14:paraId="2AE1C0DF" w14:textId="0D4292A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1</w:t>
            </w:r>
            <w:r w:rsidR="00EC6685">
              <w:rPr>
                <w:rFonts w:cs="Calibri"/>
                <w:color w:val="000000"/>
                <w:sz w:val="18"/>
                <w:szCs w:val="18"/>
                <w:lang w:val="hy-AM"/>
              </w:rPr>
              <w:t>51.9</w:t>
            </w:r>
          </w:p>
        </w:tc>
        <w:tc>
          <w:tcPr>
            <w:tcW w:w="851" w:type="dxa"/>
            <w:tcBorders>
              <w:top w:val="single" w:sz="4" w:space="0" w:color="auto"/>
              <w:left w:val="nil"/>
              <w:bottom w:val="single" w:sz="4" w:space="0" w:color="7F7F7F" w:themeColor="text1" w:themeTint="80"/>
              <w:right w:val="nil"/>
            </w:tcBorders>
            <w:vAlign w:val="center"/>
            <w:hideMark/>
          </w:tcPr>
          <w:p w14:paraId="31B0E409" w14:textId="0F48F7F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1</w:t>
            </w:r>
            <w:r w:rsidR="007D422B">
              <w:rPr>
                <w:rFonts w:cs="Calibri"/>
                <w:color w:val="000000"/>
                <w:sz w:val="18"/>
                <w:szCs w:val="18"/>
                <w:lang w:val="hy-AM"/>
              </w:rPr>
              <w:t>59</w:t>
            </w:r>
            <w:r>
              <w:rPr>
                <w:rFonts w:cs="Calibri"/>
                <w:color w:val="000000"/>
                <w:sz w:val="18"/>
                <w:szCs w:val="18"/>
                <w:lang w:val="hy-AM"/>
              </w:rPr>
              <w:t>.</w:t>
            </w:r>
            <w:r w:rsidR="007D422B">
              <w:rPr>
                <w:rFonts w:cs="Calibri"/>
                <w:color w:val="000000"/>
                <w:sz w:val="18"/>
                <w:szCs w:val="18"/>
                <w:lang w:val="hy-AM"/>
              </w:rPr>
              <w:t>6</w:t>
            </w:r>
          </w:p>
        </w:tc>
        <w:tc>
          <w:tcPr>
            <w:tcW w:w="850" w:type="dxa"/>
            <w:tcBorders>
              <w:top w:val="single" w:sz="4" w:space="0" w:color="auto"/>
              <w:left w:val="nil"/>
              <w:bottom w:val="single" w:sz="4" w:space="0" w:color="7F7F7F" w:themeColor="text1" w:themeTint="80"/>
              <w:right w:val="nil"/>
            </w:tcBorders>
            <w:vAlign w:val="center"/>
            <w:hideMark/>
          </w:tcPr>
          <w:p w14:paraId="6A28E982" w14:textId="4A20A044"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rPr>
            </w:pPr>
            <w:r>
              <w:rPr>
                <w:rFonts w:cs="Calibri"/>
                <w:color w:val="000000"/>
                <w:sz w:val="18"/>
                <w:szCs w:val="18"/>
                <w:lang w:val="hy-AM"/>
              </w:rPr>
              <w:t>1</w:t>
            </w:r>
            <w:r>
              <w:rPr>
                <w:rFonts w:cs="Calibri"/>
                <w:color w:val="000000"/>
                <w:sz w:val="18"/>
                <w:szCs w:val="18"/>
              </w:rPr>
              <w:t>7</w:t>
            </w:r>
            <w:r w:rsidR="007D422B">
              <w:rPr>
                <w:rFonts w:cs="Calibri"/>
                <w:color w:val="000000"/>
                <w:sz w:val="18"/>
                <w:szCs w:val="18"/>
                <w:lang w:val="hy-AM"/>
              </w:rPr>
              <w:t>6</w:t>
            </w:r>
            <w:r>
              <w:rPr>
                <w:rFonts w:cs="Calibri"/>
                <w:color w:val="000000"/>
                <w:sz w:val="18"/>
                <w:szCs w:val="18"/>
                <w:lang w:val="hy-AM"/>
              </w:rPr>
              <w:t>.</w:t>
            </w:r>
            <w:r w:rsidR="007D422B">
              <w:rPr>
                <w:rFonts w:cs="Calibri"/>
                <w:color w:val="000000"/>
                <w:sz w:val="18"/>
                <w:szCs w:val="18"/>
                <w:lang w:val="hy-AM"/>
              </w:rPr>
              <w:t>2</w:t>
            </w:r>
          </w:p>
        </w:tc>
        <w:tc>
          <w:tcPr>
            <w:tcW w:w="1134" w:type="dxa"/>
            <w:tcBorders>
              <w:top w:val="single" w:sz="4" w:space="0" w:color="auto"/>
              <w:left w:val="nil"/>
              <w:bottom w:val="single" w:sz="4" w:space="0" w:color="7F7F7F" w:themeColor="text1" w:themeTint="80"/>
              <w:right w:val="nil"/>
            </w:tcBorders>
            <w:vAlign w:val="center"/>
            <w:hideMark/>
          </w:tcPr>
          <w:p w14:paraId="3E9321EE" w14:textId="6C60E438"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1</w:t>
            </w:r>
            <w:r w:rsidR="007D422B">
              <w:rPr>
                <w:rFonts w:cs="Calibri"/>
                <w:color w:val="000000"/>
                <w:sz w:val="18"/>
                <w:szCs w:val="18"/>
                <w:lang w:val="hy-AM"/>
              </w:rPr>
              <w:t>89</w:t>
            </w:r>
            <w:r>
              <w:rPr>
                <w:rFonts w:cs="Calibri"/>
                <w:color w:val="000000"/>
                <w:sz w:val="18"/>
                <w:szCs w:val="18"/>
                <w:lang w:val="hy-AM"/>
              </w:rPr>
              <w:t>.</w:t>
            </w:r>
            <w:r w:rsidR="00864AB0">
              <w:rPr>
                <w:rFonts w:cs="Calibri"/>
                <w:color w:val="000000"/>
                <w:sz w:val="18"/>
                <w:szCs w:val="18"/>
                <w:lang w:val="hy-AM"/>
              </w:rPr>
              <w:t>9</w:t>
            </w:r>
          </w:p>
        </w:tc>
        <w:tc>
          <w:tcPr>
            <w:tcW w:w="709" w:type="dxa"/>
            <w:tcBorders>
              <w:top w:val="nil"/>
              <w:left w:val="nil"/>
              <w:bottom w:val="nil"/>
              <w:right w:val="nil"/>
            </w:tcBorders>
            <w:vAlign w:val="center"/>
            <w:hideMark/>
          </w:tcPr>
          <w:p w14:paraId="2D896B0C" w14:textId="3A79BD63"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rPr>
              <w:t>20</w:t>
            </w:r>
            <w:r w:rsidR="007D422B">
              <w:rPr>
                <w:rFonts w:cs="Calibri"/>
                <w:color w:val="000000"/>
                <w:sz w:val="18"/>
                <w:szCs w:val="18"/>
                <w:lang w:val="hy-AM"/>
              </w:rPr>
              <w:t>3</w:t>
            </w:r>
            <w:r>
              <w:rPr>
                <w:rFonts w:cs="Calibri"/>
                <w:color w:val="000000"/>
                <w:sz w:val="18"/>
                <w:szCs w:val="18"/>
                <w:lang w:val="hy-AM"/>
              </w:rPr>
              <w:t>.</w:t>
            </w:r>
            <w:r w:rsidR="007D422B">
              <w:rPr>
                <w:rFonts w:cs="Calibri"/>
                <w:color w:val="000000"/>
                <w:sz w:val="18"/>
                <w:szCs w:val="18"/>
                <w:lang w:val="hy-AM"/>
              </w:rPr>
              <w:t>7</w:t>
            </w:r>
          </w:p>
        </w:tc>
      </w:tr>
      <w:tr w:rsidR="007F54C8" w14:paraId="58105033" w14:textId="77777777" w:rsidTr="007F54C8">
        <w:trPr>
          <w:gridAfter w:val="2"/>
          <w:cnfStyle w:val="000000100000" w:firstRow="0" w:lastRow="0" w:firstColumn="0" w:lastColumn="0" w:oddVBand="0" w:evenVBand="0" w:oddHBand="1" w:evenHBand="0" w:firstRowFirstColumn="0" w:firstRowLastColumn="0" w:lastRowFirstColumn="0" w:lastRowLastColumn="0"/>
          <w:wAfter w:w="282" w:type="dxa"/>
          <w:trHeight w:val="353"/>
        </w:trPr>
        <w:tc>
          <w:tcPr>
            <w:cnfStyle w:val="001000000000" w:firstRow="0" w:lastRow="0" w:firstColumn="1" w:lastColumn="0" w:oddVBand="0" w:evenVBand="0" w:oddHBand="0" w:evenHBand="0" w:firstRowFirstColumn="0" w:firstRowLastColumn="0" w:lastRowFirstColumn="0" w:lastRowLastColumn="0"/>
            <w:tcW w:w="4962" w:type="dxa"/>
            <w:tcBorders>
              <w:left w:val="nil"/>
              <w:right w:val="nil"/>
            </w:tcBorders>
            <w:hideMark/>
          </w:tcPr>
          <w:p w14:paraId="250311CE" w14:textId="77777777" w:rsidR="007F54C8" w:rsidRDefault="007F54C8">
            <w:pPr>
              <w:tabs>
                <w:tab w:val="left" w:pos="0"/>
              </w:tabs>
              <w:spacing w:before="120" w:after="0" w:line="240" w:lineRule="auto"/>
              <w:ind w:firstLine="0"/>
              <w:jc w:val="left"/>
              <w:rPr>
                <w:rFonts w:eastAsia="Times New Roman" w:cs="Times New Roman"/>
                <w:b w:val="0"/>
                <w:bCs w:val="0"/>
                <w:sz w:val="18"/>
                <w:szCs w:val="18"/>
                <w:lang w:val="hy-AM"/>
              </w:rPr>
            </w:pPr>
            <w:r>
              <w:rPr>
                <w:rFonts w:eastAsia="Times New Roman" w:cs="Times New Roman"/>
                <w:b w:val="0"/>
                <w:bCs w:val="0"/>
                <w:sz w:val="18"/>
                <w:szCs w:val="18"/>
                <w:lang w:val="hy-AM"/>
              </w:rPr>
              <w:t>Ֆինանսական համահարթեց</w:t>
            </w:r>
            <w:r>
              <w:rPr>
                <w:rFonts w:eastAsia="Times New Roman" w:cs="Times New Roman"/>
                <w:b w:val="0"/>
                <w:bCs w:val="0"/>
                <w:sz w:val="18"/>
                <w:szCs w:val="18"/>
                <w:lang w:val="hy-AM"/>
              </w:rPr>
              <w:softHyphen/>
            </w:r>
            <w:r>
              <w:rPr>
                <w:rFonts w:eastAsia="Times New Roman" w:cs="Times New Roman"/>
                <w:b w:val="0"/>
                <w:bCs w:val="0"/>
                <w:sz w:val="18"/>
                <w:szCs w:val="18"/>
                <w:lang w:val="hy-AM"/>
              </w:rPr>
              <w:softHyphen/>
              <w:t xml:space="preserve">ման դոտացիաներ </w:t>
            </w:r>
          </w:p>
        </w:tc>
        <w:tc>
          <w:tcPr>
            <w:tcW w:w="1134" w:type="dxa"/>
            <w:tcBorders>
              <w:left w:val="nil"/>
              <w:right w:val="nil"/>
            </w:tcBorders>
            <w:noWrap/>
            <w:vAlign w:val="center"/>
            <w:hideMark/>
          </w:tcPr>
          <w:p w14:paraId="01CEDDE3"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6</w:t>
            </w:r>
            <w:r>
              <w:rPr>
                <w:rFonts w:cs="Calibri"/>
                <w:color w:val="000000"/>
                <w:sz w:val="18"/>
                <w:szCs w:val="18"/>
              </w:rPr>
              <w:t>9</w:t>
            </w:r>
            <w:r>
              <w:rPr>
                <w:rFonts w:cs="Calibri"/>
                <w:color w:val="000000"/>
                <w:sz w:val="18"/>
                <w:szCs w:val="18"/>
                <w:lang w:val="hy-AM"/>
              </w:rPr>
              <w:t>.</w:t>
            </w:r>
            <w:r>
              <w:rPr>
                <w:rFonts w:cs="Calibri"/>
                <w:color w:val="000000"/>
                <w:sz w:val="18"/>
                <w:szCs w:val="18"/>
              </w:rPr>
              <w:t>8</w:t>
            </w:r>
          </w:p>
        </w:tc>
        <w:tc>
          <w:tcPr>
            <w:tcW w:w="851" w:type="dxa"/>
            <w:tcBorders>
              <w:left w:val="nil"/>
              <w:right w:val="nil"/>
            </w:tcBorders>
            <w:noWrap/>
            <w:vAlign w:val="center"/>
            <w:hideMark/>
          </w:tcPr>
          <w:p w14:paraId="7822FCF7"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rPr>
            </w:pPr>
            <w:r>
              <w:rPr>
                <w:rFonts w:cs="Calibri"/>
                <w:bCs/>
                <w:color w:val="000000"/>
                <w:sz w:val="18"/>
                <w:szCs w:val="18"/>
              </w:rPr>
              <w:t>85.3</w:t>
            </w:r>
          </w:p>
        </w:tc>
        <w:tc>
          <w:tcPr>
            <w:tcW w:w="850" w:type="dxa"/>
            <w:tcBorders>
              <w:left w:val="nil"/>
              <w:right w:val="nil"/>
            </w:tcBorders>
            <w:noWrap/>
            <w:vAlign w:val="center"/>
            <w:hideMark/>
          </w:tcPr>
          <w:p w14:paraId="714F9614"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rPr>
            </w:pPr>
            <w:r>
              <w:rPr>
                <w:rFonts w:cs="Calibri"/>
                <w:bCs/>
                <w:color w:val="000000"/>
                <w:sz w:val="18"/>
                <w:szCs w:val="18"/>
              </w:rPr>
              <w:t>98</w:t>
            </w:r>
            <w:r>
              <w:rPr>
                <w:rFonts w:cs="Calibri"/>
                <w:bCs/>
                <w:color w:val="000000"/>
                <w:sz w:val="18"/>
                <w:szCs w:val="18"/>
                <w:lang w:val="hy-AM"/>
              </w:rPr>
              <w:t>.</w:t>
            </w:r>
            <w:r>
              <w:rPr>
                <w:rFonts w:cs="Calibri"/>
                <w:bCs/>
                <w:color w:val="000000"/>
                <w:sz w:val="18"/>
                <w:szCs w:val="18"/>
              </w:rPr>
              <w:t>2</w:t>
            </w:r>
          </w:p>
        </w:tc>
        <w:tc>
          <w:tcPr>
            <w:tcW w:w="1134" w:type="dxa"/>
            <w:tcBorders>
              <w:left w:val="nil"/>
              <w:right w:val="nil"/>
            </w:tcBorders>
            <w:noWrap/>
            <w:vAlign w:val="center"/>
            <w:hideMark/>
          </w:tcPr>
          <w:p w14:paraId="153D61E6"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rPr>
              <w:t>109</w:t>
            </w:r>
            <w:r>
              <w:rPr>
                <w:rFonts w:cs="Calibri"/>
                <w:bCs/>
                <w:color w:val="000000"/>
                <w:sz w:val="18"/>
                <w:szCs w:val="18"/>
                <w:lang w:val="hy-AM"/>
              </w:rPr>
              <w:t>.</w:t>
            </w:r>
            <w:r>
              <w:rPr>
                <w:rFonts w:cs="Calibri"/>
                <w:bCs/>
                <w:color w:val="000000"/>
                <w:sz w:val="18"/>
                <w:szCs w:val="18"/>
              </w:rPr>
              <w:t>2</w:t>
            </w:r>
          </w:p>
        </w:tc>
        <w:tc>
          <w:tcPr>
            <w:tcW w:w="709" w:type="dxa"/>
            <w:tcBorders>
              <w:left w:val="nil"/>
              <w:right w:val="nil"/>
            </w:tcBorders>
            <w:noWrap/>
            <w:vAlign w:val="center"/>
            <w:hideMark/>
          </w:tcPr>
          <w:p w14:paraId="6EE165EE"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1</w:t>
            </w:r>
            <w:r>
              <w:rPr>
                <w:rFonts w:cs="Calibri"/>
                <w:bCs/>
                <w:color w:val="000000"/>
                <w:sz w:val="18"/>
                <w:szCs w:val="18"/>
              </w:rPr>
              <w:t>19</w:t>
            </w:r>
            <w:r>
              <w:rPr>
                <w:rFonts w:cs="Calibri"/>
                <w:bCs/>
                <w:color w:val="000000"/>
                <w:sz w:val="18"/>
                <w:szCs w:val="18"/>
                <w:lang w:val="hy-AM"/>
              </w:rPr>
              <w:t>.</w:t>
            </w:r>
            <w:r>
              <w:rPr>
                <w:rFonts w:cs="Calibri"/>
                <w:bCs/>
                <w:color w:val="000000"/>
                <w:sz w:val="18"/>
                <w:szCs w:val="18"/>
              </w:rPr>
              <w:t>7</w:t>
            </w:r>
          </w:p>
        </w:tc>
      </w:tr>
      <w:tr w:rsidR="007F54C8" w14:paraId="485C4F6D" w14:textId="77777777" w:rsidTr="007F54C8">
        <w:trPr>
          <w:gridAfter w:val="2"/>
          <w:wAfter w:w="282" w:type="dxa"/>
          <w:trHeight w:val="224"/>
        </w:trPr>
        <w:tc>
          <w:tcPr>
            <w:cnfStyle w:val="001000000000" w:firstRow="0" w:lastRow="0" w:firstColumn="1" w:lastColumn="0" w:oddVBand="0" w:evenVBand="0" w:oddHBand="0" w:evenHBand="0" w:firstRowFirstColumn="0" w:firstRowLastColumn="0" w:lastRowFirstColumn="0" w:lastRowLastColumn="0"/>
            <w:tcW w:w="4962" w:type="dxa"/>
            <w:tcBorders>
              <w:top w:val="nil"/>
              <w:left w:val="nil"/>
              <w:bottom w:val="nil"/>
              <w:right w:val="nil"/>
            </w:tcBorders>
            <w:hideMark/>
          </w:tcPr>
          <w:p w14:paraId="04E18E5F" w14:textId="77777777" w:rsidR="007F54C8" w:rsidRDefault="007F54C8">
            <w:pPr>
              <w:tabs>
                <w:tab w:val="left" w:pos="0"/>
              </w:tabs>
              <w:spacing w:before="120" w:after="0" w:line="240" w:lineRule="auto"/>
              <w:ind w:firstLine="0"/>
              <w:jc w:val="left"/>
              <w:rPr>
                <w:rFonts w:eastAsia="Times New Roman" w:cs="Times New Roman"/>
                <w:b w:val="0"/>
                <w:bCs w:val="0"/>
                <w:sz w:val="18"/>
                <w:szCs w:val="18"/>
                <w:lang w:val="hy-AM"/>
              </w:rPr>
            </w:pPr>
            <w:r>
              <w:rPr>
                <w:rFonts w:eastAsia="Times New Roman" w:cs="Times New Roman"/>
                <w:b w:val="0"/>
                <w:bCs w:val="0"/>
                <w:sz w:val="18"/>
                <w:szCs w:val="18"/>
                <w:lang w:val="hy-AM"/>
              </w:rPr>
              <w:t>Այլ ընթացիկ դրամաշնորհներ համայնքներին</w:t>
            </w:r>
          </w:p>
        </w:tc>
        <w:tc>
          <w:tcPr>
            <w:tcW w:w="1134" w:type="dxa"/>
            <w:tcBorders>
              <w:top w:val="nil"/>
              <w:left w:val="nil"/>
              <w:bottom w:val="nil"/>
              <w:right w:val="nil"/>
            </w:tcBorders>
            <w:noWrap/>
            <w:vAlign w:val="center"/>
            <w:hideMark/>
          </w:tcPr>
          <w:p w14:paraId="5C1F7DD2" w14:textId="7B862216" w:rsidR="007F54C8" w:rsidRPr="00EC6685"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0.</w:t>
            </w:r>
            <w:r w:rsidR="008A478E">
              <w:rPr>
                <w:rFonts w:cs="Calibri"/>
                <w:color w:val="000000"/>
                <w:sz w:val="18"/>
                <w:szCs w:val="18"/>
                <w:lang w:val="hy-AM"/>
              </w:rPr>
              <w:t>2</w:t>
            </w:r>
          </w:p>
        </w:tc>
        <w:tc>
          <w:tcPr>
            <w:tcW w:w="851" w:type="dxa"/>
            <w:tcBorders>
              <w:top w:val="nil"/>
              <w:left w:val="nil"/>
              <w:bottom w:val="nil"/>
              <w:right w:val="nil"/>
            </w:tcBorders>
            <w:noWrap/>
            <w:vAlign w:val="center"/>
            <w:hideMark/>
          </w:tcPr>
          <w:p w14:paraId="3F2ABAAE"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rPr>
              <w:t>5</w:t>
            </w:r>
            <w:r>
              <w:rPr>
                <w:rFonts w:cs="Calibri"/>
                <w:bCs/>
                <w:color w:val="000000"/>
                <w:sz w:val="18"/>
                <w:szCs w:val="18"/>
                <w:lang w:val="hy-AM"/>
              </w:rPr>
              <w:t>.</w:t>
            </w:r>
            <w:r>
              <w:rPr>
                <w:rFonts w:cs="Calibri"/>
                <w:bCs/>
                <w:color w:val="000000"/>
                <w:sz w:val="18"/>
                <w:szCs w:val="18"/>
              </w:rPr>
              <w:t>7</w:t>
            </w:r>
          </w:p>
        </w:tc>
        <w:tc>
          <w:tcPr>
            <w:tcW w:w="850" w:type="dxa"/>
            <w:tcBorders>
              <w:top w:val="nil"/>
              <w:left w:val="nil"/>
              <w:bottom w:val="nil"/>
              <w:right w:val="nil"/>
            </w:tcBorders>
            <w:noWrap/>
            <w:vAlign w:val="center"/>
            <w:hideMark/>
          </w:tcPr>
          <w:p w14:paraId="6548736F"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0.0</w:t>
            </w:r>
          </w:p>
        </w:tc>
        <w:tc>
          <w:tcPr>
            <w:tcW w:w="1134" w:type="dxa"/>
            <w:tcBorders>
              <w:top w:val="nil"/>
              <w:left w:val="nil"/>
              <w:bottom w:val="nil"/>
              <w:right w:val="nil"/>
            </w:tcBorders>
            <w:noWrap/>
            <w:vAlign w:val="center"/>
            <w:hideMark/>
          </w:tcPr>
          <w:p w14:paraId="27815B71"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0.0</w:t>
            </w:r>
          </w:p>
        </w:tc>
        <w:tc>
          <w:tcPr>
            <w:tcW w:w="709" w:type="dxa"/>
            <w:tcBorders>
              <w:top w:val="nil"/>
              <w:left w:val="nil"/>
              <w:bottom w:val="nil"/>
              <w:right w:val="nil"/>
            </w:tcBorders>
            <w:noWrap/>
            <w:vAlign w:val="center"/>
            <w:hideMark/>
          </w:tcPr>
          <w:p w14:paraId="289DCA08"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0.0</w:t>
            </w:r>
          </w:p>
        </w:tc>
      </w:tr>
      <w:tr w:rsidR="007F54C8" w14:paraId="3699DA38" w14:textId="77777777" w:rsidTr="007F54C8">
        <w:trPr>
          <w:gridAfter w:val="2"/>
          <w:cnfStyle w:val="000000100000" w:firstRow="0" w:lastRow="0" w:firstColumn="0" w:lastColumn="0" w:oddVBand="0" w:evenVBand="0" w:oddHBand="1" w:evenHBand="0" w:firstRowFirstColumn="0" w:firstRowLastColumn="0" w:lastRowFirstColumn="0" w:lastRowLastColumn="0"/>
          <w:wAfter w:w="282" w:type="dxa"/>
          <w:trHeight w:val="242"/>
        </w:trPr>
        <w:tc>
          <w:tcPr>
            <w:cnfStyle w:val="001000000000" w:firstRow="0" w:lastRow="0" w:firstColumn="1" w:lastColumn="0" w:oddVBand="0" w:evenVBand="0" w:oddHBand="0" w:evenHBand="0" w:firstRowFirstColumn="0" w:firstRowLastColumn="0" w:lastRowFirstColumn="0" w:lastRowLastColumn="0"/>
            <w:tcW w:w="4962" w:type="dxa"/>
            <w:tcBorders>
              <w:left w:val="nil"/>
              <w:right w:val="nil"/>
            </w:tcBorders>
            <w:hideMark/>
          </w:tcPr>
          <w:p w14:paraId="185FDD1F" w14:textId="77777777" w:rsidR="007F54C8" w:rsidRDefault="007F54C8">
            <w:pPr>
              <w:tabs>
                <w:tab w:val="left" w:pos="0"/>
              </w:tabs>
              <w:spacing w:before="120" w:after="0" w:line="240" w:lineRule="auto"/>
              <w:ind w:firstLine="0"/>
              <w:jc w:val="left"/>
              <w:rPr>
                <w:rFonts w:eastAsia="Times New Roman" w:cs="Times New Roman"/>
                <w:b w:val="0"/>
                <w:bCs w:val="0"/>
                <w:sz w:val="18"/>
                <w:szCs w:val="18"/>
              </w:rPr>
            </w:pPr>
            <w:r>
              <w:rPr>
                <w:rFonts w:eastAsia="Times New Roman" w:cs="Times New Roman"/>
                <w:b w:val="0"/>
                <w:bCs w:val="0"/>
                <w:sz w:val="18"/>
                <w:szCs w:val="18"/>
              </w:rPr>
              <w:t>Սուբվենցիաներ համայնքներին</w:t>
            </w:r>
          </w:p>
        </w:tc>
        <w:tc>
          <w:tcPr>
            <w:tcW w:w="1134" w:type="dxa"/>
            <w:tcBorders>
              <w:left w:val="nil"/>
              <w:right w:val="nil"/>
            </w:tcBorders>
            <w:noWrap/>
            <w:vAlign w:val="center"/>
            <w:hideMark/>
          </w:tcPr>
          <w:p w14:paraId="30B29D8B"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color w:val="000000"/>
                <w:sz w:val="18"/>
                <w:szCs w:val="18"/>
              </w:rPr>
              <w:t>39</w:t>
            </w:r>
            <w:r>
              <w:rPr>
                <w:rFonts w:cs="Calibri"/>
                <w:color w:val="000000"/>
                <w:sz w:val="18"/>
                <w:szCs w:val="18"/>
                <w:lang w:val="hy-AM"/>
              </w:rPr>
              <w:t>.</w:t>
            </w:r>
            <w:r>
              <w:rPr>
                <w:rFonts w:cs="Calibri"/>
                <w:color w:val="000000"/>
                <w:sz w:val="18"/>
                <w:szCs w:val="18"/>
              </w:rPr>
              <w:t>5</w:t>
            </w:r>
          </w:p>
        </w:tc>
        <w:tc>
          <w:tcPr>
            <w:tcW w:w="851" w:type="dxa"/>
            <w:tcBorders>
              <w:left w:val="nil"/>
              <w:right w:val="nil"/>
            </w:tcBorders>
            <w:noWrap/>
            <w:vAlign w:val="center"/>
            <w:hideMark/>
          </w:tcPr>
          <w:p w14:paraId="4F52A893"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rPr>
            </w:pPr>
            <w:r>
              <w:rPr>
                <w:rFonts w:cs="Calibri"/>
                <w:bCs/>
                <w:color w:val="000000"/>
                <w:sz w:val="18"/>
                <w:szCs w:val="18"/>
              </w:rPr>
              <w:t>25.3</w:t>
            </w:r>
          </w:p>
        </w:tc>
        <w:tc>
          <w:tcPr>
            <w:tcW w:w="850" w:type="dxa"/>
            <w:tcBorders>
              <w:left w:val="nil"/>
              <w:right w:val="nil"/>
            </w:tcBorders>
            <w:noWrap/>
            <w:vAlign w:val="center"/>
            <w:hideMark/>
          </w:tcPr>
          <w:p w14:paraId="3119E964"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2</w:t>
            </w:r>
            <w:r>
              <w:rPr>
                <w:rFonts w:cs="Calibri"/>
                <w:bCs/>
                <w:color w:val="000000"/>
                <w:sz w:val="18"/>
                <w:szCs w:val="18"/>
              </w:rPr>
              <w:t>6</w:t>
            </w:r>
            <w:r>
              <w:rPr>
                <w:rFonts w:cs="Calibri"/>
                <w:bCs/>
                <w:color w:val="000000"/>
                <w:sz w:val="18"/>
                <w:szCs w:val="18"/>
                <w:lang w:val="hy-AM"/>
              </w:rPr>
              <w:t>.</w:t>
            </w:r>
            <w:r>
              <w:rPr>
                <w:rFonts w:cs="Calibri"/>
                <w:bCs/>
                <w:color w:val="000000"/>
                <w:sz w:val="18"/>
                <w:szCs w:val="18"/>
              </w:rPr>
              <w:t>5</w:t>
            </w:r>
          </w:p>
        </w:tc>
        <w:tc>
          <w:tcPr>
            <w:tcW w:w="1134" w:type="dxa"/>
            <w:tcBorders>
              <w:left w:val="nil"/>
              <w:right w:val="nil"/>
            </w:tcBorders>
            <w:noWrap/>
            <w:vAlign w:val="center"/>
            <w:hideMark/>
          </w:tcPr>
          <w:p w14:paraId="4A1B80F0"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rPr>
              <w:t>22</w:t>
            </w:r>
            <w:r>
              <w:rPr>
                <w:rFonts w:cs="Calibri"/>
                <w:bCs/>
                <w:color w:val="000000"/>
                <w:sz w:val="18"/>
                <w:szCs w:val="18"/>
                <w:lang w:val="hy-AM"/>
              </w:rPr>
              <w:t>.</w:t>
            </w:r>
            <w:r>
              <w:rPr>
                <w:rFonts w:cs="Calibri"/>
                <w:bCs/>
                <w:color w:val="000000"/>
                <w:sz w:val="18"/>
                <w:szCs w:val="18"/>
              </w:rPr>
              <w:t>4</w:t>
            </w:r>
          </w:p>
        </w:tc>
        <w:tc>
          <w:tcPr>
            <w:tcW w:w="709" w:type="dxa"/>
            <w:tcBorders>
              <w:left w:val="nil"/>
              <w:right w:val="nil"/>
            </w:tcBorders>
            <w:noWrap/>
            <w:vAlign w:val="center"/>
            <w:hideMark/>
          </w:tcPr>
          <w:p w14:paraId="1C2E4856"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2</w:t>
            </w:r>
            <w:r>
              <w:rPr>
                <w:rFonts w:cs="Calibri"/>
                <w:bCs/>
                <w:color w:val="000000"/>
                <w:sz w:val="18"/>
                <w:szCs w:val="18"/>
              </w:rPr>
              <w:t>5</w:t>
            </w:r>
            <w:r>
              <w:rPr>
                <w:rFonts w:cs="Calibri"/>
                <w:bCs/>
                <w:color w:val="000000"/>
                <w:sz w:val="18"/>
                <w:szCs w:val="18"/>
                <w:lang w:val="hy-AM"/>
              </w:rPr>
              <w:t>.</w:t>
            </w:r>
            <w:r>
              <w:rPr>
                <w:rFonts w:cs="Calibri"/>
                <w:bCs/>
                <w:color w:val="000000"/>
                <w:sz w:val="18"/>
                <w:szCs w:val="18"/>
              </w:rPr>
              <w:t>5</w:t>
            </w:r>
          </w:p>
        </w:tc>
      </w:tr>
      <w:tr w:rsidR="007F54C8" w14:paraId="35E0985B" w14:textId="77777777" w:rsidTr="007F54C8">
        <w:trPr>
          <w:gridAfter w:val="2"/>
          <w:wAfter w:w="282" w:type="dxa"/>
          <w:trHeight w:val="259"/>
        </w:trPr>
        <w:tc>
          <w:tcPr>
            <w:cnfStyle w:val="001000000000" w:firstRow="0" w:lastRow="0" w:firstColumn="1" w:lastColumn="0" w:oddVBand="0" w:evenVBand="0" w:oddHBand="0" w:evenHBand="0" w:firstRowFirstColumn="0" w:firstRowLastColumn="0" w:lastRowFirstColumn="0" w:lastRowLastColumn="0"/>
            <w:tcW w:w="4962" w:type="dxa"/>
            <w:tcBorders>
              <w:top w:val="nil"/>
              <w:left w:val="nil"/>
              <w:bottom w:val="nil"/>
              <w:right w:val="nil"/>
            </w:tcBorders>
            <w:hideMark/>
          </w:tcPr>
          <w:p w14:paraId="47555B0E" w14:textId="77777777" w:rsidR="007F54C8" w:rsidRDefault="007F54C8">
            <w:pPr>
              <w:tabs>
                <w:tab w:val="left" w:pos="0"/>
              </w:tabs>
              <w:spacing w:before="120" w:after="0" w:line="240" w:lineRule="auto"/>
              <w:ind w:left="227" w:firstLine="0"/>
              <w:jc w:val="left"/>
              <w:rPr>
                <w:rFonts w:eastAsia="Times New Roman" w:cs="Times New Roman"/>
                <w:b w:val="0"/>
                <w:i/>
                <w:iCs/>
                <w:sz w:val="18"/>
                <w:szCs w:val="18"/>
              </w:rPr>
            </w:pPr>
            <w:r>
              <w:rPr>
                <w:rFonts w:eastAsia="Times New Roman" w:cs="Times New Roman"/>
                <w:b w:val="0"/>
                <w:i/>
                <w:iCs/>
                <w:sz w:val="18"/>
                <w:szCs w:val="18"/>
              </w:rPr>
              <w:t>ընթացիկ սուբվենցիաներ</w:t>
            </w:r>
          </w:p>
        </w:tc>
        <w:tc>
          <w:tcPr>
            <w:tcW w:w="1134" w:type="dxa"/>
            <w:tcBorders>
              <w:top w:val="nil"/>
              <w:left w:val="nil"/>
              <w:bottom w:val="nil"/>
              <w:right w:val="nil"/>
            </w:tcBorders>
            <w:noWrap/>
            <w:vAlign w:val="center"/>
            <w:hideMark/>
          </w:tcPr>
          <w:p w14:paraId="3092F138"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i/>
                <w:sz w:val="18"/>
                <w:szCs w:val="18"/>
                <w:lang w:val="hy-AM"/>
              </w:rPr>
            </w:pPr>
            <w:r>
              <w:rPr>
                <w:rFonts w:cs="Calibri"/>
                <w:i/>
                <w:iCs/>
                <w:color w:val="000000"/>
                <w:sz w:val="18"/>
                <w:szCs w:val="18"/>
                <w:lang w:val="hy-AM"/>
              </w:rPr>
              <w:t>7.</w:t>
            </w:r>
            <w:r>
              <w:rPr>
                <w:rFonts w:cs="Calibri"/>
                <w:i/>
                <w:iCs/>
                <w:color w:val="000000"/>
                <w:sz w:val="18"/>
                <w:szCs w:val="18"/>
              </w:rPr>
              <w:t>7</w:t>
            </w:r>
          </w:p>
        </w:tc>
        <w:tc>
          <w:tcPr>
            <w:tcW w:w="851" w:type="dxa"/>
            <w:tcBorders>
              <w:top w:val="nil"/>
              <w:left w:val="nil"/>
              <w:bottom w:val="nil"/>
              <w:right w:val="nil"/>
            </w:tcBorders>
            <w:noWrap/>
            <w:vAlign w:val="center"/>
            <w:hideMark/>
          </w:tcPr>
          <w:p w14:paraId="103CAF9D"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1.</w:t>
            </w:r>
            <w:r>
              <w:rPr>
                <w:rFonts w:cs="Calibri"/>
                <w:bCs/>
                <w:i/>
                <w:iCs/>
                <w:color w:val="000000"/>
                <w:sz w:val="18"/>
                <w:szCs w:val="18"/>
              </w:rPr>
              <w:t>0</w:t>
            </w:r>
          </w:p>
        </w:tc>
        <w:tc>
          <w:tcPr>
            <w:tcW w:w="850" w:type="dxa"/>
            <w:tcBorders>
              <w:top w:val="nil"/>
              <w:left w:val="nil"/>
              <w:bottom w:val="nil"/>
              <w:right w:val="nil"/>
            </w:tcBorders>
            <w:noWrap/>
            <w:vAlign w:val="center"/>
            <w:hideMark/>
          </w:tcPr>
          <w:p w14:paraId="0329CB58"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1.0</w:t>
            </w:r>
          </w:p>
        </w:tc>
        <w:tc>
          <w:tcPr>
            <w:tcW w:w="1134" w:type="dxa"/>
            <w:tcBorders>
              <w:top w:val="nil"/>
              <w:left w:val="nil"/>
              <w:bottom w:val="nil"/>
              <w:right w:val="nil"/>
            </w:tcBorders>
            <w:noWrap/>
            <w:vAlign w:val="center"/>
            <w:hideMark/>
          </w:tcPr>
          <w:p w14:paraId="756A9002"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1.0</w:t>
            </w:r>
          </w:p>
        </w:tc>
        <w:tc>
          <w:tcPr>
            <w:tcW w:w="709" w:type="dxa"/>
            <w:tcBorders>
              <w:top w:val="nil"/>
              <w:left w:val="nil"/>
              <w:bottom w:val="nil"/>
              <w:right w:val="nil"/>
            </w:tcBorders>
            <w:noWrap/>
            <w:vAlign w:val="center"/>
            <w:hideMark/>
          </w:tcPr>
          <w:p w14:paraId="1423A0E8" w14:textId="77777777"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1.0</w:t>
            </w:r>
          </w:p>
        </w:tc>
      </w:tr>
      <w:tr w:rsidR="007F54C8" w14:paraId="5FAEE5B4" w14:textId="77777777" w:rsidTr="007F54C8">
        <w:trPr>
          <w:gridAfter w:val="2"/>
          <w:cnfStyle w:val="000000100000" w:firstRow="0" w:lastRow="0" w:firstColumn="0" w:lastColumn="0" w:oddVBand="0" w:evenVBand="0" w:oddHBand="1" w:evenHBand="0" w:firstRowFirstColumn="0" w:firstRowLastColumn="0" w:lastRowFirstColumn="0" w:lastRowLastColumn="0"/>
          <w:wAfter w:w="282" w:type="dxa"/>
          <w:trHeight w:val="259"/>
        </w:trPr>
        <w:tc>
          <w:tcPr>
            <w:cnfStyle w:val="001000000000" w:firstRow="0" w:lastRow="0" w:firstColumn="1" w:lastColumn="0" w:oddVBand="0" w:evenVBand="0" w:oddHBand="0" w:evenHBand="0" w:firstRowFirstColumn="0" w:firstRowLastColumn="0" w:lastRowFirstColumn="0" w:lastRowLastColumn="0"/>
            <w:tcW w:w="4962" w:type="dxa"/>
            <w:tcBorders>
              <w:left w:val="nil"/>
              <w:right w:val="nil"/>
            </w:tcBorders>
            <w:hideMark/>
          </w:tcPr>
          <w:p w14:paraId="0441BE1E" w14:textId="77777777" w:rsidR="007F54C8" w:rsidRDefault="007F54C8">
            <w:pPr>
              <w:tabs>
                <w:tab w:val="left" w:pos="0"/>
              </w:tabs>
              <w:spacing w:before="120" w:after="0" w:line="240" w:lineRule="auto"/>
              <w:ind w:left="227" w:firstLine="0"/>
              <w:jc w:val="left"/>
              <w:rPr>
                <w:rFonts w:eastAsia="Times New Roman" w:cs="Times New Roman"/>
                <w:b w:val="0"/>
                <w:i/>
                <w:iCs/>
                <w:sz w:val="18"/>
                <w:szCs w:val="18"/>
                <w:lang w:val="hy-AM"/>
              </w:rPr>
            </w:pPr>
            <w:r>
              <w:rPr>
                <w:rFonts w:eastAsia="Times New Roman" w:cs="Times New Roman"/>
                <w:b w:val="0"/>
                <w:i/>
                <w:iCs/>
                <w:sz w:val="18"/>
                <w:szCs w:val="18"/>
                <w:lang w:val="hy-AM"/>
              </w:rPr>
              <w:t>կապիտալ սուբվենցիաներ</w:t>
            </w:r>
          </w:p>
        </w:tc>
        <w:tc>
          <w:tcPr>
            <w:tcW w:w="1134" w:type="dxa"/>
            <w:tcBorders>
              <w:left w:val="nil"/>
              <w:right w:val="nil"/>
            </w:tcBorders>
            <w:noWrap/>
            <w:vAlign w:val="center"/>
            <w:hideMark/>
          </w:tcPr>
          <w:p w14:paraId="69273D51"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i/>
                <w:sz w:val="18"/>
                <w:szCs w:val="18"/>
                <w:lang w:val="hy-AM"/>
              </w:rPr>
            </w:pPr>
            <w:r>
              <w:rPr>
                <w:rFonts w:cs="Calibri"/>
                <w:i/>
                <w:iCs/>
                <w:color w:val="000000"/>
                <w:sz w:val="18"/>
                <w:szCs w:val="18"/>
                <w:lang w:val="hy-AM"/>
              </w:rPr>
              <w:t>31.8</w:t>
            </w:r>
          </w:p>
        </w:tc>
        <w:tc>
          <w:tcPr>
            <w:tcW w:w="851" w:type="dxa"/>
            <w:tcBorders>
              <w:left w:val="nil"/>
              <w:right w:val="nil"/>
            </w:tcBorders>
            <w:noWrap/>
            <w:vAlign w:val="center"/>
            <w:hideMark/>
          </w:tcPr>
          <w:p w14:paraId="21684403"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2</w:t>
            </w:r>
            <w:r>
              <w:rPr>
                <w:rFonts w:cs="Calibri"/>
                <w:bCs/>
                <w:i/>
                <w:iCs/>
                <w:color w:val="000000"/>
                <w:sz w:val="18"/>
                <w:szCs w:val="18"/>
              </w:rPr>
              <w:t>4</w:t>
            </w:r>
            <w:r>
              <w:rPr>
                <w:rFonts w:cs="Calibri"/>
                <w:bCs/>
                <w:i/>
                <w:iCs/>
                <w:color w:val="000000"/>
                <w:sz w:val="18"/>
                <w:szCs w:val="18"/>
                <w:lang w:val="hy-AM"/>
              </w:rPr>
              <w:t>.</w:t>
            </w:r>
            <w:r>
              <w:rPr>
                <w:rFonts w:cs="Calibri"/>
                <w:bCs/>
                <w:i/>
                <w:iCs/>
                <w:color w:val="000000"/>
                <w:sz w:val="18"/>
                <w:szCs w:val="18"/>
              </w:rPr>
              <w:t>3</w:t>
            </w:r>
          </w:p>
        </w:tc>
        <w:tc>
          <w:tcPr>
            <w:tcW w:w="850" w:type="dxa"/>
            <w:tcBorders>
              <w:left w:val="nil"/>
              <w:right w:val="nil"/>
            </w:tcBorders>
            <w:noWrap/>
            <w:vAlign w:val="center"/>
            <w:hideMark/>
          </w:tcPr>
          <w:p w14:paraId="3805FD09"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2</w:t>
            </w:r>
            <w:r>
              <w:rPr>
                <w:rFonts w:cs="Calibri"/>
                <w:bCs/>
                <w:i/>
                <w:iCs/>
                <w:color w:val="000000"/>
                <w:sz w:val="18"/>
                <w:szCs w:val="18"/>
              </w:rPr>
              <w:t>5</w:t>
            </w:r>
            <w:r>
              <w:rPr>
                <w:rFonts w:cs="Calibri"/>
                <w:bCs/>
                <w:i/>
                <w:iCs/>
                <w:color w:val="000000"/>
                <w:sz w:val="18"/>
                <w:szCs w:val="18"/>
                <w:lang w:val="hy-AM"/>
              </w:rPr>
              <w:t>.</w:t>
            </w:r>
            <w:r>
              <w:rPr>
                <w:rFonts w:cs="Calibri"/>
                <w:bCs/>
                <w:i/>
                <w:iCs/>
                <w:color w:val="000000"/>
                <w:sz w:val="18"/>
                <w:szCs w:val="18"/>
              </w:rPr>
              <w:t>5</w:t>
            </w:r>
          </w:p>
        </w:tc>
        <w:tc>
          <w:tcPr>
            <w:tcW w:w="1134" w:type="dxa"/>
            <w:tcBorders>
              <w:left w:val="nil"/>
              <w:right w:val="nil"/>
            </w:tcBorders>
            <w:noWrap/>
            <w:vAlign w:val="center"/>
            <w:hideMark/>
          </w:tcPr>
          <w:p w14:paraId="58C902DB"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21.</w:t>
            </w:r>
            <w:r>
              <w:rPr>
                <w:rFonts w:cs="Calibri"/>
                <w:bCs/>
                <w:i/>
                <w:iCs/>
                <w:color w:val="000000"/>
                <w:sz w:val="18"/>
                <w:szCs w:val="18"/>
              </w:rPr>
              <w:t>4</w:t>
            </w:r>
          </w:p>
        </w:tc>
        <w:tc>
          <w:tcPr>
            <w:tcW w:w="709" w:type="dxa"/>
            <w:tcBorders>
              <w:left w:val="nil"/>
              <w:right w:val="nil"/>
            </w:tcBorders>
            <w:noWrap/>
            <w:vAlign w:val="center"/>
            <w:hideMark/>
          </w:tcPr>
          <w:p w14:paraId="327F7B6D" w14:textId="77777777" w:rsidR="007F54C8" w:rsidRDefault="007F54C8">
            <w:pPr>
              <w:tabs>
                <w:tab w:val="left" w:pos="0"/>
              </w:tabs>
              <w:spacing w:before="120"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Cs/>
                <w:i/>
                <w:sz w:val="18"/>
                <w:szCs w:val="18"/>
                <w:lang w:val="hy-AM"/>
              </w:rPr>
            </w:pPr>
            <w:r>
              <w:rPr>
                <w:rFonts w:cs="Calibri"/>
                <w:bCs/>
                <w:i/>
                <w:iCs/>
                <w:color w:val="000000"/>
                <w:sz w:val="18"/>
                <w:szCs w:val="18"/>
                <w:lang w:val="hy-AM"/>
              </w:rPr>
              <w:t>24.</w:t>
            </w:r>
            <w:r>
              <w:rPr>
                <w:rFonts w:cs="Calibri"/>
                <w:bCs/>
                <w:i/>
                <w:iCs/>
                <w:color w:val="000000"/>
                <w:sz w:val="18"/>
                <w:szCs w:val="18"/>
              </w:rPr>
              <w:t>5</w:t>
            </w:r>
          </w:p>
        </w:tc>
      </w:tr>
      <w:tr w:rsidR="007F54C8" w14:paraId="4629D269" w14:textId="77777777" w:rsidTr="007F54C8">
        <w:trPr>
          <w:gridAfter w:val="2"/>
          <w:wAfter w:w="282" w:type="dxa"/>
          <w:trHeight w:val="169"/>
        </w:trPr>
        <w:tc>
          <w:tcPr>
            <w:cnfStyle w:val="001000000000" w:firstRow="0" w:lastRow="0" w:firstColumn="1" w:lastColumn="0" w:oddVBand="0" w:evenVBand="0" w:oddHBand="0" w:evenHBand="0" w:firstRowFirstColumn="0" w:firstRowLastColumn="0" w:lastRowFirstColumn="0" w:lastRowLastColumn="0"/>
            <w:tcW w:w="4962" w:type="dxa"/>
            <w:tcBorders>
              <w:top w:val="nil"/>
              <w:left w:val="nil"/>
              <w:bottom w:val="single" w:sz="4" w:space="0" w:color="7F7F7F" w:themeColor="text1" w:themeTint="80"/>
              <w:right w:val="nil"/>
            </w:tcBorders>
            <w:hideMark/>
          </w:tcPr>
          <w:p w14:paraId="53AF13D0" w14:textId="77777777" w:rsidR="007F54C8" w:rsidRDefault="007F54C8">
            <w:pPr>
              <w:tabs>
                <w:tab w:val="left" w:pos="0"/>
              </w:tabs>
              <w:spacing w:before="120" w:after="0" w:line="240" w:lineRule="auto"/>
              <w:ind w:firstLine="0"/>
              <w:jc w:val="left"/>
              <w:rPr>
                <w:rFonts w:eastAsia="Times New Roman" w:cs="Times New Roman"/>
                <w:b w:val="0"/>
                <w:bCs w:val="0"/>
                <w:sz w:val="18"/>
                <w:szCs w:val="18"/>
                <w:lang w:val="hy-AM"/>
              </w:rPr>
            </w:pPr>
            <w:r>
              <w:rPr>
                <w:rFonts w:eastAsia="Times New Roman" w:cs="Times New Roman"/>
                <w:b w:val="0"/>
                <w:bCs w:val="0"/>
                <w:sz w:val="18"/>
                <w:szCs w:val="18"/>
                <w:lang w:val="hy-AM"/>
              </w:rPr>
              <w:t>Պատվիրակված լիազորությունների ֆինանսավորում</w:t>
            </w:r>
          </w:p>
        </w:tc>
        <w:tc>
          <w:tcPr>
            <w:tcW w:w="1134" w:type="dxa"/>
            <w:tcBorders>
              <w:top w:val="nil"/>
              <w:left w:val="nil"/>
              <w:bottom w:val="single" w:sz="4" w:space="0" w:color="7F7F7F" w:themeColor="text1" w:themeTint="80"/>
              <w:right w:val="nil"/>
            </w:tcBorders>
            <w:noWrap/>
            <w:vAlign w:val="center"/>
            <w:hideMark/>
          </w:tcPr>
          <w:p w14:paraId="7E980234" w14:textId="7939D997" w:rsidR="007F54C8" w:rsidRDefault="00EC6685">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color w:val="000000"/>
                <w:sz w:val="18"/>
                <w:szCs w:val="18"/>
                <w:lang w:val="hy-AM"/>
              </w:rPr>
              <w:t>42</w:t>
            </w:r>
            <w:r w:rsidR="007F54C8">
              <w:rPr>
                <w:rFonts w:cs="Calibri"/>
                <w:color w:val="000000"/>
                <w:sz w:val="18"/>
                <w:szCs w:val="18"/>
                <w:lang w:val="hy-AM"/>
              </w:rPr>
              <w:t>.</w:t>
            </w:r>
            <w:r>
              <w:rPr>
                <w:rFonts w:cs="Calibri"/>
                <w:color w:val="000000"/>
                <w:sz w:val="18"/>
                <w:szCs w:val="18"/>
                <w:lang w:val="hy-AM"/>
              </w:rPr>
              <w:t>5</w:t>
            </w:r>
          </w:p>
        </w:tc>
        <w:tc>
          <w:tcPr>
            <w:tcW w:w="851" w:type="dxa"/>
            <w:tcBorders>
              <w:top w:val="nil"/>
              <w:left w:val="nil"/>
              <w:bottom w:val="single" w:sz="4" w:space="0" w:color="7F7F7F" w:themeColor="text1" w:themeTint="80"/>
              <w:right w:val="nil"/>
            </w:tcBorders>
            <w:noWrap/>
            <w:vAlign w:val="center"/>
            <w:hideMark/>
          </w:tcPr>
          <w:p w14:paraId="28997775" w14:textId="2321095D"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rPr>
              <w:t>4</w:t>
            </w:r>
            <w:r w:rsidR="007D422B">
              <w:rPr>
                <w:rFonts w:cs="Calibri"/>
                <w:bCs/>
                <w:color w:val="000000"/>
                <w:sz w:val="18"/>
                <w:szCs w:val="18"/>
                <w:lang w:val="hy-AM"/>
              </w:rPr>
              <w:t>3</w:t>
            </w:r>
            <w:r>
              <w:rPr>
                <w:rFonts w:cs="Calibri"/>
                <w:bCs/>
                <w:color w:val="000000"/>
                <w:sz w:val="18"/>
                <w:szCs w:val="18"/>
              </w:rPr>
              <w:t>.</w:t>
            </w:r>
            <w:r w:rsidR="007D422B">
              <w:rPr>
                <w:rFonts w:cs="Calibri"/>
                <w:bCs/>
                <w:color w:val="000000"/>
                <w:sz w:val="18"/>
                <w:szCs w:val="18"/>
                <w:lang w:val="hy-AM"/>
              </w:rPr>
              <w:t>3</w:t>
            </w:r>
          </w:p>
        </w:tc>
        <w:tc>
          <w:tcPr>
            <w:tcW w:w="850" w:type="dxa"/>
            <w:tcBorders>
              <w:top w:val="nil"/>
              <w:left w:val="nil"/>
              <w:bottom w:val="single" w:sz="4" w:space="0" w:color="7F7F7F" w:themeColor="text1" w:themeTint="80"/>
              <w:right w:val="nil"/>
            </w:tcBorders>
            <w:noWrap/>
            <w:vAlign w:val="center"/>
            <w:hideMark/>
          </w:tcPr>
          <w:p w14:paraId="22889301" w14:textId="6C442FFD"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5</w:t>
            </w:r>
            <w:r w:rsidR="007D422B">
              <w:rPr>
                <w:rFonts w:cs="Calibri"/>
                <w:bCs/>
                <w:color w:val="000000"/>
                <w:sz w:val="18"/>
                <w:szCs w:val="18"/>
                <w:lang w:val="hy-AM"/>
              </w:rPr>
              <w:t>1</w:t>
            </w:r>
            <w:r>
              <w:rPr>
                <w:rFonts w:cs="Calibri"/>
                <w:bCs/>
                <w:color w:val="000000"/>
                <w:sz w:val="18"/>
                <w:szCs w:val="18"/>
                <w:lang w:val="hy-AM"/>
              </w:rPr>
              <w:t>.</w:t>
            </w:r>
            <w:r w:rsidR="007D422B">
              <w:rPr>
                <w:rFonts w:cs="Calibri"/>
                <w:bCs/>
                <w:color w:val="000000"/>
                <w:sz w:val="18"/>
                <w:szCs w:val="18"/>
                <w:lang w:val="hy-AM"/>
              </w:rPr>
              <w:t>5</w:t>
            </w:r>
          </w:p>
        </w:tc>
        <w:tc>
          <w:tcPr>
            <w:tcW w:w="1134" w:type="dxa"/>
            <w:tcBorders>
              <w:top w:val="nil"/>
              <w:left w:val="nil"/>
              <w:bottom w:val="single" w:sz="4" w:space="0" w:color="7F7F7F" w:themeColor="text1" w:themeTint="80"/>
              <w:right w:val="nil"/>
            </w:tcBorders>
            <w:noWrap/>
            <w:vAlign w:val="center"/>
            <w:hideMark/>
          </w:tcPr>
          <w:p w14:paraId="6C7C5C7C" w14:textId="13E6B719" w:rsidR="007F54C8" w:rsidRDefault="007D422B">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58</w:t>
            </w:r>
            <w:r w:rsidR="007F54C8">
              <w:rPr>
                <w:rFonts w:cs="Calibri"/>
                <w:bCs/>
                <w:color w:val="000000"/>
                <w:sz w:val="18"/>
                <w:szCs w:val="18"/>
                <w:lang w:val="hy-AM"/>
              </w:rPr>
              <w:t>.</w:t>
            </w:r>
            <w:r w:rsidR="00864AB0">
              <w:rPr>
                <w:rFonts w:cs="Calibri"/>
                <w:bCs/>
                <w:color w:val="000000"/>
                <w:sz w:val="18"/>
                <w:szCs w:val="18"/>
                <w:lang w:val="hy-AM"/>
              </w:rPr>
              <w:t>3</w:t>
            </w:r>
          </w:p>
        </w:tc>
        <w:tc>
          <w:tcPr>
            <w:tcW w:w="709" w:type="dxa"/>
            <w:tcBorders>
              <w:top w:val="nil"/>
              <w:left w:val="nil"/>
              <w:bottom w:val="single" w:sz="4" w:space="0" w:color="7F7F7F" w:themeColor="text1" w:themeTint="80"/>
              <w:right w:val="nil"/>
            </w:tcBorders>
            <w:noWrap/>
            <w:vAlign w:val="center"/>
            <w:hideMark/>
          </w:tcPr>
          <w:p w14:paraId="79F4FA0E" w14:textId="42494DC1" w:rsidR="007F54C8" w:rsidRDefault="007F54C8">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18"/>
                <w:szCs w:val="18"/>
                <w:lang w:val="hy-AM"/>
              </w:rPr>
            </w:pPr>
            <w:r>
              <w:rPr>
                <w:rFonts w:cs="Calibri"/>
                <w:bCs/>
                <w:color w:val="000000"/>
                <w:sz w:val="18"/>
                <w:szCs w:val="18"/>
                <w:lang w:val="hy-AM"/>
              </w:rPr>
              <w:t>5</w:t>
            </w:r>
            <w:r w:rsidR="007D422B">
              <w:rPr>
                <w:rFonts w:cs="Calibri"/>
                <w:bCs/>
                <w:color w:val="000000"/>
                <w:sz w:val="18"/>
                <w:szCs w:val="18"/>
                <w:lang w:val="hy-AM"/>
              </w:rPr>
              <w:t>8</w:t>
            </w:r>
            <w:r>
              <w:rPr>
                <w:rFonts w:cs="Calibri"/>
                <w:bCs/>
                <w:color w:val="000000"/>
                <w:sz w:val="18"/>
                <w:szCs w:val="18"/>
                <w:lang w:val="hy-AM"/>
              </w:rPr>
              <w:t>.</w:t>
            </w:r>
            <w:r w:rsidR="007D422B">
              <w:rPr>
                <w:rFonts w:cs="Calibri"/>
                <w:bCs/>
                <w:color w:val="000000"/>
                <w:sz w:val="18"/>
                <w:szCs w:val="18"/>
                <w:lang w:val="hy-AM"/>
              </w:rPr>
              <w:t>5</w:t>
            </w:r>
          </w:p>
        </w:tc>
      </w:tr>
    </w:tbl>
    <w:p w14:paraId="4D79F291" w14:textId="77777777" w:rsidR="007F54C8" w:rsidRDefault="007F54C8" w:rsidP="007F54C8"/>
    <w:p w14:paraId="0E539603" w14:textId="77777777" w:rsidR="00080175" w:rsidRDefault="00080175" w:rsidP="00C30825">
      <w:pPr>
        <w:tabs>
          <w:tab w:val="left" w:pos="0"/>
        </w:tabs>
        <w:spacing w:before="120" w:after="0" w:line="276" w:lineRule="auto"/>
        <w:ind w:firstLine="0"/>
        <w:jc w:val="left"/>
        <w:rPr>
          <w:lang w:val="hy-AM"/>
        </w:rPr>
      </w:pPr>
    </w:p>
    <w:p w14:paraId="37AEBBDE" w14:textId="77777777" w:rsidR="00080175" w:rsidRDefault="00080175" w:rsidP="00C30825">
      <w:pPr>
        <w:tabs>
          <w:tab w:val="left" w:pos="0"/>
        </w:tabs>
        <w:spacing w:before="120" w:after="0" w:line="276" w:lineRule="auto"/>
        <w:ind w:firstLine="0"/>
        <w:jc w:val="left"/>
        <w:rPr>
          <w:lang w:val="hy-AM"/>
        </w:rPr>
      </w:pPr>
    </w:p>
    <w:p w14:paraId="456A1821" w14:textId="77777777" w:rsidR="00080175" w:rsidRDefault="00080175" w:rsidP="00C30825">
      <w:pPr>
        <w:tabs>
          <w:tab w:val="left" w:pos="0"/>
        </w:tabs>
        <w:spacing w:before="120" w:after="0" w:line="276" w:lineRule="auto"/>
        <w:ind w:firstLine="0"/>
        <w:jc w:val="left"/>
        <w:rPr>
          <w:lang w:val="hy-AM"/>
        </w:rPr>
      </w:pPr>
    </w:p>
    <w:p w14:paraId="122C73B9" w14:textId="77777777" w:rsidR="00080175" w:rsidRDefault="00080175" w:rsidP="00C30825">
      <w:pPr>
        <w:tabs>
          <w:tab w:val="left" w:pos="0"/>
        </w:tabs>
        <w:spacing w:before="120" w:after="0" w:line="276" w:lineRule="auto"/>
        <w:ind w:firstLine="0"/>
        <w:jc w:val="left"/>
        <w:rPr>
          <w:lang w:val="hy-AM"/>
        </w:rPr>
      </w:pPr>
    </w:p>
    <w:p w14:paraId="4E60297E" w14:textId="77777777" w:rsidR="00080175" w:rsidRDefault="00080175" w:rsidP="00C30825">
      <w:pPr>
        <w:tabs>
          <w:tab w:val="left" w:pos="0"/>
        </w:tabs>
        <w:spacing w:before="120" w:after="0" w:line="276" w:lineRule="auto"/>
        <w:ind w:firstLine="0"/>
        <w:jc w:val="left"/>
        <w:rPr>
          <w:lang w:val="hy-AM"/>
        </w:rPr>
      </w:pPr>
    </w:p>
    <w:p w14:paraId="5A24A3D5" w14:textId="77777777" w:rsidR="00080175" w:rsidRDefault="00080175" w:rsidP="00C30825">
      <w:pPr>
        <w:tabs>
          <w:tab w:val="left" w:pos="0"/>
        </w:tabs>
        <w:spacing w:before="120" w:after="0" w:line="276" w:lineRule="auto"/>
        <w:ind w:firstLine="0"/>
        <w:jc w:val="left"/>
        <w:rPr>
          <w:rFonts w:eastAsiaTheme="majorEastAsia" w:cstheme="majorBidi"/>
          <w:b/>
          <w:bCs/>
          <w:color w:val="44546A" w:themeColor="text2"/>
          <w:sz w:val="32"/>
          <w:szCs w:val="28"/>
          <w:lang w:val="hy-AM"/>
        </w:rPr>
      </w:pPr>
    </w:p>
    <w:p w14:paraId="4AAE1325" w14:textId="117D4345" w:rsidR="00080175" w:rsidRDefault="00080175" w:rsidP="00C30825">
      <w:pPr>
        <w:pStyle w:val="Heading1"/>
        <w:tabs>
          <w:tab w:val="left" w:pos="0"/>
        </w:tabs>
        <w:spacing w:before="120" w:after="0" w:line="276" w:lineRule="auto"/>
        <w:rPr>
          <w:lang w:val="hy-AM"/>
        </w:rPr>
      </w:pPr>
    </w:p>
    <w:p w14:paraId="0D8A6657" w14:textId="1184DAE5" w:rsidR="00802308" w:rsidRDefault="00802308" w:rsidP="00802308">
      <w:pPr>
        <w:rPr>
          <w:lang w:val="hy-AM"/>
        </w:rPr>
      </w:pPr>
    </w:p>
    <w:p w14:paraId="30CE3B04" w14:textId="72BAC84A" w:rsidR="00802308" w:rsidRDefault="00802308" w:rsidP="00802308">
      <w:pPr>
        <w:rPr>
          <w:lang w:val="hy-AM"/>
        </w:rPr>
      </w:pPr>
    </w:p>
    <w:p w14:paraId="02A2B5CC" w14:textId="372510C7" w:rsidR="00802308" w:rsidRDefault="00802308" w:rsidP="00802308">
      <w:pPr>
        <w:rPr>
          <w:lang w:val="hy-AM"/>
        </w:rPr>
      </w:pPr>
    </w:p>
    <w:p w14:paraId="24016895" w14:textId="6515CEC7" w:rsidR="00802308" w:rsidRDefault="00802308" w:rsidP="00802308">
      <w:pPr>
        <w:rPr>
          <w:lang w:val="hy-AM"/>
        </w:rPr>
      </w:pPr>
    </w:p>
    <w:p w14:paraId="10AAA068" w14:textId="7CD86FC6" w:rsidR="00802308" w:rsidRDefault="00802308" w:rsidP="00802308">
      <w:pPr>
        <w:rPr>
          <w:lang w:val="hy-AM"/>
        </w:rPr>
      </w:pPr>
    </w:p>
    <w:p w14:paraId="1644EF66" w14:textId="6DA0E841" w:rsidR="00802308" w:rsidRDefault="00802308" w:rsidP="00802308">
      <w:pPr>
        <w:rPr>
          <w:lang w:val="hy-AM"/>
        </w:rPr>
      </w:pPr>
    </w:p>
    <w:p w14:paraId="50FAFB66" w14:textId="478B6693" w:rsidR="00802308" w:rsidRDefault="00802308" w:rsidP="00802308">
      <w:pPr>
        <w:rPr>
          <w:lang w:val="hy-AM"/>
        </w:rPr>
      </w:pPr>
    </w:p>
    <w:p w14:paraId="49EAEC2B" w14:textId="5473147F" w:rsidR="00802308" w:rsidRDefault="00802308" w:rsidP="00802308">
      <w:pPr>
        <w:rPr>
          <w:lang w:val="hy-AM"/>
        </w:rPr>
      </w:pPr>
    </w:p>
    <w:p w14:paraId="5DE63509" w14:textId="638D7F7F" w:rsidR="00802308" w:rsidRDefault="00802308" w:rsidP="00802308">
      <w:pPr>
        <w:rPr>
          <w:lang w:val="hy-AM"/>
        </w:rPr>
      </w:pPr>
    </w:p>
    <w:p w14:paraId="46611430" w14:textId="1550423E" w:rsidR="00802308" w:rsidRDefault="00802308" w:rsidP="00802308">
      <w:pPr>
        <w:rPr>
          <w:lang w:val="hy-AM"/>
        </w:rPr>
      </w:pPr>
    </w:p>
    <w:p w14:paraId="4309FEF8" w14:textId="77777777" w:rsidR="00802308" w:rsidRPr="00802308" w:rsidRDefault="00802308" w:rsidP="00802308">
      <w:pPr>
        <w:rPr>
          <w:lang w:val="hy-AM"/>
        </w:rPr>
      </w:pPr>
    </w:p>
    <w:p w14:paraId="13215A72" w14:textId="77777777" w:rsidR="00080175" w:rsidRPr="004F4773" w:rsidRDefault="00080175" w:rsidP="00C30825">
      <w:pPr>
        <w:tabs>
          <w:tab w:val="left" w:pos="0"/>
        </w:tabs>
        <w:spacing w:before="120" w:after="0" w:line="276" w:lineRule="auto"/>
        <w:ind w:firstLine="0"/>
        <w:rPr>
          <w:lang w:val="hy-AM"/>
        </w:rPr>
      </w:pPr>
    </w:p>
    <w:p w14:paraId="01977F64" w14:textId="77777777" w:rsidR="00080175" w:rsidRDefault="00080175" w:rsidP="00C30825">
      <w:pPr>
        <w:pStyle w:val="Heading1"/>
        <w:tabs>
          <w:tab w:val="left" w:pos="0"/>
        </w:tabs>
        <w:spacing w:before="120" w:after="0" w:line="276" w:lineRule="auto"/>
        <w:rPr>
          <w:lang w:val="hy-AM"/>
        </w:rPr>
      </w:pPr>
    </w:p>
    <w:p w14:paraId="2BFEC6BE" w14:textId="77777777" w:rsidR="00080175" w:rsidRDefault="00080175" w:rsidP="00C30825">
      <w:pPr>
        <w:pStyle w:val="Heading1"/>
        <w:tabs>
          <w:tab w:val="left" w:pos="0"/>
        </w:tabs>
        <w:spacing w:before="120" w:after="0" w:line="276" w:lineRule="auto"/>
        <w:rPr>
          <w:lang w:val="hy-AM"/>
        </w:rPr>
      </w:pPr>
      <w:bookmarkStart w:id="142" w:name="_Toc170926319"/>
      <w:r>
        <w:rPr>
          <w:lang w:val="hy-AM"/>
        </w:rPr>
        <w:t xml:space="preserve">ՄԱՍ II. </w:t>
      </w:r>
      <w:r w:rsidRPr="000A06CE">
        <w:rPr>
          <w:lang w:val="hy-AM"/>
        </w:rPr>
        <w:t>ԾԱԽՍԱՅԻՆ ՔԱՂԱՔԱԿԱՆՈՒԹՅԱՆ ՌԱԶՄԱՎԱՐՈՒԹՅՈՒՆԸ</w:t>
      </w:r>
      <w:bookmarkEnd w:id="29"/>
      <w:bookmarkEnd w:id="30"/>
      <w:bookmarkEnd w:id="31"/>
      <w:bookmarkEnd w:id="32"/>
      <w:bookmarkEnd w:id="142"/>
    </w:p>
    <w:p w14:paraId="681B2F54" w14:textId="77777777" w:rsidR="00080175" w:rsidRDefault="00080175" w:rsidP="00C30825">
      <w:pPr>
        <w:tabs>
          <w:tab w:val="left" w:pos="0"/>
        </w:tabs>
        <w:spacing w:before="120" w:after="0" w:line="276" w:lineRule="auto"/>
        <w:ind w:firstLine="0"/>
        <w:rPr>
          <w:lang w:val="hy-AM"/>
        </w:rPr>
      </w:pPr>
    </w:p>
    <w:p w14:paraId="75F399B8" w14:textId="77777777" w:rsidR="00080175" w:rsidRDefault="00080175" w:rsidP="00C30825">
      <w:pPr>
        <w:tabs>
          <w:tab w:val="left" w:pos="0"/>
        </w:tabs>
        <w:spacing w:before="120" w:after="0" w:line="276" w:lineRule="auto"/>
        <w:ind w:firstLine="0"/>
        <w:rPr>
          <w:lang w:val="hy-AM"/>
        </w:rPr>
      </w:pPr>
    </w:p>
    <w:p w14:paraId="1D5D1517" w14:textId="77777777" w:rsidR="00080175" w:rsidRDefault="00080175" w:rsidP="00C30825">
      <w:pPr>
        <w:tabs>
          <w:tab w:val="left" w:pos="0"/>
        </w:tabs>
        <w:spacing w:before="120" w:after="0" w:line="276" w:lineRule="auto"/>
        <w:ind w:firstLine="0"/>
        <w:rPr>
          <w:lang w:val="hy-AM"/>
        </w:rPr>
      </w:pPr>
    </w:p>
    <w:p w14:paraId="16FEE6E7" w14:textId="77777777" w:rsidR="00080175" w:rsidRDefault="00080175" w:rsidP="00C30825">
      <w:pPr>
        <w:tabs>
          <w:tab w:val="left" w:pos="0"/>
        </w:tabs>
        <w:spacing w:before="120" w:after="0" w:line="276" w:lineRule="auto"/>
        <w:ind w:firstLine="0"/>
        <w:rPr>
          <w:lang w:val="hy-AM"/>
        </w:rPr>
      </w:pPr>
    </w:p>
    <w:p w14:paraId="4BECF3B3" w14:textId="77777777" w:rsidR="00080175" w:rsidRDefault="00080175" w:rsidP="00C30825">
      <w:pPr>
        <w:tabs>
          <w:tab w:val="left" w:pos="0"/>
        </w:tabs>
        <w:spacing w:before="120" w:after="0" w:line="276" w:lineRule="auto"/>
        <w:ind w:firstLine="0"/>
        <w:rPr>
          <w:lang w:val="hy-AM"/>
        </w:rPr>
      </w:pPr>
    </w:p>
    <w:p w14:paraId="5C4DF451" w14:textId="77777777" w:rsidR="00080175" w:rsidRDefault="00080175" w:rsidP="00C30825">
      <w:pPr>
        <w:tabs>
          <w:tab w:val="left" w:pos="0"/>
        </w:tabs>
        <w:spacing w:before="120" w:after="0" w:line="276" w:lineRule="auto"/>
        <w:ind w:firstLine="0"/>
        <w:rPr>
          <w:lang w:val="hy-AM"/>
        </w:rPr>
      </w:pPr>
    </w:p>
    <w:p w14:paraId="35A29C8C" w14:textId="77777777" w:rsidR="00080175" w:rsidRDefault="00080175" w:rsidP="00C30825">
      <w:pPr>
        <w:tabs>
          <w:tab w:val="left" w:pos="0"/>
        </w:tabs>
        <w:spacing w:before="120" w:after="0" w:line="276" w:lineRule="auto"/>
        <w:ind w:firstLine="0"/>
        <w:rPr>
          <w:lang w:val="hy-AM"/>
        </w:rPr>
      </w:pPr>
    </w:p>
    <w:p w14:paraId="3A5C6786" w14:textId="77777777" w:rsidR="00080175" w:rsidRDefault="00080175" w:rsidP="00C30825">
      <w:pPr>
        <w:tabs>
          <w:tab w:val="left" w:pos="0"/>
        </w:tabs>
        <w:spacing w:before="120" w:after="0" w:line="276" w:lineRule="auto"/>
        <w:ind w:firstLine="0"/>
        <w:rPr>
          <w:lang w:val="hy-AM"/>
        </w:rPr>
      </w:pPr>
    </w:p>
    <w:p w14:paraId="05FC5028" w14:textId="77777777" w:rsidR="00080175" w:rsidRDefault="00080175" w:rsidP="00C30825">
      <w:pPr>
        <w:tabs>
          <w:tab w:val="left" w:pos="0"/>
        </w:tabs>
        <w:spacing w:before="120" w:after="0" w:line="276" w:lineRule="auto"/>
        <w:ind w:firstLine="0"/>
        <w:rPr>
          <w:lang w:val="hy-AM"/>
        </w:rPr>
      </w:pPr>
    </w:p>
    <w:p w14:paraId="3B9BC528" w14:textId="77777777" w:rsidR="00080175" w:rsidRDefault="00080175" w:rsidP="00C30825">
      <w:pPr>
        <w:tabs>
          <w:tab w:val="left" w:pos="0"/>
        </w:tabs>
        <w:spacing w:before="120" w:after="0" w:line="276" w:lineRule="auto"/>
        <w:ind w:firstLine="0"/>
        <w:rPr>
          <w:lang w:val="hy-AM"/>
        </w:rPr>
      </w:pPr>
    </w:p>
    <w:p w14:paraId="61E752F7" w14:textId="77777777" w:rsidR="00080175" w:rsidRDefault="00080175" w:rsidP="00C30825">
      <w:pPr>
        <w:tabs>
          <w:tab w:val="left" w:pos="0"/>
        </w:tabs>
        <w:spacing w:before="120" w:after="0" w:line="276" w:lineRule="auto"/>
        <w:ind w:firstLine="0"/>
        <w:rPr>
          <w:lang w:val="hy-AM"/>
        </w:rPr>
      </w:pPr>
    </w:p>
    <w:p w14:paraId="0266B9DB" w14:textId="77777777" w:rsidR="00080175" w:rsidRPr="001316B8" w:rsidRDefault="00080175" w:rsidP="004247C0">
      <w:pPr>
        <w:pStyle w:val="Heading2"/>
        <w:tabs>
          <w:tab w:val="left" w:pos="0"/>
        </w:tabs>
        <w:spacing w:before="120" w:after="0" w:line="276" w:lineRule="auto"/>
        <w:contextualSpacing w:val="0"/>
        <w:rPr>
          <w:rFonts w:eastAsia="Times New Roman" w:cs="Times New Roman"/>
          <w:b w:val="0"/>
          <w:caps w:val="0"/>
          <w:sz w:val="24"/>
          <w:szCs w:val="24"/>
          <w:lang w:val="hy-AM"/>
        </w:rPr>
      </w:pPr>
      <w:bookmarkStart w:id="143" w:name="_Toc519513633"/>
      <w:bookmarkStart w:id="144" w:name="_Toc13837291"/>
      <w:bookmarkStart w:id="145" w:name="_Toc45637515"/>
      <w:bookmarkStart w:id="146" w:name="_Toc45838539"/>
      <w:bookmarkStart w:id="147" w:name="_Toc519513706"/>
      <w:bookmarkStart w:id="148" w:name="_Toc13837387"/>
      <w:bookmarkStart w:id="149" w:name="_Toc296702416"/>
      <w:r w:rsidRPr="00D9298F">
        <w:rPr>
          <w:sz w:val="28"/>
          <w:szCs w:val="28"/>
          <w:lang w:val="hy-AM"/>
        </w:rPr>
        <w:br w:type="page"/>
      </w:r>
      <w:bookmarkStart w:id="150" w:name="_Toc170926320"/>
      <w:r w:rsidRPr="00B705AD">
        <w:rPr>
          <w:rFonts w:eastAsia="Times New Roman" w:cs="Times New Roman"/>
          <w:b w:val="0"/>
          <w:caps w:val="0"/>
          <w:sz w:val="24"/>
          <w:szCs w:val="24"/>
          <w:lang w:val="hy-AM"/>
        </w:rPr>
        <w:lastRenderedPageBreak/>
        <w:t>ՀՀ 2024-2026ԹԹ. ՊԵՏԱԿԱՆ ԲՅՈՒՋԵՆԵՐԻ ԾԱԽՍԱՅԻՆ ԳԵՐԱԿԱՅՈՒԹՅՈՒՆՆԵՐԸ</w:t>
      </w:r>
      <w:bookmarkEnd w:id="143"/>
      <w:bookmarkEnd w:id="144"/>
      <w:bookmarkEnd w:id="145"/>
      <w:bookmarkEnd w:id="146"/>
      <w:bookmarkEnd w:id="150"/>
    </w:p>
    <w:p w14:paraId="39F4BE28" w14:textId="265DD315" w:rsidR="00080175" w:rsidRDefault="00080175" w:rsidP="004247C0">
      <w:pPr>
        <w:tabs>
          <w:tab w:val="left" w:pos="0"/>
        </w:tabs>
        <w:spacing w:before="120" w:after="0" w:line="276" w:lineRule="auto"/>
        <w:ind w:firstLine="0"/>
        <w:rPr>
          <w:lang w:val="es-ES"/>
        </w:rPr>
      </w:pPr>
      <w:r>
        <w:rPr>
          <w:rFonts w:cs="Sylfaen"/>
          <w:lang w:val="hy-AM"/>
        </w:rPr>
        <w:t>Ծախսային</w:t>
      </w:r>
      <w:r>
        <w:rPr>
          <w:lang w:val="es-ES"/>
        </w:rPr>
        <w:t xml:space="preserve"> </w:t>
      </w:r>
      <w:r>
        <w:rPr>
          <w:rFonts w:cs="Sylfaen"/>
          <w:lang w:val="hy-AM"/>
        </w:rPr>
        <w:t>քաղաքականության</w:t>
      </w:r>
      <w:r>
        <w:rPr>
          <w:lang w:val="es-ES"/>
        </w:rPr>
        <w:t xml:space="preserve"> </w:t>
      </w:r>
      <w:r>
        <w:rPr>
          <w:rFonts w:cs="Sylfaen"/>
          <w:lang w:val="hy-AM"/>
        </w:rPr>
        <w:t>ռազմավարությունը</w:t>
      </w:r>
      <w:r>
        <w:rPr>
          <w:lang w:val="es-ES"/>
        </w:rPr>
        <w:t xml:space="preserve"> </w:t>
      </w:r>
      <w:r>
        <w:rPr>
          <w:rFonts w:cs="Sylfaen"/>
          <w:lang w:val="hy-AM"/>
        </w:rPr>
        <w:t>շարադրող</w:t>
      </w:r>
      <w:r>
        <w:rPr>
          <w:lang w:val="es-ES"/>
        </w:rPr>
        <w:t xml:space="preserve"> </w:t>
      </w:r>
      <w:r w:rsidR="00B33D19">
        <w:rPr>
          <w:rFonts w:cs="Sylfaen"/>
          <w:lang w:val="hy-AM"/>
        </w:rPr>
        <w:t>մասում</w:t>
      </w:r>
      <w:r>
        <w:rPr>
          <w:rFonts w:cs="Sylfaen"/>
          <w:lang w:val="es-ES"/>
        </w:rPr>
        <w:t xml:space="preserve"> </w:t>
      </w:r>
      <w:r>
        <w:rPr>
          <w:lang w:val="es-ES"/>
        </w:rPr>
        <w:t xml:space="preserve"> </w:t>
      </w:r>
      <w:r>
        <w:rPr>
          <w:rFonts w:cs="Sylfaen"/>
          <w:lang w:val="hy-AM"/>
        </w:rPr>
        <w:t>ընդ</w:t>
      </w:r>
      <w:r>
        <w:rPr>
          <w:rFonts w:cs="Sylfaen"/>
          <w:lang w:val="es-ES"/>
        </w:rPr>
        <w:softHyphen/>
      </w:r>
      <w:r>
        <w:rPr>
          <w:rFonts w:cs="Sylfaen"/>
          <w:lang w:val="hy-AM"/>
        </w:rPr>
        <w:t>հանուր</w:t>
      </w:r>
      <w:r>
        <w:rPr>
          <w:lang w:val="es-ES"/>
        </w:rPr>
        <w:t xml:space="preserve"> </w:t>
      </w:r>
      <w:r>
        <w:rPr>
          <w:rFonts w:cs="Sylfaen"/>
          <w:lang w:val="hy-AM"/>
        </w:rPr>
        <w:t>գծե</w:t>
      </w:r>
      <w:r>
        <w:rPr>
          <w:rFonts w:cs="Sylfaen"/>
          <w:lang w:val="es-ES"/>
        </w:rPr>
        <w:softHyphen/>
      </w:r>
      <w:r>
        <w:rPr>
          <w:rFonts w:cs="Sylfaen"/>
          <w:lang w:val="hy-AM"/>
        </w:rPr>
        <w:t>րով</w:t>
      </w:r>
      <w:r>
        <w:rPr>
          <w:lang w:val="es-ES"/>
        </w:rPr>
        <w:t xml:space="preserve"> </w:t>
      </w:r>
      <w:r>
        <w:rPr>
          <w:rFonts w:cs="Sylfaen"/>
          <w:lang w:val="hy-AM"/>
        </w:rPr>
        <w:t>ներկայացվում</w:t>
      </w:r>
      <w:r>
        <w:rPr>
          <w:lang w:val="es-ES"/>
        </w:rPr>
        <w:t xml:space="preserve"> </w:t>
      </w:r>
      <w:r>
        <w:rPr>
          <w:rFonts w:cs="Sylfaen"/>
          <w:lang w:val="hy-AM"/>
        </w:rPr>
        <w:t>են</w:t>
      </w:r>
      <w:r>
        <w:rPr>
          <w:lang w:val="es-ES"/>
        </w:rPr>
        <w:t xml:space="preserve"> 202</w:t>
      </w:r>
      <w:r w:rsidR="00386E5B">
        <w:rPr>
          <w:lang w:val="es-ES"/>
        </w:rPr>
        <w:t>5</w:t>
      </w:r>
      <w:r>
        <w:rPr>
          <w:lang w:val="es-ES"/>
        </w:rPr>
        <w:t>-202</w:t>
      </w:r>
      <w:r w:rsidR="00386E5B">
        <w:rPr>
          <w:lang w:val="es-ES"/>
        </w:rPr>
        <w:t>7</w:t>
      </w:r>
      <w:r>
        <w:rPr>
          <w:lang w:val="es-ES"/>
        </w:rPr>
        <w:t xml:space="preserve">թթ. </w:t>
      </w:r>
      <w:r>
        <w:rPr>
          <w:rFonts w:cs="Sylfaen"/>
          <w:lang w:val="hy-AM"/>
        </w:rPr>
        <w:t>ժամանակահատվածում</w:t>
      </w:r>
      <w:r>
        <w:rPr>
          <w:lang w:val="es-ES"/>
        </w:rPr>
        <w:t xml:space="preserve"> </w:t>
      </w:r>
      <w:r>
        <w:rPr>
          <w:rFonts w:cs="Sylfaen"/>
          <w:lang w:val="hy-AM"/>
        </w:rPr>
        <w:t>պետական</w:t>
      </w:r>
      <w:r>
        <w:rPr>
          <w:lang w:val="es-ES"/>
        </w:rPr>
        <w:t xml:space="preserve"> </w:t>
      </w:r>
      <w:r>
        <w:rPr>
          <w:rFonts w:cs="Sylfaen"/>
          <w:lang w:val="hy-AM"/>
        </w:rPr>
        <w:t>բյուջեի</w:t>
      </w:r>
      <w:r>
        <w:rPr>
          <w:lang w:val="es-ES"/>
        </w:rPr>
        <w:t xml:space="preserve"> </w:t>
      </w:r>
      <w:r>
        <w:rPr>
          <w:rFonts w:cs="Sylfaen"/>
          <w:lang w:val="hy-AM"/>
        </w:rPr>
        <w:t>ծախսերի</w:t>
      </w:r>
      <w:r>
        <w:rPr>
          <w:lang w:val="es-ES"/>
        </w:rPr>
        <w:t xml:space="preserve"> </w:t>
      </w:r>
      <w:r>
        <w:rPr>
          <w:rFonts w:cs="Sylfaen"/>
          <w:lang w:val="hy-AM"/>
        </w:rPr>
        <w:t>ըստ</w:t>
      </w:r>
      <w:r>
        <w:rPr>
          <w:lang w:val="es-ES"/>
        </w:rPr>
        <w:t xml:space="preserve"> </w:t>
      </w:r>
      <w:r>
        <w:rPr>
          <w:rFonts w:cs="Sylfaen"/>
          <w:lang w:val="hy-AM"/>
        </w:rPr>
        <w:t>բնագավառների</w:t>
      </w:r>
      <w:r>
        <w:rPr>
          <w:lang w:val="es-ES"/>
        </w:rPr>
        <w:t xml:space="preserve"> </w:t>
      </w:r>
      <w:r>
        <w:rPr>
          <w:rFonts w:cs="Sylfaen"/>
          <w:lang w:val="hy-AM"/>
        </w:rPr>
        <w:t>քա</w:t>
      </w:r>
      <w:r>
        <w:rPr>
          <w:rFonts w:cs="Sylfaen"/>
          <w:lang w:val="es-ES"/>
        </w:rPr>
        <w:softHyphen/>
      </w:r>
      <w:r>
        <w:rPr>
          <w:rFonts w:cs="Sylfaen"/>
          <w:lang w:val="hy-AM"/>
        </w:rPr>
        <w:t>ղա</w:t>
      </w:r>
      <w:r>
        <w:rPr>
          <w:rFonts w:cs="Sylfaen"/>
          <w:lang w:val="es-ES"/>
        </w:rPr>
        <w:softHyphen/>
      </w:r>
      <w:r>
        <w:rPr>
          <w:rFonts w:cs="Sylfaen"/>
          <w:lang w:val="hy-AM"/>
        </w:rPr>
        <w:t>քականության</w:t>
      </w:r>
      <w:r>
        <w:rPr>
          <w:lang w:val="es-ES"/>
        </w:rPr>
        <w:t xml:space="preserve"> </w:t>
      </w:r>
      <w:r>
        <w:rPr>
          <w:rFonts w:cs="Sylfaen"/>
          <w:lang w:val="hy-AM"/>
        </w:rPr>
        <w:t>գերակայությունները</w:t>
      </w:r>
      <w:r>
        <w:rPr>
          <w:lang w:val="es-ES"/>
        </w:rPr>
        <w:t xml:space="preserve">: </w:t>
      </w:r>
      <w:r>
        <w:rPr>
          <w:rFonts w:cs="Sylfaen"/>
          <w:lang w:val="hy-AM"/>
        </w:rPr>
        <w:t>Այս</w:t>
      </w:r>
      <w:r>
        <w:rPr>
          <w:lang w:val="es-ES"/>
        </w:rPr>
        <w:t xml:space="preserve"> </w:t>
      </w:r>
      <w:r>
        <w:rPr>
          <w:rFonts w:cs="Sylfaen"/>
          <w:lang w:val="hy-AM"/>
        </w:rPr>
        <w:t>գերակայությունները</w:t>
      </w:r>
      <w:r>
        <w:rPr>
          <w:lang w:val="es-ES"/>
        </w:rPr>
        <w:t xml:space="preserve"> </w:t>
      </w:r>
      <w:r>
        <w:rPr>
          <w:rFonts w:cs="Sylfaen"/>
          <w:lang w:val="hy-AM"/>
        </w:rPr>
        <w:t>բխում</w:t>
      </w:r>
      <w:r>
        <w:rPr>
          <w:lang w:val="es-ES"/>
        </w:rPr>
        <w:t xml:space="preserve"> </w:t>
      </w:r>
      <w:r>
        <w:rPr>
          <w:rFonts w:cs="Sylfaen"/>
          <w:lang w:val="hy-AM"/>
        </w:rPr>
        <w:t>են</w:t>
      </w:r>
      <w:r>
        <w:rPr>
          <w:lang w:val="es-ES"/>
        </w:rPr>
        <w:t xml:space="preserve"> </w:t>
      </w:r>
      <w:r>
        <w:rPr>
          <w:lang w:val="hy-AM"/>
        </w:rPr>
        <w:t>ՀՀ կ</w:t>
      </w:r>
      <w:r>
        <w:rPr>
          <w:rFonts w:cs="Sylfaen"/>
          <w:lang w:val="hy-AM"/>
        </w:rPr>
        <w:t>առա</w:t>
      </w:r>
      <w:r>
        <w:rPr>
          <w:rFonts w:cs="Sylfaen"/>
          <w:lang w:val="es-ES"/>
        </w:rPr>
        <w:softHyphen/>
      </w:r>
      <w:r>
        <w:rPr>
          <w:rFonts w:cs="Sylfaen"/>
          <w:lang w:val="hy-AM"/>
        </w:rPr>
        <w:t>վարության</w:t>
      </w:r>
      <w:r>
        <w:rPr>
          <w:lang w:val="es-ES"/>
        </w:rPr>
        <w:t xml:space="preserve"> </w:t>
      </w:r>
      <w:r>
        <w:rPr>
          <w:rFonts w:cs="Sylfaen"/>
          <w:lang w:val="hy-AM"/>
        </w:rPr>
        <w:t>ընդ</w:t>
      </w:r>
      <w:r>
        <w:rPr>
          <w:rFonts w:cs="Sylfaen"/>
          <w:lang w:val="es-ES"/>
        </w:rPr>
        <w:softHyphen/>
      </w:r>
      <w:r>
        <w:rPr>
          <w:rFonts w:cs="Sylfaen"/>
          <w:lang w:val="hy-AM"/>
        </w:rPr>
        <w:t>հա</w:t>
      </w:r>
      <w:r>
        <w:rPr>
          <w:rFonts w:cs="Sylfaen"/>
          <w:lang w:val="es-ES"/>
        </w:rPr>
        <w:softHyphen/>
      </w:r>
      <w:r>
        <w:rPr>
          <w:rFonts w:cs="Sylfaen"/>
          <w:lang w:val="hy-AM"/>
        </w:rPr>
        <w:t>նուր</w:t>
      </w:r>
      <w:r>
        <w:rPr>
          <w:lang w:val="es-ES"/>
        </w:rPr>
        <w:t xml:space="preserve"> </w:t>
      </w:r>
      <w:r>
        <w:rPr>
          <w:rFonts w:cs="Sylfaen"/>
          <w:lang w:val="hy-AM"/>
        </w:rPr>
        <w:t>ռազ</w:t>
      </w:r>
      <w:r>
        <w:rPr>
          <w:rFonts w:cs="Sylfaen"/>
          <w:lang w:val="es-ES"/>
        </w:rPr>
        <w:softHyphen/>
      </w:r>
      <w:r>
        <w:rPr>
          <w:rFonts w:cs="Sylfaen"/>
          <w:lang w:val="hy-AM"/>
        </w:rPr>
        <w:t>մավարական</w:t>
      </w:r>
      <w:r>
        <w:rPr>
          <w:lang w:val="es-ES"/>
        </w:rPr>
        <w:t xml:space="preserve"> </w:t>
      </w:r>
      <w:r>
        <w:rPr>
          <w:rFonts w:cs="Sylfaen"/>
          <w:lang w:val="hy-AM"/>
        </w:rPr>
        <w:t>գերակայությունների</w:t>
      </w:r>
      <w:r>
        <w:rPr>
          <w:lang w:val="es-ES"/>
        </w:rPr>
        <w:t xml:space="preserve"> </w:t>
      </w:r>
      <w:r>
        <w:rPr>
          <w:rFonts w:cs="Sylfaen"/>
          <w:lang w:val="hy-AM"/>
        </w:rPr>
        <w:t>համա</w:t>
      </w:r>
      <w:r>
        <w:rPr>
          <w:rFonts w:cs="Sylfaen"/>
          <w:lang w:val="es-ES"/>
        </w:rPr>
        <w:softHyphen/>
      </w:r>
      <w:r>
        <w:rPr>
          <w:rFonts w:cs="Sylfaen"/>
          <w:lang w:val="hy-AM"/>
        </w:rPr>
        <w:t>տեքստից</w:t>
      </w:r>
      <w:r>
        <w:rPr>
          <w:lang w:val="es-ES"/>
        </w:rPr>
        <w:t xml:space="preserve"> (ՀՀ կ</w:t>
      </w:r>
      <w:r>
        <w:rPr>
          <w:rFonts w:cs="Sylfaen"/>
          <w:lang w:val="hy-AM"/>
        </w:rPr>
        <w:t>առա</w:t>
      </w:r>
      <w:r>
        <w:rPr>
          <w:rFonts w:cs="Sylfaen"/>
          <w:lang w:val="es-ES"/>
        </w:rPr>
        <w:softHyphen/>
      </w:r>
      <w:r>
        <w:rPr>
          <w:rFonts w:cs="Sylfaen"/>
          <w:lang w:val="hy-AM"/>
        </w:rPr>
        <w:t>վա</w:t>
      </w:r>
      <w:r>
        <w:rPr>
          <w:rFonts w:cs="Sylfaen"/>
          <w:lang w:val="es-ES"/>
        </w:rPr>
        <w:softHyphen/>
      </w:r>
      <w:r>
        <w:rPr>
          <w:rFonts w:cs="Sylfaen"/>
          <w:lang w:val="hy-AM"/>
        </w:rPr>
        <w:t>րության</w:t>
      </w:r>
      <w:r>
        <w:rPr>
          <w:lang w:val="es-ES"/>
        </w:rPr>
        <w:t xml:space="preserve"> </w:t>
      </w:r>
      <w:r>
        <w:rPr>
          <w:rFonts w:cs="Sylfaen"/>
          <w:lang w:val="hy-AM"/>
        </w:rPr>
        <w:t>ծրագիր</w:t>
      </w:r>
      <w:r>
        <w:rPr>
          <w:rFonts w:cs="Sylfaen"/>
          <w:lang w:val="es-ES"/>
        </w:rPr>
        <w:t xml:space="preserve">, </w:t>
      </w:r>
      <w:r>
        <w:rPr>
          <w:rFonts w:cs="Sylfaen"/>
          <w:lang w:val="hy-AM"/>
        </w:rPr>
        <w:t>տար</w:t>
      </w:r>
      <w:r>
        <w:rPr>
          <w:rFonts w:cs="Sylfaen"/>
          <w:lang w:val="es-ES"/>
        </w:rPr>
        <w:softHyphen/>
      </w:r>
      <w:r>
        <w:rPr>
          <w:rFonts w:cs="Sylfaen"/>
          <w:lang w:val="hy-AM"/>
        </w:rPr>
        <w:t>բեր</w:t>
      </w:r>
      <w:r>
        <w:rPr>
          <w:rFonts w:cs="Sylfaen"/>
          <w:lang w:val="es-ES"/>
        </w:rPr>
        <w:t xml:space="preserve"> </w:t>
      </w:r>
      <w:r>
        <w:rPr>
          <w:rFonts w:cs="Sylfaen"/>
          <w:lang w:val="hy-AM"/>
        </w:rPr>
        <w:t>ոլորտ</w:t>
      </w:r>
      <w:r>
        <w:rPr>
          <w:rFonts w:cs="Sylfaen"/>
          <w:lang w:val="es-ES"/>
        </w:rPr>
        <w:softHyphen/>
      </w:r>
      <w:r>
        <w:rPr>
          <w:rFonts w:cs="Sylfaen"/>
          <w:lang w:val="hy-AM"/>
        </w:rPr>
        <w:t>նե</w:t>
      </w:r>
      <w:r>
        <w:rPr>
          <w:rFonts w:cs="Sylfaen"/>
          <w:lang w:val="es-ES"/>
        </w:rPr>
        <w:softHyphen/>
      </w:r>
      <w:r>
        <w:rPr>
          <w:rFonts w:cs="Sylfaen"/>
          <w:lang w:val="hy-AM"/>
        </w:rPr>
        <w:t>րում</w:t>
      </w:r>
      <w:r>
        <w:rPr>
          <w:rFonts w:cs="Sylfaen"/>
          <w:lang w:val="es-ES"/>
        </w:rPr>
        <w:t xml:space="preserve"> </w:t>
      </w:r>
      <w:r>
        <w:rPr>
          <w:rFonts w:cs="Sylfaen"/>
          <w:lang w:val="hy-AM"/>
        </w:rPr>
        <w:t>ՀՀ կառավարության</w:t>
      </w:r>
      <w:r>
        <w:rPr>
          <w:rFonts w:cs="Sylfaen"/>
          <w:lang w:val="es-ES"/>
        </w:rPr>
        <w:t xml:space="preserve"> </w:t>
      </w:r>
      <w:r>
        <w:rPr>
          <w:rFonts w:cs="Sylfaen"/>
          <w:lang w:val="hy-AM"/>
        </w:rPr>
        <w:t>կողմից</w:t>
      </w:r>
      <w:r>
        <w:rPr>
          <w:rFonts w:cs="Sylfaen"/>
          <w:lang w:val="es-ES"/>
        </w:rPr>
        <w:t xml:space="preserve"> </w:t>
      </w:r>
      <w:r>
        <w:rPr>
          <w:rFonts w:cs="Sylfaen"/>
          <w:lang w:val="hy-AM"/>
        </w:rPr>
        <w:t>ընդուն</w:t>
      </w:r>
      <w:r>
        <w:rPr>
          <w:rFonts w:cs="Sylfaen"/>
          <w:lang w:val="es-ES"/>
        </w:rPr>
        <w:softHyphen/>
      </w:r>
      <w:r>
        <w:rPr>
          <w:rFonts w:cs="Sylfaen"/>
          <w:lang w:val="hy-AM"/>
        </w:rPr>
        <w:t>ված</w:t>
      </w:r>
      <w:r>
        <w:rPr>
          <w:rFonts w:cs="Sylfaen"/>
          <w:lang w:val="es-ES"/>
        </w:rPr>
        <w:t xml:space="preserve"> </w:t>
      </w:r>
      <w:r>
        <w:rPr>
          <w:rFonts w:cs="Sylfaen"/>
          <w:lang w:val="hy-AM"/>
        </w:rPr>
        <w:t>մի</w:t>
      </w:r>
      <w:r>
        <w:rPr>
          <w:rFonts w:cs="Sylfaen"/>
          <w:lang w:val="es-ES"/>
        </w:rPr>
        <w:t xml:space="preserve"> </w:t>
      </w:r>
      <w:r>
        <w:rPr>
          <w:rFonts w:cs="Sylfaen"/>
          <w:lang w:val="hy-AM"/>
        </w:rPr>
        <w:t>շարք</w:t>
      </w:r>
      <w:r>
        <w:rPr>
          <w:rFonts w:cs="Sylfaen"/>
          <w:lang w:val="es-ES"/>
        </w:rPr>
        <w:t xml:space="preserve"> </w:t>
      </w:r>
      <w:r>
        <w:rPr>
          <w:rFonts w:cs="Sylfaen"/>
          <w:lang w:val="hy-AM"/>
        </w:rPr>
        <w:t>միջնաժամկետ</w:t>
      </w:r>
      <w:r>
        <w:rPr>
          <w:rFonts w:cs="Sylfaen"/>
          <w:lang w:val="es-ES"/>
        </w:rPr>
        <w:t xml:space="preserve"> </w:t>
      </w:r>
      <w:r>
        <w:rPr>
          <w:rFonts w:cs="Sylfaen"/>
          <w:lang w:val="hy-AM"/>
        </w:rPr>
        <w:t>և</w:t>
      </w:r>
      <w:r>
        <w:rPr>
          <w:rFonts w:cs="Sylfaen"/>
          <w:lang w:val="es-ES"/>
        </w:rPr>
        <w:t xml:space="preserve"> </w:t>
      </w:r>
      <w:r>
        <w:rPr>
          <w:rFonts w:cs="Sylfaen"/>
          <w:lang w:val="hy-AM"/>
        </w:rPr>
        <w:t>եր</w:t>
      </w:r>
      <w:r>
        <w:rPr>
          <w:rFonts w:cs="Sylfaen"/>
          <w:lang w:val="es-ES"/>
        </w:rPr>
        <w:softHyphen/>
      </w:r>
      <w:r>
        <w:rPr>
          <w:rFonts w:cs="Sylfaen"/>
          <w:lang w:val="hy-AM"/>
        </w:rPr>
        <w:t>կա</w:t>
      </w:r>
      <w:r>
        <w:rPr>
          <w:rFonts w:cs="Sylfaen"/>
          <w:lang w:val="es-ES"/>
        </w:rPr>
        <w:softHyphen/>
      </w:r>
      <w:r>
        <w:rPr>
          <w:rFonts w:cs="Sylfaen"/>
          <w:lang w:val="hy-AM"/>
        </w:rPr>
        <w:t>րաժամկետ</w:t>
      </w:r>
      <w:r>
        <w:rPr>
          <w:rFonts w:cs="Sylfaen"/>
          <w:lang w:val="es-ES"/>
        </w:rPr>
        <w:t xml:space="preserve"> </w:t>
      </w:r>
      <w:r>
        <w:rPr>
          <w:rFonts w:cs="Sylfaen"/>
          <w:lang w:val="hy-AM"/>
        </w:rPr>
        <w:t>ծրագրեր</w:t>
      </w:r>
      <w:r>
        <w:rPr>
          <w:rFonts w:cs="Sylfaen"/>
          <w:lang w:val="es-ES"/>
        </w:rPr>
        <w:t xml:space="preserve"> </w:t>
      </w:r>
      <w:r>
        <w:rPr>
          <w:rFonts w:cs="Sylfaen"/>
          <w:lang w:val="hy-AM"/>
        </w:rPr>
        <w:t>և</w:t>
      </w:r>
      <w:r>
        <w:rPr>
          <w:rFonts w:cs="Sylfaen"/>
          <w:lang w:val="es-ES"/>
        </w:rPr>
        <w:t xml:space="preserve"> </w:t>
      </w:r>
      <w:r>
        <w:rPr>
          <w:rFonts w:cs="Sylfaen"/>
          <w:lang w:val="hy-AM"/>
        </w:rPr>
        <w:t>այլն</w:t>
      </w:r>
      <w:r>
        <w:rPr>
          <w:rFonts w:cs="Sylfaen"/>
          <w:lang w:val="es-ES"/>
        </w:rPr>
        <w:t xml:space="preserve">) </w:t>
      </w:r>
      <w:r>
        <w:rPr>
          <w:rFonts w:cs="Sylfaen"/>
          <w:lang w:val="hy-AM"/>
        </w:rPr>
        <w:t>և</w:t>
      </w:r>
      <w:r>
        <w:rPr>
          <w:rFonts w:cs="Sylfaen"/>
          <w:lang w:val="es-ES"/>
        </w:rPr>
        <w:t xml:space="preserve"> </w:t>
      </w:r>
      <w:r>
        <w:rPr>
          <w:rFonts w:cs="Sylfaen"/>
          <w:lang w:val="hy-AM"/>
        </w:rPr>
        <w:t>պետք</w:t>
      </w:r>
      <w:r>
        <w:rPr>
          <w:rFonts w:cs="Sylfaen"/>
          <w:lang w:val="es-ES"/>
        </w:rPr>
        <w:t xml:space="preserve"> </w:t>
      </w:r>
      <w:r>
        <w:rPr>
          <w:rFonts w:cs="Sylfaen"/>
          <w:lang w:val="hy-AM"/>
        </w:rPr>
        <w:t>է</w:t>
      </w:r>
      <w:r>
        <w:rPr>
          <w:rFonts w:cs="Sylfaen"/>
          <w:lang w:val="es-ES"/>
        </w:rPr>
        <w:t xml:space="preserve"> </w:t>
      </w:r>
      <w:r>
        <w:rPr>
          <w:rFonts w:cs="Sylfaen"/>
          <w:lang w:val="hy-AM"/>
        </w:rPr>
        <w:t>ծառայեն</w:t>
      </w:r>
      <w:r>
        <w:rPr>
          <w:rFonts w:cs="Sylfaen"/>
          <w:lang w:val="es-ES"/>
        </w:rPr>
        <w:t xml:space="preserve"> </w:t>
      </w:r>
      <w:r>
        <w:rPr>
          <w:rFonts w:cs="Sylfaen"/>
          <w:lang w:val="hy-AM"/>
        </w:rPr>
        <w:t>որպես</w:t>
      </w:r>
      <w:r>
        <w:rPr>
          <w:rFonts w:cs="Sylfaen"/>
          <w:lang w:val="es-ES"/>
        </w:rPr>
        <w:t xml:space="preserve"> </w:t>
      </w:r>
      <w:r>
        <w:rPr>
          <w:rFonts w:cs="Sylfaen"/>
          <w:lang w:val="hy-AM"/>
        </w:rPr>
        <w:t>հիմք</w:t>
      </w:r>
      <w:r>
        <w:rPr>
          <w:rFonts w:cs="Sylfaen"/>
          <w:lang w:val="es-ES"/>
        </w:rPr>
        <w:t xml:space="preserve">` </w:t>
      </w:r>
      <w:r>
        <w:rPr>
          <w:rFonts w:cs="Sylfaen"/>
          <w:lang w:val="hy-AM"/>
        </w:rPr>
        <w:t>ՀՀ</w:t>
      </w:r>
      <w:r w:rsidR="00386E5B">
        <w:rPr>
          <w:rFonts w:cs="Sylfaen"/>
          <w:lang w:val="es-ES"/>
        </w:rPr>
        <w:t xml:space="preserve"> 2025</w:t>
      </w:r>
      <w:r>
        <w:rPr>
          <w:rFonts w:cs="Sylfaen"/>
          <w:lang w:val="es-ES"/>
        </w:rPr>
        <w:t xml:space="preserve"> թվակա</w:t>
      </w:r>
      <w:r>
        <w:rPr>
          <w:rFonts w:cs="Sylfaen"/>
          <w:lang w:val="hy-AM"/>
        </w:rPr>
        <w:t>նի</w:t>
      </w:r>
      <w:r>
        <w:rPr>
          <w:rFonts w:cs="Sylfaen"/>
          <w:lang w:val="es-ES"/>
        </w:rPr>
        <w:t xml:space="preserve"> </w:t>
      </w:r>
      <w:r>
        <w:rPr>
          <w:rFonts w:cs="Sylfaen"/>
          <w:lang w:val="hy-AM"/>
        </w:rPr>
        <w:t>պետական</w:t>
      </w:r>
      <w:r>
        <w:rPr>
          <w:rFonts w:cs="Sylfaen"/>
          <w:lang w:val="es-ES"/>
        </w:rPr>
        <w:t xml:space="preserve"> </w:t>
      </w:r>
      <w:r>
        <w:rPr>
          <w:rFonts w:cs="Sylfaen"/>
          <w:lang w:val="hy-AM"/>
        </w:rPr>
        <w:t>բյուջեի</w:t>
      </w:r>
      <w:r>
        <w:rPr>
          <w:lang w:val="es-ES"/>
        </w:rPr>
        <w:t xml:space="preserve"> </w:t>
      </w:r>
      <w:r>
        <w:rPr>
          <w:rFonts w:cs="Sylfaen"/>
          <w:lang w:val="hy-AM"/>
        </w:rPr>
        <w:t>նա</w:t>
      </w:r>
      <w:r>
        <w:rPr>
          <w:rFonts w:cs="Sylfaen"/>
          <w:lang w:val="es-ES"/>
        </w:rPr>
        <w:softHyphen/>
      </w:r>
      <w:r>
        <w:rPr>
          <w:rFonts w:cs="Sylfaen"/>
          <w:lang w:val="hy-AM"/>
        </w:rPr>
        <w:t>խագծի</w:t>
      </w:r>
      <w:r>
        <w:rPr>
          <w:lang w:val="es-ES"/>
        </w:rPr>
        <w:t xml:space="preserve"> </w:t>
      </w:r>
      <w:r>
        <w:rPr>
          <w:rFonts w:cs="Sylfaen"/>
          <w:lang w:val="hy-AM"/>
        </w:rPr>
        <w:t>մշակման</w:t>
      </w:r>
      <w:r>
        <w:rPr>
          <w:lang w:val="es-ES"/>
        </w:rPr>
        <w:t xml:space="preserve"> </w:t>
      </w:r>
      <w:r>
        <w:rPr>
          <w:rFonts w:cs="Sylfaen"/>
          <w:lang w:val="hy-AM"/>
        </w:rPr>
        <w:t>համար</w:t>
      </w:r>
      <w:r>
        <w:rPr>
          <w:lang w:val="es-ES"/>
        </w:rPr>
        <w:t xml:space="preserve">: </w:t>
      </w:r>
    </w:p>
    <w:p w14:paraId="7D2FD5D4" w14:textId="77777777" w:rsidR="00080175" w:rsidRDefault="00080175" w:rsidP="004247C0">
      <w:pPr>
        <w:tabs>
          <w:tab w:val="left" w:pos="0"/>
          <w:tab w:val="left" w:pos="284"/>
        </w:tabs>
        <w:spacing w:before="120" w:after="0" w:line="276" w:lineRule="auto"/>
        <w:ind w:firstLine="0"/>
        <w:rPr>
          <w:lang w:val="es-ES"/>
        </w:rPr>
      </w:pPr>
      <w:r>
        <w:rPr>
          <w:rFonts w:cs="Sylfaen"/>
        </w:rPr>
        <w:t>Ինչպես</w:t>
      </w:r>
      <w:r>
        <w:rPr>
          <w:lang w:val="es-ES"/>
        </w:rPr>
        <w:t xml:space="preserve"> </w:t>
      </w:r>
      <w:r>
        <w:rPr>
          <w:rFonts w:cs="Sylfaen"/>
        </w:rPr>
        <w:t>արդեն</w:t>
      </w:r>
      <w:r>
        <w:rPr>
          <w:lang w:val="es-ES"/>
        </w:rPr>
        <w:t xml:space="preserve"> </w:t>
      </w:r>
      <w:r>
        <w:rPr>
          <w:rFonts w:cs="Sylfaen"/>
        </w:rPr>
        <w:t>վերը</w:t>
      </w:r>
      <w:r>
        <w:rPr>
          <w:lang w:val="es-ES"/>
        </w:rPr>
        <w:t xml:space="preserve"> </w:t>
      </w:r>
      <w:r>
        <w:rPr>
          <w:rFonts w:cs="Sylfaen"/>
        </w:rPr>
        <w:t>նշվել</w:t>
      </w:r>
      <w:r>
        <w:rPr>
          <w:lang w:val="es-ES"/>
        </w:rPr>
        <w:t xml:space="preserve"> </w:t>
      </w:r>
      <w:r>
        <w:rPr>
          <w:rFonts w:cs="Sylfaen"/>
        </w:rPr>
        <w:t>է</w:t>
      </w:r>
      <w:r>
        <w:rPr>
          <w:lang w:val="es-ES"/>
        </w:rPr>
        <w:t xml:space="preserve"> </w:t>
      </w:r>
      <w:r>
        <w:rPr>
          <w:lang w:val="hy-AM"/>
        </w:rPr>
        <w:t>ՀՀ կ</w:t>
      </w:r>
      <w:r>
        <w:rPr>
          <w:rFonts w:cs="Sylfaen"/>
        </w:rPr>
        <w:t>առավարությունն</w:t>
      </w:r>
      <w:r>
        <w:rPr>
          <w:lang w:val="es-ES"/>
        </w:rPr>
        <w:t xml:space="preserve"> </w:t>
      </w:r>
      <w:r>
        <w:rPr>
          <w:rFonts w:cs="Sylfaen"/>
        </w:rPr>
        <w:t>առաջիկա</w:t>
      </w:r>
      <w:r>
        <w:rPr>
          <w:lang w:val="es-ES"/>
        </w:rPr>
        <w:t xml:space="preserve"> </w:t>
      </w:r>
      <w:r>
        <w:rPr>
          <w:rFonts w:cs="Sylfaen"/>
        </w:rPr>
        <w:t>տարիների</w:t>
      </w:r>
      <w:r>
        <w:rPr>
          <w:lang w:val="es-ES"/>
        </w:rPr>
        <w:t xml:space="preserve"> </w:t>
      </w:r>
      <w:r>
        <w:rPr>
          <w:rFonts w:cs="Sylfaen"/>
        </w:rPr>
        <w:t>համար</w:t>
      </w:r>
      <w:r>
        <w:rPr>
          <w:lang w:val="es-ES"/>
        </w:rPr>
        <w:t xml:space="preserve"> </w:t>
      </w:r>
      <w:r>
        <w:rPr>
          <w:rFonts w:cs="Sylfaen"/>
        </w:rPr>
        <w:t>առավել</w:t>
      </w:r>
      <w:r>
        <w:rPr>
          <w:lang w:val="es-ES"/>
        </w:rPr>
        <w:t xml:space="preserve"> </w:t>
      </w:r>
      <w:r>
        <w:rPr>
          <w:rFonts w:cs="Sylfaen"/>
        </w:rPr>
        <w:t>կարևո</w:t>
      </w:r>
      <w:r>
        <w:rPr>
          <w:rFonts w:cs="Sylfaen"/>
          <w:lang w:val="es-ES"/>
        </w:rPr>
        <w:softHyphen/>
      </w:r>
      <w:r>
        <w:rPr>
          <w:rFonts w:cs="Sylfaen"/>
        </w:rPr>
        <w:t>րում</w:t>
      </w:r>
      <w:r>
        <w:rPr>
          <w:lang w:val="es-ES"/>
        </w:rPr>
        <w:t xml:space="preserve"> </w:t>
      </w:r>
      <w:r w:rsidR="009F0189">
        <w:rPr>
          <w:lang w:val="es-ES"/>
        </w:rPr>
        <w:t>է</w:t>
      </w:r>
      <w:r>
        <w:rPr>
          <w:lang w:val="es-ES"/>
        </w:rPr>
        <w:t xml:space="preserve"> </w:t>
      </w:r>
      <w:r>
        <w:rPr>
          <w:rFonts w:cs="Sylfaen"/>
        </w:rPr>
        <w:t>պե</w:t>
      </w:r>
      <w:r>
        <w:rPr>
          <w:rFonts w:cs="Sylfaen"/>
          <w:lang w:val="es-ES"/>
        </w:rPr>
        <w:softHyphen/>
      </w:r>
      <w:r>
        <w:rPr>
          <w:rFonts w:cs="Sylfaen"/>
        </w:rPr>
        <w:t>տական</w:t>
      </w:r>
      <w:r>
        <w:rPr>
          <w:lang w:val="es-ES"/>
        </w:rPr>
        <w:t xml:space="preserve"> </w:t>
      </w:r>
      <w:r>
        <w:rPr>
          <w:rFonts w:cs="Sylfaen"/>
        </w:rPr>
        <w:t>բյուջեի</w:t>
      </w:r>
      <w:r>
        <w:rPr>
          <w:lang w:val="es-ES"/>
        </w:rPr>
        <w:t xml:space="preserve"> </w:t>
      </w:r>
      <w:r>
        <w:rPr>
          <w:rFonts w:cs="Sylfaen"/>
        </w:rPr>
        <w:t>հիմնական</w:t>
      </w:r>
      <w:r>
        <w:rPr>
          <w:lang w:val="es-ES"/>
        </w:rPr>
        <w:t xml:space="preserve"> </w:t>
      </w:r>
      <w:r>
        <w:rPr>
          <w:rFonts w:cs="Sylfaen"/>
        </w:rPr>
        <w:t>ծախսային</w:t>
      </w:r>
      <w:r>
        <w:rPr>
          <w:lang w:val="es-ES"/>
        </w:rPr>
        <w:t xml:space="preserve"> </w:t>
      </w:r>
      <w:r>
        <w:rPr>
          <w:rFonts w:cs="Sylfaen"/>
        </w:rPr>
        <w:t>հետևյալ</w:t>
      </w:r>
      <w:r>
        <w:rPr>
          <w:lang w:val="es-ES"/>
        </w:rPr>
        <w:t xml:space="preserve"> </w:t>
      </w:r>
      <w:r>
        <w:rPr>
          <w:rFonts w:cs="Sylfaen"/>
        </w:rPr>
        <w:t>գերակայությունները</w:t>
      </w:r>
      <w:r>
        <w:rPr>
          <w:lang w:val="es-ES"/>
        </w:rPr>
        <w:t>.</w:t>
      </w:r>
    </w:p>
    <w:p w14:paraId="2F2B19EE" w14:textId="77777777" w:rsidR="00080175" w:rsidRPr="007057BA"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սոցիալական ոլորտի առանձին ճյուղերում (մասնավորապես՝ կրթություն, առողջա</w:t>
      </w:r>
      <w:r w:rsidRPr="007057BA">
        <w:rPr>
          <w:rFonts w:cs="GHEA Grapalat"/>
          <w:lang w:val="hy-AM"/>
        </w:rPr>
        <w:softHyphen/>
        <w:t>պա</w:t>
      </w:r>
      <w:r w:rsidRPr="007057BA">
        <w:rPr>
          <w:rFonts w:cs="GHEA Grapalat"/>
          <w:lang w:val="hy-AM"/>
        </w:rPr>
        <w:softHyphen/>
        <w:t>հութ</w:t>
      </w:r>
      <w:r w:rsidRPr="007057BA">
        <w:rPr>
          <w:rFonts w:cs="GHEA Grapalat"/>
          <w:lang w:val="hy-AM"/>
        </w:rPr>
        <w:softHyphen/>
        <w:t>յուն, սո</w:t>
      </w:r>
      <w:r w:rsidRPr="007057BA">
        <w:rPr>
          <w:rFonts w:cs="GHEA Grapalat"/>
          <w:lang w:val="hy-AM"/>
        </w:rPr>
        <w:softHyphen/>
      </w:r>
      <w:r w:rsidRPr="007057BA">
        <w:rPr>
          <w:rFonts w:cs="GHEA Grapalat"/>
          <w:lang w:val="hy-AM"/>
        </w:rPr>
        <w:softHyphen/>
        <w:t>ցիալական պաշտպանություն), ինչպես նաև պետական կառավարման բնագավառ</w:t>
      </w:r>
      <w:r w:rsidRPr="007057BA">
        <w:rPr>
          <w:rFonts w:cs="GHEA Grapalat"/>
          <w:lang w:val="hy-AM"/>
        </w:rPr>
        <w:softHyphen/>
        <w:t>ներում պե</w:t>
      </w:r>
      <w:r w:rsidRPr="007057BA">
        <w:rPr>
          <w:rFonts w:cs="GHEA Grapalat"/>
          <w:lang w:val="hy-AM"/>
        </w:rPr>
        <w:softHyphen/>
        <w:t>տա</w:t>
      </w:r>
      <w:r w:rsidRPr="007057BA">
        <w:rPr>
          <w:rFonts w:cs="GHEA Grapalat"/>
          <w:lang w:val="hy-AM"/>
        </w:rPr>
        <w:softHyphen/>
        <w:t>կան մար</w:t>
      </w:r>
      <w:r w:rsidRPr="007057BA">
        <w:rPr>
          <w:rFonts w:cs="GHEA Grapalat"/>
          <w:lang w:val="hy-AM"/>
        </w:rPr>
        <w:softHyphen/>
        <w:t>մինների գործունեության արդյունավետության, նպատակաուղ</w:t>
      </w:r>
      <w:r w:rsidRPr="007057BA">
        <w:rPr>
          <w:rFonts w:cs="GHEA Grapalat"/>
          <w:lang w:val="hy-AM"/>
        </w:rPr>
        <w:softHyphen/>
        <w:t>ղվա</w:t>
      </w:r>
      <w:r w:rsidRPr="007057BA">
        <w:rPr>
          <w:rFonts w:cs="GHEA Grapalat"/>
          <w:lang w:val="hy-AM"/>
        </w:rPr>
        <w:softHyphen/>
        <w:t>ծու</w:t>
      </w:r>
      <w:r w:rsidRPr="007057BA">
        <w:rPr>
          <w:rFonts w:cs="GHEA Grapalat"/>
          <w:lang w:val="hy-AM"/>
        </w:rPr>
        <w:softHyphen/>
        <w:t>թյան և հաս</w:t>
      </w:r>
      <w:r w:rsidRPr="007057BA">
        <w:rPr>
          <w:rFonts w:cs="GHEA Grapalat"/>
          <w:lang w:val="hy-AM"/>
        </w:rPr>
        <w:softHyphen/>
        <w:t>ցեա</w:t>
      </w:r>
      <w:r w:rsidRPr="007057BA">
        <w:rPr>
          <w:rFonts w:cs="GHEA Grapalat"/>
          <w:lang w:val="hy-AM"/>
        </w:rPr>
        <w:softHyphen/>
        <w:t>կանության մա</w:t>
      </w:r>
      <w:r w:rsidRPr="007057BA">
        <w:rPr>
          <w:rFonts w:cs="GHEA Grapalat"/>
          <w:lang w:val="hy-AM"/>
        </w:rPr>
        <w:softHyphen/>
        <w:t>կարդակի բարձրացման, նրանց կողմից հանրությանը մատուց</w:t>
      </w:r>
      <w:r w:rsidRPr="007057BA">
        <w:rPr>
          <w:rFonts w:cs="GHEA Grapalat"/>
          <w:lang w:val="hy-AM"/>
        </w:rPr>
        <w:softHyphen/>
        <w:t>վող ծառայու</w:t>
      </w:r>
      <w:r w:rsidRPr="007057BA">
        <w:rPr>
          <w:rFonts w:cs="GHEA Grapalat"/>
          <w:lang w:val="hy-AM"/>
        </w:rPr>
        <w:softHyphen/>
        <w:t>թ</w:t>
      </w:r>
      <w:r w:rsidRPr="007057BA">
        <w:rPr>
          <w:rFonts w:cs="GHEA Grapalat"/>
          <w:lang w:val="hy-AM"/>
        </w:rPr>
        <w:softHyphen/>
        <w:t>յուն</w:t>
      </w:r>
      <w:r w:rsidRPr="007057BA">
        <w:rPr>
          <w:rFonts w:cs="GHEA Grapalat"/>
          <w:lang w:val="hy-AM"/>
        </w:rPr>
        <w:softHyphen/>
        <w:t>նե</w:t>
      </w:r>
      <w:r w:rsidRPr="007057BA">
        <w:rPr>
          <w:rFonts w:cs="GHEA Grapalat"/>
          <w:lang w:val="hy-AM"/>
        </w:rPr>
        <w:softHyphen/>
        <w:t>րը բնակչության հա</w:t>
      </w:r>
      <w:r w:rsidRPr="007057BA">
        <w:rPr>
          <w:rFonts w:cs="GHEA Grapalat"/>
          <w:lang w:val="hy-AM"/>
        </w:rPr>
        <w:softHyphen/>
        <w:t>մար ավելի մատչելի դարձնելու նպատակով իրակա</w:t>
      </w:r>
      <w:r w:rsidRPr="007057BA">
        <w:rPr>
          <w:rFonts w:cs="GHEA Grapalat"/>
          <w:lang w:val="hy-AM"/>
        </w:rPr>
        <w:softHyphen/>
        <w:t>նաց</w:t>
      </w:r>
      <w:r w:rsidRPr="007057BA">
        <w:rPr>
          <w:rFonts w:cs="GHEA Grapalat"/>
          <w:lang w:val="hy-AM"/>
        </w:rPr>
        <w:softHyphen/>
        <w:t>վող բարեփո</w:t>
      </w:r>
      <w:r w:rsidRPr="007057BA">
        <w:rPr>
          <w:rFonts w:cs="GHEA Grapalat"/>
          <w:lang w:val="hy-AM"/>
        </w:rPr>
        <w:softHyphen/>
        <w:t>խում</w:t>
      </w:r>
      <w:r w:rsidRPr="007057BA">
        <w:rPr>
          <w:rFonts w:cs="GHEA Grapalat"/>
          <w:lang w:val="hy-AM"/>
        </w:rPr>
        <w:softHyphen/>
        <w:t>ների ֆի</w:t>
      </w:r>
      <w:r w:rsidRPr="007057BA">
        <w:rPr>
          <w:rFonts w:cs="GHEA Grapalat"/>
          <w:lang w:val="hy-AM"/>
        </w:rPr>
        <w:softHyphen/>
        <w:t xml:space="preserve">նանսական ապահովում, </w:t>
      </w:r>
    </w:p>
    <w:p w14:paraId="238E994D" w14:textId="77777777" w:rsidR="00080175" w:rsidRPr="007057BA"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հանրապետության տարածքային ամբողջականությունը, տարածաշրջանում կայու</w:t>
      </w:r>
      <w:r w:rsidRPr="007057BA">
        <w:rPr>
          <w:rFonts w:cs="GHEA Grapalat"/>
          <w:lang w:val="hy-AM"/>
        </w:rPr>
        <w:softHyphen/>
        <w:t>նու</w:t>
      </w:r>
      <w:r w:rsidRPr="007057BA">
        <w:rPr>
          <w:rFonts w:cs="GHEA Grapalat"/>
          <w:lang w:val="hy-AM"/>
        </w:rPr>
        <w:softHyphen/>
        <w:t>թյունը և անվտանգությունը պահպա</w:t>
      </w:r>
      <w:r w:rsidRPr="007057BA">
        <w:rPr>
          <w:rFonts w:cs="GHEA Grapalat"/>
          <w:lang w:val="hy-AM"/>
        </w:rPr>
        <w:softHyphen/>
        <w:t>նելու նպա</w:t>
      </w:r>
      <w:r w:rsidRPr="007057BA">
        <w:rPr>
          <w:rFonts w:cs="GHEA Grapalat"/>
          <w:lang w:val="hy-AM"/>
        </w:rPr>
        <w:softHyphen/>
        <w:t>տակով պաշտ</w:t>
      </w:r>
      <w:r w:rsidRPr="007057BA">
        <w:rPr>
          <w:rFonts w:cs="GHEA Grapalat"/>
          <w:lang w:val="hy-AM"/>
        </w:rPr>
        <w:softHyphen/>
      </w:r>
      <w:r w:rsidRPr="007057BA">
        <w:rPr>
          <w:rFonts w:cs="GHEA Grapalat"/>
          <w:lang w:val="hy-AM"/>
        </w:rPr>
        <w:softHyphen/>
      </w:r>
      <w:r w:rsidRPr="007057BA">
        <w:rPr>
          <w:rFonts w:cs="GHEA Grapalat"/>
          <w:lang w:val="hy-AM"/>
        </w:rPr>
        <w:softHyphen/>
        <w:t>պանության և ազգային անվտանգության կառույցների կենսագործու</w:t>
      </w:r>
      <w:r w:rsidRPr="007057BA">
        <w:rPr>
          <w:rFonts w:cs="GHEA Grapalat"/>
          <w:lang w:val="hy-AM"/>
        </w:rPr>
        <w:softHyphen/>
        <w:t>նեության համար ան</w:t>
      </w:r>
      <w:r w:rsidRPr="007057BA">
        <w:rPr>
          <w:rFonts w:cs="GHEA Grapalat"/>
          <w:lang w:val="hy-AM"/>
        </w:rPr>
        <w:softHyphen/>
        <w:t>հրաժեշտ ֆի</w:t>
      </w:r>
      <w:r w:rsidRPr="007057BA">
        <w:rPr>
          <w:rFonts w:cs="GHEA Grapalat"/>
          <w:lang w:val="hy-AM"/>
        </w:rPr>
        <w:softHyphen/>
        <w:t>նան</w:t>
      </w:r>
      <w:r w:rsidRPr="007057BA">
        <w:rPr>
          <w:rFonts w:cs="GHEA Grapalat"/>
          <w:lang w:val="hy-AM"/>
        </w:rPr>
        <w:softHyphen/>
        <w:t xml:space="preserve">սական ապահովում, </w:t>
      </w:r>
    </w:p>
    <w:p w14:paraId="309BF0A5" w14:textId="77777777" w:rsidR="00080175" w:rsidRPr="004F4773" w:rsidRDefault="00080175" w:rsidP="004247C0">
      <w:pPr>
        <w:numPr>
          <w:ilvl w:val="0"/>
          <w:numId w:val="24"/>
        </w:numPr>
        <w:tabs>
          <w:tab w:val="left" w:pos="0"/>
          <w:tab w:val="left" w:pos="284"/>
        </w:tabs>
        <w:autoSpaceDE w:val="0"/>
        <w:autoSpaceDN w:val="0"/>
        <w:adjustRightInd w:val="0"/>
        <w:spacing w:before="120" w:after="0" w:line="276" w:lineRule="auto"/>
        <w:ind w:firstLine="0"/>
        <w:rPr>
          <w:lang w:val="es-ES"/>
        </w:rPr>
      </w:pPr>
      <w:r w:rsidRPr="007057BA">
        <w:rPr>
          <w:rFonts w:cs="GHEA Grapalat"/>
          <w:lang w:val="hy-AM"/>
        </w:rPr>
        <w:t>տնտեսության առանձին ոլորտներում (մասնավորապես՝ գյուղատնտեսություն, ջրային տնտե</w:t>
      </w:r>
      <w:r w:rsidRPr="007057BA">
        <w:rPr>
          <w:rFonts w:cs="GHEA Grapalat"/>
          <w:lang w:val="hy-AM"/>
        </w:rPr>
        <w:softHyphen/>
      </w:r>
      <w:r w:rsidRPr="007057BA">
        <w:rPr>
          <w:rFonts w:cs="GHEA Grapalat"/>
          <w:lang w:val="hy-AM"/>
        </w:rPr>
        <w:softHyphen/>
        <w:t>սու</w:t>
      </w:r>
      <w:r w:rsidRPr="007057BA">
        <w:rPr>
          <w:rFonts w:cs="GHEA Grapalat"/>
          <w:lang w:val="hy-AM"/>
        </w:rPr>
        <w:softHyphen/>
        <w:t>թյուն, ճանապարհային տնտեսություն և էներգետիկա) ենթակառուցվածքների վերա</w:t>
      </w:r>
      <w:r w:rsidRPr="007057BA">
        <w:rPr>
          <w:rFonts w:cs="GHEA Grapalat"/>
          <w:lang w:val="hy-AM"/>
        </w:rPr>
        <w:softHyphen/>
        <w:t>կանգնման և զար</w:t>
      </w:r>
      <w:r w:rsidRPr="007057BA">
        <w:rPr>
          <w:rFonts w:cs="GHEA Grapalat"/>
          <w:lang w:val="hy-AM"/>
        </w:rPr>
        <w:softHyphen/>
        <w:t>գաց</w:t>
      </w:r>
      <w:r w:rsidRPr="007057BA">
        <w:rPr>
          <w:rFonts w:cs="GHEA Grapalat"/>
          <w:lang w:val="hy-AM"/>
        </w:rPr>
        <w:softHyphen/>
        <w:t>ման</w:t>
      </w:r>
      <w:r w:rsidRPr="004F4773">
        <w:rPr>
          <w:lang w:val="es-ES"/>
        </w:rPr>
        <w:t xml:space="preserve"> </w:t>
      </w:r>
      <w:r w:rsidRPr="0012775C">
        <w:rPr>
          <w:rFonts w:cs="Sylfaen"/>
          <w:lang w:val="hy-AM"/>
        </w:rPr>
        <w:t>ծրագրերի</w:t>
      </w:r>
      <w:r w:rsidRPr="004F4773">
        <w:rPr>
          <w:lang w:val="es-ES"/>
        </w:rPr>
        <w:t xml:space="preserve"> </w:t>
      </w:r>
      <w:r w:rsidRPr="0012775C">
        <w:rPr>
          <w:rFonts w:cs="Sylfaen"/>
          <w:lang w:val="hy-AM"/>
        </w:rPr>
        <w:t>իրականացում</w:t>
      </w:r>
      <w:r w:rsidRPr="004F4773">
        <w:rPr>
          <w:lang w:val="es-ES"/>
        </w:rPr>
        <w:t xml:space="preserve">: </w:t>
      </w:r>
    </w:p>
    <w:p w14:paraId="696BC354" w14:textId="77777777" w:rsidR="00080175" w:rsidRDefault="00080175" w:rsidP="004247C0">
      <w:pPr>
        <w:tabs>
          <w:tab w:val="left" w:pos="0"/>
        </w:tabs>
        <w:spacing w:before="120" w:after="0" w:line="276" w:lineRule="auto"/>
        <w:ind w:firstLine="0"/>
        <w:rPr>
          <w:lang w:val="es-ES"/>
        </w:rPr>
      </w:pPr>
    </w:p>
    <w:p w14:paraId="6631621A" w14:textId="77777777" w:rsidR="00080175" w:rsidRPr="00FE0674" w:rsidRDefault="00E02C17"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51" w:name="_Toc45637517"/>
      <w:bookmarkStart w:id="152" w:name="_Toc45838541"/>
      <w:bookmarkStart w:id="153" w:name="_Toc170926321"/>
      <w:bookmarkStart w:id="154" w:name="_Toc170376085"/>
      <w:bookmarkStart w:id="155" w:name="_Toc202428367"/>
      <w:bookmarkStart w:id="156" w:name="_Toc266780804"/>
      <w:bookmarkStart w:id="157" w:name="_Toc296702366"/>
      <w:r w:rsidRPr="00E02C17">
        <w:rPr>
          <w:rFonts w:eastAsia="Times New Roman" w:cs="Times New Roman"/>
          <w:b w:val="0"/>
          <w:caps w:val="0"/>
          <w:color w:val="44546A" w:themeColor="text2"/>
          <w:sz w:val="24"/>
          <w:szCs w:val="24"/>
          <w:lang w:val="es-ES"/>
        </w:rPr>
        <w:t xml:space="preserve">1. </w:t>
      </w:r>
      <w:r w:rsidR="00080175" w:rsidRPr="007015C6">
        <w:rPr>
          <w:rFonts w:eastAsia="Times New Roman" w:cs="Times New Roman"/>
          <w:b w:val="0"/>
          <w:caps w:val="0"/>
          <w:color w:val="44546A" w:themeColor="text2"/>
          <w:sz w:val="24"/>
          <w:szCs w:val="24"/>
        </w:rPr>
        <w:t>ԿՐԹՈՒԹՅՈԻՆ, ԳԻՏՈՒԹՅՈԻՆ, ՄՇԱԿՈՒՅԹ, ՍՊՈՐՏ ԵՎ ԵՐԻՏԱՍԱՐԴՈՒԹՅՈՒՆ</w:t>
      </w:r>
      <w:bookmarkEnd w:id="151"/>
      <w:bookmarkEnd w:id="152"/>
      <w:bookmarkEnd w:id="153"/>
    </w:p>
    <w:p w14:paraId="71650EF3" w14:textId="77777777" w:rsidR="00DA5276" w:rsidRPr="007C7AD0" w:rsidRDefault="00DA5276" w:rsidP="004247C0">
      <w:pPr>
        <w:tabs>
          <w:tab w:val="left" w:pos="0"/>
          <w:tab w:val="left" w:pos="851"/>
          <w:tab w:val="left" w:pos="993"/>
        </w:tabs>
        <w:spacing w:before="120" w:after="0" w:line="276" w:lineRule="auto"/>
        <w:ind w:firstLine="0"/>
        <w:rPr>
          <w:rFonts w:cs="GHEA Grapalat"/>
          <w:b/>
          <w:lang w:val="hy-AM"/>
        </w:rPr>
      </w:pPr>
      <w:bookmarkStart w:id="158" w:name="_Toc424298414"/>
      <w:bookmarkStart w:id="159" w:name="_Toc519513641"/>
      <w:bookmarkStart w:id="160" w:name="_Toc13837338"/>
      <w:r w:rsidRPr="007C7AD0">
        <w:rPr>
          <w:rFonts w:cs="GHEA Grapalat"/>
          <w:b/>
          <w:lang w:val="hy-AM"/>
        </w:rPr>
        <w:t>Կրթության ոլորտ</w:t>
      </w:r>
    </w:p>
    <w:p w14:paraId="4CFB76D0" w14:textId="77777777" w:rsidR="00DA5276" w:rsidRDefault="00DA5276" w:rsidP="004247C0">
      <w:pPr>
        <w:tabs>
          <w:tab w:val="left" w:pos="0"/>
          <w:tab w:val="left" w:pos="567"/>
          <w:tab w:val="left" w:pos="851"/>
        </w:tabs>
        <w:spacing w:before="120" w:after="0" w:line="276" w:lineRule="auto"/>
        <w:ind w:firstLine="0"/>
        <w:rPr>
          <w:lang w:val="hy-AM"/>
        </w:rPr>
      </w:pPr>
      <w:r w:rsidRPr="00192310">
        <w:rPr>
          <w:lang w:val="hy-AM"/>
        </w:rPr>
        <w:t>Կրթությունը մարդու հիմնարար իրավունք է, և պետության պարտավորությունն է ապահովել համընդհանուր հավասարապես հասանելի, ներառական և որակյալ կրթություն: Կրթության ոլորտը կարևոր դերակատարություն ունի ինչպես անհատի կայացման, այնպես էլ հասարակության սոցիալական և տնտեսական զարգացման բոլոր ոլորտներում: Դրանով է պայմանավորված, որ այն դասվում է</w:t>
      </w:r>
      <w:r w:rsidRPr="00C42EBD">
        <w:rPr>
          <w:lang w:val="hy-AM"/>
        </w:rPr>
        <w:t xml:space="preserve"> ՀՀ</w:t>
      </w:r>
      <w:r w:rsidRPr="00192310">
        <w:rPr>
          <w:lang w:val="hy-AM"/>
        </w:rPr>
        <w:t xml:space="preserve"> կառավարության ծրագրի գերակայությունների շարքում: ՀՀ կառավարության 2021 թվականի օգոստոսի 18-ի N1363-Ա որոշման 4.3-րդ կետի համաձայն՝ </w:t>
      </w:r>
      <w:r w:rsidRPr="00C42EBD">
        <w:rPr>
          <w:lang w:val="hy-AM"/>
        </w:rPr>
        <w:t xml:space="preserve">ՀՀ </w:t>
      </w:r>
      <w:r w:rsidRPr="00192310">
        <w:rPr>
          <w:lang w:val="hy-AM"/>
        </w:rPr>
        <w:t>կառավարության համար գերակա խնդիր է կրթության զարգացումը, ինչի շնորհիվ է միայն հնարավոր հասնել կայուն ու ներառական զարգացման և համընդհանուր բարեկեցության:</w:t>
      </w:r>
      <w:r>
        <w:rPr>
          <w:lang w:val="hy-AM"/>
        </w:rPr>
        <w:t xml:space="preserve"> </w:t>
      </w:r>
    </w:p>
    <w:p w14:paraId="6609F130" w14:textId="77777777" w:rsidR="00DA5276" w:rsidRPr="0092160E" w:rsidRDefault="00DA5276" w:rsidP="004247C0">
      <w:pPr>
        <w:tabs>
          <w:tab w:val="left" w:pos="0"/>
          <w:tab w:val="left" w:pos="567"/>
          <w:tab w:val="left" w:pos="851"/>
        </w:tabs>
        <w:spacing w:before="120" w:after="0" w:line="276" w:lineRule="auto"/>
        <w:ind w:firstLine="0"/>
        <w:rPr>
          <w:rFonts w:eastAsia="Calibri" w:cs="Sylfaen"/>
          <w:kern w:val="16"/>
          <w:lang w:val="hy-AM"/>
        </w:rPr>
      </w:pPr>
      <w:r w:rsidRPr="0092160E">
        <w:rPr>
          <w:rFonts w:eastAsia="Calibri" w:cs="Sylfaen"/>
          <w:kern w:val="16"/>
          <w:lang w:val="hy-AM"/>
        </w:rPr>
        <w:t>2022 թվականին ՀՀ Ազգային Ժողովի կողմից ընդունված «</w:t>
      </w:r>
      <w:r w:rsidRPr="0092160E">
        <w:rPr>
          <w:rFonts w:eastAsia="Calibri"/>
          <w:color w:val="000000"/>
          <w:shd w:val="clear" w:color="auto" w:fill="FFFFFF"/>
          <w:lang w:val="hy-AM"/>
        </w:rPr>
        <w:t>Հայաստանի Հանրապետության կրթության մինչև 2030 թվականի զարգացման պետական ծրագիրը»</w:t>
      </w:r>
      <w:r w:rsidRPr="0092160E">
        <w:rPr>
          <w:rFonts w:eastAsia="Calibri" w:cs="Sylfaen"/>
          <w:kern w:val="16"/>
          <w:lang w:val="hy-AM"/>
        </w:rPr>
        <w:t xml:space="preserve"> հաստատելու մասին» ՀՕ-441-Ն օրենքով սահմանվում են ոլորտի զարգացման տեսլականը և վերջնական նպատակը, </w:t>
      </w:r>
      <w:r w:rsidRPr="0092160E">
        <w:rPr>
          <w:rFonts w:eastAsia="Calibri" w:cs="Sylfaen"/>
          <w:kern w:val="16"/>
          <w:lang w:val="hy-AM"/>
        </w:rPr>
        <w:lastRenderedPageBreak/>
        <w:t>ռազմավարական ուղղությունները, 2030 թվականի արդյունքային շրջանակը։</w:t>
      </w:r>
      <w:r>
        <w:rPr>
          <w:rFonts w:eastAsia="Calibri" w:cs="Sylfaen"/>
          <w:kern w:val="16"/>
          <w:lang w:val="hy-AM"/>
        </w:rPr>
        <w:t xml:space="preserve"> Կ</w:t>
      </w:r>
      <w:r w:rsidRPr="0092160E">
        <w:rPr>
          <w:rFonts w:eastAsia="Calibri" w:cs="Sylfaen"/>
          <w:kern w:val="16"/>
          <w:lang w:val="hy-AM"/>
        </w:rPr>
        <w:t xml:space="preserve">րթության </w:t>
      </w:r>
      <w:r>
        <w:rPr>
          <w:rFonts w:eastAsia="Calibri" w:cs="Sylfaen"/>
          <w:kern w:val="16"/>
          <w:lang w:val="hy-AM"/>
        </w:rPr>
        <w:t xml:space="preserve">ոլորտի </w:t>
      </w:r>
      <w:r w:rsidRPr="0092160E">
        <w:rPr>
          <w:rFonts w:eastAsia="Calibri" w:cs="Sylfaen"/>
          <w:kern w:val="16"/>
          <w:lang w:val="hy-AM"/>
        </w:rPr>
        <w:t>զարգացման ռազմավարական նպատակն է՝ ձևավորել ազգային և համամարդկային արժեքների վրա հիմնված, Հայաստանի Հանրապետության զարգացմանը միտված արդյունավետ և միջազգայնորեն մրցունակ կրթական համակարգ, որը յուրաքանչյուրին կյանքի բոլոր փուլերում հնարավորություն կտա ստանալու իր կարիքներին և ընդունակություններին համապատասխան որակյալ կրթություն։</w:t>
      </w:r>
    </w:p>
    <w:p w14:paraId="2676A04C" w14:textId="77777777" w:rsidR="00DA5276" w:rsidRDefault="00DA5276" w:rsidP="004247C0">
      <w:pPr>
        <w:tabs>
          <w:tab w:val="left" w:pos="0"/>
          <w:tab w:val="left" w:pos="284"/>
        </w:tabs>
        <w:spacing w:before="120" w:after="0" w:line="276" w:lineRule="auto"/>
        <w:ind w:firstLine="0"/>
        <w:rPr>
          <w:lang w:val="hy-AM"/>
        </w:rPr>
      </w:pPr>
      <w:r w:rsidRPr="00192310">
        <w:rPr>
          <w:lang w:val="af-ZA"/>
        </w:rPr>
        <w:t xml:space="preserve">Կրթության </w:t>
      </w:r>
      <w:r w:rsidRPr="00192310">
        <w:rPr>
          <w:lang w:val="hy-AM"/>
        </w:rPr>
        <w:t xml:space="preserve">ոլորտի </w:t>
      </w:r>
      <w:r w:rsidRPr="00192310">
        <w:rPr>
          <w:lang w:val="af-ZA"/>
        </w:rPr>
        <w:t>գլխավոր</w:t>
      </w:r>
      <w:r w:rsidRPr="00192310">
        <w:rPr>
          <w:lang w:val="hy-AM"/>
        </w:rPr>
        <w:t xml:space="preserve"> հիմնախնդիրն է միջազգայնորեն ընդունված չափանիշներին համապատասխան որակի</w:t>
      </w:r>
      <w:r w:rsidRPr="00192310">
        <w:rPr>
          <w:lang w:val="af-ZA"/>
        </w:rPr>
        <w:t xml:space="preserve"> </w:t>
      </w:r>
      <w:r w:rsidRPr="00192310">
        <w:rPr>
          <w:lang w:val="hy-AM"/>
        </w:rPr>
        <w:t>ապահովումը: Այս տեսանկյունից ոլորտային քաղաքականությունը ներառում է 3 հիմնական ուղղություններ.</w:t>
      </w:r>
    </w:p>
    <w:p w14:paraId="2FF03FA1" w14:textId="77777777" w:rsidR="00DA5276" w:rsidRPr="007057BA" w:rsidRDefault="00DA5276"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դասավանդող անձնակազմի, մասնավորապես՝ ուսուցիչների, մասնագիտական որակական բարելավումը,</w:t>
      </w:r>
    </w:p>
    <w:p w14:paraId="2EC5C9EC" w14:textId="77777777" w:rsidR="00DA5276" w:rsidRPr="007057BA" w:rsidRDefault="00DA5276"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կրթական ծրագրերի բովանդակային արդիականացումն ու համապատասխանեցումը աշխատաշուկայի և տնտեսության զարգացող պահանջներին: Հանրակրթության ոլորտում կներդրվեն նոր առարկայական չափորոշիչները, ուսումնական պլանը և առարկայական ծրագրերը` նպատակ ունենալով խթանել սովորողների քննական մտածողությունը, նորարարությունը, վերլուծական և ստեղծագործական հմտությունները: Առանձնակի ուշադրություն կհատկացվի ԲՏՃՄ առարկաների և օտար լեզուների դասավանդմանը, քաղաքացիական, ֆինանսական և ձեռնարկատիրական կրթությանը: Մասնագիտական կրթության ոլորտում կմշակվեն և կներդրվեն տնտեսության ժամանակակից պահանջներից բխող նոր մասնագիտությունների կրթական ծրագրեր՝ մեծացնելով շրջանավարտների մրցունակությունն աշխատաշուկայում, բարձրագույն կրթության ծրագրերում կխթանվի գիտահետազոտական աշխատանքների իրականացումը,</w:t>
      </w:r>
    </w:p>
    <w:p w14:paraId="74E032AE" w14:textId="77777777" w:rsidR="00DA5276" w:rsidRPr="007057BA" w:rsidRDefault="00DA5276"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ուսումնական հաստատությունների արդիական նյութատեխնիկական հենքի ապահովումը և սովորողակենտրոն միջավայրի ստեղծումը: Կշարունակվեն նախադպրոցական, դպրոցական և մասնագիտական ուսումնական հաստատությունների շենքերի վերանորոգումն ու կառուցումը: Միաժամանակ, հաստատությունները կապահովվեն ժամանակակից ուսումնական գույքով և սարքավորումներով:</w:t>
      </w:r>
    </w:p>
    <w:p w14:paraId="58053625" w14:textId="77777777" w:rsidR="00DA5276" w:rsidRPr="00192310" w:rsidRDefault="00DA5276" w:rsidP="004247C0">
      <w:pPr>
        <w:tabs>
          <w:tab w:val="left" w:pos="0"/>
          <w:tab w:val="left" w:pos="284"/>
          <w:tab w:val="left" w:pos="567"/>
        </w:tabs>
        <w:spacing w:before="120" w:after="0" w:line="276" w:lineRule="auto"/>
        <w:ind w:firstLine="0"/>
        <w:rPr>
          <w:lang w:val="af-ZA"/>
        </w:rPr>
      </w:pPr>
      <w:r w:rsidRPr="00192310">
        <w:rPr>
          <w:lang w:val="hy-AM"/>
        </w:rPr>
        <w:t>Կրթության ոլորտի հաջորդ կարևոր խնդիրն է մատչելիության ապահովումը</w:t>
      </w:r>
      <w:r w:rsidRPr="00192310">
        <w:rPr>
          <w:lang w:val="af-ZA"/>
        </w:rPr>
        <w:t xml:space="preserve">, </w:t>
      </w:r>
      <w:r w:rsidRPr="0012775C">
        <w:rPr>
          <w:lang w:val="hy-AM"/>
        </w:rPr>
        <w:t>որի</w:t>
      </w:r>
      <w:r w:rsidRPr="00192310">
        <w:rPr>
          <w:lang w:val="af-ZA"/>
        </w:rPr>
        <w:t xml:space="preserve"> </w:t>
      </w:r>
      <w:r w:rsidRPr="0012775C">
        <w:rPr>
          <w:lang w:val="hy-AM"/>
        </w:rPr>
        <w:t>ուղղությամբ</w:t>
      </w:r>
      <w:r w:rsidRPr="00192310">
        <w:rPr>
          <w:lang w:val="af-ZA"/>
        </w:rPr>
        <w:t xml:space="preserve"> </w:t>
      </w:r>
      <w:r w:rsidRPr="0012775C">
        <w:rPr>
          <w:lang w:val="hy-AM"/>
        </w:rPr>
        <w:t>նախատեսվում</w:t>
      </w:r>
      <w:r w:rsidRPr="00192310">
        <w:rPr>
          <w:lang w:val="af-ZA"/>
        </w:rPr>
        <w:t xml:space="preserve"> </w:t>
      </w:r>
      <w:r w:rsidRPr="0012775C">
        <w:rPr>
          <w:lang w:val="hy-AM"/>
        </w:rPr>
        <w:t>են</w:t>
      </w:r>
      <w:r w:rsidRPr="00192310">
        <w:rPr>
          <w:lang w:val="af-ZA"/>
        </w:rPr>
        <w:t xml:space="preserve"> </w:t>
      </w:r>
      <w:r>
        <w:rPr>
          <w:lang w:val="af-ZA"/>
        </w:rPr>
        <w:t xml:space="preserve">իրականացնել </w:t>
      </w:r>
      <w:r w:rsidRPr="0012775C">
        <w:rPr>
          <w:lang w:val="hy-AM"/>
        </w:rPr>
        <w:t>հետևյալը</w:t>
      </w:r>
      <w:r w:rsidRPr="00192310">
        <w:rPr>
          <w:lang w:val="af-ZA"/>
        </w:rPr>
        <w:t>.</w:t>
      </w:r>
    </w:p>
    <w:p w14:paraId="5AFB09DF" w14:textId="77777777" w:rsidR="00DA5276" w:rsidRPr="007057BA" w:rsidRDefault="00DA5276"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կընդլայնվի նախադպրոցական ծառայությունների մատուցման շրջանակը, համայնքներին ցուցաբերվող նպատակային օժանդակության շնորհիվ կմեծանա երեխաների ընդգրկվածությունը, պետությունը կապահովի սոցիալապես խոցելի խավերի երեխաների ընդգրկվածությունը նախադպրոցական ուսումնական հաստատություններում,</w:t>
      </w:r>
    </w:p>
    <w:p w14:paraId="6BB6A772" w14:textId="77777777" w:rsidR="00DA5276" w:rsidRPr="00E57A23" w:rsidRDefault="00DA5276"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7057BA">
        <w:rPr>
          <w:rFonts w:cs="GHEA Grapalat"/>
          <w:lang w:val="hy-AM"/>
        </w:rPr>
        <w:t>համընդհանուր ներառական կրթությունը կներդրվի նախադպրոցական կրթության ոլորտում, կիրականա</w:t>
      </w:r>
      <w:r w:rsidRPr="00E57A23">
        <w:rPr>
          <w:lang w:val="hy-AM"/>
        </w:rPr>
        <w:t>ցվեն ոլորտի աշխատակազմի վերապատրաստումներ,</w:t>
      </w:r>
    </w:p>
    <w:p w14:paraId="5942AEC8" w14:textId="77777777" w:rsidR="00DA5276" w:rsidRDefault="00DA5276" w:rsidP="004247C0">
      <w:pPr>
        <w:tabs>
          <w:tab w:val="left" w:pos="0"/>
          <w:tab w:val="left" w:pos="567"/>
          <w:tab w:val="left" w:pos="851"/>
        </w:tabs>
        <w:spacing w:before="120" w:after="0" w:line="276" w:lineRule="auto"/>
        <w:ind w:firstLine="0"/>
        <w:rPr>
          <w:lang w:val="hy-AM"/>
        </w:rPr>
      </w:pPr>
      <w:r w:rsidRPr="00E57A23">
        <w:rPr>
          <w:lang w:val="hy-AM"/>
        </w:rPr>
        <w:t>մասնագիտական կրթության գծով հատկացվող միջոցները կուղղվեն խոցելի խմբերի երիտասարդների ընդգրկվածության մեծացմանը: Կընդլայնվի մասնագիտական կրթության՝ պետական բյուջեից ֆինանսավորվող տեղերի թիվը, կընդլայնվեն ուսման վարձի զեղչային համակարգից օգտվող շահառուների խմբերը:</w:t>
      </w:r>
    </w:p>
    <w:p w14:paraId="6E381DEC" w14:textId="77777777" w:rsidR="00DA5276" w:rsidRPr="0092160E" w:rsidRDefault="00DA5276" w:rsidP="004247C0">
      <w:pPr>
        <w:tabs>
          <w:tab w:val="left" w:pos="0"/>
          <w:tab w:val="left" w:pos="567"/>
        </w:tabs>
        <w:spacing w:before="120" w:after="0" w:line="276" w:lineRule="auto"/>
        <w:ind w:firstLine="0"/>
        <w:rPr>
          <w:rFonts w:eastAsia="Calibri" w:cs="Arial Armenian"/>
          <w:lang w:val="hy-AM"/>
        </w:rPr>
      </w:pPr>
      <w:r w:rsidRPr="0092160E">
        <w:rPr>
          <w:rFonts w:eastAsia="Calibri" w:cs="Arial Armenian"/>
          <w:lang w:val="hy-AM"/>
        </w:rPr>
        <w:lastRenderedPageBreak/>
        <w:t xml:space="preserve">Կրթության ոլորտը ներառում է նախադպրոցական, միջնակարգ, </w:t>
      </w:r>
      <w:r w:rsidRPr="007C7AD0">
        <w:rPr>
          <w:rFonts w:eastAsia="MS Mincho" w:cs="MS Mincho"/>
          <w:kern w:val="16"/>
          <w:lang w:val="hy-AM"/>
        </w:rPr>
        <w:t>նախնական (արհեստագործական)</w:t>
      </w:r>
      <w:r w:rsidRPr="0092160E">
        <w:rPr>
          <w:rFonts w:eastAsia="Calibri" w:cs="Arial Armenian"/>
          <w:lang w:val="hy-AM"/>
        </w:rPr>
        <w:t xml:space="preserve"> և միջին մասնագիտական, բարձրագույն և հետբուհական կրթության հիմնական և լրացուցիչ կրթական ծրագրերը, արտադպրոցական դաստիարակությունը, ինչպես նաև տարբեր աստիճանների կրթական ծրագրեր իրականացնող ուսումնական հաստատությունների համակարգը: Կրթության ոլորտը հատվում է Հայաստանի Հանրապետության գրեթե բոլոր այլ ոլորտների հետ, քանի որ հանդիսանում է ցանկացած ոլորտի զարգացումն ապահովող հիմնասյուներից մեկը: Այլ ոլորտներին առնչությունն արտահայտվում է հիմնականում աշխատաշուկայի համար մասնագետների պատրաստման, լրացուցիչ և շարունակական կրթության համակարգում տարբեր բնագավառների ընդգրկմամբ:</w:t>
      </w:r>
    </w:p>
    <w:p w14:paraId="79E0DCD1" w14:textId="1B6413EC" w:rsidR="00DA5276" w:rsidRDefault="00DA5276" w:rsidP="004247C0">
      <w:pPr>
        <w:tabs>
          <w:tab w:val="left" w:pos="0"/>
          <w:tab w:val="left" w:pos="567"/>
        </w:tabs>
        <w:spacing w:before="120" w:after="0" w:line="276" w:lineRule="auto"/>
        <w:ind w:firstLine="0"/>
        <w:rPr>
          <w:lang w:val="hy-AM"/>
        </w:rPr>
      </w:pPr>
      <w:r w:rsidRPr="00192310">
        <w:rPr>
          <w:lang w:val="hy-AM"/>
        </w:rPr>
        <w:t xml:space="preserve">«Հանրակրթություն» ծրագրի գլխավոր նպատակն է՝ ապահովել դպրոցահասակ երեխաների պարտադիր կրթության՝ ՀՀ Սահմանադրությամբ ամրագրված իրավունքը՝ օրենսդրությամբ սահմանված չափորոշիչների և ծրագրերի շրջանակում։ Ծրագրի թիրախներից մեկը միջնաժամկետ հատվածում </w:t>
      </w:r>
      <w:r>
        <w:rPr>
          <w:lang w:val="hy-AM"/>
        </w:rPr>
        <w:t xml:space="preserve">առկա բնակչության գծով </w:t>
      </w:r>
      <w:r w:rsidRPr="00192310">
        <w:rPr>
          <w:lang w:val="hy-AM"/>
        </w:rPr>
        <w:t xml:space="preserve">սովորողների համախառն ընդգրկվածության </w:t>
      </w:r>
      <w:r w:rsidRPr="00375954">
        <w:rPr>
          <w:lang w:val="hy-AM"/>
        </w:rPr>
        <w:t>100</w:t>
      </w:r>
      <w:r w:rsidRPr="00192310">
        <w:rPr>
          <w:lang w:val="hy-AM"/>
        </w:rPr>
        <w:t>% ցուցանիշի ապահովումն է։ «</w:t>
      </w:r>
      <w:r>
        <w:rPr>
          <w:lang w:val="hy-AM"/>
        </w:rPr>
        <w:t>Նախադպրոցական կրթություն</w:t>
      </w:r>
      <w:r w:rsidRPr="00192310">
        <w:rPr>
          <w:lang w:val="hy-AM"/>
        </w:rPr>
        <w:t xml:space="preserve">» ծրագրի </w:t>
      </w:r>
      <w:r>
        <w:rPr>
          <w:lang w:val="hy-AM"/>
        </w:rPr>
        <w:t>գծով թ</w:t>
      </w:r>
      <w:r w:rsidRPr="00192310">
        <w:rPr>
          <w:lang w:val="hy-AM"/>
        </w:rPr>
        <w:t xml:space="preserve">իրախ է սահմանվել նախադպրոցական հաստատություններում 3-5 տարեկան երեխաների համախառն ընդգրկվածությունը, որը նախատեսվում է </w:t>
      </w:r>
      <w:r w:rsidRPr="0066695F">
        <w:rPr>
          <w:lang w:val="hy-AM"/>
        </w:rPr>
        <w:t>64.3%-ից</w:t>
      </w:r>
      <w:r w:rsidRPr="00192310">
        <w:rPr>
          <w:lang w:val="hy-AM"/>
        </w:rPr>
        <w:t xml:space="preserve"> 202</w:t>
      </w:r>
      <w:r>
        <w:rPr>
          <w:lang w:val="hy-AM"/>
        </w:rPr>
        <w:t>7</w:t>
      </w:r>
      <w:r w:rsidRPr="00192310">
        <w:rPr>
          <w:lang w:val="hy-AM"/>
        </w:rPr>
        <w:t xml:space="preserve"> թվականին հասցնել 85%-ի: </w:t>
      </w:r>
      <w:r w:rsidRPr="00375954">
        <w:rPr>
          <w:lang w:val="hy-AM"/>
        </w:rPr>
        <w:t>Ծ</w:t>
      </w:r>
      <w:r w:rsidRPr="00192310">
        <w:rPr>
          <w:lang w:val="hy-AM"/>
        </w:rPr>
        <w:t>րագր</w:t>
      </w:r>
      <w:r>
        <w:rPr>
          <w:lang w:val="hy-AM"/>
        </w:rPr>
        <w:t>եր</w:t>
      </w:r>
      <w:r w:rsidRPr="00192310">
        <w:rPr>
          <w:lang w:val="hy-AM"/>
        </w:rPr>
        <w:t xml:space="preserve">ում ներառված են </w:t>
      </w:r>
      <w:r w:rsidRPr="00375954">
        <w:rPr>
          <w:lang w:val="hy-AM"/>
        </w:rPr>
        <w:t xml:space="preserve">նաև </w:t>
      </w:r>
      <w:r w:rsidRPr="00192310">
        <w:rPr>
          <w:lang w:val="hy-AM"/>
        </w:rPr>
        <w:t xml:space="preserve">քաղաքականության միջոցառումներ՝ միտված սովորողներին մատուցվող ծառայությունների որակի և մատչելիության ապահովմանը, ինչպես նաև հավասար մեկնարկային պայմաններ ստեղծելու համար հանրակրթական դպրոցների հենքի վրա ստեղծված նախադպրոցական ծառայությունների ֆինանսավորմանը։ </w:t>
      </w:r>
    </w:p>
    <w:p w14:paraId="42844852" w14:textId="77777777" w:rsidR="00DA5276" w:rsidRDefault="00DA5276" w:rsidP="004247C0">
      <w:pPr>
        <w:tabs>
          <w:tab w:val="left" w:pos="0"/>
          <w:tab w:val="left" w:pos="567"/>
        </w:tabs>
        <w:spacing w:before="120" w:after="0" w:line="276" w:lineRule="auto"/>
        <w:ind w:firstLine="0"/>
        <w:rPr>
          <w:lang w:val="hy-AM"/>
        </w:rPr>
      </w:pPr>
      <w:r w:rsidRPr="007442B9">
        <w:rPr>
          <w:rFonts w:cs="Arial"/>
          <w:kern w:val="16"/>
          <w:lang w:val="hy-AM"/>
        </w:rPr>
        <w:t>«Նախնական (արհեստագործական)</w:t>
      </w:r>
      <w:r w:rsidRPr="007C7AD0">
        <w:rPr>
          <w:rFonts w:cs="Arial"/>
          <w:kern w:val="16"/>
          <w:lang w:val="hy-AM"/>
        </w:rPr>
        <w:t xml:space="preserve"> և միջին մասնագիտական կրթություն» ծրագրի նպատակն է՝ հիմնական կրթությունից հետո ապահովել 12-ամյա պարտադիր կրթության պահանջն այն շրջանավարտների համար, որոնք չեն հավակնում բարձրագույն կրթության և նախընտրում են մասնագիտական որակավորումը, ինչպես նաև հիմնական և միջնակարգ կրթությունից հետո երեխաներին և երիտասարդներին պատրաստելու ինքնուրույն աշխատանքային գործունեության։ Ծրագրի հիմնական թիրախներն են՝ </w:t>
      </w:r>
      <w:r w:rsidRPr="007C7AD0">
        <w:rPr>
          <w:rFonts w:eastAsia="MS Mincho" w:cs="MS Mincho"/>
          <w:kern w:val="16"/>
          <w:lang w:val="hy-AM"/>
        </w:rPr>
        <w:t>աշխատաշուկայի պահանջներից ելնելով</w:t>
      </w:r>
      <w:r>
        <w:rPr>
          <w:rFonts w:eastAsia="MS Mincho" w:cs="MS Mincho"/>
          <w:kern w:val="16"/>
          <w:lang w:val="hy-AM"/>
        </w:rPr>
        <w:t xml:space="preserve"> </w:t>
      </w:r>
      <w:r w:rsidRPr="007C7AD0">
        <w:rPr>
          <w:rFonts w:eastAsia="MS Mincho" w:cs="MS Mincho"/>
          <w:kern w:val="16"/>
          <w:lang w:val="hy-AM"/>
        </w:rPr>
        <w:t>նոր մասնագիտությունների ներդրումը, հաստատությունների և դրանցում իրականացվող ծրագրերի տեղաբաշխման ռացիոնալացումը, հիմնական և միջնակարգ դպրոցների շրջանավարտների թվում՝ նախնական (արհեստագործական) և միջին մասնագիտական ուսումնական հաստատություններ ընդունվածների թվաքանակի ավելացումը,</w:t>
      </w:r>
      <w:r w:rsidRPr="007C7AD0">
        <w:rPr>
          <w:rFonts w:cs="Sylfaen"/>
          <w:kern w:val="16"/>
          <w:lang w:val="hy-AM"/>
        </w:rPr>
        <w:t xml:space="preserve"> մանկավարժների մասնագիտական զարգացման, ատեստավորման և վարձատրության փոխկապակցված մեխանիզմի ներդնումը</w:t>
      </w:r>
      <w:r w:rsidRPr="007C7AD0">
        <w:rPr>
          <w:rFonts w:eastAsia="MS Mincho" w:cs="MS Mincho"/>
          <w:kern w:val="16"/>
          <w:lang w:val="hy-AM"/>
        </w:rPr>
        <w:t>:</w:t>
      </w:r>
      <w:r w:rsidRPr="00375954">
        <w:rPr>
          <w:rFonts w:eastAsia="MS Mincho" w:cs="MS Mincho"/>
          <w:kern w:val="16"/>
          <w:lang w:val="hy-AM"/>
        </w:rPr>
        <w:t xml:space="preserve"> </w:t>
      </w:r>
    </w:p>
    <w:p w14:paraId="67D73825" w14:textId="77777777" w:rsidR="00DA5276" w:rsidRDefault="00DA5276" w:rsidP="004247C0">
      <w:pPr>
        <w:tabs>
          <w:tab w:val="left" w:pos="0"/>
        </w:tabs>
        <w:spacing w:before="120" w:after="0" w:line="276" w:lineRule="auto"/>
        <w:ind w:firstLine="0"/>
        <w:rPr>
          <w:lang w:val="hy-AM"/>
        </w:rPr>
      </w:pPr>
      <w:r w:rsidRPr="007C7AD0">
        <w:rPr>
          <w:rFonts w:cs="Arial"/>
          <w:kern w:val="16"/>
          <w:lang w:val="hy-AM"/>
        </w:rPr>
        <w:t xml:space="preserve">«Բարձրագույն և հետբուհական մասնագիտական կրթություն» ծրագրի գլխավոր նպատակն է՝ ապահովել մատչելի, որակյալ և մրցունակ բարձրագույն և հետբուհական մասնագիտական կրթություն: Միաժամանակ խրախուսվելու է խոցելի խմբերի համար բարձրագույն կրթության մատչելիությունը և աջակցությունը լավագույն առաջադիմություն ցուցաբերող ուսանողներին։ </w:t>
      </w:r>
      <w:r w:rsidRPr="007C7AD0">
        <w:rPr>
          <w:lang w:val="hy-AM"/>
        </w:rPr>
        <w:t>Ոլորտում</w:t>
      </w:r>
      <w:r w:rsidRPr="007C7AD0">
        <w:rPr>
          <w:lang w:val="pl-PL"/>
        </w:rPr>
        <w:t xml:space="preserve"> </w:t>
      </w:r>
      <w:r w:rsidRPr="007C7AD0">
        <w:rPr>
          <w:lang w:val="hy-AM"/>
        </w:rPr>
        <w:t>կշարունակվեն</w:t>
      </w:r>
      <w:r w:rsidRPr="007C7AD0">
        <w:rPr>
          <w:lang w:val="pl-PL"/>
        </w:rPr>
        <w:t xml:space="preserve"> </w:t>
      </w:r>
      <w:r w:rsidRPr="007C7AD0">
        <w:rPr>
          <w:lang w:val="hy-AM"/>
        </w:rPr>
        <w:t xml:space="preserve">եվրոպական բարձրագույն կրթական տարածքի ամբողջական ինտեգրմանն ուղղված բարեփոխումները: Բուհերի մրցունակությունը բարձրացնելու նպատակով անցում է կատարվելու արդյունքային ցուցանիշների հիմքով բուհերի ֆինանսավորմանը: </w:t>
      </w:r>
    </w:p>
    <w:p w14:paraId="4691D2C9" w14:textId="77777777" w:rsidR="00DA5276" w:rsidRDefault="00DA5276" w:rsidP="004247C0">
      <w:pPr>
        <w:tabs>
          <w:tab w:val="left" w:pos="0"/>
        </w:tabs>
        <w:spacing w:before="120" w:after="0" w:line="276" w:lineRule="auto"/>
        <w:ind w:firstLine="0"/>
        <w:rPr>
          <w:rFonts w:eastAsia="MS Mincho" w:cs="MS Mincho"/>
          <w:kern w:val="16"/>
          <w:lang w:val="hy-AM"/>
        </w:rPr>
      </w:pPr>
      <w:r w:rsidRPr="007C7AD0">
        <w:rPr>
          <w:rFonts w:eastAsia="MS Mincho" w:cs="MS Mincho"/>
          <w:kern w:val="16"/>
          <w:lang w:val="hy-AM"/>
        </w:rPr>
        <w:t xml:space="preserve">«Արտադպրոցական դաստիարակություն» ծրագրի հիմնական նպատակն է՝ նպաստել հանրակրթական ուսուցման համակարգում ընդգրկված երեխաների հոգևոր և  գեղագիտական, </w:t>
      </w:r>
      <w:r w:rsidRPr="007C7AD0">
        <w:rPr>
          <w:rFonts w:eastAsia="MS Mincho" w:cs="MS Mincho"/>
          <w:kern w:val="16"/>
          <w:lang w:val="hy-AM"/>
        </w:rPr>
        <w:lastRenderedPageBreak/>
        <w:t>ֆիզիկական, ստեղծագործական կարողությունների զար</w:t>
      </w:r>
      <w:r w:rsidRPr="007C7AD0">
        <w:rPr>
          <w:rFonts w:eastAsia="MS Mincho" w:cs="MS Mincho"/>
          <w:kern w:val="16"/>
          <w:lang w:val="hy-AM"/>
        </w:rPr>
        <w:softHyphen/>
        <w:t>գացմանը, հայրենասիրական դաստիարակությանը, բնապահպանական, կիրառական և հումանիտար գիտելիքների կատարելագործմանը: Նախատեսվում է միջնաժամկետ կտրվածքում արտադպրոցական դաստիարակության ծրագրերում 6-18 տարեկան երեխաների ընդգրկվածության մակարդակը</w:t>
      </w:r>
      <w:r w:rsidRPr="00651A55">
        <w:rPr>
          <w:rFonts w:eastAsia="MS Mincho" w:cs="MS Mincho"/>
          <w:kern w:val="16"/>
          <w:lang w:val="hy-AM"/>
        </w:rPr>
        <w:t xml:space="preserve"> </w:t>
      </w:r>
      <w:r w:rsidRPr="007C7AD0">
        <w:rPr>
          <w:rFonts w:eastAsia="MS Mincho" w:cs="MS Mincho"/>
          <w:kern w:val="16"/>
          <w:lang w:val="hy-AM"/>
        </w:rPr>
        <w:t>հասցնել 36.2%-ի, այդ թվում, գյուղաբնակ, մասնավորապես՝ սահմանապահ բնակավայրերի երեխաներինը՝ 22.0%-ի:</w:t>
      </w:r>
    </w:p>
    <w:p w14:paraId="63503FB6" w14:textId="77777777" w:rsidR="00DA5276" w:rsidRDefault="00DA5276" w:rsidP="004247C0">
      <w:pPr>
        <w:tabs>
          <w:tab w:val="left" w:pos="0"/>
        </w:tabs>
        <w:spacing w:before="120" w:after="0" w:line="276" w:lineRule="auto"/>
        <w:ind w:firstLine="0"/>
        <w:rPr>
          <w:lang w:val="hy-AM"/>
        </w:rPr>
      </w:pPr>
      <w:r w:rsidRPr="007C7AD0">
        <w:rPr>
          <w:rFonts w:eastAsia="MS Mincho" w:cs="MS Mincho"/>
          <w:kern w:val="16"/>
          <w:lang w:val="hy-AM"/>
        </w:rPr>
        <w:t>«</w:t>
      </w:r>
      <w:r>
        <w:rPr>
          <w:rFonts w:eastAsia="MS Mincho" w:cs="MS Mincho"/>
          <w:kern w:val="16"/>
          <w:lang w:val="hy-AM"/>
        </w:rPr>
        <w:t>Հանրակրթական և նախադպրոցական հաստատությունների հիմնում, կառուցում, բարելավում</w:t>
      </w:r>
      <w:r w:rsidRPr="007C7AD0">
        <w:rPr>
          <w:rFonts w:eastAsia="MS Mincho" w:cs="MS Mincho"/>
          <w:kern w:val="16"/>
          <w:lang w:val="hy-AM" w:eastAsia="ru-RU"/>
        </w:rPr>
        <w:t>»</w:t>
      </w:r>
      <w:r>
        <w:rPr>
          <w:rFonts w:eastAsia="MS Mincho" w:cs="MS Mincho"/>
          <w:kern w:val="16"/>
          <w:lang w:val="hy-AM" w:eastAsia="ru-RU"/>
        </w:rPr>
        <w:t xml:space="preserve"> </w:t>
      </w:r>
      <w:r w:rsidRPr="007C7AD0">
        <w:rPr>
          <w:rFonts w:eastAsia="MS Mincho" w:cs="MS Mincho"/>
          <w:kern w:val="16"/>
          <w:lang w:val="hy-AM"/>
        </w:rPr>
        <w:t xml:space="preserve">ծրագրի նպատակն է </w:t>
      </w:r>
      <w:r>
        <w:rPr>
          <w:rFonts w:eastAsia="MS Mincho" w:cs="MS Mincho"/>
          <w:kern w:val="16"/>
          <w:lang w:val="hy-AM"/>
        </w:rPr>
        <w:t>ա</w:t>
      </w:r>
      <w:r w:rsidRPr="00E209EB">
        <w:rPr>
          <w:rFonts w:eastAsia="MS Mincho" w:cs="MS Mincho"/>
          <w:kern w:val="16"/>
          <w:lang w:val="hy-AM"/>
        </w:rPr>
        <w:t>ռնվազն 300 դպրոցի և 500 մանկապարտեզի կառուցման, վերակառուցման, հիմնանորոգման ծրագրերի իրականացում ՀՀ պետական բյուջեի միջոցների շրջանակներում</w:t>
      </w:r>
      <w:r>
        <w:rPr>
          <w:rFonts w:eastAsia="MS Mincho" w:cs="MS Mincho"/>
          <w:kern w:val="16"/>
          <w:lang w:val="hy-AM"/>
        </w:rPr>
        <w:t xml:space="preserve">: </w:t>
      </w:r>
    </w:p>
    <w:p w14:paraId="14420133" w14:textId="77777777" w:rsidR="00080175" w:rsidRPr="0092160E" w:rsidRDefault="00080175" w:rsidP="004247C0">
      <w:pPr>
        <w:tabs>
          <w:tab w:val="left" w:pos="0"/>
        </w:tabs>
        <w:spacing w:before="120" w:after="0" w:line="276" w:lineRule="auto"/>
        <w:ind w:firstLine="0"/>
        <w:rPr>
          <w:rFonts w:eastAsia="Calibri"/>
          <w:b/>
          <w:lang w:val="hy-AM"/>
        </w:rPr>
      </w:pPr>
      <w:r w:rsidRPr="0092160E">
        <w:rPr>
          <w:rFonts w:eastAsia="Calibri"/>
          <w:b/>
          <w:lang w:val="hy-AM"/>
        </w:rPr>
        <w:t>Գիտության ոլորտ</w:t>
      </w:r>
    </w:p>
    <w:p w14:paraId="708F2574" w14:textId="77777777" w:rsidR="0089218F" w:rsidRPr="0092160E" w:rsidRDefault="0089218F" w:rsidP="004247C0">
      <w:pPr>
        <w:tabs>
          <w:tab w:val="left" w:pos="0"/>
        </w:tabs>
        <w:spacing w:before="120" w:after="0" w:line="276" w:lineRule="auto"/>
        <w:ind w:firstLine="0"/>
        <w:rPr>
          <w:rFonts w:eastAsia="Calibri"/>
          <w:lang w:val="fr-FR"/>
        </w:rPr>
      </w:pPr>
      <w:r w:rsidRPr="00375954">
        <w:rPr>
          <w:rFonts w:eastAsia="Tahoma" w:cs="Tahoma"/>
          <w:lang w:val="af-ZA"/>
        </w:rPr>
        <w:t xml:space="preserve">ՀՀ գիտության ոլորտում պետական քաղաքականության հիմնական նպատակներն են </w:t>
      </w:r>
      <w:r w:rsidRPr="007C7AD0">
        <w:rPr>
          <w:rFonts w:eastAsia="Tahoma" w:cs="Tahoma"/>
          <w:lang w:val="af-ZA"/>
        </w:rPr>
        <w:t>գիտության կայուն զարգացման ապահովումը, գիտության ֆինանսավորման արդյունավետության բարձրացումը և կատարողականի վրա հիմնված ֆինանսավորման մեխանիզմների ներդրումը, միջազգայնորեն մրցունակ հիմնարար ուսումնասիրությունների, տնտեսության պահանջներից բխող կիրառական հետազոտությունների, ինչպես նաև երկակի նշանակություն ունեցող գիտելիքների ձեռքբերմանն ուղղված գիտահետազոտական աշխատանքների խթանումը, գիտական կադրերի վերարտադրության արդյունավետ համակարգի ներդրումը, գիտության ենթակառուցվածքների արդիականացումը, կրթութ</w:t>
      </w:r>
      <w:r>
        <w:rPr>
          <w:rFonts w:eastAsia="Tahoma" w:cs="Tahoma"/>
          <w:lang w:val="hy-AM"/>
        </w:rPr>
        <w:t>յ</w:t>
      </w:r>
      <w:r w:rsidRPr="007C7AD0">
        <w:rPr>
          <w:rFonts w:eastAsia="Tahoma" w:cs="Tahoma"/>
          <w:lang w:val="af-ZA"/>
        </w:rPr>
        <w:t>ուն-գիտություն կապի ամրապնդումը, գիտական արդյունքի առևտրայնացումը, միջազգային գիտական համագործակցության զարգացումը, մտավոր սեփականության արդյունավետ պաշտպանությունը, գիտության ֆինանսավորման բյուջետային և արտաբյուջետային միջոցների ավելացումը</w:t>
      </w:r>
      <w:r w:rsidRPr="0092160E">
        <w:rPr>
          <w:rFonts w:eastAsia="Calibri"/>
          <w:lang w:val="hy-AM"/>
        </w:rPr>
        <w:t>:</w:t>
      </w:r>
    </w:p>
    <w:p w14:paraId="3E9CB9DE" w14:textId="77777777" w:rsidR="0089218F" w:rsidRPr="007C7AD0" w:rsidRDefault="0089218F" w:rsidP="004247C0">
      <w:pPr>
        <w:tabs>
          <w:tab w:val="left" w:pos="0"/>
          <w:tab w:val="left" w:pos="284"/>
        </w:tabs>
        <w:spacing w:before="120" w:after="0" w:line="276" w:lineRule="auto"/>
        <w:ind w:firstLine="0"/>
        <w:rPr>
          <w:spacing w:val="-4"/>
          <w:lang w:val="hy-AM"/>
        </w:rPr>
      </w:pPr>
      <w:r w:rsidRPr="0092160E">
        <w:rPr>
          <w:rFonts w:eastAsia="Calibri" w:cs="Sylfaen"/>
        </w:rPr>
        <w:t>Այդ</w:t>
      </w:r>
      <w:r w:rsidRPr="0092160E">
        <w:rPr>
          <w:rFonts w:eastAsia="Calibri" w:cs="Sylfaen"/>
          <w:lang w:val="fr-FR"/>
        </w:rPr>
        <w:t xml:space="preserve"> </w:t>
      </w:r>
      <w:r w:rsidRPr="0092160E">
        <w:rPr>
          <w:rFonts w:eastAsia="Calibri" w:cs="Sylfaen"/>
        </w:rPr>
        <w:t>նպատակների</w:t>
      </w:r>
      <w:r w:rsidRPr="0092160E">
        <w:rPr>
          <w:rFonts w:eastAsia="Calibri" w:cs="Sylfaen"/>
          <w:lang w:val="fr-FR"/>
        </w:rPr>
        <w:t xml:space="preserve"> </w:t>
      </w:r>
      <w:r w:rsidRPr="007C7AD0">
        <w:rPr>
          <w:spacing w:val="-4"/>
          <w:lang w:val="hy-AM"/>
        </w:rPr>
        <w:t>ձեռքբերման ուղղությամբ 202</w:t>
      </w:r>
      <w:r>
        <w:rPr>
          <w:spacing w:val="-4"/>
          <w:lang w:val="hy-AM"/>
        </w:rPr>
        <w:t>5</w:t>
      </w:r>
      <w:r w:rsidRPr="007C7AD0">
        <w:rPr>
          <w:spacing w:val="-4"/>
          <w:lang w:val="hy-AM"/>
        </w:rPr>
        <w:t>-202</w:t>
      </w:r>
      <w:r>
        <w:rPr>
          <w:spacing w:val="-4"/>
          <w:lang w:val="hy-AM"/>
        </w:rPr>
        <w:t>7</w:t>
      </w:r>
      <w:r w:rsidRPr="007C7AD0">
        <w:rPr>
          <w:spacing w:val="-4"/>
          <w:lang w:val="hy-AM"/>
        </w:rPr>
        <w:t xml:space="preserve"> թվականներին իրականացվելու են հետևյալ միջոցառումները՝</w:t>
      </w:r>
    </w:p>
    <w:p w14:paraId="1D9354B0" w14:textId="6D7A50C6"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գիտական կենտրոններ</w:t>
      </w:r>
      <w:r w:rsidR="00A90AAE">
        <w:rPr>
          <w:rFonts w:cs="GHEA Grapalat"/>
          <w:lang w:val="hy-AM"/>
        </w:rPr>
        <w:t>ը</w:t>
      </w:r>
      <w:r w:rsidRPr="007057BA">
        <w:rPr>
          <w:rFonts w:cs="GHEA Grapalat"/>
          <w:lang w:val="hy-AM"/>
        </w:rPr>
        <w:t xml:space="preserve"> ժամանակակից սարքավորումներով վերազին</w:t>
      </w:r>
      <w:r w:rsidR="00A90AAE">
        <w:rPr>
          <w:rFonts w:cs="GHEA Grapalat"/>
          <w:lang w:val="hy-AM"/>
        </w:rPr>
        <w:t>ման</w:t>
      </w:r>
      <w:r w:rsidRPr="007057BA">
        <w:rPr>
          <w:rFonts w:cs="GHEA Grapalat"/>
          <w:lang w:val="hy-AM"/>
        </w:rPr>
        <w:t xml:space="preserve"> ու համատեղ օգտագործման գիտական սարքավորումների կենտրոնների ստեղծում,</w:t>
      </w:r>
    </w:p>
    <w:p w14:paraId="3824B203"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գիտական կենտրոնների վերանորոգում,</w:t>
      </w:r>
    </w:p>
    <w:p w14:paraId="72CE0144"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հետազոտության բնագավառով մոտ փոքր գիտական կազմակերպությունները խոշոր գիտական կենտրոններում միավոր</w:t>
      </w:r>
      <w:r w:rsidRPr="009F0189">
        <w:rPr>
          <w:rFonts w:cs="GHEA Grapalat"/>
          <w:lang w:val="hy-AM"/>
        </w:rPr>
        <w:t>ելուն</w:t>
      </w:r>
      <w:r w:rsidRPr="007057BA">
        <w:rPr>
          <w:rFonts w:cs="GHEA Grapalat"/>
          <w:lang w:val="hy-AM"/>
        </w:rPr>
        <w:t xml:space="preserve"> ուղղված պետական ծրագրերի իրականացում,</w:t>
      </w:r>
    </w:p>
    <w:p w14:paraId="64138849"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տնտեսության պահանջներից բխող հետազոտությունների պատվերների ձևավորման մեխանիզմների մշակում և ներդրում,</w:t>
      </w:r>
    </w:p>
    <w:p w14:paraId="5C6038A7"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ասպիրանտների և երիտասարդ հայցորդների հետազոտությունների աջակցությանն ուղղված ծրագրերի իրականացում,</w:t>
      </w:r>
    </w:p>
    <w:p w14:paraId="726A3A3A"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հետդոկտորական հետազոտությունների ծրագրերի իրականացում,</w:t>
      </w:r>
    </w:p>
    <w:p w14:paraId="7048C1EC"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արտերկրի լավագույն գիտական կենտրոններում գիտական կազմակերպություն</w:t>
      </w:r>
      <w:r w:rsidRPr="007057BA">
        <w:rPr>
          <w:rFonts w:cs="GHEA Grapalat"/>
          <w:lang w:val="hy-AM"/>
        </w:rPr>
        <w:softHyphen/>
        <w:t>ների աշխատակիցների մասնագիտական վերապատրաստման և որակավորման բարձրացման միջին և երկարաժամկետ ծրագրերի իրականացում,</w:t>
      </w:r>
    </w:p>
    <w:p w14:paraId="32446881"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երկակի նշանակության ծրագրերի իրականացում,</w:t>
      </w:r>
    </w:p>
    <w:p w14:paraId="0569FAC1"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lastRenderedPageBreak/>
        <w:t>ինտեգրման կամ հեռավար ղեկավարվող լաբորատորիաների ստեղծում,</w:t>
      </w:r>
    </w:p>
    <w:p w14:paraId="4DC56214"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հասարակական, հայագիտության և հումանիտար գիտությունների բնագավառնների հետազոտությունների աջակցությանն ուղղված ծրագրերի իրականացում,</w:t>
      </w:r>
    </w:p>
    <w:p w14:paraId="28507A4D"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 xml:space="preserve">գերակա ուղղություններով հետազոտությունների աջակցությանն ուղղված ծրագրերի իրականացում,   </w:t>
      </w:r>
    </w:p>
    <w:p w14:paraId="32709811" w14:textId="77777777" w:rsidR="0089218F" w:rsidRPr="007057BA"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057BA">
        <w:rPr>
          <w:rFonts w:cs="GHEA Grapalat"/>
          <w:lang w:val="hy-AM"/>
        </w:rPr>
        <w:t>հետազոտությունների միջազգային չափանիշների սահմանում և կատարողականի գնահատման մեխանիզմների մշակում և ներդրում,</w:t>
      </w:r>
    </w:p>
    <w:p w14:paraId="24869194" w14:textId="77777777" w:rsidR="0089218F" w:rsidRPr="007C7AD0" w:rsidRDefault="0089218F" w:rsidP="004247C0">
      <w:pPr>
        <w:numPr>
          <w:ilvl w:val="0"/>
          <w:numId w:val="24"/>
        </w:numPr>
        <w:tabs>
          <w:tab w:val="left" w:pos="0"/>
          <w:tab w:val="left" w:pos="284"/>
        </w:tabs>
        <w:autoSpaceDE w:val="0"/>
        <w:autoSpaceDN w:val="0"/>
        <w:adjustRightInd w:val="0"/>
        <w:spacing w:before="120" w:after="0" w:line="276" w:lineRule="auto"/>
        <w:ind w:firstLine="0"/>
        <w:rPr>
          <w:rFonts w:cs="Sylfaen"/>
          <w:lang w:val="fr-FR"/>
        </w:rPr>
      </w:pPr>
      <w:r w:rsidRPr="007057BA">
        <w:rPr>
          <w:rFonts w:cs="GHEA Grapalat"/>
          <w:lang w:val="hy-AM"/>
        </w:rPr>
        <w:t>աշխարհի առավել զարգացած պետությունների և դրանց գերատեսչությունների կամ միջազգային կազմակեր</w:t>
      </w:r>
      <w:r w:rsidRPr="007C7AD0">
        <w:rPr>
          <w:spacing w:val="-4"/>
          <w:lang w:val="fr-FR"/>
        </w:rPr>
        <w:t>պու</w:t>
      </w:r>
      <w:r w:rsidRPr="007C7AD0">
        <w:rPr>
          <w:spacing w:val="-4"/>
          <w:lang w:val="fr-FR"/>
        </w:rPr>
        <w:softHyphen/>
        <w:t>թյունների հետ համագործակ</w:t>
      </w:r>
      <w:r w:rsidRPr="007C7AD0">
        <w:rPr>
          <w:spacing w:val="-4"/>
          <w:lang w:val="fr-FR"/>
        </w:rPr>
        <w:softHyphen/>
        <w:t>ցության զարգացման մակարդակի բարձրացում:</w:t>
      </w:r>
    </w:p>
    <w:p w14:paraId="598BA698" w14:textId="77777777" w:rsidR="0089218F" w:rsidRPr="00375954" w:rsidRDefault="0089218F" w:rsidP="004247C0">
      <w:pPr>
        <w:tabs>
          <w:tab w:val="left" w:pos="0"/>
        </w:tabs>
        <w:spacing w:before="120" w:after="0" w:line="276" w:lineRule="auto"/>
        <w:ind w:firstLine="0"/>
        <w:rPr>
          <w:rFonts w:cs="Sylfaen"/>
          <w:lang w:val="hy-AM"/>
        </w:rPr>
      </w:pPr>
      <w:r w:rsidRPr="007C7AD0">
        <w:rPr>
          <w:rFonts w:cs="Sylfaen"/>
          <w:lang w:val="hy-AM"/>
        </w:rPr>
        <w:t>Գիտական և գիտատեխնիկական հետազոտությունների բյուջետային ծրագրի շրջանակներում ընդգրկված միջոցառումները միտված են գիտության ոլորտի զարգացմանը</w:t>
      </w:r>
      <w:r>
        <w:rPr>
          <w:rFonts w:cs="Sylfaen"/>
          <w:lang w:val="hy-AM"/>
        </w:rPr>
        <w:t>,</w:t>
      </w:r>
      <w:r w:rsidRPr="007C7AD0">
        <w:rPr>
          <w:rFonts w:cs="Sylfaen"/>
          <w:lang w:val="hy-AM"/>
        </w:rPr>
        <w:t xml:space="preserve"> բարեփոխումների իրականացմանը, հանրապե</w:t>
      </w:r>
      <w:r w:rsidRPr="007C7AD0">
        <w:rPr>
          <w:rFonts w:cs="Sylfaen"/>
          <w:lang w:val="hy-AM"/>
        </w:rPr>
        <w:softHyphen/>
        <w:t>տության գիտական ու գի</w:t>
      </w:r>
      <w:r>
        <w:rPr>
          <w:rFonts w:cs="Sylfaen"/>
          <w:lang w:val="hy-AM"/>
        </w:rPr>
        <w:t>տատեխնիկական ներուժի զարգացմանը:</w:t>
      </w:r>
      <w:r w:rsidRPr="007C7AD0">
        <w:rPr>
          <w:rFonts w:cs="Sylfaen"/>
          <w:lang w:val="hy-AM"/>
        </w:rPr>
        <w:t xml:space="preserve"> Զարգացած գիտական համակարգը պետք է լինի Հայաստանի Հանրապետության այցեքարտերից մեկը միջազգային հարաբերություններում և գլոբալ արժեքային շղթաներում և հանդիսանա արտաքին հարաբերությունների կարևորագույն բաղադրիչներից</w:t>
      </w:r>
      <w:r w:rsidRPr="00375954">
        <w:rPr>
          <w:rFonts w:cs="Sylfaen"/>
          <w:lang w:val="hy-AM"/>
        </w:rPr>
        <w:t>:</w:t>
      </w:r>
    </w:p>
    <w:p w14:paraId="5D82E82A" w14:textId="77777777" w:rsidR="0089218F" w:rsidRPr="004E6369" w:rsidRDefault="0089218F" w:rsidP="004247C0">
      <w:pPr>
        <w:tabs>
          <w:tab w:val="left" w:pos="0"/>
        </w:tabs>
        <w:spacing w:before="120" w:after="0" w:line="276" w:lineRule="auto"/>
        <w:ind w:firstLine="0"/>
        <w:rPr>
          <w:lang w:val="hy-AM"/>
        </w:rPr>
      </w:pPr>
      <w:r>
        <w:rPr>
          <w:rFonts w:cs="Sylfaen"/>
          <w:lang w:val="hy-AM"/>
        </w:rPr>
        <w:t>Գ</w:t>
      </w:r>
      <w:r w:rsidRPr="007C7AD0">
        <w:rPr>
          <w:rFonts w:cs="Sylfaen"/>
          <w:lang w:val="hy-AM"/>
        </w:rPr>
        <w:t>իտատեխնիկական</w:t>
      </w:r>
      <w:r w:rsidRPr="00375954">
        <w:rPr>
          <w:rFonts w:cs="Sylfaen"/>
          <w:lang w:val="hy-AM"/>
        </w:rPr>
        <w:t xml:space="preserve"> </w:t>
      </w:r>
      <w:r w:rsidRPr="007C7AD0">
        <w:rPr>
          <w:rFonts w:cs="Sylfaen"/>
          <w:lang w:val="hy-AM"/>
        </w:rPr>
        <w:t>գործունեության</w:t>
      </w:r>
      <w:r w:rsidRPr="00375954">
        <w:rPr>
          <w:rFonts w:cs="Sylfaen"/>
          <w:lang w:val="hy-AM"/>
        </w:rPr>
        <w:t xml:space="preserve"> </w:t>
      </w:r>
      <w:r w:rsidRPr="007C7AD0">
        <w:rPr>
          <w:rFonts w:cs="Sylfaen"/>
          <w:lang w:val="hy-AM"/>
        </w:rPr>
        <w:t>բազային</w:t>
      </w:r>
      <w:r w:rsidRPr="00375954">
        <w:rPr>
          <w:rFonts w:cs="Sylfaen"/>
          <w:lang w:val="hy-AM"/>
        </w:rPr>
        <w:t xml:space="preserve"> </w:t>
      </w:r>
      <w:r w:rsidRPr="007C7AD0">
        <w:rPr>
          <w:rFonts w:cs="Sylfaen"/>
          <w:lang w:val="hy-AM"/>
        </w:rPr>
        <w:t>ֆինանսավորման</w:t>
      </w:r>
      <w:r w:rsidRPr="00375954">
        <w:rPr>
          <w:rFonts w:cs="Sylfaen"/>
          <w:lang w:val="hy-AM"/>
        </w:rPr>
        <w:t xml:space="preserve"> </w:t>
      </w:r>
      <w:r w:rsidRPr="007C7AD0">
        <w:rPr>
          <w:rFonts w:cs="Sylfaen"/>
          <w:lang w:val="hy-AM"/>
        </w:rPr>
        <w:t>ծրագրերում</w:t>
      </w:r>
      <w:r w:rsidRPr="00375954">
        <w:rPr>
          <w:rFonts w:cs="Sylfaen"/>
          <w:lang w:val="hy-AM"/>
        </w:rPr>
        <w:t xml:space="preserve"> </w:t>
      </w:r>
      <w:r w:rsidRPr="007C7AD0">
        <w:rPr>
          <w:rFonts w:cs="Sylfaen"/>
          <w:lang w:val="hy-AM"/>
        </w:rPr>
        <w:t>ընդգրկված</w:t>
      </w:r>
      <w:r w:rsidRPr="00375954">
        <w:rPr>
          <w:rFonts w:cs="Sylfaen"/>
          <w:lang w:val="hy-AM"/>
        </w:rPr>
        <w:t xml:space="preserve"> </w:t>
      </w:r>
      <w:r w:rsidRPr="007C7AD0">
        <w:rPr>
          <w:rFonts w:cs="Sylfaen"/>
          <w:lang w:val="hy-AM"/>
        </w:rPr>
        <w:t>գիտական</w:t>
      </w:r>
      <w:r w:rsidRPr="00375954">
        <w:rPr>
          <w:rFonts w:cs="Sylfaen"/>
          <w:lang w:val="hy-AM"/>
        </w:rPr>
        <w:t xml:space="preserve"> </w:t>
      </w:r>
      <w:r w:rsidRPr="007C7AD0">
        <w:rPr>
          <w:rFonts w:cs="Sylfaen"/>
          <w:lang w:val="hy-AM"/>
        </w:rPr>
        <w:t>կադրերի</w:t>
      </w:r>
      <w:r w:rsidRPr="00375954">
        <w:rPr>
          <w:rFonts w:cs="Sylfaen"/>
          <w:lang w:val="hy-AM"/>
        </w:rPr>
        <w:t xml:space="preserve"> </w:t>
      </w:r>
      <w:r>
        <w:rPr>
          <w:rFonts w:cs="Sylfaen"/>
          <w:lang w:val="hy-AM"/>
        </w:rPr>
        <w:t>աշխատավարձի</w:t>
      </w:r>
      <w:r w:rsidRPr="00375954">
        <w:rPr>
          <w:rFonts w:cs="Sylfaen"/>
          <w:lang w:val="hy-AM"/>
        </w:rPr>
        <w:t xml:space="preserve"> </w:t>
      </w:r>
      <w:r w:rsidRPr="007C7AD0">
        <w:rPr>
          <w:rFonts w:cs="Sylfaen"/>
          <w:lang w:val="hy-AM"/>
        </w:rPr>
        <w:t>աստիճանական</w:t>
      </w:r>
      <w:r w:rsidRPr="00375954">
        <w:rPr>
          <w:rFonts w:cs="Sylfaen"/>
          <w:lang w:val="hy-AM"/>
        </w:rPr>
        <w:t xml:space="preserve"> </w:t>
      </w:r>
      <w:r>
        <w:rPr>
          <w:rFonts w:cs="Sylfaen"/>
          <w:lang w:val="hy-AM"/>
        </w:rPr>
        <w:t xml:space="preserve">ավելացումը </w:t>
      </w:r>
      <w:r w:rsidRPr="007C7AD0">
        <w:rPr>
          <w:rFonts w:cs="Sylfaen"/>
          <w:lang w:val="hy-AM"/>
        </w:rPr>
        <w:t>կնպաստի</w:t>
      </w:r>
      <w:r w:rsidRPr="00375954">
        <w:rPr>
          <w:rFonts w:cs="Sylfaen"/>
          <w:lang w:val="hy-AM"/>
        </w:rPr>
        <w:t xml:space="preserve"> </w:t>
      </w:r>
      <w:r w:rsidRPr="007C7AD0">
        <w:rPr>
          <w:rFonts w:cs="Sylfaen"/>
          <w:lang w:val="hy-AM"/>
        </w:rPr>
        <w:t>գիտության</w:t>
      </w:r>
      <w:r w:rsidRPr="00375954">
        <w:rPr>
          <w:rFonts w:cs="Sylfaen"/>
          <w:lang w:val="hy-AM"/>
        </w:rPr>
        <w:t xml:space="preserve"> </w:t>
      </w:r>
      <w:r w:rsidRPr="007C7AD0">
        <w:rPr>
          <w:rFonts w:cs="Sylfaen"/>
          <w:lang w:val="hy-AM"/>
        </w:rPr>
        <w:t>ոլորտը</w:t>
      </w:r>
      <w:r w:rsidRPr="00375954">
        <w:rPr>
          <w:rFonts w:cs="Sylfaen"/>
          <w:lang w:val="hy-AM"/>
        </w:rPr>
        <w:t xml:space="preserve"> </w:t>
      </w:r>
      <w:r w:rsidRPr="007C7AD0">
        <w:rPr>
          <w:rFonts w:cs="Sylfaen"/>
          <w:lang w:val="hy-AM"/>
        </w:rPr>
        <w:t>երիտասարդ</w:t>
      </w:r>
      <w:r w:rsidRPr="00375954">
        <w:rPr>
          <w:rFonts w:cs="Sylfaen"/>
          <w:lang w:val="hy-AM"/>
        </w:rPr>
        <w:t xml:space="preserve"> </w:t>
      </w:r>
      <w:r w:rsidRPr="007C7AD0">
        <w:rPr>
          <w:rFonts w:cs="Sylfaen"/>
          <w:lang w:val="hy-AM"/>
        </w:rPr>
        <w:t>կադրերով</w:t>
      </w:r>
      <w:r w:rsidRPr="00375954">
        <w:rPr>
          <w:rFonts w:cs="Sylfaen"/>
          <w:lang w:val="hy-AM"/>
        </w:rPr>
        <w:t xml:space="preserve"> </w:t>
      </w:r>
      <w:r w:rsidRPr="007C7AD0">
        <w:rPr>
          <w:rFonts w:cs="Sylfaen"/>
          <w:lang w:val="hy-AM"/>
        </w:rPr>
        <w:t>համալրելու</w:t>
      </w:r>
      <w:r w:rsidRPr="00375954">
        <w:rPr>
          <w:rFonts w:cs="Sylfaen"/>
          <w:lang w:val="hy-AM"/>
        </w:rPr>
        <w:t xml:space="preserve"> </w:t>
      </w:r>
      <w:r w:rsidRPr="007C7AD0">
        <w:rPr>
          <w:rFonts w:cs="Sylfaen"/>
          <w:lang w:val="hy-AM"/>
        </w:rPr>
        <w:t>խնդրի</w:t>
      </w:r>
      <w:r w:rsidRPr="00375954">
        <w:rPr>
          <w:rFonts w:cs="Sylfaen"/>
          <w:lang w:val="hy-AM"/>
        </w:rPr>
        <w:t xml:space="preserve"> </w:t>
      </w:r>
      <w:r w:rsidRPr="007C7AD0">
        <w:rPr>
          <w:rFonts w:cs="Sylfaen"/>
          <w:lang w:val="hy-AM"/>
        </w:rPr>
        <w:t>լուծմանը</w:t>
      </w:r>
      <w:r w:rsidRPr="00375954">
        <w:rPr>
          <w:rFonts w:cs="Sylfaen"/>
          <w:lang w:val="hy-AM"/>
        </w:rPr>
        <w:t xml:space="preserve">, </w:t>
      </w:r>
      <w:r w:rsidRPr="007C7AD0">
        <w:rPr>
          <w:rFonts w:cs="Sylfaen"/>
          <w:lang w:val="hy-AM"/>
        </w:rPr>
        <w:t>գիտական</w:t>
      </w:r>
      <w:r w:rsidRPr="00375954">
        <w:rPr>
          <w:rFonts w:cs="Sylfaen"/>
          <w:lang w:val="hy-AM"/>
        </w:rPr>
        <w:t xml:space="preserve"> </w:t>
      </w:r>
      <w:r w:rsidRPr="007C7AD0">
        <w:rPr>
          <w:rFonts w:cs="Sylfaen"/>
          <w:lang w:val="hy-AM"/>
        </w:rPr>
        <w:t>կադրերի</w:t>
      </w:r>
      <w:r w:rsidRPr="00375954">
        <w:rPr>
          <w:rFonts w:cs="Sylfaen"/>
          <w:lang w:val="hy-AM"/>
        </w:rPr>
        <w:t xml:space="preserve"> </w:t>
      </w:r>
      <w:r w:rsidRPr="007C7AD0">
        <w:rPr>
          <w:rFonts w:cs="Sylfaen"/>
          <w:lang w:val="hy-AM"/>
        </w:rPr>
        <w:t>սոցիալ</w:t>
      </w:r>
      <w:r w:rsidRPr="00375954">
        <w:rPr>
          <w:rFonts w:cs="Sylfaen"/>
          <w:lang w:val="hy-AM"/>
        </w:rPr>
        <w:t>-</w:t>
      </w:r>
      <w:r w:rsidRPr="007C7AD0">
        <w:rPr>
          <w:rFonts w:cs="Sylfaen"/>
          <w:lang w:val="hy-AM"/>
        </w:rPr>
        <w:t>տնտեսական</w:t>
      </w:r>
      <w:r w:rsidRPr="00375954">
        <w:rPr>
          <w:rFonts w:cs="Sylfaen"/>
          <w:lang w:val="hy-AM"/>
        </w:rPr>
        <w:t xml:space="preserve"> </w:t>
      </w:r>
      <w:r w:rsidRPr="007C7AD0">
        <w:rPr>
          <w:rFonts w:cs="Sylfaen"/>
          <w:lang w:val="hy-AM"/>
        </w:rPr>
        <w:t>և</w:t>
      </w:r>
      <w:r w:rsidRPr="00375954">
        <w:rPr>
          <w:rFonts w:cs="Sylfaen"/>
          <w:lang w:val="hy-AM"/>
        </w:rPr>
        <w:t xml:space="preserve"> </w:t>
      </w:r>
      <w:r w:rsidRPr="007C7AD0">
        <w:rPr>
          <w:rFonts w:cs="Sylfaen"/>
          <w:lang w:val="hy-AM"/>
        </w:rPr>
        <w:t>աշխատանքային</w:t>
      </w:r>
      <w:r w:rsidRPr="00375954">
        <w:rPr>
          <w:rFonts w:cs="Sylfaen"/>
          <w:lang w:val="hy-AM"/>
        </w:rPr>
        <w:t xml:space="preserve"> </w:t>
      </w:r>
      <w:r w:rsidRPr="007C7AD0">
        <w:rPr>
          <w:rFonts w:cs="Sylfaen"/>
          <w:lang w:val="hy-AM"/>
        </w:rPr>
        <w:t>պայմանների</w:t>
      </w:r>
      <w:r w:rsidRPr="00375954">
        <w:rPr>
          <w:rFonts w:cs="Sylfaen"/>
          <w:lang w:val="hy-AM"/>
        </w:rPr>
        <w:t xml:space="preserve"> </w:t>
      </w:r>
      <w:r w:rsidRPr="007C7AD0">
        <w:rPr>
          <w:rFonts w:cs="Sylfaen"/>
          <w:lang w:val="hy-AM"/>
        </w:rPr>
        <w:t>բարելավմանը</w:t>
      </w:r>
      <w:r w:rsidRPr="00375954">
        <w:rPr>
          <w:rFonts w:cs="Sylfaen"/>
          <w:lang w:val="hy-AM"/>
        </w:rPr>
        <w:t xml:space="preserve">, </w:t>
      </w:r>
      <w:r w:rsidRPr="007C7AD0">
        <w:rPr>
          <w:rFonts w:cs="Sylfaen"/>
          <w:lang w:val="hy-AM"/>
        </w:rPr>
        <w:t>գիտության</w:t>
      </w:r>
      <w:r w:rsidRPr="00375954">
        <w:rPr>
          <w:rFonts w:cs="Sylfaen"/>
          <w:lang w:val="hy-AM"/>
        </w:rPr>
        <w:t xml:space="preserve"> </w:t>
      </w:r>
      <w:r w:rsidRPr="007C7AD0">
        <w:rPr>
          <w:rFonts w:cs="Sylfaen"/>
          <w:lang w:val="hy-AM"/>
        </w:rPr>
        <w:t>և</w:t>
      </w:r>
      <w:r w:rsidRPr="00375954">
        <w:rPr>
          <w:rFonts w:cs="Sylfaen"/>
          <w:lang w:val="hy-AM"/>
        </w:rPr>
        <w:t xml:space="preserve"> </w:t>
      </w:r>
      <w:r w:rsidRPr="007C7AD0">
        <w:rPr>
          <w:rFonts w:cs="Sylfaen"/>
          <w:lang w:val="hy-AM"/>
        </w:rPr>
        <w:t>տեխնիկայի</w:t>
      </w:r>
      <w:r w:rsidRPr="00375954">
        <w:rPr>
          <w:rFonts w:cs="Sylfaen"/>
          <w:lang w:val="hy-AM"/>
        </w:rPr>
        <w:t xml:space="preserve"> </w:t>
      </w:r>
      <w:r w:rsidRPr="007C7AD0">
        <w:rPr>
          <w:rFonts w:cs="Sylfaen"/>
          <w:lang w:val="hy-AM"/>
        </w:rPr>
        <w:t>բնագավառի</w:t>
      </w:r>
      <w:r w:rsidRPr="00375954">
        <w:rPr>
          <w:rFonts w:cs="Sylfaen"/>
          <w:lang w:val="hy-AM"/>
        </w:rPr>
        <w:t xml:space="preserve"> </w:t>
      </w:r>
      <w:r w:rsidRPr="007C7AD0">
        <w:rPr>
          <w:rFonts w:cs="Sylfaen"/>
          <w:lang w:val="hy-AM"/>
        </w:rPr>
        <w:t>բարձր</w:t>
      </w:r>
      <w:r w:rsidRPr="00375954">
        <w:rPr>
          <w:rFonts w:cs="Sylfaen"/>
          <w:lang w:val="hy-AM"/>
        </w:rPr>
        <w:t xml:space="preserve"> </w:t>
      </w:r>
      <w:r w:rsidRPr="007C7AD0">
        <w:rPr>
          <w:rFonts w:cs="Sylfaen"/>
          <w:lang w:val="hy-AM"/>
        </w:rPr>
        <w:t>որակավորում</w:t>
      </w:r>
      <w:r w:rsidRPr="00375954">
        <w:rPr>
          <w:rFonts w:cs="Sylfaen"/>
          <w:lang w:val="hy-AM"/>
        </w:rPr>
        <w:t xml:space="preserve"> </w:t>
      </w:r>
      <w:r w:rsidRPr="007C7AD0">
        <w:rPr>
          <w:rFonts w:cs="Sylfaen"/>
          <w:lang w:val="hy-AM"/>
        </w:rPr>
        <w:t>ունեցող</w:t>
      </w:r>
      <w:r w:rsidRPr="00375954">
        <w:rPr>
          <w:rFonts w:cs="Sylfaen"/>
          <w:lang w:val="hy-AM"/>
        </w:rPr>
        <w:t xml:space="preserve"> </w:t>
      </w:r>
      <w:r w:rsidRPr="007C7AD0">
        <w:rPr>
          <w:rFonts w:cs="Sylfaen"/>
          <w:lang w:val="hy-AM"/>
        </w:rPr>
        <w:t>կադրերի</w:t>
      </w:r>
      <w:r w:rsidRPr="00375954">
        <w:rPr>
          <w:rFonts w:cs="Sylfaen"/>
          <w:lang w:val="hy-AM"/>
        </w:rPr>
        <w:t xml:space="preserve"> </w:t>
      </w:r>
      <w:r w:rsidRPr="007C7AD0">
        <w:rPr>
          <w:rFonts w:cs="Sylfaen"/>
          <w:lang w:val="hy-AM"/>
        </w:rPr>
        <w:t>թվաքանակի</w:t>
      </w:r>
      <w:r w:rsidRPr="00375954">
        <w:rPr>
          <w:rFonts w:cs="Sylfaen"/>
          <w:lang w:val="hy-AM"/>
        </w:rPr>
        <w:t xml:space="preserve"> </w:t>
      </w:r>
      <w:r w:rsidRPr="007C7AD0">
        <w:rPr>
          <w:rFonts w:cs="Sylfaen"/>
          <w:lang w:val="hy-AM"/>
        </w:rPr>
        <w:t>կայուն</w:t>
      </w:r>
      <w:r w:rsidRPr="00375954">
        <w:rPr>
          <w:rFonts w:cs="Sylfaen"/>
          <w:lang w:val="hy-AM"/>
        </w:rPr>
        <w:t xml:space="preserve"> </w:t>
      </w:r>
      <w:r w:rsidRPr="007C7AD0">
        <w:rPr>
          <w:rFonts w:cs="Sylfaen"/>
          <w:lang w:val="hy-AM"/>
        </w:rPr>
        <w:t>աճին</w:t>
      </w:r>
      <w:r w:rsidRPr="00375954">
        <w:rPr>
          <w:rFonts w:cs="Sylfaen"/>
          <w:lang w:val="hy-AM"/>
        </w:rPr>
        <w:t xml:space="preserve"> </w:t>
      </w:r>
      <w:r w:rsidRPr="007C7AD0">
        <w:rPr>
          <w:rFonts w:cs="Sylfaen"/>
          <w:lang w:val="hy-AM"/>
        </w:rPr>
        <w:t>և</w:t>
      </w:r>
      <w:r w:rsidRPr="00375954">
        <w:rPr>
          <w:rFonts w:cs="Sylfaen"/>
          <w:lang w:val="hy-AM"/>
        </w:rPr>
        <w:t xml:space="preserve"> </w:t>
      </w:r>
      <w:r w:rsidRPr="007C7AD0">
        <w:rPr>
          <w:rFonts w:cs="Sylfaen"/>
          <w:lang w:val="hy-AM"/>
        </w:rPr>
        <w:t>գիտական</w:t>
      </w:r>
      <w:r w:rsidRPr="00375954">
        <w:rPr>
          <w:rFonts w:cs="Sylfaen"/>
          <w:lang w:val="hy-AM"/>
        </w:rPr>
        <w:t xml:space="preserve"> </w:t>
      </w:r>
      <w:r w:rsidRPr="007C7AD0">
        <w:rPr>
          <w:rFonts w:cs="Sylfaen"/>
          <w:lang w:val="hy-AM"/>
        </w:rPr>
        <w:t>ներուժի</w:t>
      </w:r>
      <w:r w:rsidRPr="00375954">
        <w:rPr>
          <w:rFonts w:cs="Sylfaen"/>
          <w:lang w:val="hy-AM"/>
        </w:rPr>
        <w:t xml:space="preserve"> </w:t>
      </w:r>
      <w:r w:rsidRPr="007C7AD0">
        <w:rPr>
          <w:rFonts w:cs="Sylfaen"/>
          <w:lang w:val="hy-AM"/>
        </w:rPr>
        <w:t>արդյունավետ</w:t>
      </w:r>
      <w:r w:rsidRPr="00375954">
        <w:rPr>
          <w:rFonts w:cs="Sylfaen"/>
          <w:lang w:val="hy-AM"/>
        </w:rPr>
        <w:t xml:space="preserve"> </w:t>
      </w:r>
      <w:r w:rsidRPr="007C7AD0">
        <w:rPr>
          <w:rFonts w:cs="Sylfaen"/>
          <w:lang w:val="hy-AM"/>
        </w:rPr>
        <w:t>նպատակային</w:t>
      </w:r>
      <w:r w:rsidRPr="00375954">
        <w:rPr>
          <w:rFonts w:cs="Sylfaen"/>
          <w:lang w:val="hy-AM"/>
        </w:rPr>
        <w:t xml:space="preserve"> </w:t>
      </w:r>
      <w:r w:rsidRPr="007C7AD0">
        <w:rPr>
          <w:rFonts w:cs="Sylfaen"/>
          <w:lang w:val="hy-AM"/>
        </w:rPr>
        <w:t>վերարտադրության</w:t>
      </w:r>
      <w:r w:rsidRPr="00375954">
        <w:rPr>
          <w:rFonts w:cs="Sylfaen"/>
          <w:lang w:val="hy-AM"/>
        </w:rPr>
        <w:t xml:space="preserve"> </w:t>
      </w:r>
      <w:r w:rsidRPr="007C7AD0">
        <w:rPr>
          <w:rFonts w:cs="Sylfaen"/>
          <w:lang w:val="hy-AM"/>
        </w:rPr>
        <w:t>ապահովմանը</w:t>
      </w:r>
      <w:r w:rsidRPr="00375954">
        <w:rPr>
          <w:rFonts w:cs="Sylfaen"/>
          <w:lang w:val="hy-AM"/>
        </w:rPr>
        <w:t>:</w:t>
      </w:r>
    </w:p>
    <w:p w14:paraId="42E582CE" w14:textId="77777777" w:rsidR="002E4192" w:rsidRPr="0092160E" w:rsidRDefault="002E4192" w:rsidP="004247C0">
      <w:pPr>
        <w:tabs>
          <w:tab w:val="left" w:pos="0"/>
        </w:tabs>
        <w:spacing w:before="120" w:after="0" w:line="276" w:lineRule="auto"/>
        <w:ind w:firstLine="0"/>
        <w:rPr>
          <w:rFonts w:eastAsia="Calibri"/>
          <w:b/>
          <w:lang w:val="hy-AM"/>
        </w:rPr>
      </w:pPr>
      <w:r w:rsidRPr="0092160E">
        <w:rPr>
          <w:rFonts w:eastAsia="Calibri"/>
          <w:b/>
          <w:lang w:val="hy-AM"/>
        </w:rPr>
        <w:t>Մշակույթի ոլորտ</w:t>
      </w:r>
    </w:p>
    <w:p w14:paraId="79D7DE4B" w14:textId="77777777" w:rsidR="002E4192" w:rsidRDefault="002E4192" w:rsidP="004247C0">
      <w:pPr>
        <w:tabs>
          <w:tab w:val="left" w:pos="0"/>
        </w:tabs>
        <w:spacing w:before="120" w:after="0" w:line="276" w:lineRule="auto"/>
        <w:ind w:firstLine="0"/>
        <w:rPr>
          <w:rFonts w:cs="Sylfaen"/>
          <w:lang w:val="hy-AM"/>
        </w:rPr>
      </w:pPr>
      <w:r w:rsidRPr="007C7AD0">
        <w:rPr>
          <w:rFonts w:cs="Sylfaen"/>
          <w:lang w:val="hy-AM"/>
        </w:rPr>
        <w:t>ՀՀ կառավարության վարած մշակութային քաղաքականությանը համապա</w:t>
      </w:r>
      <w:r w:rsidRPr="007C7AD0">
        <w:rPr>
          <w:rFonts w:cs="Sylfaen"/>
          <w:lang w:val="hy-AM"/>
        </w:rPr>
        <w:softHyphen/>
        <w:t xml:space="preserve">տասխան մշակույթի ոլորտում </w:t>
      </w:r>
      <w:r w:rsidRPr="00375954">
        <w:rPr>
          <w:rFonts w:cs="Sylfaen"/>
          <w:lang w:val="hy-AM"/>
        </w:rPr>
        <w:t xml:space="preserve">իրականացվող </w:t>
      </w:r>
      <w:r w:rsidRPr="007C7AD0">
        <w:rPr>
          <w:rFonts w:cs="Sylfaen"/>
          <w:lang w:val="hy-AM"/>
        </w:rPr>
        <w:t>ծրագրերը միտված են մշակութային ժառանգության պահպանությանը և տարածմանը, մշակութային և ստեղծարար ոլորտների խթանմանը և երկրի կայուն զարգացման գործընթացներում վերջիններիս դերի ընդլայնմանը, մշակույթի և ժամանակակից արվեստի հասանելիությանը և սոցիալական ներառականությանը, բարեկեցիկ հասարակության ձևավորմանը, հայկական մշակույթի միջազգային ինտեգրմանը և միջազգային շուկան</w:t>
      </w:r>
      <w:r>
        <w:rPr>
          <w:rFonts w:cs="Sylfaen"/>
          <w:lang w:val="hy-AM"/>
        </w:rPr>
        <w:t>երում մրցունակության ապահվմանը:</w:t>
      </w:r>
    </w:p>
    <w:p w14:paraId="6977CBB2" w14:textId="77777777" w:rsidR="002E4192" w:rsidRDefault="002E4192" w:rsidP="004247C0">
      <w:pPr>
        <w:tabs>
          <w:tab w:val="left" w:pos="0"/>
        </w:tabs>
        <w:autoSpaceDE w:val="0"/>
        <w:autoSpaceDN w:val="0"/>
        <w:adjustRightInd w:val="0"/>
        <w:spacing w:before="120" w:after="0" w:line="276" w:lineRule="auto"/>
        <w:ind w:firstLine="0"/>
        <w:rPr>
          <w:rFonts w:cs="Arial"/>
          <w:iCs/>
          <w:lang w:val="hy-AM"/>
        </w:rPr>
      </w:pPr>
      <w:r w:rsidRPr="007C7AD0">
        <w:rPr>
          <w:rFonts w:cs="Arial"/>
          <w:iCs/>
          <w:lang w:val="hy-AM"/>
        </w:rPr>
        <w:t xml:space="preserve">Ոլորտում իրականացվող ծրագրերը բխում են </w:t>
      </w:r>
      <w:r w:rsidRPr="00167D26">
        <w:rPr>
          <w:rFonts w:eastAsia="Times New Roman" w:cs="Sylfaen"/>
          <w:bCs/>
          <w:lang w:val="pt-BR"/>
        </w:rPr>
        <w:t xml:space="preserve">ՀՀ կառավարության 18 օգոստոսի 2021 թվականի N 1363-Ա որոշմամբ </w:t>
      </w:r>
      <w:r w:rsidRPr="002E4192">
        <w:rPr>
          <w:rFonts w:eastAsia="Times New Roman" w:cs="Sylfaen"/>
          <w:bCs/>
          <w:lang w:val="hy-AM"/>
        </w:rPr>
        <w:t xml:space="preserve">հաստատված՝ </w:t>
      </w:r>
      <w:r w:rsidRPr="00167D26">
        <w:rPr>
          <w:rFonts w:eastAsia="Times New Roman" w:cs="Sylfaen"/>
          <w:bCs/>
          <w:lang w:val="pt-BR"/>
        </w:rPr>
        <w:t xml:space="preserve">ՀՀ կառավարության ծրագրի </w:t>
      </w:r>
      <w:r>
        <w:rPr>
          <w:rFonts w:eastAsia="Times New Roman" w:cs="Sylfaen"/>
          <w:bCs/>
          <w:lang w:val="pt-BR"/>
        </w:rPr>
        <w:t>«</w:t>
      </w:r>
      <w:r w:rsidRPr="00167D26">
        <w:rPr>
          <w:rFonts w:eastAsia="Times New Roman" w:cs="Sylfaen"/>
          <w:bCs/>
          <w:lang w:val="pt-BR"/>
        </w:rPr>
        <w:t>4.</w:t>
      </w:r>
      <w:r>
        <w:rPr>
          <w:rFonts w:eastAsia="Times New Roman" w:cs="Sylfaen"/>
          <w:bCs/>
          <w:lang w:val="pt-BR"/>
        </w:rPr>
        <w:t>9. Մշակույթ»</w:t>
      </w:r>
      <w:r w:rsidRPr="00167D26">
        <w:rPr>
          <w:rFonts w:eastAsia="Times New Roman" w:cs="Sylfaen"/>
          <w:bCs/>
          <w:lang w:val="pt-BR"/>
        </w:rPr>
        <w:t xml:space="preserve"> </w:t>
      </w:r>
      <w:r>
        <w:rPr>
          <w:rFonts w:eastAsia="Times New Roman" w:cs="Sylfaen"/>
          <w:bCs/>
          <w:lang w:val="pt-BR"/>
        </w:rPr>
        <w:t>բաժնում</w:t>
      </w:r>
      <w:r w:rsidRPr="00167D26">
        <w:rPr>
          <w:rFonts w:eastAsia="Times New Roman" w:cs="Sylfaen"/>
          <w:bCs/>
          <w:lang w:val="pt-BR"/>
        </w:rPr>
        <w:t xml:space="preserve">  ամրագրված ուղղություններից</w:t>
      </w:r>
      <w:r>
        <w:rPr>
          <w:rFonts w:eastAsia="Times New Roman" w:cs="Sylfaen"/>
          <w:bCs/>
          <w:lang w:val="pt-BR"/>
        </w:rPr>
        <w:t>,</w:t>
      </w:r>
      <w:r w:rsidRPr="007C7AD0">
        <w:rPr>
          <w:rFonts w:cs="Arial"/>
          <w:iCs/>
          <w:lang w:val="hy-AM"/>
        </w:rPr>
        <w:t xml:space="preserve"> </w:t>
      </w:r>
      <w:r w:rsidRPr="00167D26">
        <w:rPr>
          <w:rFonts w:eastAsia="Times New Roman" w:cs="Sylfaen"/>
          <w:bCs/>
          <w:lang w:val="pt-BR"/>
        </w:rPr>
        <w:t xml:space="preserve">ՀՀ կառավարության </w:t>
      </w:r>
      <w:r>
        <w:rPr>
          <w:rFonts w:eastAsia="Times New Roman" w:cs="Sylfaen"/>
          <w:bCs/>
          <w:lang w:val="pt-BR"/>
        </w:rPr>
        <w:t>09</w:t>
      </w:r>
      <w:r w:rsidRPr="00167D26">
        <w:rPr>
          <w:rFonts w:eastAsia="Times New Roman" w:cs="Sylfaen"/>
          <w:bCs/>
          <w:lang w:val="pt-BR"/>
        </w:rPr>
        <w:t xml:space="preserve"> </w:t>
      </w:r>
      <w:r>
        <w:rPr>
          <w:rFonts w:eastAsia="Times New Roman" w:cs="Sylfaen"/>
          <w:bCs/>
          <w:lang w:val="pt-BR"/>
        </w:rPr>
        <w:t>նոյեմբերի</w:t>
      </w:r>
      <w:r w:rsidRPr="00167D26">
        <w:rPr>
          <w:rFonts w:eastAsia="Times New Roman" w:cs="Sylfaen"/>
          <w:bCs/>
          <w:lang w:val="pt-BR"/>
        </w:rPr>
        <w:t xml:space="preserve"> 202</w:t>
      </w:r>
      <w:r>
        <w:rPr>
          <w:rFonts w:eastAsia="Times New Roman" w:cs="Sylfaen"/>
          <w:bCs/>
          <w:lang w:val="pt-BR"/>
        </w:rPr>
        <w:t>3</w:t>
      </w:r>
      <w:r w:rsidRPr="00167D26">
        <w:rPr>
          <w:rFonts w:eastAsia="Times New Roman" w:cs="Sylfaen"/>
          <w:bCs/>
          <w:lang w:val="pt-BR"/>
        </w:rPr>
        <w:t xml:space="preserve"> թվականի N 1</w:t>
      </w:r>
      <w:r>
        <w:rPr>
          <w:rFonts w:eastAsia="Times New Roman" w:cs="Sylfaen"/>
          <w:bCs/>
          <w:lang w:val="pt-BR"/>
        </w:rPr>
        <w:t>951</w:t>
      </w:r>
      <w:r w:rsidRPr="00167D26">
        <w:rPr>
          <w:rFonts w:eastAsia="Times New Roman" w:cs="Sylfaen"/>
          <w:bCs/>
          <w:lang w:val="pt-BR"/>
        </w:rPr>
        <w:t>-</w:t>
      </w:r>
      <w:r>
        <w:rPr>
          <w:rFonts w:eastAsia="Times New Roman" w:cs="Sylfaen"/>
          <w:bCs/>
          <w:lang w:val="pt-BR"/>
        </w:rPr>
        <w:t>Լ</w:t>
      </w:r>
      <w:r w:rsidRPr="00167D26">
        <w:rPr>
          <w:rFonts w:eastAsia="Times New Roman" w:cs="Sylfaen"/>
          <w:bCs/>
          <w:lang w:val="pt-BR"/>
        </w:rPr>
        <w:t xml:space="preserve"> որոշմամբ</w:t>
      </w:r>
      <w:r w:rsidRPr="00C45150">
        <w:rPr>
          <w:rFonts w:cs="Arial"/>
          <w:iCs/>
          <w:lang w:val="hy-AM"/>
        </w:rPr>
        <w:t xml:space="preserve"> </w:t>
      </w:r>
      <w:r>
        <w:rPr>
          <w:rFonts w:cs="Arial"/>
          <w:iCs/>
        </w:rPr>
        <w:t>հաստատված՝</w:t>
      </w:r>
      <w:r w:rsidRPr="002E4192">
        <w:rPr>
          <w:rFonts w:cs="Arial"/>
          <w:iCs/>
          <w:lang w:val="pt-BR"/>
        </w:rPr>
        <w:t xml:space="preserve"> </w:t>
      </w:r>
      <w:r>
        <w:rPr>
          <w:rFonts w:cs="Arial"/>
          <w:iCs/>
        </w:rPr>
        <w:t>Հ</w:t>
      </w:r>
      <w:r w:rsidRPr="00C45150">
        <w:rPr>
          <w:rFonts w:cs="Arial"/>
          <w:iCs/>
          <w:lang w:val="hy-AM"/>
        </w:rPr>
        <w:t xml:space="preserve">այաստանի </w:t>
      </w:r>
      <w:r>
        <w:rPr>
          <w:rFonts w:cs="Arial"/>
          <w:iCs/>
        </w:rPr>
        <w:t>Հ</w:t>
      </w:r>
      <w:r w:rsidRPr="00C45150">
        <w:rPr>
          <w:rFonts w:cs="Arial"/>
          <w:iCs/>
          <w:lang w:val="hy-AM"/>
        </w:rPr>
        <w:t>անրապետության</w:t>
      </w:r>
      <w:r w:rsidRPr="002E4192">
        <w:rPr>
          <w:rFonts w:cs="Arial"/>
          <w:iCs/>
          <w:lang w:val="pt-BR"/>
        </w:rPr>
        <w:t xml:space="preserve"> </w:t>
      </w:r>
      <w:r w:rsidRPr="00C45150">
        <w:rPr>
          <w:rFonts w:cs="Arial"/>
          <w:iCs/>
          <w:lang w:val="hy-AM"/>
        </w:rPr>
        <w:t>մշակույթի պահպանության, զարգացման</w:t>
      </w:r>
      <w:r w:rsidRPr="002E4192">
        <w:rPr>
          <w:rFonts w:cs="Arial"/>
          <w:iCs/>
          <w:lang w:val="pt-BR"/>
        </w:rPr>
        <w:t xml:space="preserve"> </w:t>
      </w:r>
      <w:r>
        <w:rPr>
          <w:rFonts w:cs="Arial"/>
          <w:iCs/>
        </w:rPr>
        <w:t>և</w:t>
      </w:r>
      <w:r w:rsidRPr="00C45150">
        <w:rPr>
          <w:rFonts w:cs="Arial"/>
          <w:iCs/>
          <w:lang w:val="hy-AM"/>
        </w:rPr>
        <w:t xml:space="preserve"> հանրահռչակման</w:t>
      </w:r>
      <w:r w:rsidRPr="002E4192">
        <w:rPr>
          <w:rFonts w:cs="Arial"/>
          <w:iCs/>
          <w:lang w:val="pt-BR"/>
        </w:rPr>
        <w:t xml:space="preserve"> </w:t>
      </w:r>
      <w:r w:rsidRPr="00C45150">
        <w:rPr>
          <w:rFonts w:cs="Arial"/>
          <w:iCs/>
          <w:lang w:val="hy-AM"/>
        </w:rPr>
        <w:t>2023-2027 թվականների</w:t>
      </w:r>
      <w:r w:rsidRPr="00867230">
        <w:rPr>
          <w:rFonts w:cs="Arial"/>
          <w:iCs/>
          <w:lang w:val="hy-AM"/>
        </w:rPr>
        <w:t xml:space="preserve"> </w:t>
      </w:r>
      <w:r w:rsidRPr="007C7AD0">
        <w:rPr>
          <w:rFonts w:cs="Arial"/>
          <w:iCs/>
          <w:lang w:val="hy-AM"/>
        </w:rPr>
        <w:t>ռազմավարությունից,</w:t>
      </w:r>
      <w:r w:rsidRPr="007C7AD0">
        <w:rPr>
          <w:rFonts w:cs="Sylfaen"/>
          <w:lang w:val="hy-AM"/>
        </w:rPr>
        <w:t xml:space="preserve"> </w:t>
      </w:r>
      <w:r w:rsidRPr="007C7AD0">
        <w:rPr>
          <w:rFonts w:cs="Arial"/>
          <w:iCs/>
          <w:lang w:val="hy-AM"/>
        </w:rPr>
        <w:t>ինչպես նաև ՀՀ 2050 վերափոխման ռազմավարությունից:</w:t>
      </w:r>
    </w:p>
    <w:p w14:paraId="33CE4D99" w14:textId="77777777" w:rsidR="002E4192" w:rsidRPr="00375954" w:rsidRDefault="002E4192" w:rsidP="004247C0">
      <w:pPr>
        <w:tabs>
          <w:tab w:val="left" w:pos="0"/>
        </w:tabs>
        <w:spacing w:before="120" w:after="0" w:line="276" w:lineRule="auto"/>
        <w:ind w:firstLine="0"/>
        <w:rPr>
          <w:rFonts w:cs="Sylfaen"/>
          <w:lang w:val="hy-AM"/>
        </w:rPr>
      </w:pPr>
      <w:r w:rsidRPr="00375954">
        <w:rPr>
          <w:rFonts w:eastAsia="Times New Roman" w:cs="Sylfaen"/>
          <w:lang w:val="hy-AM"/>
        </w:rPr>
        <w:t>Մշակութային ժառանգության ծրագրի նպատակն է ապահովել մշակութային ժառանգության պահպանումը, օգտագործումը, համալրումը և հանրահռչակումը:</w:t>
      </w:r>
      <w:r w:rsidRPr="00375954">
        <w:rPr>
          <w:rFonts w:cs="Sylfaen"/>
          <w:lang w:val="hy-AM"/>
        </w:rPr>
        <w:t xml:space="preserve"> </w:t>
      </w:r>
      <w:r w:rsidRPr="003D7B69">
        <w:rPr>
          <w:rFonts w:cs="Sylfaen"/>
          <w:lang w:val="hy-AM"/>
        </w:rPr>
        <w:t xml:space="preserve">Ծրագրի </w:t>
      </w:r>
      <w:r w:rsidRPr="00375954">
        <w:rPr>
          <w:rFonts w:cs="Sylfaen"/>
          <w:lang w:val="hy-AM"/>
        </w:rPr>
        <w:t xml:space="preserve">շրջանակում կշարունակվեն աշխատանքներն ուղղված ՀՀ տարածքում և արտերկրում գտնվող մշակութային արժեքների և պատմամշակութային հուշարձանների հաշվառմանն ու գիտական </w:t>
      </w:r>
      <w:r w:rsidRPr="00375954">
        <w:rPr>
          <w:rFonts w:cs="Sylfaen"/>
          <w:lang w:val="hy-AM"/>
        </w:rPr>
        <w:lastRenderedPageBreak/>
        <w:t xml:space="preserve">ուսումնասիրությունների իրականացմանը, վավերագրմանը, մշակութային ժառանգության (նյութական և ոչ նյութական) պահպանմանը,  դրանց նպատակային օգտագործմանն ու հանրահռչակմանը, թանգարանային ծառայությունների մատուցմանը և ցուցահանդեսների կազմակերպմանը: </w:t>
      </w:r>
    </w:p>
    <w:p w14:paraId="0C83A992" w14:textId="77777777" w:rsidR="002E4192" w:rsidRPr="00375954" w:rsidRDefault="002E4192" w:rsidP="004247C0">
      <w:pPr>
        <w:tabs>
          <w:tab w:val="left" w:pos="0"/>
        </w:tabs>
        <w:spacing w:before="120" w:after="0" w:line="276" w:lineRule="auto"/>
        <w:ind w:firstLine="0"/>
        <w:rPr>
          <w:rFonts w:eastAsia="Times New Roman" w:cs="Sylfaen"/>
          <w:lang w:val="hy-AM"/>
        </w:rPr>
      </w:pPr>
      <w:r w:rsidRPr="00375954">
        <w:rPr>
          <w:rFonts w:eastAsia="Times New Roman" w:cs="Sylfaen"/>
          <w:lang w:val="hy-AM"/>
        </w:rPr>
        <w:t>Գրահրատարակչության և գրադարանների ծրագրի նպատակն է նպաստել գրականության հրատարակմանը, տարածմանը և հանրահռչակմանը:</w:t>
      </w:r>
      <w:r w:rsidRPr="00375954">
        <w:rPr>
          <w:rFonts w:cs="Sylfaen"/>
          <w:lang w:val="hy-AM"/>
        </w:rPr>
        <w:t xml:space="preserve"> </w:t>
      </w:r>
      <w:r w:rsidRPr="00375954">
        <w:rPr>
          <w:rFonts w:eastAsia="Times New Roman" w:cs="Sylfaen"/>
          <w:lang w:val="hy-AM"/>
        </w:rPr>
        <w:t xml:space="preserve">Ծրագրի շրջանակում </w:t>
      </w:r>
      <w:r w:rsidRPr="00BA3A66">
        <w:rPr>
          <w:rFonts w:cs="Sylfaen"/>
          <w:lang w:val="hy-AM"/>
        </w:rPr>
        <w:t>կշարունակվեն աշխատանքներն ուղղված</w:t>
      </w:r>
      <w:r w:rsidRPr="003D7B69">
        <w:rPr>
          <w:rFonts w:cs="Sylfaen"/>
          <w:lang w:val="hy-AM"/>
        </w:rPr>
        <w:t xml:space="preserve"> </w:t>
      </w:r>
      <w:r w:rsidRPr="00375954">
        <w:rPr>
          <w:rFonts w:eastAsia="Times New Roman" w:cs="Sylfaen"/>
          <w:lang w:val="hy-AM"/>
        </w:rPr>
        <w:t>գրականության զարգացմանն ու տարածմանը, տպագիր արտադրանքի միջոցով հոգևոր-մշակութային ժառանգության փոխանցմանը, ՀՀ տարածքում բնակվող ազգային փոքրամասնություններին (մամուլ, գրականություն) աջակցմանը՝ պահպանելու իրենց լեզուն, գրականությունը, ավանդույթները, մշակույթը, գրական, մշակութային, ազգային փոքրամասնությունների համար լույս տեսնող լրատվամիջոցների և պարբերականների գործունեության շարունակականությանը, գրքի միջազգային ցուցահանդեսներին մեր երկրի մասնակցությանը, հանրապետական գրական ծրագրերի կազմակերպմանը, ստեղծագործողների և մշակութային հետազոտողների աշխատանքների խթանմանը, գրա</w:t>
      </w:r>
      <w:r w:rsidRPr="00375954">
        <w:rPr>
          <w:rFonts w:eastAsia="Times New Roman" w:cs="Sylfaen"/>
          <w:lang w:val="hy-AM"/>
        </w:rPr>
        <w:softHyphen/>
        <w:t>դա</w:t>
      </w:r>
      <w:r w:rsidRPr="00375954">
        <w:rPr>
          <w:rFonts w:eastAsia="Times New Roman" w:cs="Sylfaen"/>
          <w:lang w:val="hy-AM"/>
        </w:rPr>
        <w:softHyphen/>
        <w:t>րա</w:t>
      </w:r>
      <w:r w:rsidRPr="00375954">
        <w:rPr>
          <w:rFonts w:eastAsia="Times New Roman" w:cs="Sylfaen"/>
          <w:lang w:val="hy-AM"/>
        </w:rPr>
        <w:softHyphen/>
        <w:t>նների գրքային հա</w:t>
      </w:r>
      <w:r w:rsidRPr="00375954">
        <w:rPr>
          <w:rFonts w:eastAsia="Times New Roman" w:cs="Sylfaen"/>
          <w:lang w:val="hy-AM"/>
        </w:rPr>
        <w:softHyphen/>
        <w:t>վա</w:t>
      </w:r>
      <w:r w:rsidRPr="00375954">
        <w:rPr>
          <w:rFonts w:eastAsia="Times New Roman" w:cs="Sylfaen"/>
          <w:lang w:val="hy-AM"/>
        </w:rPr>
        <w:softHyphen/>
        <w:t>քա</w:t>
      </w:r>
      <w:r w:rsidRPr="00375954">
        <w:rPr>
          <w:rFonts w:eastAsia="Times New Roman" w:cs="Sylfaen"/>
          <w:lang w:val="hy-AM"/>
        </w:rPr>
        <w:softHyphen/>
        <w:t>ծու</w:t>
      </w:r>
      <w:r w:rsidRPr="00375954">
        <w:rPr>
          <w:rFonts w:eastAsia="Times New Roman" w:cs="Sylfaen"/>
          <w:lang w:val="hy-AM"/>
        </w:rPr>
        <w:softHyphen/>
        <w:t>նե</w:t>
      </w:r>
      <w:r w:rsidRPr="00375954">
        <w:rPr>
          <w:rFonts w:eastAsia="Times New Roman" w:cs="Sylfaen"/>
          <w:lang w:val="hy-AM"/>
        </w:rPr>
        <w:softHyphen/>
        <w:t>րի համալրմանն ու պահ</w:t>
      </w:r>
      <w:r w:rsidRPr="00375954">
        <w:rPr>
          <w:rFonts w:eastAsia="Times New Roman" w:cs="Sylfaen"/>
          <w:lang w:val="hy-AM"/>
        </w:rPr>
        <w:softHyphen/>
        <w:t>պա</w:t>
      </w:r>
      <w:r w:rsidRPr="00375954">
        <w:rPr>
          <w:rFonts w:eastAsia="Times New Roman" w:cs="Sylfaen"/>
          <w:lang w:val="hy-AM"/>
        </w:rPr>
        <w:softHyphen/>
        <w:t>նմանը, ժա</w:t>
      </w:r>
      <w:r w:rsidRPr="00375954">
        <w:rPr>
          <w:rFonts w:eastAsia="Times New Roman" w:cs="Sylfaen"/>
          <w:lang w:val="hy-AM"/>
        </w:rPr>
        <w:softHyphen/>
        <w:t>մա</w:t>
      </w:r>
      <w:r w:rsidRPr="00375954">
        <w:rPr>
          <w:rFonts w:eastAsia="Times New Roman" w:cs="Sylfaen"/>
          <w:lang w:val="hy-AM"/>
        </w:rPr>
        <w:softHyphen/>
        <w:t>նակակից տեղեկատվական տեխնոլո</w:t>
      </w:r>
      <w:r w:rsidRPr="00375954">
        <w:rPr>
          <w:rFonts w:eastAsia="Times New Roman" w:cs="Sylfaen"/>
          <w:lang w:val="hy-AM"/>
        </w:rPr>
        <w:softHyphen/>
        <w:t>գիա</w:t>
      </w:r>
      <w:r w:rsidRPr="00375954">
        <w:rPr>
          <w:rFonts w:eastAsia="Times New Roman" w:cs="Sylfaen"/>
          <w:lang w:val="hy-AM"/>
        </w:rPr>
        <w:softHyphen/>
        <w:t>ների կիրառմամբ գրավոր ժա</w:t>
      </w:r>
      <w:r w:rsidRPr="00375954">
        <w:rPr>
          <w:rFonts w:eastAsia="Times New Roman" w:cs="Sylfaen"/>
          <w:lang w:val="hy-AM"/>
        </w:rPr>
        <w:softHyphen/>
        <w:t>ռան</w:t>
      </w:r>
      <w:r w:rsidRPr="00375954">
        <w:rPr>
          <w:rFonts w:eastAsia="Times New Roman" w:cs="Sylfaen"/>
          <w:lang w:val="hy-AM"/>
        </w:rPr>
        <w:softHyphen/>
        <w:t>գու</w:t>
      </w:r>
      <w:r w:rsidRPr="00375954">
        <w:rPr>
          <w:rFonts w:eastAsia="Times New Roman" w:cs="Sylfaen"/>
          <w:lang w:val="hy-AM"/>
        </w:rPr>
        <w:softHyphen/>
        <w:t>թյան (անձեռնմխելի հավաքածուներ) թվա</w:t>
      </w:r>
      <w:r w:rsidRPr="00375954">
        <w:rPr>
          <w:rFonts w:eastAsia="Times New Roman" w:cs="Sylfaen"/>
          <w:lang w:val="hy-AM"/>
        </w:rPr>
        <w:softHyphen/>
      </w:r>
      <w:r w:rsidRPr="00375954">
        <w:rPr>
          <w:rFonts w:eastAsia="Times New Roman" w:cs="Sylfaen"/>
          <w:lang w:val="hy-AM"/>
        </w:rPr>
        <w:softHyphen/>
      </w:r>
      <w:r w:rsidRPr="00375954">
        <w:rPr>
          <w:rFonts w:eastAsia="Times New Roman" w:cs="Sylfaen"/>
          <w:lang w:val="hy-AM"/>
        </w:rPr>
        <w:softHyphen/>
        <w:t>յնացմանը, տե</w:t>
      </w:r>
      <w:r w:rsidRPr="00375954">
        <w:rPr>
          <w:rFonts w:eastAsia="Times New Roman" w:cs="Sylfaen"/>
          <w:lang w:val="hy-AM"/>
        </w:rPr>
        <w:softHyphen/>
        <w:t>ղե</w:t>
      </w:r>
      <w:r w:rsidRPr="00375954">
        <w:rPr>
          <w:rFonts w:eastAsia="Times New Roman" w:cs="Sylfaen"/>
          <w:lang w:val="hy-AM"/>
        </w:rPr>
        <w:softHyphen/>
        <w:t>կատվական շտե</w:t>
      </w:r>
      <w:r w:rsidRPr="00375954">
        <w:rPr>
          <w:rFonts w:eastAsia="Times New Roman" w:cs="Sylfaen"/>
          <w:lang w:val="hy-AM"/>
        </w:rPr>
        <w:softHyphen/>
        <w:t>մա</w:t>
      </w:r>
      <w:r w:rsidRPr="00375954">
        <w:rPr>
          <w:rFonts w:eastAsia="Times New Roman" w:cs="Sylfaen"/>
          <w:lang w:val="hy-AM"/>
        </w:rPr>
        <w:softHyphen/>
        <w:t>րաննե</w:t>
      </w:r>
      <w:r w:rsidRPr="00375954">
        <w:rPr>
          <w:rFonts w:eastAsia="Times New Roman" w:cs="Sylfaen"/>
          <w:lang w:val="hy-AM"/>
        </w:rPr>
        <w:softHyphen/>
        <w:t>րի շարունակական զարգացմանը:</w:t>
      </w:r>
    </w:p>
    <w:p w14:paraId="320D085A" w14:textId="77777777" w:rsidR="002E4192" w:rsidRPr="00375954" w:rsidRDefault="002E4192" w:rsidP="004247C0">
      <w:pPr>
        <w:tabs>
          <w:tab w:val="left" w:pos="0"/>
        </w:tabs>
        <w:spacing w:before="120" w:after="0" w:line="276" w:lineRule="auto"/>
        <w:ind w:firstLine="0"/>
        <w:rPr>
          <w:rFonts w:eastAsia="Times New Roman" w:cs="Sylfaen"/>
          <w:lang w:val="hy-AM"/>
        </w:rPr>
      </w:pPr>
      <w:r w:rsidRPr="00375954">
        <w:rPr>
          <w:rFonts w:eastAsia="Times New Roman" w:cs="Sylfaen"/>
          <w:lang w:val="hy-AM"/>
        </w:rPr>
        <w:t>Կինեմատոգրաֆիայի ծրագրի նպատակն է աջակցել կինոարվեստի և կինոարտադրության զարգացմանը, հայկական ավանդույթների շարունակականության ապահովմանը և կինոարվեստի հանրահռչակմանը: Ծրագրի շրջանակում իրականացվող գործընթացները նպատակաուղղված կլինեն խաղարկային, մուլտիպլիկացիոն և վավերագրական  կինոնկարների արտադրության աջակցմանը, կինո-ֆոտո-ֆոնո հավաքածուի պահպանմանը, կինոարվեստի հանրահռչակմանը, տարածմանը, հայկական կինոյի ավանդույթների շարունակականության ապահովմանը, միջազգային համագործակցության ընդլայնմանը:</w:t>
      </w:r>
    </w:p>
    <w:p w14:paraId="39063505" w14:textId="77777777" w:rsidR="002E4192" w:rsidRPr="00375954" w:rsidRDefault="002E4192" w:rsidP="004247C0">
      <w:pPr>
        <w:numPr>
          <w:ilvl w:val="12"/>
          <w:numId w:val="0"/>
        </w:numPr>
        <w:tabs>
          <w:tab w:val="left" w:pos="0"/>
          <w:tab w:val="left" w:pos="851"/>
        </w:tabs>
        <w:spacing w:before="120" w:after="0" w:line="276" w:lineRule="auto"/>
        <w:rPr>
          <w:rFonts w:eastAsia="Times New Roman" w:cs="Sylfaen"/>
          <w:lang w:val="hy-AM"/>
        </w:rPr>
      </w:pPr>
      <w:r w:rsidRPr="00375954">
        <w:rPr>
          <w:rFonts w:eastAsia="Times New Roman" w:cs="Sylfaen"/>
          <w:lang w:val="hy-AM"/>
        </w:rPr>
        <w:t>Արվեստների ծրագրի նպատակն է նպաստել ազգային հենքի վրա ժամանակակից թատերարվեստի, երաժշտարվեստի, կերպարվեստի և պարարվեստի զարգացմանը և հանրահռչակմանը:</w:t>
      </w:r>
      <w:r w:rsidRPr="00375954">
        <w:rPr>
          <w:rFonts w:cs="Sylfaen"/>
          <w:lang w:val="hy-AM"/>
        </w:rPr>
        <w:t xml:space="preserve"> </w:t>
      </w:r>
      <w:r w:rsidRPr="00375954">
        <w:rPr>
          <w:rFonts w:eastAsia="Times New Roman" w:cs="Sylfaen"/>
          <w:lang w:val="hy-AM"/>
        </w:rPr>
        <w:t xml:space="preserve">Ծրագրի շրջանակներում իրականացվող միջոցառումները նպատակաուղղված </w:t>
      </w:r>
      <w:r w:rsidRPr="00375954">
        <w:rPr>
          <w:rFonts w:cs="Sylfaen"/>
          <w:lang w:val="hy-AM"/>
        </w:rPr>
        <w:t xml:space="preserve">կլինեն </w:t>
      </w:r>
      <w:r w:rsidRPr="00375954">
        <w:rPr>
          <w:rFonts w:eastAsia="Times New Roman" w:cs="Sylfaen"/>
          <w:lang w:val="hy-AM"/>
        </w:rPr>
        <w:t>ժամանակակից արվեստի ոլորտների /թատերարվեստ, երաժշտարվեստ, կերպարվեստ, պարարվեստ/ զարգացմանը և հանրահռչակմանը, անհատի և հանրության հոգևոր-մշակութային առաջընթացի գործում մշակույթի ռազմավարական դերակատարման բարձրացմանը, ստեղծագործական և գեղարվեստական բարձր նշաձողի պահպանմամբ և հանրության տարբեր շերտերի մշակութային պահանջարկին համապատասխան մշակութային արտադրանքի և ծառայությունների մատուցման գործընթացի ապահովմանը, մշակութային ենթակառուցվածքների արդիականացմանը, մշակութային ծառայությունների որակի բարելավմանն ու մատչելիության ապահովմանը,  ստեղծագործական ներուժ ունեցող անհատների դրսևորմանը և նրանց գործունեության համար բարենպաստ դաշտի ստեղծմանը, երիտասարդ ստեղծագործողներին միջազգային մշակութային գործընթացներին ինտեգրման աջակցմանը</w:t>
      </w:r>
      <w:r w:rsidRPr="00375954">
        <w:rPr>
          <w:rFonts w:cs="Sylfaen"/>
          <w:lang w:val="hy-AM"/>
        </w:rPr>
        <w:t>:</w:t>
      </w:r>
      <w:r w:rsidRPr="00375954">
        <w:rPr>
          <w:rFonts w:eastAsia="Times New Roman" w:cs="Sylfaen"/>
          <w:lang w:val="hy-AM"/>
        </w:rPr>
        <w:t xml:space="preserve"> </w:t>
      </w:r>
    </w:p>
    <w:p w14:paraId="3E2CCFDE" w14:textId="77777777" w:rsidR="002E4192" w:rsidRPr="00375954" w:rsidRDefault="002E4192" w:rsidP="004247C0">
      <w:pPr>
        <w:numPr>
          <w:ilvl w:val="12"/>
          <w:numId w:val="0"/>
        </w:numPr>
        <w:tabs>
          <w:tab w:val="left" w:pos="0"/>
          <w:tab w:val="left" w:pos="851"/>
        </w:tabs>
        <w:spacing w:before="120" w:after="0" w:line="276" w:lineRule="auto"/>
        <w:rPr>
          <w:rFonts w:eastAsia="Times New Roman" w:cs="Sylfaen"/>
          <w:lang w:val="hy-AM"/>
        </w:rPr>
      </w:pPr>
      <w:r w:rsidRPr="00375954">
        <w:rPr>
          <w:rFonts w:eastAsia="Times New Roman" w:cs="Sylfaen"/>
          <w:lang w:val="hy-AM"/>
        </w:rPr>
        <w:t>Մարզերի մշակութային զարգացման ծրագրի նպատակն է նպաստել մարզերում մշակութային կյանքի և մշակութաստեղծ գործունեության ակտիվացմանը:</w:t>
      </w:r>
      <w:r w:rsidRPr="00375954">
        <w:rPr>
          <w:rFonts w:cs="Sylfaen"/>
          <w:lang w:val="hy-AM"/>
        </w:rPr>
        <w:t xml:space="preserve"> </w:t>
      </w:r>
      <w:r w:rsidRPr="00375954">
        <w:rPr>
          <w:rFonts w:eastAsia="Times New Roman" w:cs="Sylfaen"/>
          <w:lang w:val="hy-AM"/>
        </w:rPr>
        <w:t xml:space="preserve">Ծրագրի շրջանակներում իրականացվող գործընթացներն ուղղված կլինեն մարզերում մշակութային կյանքի </w:t>
      </w:r>
      <w:r w:rsidRPr="00375954">
        <w:rPr>
          <w:rFonts w:eastAsia="Times New Roman" w:cs="Sylfaen"/>
          <w:lang w:val="hy-AM"/>
        </w:rPr>
        <w:lastRenderedPageBreak/>
        <w:t>ակտիվացմանը, համայնքներում մշակույթի հասանելիության և մշակութային կյանքին մարզային բնակչության ընդգրկվածության ընդլայնմանը, մշակութային միջոցառումների կազմակերպմանն ու իրականացմանը, համայնքային մշակույթի և ազատ ժամանցի կազմակերպմանը:</w:t>
      </w:r>
    </w:p>
    <w:p w14:paraId="47B77C24" w14:textId="77777777" w:rsidR="0035214A" w:rsidRDefault="0035214A" w:rsidP="004247C0">
      <w:pPr>
        <w:tabs>
          <w:tab w:val="left" w:pos="0"/>
        </w:tabs>
        <w:spacing w:before="120" w:after="0" w:line="276" w:lineRule="auto"/>
        <w:ind w:firstLine="0"/>
        <w:rPr>
          <w:rFonts w:eastAsia="Calibri"/>
          <w:b/>
          <w:lang w:val="hy-AM"/>
        </w:rPr>
      </w:pPr>
    </w:p>
    <w:p w14:paraId="2836B287" w14:textId="5C9E8093" w:rsidR="002E4192" w:rsidRPr="0092160E" w:rsidRDefault="002E4192" w:rsidP="004247C0">
      <w:pPr>
        <w:tabs>
          <w:tab w:val="left" w:pos="0"/>
        </w:tabs>
        <w:spacing w:before="120" w:after="0" w:line="276" w:lineRule="auto"/>
        <w:ind w:firstLine="0"/>
        <w:rPr>
          <w:rFonts w:eastAsia="Calibri"/>
          <w:b/>
          <w:lang w:val="hy-AM"/>
        </w:rPr>
      </w:pPr>
      <w:r w:rsidRPr="0092160E">
        <w:rPr>
          <w:rFonts w:eastAsia="Calibri"/>
          <w:b/>
          <w:lang w:val="hy-AM"/>
        </w:rPr>
        <w:t>Սպորտի</w:t>
      </w:r>
      <w:r w:rsidRPr="0092160E">
        <w:rPr>
          <w:rFonts w:eastAsia="Calibri"/>
          <w:b/>
          <w:lang w:val="fr-FR"/>
        </w:rPr>
        <w:t xml:space="preserve"> </w:t>
      </w:r>
      <w:r w:rsidRPr="0092160E">
        <w:rPr>
          <w:rFonts w:eastAsia="Calibri"/>
          <w:b/>
          <w:lang w:val="hy-AM"/>
        </w:rPr>
        <w:t>ոլորտ</w:t>
      </w:r>
    </w:p>
    <w:p w14:paraId="556BA3AF" w14:textId="77777777" w:rsidR="002E4192" w:rsidRDefault="002E4192" w:rsidP="004247C0">
      <w:pPr>
        <w:tabs>
          <w:tab w:val="left" w:pos="0"/>
        </w:tabs>
        <w:spacing w:before="120" w:after="0" w:line="276" w:lineRule="auto"/>
        <w:ind w:firstLine="0"/>
        <w:rPr>
          <w:rFonts w:cs="Arial"/>
          <w:iCs/>
          <w:lang w:val="hy-AM"/>
        </w:rPr>
      </w:pPr>
      <w:r w:rsidRPr="0092160E">
        <w:rPr>
          <w:rFonts w:eastAsia="Calibri"/>
          <w:lang w:val="hy-AM"/>
        </w:rPr>
        <w:t xml:space="preserve">Սպորտի ոլորտում </w:t>
      </w:r>
      <w:r w:rsidRPr="00375954">
        <w:rPr>
          <w:rFonts w:eastAsia="Calibri"/>
          <w:lang w:val="hy-AM"/>
        </w:rPr>
        <w:t xml:space="preserve">պետական </w:t>
      </w:r>
      <w:r w:rsidRPr="007C7AD0">
        <w:rPr>
          <w:rFonts w:cs="Arial"/>
          <w:iCs/>
          <w:lang w:val="hy-AM"/>
        </w:rPr>
        <w:t xml:space="preserve">քաղաքականությունն ուղղված է բնակչության շրջանում առողջ ապրելակերպի և ակտիվ հանգստի արմատավորմանը, ֆիզիկական կուլտուրայի և սպորտի միջոցով բնակչության առողջության ամրապնդմանը։ </w:t>
      </w:r>
      <w:r w:rsidRPr="00375954">
        <w:rPr>
          <w:rFonts w:cs="Arial"/>
          <w:iCs/>
          <w:lang w:val="hy-AM"/>
        </w:rPr>
        <w:t>ՀՀ կ</w:t>
      </w:r>
      <w:r w:rsidRPr="007C7AD0">
        <w:rPr>
          <w:rFonts w:cs="Arial"/>
          <w:iCs/>
          <w:lang w:val="hy-AM"/>
        </w:rPr>
        <w:t>առավարությունը խրախուսում է նաև մարզական բարձր արդյունքները միջազգային մրցասպարեզներում, աջակցում է մարզական ֆեդեր</w:t>
      </w:r>
      <w:r>
        <w:rPr>
          <w:rFonts w:cs="Arial"/>
          <w:iCs/>
          <w:lang w:val="hy-AM"/>
        </w:rPr>
        <w:t>ացիաների գործունեությանը:</w:t>
      </w:r>
    </w:p>
    <w:p w14:paraId="1D7344B9" w14:textId="77777777" w:rsidR="002E4192" w:rsidRDefault="002E4192" w:rsidP="004247C0">
      <w:pPr>
        <w:tabs>
          <w:tab w:val="left" w:pos="0"/>
        </w:tabs>
        <w:autoSpaceDE w:val="0"/>
        <w:autoSpaceDN w:val="0"/>
        <w:adjustRightInd w:val="0"/>
        <w:spacing w:before="120" w:after="0" w:line="276" w:lineRule="auto"/>
        <w:ind w:firstLine="0"/>
        <w:rPr>
          <w:rFonts w:cs="Arial"/>
          <w:iCs/>
          <w:lang w:val="hy-AM"/>
        </w:rPr>
      </w:pPr>
      <w:r w:rsidRPr="00DC1090">
        <w:rPr>
          <w:rFonts w:cs="Arial"/>
          <w:iCs/>
          <w:lang w:val="hy-AM"/>
        </w:rPr>
        <w:t xml:space="preserve">Ոլորտում իրականացվող ծրագրերը բխում են </w:t>
      </w:r>
      <w:r w:rsidRPr="00DC1090">
        <w:rPr>
          <w:rFonts w:eastAsia="Times New Roman" w:cs="Sylfaen"/>
          <w:bCs/>
          <w:lang w:val="pt-BR"/>
        </w:rPr>
        <w:t xml:space="preserve">ՀՀ կառավարության 18 օգոստոսի 2021 թվականի N 1363-Ա որոշմամբ </w:t>
      </w:r>
      <w:r w:rsidRPr="002E4192">
        <w:rPr>
          <w:rFonts w:eastAsia="Times New Roman" w:cs="Sylfaen"/>
          <w:bCs/>
          <w:lang w:val="hy-AM"/>
        </w:rPr>
        <w:t xml:space="preserve">հաստատված՝ </w:t>
      </w:r>
      <w:r w:rsidRPr="00DC1090">
        <w:rPr>
          <w:rFonts w:eastAsia="Times New Roman" w:cs="Sylfaen"/>
          <w:bCs/>
          <w:lang w:val="pt-BR"/>
        </w:rPr>
        <w:t>ՀՀ կառավարության ծրագրի «4.8. Սպո</w:t>
      </w:r>
      <w:r>
        <w:rPr>
          <w:rFonts w:eastAsia="Times New Roman" w:cs="Sylfaen"/>
          <w:bCs/>
          <w:lang w:val="pt-BR"/>
        </w:rPr>
        <w:t>ր</w:t>
      </w:r>
      <w:r w:rsidRPr="00DC1090">
        <w:rPr>
          <w:rFonts w:eastAsia="Times New Roman" w:cs="Sylfaen"/>
          <w:bCs/>
          <w:lang w:val="pt-BR"/>
        </w:rPr>
        <w:t>տ» բաժնում  ամրագրված ուղղություններից,</w:t>
      </w:r>
      <w:r w:rsidRPr="00DC1090">
        <w:rPr>
          <w:rFonts w:cs="Arial"/>
          <w:iCs/>
          <w:lang w:val="hy-AM"/>
        </w:rPr>
        <w:t xml:space="preserve"> </w:t>
      </w:r>
      <w:r w:rsidRPr="00DC1090">
        <w:rPr>
          <w:rFonts w:eastAsia="Times New Roman" w:cs="Sylfaen"/>
          <w:bCs/>
          <w:lang w:val="pt-BR"/>
        </w:rPr>
        <w:t>ՀՀ կառավարության 07 դեկտեմբերի 2023 թվականի N 2145-Լ որոշմամբ</w:t>
      </w:r>
      <w:r w:rsidRPr="00DC1090">
        <w:rPr>
          <w:rFonts w:cs="Arial"/>
          <w:iCs/>
          <w:lang w:val="hy-AM"/>
        </w:rPr>
        <w:t xml:space="preserve"> </w:t>
      </w:r>
      <w:r w:rsidRPr="00DC1090">
        <w:rPr>
          <w:rFonts w:cs="Arial"/>
          <w:iCs/>
        </w:rPr>
        <w:t>հաստատված՝</w:t>
      </w:r>
      <w:r w:rsidRPr="002E4192">
        <w:rPr>
          <w:rFonts w:cs="Arial"/>
          <w:iCs/>
          <w:lang w:val="pt-BR"/>
        </w:rPr>
        <w:t xml:space="preserve"> </w:t>
      </w:r>
      <w:r>
        <w:rPr>
          <w:rFonts w:cs="Arial"/>
          <w:iCs/>
        </w:rPr>
        <w:t>Ֆ</w:t>
      </w:r>
      <w:r w:rsidRPr="00DC1090">
        <w:rPr>
          <w:rFonts w:eastAsiaTheme="minorHAnsi" w:cs="Arial"/>
        </w:rPr>
        <w:t>իզիկական</w:t>
      </w:r>
      <w:r w:rsidRPr="002E4192">
        <w:rPr>
          <w:rFonts w:eastAsiaTheme="minorHAnsi" w:cs="CIDFont+F1"/>
          <w:lang w:val="pt-BR"/>
        </w:rPr>
        <w:t xml:space="preserve"> </w:t>
      </w:r>
      <w:r w:rsidRPr="00DC1090">
        <w:rPr>
          <w:rFonts w:eastAsiaTheme="minorHAnsi" w:cs="Arial"/>
        </w:rPr>
        <w:t>կուլտուրայի</w:t>
      </w:r>
      <w:r w:rsidRPr="002E4192">
        <w:rPr>
          <w:rFonts w:eastAsiaTheme="minorHAnsi" w:cs="CIDFont+F1"/>
          <w:lang w:val="pt-BR"/>
        </w:rPr>
        <w:t xml:space="preserve"> </w:t>
      </w:r>
      <w:r>
        <w:rPr>
          <w:rFonts w:eastAsiaTheme="minorHAnsi" w:cs="CIDFont+F1"/>
        </w:rPr>
        <w:t>և</w:t>
      </w:r>
      <w:r w:rsidRPr="002E4192">
        <w:rPr>
          <w:rFonts w:eastAsiaTheme="minorHAnsi" w:cs="CIDFont+F1"/>
          <w:lang w:val="pt-BR"/>
        </w:rPr>
        <w:t xml:space="preserve"> </w:t>
      </w:r>
      <w:r w:rsidRPr="00DC1090">
        <w:rPr>
          <w:rFonts w:eastAsiaTheme="minorHAnsi" w:cs="Arial"/>
        </w:rPr>
        <w:t>սպորտի</w:t>
      </w:r>
      <w:r w:rsidRPr="002E4192">
        <w:rPr>
          <w:rFonts w:eastAsiaTheme="minorHAnsi" w:cs="CIDFont+F1"/>
          <w:lang w:val="pt-BR"/>
        </w:rPr>
        <w:t xml:space="preserve"> </w:t>
      </w:r>
      <w:r w:rsidRPr="00DC1090">
        <w:rPr>
          <w:rFonts w:eastAsiaTheme="minorHAnsi" w:cs="Arial"/>
        </w:rPr>
        <w:t>ոլորտների</w:t>
      </w:r>
      <w:r w:rsidRPr="002E4192">
        <w:rPr>
          <w:rFonts w:eastAsiaTheme="minorHAnsi" w:cs="CIDFont+F1"/>
          <w:lang w:val="pt-BR"/>
        </w:rPr>
        <w:t xml:space="preserve"> 2024-2030 </w:t>
      </w:r>
      <w:r w:rsidRPr="00DC1090">
        <w:rPr>
          <w:rFonts w:eastAsiaTheme="minorHAnsi" w:cs="Arial"/>
        </w:rPr>
        <w:t>թվականների</w:t>
      </w:r>
      <w:r w:rsidRPr="002E4192">
        <w:rPr>
          <w:rFonts w:eastAsiaTheme="minorHAnsi" w:cs="CIDFont+F1"/>
          <w:lang w:val="pt-BR"/>
        </w:rPr>
        <w:t xml:space="preserve"> </w:t>
      </w:r>
      <w:r w:rsidRPr="00DC1090">
        <w:rPr>
          <w:rFonts w:eastAsiaTheme="minorHAnsi" w:cs="Arial"/>
        </w:rPr>
        <w:t>զարգացման</w:t>
      </w:r>
      <w:r w:rsidRPr="002E4192">
        <w:rPr>
          <w:rFonts w:eastAsiaTheme="minorHAnsi" w:cs="Arial"/>
          <w:lang w:val="pt-BR"/>
        </w:rPr>
        <w:t xml:space="preserve"> </w:t>
      </w:r>
      <w:r>
        <w:rPr>
          <w:rFonts w:eastAsiaTheme="minorHAnsi" w:cs="Arial"/>
        </w:rPr>
        <w:t>ռազմավարությունից</w:t>
      </w:r>
      <w:r w:rsidRPr="007C7AD0">
        <w:rPr>
          <w:rFonts w:cs="Arial"/>
          <w:iCs/>
          <w:lang w:val="hy-AM"/>
        </w:rPr>
        <w:t>,</w:t>
      </w:r>
      <w:r w:rsidRPr="007C7AD0">
        <w:rPr>
          <w:rFonts w:cs="Sylfaen"/>
          <w:lang w:val="hy-AM"/>
        </w:rPr>
        <w:t xml:space="preserve"> </w:t>
      </w:r>
      <w:r w:rsidRPr="007C7AD0">
        <w:rPr>
          <w:rFonts w:cs="Arial"/>
          <w:iCs/>
          <w:lang w:val="hy-AM"/>
        </w:rPr>
        <w:t>ինչպես նաև ՀՀ 2050 վերափոխման ռազմավարությու</w:t>
      </w:r>
      <w:r>
        <w:rPr>
          <w:rFonts w:cs="Arial"/>
          <w:iCs/>
        </w:rPr>
        <w:t>ն</w:t>
      </w:r>
      <w:r w:rsidRPr="007C7AD0">
        <w:rPr>
          <w:rFonts w:cs="Arial"/>
          <w:iCs/>
          <w:lang w:val="hy-AM"/>
        </w:rPr>
        <w:t>ից:</w:t>
      </w:r>
    </w:p>
    <w:p w14:paraId="6A202002" w14:textId="77777777" w:rsidR="002E4192" w:rsidRPr="00375954" w:rsidRDefault="002E4192" w:rsidP="004247C0">
      <w:pPr>
        <w:tabs>
          <w:tab w:val="left" w:pos="0"/>
        </w:tabs>
        <w:spacing w:before="120" w:after="0" w:line="276" w:lineRule="auto"/>
        <w:ind w:firstLine="0"/>
        <w:rPr>
          <w:rFonts w:eastAsia="Times New Roman" w:cs="Arial"/>
          <w:iCs/>
          <w:lang w:val="hy-AM"/>
        </w:rPr>
      </w:pPr>
      <w:r w:rsidRPr="00375954">
        <w:rPr>
          <w:rFonts w:eastAsia="Times New Roman" w:cs="Arial"/>
          <w:iCs/>
          <w:lang w:val="hy-AM"/>
        </w:rPr>
        <w:t>Մասսայական սպորտ ծրագրի նպատակն է ապահովել բնակչության շրջանում առողջ ապրելակերպի արմատավորումը, անհատի բազմակողմանի ու ներդաշնակ զարգացման գործում ֆիզիկական կուլտուրայի և սպորտի դերի բարձրացումը:</w:t>
      </w:r>
      <w:r w:rsidRPr="00375954">
        <w:rPr>
          <w:rFonts w:cs="Arial"/>
          <w:iCs/>
          <w:lang w:val="hy-AM"/>
        </w:rPr>
        <w:t xml:space="preserve"> </w:t>
      </w:r>
      <w:r w:rsidRPr="00375954">
        <w:rPr>
          <w:rFonts w:eastAsia="Times New Roman" w:cs="Arial"/>
          <w:iCs/>
          <w:lang w:val="hy-AM"/>
        </w:rPr>
        <w:t xml:space="preserve">Ծրագրի շրջանակներում </w:t>
      </w:r>
      <w:r w:rsidRPr="00375954">
        <w:rPr>
          <w:rFonts w:cs="Arial"/>
          <w:iCs/>
          <w:lang w:val="hy-AM"/>
        </w:rPr>
        <w:t>միջնաժամկետ հատվածում կ</w:t>
      </w:r>
      <w:r w:rsidRPr="00375954">
        <w:rPr>
          <w:rFonts w:eastAsia="Times New Roman" w:cs="Arial"/>
          <w:iCs/>
          <w:lang w:val="hy-AM"/>
        </w:rPr>
        <w:t>իրականացվեն զանգվածային ֆիզկուլտուրային-առողջարարական` համայնքային, տարածաշրջանային, մարզային և հանրապետական միջոցառումներ, հաշմանդամություն ունեցող անձանց շրջանում ֆիզկուլտուրային-առողջարարական աշխատանքներ,  ֆիզիկական կուլտուրայի և սպորտի, առողջ ապրելակերպի արմատավորման քարոզչությանն  ուղղված համալիր միջոցառումներ և ծրագրեր, բնակչության` ֆիզիկական դաստիարակության անընդհատությանը, հայրենիքի պաշտպանությանը պատրաստ երիտասարդության դաստիարակությանը նպաստող միջոցառումներ:</w:t>
      </w:r>
      <w:r w:rsidRPr="00375954">
        <w:rPr>
          <w:rFonts w:cs="Arial"/>
          <w:iCs/>
          <w:lang w:val="hy-AM"/>
        </w:rPr>
        <w:t xml:space="preserve"> </w:t>
      </w:r>
      <w:r w:rsidRPr="00375954">
        <w:rPr>
          <w:rFonts w:eastAsia="Times New Roman" w:cs="Arial"/>
          <w:iCs/>
          <w:lang w:val="hy-AM"/>
        </w:rPr>
        <w:t xml:space="preserve">Ֆիզիկական կուլտուրայի արմատավորման նպատակով </w:t>
      </w:r>
      <w:r w:rsidRPr="00375954">
        <w:rPr>
          <w:rFonts w:cs="Arial"/>
          <w:iCs/>
          <w:lang w:val="hy-AM"/>
        </w:rPr>
        <w:t xml:space="preserve">կշարունակվեն </w:t>
      </w:r>
      <w:r w:rsidRPr="00375954">
        <w:rPr>
          <w:rFonts w:eastAsia="Times New Roman" w:cs="Arial"/>
          <w:iCs/>
          <w:lang w:val="hy-AM"/>
        </w:rPr>
        <w:t>կառուցվ</w:t>
      </w:r>
      <w:r w:rsidRPr="00375954">
        <w:rPr>
          <w:rFonts w:cs="Arial"/>
          <w:iCs/>
          <w:lang w:val="hy-AM"/>
        </w:rPr>
        <w:t xml:space="preserve">ել </w:t>
      </w:r>
      <w:r w:rsidRPr="00375954">
        <w:rPr>
          <w:rFonts w:eastAsia="Times New Roman" w:cs="Arial"/>
          <w:iCs/>
          <w:lang w:val="hy-AM"/>
        </w:rPr>
        <w:t>և հիմնանորոգվե</w:t>
      </w:r>
      <w:r w:rsidRPr="00375954">
        <w:rPr>
          <w:rFonts w:cs="Arial"/>
          <w:iCs/>
          <w:lang w:val="hy-AM"/>
        </w:rPr>
        <w:t>լ</w:t>
      </w:r>
      <w:r w:rsidRPr="00375954">
        <w:rPr>
          <w:rFonts w:eastAsia="Times New Roman" w:cs="Arial"/>
          <w:iCs/>
          <w:lang w:val="hy-AM"/>
        </w:rPr>
        <w:t xml:space="preserve"> մարզական օբյեկտներ, ինչպես նաև </w:t>
      </w:r>
      <w:r w:rsidRPr="00375954">
        <w:rPr>
          <w:rFonts w:cs="Arial"/>
          <w:iCs/>
          <w:lang w:val="hy-AM"/>
        </w:rPr>
        <w:t>կ</w:t>
      </w:r>
      <w:r w:rsidRPr="00375954">
        <w:rPr>
          <w:rFonts w:eastAsia="Times New Roman" w:cs="Arial"/>
          <w:iCs/>
          <w:lang w:val="hy-AM"/>
        </w:rPr>
        <w:t>բարելավ</w:t>
      </w:r>
      <w:r w:rsidRPr="00375954">
        <w:rPr>
          <w:rFonts w:cs="Arial"/>
          <w:iCs/>
          <w:lang w:val="hy-AM"/>
        </w:rPr>
        <w:t xml:space="preserve">վեն </w:t>
      </w:r>
      <w:r w:rsidRPr="00375954">
        <w:rPr>
          <w:rFonts w:eastAsia="Times New Roman" w:cs="Arial"/>
          <w:iCs/>
          <w:lang w:val="hy-AM"/>
        </w:rPr>
        <w:t>համայնքային մարզական հաստատությունների շենքային պայմանները։</w:t>
      </w:r>
    </w:p>
    <w:p w14:paraId="6D78CC68" w14:textId="77777777" w:rsidR="002E4192" w:rsidRPr="00375954" w:rsidRDefault="002E4192" w:rsidP="004247C0">
      <w:pPr>
        <w:tabs>
          <w:tab w:val="left" w:pos="0"/>
        </w:tabs>
        <w:spacing w:before="120" w:after="0" w:line="276" w:lineRule="auto"/>
        <w:ind w:firstLine="0"/>
        <w:rPr>
          <w:rFonts w:eastAsia="Times New Roman" w:cs="Arial"/>
          <w:iCs/>
          <w:lang w:val="hy-AM"/>
        </w:rPr>
      </w:pPr>
      <w:r w:rsidRPr="00375954">
        <w:rPr>
          <w:rFonts w:eastAsia="Times New Roman" w:cs="Arial"/>
          <w:iCs/>
          <w:lang w:val="hy-AM"/>
        </w:rPr>
        <w:t>Մեծ  նվաճումների սպորտ ծրագրի նպատակն է նպաստել Հայաստանում մեծ սպորտի շարունակական զարգացմանը և միջազգային հարթակներում ՀՀ դիրքի բարելավմանը:</w:t>
      </w:r>
      <w:r w:rsidRPr="00375954">
        <w:rPr>
          <w:rFonts w:cs="Arial"/>
          <w:iCs/>
          <w:lang w:val="hy-AM"/>
        </w:rPr>
        <w:t xml:space="preserve"> </w:t>
      </w:r>
      <w:r w:rsidRPr="00375954">
        <w:rPr>
          <w:rFonts w:eastAsia="Times New Roman" w:cs="Arial"/>
          <w:iCs/>
          <w:lang w:val="hy-AM"/>
        </w:rPr>
        <w:t xml:space="preserve">Ծրագրի շրջանակներում մարզական ֆեդերացիաներին </w:t>
      </w:r>
      <w:r w:rsidRPr="00375954">
        <w:rPr>
          <w:rFonts w:cs="Arial"/>
          <w:iCs/>
          <w:lang w:val="hy-AM"/>
        </w:rPr>
        <w:t xml:space="preserve">կշարունակվի </w:t>
      </w:r>
      <w:r w:rsidRPr="00375954">
        <w:rPr>
          <w:rFonts w:eastAsia="Times New Roman" w:cs="Arial"/>
          <w:iCs/>
          <w:lang w:val="hy-AM"/>
        </w:rPr>
        <w:t>տրամադր</w:t>
      </w:r>
      <w:r w:rsidRPr="00375954">
        <w:rPr>
          <w:rFonts w:cs="Arial"/>
          <w:iCs/>
          <w:lang w:val="hy-AM"/>
        </w:rPr>
        <w:t xml:space="preserve">ել </w:t>
      </w:r>
      <w:r w:rsidRPr="00375954">
        <w:rPr>
          <w:rFonts w:eastAsia="Times New Roman" w:cs="Arial"/>
          <w:iCs/>
          <w:lang w:val="hy-AM"/>
        </w:rPr>
        <w:t xml:space="preserve">աջակցություն ՀՀ առաջնություններին և միջազգային մարզական միջոցառումներին ՀՀ հավաքական թիմերի մասնակցության նպատակով, ինչպես նաև </w:t>
      </w:r>
      <w:r w:rsidRPr="00375954">
        <w:rPr>
          <w:rFonts w:cs="Arial"/>
          <w:iCs/>
          <w:lang w:val="hy-AM"/>
        </w:rPr>
        <w:t xml:space="preserve">կշարունակվի </w:t>
      </w:r>
      <w:r w:rsidRPr="00375954">
        <w:rPr>
          <w:rFonts w:eastAsia="Times New Roman" w:cs="Arial"/>
          <w:iCs/>
          <w:lang w:val="hy-AM"/>
        </w:rPr>
        <w:t>աջակցությ</w:t>
      </w:r>
      <w:r w:rsidRPr="00375954">
        <w:rPr>
          <w:rFonts w:cs="Arial"/>
          <w:iCs/>
          <w:lang w:val="hy-AM"/>
        </w:rPr>
        <w:t xml:space="preserve">ան տրամադրումը </w:t>
      </w:r>
      <w:r w:rsidRPr="00375954">
        <w:rPr>
          <w:rFonts w:eastAsia="Times New Roman" w:cs="Arial"/>
          <w:iCs/>
          <w:lang w:val="hy-AM"/>
        </w:rPr>
        <w:t>հայ մարզիկներին՝ նվաճումներ արձանագրած մարզիկներ</w:t>
      </w:r>
      <w:r w:rsidRPr="00375954">
        <w:rPr>
          <w:rFonts w:cs="Arial"/>
          <w:iCs/>
          <w:lang w:val="hy-AM"/>
        </w:rPr>
        <w:t>ի</w:t>
      </w:r>
      <w:r w:rsidRPr="00375954">
        <w:rPr>
          <w:rFonts w:eastAsia="Times New Roman" w:cs="Arial"/>
          <w:iCs/>
          <w:lang w:val="hy-AM"/>
        </w:rPr>
        <w:t xml:space="preserve"> և վերջիններիս մարզիչներ</w:t>
      </w:r>
      <w:r w:rsidRPr="00375954">
        <w:rPr>
          <w:rFonts w:cs="Arial"/>
          <w:iCs/>
          <w:lang w:val="hy-AM"/>
        </w:rPr>
        <w:t>ի</w:t>
      </w:r>
      <w:r w:rsidRPr="00375954">
        <w:rPr>
          <w:rFonts w:eastAsia="Times New Roman" w:cs="Arial"/>
          <w:iCs/>
          <w:lang w:val="hy-AM"/>
        </w:rPr>
        <w:t xml:space="preserve"> և բժիշկներ</w:t>
      </w:r>
      <w:r w:rsidRPr="00375954">
        <w:rPr>
          <w:rFonts w:cs="Arial"/>
          <w:iCs/>
          <w:lang w:val="hy-AM"/>
        </w:rPr>
        <w:t xml:space="preserve">ի նյութական </w:t>
      </w:r>
      <w:r w:rsidRPr="00BA3A66">
        <w:rPr>
          <w:rFonts w:cs="Arial"/>
          <w:iCs/>
          <w:lang w:val="hy-AM"/>
        </w:rPr>
        <w:t>խրախուս</w:t>
      </w:r>
      <w:r w:rsidRPr="00375954">
        <w:rPr>
          <w:rFonts w:cs="Arial"/>
          <w:iCs/>
          <w:lang w:val="hy-AM"/>
        </w:rPr>
        <w:t>ումները</w:t>
      </w:r>
      <w:r w:rsidRPr="00375954">
        <w:rPr>
          <w:rFonts w:eastAsia="Times New Roman" w:cs="Arial"/>
          <w:iCs/>
          <w:lang w:val="hy-AM"/>
        </w:rPr>
        <w:t>:</w:t>
      </w:r>
    </w:p>
    <w:p w14:paraId="08E4C532" w14:textId="77777777" w:rsidR="002E4192" w:rsidRPr="0092160E" w:rsidRDefault="002E4192" w:rsidP="004247C0">
      <w:pPr>
        <w:tabs>
          <w:tab w:val="left" w:pos="0"/>
        </w:tabs>
        <w:spacing w:before="120" w:after="0" w:line="276" w:lineRule="auto"/>
        <w:ind w:firstLine="0"/>
        <w:rPr>
          <w:rFonts w:eastAsia="Calibri"/>
          <w:b/>
          <w:lang w:val="hy-AM"/>
        </w:rPr>
      </w:pPr>
      <w:r w:rsidRPr="0092160E">
        <w:rPr>
          <w:rFonts w:eastAsia="Calibri"/>
          <w:b/>
          <w:lang w:val="hy-AM"/>
        </w:rPr>
        <w:t>Երիտասարդության ոլորտ</w:t>
      </w:r>
    </w:p>
    <w:p w14:paraId="4B6DD43F" w14:textId="77777777" w:rsidR="002E4192" w:rsidRPr="0092160E" w:rsidRDefault="002E4192" w:rsidP="004247C0">
      <w:pPr>
        <w:tabs>
          <w:tab w:val="left" w:pos="0"/>
        </w:tabs>
        <w:spacing w:before="120" w:after="0" w:line="276" w:lineRule="auto"/>
        <w:ind w:firstLine="0"/>
        <w:rPr>
          <w:rFonts w:eastAsia="Calibri" w:cs="Sylfaen"/>
          <w:kern w:val="16"/>
          <w:lang w:val="hy-AM"/>
        </w:rPr>
      </w:pPr>
      <w:r w:rsidRPr="0092160E">
        <w:rPr>
          <w:rFonts w:eastAsia="Calibri" w:cs="Sylfaen"/>
          <w:kern w:val="16"/>
          <w:lang w:val="hy-AM"/>
        </w:rPr>
        <w:t xml:space="preserve">Երիտասարդական պետական քաղաքականությունն ուղղված է երիտասարդության մասնակցության, սոցիալականացման և ինքնաիրացման համար անհրաժեշտ պայմանների </w:t>
      </w:r>
      <w:r w:rsidRPr="0092160E">
        <w:rPr>
          <w:rFonts w:eastAsia="Calibri" w:cs="Sylfaen"/>
          <w:kern w:val="16"/>
          <w:lang w:val="hy-AM"/>
        </w:rPr>
        <w:lastRenderedPageBreak/>
        <w:t>ստեղծմանը, երիտասարդության ներուժի ներգրավմանն ու դրա զարգացմանը` նպաստելով Հայաստանի Հանրապետության ազգային անվտանգության ամրապնդմանը, սոցիալ-տնտեսական ու մշակութային զարգացմանը:</w:t>
      </w:r>
    </w:p>
    <w:p w14:paraId="4F7460DC" w14:textId="77777777" w:rsidR="002E4192" w:rsidRPr="0092160E" w:rsidRDefault="002E4192" w:rsidP="004247C0">
      <w:pPr>
        <w:tabs>
          <w:tab w:val="left" w:pos="0"/>
        </w:tabs>
        <w:spacing w:before="120" w:after="0" w:line="276" w:lineRule="auto"/>
        <w:ind w:firstLine="0"/>
        <w:rPr>
          <w:rFonts w:eastAsia="Calibri" w:cs="Sylfaen"/>
          <w:kern w:val="16"/>
          <w:lang w:val="hy-AM"/>
        </w:rPr>
      </w:pPr>
      <w:r w:rsidRPr="00375954">
        <w:rPr>
          <w:rFonts w:eastAsia="Calibri" w:cs="Sylfaen"/>
          <w:kern w:val="16"/>
          <w:lang w:val="hy-AM"/>
        </w:rPr>
        <w:t>Երիտասարդության ծրագրի նպատակն է նպաստել սոցիալ-տնտեսական, քաղաքական և մշակութային կյանքին երիտասարդների լիարժեք ներգրավմանը և նրանց ստեղծագործական ներուժի ամբողջական դրսևորմանը</w:t>
      </w:r>
      <w:r w:rsidRPr="0092160E">
        <w:rPr>
          <w:rFonts w:eastAsia="Calibri" w:cs="Sylfaen"/>
          <w:kern w:val="16"/>
          <w:lang w:val="hy-AM"/>
        </w:rPr>
        <w:t>:</w:t>
      </w:r>
      <w:r w:rsidRPr="00375954">
        <w:rPr>
          <w:rFonts w:eastAsia="Calibri" w:cs="Sylfaen"/>
          <w:kern w:val="16"/>
          <w:lang w:val="hy-AM"/>
        </w:rPr>
        <w:t xml:space="preserve"> Միջնաժամկետ հատվածում </w:t>
      </w:r>
      <w:r w:rsidRPr="0092160E">
        <w:rPr>
          <w:rFonts w:eastAsia="Calibri" w:cs="Sylfaen"/>
          <w:kern w:val="16"/>
          <w:lang w:val="hy-AM"/>
        </w:rPr>
        <w:t>երիտասարդական պետական քաղաքականության հիմնական թիրախներն են</w:t>
      </w:r>
      <w:r w:rsidRPr="0045778F">
        <w:rPr>
          <w:rFonts w:eastAsia="Calibri" w:cs="Sylfaen"/>
          <w:kern w:val="16"/>
          <w:lang w:val="hy-AM"/>
        </w:rPr>
        <w:t xml:space="preserve"> </w:t>
      </w:r>
      <w:r w:rsidRPr="00375954">
        <w:rPr>
          <w:rFonts w:eastAsia="Calibri" w:cs="Sylfaen"/>
          <w:kern w:val="16"/>
          <w:lang w:val="hy-AM"/>
        </w:rPr>
        <w:t>տ</w:t>
      </w:r>
      <w:r w:rsidRPr="0092160E">
        <w:rPr>
          <w:rFonts w:eastAsia="Calibri" w:cs="Sylfaen"/>
          <w:kern w:val="16"/>
          <w:lang w:val="hy-AM"/>
        </w:rPr>
        <w:t>արբեր ծրագրերի և միջոցառումների միջոցով ընդլայնել երիտասարդների մասնակցությունը հասարակական կյանքին, խթանել երիտասարդության շրջանում առողջ ապրելակերպը, հոգևոր-մշակութային, հայրենասիրական դաստիարակությունը, մեծացնել երիտասարդների զբաղվածության հնարավորությունները։</w:t>
      </w:r>
    </w:p>
    <w:p w14:paraId="6F9B2B4D" w14:textId="77777777" w:rsidR="0035214A" w:rsidRDefault="0035214A"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61" w:name="_Toc45838542"/>
      <w:bookmarkStart w:id="162" w:name="_Toc45637518"/>
    </w:p>
    <w:p w14:paraId="21C54FCF" w14:textId="65224AC4" w:rsidR="00080175" w:rsidRPr="00B62F10" w:rsidRDefault="00080175" w:rsidP="004247C0">
      <w:pPr>
        <w:pStyle w:val="Heading3"/>
        <w:keepNext w:val="0"/>
        <w:keepLines w:val="0"/>
        <w:tabs>
          <w:tab w:val="left" w:pos="0"/>
        </w:tabs>
        <w:spacing w:before="120" w:after="0" w:line="276" w:lineRule="auto"/>
        <w:contextualSpacing w:val="0"/>
        <w:jc w:val="both"/>
        <w:rPr>
          <w:b w:val="0"/>
          <w:sz w:val="28"/>
          <w:szCs w:val="28"/>
        </w:rPr>
      </w:pPr>
      <w:bookmarkStart w:id="163" w:name="_Toc170926322"/>
      <w:r w:rsidRPr="001023D9">
        <w:rPr>
          <w:rFonts w:eastAsia="Times New Roman" w:cs="Times New Roman"/>
          <w:b w:val="0"/>
          <w:caps w:val="0"/>
          <w:color w:val="44546A" w:themeColor="text2"/>
          <w:sz w:val="24"/>
          <w:szCs w:val="24"/>
        </w:rPr>
        <w:t>2. ԱՌՈՂՋԱՊԱՀՈՒԹՅՈՒՆ</w:t>
      </w:r>
      <w:bookmarkEnd w:id="158"/>
      <w:bookmarkEnd w:id="159"/>
      <w:bookmarkEnd w:id="160"/>
      <w:bookmarkEnd w:id="161"/>
      <w:bookmarkEnd w:id="162"/>
      <w:bookmarkEnd w:id="163"/>
    </w:p>
    <w:p w14:paraId="7D5080CA" w14:textId="6744FC17" w:rsidR="001023D9" w:rsidRPr="00375954"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Առողջապահության ոլորտը` որպես սոցիալական կարևոր ոլորտ հանդիսան</w:t>
      </w:r>
      <w:r w:rsidRPr="00375954">
        <w:rPr>
          <w:rFonts w:eastAsia="Calibri" w:cs="GHEA Grapalat"/>
          <w:lang w:val="hy-AM"/>
        </w:rPr>
        <w:t>ում է</w:t>
      </w:r>
      <w:r w:rsidRPr="003567F7">
        <w:rPr>
          <w:rFonts w:eastAsia="Calibri" w:cs="GHEA Grapalat"/>
          <w:lang w:val="hy-AM"/>
        </w:rPr>
        <w:t xml:space="preserve"> ՀՀ պետական քաղաքականության գերակա ուղղություններից մեկը</w:t>
      </w:r>
      <w:r w:rsidRPr="00375954">
        <w:rPr>
          <w:rFonts w:eastAsia="Calibri" w:cs="GHEA Grapalat"/>
          <w:lang w:val="hy-AM"/>
        </w:rPr>
        <w:t xml:space="preserve">: </w:t>
      </w:r>
      <w:r w:rsidRPr="0091295F">
        <w:rPr>
          <w:rFonts w:eastAsia="Calibri" w:cs="GHEA Grapalat"/>
          <w:lang w:val="hy-AM"/>
        </w:rPr>
        <w:t>Միջնաժամկետ հատվածում առողջապահության ոլորտում պետության քաղաքականությունն ուղղված է լինելու անհատի և  հանրային առողջության պահպանմանն ու բարելավմանն` ապահովելով հասանելի, արդիական, բարձր որակի առողջապահական ծառայությունների մատուցումը: Քաղաքացիների համար առողջապահական ծառայությունների հասանելիությունն ու   մատչելիությունն ապահով</w:t>
      </w:r>
      <w:r w:rsidR="00B96769">
        <w:rPr>
          <w:rFonts w:eastAsia="Calibri" w:cs="GHEA Grapalat"/>
          <w:lang w:val="hy-AM"/>
        </w:rPr>
        <w:t>ելու</w:t>
      </w:r>
      <w:r w:rsidRPr="0091295F">
        <w:rPr>
          <w:rFonts w:eastAsia="Calibri" w:cs="GHEA Grapalat"/>
          <w:lang w:val="hy-AM"/>
        </w:rPr>
        <w:t xml:space="preserve"> նպատակով քննարկվում է 2025 թվականին առողջության համապարփակ ապահովագրության համակարգ</w:t>
      </w:r>
      <w:r>
        <w:rPr>
          <w:rFonts w:eastAsia="Calibri" w:cs="GHEA Grapalat"/>
          <w:lang w:val="hy-AM"/>
        </w:rPr>
        <w:t>ն</w:t>
      </w:r>
      <w:r w:rsidRPr="0091295F">
        <w:rPr>
          <w:rFonts w:eastAsia="Calibri" w:cs="GHEA Grapalat"/>
          <w:lang w:val="hy-AM"/>
        </w:rPr>
        <w:t xml:space="preserve"> աստիճանաբար ներդրնելու հարցը, որն ուղղված է լինելու առողջապահական ծառայություններ ստանալու պահին քաղաքացու համար զգալի ծախսերի նվազեցմանը: Այդ նպատակով առողջապահության ոլորտի ծախսերը միջնաժամկետ հատվածում գրեթե կկրկնապատկվեն՝ 2027թ հասնելով շուրջ 296.3 մլրդ դրամի՝ 2023թ. 169.9 մլրդ դրամի դիմաց:</w:t>
      </w:r>
    </w:p>
    <w:p w14:paraId="1469D253"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Պետական առողջապահական ծախսերի նպատակայնության հետևողական բարձրացման, շարունակական բարելավման շնորհիվ առողջապահական համակարգի շահառուն ստիպված չի լինի հավելյալ վճարել պետության կողմից անվճար և արտոնյալ պայմաններով մատուցվող ծառայությունների համար և կստանա որակյալ բժշկական օգնություն և ծառայություններ: Անվճար բժշկական օգնությունը պետք է տրամադրվի միայն սոցիալական արդարության սկզբունքի հիման վրա: Միաժամանակ պետությունը պետք է կանգնած լինի անհետաձգելի բժշկական օգնության կարիք ունեցող ցանկացած մարդու կողքին:</w:t>
      </w:r>
    </w:p>
    <w:p w14:paraId="3AB68741"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Ոլորտային քաղաքականության հիմնական թիրախներն ու նպատակային ծրագրերն են.</w:t>
      </w:r>
    </w:p>
    <w:p w14:paraId="076F9EEF" w14:textId="77777777" w:rsidR="001023D9" w:rsidRPr="00512140" w:rsidRDefault="001023D9"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Բնակչության առողջության առաջնային պահպանում</w:t>
      </w:r>
    </w:p>
    <w:p w14:paraId="6030F3E4" w14:textId="77777777" w:rsidR="001023D9" w:rsidRPr="00512140" w:rsidRDefault="001023D9"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Սոցիալապես անապահով և առանձին (հատուկ) խմբերի անձանց բժշկական օգնություն </w:t>
      </w:r>
    </w:p>
    <w:p w14:paraId="51094D17" w14:textId="77777777" w:rsidR="001023D9" w:rsidRPr="00512140" w:rsidRDefault="001023D9"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Վարակիչ և ոչ վարակիչ հիվանդությունների բժշկական օգնության  ապահովում</w:t>
      </w:r>
    </w:p>
    <w:p w14:paraId="6CDF4E55" w14:textId="77777777" w:rsidR="001023D9" w:rsidRPr="00512140" w:rsidRDefault="001023D9"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Մոր և մանկան առողջության պահպանում </w:t>
      </w:r>
    </w:p>
    <w:p w14:paraId="4DCD110F" w14:textId="77777777" w:rsidR="001023D9" w:rsidRPr="00A71E1F" w:rsidRDefault="001023D9" w:rsidP="004247C0">
      <w:pPr>
        <w:numPr>
          <w:ilvl w:val="0"/>
          <w:numId w:val="24"/>
        </w:numPr>
        <w:tabs>
          <w:tab w:val="left" w:pos="0"/>
          <w:tab w:val="left" w:pos="284"/>
        </w:tabs>
        <w:autoSpaceDE w:val="0"/>
        <w:autoSpaceDN w:val="0"/>
        <w:adjustRightInd w:val="0"/>
        <w:spacing w:before="120" w:after="0" w:line="276" w:lineRule="auto"/>
        <w:ind w:firstLine="0"/>
        <w:rPr>
          <w:rFonts w:eastAsia="Calibri" w:cs="GHEA Grapalat"/>
          <w:lang w:val="hy-AM"/>
        </w:rPr>
      </w:pPr>
      <w:r w:rsidRPr="00512140">
        <w:rPr>
          <w:rFonts w:cs="GHEA Grapalat"/>
          <w:lang w:val="hy-AM"/>
        </w:rPr>
        <w:t>Հանրային առողջության</w:t>
      </w:r>
      <w:r w:rsidRPr="00A71E1F">
        <w:rPr>
          <w:rFonts w:eastAsia="Calibri" w:cs="GHEA Grapalat"/>
          <w:lang w:val="hy-AM"/>
        </w:rPr>
        <w:t xml:space="preserve"> պահպանում </w:t>
      </w:r>
    </w:p>
    <w:p w14:paraId="4F1441CB"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 xml:space="preserve">Բնակչության առողջության առաջնային պահպանումը միջնաժամկետ հեռանկարում շարունակելու է մնալ ռազմավարական կարևոր ուղղություն: Միջնաժամկետ հատվածում </w:t>
      </w:r>
      <w:r w:rsidRPr="003567F7">
        <w:rPr>
          <w:rFonts w:eastAsia="Calibri" w:cs="GHEA Grapalat"/>
          <w:lang w:val="hy-AM"/>
        </w:rPr>
        <w:lastRenderedPageBreak/>
        <w:t>շարունակականորեն ապահովելով առաջնային օղակի դերի բարձրացումը և մատուցվող ծառայությունների որակի բարելավումը` ապահովվելու է որակյալ և մատչելի առաջնային բուժօգնություն, ինչպես նաև սոցիալական արդարության և հավասարության սկզբունքներ հանրապետության ողջ բնակչության համար` անկախ սեռից ու տարիքից:</w:t>
      </w:r>
    </w:p>
    <w:p w14:paraId="572CDE50"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 xml:space="preserve">Բնակչության սոցիալապես անապահով և առանձին (հատուկ) խմբերում ընդգրկված անձանց անվճար կամ արտոնյալ պայմաններով հիվանդանոցային/մասնագիտացված անհրաժեշտ բժշկական օգնության և սպասարկման ապահովումը շարունակելու է մնալ ՀՀ կառավարության ուշադրության կենտրոնում: </w:t>
      </w:r>
    </w:p>
    <w:p w14:paraId="6F598D88"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Վարակիչ և ոչ վարակիչ հիվանդությունների կանխարգելումը ռազմավարական մեկ այլ կարևոր նպատակ է, որի շրջանակներում ապահովվելու է առավել տարածված ոչ վարակիչ հիվանդությունների վաղ հայտնաբերման, ախտորոշման ու կանխարգելման ճանապարհով բնակչության առողջության հիմնական ցուցանիշների բարելավումը և այդ հիվանդությունների բարդությունների, հաշմանդամության և մահացության ցուցանիշների կրճատումը, ինչպես նաև վարակիչ հիվանդություններով հիվանդացության նվազեցումը, կառավարելի վարակիչ հիվանդություններից մահվան դեպքերի կանխումը և վարակիչ հիվանդությունների նկատմամբ բնակչության անընկալության ապահովումը:</w:t>
      </w:r>
    </w:p>
    <w:p w14:paraId="59979EE1" w14:textId="77777777"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 xml:space="preserve">Առողջապահության </w:t>
      </w:r>
      <w:r w:rsidRPr="00375954">
        <w:rPr>
          <w:rFonts w:eastAsia="Calibri" w:cs="GHEA Grapalat"/>
          <w:lang w:val="hy-AM"/>
        </w:rPr>
        <w:t xml:space="preserve">ոլորտի </w:t>
      </w:r>
      <w:r w:rsidRPr="003567F7">
        <w:rPr>
          <w:rFonts w:eastAsia="Calibri" w:cs="GHEA Grapalat"/>
          <w:lang w:val="hy-AM"/>
        </w:rPr>
        <w:t>հիմնական խնդիրներից է հանրապետությունում ուռուցքաբանական ծառայությունների շարունակական բարելավումը: Ուռուցքաբանական վիրահատությունների գների վերանայման, ճառագայթային բուժման դեպքերի, քիմիաթերապիայի դեղերի ցանկի ընդլայնման և պետության կողմից երաշխավորված անվճար պալիատիվ ծառայության ներդրման միջոցով ուռուցքաբանական հիվանդություններով հիվանդ քաղաքացիներին մատուցվելու են որակյալ բժշկական օգնության և սպասարկման ծառայություններ:</w:t>
      </w:r>
    </w:p>
    <w:p w14:paraId="28B6FCF9" w14:textId="792A2F8F" w:rsidR="001023D9" w:rsidRPr="003567F7"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 xml:space="preserve">Նոր տեխնոլոգիաների կիրառմամբ </w:t>
      </w:r>
      <w:r w:rsidRPr="00375954">
        <w:rPr>
          <w:rFonts w:eastAsia="Calibri" w:cs="GHEA Grapalat"/>
          <w:lang w:val="hy-AM"/>
        </w:rPr>
        <w:t xml:space="preserve">կշարունակվեն </w:t>
      </w:r>
      <w:r w:rsidRPr="003567F7">
        <w:rPr>
          <w:rFonts w:eastAsia="Calibri" w:cs="GHEA Grapalat"/>
          <w:lang w:val="hy-AM"/>
        </w:rPr>
        <w:t>իրականացվել մարդու օրգանների (երիկամ և լյարդ) և ոսկրածուծի/ցողունային բջիջների փոխպատվաստման ծառայություններ</w:t>
      </w:r>
      <w:r w:rsidRPr="00375954">
        <w:rPr>
          <w:rFonts w:eastAsia="Calibri" w:cs="GHEA Grapalat"/>
          <w:lang w:val="hy-AM"/>
        </w:rPr>
        <w:t>ի մատուցումը</w:t>
      </w:r>
      <w:r w:rsidRPr="003567F7">
        <w:rPr>
          <w:rFonts w:eastAsia="Calibri" w:cs="GHEA Grapalat"/>
          <w:lang w:val="hy-AM"/>
        </w:rPr>
        <w:t xml:space="preserve">, որոնք </w:t>
      </w:r>
      <w:r w:rsidRPr="00375954">
        <w:rPr>
          <w:rFonts w:eastAsia="Calibri" w:cs="GHEA Grapalat"/>
          <w:lang w:val="hy-AM"/>
        </w:rPr>
        <w:t>կ</w:t>
      </w:r>
      <w:r w:rsidRPr="003567F7">
        <w:rPr>
          <w:rFonts w:eastAsia="Calibri" w:cs="GHEA Grapalat"/>
          <w:lang w:val="hy-AM"/>
        </w:rPr>
        <w:t>բարելավեն քրոնիկ երիկամային և լյարդային անբավար</w:t>
      </w:r>
      <w:r w:rsidR="00B96769">
        <w:rPr>
          <w:rFonts w:eastAsia="Calibri" w:cs="GHEA Grapalat"/>
          <w:lang w:val="hy-AM"/>
        </w:rPr>
        <w:t>ար</w:t>
      </w:r>
      <w:r w:rsidRPr="003567F7">
        <w:rPr>
          <w:rFonts w:eastAsia="Calibri" w:cs="GHEA Grapalat"/>
          <w:lang w:val="hy-AM"/>
        </w:rPr>
        <w:t>ությամբ ու արյան չարորակ հիվանդություններով տառապող անձանց կյանքի որակ</w:t>
      </w:r>
      <w:r w:rsidRPr="00375954">
        <w:rPr>
          <w:rFonts w:eastAsia="Calibri" w:cs="GHEA Grapalat"/>
          <w:lang w:val="hy-AM"/>
        </w:rPr>
        <w:t>ը</w:t>
      </w:r>
      <w:r w:rsidRPr="003567F7">
        <w:rPr>
          <w:rFonts w:eastAsia="Calibri" w:cs="GHEA Grapalat"/>
          <w:lang w:val="hy-AM"/>
        </w:rPr>
        <w:t xml:space="preserve"> և տևողությ</w:t>
      </w:r>
      <w:r w:rsidRPr="00375954">
        <w:rPr>
          <w:rFonts w:eastAsia="Calibri" w:cs="GHEA Grapalat"/>
          <w:lang w:val="hy-AM"/>
        </w:rPr>
        <w:t>ունը</w:t>
      </w:r>
      <w:r w:rsidRPr="003567F7">
        <w:rPr>
          <w:rFonts w:eastAsia="Calibri" w:cs="GHEA Grapalat"/>
          <w:lang w:val="hy-AM"/>
        </w:rPr>
        <w:t>:</w:t>
      </w:r>
    </w:p>
    <w:p w14:paraId="0F13B121" w14:textId="77777777" w:rsidR="001023D9" w:rsidRPr="00714371"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Մոր և մանկան առողջությունը շարունակելու է առանցքային դեր խաղալ պետական քաղաքականության մեջ: Հղիների նախածննդյան և ծննդյան որակյալ բուժօգնության տրամադրման, կանանց, հղիների և նորածինների լայնածավալ սքրինինգային ծրագրերի, կանանց համար մեծ ռիսկ ներկայացնող հիվանդությունների դեպքերի վաղ հայտնաբերման ու կանխարգելման, երեխաների պատվաստումներում ընդգրկվածության մեծացման արդյունքում ակնկալվում է զգալի կրճատել մանկական և մայրական մահացության ցուցանիշները</w:t>
      </w:r>
      <w:r>
        <w:rPr>
          <w:rFonts w:eastAsia="Calibri" w:cs="GHEA Grapalat"/>
          <w:lang w:val="hy-AM"/>
        </w:rPr>
        <w:t xml:space="preserve">, </w:t>
      </w:r>
      <w:r w:rsidRPr="00714371">
        <w:rPr>
          <w:rFonts w:eastAsia="Calibri" w:cs="GHEA Grapalat"/>
          <w:lang w:val="hy-AM"/>
        </w:rPr>
        <w:t>սկրինինգային ծրագրերի իրականացումը, ծննդօգնության և վերարտադրողական առողջության ծառայությունների անհրաժեշտ ծավալների ու մատչելիության ապահովումը` ուղղված մայրական, շուրջծննդյան (պերինատալ) հիվանդացության ու մահացության ցուցանիշների նվազեցմանը, ինչպես նաև կանանց վերարտադրողական առողջության բարելավմանը:</w:t>
      </w:r>
    </w:p>
    <w:p w14:paraId="017EFC35" w14:textId="77777777" w:rsidR="001023D9" w:rsidRDefault="001023D9" w:rsidP="004247C0">
      <w:pPr>
        <w:tabs>
          <w:tab w:val="left" w:pos="0"/>
        </w:tabs>
        <w:spacing w:before="120" w:after="0" w:line="276" w:lineRule="auto"/>
        <w:ind w:firstLine="0"/>
        <w:rPr>
          <w:rFonts w:eastAsia="Calibri" w:cs="GHEA Grapalat"/>
          <w:lang w:val="hy-AM"/>
        </w:rPr>
      </w:pPr>
      <w:r w:rsidRPr="003567F7">
        <w:rPr>
          <w:rFonts w:eastAsia="Calibri" w:cs="GHEA Grapalat"/>
          <w:lang w:val="hy-AM"/>
        </w:rPr>
        <w:t xml:space="preserve">Մինչև 2030 թվականը նախատեսվում է վերջ դնել ՁԻԱՀ-ի, տուբերկուլյոզի, մալարիայի և անտեսված արևադարձային հիվանդությունների համաճարակներին և </w:t>
      </w:r>
      <w:r w:rsidRPr="00375954">
        <w:rPr>
          <w:rFonts w:eastAsia="Calibri" w:cs="GHEA Grapalat"/>
          <w:lang w:val="hy-AM"/>
        </w:rPr>
        <w:t xml:space="preserve">ավելի արդյունավետ </w:t>
      </w:r>
      <w:r w:rsidRPr="003567F7">
        <w:rPr>
          <w:rFonts w:eastAsia="Calibri" w:cs="GHEA Grapalat"/>
          <w:lang w:val="hy-AM"/>
        </w:rPr>
        <w:lastRenderedPageBreak/>
        <w:t xml:space="preserve">պայքարել հեպատիտի, ջրի միջոցով փոխանցվող հիվանդությունների և այլ վարակիչ հիվանդությունների դեմ: </w:t>
      </w:r>
    </w:p>
    <w:p w14:paraId="7F9E4016" w14:textId="77777777" w:rsidR="001023D9" w:rsidRPr="0091295F" w:rsidRDefault="001023D9" w:rsidP="004247C0">
      <w:pPr>
        <w:tabs>
          <w:tab w:val="left" w:pos="0"/>
        </w:tabs>
        <w:spacing w:before="120" w:after="0" w:line="276" w:lineRule="auto"/>
        <w:ind w:firstLine="0"/>
        <w:rPr>
          <w:rFonts w:eastAsia="Calibri" w:cs="GHEA Grapalat"/>
          <w:lang w:val="hy-AM"/>
        </w:rPr>
      </w:pPr>
      <w:r w:rsidRPr="0091295F">
        <w:rPr>
          <w:rFonts w:eastAsia="Calibri" w:cs="GHEA Grapalat"/>
          <w:lang w:val="hy-AM"/>
        </w:rPr>
        <w:t xml:space="preserve">Օժանդակող հարակից ծառայությունների միջոցով  </w:t>
      </w:r>
      <w:r>
        <w:rPr>
          <w:rFonts w:eastAsia="Calibri" w:cs="GHEA Grapalat"/>
          <w:lang w:val="hy-AM"/>
        </w:rPr>
        <w:t xml:space="preserve">շարունակվելու է </w:t>
      </w:r>
      <w:r w:rsidRPr="0091295F">
        <w:rPr>
          <w:rFonts w:eastAsia="Calibri" w:cs="GHEA Grapalat"/>
          <w:lang w:val="hy-AM"/>
        </w:rPr>
        <w:t>իրականացվ</w:t>
      </w:r>
      <w:r>
        <w:rPr>
          <w:rFonts w:eastAsia="Calibri" w:cs="GHEA Grapalat"/>
          <w:lang w:val="hy-AM"/>
        </w:rPr>
        <w:t>ել</w:t>
      </w:r>
      <w:r w:rsidRPr="0091295F">
        <w:rPr>
          <w:rFonts w:eastAsia="Calibri" w:cs="GHEA Grapalat"/>
          <w:lang w:val="hy-AM"/>
        </w:rPr>
        <w:t xml:space="preserve"> իրավապահ մարմինների և (կամ) ուժային կառույցների համապատասխան որոշումների հիման վրա դատաբժշկական փորձաքննությունները պարզելու համար՝ առողջությանը պատճառված վնասի աստիճանը,  մահվան պատճառը և վաղեմությունը (ժամկետը), մարմնական վնասվածքների առկայությունը, բնույթը, առաջացման մեխանիզմը և վաղեմությունը, թունավորումների առկայությունը:</w:t>
      </w:r>
    </w:p>
    <w:p w14:paraId="2166AB03" w14:textId="2ED90A9B" w:rsidR="00080175" w:rsidRDefault="00080175" w:rsidP="004247C0">
      <w:pPr>
        <w:tabs>
          <w:tab w:val="left" w:pos="0"/>
        </w:tabs>
        <w:spacing w:before="120" w:after="0" w:line="276" w:lineRule="auto"/>
        <w:ind w:firstLine="0"/>
        <w:rPr>
          <w:rFonts w:eastAsia="Calibri" w:cs="GHEA Grapalat"/>
          <w:lang w:val="hy-AM"/>
        </w:rPr>
      </w:pPr>
    </w:p>
    <w:p w14:paraId="5778A9DC" w14:textId="77777777" w:rsidR="0035214A" w:rsidRDefault="0035214A" w:rsidP="004247C0">
      <w:pPr>
        <w:tabs>
          <w:tab w:val="left" w:pos="0"/>
        </w:tabs>
        <w:spacing w:before="120" w:after="0" w:line="276" w:lineRule="auto"/>
        <w:ind w:firstLine="0"/>
        <w:rPr>
          <w:rFonts w:eastAsia="Calibri" w:cs="GHEA Grapalat"/>
          <w:lang w:val="hy-AM"/>
        </w:rPr>
      </w:pPr>
    </w:p>
    <w:p w14:paraId="7ABB5AD8"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64" w:name="_Toc45637519"/>
      <w:bookmarkStart w:id="165" w:name="_Toc45838543"/>
      <w:bookmarkStart w:id="166" w:name="_Toc13837343"/>
      <w:bookmarkStart w:id="167" w:name="_Toc170926323"/>
      <w:bookmarkStart w:id="168" w:name="_Toc393278786"/>
      <w:bookmarkStart w:id="169" w:name="_Toc170376012"/>
      <w:bookmarkStart w:id="170" w:name="_Toc170381656"/>
      <w:bookmarkStart w:id="171" w:name="_Toc137372564"/>
      <w:bookmarkStart w:id="172" w:name="_Toc107052565"/>
      <w:bookmarkStart w:id="173" w:name="_Toc137632979"/>
      <w:bookmarkStart w:id="174" w:name="_Toc170376094"/>
      <w:bookmarkStart w:id="175" w:name="_Toc137632970"/>
      <w:bookmarkStart w:id="176" w:name="_Toc47512281"/>
      <w:bookmarkStart w:id="177" w:name="_Toc47768572"/>
      <w:bookmarkStart w:id="178" w:name="_Toc266780821"/>
      <w:bookmarkEnd w:id="154"/>
      <w:bookmarkEnd w:id="155"/>
      <w:bookmarkEnd w:id="156"/>
      <w:bookmarkEnd w:id="157"/>
      <w:r w:rsidRPr="008A5E2F">
        <w:rPr>
          <w:rFonts w:eastAsia="Times New Roman" w:cs="Times New Roman"/>
          <w:b w:val="0"/>
          <w:caps w:val="0"/>
          <w:color w:val="44546A" w:themeColor="text2"/>
          <w:sz w:val="24"/>
          <w:szCs w:val="24"/>
        </w:rPr>
        <w:t>3. ՍՈՑԻԱԼԱԿԱՆ ՊԱՇՏՊԱՆՈՒԹՅՈՒՆ</w:t>
      </w:r>
      <w:bookmarkEnd w:id="164"/>
      <w:bookmarkEnd w:id="165"/>
      <w:bookmarkEnd w:id="166"/>
      <w:bookmarkEnd w:id="167"/>
    </w:p>
    <w:p w14:paraId="1590B7C6" w14:textId="77777777" w:rsidR="008E20BF" w:rsidRPr="00995904" w:rsidRDefault="008E20BF" w:rsidP="004247C0">
      <w:pPr>
        <w:tabs>
          <w:tab w:val="left" w:pos="0"/>
        </w:tabs>
        <w:spacing w:before="120" w:after="0" w:line="276" w:lineRule="auto"/>
        <w:ind w:firstLine="0"/>
        <w:rPr>
          <w:rFonts w:eastAsia="Calibri" w:cs="GHEA Grapalat"/>
          <w:lang w:val="hy-AM"/>
        </w:rPr>
      </w:pPr>
      <w:bookmarkStart w:id="179" w:name="_Toc45838544"/>
      <w:bookmarkStart w:id="180" w:name="_Toc45637520"/>
      <w:bookmarkStart w:id="181" w:name="_Toc13837348"/>
      <w:bookmarkEnd w:id="168"/>
      <w:r>
        <w:rPr>
          <w:rFonts w:eastAsia="Calibri" w:cs="GHEA Grapalat"/>
          <w:lang w:val="hy-AM"/>
        </w:rPr>
        <w:t xml:space="preserve">Սոցիալական պաշտպանությունը պատմականորեն հանդիսացել և շարունակում է հանդես գալ որպես պետական քաղաքականության գերակա ուղղություններից մեկը: Սոցիալական պաշտպանության ոլորտում պետական քաղաքականության հիմնական նպատակն է երկրում աղքատության մակարդակի էական կրճատումը, ժողովրդագրական իրավիճակի բարելավումն և ՀՀ </w:t>
      </w:r>
      <w:r w:rsidRPr="00995904">
        <w:rPr>
          <w:rFonts w:eastAsia="Calibri" w:cs="GHEA Grapalat"/>
          <w:lang w:val="hy-AM"/>
        </w:rPr>
        <w:t xml:space="preserve">բնակչության առանձին խմբերի համար սոցիալական երաշխիքների ապահովումը: Վերոհիշյալ նպատակին հասնելու համար սոցիալական պաշտպանության ոլորտում իրականացվում է լայնածավալ պետական միջամտություն: </w:t>
      </w:r>
    </w:p>
    <w:p w14:paraId="6BE6D289" w14:textId="77777777" w:rsidR="008E20BF" w:rsidRPr="00995904" w:rsidRDefault="008E20BF" w:rsidP="004247C0">
      <w:pPr>
        <w:tabs>
          <w:tab w:val="left" w:pos="0"/>
        </w:tabs>
        <w:spacing w:before="120" w:after="0" w:line="276" w:lineRule="auto"/>
        <w:ind w:firstLine="0"/>
        <w:rPr>
          <w:rFonts w:eastAsia="Calibri" w:cs="GHEA Grapalat"/>
          <w:lang w:val="hy-AM"/>
        </w:rPr>
      </w:pPr>
      <w:r w:rsidRPr="00995904">
        <w:rPr>
          <w:rFonts w:eastAsia="Calibri" w:cs="GHEA Grapalat"/>
          <w:lang w:val="hy-AM"/>
        </w:rPr>
        <w:t>Միջնաժամկետ հատվածում սոցիալական պաշտպանության ոլորտի պետական քաղաքականության հիմնական թիրախներն են.</w:t>
      </w:r>
    </w:p>
    <w:p w14:paraId="1127C709" w14:textId="77777777" w:rsidR="008E20BF" w:rsidRPr="00FA1F37"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A1F37">
        <w:rPr>
          <w:rFonts w:cs="GHEA Grapalat"/>
          <w:lang w:val="hy-AM"/>
        </w:rPr>
        <w:t>Ընտանիքների կենսամակարդակի բարձրացմանն ուղղված ծրագրերը, որոնց նպատակը սոցիալապես անապահով ընտանիքների և առանձին խմբերի ներկայացուցիչների թիրախային դրամական աջակցության տրամադրումն է: Ներդրվելու է ընտանիքների անապահովության գնահատման նոր համակարգ։</w:t>
      </w:r>
    </w:p>
    <w:p w14:paraId="3E0B6216" w14:textId="77777777" w:rsidR="008E20BF" w:rsidRPr="008B20C0"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A1F37">
        <w:rPr>
          <w:rFonts w:cs="GHEA Grapalat"/>
          <w:lang w:val="hy-AM"/>
        </w:rPr>
        <w:t>ժողովրդագրական իրավիճակի բարելավում: Այդ նպատակով նախատեսվում է կյանքի կոչել ծնելիության խրախուսման</w:t>
      </w:r>
      <w:r w:rsidRPr="008B20C0">
        <w:rPr>
          <w:rFonts w:cs="GHEA Grapalat"/>
          <w:lang w:val="hy-AM"/>
        </w:rPr>
        <w:t xml:space="preserve">, երիտասարդ և երեխաներ ունեցող ընտանիքների աջակցության ծրագրեր, իրագործել միջոցառումներ, որոնց արդյունքում ակնկալվում է, որ ծնելիության գումարային գործակիցը 1.55-ից կբարձրանա 1.65-ի: Կշարունակվի երեխա ունեցող ընտանիքների բնակարանային ապահովության պետական աջակցության ծրագրերը, </w:t>
      </w:r>
      <w:r w:rsidRPr="008B20C0">
        <w:rPr>
          <w:lang w:val="hy-AM"/>
        </w:rPr>
        <w:t xml:space="preserve">որի ժամկետը երկարաձգվել է </w:t>
      </w:r>
      <w:r w:rsidRPr="008B20C0">
        <w:rPr>
          <w:rFonts w:cs="GHEA Grapalat"/>
          <w:lang w:val="hy-AM"/>
        </w:rPr>
        <w:t>մինչև 2026 թվականը։</w:t>
      </w:r>
    </w:p>
    <w:p w14:paraId="55BEBA36" w14:textId="77777777" w:rsidR="008E20BF" w:rsidRPr="008B20C0"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337EF1">
        <w:rPr>
          <w:rFonts w:cs="GHEA Grapalat"/>
          <w:lang w:val="hy-AM"/>
        </w:rPr>
        <w:t>Նախատեսվում է 2025 թվականից ներդնել</w:t>
      </w:r>
      <w:r w:rsidRPr="008B20C0">
        <w:rPr>
          <w:rFonts w:cs="GHEA Grapalat"/>
          <w:lang w:val="hy-AM"/>
        </w:rPr>
        <w:t xml:space="preserve"> առողջության համապարփակ ապահովագրության համակարգը՝ միջնաժամկետ ժամանակահատվածում աստիճանաբար համակարգում ներառելով տարբեր սոցիալական խմբերի։ </w:t>
      </w:r>
    </w:p>
    <w:p w14:paraId="10FA89C1" w14:textId="77777777" w:rsidR="008E20BF" w:rsidRPr="008B20C0"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995904">
        <w:rPr>
          <w:rFonts w:cs="GHEA Grapalat"/>
          <w:lang w:val="hy-AM"/>
        </w:rPr>
        <w:t xml:space="preserve">Կշարունակվի անկանխիկ եղանակով վճարումներից կենսաթոշակառուներին հետվճարի տրամադրումը՝ 2026 թվականից ավելացնելով հետվճարի չափը։ </w:t>
      </w:r>
    </w:p>
    <w:p w14:paraId="7683664F" w14:textId="77777777" w:rsidR="008E20BF" w:rsidRPr="00995904"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995904">
        <w:rPr>
          <w:rFonts w:cs="GHEA Grapalat"/>
          <w:lang w:val="hy-AM"/>
        </w:rPr>
        <w:t>Հաշմանդամություն ունեցող անձանց իրավունքների իրացում՝ հնարավորինս բացառելով խտրականության դրսևորումը նրանց հանդեպ: Այդ նպատակով միջոցառումներն ուղղված կլինեն հաշմանդամություն ունեցող անձանց մատուցվող ծառայությունների հասցեականության և արդյունավետության բարձրացմանը:</w:t>
      </w:r>
    </w:p>
    <w:p w14:paraId="29F8E38E" w14:textId="77777777" w:rsidR="008E20BF" w:rsidRPr="00995904"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995904">
        <w:rPr>
          <w:rFonts w:cs="GHEA Grapalat"/>
          <w:lang w:val="hy-AM"/>
        </w:rPr>
        <w:lastRenderedPageBreak/>
        <w:t xml:space="preserve">Խրախուսել մասնավոր կազմակերպությունների մուտքը սոցիալական ծառայությունների մատուցման ոլորտ՝ ձևավորել մրցակցային միջավայր, ներդնել ֆինանսավորման այլընտրանքային մոդելներ, խթանել սոցիալական ծառայությունների բազմազանությունը։ </w:t>
      </w:r>
    </w:p>
    <w:p w14:paraId="4C3E85FE" w14:textId="77777777" w:rsidR="008E20BF" w:rsidRPr="00995904"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995904">
        <w:rPr>
          <w:rFonts w:cs="GHEA Grapalat"/>
          <w:lang w:val="hy-AM"/>
        </w:rPr>
        <w:t xml:space="preserve">Բնակչության աղքատ խավի շրջանում կրթության և աշխատանքի քաջալերում, գործարարությունը խթանող ծրագրերի իրականացում, զբաղվածության կարգավորման ծրագրերի հասցեականության բարձրացում, աշխատաշուկայում երիտասարդների, հաշմանդամություն ունեցող անձանց, կանանց մրցունակության բարձրացմանն ուղղված ծրագրերի իրականացում, գործազրկության մակարդակի նվազում: </w:t>
      </w:r>
      <w:r w:rsidRPr="008B20C0">
        <w:rPr>
          <w:rFonts w:cs="GHEA Grapalat"/>
          <w:lang w:val="hy-AM"/>
        </w:rPr>
        <w:t>Զբաղվածության բյուջետային ծրագրի շրջանակներում առաջնահերթության կարգով կիրականացվեն զբաղվածության ապահովման միջոցառումներ կյանքի դժվարին իրավիճակում հայտնված անձանց համար՝ պատերազմի մասնակիցների, 2020 թվակականի պատերազմական գործողությունների արդյունքում և 2023 թվականից Լեռնային Ղարաբաղից բռնի տեղահանված գործազուրկների, նպաստառու ընտանիքների գործազուրկների, ինչպես նաև այլ խմբերի համար։ Նպաստառու ընտանիքների գործազուրկների և կյանքի դժվարին իրավիճակում հայտնված այլ անձանց համար կիրականացվեն նաև ժամանակավոր զբաղվածության ապահովմանն ուղղված, ինչպես նաև Կառավարության ծրագրից և զբաղվածության ներկայում մշակվող ռազմավարությունից բխող այլ միջոցառումներ</w:t>
      </w:r>
      <w:r w:rsidRPr="00995904">
        <w:rPr>
          <w:rFonts w:cs="GHEA Grapalat"/>
          <w:lang w:val="hy-AM"/>
        </w:rPr>
        <w:t>։</w:t>
      </w:r>
    </w:p>
    <w:p w14:paraId="15A73F16" w14:textId="50276581" w:rsidR="008E20BF" w:rsidRPr="008B20C0" w:rsidRDefault="008E20BF"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8B20C0">
        <w:rPr>
          <w:rFonts w:cs="GHEA Grapalat"/>
          <w:lang w:val="hy-AM"/>
        </w:rPr>
        <w:t>Կշարունակվ</w:t>
      </w:r>
      <w:r w:rsidR="00B96769">
        <w:rPr>
          <w:rFonts w:cs="GHEA Grapalat"/>
          <w:lang w:val="hy-AM"/>
        </w:rPr>
        <w:t>են</w:t>
      </w:r>
      <w:r w:rsidRPr="008B20C0">
        <w:rPr>
          <w:rFonts w:cs="GHEA Grapalat"/>
          <w:lang w:val="hy-AM"/>
        </w:rPr>
        <w:t xml:space="preserve"> բնակարանային ապահովման ծրագրերը՝ այդ թվում նաև Լեռնային Ղարաբաղից</w:t>
      </w:r>
      <w:r w:rsidRPr="008B20C0">
        <w:rPr>
          <w:lang w:val="hy-AM"/>
        </w:rPr>
        <w:t xml:space="preserve"> առանձին շրջաններից տեղահանված ընտանիքների</w:t>
      </w:r>
      <w:r w:rsidRPr="008B20C0">
        <w:rPr>
          <w:rFonts w:cs="GHEA Grapalat"/>
          <w:lang w:val="hy-AM"/>
        </w:rPr>
        <w:t xml:space="preserve">, սահմանամերձ բնակավայրերում ընտանիքների բնակարանային մատչելիության ապահովման պետական </w:t>
      </w:r>
      <w:r w:rsidRPr="008B20C0">
        <w:rPr>
          <w:lang w:val="hy-AM"/>
        </w:rPr>
        <w:t xml:space="preserve">աջակցության տրամադրումը: </w:t>
      </w:r>
    </w:p>
    <w:p w14:paraId="4C2BF25A" w14:textId="77777777" w:rsidR="008E20BF" w:rsidRPr="008B20C0"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Sylfaen"/>
          <w:bCs/>
          <w:kern w:val="16"/>
          <w:lang w:val="hy-AM"/>
        </w:rPr>
      </w:pPr>
      <w:r w:rsidRPr="008B20C0">
        <w:rPr>
          <w:lang w:val="hy-AM"/>
        </w:rPr>
        <w:t>Կիրականացվի նաև Լեռնային Ղարաբաղից բռնի տեղահանվածներին օժանդակելու համար աջակցության ծրագրեր, որոնց հիմնական նպատակն է տեղահանված անձանց սոցիալական և տնտեսական ներառումը՝ Հայաստանի Հանրապետությունում</w:t>
      </w:r>
      <w:r w:rsidRPr="008B20C0">
        <w:rPr>
          <w:rFonts w:cs="Sylfaen"/>
          <w:bCs/>
          <w:kern w:val="16"/>
          <w:lang w:val="hy-AM"/>
        </w:rPr>
        <w:t xml:space="preserve"> երկարաժամկետ բնակության համար անհրաժեշտ պայմաններ ստեղծելու միջոցով։</w:t>
      </w:r>
    </w:p>
    <w:p w14:paraId="4CFD4BD9" w14:textId="77777777" w:rsidR="008E20BF" w:rsidRPr="00512140" w:rsidRDefault="008E20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Հետևողականորեն կանխարգելել երեխաների մուտքը մանկատներ, ապահովել նրանց ընտանիք վերադարձը, ինչպես նաև սահուն կերպով կազմակերպել մանկատնից դուրս եկող երիտասարդների անկախ կյանքի կազմակերպման գործընթացը։</w:t>
      </w:r>
    </w:p>
    <w:p w14:paraId="2C53A5EA" w14:textId="77777777" w:rsidR="008E20BF" w:rsidRPr="00375954" w:rsidRDefault="008E20BF" w:rsidP="004247C0">
      <w:pPr>
        <w:numPr>
          <w:ilvl w:val="0"/>
          <w:numId w:val="24"/>
        </w:numPr>
        <w:tabs>
          <w:tab w:val="left" w:pos="0"/>
          <w:tab w:val="left" w:pos="284"/>
        </w:tabs>
        <w:autoSpaceDE w:val="0"/>
        <w:autoSpaceDN w:val="0"/>
        <w:adjustRightInd w:val="0"/>
        <w:spacing w:before="120" w:after="0" w:line="276" w:lineRule="auto"/>
        <w:ind w:firstLine="0"/>
        <w:rPr>
          <w:rFonts w:eastAsia="Calibri" w:cs="GHEA Grapalat"/>
          <w:lang w:val="hy-AM"/>
        </w:rPr>
      </w:pPr>
      <w:r w:rsidRPr="00512140">
        <w:rPr>
          <w:rFonts w:cs="GHEA Grapalat"/>
          <w:lang w:val="hy-AM"/>
        </w:rPr>
        <w:t>Խնամքի ծառայությունների գծով. շահառուներին մատուցվող խնամքի ծառայությունների շարունակականության ապահովումը` խրախուսելով ծառայությունների պատվիրակումը մրցութային եղանակով ընտրված կազմակերպություններին, շահառուներին մատուցվող ծառայությունների որակի բարելավումը և խնամքի ծառայությունների ապաինստիտուցիոնալացման գործընթացի համատեքստում այլընտրանքային ծառայությունների ընդլայնումը` նե</w:t>
      </w:r>
      <w:r w:rsidRPr="00375954">
        <w:rPr>
          <w:rFonts w:eastAsia="Calibri" w:cs="GHEA Grapalat"/>
          <w:lang w:val="hy-AM"/>
        </w:rPr>
        <w:t>րգրավելով համայնքի ներուժը:</w:t>
      </w:r>
    </w:p>
    <w:p w14:paraId="0DBA68C2" w14:textId="77777777" w:rsidR="00080175" w:rsidRDefault="00080175" w:rsidP="004247C0">
      <w:pPr>
        <w:tabs>
          <w:tab w:val="left" w:pos="0"/>
        </w:tabs>
        <w:spacing w:before="120" w:after="0" w:line="276" w:lineRule="auto"/>
        <w:ind w:firstLine="0"/>
        <w:rPr>
          <w:rFonts w:eastAsia="Calibri" w:cs="GHEA Grapalat"/>
          <w:lang w:val="hy-AM"/>
        </w:rPr>
      </w:pPr>
    </w:p>
    <w:p w14:paraId="43519E70"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82" w:name="_Toc170926324"/>
      <w:r w:rsidRPr="00FE0674">
        <w:rPr>
          <w:rFonts w:eastAsia="Times New Roman" w:cs="Times New Roman"/>
          <w:b w:val="0"/>
          <w:caps w:val="0"/>
          <w:color w:val="44546A" w:themeColor="text2"/>
          <w:sz w:val="24"/>
          <w:szCs w:val="24"/>
          <w:lang w:val="fr-FR"/>
        </w:rPr>
        <w:t>4</w:t>
      </w:r>
      <w:r w:rsidRPr="00FE0674">
        <w:rPr>
          <w:rFonts w:eastAsia="Times New Roman" w:cs="Times New Roman"/>
          <w:b w:val="0"/>
          <w:caps w:val="0"/>
          <w:color w:val="44546A" w:themeColor="text2"/>
          <w:sz w:val="24"/>
          <w:szCs w:val="24"/>
        </w:rPr>
        <w:t xml:space="preserve">. </w:t>
      </w:r>
      <w:r w:rsidRPr="00E74F61">
        <w:rPr>
          <w:rFonts w:eastAsia="Times New Roman" w:cs="Times New Roman"/>
          <w:b w:val="0"/>
          <w:caps w:val="0"/>
          <w:color w:val="44546A" w:themeColor="text2"/>
          <w:sz w:val="24"/>
          <w:szCs w:val="24"/>
        </w:rPr>
        <w:t>ՇՐՋԱԿԱ ՄԻՋԱՎԱՅՐ</w:t>
      </w:r>
      <w:bookmarkEnd w:id="179"/>
      <w:bookmarkEnd w:id="180"/>
      <w:bookmarkEnd w:id="181"/>
      <w:bookmarkEnd w:id="182"/>
    </w:p>
    <w:p w14:paraId="2D37FEDD" w14:textId="77777777" w:rsidR="00080175" w:rsidRPr="00357B09" w:rsidRDefault="00080175" w:rsidP="004247C0">
      <w:pPr>
        <w:tabs>
          <w:tab w:val="left" w:pos="0"/>
        </w:tabs>
        <w:spacing w:before="120" w:after="0" w:line="276" w:lineRule="auto"/>
        <w:ind w:firstLine="0"/>
        <w:rPr>
          <w:rFonts w:eastAsia="Times New Roman" w:cs="Times New Roman"/>
          <w:bCs/>
          <w:lang w:val="pt-BR"/>
        </w:rPr>
      </w:pPr>
      <w:bookmarkStart w:id="183" w:name="_Toc45838545"/>
      <w:bookmarkStart w:id="184" w:name="_Toc45637521"/>
      <w:bookmarkStart w:id="185" w:name="_Toc519513662"/>
      <w:bookmarkStart w:id="186" w:name="_Toc456102743"/>
      <w:r w:rsidRPr="00357B09">
        <w:rPr>
          <w:rFonts w:eastAsia="Times New Roman" w:cs="Sylfaen"/>
          <w:bCs/>
          <w:lang w:val="pt-BR"/>
        </w:rPr>
        <w:t>Շրջակա</w:t>
      </w:r>
      <w:r w:rsidRPr="00357B09">
        <w:rPr>
          <w:rFonts w:eastAsia="Times New Roman" w:cs="Times New Roman"/>
          <w:bCs/>
          <w:lang w:val="pt-BR"/>
        </w:rPr>
        <w:t xml:space="preserve"> </w:t>
      </w:r>
      <w:r w:rsidRPr="00357B09">
        <w:rPr>
          <w:rFonts w:eastAsia="Times New Roman" w:cs="Sylfaen"/>
          <w:bCs/>
          <w:lang w:val="pt-BR"/>
        </w:rPr>
        <w:t>միջավայրի</w:t>
      </w:r>
      <w:r w:rsidRPr="00357B09">
        <w:rPr>
          <w:rFonts w:eastAsia="Times New Roman" w:cs="Times New Roman"/>
          <w:bCs/>
          <w:lang w:val="pt-BR"/>
        </w:rPr>
        <w:t xml:space="preserve"> </w:t>
      </w:r>
      <w:r>
        <w:rPr>
          <w:rFonts w:eastAsia="Calibri" w:cs="GHEA Grapalat"/>
          <w:lang w:val="hy-AM"/>
        </w:rPr>
        <w:t xml:space="preserve">պետական </w:t>
      </w:r>
      <w:r w:rsidRPr="00357B09">
        <w:rPr>
          <w:rFonts w:eastAsia="Times New Roman" w:cs="Sylfaen"/>
          <w:bCs/>
          <w:lang w:val="pt-BR"/>
        </w:rPr>
        <w:t>քաղաքականությունն</w:t>
      </w:r>
      <w:r w:rsidRPr="00357B09">
        <w:rPr>
          <w:rFonts w:eastAsia="Times New Roman" w:cs="Times New Roman"/>
          <w:bCs/>
          <w:lang w:val="pt-BR"/>
        </w:rPr>
        <w:t xml:space="preserve"> </w:t>
      </w:r>
      <w:r w:rsidRPr="00357B09">
        <w:rPr>
          <w:rFonts w:eastAsia="Times New Roman" w:cs="Sylfaen"/>
          <w:bCs/>
          <w:lang w:val="pt-BR"/>
        </w:rPr>
        <w:t>ուղղված</w:t>
      </w:r>
      <w:r w:rsidRPr="00357B09">
        <w:rPr>
          <w:rFonts w:eastAsia="Times New Roman" w:cs="Times New Roman"/>
          <w:bCs/>
          <w:lang w:val="pt-BR"/>
        </w:rPr>
        <w:t xml:space="preserve"> </w:t>
      </w:r>
      <w:r w:rsidRPr="00357B09">
        <w:rPr>
          <w:rFonts w:eastAsia="Times New Roman" w:cs="Sylfaen"/>
          <w:bCs/>
          <w:lang w:val="pt-BR"/>
        </w:rPr>
        <w:t>է</w:t>
      </w:r>
      <w:r w:rsidRPr="00357B09">
        <w:rPr>
          <w:rFonts w:eastAsia="Times New Roman" w:cs="Times New Roman"/>
          <w:bCs/>
          <w:lang w:val="pt-BR"/>
        </w:rPr>
        <w:t xml:space="preserve"> </w:t>
      </w:r>
      <w:r w:rsidRPr="00357B09">
        <w:rPr>
          <w:rFonts w:eastAsia="Times New Roman" w:cs="Sylfaen"/>
          <w:bCs/>
          <w:lang w:val="pt-BR"/>
        </w:rPr>
        <w:t>շրջակա</w:t>
      </w:r>
      <w:r w:rsidRPr="00357B09">
        <w:rPr>
          <w:rFonts w:eastAsia="Times New Roman" w:cs="Times New Roman"/>
          <w:bCs/>
          <w:lang w:val="pt-BR"/>
        </w:rPr>
        <w:t xml:space="preserve"> </w:t>
      </w:r>
      <w:r w:rsidRPr="00357B09">
        <w:rPr>
          <w:rFonts w:eastAsia="Times New Roman" w:cs="Sylfaen"/>
          <w:bCs/>
          <w:lang w:val="pt-BR"/>
        </w:rPr>
        <w:t>միջավայրի</w:t>
      </w:r>
      <w:r w:rsidRPr="00357B09">
        <w:rPr>
          <w:rFonts w:eastAsia="Times New Roman" w:cs="Times New Roman"/>
          <w:bCs/>
          <w:lang w:val="pt-BR"/>
        </w:rPr>
        <w:t xml:space="preserve"> </w:t>
      </w:r>
      <w:r w:rsidRPr="00357B09">
        <w:rPr>
          <w:rFonts w:eastAsia="Times New Roman" w:cs="Sylfaen"/>
          <w:bCs/>
          <w:lang w:val="pt-BR"/>
        </w:rPr>
        <w:t>և</w:t>
      </w:r>
      <w:r w:rsidRPr="00357B09">
        <w:rPr>
          <w:rFonts w:eastAsia="Times New Roman" w:cs="Times New Roman"/>
          <w:bCs/>
          <w:lang w:val="pt-BR"/>
        </w:rPr>
        <w:t xml:space="preserve"> </w:t>
      </w:r>
      <w:r w:rsidRPr="00357B09">
        <w:rPr>
          <w:rFonts w:eastAsia="Times New Roman" w:cs="Sylfaen"/>
          <w:bCs/>
          <w:lang w:val="pt-BR"/>
        </w:rPr>
        <w:t>բնական</w:t>
      </w:r>
      <w:r w:rsidRPr="00357B09">
        <w:rPr>
          <w:rFonts w:eastAsia="Times New Roman" w:cs="Times New Roman"/>
          <w:bCs/>
          <w:lang w:val="pt-BR"/>
        </w:rPr>
        <w:t xml:space="preserve"> </w:t>
      </w:r>
      <w:r w:rsidRPr="00357B09">
        <w:rPr>
          <w:rFonts w:eastAsia="Times New Roman" w:cs="Sylfaen"/>
          <w:bCs/>
          <w:lang w:val="pt-BR"/>
        </w:rPr>
        <w:t>ռեսուրսների</w:t>
      </w:r>
      <w:r w:rsidRPr="00357B09">
        <w:rPr>
          <w:rFonts w:eastAsia="Times New Roman" w:cs="Times New Roman"/>
          <w:bCs/>
          <w:lang w:val="pt-BR"/>
        </w:rPr>
        <w:t xml:space="preserve"> </w:t>
      </w:r>
      <w:r w:rsidRPr="00357B09">
        <w:rPr>
          <w:rFonts w:eastAsia="Times New Roman" w:cs="Sylfaen"/>
          <w:bCs/>
          <w:lang w:val="pt-BR"/>
        </w:rPr>
        <w:t>համալիր</w:t>
      </w:r>
      <w:r w:rsidRPr="00357B09">
        <w:rPr>
          <w:rFonts w:eastAsia="Times New Roman" w:cs="Times New Roman"/>
          <w:bCs/>
          <w:lang w:val="pt-BR"/>
        </w:rPr>
        <w:t xml:space="preserve"> </w:t>
      </w:r>
      <w:r w:rsidRPr="00357B09">
        <w:rPr>
          <w:rFonts w:eastAsia="Times New Roman" w:cs="Sylfaen"/>
          <w:bCs/>
          <w:lang w:val="pt-BR"/>
        </w:rPr>
        <w:t>պահպանությանը</w:t>
      </w:r>
      <w:r w:rsidRPr="00357B09">
        <w:rPr>
          <w:rFonts w:eastAsia="Times New Roman" w:cs="Times New Roman"/>
          <w:bCs/>
          <w:lang w:val="pt-BR"/>
        </w:rPr>
        <w:t xml:space="preserve">, </w:t>
      </w:r>
      <w:r w:rsidRPr="00357B09">
        <w:rPr>
          <w:rFonts w:eastAsia="Times New Roman" w:cs="Sylfaen"/>
          <w:bCs/>
          <w:lang w:val="pt-BR"/>
        </w:rPr>
        <w:t>բարելավմանը</w:t>
      </w:r>
      <w:r w:rsidRPr="00357B09">
        <w:rPr>
          <w:rFonts w:eastAsia="Times New Roman" w:cs="Times New Roman"/>
          <w:bCs/>
          <w:lang w:val="pt-BR"/>
        </w:rPr>
        <w:t xml:space="preserve">, </w:t>
      </w:r>
      <w:r w:rsidRPr="00357B09">
        <w:rPr>
          <w:rFonts w:eastAsia="Times New Roman" w:cs="Sylfaen"/>
          <w:bCs/>
          <w:lang w:val="pt-BR"/>
        </w:rPr>
        <w:t>վերականգնմանը</w:t>
      </w:r>
      <w:r w:rsidRPr="00357B09">
        <w:rPr>
          <w:rFonts w:eastAsia="Times New Roman" w:cs="Times New Roman"/>
          <w:bCs/>
          <w:lang w:val="pt-BR"/>
        </w:rPr>
        <w:t xml:space="preserve"> </w:t>
      </w:r>
      <w:r w:rsidRPr="00357B09">
        <w:rPr>
          <w:rFonts w:eastAsia="Times New Roman" w:cs="Sylfaen"/>
          <w:bCs/>
          <w:lang w:val="pt-BR"/>
        </w:rPr>
        <w:t>և</w:t>
      </w:r>
      <w:r w:rsidRPr="00357B09">
        <w:rPr>
          <w:rFonts w:eastAsia="Times New Roman" w:cs="Times New Roman"/>
          <w:bCs/>
          <w:lang w:val="pt-BR"/>
        </w:rPr>
        <w:t xml:space="preserve"> </w:t>
      </w:r>
      <w:r w:rsidRPr="00357B09">
        <w:rPr>
          <w:rFonts w:eastAsia="Times New Roman" w:cs="Sylfaen"/>
          <w:bCs/>
          <w:lang w:val="pt-BR"/>
        </w:rPr>
        <w:t>ողջամիտ</w:t>
      </w:r>
      <w:r w:rsidRPr="00357B09">
        <w:rPr>
          <w:rFonts w:eastAsia="Times New Roman" w:cs="Times New Roman"/>
          <w:bCs/>
          <w:lang w:val="pt-BR"/>
        </w:rPr>
        <w:t xml:space="preserve"> </w:t>
      </w:r>
      <w:r w:rsidRPr="00357B09">
        <w:rPr>
          <w:rFonts w:eastAsia="Times New Roman" w:cs="Sylfaen"/>
          <w:bCs/>
          <w:lang w:val="pt-BR"/>
        </w:rPr>
        <w:t>օգտագործմանը՝</w:t>
      </w:r>
      <w:r w:rsidRPr="00357B09">
        <w:rPr>
          <w:rFonts w:eastAsia="Times New Roman" w:cs="Times New Roman"/>
          <w:bCs/>
          <w:lang w:val="pt-BR"/>
        </w:rPr>
        <w:t xml:space="preserve"> </w:t>
      </w:r>
      <w:r w:rsidRPr="00357B09">
        <w:rPr>
          <w:rFonts w:eastAsia="Times New Roman" w:cs="Sylfaen"/>
          <w:bCs/>
          <w:lang w:val="pt-BR"/>
        </w:rPr>
        <w:t>հավասարակշռելով</w:t>
      </w:r>
      <w:r w:rsidRPr="00357B09">
        <w:rPr>
          <w:rFonts w:eastAsia="Times New Roman" w:cs="Times New Roman"/>
          <w:bCs/>
          <w:lang w:val="pt-BR"/>
        </w:rPr>
        <w:t xml:space="preserve"> </w:t>
      </w:r>
      <w:r w:rsidRPr="00357B09">
        <w:rPr>
          <w:rFonts w:eastAsia="Times New Roman" w:cs="Sylfaen"/>
          <w:bCs/>
          <w:lang w:val="pt-BR"/>
        </w:rPr>
        <w:t>այն</w:t>
      </w:r>
      <w:r w:rsidRPr="00357B09">
        <w:rPr>
          <w:rFonts w:eastAsia="Times New Roman" w:cs="Times New Roman"/>
          <w:bCs/>
          <w:lang w:val="pt-BR"/>
        </w:rPr>
        <w:t xml:space="preserve"> </w:t>
      </w:r>
      <w:r w:rsidRPr="00357B09">
        <w:rPr>
          <w:rFonts w:eastAsia="Times New Roman" w:cs="Sylfaen"/>
          <w:bCs/>
          <w:lang w:val="pt-BR"/>
        </w:rPr>
        <w:t>սոցիալական</w:t>
      </w:r>
      <w:r w:rsidRPr="00357B09">
        <w:rPr>
          <w:rFonts w:eastAsia="Times New Roman" w:cs="Times New Roman"/>
          <w:bCs/>
          <w:lang w:val="pt-BR"/>
        </w:rPr>
        <w:t xml:space="preserve"> </w:t>
      </w:r>
      <w:r w:rsidRPr="00357B09">
        <w:rPr>
          <w:rFonts w:eastAsia="Times New Roman" w:cs="Sylfaen"/>
          <w:bCs/>
          <w:lang w:val="pt-BR"/>
        </w:rPr>
        <w:t>արդարության</w:t>
      </w:r>
      <w:r w:rsidRPr="00357B09">
        <w:rPr>
          <w:rFonts w:eastAsia="Times New Roman" w:cs="Times New Roman"/>
          <w:bCs/>
          <w:lang w:val="pt-BR"/>
        </w:rPr>
        <w:t xml:space="preserve"> </w:t>
      </w:r>
      <w:r w:rsidRPr="00357B09">
        <w:rPr>
          <w:rFonts w:eastAsia="Times New Roman" w:cs="Sylfaen"/>
          <w:bCs/>
          <w:lang w:val="pt-BR"/>
        </w:rPr>
        <w:t>և</w:t>
      </w:r>
      <w:r w:rsidRPr="00357B09">
        <w:rPr>
          <w:rFonts w:eastAsia="Times New Roman" w:cs="Times New Roman"/>
          <w:bCs/>
          <w:lang w:val="pt-BR"/>
        </w:rPr>
        <w:t xml:space="preserve"> </w:t>
      </w:r>
      <w:r w:rsidRPr="00357B09">
        <w:rPr>
          <w:rFonts w:eastAsia="Times New Roman" w:cs="Sylfaen"/>
          <w:bCs/>
          <w:lang w:val="pt-BR"/>
        </w:rPr>
        <w:t>տնտեսական</w:t>
      </w:r>
      <w:r w:rsidRPr="00357B09">
        <w:rPr>
          <w:rFonts w:eastAsia="Times New Roman" w:cs="Times New Roman"/>
          <w:bCs/>
          <w:lang w:val="pt-BR"/>
        </w:rPr>
        <w:t xml:space="preserve"> </w:t>
      </w:r>
      <w:r w:rsidRPr="00357B09">
        <w:rPr>
          <w:rFonts w:eastAsia="Times New Roman" w:cs="Sylfaen"/>
          <w:bCs/>
          <w:lang w:val="pt-BR"/>
        </w:rPr>
        <w:t>արդյունավետության</w:t>
      </w:r>
      <w:r w:rsidRPr="00357B09">
        <w:rPr>
          <w:rFonts w:eastAsia="Times New Roman" w:cs="Times New Roman"/>
          <w:bCs/>
          <w:lang w:val="pt-BR"/>
        </w:rPr>
        <w:t xml:space="preserve"> </w:t>
      </w:r>
      <w:r w:rsidRPr="00357B09">
        <w:rPr>
          <w:rFonts w:eastAsia="Times New Roman" w:cs="Sylfaen"/>
          <w:bCs/>
          <w:lang w:val="pt-BR"/>
        </w:rPr>
        <w:t>հետ</w:t>
      </w:r>
      <w:r w:rsidRPr="00357B09">
        <w:rPr>
          <w:rFonts w:eastAsia="Times New Roman" w:cs="Times New Roman"/>
          <w:bCs/>
          <w:lang w:val="pt-BR"/>
        </w:rPr>
        <w:t xml:space="preserve">: </w:t>
      </w:r>
    </w:p>
    <w:p w14:paraId="58392566" w14:textId="77777777" w:rsidR="00080175" w:rsidRPr="00357B09" w:rsidRDefault="00080175" w:rsidP="004247C0">
      <w:pPr>
        <w:tabs>
          <w:tab w:val="left" w:pos="0"/>
        </w:tabs>
        <w:spacing w:before="120" w:after="0" w:line="276" w:lineRule="auto"/>
        <w:ind w:firstLine="0"/>
        <w:rPr>
          <w:rFonts w:eastAsia="Times New Roman" w:cs="Sylfaen"/>
          <w:bCs/>
          <w:lang w:val="pt-BR"/>
        </w:rPr>
      </w:pPr>
      <w:r w:rsidRPr="00357B09">
        <w:rPr>
          <w:rFonts w:eastAsia="Times New Roman" w:cs="Sylfaen"/>
          <w:bCs/>
          <w:lang w:val="pt-BR"/>
        </w:rPr>
        <w:lastRenderedPageBreak/>
        <w:t>Շրջակա</w:t>
      </w:r>
      <w:r w:rsidRPr="00357B09">
        <w:rPr>
          <w:rFonts w:eastAsia="Times New Roman" w:cs="Times New Roman"/>
          <w:bCs/>
          <w:lang w:val="pt-BR"/>
        </w:rPr>
        <w:t xml:space="preserve"> </w:t>
      </w:r>
      <w:r w:rsidRPr="00357B09">
        <w:rPr>
          <w:rFonts w:eastAsia="Times New Roman" w:cs="Sylfaen"/>
          <w:bCs/>
          <w:lang w:val="pt-BR"/>
        </w:rPr>
        <w:t>միջավայրի</w:t>
      </w:r>
      <w:r w:rsidRPr="00357B09">
        <w:rPr>
          <w:rFonts w:eastAsia="Times New Roman" w:cs="Times New Roman"/>
          <w:bCs/>
          <w:lang w:val="pt-BR"/>
        </w:rPr>
        <w:t xml:space="preserve"> </w:t>
      </w:r>
      <w:r w:rsidRPr="00357B09">
        <w:rPr>
          <w:rFonts w:eastAsia="Times New Roman" w:cs="Sylfaen"/>
          <w:bCs/>
          <w:lang w:val="pt-BR"/>
        </w:rPr>
        <w:t>կառավարման</w:t>
      </w:r>
      <w:r w:rsidRPr="00357B09">
        <w:rPr>
          <w:rFonts w:eastAsia="Times New Roman" w:cs="Times New Roman"/>
          <w:bCs/>
          <w:lang w:val="pt-BR"/>
        </w:rPr>
        <w:t xml:space="preserve"> </w:t>
      </w:r>
      <w:r w:rsidRPr="00357B09">
        <w:rPr>
          <w:rFonts w:eastAsia="Times New Roman" w:cs="Sylfaen"/>
          <w:bCs/>
          <w:lang w:val="pt-BR"/>
        </w:rPr>
        <w:t>հիմնական</w:t>
      </w:r>
      <w:r w:rsidRPr="00357B09">
        <w:rPr>
          <w:rFonts w:eastAsia="Times New Roman" w:cs="Times New Roman"/>
          <w:bCs/>
          <w:lang w:val="pt-BR"/>
        </w:rPr>
        <w:t xml:space="preserve"> </w:t>
      </w:r>
      <w:r w:rsidRPr="00357B09">
        <w:rPr>
          <w:rFonts w:eastAsia="Times New Roman" w:cs="Sylfaen"/>
          <w:bCs/>
          <w:lang w:val="pt-BR"/>
        </w:rPr>
        <w:t>խնդիրն</w:t>
      </w:r>
      <w:r w:rsidRPr="00357B09">
        <w:rPr>
          <w:rFonts w:eastAsia="Times New Roman" w:cs="Times New Roman"/>
          <w:bCs/>
          <w:lang w:val="pt-BR"/>
        </w:rPr>
        <w:t xml:space="preserve"> </w:t>
      </w:r>
      <w:r w:rsidRPr="00357B09">
        <w:rPr>
          <w:rFonts w:eastAsia="Times New Roman" w:cs="Sylfaen"/>
          <w:bCs/>
          <w:lang w:val="pt-BR"/>
        </w:rPr>
        <w:t>է</w:t>
      </w:r>
      <w:r w:rsidRPr="00357B09">
        <w:rPr>
          <w:rFonts w:eastAsia="Times New Roman" w:cs="Times New Roman"/>
          <w:bCs/>
          <w:lang w:val="pt-BR"/>
        </w:rPr>
        <w:t xml:space="preserve"> </w:t>
      </w:r>
      <w:r w:rsidRPr="00357B09">
        <w:rPr>
          <w:rFonts w:eastAsia="Times New Roman" w:cs="Sylfaen"/>
          <w:bCs/>
          <w:lang w:val="pt-BR"/>
        </w:rPr>
        <w:t>նվազագույնի</w:t>
      </w:r>
      <w:r w:rsidRPr="00357B09">
        <w:rPr>
          <w:rFonts w:eastAsia="Times New Roman" w:cs="Times New Roman"/>
          <w:bCs/>
          <w:lang w:val="pt-BR"/>
        </w:rPr>
        <w:t xml:space="preserve"> </w:t>
      </w:r>
      <w:r w:rsidRPr="00357B09">
        <w:rPr>
          <w:rFonts w:eastAsia="Times New Roman" w:cs="Sylfaen"/>
          <w:bCs/>
          <w:lang w:val="pt-BR"/>
        </w:rPr>
        <w:t>հասցնել</w:t>
      </w:r>
      <w:r w:rsidRPr="00357B09">
        <w:rPr>
          <w:rFonts w:eastAsia="Times New Roman" w:cs="Times New Roman"/>
          <w:bCs/>
          <w:lang w:val="pt-BR"/>
        </w:rPr>
        <w:t xml:space="preserve"> </w:t>
      </w:r>
      <w:r w:rsidRPr="00357B09">
        <w:rPr>
          <w:rFonts w:eastAsia="Times New Roman" w:cs="Sylfaen"/>
          <w:bCs/>
          <w:lang w:val="pt-BR"/>
        </w:rPr>
        <w:t>շրջակա</w:t>
      </w:r>
      <w:r w:rsidRPr="00357B09">
        <w:rPr>
          <w:rFonts w:eastAsia="Times New Roman" w:cs="Times New Roman"/>
          <w:bCs/>
          <w:lang w:val="pt-BR"/>
        </w:rPr>
        <w:t xml:space="preserve"> </w:t>
      </w:r>
      <w:r w:rsidRPr="00357B09">
        <w:rPr>
          <w:rFonts w:eastAsia="Times New Roman" w:cs="Sylfaen"/>
          <w:bCs/>
          <w:lang w:val="pt-BR"/>
        </w:rPr>
        <w:t>միջավայրի՝</w:t>
      </w:r>
      <w:r w:rsidRPr="00357B09">
        <w:rPr>
          <w:rFonts w:eastAsia="Times New Roman" w:cs="Times New Roman"/>
          <w:bCs/>
          <w:lang w:val="pt-BR"/>
        </w:rPr>
        <w:t xml:space="preserve"> </w:t>
      </w:r>
      <w:r w:rsidRPr="00357B09">
        <w:rPr>
          <w:rFonts w:eastAsia="Times New Roman" w:cs="Sylfaen"/>
          <w:bCs/>
          <w:lang w:val="pt-BR"/>
        </w:rPr>
        <w:t>օդի</w:t>
      </w:r>
      <w:r w:rsidRPr="00357B09">
        <w:rPr>
          <w:rFonts w:eastAsia="Times New Roman" w:cs="Times New Roman"/>
          <w:bCs/>
          <w:lang w:val="pt-BR"/>
        </w:rPr>
        <w:t xml:space="preserve">, </w:t>
      </w:r>
      <w:r w:rsidRPr="00357B09">
        <w:rPr>
          <w:rFonts w:eastAsia="Times New Roman" w:cs="Sylfaen"/>
          <w:bCs/>
          <w:lang w:val="pt-BR"/>
        </w:rPr>
        <w:t>կլիմայի</w:t>
      </w:r>
      <w:r w:rsidRPr="00357B09">
        <w:rPr>
          <w:rFonts w:eastAsia="Times New Roman" w:cs="Times New Roman"/>
          <w:bCs/>
          <w:lang w:val="pt-BR"/>
        </w:rPr>
        <w:t xml:space="preserve">, </w:t>
      </w:r>
      <w:r w:rsidRPr="00357B09">
        <w:rPr>
          <w:rFonts w:eastAsia="Times New Roman" w:cs="Sylfaen"/>
          <w:bCs/>
          <w:lang w:val="pt-BR"/>
        </w:rPr>
        <w:t>ջրի</w:t>
      </w:r>
      <w:r w:rsidRPr="00357B09">
        <w:rPr>
          <w:rFonts w:eastAsia="Times New Roman" w:cs="Times New Roman"/>
          <w:bCs/>
          <w:lang w:val="pt-BR"/>
        </w:rPr>
        <w:t xml:space="preserve">, </w:t>
      </w:r>
      <w:r w:rsidRPr="00357B09">
        <w:rPr>
          <w:rFonts w:eastAsia="Times New Roman" w:cs="Sylfaen"/>
          <w:bCs/>
          <w:lang w:val="pt-BR"/>
        </w:rPr>
        <w:t>հողերի</w:t>
      </w:r>
      <w:r w:rsidRPr="00357B09">
        <w:rPr>
          <w:rFonts w:eastAsia="Times New Roman" w:cs="Times New Roman"/>
          <w:bCs/>
          <w:lang w:val="pt-BR"/>
        </w:rPr>
        <w:t xml:space="preserve">, </w:t>
      </w:r>
      <w:r w:rsidRPr="00357B09">
        <w:rPr>
          <w:rFonts w:eastAsia="Times New Roman" w:cs="Sylfaen"/>
          <w:bCs/>
          <w:lang w:val="pt-BR"/>
        </w:rPr>
        <w:t>բուսական</w:t>
      </w:r>
      <w:r w:rsidRPr="00357B09">
        <w:rPr>
          <w:rFonts w:eastAsia="Times New Roman" w:cs="Times New Roman"/>
          <w:bCs/>
          <w:lang w:val="pt-BR"/>
        </w:rPr>
        <w:t xml:space="preserve"> </w:t>
      </w:r>
      <w:r w:rsidRPr="00357B09">
        <w:rPr>
          <w:rFonts w:eastAsia="Times New Roman" w:cs="Sylfaen"/>
          <w:bCs/>
          <w:lang w:val="pt-BR"/>
        </w:rPr>
        <w:t>և</w:t>
      </w:r>
      <w:r w:rsidRPr="00357B09">
        <w:rPr>
          <w:rFonts w:eastAsia="Times New Roman" w:cs="Times New Roman"/>
          <w:bCs/>
          <w:lang w:val="pt-BR"/>
        </w:rPr>
        <w:t xml:space="preserve"> </w:t>
      </w:r>
      <w:r w:rsidRPr="00357B09">
        <w:rPr>
          <w:rFonts w:eastAsia="Times New Roman" w:cs="Sylfaen"/>
          <w:bCs/>
          <w:lang w:val="pt-BR"/>
        </w:rPr>
        <w:t>կենդանական</w:t>
      </w:r>
      <w:r w:rsidRPr="00357B09">
        <w:rPr>
          <w:rFonts w:eastAsia="Times New Roman" w:cs="Times New Roman"/>
          <w:bCs/>
          <w:lang w:val="pt-BR"/>
        </w:rPr>
        <w:t xml:space="preserve"> </w:t>
      </w:r>
      <w:r w:rsidRPr="00357B09">
        <w:rPr>
          <w:rFonts w:eastAsia="Times New Roman" w:cs="Sylfaen"/>
          <w:bCs/>
          <w:lang w:val="pt-BR"/>
        </w:rPr>
        <w:t>աշխարհի</w:t>
      </w:r>
      <w:r w:rsidRPr="00357B09">
        <w:rPr>
          <w:rFonts w:eastAsia="Times New Roman" w:cs="Times New Roman"/>
          <w:bCs/>
          <w:lang w:val="pt-BR"/>
        </w:rPr>
        <w:t xml:space="preserve"> </w:t>
      </w:r>
      <w:r w:rsidRPr="00357B09">
        <w:rPr>
          <w:rFonts w:eastAsia="Times New Roman" w:cs="Sylfaen"/>
          <w:bCs/>
          <w:lang w:val="pt-BR"/>
        </w:rPr>
        <w:t>վրա</w:t>
      </w:r>
      <w:r w:rsidRPr="00357B09">
        <w:rPr>
          <w:rFonts w:eastAsia="Times New Roman" w:cs="Times New Roman"/>
          <w:bCs/>
          <w:lang w:val="pt-BR"/>
        </w:rPr>
        <w:t xml:space="preserve"> </w:t>
      </w:r>
      <w:r w:rsidRPr="00357B09">
        <w:rPr>
          <w:rFonts w:eastAsia="Times New Roman" w:cs="Sylfaen"/>
          <w:bCs/>
          <w:lang w:val="pt-BR"/>
        </w:rPr>
        <w:t>վնասակար</w:t>
      </w:r>
      <w:r w:rsidRPr="00357B09">
        <w:rPr>
          <w:rFonts w:eastAsia="Times New Roman" w:cs="Times New Roman"/>
          <w:bCs/>
          <w:lang w:val="pt-BR"/>
        </w:rPr>
        <w:t xml:space="preserve"> </w:t>
      </w:r>
      <w:r w:rsidRPr="00357B09">
        <w:rPr>
          <w:rFonts w:eastAsia="Times New Roman" w:cs="Sylfaen"/>
          <w:bCs/>
          <w:lang w:val="pt-BR"/>
        </w:rPr>
        <w:t>ազդեցությունները</w:t>
      </w:r>
      <w:r w:rsidRPr="00357B09">
        <w:rPr>
          <w:rFonts w:eastAsia="Times New Roman" w:cs="Times New Roman"/>
          <w:bCs/>
          <w:lang w:val="pt-BR"/>
        </w:rPr>
        <w:t xml:space="preserve">, </w:t>
      </w:r>
      <w:r w:rsidRPr="00357B09">
        <w:rPr>
          <w:rFonts w:eastAsia="Times New Roman" w:cs="Sylfaen"/>
          <w:bCs/>
          <w:lang w:val="pt-BR"/>
        </w:rPr>
        <w:t>բացառել</w:t>
      </w:r>
      <w:r w:rsidRPr="00357B09">
        <w:rPr>
          <w:rFonts w:eastAsia="Times New Roman" w:cs="Times New Roman"/>
          <w:bCs/>
          <w:lang w:val="pt-BR"/>
        </w:rPr>
        <w:t xml:space="preserve"> </w:t>
      </w:r>
      <w:r w:rsidRPr="00357B09">
        <w:rPr>
          <w:rFonts w:eastAsia="Times New Roman" w:cs="Sylfaen"/>
          <w:bCs/>
          <w:lang w:val="pt-BR"/>
        </w:rPr>
        <w:t>բնական</w:t>
      </w:r>
      <w:r w:rsidRPr="00357B09">
        <w:rPr>
          <w:rFonts w:eastAsia="Times New Roman" w:cs="Times New Roman"/>
          <w:bCs/>
          <w:lang w:val="pt-BR"/>
        </w:rPr>
        <w:t xml:space="preserve"> </w:t>
      </w:r>
      <w:r w:rsidRPr="00357B09">
        <w:rPr>
          <w:rFonts w:eastAsia="Times New Roman" w:cs="Sylfaen"/>
          <w:bCs/>
          <w:lang w:val="pt-BR"/>
        </w:rPr>
        <w:t>ռեսուրսների</w:t>
      </w:r>
      <w:r w:rsidRPr="00357B09">
        <w:rPr>
          <w:rFonts w:eastAsia="Times New Roman" w:cs="Times New Roman"/>
          <w:bCs/>
          <w:lang w:val="pt-BR"/>
        </w:rPr>
        <w:t xml:space="preserve"> </w:t>
      </w:r>
      <w:r w:rsidRPr="00357B09">
        <w:rPr>
          <w:rFonts w:eastAsia="Times New Roman" w:cs="Sylfaen"/>
          <w:bCs/>
          <w:lang w:val="pt-BR"/>
        </w:rPr>
        <w:t>գերշահագործումը</w:t>
      </w:r>
      <w:r w:rsidRPr="00357B09">
        <w:rPr>
          <w:rFonts w:eastAsia="Times New Roman" w:cs="Times New Roman"/>
          <w:bCs/>
          <w:lang w:val="pt-BR"/>
        </w:rPr>
        <w:t xml:space="preserve"> </w:t>
      </w:r>
      <w:r w:rsidRPr="00357B09">
        <w:rPr>
          <w:rFonts w:eastAsia="Times New Roman" w:cs="Sylfaen"/>
          <w:bCs/>
          <w:lang w:val="pt-BR"/>
        </w:rPr>
        <w:t>և</w:t>
      </w:r>
      <w:r w:rsidRPr="00357B09">
        <w:rPr>
          <w:rFonts w:eastAsia="Times New Roman" w:cs="Times New Roman"/>
          <w:bCs/>
          <w:lang w:val="pt-BR"/>
        </w:rPr>
        <w:t xml:space="preserve"> </w:t>
      </w:r>
      <w:r w:rsidRPr="00357B09">
        <w:rPr>
          <w:rFonts w:eastAsia="Times New Roman" w:cs="Sylfaen"/>
          <w:bCs/>
          <w:lang w:val="pt-BR"/>
        </w:rPr>
        <w:t>ապօրինի</w:t>
      </w:r>
      <w:r w:rsidRPr="00357B09">
        <w:rPr>
          <w:rFonts w:eastAsia="Times New Roman" w:cs="Times New Roman"/>
          <w:bCs/>
          <w:lang w:val="pt-BR"/>
        </w:rPr>
        <w:t xml:space="preserve"> </w:t>
      </w:r>
      <w:r w:rsidRPr="00357B09">
        <w:rPr>
          <w:rFonts w:eastAsia="Times New Roman" w:cs="Sylfaen"/>
          <w:bCs/>
          <w:lang w:val="pt-BR"/>
        </w:rPr>
        <w:t>օգտագործումը</w:t>
      </w:r>
      <w:r w:rsidRPr="00357B09">
        <w:rPr>
          <w:rFonts w:eastAsia="Times New Roman" w:cs="Times New Roman"/>
          <w:bCs/>
          <w:lang w:val="pt-BR"/>
        </w:rPr>
        <w:t xml:space="preserve">, </w:t>
      </w:r>
      <w:r w:rsidRPr="00357B09">
        <w:rPr>
          <w:rFonts w:eastAsia="Times New Roman" w:cs="Sylfaen"/>
          <w:bCs/>
          <w:lang w:val="pt-BR"/>
        </w:rPr>
        <w:t>ապահովել</w:t>
      </w:r>
      <w:r w:rsidRPr="00357B09">
        <w:rPr>
          <w:rFonts w:eastAsia="Times New Roman" w:cs="Times New Roman"/>
          <w:bCs/>
          <w:lang w:val="pt-BR"/>
        </w:rPr>
        <w:t xml:space="preserve"> </w:t>
      </w:r>
      <w:r w:rsidRPr="00357B09">
        <w:rPr>
          <w:rFonts w:eastAsia="Times New Roman" w:cs="Sylfaen"/>
          <w:bCs/>
          <w:lang w:val="pt-BR"/>
        </w:rPr>
        <w:t>կանխարգելման</w:t>
      </w:r>
      <w:r w:rsidRPr="00357B09">
        <w:rPr>
          <w:rFonts w:eastAsia="Times New Roman" w:cs="Times New Roman"/>
          <w:bCs/>
          <w:lang w:val="pt-BR"/>
        </w:rPr>
        <w:t xml:space="preserve"> </w:t>
      </w:r>
      <w:r w:rsidRPr="00357B09">
        <w:rPr>
          <w:rFonts w:eastAsia="Times New Roman" w:cs="Sylfaen"/>
          <w:bCs/>
          <w:lang w:val="pt-BR"/>
        </w:rPr>
        <w:t>միջոցառումների</w:t>
      </w:r>
      <w:r w:rsidRPr="00357B09">
        <w:rPr>
          <w:rFonts w:eastAsia="Times New Roman" w:cs="Times New Roman"/>
          <w:bCs/>
          <w:lang w:val="pt-BR"/>
        </w:rPr>
        <w:t xml:space="preserve"> </w:t>
      </w:r>
      <w:r w:rsidRPr="00357B09">
        <w:rPr>
          <w:rFonts w:eastAsia="Times New Roman" w:cs="Sylfaen"/>
          <w:bCs/>
          <w:lang w:val="pt-BR"/>
        </w:rPr>
        <w:t>իրականացումը։</w:t>
      </w:r>
      <w:r w:rsidRPr="00357B09">
        <w:rPr>
          <w:rFonts w:eastAsia="Times New Roman" w:cs="Times New Roman"/>
          <w:bCs/>
          <w:lang w:val="pt-BR"/>
        </w:rPr>
        <w:t xml:space="preserve"> </w:t>
      </w:r>
      <w:r w:rsidRPr="00357B09">
        <w:rPr>
          <w:rFonts w:eastAsia="Times New Roman" w:cs="Sylfaen"/>
          <w:bCs/>
          <w:lang w:val="pt-BR"/>
        </w:rPr>
        <w:t>Ելնելով</w:t>
      </w:r>
      <w:r w:rsidRPr="00357B09">
        <w:rPr>
          <w:rFonts w:eastAsia="Times New Roman" w:cs="Times New Roman"/>
          <w:bCs/>
          <w:lang w:val="pt-BR"/>
        </w:rPr>
        <w:t xml:space="preserve"> </w:t>
      </w:r>
      <w:r w:rsidRPr="00357B09">
        <w:rPr>
          <w:rFonts w:eastAsia="Times New Roman" w:cs="Sylfaen"/>
          <w:bCs/>
          <w:lang w:val="pt-BR"/>
        </w:rPr>
        <w:t>նշվածից՝</w:t>
      </w:r>
      <w:r w:rsidRPr="00357B09">
        <w:rPr>
          <w:rFonts w:eastAsia="Times New Roman" w:cs="Times New Roman"/>
          <w:bCs/>
          <w:lang w:val="pt-BR"/>
        </w:rPr>
        <w:t xml:space="preserve"> </w:t>
      </w:r>
      <w:r w:rsidRPr="00357B09">
        <w:rPr>
          <w:rFonts w:eastAsia="Times New Roman" w:cs="Sylfaen"/>
          <w:bCs/>
          <w:lang w:val="pt-BR"/>
        </w:rPr>
        <w:t>շրջակա</w:t>
      </w:r>
      <w:r w:rsidRPr="00357B09">
        <w:rPr>
          <w:rFonts w:eastAsia="Times New Roman" w:cs="Times New Roman"/>
          <w:bCs/>
          <w:lang w:val="pt-BR"/>
        </w:rPr>
        <w:t xml:space="preserve"> </w:t>
      </w:r>
      <w:r w:rsidRPr="00357B09">
        <w:rPr>
          <w:rFonts w:eastAsia="Times New Roman" w:cs="Sylfaen"/>
          <w:bCs/>
          <w:lang w:val="pt-BR"/>
        </w:rPr>
        <w:t>միջավայրի</w:t>
      </w:r>
      <w:r w:rsidRPr="00357B09">
        <w:rPr>
          <w:rFonts w:eastAsia="Times New Roman" w:cs="Times New Roman"/>
          <w:bCs/>
          <w:lang w:val="pt-BR"/>
        </w:rPr>
        <w:t xml:space="preserve"> </w:t>
      </w:r>
      <w:r w:rsidRPr="00357B09">
        <w:rPr>
          <w:rFonts w:eastAsia="Times New Roman" w:cs="Sylfaen"/>
          <w:bCs/>
          <w:lang w:val="pt-BR"/>
        </w:rPr>
        <w:t>կառավարման</w:t>
      </w:r>
      <w:r w:rsidRPr="00357B09">
        <w:rPr>
          <w:rFonts w:eastAsia="Times New Roman" w:cs="Times New Roman"/>
          <w:bCs/>
          <w:lang w:val="pt-BR"/>
        </w:rPr>
        <w:t xml:space="preserve"> </w:t>
      </w:r>
      <w:r w:rsidRPr="00357B09">
        <w:rPr>
          <w:rFonts w:eastAsia="Times New Roman" w:cs="Sylfaen"/>
          <w:bCs/>
          <w:lang w:val="pt-BR"/>
        </w:rPr>
        <w:t>առաջնահերթ</w:t>
      </w:r>
      <w:r w:rsidRPr="00357B09">
        <w:rPr>
          <w:rFonts w:eastAsia="Times New Roman" w:cs="Times New Roman"/>
          <w:bCs/>
          <w:lang w:val="pt-BR"/>
        </w:rPr>
        <w:t xml:space="preserve"> </w:t>
      </w:r>
      <w:r w:rsidRPr="00357B09">
        <w:rPr>
          <w:rFonts w:eastAsia="Times New Roman" w:cs="Sylfaen"/>
          <w:bCs/>
          <w:lang w:val="pt-BR"/>
        </w:rPr>
        <w:t>ուղղություններն</w:t>
      </w:r>
      <w:r w:rsidRPr="00357B09">
        <w:rPr>
          <w:rFonts w:eastAsia="Times New Roman" w:cs="Times New Roman"/>
          <w:bCs/>
          <w:lang w:val="pt-BR"/>
        </w:rPr>
        <w:t xml:space="preserve"> </w:t>
      </w:r>
      <w:r w:rsidRPr="00357B09">
        <w:rPr>
          <w:rFonts w:eastAsia="Times New Roman" w:cs="Sylfaen"/>
          <w:bCs/>
          <w:lang w:val="pt-BR"/>
        </w:rPr>
        <w:t>են՝</w:t>
      </w:r>
    </w:p>
    <w:p w14:paraId="235C8DFA"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ջրային ռեսուրսների կառավարման արդյունավետության բարձրացումը և ջրախնայող ժամանակակից մեթոդների կիրառումը՝ բացառելով ռեսուրսի գերշահագործումը.</w:t>
      </w:r>
    </w:p>
    <w:p w14:paraId="30BF7415"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Սևանա լճի էկոլոգիական հավասարակշռության վերականգնումը և պահպանությունը, Արարատյան արտեզյան ավազանի և գետային էկոհամակարգերի պահպանությունը և կառավարումը,</w:t>
      </w:r>
    </w:p>
    <w:p w14:paraId="3BD50F50"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անտառների կայուն կառավարումը, անտառածածկ տարածքների ընդլայնումը, անտառվերականգնումը և անատառապատումը, դրանց իրականացմանն ուղղված կարողությունների շարունակական զարգացումը, </w:t>
      </w:r>
    </w:p>
    <w:p w14:paraId="77B9470D"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կլիմայի փոփոխության հետևանքով առաջացող խնդիրների մեղմման և կանխարգելման, ինչպես նաև հարմարվողականության գործողությունների իրականացումը՝ համաձայն միջազգային համաձայնագրերով ստանձնած պարտավորությունների,</w:t>
      </w:r>
    </w:p>
    <w:p w14:paraId="19E7B982"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բնության հատուկ պահպանվող տարածքների հզորացումը, հարակից բնակավայրերի կարողությունների զարգացումը,</w:t>
      </w:r>
    </w:p>
    <w:p w14:paraId="69C46666"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կենսաբազմազանության պահպանությունը և կենսաանվտանգության ապահովումը, </w:t>
      </w:r>
    </w:p>
    <w:p w14:paraId="2E993D6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շրջակա միջավայրի վրա ազդեցության փորձաքննական գործընթացի արդյունավետ իրականացումը,</w:t>
      </w:r>
    </w:p>
    <w:p w14:paraId="47D59D44"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կանաչ տնտեսության և կայուն զարգացման երկարաժամկետ նպատակի խթանմանն ուղղված քաղաքականության մշակումն ու իրականացումը, </w:t>
      </w:r>
    </w:p>
    <w:p w14:paraId="68FF156A"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շրջակա միջավայրի կառավարման ոլորտում գործող միջազգային կառույցների հետ շարունակական համագործակցության ապահովումը, մասնակցությունը նոր նախաձեռնություններին,</w:t>
      </w:r>
    </w:p>
    <w:p w14:paraId="1CE569F0"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շրջակա միջավայրի կառավարման տնտեսական մեխանիզմների և լծակների ճկուն համակարգի ներդրմանը, միջազգային կառույցների հետ համատեղ ֆինանսավորման նորարարական մեխանիզմների ներառյալ բնապահպանական ծրագրերով պարտավորությունների հաշվանցման մեխանիզմի մշակման և ներդրմանն ուղղված աշխատանքների իրականացում,</w:t>
      </w:r>
    </w:p>
    <w:p w14:paraId="281DDB4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բնապահպանական օրենսդրության ներդաշնակեցումը ՀՀ-ԵՄ համապարփակ և ընդլայնված գործընկերության համաձայնագրի դիրեկտիվներին և այդ համատեքստում միջազգային համագործակցության ընդլայնումը՝ ճանապարհային քարտեզով նախանշված գործողությունների իրականացման արդյունավետության բարձրացման նպատակով, </w:t>
      </w:r>
    </w:p>
    <w:p w14:paraId="1C720A63"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անտառներում և բնության հատուկ պահպանվող տարածքներում էկոտուրիզմի զարգացումը, </w:t>
      </w:r>
    </w:p>
    <w:p w14:paraId="5E05386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էկոլոգիական իրազեկման, էկոկրթության, մշակույթի, դաստիարակության լայնածավալ միջոցառումների իրականացումը, էկոլոգիական գիտության դերի բարձրացումը։</w:t>
      </w:r>
    </w:p>
    <w:p w14:paraId="0951A95A" w14:textId="77777777" w:rsidR="00080175" w:rsidRPr="00167D26" w:rsidRDefault="00080175" w:rsidP="004247C0">
      <w:pPr>
        <w:tabs>
          <w:tab w:val="left" w:pos="0"/>
          <w:tab w:val="left" w:pos="284"/>
        </w:tabs>
        <w:spacing w:before="120" w:after="0" w:line="276" w:lineRule="auto"/>
        <w:ind w:firstLine="0"/>
        <w:rPr>
          <w:rFonts w:cs="Sylfaen"/>
          <w:bCs/>
          <w:lang w:val="pt-BR"/>
        </w:rPr>
      </w:pPr>
      <w:r w:rsidRPr="00167D26">
        <w:rPr>
          <w:rFonts w:eastAsia="Times New Roman" w:cs="Sylfaen"/>
          <w:bCs/>
          <w:lang w:val="pt-BR"/>
        </w:rPr>
        <w:lastRenderedPageBreak/>
        <w:t>Վերոհիշյալ ուղղությունները (թիրախները) բխում են ՀՀ կառավարության 18 օգոստոսի 2021 թվականի N 1363-Ա որոշմամբ հավանության արժանացած ՀՀ կառավարության ծրագրի 4.10 կետում (Շրջակա միջավայրի պահպանություն) ամրագրված առաջնահերթ ուղղություններից։</w:t>
      </w:r>
      <w:r w:rsidRPr="00167D26">
        <w:rPr>
          <w:rFonts w:cs="Sylfaen"/>
          <w:bCs/>
          <w:lang w:val="pt-BR"/>
        </w:rPr>
        <w:t xml:space="preserve"> </w:t>
      </w:r>
    </w:p>
    <w:p w14:paraId="1CDAA4AF" w14:textId="77777777" w:rsidR="00080175" w:rsidRDefault="00080175" w:rsidP="004247C0">
      <w:pPr>
        <w:tabs>
          <w:tab w:val="left" w:pos="0"/>
        </w:tabs>
        <w:spacing w:before="120" w:after="0" w:line="276" w:lineRule="auto"/>
        <w:ind w:firstLine="0"/>
        <w:rPr>
          <w:rFonts w:eastAsia="Times New Roman" w:cs="Times New Roman"/>
          <w:caps/>
          <w:color w:val="44546A" w:themeColor="text2"/>
          <w:sz w:val="28"/>
          <w:szCs w:val="28"/>
          <w:lang w:val="pt-BR"/>
        </w:rPr>
      </w:pPr>
    </w:p>
    <w:p w14:paraId="0AEC8FE4"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87" w:name="_Toc170926325"/>
      <w:r w:rsidRPr="00FE0674">
        <w:rPr>
          <w:rFonts w:eastAsia="Times New Roman" w:cs="Times New Roman"/>
          <w:b w:val="0"/>
          <w:caps w:val="0"/>
          <w:color w:val="44546A" w:themeColor="text2"/>
          <w:sz w:val="24"/>
          <w:szCs w:val="24"/>
        </w:rPr>
        <w:t>5</w:t>
      </w:r>
      <w:r w:rsidRPr="003B4B58">
        <w:rPr>
          <w:rFonts w:eastAsia="Times New Roman" w:cs="Times New Roman"/>
          <w:b w:val="0"/>
          <w:caps w:val="0"/>
          <w:color w:val="44546A" w:themeColor="text2"/>
          <w:sz w:val="24"/>
          <w:szCs w:val="24"/>
        </w:rPr>
        <w:t>. ԲԱՐՁՐ ՏԵԽՆՈԼՈԳԻԱԿԱՆ ԱՐԴՅՈՒՆԱԲԵՐՈՒԹՅՈԻՆ</w:t>
      </w:r>
      <w:bookmarkEnd w:id="187"/>
      <w:r w:rsidRPr="00FE0674">
        <w:rPr>
          <w:rFonts w:eastAsia="Times New Roman" w:cs="Times New Roman"/>
          <w:b w:val="0"/>
          <w:caps w:val="0"/>
          <w:color w:val="44546A" w:themeColor="text2"/>
          <w:sz w:val="24"/>
          <w:szCs w:val="24"/>
        </w:rPr>
        <w:t xml:space="preserve"> </w:t>
      </w:r>
      <w:bookmarkEnd w:id="183"/>
      <w:bookmarkEnd w:id="184"/>
    </w:p>
    <w:p w14:paraId="2B2ED855" w14:textId="2E7DB8BD" w:rsidR="00EF468F" w:rsidRPr="00ED6E35" w:rsidRDefault="00EF468F" w:rsidP="004247C0">
      <w:pPr>
        <w:tabs>
          <w:tab w:val="left" w:pos="0"/>
        </w:tabs>
        <w:spacing w:before="120" w:after="0" w:line="276" w:lineRule="auto"/>
        <w:ind w:firstLine="0"/>
        <w:rPr>
          <w:noProof/>
          <w:color w:val="000000"/>
          <w:lang w:val="hy-AM"/>
        </w:rPr>
      </w:pPr>
      <w:r w:rsidRPr="00ED6E35">
        <w:rPr>
          <w:noProof/>
          <w:color w:val="000000"/>
          <w:lang w:val="hy-AM"/>
        </w:rPr>
        <w:t>ՀՀ կառավարությունը նպատակադրվել է Հայաստանը դարձնել բարձր տեխնոլոգիական, արդյունաբերական երկիր:</w:t>
      </w:r>
    </w:p>
    <w:p w14:paraId="3F2E0E0B" w14:textId="77777777" w:rsidR="00EF468F" w:rsidRPr="00ED6E35" w:rsidRDefault="00EF468F" w:rsidP="004247C0">
      <w:pPr>
        <w:tabs>
          <w:tab w:val="left" w:pos="0"/>
        </w:tabs>
        <w:spacing w:before="120" w:after="0" w:line="276" w:lineRule="auto"/>
        <w:ind w:firstLine="0"/>
        <w:rPr>
          <w:noProof/>
          <w:color w:val="000000"/>
          <w:lang w:val="hy-AM"/>
        </w:rPr>
      </w:pPr>
      <w:r w:rsidRPr="00ED6E35">
        <w:rPr>
          <w:noProof/>
          <w:color w:val="000000"/>
          <w:lang w:val="hy-AM"/>
        </w:rPr>
        <w:t>ՀՀ կառավարությունը ռազմարդյունաբերական համալիրի զարգացումը սահմանում է որպես զինված ուժերի մարտունակության ապահովման և բարձրացման, տնտեսական աճի, գիտական և տեխնոլոգիական առաջընթացի առանցքային գործոններից մեկը։</w:t>
      </w:r>
    </w:p>
    <w:p w14:paraId="64DD9BAD" w14:textId="77777777" w:rsidR="00EF468F" w:rsidRPr="00ED6E35" w:rsidRDefault="00EF468F" w:rsidP="004247C0">
      <w:pPr>
        <w:tabs>
          <w:tab w:val="left" w:pos="0"/>
        </w:tabs>
        <w:spacing w:before="120" w:after="0" w:line="276" w:lineRule="auto"/>
        <w:ind w:firstLine="0"/>
        <w:rPr>
          <w:noProof/>
          <w:color w:val="000000"/>
          <w:lang w:val="hy-AM"/>
        </w:rPr>
      </w:pPr>
      <w:r w:rsidRPr="00ED6E35">
        <w:rPr>
          <w:noProof/>
          <w:color w:val="000000"/>
          <w:lang w:val="hy-AM"/>
        </w:rPr>
        <w:t>Բարձր տեխնոլոգիաների և ռազմարդյունաբերության զարգացման համար անհրաժեշտ միջոցառումների շրջանակներում նախատեսվում է.</w:t>
      </w:r>
    </w:p>
    <w:p w14:paraId="24AA3A54"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 xml:space="preserve">Նպաստել ԲՈՒՀ-մասնավոր հատված համագործակցությանը: Արդյունքում նախատեսվում է աջակցել Հայաստանի Հանրապետությունում բարձր տեխնոլոգիական և տեղեկատվական համայնքի զարգացմանը, ինչպես նաև աշխարհում Հայաստանի, որպես գիտելիքահեն տնտեսություն ունեցող երկրի, առաջատար դիրքի ձևավորմանը: </w:t>
      </w:r>
    </w:p>
    <w:p w14:paraId="318C735F"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Ապակենտրոնացնել ԲՏ ոլորտում վերապատրաստված մասնագետների խտացումը մայրաքաղաքում` նպաստելով Երևանի ու մարզերի միջև առկա սոցիալ-տնտեսական անհամամասնությունների կրճատմանը: Կադրերի վերապատրաստման համապատասխան ծրագրի իրականացմամբ սկսնակ մասնագետներին տեխնոլոգիական ոլորտում պրակտիկա անցնելու հնարավորություն ընձեռել:</w:t>
      </w:r>
    </w:p>
    <w:p w14:paraId="7432C898"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Զարգացնել բարձր տեխնոլոգիական ոլորտի համար անհրաժեշտ էկոհամակարգը ներառյալ թիրախավորված գիտահետազոտական աշխատանքների, ստեղծագործական խմբերի, նորաստեղծ ընկերությունների ֆինանսավորումը, ինչպես նաև միջազգային հայտնի աքսելերացիոն ծրագրերին մասնակցելու համար տրամադրվող աջակցության ապահովումը:</w:t>
      </w:r>
    </w:p>
    <w:p w14:paraId="5B465B30"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Հայկական Սփյուռքի ներգրավվածությունն ապահովելու նպատակով նախատեսվում է տարբեր ձևաչափերով շարունակական համագործակցության հարթակ ստեղծել հայկական ընկերությունների, կազմակերպությունների և անհատների միջև, որի շնորհիվ հնարավորություն կստեղծվի օգտագործել ինչպես սփյուռքի մասնագիտական ներուժն ու կարողություները, այնպես էլ ունեցած հնարավորություններն ու կապերը։</w:t>
      </w:r>
    </w:p>
    <w:p w14:paraId="352536E6"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Միասնական թվային միջավայրի ձևավորում՝ թվային համակարգերի ներդրման և կայքերի արդիականացման միջոցով:</w:t>
      </w:r>
    </w:p>
    <w:p w14:paraId="6FB7F60F" w14:textId="4F554382"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 xml:space="preserve">Ռազմարդյունաբերության զարգացման ուղղությամբ </w:t>
      </w:r>
      <w:r w:rsidR="004052EB" w:rsidRPr="00ED6E35">
        <w:rPr>
          <w:rFonts w:cs="GHEA Grapalat"/>
          <w:lang w:val="hy-AM"/>
        </w:rPr>
        <w:t xml:space="preserve">շարունակվում է </w:t>
      </w:r>
      <w:r w:rsidRPr="00ED6E35">
        <w:rPr>
          <w:rFonts w:cs="GHEA Grapalat"/>
          <w:lang w:val="hy-AM"/>
        </w:rPr>
        <w:t xml:space="preserve"> ավելացնել  նոր տեխնոլոգիական ուղղություններով գիտահետազոտական աշխատանքների ֆինանսավորումը, ինչպես նաև ապահովել արտադրական կարողությունների զարգացումը։</w:t>
      </w:r>
    </w:p>
    <w:p w14:paraId="44D2E485" w14:textId="77777777" w:rsidR="00EF468F" w:rsidRPr="00ED6E35" w:rsidRDefault="00EF468F" w:rsidP="004247C0">
      <w:pPr>
        <w:tabs>
          <w:tab w:val="left" w:pos="0"/>
        </w:tabs>
        <w:spacing w:before="120" w:after="0" w:line="276" w:lineRule="auto"/>
        <w:ind w:firstLine="0"/>
        <w:rPr>
          <w:b/>
          <w:bCs/>
          <w:i/>
          <w:noProof/>
          <w:color w:val="000000"/>
          <w:lang w:val="hy-AM"/>
        </w:rPr>
      </w:pPr>
      <w:r w:rsidRPr="00ED6E35">
        <w:rPr>
          <w:b/>
          <w:bCs/>
          <w:i/>
          <w:noProof/>
          <w:color w:val="000000"/>
          <w:lang w:val="hy-AM"/>
        </w:rPr>
        <w:t xml:space="preserve">Ոլորտի հիմնական թիրախներն են. </w:t>
      </w:r>
    </w:p>
    <w:p w14:paraId="69959290"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 xml:space="preserve">Տնտեսության միջնաժամկետ և երկարաժամկետ կայուն աճի շարժիչ ուժը պետք է հանդիսանա նորարարությունը և առաջադեմ տեխնոլոգիաների ստեղծումն ու կիրառումը: </w:t>
      </w:r>
      <w:r w:rsidRPr="00ED6E35">
        <w:rPr>
          <w:rFonts w:cs="GHEA Grapalat"/>
          <w:lang w:val="hy-AM"/>
        </w:rPr>
        <w:lastRenderedPageBreak/>
        <w:t>Միաժամանակ Հայաստանի զարգացման հենասյունը կրթված, ստեղծագործ և ազատ քաղաքացին է, ուստի գիտելիքահենք տնտեսության զարգացման համար անհրաժեշտ է խրախուսել նորարարությունը և նախաձեռնողականությունը:</w:t>
      </w:r>
    </w:p>
    <w:p w14:paraId="2A248CC2"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 xml:space="preserve"> Ապահովել տեխնոլոգիական ընկերությունների կողմից ստեղծված բարձրորակ կրթական ծրագրերի լայն կիրառումը ԲՈՒՀ-երում ինչպես նաև Հայաստանի տարբեր քաղաքներում գտնվող տեխնոլոգիական կենտրոններում և կրթական այլ հաստատություններում </w:t>
      </w:r>
    </w:p>
    <w:p w14:paraId="5738BE46"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Խրախուսել գիտության և մասնավոր հատվածի միջև համագործակցությունը, գիտական հետազոտությունների արդյունքների առևտրայնացումը` դրամաշնորհային ծրագրերի իրագործման և ներդրողների ներգրավման միջոցով:</w:t>
      </w:r>
    </w:p>
    <w:p w14:paraId="36E86E6E"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Ստարտափ էկոհամակարգի զարգացման և միջազգային շուկաներում հայկական ընկերությունների առաջխաղացման և ամրապնդման նպատակով օժանդակել ընկերություններին մասնակցել միջազգային հեղինակավոր աքսելերացիոն կազմակերպությունների ուսուցողական ծրագրերին:</w:t>
      </w:r>
    </w:p>
    <w:p w14:paraId="0DE13420" w14:textId="77777777"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Աջակցել միջազգային շուկաներում հայկական բարձր տեխնոլոգիական ընկերությունների, նրանց ստեղծած արտադրանքի և ծառայությունների պատշաճ ներկայացմանը և միջազգային G2G (կառավարություն-կառավարության) և B2B (բիզնես-բիզնես) համագործակցության պլատֆորմների զարգացմանը:</w:t>
      </w:r>
    </w:p>
    <w:p w14:paraId="228FDE88" w14:textId="7FFDA0AB" w:rsidR="00EF468F" w:rsidRPr="00ED6E35" w:rsidRDefault="00EF468F"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sidRPr="00ED6E35">
        <w:rPr>
          <w:rFonts w:cs="GHEA Grapalat"/>
          <w:lang w:val="hy-AM"/>
        </w:rPr>
        <w:t>ՀՀ մարզերի համահարթ զարգացման նպատակով խթանել մարզերում ժամանակակից հագեցած տեխնոլոգիական կենտրոնների արդյունավետ գործունեությունը:</w:t>
      </w:r>
    </w:p>
    <w:p w14:paraId="0458D377" w14:textId="77777777" w:rsidR="00EF468F" w:rsidRDefault="00EF468F" w:rsidP="004247C0">
      <w:pPr>
        <w:pStyle w:val="ListParagraph"/>
        <w:numPr>
          <w:ilvl w:val="0"/>
          <w:numId w:val="30"/>
        </w:numPr>
        <w:tabs>
          <w:tab w:val="left" w:pos="0"/>
          <w:tab w:val="left" w:pos="8820"/>
        </w:tabs>
        <w:spacing w:before="120" w:after="0" w:line="276" w:lineRule="auto"/>
        <w:ind w:left="90"/>
        <w:contextualSpacing w:val="0"/>
        <w:rPr>
          <w:sz w:val="24"/>
          <w:szCs w:val="24"/>
          <w:lang w:val="hy-AM"/>
        </w:rPr>
      </w:pPr>
      <w:r w:rsidRPr="00ED6E35">
        <w:rPr>
          <w:lang w:val="hy-AM"/>
        </w:rPr>
        <w:t>Տրամադրել պետական աջակցություն տեղեկատվական տեխնոլոգիաների ոլորտում գործունեություն իրականացնող առևտրային կազմակերպություններին և անհատ ձեռնարկատերերին</w:t>
      </w:r>
      <w:r>
        <w:rPr>
          <w:rFonts w:cs="GHEA Grapalat"/>
          <w:sz w:val="24"/>
          <w:szCs w:val="24"/>
          <w:lang w:val="hy-AM"/>
        </w:rPr>
        <w:t>:</w:t>
      </w:r>
    </w:p>
    <w:p w14:paraId="527C2D5C" w14:textId="77777777" w:rsidR="00080175" w:rsidRDefault="00080175" w:rsidP="004247C0">
      <w:pPr>
        <w:pStyle w:val="BodyText"/>
        <w:tabs>
          <w:tab w:val="left" w:pos="0"/>
        </w:tabs>
        <w:spacing w:before="120" w:after="0" w:line="276" w:lineRule="auto"/>
        <w:ind w:firstLine="0"/>
        <w:rPr>
          <w:lang w:val="hy-AM"/>
        </w:rPr>
      </w:pPr>
    </w:p>
    <w:p w14:paraId="00E4F2AD"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188" w:name="_Toc13837359"/>
      <w:bookmarkStart w:id="189" w:name="_Toc14687637"/>
      <w:bookmarkStart w:id="190" w:name="_Toc45637522"/>
      <w:bookmarkStart w:id="191" w:name="_Toc45838546"/>
      <w:bookmarkStart w:id="192" w:name="_Toc170926326"/>
      <w:r w:rsidRPr="00FE0674">
        <w:rPr>
          <w:rFonts w:eastAsia="Times New Roman" w:cs="Times New Roman"/>
          <w:b w:val="0"/>
          <w:caps w:val="0"/>
          <w:color w:val="44546A" w:themeColor="text2"/>
          <w:sz w:val="24"/>
          <w:szCs w:val="24"/>
        </w:rPr>
        <w:t xml:space="preserve">6. </w:t>
      </w:r>
      <w:r w:rsidRPr="00A86D11">
        <w:rPr>
          <w:rFonts w:eastAsia="Times New Roman" w:cs="Times New Roman"/>
          <w:b w:val="0"/>
          <w:caps w:val="0"/>
          <w:color w:val="44546A" w:themeColor="text2"/>
          <w:sz w:val="24"/>
          <w:szCs w:val="24"/>
        </w:rPr>
        <w:t>ՏԱՐԱԾՔԱՅԻՆ ԿԱՌԱՎԱՐՈՒՄ ԵՎ ԵՆԹԱԿԱՌՈՒՑՎԱԾՔՆԵՐ</w:t>
      </w:r>
      <w:bookmarkEnd w:id="188"/>
      <w:bookmarkEnd w:id="189"/>
      <w:bookmarkEnd w:id="190"/>
      <w:bookmarkEnd w:id="191"/>
      <w:bookmarkEnd w:id="192"/>
    </w:p>
    <w:p w14:paraId="1597685D" w14:textId="77777777" w:rsidR="00A86D11" w:rsidRPr="00ED6E35" w:rsidRDefault="00A86D11" w:rsidP="004247C0">
      <w:pPr>
        <w:tabs>
          <w:tab w:val="left" w:pos="0"/>
        </w:tabs>
        <w:spacing w:before="120" w:after="0" w:line="276" w:lineRule="auto"/>
        <w:ind w:firstLine="0"/>
        <w:rPr>
          <w:rFonts w:cs="Sylfaen"/>
          <w:lang w:val="hy-AM"/>
        </w:rPr>
      </w:pPr>
      <w:r w:rsidRPr="00ED6E35">
        <w:rPr>
          <w:rFonts w:cs="Sylfaen"/>
          <w:lang w:val="hy-AM"/>
        </w:rPr>
        <w:t xml:space="preserve">ՀՀ տարածքային կառավարման և ենթակառուցվածքների նախարարությունը մշակում և իրականացնում է՝ տարածքային կառավարման և ենթակառուցվածքների գործունեության արդյունավետության բարձրացման, բնակչության տեղաշարժերի ընթացքում առաջացող իրավահարաբերությունների կարգավորման և պետական գույքի կառավարման արդյունավետության բարձրացման ոլորտներում </w:t>
      </w:r>
      <w:r w:rsidRPr="00ED6E35">
        <w:rPr>
          <w:rFonts w:eastAsia="Calibri" w:cs="GHEA Grapalat"/>
          <w:lang w:val="hy-AM"/>
        </w:rPr>
        <w:t>պետական քաղաքականությունը</w:t>
      </w:r>
      <w:r w:rsidRPr="00ED6E35">
        <w:rPr>
          <w:rFonts w:cs="Sylfaen"/>
          <w:lang w:val="hy-AM"/>
        </w:rPr>
        <w:t xml:space="preserve">: Մասնավորապես նախանշվել են ոլորտի հետևյալ հիմնական թիրախները. </w:t>
      </w:r>
    </w:p>
    <w:p w14:paraId="6C8B7168" w14:textId="12719DC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t xml:space="preserve">Երկրի ճանապարհատրանսպորտային ենթակառուցվածքների գործունեության արդյունավետության բարձրացումը, ինչպես նաև տնտեսության և ազգաբնակչության պահանջների բավարարման որակի բարձրացման միջոցով՝ անվտանգ և արդյունավետ տրանսպորտային ծառայությունների ապահովումը: Այս ուղղությամբ կշարունակվեն ՀՀ կառավարության ծրագրով նախատեսված նպատակների և այլ ռազմավարական ուղենիշների և թիրախների ապահովմանն ուղղված միջոցառումների իրականացումը: Մասնավորապես կշարունակվեն ռազմավարական նշանակություն ունեցող Հյուսիս-Հարավ ճանապարհային միջանցքի, Մ6 Վանաձոր-Ալավերդի-Վրաստանի սահման ծրագրի շրջանակներում Դիլիջանի և Պուշկինի թունելների նախագծման և վերանորոգման աշխատանքները: Կմեկնարկեն </w:t>
      </w:r>
      <w:r w:rsidRPr="00ED6E35">
        <w:rPr>
          <w:rFonts w:cs="GHEA Grapalat"/>
          <w:lang w:val="hy-AM"/>
        </w:rPr>
        <w:lastRenderedPageBreak/>
        <w:t>ռազմավարական նշանակություն ունեցող Սիսիան-Քաջարան ճանապարհի, Քաջարանի թունելի և Գյումրի շրջանցիկ ճանապարհի կառուցմանն ուղղվող աշխատանքները: Ներքին աղբյուրների հաշվին կիրականացվեն ավտոմոբիլային ճանապարհների և տրանսպորտային օբյեկտների կառուցման/հիմնանորոգման աշխատանքները, ավտոմոբիլային ճանապարհների և դրանց վրա գտնվող կառույցների պահպանվածությունը: 202</w:t>
      </w:r>
      <w:r w:rsidR="00B96769" w:rsidRPr="00ED6E35">
        <w:rPr>
          <w:rFonts w:cs="GHEA Grapalat"/>
          <w:lang w:val="hy-AM"/>
        </w:rPr>
        <w:t>5</w:t>
      </w:r>
      <w:r w:rsidRPr="00ED6E35">
        <w:rPr>
          <w:rFonts w:cs="GHEA Grapalat"/>
          <w:lang w:val="hy-AM"/>
        </w:rPr>
        <w:t xml:space="preserve">թ. նախատեսվում է իրականացնել 390 կմ, 2026թ.՝ 430 կմ և 2027թ. 435 կմ երկարությամբ միջպետական հանրապետական և մարզային նշանակության ավտոմոբիլային ճանապարհների հիմնանորոգման և միջին նորոգման աշխատանքներ: </w:t>
      </w:r>
    </w:p>
    <w:p w14:paraId="3C8A8769"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t xml:space="preserve">Քաղաքային ենթակառուցվածքների զարգացման ուղղությամբ նախատեսվում է իրականացնել Երևանի մետրոպոլիտենի նորոգման, Երևան քաղաքի Աջափնյակ թաղամասում մետրոպոլիտենի կայարանի կառուցման, ինչպես նաև Երևան քաղաքի Իսակով-Արշակունյաց ճանապարհի կառուցմանն ուղղվող աշխատանքները։ </w:t>
      </w:r>
    </w:p>
    <w:p w14:paraId="29799EE3"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t xml:space="preserve">ՀՀ կառավարության կողմից կշարունակվի համաֆինանսավորման սկզբունքով համայնքներին սուբվենցիոն ծրագրերի իրականացման համար միջոցների հատկացման գործընթացը։ Միաժամանակ որպես փորձնական միջոցառում  նախատեսվում են ՀՀ պետական բյուջեից մասնակցային բյուջետավորման ընթացակարգով ձևավորված ծրագրերի/ միջոցառումների իրականացման նպատակով հատկացումներ համայնքներին։  </w:t>
      </w:r>
    </w:p>
    <w:p w14:paraId="39D138D7" w14:textId="7241272E"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Sylfaen"/>
          <w:lang w:val="hy-AM"/>
        </w:rPr>
      </w:pPr>
      <w:r w:rsidRPr="00ED6E35">
        <w:rPr>
          <w:rFonts w:cs="GHEA Grapalat"/>
          <w:lang w:val="hy-AM"/>
        </w:rPr>
        <w:t>ՀՀ կառավարության 2021 թվականի օգոստոսի 18-ի 1363-Ա որոշմամբ հավանության արժանացած ՀՀ կառավարության ծրագրի (2021-2026թթ.) 3.4 կետով սահմանված է, որ ՀՀ կառավարության կողմից խթանվելու է էներգաարդյունավետության և էներգախնայողության միջոցառումների լայնածավալ</w:t>
      </w:r>
      <w:r w:rsidRPr="00ED6E35">
        <w:rPr>
          <w:rFonts w:cs="Sylfaen"/>
          <w:lang w:val="hy-AM"/>
        </w:rPr>
        <w:t xml:space="preserve"> իրականացումը տնտեսության բոլոր ճյուղերում։ Հիշյալ դրույթն ամրագրված է նաև ՀՀ էներգետիկայի բնագավառի զարգացման ռազմավարական ծրագրում (մինչև 2040 թվականը), «Էներգախնայողության և վերականգնվող էներգետիկայի մասին» ՀՀ օրենքում և Էներգախնայողության և վերականգնվող էներգետիկայի 2022-2030 թվականների ծրագրում։ Կայուն էներգետիկայի զարգացումը՝ էներգախնայողության, վերականգնվող էներգիայի, ինչպես նաև էներգետիկ անվտանգության ցուցանիշներին համապատասխան՝ Հայաստանի էներգետիկ անկախություն ապահովելու նպատակադրմամբ: Պ</w:t>
      </w:r>
      <w:r w:rsidRPr="00ED6E35">
        <w:rPr>
          <w:rFonts w:eastAsia="Calibri" w:cs="GHEA Grapalat"/>
          <w:lang w:val="hy-AM"/>
        </w:rPr>
        <w:t xml:space="preserve">ետական </w:t>
      </w:r>
      <w:r w:rsidRPr="00ED6E35">
        <w:rPr>
          <w:rFonts w:cs="Sylfaen"/>
          <w:lang w:val="hy-AM"/>
        </w:rPr>
        <w:t>քաղաքականությունն էներգետիկայի ոլորտում ուղղված է լինելու երկրի էներգետիկ անկախության ապահովմանն ու անվտանգության բարձրացմանը, տարածաշրջանային ինտեգրման գործընթացի ապահովմանը, էներգետիկ ոլորտի կայուն զարգացմանը` հենվելով տեղական առաջնային (վերականգնվող) էներգապաշարների լիիրավ և արդյունավետ օգտագործման, ատոմային էներգետիկայի հետագա զարգացման, էներգակիրների մատակարարման տարատեսականացման և էներգաարդյունավետ ու նոր տեխնոլոգիաների ներդրման վրա: Կշարունակվեն ՀՀ կառավարության 15.04.2022թ. N 520–Լ որոշմամբ նախատեսված բնակարանների և անհատական բնակելի տների էներգաարդյունավետ վերանորոգման աշխատանքների պետական աջակցության ծրագիրը, որով կսուբսիդավորվեն շուրջ 12000 շահառուներ: Կ</w:t>
      </w:r>
      <w:r w:rsidRPr="00ED6E35">
        <w:rPr>
          <w:lang w:val="hy-AM"/>
        </w:rPr>
        <w:t>մեկնարկեն Հայկական ատոմային էլեկտրակայանի թիվ 2 էներգաբլոկի շահագործման 202</w:t>
      </w:r>
      <w:r w:rsidR="003F5F0D" w:rsidRPr="00ED6E35">
        <w:rPr>
          <w:lang w:val="hy-AM"/>
        </w:rPr>
        <w:t>6</w:t>
      </w:r>
      <w:r w:rsidRPr="00ED6E35">
        <w:rPr>
          <w:lang w:val="hy-AM"/>
        </w:rPr>
        <w:t>-20</w:t>
      </w:r>
      <w:r w:rsidR="003F5F0D" w:rsidRPr="00ED6E35">
        <w:rPr>
          <w:lang w:val="hy-AM"/>
        </w:rPr>
        <w:t>3</w:t>
      </w:r>
      <w:r w:rsidR="008F60F2" w:rsidRPr="00ED6E35">
        <w:rPr>
          <w:lang w:val="hy-AM"/>
        </w:rPr>
        <w:t>0</w:t>
      </w:r>
      <w:r w:rsidRPr="00ED6E35">
        <w:rPr>
          <w:lang w:val="hy-AM"/>
        </w:rPr>
        <w:t xml:space="preserve">թթ </w:t>
      </w:r>
      <w:r w:rsidR="006972A3" w:rsidRPr="00ED6E35">
        <w:rPr>
          <w:lang w:val="hy-AM"/>
        </w:rPr>
        <w:t xml:space="preserve">կրկնակի </w:t>
      </w:r>
      <w:r w:rsidRPr="00ED6E35">
        <w:rPr>
          <w:lang w:val="hy-AM"/>
        </w:rPr>
        <w:t>երկարաձգման աշխատանքները:</w:t>
      </w:r>
    </w:p>
    <w:p w14:paraId="2A7E69CC"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t xml:space="preserve">Պետական քաղաքականությունը հանքարդյունաբերության ոլորտում ուղղված է թափանցիկության, հանրության առջև բարձր հաշվետվողականության ապահովմանը: Բնական պաշարների արդյունավետ և թափանցիկ կառավարման դեպքում երկիրը կարող է ստանալ տնտեսական արդյունքներ, որոնք կօգնեն ապահովել տնտեսական աճ: </w:t>
      </w:r>
    </w:p>
    <w:p w14:paraId="4EAD7AD8"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lastRenderedPageBreak/>
        <w:t xml:space="preserve">Ջրամատակարարման և ջրահեռացման (կեղտաջրերի մաքրման) ոլորտում առկա խնդիրների լուծումը, մասնավորապես՝ խմելու ջրի որակի բարձրացումը, յուրաքանչյուր սոցիալական խմբի և շահառուի համար ծառայությունների հասանելիության ապահովումը, սպառողներին մատուցվող ծառայությունների որակի շարունակական բարելավումը և պահանջների բավարարումը: </w:t>
      </w:r>
    </w:p>
    <w:p w14:paraId="704E9219" w14:textId="58E3E5C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Sylfaen"/>
          <w:lang w:val="hy-AM"/>
        </w:rPr>
      </w:pPr>
      <w:r w:rsidRPr="00ED6E35">
        <w:rPr>
          <w:rFonts w:cs="GHEA Grapalat"/>
          <w:lang w:val="hy-AM"/>
        </w:rPr>
        <w:t>ՀՀ կառավարության կողմից կշարունակվի ոռոգման ոլորտում առկա խնդիրների լուծումը և վիճակի բարելավման նպատակով անհրաժեշտ օրենսդրական և կառուցվածքային բարեփոխումների նախապատրաստումը և իրականացումը: Մասնավորապես. կշարունակվի ոռոգման ջրի կայուն մատակարարումը, ջրամբարաշինության ծրագրերի նախապատրաստումը և իրականացումը: Այդ ուղղությամբ 202</w:t>
      </w:r>
      <w:r w:rsidR="00496D95" w:rsidRPr="00ED6E35">
        <w:rPr>
          <w:rFonts w:cs="GHEA Grapalat"/>
          <w:lang w:val="hy-AM"/>
        </w:rPr>
        <w:t>5</w:t>
      </w:r>
      <w:r w:rsidRPr="00ED6E35">
        <w:rPr>
          <w:rFonts w:cs="GHEA Grapalat"/>
          <w:lang w:val="hy-AM"/>
        </w:rPr>
        <w:t>թ-ին նախատեսվում է</w:t>
      </w:r>
      <w:r w:rsidRPr="00ED6E35">
        <w:rPr>
          <w:rFonts w:cs="GHEA Grapalat"/>
          <w:color w:val="FF0000"/>
          <w:lang w:val="hy-AM"/>
        </w:rPr>
        <w:t xml:space="preserve"> </w:t>
      </w:r>
      <w:r w:rsidRPr="00ED6E35">
        <w:rPr>
          <w:rFonts w:cs="GHEA Grapalat"/>
          <w:lang w:val="hy-AM"/>
        </w:rPr>
        <w:t>իրականացնել թվով 9 փոքր և միջին ջրամբարների տեխնիկատնտեսական ուսումնասիրությունների և դրանց արդյունքներով նախգծանախահաշվային փաստաթղթերի ձեռքբերումը, կտրվի թվով 3 ջրամբարների կառուցման աշխատանքների մեկնարկը, 202</w:t>
      </w:r>
      <w:r w:rsidR="00942EF9" w:rsidRPr="00ED6E35">
        <w:rPr>
          <w:rFonts w:cs="GHEA Grapalat"/>
          <w:lang w:val="hy-AM"/>
        </w:rPr>
        <w:t>6</w:t>
      </w:r>
      <w:r w:rsidRPr="00ED6E35">
        <w:rPr>
          <w:rFonts w:cs="GHEA Grapalat"/>
          <w:lang w:val="hy-AM"/>
        </w:rPr>
        <w:t>-202</w:t>
      </w:r>
      <w:r w:rsidR="00942EF9" w:rsidRPr="00ED6E35">
        <w:rPr>
          <w:rFonts w:cs="GHEA Grapalat"/>
          <w:lang w:val="hy-AM"/>
        </w:rPr>
        <w:t>7</w:t>
      </w:r>
      <w:r w:rsidRPr="00ED6E35">
        <w:rPr>
          <w:rFonts w:cs="GHEA Grapalat"/>
          <w:lang w:val="hy-AM"/>
        </w:rPr>
        <w:t>թթ-ին՝ թվով 6 ջրամբարների շինարարության շարունակականության ապահովումը</w:t>
      </w:r>
      <w:r w:rsidRPr="00ED6E35">
        <w:rPr>
          <w:rFonts w:cs="Sylfaen"/>
          <w:lang w:val="hy-AM"/>
        </w:rPr>
        <w:t xml:space="preserve">: Բացի այդ, գործուն միջոցներ կձեռնարկվեն ոռոգման համակարգերի սպասարկման տարածքում ընդգրկված և լրացուցիչ ոռոգելի հողերի ջրամատակարարման համար անհրաժեշտ ջրի քանակի ապահովման այլ հնարավորությունների ստեղծման (ինքնահոս համակարգերի, օրվա կարգավորման ջրավազանների նախագծում, վերակառուցում և շինարարություն), ինչպես նաև գործող ջրամաբարների պատշաճ շահագործման ուղղությամբ: </w:t>
      </w:r>
    </w:p>
    <w:p w14:paraId="1147BCED"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ED6E35">
        <w:rPr>
          <w:rFonts w:cs="GHEA Grapalat"/>
          <w:lang w:val="hy-AM"/>
        </w:rPr>
        <w:t>ՀՀ կառավարությունը կշարունակի կոլեկտորադրենաժային ծառայությունների մատուցումը՝ խոնավ (գերխոնավ) գյուղատնտեսական հողատարածքների մելիորատիվ վիճակի բարելավման աշխատանքների իրականացումը, «Արփա-Սևան» թունելի անվտանգ շահագործման շարունակականության ապահովումը, հեղեղման ռիսկի նախնական գնահատման իրականացում, հեղեղումների վտանգի, ռիսկի և կառավարման քարտեզների ու պլանների կազմում:</w:t>
      </w:r>
    </w:p>
    <w:p w14:paraId="08277CAF" w14:textId="77777777" w:rsidR="00A86D11" w:rsidRPr="00ED6E35" w:rsidRDefault="00A86D11" w:rsidP="004247C0">
      <w:pPr>
        <w:numPr>
          <w:ilvl w:val="0"/>
          <w:numId w:val="24"/>
        </w:numPr>
        <w:tabs>
          <w:tab w:val="left" w:pos="0"/>
          <w:tab w:val="left" w:pos="284"/>
        </w:tabs>
        <w:autoSpaceDE w:val="0"/>
        <w:autoSpaceDN w:val="0"/>
        <w:adjustRightInd w:val="0"/>
        <w:spacing w:before="120" w:after="0" w:line="276" w:lineRule="auto"/>
        <w:ind w:firstLine="0"/>
        <w:rPr>
          <w:rFonts w:cs="Sylfaen"/>
          <w:lang w:val="hy-AM"/>
        </w:rPr>
      </w:pPr>
      <w:r w:rsidRPr="00ED6E35">
        <w:rPr>
          <w:rFonts w:cs="GHEA Grapalat"/>
          <w:lang w:val="hy-AM"/>
        </w:rPr>
        <w:t>ՀՀ կառավարության որդեգրած քաղաքականության ներքո կշարունակվի նաև պետական գույքի կառավարման ապահովումը, պետական գույքի մասնավորեցման, օտարման գործընթացներում հրապարակայնության և թափանցիկության ապահովումը, վաճառքի կազմակերպման ժամանակակից ձևերի և մեթոդների կիրառումը, վարձակալության գործընթացի մեկ միասնական</w:t>
      </w:r>
      <w:r w:rsidRPr="00ED6E35">
        <w:rPr>
          <w:rFonts w:cs="Sylfaen"/>
          <w:lang w:val="hy-AM"/>
        </w:rPr>
        <w:t xml:space="preserve"> կանոնակարգով և մոտեցմամբ իրականացումը, վարչարարության պարզեցումը և կրճատումը, ինչպես նաև անհատույց օգտագործման տրամադրման գործընթացում մրցակցային դաշտի ապահովումը։</w:t>
      </w:r>
    </w:p>
    <w:p w14:paraId="53EA6D7D" w14:textId="77777777" w:rsidR="00080175" w:rsidRPr="00ED6E35" w:rsidRDefault="00080175" w:rsidP="004247C0">
      <w:pPr>
        <w:tabs>
          <w:tab w:val="left" w:pos="0"/>
        </w:tabs>
        <w:spacing w:before="120" w:after="0" w:line="276" w:lineRule="auto"/>
        <w:ind w:firstLine="0"/>
        <w:rPr>
          <w:lang w:val="hy-AM"/>
        </w:rPr>
      </w:pPr>
    </w:p>
    <w:p w14:paraId="63773C8F" w14:textId="77777777" w:rsidR="00080175" w:rsidRPr="00ED6E3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rPr>
      </w:pPr>
      <w:bookmarkStart w:id="193" w:name="_Toc45637523"/>
      <w:bookmarkStart w:id="194" w:name="_Toc45838547"/>
      <w:bookmarkStart w:id="195" w:name="_Toc170926327"/>
      <w:bookmarkEnd w:id="169"/>
      <w:bookmarkEnd w:id="170"/>
      <w:bookmarkEnd w:id="171"/>
      <w:bookmarkEnd w:id="172"/>
      <w:bookmarkEnd w:id="173"/>
      <w:bookmarkEnd w:id="174"/>
      <w:bookmarkEnd w:id="175"/>
      <w:bookmarkEnd w:id="176"/>
      <w:bookmarkEnd w:id="177"/>
      <w:bookmarkEnd w:id="178"/>
      <w:bookmarkEnd w:id="185"/>
      <w:bookmarkEnd w:id="186"/>
      <w:r w:rsidRPr="00ED6E35">
        <w:rPr>
          <w:rFonts w:eastAsia="Times New Roman" w:cs="Times New Roman"/>
          <w:b w:val="0"/>
          <w:caps w:val="0"/>
          <w:color w:val="44546A" w:themeColor="text2"/>
        </w:rPr>
        <w:t>7. ԷԿՈՆՈՄԻԿԱ</w:t>
      </w:r>
      <w:bookmarkEnd w:id="193"/>
      <w:bookmarkEnd w:id="194"/>
      <w:bookmarkEnd w:id="195"/>
    </w:p>
    <w:p w14:paraId="76F09CA2" w14:textId="77777777" w:rsidR="00372D62" w:rsidRPr="00ED6E35" w:rsidRDefault="00372D62" w:rsidP="004247C0">
      <w:pPr>
        <w:tabs>
          <w:tab w:val="left" w:pos="0"/>
        </w:tabs>
        <w:spacing w:before="120" w:after="0" w:line="276" w:lineRule="auto"/>
        <w:ind w:firstLine="0"/>
        <w:rPr>
          <w:rFonts w:eastAsia="Calibri" w:cs="Sylfaen"/>
          <w:lang w:val="hy-AM"/>
        </w:rPr>
      </w:pPr>
      <w:bookmarkStart w:id="196" w:name="_Toc13837375"/>
      <w:r w:rsidRPr="00ED6E35">
        <w:rPr>
          <w:rFonts w:eastAsia="Calibri" w:cs="Sylfaen"/>
          <w:lang w:val="hy-AM"/>
        </w:rPr>
        <w:t>Առաջիկա տարիների տնտեսական զարգացման քաղաքականության հիմնական նպատակն է լինելու տնտեսական աճի շարունակական ապահովումը (առնվազն տարեկան 7%, իսկ բարենպաստ արտաքին միջավայրի դեպքում՝ 9%  տնտեսական աճ) Հայաստանի քաղաքացիների բարեկեցության շարունակական բարձրացումը՝ վերջիններիս տնտեսական կյանքում առավել ներառականության ապահովմամբ՝ զուգակցելով այն քաղաքացիների աշխատանքային եկամուտների բարձրացմամբ և ունակությունների ու հնարավորությունների կիրառման համար բարենպաստ պայմանների ստեղծմամբ։</w:t>
      </w:r>
    </w:p>
    <w:p w14:paraId="07B5F3F5"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lastRenderedPageBreak/>
        <w:t xml:space="preserve">Տնտեսական քաղաքականությունը միտված է լինելու նաև տնտեսության  ոլորտներում արտադրողականության աճի ապահովմանը՝ տնտեսության տեխնոլոգիական մոդերնիզացիայի և թվային տնտեսության ձևավորման, ինչպես նաև գործարար միջավայրի շարունակական բարելավման ու այդ ենթատեքստում՝ օրենսդրական դաշտի շարունակական կատարելագործման գործիքակազմի կիրառմամբ։ </w:t>
      </w:r>
    </w:p>
    <w:p w14:paraId="6A5CB047"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Տնտեսական քաղաքականության վերջնարդյունքների ապահովումը հիմնված է լինելու վերջիններիս իրականացմանն ուղղված ռազմավարական փաստաթղթերով նախատեսված միջոցառումների և գործիքակազմի ամբողջական կիրառման վրա, ինչը նպատակաուղղված է լինելու ինչպես օտարերկյա, այնպես էլ՝ մասնավոր ներդրումների խրախուսմանը, գործարար միջավայրի ու ձեռներեցության զարգացմանը, զբոսաշրջության և զբոսաշրջային ինդուստրիայի զարգացմանը, արդյունաբերության, գյուղատնտեսության, ինչպես նաև ծառայությունների ոլորտի դիվերսիֆիկացմանն ու զարգացմանը։</w:t>
      </w:r>
    </w:p>
    <w:p w14:paraId="00E38F6E"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 xml:space="preserve">Շարունակական և կարևորագույն ուղղություններից մեկն է հանդիսանալու արտաքին տնտեսական գործունեության զարգացումը, ինչին միտված է լինելու արտահանման խրախուսմանն ու դիվերսիֆիկացմանը (թե՛ ապրանքների և թե՛ նոր շուկաների գրավման) քաղաքականությունը՝ նպատակադրելով ապահովել արտահանման առնվազն 60-70% աճ: </w:t>
      </w:r>
    </w:p>
    <w:p w14:paraId="35021733"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 xml:space="preserve">Արդյունաբերության մրցունակության աճի առաջնային աղբյուր է դիտարկվում արտադրողականության աճը և միջազգային մրցունակության բարձրացումը՝ տեխնոլոգիաների վերազինման, գիտելիքի կլանման, արտահանման կարողությունների զարգացման, լոգիստիկ խնդիրների մեղմման, և՛ ներքին, և՛ միջազգային թիրախային շուկաների մուտքի, և՛ տեղեկատվության հասանելիության ապահովման միջոցով: </w:t>
      </w:r>
    </w:p>
    <w:p w14:paraId="2C40C7C3"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Ռազմավարական փաստաթղթերով նախատեսված գործողությունները միտված են լինելու հնարավորություն ընձեռելու Հայաստանի Հանրապետությունում արտադրվող ապրանքները (ծառայությունները), մտավոր գործունեության արդյունքներն արտահանել օտարերկրյա պետությունների շուկաներ՝ ստեղծելով առավել բարենպաստ պայմաններ արտաքին տնտեսական գործունեություն իրականացնող տնտեսավարող սուբյեկտների համար, ինչպես նաև Հայաստանի Հանրապետության համար ռազմավարական ոլորտներում տնտեսական աճի ներառականության համար ապահովել քաղաքացիների մասնագիտական կարողությունների ու հմտությունների զարգացումը և աշխատուժի հմտությունների մակարդակի բարձրացումը։</w:t>
      </w:r>
    </w:p>
    <w:p w14:paraId="4C3C46B7"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Միջնաժամկետ հատվածում նախատեսվում է հետևյալը.</w:t>
      </w:r>
    </w:p>
    <w:p w14:paraId="3F71A586"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Դեղագործական արդյունաբերության ոլորտի՝</w:t>
      </w:r>
    </w:p>
    <w:p w14:paraId="05E7C8F8"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w:t>
      </w:r>
      <w:r w:rsidRPr="00ED6E35">
        <w:rPr>
          <w:rFonts w:eastAsia="Calibri" w:cs="Sylfaen"/>
          <w:lang w:val="hy-AM"/>
        </w:rPr>
        <w:tab/>
        <w:t xml:space="preserve">արտադրության ծավալները 2027 թվականին հասցնել 40 մլրդ դրամի, </w:t>
      </w:r>
    </w:p>
    <w:p w14:paraId="281589EB"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w:t>
      </w:r>
      <w:r w:rsidRPr="00ED6E35">
        <w:rPr>
          <w:rFonts w:eastAsia="Calibri" w:cs="Sylfaen"/>
          <w:lang w:val="hy-AM"/>
        </w:rPr>
        <w:tab/>
        <w:t xml:space="preserve">արտահանման ծավալները՝ 25 միլիարդ դրամի, </w:t>
      </w:r>
    </w:p>
    <w:p w14:paraId="5D58BC35"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w:t>
      </w:r>
      <w:r w:rsidRPr="00ED6E35">
        <w:rPr>
          <w:rFonts w:eastAsia="Calibri" w:cs="Sylfaen"/>
          <w:lang w:val="hy-AM"/>
        </w:rPr>
        <w:tab/>
        <w:t>աշխատողների թվաքանակը՝ 1500 մարդու։</w:t>
      </w:r>
    </w:p>
    <w:p w14:paraId="3039342B" w14:textId="77D21C12"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ab/>
        <w:t xml:space="preserve">Հայաստանի տնտեսության մրցունակության բարձրացման և կայուն զարգացման ապահովման կարևորագույն մասն են կազմելու ՓՄՁ սուբյեկտները: Միջնաժամկետ հատվածում նախատեսվում է ՓՄՁ սուբյեկտների մասնաբաժինը ՀՆԱ-ում հասցնել 55%-ի, իսկ տնտեսվարողների մոտ արտադրողականությունը բարձրացնել՝ հասցնելով 12$ ՀՆԱ/ժամ*մարդ-ի։ Հայաստանի Հանրապետությունում ձեռներեցության ոլորտի ուժեղացման, կազմակերպությունների մրցունակության աճի, ներքին և միջազգային թիրախային շուկաներում </w:t>
      </w:r>
      <w:r w:rsidRPr="00ED6E35">
        <w:rPr>
          <w:rFonts w:eastAsia="Calibri" w:cs="Sylfaen"/>
          <w:lang w:val="hy-AM"/>
        </w:rPr>
        <w:lastRenderedPageBreak/>
        <w:t>ներկայացվածության բարձրացման նպատակով՝ նախատեսվում է նպաստել ՓՄՁ սուբյեկտների ձեռնարկատիրական հմտությունների զարգացմանը, հովանոցային երաշխիքի ներդրմանը, ֆինանսական միջոցների հասանելիության ապահովմանը՝ առանձնապես շեշտադրելով նորարար և աճի ներուժ ունեցող ՓՄՁ սուբյեկտներին:</w:t>
      </w:r>
    </w:p>
    <w:p w14:paraId="1D931337"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rFonts w:eastAsia="Calibri" w:cs="Sylfaen"/>
          <w:lang w:val="hy-AM"/>
        </w:rPr>
        <w:t xml:space="preserve">Տնտեսական զարգացման շարժիչը լինելու են նորարարությունը և ստեղծագործելու ձիրքը, գործարար նախաձեռնողականությունը, արդյունավետություն փնտրող ներդրումները և տեխնոլոգիական տարածումը` այդպիսով ընդլայնելով հնարավորի սահմանները: </w:t>
      </w:r>
    </w:p>
    <w:p w14:paraId="2E54E44C" w14:textId="77777777" w:rsidR="00372D62" w:rsidRPr="00ED6E35" w:rsidRDefault="00372D62" w:rsidP="004247C0">
      <w:pPr>
        <w:tabs>
          <w:tab w:val="left" w:pos="0"/>
        </w:tabs>
        <w:spacing w:before="120" w:after="0" w:line="276" w:lineRule="auto"/>
        <w:ind w:firstLine="0"/>
        <w:rPr>
          <w:rFonts w:cs="Times New Roman"/>
          <w:lang w:val="hy-AM"/>
        </w:rPr>
      </w:pPr>
      <w:r w:rsidRPr="00ED6E35">
        <w:rPr>
          <w:rFonts w:cs="Times New Roman"/>
          <w:lang w:val="hy-AM"/>
        </w:rPr>
        <w:t>Որակի ենթակառուցվածքի բարելավումը իրականացվելու է տեխնիկական կանոնակարգման օբյեկտ հանդիսացող արտադրանքների բացակայող փորձարկման լաբորատորիաների հիմնման, ստուգաչափման և տրամաչափարկման լաբորատորիաների հիմնման և արդիականացման, միջազգային չափանիշներին համապատասխան արդյունաբերական չափագիտական կարողությունների ստեղծմամբ (ազգային էտալոններ, լաբորատորիաններ)՝ վերջնարդյունքում ունենալով միջազգայնորեն ճանաչելի համակարգ։</w:t>
      </w:r>
    </w:p>
    <w:p w14:paraId="09C6FDBF" w14:textId="77777777" w:rsidR="00372D62" w:rsidRPr="00ED6E35" w:rsidRDefault="00372D62" w:rsidP="004247C0">
      <w:pPr>
        <w:tabs>
          <w:tab w:val="left" w:pos="0"/>
        </w:tabs>
        <w:spacing w:before="120" w:after="0" w:line="276" w:lineRule="auto"/>
        <w:ind w:firstLine="0"/>
        <w:rPr>
          <w:rFonts w:cs="Times New Roman"/>
          <w:lang w:val="hy-AM"/>
        </w:rPr>
      </w:pPr>
      <w:r w:rsidRPr="00ED6E35">
        <w:rPr>
          <w:rFonts w:cs="Times New Roman"/>
          <w:lang w:val="hy-AM"/>
        </w:rPr>
        <w:t>Զբոսաշրջության՝ որպես տնտեսության գերակա ճյուղի պետական քաղաքականությունը ուղղված է լինելու կայուն, համաչափ և ներառական տարածքային տնտեսական զարգացմանը, ազգային եկամտի ավելացմանը, բնակչության կենսամակարդակի բարձրացմանը, աշխատատեղերի ստեղծմանը, Հայաստանի և hայկական զբոսաշրջային արդյունքի զբաղեցրած տեղի և հասանելիության բարձրացմանը, Հայաստանի Հանրապետության հեղինակության ամրապնդմանը՝ ներկայացնելով հայկական զբոսաշրջային արդյունքը թե՛ չորս հիմնական՝ մշակութային, գաստրո (խոհանոց և գինի), բնահենք և արկածային (ներառյալ՝ ձմեռային), թե՛ զարգացման ներուժ ունեցող ուղղություններով, Հայաստանի դիրքավորմանը որպես որակյալ զբոսաշրջային ծառայություններ առաջարկող երկրի։</w:t>
      </w:r>
    </w:p>
    <w:p w14:paraId="32013C77" w14:textId="77777777" w:rsidR="00372D62" w:rsidRPr="00ED6E35" w:rsidRDefault="00372D62" w:rsidP="004247C0">
      <w:pPr>
        <w:tabs>
          <w:tab w:val="left" w:pos="0"/>
        </w:tabs>
        <w:spacing w:before="120" w:after="0" w:line="276" w:lineRule="auto"/>
        <w:ind w:firstLine="0"/>
        <w:rPr>
          <w:rFonts w:cs="Sylfaen"/>
          <w:lang w:val="hy-AM"/>
        </w:rPr>
      </w:pPr>
      <w:r w:rsidRPr="00ED6E35">
        <w:rPr>
          <w:rFonts w:cs="Sylfaen"/>
          <w:lang w:val="hy-AM"/>
        </w:rPr>
        <w:t xml:space="preserve">Տնտեսական քաղաքականությունը միտված է լինելու գյուղատնտեսության ինտենսիվացմանը, հողային և ջրային ռեսուրսների արդյունավետ և խնայողաբար օգտագործմանը, մասնավորապես ոռոգման կաթիլային համակարգերի ընդլայնմանը և հողերի որակի շարունակական բարելավմանը։ </w:t>
      </w:r>
    </w:p>
    <w:p w14:paraId="74795DEB" w14:textId="77777777" w:rsidR="00372D62" w:rsidRPr="00ED6E35" w:rsidRDefault="00372D62" w:rsidP="004247C0">
      <w:pPr>
        <w:tabs>
          <w:tab w:val="left" w:pos="0"/>
        </w:tabs>
        <w:spacing w:before="120" w:after="0" w:line="276" w:lineRule="auto"/>
        <w:ind w:firstLine="0"/>
        <w:rPr>
          <w:rFonts w:cs="Sylfaen"/>
          <w:lang w:val="hy-AM"/>
        </w:rPr>
      </w:pPr>
      <w:r w:rsidRPr="00ED6E35">
        <w:rPr>
          <w:rFonts w:cs="Sylfaen"/>
          <w:lang w:val="hy-AM"/>
        </w:rPr>
        <w:t>Կարևորագույն թիրախներն են լինելու պարենային անվտանգության մակարդակի բարձրացումը, անասնապահության և բուսաբուծության զարգացումը։</w:t>
      </w:r>
    </w:p>
    <w:p w14:paraId="6F150584" w14:textId="77777777" w:rsidR="00372D62" w:rsidRPr="00ED6E35" w:rsidRDefault="00372D62" w:rsidP="004247C0">
      <w:pPr>
        <w:tabs>
          <w:tab w:val="left" w:pos="0"/>
        </w:tabs>
        <w:spacing w:before="120" w:after="0" w:line="276" w:lineRule="auto"/>
        <w:ind w:firstLine="0"/>
        <w:rPr>
          <w:rFonts w:cs="Sylfaen"/>
          <w:lang w:val="hy-AM"/>
        </w:rPr>
      </w:pPr>
      <w:r w:rsidRPr="00ED6E35">
        <w:rPr>
          <w:rFonts w:cs="Sylfaen"/>
          <w:lang w:val="hy-AM"/>
        </w:rPr>
        <w:t xml:space="preserve">Գյուղատնտեսության ինտենսիվ զարգացման նպատակով շեշտադրվելու է գյուղատնտեսության ոլորտում նոր, ժամանակակից տեխնոգիաների ներդրումն ու տեխնոլոգիական լուծումների կիրառումը։ Կարևորվելու են գյուղատնտեսական արտադրանքի իրացման ու արտահանման խթանումը, ամբողջ արժեշղթայում գյուղացիական տնտեսությունների և կոոպերատիվների, գյուղատնտեսական մթերք վերամշակողների գործունեության և վերջիններիս եկամուտների ավելացմանն ուղղված միջոցառումների մշակումն ու իրականացումը։ </w:t>
      </w:r>
    </w:p>
    <w:p w14:paraId="1481909E"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lang w:val="hy-AM"/>
        </w:rPr>
        <w:t xml:space="preserve">Նշված քաղաքականության իրագործման արդյունքում նախատեսվում է ավելացնել ինտենսիվ այգիների տարածքները, շարունակել սուբսիդավորել գյուղատնտեսական մշակաբույսերի ապահովագրավճարների 50-60%-ը, հանրապետությունում առկա տեխնիկայի հավաքակազմը յուրաքանչյուր տարի թարմացնել շուրջ 500 միավոր նոր գյուղատնտեսական տեխնիկայի տարբեր տեսակներով և շուրջ 250 միավոր ագրոպարենային ոլորտի նոր սարքավորումներով, </w:t>
      </w:r>
      <w:r w:rsidRPr="00ED6E35">
        <w:rPr>
          <w:rFonts w:eastAsia="Calibri" w:cs="Sylfaen"/>
          <w:lang w:val="hy-AM"/>
        </w:rPr>
        <w:t>գյուղատնտեսական հումքի մթերման գործընթացին աջակցության արդյունքում առաջիկա 5 տարիներին հումքի մթերման և թողարկվող արտադրանքի ծավալներն ավելացնել մինչև 50%-</w:t>
      </w:r>
      <w:r w:rsidRPr="00ED6E35">
        <w:rPr>
          <w:rFonts w:eastAsia="Calibri" w:cs="Sylfaen"/>
          <w:lang w:val="hy-AM"/>
        </w:rPr>
        <w:lastRenderedPageBreak/>
        <w:t xml:space="preserve">ով կամ տարեկան շուրջ 10%-ով, գինեգործական արտադրանքի ճանաչելիության բարձրացման միջոցառումների միջոցով արտահանման ծավալները տարեկան ավելացնել 20%-ով, </w:t>
      </w:r>
      <w:r w:rsidRPr="00ED6E35">
        <w:rPr>
          <w:lang w:val="hy-AM"/>
        </w:rPr>
        <w:t xml:space="preserve">աջակցել գյուղատնտեսական նշանակության հողերի կոնսոլիդացմանն ու անասնաբուծության ճյուղում իրականացվող ներդրումային ծրագրերին՝ </w:t>
      </w:r>
      <w:r w:rsidRPr="00ED6E35">
        <w:rPr>
          <w:rFonts w:eastAsia="Calibri" w:cs="Sylfaen"/>
          <w:lang w:val="hy-AM"/>
        </w:rPr>
        <w:t>արդյունքում նվազեցնել հողերի չօգտագործման մակարդակը և նպաստել հանրապետությունում առնվազն 5 խոշոր և արդիական անասնաբուծական համալիրների ստեղծմանը:</w:t>
      </w:r>
    </w:p>
    <w:p w14:paraId="4995B405" w14:textId="77777777" w:rsidR="00372D62" w:rsidRPr="00ED6E35" w:rsidRDefault="00372D62" w:rsidP="004247C0">
      <w:pPr>
        <w:tabs>
          <w:tab w:val="left" w:pos="0"/>
        </w:tabs>
        <w:spacing w:before="120" w:after="0" w:line="276" w:lineRule="auto"/>
        <w:ind w:firstLine="0"/>
        <w:rPr>
          <w:rFonts w:eastAsia="Calibri" w:cs="Sylfaen"/>
          <w:lang w:val="hy-AM"/>
        </w:rPr>
      </w:pPr>
      <w:r w:rsidRPr="00ED6E35">
        <w:rPr>
          <w:lang w:val="hy-AM"/>
        </w:rPr>
        <w:t>Հայաստանի Հանրապետության ագրարային հատվածում պետական քաղաքականությունն առաջիկա տարիներին նպատակաուղղված է լինելու ճյուղի և նրան սպասար</w:t>
      </w:r>
      <w:r w:rsidRPr="00ED6E35">
        <w:rPr>
          <w:lang w:val="hy-AM"/>
        </w:rPr>
        <w:softHyphen/>
        <w:t>կող ոլորտների գործունեության արդյունավետության բարձրացմանը, ժամանակակից պահանջներին համապատասխան ոռոգման զարգացմանը՝ վերացնելով ջրի պահուստավորման, ոռոգման ենթակառուցվածքների, հողերի կոնսոլիդացիայի, ուսուցողական ծառայությունների ու վարկերի հասանելիության հետ կապված ոլորտային խոչընդոտները, ինչպես նաև կլիմայադիմակայուն ակտիվների և ծառայությունների բազմազանության, խոցելի տեղական համայնքների արժեշղթայի ներառականության ավելացմանը: Այս ամենի հիման վրա ստեղծվելու են հատուկ պայ</w:t>
      </w:r>
      <w:r w:rsidRPr="00ED6E35">
        <w:rPr>
          <w:lang w:val="hy-AM"/>
        </w:rPr>
        <w:softHyphen/>
        <w:t>մաններ, որոնք նպաստելու են գյուղատնտեսության հետագա զարգացմանը և ընդլայնված վերարտա</w:t>
      </w:r>
      <w:r w:rsidRPr="00ED6E35">
        <w:rPr>
          <w:lang w:val="hy-AM"/>
        </w:rPr>
        <w:softHyphen/>
        <w:t>դրու</w:t>
      </w:r>
      <w:r w:rsidRPr="00ED6E35">
        <w:rPr>
          <w:lang w:val="hy-AM"/>
        </w:rPr>
        <w:softHyphen/>
        <w:t xml:space="preserve">թյան կազմակերպմանը, գյուղացիական տնտեսությունների իրական եկամուտների ավելացմանը, հանրապետության պարենային ապահովության և պարենային անվտանգության մակարդակի բարձրացմանը։ </w:t>
      </w:r>
    </w:p>
    <w:p w14:paraId="733D0D12" w14:textId="77777777" w:rsidR="00080175" w:rsidRPr="00ED6E35" w:rsidRDefault="00080175" w:rsidP="004247C0">
      <w:pPr>
        <w:tabs>
          <w:tab w:val="left" w:pos="0"/>
        </w:tabs>
        <w:spacing w:before="120" w:after="0" w:line="276" w:lineRule="auto"/>
        <w:ind w:firstLine="0"/>
        <w:rPr>
          <w:rFonts w:eastAsia="Calibri" w:cs="Sylfaen"/>
          <w:lang w:val="hy-AM"/>
        </w:rPr>
      </w:pPr>
    </w:p>
    <w:p w14:paraId="082B72DD" w14:textId="77777777" w:rsidR="00080175" w:rsidRPr="00ED6E3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rPr>
      </w:pPr>
      <w:bookmarkStart w:id="197" w:name="_Toc45637525"/>
      <w:bookmarkStart w:id="198" w:name="_Toc45838549"/>
      <w:bookmarkStart w:id="199" w:name="_Toc170926328"/>
      <w:bookmarkStart w:id="200" w:name="_Toc13837379"/>
      <w:bookmarkStart w:id="201" w:name="_Toc266780840"/>
      <w:bookmarkStart w:id="202" w:name="_Toc456102850"/>
      <w:bookmarkStart w:id="203" w:name="_Toc519513699"/>
      <w:bookmarkEnd w:id="196"/>
      <w:r w:rsidRPr="00ED6E35">
        <w:rPr>
          <w:rFonts w:eastAsia="Times New Roman" w:cs="Times New Roman"/>
          <w:b w:val="0"/>
          <w:caps w:val="0"/>
          <w:color w:val="44546A" w:themeColor="text2"/>
        </w:rPr>
        <w:t>8. ԱՐԴԱՐԱԴԱՏՈՒԹՅՈՒՆ</w:t>
      </w:r>
      <w:bookmarkEnd w:id="197"/>
      <w:bookmarkEnd w:id="198"/>
      <w:bookmarkEnd w:id="199"/>
      <w:r w:rsidRPr="00ED6E35">
        <w:rPr>
          <w:rFonts w:eastAsia="Times New Roman" w:cs="Times New Roman"/>
          <w:b w:val="0"/>
          <w:caps w:val="0"/>
          <w:color w:val="44546A" w:themeColor="text2"/>
        </w:rPr>
        <w:t xml:space="preserve"> </w:t>
      </w:r>
      <w:bookmarkEnd w:id="200"/>
    </w:p>
    <w:p w14:paraId="05E23D90" w14:textId="77777777" w:rsidR="00080175" w:rsidRPr="00ED6E35" w:rsidRDefault="00080175" w:rsidP="004247C0">
      <w:pPr>
        <w:tabs>
          <w:tab w:val="left" w:pos="0"/>
          <w:tab w:val="left" w:pos="851"/>
        </w:tabs>
        <w:spacing w:before="120" w:after="0" w:line="276" w:lineRule="auto"/>
        <w:ind w:firstLine="0"/>
        <w:rPr>
          <w:rFonts w:eastAsia="GHEA Grapalat" w:cs="GHEA Grapalat"/>
          <w:color w:val="000000"/>
          <w:lang w:val="hy-AM"/>
        </w:rPr>
      </w:pPr>
      <w:r w:rsidRPr="00ED6E35">
        <w:rPr>
          <w:rFonts w:eastAsia="GHEA Grapalat" w:cs="GHEA Grapalat"/>
          <w:color w:val="000000"/>
          <w:lang w:val="hy-AM"/>
        </w:rPr>
        <w:t xml:space="preserve">ՄԺԾԾ ժամանակահատվածում արդարադատության ոլորտում շարունակաբար իրականացվելու է </w:t>
      </w:r>
      <w:r w:rsidRPr="00ED6E35">
        <w:rPr>
          <w:rFonts w:cs="Sylfaen"/>
          <w:lang w:val="hy-AM"/>
        </w:rPr>
        <w:t>պ</w:t>
      </w:r>
      <w:r w:rsidRPr="00ED6E35">
        <w:rPr>
          <w:rFonts w:eastAsia="Calibri" w:cs="GHEA Grapalat"/>
          <w:lang w:val="hy-AM"/>
        </w:rPr>
        <w:t>ետական</w:t>
      </w:r>
      <w:r w:rsidRPr="00ED6E35">
        <w:rPr>
          <w:rFonts w:eastAsia="GHEA Grapalat" w:cs="GHEA Grapalat"/>
          <w:color w:val="000000"/>
          <w:lang w:val="hy-AM"/>
        </w:rPr>
        <w:t xml:space="preserve"> քաղաքականությունը, մասնավորապես՝ հարկադիր կատարման, քրեակատարողական, պրոբացիայի, սնանկության, փաստաբանության, հաշտարարության, նոտարական գործունեության, քաղաքացիական կացության ակտերի պետական գրանցման, իրավաբանական անձանց պետական գրանցման և հաշվառման, անհատ ձեռնարկատերերի հաշվառման, զանգվածային լրատվության միջոցների հաշվառման, անձնական տվյալների պաշտպանության, շարժական գույքի նկատմամբ ապահովված իրավունքների գրանցման, իրավական փորձաքննության, միջազգային իրավական փոխօգնության, հակակոռուպցիոն և պետական ծառայությունների մատուցման միասնական գրասենյակների գործունեության ոլորտներում: </w:t>
      </w:r>
    </w:p>
    <w:p w14:paraId="53607668" w14:textId="77777777" w:rsidR="00080175" w:rsidRPr="00ED6E35" w:rsidRDefault="00080175" w:rsidP="004247C0">
      <w:pPr>
        <w:tabs>
          <w:tab w:val="left" w:pos="0"/>
          <w:tab w:val="left" w:pos="851"/>
        </w:tabs>
        <w:spacing w:before="120" w:after="0" w:line="276" w:lineRule="auto"/>
        <w:ind w:firstLine="0"/>
        <w:rPr>
          <w:rFonts w:eastAsia="GHEA Grapalat" w:cs="GHEA Grapalat"/>
          <w:color w:val="000000"/>
          <w:lang w:val="hy-AM"/>
        </w:rPr>
      </w:pPr>
      <w:r w:rsidRPr="00ED6E35">
        <w:rPr>
          <w:rFonts w:eastAsia="GHEA Grapalat" w:cs="GHEA Grapalat"/>
          <w:color w:val="000000"/>
          <w:lang w:val="hy-AM"/>
        </w:rPr>
        <w:t>Մասնավորապես, միջնաժամկետ հատվածում դատաիրավական ոլորտում աշխատանքներն ուղղված են լինելու Սահմանադրական բարեփոխումների անցկացմանը, դատական իշխանության անկախության և անաչառության ամրապնդմանը, դատավորի թեկնածուի հավակնորդների բարեվարքության ստուգմանը, դատարանների շենքերի և նյութատեխնիկական պայմանների բարելավմանը, պետական և տեղական ինքնակառավարման մարմինների կողմից մատուցվող ծառայությունների միասնական հարթակի ապահովմանը, սնանկության համակարգի արդյունավետության բարձրացմանը, վեճերի լուծման այլընտրանքային եղանակների զարգացմանը, Էլեկտրոնային արդարադատության միասնական համակարգի ներդրմանը։</w:t>
      </w:r>
    </w:p>
    <w:p w14:paraId="36AB5D5B" w14:textId="77777777" w:rsidR="00080175" w:rsidRPr="00ED6E35" w:rsidRDefault="00080175" w:rsidP="004247C0">
      <w:pPr>
        <w:tabs>
          <w:tab w:val="left" w:pos="0"/>
          <w:tab w:val="left" w:pos="851"/>
        </w:tabs>
        <w:spacing w:before="120" w:after="0" w:line="276" w:lineRule="auto"/>
        <w:ind w:firstLine="0"/>
        <w:rPr>
          <w:rFonts w:eastAsia="GHEA Grapalat" w:cs="GHEA Grapalat"/>
          <w:color w:val="000000"/>
          <w:lang w:val="hy-AM"/>
        </w:rPr>
      </w:pPr>
      <w:r w:rsidRPr="00ED6E35">
        <w:rPr>
          <w:rFonts w:eastAsia="GHEA Grapalat" w:cs="GHEA Grapalat"/>
          <w:color w:val="000000"/>
          <w:lang w:val="hy-AM"/>
        </w:rPr>
        <w:t xml:space="preserve">Հակակոռուպցիոն բնագավառում իրականացվելու են կոռուպցիոն հանցագործությունների բացահայտման մեխանիզմների բարեփոխումներ, հանրային իրազեկման ծրագրերի </w:t>
      </w:r>
      <w:r w:rsidRPr="00ED6E35">
        <w:rPr>
          <w:rFonts w:eastAsia="GHEA Grapalat" w:cs="GHEA Grapalat"/>
          <w:color w:val="000000"/>
          <w:lang w:val="hy-AM"/>
        </w:rPr>
        <w:lastRenderedPageBreak/>
        <w:t xml:space="preserve">շարունակական իրականացում, Հակակոռուպցիոն և վերաքննիչ հակակոռուպցիոն դատարանների գործունության ապահովում։ </w:t>
      </w:r>
    </w:p>
    <w:p w14:paraId="67294346" w14:textId="77777777" w:rsidR="00080175" w:rsidRPr="00ED6E35" w:rsidRDefault="00080175" w:rsidP="004247C0">
      <w:pPr>
        <w:tabs>
          <w:tab w:val="left" w:pos="0"/>
          <w:tab w:val="left" w:pos="851"/>
        </w:tabs>
        <w:spacing w:before="120" w:after="0" w:line="276" w:lineRule="auto"/>
        <w:ind w:firstLine="0"/>
        <w:rPr>
          <w:rFonts w:eastAsia="GHEA Grapalat" w:cs="GHEA Grapalat"/>
          <w:color w:val="000000"/>
          <w:lang w:val="hy-AM"/>
        </w:rPr>
      </w:pPr>
      <w:r w:rsidRPr="00ED6E35">
        <w:rPr>
          <w:rFonts w:eastAsia="GHEA Grapalat" w:cs="GHEA Grapalat"/>
          <w:color w:val="000000"/>
          <w:lang w:val="hy-AM"/>
        </w:rPr>
        <w:t>Մարդու իրավունքների պաշտպանության ոլորտում իրականացվելու են մասնավորապես` Մարդու իրավունքների պաշտպանվածության և մարդու ազատ ստեղծագործելու, արժանապատիվ ու երջանիկ ապրելու համար նպաստավոր պայմանների ստեղծում, բոլորի՝ օրենքի առջև հավասարության երաշխավորում, խտրականության դրսևորումների կանխում, ինչպես նաև հավասար իրավունքների իրագործում Ազգային փոքրամասնություններին պատկանող անձանց իրավունքների առավել արդյունավետ պաշտպանություն, օրենսդրական երաշխիքների ամրագրում, անվճար իրավաբանական օգնության տրամադրման շրջանակների ընդլայնում:</w:t>
      </w:r>
    </w:p>
    <w:p w14:paraId="3506BEC1" w14:textId="77777777" w:rsidR="00080175" w:rsidRPr="00ED6E35" w:rsidRDefault="00080175" w:rsidP="004247C0">
      <w:pPr>
        <w:tabs>
          <w:tab w:val="left" w:pos="0"/>
          <w:tab w:val="left" w:pos="851"/>
        </w:tabs>
        <w:spacing w:before="120" w:after="0" w:line="276" w:lineRule="auto"/>
        <w:ind w:firstLine="0"/>
        <w:rPr>
          <w:rFonts w:eastAsia="GHEA Grapalat" w:cs="GHEA Grapalat"/>
          <w:color w:val="000000"/>
          <w:lang w:val="hy-AM"/>
        </w:rPr>
      </w:pPr>
      <w:r w:rsidRPr="00ED6E35">
        <w:rPr>
          <w:rFonts w:eastAsia="GHEA Grapalat" w:cs="GHEA Grapalat"/>
          <w:color w:val="000000"/>
          <w:lang w:val="hy-AM"/>
        </w:rPr>
        <w:t>Քրեակատարողական և պրոբացիայի համակարգում իրավիճակը բարելավելու, ինչպես նաև քրեական պատիժների նպատակային իրագործումն առավել արդյունավետ դարձնելու համար թիրախավորվել են հետևյալ առանցքային նպատակները՝ միջազգային չափանիշներին համահունչ մարդու և քաղաքացու հիմնական իրավունքների և ազատությունների պաշտպանության մեխանիզմների կատարելագործումը, ազատությունից զրկված անձանց պահման պայմանների բարելավումը, ազատությունից զրկված անչափահաս անձանց  պահման պայմանների բարելավումը, ազատությունից զրկված և հաշմանդամություն ունեցող անձանց համար մատչելի պայմանների ապահովումը,  դատապարտյալների և պրոբացիայի շահառուների վերասոցիալականացումը, քրեակատարողական հիմնարկների օպտիմալացումն ու արդիականացումը, քրեակատարողական ծառայության և քրեակատարողական հիմնարկների կառավարման մոդելի և կադրային քաղաքականության կատարելագործումը, կոռուպցիայի հաղթահարումը, պրոբացիայի ծառայության գործունեության արդյունավետության բարձրացումը:</w:t>
      </w:r>
    </w:p>
    <w:p w14:paraId="5ED0C249" w14:textId="77777777" w:rsidR="00574E29" w:rsidRPr="00ED6E35" w:rsidRDefault="00574E29" w:rsidP="004247C0">
      <w:pPr>
        <w:tabs>
          <w:tab w:val="left" w:pos="0"/>
          <w:tab w:val="left" w:pos="851"/>
        </w:tabs>
        <w:spacing w:before="120" w:after="0" w:line="276" w:lineRule="auto"/>
        <w:ind w:firstLine="0"/>
        <w:rPr>
          <w:rFonts w:eastAsia="GHEA Grapalat" w:cs="GHEA Grapalat"/>
          <w:color w:val="000000"/>
          <w:sz w:val="24"/>
          <w:szCs w:val="24"/>
          <w:lang w:val="hy-AM"/>
        </w:rPr>
      </w:pPr>
    </w:p>
    <w:p w14:paraId="09BA5200"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04" w:name="_Toc45637526"/>
      <w:bookmarkStart w:id="205" w:name="_Toc45838550"/>
      <w:bookmarkStart w:id="206" w:name="_Toc170926329"/>
      <w:bookmarkEnd w:id="201"/>
      <w:bookmarkEnd w:id="202"/>
      <w:bookmarkEnd w:id="203"/>
      <w:r w:rsidRPr="00677541">
        <w:rPr>
          <w:rFonts w:eastAsia="Times New Roman" w:cs="Times New Roman"/>
          <w:b w:val="0"/>
          <w:caps w:val="0"/>
          <w:color w:val="44546A" w:themeColor="text2"/>
          <w:sz w:val="24"/>
          <w:szCs w:val="24"/>
        </w:rPr>
        <w:t>9. ԱՐՏԱՔԻՆ ՀԱՐԱԲԵՐՈՒԹՅՈՒՆՆԵՐ</w:t>
      </w:r>
      <w:bookmarkEnd w:id="204"/>
      <w:bookmarkEnd w:id="205"/>
      <w:bookmarkEnd w:id="206"/>
    </w:p>
    <w:p w14:paraId="78F39BCE" w14:textId="77777777" w:rsidR="004A1CB2" w:rsidRPr="004A1CB2" w:rsidRDefault="004A1CB2" w:rsidP="004247C0">
      <w:pPr>
        <w:tabs>
          <w:tab w:val="left" w:pos="0"/>
        </w:tabs>
        <w:spacing w:before="120" w:after="0" w:line="276" w:lineRule="auto"/>
        <w:ind w:firstLine="0"/>
        <w:rPr>
          <w:rFonts w:eastAsia="Times New Roman" w:cs="Sylfaen"/>
          <w:lang w:val="hy-AM" w:eastAsia="ru-RU"/>
        </w:rPr>
      </w:pPr>
      <w:bookmarkStart w:id="207" w:name="_Toc45637527"/>
      <w:bookmarkStart w:id="208" w:name="_Toc45838551"/>
      <w:r w:rsidRPr="004A1CB2">
        <w:rPr>
          <w:rFonts w:eastAsia="Times New Roman" w:cs="Sylfaen"/>
          <w:lang w:val="hy-AM" w:eastAsia="ru-RU"/>
        </w:rPr>
        <w:t>Արտաքին գործերի նախարարությունը մշակում և իրականացնում է արտաքին գործերի, դիվանագիտական ծառայության, միջազգային հարաբերություններում Հայաստանի Հանրապետության տեսակետների ներկայացման և հետաքրքրությունների առաջմղման, օտարերկրյա պետությունների հետ դիվանագիտական և հյուպատոսական հարաբերությունների իրականացման՝ այդ թվում Հայաստանի Հանրապետության քաղաքացիների և իրավաբանական անձանց իրավունքների ու օրինական շահերի պաշտպանության, օտարերկրյա պետություններում, միջազգային կազմակերպություններում ներգրավման միջոցով Հայաստանի Հանրապետության առաջնահերթությունների սպասարկման, Հայաստանի Հանրապետության միջազգային իրավապայմանագրային հարաբերությունների, Հայաստանի Հանրապետության պետական արարողակարգային միջոցառումների ապահովման, պետական մարմիններին իրենց գործունեության համար արտաքին քաղաքականության վերաբերյալ անհրաժեշտ տեղեկատվությամբ ապահովման և վերապատրաստման ոլորտներում Կառավարության քաղաքականությունը:</w:t>
      </w:r>
    </w:p>
    <w:p w14:paraId="34AD1EAE" w14:textId="77777777" w:rsidR="004A1CB2" w:rsidRPr="004A1CB2" w:rsidRDefault="004A1CB2" w:rsidP="004247C0">
      <w:pPr>
        <w:tabs>
          <w:tab w:val="left" w:pos="0"/>
        </w:tabs>
        <w:overflowPunct w:val="0"/>
        <w:autoSpaceDE w:val="0"/>
        <w:autoSpaceDN w:val="0"/>
        <w:adjustRightInd w:val="0"/>
        <w:spacing w:before="120" w:after="0" w:line="276" w:lineRule="auto"/>
        <w:ind w:firstLine="0"/>
        <w:rPr>
          <w:rFonts w:eastAsia="Times New Roman" w:cs="Sylfaen"/>
          <w:lang w:val="hy-AM" w:eastAsia="ru-RU"/>
        </w:rPr>
      </w:pPr>
      <w:r w:rsidRPr="004A1CB2">
        <w:rPr>
          <w:rFonts w:eastAsia="Times New Roman" w:cs="Sylfaen"/>
          <w:lang w:val="hy-AM" w:eastAsia="ru-RU"/>
        </w:rPr>
        <w:t xml:space="preserve">Հայաստանի Հանրապետության արտաքին քաղաքականությունն ուղղված է Հայաստանի Հանրապետության ինքնիշխանության ու պետական շահերի պաշտպանությանը, Հայաստանի Հանրապետության շուրջ անվտանգային միջավայրի ձևավորմանը, տարածաշրջանային </w:t>
      </w:r>
      <w:r w:rsidRPr="004A1CB2">
        <w:rPr>
          <w:rFonts w:eastAsia="Times New Roman" w:cs="Sylfaen"/>
          <w:lang w:val="hy-AM" w:eastAsia="ru-RU"/>
        </w:rPr>
        <w:lastRenderedPageBreak/>
        <w:t>խաղաղության և կայունության հաստատմանը, գործընկերների հետ համագործակցության խթանմանը և հարաբերությունների կարգավորմանը, ԼՂ-ից բռնի տեղահանված հայ բնակչության իրավունքների պաշտպանությանը, երկկողմ և բազմակողմ միջազգային հարթակներում գործունեության ծավալմանը, օտարերկրյա պետություններում Հայաստանի Հանրապետության քաղաքացիների և իրավաբանական անձանց շահերի պաշտպանության ապահովմանը, միջազգային և տարածաշրջանային գործընթացներին Հայաստանի ներգրավվածության ավելացմանը, միջազգային կազմակերպություններում արտաքին քաղաքական, անվտանգային, սոցիալ-տնտեսական, մշակութային և այլ ոլորտներին առնչվող Հայաստանի Հանրապետության հետաքրքրությունների առաջմղմանը: Տվյալ թիրախները  արտացոլում են 2021-2026թթ. Հայաստանի Հանրապետության Կառավարության Ծրագրի» 1.2.1 և 1.2.2 կետերում նշված դրույթները:</w:t>
      </w:r>
    </w:p>
    <w:p w14:paraId="707EC1F7" w14:textId="77777777" w:rsidR="004A1CB2" w:rsidRPr="004A1CB2" w:rsidRDefault="004A1CB2" w:rsidP="004247C0">
      <w:pPr>
        <w:tabs>
          <w:tab w:val="left" w:pos="0"/>
        </w:tabs>
        <w:spacing w:before="120" w:after="0" w:line="276" w:lineRule="auto"/>
        <w:ind w:firstLine="0"/>
        <w:rPr>
          <w:rFonts w:eastAsia="Times New Roman" w:cs="Sylfaen"/>
          <w:lang w:val="hy-AM" w:eastAsia="ru-RU"/>
        </w:rPr>
      </w:pPr>
    </w:p>
    <w:p w14:paraId="0C4D764E" w14:textId="77777777" w:rsidR="00080175" w:rsidRPr="00542A21" w:rsidRDefault="00080175" w:rsidP="004247C0">
      <w:pPr>
        <w:tabs>
          <w:tab w:val="left" w:pos="0"/>
          <w:tab w:val="left" w:pos="851"/>
        </w:tabs>
        <w:spacing w:before="120" w:after="0" w:line="276" w:lineRule="auto"/>
        <w:ind w:firstLine="0"/>
        <w:rPr>
          <w:rFonts w:eastAsia="Times New Roman" w:cs="Sylfaen"/>
          <w:lang w:val="hy-AM" w:eastAsia="ru-RU"/>
        </w:rPr>
      </w:pPr>
    </w:p>
    <w:p w14:paraId="12C03EF8"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09" w:name="_Toc170926330"/>
      <w:r w:rsidRPr="00FE0674">
        <w:rPr>
          <w:rFonts w:eastAsia="Times New Roman" w:cs="Times New Roman"/>
          <w:b w:val="0"/>
          <w:caps w:val="0"/>
          <w:color w:val="44546A" w:themeColor="text2"/>
          <w:sz w:val="24"/>
          <w:szCs w:val="24"/>
        </w:rPr>
        <w:t>10</w:t>
      </w:r>
      <w:r w:rsidRPr="005D1A84">
        <w:rPr>
          <w:rFonts w:eastAsia="Times New Roman" w:cs="Times New Roman"/>
          <w:b w:val="0"/>
          <w:caps w:val="0"/>
          <w:color w:val="44546A" w:themeColor="text2"/>
          <w:sz w:val="24"/>
          <w:szCs w:val="24"/>
        </w:rPr>
        <w:t>. ՖԻՆԱՆՍՆԵՐ</w:t>
      </w:r>
      <w:bookmarkEnd w:id="207"/>
      <w:bookmarkEnd w:id="208"/>
      <w:bookmarkEnd w:id="209"/>
    </w:p>
    <w:p w14:paraId="5E65462B" w14:textId="77777777" w:rsidR="005D1A84" w:rsidRPr="003B579D" w:rsidRDefault="005D1A84" w:rsidP="004247C0">
      <w:pPr>
        <w:tabs>
          <w:tab w:val="left" w:pos="0"/>
        </w:tabs>
        <w:spacing w:before="120" w:after="0" w:line="276" w:lineRule="auto"/>
        <w:ind w:firstLine="0"/>
        <w:rPr>
          <w:rFonts w:cs="Sylfaen"/>
          <w:color w:val="000000"/>
          <w:lang w:val="hy-AM"/>
        </w:rPr>
      </w:pPr>
      <w:bookmarkStart w:id="210" w:name="_Toc45838552"/>
      <w:bookmarkStart w:id="211" w:name="_Toc45637528"/>
      <w:r w:rsidRPr="003B579D">
        <w:rPr>
          <w:rFonts w:cs="Sylfaen"/>
          <w:color w:val="000000"/>
          <w:lang w:val="hy-AM"/>
        </w:rPr>
        <w:t xml:space="preserve">Առաջիկա տարիներին ֆինանսների ոլորտում հիմնական նպատակը լինելու է </w:t>
      </w:r>
      <w:r>
        <w:rPr>
          <w:rFonts w:cs="Sylfaen"/>
          <w:color w:val="000000"/>
          <w:lang w:val="hy-AM"/>
        </w:rPr>
        <w:t xml:space="preserve">ՀՀ </w:t>
      </w:r>
      <w:r w:rsidRPr="00F71A46">
        <w:rPr>
          <w:rFonts w:cs="Sylfaen"/>
          <w:color w:val="000000"/>
          <w:lang w:val="hy-AM"/>
        </w:rPr>
        <w:t>կառավարության միասնական պետական քաղաքականության ապահովումը</w:t>
      </w:r>
      <w:r w:rsidRPr="003B579D">
        <w:rPr>
          <w:rFonts w:cs="Sylfaen"/>
          <w:color w:val="000000"/>
          <w:lang w:val="hy-AM"/>
        </w:rPr>
        <w:t>, պետական ֆինանսների և պետական պարտքի արդյունավետ կառավարումը, հարկաբյուջետային քաղաքականության մշակումը և իրականացման ապահովումը, ներառյալ՝ բյուջետային գործընթացի կառավարումը, պետական գնումների արդյունավետության բարձրացմանն ուղղված շարունակական բարեփոխումների իրականացումը։</w:t>
      </w:r>
    </w:p>
    <w:p w14:paraId="6E41C7FE" w14:textId="77777777" w:rsidR="005D1A84" w:rsidRPr="003B579D" w:rsidRDefault="005D1A84" w:rsidP="004247C0">
      <w:pPr>
        <w:tabs>
          <w:tab w:val="left" w:pos="0"/>
        </w:tabs>
        <w:spacing w:before="120" w:after="0" w:line="276" w:lineRule="auto"/>
        <w:ind w:firstLine="0"/>
        <w:rPr>
          <w:rFonts w:cs="Sylfaen"/>
          <w:color w:val="000000"/>
          <w:lang w:val="hy-AM"/>
        </w:rPr>
      </w:pPr>
      <w:r w:rsidRPr="003B579D">
        <w:rPr>
          <w:rFonts w:cs="Sylfaen"/>
          <w:color w:val="000000"/>
          <w:lang w:val="hy-AM"/>
        </w:rPr>
        <w:t>Ոլորտի խնդիրների և կանոնադրական գործառույթների համակարգված իրագործումը նախատեսվում է ապահովել հետևյալ</w:t>
      </w:r>
      <w:r w:rsidRPr="003B579D">
        <w:rPr>
          <w:rFonts w:ascii="Calibri" w:hAnsi="Calibri" w:cs="Calibri"/>
          <w:color w:val="000000"/>
          <w:lang w:val="hy-AM"/>
        </w:rPr>
        <w:t> </w:t>
      </w:r>
      <w:r w:rsidRPr="003B579D">
        <w:rPr>
          <w:rFonts w:cs="Sylfaen"/>
          <w:color w:val="000000"/>
          <w:lang w:val="hy-AM"/>
        </w:rPr>
        <w:t xml:space="preserve"> ծախսային</w:t>
      </w:r>
      <w:r w:rsidRPr="003B579D">
        <w:rPr>
          <w:rFonts w:ascii="Calibri" w:hAnsi="Calibri" w:cs="Calibri"/>
          <w:color w:val="000000"/>
          <w:lang w:val="hy-AM"/>
        </w:rPr>
        <w:t> </w:t>
      </w:r>
      <w:r w:rsidRPr="003B579D">
        <w:rPr>
          <w:rFonts w:cs="Sylfaen"/>
          <w:color w:val="000000"/>
          <w:lang w:val="hy-AM"/>
        </w:rPr>
        <w:t xml:space="preserve"> ծրագրերով.</w:t>
      </w:r>
    </w:p>
    <w:p w14:paraId="6CA25C73" w14:textId="77777777" w:rsidR="005D1A84" w:rsidRPr="003B579D" w:rsidRDefault="005D1A84" w:rsidP="004247C0">
      <w:pPr>
        <w:tabs>
          <w:tab w:val="left" w:pos="0"/>
        </w:tabs>
        <w:spacing w:before="120" w:after="0" w:line="276" w:lineRule="auto"/>
        <w:ind w:firstLine="0"/>
        <w:rPr>
          <w:rFonts w:cs="Sylfaen"/>
          <w:color w:val="000000"/>
          <w:lang w:val="hy-AM"/>
        </w:rPr>
      </w:pPr>
      <w:r w:rsidRPr="003B579D">
        <w:rPr>
          <w:rFonts w:cs="Sylfaen"/>
          <w:color w:val="000000"/>
          <w:lang w:val="hy-AM"/>
        </w:rPr>
        <w:t xml:space="preserve">«Պետական պարտքի կառավարում» ծրագրի նպատակն է </w:t>
      </w:r>
      <w:r w:rsidRPr="00CE2AEA">
        <w:rPr>
          <w:rFonts w:cs="Sylfaen"/>
          <w:color w:val="000000"/>
          <w:lang w:val="hy-AM"/>
        </w:rPr>
        <w:t xml:space="preserve">ՀՀ </w:t>
      </w:r>
      <w:r w:rsidRPr="003B579D">
        <w:rPr>
          <w:rFonts w:cs="Sylfaen"/>
          <w:color w:val="000000"/>
          <w:lang w:val="hy-AM"/>
        </w:rPr>
        <w:t xml:space="preserve">կառավարության ֆինանսական կարիքների բավարարման մշտական հնարավորության ապահովումը՝ երկարաժամկետ հատվածում նվազեցնելով պարտքի սպասարկման մեծությունը: Ծրագրի վերջնական արդյունքն է </w:t>
      </w:r>
      <w:r w:rsidRPr="00CE2AEA">
        <w:rPr>
          <w:rFonts w:cs="Sylfaen"/>
          <w:color w:val="000000"/>
          <w:lang w:val="hy-AM"/>
        </w:rPr>
        <w:t xml:space="preserve">ՀՀ </w:t>
      </w:r>
      <w:r w:rsidRPr="003B579D">
        <w:rPr>
          <w:rFonts w:cs="Sylfaen"/>
          <w:color w:val="000000"/>
          <w:lang w:val="hy-AM"/>
        </w:rPr>
        <w:t>կառավարության պարտքի օպտիմալ կառուցվածքի ձևավորումը՝ հաշվի առնելով պոտենցիալ ռիսկերը:</w:t>
      </w:r>
    </w:p>
    <w:p w14:paraId="2BC18750" w14:textId="77777777" w:rsidR="005D1A84" w:rsidRPr="00EA51FB" w:rsidRDefault="005D1A84" w:rsidP="004247C0">
      <w:pPr>
        <w:tabs>
          <w:tab w:val="left" w:pos="0"/>
        </w:tabs>
        <w:spacing w:before="120" w:after="0" w:line="276" w:lineRule="auto"/>
        <w:ind w:firstLine="0"/>
        <w:rPr>
          <w:rFonts w:cs="Sylfaen"/>
          <w:color w:val="000000"/>
          <w:lang w:val="hy-AM"/>
        </w:rPr>
      </w:pPr>
      <w:r w:rsidRPr="003B579D">
        <w:rPr>
          <w:rFonts w:cs="Sylfaen"/>
          <w:color w:val="000000"/>
          <w:lang w:val="hy-AM"/>
        </w:rPr>
        <w:t>«Հանրային հատվածի ֆինանսական ոլորտի մասնագետների վերապատրաստում» ծրագրի նպատակն է հանրային հատվածի ֆինանսական ոլորտի մասնագետների աշխատանքի</w:t>
      </w:r>
      <w:r w:rsidRPr="003B579D">
        <w:rPr>
          <w:rFonts w:ascii="Calibri" w:hAnsi="Calibri" w:cs="Calibri"/>
          <w:color w:val="000000"/>
          <w:lang w:val="hy-AM"/>
        </w:rPr>
        <w:t> </w:t>
      </w:r>
      <w:r w:rsidRPr="003B579D">
        <w:rPr>
          <w:rFonts w:cs="Sylfaen"/>
          <w:color w:val="000000"/>
          <w:lang w:val="hy-AM"/>
        </w:rPr>
        <w:t xml:space="preserve"> արդյունավետության բարելավումը, հանրային ֆինանսների կառավարման նոր գիտելիքների և փորձի յուրացումը: Նախատեսվում է, որ ծրագրի շրջանակներում </w:t>
      </w:r>
      <w:r w:rsidRPr="00EA51FB">
        <w:rPr>
          <w:rFonts w:cs="Sylfaen"/>
          <w:color w:val="000000"/>
          <w:lang w:val="hy-AM"/>
        </w:rPr>
        <w:t>շարունակական վերապատրաստում կանցնեն և արդյունքում կապահովվի որակավորված ներքին աուդիտորների, ֆինանսական և ծրագրային մասնագետների, ինչպես նաև գնումների համակարգողների ամբողջական ընդգրկվածություն համապատասխան վերապատրաստման միջոցառումներում:</w:t>
      </w:r>
      <w:r w:rsidRPr="00EA51FB">
        <w:rPr>
          <w:rFonts w:ascii="Calibri" w:hAnsi="Calibri" w:cs="Calibri"/>
          <w:color w:val="000000"/>
          <w:lang w:val="hy-AM"/>
        </w:rPr>
        <w:t>  </w:t>
      </w:r>
    </w:p>
    <w:p w14:paraId="3A70D251" w14:textId="77777777" w:rsidR="005D1A84" w:rsidRPr="00EA51FB" w:rsidRDefault="005D1A84" w:rsidP="004247C0">
      <w:pPr>
        <w:tabs>
          <w:tab w:val="left" w:pos="0"/>
        </w:tabs>
        <w:spacing w:before="120" w:after="0" w:line="276" w:lineRule="auto"/>
        <w:ind w:firstLine="0"/>
        <w:rPr>
          <w:rFonts w:cs="Sylfaen"/>
          <w:color w:val="000000"/>
          <w:lang w:val="hy-AM"/>
        </w:rPr>
      </w:pPr>
      <w:r w:rsidRPr="00EA51FB">
        <w:rPr>
          <w:rFonts w:cs="Sylfaen"/>
          <w:color w:val="000000"/>
          <w:lang w:val="hy-AM"/>
        </w:rPr>
        <w:t>«Հանրային ֆինանսների կառավարման բնագավառում պետական քաղաքականության մշակում, ծրագրերի համակարգում և մոնիտորինգ» ծրագրի նպատակն է հարկաբյուջետային քաղաքականության մշակումը և իրականացման ապահովումը, հանրային ֆինանսների արդյունավետ կառավարումը:</w:t>
      </w:r>
    </w:p>
    <w:p w14:paraId="1541477E" w14:textId="77777777" w:rsidR="005D1A84" w:rsidRDefault="005D1A84" w:rsidP="004247C0">
      <w:pPr>
        <w:tabs>
          <w:tab w:val="left" w:pos="0"/>
        </w:tabs>
        <w:spacing w:before="120" w:after="0" w:line="276" w:lineRule="auto"/>
        <w:ind w:firstLine="0"/>
        <w:rPr>
          <w:rFonts w:cs="Sylfaen"/>
          <w:color w:val="000000"/>
          <w:lang w:val="hy-AM"/>
        </w:rPr>
      </w:pPr>
      <w:r w:rsidRPr="00EA51FB">
        <w:rPr>
          <w:rFonts w:cs="Sylfaen"/>
          <w:color w:val="000000"/>
          <w:lang w:val="hy-AM"/>
        </w:rPr>
        <w:lastRenderedPageBreak/>
        <w:t>«Գնումների գործընթացի կարգավորում և համակարգում» ծրագրի նպատակն է հանրային միջոցների ծախսման արդյունավետության բարձրացումը և կոռուպցիոն ռիսկերի նվազեցումը:</w:t>
      </w:r>
    </w:p>
    <w:p w14:paraId="5254CFA1" w14:textId="77777777" w:rsidR="00080175" w:rsidRDefault="00080175" w:rsidP="004247C0">
      <w:pPr>
        <w:tabs>
          <w:tab w:val="left" w:pos="0"/>
        </w:tabs>
        <w:spacing w:before="120" w:after="0" w:line="276" w:lineRule="auto"/>
        <w:ind w:firstLine="0"/>
        <w:rPr>
          <w:rFonts w:eastAsia="Times New Roman" w:cs="Sylfaen"/>
          <w:color w:val="000000"/>
          <w:lang w:val="hy-AM"/>
        </w:rPr>
      </w:pPr>
    </w:p>
    <w:p w14:paraId="1AAE38B8"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2" w:name="_Toc170926331"/>
      <w:r w:rsidRPr="00FE0674">
        <w:rPr>
          <w:rFonts w:eastAsia="Times New Roman" w:cs="Times New Roman"/>
          <w:b w:val="0"/>
          <w:caps w:val="0"/>
          <w:color w:val="44546A" w:themeColor="text2"/>
          <w:sz w:val="24"/>
          <w:szCs w:val="24"/>
        </w:rPr>
        <w:t>1</w:t>
      </w:r>
      <w:r w:rsidRPr="009973D9">
        <w:rPr>
          <w:rFonts w:eastAsia="Times New Roman" w:cs="Times New Roman"/>
          <w:b w:val="0"/>
          <w:caps w:val="0"/>
          <w:color w:val="44546A" w:themeColor="text2"/>
          <w:sz w:val="24"/>
          <w:szCs w:val="24"/>
        </w:rPr>
        <w:t>1. ՊԱՇՏՊԱՆՈՒԹՅՈՒՆ</w:t>
      </w:r>
      <w:bookmarkEnd w:id="212"/>
    </w:p>
    <w:p w14:paraId="42CF94D8" w14:textId="77777777" w:rsidR="009973D9" w:rsidRDefault="009973D9" w:rsidP="004247C0">
      <w:pPr>
        <w:tabs>
          <w:tab w:val="left" w:pos="0"/>
        </w:tabs>
        <w:spacing w:before="120" w:after="0" w:line="276" w:lineRule="auto"/>
        <w:ind w:firstLine="0"/>
        <w:rPr>
          <w:rFonts w:cs="Sylfaen"/>
          <w:color w:val="000000"/>
          <w:lang w:val="hy-AM"/>
        </w:rPr>
      </w:pPr>
      <w:r>
        <w:rPr>
          <w:rFonts w:cs="Sylfaen"/>
          <w:color w:val="000000"/>
          <w:lang w:val="hy-AM"/>
        </w:rPr>
        <w:t>Պաշտպանության ոլորտն իր մեջ ընդգրկում է ՀՀ զինված ուժերի ռազմավարական ծավալումն ապահովող մարտական պատրաստականության պահպանման, արտաքին թշնամուց ՀՀ պետական սահմանների պաշտպանության ապահովման, արդիական պահանջներին համապատասխանող ճկուն և ժամանակակից ռազմական առողջա</w:t>
      </w:r>
      <w:r>
        <w:rPr>
          <w:rFonts w:cs="Sylfaen"/>
          <w:color w:val="000000"/>
          <w:lang w:val="hy-AM"/>
        </w:rPr>
        <w:softHyphen/>
        <w:t>պահական համակարգի ապահովման, զինված ուժերի պատրաստության մակարդակի բարձրաց</w:t>
      </w:r>
      <w:r>
        <w:rPr>
          <w:rFonts w:cs="Sylfaen"/>
          <w:color w:val="000000"/>
          <w:lang w:val="hy-AM"/>
        </w:rPr>
        <w:softHyphen/>
        <w:t>ման, միջազգային կայուն և բազմակողմ ռազմաքաղաքական հարաբերությունների ամրապնդման շրջանակներում իրականացվող միջոցառումները (հույժ գաղտնի):</w:t>
      </w:r>
    </w:p>
    <w:p w14:paraId="4F880735" w14:textId="61084A47" w:rsidR="00080175" w:rsidRDefault="00080175" w:rsidP="004247C0">
      <w:pPr>
        <w:tabs>
          <w:tab w:val="left" w:pos="0"/>
        </w:tabs>
        <w:spacing w:before="120" w:after="0" w:line="276" w:lineRule="auto"/>
        <w:ind w:firstLine="0"/>
        <w:rPr>
          <w:rFonts w:cs="Sylfaen"/>
          <w:color w:val="000000"/>
          <w:lang w:val="hy-AM"/>
        </w:rPr>
      </w:pPr>
    </w:p>
    <w:p w14:paraId="1616681A" w14:textId="74A46CE8" w:rsidR="00BC2A81" w:rsidRDefault="00BC2A81" w:rsidP="004247C0">
      <w:pPr>
        <w:tabs>
          <w:tab w:val="left" w:pos="0"/>
        </w:tabs>
        <w:spacing w:before="120" w:after="0" w:line="276" w:lineRule="auto"/>
        <w:ind w:firstLine="0"/>
        <w:rPr>
          <w:rFonts w:cs="Sylfaen"/>
          <w:color w:val="000000"/>
          <w:lang w:val="hy-AM"/>
        </w:rPr>
      </w:pPr>
    </w:p>
    <w:p w14:paraId="62F2FAB6" w14:textId="77777777" w:rsidR="00BC2A81" w:rsidRDefault="00BC2A81" w:rsidP="004247C0">
      <w:pPr>
        <w:tabs>
          <w:tab w:val="left" w:pos="0"/>
        </w:tabs>
        <w:spacing w:before="120" w:after="0" w:line="276" w:lineRule="auto"/>
        <w:ind w:firstLine="0"/>
        <w:rPr>
          <w:rFonts w:cs="Sylfaen"/>
          <w:color w:val="000000"/>
          <w:lang w:val="hy-AM"/>
        </w:rPr>
      </w:pPr>
    </w:p>
    <w:p w14:paraId="30895D10" w14:textId="77777777"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3" w:name="_Toc170926332"/>
      <w:r w:rsidRPr="00FE0674">
        <w:rPr>
          <w:rFonts w:eastAsia="Times New Roman" w:cs="Times New Roman"/>
          <w:b w:val="0"/>
          <w:caps w:val="0"/>
          <w:color w:val="44546A" w:themeColor="text2"/>
          <w:sz w:val="24"/>
          <w:szCs w:val="24"/>
        </w:rPr>
        <w:t>12</w:t>
      </w:r>
      <w:r w:rsidRPr="009973D9">
        <w:rPr>
          <w:rFonts w:eastAsia="Times New Roman" w:cs="Times New Roman"/>
          <w:b w:val="0"/>
          <w:caps w:val="0"/>
          <w:color w:val="44546A" w:themeColor="text2"/>
          <w:sz w:val="24"/>
          <w:szCs w:val="24"/>
        </w:rPr>
        <w:t>. ԱԶԳԱՅԻՆ ԱՆՎՏԱՆԳՈՒԹՅՈՒՆ</w:t>
      </w:r>
      <w:bookmarkEnd w:id="213"/>
    </w:p>
    <w:p w14:paraId="229132E8" w14:textId="77777777" w:rsidR="009973D9" w:rsidRDefault="009973D9" w:rsidP="004247C0">
      <w:pPr>
        <w:tabs>
          <w:tab w:val="left" w:pos="0"/>
        </w:tabs>
        <w:spacing w:before="120" w:after="0" w:line="276" w:lineRule="auto"/>
        <w:ind w:firstLine="0"/>
        <w:rPr>
          <w:rFonts w:cs="Sylfaen"/>
          <w:color w:val="000000"/>
          <w:lang w:val="hy-AM"/>
        </w:rPr>
      </w:pPr>
      <w:r>
        <w:rPr>
          <w:rFonts w:cs="Sylfaen"/>
          <w:color w:val="000000"/>
          <w:lang w:val="hy-AM"/>
        </w:rPr>
        <w:t xml:space="preserve">Հայաստանի Հանրապետության ազգային անվտանգությունը պետության և հասարակության այնպիսի կացություն է, երբ ապահովված է անձի, հասարակության և պետության անվտանգությունը, երկրի տարածքային ամբողջականությունը, ինքնիշխանությունը, սահմանադրական կարգը, տնտեսության բնականոն զարգացումը, հասարակության նյութական և հոգևոր արժեքների, քաղաքացիների իրավունքների և ազատությունների, շրջակա միջավայրի պաշտպանությունը ներքին և արտաքին սպառնալիքներից: </w:t>
      </w:r>
    </w:p>
    <w:p w14:paraId="375AAAF9" w14:textId="77777777" w:rsidR="009973D9" w:rsidRDefault="009973D9" w:rsidP="004247C0">
      <w:pPr>
        <w:tabs>
          <w:tab w:val="left" w:pos="0"/>
        </w:tabs>
        <w:spacing w:before="120" w:after="0" w:line="276" w:lineRule="auto"/>
        <w:ind w:firstLine="0"/>
        <w:rPr>
          <w:rFonts w:cs="Sylfaen"/>
          <w:color w:val="000000"/>
          <w:lang w:val="hy-AM"/>
        </w:rPr>
      </w:pPr>
      <w:r>
        <w:rPr>
          <w:rFonts w:cs="Sylfaen"/>
          <w:color w:val="000000"/>
          <w:lang w:val="hy-AM"/>
        </w:rPr>
        <w:tab/>
        <w:t>Հայաստանի Հանրապետության արտաքին և ներքին անվտանգության ապահովման կարևորագույն նախապայմանն անվտանգության միջավայրի համակողմանի գնահատման հիման վրա արտաքին, ներքին և պաշտպանական քաղաքականության ճկուն գործիքակազմի ձևավորումն է, ինչը հնարավորություն կտա ՀՀ կառավարության քաղաքական առաջնահերթությունները կյանքի կոչելու համար ստեղծել կայուն և կանխատեսելի մթնոլորտ, իսկ արտաքին անվտանգության ապահովման երաշխիքների համար՝ բավարար կարողություններ: ՀՀ կառավարության առաջնահերթությունների թվում են Հայաստանի Հանրապետության ռազմավարական նշանակության օբյեկտների և ենթակառուցվածքների անվտանգության ապահովումը, անվտանգության մակարդակի բարձրացմանն ուղղված խնդիրների և դրանցից բխող միջոցառումների իրականացումը:</w:t>
      </w:r>
    </w:p>
    <w:p w14:paraId="2C5DF13E" w14:textId="77777777" w:rsidR="009973D9" w:rsidRDefault="009973D9" w:rsidP="004247C0">
      <w:pPr>
        <w:tabs>
          <w:tab w:val="left" w:pos="0"/>
        </w:tabs>
        <w:spacing w:before="120" w:after="0" w:line="276" w:lineRule="auto"/>
        <w:ind w:firstLine="0"/>
        <w:rPr>
          <w:rFonts w:cs="Sylfaen"/>
          <w:color w:val="000000"/>
          <w:lang w:val="hy-AM"/>
        </w:rPr>
      </w:pPr>
      <w:r>
        <w:rPr>
          <w:rFonts w:cs="Sylfaen"/>
          <w:color w:val="000000"/>
          <w:lang w:val="hy-AM"/>
        </w:rPr>
        <w:tab/>
        <w:t xml:space="preserve">Հայաստանի Հանրապետության ազգային անվտանգության ծառայության նպատակներն են հետախուզական գործունեությունը, հակահետախուզական գործունեությունը, ռազմական հակահետախուզական գործունեությունը, պետական սահմանի պահպանությունը և պայքարը հանցագործությունների դեմ: Այս առումով վերջնական արդյունքներն են ՀՀ ազգային անվտանգության սպառնալիքների մասին տեղեկությունների ստացումը և կանխարգելիչ միջոցառումների անցկացումը, օտարերկրյա պետությունների հատուկ ծառայությունների և այլ կազմակերպությունների, ինչպես նաև առանձին անձանց հետախուզական գործունեության բացահայտումը, կանխումը և խափանումը, օպերատիվ-հետախուզական միջոցառումների </w:t>
      </w:r>
      <w:r>
        <w:rPr>
          <w:rFonts w:cs="Sylfaen"/>
          <w:color w:val="000000"/>
          <w:lang w:val="hy-AM"/>
        </w:rPr>
        <w:lastRenderedPageBreak/>
        <w:t>շնորհիվ հանցագործությունների բացահայտումը, կանխումը և խափանումը, ՀՀ պետական սահմանի անձեռնմխելիության ապահովումը, սահմանափակումների կանխումը և խափանումը:</w:t>
      </w:r>
    </w:p>
    <w:p w14:paraId="1031BF08" w14:textId="77777777" w:rsidR="00080175" w:rsidRPr="009973D9"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p>
    <w:p w14:paraId="19254A43" w14:textId="05EF06E7" w:rsidR="009973D9" w:rsidRPr="009973D9"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4" w:name="_Toc170926333"/>
      <w:r w:rsidRPr="009973D9">
        <w:rPr>
          <w:rFonts w:eastAsia="Times New Roman" w:cs="Times New Roman"/>
          <w:b w:val="0"/>
          <w:caps w:val="0"/>
          <w:color w:val="44546A" w:themeColor="text2"/>
          <w:sz w:val="24"/>
          <w:szCs w:val="24"/>
        </w:rPr>
        <w:t xml:space="preserve">13. </w:t>
      </w:r>
      <w:bookmarkStart w:id="215" w:name="_Hlk170306908"/>
      <w:r w:rsidR="009973D9" w:rsidRPr="009973D9">
        <w:rPr>
          <w:rFonts w:eastAsia="Times New Roman" w:cs="Times New Roman"/>
          <w:b w:val="0"/>
          <w:caps w:val="0"/>
          <w:color w:val="44546A" w:themeColor="text2"/>
          <w:sz w:val="24"/>
          <w:szCs w:val="24"/>
        </w:rPr>
        <w:t>ՊԵՏԱԿԱՆ ՊԱՀՊԱՆՈՒԹՅԱՆ ԾԱՌԱՅՈՒԹՅՈՒՆ</w:t>
      </w:r>
      <w:bookmarkEnd w:id="214"/>
    </w:p>
    <w:p w14:paraId="6538625C" w14:textId="40AB664D" w:rsidR="00945985" w:rsidRPr="00D604BC" w:rsidRDefault="00945985" w:rsidP="004247C0">
      <w:pPr>
        <w:tabs>
          <w:tab w:val="left" w:pos="0"/>
        </w:tabs>
        <w:spacing w:before="120" w:after="0" w:line="276" w:lineRule="auto"/>
        <w:ind w:firstLine="0"/>
        <w:rPr>
          <w:rFonts w:cs="Sylfaen"/>
          <w:color w:val="000000"/>
          <w:lang w:val="hy-AM"/>
        </w:rPr>
      </w:pPr>
      <w:r w:rsidRPr="00D604BC">
        <w:rPr>
          <w:rFonts w:cs="Sylfaen"/>
          <w:color w:val="000000"/>
          <w:lang w:val="hy-AM"/>
        </w:rPr>
        <w:t>ՀՀ պետական պահպանության ծառայությունը գործում է ՀՀ օրենսդրական դաշտի պահանջների սահմաններում, ինչպես նաև 2003 թվականի դեկտեմբերի 3-ին ընդունված «Հատուկ պետական պաշտպանության ենթակա անձանց անվտանգության ապահովման մասին» ՀՀ օրենքով իրականացնում է՝ օրինականության, մարդու և քաղաքացու իրավունքներն ու ազատությունները, պատիվն ու արժանապատվությունը հարգելու, մարդասիրության, անընդհատության, քաղաքական չեզոքության, կենտրոնացված ղեկավարման, գործունեության բացահայտ և գաղտնի մեթոդների ու միջոցների կիրառման համակցության սկզբունքները:</w:t>
      </w:r>
    </w:p>
    <w:p w14:paraId="3F225E3B" w14:textId="25238BC0" w:rsidR="00945985" w:rsidRDefault="00945985" w:rsidP="004247C0">
      <w:pPr>
        <w:tabs>
          <w:tab w:val="left" w:pos="0"/>
        </w:tabs>
        <w:spacing w:before="120" w:after="0" w:line="276" w:lineRule="auto"/>
        <w:ind w:firstLine="0"/>
        <w:rPr>
          <w:rFonts w:cs="Sylfaen"/>
          <w:color w:val="000000"/>
          <w:lang w:val="hy-AM"/>
        </w:rPr>
      </w:pPr>
      <w:r w:rsidRPr="00D604BC">
        <w:rPr>
          <w:rFonts w:cs="Sylfaen"/>
          <w:color w:val="000000"/>
          <w:lang w:val="hy-AM"/>
        </w:rPr>
        <w:t xml:space="preserve">ՀՀ պետական պահպանության ծառայության նպատակները և թիրախները  շարունակում են մնալ՝ պետական պահպանության օբյեկտների անվտանգության ապահովումը և այդ նպատակով իրականացվելիք միջոցառումների համալիր կազմակերպումը, պահպանվող օբյեկտներին սպառնացող վտանգների կանխատեսումն ու կանխարգելումը,  ինչպես նաև բոլոր տեսակի իրավախախտումների բացառումը: </w:t>
      </w:r>
    </w:p>
    <w:p w14:paraId="5FB4FDB2" w14:textId="77777777" w:rsidR="0089601D" w:rsidRDefault="0089601D" w:rsidP="004247C0">
      <w:pPr>
        <w:tabs>
          <w:tab w:val="left" w:pos="0"/>
        </w:tabs>
        <w:spacing w:before="120" w:after="0" w:line="276" w:lineRule="auto"/>
        <w:ind w:firstLine="0"/>
        <w:rPr>
          <w:rFonts w:cs="Sylfaen"/>
          <w:color w:val="000000"/>
          <w:lang w:val="hy-AM"/>
        </w:rPr>
      </w:pPr>
    </w:p>
    <w:p w14:paraId="28A2463B" w14:textId="0B1E0D29" w:rsidR="005F7425" w:rsidRPr="00B27DBB" w:rsidRDefault="005F742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6" w:name="_Toc170926334"/>
      <w:r w:rsidRPr="00B27DBB">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4</w:t>
      </w:r>
      <w:r w:rsidRPr="00B27DBB">
        <w:rPr>
          <w:rFonts w:eastAsia="Times New Roman" w:cs="Times New Roman"/>
          <w:b w:val="0"/>
          <w:caps w:val="0"/>
          <w:color w:val="44546A" w:themeColor="text2"/>
          <w:sz w:val="24"/>
          <w:szCs w:val="24"/>
        </w:rPr>
        <w:t>. ԱՐՏԱՔԻՆ ՀԵՏԱԽՈՒԶՈՒԹՅԱՆ ԾԱՌԱՅՈՒԹՅՈՒՆՆ</w:t>
      </w:r>
      <w:bookmarkEnd w:id="216"/>
    </w:p>
    <w:p w14:paraId="15EBB96B" w14:textId="7EF8563A" w:rsidR="005F7425" w:rsidRPr="00D604BC" w:rsidRDefault="005F7425" w:rsidP="004247C0">
      <w:pPr>
        <w:tabs>
          <w:tab w:val="left" w:pos="0"/>
        </w:tabs>
        <w:spacing w:before="120" w:after="0" w:line="276" w:lineRule="auto"/>
        <w:ind w:firstLine="0"/>
        <w:rPr>
          <w:rFonts w:cs="Sylfaen"/>
          <w:color w:val="000000"/>
          <w:lang w:val="hy-AM"/>
        </w:rPr>
      </w:pPr>
      <w:r w:rsidRPr="00D604BC">
        <w:rPr>
          <w:rFonts w:cs="Sylfaen"/>
          <w:color w:val="000000"/>
          <w:lang w:val="hy-AM"/>
        </w:rPr>
        <w:t>ՀՀ արտաքին հետախուզության ծառայությունն իրականացնում է ՀՀ կենսական շահերին առչնվող տեղեկատվության ստացման և մշակման, ինչպես նաև ՀՀ արտաքին քաղաքականության, ռազմաքաղաքական, տնտեսական, գիտատեխնիկական, շրջակա միջավայի պահպանության ու կենսական այլ ոլորտներում պետական քաղաքականության իրականացման աջակցություն:</w:t>
      </w:r>
    </w:p>
    <w:p w14:paraId="0F350A3A" w14:textId="246E35FD" w:rsidR="005F7425" w:rsidRPr="00D604BC" w:rsidRDefault="005F7425" w:rsidP="004247C0">
      <w:pPr>
        <w:tabs>
          <w:tab w:val="left" w:pos="0"/>
        </w:tabs>
        <w:spacing w:before="120" w:after="0" w:line="276" w:lineRule="auto"/>
        <w:ind w:firstLine="0"/>
        <w:rPr>
          <w:rFonts w:cs="Sylfaen"/>
          <w:color w:val="000000"/>
          <w:lang w:val="hy-AM"/>
        </w:rPr>
      </w:pPr>
      <w:r>
        <w:rPr>
          <w:rFonts w:cs="Sylfaen"/>
          <w:color w:val="000000"/>
          <w:lang w:val="hy-AM"/>
        </w:rPr>
        <w:tab/>
      </w:r>
      <w:r w:rsidRPr="00D604BC">
        <w:rPr>
          <w:rFonts w:cs="Sylfaen"/>
          <w:color w:val="000000"/>
          <w:lang w:val="hy-AM"/>
        </w:rPr>
        <w:t xml:space="preserve">ՄԺԾԾ ժամանակահատվածում արտաքին հետախուզության ծառայության գործունեությունն ուղղված է լինելու Հայաստանի Հանրապետության կառավարության 2021-2026 թվականների գործունեության միջոցառումների ծրագրով Արտաքին հետախուզության ծառայության մասով սահմանված ՀՀ արտաքին հետախուզության ծառայության ստեղծմանը, արտաքին հետախուզական գործունեության ապահովմանը: </w:t>
      </w:r>
    </w:p>
    <w:p w14:paraId="00D60A12" w14:textId="77777777" w:rsidR="005F7425" w:rsidRPr="00D604BC" w:rsidRDefault="005F7425" w:rsidP="004247C0">
      <w:pPr>
        <w:tabs>
          <w:tab w:val="left" w:pos="0"/>
        </w:tabs>
        <w:spacing w:before="120" w:after="0" w:line="276" w:lineRule="auto"/>
        <w:ind w:firstLine="0"/>
        <w:rPr>
          <w:rFonts w:cs="Sylfaen"/>
          <w:color w:val="000000"/>
          <w:lang w:val="hy-AM"/>
        </w:rPr>
      </w:pPr>
      <w:r>
        <w:rPr>
          <w:rFonts w:cs="Sylfaen"/>
          <w:color w:val="000000"/>
          <w:lang w:val="hy-AM"/>
        </w:rPr>
        <w:tab/>
      </w:r>
      <w:r w:rsidRPr="00D604BC">
        <w:rPr>
          <w:rFonts w:cs="Sylfaen"/>
          <w:color w:val="000000"/>
          <w:lang w:val="hy-AM"/>
        </w:rPr>
        <w:t>ՀՀ արտաքին հետախուզության ծառայության առաքելությունն է արտաքին քաղաքականության, ռազմաքաղաքական, տնտեսական, գիտատեխնիկական, շրջակա միջավայրի պահպանության և կենսական այլ ոլորտներում պետական քաղաքականության աջակցումը:</w:t>
      </w:r>
    </w:p>
    <w:p w14:paraId="2E4D1474" w14:textId="5F8674A8" w:rsidR="005F7425" w:rsidRPr="00D604BC" w:rsidRDefault="005F7425" w:rsidP="004247C0">
      <w:pPr>
        <w:tabs>
          <w:tab w:val="left" w:pos="0"/>
        </w:tabs>
        <w:spacing w:before="120" w:after="0" w:line="276" w:lineRule="auto"/>
        <w:ind w:firstLine="0"/>
        <w:rPr>
          <w:rFonts w:cs="Sylfaen"/>
          <w:color w:val="000000"/>
          <w:lang w:val="hy-AM"/>
        </w:rPr>
      </w:pPr>
      <w:r>
        <w:rPr>
          <w:rFonts w:cs="Sylfaen"/>
          <w:color w:val="000000"/>
          <w:lang w:val="hy-AM"/>
        </w:rPr>
        <w:tab/>
      </w:r>
      <w:r w:rsidRPr="00D604BC">
        <w:rPr>
          <w:rFonts w:cs="Sylfaen"/>
          <w:color w:val="000000"/>
          <w:lang w:val="hy-AM"/>
        </w:rPr>
        <w:t>Ոլորտային քաղաքականության թիրախների</w:t>
      </w:r>
      <w:r>
        <w:rPr>
          <w:rFonts w:cs="Sylfaen"/>
          <w:color w:val="000000"/>
          <w:lang w:val="hy-AM"/>
        </w:rPr>
        <w:t xml:space="preserve"> </w:t>
      </w:r>
      <w:r w:rsidRPr="00D604BC">
        <w:rPr>
          <w:rFonts w:cs="Sylfaen"/>
          <w:color w:val="000000"/>
          <w:lang w:val="hy-AM"/>
        </w:rPr>
        <w:t>ապահովման նպատակով ՄԺԾԾ ժամանակահատվածում հիմնական ծախսային գերակայություններն են՝ արտաքին սպառնալիքներից անձի, հասարակության և պետության պաշտպանությունը, ՀՀ կենսական շահերին առչնվող տեղեկատվության ստացումը և մշակումը, որն ուղղված է ՀՀ արտաքին քաղաքականության, ռազմաքաղաքական, տնտեսական, գիտատեխնիկական, շրջակա միջավայ</w:t>
      </w:r>
      <w:r w:rsidR="0089601D">
        <w:rPr>
          <w:rFonts w:cs="Sylfaen"/>
          <w:color w:val="000000"/>
          <w:lang w:val="hy-AM"/>
        </w:rPr>
        <w:t>ր</w:t>
      </w:r>
      <w:r w:rsidRPr="00D604BC">
        <w:rPr>
          <w:rFonts w:cs="Sylfaen"/>
          <w:color w:val="000000"/>
          <w:lang w:val="hy-AM"/>
        </w:rPr>
        <w:t xml:space="preserve">ի պահպանության ու կենսական այլ ոլորտներում պետական քաղաքականության իրականացման աջակցությանը, արտաքին հետախուզության ծառայության տեխնիկական </w:t>
      </w:r>
      <w:r w:rsidRPr="00D604BC">
        <w:rPr>
          <w:rFonts w:cs="Sylfaen"/>
          <w:color w:val="000000"/>
          <w:lang w:val="hy-AM"/>
        </w:rPr>
        <w:lastRenderedPageBreak/>
        <w:t>հագեցվածության, արտաքին հետախուզության ծառայության տրանսպորտային սարքավորումներով հագեցվածության և արտաքին հետախուզության ծառայության շենքային պայմանների ապահովմանը:</w:t>
      </w:r>
    </w:p>
    <w:p w14:paraId="5E167DA8" w14:textId="77777777" w:rsidR="005F7425" w:rsidRPr="00E95931" w:rsidRDefault="005F7425" w:rsidP="004247C0">
      <w:pPr>
        <w:tabs>
          <w:tab w:val="left" w:pos="0"/>
        </w:tabs>
        <w:spacing w:before="120" w:after="0" w:line="276" w:lineRule="auto"/>
        <w:ind w:firstLine="0"/>
        <w:rPr>
          <w:rFonts w:cs="Sylfaen"/>
          <w:color w:val="000000"/>
          <w:lang w:val="hy-AM"/>
        </w:rPr>
      </w:pPr>
    </w:p>
    <w:p w14:paraId="2C5AD255" w14:textId="5A099D1F" w:rsidR="00BB727B" w:rsidRPr="00BB727B" w:rsidRDefault="009973D9"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7" w:name="_Toc170926335"/>
      <w:r>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5</w:t>
      </w:r>
      <w:r>
        <w:rPr>
          <w:rFonts w:eastAsia="Times New Roman" w:cs="Times New Roman"/>
          <w:b w:val="0"/>
          <w:caps w:val="0"/>
          <w:color w:val="44546A" w:themeColor="text2"/>
          <w:sz w:val="24"/>
          <w:szCs w:val="24"/>
        </w:rPr>
        <w:t xml:space="preserve">. </w:t>
      </w:r>
      <w:r w:rsidR="00C357E4">
        <w:rPr>
          <w:rFonts w:eastAsia="Times New Roman" w:cs="Times New Roman"/>
          <w:b w:val="0"/>
          <w:caps w:val="0"/>
          <w:color w:val="44546A" w:themeColor="text2"/>
          <w:sz w:val="24"/>
          <w:szCs w:val="24"/>
        </w:rPr>
        <w:t>ՀՀ ՆԵՐՔԻՆ ԳՈՐԾԵՐԻ ՆԱԽԱՐԱՐՈՒԹՅՈՒՆ</w:t>
      </w:r>
      <w:bookmarkEnd w:id="215"/>
      <w:bookmarkEnd w:id="217"/>
    </w:p>
    <w:p w14:paraId="5A52AE5A" w14:textId="77777777" w:rsidR="00F72F90" w:rsidRPr="004D23D9" w:rsidRDefault="00F72F90" w:rsidP="004247C0">
      <w:pPr>
        <w:tabs>
          <w:tab w:val="left" w:pos="0"/>
        </w:tabs>
        <w:spacing w:before="120" w:after="0" w:line="276" w:lineRule="auto"/>
        <w:ind w:right="-547" w:firstLine="0"/>
        <w:rPr>
          <w:rFonts w:cs="Sylfaen"/>
          <w:color w:val="000000"/>
          <w:lang w:val="hy-AM"/>
        </w:rPr>
      </w:pPr>
      <w:bookmarkStart w:id="218" w:name="_Hlk170306850"/>
      <w:r w:rsidRPr="004D23D9">
        <w:rPr>
          <w:rFonts w:cs="Sylfaen"/>
          <w:color w:val="000000"/>
          <w:lang w:val="hy-AM"/>
        </w:rPr>
        <w:t>ՀՀ ներքին գործերի նախարարությունը, վերջնական կազմավորումից հետո, իր մեջ ներառում է երեք խոշոր ծառայություն՝ ոստիկանություն, փրկարար ծառայություն, միգրացիայի և քաղաքացիության ծառայություն:</w:t>
      </w:r>
    </w:p>
    <w:p w14:paraId="30F793A7"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ՀՀ ներքին գործերի նախարարության ոստիկանության կարևորագույն հայեցակարգային խնդիրը, ոստիկանությունում մեկնարկած բարեփոխումների նպատակը ժամանակակից մարտահրավերներին դիմակայող, մասնագիտացված ու տեխնիկապես հագեցած, բարեվարք և հարգանքի արժանի ոստիկանության վերափոխումն ու ժողովրդավարական իրավակարգին բնորոշ նոր ոստիկանի կերպարի ստեղծումն է։</w:t>
      </w:r>
      <w:r w:rsidRPr="004D23D9">
        <w:rPr>
          <w:rFonts w:ascii="Calibri" w:hAnsi="Calibri" w:cs="Calibri"/>
          <w:color w:val="000000"/>
          <w:lang w:val="hy-AM"/>
        </w:rPr>
        <w:t> </w:t>
      </w:r>
    </w:p>
    <w:p w14:paraId="24E84928"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 xml:space="preserve">Նշված նպատակադրումների իրականացմանն ուղղված միջոցառումները, որոնք ներառված են ոստիկանության բարեփոխումների ռազմավարությունում և Կառավարության 2021-2026 թվականների գործունեության միջոցառումների ծրագրում, հանդիսանալու են ոստիկանության գործունեության ոլորտում առաջիկա տարիներին նախատեսվող բոլոր  բարեփոխումների հիմքը: </w:t>
      </w:r>
    </w:p>
    <w:p w14:paraId="7E4B550D"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 xml:space="preserve">Ներքին գործերի նախարարության վերջնական ձևավորումից հետո նախատեսվում է Ոստիկանության զորքերն ապառազմականացնել և վերակազմակերպել ոստիկանության գվարդիայի: Ոստիկանության գվարդիայի կառուցվածքում նախատեսվում է ներառել ներկայիս ոստիկանության զորքերը, ոստիկանության պետական պահպանության գլխավոր վարչությունը, ճանապարհային ոստիկանության ուղեկցող ստորաբաժանումը, ոստիկանության տարբեր ստորաբաժանումներում գործող հատուկ նշանակության ստորաբաժանումները, ինչպես նաև քրեական վարույթին ներգրավված անձանց պաշտպանության ստորաբաժանումները: </w:t>
      </w:r>
    </w:p>
    <w:p w14:paraId="2B0AC58A"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Նոր մոդելի պայմաններում նախատեսվում է օրենսդրորեն ոստիկանության գվարդիային վերապահել գործունեության հետևյալ ուղղությունները՝</w:t>
      </w:r>
    </w:p>
    <w:p w14:paraId="574915AD"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1) հասարակական կարգի պահպանությունը և հասարակական անվտանգության ապահովումը,</w:t>
      </w:r>
    </w:p>
    <w:p w14:paraId="29D15FD2"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2) Ոստիկանության կողմից պետական պահպանության ենթակա պետական մարմինների և կազմակերպությունների շենքերի ու շինությունների, կարևորագույն նշանակության օբյեկտների, ինչպես նաև հատուկ բեռների տեղափոխման անվտանգության ապահովումը,</w:t>
      </w:r>
    </w:p>
    <w:p w14:paraId="6055CA30"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3) հատուկ պետական պաշտպանության ենթակա անձանց անվտանգության ապահովմանն աջակցելը,</w:t>
      </w:r>
    </w:p>
    <w:p w14:paraId="563A778A"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4) քրեական վարույթն իրականացնող մարմիններին օժանդակելը,</w:t>
      </w:r>
    </w:p>
    <w:p w14:paraId="1C08DCC0" w14:textId="77777777" w:rsidR="00F72F90" w:rsidRPr="004D23D9" w:rsidRDefault="00F72F90" w:rsidP="004247C0">
      <w:pPr>
        <w:tabs>
          <w:tab w:val="left" w:pos="0"/>
        </w:tabs>
        <w:spacing w:before="120" w:after="0" w:line="276" w:lineRule="auto"/>
        <w:ind w:right="-547" w:firstLine="0"/>
        <w:rPr>
          <w:rFonts w:cs="Sylfaen"/>
          <w:color w:val="000000"/>
          <w:lang w:val="hy-AM"/>
        </w:rPr>
      </w:pPr>
      <w:r w:rsidRPr="004D23D9">
        <w:rPr>
          <w:rFonts w:cs="Sylfaen"/>
          <w:color w:val="000000"/>
          <w:lang w:val="hy-AM"/>
        </w:rPr>
        <w:t>5) ռազմական դրության իրավական ռեժիմի և արտակարգ դրության իրավական ռեժիմի ապահովմանը, ինչպես նաև արտակարգ իրավիճակներում բնակչության պաշտպանությանը մասնակցելը։</w:t>
      </w:r>
    </w:p>
    <w:p w14:paraId="1B096FA5"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 xml:space="preserve">      Սկզբունքորեն վերաիմաստավորվելու է Ոստիկանության տարածքային մարմինների կազմակերպական ձևն ու գործառույթները, որը միտված է լինելու ինչպես ծանր և առանձնապես ծանր հանցագործությունների բացահայտման արդյունավետության բարձրացմանը, այնպես էլ այդ </w:t>
      </w:r>
      <w:r w:rsidRPr="004D23D9">
        <w:rPr>
          <w:rFonts w:cs="Sylfaen"/>
          <w:color w:val="000000"/>
          <w:lang w:val="hy-AM"/>
        </w:rPr>
        <w:lastRenderedPageBreak/>
        <w:t xml:space="preserve">մարմինների գործունեությունը առավելապես հանցագործությունների կանխարգելմանը նպատակաուղղելուն: </w:t>
      </w:r>
    </w:p>
    <w:p w14:paraId="540CC1C4"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 xml:space="preserve">       ՀՀ ներքին գործերի նախարարության ձևավորմամբ պայմանավորված՝ ներկայումս ընթանում է ՆԳՆ կրթահամալիրի և Ճգնաժամային կառավարման պետական ակադեմիայի միավորման գործընթաց: Մշակվում է միասնական կրթահամալիրի ձևավորման հայեցակարգ, որի նպատակն է ստեղծվելիք կրթահամալիրի կրթական ծրագրերի իրականացումը նպատակաուղղել ոստիկանության գվարդիայի, պարեկային ծառայության, քրեական ոստիկանության, համայնքային ոստիկանության, փրկարար ծառայության և ճգնաժամային կառավարման կենտրոնի կադրային պահանջարկը բավարարելուն, սկսած նշված համակարգեր առաջին անգամ ծառայության անցնելուց, մինչև ծառայողների մասնագիտական պատրաստվածության բարձրացում: </w:t>
      </w:r>
    </w:p>
    <w:p w14:paraId="08725838"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tab/>
      </w:r>
      <w:r w:rsidRPr="004D23D9">
        <w:rPr>
          <w:rFonts w:cs="Sylfaen"/>
          <w:color w:val="000000"/>
          <w:lang w:val="hy-AM"/>
        </w:rPr>
        <w:tab/>
        <w:t>Փրկարար ծառայության հիմնական նպատակներն են.</w:t>
      </w:r>
    </w:p>
    <w:p w14:paraId="25AF11EB"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մասնագիտացված փրկարարական ուժերի կարողությունների զարգացում, պատրաստականության բարձրացում, ժամանակակից վարժահրապարակի կառուցում, փրկարարական ծառայողների վերապատրաստում, գիտելիքների և հմտությունների կատարելագործում.</w:t>
      </w:r>
    </w:p>
    <w:p w14:paraId="484F3957"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քաղաքացիական պաշտպանության հենակետերի միջոցով ՀՀ սահմանամերձ և բարձր լեռնային համայնքներում փրկարարական և հրդեհաշիջման աշխատանքների իրականացում, բնակչության պաշտպանության, ռազմավարական նշանակության օբյեկտների և ենթակառուցվածքների անվտանգության ապահովում.</w:t>
      </w:r>
    </w:p>
    <w:p w14:paraId="225797B3"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աղետների վաղ ազդարար</w:t>
      </w:r>
      <w:r w:rsidRPr="004D23D9">
        <w:rPr>
          <w:rFonts w:cs="Sylfaen"/>
          <w:color w:val="000000"/>
          <w:lang w:val="hy-AM"/>
        </w:rPr>
        <w:softHyphen/>
        <w:t>ման համա</w:t>
      </w:r>
      <w:r w:rsidRPr="004D23D9">
        <w:rPr>
          <w:rFonts w:cs="Sylfaen"/>
          <w:color w:val="000000"/>
          <w:lang w:val="hy-AM"/>
        </w:rPr>
        <w:softHyphen/>
        <w:t>կարգի զարգացում, օրենսդրական դաշտի կատարելագործում, հավաստի օպերատիվ տեղեկատվության տրա</w:t>
      </w:r>
      <w:r w:rsidRPr="004D23D9">
        <w:rPr>
          <w:rFonts w:cs="Sylfaen"/>
          <w:color w:val="000000"/>
          <w:lang w:val="hy-AM"/>
        </w:rPr>
        <w:softHyphen/>
        <w:t>մադրման հնարավորություն,  մարդկային կո</w:t>
      </w:r>
      <w:r w:rsidRPr="004D23D9">
        <w:rPr>
          <w:rFonts w:cs="Sylfaen"/>
          <w:color w:val="000000"/>
          <w:lang w:val="hy-AM"/>
        </w:rPr>
        <w:softHyphen/>
        <w:t>րուստ</w:t>
      </w:r>
      <w:r w:rsidRPr="004D23D9">
        <w:rPr>
          <w:rFonts w:cs="Sylfaen"/>
          <w:color w:val="000000"/>
          <w:lang w:val="hy-AM"/>
        </w:rPr>
        <w:softHyphen/>
        <w:t>ների  և տնտե</w:t>
      </w:r>
      <w:r w:rsidRPr="004D23D9">
        <w:rPr>
          <w:rFonts w:cs="Sylfaen"/>
          <w:color w:val="000000"/>
          <w:lang w:val="hy-AM"/>
        </w:rPr>
        <w:softHyphen/>
        <w:t>սա</w:t>
      </w:r>
      <w:r w:rsidRPr="004D23D9">
        <w:rPr>
          <w:rFonts w:cs="Sylfaen"/>
          <w:color w:val="000000"/>
          <w:lang w:val="hy-AM"/>
        </w:rPr>
        <w:softHyphen/>
        <w:t>կան վնասների նվազեցում.</w:t>
      </w:r>
    </w:p>
    <w:p w14:paraId="15636062"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զանգերի միասնական կառավարման կենտրոնի հիմնման, ահազանգման մեկ միասնական հեռախոսահամարի ներդրման հետ կապված աշխատանքների իրականացում, «911» դիսպետչերական ծառայության զարգացում` ծառայության մատուցումը հնարավորինս մոտեցնելով միջազգային չափանիշներին.</w:t>
      </w:r>
    </w:p>
    <w:p w14:paraId="2075457A"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արտակարգ իրավիճակներում բնակչության պաշտպանության և քաղաքացիական պաշտպանության միջոցառումների իրականացման ընթացքում ճգնաժամային կառավարման համակարգի կատարելագործում։</w:t>
      </w:r>
    </w:p>
    <w:p w14:paraId="4DF723CC"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 xml:space="preserve">սեյսմիկ պաշտպանության ոլորտում սեյսմիկ վտանգի գնահատման հուսալիությունը բարձրացնելու նպատակով սեյսմիկ պաշտպանության ազգային դիտացանցի արդիականացում և թվայնացում: </w:t>
      </w:r>
    </w:p>
    <w:p w14:paraId="1D253815"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տեխնիկական անվտանգության ոլորտում՝ արտադրական վտանգավոր օբյեկտների շահագործմամբ պայմանավորված տեխնածին վթարների, դրանց հետևանքով հասարակությանը և տնտեսությանը պատճառվող վնասների ռիսկերի նվազեցում:</w:t>
      </w:r>
    </w:p>
    <w:p w14:paraId="37E5317B"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ՀՀ կառավարության կողմից հաստատված պետական պահուստի համակարգի զարգացման և բարեփոխումների հայեցակարգի դրույթների իրականացում, նյութական արժեքների կուտակում, թարմացում, փոխարինում և պահպանում: Այս ոլորտում նոր քաղաքականության մշակում՝ ընդգրկելով մասնավոր սեկտորի հնարավորություններն ու կարողությունները:</w:t>
      </w:r>
      <w:r w:rsidRPr="004D23D9">
        <w:rPr>
          <w:rFonts w:cs="Sylfaen"/>
          <w:color w:val="000000"/>
          <w:lang w:val="hy-AM"/>
        </w:rPr>
        <w:tab/>
      </w:r>
    </w:p>
    <w:p w14:paraId="6EA809D5" w14:textId="77777777" w:rsidR="00F72F90" w:rsidRPr="004D23D9" w:rsidRDefault="00F72F90" w:rsidP="004247C0">
      <w:pPr>
        <w:tabs>
          <w:tab w:val="left" w:pos="0"/>
          <w:tab w:val="left" w:pos="567"/>
          <w:tab w:val="left" w:pos="720"/>
          <w:tab w:val="left" w:pos="900"/>
          <w:tab w:val="left" w:pos="1080"/>
        </w:tabs>
        <w:spacing w:before="120" w:after="0" w:line="276" w:lineRule="auto"/>
        <w:ind w:right="-547" w:firstLine="0"/>
        <w:rPr>
          <w:rFonts w:cs="Sylfaen"/>
          <w:color w:val="000000"/>
          <w:lang w:val="hy-AM"/>
        </w:rPr>
      </w:pPr>
      <w:r w:rsidRPr="004D23D9">
        <w:rPr>
          <w:rFonts w:cs="Sylfaen"/>
          <w:color w:val="000000"/>
          <w:lang w:val="hy-AM"/>
        </w:rPr>
        <w:lastRenderedPageBreak/>
        <w:tab/>
      </w:r>
      <w:r w:rsidRPr="004D23D9">
        <w:rPr>
          <w:rFonts w:cs="Sylfaen"/>
          <w:color w:val="000000"/>
          <w:lang w:val="hy-AM"/>
        </w:rPr>
        <w:tab/>
        <w:t>Միգրացիայի և քաղաքացիության ծառայության առաջնահերթ խնդիրներն են.</w:t>
      </w:r>
    </w:p>
    <w:p w14:paraId="3F8E1B87"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ՀՀ-ում կենսաչափական փաստաթղթերի տրամադրման համակարգի արդիականացում և բնակչությանը մատուցվող էլեկտրոնային ծառայությունների հնարավորությունների ավելացում,</w:t>
      </w:r>
    </w:p>
    <w:p w14:paraId="49C2DA4A"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հին անձնագրերի և էլեկտրոնային քարտերի աստիճանաբար փոխարինում ապագա սերնդի տեխնոլոգիաներով,</w:t>
      </w:r>
    </w:p>
    <w:p w14:paraId="533D3754" w14:textId="77777777" w:rsidR="00F72F90" w:rsidRPr="004D23D9"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4D23D9">
        <w:rPr>
          <w:rFonts w:cs="Sylfaen"/>
          <w:color w:val="000000"/>
          <w:lang w:val="hy-AM"/>
        </w:rPr>
        <w:t>ապաստան հայցողներին և նրանց ընտանիքներին ժամանակավոր կացարանի, սննդի, իրավաբանական խորհրդատվական անվճար ծառայությունների մատուցում,</w:t>
      </w:r>
    </w:p>
    <w:p w14:paraId="011A27A1" w14:textId="77777777" w:rsidR="0022530E"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22530E">
        <w:rPr>
          <w:rFonts w:cs="Sylfaen"/>
          <w:color w:val="000000"/>
          <w:lang w:val="hy-AM"/>
        </w:rPr>
        <w:t>ապաստան հայցողների հետ իրենց հասկանալի լեզվով հարցազրույցի անցկացման, ինչպես նաև ապաստանի ընթացակարգում անհրաժեշտ փաստաթղթերի թարգմանչական ծառայությունների կազմակերպում,</w:t>
      </w:r>
    </w:p>
    <w:p w14:paraId="1F1E5C29" w14:textId="78AC327F" w:rsidR="00C357E4" w:rsidRPr="0022530E" w:rsidRDefault="00F72F90" w:rsidP="004247C0">
      <w:pPr>
        <w:numPr>
          <w:ilvl w:val="0"/>
          <w:numId w:val="31"/>
        </w:numPr>
        <w:tabs>
          <w:tab w:val="left" w:pos="0"/>
          <w:tab w:val="left" w:pos="284"/>
        </w:tabs>
        <w:suppressAutoHyphens/>
        <w:spacing w:before="120" w:after="0" w:line="276" w:lineRule="auto"/>
        <w:ind w:left="0" w:right="-547" w:firstLine="0"/>
        <w:rPr>
          <w:rFonts w:cs="Sylfaen"/>
          <w:color w:val="000000"/>
          <w:lang w:val="hy-AM"/>
        </w:rPr>
      </w:pPr>
      <w:r w:rsidRPr="0022530E">
        <w:rPr>
          <w:rFonts w:cs="Sylfaen"/>
          <w:color w:val="000000"/>
          <w:lang w:val="hy-AM"/>
        </w:rPr>
        <w:t>քաղաքացիների, այդ թվում` օտարերկրյա քաղաքացիներին տրամադրվող ծառայությունների թվայնացում, պարզեցում և ավտոմատացում:</w:t>
      </w:r>
      <w:bookmarkEnd w:id="218"/>
    </w:p>
    <w:p w14:paraId="0E97F52A" w14:textId="77777777" w:rsidR="004E7B58" w:rsidRPr="00083646" w:rsidRDefault="004E7B58" w:rsidP="004247C0">
      <w:pPr>
        <w:tabs>
          <w:tab w:val="left" w:pos="0"/>
          <w:tab w:val="left" w:pos="284"/>
        </w:tabs>
        <w:suppressAutoHyphens/>
        <w:spacing w:before="120" w:after="0" w:line="276" w:lineRule="auto"/>
        <w:ind w:right="-547" w:firstLine="0"/>
        <w:rPr>
          <w:rFonts w:eastAsia="Times New Roman" w:cs="Times New Roman"/>
          <w:b/>
          <w:caps/>
          <w:color w:val="44546A" w:themeColor="text2"/>
          <w:sz w:val="24"/>
          <w:szCs w:val="24"/>
          <w:lang w:val="hy-AM"/>
        </w:rPr>
      </w:pPr>
    </w:p>
    <w:p w14:paraId="51BA9A28" w14:textId="7A2D9769"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19" w:name="_Toc170926336"/>
      <w:r w:rsidRPr="00D23B4A">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6</w:t>
      </w:r>
      <w:r w:rsidRPr="00D23B4A">
        <w:rPr>
          <w:rFonts w:eastAsia="Times New Roman" w:cs="Times New Roman"/>
          <w:b w:val="0"/>
          <w:caps w:val="0"/>
          <w:color w:val="44546A" w:themeColor="text2"/>
          <w:sz w:val="24"/>
          <w:szCs w:val="24"/>
        </w:rPr>
        <w:t>.</w:t>
      </w:r>
      <w:r w:rsidRPr="00D23B4A">
        <w:rPr>
          <w:rFonts w:eastAsia="Times New Roman" w:cs="Times New Roman"/>
          <w:b w:val="0"/>
          <w:caps w:val="0"/>
          <w:color w:val="44546A" w:themeColor="text2"/>
          <w:sz w:val="24"/>
          <w:szCs w:val="24"/>
          <w:lang w:val="af-ZA"/>
        </w:rPr>
        <w:t xml:space="preserve"> </w:t>
      </w:r>
      <w:r w:rsidRPr="00D23B4A">
        <w:rPr>
          <w:rFonts w:eastAsia="Times New Roman" w:cs="Times New Roman"/>
          <w:b w:val="0"/>
          <w:caps w:val="0"/>
          <w:color w:val="44546A" w:themeColor="text2"/>
          <w:sz w:val="24"/>
          <w:szCs w:val="24"/>
        </w:rPr>
        <w:t>ՊԵՏԱԿԱՆ ԵԿԱՄՈՒՏՆԵՐ</w:t>
      </w:r>
      <w:bookmarkEnd w:id="210"/>
      <w:bookmarkEnd w:id="211"/>
      <w:bookmarkEnd w:id="219"/>
    </w:p>
    <w:p w14:paraId="7622830F" w14:textId="77777777" w:rsidR="00D23B4A" w:rsidRDefault="00D23B4A" w:rsidP="004247C0">
      <w:pPr>
        <w:tabs>
          <w:tab w:val="left" w:pos="0"/>
        </w:tabs>
        <w:spacing w:before="120" w:after="0" w:line="276" w:lineRule="auto"/>
        <w:ind w:firstLine="0"/>
        <w:rPr>
          <w:rFonts w:cs="Sylfaen"/>
          <w:color w:val="000000"/>
          <w:lang w:val="hy-AM"/>
        </w:rPr>
      </w:pPr>
      <w:bookmarkStart w:id="220" w:name="_Toc45637529"/>
      <w:bookmarkStart w:id="221" w:name="_Toc45838553"/>
      <w:r>
        <w:rPr>
          <w:rFonts w:cs="Sylfaen"/>
          <w:color w:val="000000"/>
          <w:lang w:val="hy-AM"/>
        </w:rPr>
        <w:t>Առաջիկա տարիներին ՊԵԿ-ի կողմից իրականացվող հիմնական նպատակն է լինելու  հարկային և մաքսային օրենսդրության ամբողջական և համահավասար կիրա</w:t>
      </w:r>
      <w:r>
        <w:rPr>
          <w:rFonts w:cs="Sylfaen"/>
          <w:color w:val="000000"/>
          <w:lang w:val="hy-AM"/>
        </w:rPr>
        <w:softHyphen/>
        <w:t>ռումը: «1023. Հարկային և մաքսային ծառայություններ» ծրագրի նպատակն է՝</w:t>
      </w:r>
    </w:p>
    <w:p w14:paraId="250ADA83" w14:textId="77777777" w:rsidR="00D23B4A" w:rsidRDefault="00D23B4A"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Sylfaen"/>
          <w:color w:val="000000"/>
          <w:lang w:val="hy-AM"/>
        </w:rPr>
        <w:t>Հ</w:t>
      </w:r>
      <w:r>
        <w:rPr>
          <w:rFonts w:cs="GHEA Grapalat"/>
          <w:lang w:val="hy-AM"/>
        </w:rPr>
        <w:t>արկային և մաքսային օրենսդրության ամբողջական և համահավասար կիրա</w:t>
      </w:r>
      <w:r>
        <w:rPr>
          <w:rFonts w:cs="GHEA Grapalat"/>
          <w:lang w:val="hy-AM"/>
        </w:rPr>
        <w:softHyphen/>
        <w:t>ռումը, վարչա</w:t>
      </w:r>
      <w:r>
        <w:rPr>
          <w:rFonts w:cs="GHEA Grapalat"/>
          <w:lang w:val="hy-AM"/>
        </w:rPr>
        <w:softHyphen/>
        <w:t>րա</w:t>
      </w:r>
      <w:r>
        <w:rPr>
          <w:rFonts w:cs="GHEA Grapalat"/>
          <w:lang w:val="hy-AM"/>
        </w:rPr>
        <w:softHyphen/>
        <w:t>րության պլանավորումը, պարզեցումը, վարչարարության բարե</w:t>
      </w:r>
      <w:r>
        <w:rPr>
          <w:rFonts w:cs="GHEA Grapalat"/>
          <w:lang w:val="hy-AM"/>
        </w:rPr>
        <w:softHyphen/>
        <w:t>լավ</w:t>
      </w:r>
      <w:r>
        <w:rPr>
          <w:rFonts w:cs="GHEA Grapalat"/>
          <w:lang w:val="hy-AM"/>
        </w:rPr>
        <w:softHyphen/>
        <w:t>ման ծրագրերի համակարգումը, մոնիտորինգը, էլեկտրոնային և թվային գործիքակազմի կիրառումը, արդյունավետ և թիրախային հսկո</w:t>
      </w:r>
      <w:r>
        <w:rPr>
          <w:rFonts w:cs="GHEA Grapalat"/>
          <w:lang w:val="hy-AM"/>
        </w:rPr>
        <w:softHyphen/>
        <w:t>ղութ</w:t>
      </w:r>
      <w:r>
        <w:rPr>
          <w:rFonts w:cs="GHEA Grapalat"/>
          <w:lang w:val="hy-AM"/>
        </w:rPr>
        <w:softHyphen/>
        <w:t>յունը, իրազեկման և սպասարկման որակյալ ծա</w:t>
      </w:r>
      <w:r>
        <w:rPr>
          <w:rFonts w:cs="GHEA Grapalat"/>
          <w:lang w:val="hy-AM"/>
        </w:rPr>
        <w:softHyphen/>
        <w:t>ռա</w:t>
      </w:r>
      <w:r>
        <w:rPr>
          <w:rFonts w:cs="GHEA Grapalat"/>
          <w:lang w:val="hy-AM"/>
        </w:rPr>
        <w:softHyphen/>
      </w:r>
      <w:r>
        <w:rPr>
          <w:rFonts w:cs="GHEA Grapalat"/>
          <w:lang w:val="hy-AM"/>
        </w:rPr>
        <w:softHyphen/>
        <w:t>յութ</w:t>
      </w:r>
      <w:r>
        <w:rPr>
          <w:rFonts w:cs="GHEA Grapalat"/>
          <w:lang w:val="hy-AM"/>
        </w:rPr>
        <w:softHyphen/>
      </w:r>
      <w:r>
        <w:rPr>
          <w:rFonts w:cs="GHEA Grapalat"/>
          <w:lang w:val="hy-AM"/>
        </w:rPr>
        <w:softHyphen/>
        <w:t>յունները նպաստում են հարկային և մաքսա</w:t>
      </w:r>
      <w:r>
        <w:rPr>
          <w:rFonts w:cs="GHEA Grapalat"/>
          <w:lang w:val="hy-AM"/>
        </w:rPr>
        <w:softHyphen/>
        <w:t>յին կարգա</w:t>
      </w:r>
      <w:r>
        <w:rPr>
          <w:rFonts w:cs="GHEA Grapalat"/>
          <w:lang w:val="hy-AM"/>
        </w:rPr>
        <w:softHyphen/>
        <w:t>պա</w:t>
      </w:r>
      <w:r>
        <w:rPr>
          <w:rFonts w:cs="GHEA Grapalat"/>
          <w:lang w:val="hy-AM"/>
        </w:rPr>
        <w:softHyphen/>
        <w:t>հութ</w:t>
      </w:r>
      <w:r>
        <w:rPr>
          <w:rFonts w:cs="GHEA Grapalat"/>
          <w:lang w:val="hy-AM"/>
        </w:rPr>
        <w:softHyphen/>
        <w:t>յան մակարդակի բարելավմանը, արդյունավետ հարկային և մաքսային վարչարա</w:t>
      </w:r>
      <w:r>
        <w:rPr>
          <w:rFonts w:cs="GHEA Grapalat"/>
          <w:lang w:val="hy-AM"/>
        </w:rPr>
        <w:softHyphen/>
        <w:t>րության իրականացմանը, պետական բյուջեի հարկային եկամուտների և պետական տուրքերի ծրագրա</w:t>
      </w:r>
      <w:r>
        <w:rPr>
          <w:rFonts w:cs="GHEA Grapalat"/>
          <w:lang w:val="hy-AM"/>
        </w:rPr>
        <w:softHyphen/>
        <w:t>վորված ցուցանիշների կատարմանը,</w:t>
      </w:r>
    </w:p>
    <w:p w14:paraId="2C6D9FCB" w14:textId="77777777" w:rsidR="00D23B4A" w:rsidRDefault="00D23B4A"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Հարկային և մաքսային ծառայությունների համար անհրաժեշտ նյութատեխ</w:t>
      </w:r>
      <w:r>
        <w:rPr>
          <w:rFonts w:cs="GHEA Grapalat"/>
          <w:lang w:val="hy-AM"/>
        </w:rPr>
        <w:softHyphen/>
        <w:t>նի</w:t>
      </w:r>
      <w:r>
        <w:rPr>
          <w:rFonts w:cs="GHEA Grapalat"/>
          <w:lang w:val="hy-AM"/>
        </w:rPr>
        <w:softHyphen/>
        <w:t>կա</w:t>
      </w:r>
      <w:r>
        <w:rPr>
          <w:rFonts w:cs="GHEA Grapalat"/>
          <w:lang w:val="hy-AM"/>
        </w:rPr>
        <w:softHyphen/>
        <w:t>կան բազայով ապահովումը նպաստում է ՊԵԿ բնականոն գործունեության անխափան ընթացքին և որակյալ ծառա</w:t>
      </w:r>
      <w:r>
        <w:rPr>
          <w:rFonts w:cs="GHEA Grapalat"/>
          <w:lang w:val="hy-AM"/>
        </w:rPr>
        <w:softHyphen/>
        <w:t>յությունների մատուցմանը, հարկային և մաքսային վարչա</w:t>
      </w:r>
      <w:r>
        <w:rPr>
          <w:rFonts w:cs="GHEA Grapalat"/>
          <w:lang w:val="hy-AM"/>
        </w:rPr>
        <w:softHyphen/>
        <w:t>րա</w:t>
      </w:r>
      <w:r>
        <w:rPr>
          <w:rFonts w:cs="GHEA Grapalat"/>
          <w:lang w:val="hy-AM"/>
        </w:rPr>
        <w:softHyphen/>
        <w:t>րության արդյունավետության բարձրաց</w:t>
      </w:r>
      <w:r>
        <w:rPr>
          <w:rFonts w:cs="GHEA Grapalat"/>
          <w:lang w:val="hy-AM"/>
        </w:rPr>
        <w:softHyphen/>
        <w:t>մանը,</w:t>
      </w:r>
    </w:p>
    <w:p w14:paraId="0497FE2D" w14:textId="77777777" w:rsidR="00D23B4A" w:rsidRDefault="00D23B4A"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Փորձաքննության ծառայությունները հնարավորություն են ընձեռնում ապրանք</w:t>
      </w:r>
      <w:r>
        <w:rPr>
          <w:rFonts w:cs="GHEA Grapalat"/>
          <w:lang w:val="hy-AM"/>
        </w:rPr>
        <w:softHyphen/>
        <w:t xml:space="preserve">ների ճշգրիտ դասակարգման, ինչն ապահովում է հսկողության օբյեկտիվությունը և արդյունավետությունը։ </w:t>
      </w:r>
    </w:p>
    <w:p w14:paraId="55FEA624" w14:textId="77777777" w:rsidR="00D23B4A" w:rsidRDefault="00D23B4A"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Յուրաքանչյուր տարի հարկային և մաքսային ծառայողները ենթակա են պարտադիր վերա</w:t>
      </w:r>
      <w:r>
        <w:rPr>
          <w:rFonts w:cs="GHEA Grapalat"/>
          <w:lang w:val="hy-AM"/>
        </w:rPr>
        <w:softHyphen/>
        <w:t>պատրաստման ՊԵԿ-ի առջև դրված խնդիրների արդյունավետ իրագործման տեսանկյունից կարևոր է անձնակազմի մաս</w:t>
      </w:r>
      <w:r>
        <w:rPr>
          <w:rFonts w:cs="GHEA Grapalat"/>
          <w:lang w:val="hy-AM"/>
        </w:rPr>
        <w:softHyphen/>
        <w:t>նագիտական կարողությունների պարբերաբար բարելավումը, թիրախային և արդիա</w:t>
      </w:r>
      <w:r>
        <w:rPr>
          <w:rFonts w:cs="GHEA Grapalat"/>
          <w:lang w:val="hy-AM"/>
        </w:rPr>
        <w:softHyphen/>
        <w:t>կան ծրագրերով մասնագիտական որակի բարձրացումը։</w:t>
      </w:r>
    </w:p>
    <w:p w14:paraId="253889D9" w14:textId="77777777" w:rsidR="00D23B4A" w:rsidRDefault="00D23B4A" w:rsidP="004247C0">
      <w:pPr>
        <w:numPr>
          <w:ilvl w:val="0"/>
          <w:numId w:val="30"/>
        </w:numPr>
        <w:tabs>
          <w:tab w:val="left" w:pos="0"/>
          <w:tab w:val="left" w:pos="284"/>
        </w:tabs>
        <w:autoSpaceDE w:val="0"/>
        <w:autoSpaceDN w:val="0"/>
        <w:adjustRightInd w:val="0"/>
        <w:spacing w:before="120" w:after="0" w:line="276" w:lineRule="auto"/>
        <w:rPr>
          <w:lang w:val="hy-AM"/>
        </w:rPr>
      </w:pPr>
      <w:r>
        <w:rPr>
          <w:rFonts w:cs="GHEA Grapalat"/>
          <w:lang w:val="hy-AM"/>
        </w:rPr>
        <w:t>ՀՀ ՊԵԿ-ի նոր շենքերի և շինությունների շինարարությունը (նախագծումը) նպաս</w:t>
      </w:r>
      <w:r>
        <w:rPr>
          <w:rFonts w:cs="GHEA Grapalat"/>
          <w:lang w:val="hy-AM"/>
        </w:rPr>
        <w:softHyphen/>
        <w:t>տում է համակարգի գործունեության արդյունավետությանը, բարելավում է աշխատակից</w:t>
      </w:r>
      <w:r>
        <w:rPr>
          <w:rFonts w:cs="GHEA Grapalat"/>
          <w:lang w:val="hy-AM"/>
        </w:rPr>
        <w:softHyphen/>
        <w:t>ների աշխատանքային պայմանները: Իր կարևոր դերն ունի սահմանային անցա</w:t>
      </w:r>
      <w:r>
        <w:rPr>
          <w:rFonts w:cs="GHEA Grapalat"/>
          <w:lang w:val="hy-AM"/>
        </w:rPr>
        <w:softHyphen/>
        <w:t>կե</w:t>
      </w:r>
      <w:r>
        <w:rPr>
          <w:rFonts w:cs="GHEA Grapalat"/>
          <w:lang w:val="hy-AM"/>
        </w:rPr>
        <w:softHyphen/>
        <w:t>տերում վերափոխված շենքային պայման</w:t>
      </w:r>
      <w:r>
        <w:rPr>
          <w:rFonts w:cs="GHEA Grapalat"/>
          <w:lang w:val="hy-AM"/>
        </w:rPr>
        <w:softHyphen/>
        <w:t>ների բարելավումը և տեխնիկական հագեց</w:t>
      </w:r>
      <w:r>
        <w:rPr>
          <w:rFonts w:cs="GHEA Grapalat"/>
          <w:lang w:val="hy-AM"/>
        </w:rPr>
        <w:softHyphen/>
        <w:t>վա</w:t>
      </w:r>
      <w:r>
        <w:rPr>
          <w:rFonts w:cs="GHEA Grapalat"/>
          <w:lang w:val="hy-AM"/>
        </w:rPr>
        <w:softHyphen/>
        <w:t xml:space="preserve">ծության </w:t>
      </w:r>
      <w:r>
        <w:rPr>
          <w:rFonts w:cs="GHEA Grapalat"/>
          <w:lang w:val="hy-AM"/>
        </w:rPr>
        <w:lastRenderedPageBreak/>
        <w:t>ապահովումը, ինչը հնարավորություն կտա արդյունավետ մաքսային հսկո</w:t>
      </w:r>
      <w:r>
        <w:rPr>
          <w:rFonts w:cs="GHEA Grapalat"/>
          <w:lang w:val="hy-AM"/>
        </w:rPr>
        <w:softHyphen/>
        <w:t>ղության՝ կենտրոնացվա</w:t>
      </w:r>
      <w:r>
        <w:rPr>
          <w:rFonts w:cs="Sylfaen"/>
          <w:color w:val="000000"/>
          <w:lang w:val="hy-AM"/>
        </w:rPr>
        <w:t>ծ կառավարման և թիրախավորման գործիքների շնորհիվ, մաք</w:t>
      </w:r>
      <w:r>
        <w:rPr>
          <w:rFonts w:cs="Sylfaen"/>
          <w:color w:val="000000"/>
          <w:lang w:val="hy-AM"/>
        </w:rPr>
        <w:softHyphen/>
        <w:t>սային վարչարարության պարզեցմամբ բերելով մաքսային սահմանի անցման գործ</w:t>
      </w:r>
      <w:r>
        <w:rPr>
          <w:rFonts w:cs="Sylfaen"/>
          <w:color w:val="000000"/>
          <w:lang w:val="hy-AM"/>
        </w:rPr>
        <w:softHyphen/>
        <w:t>ընթացի դյուրինացման և սահմանի անցման համար պահանջվող ժամանակի կրճատ</w:t>
      </w:r>
      <w:r>
        <w:rPr>
          <w:rFonts w:cs="Sylfaen"/>
          <w:color w:val="000000"/>
          <w:lang w:val="hy-AM"/>
        </w:rPr>
        <w:softHyphen/>
        <w:t>ման։ Մեղրիի անցակետի արդիականացմամբ մաքսային հսկողության ժամանակակից ընթացակարգերի ներդրման միջոցով կապահովվի սահմանահատման դյուրինացված ու միաժամանակ վերահսկելի գործընթացը, կընդլայնվի միջպետական տնտեսական հա</w:t>
      </w:r>
      <w:r>
        <w:rPr>
          <w:rFonts w:cs="Sylfaen"/>
          <w:color w:val="000000"/>
          <w:lang w:val="hy-AM"/>
        </w:rPr>
        <w:softHyphen/>
        <w:t>մա</w:t>
      </w:r>
      <w:r>
        <w:rPr>
          <w:rFonts w:cs="Sylfaen"/>
          <w:color w:val="000000"/>
          <w:lang w:val="hy-AM"/>
        </w:rPr>
        <w:softHyphen/>
        <w:t>գործակցությունը։ Բացի այդ, նախատեսվում է Սյունիքի մազում կառուցել նոր մաքսային և լոգիստիկ կենտրոն:</w:t>
      </w:r>
    </w:p>
    <w:p w14:paraId="1A12207A" w14:textId="77777777" w:rsidR="00080175" w:rsidRPr="008B3805" w:rsidRDefault="00080175" w:rsidP="004247C0">
      <w:pPr>
        <w:tabs>
          <w:tab w:val="left" w:pos="0"/>
        </w:tabs>
        <w:spacing w:before="120" w:after="0" w:line="276" w:lineRule="auto"/>
        <w:ind w:firstLine="0"/>
        <w:rPr>
          <w:rFonts w:cs="Sylfaen"/>
          <w:color w:val="000000"/>
          <w:lang w:val="hy-AM"/>
        </w:rPr>
      </w:pPr>
    </w:p>
    <w:p w14:paraId="4474A670" w14:textId="77C7625B" w:rsidR="00080175" w:rsidRPr="00FE0674" w:rsidRDefault="00080175" w:rsidP="004247C0">
      <w:pPr>
        <w:pStyle w:val="Heading3"/>
        <w:keepNext w:val="0"/>
        <w:keepLines w:val="0"/>
        <w:tabs>
          <w:tab w:val="left" w:pos="0"/>
        </w:tabs>
        <w:spacing w:before="120" w:after="0" w:line="276" w:lineRule="auto"/>
        <w:contextualSpacing w:val="0"/>
        <w:jc w:val="both"/>
        <w:rPr>
          <w:b w:val="0"/>
          <w:sz w:val="24"/>
          <w:szCs w:val="24"/>
        </w:rPr>
      </w:pPr>
      <w:bookmarkStart w:id="222" w:name="_Toc170926337"/>
      <w:r w:rsidRPr="00314AE9">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7</w:t>
      </w:r>
      <w:r w:rsidRPr="00314AE9">
        <w:rPr>
          <w:rFonts w:eastAsia="Times New Roman" w:cs="Times New Roman"/>
          <w:b w:val="0"/>
          <w:caps w:val="0"/>
          <w:color w:val="44546A" w:themeColor="text2"/>
          <w:sz w:val="24"/>
          <w:szCs w:val="24"/>
        </w:rPr>
        <w:t>. ԱՆՇԱՐԺ ԳՈՒՅՔԻ ԿԱԴԱՍՏՐ</w:t>
      </w:r>
      <w:bookmarkEnd w:id="220"/>
      <w:bookmarkEnd w:id="221"/>
      <w:bookmarkEnd w:id="222"/>
    </w:p>
    <w:p w14:paraId="57F34750" w14:textId="1A18BEAC"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Անշարժ գույքի</w:t>
      </w:r>
      <w:r w:rsidR="0089601D">
        <w:rPr>
          <w:rFonts w:eastAsia="Times New Roman" w:cs="Times New Roman"/>
          <w:sz w:val="24"/>
          <w:szCs w:val="24"/>
          <w:lang w:val="hy-AM"/>
        </w:rPr>
        <w:t xml:space="preserve"> </w:t>
      </w:r>
      <w:r w:rsidRPr="00C16543">
        <w:rPr>
          <w:rFonts w:eastAsia="Times New Roman" w:cs="Times New Roman"/>
          <w:sz w:val="24"/>
          <w:szCs w:val="24"/>
          <w:lang w:val="hy-AM"/>
        </w:rPr>
        <w:t>ոլորտում իրականացվում է գույքի նկատմամբ իրավունքների և սահմանափակումների պետական գրանցումը, գույքի և դրա նկատմամբ իրավունքների և սահմանափակումների մասին տեղեկատվության տրամադրումը, գեոդեզիայի և քարտեզագրության բնագավառում՝ պետական կառավարման և նորմատիվ տեխնիկական փաստաթղթերի մշակման աշխատանքների, գեոդեզիական և քարտեզագրական գործունեության վերահսկողության, պետական նշանակության գեոդեզիական և քարտեզագրական աշխատանքների, ՀՀ և երկրագնդի մնացած տարածքների գեոդեզիական, տեղագրական և քարտեզագրական տվյալների բանկի կառավարման իրականացնում, գեոդեզիական և քարտեզագրական գործունեության սուբյեկտներին ամբողջական տեղեկությունների տրամադրում իրենց առնչվող տարածքների գեոդեզիական և քարտեզագրական ուսումնասիրվածության մասին</w:t>
      </w:r>
    </w:p>
    <w:p w14:paraId="2B039B3C"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 xml:space="preserve">Հասարակության տեղեկատվական պահանջները բավարարելու նպատակով կոմիտեն 2025-2027 թվականներին ամբողջապես կփորձի անցնելու առցանց ծառայությունների ինքնաշխատ համակարգի՝ հրաժարվելով թղթային փաստաթղթաշրջանառությունից։ Համակարգում առկա կոռուպցիոն ռիսկերը նվազեցնելու նպատակով կիրականացվեն կառուցվածքային բարեփոխումներ, որի </w:t>
      </w:r>
      <w:r w:rsidRPr="00C16543">
        <w:rPr>
          <w:rFonts w:ascii="Calibri" w:eastAsia="Times New Roman" w:hAnsi="Calibri" w:cs="Calibri"/>
          <w:sz w:val="24"/>
          <w:szCs w:val="24"/>
          <w:lang w:val="hy-AM"/>
        </w:rPr>
        <w:t> </w:t>
      </w:r>
      <w:r w:rsidRPr="00C16543">
        <w:rPr>
          <w:rFonts w:eastAsia="Times New Roman" w:cs="GHEA Grapalat"/>
          <w:sz w:val="24"/>
          <w:szCs w:val="24"/>
          <w:lang w:val="hy-AM"/>
        </w:rPr>
        <w:t>ռազմավարական</w:t>
      </w:r>
      <w:r w:rsidRPr="00C16543">
        <w:rPr>
          <w:rFonts w:eastAsia="Times New Roman" w:cs="Times New Roman"/>
          <w:sz w:val="24"/>
          <w:szCs w:val="24"/>
          <w:lang w:val="hy-AM"/>
        </w:rPr>
        <w:t xml:space="preserve"> </w:t>
      </w:r>
      <w:r w:rsidRPr="00C16543">
        <w:rPr>
          <w:rFonts w:eastAsia="Times New Roman" w:cs="GHEA Grapalat"/>
          <w:sz w:val="24"/>
          <w:szCs w:val="24"/>
          <w:lang w:val="hy-AM"/>
        </w:rPr>
        <w:t>նպատակները</w:t>
      </w:r>
      <w:r w:rsidRPr="00C16543">
        <w:rPr>
          <w:rFonts w:eastAsia="Times New Roman" w:cs="Times New Roman"/>
          <w:sz w:val="24"/>
          <w:szCs w:val="24"/>
          <w:lang w:val="hy-AM"/>
        </w:rPr>
        <w:t xml:space="preserve"> </w:t>
      </w:r>
      <w:r w:rsidRPr="00C16543">
        <w:rPr>
          <w:rFonts w:eastAsia="Times New Roman" w:cs="GHEA Grapalat"/>
          <w:sz w:val="24"/>
          <w:szCs w:val="24"/>
          <w:lang w:val="hy-AM"/>
        </w:rPr>
        <w:t>և</w:t>
      </w:r>
      <w:r w:rsidRPr="00C16543">
        <w:rPr>
          <w:rFonts w:eastAsia="Times New Roman" w:cs="Times New Roman"/>
          <w:sz w:val="24"/>
          <w:szCs w:val="24"/>
          <w:lang w:val="hy-AM"/>
        </w:rPr>
        <w:t xml:space="preserve"> </w:t>
      </w:r>
      <w:r w:rsidRPr="00C16543">
        <w:rPr>
          <w:rFonts w:eastAsia="Times New Roman" w:cs="GHEA Grapalat"/>
          <w:sz w:val="24"/>
          <w:szCs w:val="24"/>
          <w:lang w:val="hy-AM"/>
        </w:rPr>
        <w:t>գերակա</w:t>
      </w:r>
      <w:r w:rsidRPr="00C16543">
        <w:rPr>
          <w:rFonts w:eastAsia="Times New Roman" w:cs="Times New Roman"/>
          <w:sz w:val="24"/>
          <w:szCs w:val="24"/>
          <w:lang w:val="hy-AM"/>
        </w:rPr>
        <w:t xml:space="preserve"> </w:t>
      </w:r>
      <w:r w:rsidRPr="00C16543">
        <w:rPr>
          <w:rFonts w:eastAsia="Times New Roman" w:cs="GHEA Grapalat"/>
          <w:sz w:val="24"/>
          <w:szCs w:val="24"/>
          <w:lang w:val="hy-AM"/>
        </w:rPr>
        <w:t>վերջնական</w:t>
      </w:r>
      <w:r w:rsidRPr="00C16543">
        <w:rPr>
          <w:rFonts w:eastAsia="Times New Roman" w:cs="Times New Roman"/>
          <w:sz w:val="24"/>
          <w:szCs w:val="24"/>
          <w:lang w:val="hy-AM"/>
        </w:rPr>
        <w:t xml:space="preserve"> </w:t>
      </w:r>
      <w:r w:rsidRPr="00C16543">
        <w:rPr>
          <w:rFonts w:eastAsia="Times New Roman" w:cs="GHEA Grapalat"/>
          <w:sz w:val="24"/>
          <w:szCs w:val="24"/>
          <w:lang w:val="hy-AM"/>
        </w:rPr>
        <w:t>արդյունքներն</w:t>
      </w:r>
      <w:r w:rsidRPr="00C16543">
        <w:rPr>
          <w:rFonts w:eastAsia="Times New Roman" w:cs="Times New Roman"/>
          <w:sz w:val="24"/>
          <w:szCs w:val="24"/>
          <w:lang w:val="hy-AM"/>
        </w:rPr>
        <w:t xml:space="preserve"> առցանց, ինքնաշխատ, անթուղթ անշարժ գույքի կադաստրի ստեղծումն է: Նախատեսվում է իրականացնել թվային արխիվի ամբողջականացում և ընթեռնելիության բաձրացում:</w:t>
      </w:r>
    </w:p>
    <w:p w14:paraId="4467181A" w14:textId="702F120E"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Անշարժ գույքի գրանց</w:t>
      </w:r>
      <w:r w:rsidR="0089601D">
        <w:rPr>
          <w:rFonts w:eastAsia="Times New Roman" w:cs="Times New Roman"/>
          <w:sz w:val="24"/>
          <w:szCs w:val="24"/>
          <w:lang w:val="hy-AM"/>
        </w:rPr>
        <w:t>մա</w:t>
      </w:r>
      <w:r w:rsidRPr="00C16543">
        <w:rPr>
          <w:rFonts w:eastAsia="Times New Roman" w:cs="Times New Roman"/>
          <w:sz w:val="24"/>
          <w:szCs w:val="24"/>
          <w:lang w:val="hy-AM"/>
        </w:rPr>
        <w:t>ն գործընթացների արդյունավետության բարձրացման նպատակով նախատեսվում է իրականացնել սպասարկման գրասենյակների օպտիմալացում՝ ի հաշիվ առցանց մատուցվող ծառայությունների զարգացման և օպտիմալացված գրասենյակների փոխարեն խորհրդատվական կենտրոնների ստեղծում:</w:t>
      </w:r>
    </w:p>
    <w:p w14:paraId="421465FA"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 xml:space="preserve">Անշարժ գույքի շուկայի բարելավման և զարգացման նպատակով անշարժ գույքի գործակալների (բրոքերների) գործունեությունը կարգավորող ոլորտի օրենսդրական դաշտի ձևավորումից բխող ոլորտին անհրաժեշտ գործիքակազմի ներդրում՝ ծրագրային </w:t>
      </w:r>
      <w:r w:rsidRPr="00C16543">
        <w:rPr>
          <w:rFonts w:eastAsia="Times New Roman" w:cs="Times New Roman"/>
          <w:sz w:val="24"/>
          <w:szCs w:val="24"/>
          <w:lang w:val="hy-AM"/>
        </w:rPr>
        <w:lastRenderedPageBreak/>
        <w:t>ապահովում անշարժ գույքի գործակալների համար տեղեկատվական բազային համակարգի ստեղծում,</w:t>
      </w:r>
      <w:r w:rsidRPr="00C16543">
        <w:rPr>
          <w:rFonts w:ascii="Calibri" w:eastAsia="Times New Roman" w:hAnsi="Calibri" w:cs="Calibri"/>
          <w:sz w:val="24"/>
          <w:szCs w:val="24"/>
          <w:lang w:val="hy-AM"/>
        </w:rPr>
        <w:t> </w:t>
      </w:r>
      <w:r w:rsidRPr="00C16543">
        <w:rPr>
          <w:rFonts w:eastAsia="Times New Roman" w:cs="Times New Roman"/>
          <w:sz w:val="24"/>
          <w:szCs w:val="24"/>
          <w:lang w:val="hy-AM"/>
        </w:rPr>
        <w:t xml:space="preserve"> </w:t>
      </w:r>
      <w:r w:rsidRPr="00C16543">
        <w:rPr>
          <w:rFonts w:eastAsia="Times New Roman" w:cs="GHEA Grapalat"/>
          <w:sz w:val="24"/>
          <w:szCs w:val="24"/>
          <w:lang w:val="hy-AM"/>
        </w:rPr>
        <w:t>ավտոմատացված</w:t>
      </w:r>
      <w:r w:rsidRPr="00C16543">
        <w:rPr>
          <w:rFonts w:eastAsia="Times New Roman" w:cs="Times New Roman"/>
          <w:sz w:val="24"/>
          <w:szCs w:val="24"/>
          <w:lang w:val="hy-AM"/>
        </w:rPr>
        <w:t xml:space="preserve"> </w:t>
      </w:r>
      <w:r w:rsidRPr="00C16543">
        <w:rPr>
          <w:rFonts w:eastAsia="Times New Roman" w:cs="GHEA Grapalat"/>
          <w:sz w:val="24"/>
          <w:szCs w:val="24"/>
          <w:lang w:val="hy-AM"/>
        </w:rPr>
        <w:t>համակարգի</w:t>
      </w:r>
      <w:r w:rsidRPr="00C16543">
        <w:rPr>
          <w:rFonts w:eastAsia="Times New Roman" w:cs="Times New Roman"/>
          <w:sz w:val="24"/>
          <w:szCs w:val="24"/>
          <w:lang w:val="hy-AM"/>
        </w:rPr>
        <w:t xml:space="preserve"> </w:t>
      </w:r>
      <w:r w:rsidRPr="00C16543">
        <w:rPr>
          <w:rFonts w:eastAsia="Times New Roman" w:cs="GHEA Grapalat"/>
          <w:sz w:val="24"/>
          <w:szCs w:val="24"/>
          <w:lang w:val="hy-AM"/>
        </w:rPr>
        <w:t>ներդրում</w:t>
      </w:r>
      <w:r w:rsidRPr="00C16543">
        <w:rPr>
          <w:rFonts w:eastAsia="Times New Roman" w:cs="Times New Roman"/>
          <w:sz w:val="24"/>
          <w:szCs w:val="24"/>
          <w:lang w:val="hy-AM"/>
        </w:rPr>
        <w:t>:</w:t>
      </w:r>
    </w:p>
    <w:p w14:paraId="2398FB11"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Աշխատանքները շարունակվում են նաև հանրապետության հասցեների վերջնական բազան ամբողջական և ավարտուն տեսքի բերելու ուղղությամբ։</w:t>
      </w:r>
    </w:p>
    <w:p w14:paraId="3EE48D73"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Ռազմավարության պահանջների խթանումը գեոդեզիական, քարտեզագրական և երկրատեղեկատվական համակարգի հիման վրա ՀՀ ինտեգրված, միասնական կադաստրի ստեղծումն է:</w:t>
      </w:r>
    </w:p>
    <w:p w14:paraId="6113392F"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Գեոդեզիայի ու քարտեզագրության բնագավառի զարգացման նպատակով 2025-2027 թվականների ընթացքում նախատեսվում է</w:t>
      </w:r>
      <w:r w:rsidRPr="00C16543">
        <w:rPr>
          <w:rFonts w:ascii="Calibri" w:eastAsia="Times New Roman" w:hAnsi="Calibri" w:cs="Calibri"/>
          <w:sz w:val="24"/>
          <w:szCs w:val="24"/>
          <w:lang w:val="hy-AM"/>
        </w:rPr>
        <w:t> </w:t>
      </w:r>
      <w:r w:rsidRPr="00C16543">
        <w:rPr>
          <w:rFonts w:eastAsia="Times New Roman" w:cs="Times New Roman"/>
          <w:sz w:val="24"/>
          <w:szCs w:val="24"/>
          <w:lang w:val="hy-AM"/>
        </w:rPr>
        <w:t xml:space="preserve"> </w:t>
      </w:r>
      <w:r w:rsidRPr="00C16543">
        <w:rPr>
          <w:rFonts w:eastAsia="Times New Roman" w:cs="GHEA Grapalat"/>
          <w:sz w:val="24"/>
          <w:szCs w:val="24"/>
          <w:lang w:val="hy-AM"/>
        </w:rPr>
        <w:t>իրականացնել</w:t>
      </w:r>
      <w:r w:rsidRPr="00C16543">
        <w:rPr>
          <w:rFonts w:ascii="Calibri" w:eastAsia="Times New Roman" w:hAnsi="Calibri" w:cs="Calibri"/>
          <w:sz w:val="24"/>
          <w:szCs w:val="24"/>
          <w:lang w:val="hy-AM"/>
        </w:rPr>
        <w:t> </w:t>
      </w:r>
      <w:r w:rsidRPr="00C16543">
        <w:rPr>
          <w:rFonts w:eastAsia="Times New Roman" w:cs="Times New Roman"/>
          <w:sz w:val="24"/>
          <w:szCs w:val="24"/>
          <w:lang w:val="hy-AM"/>
        </w:rPr>
        <w:t xml:space="preserve"> </w:t>
      </w:r>
      <w:r w:rsidRPr="00C16543">
        <w:rPr>
          <w:rFonts w:eastAsia="Times New Roman" w:cs="GHEA Grapalat"/>
          <w:sz w:val="24"/>
          <w:szCs w:val="24"/>
          <w:lang w:val="hy-AM"/>
        </w:rPr>
        <w:t>երկրատեղեկատվական</w:t>
      </w:r>
      <w:r w:rsidRPr="00C16543">
        <w:rPr>
          <w:rFonts w:eastAsia="Times New Roman" w:cs="Times New Roman"/>
          <w:sz w:val="24"/>
          <w:szCs w:val="24"/>
          <w:lang w:val="hy-AM"/>
        </w:rPr>
        <w:t xml:space="preserve"> </w:t>
      </w:r>
      <w:r w:rsidRPr="00C16543">
        <w:rPr>
          <w:rFonts w:eastAsia="Times New Roman" w:cs="GHEA Grapalat"/>
          <w:sz w:val="24"/>
          <w:szCs w:val="24"/>
          <w:lang w:val="hy-AM"/>
        </w:rPr>
        <w:t>համակարգում</w:t>
      </w:r>
      <w:r w:rsidRPr="00C16543">
        <w:rPr>
          <w:rFonts w:eastAsia="Times New Roman" w:cs="Times New Roman"/>
          <w:sz w:val="24"/>
          <w:szCs w:val="24"/>
          <w:lang w:val="hy-AM"/>
        </w:rPr>
        <w:t xml:space="preserve"> </w:t>
      </w:r>
      <w:r w:rsidRPr="00C16543">
        <w:rPr>
          <w:rFonts w:eastAsia="Times New Roman" w:cs="GHEA Grapalat"/>
          <w:sz w:val="24"/>
          <w:szCs w:val="24"/>
          <w:lang w:val="hy-AM"/>
        </w:rPr>
        <w:t>ՀՀ</w:t>
      </w:r>
      <w:r w:rsidRPr="00C16543">
        <w:rPr>
          <w:rFonts w:eastAsia="Times New Roman" w:cs="Times New Roman"/>
          <w:sz w:val="24"/>
          <w:szCs w:val="24"/>
          <w:lang w:val="hy-AM"/>
        </w:rPr>
        <w:t xml:space="preserve"> </w:t>
      </w:r>
      <w:r w:rsidRPr="00C16543">
        <w:rPr>
          <w:rFonts w:eastAsia="Times New Roman" w:cs="GHEA Grapalat"/>
          <w:sz w:val="24"/>
          <w:szCs w:val="24"/>
          <w:lang w:val="hy-AM"/>
        </w:rPr>
        <w:t>բնակավայրերի</w:t>
      </w:r>
      <w:r w:rsidRPr="00C16543">
        <w:rPr>
          <w:rFonts w:eastAsia="Times New Roman" w:cs="Times New Roman"/>
          <w:sz w:val="24"/>
          <w:szCs w:val="24"/>
          <w:lang w:val="hy-AM"/>
        </w:rPr>
        <w:t xml:space="preserve"> </w:t>
      </w:r>
      <w:r w:rsidRPr="00C16543">
        <w:rPr>
          <w:rFonts w:eastAsia="Times New Roman" w:cs="GHEA Grapalat"/>
          <w:sz w:val="24"/>
          <w:szCs w:val="24"/>
          <w:lang w:val="hy-AM"/>
        </w:rPr>
        <w:t>քարտեզագ</w:t>
      </w:r>
      <w:r w:rsidRPr="00C16543">
        <w:rPr>
          <w:rFonts w:eastAsia="Times New Roman" w:cs="Times New Roman"/>
          <w:sz w:val="24"/>
          <w:szCs w:val="24"/>
          <w:lang w:val="hy-AM"/>
        </w:rPr>
        <w:t>րական հենքի ստեղծման, կադաստրային քարտեզում չտեղադրված գույքերի նույնականացման, դաշտային հանութագրման, ՀՀ համայնքների կադաստրային թաղամասերի ուղղման նպատակով լրացուցիչ կետերի դիտարկման, թաղամասերի արտաքին սահմանների ամբողջական ուղղման, առկա բարձրունքային մոդելի ճշտության բարձրացման համար նոր կետերի տեղադրման, հանութագրման և տվյալների ամբողջական մշակման աշխատանքները և ՀՀ օրթոֆոտոհատակագծերով ամբողջությամբ ծածկված համայնքների ճշգրտված կադաստրային թաղամասերի հատակագծերը։</w:t>
      </w:r>
      <w:r w:rsidRPr="00C16543">
        <w:rPr>
          <w:rFonts w:ascii="Calibri" w:eastAsia="Times New Roman" w:hAnsi="Calibri" w:cs="Calibri"/>
          <w:sz w:val="24"/>
          <w:szCs w:val="24"/>
          <w:lang w:val="hy-AM"/>
        </w:rPr>
        <w:t> </w:t>
      </w:r>
    </w:p>
    <w:p w14:paraId="3985BA0F"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Կիրականացվեն նոր ձևաչափով՝ տպագիր, բազմալեզու, ինչպես նաև համացանցում տեղադրված հնարավորությամբ ատլասների տպագրման աշխատանքները:</w:t>
      </w:r>
    </w:p>
    <w:p w14:paraId="5A3FA033" w14:textId="5535158D"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Երկրակեղևի ուղղահայաց շարժումներն ուսումնասիրելու նպատակով նախատեսվում է իրականացնել I դասի նիվելիրացման աշխատանքներ սեյսմաակտիվ երկրակեղևի գործող խզվացքային շրջանում, թարմացնելու նախկինում կատարված նիվելիրացման տվյալներն ու ցանցը և ստանալ հիմնակետերի բա</w:t>
      </w:r>
      <w:r w:rsidR="0089601D">
        <w:rPr>
          <w:rFonts w:eastAsia="Times New Roman" w:cs="Times New Roman"/>
          <w:sz w:val="24"/>
          <w:szCs w:val="24"/>
          <w:lang w:val="hy-AM"/>
        </w:rPr>
        <w:t>ց</w:t>
      </w:r>
      <w:r w:rsidRPr="00C16543">
        <w:rPr>
          <w:rFonts w:eastAsia="Times New Roman" w:cs="Times New Roman"/>
          <w:sz w:val="24"/>
          <w:szCs w:val="24"/>
          <w:lang w:val="hy-AM"/>
        </w:rPr>
        <w:t>արձակ բարձրությունները:</w:t>
      </w:r>
    </w:p>
    <w:p w14:paraId="55F19AB2" w14:textId="77777777" w:rsidR="00314AE9" w:rsidRPr="00C16543" w:rsidRDefault="00314AE9" w:rsidP="004247C0">
      <w:pPr>
        <w:tabs>
          <w:tab w:val="left" w:pos="0"/>
        </w:tabs>
        <w:spacing w:before="120" w:after="0" w:line="276" w:lineRule="auto"/>
        <w:ind w:firstLine="0"/>
        <w:rPr>
          <w:rFonts w:eastAsia="Times New Roman" w:cs="Times New Roman"/>
          <w:sz w:val="24"/>
          <w:szCs w:val="24"/>
          <w:lang w:val="hy-AM"/>
        </w:rPr>
      </w:pPr>
      <w:r w:rsidRPr="00C16543">
        <w:rPr>
          <w:rFonts w:eastAsia="Times New Roman" w:cs="Times New Roman"/>
          <w:sz w:val="24"/>
          <w:szCs w:val="24"/>
          <w:lang w:val="hy-AM"/>
        </w:rPr>
        <w:t>Անշարժ գույքի գրանցման գործընթացների արդյունավետության բարձրացման նպատակով նախատեսվում է իրականացնել գրանցման միասնական ստրաբաժանման ստեղծում:</w:t>
      </w:r>
    </w:p>
    <w:p w14:paraId="30C87429" w14:textId="77777777" w:rsidR="00314AE9" w:rsidRPr="00314AE9" w:rsidRDefault="00314AE9" w:rsidP="004247C0">
      <w:pPr>
        <w:tabs>
          <w:tab w:val="left" w:pos="0"/>
        </w:tabs>
        <w:spacing w:before="120" w:after="0" w:line="276" w:lineRule="auto"/>
        <w:ind w:firstLine="0"/>
        <w:rPr>
          <w:lang w:val="hy-AM"/>
        </w:rPr>
      </w:pPr>
      <w:r w:rsidRPr="00314AE9">
        <w:rPr>
          <w:rFonts w:ascii="Calibri" w:eastAsia="Times New Roman" w:hAnsi="Calibri" w:cs="Calibri"/>
          <w:sz w:val="24"/>
          <w:szCs w:val="24"/>
          <w:lang w:val="hy-AM"/>
        </w:rPr>
        <w:t> </w:t>
      </w:r>
    </w:p>
    <w:p w14:paraId="40485703" w14:textId="41B44981"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23" w:name="_Toc170926338"/>
      <w:r w:rsidRPr="00FE0674">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8</w:t>
      </w:r>
      <w:r w:rsidRPr="00FE0674">
        <w:rPr>
          <w:rFonts w:eastAsia="Times New Roman" w:cs="Times New Roman"/>
          <w:b w:val="0"/>
          <w:caps w:val="0"/>
          <w:color w:val="44546A" w:themeColor="text2"/>
          <w:sz w:val="24"/>
          <w:szCs w:val="24"/>
        </w:rPr>
        <w:t xml:space="preserve">. </w:t>
      </w:r>
      <w:r w:rsidRPr="00F25DBF">
        <w:rPr>
          <w:rFonts w:eastAsia="Times New Roman" w:cs="Times New Roman"/>
          <w:b w:val="0"/>
          <w:caps w:val="0"/>
          <w:color w:val="44546A" w:themeColor="text2"/>
          <w:sz w:val="24"/>
          <w:szCs w:val="24"/>
        </w:rPr>
        <w:t>ՀՀ ՎԱՐՉԱՊԵՏԻ ԱՇԽԱՏԱԿԱԶՄ</w:t>
      </w:r>
      <w:bookmarkEnd w:id="223"/>
    </w:p>
    <w:p w14:paraId="1801D057" w14:textId="77777777" w:rsidR="00F25DBF" w:rsidRPr="00F25DBF" w:rsidRDefault="00F25DBF" w:rsidP="004247C0">
      <w:pPr>
        <w:shd w:val="clear" w:color="auto" w:fill="FFFFFF"/>
        <w:tabs>
          <w:tab w:val="left" w:pos="0"/>
        </w:tabs>
        <w:spacing w:before="120" w:after="0" w:line="276" w:lineRule="auto"/>
        <w:ind w:firstLine="0"/>
        <w:rPr>
          <w:lang w:val="hy-AM"/>
        </w:rPr>
      </w:pPr>
      <w:r w:rsidRPr="00F25DBF">
        <w:rPr>
          <w:rFonts w:cs="GHEA Grapalat"/>
          <w:lang w:val="hy-AM"/>
        </w:rPr>
        <w:t>ՀՀ վարչապետի աշխատակազմի ռազմավարական նպատակն է ՀՀ կառավարության, ՀՀ վարչապետի և ՀՀ փոխվարչապետերի գործունեությանն աջակցությունը՝ ՀՀ կառավարության և ՀՀ վարչապետի որոշումների ու հանձնարարականների կատարման վերահսկողության ապահովումը, աշխատակազմին վերապահված լիազորությունների լիարժեք և արդյունավետ իրականացումը, քաղաքացիական իրավահարաբերություններին նրա մասնակցությունը՝ աշխատակազմի խնդիրների և գործառույթների անվերապահորեն կատարման, դրանց կատարման արդյունավետության բարձրացման և աշխատանքների կատարման կանոնակարգերի կատարելագործման ճանապարհով:</w:t>
      </w:r>
      <w:r w:rsidRPr="00F25DBF">
        <w:rPr>
          <w:lang w:val="hy-AM"/>
        </w:rPr>
        <w:t xml:space="preserve"> </w:t>
      </w:r>
    </w:p>
    <w:p w14:paraId="18A2630A" w14:textId="77777777" w:rsidR="00F25DBF" w:rsidRPr="00F25DBF" w:rsidRDefault="00F25DBF" w:rsidP="004247C0">
      <w:pPr>
        <w:shd w:val="clear" w:color="auto" w:fill="FFFFFF"/>
        <w:tabs>
          <w:tab w:val="left" w:pos="0"/>
        </w:tabs>
        <w:spacing w:before="120" w:after="0" w:line="276" w:lineRule="auto"/>
        <w:ind w:firstLine="0"/>
        <w:rPr>
          <w:lang w:val="hy-AM"/>
        </w:rPr>
      </w:pPr>
      <w:r w:rsidRPr="00F25DBF">
        <w:rPr>
          <w:rFonts w:cs="GHEA Grapalat"/>
          <w:lang w:val="hy-AM"/>
        </w:rPr>
        <w:lastRenderedPageBreak/>
        <w:t>Համաձայն «ՀՀ կառավարության կառուցվածքի և գործունեության մասին» օրենքի՝ աշխատակազմի խնդիրն է ապահովել ՀՀ վարչապետի և ՀՀ փոխվարչապետերի լիազորությունների իրականացումը, ինչպես նաև ՀՀ կառավարության նիստերի անցկացումը:</w:t>
      </w:r>
      <w:r w:rsidRPr="00F25DBF">
        <w:rPr>
          <w:lang w:val="hy-AM"/>
        </w:rPr>
        <w:t xml:space="preserve"> </w:t>
      </w:r>
    </w:p>
    <w:p w14:paraId="28BE2A69" w14:textId="77777777" w:rsidR="00F25DBF" w:rsidRPr="00F25DBF" w:rsidRDefault="00F25DBF" w:rsidP="004247C0">
      <w:pPr>
        <w:shd w:val="clear" w:color="auto" w:fill="FFFFFF"/>
        <w:tabs>
          <w:tab w:val="left" w:pos="0"/>
        </w:tabs>
        <w:spacing w:before="120" w:after="0" w:line="276" w:lineRule="auto"/>
        <w:ind w:firstLine="0"/>
        <w:rPr>
          <w:lang w:val="hy-AM"/>
        </w:rPr>
      </w:pPr>
      <w:r w:rsidRPr="00F25DBF">
        <w:rPr>
          <w:lang w:val="hy-AM"/>
        </w:rPr>
        <w:t>«Տեսչական մարմինների մասին» ՀՀ օրենքի 5-րդ հոդվածի 5-րդ կետի համաձայն ՀՀ վարչապետի աշխատակազմի կողմից իրականացվում է՝ ՀՀ կառավարությանը ենթակա տեսչական մարմինների գործունեության ապահովման համար անհրաժեշտ հաշվապահական հաշվառման, գնումների կազմակերպման, անձնակազմի կառավարման և կազմակերպատնտեսական, տեսչական մարմնի բյուջեի, ինչպես նաև տեսչական մարմնի կողմից ստուգումների տարեկան ծրագրով չնախատեսված ստուգումների անցկացման հետ կապված կազմակերպչական բնույթի գործառույթները:</w:t>
      </w:r>
    </w:p>
    <w:p w14:paraId="226DC554" w14:textId="77777777" w:rsidR="00F25DBF" w:rsidRPr="00F25DBF" w:rsidRDefault="00F25DBF" w:rsidP="004247C0">
      <w:pPr>
        <w:shd w:val="clear" w:color="auto" w:fill="FFFFFF"/>
        <w:tabs>
          <w:tab w:val="left" w:pos="0"/>
          <w:tab w:val="left" w:pos="284"/>
        </w:tabs>
        <w:spacing w:before="120" w:after="0" w:line="276" w:lineRule="auto"/>
        <w:ind w:firstLine="0"/>
        <w:rPr>
          <w:lang w:val="hy-AM"/>
        </w:rPr>
      </w:pPr>
      <w:r w:rsidRPr="00F25DBF">
        <w:rPr>
          <w:lang w:val="hy-AM"/>
        </w:rPr>
        <w:t>ՀՀ վարչապետի աշխատակազմի գործունեության նպատակներն են`</w:t>
      </w:r>
    </w:p>
    <w:p w14:paraId="6837F06B"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25DBF">
        <w:rPr>
          <w:rFonts w:cs="GHEA Grapalat"/>
          <w:lang w:val="hy-AM"/>
        </w:rPr>
        <w:t>Հանրային կապերի, պետական մարմինների թափանցիկության, տեղեկատվության մատչելիության ապահովումը, որին ուղղված են հանրային իրազեկման և հասարակական-քաղաքական հետազոտությունների շրջանակում ՀՀ կառավարության գործունեության լուսաբանումը, ինչպես նաև տեղեկատվության պահպանմանն ու արխիվացման գործընթացներին:</w:t>
      </w:r>
    </w:p>
    <w:p w14:paraId="450F2EF5"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25DBF">
        <w:rPr>
          <w:rFonts w:cs="GHEA Grapalat"/>
          <w:lang w:val="hy-AM"/>
        </w:rPr>
        <w:t xml:space="preserve">Քաղաքական կյանքում հասարակության ընդգրկվածության ապահովման նպատակով աշխատակազմի կողմից իրականցվող ծրագրերի և միջոցառումների շրջանակներում աջակցել հասարակական կազմակերպություններին, այդ թվում՝ ազգային փոքրամասնությունների թվով 11 հասարակական կազմակերպությունների, որոնք իրականացնում են՝ կրթական,  մշակութային միջոցառումներ, տոնախմբություններ, զանազան քննարկումներ </w:t>
      </w:r>
    </w:p>
    <w:p w14:paraId="72895108"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25DBF">
        <w:rPr>
          <w:rFonts w:cs="GHEA Grapalat"/>
          <w:lang w:val="hy-AM"/>
        </w:rPr>
        <w:t xml:space="preserve">Քաղաքացիական ծառայության բնագավառում պետական քաղաքականության իրականացման ապահովում, մասնավորապես, քաղաքացիական ծառայողների վերապատրաստման իրականացում՝ պետական համակարգում պատրաստված և մրցունակ մասնագետներ ունենալու համար։ </w:t>
      </w:r>
    </w:p>
    <w:p w14:paraId="18F68C8E"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25DBF">
        <w:rPr>
          <w:rFonts w:cs="GHEA Grapalat"/>
          <w:lang w:val="hy-AM"/>
        </w:rPr>
        <w:t xml:space="preserve">Մաքսային միությանը և Միասնական տնտեսական տարածությանը Հայաստանի Հանրապետության անդամակցության շրջանակում միասնական տեղեկատվական տարածության և ինտեգրացված տեղեկատվական համակարգերի պահպանմանն, արդիականացմանն և զարգացմանն աջակցություն։ Վերջինիս համար ապահովվում է ինտեգրացիոն շլյուզի սարքավորման սպասարկումն ու գործունակությունը։ </w:t>
      </w:r>
    </w:p>
    <w:p w14:paraId="457AE5BF"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25DBF">
        <w:rPr>
          <w:rFonts w:cs="GHEA Grapalat"/>
          <w:lang w:val="hy-AM"/>
        </w:rPr>
        <w:t>Մեծ կարևորություն տալով Ազգային ինքնության պահպանմանը՝ տոների և հիշատակի օրերին նվիրված միջոցառումների անցկացման ապահովումը</w:t>
      </w:r>
    </w:p>
    <w:p w14:paraId="16CCB924" w14:textId="77777777" w:rsidR="00F25DBF" w:rsidRPr="00F25DBF" w:rsidRDefault="00F25DBF"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F25DBF">
        <w:rPr>
          <w:rFonts w:cs="GHEA Grapalat"/>
          <w:lang w:val="hy-AM"/>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գործընթացում արբիտրաժային և այլ վեճերի շրջանակներում ՀՀ շահերը ներկայացնելու և պաշտպանելու համար</w:t>
      </w:r>
      <w:r w:rsidRPr="00F25DBF">
        <w:rPr>
          <w:lang w:val="hy-AM"/>
        </w:rPr>
        <w:t xml:space="preserve"> փաստաբանական, իրավաբանական, փորձագիտական ծառայությունների, վեճը լուծող հաշտարարի ծառայությունների, ՀՀ շահերից բխող խորհրդատվական բնույթի ծառայությունների ձեռքբերման, ինչպես նաև Միջազգային արբիտրաժային տրիբունալի կամ օտարերկրյա ներպետական դատարանի ծախսերի վճարման ապահովում:</w:t>
      </w:r>
    </w:p>
    <w:p w14:paraId="46E74B02" w14:textId="77777777" w:rsidR="00F25DBF" w:rsidRPr="00F25DBF" w:rsidRDefault="00F25DBF" w:rsidP="004247C0">
      <w:pPr>
        <w:tabs>
          <w:tab w:val="left" w:pos="0"/>
        </w:tabs>
        <w:spacing w:before="120" w:after="0" w:line="276" w:lineRule="auto"/>
        <w:ind w:firstLine="0"/>
        <w:rPr>
          <w:b/>
          <w:lang w:val="hy-AM"/>
        </w:rPr>
      </w:pPr>
      <w:r w:rsidRPr="00F25DBF">
        <w:rPr>
          <w:b/>
          <w:lang w:val="hy-AM"/>
        </w:rPr>
        <w:lastRenderedPageBreak/>
        <w:t>Սփյուռքի գծով ծրագրեր.</w:t>
      </w:r>
    </w:p>
    <w:p w14:paraId="323556A8" w14:textId="77777777" w:rsidR="00F25DBF" w:rsidRPr="00F25DBF" w:rsidRDefault="00F25DBF" w:rsidP="004247C0">
      <w:pPr>
        <w:tabs>
          <w:tab w:val="left" w:pos="0"/>
        </w:tabs>
        <w:spacing w:before="120" w:after="0" w:line="276" w:lineRule="auto"/>
        <w:ind w:firstLine="0"/>
        <w:rPr>
          <w:rFonts w:eastAsia="Times New Roman" w:cs="Times New Roman"/>
          <w:lang w:val="hy-AM" w:eastAsia="ru-RU"/>
        </w:rPr>
      </w:pPr>
      <w:r w:rsidRPr="00F25DBF">
        <w:rPr>
          <w:rFonts w:eastAsia="Times New Roman" w:cs="Times New Roman"/>
          <w:lang w:val="hy-AM" w:eastAsia="ru-RU"/>
        </w:rPr>
        <w:t xml:space="preserve">     ՀՀ կառավարությունը կարևորում է</w:t>
      </w:r>
      <w:r w:rsidRPr="00F25DBF">
        <w:rPr>
          <w:rFonts w:eastAsia="Times New Roman" w:cs="Times New Roman"/>
          <w:b/>
          <w:lang w:val="hy-AM" w:eastAsia="ru-RU"/>
        </w:rPr>
        <w:t xml:space="preserve"> </w:t>
      </w:r>
      <w:r w:rsidRPr="00F25DBF">
        <w:rPr>
          <w:rFonts w:eastAsia="Times New Roman" w:cs="Times New Roman"/>
          <w:bCs/>
          <w:lang w:val="hy-AM" w:eastAsia="ru-RU"/>
        </w:rPr>
        <w:t xml:space="preserve">Հայաստան-սփյուռք գործակցության զարգացումը, որը նպատակաուղղված է հայ ինքնության պահպանմանը, հայրենադարձությանն ու Հայաստանում հայրենադարձների ինտեգրմանը, </w:t>
      </w:r>
      <w:r w:rsidRPr="00F25DBF">
        <w:rPr>
          <w:rFonts w:eastAsia="Times New Roman" w:cs="Times New Roman"/>
          <w:lang w:val="hy-AM" w:eastAsia="ru-RU"/>
        </w:rPr>
        <w:t>աշխարհասփյուռ հայության մարդկային, մտավոր, տնտեսական ներուժի՝ հայրենիքի կայուն զարգացման նպատակի շուրջ համախմբմանը:</w:t>
      </w:r>
    </w:p>
    <w:p w14:paraId="434A3715"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Հայաստան-Սփյուռք գործակցության զարգացման համար կարևորվում է</w:t>
      </w:r>
      <w:r w:rsidRPr="00F25DBF">
        <w:rPr>
          <w:rFonts w:eastAsia="Calibri" w:cs="Times New Roman"/>
          <w:b/>
          <w:lang w:val="hy-AM"/>
        </w:rPr>
        <w:t xml:space="preserve"> </w:t>
      </w:r>
      <w:r w:rsidRPr="00F25DBF">
        <w:rPr>
          <w:rFonts w:eastAsia="Calibri" w:cs="Times New Roman"/>
          <w:lang w:val="hy-AM"/>
        </w:rPr>
        <w:t>ամուր կապերի հաստատումը՝ սփյուռքի հետ գործընկերության, ծրագրերի և միջոցառումների շնորհիվ:</w:t>
      </w:r>
    </w:p>
    <w:p w14:paraId="1130087C" w14:textId="7494CC10" w:rsidR="00F25DBF" w:rsidRPr="00F25DBF" w:rsidRDefault="00F25DBF" w:rsidP="004247C0">
      <w:pPr>
        <w:tabs>
          <w:tab w:val="left" w:pos="0"/>
        </w:tabs>
        <w:spacing w:before="120" w:after="0" w:line="276" w:lineRule="auto"/>
        <w:ind w:firstLine="0"/>
        <w:rPr>
          <w:rFonts w:eastAsia="Times New Roman" w:cs="Times New Roman"/>
          <w:lang w:val="hy-AM" w:eastAsia="ru-RU"/>
        </w:rPr>
      </w:pPr>
      <w:r w:rsidRPr="00F25DBF">
        <w:rPr>
          <w:rFonts w:eastAsia="Times New Roman" w:cs="Times New Roman"/>
          <w:lang w:val="hy-AM" w:eastAsia="ru-RU"/>
        </w:rPr>
        <w:t xml:space="preserve">    Սփյուռքում հայության առջև ծառացած հիմնական մարտահրավերներն են հայ երիտասարդների մեջ ազգային ինքնության պահպանման հարցը, ուծացման դեմ պայքարը՝ համայնքային կառույցների գործունեության արդյունավետության բարձրացման ճանապարհով, միջհամայնքային կապերի ընդլայումն ու զարգացումը, ներուժի օգտագործումը </w:t>
      </w:r>
      <w:r w:rsidRPr="00F25DBF">
        <w:rPr>
          <w:rFonts w:eastAsia="Times New Roman" w:cs="Times New Roman"/>
          <w:color w:val="000000"/>
          <w:lang w:val="hy-AM" w:eastAsia="ru-RU"/>
        </w:rPr>
        <w:t>համազգային նշանակության խնդիրների ձևակերպման</w:t>
      </w:r>
      <w:r w:rsidR="0089601D">
        <w:rPr>
          <w:rFonts w:eastAsia="Times New Roman" w:cs="Times New Roman"/>
          <w:color w:val="000000"/>
          <w:lang w:val="hy-AM" w:eastAsia="ru-RU"/>
        </w:rPr>
        <w:t xml:space="preserve"> </w:t>
      </w:r>
      <w:r w:rsidRPr="00F25DBF">
        <w:rPr>
          <w:rFonts w:eastAsia="Times New Roman" w:cs="Times New Roman"/>
          <w:color w:val="000000"/>
          <w:lang w:val="hy-AM" w:eastAsia="ru-RU"/>
        </w:rPr>
        <w:t>ու լուծման նպատակով:</w:t>
      </w:r>
    </w:p>
    <w:p w14:paraId="7AC22714"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Հայաստան-Սփյուռք գործակցության համատեքստում անհրաժեշտ է խթանել համայնքային կառույցների գործունեությունը, դրանցում սփյուռքահայ երիտասարդների ներգրավվածության ընդլայնման, համայնքային գործիչների՝ որպես</w:t>
      </w:r>
      <w:r w:rsidRPr="00F25DBF">
        <w:rPr>
          <w:rFonts w:eastAsia="Calibri" w:cs="Sylfaen"/>
          <w:bCs/>
          <w:lang w:val="hy-AM"/>
        </w:rPr>
        <w:t xml:space="preserve"> կայացած առաջնորդի, ղեկավարման կարողությունների և հմտությունների զարգացումը, Հայրենիքի հետ բազմակողմանի կապերի ապահովումը:</w:t>
      </w:r>
    </w:p>
    <w:p w14:paraId="056226A7"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Հայաստան-Սփյուռք գործակցության համատեքստում կարևորվում է սփյուռքի մասնագիտական ներուժի ներգրավումը  Հայաստանի ինստիտուցիոնալ զարգացմանն ու հզորացմանը, որը կնպաստի նաև մասնագիտական հայրենադարձությանը:</w:t>
      </w:r>
    </w:p>
    <w:p w14:paraId="217175DD"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Հայաստան-Սփյուռք գործակցության մեջ առանցքային նշանակություն ունեն նաև հանրային կապերն ու աշխարհասփյուռ հայության իրազեկվածության ապահովումը՝ ուղղված Հայաստանի հանրությանն ու Սփյուռքի համայնքներին, ինչպես նաև միջազգային հանրությանը: </w:t>
      </w:r>
    </w:p>
    <w:p w14:paraId="18C364AC"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Տեղեկատվությունը լսարանին ճիշտ հասցեագրելու համար կարևոր է լրագրողական ու մասնագիտական հանրույթի հետ գործընկերային կայուն կապերի ստեղծումն ու արդյունավետ աշխատանքը, տեղեկատվական դաշտում Հայաստան-Սփյուռք գործակցության ու դրա ամրապնդմանն ուղղված ծրագրերի, սոցիալական մեդիայի բոլոր հարթակների ակտիվ գործածումը, մեդիա արշավների իրականացումը, ներգրավվածությունը սոցիալական նախաձեռնություններում և այլն: </w:t>
      </w:r>
    </w:p>
    <w:p w14:paraId="1AF9D59B"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Հայաստան-Սփյուռք գործակցության կարևոր ուղղություններից է աջակցությունը սփյուռքի ներդրողներին և բարեգործներին՝ Հայաստանում իրենց ծրագրերն իրականացնելիս:</w:t>
      </w:r>
    </w:p>
    <w:p w14:paraId="7D845AD8" w14:textId="77777777" w:rsidR="00F25DBF" w:rsidRPr="00F25DBF" w:rsidRDefault="00F25DBF" w:rsidP="004247C0">
      <w:pPr>
        <w:tabs>
          <w:tab w:val="left" w:pos="0"/>
        </w:tabs>
        <w:spacing w:before="120" w:after="0" w:line="276" w:lineRule="auto"/>
        <w:ind w:firstLine="0"/>
        <w:rPr>
          <w:rFonts w:eastAsia="Calibri" w:cs="Times New Roman"/>
          <w:lang w:val="hy-AM"/>
        </w:rPr>
      </w:pPr>
      <w:r w:rsidRPr="00F25DBF">
        <w:rPr>
          <w:rFonts w:eastAsia="Calibri" w:cs="Times New Roman"/>
          <w:lang w:val="hy-AM"/>
        </w:rPr>
        <w:t xml:space="preserve">    ՀՀ պետական քաղաքականությունը միտված է մշակել և իրականացնել միջոցառումներ, որոնք նպատակաուղղված կլինեն Հայաստանի զարգացման գործընթացում Սփյուռքի լիարժեք ներգրավմանը:</w:t>
      </w:r>
    </w:p>
    <w:p w14:paraId="599E11DE" w14:textId="77777777" w:rsidR="00F25DBF" w:rsidRPr="00F25DBF" w:rsidRDefault="00F25DBF" w:rsidP="004247C0">
      <w:pPr>
        <w:tabs>
          <w:tab w:val="left" w:pos="0"/>
          <w:tab w:val="left" w:pos="284"/>
        </w:tabs>
        <w:autoSpaceDE w:val="0"/>
        <w:autoSpaceDN w:val="0"/>
        <w:adjustRightInd w:val="0"/>
        <w:spacing w:before="120" w:after="0" w:line="276" w:lineRule="auto"/>
        <w:ind w:firstLine="0"/>
        <w:rPr>
          <w:lang w:val="hy-AM"/>
        </w:rPr>
      </w:pPr>
      <w:r w:rsidRPr="00F25DBF">
        <w:rPr>
          <w:lang w:val="hy-AM"/>
        </w:rPr>
        <w:t xml:space="preserve">     Մարմնի կողմից իրականացվում են նաև միջազգային պայմանագրերի շրջանականերում միջոցառումներ՝</w:t>
      </w:r>
    </w:p>
    <w:p w14:paraId="2020662A" w14:textId="77777777" w:rsidR="00F25DBF" w:rsidRPr="00F25DBF" w:rsidRDefault="00F25DBF" w:rsidP="004247C0">
      <w:pPr>
        <w:numPr>
          <w:ilvl w:val="0"/>
          <w:numId w:val="33"/>
        </w:numPr>
        <w:tabs>
          <w:tab w:val="left" w:pos="0"/>
        </w:tabs>
        <w:spacing w:before="120" w:after="0" w:line="276" w:lineRule="auto"/>
        <w:ind w:firstLine="0"/>
        <w:rPr>
          <w:rFonts w:eastAsiaTheme="minorHAnsi"/>
          <w:b/>
          <w:lang w:val="hy-AM"/>
        </w:rPr>
      </w:pPr>
      <w:r w:rsidRPr="00F25DBF">
        <w:rPr>
          <w:rFonts w:eastAsiaTheme="minorHAnsi"/>
          <w:b/>
          <w:lang w:val="hy-AM"/>
        </w:rPr>
        <w:t>«Պետական հատվածի արդիականացման ծրագիր» վարկային ծրագիր.</w:t>
      </w:r>
    </w:p>
    <w:p w14:paraId="15FC1E0B" w14:textId="77777777" w:rsidR="00F25DBF" w:rsidRPr="00F25DBF" w:rsidRDefault="00F25DBF" w:rsidP="004247C0">
      <w:pPr>
        <w:tabs>
          <w:tab w:val="left" w:pos="0"/>
        </w:tabs>
        <w:spacing w:before="120" w:after="0" w:line="276" w:lineRule="auto"/>
        <w:ind w:firstLine="0"/>
        <w:rPr>
          <w:rFonts w:eastAsiaTheme="minorHAnsi"/>
          <w:lang w:val="hy-AM"/>
        </w:rPr>
      </w:pPr>
      <w:r w:rsidRPr="00F25DBF">
        <w:rPr>
          <w:rFonts w:eastAsiaTheme="minorHAnsi"/>
          <w:lang w:val="hy-AM"/>
        </w:rPr>
        <w:t xml:space="preserve">     Հայաստանում իրականացվող պետական հատվածի բարեփոխումներին աջակցելու նպատակով ՀՀ կառավարությունը Համաշխարհային բանկից ստացել է  օժանդակություն` </w:t>
      </w:r>
      <w:r w:rsidRPr="00F25DBF">
        <w:rPr>
          <w:rFonts w:eastAsiaTheme="minorHAnsi"/>
          <w:lang w:val="hy-AM"/>
        </w:rPr>
        <w:lastRenderedPageBreak/>
        <w:t xml:space="preserve">Պետական հատվածի արդիականացման չորրորդ վարկային ծրագրի իրականացման համար: Համաձայնագիրը ստորագրվել է Հայաստանի Հանրապետության և Համաշխարհային Բանկի (ՀԲ) միջև 2022թ. մարտի 18-ին և ծրագիրն ուժի մեջ  է մտել 2022թ. նոյեմբերի 14-ին: Ծրագրի ավարտը սահմանվել է 2028թ. մարտի 31-ը: </w:t>
      </w:r>
    </w:p>
    <w:p w14:paraId="04195C19" w14:textId="77777777" w:rsidR="00F25DBF" w:rsidRPr="00F25DBF" w:rsidRDefault="00F25DBF" w:rsidP="004247C0">
      <w:pPr>
        <w:tabs>
          <w:tab w:val="left" w:pos="0"/>
        </w:tabs>
        <w:spacing w:before="120" w:after="0" w:line="276" w:lineRule="auto"/>
        <w:ind w:firstLine="0"/>
        <w:rPr>
          <w:rFonts w:eastAsiaTheme="minorHAnsi"/>
          <w:lang w:val="hy-AM"/>
        </w:rPr>
      </w:pPr>
      <w:r w:rsidRPr="00F25DBF">
        <w:rPr>
          <w:rFonts w:eastAsiaTheme="minorHAnsi"/>
          <w:lang w:val="hy-AM"/>
        </w:rPr>
        <w:t>Համաձայն վարկային համաձայնագրի պահանջների՝ ՀԲ-ի միջոցների հաշվին վճարվելու են ծրագրի շրջանակներում ֆինանսավորման ենթակա թույլատրելի ծախսերի 100%-ը առանց հարկերի, իսկ ՀՀ պետական բյուջեից համաֆինանսավորման հաշվին` տեղական հարկերը:</w:t>
      </w:r>
    </w:p>
    <w:p w14:paraId="5BEEE53A" w14:textId="77777777" w:rsidR="00F25DBF" w:rsidRPr="00F25DBF" w:rsidRDefault="00F25DBF" w:rsidP="004247C0">
      <w:pPr>
        <w:tabs>
          <w:tab w:val="left" w:pos="0"/>
        </w:tabs>
        <w:spacing w:before="120" w:after="0" w:line="276" w:lineRule="auto"/>
        <w:ind w:firstLine="0"/>
        <w:rPr>
          <w:rFonts w:eastAsiaTheme="minorHAnsi"/>
          <w:lang w:val="hy-AM"/>
        </w:rPr>
      </w:pPr>
      <w:r w:rsidRPr="00F25DBF">
        <w:rPr>
          <w:rFonts w:eastAsiaTheme="minorHAnsi"/>
          <w:lang w:val="hy-AM"/>
        </w:rPr>
        <w:t>Ծրագրի նպատակն է ընտրված պետական ծառայությունների արդյունավետության բարձրացումը և հասանելիության բարելավումը բիզնեսի և քաղաքացիների համար։</w:t>
      </w:r>
    </w:p>
    <w:p w14:paraId="76DCBA1C" w14:textId="77777777" w:rsidR="00F25DBF" w:rsidRPr="00F25DBF" w:rsidRDefault="00F25DBF" w:rsidP="004247C0">
      <w:pPr>
        <w:numPr>
          <w:ilvl w:val="0"/>
          <w:numId w:val="32"/>
        </w:numPr>
        <w:tabs>
          <w:tab w:val="left" w:pos="0"/>
        </w:tabs>
        <w:spacing w:before="120" w:after="0" w:line="276" w:lineRule="auto"/>
        <w:ind w:firstLine="0"/>
        <w:rPr>
          <w:b/>
          <w:lang w:val="hy-AM"/>
        </w:rPr>
      </w:pPr>
      <w:r w:rsidRPr="00F25DBF">
        <w:rPr>
          <w:b/>
          <w:lang w:val="hy-AM"/>
        </w:rPr>
        <w:t xml:space="preserve">«Արդյունահանող ճյուղերի զարգացման ծրագիր» դրամաշնորհային ծրագիր. </w:t>
      </w:r>
    </w:p>
    <w:p w14:paraId="0CDCAE6C" w14:textId="3D581DA1" w:rsidR="00F25DBF" w:rsidRPr="00F25DBF" w:rsidRDefault="00F25DBF" w:rsidP="004247C0">
      <w:pPr>
        <w:tabs>
          <w:tab w:val="left" w:pos="0"/>
        </w:tabs>
        <w:spacing w:before="120" w:after="0" w:line="276" w:lineRule="auto"/>
        <w:ind w:firstLine="0"/>
        <w:rPr>
          <w:lang w:val="hy-AM"/>
        </w:rPr>
      </w:pPr>
      <w:r w:rsidRPr="00F25DBF">
        <w:rPr>
          <w:rFonts w:cs="Sylfaen"/>
          <w:lang w:val="hy-AM"/>
        </w:rPr>
        <w:t xml:space="preserve"> ՀՀ կառավարությունը </w:t>
      </w:r>
      <w:r w:rsidRPr="00F25DBF">
        <w:rPr>
          <w:lang w:val="hy-AM"/>
        </w:rPr>
        <w:t xml:space="preserve">Համաշխարհային բանկի կողմից «Հայաստանի արդյունահանող ճյուղերի թափանցիկության նախաձեռնությանն աջակցության համար ստացել է օժանդակություն (դրամաշնորհ), որի միջոցով ֆինանսավորվելու են արդյունահանող ոլորտում միջազգային ստանդարտին համապատասխան կոնտեքստուալ և ֆինանսական թափանցիկության ապահովման աշխատանքները, տվյալների համակարգված բացահայտումների ավտոմատացված էլեկտրոնային նորարարական համակարգի ստեղծումը, ԱՃԹՆ-ի ազգային զեկույցների կազմումը և հրապարակումը, ոլորտի հիմնական շահառուների կարողությունների հզորացման միջոցառումները, բազմաշահառու խմբի կողմից ոլորտի վերաբերյալ հանրային բանավեճի մշակույթի ձևավորմանն ուղղված աշխատանքները: </w:t>
      </w:r>
    </w:p>
    <w:p w14:paraId="091C2E98" w14:textId="77777777" w:rsidR="00F25DBF" w:rsidRPr="00F25DBF" w:rsidRDefault="00F25DBF" w:rsidP="004247C0">
      <w:pPr>
        <w:tabs>
          <w:tab w:val="left" w:pos="0"/>
        </w:tabs>
        <w:overflowPunct w:val="0"/>
        <w:autoSpaceDE w:val="0"/>
        <w:autoSpaceDN w:val="0"/>
        <w:adjustRightInd w:val="0"/>
        <w:spacing w:before="120" w:after="0" w:line="276" w:lineRule="auto"/>
        <w:ind w:firstLine="0"/>
        <w:textAlignment w:val="baseline"/>
        <w:rPr>
          <w:rFonts w:eastAsia="Times New Roman" w:cs="Times New Roman"/>
          <w:lang w:val="hy-AM"/>
        </w:rPr>
      </w:pPr>
      <w:r w:rsidRPr="00F25DBF">
        <w:rPr>
          <w:rFonts w:eastAsia="Times New Roman" w:cs="Times New Roman"/>
          <w:lang w:val="hy-AM"/>
        </w:rPr>
        <w:t xml:space="preserve">Դրամաշնորհային ծրագրի ավարտին՝ 2024թ. դեկտեմբերին հնարավոր կլինի ունենալ պորտալ, որի միջոցով հանքարդյունաբերության ոլորտի համապատասխան առաջնային տեղեկատվության տիրապետող լիազոր մարմիններում ՏՏ նոր ստեղծվող ծրագրերի միջոցով բացահայտված տվյալները հանրությանը հասանելի կլինեն մեկ վայրից՝ բաց տվյալների ձևաչափերով: </w:t>
      </w:r>
    </w:p>
    <w:p w14:paraId="19342A07" w14:textId="77777777" w:rsidR="00F25DBF" w:rsidRPr="00F25DBF" w:rsidRDefault="00F25DBF" w:rsidP="004247C0">
      <w:pPr>
        <w:tabs>
          <w:tab w:val="left" w:pos="0"/>
        </w:tabs>
        <w:overflowPunct w:val="0"/>
        <w:autoSpaceDE w:val="0"/>
        <w:autoSpaceDN w:val="0"/>
        <w:adjustRightInd w:val="0"/>
        <w:spacing w:before="120" w:after="0" w:line="276" w:lineRule="auto"/>
        <w:ind w:firstLine="0"/>
        <w:textAlignment w:val="baseline"/>
        <w:rPr>
          <w:rFonts w:eastAsia="Times New Roman" w:cs="Times New Roman"/>
          <w:lang w:val="hy-AM"/>
        </w:rPr>
      </w:pPr>
      <w:r w:rsidRPr="00F25DBF">
        <w:rPr>
          <w:rFonts w:eastAsia="Times New Roman" w:cs="Times New Roman"/>
          <w:lang w:val="hy-AM"/>
        </w:rPr>
        <w:t>Ծրագրի ավարտից հետո, 2025թ. հունվարին կիրականացվի ավարտված ծրագրի աուդիտը՝ համաձայն Համաշխարհային բանկում ընդունված կարգի:</w:t>
      </w:r>
    </w:p>
    <w:p w14:paraId="216244F4" w14:textId="0DCBE8D6" w:rsidR="00080175" w:rsidRDefault="00080175" w:rsidP="004247C0">
      <w:pPr>
        <w:tabs>
          <w:tab w:val="left" w:pos="0"/>
        </w:tabs>
        <w:spacing w:before="120" w:after="0" w:line="276" w:lineRule="auto"/>
        <w:ind w:firstLine="0"/>
        <w:rPr>
          <w:lang w:val="hy-AM"/>
        </w:rPr>
      </w:pPr>
    </w:p>
    <w:p w14:paraId="62B022B8" w14:textId="77777777" w:rsidR="00732CE8" w:rsidRPr="003C0D3F" w:rsidRDefault="00732CE8" w:rsidP="004247C0">
      <w:pPr>
        <w:tabs>
          <w:tab w:val="left" w:pos="0"/>
        </w:tabs>
        <w:spacing w:before="120" w:after="0" w:line="276" w:lineRule="auto"/>
        <w:ind w:firstLine="0"/>
        <w:rPr>
          <w:lang w:val="hy-AM"/>
        </w:rPr>
      </w:pPr>
    </w:p>
    <w:p w14:paraId="51FC1962" w14:textId="617590B6"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24" w:name="_Toc170926339"/>
      <w:r w:rsidRPr="00FE0674">
        <w:rPr>
          <w:rFonts w:eastAsia="Times New Roman" w:cs="Times New Roman"/>
          <w:b w:val="0"/>
          <w:caps w:val="0"/>
          <w:color w:val="44546A" w:themeColor="text2"/>
          <w:sz w:val="24"/>
          <w:szCs w:val="24"/>
        </w:rPr>
        <w:t>1</w:t>
      </w:r>
      <w:r w:rsidR="004247C0">
        <w:rPr>
          <w:rFonts w:eastAsia="Times New Roman" w:cs="Times New Roman"/>
          <w:b w:val="0"/>
          <w:caps w:val="0"/>
          <w:color w:val="44546A" w:themeColor="text2"/>
          <w:sz w:val="24"/>
          <w:szCs w:val="24"/>
          <w:lang w:val="en-US"/>
        </w:rPr>
        <w:t>9</w:t>
      </w:r>
      <w:r w:rsidRPr="00FE0674">
        <w:rPr>
          <w:rFonts w:eastAsia="Times New Roman" w:cs="Times New Roman"/>
          <w:b w:val="0"/>
          <w:caps w:val="0"/>
          <w:color w:val="44546A" w:themeColor="text2"/>
          <w:sz w:val="24"/>
          <w:szCs w:val="24"/>
        </w:rPr>
        <w:t xml:space="preserve">. </w:t>
      </w:r>
      <w:r w:rsidRPr="002E4192">
        <w:rPr>
          <w:rFonts w:eastAsia="Times New Roman" w:cs="Times New Roman"/>
          <w:b w:val="0"/>
          <w:caps w:val="0"/>
          <w:color w:val="44546A" w:themeColor="text2"/>
          <w:sz w:val="24"/>
          <w:szCs w:val="24"/>
        </w:rPr>
        <w:t>ՌԱԴԻՈ ԵՎ ՀԵՌՈՒՍՏԱՀԱՂՈՐԴՈՒՄՆԵՐԻ ՀԵՌԱՐՁԱԿՈՒՄ</w:t>
      </w:r>
      <w:bookmarkEnd w:id="224"/>
      <w:r w:rsidRPr="00FE0674">
        <w:rPr>
          <w:rFonts w:eastAsia="Times New Roman" w:cs="Times New Roman"/>
          <w:b w:val="0"/>
          <w:caps w:val="0"/>
          <w:color w:val="44546A" w:themeColor="text2"/>
          <w:sz w:val="24"/>
          <w:szCs w:val="24"/>
        </w:rPr>
        <w:t xml:space="preserve"> </w:t>
      </w:r>
    </w:p>
    <w:p w14:paraId="3C13F70D" w14:textId="77777777" w:rsidR="002E4192" w:rsidRPr="00867230" w:rsidRDefault="00080175" w:rsidP="004247C0">
      <w:pPr>
        <w:tabs>
          <w:tab w:val="left" w:pos="0"/>
        </w:tabs>
        <w:spacing w:before="120" w:after="0" w:line="276" w:lineRule="auto"/>
        <w:ind w:firstLine="0"/>
        <w:rPr>
          <w:rFonts w:eastAsia="Calibri" w:cs="Sylfaen"/>
          <w:color w:val="000000"/>
          <w:lang w:val="hy-AM"/>
        </w:rPr>
      </w:pPr>
      <w:r w:rsidRPr="00A57BE5">
        <w:rPr>
          <w:rFonts w:cs="Sylfaen"/>
          <w:color w:val="000000" w:themeColor="text1"/>
          <w:lang w:val="hy-AM"/>
        </w:rPr>
        <w:tab/>
      </w:r>
      <w:r w:rsidR="002E4192" w:rsidRPr="00867230">
        <w:rPr>
          <w:rFonts w:eastAsia="Calibri" w:cs="Sylfaen"/>
          <w:color w:val="000000"/>
          <w:lang w:val="hy-AM"/>
        </w:rPr>
        <w:t>Ռադիո և հեռուստահաղորդումների հեռարձակման ոլորտը կարգավորվում է «Տեսալսողական մեդիայի մասին» ՀՀ օրենքով: Նույն օրենքի համաձայն՝ Հանրային հեռարձակողի խորհուրդը հանդիսանում է «Հայաստանի հանրային հեռուստաընկերություն», «Հայաստանի հանրային ռադիոընկերություն» և «Հոգևոր-մշակութային հանրային հեռուստաընկերություն» փակ բաժնետիրական ընկերությունների կառավարման մարմինը:</w:t>
      </w:r>
    </w:p>
    <w:p w14:paraId="64F98C5B" w14:textId="77777777" w:rsidR="002E4192" w:rsidRPr="00867230" w:rsidRDefault="002E4192" w:rsidP="004247C0">
      <w:pPr>
        <w:tabs>
          <w:tab w:val="left" w:pos="0"/>
        </w:tabs>
        <w:spacing w:before="120" w:after="0" w:line="276" w:lineRule="auto"/>
        <w:ind w:firstLine="0"/>
        <w:rPr>
          <w:rFonts w:eastAsia="Calibri"/>
          <w:lang w:val="hy-AM"/>
        </w:rPr>
      </w:pPr>
      <w:r w:rsidRPr="00867230">
        <w:rPr>
          <w:rFonts w:eastAsia="Calibri"/>
          <w:lang w:val="hy-AM"/>
        </w:rPr>
        <w:t xml:space="preserve">Հանրային հեռարձակման ռազմավարական նպատակն է ստեղծել և տարածել հանրային նշանակության վստահելի տեսալսողական (մեդիա) բովանդակություն, որը նպաստում է գիտակից և տեղեկացված հասարակության ձևավորմանը, աջակցում է երկրի անվտանգությանը, տնտեսական առաջընթացին, սոցիալական արդարության հաստատմանը, </w:t>
      </w:r>
      <w:r w:rsidRPr="00867230">
        <w:rPr>
          <w:rFonts w:eastAsia="Calibri"/>
          <w:lang w:val="hy-AM"/>
        </w:rPr>
        <w:lastRenderedPageBreak/>
        <w:t>մարդու հիմնարար իրավունքների պաշտպանությանը և քաղաքացիների կյանքի բարելավմանը։</w:t>
      </w:r>
    </w:p>
    <w:p w14:paraId="548A68B5" w14:textId="77777777" w:rsidR="002E4192" w:rsidRPr="00867230" w:rsidRDefault="002E4192" w:rsidP="004247C0">
      <w:pPr>
        <w:tabs>
          <w:tab w:val="left" w:pos="0"/>
        </w:tabs>
        <w:spacing w:before="120" w:after="0" w:line="276" w:lineRule="auto"/>
        <w:ind w:firstLine="0"/>
        <w:rPr>
          <w:rFonts w:cs="Sylfaen"/>
          <w:kern w:val="16"/>
          <w:lang w:val="hy-AM"/>
        </w:rPr>
      </w:pPr>
      <w:r w:rsidRPr="00867230">
        <w:rPr>
          <w:rFonts w:cs="Sylfaen"/>
          <w:kern w:val="16"/>
          <w:lang w:val="hy-AM"/>
        </w:rPr>
        <w:t>Ռազմավարական նպատակի իրականացման համար սահմանվել են ոլորտի հիմնական թիրախները</w:t>
      </w:r>
      <w:r w:rsidRPr="00867230">
        <w:rPr>
          <w:rFonts w:eastAsia="Calibri" w:cs="Sylfaen"/>
          <w:kern w:val="16"/>
          <w:lang w:val="hy-AM"/>
        </w:rPr>
        <w:t>.</w:t>
      </w:r>
    </w:p>
    <w:p w14:paraId="5CDFC5F0" w14:textId="77777777" w:rsidR="002E4192" w:rsidRPr="00867230" w:rsidRDefault="002E4192"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867230">
        <w:rPr>
          <w:rFonts w:cs="GHEA Grapalat"/>
          <w:lang w:val="hy-AM"/>
        </w:rPr>
        <w:t>Ստեղծել և տարածել հանրային նշանակության վստահելի տեսալսողական (մեդիա) բովանդակություն,</w:t>
      </w:r>
    </w:p>
    <w:p w14:paraId="0FB96E65" w14:textId="77777777" w:rsidR="002E4192" w:rsidRPr="00867230" w:rsidRDefault="002E4192"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867230">
        <w:rPr>
          <w:rFonts w:cs="GHEA Grapalat"/>
          <w:lang w:val="hy-AM"/>
        </w:rPr>
        <w:t>Ապահովել տեղեկատվական, ճանաչողական, կրթական, մշակութային, ժամանցային մեդիաբովանդակության բազմազանությունը,</w:t>
      </w:r>
    </w:p>
    <w:p w14:paraId="57CCC2E0" w14:textId="77777777" w:rsidR="002E4192" w:rsidRPr="00867230" w:rsidRDefault="002E4192"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867230">
        <w:rPr>
          <w:rFonts w:cs="GHEA Grapalat"/>
          <w:lang w:val="hy-AM"/>
        </w:rPr>
        <w:t>Տրամադրել հավաստի, անաչառ, բազմակողմանի լրատվություն և որակյալ վերլուծություն՝ Հայաստանում և աշխարհում տեղի ունեցող կարևոր հասարակական-քաղաքական իրադարձությունների վերաբերյալ:</w:t>
      </w:r>
    </w:p>
    <w:p w14:paraId="655CEF54" w14:textId="77777777" w:rsidR="002E4192" w:rsidRPr="00867230" w:rsidRDefault="002E4192" w:rsidP="004247C0">
      <w:pPr>
        <w:numPr>
          <w:ilvl w:val="0"/>
          <w:numId w:val="24"/>
        </w:numPr>
        <w:tabs>
          <w:tab w:val="left" w:pos="0"/>
          <w:tab w:val="left" w:pos="284"/>
        </w:tabs>
        <w:autoSpaceDE w:val="0"/>
        <w:autoSpaceDN w:val="0"/>
        <w:adjustRightInd w:val="0"/>
        <w:spacing w:before="120" w:after="0" w:line="276" w:lineRule="auto"/>
        <w:ind w:firstLine="0"/>
        <w:rPr>
          <w:rFonts w:cs="Arial"/>
          <w:i/>
          <w:lang w:val="fr-FR"/>
        </w:rPr>
      </w:pPr>
      <w:r w:rsidRPr="00867230">
        <w:rPr>
          <w:rFonts w:cs="GHEA Grapalat"/>
          <w:lang w:val="hy-AM"/>
        </w:rPr>
        <w:t>Ապահովել խոսքի ազատության, բազմակարծության, այլընտրանքային կարծիքի արտահայտման հարթակ</w:t>
      </w:r>
      <w:r w:rsidRPr="00867230">
        <w:rPr>
          <w:rFonts w:cs="Arial"/>
          <w:color w:val="000000"/>
          <w:lang w:val="fr-FR"/>
        </w:rPr>
        <w:t>:</w:t>
      </w:r>
    </w:p>
    <w:p w14:paraId="39564F32" w14:textId="77777777" w:rsidR="002E4192" w:rsidRPr="00867230" w:rsidRDefault="002E4192" w:rsidP="004247C0">
      <w:pPr>
        <w:tabs>
          <w:tab w:val="left" w:pos="0"/>
        </w:tabs>
        <w:spacing w:before="120" w:after="0" w:line="276" w:lineRule="auto"/>
        <w:ind w:firstLine="0"/>
        <w:rPr>
          <w:rFonts w:eastAsia="Calibri"/>
          <w:lang w:val="hy-AM"/>
        </w:rPr>
      </w:pPr>
      <w:r w:rsidRPr="00867230">
        <w:rPr>
          <w:rFonts w:eastAsia="Calibri"/>
          <w:lang w:val="hy-AM"/>
        </w:rPr>
        <w:t xml:space="preserve">Ոլորտում իրականացվում է </w:t>
      </w:r>
      <w:r w:rsidRPr="00867230">
        <w:rPr>
          <w:rFonts w:eastAsia="Calibri" w:cs="Sylfaen"/>
          <w:color w:val="000000"/>
          <w:lang w:val="hy-AM"/>
        </w:rPr>
        <w:t>«</w:t>
      </w:r>
      <w:r w:rsidRPr="00867230">
        <w:rPr>
          <w:rFonts w:eastAsia="Calibri"/>
          <w:lang w:val="hy-AM"/>
        </w:rPr>
        <w:t>Ռադիո և հեռուստահաղորդումների հեռարձակում</w:t>
      </w:r>
      <w:r w:rsidRPr="00867230">
        <w:rPr>
          <w:rFonts w:eastAsia="Calibri" w:cs="Sylfaen"/>
          <w:color w:val="000000"/>
          <w:lang w:val="hy-AM"/>
        </w:rPr>
        <w:t>»</w:t>
      </w:r>
      <w:r w:rsidRPr="00867230">
        <w:rPr>
          <w:rFonts w:eastAsia="Calibri"/>
          <w:lang w:val="hy-AM"/>
        </w:rPr>
        <w:t xml:space="preserve"> ծրագիրը, որի նպատակն է բազմազան տեղեկատվական, ճանաչողական, կրթական, ժամանցային հեռուստատեսային և ռադիո հաղորդումների արտադրության և հեռարձակման ապահովումը</w:t>
      </w:r>
      <w:r w:rsidRPr="00867230">
        <w:rPr>
          <w:rFonts w:eastAsia="Calibri" w:cs="Arial"/>
          <w:color w:val="000000"/>
          <w:lang w:val="fr-FR"/>
        </w:rPr>
        <w:t>:</w:t>
      </w:r>
      <w:r w:rsidRPr="00867230">
        <w:rPr>
          <w:rFonts w:eastAsia="Calibri"/>
          <w:lang w:val="hy-AM"/>
        </w:rPr>
        <w:t xml:space="preserve"> </w:t>
      </w:r>
    </w:p>
    <w:p w14:paraId="3F28F74C" w14:textId="77777777" w:rsidR="002E4192" w:rsidRPr="00867230" w:rsidRDefault="002E4192" w:rsidP="004247C0">
      <w:pPr>
        <w:tabs>
          <w:tab w:val="left" w:pos="0"/>
        </w:tabs>
        <w:spacing w:before="120" w:after="0" w:line="276" w:lineRule="auto"/>
        <w:ind w:firstLine="0"/>
        <w:rPr>
          <w:rFonts w:eastAsia="Calibri" w:cs="Arial"/>
          <w:color w:val="000000" w:themeColor="text1"/>
          <w:lang w:val="hy-AM"/>
        </w:rPr>
      </w:pPr>
    </w:p>
    <w:p w14:paraId="32C52AC7" w14:textId="5B0D71B0" w:rsidR="00080175" w:rsidRPr="00FE0674" w:rsidRDefault="004247C0"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25" w:name="_Toc170926340"/>
      <w:r>
        <w:rPr>
          <w:rFonts w:eastAsia="Times New Roman" w:cs="Times New Roman"/>
          <w:b w:val="0"/>
          <w:caps w:val="0"/>
          <w:color w:val="44546A" w:themeColor="text2"/>
          <w:sz w:val="24"/>
          <w:szCs w:val="24"/>
          <w:lang w:val="en-US"/>
        </w:rPr>
        <w:t>20</w:t>
      </w:r>
      <w:r w:rsidR="00080175" w:rsidRPr="00FE0674">
        <w:rPr>
          <w:rFonts w:eastAsia="Times New Roman" w:cs="Times New Roman"/>
          <w:b w:val="0"/>
          <w:caps w:val="0"/>
          <w:color w:val="44546A" w:themeColor="text2"/>
          <w:sz w:val="24"/>
          <w:szCs w:val="24"/>
        </w:rPr>
        <w:t xml:space="preserve">. </w:t>
      </w:r>
      <w:r w:rsidR="00080175" w:rsidRPr="00F17283">
        <w:rPr>
          <w:rFonts w:eastAsia="Times New Roman" w:cs="Times New Roman"/>
          <w:b w:val="0"/>
          <w:caps w:val="0"/>
          <w:color w:val="44546A" w:themeColor="text2"/>
          <w:sz w:val="24"/>
          <w:szCs w:val="24"/>
        </w:rPr>
        <w:t>ՔԱՂԱՔԱՇԻՆՈՒԹՅՈՒՆ</w:t>
      </w:r>
      <w:bookmarkEnd w:id="225"/>
    </w:p>
    <w:p w14:paraId="66084BD7" w14:textId="77777777" w:rsidR="00F17283" w:rsidRPr="001D3BCD" w:rsidRDefault="00F17283" w:rsidP="004247C0">
      <w:pPr>
        <w:numPr>
          <w:ilvl w:val="12"/>
          <w:numId w:val="0"/>
        </w:numPr>
        <w:tabs>
          <w:tab w:val="left" w:pos="0"/>
          <w:tab w:val="left" w:pos="851"/>
        </w:tabs>
        <w:spacing w:before="120" w:after="0" w:line="276" w:lineRule="auto"/>
        <w:rPr>
          <w:lang w:val="hy-AM"/>
        </w:rPr>
      </w:pPr>
      <w:r w:rsidRPr="001D3BCD">
        <w:rPr>
          <w:lang w:val="hy-AM"/>
        </w:rPr>
        <w:t>Քաղաքաշինության ոլորտում իրականացվող ծախսային գերակայությունները բխում են ՀՀ կառավարության ծրագրից, Սահմանադրությամբ և օրենքներով սահմանված գործառույթներից, որոնք ուղղված են մարդու կենսագործունեության  համար բարենպաստ տարածական միջավայրի ստեղծմանը: Ոլորտում առաջնահերթ ռազմավարական  նպատակներից է՝</w:t>
      </w:r>
    </w:p>
    <w:p w14:paraId="67527223" w14:textId="77777777" w:rsidR="00F17283" w:rsidRPr="001D3BCD" w:rsidRDefault="00F17283"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1D3BCD">
        <w:rPr>
          <w:rFonts w:cs="GHEA Grapalat"/>
          <w:lang w:val="hy-AM"/>
        </w:rPr>
        <w:t xml:space="preserve">միջազգային և եվրոպական ստանդարտներին ներդաշնակ շինարարական նորմերի, տեխնիկական կանոնակարգերի, ստանդարտների, շինարարական նորմերի կանոնների հավաքածուների և այլ նորմատիվ փաստաթղթերի մշակումն ու բազայի ընդլայնումը՝ նպատակ ունենալով խթանել տեխնոլոգիաների զարգացմանը, ինչպես նաև նախագծային և շինարարական աշխատանքների որակի բարձրացմանն ու անվտանգության պահանջների ապահովմանը: </w:t>
      </w:r>
    </w:p>
    <w:p w14:paraId="60F18C4B" w14:textId="77777777" w:rsidR="00F17283" w:rsidRPr="001D3BCD" w:rsidRDefault="00F17283"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1D3BCD">
        <w:rPr>
          <w:rFonts w:cs="GHEA Grapalat"/>
          <w:lang w:val="hy-AM"/>
        </w:rPr>
        <w:t>քաղաքաշինական</w:t>
      </w:r>
      <w:r w:rsidRPr="001D3BCD">
        <w:rPr>
          <w:lang w:val="hy-AM"/>
        </w:rPr>
        <w:t xml:space="preserve"> քաղաքականության բարեփոխումների հետևողական իրականացումը` բնակավայրերի կառուցապատմանն ու տարածական զարգացմանն առնչվող հիմնախնդիրների կարգավորման ուղղությամբ, երկրի կայուն տարածական զարգացման ռազմավարության մշակումն ու իրագործումը, սոցիալ-տնտեսական գործոնների, ինժեներաերկրաբանական, ինժեներատրանս</w:t>
      </w:r>
      <w:r w:rsidRPr="001D3BCD">
        <w:rPr>
          <w:lang w:val="hy-AM"/>
        </w:rPr>
        <w:softHyphen/>
        <w:t>պորտային, բնական պայմանների ու պաշարների, էկոլոգիական իրավիճակի, մշակութային ժառանգության, աշխարհագրական ու տարածաշրջանային այլ առանձնահատկությունների հաշվառմամբ: Օրենքով սահմանված պարտադիր մշակման ենթակա փաստաթղթի հաստատում, որպես ազգային մակարդակով պետական քաղաքաշինական քաղաքականության իրականացման հիմք,</w:t>
      </w:r>
    </w:p>
    <w:p w14:paraId="2DA00272" w14:textId="77777777" w:rsidR="00F17283" w:rsidRPr="001D3BCD" w:rsidRDefault="00F17283"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1D3BCD">
        <w:rPr>
          <w:rFonts w:cs="GHEA Grapalat"/>
          <w:lang w:val="hy-AM"/>
        </w:rPr>
        <w:lastRenderedPageBreak/>
        <w:t xml:space="preserve">  քաղաքաշինության բնագավառում պետական ծրագրերի իրականացման ապահո</w:t>
      </w:r>
      <w:r w:rsidRPr="001D3BCD">
        <w:rPr>
          <w:rFonts w:cs="GHEA Grapalat"/>
          <w:lang w:val="hy-AM"/>
        </w:rPr>
        <w:softHyphen/>
        <w:t>վումը, որը միտված կլինի անբավարար տեխնիկական վիճակում գտնվող բնակֆոնդի փոխարեն նոր բնակելի ֆոնդի շարունակական ձևավորմանը.</w:t>
      </w:r>
    </w:p>
    <w:p w14:paraId="6E8AAA26" w14:textId="77777777" w:rsidR="00F17283" w:rsidRPr="001D3BCD" w:rsidRDefault="00F17283"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1D3BCD">
        <w:rPr>
          <w:rFonts w:cs="GHEA Grapalat"/>
          <w:lang w:val="hy-AM"/>
        </w:rPr>
        <w:t xml:space="preserve"> շենքերի և շինությունների մատչելիությունը և անձնագրավորումը, որի վերջնական արդյունքները կերաշխավորեն մարզերում և համայնքներում բնակվող քաղաքացիների կողմից հանրային նշանակության շենքերի և շինությունների մատչելի շահագործումը, հասարակության բոլոր շերտերի համար ներառականության սկզբունքի կիրառումը:  </w:t>
      </w:r>
    </w:p>
    <w:p w14:paraId="6F26CC7B" w14:textId="62C253FF" w:rsidR="00080175" w:rsidRDefault="00F17283" w:rsidP="004247C0">
      <w:pPr>
        <w:tabs>
          <w:tab w:val="left" w:pos="0"/>
        </w:tabs>
        <w:spacing w:before="120" w:after="0" w:line="276" w:lineRule="auto"/>
        <w:ind w:firstLine="0"/>
        <w:rPr>
          <w:lang w:val="hy-AM"/>
        </w:rPr>
      </w:pPr>
      <w:r w:rsidRPr="001D3BCD">
        <w:rPr>
          <w:rFonts w:cs="GHEA Grapalat"/>
          <w:lang w:val="hy-AM"/>
        </w:rPr>
        <w:tab/>
      </w:r>
      <w:r w:rsidRPr="001D3BCD">
        <w:rPr>
          <w:kern w:val="16"/>
          <w:lang w:val="pt-BR"/>
        </w:rPr>
        <w:t>Նշված նպատակները բխում</w:t>
      </w:r>
      <w:r w:rsidRPr="001D3BCD">
        <w:rPr>
          <w:lang w:val="hy-AM"/>
        </w:rPr>
        <w:t xml:space="preserve"> են «Քաղաքաշինության մասին», «Տեղական ինքնակառավարման մասին» ՀՀ օրենքների, ՀՀ հողային օրենսգրքի դրույթներից, այլ օրենքներից և իրավական ակտերից, համահունչ են ՄԱԿ-ի Կայուն զարգացման նպատակներին, համապատասխանում են նշված բնագավառում միջազգային պրակտիկային, «Լանդշաֆտի Եվրոպական կոնվենցիայի» գաղափարախոսությանը:</w:t>
      </w:r>
    </w:p>
    <w:p w14:paraId="541D3F1E" w14:textId="77777777" w:rsidR="00732CE8" w:rsidRDefault="00732CE8" w:rsidP="004247C0">
      <w:pPr>
        <w:tabs>
          <w:tab w:val="left" w:pos="0"/>
        </w:tabs>
        <w:spacing w:before="120" w:after="0" w:line="276" w:lineRule="auto"/>
        <w:ind w:firstLine="0"/>
        <w:rPr>
          <w:lang w:val="hy-AM"/>
        </w:rPr>
      </w:pPr>
    </w:p>
    <w:p w14:paraId="3E7F75D5" w14:textId="06C67058" w:rsidR="00080175" w:rsidRPr="00FE0674" w:rsidRDefault="008A5E2F"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26" w:name="_Toc170926341"/>
      <w:r>
        <w:rPr>
          <w:rFonts w:eastAsia="Times New Roman" w:cs="Times New Roman"/>
          <w:b w:val="0"/>
          <w:caps w:val="0"/>
          <w:color w:val="44546A" w:themeColor="text2"/>
          <w:sz w:val="24"/>
          <w:szCs w:val="24"/>
        </w:rPr>
        <w:t>2</w:t>
      </w:r>
      <w:r w:rsidR="004247C0">
        <w:rPr>
          <w:rFonts w:eastAsia="Times New Roman" w:cs="Times New Roman"/>
          <w:b w:val="0"/>
          <w:caps w:val="0"/>
          <w:color w:val="44546A" w:themeColor="text2"/>
          <w:sz w:val="24"/>
          <w:szCs w:val="24"/>
          <w:lang w:val="en-US"/>
        </w:rPr>
        <w:t>1</w:t>
      </w:r>
      <w:r w:rsidR="00080175" w:rsidRPr="00FE0674">
        <w:rPr>
          <w:rFonts w:eastAsia="Times New Roman" w:cs="Times New Roman"/>
          <w:b w:val="0"/>
          <w:caps w:val="0"/>
          <w:color w:val="44546A" w:themeColor="text2"/>
          <w:sz w:val="24"/>
          <w:szCs w:val="24"/>
        </w:rPr>
        <w:t xml:space="preserve">. </w:t>
      </w:r>
      <w:r w:rsidR="00080175" w:rsidRPr="00006BC1">
        <w:rPr>
          <w:rFonts w:eastAsia="Times New Roman" w:cs="Times New Roman"/>
          <w:b w:val="0"/>
          <w:caps w:val="0"/>
          <w:color w:val="44546A" w:themeColor="text2"/>
          <w:sz w:val="24"/>
          <w:szCs w:val="24"/>
        </w:rPr>
        <w:t>ՎԻՃԱԿԱԳՐՈՒԹՅՈՒՆ</w:t>
      </w:r>
      <w:bookmarkEnd w:id="226"/>
    </w:p>
    <w:p w14:paraId="5DFC5392" w14:textId="77777777" w:rsidR="00006BC1" w:rsidRPr="00006BC1" w:rsidRDefault="00006BC1" w:rsidP="004247C0">
      <w:pPr>
        <w:tabs>
          <w:tab w:val="left" w:pos="0"/>
        </w:tabs>
        <w:spacing w:before="120" w:after="0" w:line="276" w:lineRule="auto"/>
        <w:ind w:firstLine="0"/>
        <w:rPr>
          <w:kern w:val="16"/>
          <w:lang w:val="pt-BR"/>
        </w:rPr>
      </w:pPr>
      <w:r w:rsidRPr="00006BC1">
        <w:rPr>
          <w:kern w:val="16"/>
          <w:lang w:val="pt-BR"/>
        </w:rPr>
        <w:t>ՀՀ վիճակագրական կոմիտեն ՀՀ պաշտոնական վիճակագրության գլխավոր արտադրողն է և համակարգում է ազգային վիճակագրական համակարգում պաշտոնական վիճակագրության մշակմանը, արտադրությանը և տարածմանն ուղղված ողջ գործունեությունը, բացառությամբ  ՀՀ կենտրոնական բանկի:</w:t>
      </w:r>
    </w:p>
    <w:p w14:paraId="341EE733" w14:textId="77777777" w:rsidR="00006BC1" w:rsidRPr="00006BC1" w:rsidRDefault="00006BC1" w:rsidP="004247C0">
      <w:pPr>
        <w:tabs>
          <w:tab w:val="left" w:pos="0"/>
        </w:tabs>
        <w:spacing w:before="120" w:after="0" w:line="276" w:lineRule="auto"/>
        <w:ind w:firstLine="0"/>
        <w:rPr>
          <w:kern w:val="16"/>
          <w:lang w:val="af-ZA"/>
        </w:rPr>
      </w:pPr>
      <w:r w:rsidRPr="00006BC1">
        <w:rPr>
          <w:kern w:val="16"/>
          <w:lang w:val="af-ZA"/>
        </w:rPr>
        <w:t>Պաշտոնական վիճակագրության ոլորտում որդեգրված ռազմավարությունն ուղղորդված է «Պաշտոնական վիճակագրության մասին» օրենքով սահմանված հիմնական խնդիրների իրագործման ապահովմանը, և խարսխվում է պաշտոնական վիճակագրության հիմնարար սկզբունքների, այն է՝ պրոֆեսիոնալ անկախություն, անաչառություն, օբյեկտիվություն, ճշգրտություն, հուսալիություն, ոչ հակասականություն, համադրելիություն, պարզություն, թափանցիկություն, վիճակագրական գաղտնիություն և բացառապես վիճակագրական նպատակներով օգտագործելիություն ու արդիականություն, Եվրոպական վիճակագրության գործելակերպի կանոնագրքով սահմանված սկզբունքների, Եվրոպական վիճակագրական համակարգի ստանդարտների և նորմերի, ՄԱԿ-ի Եվրոպայի տնտեսական հանձնաժողովի մոդեռնիզացման ստանդարտների և գործիքների, Ա</w:t>
      </w:r>
      <w:r w:rsidRPr="00006BC1">
        <w:rPr>
          <w:kern w:val="16"/>
          <w:lang w:val="hy-AM"/>
        </w:rPr>
        <w:t>րժույթի միջազգային հիմնադրամի</w:t>
      </w:r>
      <w:r w:rsidRPr="00006BC1">
        <w:rPr>
          <w:kern w:val="16"/>
          <w:lang w:val="af-ZA"/>
        </w:rPr>
        <w:t xml:space="preserve"> </w:t>
      </w:r>
      <w:r w:rsidRPr="00006BC1">
        <w:rPr>
          <w:kern w:val="16"/>
          <w:lang w:val="hy-AM"/>
        </w:rPr>
        <w:t>«</w:t>
      </w:r>
      <w:r w:rsidRPr="00006BC1">
        <w:rPr>
          <w:kern w:val="16"/>
          <w:lang w:val="af-ZA"/>
        </w:rPr>
        <w:t>Տվյալների տարածման հատուկ ստանդարտի</w:t>
      </w:r>
      <w:r w:rsidRPr="00006BC1">
        <w:rPr>
          <w:kern w:val="16"/>
          <w:lang w:val="hy-AM"/>
        </w:rPr>
        <w:t>»</w:t>
      </w:r>
      <w:r w:rsidRPr="00006BC1">
        <w:rPr>
          <w:kern w:val="16"/>
          <w:lang w:val="af-ZA"/>
        </w:rPr>
        <w:t xml:space="preserve"> պահանջների, ինչպես նաև Եվրամիության փորձագետների կողմից Արմստատի և Հայաստանի պաշտոնական վիճակագրության փորձագիտական գնահատման արդյունքների (2018թ.) և Եվրոստատի փորձագետների կողմից ոլորտային գնահատումների դրույթների վրա:</w:t>
      </w:r>
    </w:p>
    <w:p w14:paraId="20985D3B" w14:textId="77777777" w:rsidR="00006BC1" w:rsidRPr="00006BC1" w:rsidRDefault="00006BC1" w:rsidP="004247C0">
      <w:pPr>
        <w:tabs>
          <w:tab w:val="left" w:pos="0"/>
        </w:tabs>
        <w:spacing w:before="120" w:after="0" w:line="276" w:lineRule="auto"/>
        <w:ind w:firstLine="0"/>
        <w:rPr>
          <w:kern w:val="16"/>
          <w:lang w:val="af-ZA"/>
        </w:rPr>
      </w:pPr>
      <w:r w:rsidRPr="00006BC1">
        <w:rPr>
          <w:kern w:val="16"/>
          <w:lang w:val="af-ZA"/>
        </w:rPr>
        <w:t>Պաշտոնական վիճակագրությունը հնարավորության սահմաններում առավելագույնս ճշգրիտ, ոչ հակասական, արժանահավատորեն արտացոլում է առկա իրողությունը և աղբյուրների, մեթոդների ու ընթացակարգերի ընտրության հարցերում հիմնվում է գիտական չափանիշների վրա:</w:t>
      </w:r>
    </w:p>
    <w:p w14:paraId="103D61C6" w14:textId="77777777" w:rsidR="00006BC1" w:rsidRPr="00006BC1" w:rsidRDefault="00006BC1" w:rsidP="004247C0">
      <w:pPr>
        <w:tabs>
          <w:tab w:val="left" w:pos="0"/>
        </w:tabs>
        <w:spacing w:before="120" w:after="0" w:line="276" w:lineRule="auto"/>
        <w:ind w:firstLine="0"/>
        <w:rPr>
          <w:kern w:val="16"/>
          <w:lang w:val="af-ZA"/>
        </w:rPr>
      </w:pPr>
      <w:r w:rsidRPr="00006BC1">
        <w:rPr>
          <w:kern w:val="16"/>
          <w:lang w:val="af-ZA"/>
        </w:rPr>
        <w:t>Արմստատի տվյալները միտված են նպաստելու ամուր ժողովրդավարություն և գործունակ տնտեսություն կառուցելու ու հանրային կյանքում տեղի ունեցող փոփոխություններին հանրությանն իրազեկելու ջանքերին։</w:t>
      </w:r>
    </w:p>
    <w:p w14:paraId="1DDCAB65" w14:textId="77777777" w:rsidR="00006BC1" w:rsidRPr="00006BC1" w:rsidRDefault="00006BC1" w:rsidP="004247C0">
      <w:pPr>
        <w:tabs>
          <w:tab w:val="left" w:pos="0"/>
        </w:tabs>
        <w:spacing w:before="120" w:after="0" w:line="276" w:lineRule="auto"/>
        <w:ind w:firstLine="0"/>
        <w:rPr>
          <w:kern w:val="16"/>
          <w:lang w:val="pt-BR"/>
        </w:rPr>
      </w:pPr>
      <w:r w:rsidRPr="00006BC1">
        <w:rPr>
          <w:kern w:val="16"/>
          <w:lang w:val="hy-AM"/>
        </w:rPr>
        <w:lastRenderedPageBreak/>
        <w:t xml:space="preserve">         </w:t>
      </w:r>
      <w:r w:rsidRPr="00006BC1">
        <w:rPr>
          <w:kern w:val="16"/>
          <w:lang w:val="pt-BR"/>
        </w:rPr>
        <w:t>Ոլորտի քաղաքականության հիմնական թիրախն է` ազգային պաշտոնական վիճակագրության արտադրություն և տարածում՝ միջազգային վիճակագրական ստանդարտների (ներառյալ՝ Արժույթի միջազգային հիմնադրամի Տվյալների տարածման հատուկ ստանդարտը) պահանջներին համապատասխան (այդ թվում՝ ռեսուրսների մասով, հոդված 13, մաս 1 և հոդված 14, մաս 2 և 3):</w:t>
      </w:r>
    </w:p>
    <w:p w14:paraId="4D4240BD" w14:textId="77777777" w:rsidR="00080175" w:rsidRPr="00006BC1" w:rsidRDefault="00080175" w:rsidP="004247C0">
      <w:pPr>
        <w:tabs>
          <w:tab w:val="left" w:pos="0"/>
        </w:tabs>
        <w:spacing w:before="120" w:after="0" w:line="276" w:lineRule="auto"/>
        <w:ind w:firstLine="0"/>
        <w:rPr>
          <w:rFonts w:eastAsia="Times New Roman" w:cs="Times New Roman"/>
          <w:bCs/>
          <w:lang w:val="pt-BR"/>
        </w:rPr>
      </w:pPr>
    </w:p>
    <w:p w14:paraId="01BA7B30" w14:textId="2E0B8A35" w:rsidR="0008017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olor w:val="1F497D"/>
          <w:sz w:val="24"/>
          <w:szCs w:val="24"/>
        </w:rPr>
      </w:pPr>
      <w:bookmarkStart w:id="227" w:name="_Toc170926342"/>
      <w:bookmarkStart w:id="228" w:name="_Toc46154377"/>
      <w:r w:rsidRPr="00753C7D">
        <w:rPr>
          <w:rFonts w:eastAsia="Times New Roman" w:cs="Times New Roman"/>
          <w:b w:val="0"/>
          <w:color w:val="44546A" w:themeColor="text2"/>
          <w:sz w:val="24"/>
          <w:szCs w:val="24"/>
        </w:rPr>
        <w:t>2</w:t>
      </w:r>
      <w:r w:rsidR="004247C0" w:rsidRPr="004247C0">
        <w:rPr>
          <w:rFonts w:eastAsia="Times New Roman" w:cs="Times New Roman"/>
          <w:b w:val="0"/>
          <w:color w:val="44546A" w:themeColor="text2"/>
          <w:sz w:val="24"/>
          <w:szCs w:val="24"/>
          <w:lang w:val="pt-BR"/>
        </w:rPr>
        <w:t>2</w:t>
      </w:r>
      <w:r w:rsidRPr="00753C7D">
        <w:rPr>
          <w:rFonts w:eastAsia="Times New Roman" w:cs="Times New Roman"/>
          <w:b w:val="0"/>
          <w:color w:val="44546A" w:themeColor="text2"/>
          <w:sz w:val="24"/>
          <w:szCs w:val="24"/>
        </w:rPr>
        <w:t xml:space="preserve">. </w:t>
      </w:r>
      <w:r w:rsidRPr="00E21ECF">
        <w:rPr>
          <w:rFonts w:eastAsia="Times New Roman" w:cs="Times New Roman"/>
          <w:b w:val="0"/>
          <w:color w:val="44546A" w:themeColor="text2"/>
          <w:sz w:val="24"/>
          <w:szCs w:val="24"/>
        </w:rPr>
        <w:t>ՀԱՆՐԱՅԻՆ ԻՇԽԱՆՈՒԹՅԱՆ ԱՅԼ ՄԱՐՄԻՆՆԵՐԻ ԳՈՐԾՈՒՆԵՈՒԹՅԱՆ</w:t>
      </w:r>
      <w:r w:rsidRPr="00E21ECF">
        <w:rPr>
          <w:rFonts w:eastAsia="Times New Roman" w:cs="Times New Roman"/>
          <w:b w:val="0"/>
          <w:color w:val="1F497D"/>
          <w:sz w:val="24"/>
          <w:szCs w:val="24"/>
        </w:rPr>
        <w:t xml:space="preserve"> ՀԻՄՆԱԿԱՆ  ՈՒՂՂՈՒԹՅՈՒՆՆԵՐԸ ԵՎ ԳԵՐԱԿԱՅՈՒԹՅՈՒՆՆԵՐԸ</w:t>
      </w:r>
      <w:bookmarkEnd w:id="227"/>
    </w:p>
    <w:p w14:paraId="4DD68A70" w14:textId="77777777" w:rsidR="00732CE8" w:rsidRPr="00732CE8" w:rsidRDefault="00732CE8" w:rsidP="004247C0">
      <w:pPr>
        <w:tabs>
          <w:tab w:val="left" w:pos="0"/>
        </w:tabs>
        <w:spacing w:before="120" w:after="0" w:line="276" w:lineRule="auto"/>
        <w:ind w:firstLine="0"/>
        <w:rPr>
          <w:lang w:val="hy-AM"/>
        </w:rPr>
      </w:pPr>
    </w:p>
    <w:p w14:paraId="34B74FF2" w14:textId="285892E9"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29" w:name="_Toc170926343"/>
      <w:r w:rsidRPr="00FE0674">
        <w:rPr>
          <w:rFonts w:eastAsia="Times New Roman" w:cs="Times New Roman"/>
          <w:b w:val="0"/>
          <w:caps w:val="0"/>
          <w:color w:val="44546A" w:themeColor="text2"/>
          <w:sz w:val="24"/>
          <w:szCs w:val="24"/>
        </w:rPr>
        <w:t>2</w:t>
      </w:r>
      <w:r w:rsidR="004247C0">
        <w:rPr>
          <w:rFonts w:eastAsia="Times New Roman" w:cs="Times New Roman"/>
          <w:b w:val="0"/>
          <w:caps w:val="0"/>
          <w:color w:val="44546A" w:themeColor="text2"/>
          <w:sz w:val="24"/>
          <w:szCs w:val="24"/>
          <w:lang w:val="en-US"/>
        </w:rPr>
        <w:t>2</w:t>
      </w:r>
      <w:r w:rsidRPr="00FE0674">
        <w:rPr>
          <w:rFonts w:eastAsia="Times New Roman" w:cs="Times New Roman"/>
          <w:b w:val="0"/>
          <w:caps w:val="0"/>
          <w:color w:val="44546A" w:themeColor="text2"/>
          <w:sz w:val="24"/>
          <w:szCs w:val="24"/>
        </w:rPr>
        <w:t>.1. ՆԱԽԱԳԱՀԻ ԱՇԽԱՏԱԿԱԶՄ</w:t>
      </w:r>
      <w:bookmarkEnd w:id="229"/>
    </w:p>
    <w:p w14:paraId="336BE19D" w14:textId="77777777" w:rsidR="0053440D" w:rsidRPr="00756644" w:rsidRDefault="0053440D" w:rsidP="004247C0">
      <w:pPr>
        <w:tabs>
          <w:tab w:val="left" w:pos="0"/>
          <w:tab w:val="num" w:pos="720"/>
        </w:tabs>
        <w:spacing w:before="120" w:after="0" w:line="276" w:lineRule="auto"/>
        <w:ind w:firstLine="0"/>
        <w:rPr>
          <w:rFonts w:eastAsia="Times New Roman" w:cs="Times New Roman"/>
          <w:bCs/>
          <w:lang w:val="hy-AM"/>
        </w:rPr>
      </w:pPr>
      <w:r w:rsidRPr="00756644">
        <w:rPr>
          <w:rFonts w:eastAsia="Times New Roman" w:cs="Times New Roman"/>
          <w:lang w:val="hy-AM"/>
        </w:rPr>
        <w:t>Հանրապետության նախագահի աշխատակազմն ապահովում է Հանրապետության նախագահի՝ Սահմանադրությամբ սահմանված լիազորությունների լիարժեք և արդյունավետ իրականացումը:</w:t>
      </w:r>
    </w:p>
    <w:p w14:paraId="4CBB0F0A" w14:textId="77777777" w:rsidR="0053440D" w:rsidRPr="00756644" w:rsidRDefault="0053440D" w:rsidP="004247C0">
      <w:pPr>
        <w:tabs>
          <w:tab w:val="left" w:pos="0"/>
          <w:tab w:val="num" w:pos="720"/>
          <w:tab w:val="left" w:pos="1170"/>
        </w:tabs>
        <w:spacing w:before="120" w:after="0" w:line="276" w:lineRule="auto"/>
        <w:ind w:firstLine="0"/>
        <w:rPr>
          <w:rFonts w:eastAsia="Times New Roman" w:cs="Times New Roman"/>
          <w:bCs/>
          <w:lang w:val="hy-AM"/>
        </w:rPr>
      </w:pPr>
      <w:r w:rsidRPr="00756644">
        <w:rPr>
          <w:rFonts w:eastAsia="Times New Roman" w:cs="Times New Roman"/>
          <w:lang w:val="hy-AM"/>
        </w:rPr>
        <w:t>Հանրապետության նախագահի աշխատակազմի միջնաժամկետ նպատակներն են`</w:t>
      </w:r>
    </w:p>
    <w:p w14:paraId="3F3CC5A7" w14:textId="77777777" w:rsidR="0053440D" w:rsidRPr="00756644" w:rsidRDefault="0053440D" w:rsidP="004247C0">
      <w:pPr>
        <w:tabs>
          <w:tab w:val="left" w:pos="0"/>
          <w:tab w:val="left" w:pos="284"/>
        </w:tabs>
        <w:spacing w:before="120" w:after="0" w:line="276" w:lineRule="auto"/>
        <w:ind w:firstLine="0"/>
        <w:rPr>
          <w:rFonts w:eastAsia="Times New Roman" w:cs="Times New Roman"/>
          <w:bCs/>
          <w:lang w:val="hy-AM"/>
        </w:rPr>
      </w:pPr>
      <w:r w:rsidRPr="00756644">
        <w:rPr>
          <w:rFonts w:eastAsia="Times New Roman" w:cs="Times New Roman"/>
          <w:lang w:val="hy-AM"/>
        </w:rPr>
        <w:t>1.</w:t>
      </w:r>
      <w:r w:rsidRPr="00756644">
        <w:rPr>
          <w:rFonts w:eastAsia="Times New Roman" w:cs="Times New Roman"/>
          <w:lang w:val="hy-AM"/>
        </w:rPr>
        <w:tab/>
        <w:t>Հանրության կողմից Հանրապետության նախագահի և նրա աշխատակազմի գործառույթների հստակ ընկալում, հանրության վստահության ձեռք բերում և ամրապնդում: Այս նպատակին հասնելու համար նախատեսվում է՝</w:t>
      </w:r>
    </w:p>
    <w:p w14:paraId="19777B66"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Հանրապետության նախագահի և աշխատակազմի կողմից բարեգործական թիրախային ծրագրերի իրականացում, այդ ծրագրերի պատշաճ լուսաբանում,</w:t>
      </w:r>
    </w:p>
    <w:p w14:paraId="17C5C8D5"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 Պաշտոնական ինտերնետային կայքի միջոցով Նախագահի լիազորությունների հստակ և հանրամատչելի եղանակով ներկայացում, </w:t>
      </w:r>
    </w:p>
    <w:p w14:paraId="19B63F84"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Նախագահի նստավայրում այցելուների կենտրոնի ստեղծում, մշակութային միջոցառումների կազմակերպում,</w:t>
      </w:r>
    </w:p>
    <w:p w14:paraId="7FAF5DE7"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Սոցիալական մեդիայում ակտիվ գործունեության շարունակություն, հետևորդների թվի ավելացում,</w:t>
      </w:r>
    </w:p>
    <w:p w14:paraId="05B2548B"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Հանրապետության նախագահի և աշխատակազմի իրականացրած ծրագրերի վերաբերյալ հաշվետվողականության ապահովում, ընկալելի ձևով դրանց ներկայացում վերջնական արդյունքի ցուցադրմամբ,</w:t>
      </w:r>
    </w:p>
    <w:p w14:paraId="25620215" w14:textId="77777777" w:rsidR="0053440D" w:rsidRPr="00756644" w:rsidRDefault="0053440D"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rPr>
      </w:pPr>
      <w:r w:rsidRPr="00512140">
        <w:rPr>
          <w:rFonts w:cs="GHEA Grapalat"/>
          <w:lang w:val="hy-AM"/>
        </w:rPr>
        <w:t>Նախագահին դիմած անձանց նկատմամբ հոգատար վերաբերմունքի ցուցաբերում, արագ արձագանքի ապահ</w:t>
      </w:r>
      <w:r w:rsidRPr="00756644">
        <w:rPr>
          <w:rFonts w:eastAsia="Times New Roman" w:cs="Times New Roman"/>
          <w:lang w:val="hy-AM"/>
        </w:rPr>
        <w:t xml:space="preserve">ովում, հետևողականություն: </w:t>
      </w:r>
    </w:p>
    <w:p w14:paraId="3BF6B233" w14:textId="77777777" w:rsidR="0053440D" w:rsidRPr="00756644" w:rsidRDefault="0053440D" w:rsidP="004247C0">
      <w:pPr>
        <w:tabs>
          <w:tab w:val="left" w:pos="0"/>
          <w:tab w:val="left" w:pos="284"/>
          <w:tab w:val="left" w:pos="1170"/>
        </w:tabs>
        <w:spacing w:before="120" w:after="0" w:line="276" w:lineRule="auto"/>
        <w:ind w:firstLine="0"/>
        <w:rPr>
          <w:rFonts w:eastAsia="Times New Roman" w:cs="Times New Roman"/>
          <w:bCs/>
          <w:lang w:val="hy-AM"/>
        </w:rPr>
      </w:pPr>
      <w:r w:rsidRPr="00756644">
        <w:rPr>
          <w:rFonts w:eastAsia="Times New Roman" w:cs="Times New Roman"/>
          <w:lang w:val="hy-AM"/>
        </w:rPr>
        <w:t>2.</w:t>
      </w:r>
      <w:r w:rsidRPr="00756644">
        <w:rPr>
          <w:rFonts w:eastAsia="Times New Roman" w:cs="Times New Roman"/>
          <w:lang w:val="hy-AM"/>
        </w:rPr>
        <w:tab/>
        <w:t>Նոր գաղափարներ գեներացնող և ռազմավարական ծրագրեր մշակող լոկոմոտիվի դերի ստանձնում և այդ դերի ճանաչելիություն հանրության կողմից: Այս նպատակին հասնելու համար նախատեսվում է՝</w:t>
      </w:r>
    </w:p>
    <w:p w14:paraId="021F2ED0"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Հանդես գալ նախաձեռնություններով, հայեցակարգերով, զարգացման տեսլականներով տարբեր ոլորտների վերաբերյալ՝ առաջարկելով նորարար լուծումներ,</w:t>
      </w:r>
    </w:p>
    <w:p w14:paraId="0153A4B4"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Կազմակերպել թեմատիկ կոնֆերանսներ, գիտաժողովներ և քննարկումներ՝ լավագույն միջազգային փորձագետների և շահագրգիռ անձանց ներգրավմամբ,</w:t>
      </w:r>
    </w:p>
    <w:p w14:paraId="00E23748" w14:textId="77777777" w:rsidR="0053440D" w:rsidRPr="00756644" w:rsidRDefault="0053440D"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rPr>
      </w:pPr>
      <w:r w:rsidRPr="00512140">
        <w:rPr>
          <w:rFonts w:cs="GHEA Grapalat"/>
          <w:lang w:val="hy-AM"/>
        </w:rPr>
        <w:lastRenderedPageBreak/>
        <w:t>Մրցույթների միջոցով վեր հանել երկրի զարգացմանն ուղղված գաղափարները, աշխատել այդ գաղափարների իրագործման</w:t>
      </w:r>
      <w:r w:rsidRPr="00756644">
        <w:rPr>
          <w:rFonts w:eastAsia="Times New Roman" w:cs="Times New Roman"/>
          <w:lang w:val="hy-AM"/>
        </w:rPr>
        <w:t xml:space="preserve"> հայեցակարգերի մշակման ուղղությամբ: </w:t>
      </w:r>
    </w:p>
    <w:p w14:paraId="016F7DE0" w14:textId="0010C4BC" w:rsidR="0053440D" w:rsidRPr="00756644" w:rsidRDefault="0053440D" w:rsidP="004247C0">
      <w:pPr>
        <w:tabs>
          <w:tab w:val="left" w:pos="0"/>
          <w:tab w:val="left" w:pos="284"/>
          <w:tab w:val="left" w:pos="1170"/>
        </w:tabs>
        <w:spacing w:before="120" w:after="0" w:line="276" w:lineRule="auto"/>
        <w:ind w:firstLine="0"/>
        <w:rPr>
          <w:rFonts w:eastAsia="Times New Roman" w:cs="Times New Roman"/>
          <w:bCs/>
          <w:lang w:val="hy-AM"/>
        </w:rPr>
      </w:pPr>
      <w:r w:rsidRPr="00756644">
        <w:rPr>
          <w:rFonts w:eastAsia="Times New Roman" w:cs="Times New Roman"/>
          <w:lang w:val="hy-AM"/>
        </w:rPr>
        <w:t>3. ՀՀ-ի և սփյուռքի, ՀՀ-ի և այլ երկրների միջև առանձնահատուկ կամրջի դերի ստանձնում և այդ դերի ճանաչելիություն հանրության կողմից:</w:t>
      </w:r>
    </w:p>
    <w:p w14:paraId="2D3CADFC" w14:textId="77777777" w:rsidR="0053440D" w:rsidRPr="00756644" w:rsidRDefault="0053440D" w:rsidP="004247C0">
      <w:pPr>
        <w:tabs>
          <w:tab w:val="left" w:pos="0"/>
          <w:tab w:val="left" w:pos="284"/>
          <w:tab w:val="num" w:pos="720"/>
          <w:tab w:val="left" w:pos="1170"/>
        </w:tabs>
        <w:spacing w:before="120" w:after="0" w:line="276" w:lineRule="auto"/>
        <w:ind w:firstLine="0"/>
        <w:rPr>
          <w:rFonts w:eastAsia="Times New Roman" w:cs="Times New Roman"/>
          <w:bCs/>
          <w:lang w:val="hy-AM"/>
        </w:rPr>
      </w:pPr>
      <w:r w:rsidRPr="00756644">
        <w:rPr>
          <w:rFonts w:eastAsia="Times New Roman" w:cs="Times New Roman"/>
          <w:lang w:val="hy-AM"/>
        </w:rPr>
        <w:t xml:space="preserve"> Այս նպատակին հասնելու համար նախատեսվում է՝</w:t>
      </w:r>
    </w:p>
    <w:p w14:paraId="0BEB5DA5"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Համաշխարհային հարթակներում Հայաստանի ներկայացում, օրինակ՝ գիտաժողովներին, ցուցահանդեսներին մասնակցություն,</w:t>
      </w:r>
    </w:p>
    <w:p w14:paraId="5F7443D4"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Հայկական պատմամշակութային ժառանգությանն ու արժեքների պահպանությանը և դրանց ճանաչմանն ուղղված միջոցառումների իրականացում,</w:t>
      </w:r>
    </w:p>
    <w:p w14:paraId="0A5B0166" w14:textId="77777777" w:rsidR="0053440D" w:rsidRPr="00756644" w:rsidRDefault="0053440D"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rPr>
      </w:pPr>
      <w:r w:rsidRPr="00512140">
        <w:rPr>
          <w:rFonts w:cs="GHEA Grapalat"/>
          <w:lang w:val="hy-AM"/>
        </w:rPr>
        <w:t>Հայաստանի ճանաչելիության բարձրացմանն ուղղված  միջոցառումների կազմակերպում, միջազգային հեղինակավոր</w:t>
      </w:r>
      <w:r w:rsidRPr="00756644">
        <w:rPr>
          <w:rFonts w:eastAsia="Times New Roman" w:cs="Times New Roman"/>
          <w:lang w:val="hy-AM"/>
        </w:rPr>
        <w:t xml:space="preserve"> միջոցառումների հյուրընկալում Հայաստանում: </w:t>
      </w:r>
    </w:p>
    <w:p w14:paraId="60515050" w14:textId="77777777" w:rsidR="0053440D" w:rsidRPr="00756644" w:rsidRDefault="0053440D" w:rsidP="004247C0">
      <w:pPr>
        <w:tabs>
          <w:tab w:val="left" w:pos="0"/>
          <w:tab w:val="left" w:pos="284"/>
        </w:tabs>
        <w:spacing w:before="120" w:after="0" w:line="276" w:lineRule="auto"/>
        <w:ind w:firstLine="0"/>
        <w:rPr>
          <w:rFonts w:eastAsia="Times New Roman" w:cs="Times New Roman"/>
          <w:lang w:val="hy-AM"/>
        </w:rPr>
      </w:pPr>
      <w:r w:rsidRPr="00756644">
        <w:rPr>
          <w:rFonts w:eastAsia="Times New Roman" w:cs="Times New Roman"/>
          <w:lang w:val="hy-AM"/>
        </w:rPr>
        <w:t>4. Նախագահի աշխատակազմի դիրքավորում՝ որպես ցանկալի աշխատավայր: Այս նպատակին հասնելու համար նախատեսվում է՝</w:t>
      </w:r>
    </w:p>
    <w:p w14:paraId="2A82F7FD"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Նախագահի աշխատակազմում ապահովել աշխատակցի հարմարավետության համար անհրաժեշտ ենթակառուցվածքներ,</w:t>
      </w:r>
    </w:p>
    <w:p w14:paraId="7D70601A"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Ստեղծել աշխատակիցների վերապատրաստման մեխանիզմներ, այդ թվում՝ հեռակա ուսուցման հնարավորությամբ, </w:t>
      </w:r>
    </w:p>
    <w:p w14:paraId="5B23B251" w14:textId="77777777" w:rsidR="0053440D" w:rsidRPr="00B62F1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kern w:val="16"/>
          <w:lang w:val="hy-AM"/>
        </w:rPr>
      </w:pPr>
      <w:r w:rsidRPr="00512140">
        <w:rPr>
          <w:rFonts w:cs="GHEA Grapalat"/>
          <w:lang w:val="hy-AM"/>
        </w:rPr>
        <w:t>Ապահովել աշխատակցի առաջխաղացման մեխանիզմները և պարբերաբար գնահատել աշխատանքից</w:t>
      </w:r>
      <w:r w:rsidRPr="00D847EE">
        <w:rPr>
          <w:rFonts w:eastAsia="Times New Roman" w:cs="Times New Roman"/>
          <w:lang w:val="hy-AM"/>
        </w:rPr>
        <w:t xml:space="preserve"> բավարարվածությունը:</w:t>
      </w:r>
    </w:p>
    <w:p w14:paraId="1C187C6F" w14:textId="7862B773"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30" w:name="_Toc170926344"/>
      <w:r w:rsidRPr="00FE0674">
        <w:rPr>
          <w:rFonts w:eastAsia="Times New Roman" w:cs="Times New Roman"/>
          <w:b w:val="0"/>
          <w:caps w:val="0"/>
          <w:color w:val="44546A" w:themeColor="text2"/>
          <w:sz w:val="24"/>
          <w:szCs w:val="24"/>
        </w:rPr>
        <w:t>2</w:t>
      </w:r>
      <w:r w:rsidR="004247C0">
        <w:rPr>
          <w:rFonts w:eastAsia="Times New Roman" w:cs="Times New Roman"/>
          <w:b w:val="0"/>
          <w:caps w:val="0"/>
          <w:color w:val="44546A" w:themeColor="text2"/>
          <w:sz w:val="24"/>
          <w:szCs w:val="24"/>
          <w:lang w:val="en-US"/>
        </w:rPr>
        <w:t>2</w:t>
      </w:r>
      <w:r w:rsidRPr="00FE0674">
        <w:rPr>
          <w:rFonts w:eastAsia="Times New Roman" w:cs="Times New Roman"/>
          <w:b w:val="0"/>
          <w:caps w:val="0"/>
          <w:color w:val="44546A" w:themeColor="text2"/>
          <w:sz w:val="24"/>
          <w:szCs w:val="24"/>
        </w:rPr>
        <w:t>.2. ԱԶԳԱՅԻՆ ԺՈՂՈՎ</w:t>
      </w:r>
      <w:bookmarkEnd w:id="230"/>
    </w:p>
    <w:p w14:paraId="28DED1B9" w14:textId="77777777" w:rsidR="0053440D" w:rsidRPr="00950BE9" w:rsidRDefault="0053440D" w:rsidP="004247C0">
      <w:pPr>
        <w:tabs>
          <w:tab w:val="left" w:pos="0"/>
          <w:tab w:val="num" w:pos="720"/>
          <w:tab w:val="left" w:pos="1170"/>
        </w:tabs>
        <w:spacing w:before="120" w:after="0" w:line="276" w:lineRule="auto"/>
        <w:ind w:firstLine="0"/>
        <w:rPr>
          <w:rFonts w:eastAsia="Times New Roman" w:cs="Times New Roman"/>
          <w:bCs/>
          <w:lang w:val="hy-AM"/>
        </w:rPr>
      </w:pPr>
      <w:r w:rsidRPr="00950BE9">
        <w:rPr>
          <w:rFonts w:eastAsia="Times New Roman" w:cs="Times New Roman"/>
          <w:lang w:val="hy-AM"/>
        </w:rPr>
        <w:t>Հայաստանի Հանրապետությունը խորհրդարանական կառավարման երկիր է և Ազգային ժողովը ոչ միայն ժողովրդի ներկայացուցչական մարմինն է և իրականացնում է Հայաստանի Հանրապետության օրենսդիր իշխանությունը, այլև օժտված է իրականացնելու սահմանադրությամբ իրեն վերապահված գործադիր իշխանության գործունեության վերահսկողական գործառույթ: Որպես լեգիտիմ և ժողովրդավար խորհրդարան՝ Ազգային ժողովը ձգտում է հնարավորինս բաց և թափանցիկ լինել հանրության առջև՝ ապահովելով ՀՀ-ում արդյունավետ օրենսդրական դաշտ:</w:t>
      </w:r>
    </w:p>
    <w:p w14:paraId="07206407" w14:textId="77777777" w:rsidR="0053440D" w:rsidRPr="00950BE9" w:rsidRDefault="0053440D" w:rsidP="004247C0">
      <w:pPr>
        <w:tabs>
          <w:tab w:val="left" w:pos="0"/>
          <w:tab w:val="num" w:pos="720"/>
          <w:tab w:val="left" w:pos="1170"/>
        </w:tabs>
        <w:spacing w:before="120" w:after="0" w:line="276" w:lineRule="auto"/>
        <w:ind w:firstLine="0"/>
        <w:rPr>
          <w:rFonts w:eastAsia="Times New Roman" w:cs="Times New Roman"/>
          <w:bCs/>
          <w:lang w:val="hy-AM"/>
        </w:rPr>
      </w:pPr>
      <w:r w:rsidRPr="00950BE9">
        <w:rPr>
          <w:rFonts w:eastAsia="Times New Roman" w:cs="Times New Roman"/>
          <w:lang w:val="hy-AM"/>
        </w:rPr>
        <w:t xml:space="preserve">ՀՀ Ազգային ժողովը գործում է Սահմանադրությանը և իր կանոնակարգին համապատասխան՝ ձևավորելով և կատարելագործելով օրենսդրական դաշտը: </w:t>
      </w:r>
    </w:p>
    <w:p w14:paraId="00AA0E67" w14:textId="77777777" w:rsidR="0053440D" w:rsidRPr="00950BE9" w:rsidRDefault="0053440D" w:rsidP="004247C0">
      <w:pPr>
        <w:tabs>
          <w:tab w:val="left" w:pos="0"/>
          <w:tab w:val="num" w:pos="720"/>
          <w:tab w:val="left" w:pos="1170"/>
        </w:tabs>
        <w:spacing w:before="120" w:after="0" w:line="276" w:lineRule="auto"/>
        <w:ind w:firstLine="0"/>
        <w:rPr>
          <w:rFonts w:eastAsia="Times New Roman" w:cs="Times New Roman"/>
          <w:lang w:val="hy-AM"/>
        </w:rPr>
      </w:pPr>
      <w:r w:rsidRPr="00950BE9">
        <w:rPr>
          <w:rFonts w:eastAsia="Times New Roman" w:cs="Times New Roman"/>
          <w:lang w:val="hy-AM"/>
        </w:rPr>
        <w:t>ՀՀ Ազգային ժողովի միջնաժամկետ նպատակներն են՝</w:t>
      </w:r>
    </w:p>
    <w:p w14:paraId="16F73F31"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Իրականացնել ՀՀ ԱԺ դերի բարձրացմանն ուղղված միջոցառումներ ամրապնդելով խորհրդարանի և հանրության կապը,</w:t>
      </w:r>
    </w:p>
    <w:p w14:paraId="263FF001" w14:textId="5E9CB97F"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միջազգային խորհրդարանական կազմակերպությունների ներգրավմամբ համաշխարհային հարթակներում իրականացնել հայկական պատմամշակութային ժառանգության և արժեքների պահպանման</w:t>
      </w:r>
      <w:r w:rsidR="00F13DF6">
        <w:rPr>
          <w:rFonts w:cs="GHEA Grapalat"/>
          <w:lang w:val="hy-AM"/>
        </w:rPr>
        <w:t>ն</w:t>
      </w:r>
      <w:r w:rsidRPr="00512140">
        <w:rPr>
          <w:rFonts w:cs="GHEA Grapalat"/>
          <w:lang w:val="hy-AM"/>
        </w:rPr>
        <w:t xml:space="preserve"> </w:t>
      </w:r>
      <w:r w:rsidR="00F13DF6">
        <w:rPr>
          <w:rFonts w:cs="GHEA Grapalat"/>
          <w:lang w:val="hy-AM"/>
        </w:rPr>
        <w:t>ու</w:t>
      </w:r>
      <w:r w:rsidRPr="00512140">
        <w:rPr>
          <w:rFonts w:cs="GHEA Grapalat"/>
          <w:lang w:val="hy-AM"/>
        </w:rPr>
        <w:t xml:space="preserve"> ճանաչման</w:t>
      </w:r>
      <w:r w:rsidR="00F13DF6">
        <w:rPr>
          <w:rFonts w:cs="GHEA Grapalat"/>
          <w:lang w:val="hy-AM"/>
        </w:rPr>
        <w:t>ն</w:t>
      </w:r>
      <w:r w:rsidRPr="00512140">
        <w:rPr>
          <w:rFonts w:cs="GHEA Grapalat"/>
          <w:lang w:val="hy-AM"/>
        </w:rPr>
        <w:t xml:space="preserve"> ուղղված միջոցառումներ,</w:t>
      </w:r>
    </w:p>
    <w:p w14:paraId="7DE713FD"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հանդես գալ երկրի զարգացմանն ուղղված նոր գաղափարների և ռազմավարական ծրագրերի հայեցակարգերի մշակմամբ,</w:t>
      </w:r>
    </w:p>
    <w:p w14:paraId="24F6CD41"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lastRenderedPageBreak/>
        <w:t>կազմակերպել Հայաստանի ճանաչելիության բարձրացմանն ուղղված միջոցառումներ՝ հյուրընկալելով  միջազգային հեղինակավոր միջոցառումների,</w:t>
      </w:r>
    </w:p>
    <w:p w14:paraId="2B2D0DE8"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ստեղծել այցելուների կենտրոն,</w:t>
      </w:r>
    </w:p>
    <w:p w14:paraId="7A7B4835" w14:textId="77777777" w:rsidR="0053440D" w:rsidRPr="00512140"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ՀՀ Աժ </w:t>
      </w:r>
      <w:r>
        <w:rPr>
          <w:rFonts w:cs="GHEA Grapalat"/>
          <w:lang w:val="hy-AM"/>
        </w:rPr>
        <w:t>նախագահին, պատգամավորներին, աշխատակազմին դիմած անձանց նկատմամբ հոգատար վերաբերմունքի ցուցաբերումը, արագ արձագանքումը և հետևողականության դրսևորումը</w:t>
      </w:r>
      <w:r w:rsidRPr="00512140">
        <w:rPr>
          <w:rFonts w:cs="GHEA Grapalat"/>
          <w:lang w:val="hy-AM"/>
        </w:rPr>
        <w:t>,</w:t>
      </w:r>
    </w:p>
    <w:p w14:paraId="668E0BAB" w14:textId="77777777" w:rsidR="0053440D" w:rsidRPr="00A40F0F" w:rsidRDefault="0053440D"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A40F0F">
        <w:rPr>
          <w:rFonts w:cs="GHEA Grapalat"/>
          <w:lang w:val="hy-AM"/>
        </w:rPr>
        <w:t xml:space="preserve"> </w:t>
      </w:r>
      <w:r w:rsidRPr="00512140">
        <w:rPr>
          <w:rFonts w:cs="GHEA Grapalat"/>
          <w:lang w:val="hy-AM"/>
        </w:rPr>
        <w:t>ՀՀ</w:t>
      </w:r>
      <w:r w:rsidRPr="00A40F0F">
        <w:rPr>
          <w:rFonts w:cs="GHEA Grapalat"/>
          <w:lang w:val="hy-AM"/>
        </w:rPr>
        <w:t xml:space="preserve"> Աժ և աշխատակազմի կողմից իրականացվող ծրագրերի վերաբերյալ հաշվետվողականությունը, ընկալելի ձևով ներկայացնելով դրանց  վերջնական արդյունքը,</w:t>
      </w:r>
    </w:p>
    <w:p w14:paraId="7262870B" w14:textId="77777777" w:rsidR="0053440D" w:rsidRPr="00950BE9" w:rsidRDefault="0053440D"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bCs/>
          <w:lang w:val="hy-AM"/>
        </w:rPr>
      </w:pPr>
      <w:r w:rsidRPr="00512140">
        <w:rPr>
          <w:rFonts w:cs="GHEA Grapalat"/>
          <w:lang w:val="hy-AM"/>
        </w:rPr>
        <w:t>ՀՀ ԱԺ աշխատակազմը դարձնել հրապուրիչ աշխատավայր՝ աշխատակցի համար ապահովելով վերապատրաստման</w:t>
      </w:r>
      <w:r w:rsidRPr="00950BE9">
        <w:rPr>
          <w:rFonts w:eastAsia="Times New Roman" w:cs="Times New Roman"/>
          <w:lang w:val="hy-AM"/>
        </w:rPr>
        <w:t>, առաջխաղացման և գնահատման անհրաժեշտ մեխանիզմներ:</w:t>
      </w:r>
    </w:p>
    <w:p w14:paraId="7973C628" w14:textId="4EB335F5" w:rsidR="00574E29" w:rsidRDefault="00574E29" w:rsidP="004247C0">
      <w:pPr>
        <w:tabs>
          <w:tab w:val="left" w:pos="0"/>
        </w:tabs>
        <w:spacing w:before="120" w:after="0" w:line="276" w:lineRule="auto"/>
        <w:ind w:firstLine="0"/>
        <w:rPr>
          <w:rFonts w:eastAsia="Times New Roman" w:cs="Times New Roman"/>
          <w:bCs/>
          <w:lang w:val="hy-AM"/>
        </w:rPr>
      </w:pPr>
    </w:p>
    <w:p w14:paraId="6985EE9B" w14:textId="113404BD"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rPr>
      </w:pPr>
      <w:bookmarkStart w:id="231" w:name="_Toc170926345"/>
      <w:r w:rsidRPr="00730CEB">
        <w:rPr>
          <w:rFonts w:eastAsia="Times New Roman" w:cs="Times New Roman"/>
          <w:b w:val="0"/>
          <w:caps w:val="0"/>
          <w:color w:val="44546A" w:themeColor="text2"/>
          <w:sz w:val="24"/>
          <w:szCs w:val="24"/>
        </w:rPr>
        <w:t>2</w:t>
      </w:r>
      <w:r w:rsidR="004247C0">
        <w:rPr>
          <w:rFonts w:eastAsia="Times New Roman" w:cs="Times New Roman"/>
          <w:b w:val="0"/>
          <w:caps w:val="0"/>
          <w:color w:val="44546A" w:themeColor="text2"/>
          <w:sz w:val="24"/>
          <w:szCs w:val="24"/>
          <w:lang w:val="en-US"/>
        </w:rPr>
        <w:t>2</w:t>
      </w:r>
      <w:r w:rsidRPr="00730CEB">
        <w:rPr>
          <w:rFonts w:eastAsia="Times New Roman" w:cs="Times New Roman"/>
          <w:b w:val="0"/>
          <w:caps w:val="0"/>
          <w:color w:val="44546A" w:themeColor="text2"/>
          <w:sz w:val="24"/>
          <w:szCs w:val="24"/>
        </w:rPr>
        <w:t>.3. ԴԱՏԱԽԱԶՈՒԹՅՈՒՆ</w:t>
      </w:r>
      <w:bookmarkEnd w:id="231"/>
    </w:p>
    <w:p w14:paraId="521F96BC" w14:textId="77777777" w:rsidR="00080175" w:rsidRPr="00512140" w:rsidRDefault="00080175" w:rsidP="004247C0">
      <w:p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Կոռուպցիայի և կազմակերպված հանցագործության դեմ պայքարի ոլորտում ՀՀ դատախազության կողմից միջնաժամկետ ժամանակահատվածում նախատեսվում է իրականացնել մի շարք միջոցառումներ, մասնավորապես.  </w:t>
      </w:r>
    </w:p>
    <w:p w14:paraId="20E68FC1"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ձեռնարկվելու են անհրաժեշտ միջոցառումներ՝ կոռուպցիոն բնույթի և կազմակերպված հանցագործությունները ժամանակին հայտնաբերելու և բացահայտելու հարցում այլ իրավապահ մարմինների հետ համագործակցությունը խորացնելու ուղղությամբ,</w:t>
      </w:r>
    </w:p>
    <w:p w14:paraId="4825905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իրականացվելու են համապատասխան միջոցառումներ՝ ուղղված կոռուպցիոն երևույթների ծագման, դրանց պատճառների և նպաստող պայմանների, օրենսդրական թերի կարգավորումների հայտնաբերմանը՝ օրենսդրական բարեփոխումների իրականացմանը նպաստելու նպատակով,</w:t>
      </w:r>
    </w:p>
    <w:p w14:paraId="641F406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միջոցներ են ձեռնարկվելու կոռուպցիայի դեմ պայքարի ոլորտում իրավապահ մարմինների նկատմամբ հանրության վստահությունը բարձրացնելու ուղղությամբ, այդ թվում՝ հասարակական հնչեղություն ունեցող կոռուպցիոն հանցագործությունների քննության ընթացքի և ավարտի մասին հանրությանն իրազեկելու միջոցով, </w:t>
      </w:r>
    </w:p>
    <w:p w14:paraId="1DF6B7B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ակտիվացվելու է համագործակցությունը կոռուպցիայի դեմ պայքարի ոլորտում գործունեություն իրականացնող մարմինների, ինչպես նաև հասարակական կազմակերպությունների հետ,</w:t>
      </w:r>
    </w:p>
    <w:p w14:paraId="1CF2AA7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շարունակվելու են միջոցներ ձեռնարկվել Հայաստանի Հանրապետության հակակոռուպցիոն ռազմավարության և Հայաստանի Հանրապետությունում կազմակերպված հանցավորության դեմ պայքարի արդյունավետության բարձրացման ազգային ծրագրով նախատեսված միջոցառումների իրականացման ուղղությամբ:</w:t>
      </w:r>
    </w:p>
    <w:p w14:paraId="24827FE8" w14:textId="77777777" w:rsidR="00080175" w:rsidRPr="00512140" w:rsidRDefault="00080175" w:rsidP="004247C0">
      <w:p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Պատիժների և հարկադրանքի այլ միջոցների կիրառման օրինականության նկատմամբ հսկողության ոլորտում ՀՀ դատախազության կողմից.</w:t>
      </w:r>
    </w:p>
    <w:p w14:paraId="3D71B79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խստացվելու է հիշյալ ոլորտում դատախազական հսկողության առարկա հանդիսացող իրավական ակտերի և մյուս փաստաթղթերի օրինականության և հիմնավորվածության </w:t>
      </w:r>
      <w:r w:rsidRPr="00512140">
        <w:rPr>
          <w:rFonts w:cs="GHEA Grapalat"/>
          <w:lang w:val="hy-AM"/>
        </w:rPr>
        <w:lastRenderedPageBreak/>
        <w:t xml:space="preserve">նկատմամբ հսկողությունը և, ըստ անհրաժեշտության, դատախազական ներգործության միջոցներ կիրառելու պրակտիկան, </w:t>
      </w:r>
    </w:p>
    <w:p w14:paraId="4E9D845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շարունակվելու են հետևողականորեն միջոցներ ձեռնարկվել՝ ուղղված ազատազրկման վայրերում կոռուպցիոն երևույթների հայտնաբերմանը և մեղավոր անձանց պատասխանատվության ենթարկելուն,</w:t>
      </w:r>
    </w:p>
    <w:p w14:paraId="0BEB891A" w14:textId="77777777" w:rsidR="00080175" w:rsidRPr="00C00D9F" w:rsidRDefault="00080175"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512140">
        <w:rPr>
          <w:rFonts w:cs="GHEA Grapalat"/>
          <w:lang w:val="hy-AM"/>
        </w:rPr>
        <w:t>ուժեղացվելու</w:t>
      </w:r>
      <w:r w:rsidRPr="00C00D9F">
        <w:rPr>
          <w:lang w:val="hy-AM"/>
        </w:rPr>
        <w:t xml:space="preserve"> է հսկողությունը ազատազրկման վայրերում պահվող անձանց հիմնարար իրավունքների, հատկապես վերջիններիս բժշկական օգնություն ստանալու իրավունքի պատշաճ իրացումն ապահովելու նկատմամբ,</w:t>
      </w:r>
    </w:p>
    <w:p w14:paraId="65F76F74"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պարբերաբար ուսումնասիրվելու և ամփոփվելու է պատիժների ու հարկադրանքի այլ միջոցների կիրառման օրինականության ոլորտում դատախազական հսկողության պրակտիկան և, ըստ այդմ, կանխորոշվելու են պատիժների և հարկադրանքի այլ միջոցների կիրառման օրինականության նկատմամբ հսկողության ոլորտի գերակա ուղղությունները:</w:t>
      </w:r>
    </w:p>
    <w:p w14:paraId="607B9A24" w14:textId="77777777" w:rsidR="00080175" w:rsidRPr="00512140" w:rsidRDefault="00080175" w:rsidP="004247C0">
      <w:p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Դատարանում մեղադրանքի պաշտպանության և վճիռների, դատավճիռների և որոշումների բողոքարկման ոլորտում ՀՀ դատախազության կողմից.</w:t>
      </w:r>
    </w:p>
    <w:p w14:paraId="00D5519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բարձրացվելու է դատարանում մեղադրանքի պաշտպանության որակը,</w:t>
      </w:r>
    </w:p>
    <w:p w14:paraId="12A7C0A9"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ապահովվելու է մեղադրանքի պաշտպանության գործառույթի ինքնուրույնությունը և ակտիվությունը՝ մինչդատական վարույթից դրա անբաժանելիությունը չափավոր բացառելու միջոցով,</w:t>
      </w:r>
    </w:p>
    <w:p w14:paraId="4896CCB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վեր են հանվելու մեղադրանքի պաշտպանության և դատական ակտերի բողոքարկման գործառույթների իրականացման հետ կապված իրավակարգավորման խնդիրները ու նախաձեռնողականություն է ցուցաբերվելու դրանք հստակ ուղղություններով լուծելու հարցում,</w:t>
      </w:r>
    </w:p>
    <w:p w14:paraId="5C386C19"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սահմանվելու և ապահովվելու են վերահսկողության մեխանիզմներ մեղադրանքի պաշտպանության նկատմամբ՝ նկատի ունենալով այդ դատավարական փուլի առանձնահատկությունները,</w:t>
      </w:r>
    </w:p>
    <w:p w14:paraId="7B97D48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ապահովվելու է գործի ելքի վրա ազդող դատավարական գործողությունների՝ մեղադրանքը փոփոխելու և մեղադրանքից հրաժարվելու լիազորությունների օրինականությունը,</w:t>
      </w:r>
    </w:p>
    <w:p w14:paraId="0AC1D40E"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իրականացվելու է միասնական պատժողական քաղաքականություն՝ ապահովելով պատիժների կիրառման համաչափությունը,</w:t>
      </w:r>
    </w:p>
    <w:p w14:paraId="48F0E4C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ուժեղացվելու է վերահսկողությունը դատական ակտերի բողոքարկման ոլորտում՝ պատշաճ բողոքներ նախապատրաստելու և ներկայացնելու, վճռաբեկ բողոքարկման ոլորտում հատկապես իրավունքի զարգացման խնդիրներ առաջադրելու նպատակով:</w:t>
      </w:r>
    </w:p>
    <w:p w14:paraId="5C861311" w14:textId="77777777" w:rsidR="00080175" w:rsidRPr="00512140" w:rsidRDefault="00080175" w:rsidP="004247C0">
      <w:pPr>
        <w:tabs>
          <w:tab w:val="left" w:pos="0"/>
        </w:tabs>
        <w:autoSpaceDE w:val="0"/>
        <w:autoSpaceDN w:val="0"/>
        <w:adjustRightInd w:val="0"/>
        <w:spacing w:before="120" w:after="0" w:line="276" w:lineRule="auto"/>
        <w:ind w:firstLine="0"/>
        <w:rPr>
          <w:rFonts w:cs="GHEA Grapalat"/>
          <w:lang w:val="hy-AM"/>
        </w:rPr>
      </w:pPr>
      <w:r w:rsidRPr="00512140">
        <w:rPr>
          <w:rFonts w:cs="GHEA Grapalat"/>
          <w:lang w:val="hy-AM"/>
        </w:rPr>
        <w:t>Պետական շահերի պաշտպանության ոլորտում ՀՀ դատախազության կողմից.</w:t>
      </w:r>
    </w:p>
    <w:p w14:paraId="1E964C6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ակտիվացվելու է օրենքով սահմանված կարգով և դեպքերում քաղաքացիական դատավարության կարգով պետության գույքային շահերի, վարչական դատավարության կարգով պետության գույքային և ոչ գույքային շահերի և քրեական դատավարության կարգով հանցագործությամբ պետությանը ուղղակի պատճառված գույքային վնասի հատուցման հայց հարուցելու համար անհրաժեշտ ուսումնասիրությունների կատարման պրակտիկան,</w:t>
      </w:r>
    </w:p>
    <w:p w14:paraId="06FE652A" w14:textId="77777777" w:rsidR="00080175" w:rsidRPr="00C00D9F" w:rsidRDefault="00080175" w:rsidP="004247C0">
      <w:pPr>
        <w:numPr>
          <w:ilvl w:val="0"/>
          <w:numId w:val="24"/>
        </w:numPr>
        <w:tabs>
          <w:tab w:val="left" w:pos="0"/>
          <w:tab w:val="left" w:pos="284"/>
        </w:tabs>
        <w:autoSpaceDE w:val="0"/>
        <w:autoSpaceDN w:val="0"/>
        <w:adjustRightInd w:val="0"/>
        <w:spacing w:before="120" w:after="0" w:line="276" w:lineRule="auto"/>
        <w:ind w:firstLine="0"/>
        <w:rPr>
          <w:lang w:val="hy-AM"/>
        </w:rPr>
      </w:pPr>
      <w:r w:rsidRPr="00512140">
        <w:rPr>
          <w:rFonts w:cs="GHEA Grapalat"/>
          <w:lang w:val="hy-AM"/>
        </w:rPr>
        <w:lastRenderedPageBreak/>
        <w:t>բարձրացվեու է դատախազության տարածքային ստորաբաժանումների կողմից պետությանը պատճառված վնասի հատուցման ուղղությամբ ձեռնարկվող միջոցառումների արդյունավետությունը, հաշվի առնելով դատախազների</w:t>
      </w:r>
      <w:r w:rsidRPr="00C00D9F">
        <w:rPr>
          <w:lang w:val="hy-AM"/>
        </w:rPr>
        <w:t xml:space="preserve"> ծանրաբեռնվածության աստիճանը՝ ակտիվացվելու է տարածքային դատախազությունների համագործակցությունը հանրապետական և տեղական հսկողական-տեսչական մարմինների հետ՝ դրանց ակտերով արձանագրված վնասների կապակցությամբ դատախազական ներգործության միջոցներ ձեռնարկելու միջոցով:</w:t>
      </w:r>
    </w:p>
    <w:p w14:paraId="687BA9E3" w14:textId="77777777" w:rsidR="00080175" w:rsidRPr="00512140" w:rsidRDefault="00080175" w:rsidP="004247C0">
      <w:p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Ապօրինի ծագում ունեցող գույքի բռնագանձման ոլորտում ՀՀ դատախազության կողմից.</w:t>
      </w:r>
    </w:p>
    <w:p w14:paraId="6B315B0E"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ապօրինի ծագում ունեցող գույքի առկայության, դրա ծավալների և շահագրգիռ անձանց շրջանակի վերաբերյալ տվյալներ ձեռք բերելու նպատակով իրականացվելու են հայց հարուցելու հիմքերի ուսումնասիրություններ, այդ նպատակով պահանջվելու են անհրաժեշտ իրավական ակտեր, փաստաթղթեր, տեղեկություններ (այդ թվում՝ հարկային կամ մաքսային գաղտնիք համարվող), նախնական քննության տվյալներ, </w:t>
      </w:r>
    </w:p>
    <w:p w14:paraId="5F7F1003"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ուսումնասիրության արդյունքներով դիմումներ են ներկայացվելու առաջին ատյանի դատարան՝ հայցի նախնական ապահովման միջոցներ, ինչպես նաև ապացույցների նախնական ապահովում կիրառելու մասին.</w:t>
      </w:r>
    </w:p>
    <w:p w14:paraId="28961A8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ներկայացրած նյութերի և հավաքված ապացույցների հիման վրա կազմվելու են ուսումնասիրության արդյունքների վերաբերյալ եզրակացություններ, հարուցվելու են գույքի քաղաքացիական բռնագանձման հայցեր, կնքվելու են հաշտության համաձայնություններ.</w:t>
      </w:r>
    </w:p>
    <w:p w14:paraId="2184AC46" w14:textId="285C7A3D" w:rsidR="00080175" w:rsidRPr="009B643B"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rPr>
      </w:pPr>
      <w:r w:rsidRPr="00512140">
        <w:rPr>
          <w:rFonts w:cs="GHEA Grapalat"/>
          <w:lang w:val="hy-AM"/>
        </w:rPr>
        <w:t>նոր երևան եկած կամ նոր հանգամանքներ ի հայտ գալու դեպքում, ՀՀ քաղաքացիական դատավարության</w:t>
      </w:r>
      <w:r w:rsidRPr="009B643B">
        <w:rPr>
          <w:lang w:val="hy-AM"/>
        </w:rPr>
        <w:t xml:space="preserve"> օրենսգրքով սահմանված կարգով դատական ակտի վերանայման բողոք նախապատրաստելու և ներկայացնելու նպատակով վերսկսվելու են ավարտված ուսումնասիրությունները</w:t>
      </w:r>
      <w:r w:rsidR="00F13DF6">
        <w:rPr>
          <w:lang w:val="hy-AM"/>
        </w:rPr>
        <w:t>:</w:t>
      </w:r>
    </w:p>
    <w:p w14:paraId="79D1BD3D" w14:textId="77777777" w:rsidR="00080175" w:rsidRDefault="00080175" w:rsidP="004247C0">
      <w:pPr>
        <w:tabs>
          <w:tab w:val="left" w:pos="0"/>
          <w:tab w:val="num" w:pos="851"/>
        </w:tabs>
        <w:spacing w:before="120" w:after="0" w:line="276" w:lineRule="auto"/>
        <w:ind w:firstLine="0"/>
        <w:rPr>
          <w:rFonts w:eastAsia="Times New Roman" w:cs="Times New Roman"/>
          <w:lang w:val="hy-AM"/>
        </w:rPr>
      </w:pPr>
    </w:p>
    <w:p w14:paraId="7E55B5C2" w14:textId="5DA9F9AD"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2" w:name="_Toc170926346"/>
      <w:bookmarkEnd w:id="228"/>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.4. </w:t>
      </w:r>
      <w:r w:rsidRPr="0053440D">
        <w:rPr>
          <w:rFonts w:eastAsia="Times New Roman" w:cs="Times New Roman"/>
          <w:b w:val="0"/>
          <w:caps w:val="0"/>
          <w:color w:val="44546A" w:themeColor="text2"/>
          <w:sz w:val="24"/>
          <w:szCs w:val="24"/>
          <w:lang w:val="fr-FR"/>
        </w:rPr>
        <w:t>ՔՆՆՉԱԿԱՆ ԿՈՄԻՏԵ</w:t>
      </w:r>
      <w:bookmarkEnd w:id="232"/>
    </w:p>
    <w:p w14:paraId="126ECE4E" w14:textId="77777777" w:rsidR="0053440D" w:rsidRPr="006D57A2" w:rsidRDefault="0053440D" w:rsidP="004247C0">
      <w:pPr>
        <w:tabs>
          <w:tab w:val="left" w:pos="0"/>
        </w:tabs>
        <w:spacing w:before="120" w:after="0" w:line="276" w:lineRule="auto"/>
        <w:ind w:firstLine="0"/>
        <w:rPr>
          <w:rFonts w:eastAsia="Times New Roman" w:cs="Sylfaen"/>
          <w:bCs/>
          <w:kern w:val="16"/>
          <w:szCs w:val="20"/>
          <w:lang w:val="hy-AM"/>
        </w:rPr>
      </w:pPr>
      <w:r w:rsidRPr="00344975">
        <w:rPr>
          <w:rFonts w:eastAsia="Times New Roman" w:cs="Sylfaen"/>
          <w:bCs/>
          <w:kern w:val="16"/>
          <w:szCs w:val="20"/>
          <w:lang w:val="hy-AM"/>
        </w:rPr>
        <w:t xml:space="preserve">ՀՀ քննչական կոմիտեն՝ որպես նախաքննություն իրականացնող մարմին պարտավոր է ձեռնարկել բոլոր միջոցառումները, որպեսզի քրեական օրենսգրքով չթույլատրված արարք կատարած յուրաքանչյուր ոք հայտնաբերվի և ենթարկվի պատասխանատվության: ՀՀ քննչական կոմիտեի քննիչները </w:t>
      </w:r>
      <w:r w:rsidRPr="00753741">
        <w:rPr>
          <w:rFonts w:eastAsia="Times New Roman" w:cs="Sylfaen"/>
          <w:bCs/>
          <w:kern w:val="16"/>
          <w:szCs w:val="20"/>
          <w:lang w:val="hy-AM"/>
        </w:rPr>
        <w:t xml:space="preserve">քրեական վարույթներով միջդատական վարույթի իրականացումը </w:t>
      </w:r>
      <w:r w:rsidRPr="00344975">
        <w:rPr>
          <w:rFonts w:eastAsia="Times New Roman" w:cs="Sylfaen"/>
          <w:bCs/>
          <w:kern w:val="16"/>
          <w:szCs w:val="20"/>
          <w:lang w:val="hy-AM"/>
        </w:rPr>
        <w:t>պատշաճ քննությունն ու դրա արդյունավետությունն ապահովելու նպատակով կատարում են օրենքով իրենց վերապահված բազմաթիվ քննչական գործողություններ` հարցաքննություններ, խուզարկություններ, զննություններ, առգրավումներ, անձանց կամ իրերի ճանաչումներ, քննչական փորձարարություններ, նշանակում են տարաբնույթ փորձաքննություններ և այլն:</w:t>
      </w:r>
      <w:r w:rsidRPr="006D57A2">
        <w:rPr>
          <w:rFonts w:eastAsia="Times New Roman" w:cs="Sylfaen"/>
          <w:bCs/>
          <w:kern w:val="16"/>
          <w:szCs w:val="20"/>
          <w:lang w:val="hy-AM"/>
        </w:rPr>
        <w:t xml:space="preserve"> Քրեական գործերի նախաքննության ընթացքում վարույթ իրականացնող մարմինը պարզում է նաև հանցագործությունների կատարմանը նպաստող պատճառներն ու պայմանները, որից հետո դրանք վերացնելու և կանխելու նպատակով համապատասխան մարմիններին ներկայացնում է միջնորդագրեր: Բացի այդ քննչական կոմիտեն զբաղվում է հանցագործությունների քննության մեթոդիկայի ուսումնասիրությամբ, ձեռնարկում է միջոցառումներ` քննության դրական փորձը քննչական պրակտիկայում ներդնելու ուղղությամբ: Բացի այդ` քննարկում և լուծում է ստացված դիմումներն ու բողոքները: Այս ամբողջ </w:t>
      </w:r>
      <w:r w:rsidRPr="006D57A2">
        <w:rPr>
          <w:rFonts w:eastAsia="Times New Roman" w:cs="Sylfaen"/>
          <w:bCs/>
          <w:kern w:val="16"/>
          <w:szCs w:val="20"/>
          <w:lang w:val="hy-AM"/>
        </w:rPr>
        <w:lastRenderedPageBreak/>
        <w:t>գործունեության վերջնական արդյունքը` քննության բազմակողմանիության, լրիվության, օբեկտիվության և արդյունավետության, մարդու և քաղաքացու իրավունքների, հիմնարար ազատությունների, անձնական անձեռնմխելիության և մյուս իրավունքների պաշտպանության ապահովումն է, ինչպես նաև նախաքնության ժամկետների անհարկի ձգձգումների բացառումը, պետությանը և քաղաքացիններին պատճառված վնասի վերականգնման ապահովումը, ՀՀ միջազգային պայմանագրերով նախատեսված քրեական գործերով իրավական օգնություն ցույց տալու հարցերի լուծումը, կոռուպցիոն երևույթների ծագման, դրանց պատճառների և նպաստող պայմանների բացահայտմանն ու դրանց կանխմանն ուղղված գործողությունների իրականացումը, որը բխում է ՀՀ կառավարության 2019 թվականի ծրագրից:</w:t>
      </w:r>
    </w:p>
    <w:p w14:paraId="3FED4C2B" w14:textId="0A911FB3" w:rsidR="0053440D" w:rsidRDefault="0053440D" w:rsidP="004247C0">
      <w:pPr>
        <w:tabs>
          <w:tab w:val="left" w:pos="0"/>
        </w:tabs>
        <w:spacing w:before="120" w:after="0" w:line="276" w:lineRule="auto"/>
        <w:ind w:firstLine="0"/>
        <w:rPr>
          <w:rFonts w:eastAsia="Times New Roman" w:cs="Sylfaen"/>
          <w:bCs/>
          <w:kern w:val="16"/>
          <w:szCs w:val="20"/>
          <w:lang w:val="hy-AM"/>
        </w:rPr>
      </w:pPr>
      <w:r w:rsidRPr="006D57A2">
        <w:rPr>
          <w:rFonts w:eastAsia="Times New Roman" w:cs="Sylfaen"/>
          <w:bCs/>
          <w:kern w:val="16"/>
          <w:szCs w:val="20"/>
          <w:lang w:val="hy-AM"/>
        </w:rPr>
        <w:t xml:space="preserve">ՀՀ քննչական կոմիտեի կողմից իրականացվող գործունեության հիմնական նպատակն </w:t>
      </w:r>
      <w:r w:rsidRPr="00753741">
        <w:rPr>
          <w:rFonts w:eastAsia="Times New Roman" w:cs="Sylfaen"/>
          <w:bCs/>
          <w:kern w:val="16"/>
          <w:szCs w:val="20"/>
          <w:lang w:val="hy-AM"/>
        </w:rPr>
        <w:t>է քրեական վարույթներով միջդատական վարույթի իրականացումը,</w:t>
      </w:r>
      <w:r w:rsidRPr="006D57A2">
        <w:rPr>
          <w:rFonts w:eastAsia="Times New Roman" w:cs="Sylfaen"/>
          <w:bCs/>
          <w:kern w:val="16"/>
          <w:szCs w:val="20"/>
          <w:lang w:val="hy-AM"/>
        </w:rPr>
        <w:t xml:space="preserve"> որի շրջանակներում կարող է անհրաժեշտություն առաջանալ նշանակել մի շարք փորձաքննություններ, դատավարական փաստաթղթերը ներկայացնել թարգմանության, իրավական օգնության համար կազմել և ուղարկել միջազգային հարցումներ՝ համապատասխան երկրի պաշտոնական լեզվով: Բացի այդ քննչական կոմիտեի գործունեության ընթացքում քննիչների վերապատրաստման և պատրաստման գործընթացն ապահովելու համար նրանց ներգրավվում են մի շարք դասընթացներում, համապատասխան վերապատրաստման ծրագրերում, մասնագիտական պատրաստում անցնող ունկնդիրներին տրամադրվում է կրթաթոշակ:</w:t>
      </w:r>
    </w:p>
    <w:p w14:paraId="670E166A" w14:textId="77777777" w:rsidR="00080175" w:rsidRPr="006D57A2" w:rsidRDefault="00080175" w:rsidP="004247C0">
      <w:pPr>
        <w:tabs>
          <w:tab w:val="left" w:pos="0"/>
        </w:tabs>
        <w:spacing w:before="120" w:after="0" w:line="276" w:lineRule="auto"/>
        <w:ind w:firstLine="0"/>
        <w:rPr>
          <w:rFonts w:eastAsia="Times New Roman" w:cs="Sylfaen"/>
          <w:bCs/>
          <w:kern w:val="16"/>
          <w:szCs w:val="20"/>
          <w:lang w:val="hy-AM"/>
        </w:rPr>
      </w:pPr>
    </w:p>
    <w:p w14:paraId="227ECB48" w14:textId="09DECA1C"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3" w:name="_Toc170926347"/>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.5</w:t>
      </w:r>
      <w:r w:rsidRPr="00B24E6A">
        <w:rPr>
          <w:rFonts w:eastAsia="Times New Roman" w:cs="Times New Roman"/>
          <w:b w:val="0"/>
          <w:caps w:val="0"/>
          <w:color w:val="44546A" w:themeColor="text2"/>
          <w:sz w:val="24"/>
          <w:szCs w:val="24"/>
          <w:lang w:val="fr-FR"/>
        </w:rPr>
        <w:t>. ՍԱՀՄԱՆԱԴՐԱԿԱՆ ԴԱՏԱՐԱՆ</w:t>
      </w:r>
      <w:bookmarkEnd w:id="233"/>
    </w:p>
    <w:p w14:paraId="75495CC6" w14:textId="7777777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110CFA">
        <w:rPr>
          <w:rFonts w:eastAsia="Times New Roman" w:cs="Sylfaen"/>
          <w:lang w:val="hy-AM" w:eastAsia="ru-RU"/>
        </w:rPr>
        <w:t>ՀՀ</w:t>
      </w:r>
      <w:r w:rsidRPr="00110CFA">
        <w:rPr>
          <w:rFonts w:eastAsia="Times New Roman" w:cs="Times New Roman"/>
          <w:lang w:val="hy-AM" w:eastAsia="ru-RU"/>
        </w:rPr>
        <w:t xml:space="preserve"> </w:t>
      </w:r>
      <w:r w:rsidRPr="00110CFA">
        <w:rPr>
          <w:rFonts w:eastAsia="Times New Roman" w:cs="Sylfaen"/>
          <w:lang w:val="hy-AM" w:eastAsia="ru-RU"/>
        </w:rPr>
        <w:t>սահմանադրական</w:t>
      </w:r>
      <w:r w:rsidRPr="00110CFA">
        <w:rPr>
          <w:rFonts w:eastAsia="Times New Roman" w:cs="Times New Roman"/>
          <w:lang w:val="hy-AM" w:eastAsia="ru-RU"/>
        </w:rPr>
        <w:t xml:space="preserve"> </w:t>
      </w:r>
      <w:r w:rsidRPr="00110CFA">
        <w:rPr>
          <w:rFonts w:eastAsia="Times New Roman" w:cs="Sylfaen"/>
          <w:lang w:val="hy-AM" w:eastAsia="ru-RU"/>
        </w:rPr>
        <w:t>դատարանը</w:t>
      </w:r>
      <w:r w:rsidRPr="00110CFA">
        <w:rPr>
          <w:rFonts w:eastAsia="Times New Roman" w:cs="Times New Roman"/>
          <w:lang w:val="hy-AM" w:eastAsia="ru-RU"/>
        </w:rPr>
        <w:t xml:space="preserve"> </w:t>
      </w:r>
      <w:r w:rsidRPr="00110CFA">
        <w:rPr>
          <w:rFonts w:eastAsia="Times New Roman" w:cs="Sylfaen"/>
          <w:lang w:val="hy-AM" w:eastAsia="ru-RU"/>
        </w:rPr>
        <w:t>Հայաստանի</w:t>
      </w:r>
      <w:r w:rsidRPr="00110CFA">
        <w:rPr>
          <w:rFonts w:eastAsia="Times New Roman" w:cs="Times New Roman"/>
          <w:lang w:val="hy-AM" w:eastAsia="ru-RU"/>
        </w:rPr>
        <w:t xml:space="preserve"> </w:t>
      </w:r>
      <w:r w:rsidRPr="00110CFA">
        <w:rPr>
          <w:rFonts w:eastAsia="Times New Roman" w:cs="Sylfaen"/>
          <w:lang w:val="hy-AM" w:eastAsia="ru-RU"/>
        </w:rPr>
        <w:t>Հանրապետության</w:t>
      </w:r>
      <w:r w:rsidRPr="00110CFA">
        <w:rPr>
          <w:rFonts w:eastAsia="Times New Roman" w:cs="Times New Roman"/>
          <w:lang w:val="hy-AM" w:eastAsia="ru-RU"/>
        </w:rPr>
        <w:t xml:space="preserve"> </w:t>
      </w:r>
      <w:r w:rsidRPr="00110CFA">
        <w:rPr>
          <w:rFonts w:eastAsia="Times New Roman" w:cs="Sylfaen"/>
          <w:lang w:val="hy-AM" w:eastAsia="ru-RU"/>
        </w:rPr>
        <w:t>իրավակարգում</w:t>
      </w:r>
      <w:r w:rsidRPr="00110CFA">
        <w:rPr>
          <w:rFonts w:eastAsia="Times New Roman" w:cs="Times New Roman"/>
          <w:lang w:val="hy-AM" w:eastAsia="ru-RU"/>
        </w:rPr>
        <w:t xml:space="preserve"> </w:t>
      </w:r>
      <w:r w:rsidRPr="00110CFA">
        <w:rPr>
          <w:rFonts w:eastAsia="Times New Roman" w:cs="Sylfaen"/>
          <w:lang w:val="hy-AM" w:eastAsia="ru-RU"/>
        </w:rPr>
        <w:t>ապահովելով</w:t>
      </w:r>
      <w:r w:rsidRPr="00110CFA">
        <w:rPr>
          <w:rFonts w:eastAsia="Times New Roman" w:cs="Times New Roman"/>
          <w:lang w:val="hy-AM" w:eastAsia="ru-RU"/>
        </w:rPr>
        <w:t xml:space="preserve"> </w:t>
      </w:r>
      <w:r w:rsidRPr="00110CFA">
        <w:rPr>
          <w:rFonts w:eastAsia="Times New Roman" w:cs="Sylfaen"/>
          <w:lang w:val="hy-AM" w:eastAsia="ru-RU"/>
        </w:rPr>
        <w:t>Սահմանադրության</w:t>
      </w:r>
      <w:r w:rsidRPr="00110CFA">
        <w:rPr>
          <w:rFonts w:eastAsia="Times New Roman" w:cs="Times New Roman"/>
          <w:lang w:val="hy-AM" w:eastAsia="ru-RU"/>
        </w:rPr>
        <w:t xml:space="preserve"> </w:t>
      </w:r>
      <w:r w:rsidRPr="00110CFA">
        <w:rPr>
          <w:rFonts w:eastAsia="Times New Roman" w:cs="Sylfaen"/>
          <w:lang w:val="hy-AM" w:eastAsia="ru-RU"/>
        </w:rPr>
        <w:t>գերակայությունը</w:t>
      </w:r>
      <w:r w:rsidRPr="00110CFA">
        <w:rPr>
          <w:rFonts w:eastAsia="Times New Roman" w:cs="Times New Roman"/>
          <w:lang w:val="hy-AM" w:eastAsia="ru-RU"/>
        </w:rPr>
        <w:t xml:space="preserve"> </w:t>
      </w:r>
      <w:r w:rsidRPr="00110CFA">
        <w:rPr>
          <w:rFonts w:eastAsia="Times New Roman" w:cs="Sylfaen"/>
          <w:lang w:val="hy-AM" w:eastAsia="ru-RU"/>
        </w:rPr>
        <w:t>և</w:t>
      </w:r>
      <w:r w:rsidRPr="00110CFA">
        <w:rPr>
          <w:rFonts w:eastAsia="Times New Roman" w:cs="Times New Roman"/>
          <w:lang w:val="hy-AM" w:eastAsia="ru-RU"/>
        </w:rPr>
        <w:t xml:space="preserve"> </w:t>
      </w:r>
      <w:r w:rsidRPr="00110CFA">
        <w:rPr>
          <w:rFonts w:eastAsia="Times New Roman" w:cs="Sylfaen"/>
          <w:lang w:val="hy-AM" w:eastAsia="ru-RU"/>
        </w:rPr>
        <w:t>անմիջական</w:t>
      </w:r>
      <w:r w:rsidRPr="00110CFA">
        <w:rPr>
          <w:rFonts w:eastAsia="Times New Roman" w:cs="Times New Roman"/>
          <w:lang w:val="hy-AM" w:eastAsia="ru-RU"/>
        </w:rPr>
        <w:t xml:space="preserve"> </w:t>
      </w:r>
      <w:r w:rsidRPr="00110CFA">
        <w:rPr>
          <w:rFonts w:eastAsia="Times New Roman" w:cs="Sylfaen"/>
          <w:lang w:val="hy-AM" w:eastAsia="ru-RU"/>
        </w:rPr>
        <w:t>գործողությունը</w:t>
      </w:r>
      <w:r w:rsidRPr="00110CFA">
        <w:rPr>
          <w:rFonts w:eastAsia="Times New Roman" w:cs="Times New Roman"/>
          <w:lang w:val="hy-AM" w:eastAsia="ru-RU"/>
        </w:rPr>
        <w:t xml:space="preserve">, </w:t>
      </w:r>
      <w:r w:rsidRPr="00110CFA">
        <w:rPr>
          <w:rFonts w:eastAsia="Times New Roman" w:cs="Sylfaen"/>
          <w:lang w:val="hy-AM" w:eastAsia="ru-RU"/>
        </w:rPr>
        <w:t>որպես</w:t>
      </w:r>
      <w:r w:rsidRPr="00110CFA">
        <w:rPr>
          <w:rFonts w:eastAsia="Times New Roman" w:cs="Times New Roman"/>
          <w:lang w:val="hy-AM" w:eastAsia="ru-RU"/>
        </w:rPr>
        <w:t xml:space="preserve"> </w:t>
      </w:r>
      <w:r w:rsidRPr="00110CFA">
        <w:rPr>
          <w:rFonts w:eastAsia="Times New Roman" w:cs="Sylfaen"/>
          <w:lang w:val="hy-AM" w:eastAsia="ru-RU"/>
        </w:rPr>
        <w:t>ռազմավարական</w:t>
      </w:r>
      <w:r w:rsidRPr="00110CFA">
        <w:rPr>
          <w:rFonts w:eastAsia="Times New Roman" w:cs="Times New Roman"/>
          <w:lang w:val="hy-AM" w:eastAsia="ru-RU"/>
        </w:rPr>
        <w:t xml:space="preserve"> </w:t>
      </w:r>
      <w:r w:rsidRPr="00110CFA">
        <w:rPr>
          <w:rFonts w:eastAsia="Times New Roman" w:cs="Sylfaen"/>
          <w:lang w:val="hy-AM" w:eastAsia="ru-RU"/>
        </w:rPr>
        <w:t>առաջնահերթ</w:t>
      </w:r>
      <w:r w:rsidRPr="00110CFA">
        <w:rPr>
          <w:rFonts w:eastAsia="Times New Roman" w:cs="Times New Roman"/>
          <w:lang w:val="hy-AM" w:eastAsia="ru-RU"/>
        </w:rPr>
        <w:t xml:space="preserve"> </w:t>
      </w:r>
      <w:r w:rsidRPr="00110CFA">
        <w:rPr>
          <w:rFonts w:eastAsia="Times New Roman" w:cs="Sylfaen"/>
          <w:lang w:val="hy-AM" w:eastAsia="ru-RU"/>
        </w:rPr>
        <w:t>խնդիր</w:t>
      </w:r>
      <w:r w:rsidRPr="00110CFA">
        <w:rPr>
          <w:rFonts w:eastAsia="Times New Roman" w:cs="Times New Roman"/>
          <w:lang w:val="hy-AM" w:eastAsia="ru-RU"/>
        </w:rPr>
        <w:t xml:space="preserve"> </w:t>
      </w:r>
      <w:r w:rsidRPr="00110CFA">
        <w:rPr>
          <w:rFonts w:eastAsia="Times New Roman" w:cs="Sylfaen"/>
          <w:lang w:val="hy-AM" w:eastAsia="ru-RU"/>
        </w:rPr>
        <w:t>Հայաստանի</w:t>
      </w:r>
      <w:r w:rsidRPr="00110CFA">
        <w:rPr>
          <w:rFonts w:eastAsia="Times New Roman" w:cs="Times New Roman"/>
          <w:lang w:val="hy-AM" w:eastAsia="ru-RU"/>
        </w:rPr>
        <w:t xml:space="preserve"> </w:t>
      </w:r>
      <w:r w:rsidRPr="00110CFA">
        <w:rPr>
          <w:rFonts w:eastAsia="Times New Roman" w:cs="Sylfaen"/>
          <w:lang w:val="hy-AM" w:eastAsia="ru-RU"/>
        </w:rPr>
        <w:t>Հանրապետությունում</w:t>
      </w:r>
      <w:r w:rsidRPr="00110CFA">
        <w:rPr>
          <w:rFonts w:eastAsia="Times New Roman" w:cs="Times New Roman"/>
          <w:lang w:val="hy-AM" w:eastAsia="ru-RU"/>
        </w:rPr>
        <w:t xml:space="preserve"> </w:t>
      </w:r>
      <w:r w:rsidRPr="00110CFA">
        <w:rPr>
          <w:rFonts w:eastAsia="Times New Roman" w:cs="Sylfaen"/>
          <w:lang w:val="hy-AM" w:eastAsia="ru-RU"/>
        </w:rPr>
        <w:t>իրականացնում</w:t>
      </w:r>
      <w:r w:rsidRPr="00110CFA">
        <w:rPr>
          <w:rFonts w:eastAsia="Times New Roman" w:cs="Times New Roman"/>
          <w:lang w:val="hy-AM" w:eastAsia="ru-RU"/>
        </w:rPr>
        <w:t xml:space="preserve"> </w:t>
      </w:r>
      <w:r w:rsidRPr="00110CFA">
        <w:rPr>
          <w:rFonts w:eastAsia="Times New Roman" w:cs="Sylfaen"/>
          <w:lang w:val="hy-AM" w:eastAsia="ru-RU"/>
        </w:rPr>
        <w:t>է</w:t>
      </w:r>
      <w:r w:rsidRPr="00110CFA">
        <w:rPr>
          <w:rFonts w:eastAsia="Times New Roman" w:cs="Times New Roman"/>
          <w:lang w:val="hy-AM" w:eastAsia="ru-RU"/>
        </w:rPr>
        <w:t xml:space="preserve"> </w:t>
      </w:r>
      <w:r w:rsidRPr="00110CFA">
        <w:rPr>
          <w:rFonts w:eastAsia="Times New Roman" w:cs="Sylfaen"/>
          <w:lang w:val="hy-AM" w:eastAsia="ru-RU"/>
        </w:rPr>
        <w:t>սահմանադրական</w:t>
      </w:r>
      <w:r w:rsidRPr="00110CFA">
        <w:rPr>
          <w:rFonts w:eastAsia="Times New Roman" w:cs="Times New Roman"/>
          <w:lang w:val="hy-AM" w:eastAsia="ru-RU"/>
        </w:rPr>
        <w:t xml:space="preserve"> </w:t>
      </w:r>
      <w:r w:rsidRPr="00110CFA">
        <w:rPr>
          <w:rFonts w:eastAsia="Times New Roman" w:cs="Sylfaen"/>
          <w:lang w:val="hy-AM" w:eastAsia="ru-RU"/>
        </w:rPr>
        <w:t>արդարադատություն</w:t>
      </w:r>
      <w:r w:rsidRPr="00110CFA">
        <w:rPr>
          <w:rFonts w:eastAsia="Times New Roman" w:cs="Times New Roman"/>
          <w:lang w:val="hy-AM" w:eastAsia="ru-RU"/>
        </w:rPr>
        <w:t>:</w:t>
      </w:r>
    </w:p>
    <w:p w14:paraId="1A790D0C" w14:textId="7777777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110CFA">
        <w:rPr>
          <w:rFonts w:eastAsia="Times New Roman" w:cs="Sylfaen"/>
          <w:lang w:val="hy-AM" w:eastAsia="ru-RU"/>
        </w:rPr>
        <w:t>ՀՀ</w:t>
      </w:r>
      <w:r w:rsidRPr="00110CFA">
        <w:rPr>
          <w:rFonts w:eastAsia="Times New Roman" w:cs="Times New Roman"/>
          <w:lang w:val="hy-AM" w:eastAsia="ru-RU"/>
        </w:rPr>
        <w:t xml:space="preserve"> </w:t>
      </w:r>
      <w:r w:rsidRPr="00110CFA">
        <w:rPr>
          <w:rFonts w:eastAsia="Times New Roman" w:cs="Sylfaen"/>
          <w:lang w:val="hy-AM" w:eastAsia="ru-RU"/>
        </w:rPr>
        <w:t>սահմանադրական</w:t>
      </w:r>
      <w:r w:rsidRPr="00110CFA">
        <w:rPr>
          <w:rFonts w:eastAsia="Times New Roman" w:cs="Times New Roman"/>
          <w:lang w:val="hy-AM" w:eastAsia="ru-RU"/>
        </w:rPr>
        <w:t xml:space="preserve"> </w:t>
      </w:r>
      <w:r w:rsidRPr="00110CFA">
        <w:rPr>
          <w:rFonts w:eastAsia="Times New Roman" w:cs="Sylfaen"/>
          <w:lang w:val="hy-AM" w:eastAsia="ru-RU"/>
        </w:rPr>
        <w:t>դատարանն</w:t>
      </w:r>
      <w:r w:rsidRPr="00110CFA">
        <w:rPr>
          <w:rFonts w:eastAsia="Times New Roman" w:cs="Times New Roman"/>
          <w:lang w:val="hy-AM" w:eastAsia="ru-RU"/>
        </w:rPr>
        <w:t xml:space="preserve"> </w:t>
      </w:r>
      <w:r w:rsidRPr="00110CFA">
        <w:rPr>
          <w:rFonts w:eastAsia="Times New Roman" w:cs="Sylfaen"/>
          <w:lang w:val="hy-AM" w:eastAsia="ru-RU"/>
        </w:rPr>
        <w:t>օրենքով</w:t>
      </w:r>
      <w:r w:rsidRPr="00110CFA">
        <w:rPr>
          <w:rFonts w:eastAsia="Times New Roman" w:cs="Times New Roman"/>
          <w:lang w:val="hy-AM" w:eastAsia="ru-RU"/>
        </w:rPr>
        <w:t xml:space="preserve"> </w:t>
      </w:r>
      <w:r w:rsidRPr="00110CFA">
        <w:rPr>
          <w:rFonts w:eastAsia="Times New Roman" w:cs="Sylfaen"/>
          <w:lang w:val="hy-AM" w:eastAsia="ru-RU"/>
        </w:rPr>
        <w:t>սահմանված</w:t>
      </w:r>
      <w:r w:rsidRPr="00110CFA">
        <w:rPr>
          <w:rFonts w:eastAsia="Times New Roman" w:cs="Times New Roman"/>
          <w:lang w:val="hy-AM" w:eastAsia="ru-RU"/>
        </w:rPr>
        <w:t xml:space="preserve"> </w:t>
      </w:r>
      <w:r w:rsidRPr="00110CFA">
        <w:rPr>
          <w:rFonts w:eastAsia="Times New Roman" w:cs="Sylfaen"/>
          <w:lang w:val="hy-AM" w:eastAsia="ru-RU"/>
        </w:rPr>
        <w:t>կարգով</w:t>
      </w:r>
      <w:r w:rsidRPr="00110CFA">
        <w:rPr>
          <w:rFonts w:eastAsia="Times New Roman" w:cs="Times New Roman"/>
          <w:lang w:val="hy-AM" w:eastAsia="ru-RU"/>
        </w:rPr>
        <w:t xml:space="preserve"> </w:t>
      </w:r>
      <w:r w:rsidRPr="00110CFA">
        <w:rPr>
          <w:rFonts w:eastAsia="Times New Roman" w:cs="Sylfaen"/>
          <w:lang w:val="hy-AM" w:eastAsia="ru-RU"/>
        </w:rPr>
        <w:t>շարունակելու</w:t>
      </w:r>
      <w:r w:rsidRPr="00110CFA">
        <w:rPr>
          <w:rFonts w:eastAsia="Times New Roman" w:cs="Times New Roman"/>
          <w:lang w:val="hy-AM" w:eastAsia="ru-RU"/>
        </w:rPr>
        <w:t xml:space="preserve"> </w:t>
      </w:r>
      <w:r w:rsidRPr="00110CFA">
        <w:rPr>
          <w:rFonts w:eastAsia="Times New Roman" w:cs="Sylfaen"/>
          <w:lang w:val="hy-AM" w:eastAsia="ru-RU"/>
        </w:rPr>
        <w:t>է</w:t>
      </w:r>
      <w:r w:rsidRPr="00110CFA">
        <w:rPr>
          <w:rFonts w:eastAsia="Times New Roman" w:cs="Times New Roman"/>
          <w:lang w:val="hy-AM" w:eastAsia="ru-RU"/>
        </w:rPr>
        <w:t xml:space="preserve"> </w:t>
      </w:r>
      <w:r w:rsidRPr="00110CFA">
        <w:rPr>
          <w:rFonts w:eastAsia="Times New Roman" w:cs="Sylfaen"/>
          <w:lang w:val="hy-AM" w:eastAsia="ru-RU"/>
        </w:rPr>
        <w:t>որոշել</w:t>
      </w:r>
      <w:r w:rsidRPr="00110CFA">
        <w:rPr>
          <w:rFonts w:eastAsia="Times New Roman" w:cs="Times New Roman"/>
          <w:lang w:val="hy-AM" w:eastAsia="ru-RU"/>
        </w:rPr>
        <w:t xml:space="preserve"> </w:t>
      </w:r>
      <w:r w:rsidRPr="00110CFA">
        <w:rPr>
          <w:rFonts w:eastAsia="Times New Roman" w:cs="Sylfaen"/>
          <w:lang w:val="hy-AM" w:eastAsia="ru-RU"/>
        </w:rPr>
        <w:t>օրենքների</w:t>
      </w:r>
      <w:r w:rsidRPr="00110CFA">
        <w:rPr>
          <w:rFonts w:eastAsia="Times New Roman" w:cs="Times New Roman"/>
          <w:lang w:val="hy-AM" w:eastAsia="ru-RU"/>
        </w:rPr>
        <w:t xml:space="preserve">, </w:t>
      </w:r>
      <w:r w:rsidRPr="00110CFA">
        <w:rPr>
          <w:rFonts w:eastAsia="Times New Roman" w:cs="Sylfaen"/>
          <w:lang w:val="hy-AM" w:eastAsia="ru-RU"/>
        </w:rPr>
        <w:t>Ազգային</w:t>
      </w:r>
      <w:r w:rsidRPr="00110CFA">
        <w:rPr>
          <w:rFonts w:eastAsia="Times New Roman" w:cs="Times New Roman"/>
          <w:lang w:val="hy-AM" w:eastAsia="ru-RU"/>
        </w:rPr>
        <w:t xml:space="preserve"> </w:t>
      </w:r>
      <w:r w:rsidRPr="00110CFA">
        <w:rPr>
          <w:rFonts w:eastAsia="Times New Roman" w:cs="Sylfaen"/>
          <w:lang w:val="hy-AM" w:eastAsia="ru-RU"/>
        </w:rPr>
        <w:t>ժողովի</w:t>
      </w:r>
      <w:r w:rsidRPr="00110CFA">
        <w:rPr>
          <w:rFonts w:eastAsia="Times New Roman" w:cs="Times New Roman"/>
          <w:lang w:val="hy-AM" w:eastAsia="ru-RU"/>
        </w:rPr>
        <w:t xml:space="preserve"> </w:t>
      </w:r>
      <w:r w:rsidRPr="00110CFA">
        <w:rPr>
          <w:rFonts w:eastAsia="Times New Roman" w:cs="Sylfaen"/>
          <w:lang w:val="hy-AM" w:eastAsia="ru-RU"/>
        </w:rPr>
        <w:t>որոշումների</w:t>
      </w:r>
      <w:r w:rsidRPr="00110CFA">
        <w:rPr>
          <w:rFonts w:eastAsia="Times New Roman" w:cs="Times New Roman"/>
          <w:lang w:val="hy-AM" w:eastAsia="ru-RU"/>
        </w:rPr>
        <w:t xml:space="preserve">, </w:t>
      </w:r>
      <w:r w:rsidRPr="00110CFA">
        <w:rPr>
          <w:rFonts w:eastAsia="Times New Roman" w:cs="Sylfaen"/>
          <w:lang w:val="hy-AM" w:eastAsia="ru-RU"/>
        </w:rPr>
        <w:t>Հանրապետության</w:t>
      </w:r>
      <w:r w:rsidRPr="00110CFA">
        <w:rPr>
          <w:rFonts w:eastAsia="Times New Roman" w:cs="Times New Roman"/>
          <w:lang w:val="hy-AM" w:eastAsia="ru-RU"/>
        </w:rPr>
        <w:t xml:space="preserve"> </w:t>
      </w:r>
      <w:r w:rsidRPr="00110CFA">
        <w:rPr>
          <w:rFonts w:eastAsia="Times New Roman" w:cs="Sylfaen"/>
          <w:lang w:val="hy-AM" w:eastAsia="ru-RU"/>
        </w:rPr>
        <w:t>Նախագահի</w:t>
      </w:r>
      <w:r w:rsidRPr="00110CFA">
        <w:rPr>
          <w:rFonts w:eastAsia="Times New Roman" w:cs="Times New Roman"/>
          <w:lang w:val="hy-AM" w:eastAsia="ru-RU"/>
        </w:rPr>
        <w:t xml:space="preserve"> </w:t>
      </w:r>
      <w:r w:rsidRPr="00110CFA">
        <w:rPr>
          <w:rFonts w:eastAsia="Times New Roman" w:cs="Sylfaen"/>
          <w:lang w:val="hy-AM" w:eastAsia="ru-RU"/>
        </w:rPr>
        <w:t>հրամանագրերի</w:t>
      </w:r>
      <w:r w:rsidRPr="00110CFA">
        <w:rPr>
          <w:rFonts w:eastAsia="Times New Roman" w:cs="Times New Roman"/>
          <w:lang w:val="hy-AM" w:eastAsia="ru-RU"/>
        </w:rPr>
        <w:t xml:space="preserve">, </w:t>
      </w:r>
      <w:r w:rsidRPr="00CE2AEA">
        <w:rPr>
          <w:rFonts w:eastAsia="Times New Roman" w:cs="Times New Roman"/>
          <w:lang w:val="hy-AM" w:eastAsia="ru-RU"/>
        </w:rPr>
        <w:t xml:space="preserve">ՀՀ </w:t>
      </w:r>
      <w:r w:rsidRPr="00110CFA">
        <w:rPr>
          <w:rFonts w:eastAsia="Times New Roman" w:cs="Sylfaen"/>
          <w:lang w:val="hy-AM" w:eastAsia="ru-RU"/>
        </w:rPr>
        <w:t>կառավարության</w:t>
      </w:r>
      <w:r w:rsidRPr="00110CFA">
        <w:rPr>
          <w:rFonts w:eastAsia="Times New Roman" w:cs="Times New Roman"/>
          <w:lang w:val="hy-AM" w:eastAsia="ru-RU"/>
        </w:rPr>
        <w:t xml:space="preserve">, </w:t>
      </w:r>
      <w:r w:rsidRPr="009F15FA">
        <w:rPr>
          <w:rFonts w:eastAsia="Times New Roman" w:cs="Times New Roman"/>
          <w:lang w:val="hy-AM" w:eastAsia="ru-RU"/>
        </w:rPr>
        <w:t xml:space="preserve">ՀՀ </w:t>
      </w:r>
      <w:r w:rsidRPr="00110CFA">
        <w:rPr>
          <w:rFonts w:eastAsia="Times New Roman" w:cs="Sylfaen"/>
          <w:lang w:val="hy-AM" w:eastAsia="ru-RU"/>
        </w:rPr>
        <w:t>վարչապետի</w:t>
      </w:r>
      <w:r w:rsidRPr="00110CFA">
        <w:rPr>
          <w:rFonts w:eastAsia="Times New Roman" w:cs="Times New Roman"/>
          <w:lang w:val="hy-AM" w:eastAsia="ru-RU"/>
        </w:rPr>
        <w:t xml:space="preserve">, </w:t>
      </w:r>
      <w:r w:rsidRPr="00110CFA">
        <w:rPr>
          <w:rFonts w:eastAsia="Times New Roman" w:cs="Sylfaen"/>
          <w:lang w:val="hy-AM" w:eastAsia="ru-RU"/>
        </w:rPr>
        <w:t>ՏԻՄ</w:t>
      </w:r>
      <w:r w:rsidRPr="00110CFA">
        <w:rPr>
          <w:rFonts w:eastAsia="Times New Roman" w:cs="Times New Roman"/>
          <w:lang w:val="hy-AM" w:eastAsia="ru-RU"/>
        </w:rPr>
        <w:t xml:space="preserve"> </w:t>
      </w:r>
      <w:r w:rsidRPr="00110CFA">
        <w:rPr>
          <w:rFonts w:eastAsia="Times New Roman" w:cs="Sylfaen"/>
          <w:lang w:val="hy-AM" w:eastAsia="ru-RU"/>
        </w:rPr>
        <w:t>որոշումների</w:t>
      </w:r>
      <w:r w:rsidRPr="00110CFA">
        <w:rPr>
          <w:rFonts w:eastAsia="Times New Roman" w:cs="Times New Roman"/>
          <w:lang w:val="hy-AM" w:eastAsia="ru-RU"/>
        </w:rPr>
        <w:t xml:space="preserve">, </w:t>
      </w:r>
      <w:r w:rsidRPr="00110CFA">
        <w:rPr>
          <w:rFonts w:eastAsia="Times New Roman" w:cs="Sylfaen"/>
          <w:lang w:val="hy-AM" w:eastAsia="ru-RU"/>
        </w:rPr>
        <w:t>մինչև</w:t>
      </w:r>
      <w:r w:rsidRPr="00110CFA">
        <w:rPr>
          <w:rFonts w:eastAsia="Times New Roman" w:cs="Times New Roman"/>
          <w:lang w:val="hy-AM" w:eastAsia="ru-RU"/>
        </w:rPr>
        <w:t xml:space="preserve"> </w:t>
      </w:r>
      <w:r w:rsidRPr="00110CFA">
        <w:rPr>
          <w:rFonts w:eastAsia="Times New Roman" w:cs="Sylfaen"/>
          <w:lang w:val="hy-AM" w:eastAsia="ru-RU"/>
        </w:rPr>
        <w:t>միջազգային</w:t>
      </w:r>
      <w:r w:rsidRPr="00110CFA">
        <w:rPr>
          <w:rFonts w:eastAsia="Times New Roman" w:cs="Times New Roman"/>
          <w:lang w:val="hy-AM" w:eastAsia="ru-RU"/>
        </w:rPr>
        <w:t xml:space="preserve"> </w:t>
      </w:r>
      <w:r w:rsidRPr="00110CFA">
        <w:rPr>
          <w:rFonts w:eastAsia="Times New Roman" w:cs="Sylfaen"/>
          <w:lang w:val="hy-AM" w:eastAsia="ru-RU"/>
        </w:rPr>
        <w:t>պայմանագրերի</w:t>
      </w:r>
      <w:r w:rsidRPr="00110CFA">
        <w:rPr>
          <w:rFonts w:eastAsia="Times New Roman" w:cs="Times New Roman"/>
          <w:lang w:val="hy-AM" w:eastAsia="ru-RU"/>
        </w:rPr>
        <w:t xml:space="preserve"> </w:t>
      </w:r>
      <w:r w:rsidRPr="00110CFA">
        <w:rPr>
          <w:rFonts w:eastAsia="Times New Roman" w:cs="Sylfaen"/>
          <w:lang w:val="hy-AM" w:eastAsia="ru-RU"/>
        </w:rPr>
        <w:t>վավերացումը</w:t>
      </w:r>
      <w:r w:rsidRPr="00110CFA">
        <w:rPr>
          <w:rFonts w:eastAsia="Times New Roman" w:cs="Times New Roman"/>
          <w:lang w:val="hy-AM" w:eastAsia="ru-RU"/>
        </w:rPr>
        <w:t xml:space="preserve"> </w:t>
      </w:r>
      <w:r w:rsidRPr="00110CFA">
        <w:rPr>
          <w:rFonts w:eastAsia="Times New Roman" w:cs="Sylfaen"/>
          <w:lang w:val="hy-AM" w:eastAsia="ru-RU"/>
        </w:rPr>
        <w:t>նրանցում</w:t>
      </w:r>
      <w:r w:rsidRPr="00110CFA">
        <w:rPr>
          <w:rFonts w:eastAsia="Times New Roman" w:cs="Times New Roman"/>
          <w:lang w:val="hy-AM" w:eastAsia="ru-RU"/>
        </w:rPr>
        <w:t xml:space="preserve"> </w:t>
      </w:r>
      <w:r w:rsidRPr="00110CFA">
        <w:rPr>
          <w:rFonts w:eastAsia="Times New Roman" w:cs="Sylfaen"/>
          <w:lang w:val="hy-AM" w:eastAsia="ru-RU"/>
        </w:rPr>
        <w:t>ամրագրված</w:t>
      </w:r>
      <w:r w:rsidRPr="00110CFA">
        <w:rPr>
          <w:rFonts w:eastAsia="Times New Roman" w:cs="Times New Roman"/>
          <w:lang w:val="hy-AM" w:eastAsia="ru-RU"/>
        </w:rPr>
        <w:t xml:space="preserve"> </w:t>
      </w:r>
      <w:r w:rsidRPr="00110CFA">
        <w:rPr>
          <w:rFonts w:eastAsia="Times New Roman" w:cs="Sylfaen"/>
          <w:lang w:val="hy-AM" w:eastAsia="ru-RU"/>
        </w:rPr>
        <w:t>պարտավորությունների</w:t>
      </w:r>
      <w:r w:rsidRPr="00110CFA">
        <w:rPr>
          <w:rFonts w:eastAsia="Times New Roman" w:cs="Times New Roman"/>
          <w:lang w:val="hy-AM" w:eastAsia="ru-RU"/>
        </w:rPr>
        <w:t xml:space="preserve"> </w:t>
      </w:r>
      <w:r w:rsidRPr="00110CFA">
        <w:rPr>
          <w:rFonts w:eastAsia="Times New Roman" w:cs="Sylfaen"/>
          <w:lang w:val="hy-AM" w:eastAsia="ru-RU"/>
        </w:rPr>
        <w:t>համապատասխանությունը</w:t>
      </w:r>
      <w:r w:rsidRPr="00110CFA">
        <w:rPr>
          <w:rFonts w:eastAsia="Times New Roman" w:cs="Times New Roman"/>
          <w:lang w:val="hy-AM" w:eastAsia="ru-RU"/>
        </w:rPr>
        <w:t xml:space="preserve"> </w:t>
      </w:r>
      <w:r w:rsidRPr="00110CFA">
        <w:rPr>
          <w:rFonts w:eastAsia="Times New Roman" w:cs="Sylfaen"/>
          <w:lang w:val="hy-AM" w:eastAsia="ru-RU"/>
        </w:rPr>
        <w:t>ՀՀ</w:t>
      </w:r>
      <w:r w:rsidRPr="00110CFA">
        <w:rPr>
          <w:rFonts w:eastAsia="Times New Roman" w:cs="Times New Roman"/>
          <w:lang w:val="hy-AM" w:eastAsia="ru-RU"/>
        </w:rPr>
        <w:t xml:space="preserve"> </w:t>
      </w:r>
      <w:r w:rsidRPr="00110CFA">
        <w:rPr>
          <w:rFonts w:eastAsia="Times New Roman" w:cs="Sylfaen"/>
          <w:lang w:val="hy-AM" w:eastAsia="ru-RU"/>
        </w:rPr>
        <w:t>սահմանադրությանը</w:t>
      </w:r>
      <w:r w:rsidRPr="00110CFA">
        <w:rPr>
          <w:rFonts w:eastAsia="Times New Roman" w:cs="Times New Roman"/>
          <w:lang w:val="hy-AM" w:eastAsia="ru-RU"/>
        </w:rPr>
        <w:t xml:space="preserve">, </w:t>
      </w:r>
      <w:r w:rsidRPr="00110CFA">
        <w:rPr>
          <w:rFonts w:eastAsia="Times New Roman" w:cs="Sylfaen"/>
          <w:lang w:val="hy-AM" w:eastAsia="ru-RU"/>
        </w:rPr>
        <w:t>ինչպես</w:t>
      </w:r>
      <w:r w:rsidRPr="00110CFA">
        <w:rPr>
          <w:rFonts w:eastAsia="Times New Roman" w:cs="Times New Roman"/>
          <w:lang w:val="hy-AM" w:eastAsia="ru-RU"/>
        </w:rPr>
        <w:t xml:space="preserve"> </w:t>
      </w:r>
      <w:r w:rsidRPr="00110CFA">
        <w:rPr>
          <w:rFonts w:eastAsia="Times New Roman" w:cs="Sylfaen"/>
          <w:lang w:val="hy-AM" w:eastAsia="ru-RU"/>
        </w:rPr>
        <w:t>նաև</w:t>
      </w:r>
      <w:r w:rsidRPr="00110CFA">
        <w:rPr>
          <w:rFonts w:eastAsia="Times New Roman" w:cs="Times New Roman"/>
          <w:lang w:val="hy-AM" w:eastAsia="ru-RU"/>
        </w:rPr>
        <w:t xml:space="preserve"> </w:t>
      </w:r>
      <w:r w:rsidRPr="00110CFA">
        <w:rPr>
          <w:rFonts w:eastAsia="Times New Roman" w:cs="Sylfaen"/>
          <w:lang w:val="hy-AM" w:eastAsia="ru-RU"/>
        </w:rPr>
        <w:t>լուծելու</w:t>
      </w:r>
      <w:r w:rsidRPr="00110CFA">
        <w:rPr>
          <w:rFonts w:eastAsia="Times New Roman" w:cs="Times New Roman"/>
          <w:lang w:val="hy-AM" w:eastAsia="ru-RU"/>
        </w:rPr>
        <w:t xml:space="preserve"> </w:t>
      </w:r>
      <w:r w:rsidRPr="00110CFA">
        <w:rPr>
          <w:rFonts w:eastAsia="Times New Roman" w:cs="Sylfaen"/>
          <w:lang w:val="hy-AM" w:eastAsia="ru-RU"/>
        </w:rPr>
        <w:t>է</w:t>
      </w:r>
      <w:r w:rsidRPr="00110CFA">
        <w:rPr>
          <w:rFonts w:eastAsia="Times New Roman" w:cs="Times New Roman"/>
          <w:lang w:val="hy-AM" w:eastAsia="ru-RU"/>
        </w:rPr>
        <w:t xml:space="preserve"> </w:t>
      </w:r>
      <w:r w:rsidRPr="00110CFA">
        <w:rPr>
          <w:rFonts w:eastAsia="Times New Roman" w:cs="Sylfaen"/>
          <w:lang w:val="hy-AM" w:eastAsia="ru-RU"/>
        </w:rPr>
        <w:t>հանրահավաքների</w:t>
      </w:r>
      <w:r w:rsidRPr="00110CFA">
        <w:rPr>
          <w:rFonts w:eastAsia="Times New Roman" w:cs="Times New Roman"/>
          <w:lang w:val="hy-AM" w:eastAsia="ru-RU"/>
        </w:rPr>
        <w:t xml:space="preserve"> </w:t>
      </w:r>
      <w:r w:rsidRPr="00110CFA">
        <w:rPr>
          <w:rFonts w:eastAsia="Times New Roman" w:cs="Sylfaen"/>
          <w:lang w:val="hy-AM" w:eastAsia="ru-RU"/>
        </w:rPr>
        <w:t>արդյունքների</w:t>
      </w:r>
      <w:r w:rsidRPr="00110CFA">
        <w:rPr>
          <w:rFonts w:eastAsia="Times New Roman" w:cs="Times New Roman"/>
          <w:lang w:val="hy-AM" w:eastAsia="ru-RU"/>
        </w:rPr>
        <w:t xml:space="preserve"> </w:t>
      </w:r>
      <w:r w:rsidRPr="00110CFA">
        <w:rPr>
          <w:rFonts w:eastAsia="Times New Roman" w:cs="Sylfaen"/>
          <w:lang w:val="hy-AM" w:eastAsia="ru-RU"/>
        </w:rPr>
        <w:t>ու</w:t>
      </w:r>
      <w:r w:rsidRPr="00110CFA">
        <w:rPr>
          <w:rFonts w:eastAsia="Times New Roman" w:cs="Times New Roman"/>
          <w:lang w:val="hy-AM" w:eastAsia="ru-RU"/>
        </w:rPr>
        <w:t xml:space="preserve"> </w:t>
      </w:r>
      <w:r w:rsidRPr="00110CFA">
        <w:rPr>
          <w:rFonts w:eastAsia="Times New Roman" w:cs="Sylfaen"/>
          <w:lang w:val="hy-AM" w:eastAsia="ru-RU"/>
        </w:rPr>
        <w:t>պատգամավորների</w:t>
      </w:r>
      <w:r w:rsidRPr="00110CFA">
        <w:rPr>
          <w:rFonts w:eastAsia="Times New Roman" w:cs="Times New Roman"/>
          <w:lang w:val="hy-AM" w:eastAsia="ru-RU"/>
        </w:rPr>
        <w:t xml:space="preserve"> </w:t>
      </w:r>
      <w:r w:rsidRPr="00110CFA">
        <w:rPr>
          <w:rFonts w:eastAsia="Times New Roman" w:cs="Sylfaen"/>
          <w:lang w:val="hy-AM" w:eastAsia="ru-RU"/>
        </w:rPr>
        <w:t>ընտրությունների</w:t>
      </w:r>
      <w:r w:rsidRPr="00110CFA">
        <w:rPr>
          <w:rFonts w:eastAsia="Times New Roman" w:cs="Times New Roman"/>
          <w:lang w:val="hy-AM" w:eastAsia="ru-RU"/>
        </w:rPr>
        <w:t xml:space="preserve"> </w:t>
      </w:r>
      <w:r w:rsidRPr="00110CFA">
        <w:rPr>
          <w:rFonts w:eastAsia="Times New Roman" w:cs="Sylfaen"/>
          <w:lang w:val="hy-AM" w:eastAsia="ru-RU"/>
        </w:rPr>
        <w:t>արդյունքներով</w:t>
      </w:r>
      <w:r w:rsidRPr="00110CFA">
        <w:rPr>
          <w:rFonts w:eastAsia="Times New Roman" w:cs="Times New Roman"/>
          <w:lang w:val="hy-AM" w:eastAsia="ru-RU"/>
        </w:rPr>
        <w:t xml:space="preserve"> </w:t>
      </w:r>
      <w:r w:rsidRPr="00110CFA">
        <w:rPr>
          <w:rFonts w:eastAsia="Times New Roman" w:cs="Sylfaen"/>
          <w:lang w:val="hy-AM" w:eastAsia="ru-RU"/>
        </w:rPr>
        <w:t>ընդունված</w:t>
      </w:r>
      <w:r w:rsidRPr="00110CFA">
        <w:rPr>
          <w:rFonts w:eastAsia="Times New Roman" w:cs="Times New Roman"/>
          <w:lang w:val="hy-AM" w:eastAsia="ru-RU"/>
        </w:rPr>
        <w:t xml:space="preserve"> </w:t>
      </w:r>
      <w:r w:rsidRPr="00110CFA">
        <w:rPr>
          <w:rFonts w:eastAsia="Times New Roman" w:cs="Sylfaen"/>
          <w:lang w:val="hy-AM" w:eastAsia="ru-RU"/>
        </w:rPr>
        <w:t>որոշումների</w:t>
      </w:r>
      <w:r w:rsidRPr="00110CFA">
        <w:rPr>
          <w:rFonts w:eastAsia="Times New Roman" w:cs="Times New Roman"/>
          <w:lang w:val="hy-AM" w:eastAsia="ru-RU"/>
        </w:rPr>
        <w:t xml:space="preserve"> </w:t>
      </w:r>
      <w:r w:rsidRPr="00110CFA">
        <w:rPr>
          <w:rFonts w:eastAsia="Times New Roman" w:cs="Sylfaen"/>
          <w:lang w:val="hy-AM" w:eastAsia="ru-RU"/>
        </w:rPr>
        <w:t>հետ</w:t>
      </w:r>
      <w:r w:rsidRPr="00110CFA">
        <w:rPr>
          <w:rFonts w:eastAsia="Times New Roman" w:cs="Times New Roman"/>
          <w:lang w:val="hy-AM" w:eastAsia="ru-RU"/>
        </w:rPr>
        <w:t xml:space="preserve"> </w:t>
      </w:r>
      <w:r w:rsidRPr="00110CFA">
        <w:rPr>
          <w:rFonts w:eastAsia="Times New Roman" w:cs="Sylfaen"/>
          <w:lang w:val="hy-AM" w:eastAsia="ru-RU"/>
        </w:rPr>
        <w:t>կապված</w:t>
      </w:r>
      <w:r w:rsidRPr="00110CFA">
        <w:rPr>
          <w:rFonts w:eastAsia="Times New Roman" w:cs="Times New Roman"/>
          <w:lang w:val="hy-AM" w:eastAsia="ru-RU"/>
        </w:rPr>
        <w:t xml:space="preserve"> </w:t>
      </w:r>
      <w:r w:rsidRPr="00110CFA">
        <w:rPr>
          <w:rFonts w:eastAsia="Times New Roman" w:cs="Sylfaen"/>
          <w:lang w:val="hy-AM" w:eastAsia="ru-RU"/>
        </w:rPr>
        <w:t>վեճերը</w:t>
      </w:r>
      <w:r w:rsidRPr="00110CFA">
        <w:rPr>
          <w:rFonts w:eastAsia="Times New Roman" w:cs="Times New Roman"/>
          <w:lang w:val="hy-AM" w:eastAsia="ru-RU"/>
        </w:rPr>
        <w:t xml:space="preserve">: </w:t>
      </w:r>
    </w:p>
    <w:p w14:paraId="30F6353D" w14:textId="77777777" w:rsidR="00080175" w:rsidRPr="00110CFA" w:rsidRDefault="00080175" w:rsidP="004247C0">
      <w:pPr>
        <w:tabs>
          <w:tab w:val="left" w:pos="0"/>
        </w:tabs>
        <w:spacing w:before="120" w:after="0" w:line="276" w:lineRule="auto"/>
        <w:ind w:firstLine="0"/>
        <w:rPr>
          <w:rFonts w:eastAsia="Times New Roman" w:cs="Times New Roman"/>
          <w:lang w:val="hy-AM" w:eastAsia="ru-RU"/>
        </w:rPr>
      </w:pPr>
      <w:r w:rsidRPr="00110CFA">
        <w:rPr>
          <w:rFonts w:eastAsia="Times New Roman" w:cs="Sylfaen"/>
          <w:lang w:val="hy-AM" w:eastAsia="ru-RU"/>
        </w:rPr>
        <w:t>ՀՀ</w:t>
      </w:r>
      <w:r w:rsidRPr="00110CFA">
        <w:rPr>
          <w:rFonts w:eastAsia="Times New Roman" w:cs="Times New Roman"/>
          <w:lang w:val="hy-AM" w:eastAsia="ru-RU"/>
        </w:rPr>
        <w:t xml:space="preserve"> </w:t>
      </w:r>
      <w:r w:rsidRPr="00110CFA">
        <w:rPr>
          <w:rFonts w:eastAsia="Times New Roman" w:cs="Sylfaen"/>
          <w:lang w:val="hy-AM" w:eastAsia="ru-RU"/>
        </w:rPr>
        <w:t>սահմանադրական</w:t>
      </w:r>
      <w:r w:rsidRPr="00110CFA">
        <w:rPr>
          <w:rFonts w:eastAsia="Times New Roman" w:cs="Times New Roman"/>
          <w:lang w:val="hy-AM" w:eastAsia="ru-RU"/>
        </w:rPr>
        <w:t xml:space="preserve"> </w:t>
      </w:r>
      <w:r w:rsidRPr="00110CFA">
        <w:rPr>
          <w:rFonts w:eastAsia="Times New Roman" w:cs="Sylfaen"/>
          <w:lang w:val="hy-AM" w:eastAsia="ru-RU"/>
        </w:rPr>
        <w:t>դատարանի</w:t>
      </w:r>
      <w:r w:rsidRPr="00110CFA">
        <w:rPr>
          <w:rFonts w:eastAsia="Times New Roman" w:cs="Times New Roman"/>
          <w:lang w:val="hy-AM" w:eastAsia="ru-RU"/>
        </w:rPr>
        <w:t xml:space="preserve"> </w:t>
      </w:r>
      <w:r w:rsidRPr="00110CFA">
        <w:rPr>
          <w:rFonts w:eastAsia="Times New Roman" w:cs="Sylfaen"/>
          <w:lang w:val="hy-AM" w:eastAsia="ru-RU"/>
        </w:rPr>
        <w:t>գործունեության</w:t>
      </w:r>
      <w:r w:rsidRPr="00110CFA">
        <w:rPr>
          <w:rFonts w:eastAsia="Times New Roman" w:cs="Times New Roman"/>
          <w:lang w:val="hy-AM" w:eastAsia="ru-RU"/>
        </w:rPr>
        <w:t xml:space="preserve"> </w:t>
      </w:r>
      <w:r w:rsidRPr="00110CFA">
        <w:rPr>
          <w:rFonts w:eastAsia="Times New Roman" w:cs="Sylfaen"/>
          <w:lang w:val="hy-AM" w:eastAsia="ru-RU"/>
        </w:rPr>
        <w:t>ապահովում</w:t>
      </w:r>
      <w:r w:rsidRPr="00110CFA">
        <w:rPr>
          <w:rFonts w:eastAsia="Times New Roman" w:cs="Times New Roman"/>
          <w:lang w:val="hy-AM" w:eastAsia="ru-RU"/>
        </w:rPr>
        <w:t xml:space="preserve"> </w:t>
      </w:r>
      <w:r w:rsidRPr="00110CFA">
        <w:rPr>
          <w:rFonts w:eastAsia="Times New Roman" w:cs="Sylfaen"/>
          <w:lang w:val="hy-AM" w:eastAsia="ru-RU"/>
        </w:rPr>
        <w:t>ծրագրով</w:t>
      </w:r>
      <w:r w:rsidRPr="00110CFA">
        <w:rPr>
          <w:rFonts w:eastAsia="Times New Roman" w:cs="Times New Roman"/>
          <w:lang w:val="hy-AM" w:eastAsia="ru-RU"/>
        </w:rPr>
        <w:t xml:space="preserve"> </w:t>
      </w:r>
      <w:r w:rsidRPr="00110CFA">
        <w:rPr>
          <w:rFonts w:eastAsia="Times New Roman" w:cs="Sylfaen"/>
          <w:lang w:val="hy-AM" w:eastAsia="ru-RU"/>
        </w:rPr>
        <w:t>նախատեսված</w:t>
      </w:r>
      <w:r w:rsidRPr="00110CFA">
        <w:rPr>
          <w:rFonts w:eastAsia="Times New Roman" w:cs="Times New Roman"/>
          <w:lang w:val="hy-AM" w:eastAsia="ru-RU"/>
        </w:rPr>
        <w:t xml:space="preserve"> </w:t>
      </w:r>
      <w:r w:rsidRPr="00110CFA">
        <w:rPr>
          <w:rFonts w:eastAsia="Times New Roman" w:cs="Sylfaen"/>
          <w:lang w:val="hy-AM" w:eastAsia="ru-RU"/>
        </w:rPr>
        <w:t>ՀՀ</w:t>
      </w:r>
      <w:r w:rsidRPr="00110CFA">
        <w:rPr>
          <w:rFonts w:eastAsia="Times New Roman" w:cs="Times New Roman"/>
          <w:lang w:val="hy-AM" w:eastAsia="ru-RU"/>
        </w:rPr>
        <w:t xml:space="preserve"> </w:t>
      </w:r>
      <w:r w:rsidRPr="00110CFA">
        <w:rPr>
          <w:rFonts w:eastAsia="Times New Roman" w:cs="Sylfaen"/>
          <w:lang w:val="hy-AM" w:eastAsia="ru-RU"/>
        </w:rPr>
        <w:t>սահմանադրական</w:t>
      </w:r>
      <w:r w:rsidRPr="00110CFA">
        <w:rPr>
          <w:rFonts w:eastAsia="Times New Roman" w:cs="Times New Roman"/>
          <w:lang w:val="hy-AM" w:eastAsia="ru-RU"/>
        </w:rPr>
        <w:t xml:space="preserve"> </w:t>
      </w:r>
      <w:r w:rsidRPr="00110CFA">
        <w:rPr>
          <w:rFonts w:eastAsia="Times New Roman" w:cs="Sylfaen"/>
          <w:lang w:val="hy-AM" w:eastAsia="ru-RU"/>
        </w:rPr>
        <w:t>դատարանի</w:t>
      </w:r>
      <w:r w:rsidRPr="00110CFA">
        <w:rPr>
          <w:rFonts w:eastAsia="Times New Roman" w:cs="Times New Roman"/>
          <w:lang w:val="hy-AM" w:eastAsia="ru-RU"/>
        </w:rPr>
        <w:t xml:space="preserve"> </w:t>
      </w:r>
      <w:r w:rsidRPr="00110CFA">
        <w:rPr>
          <w:rFonts w:eastAsia="Times New Roman" w:cs="Sylfaen"/>
          <w:lang w:val="hy-AM" w:eastAsia="ru-RU"/>
        </w:rPr>
        <w:t>առաջնահերթ</w:t>
      </w:r>
      <w:r w:rsidRPr="00110CFA">
        <w:rPr>
          <w:rFonts w:eastAsia="Times New Roman" w:cs="Times New Roman"/>
          <w:lang w:val="hy-AM" w:eastAsia="ru-RU"/>
        </w:rPr>
        <w:t xml:space="preserve"> </w:t>
      </w:r>
      <w:r w:rsidRPr="00110CFA">
        <w:rPr>
          <w:rFonts w:eastAsia="Times New Roman" w:cs="Sylfaen"/>
          <w:lang w:val="hy-AM" w:eastAsia="ru-RU"/>
        </w:rPr>
        <w:t>ռազմավարական</w:t>
      </w:r>
      <w:r w:rsidRPr="00110CFA">
        <w:rPr>
          <w:rFonts w:eastAsia="Times New Roman" w:cs="Times New Roman"/>
          <w:lang w:val="hy-AM" w:eastAsia="ru-RU"/>
        </w:rPr>
        <w:t xml:space="preserve"> </w:t>
      </w:r>
      <w:r w:rsidRPr="00110CFA">
        <w:rPr>
          <w:rFonts w:eastAsia="Times New Roman" w:cs="Sylfaen"/>
          <w:lang w:val="hy-AM" w:eastAsia="ru-RU"/>
        </w:rPr>
        <w:t>նպատակներն</w:t>
      </w:r>
      <w:r w:rsidRPr="00110CFA">
        <w:rPr>
          <w:rFonts w:eastAsia="Times New Roman" w:cs="Times New Roman"/>
          <w:lang w:val="hy-AM" w:eastAsia="ru-RU"/>
        </w:rPr>
        <w:t xml:space="preserve"> </w:t>
      </w:r>
      <w:r w:rsidRPr="00110CFA">
        <w:rPr>
          <w:rFonts w:eastAsia="Times New Roman" w:cs="Sylfaen"/>
          <w:lang w:val="hy-AM" w:eastAsia="ru-RU"/>
        </w:rPr>
        <w:t>են</w:t>
      </w:r>
      <w:r w:rsidRPr="00110CFA">
        <w:rPr>
          <w:rFonts w:eastAsia="Times New Roman" w:cs="Times New Roman"/>
          <w:lang w:val="hy-AM" w:eastAsia="ru-RU"/>
        </w:rPr>
        <w:t>.</w:t>
      </w:r>
    </w:p>
    <w:p w14:paraId="7065419E"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110CFA">
        <w:rPr>
          <w:rFonts w:eastAsia="Times New Roman" w:cs="Times New Roman"/>
          <w:lang w:val="hy-AM" w:eastAsia="ru-RU"/>
        </w:rPr>
        <w:t xml:space="preserve"> </w:t>
      </w:r>
      <w:r w:rsidRPr="00512140">
        <w:rPr>
          <w:rFonts w:cs="GHEA Grapalat"/>
          <w:lang w:val="hy-AM"/>
        </w:rPr>
        <w:t xml:space="preserve">Բարձրացնել սահմանադրական արդարադատության արդյունավետությունը, ապահովել Հայաստանի Հանրապետությունում սահմանադրության գերակայությունն ու անմիջական գործողությունը, </w:t>
      </w:r>
    </w:p>
    <w:p w14:paraId="77935024" w14:textId="77777777" w:rsidR="00080175" w:rsidRPr="00542A21"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eastAsia="ru-RU"/>
        </w:rPr>
      </w:pPr>
      <w:r w:rsidRPr="00512140">
        <w:rPr>
          <w:rFonts w:cs="GHEA Grapalat"/>
          <w:lang w:val="hy-AM"/>
        </w:rPr>
        <w:t>իր գործունեությամբ նպաստել սահմանադրության և նրանում ամրագրված իրավունքների ու պարտավորությունների</w:t>
      </w:r>
      <w:r w:rsidRPr="00542A21">
        <w:rPr>
          <w:rFonts w:eastAsia="Times New Roman" w:cs="Times New Roman"/>
          <w:lang w:val="hy-AM" w:eastAsia="ru-RU"/>
        </w:rPr>
        <w:t xml:space="preserve"> </w:t>
      </w:r>
      <w:r w:rsidRPr="00542A21">
        <w:rPr>
          <w:rFonts w:eastAsia="Times New Roman" w:cs="Sylfaen"/>
          <w:lang w:val="hy-AM" w:eastAsia="ru-RU"/>
        </w:rPr>
        <w:t>նկատմամբ</w:t>
      </w:r>
      <w:r w:rsidRPr="00542A21">
        <w:rPr>
          <w:rFonts w:eastAsia="Times New Roman" w:cs="Times New Roman"/>
          <w:lang w:val="hy-AM" w:eastAsia="ru-RU"/>
        </w:rPr>
        <w:t xml:space="preserve"> </w:t>
      </w:r>
      <w:r w:rsidRPr="00542A21">
        <w:rPr>
          <w:rFonts w:eastAsia="Times New Roman" w:cs="Sylfaen"/>
          <w:lang w:val="hy-AM" w:eastAsia="ru-RU"/>
        </w:rPr>
        <w:t>հասարակության</w:t>
      </w:r>
      <w:r w:rsidRPr="00542A21">
        <w:rPr>
          <w:rFonts w:eastAsia="Times New Roman" w:cs="Times New Roman"/>
          <w:lang w:val="hy-AM" w:eastAsia="ru-RU"/>
        </w:rPr>
        <w:t xml:space="preserve"> </w:t>
      </w:r>
      <w:r w:rsidRPr="00542A21">
        <w:rPr>
          <w:rFonts w:eastAsia="Times New Roman" w:cs="Sylfaen"/>
          <w:lang w:val="hy-AM" w:eastAsia="ru-RU"/>
        </w:rPr>
        <w:t>վստահության</w:t>
      </w:r>
      <w:r w:rsidRPr="00542A21">
        <w:rPr>
          <w:rFonts w:eastAsia="Times New Roman" w:cs="Times New Roman"/>
          <w:lang w:val="hy-AM" w:eastAsia="ru-RU"/>
        </w:rPr>
        <w:t xml:space="preserve"> </w:t>
      </w:r>
      <w:r w:rsidRPr="00542A21">
        <w:rPr>
          <w:rFonts w:eastAsia="Times New Roman" w:cs="Sylfaen"/>
          <w:lang w:val="hy-AM" w:eastAsia="ru-RU"/>
        </w:rPr>
        <w:t>բարձրացմանը</w:t>
      </w:r>
      <w:r w:rsidRPr="00542A21">
        <w:rPr>
          <w:rFonts w:eastAsia="Times New Roman" w:cs="Times New Roman"/>
          <w:lang w:val="hy-AM" w:eastAsia="ru-RU"/>
        </w:rPr>
        <w:t xml:space="preserve">, </w:t>
      </w:r>
    </w:p>
    <w:p w14:paraId="69767E1F"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սահմանված կարգով որոշում կայացնել օրենքների, Ազգային ժողովի որոշումների և այլ նորմատիվ ակտերի սահմանադրությանը համապատասխանության մասին, </w:t>
      </w:r>
    </w:p>
    <w:p w14:paraId="01D14DA6" w14:textId="77777777" w:rsidR="00080175" w:rsidRPr="00542A21"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lang w:val="hy-AM" w:eastAsia="ru-RU"/>
        </w:rPr>
      </w:pPr>
      <w:r w:rsidRPr="00512140">
        <w:rPr>
          <w:rFonts w:cs="GHEA Grapalat"/>
          <w:lang w:val="hy-AM"/>
        </w:rPr>
        <w:lastRenderedPageBreak/>
        <w:t>շարունակել Հանրապետությունում իրավունքի գերակայության ապահովման ուղղությամբ գործունեությունը</w:t>
      </w:r>
      <w:r w:rsidRPr="00542A21">
        <w:rPr>
          <w:rFonts w:eastAsia="Times New Roman" w:cs="Times New Roman"/>
          <w:lang w:val="hy-AM" w:eastAsia="ru-RU"/>
        </w:rPr>
        <w:t xml:space="preserve">: </w:t>
      </w:r>
    </w:p>
    <w:p w14:paraId="559C795F" w14:textId="7777777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542A21">
        <w:rPr>
          <w:rFonts w:eastAsia="Times New Roman" w:cs="Sylfaen"/>
          <w:lang w:val="hy-AM" w:eastAsia="ru-RU"/>
        </w:rPr>
        <w:t>Հիմնական</w:t>
      </w:r>
      <w:r w:rsidRPr="00542A21">
        <w:rPr>
          <w:rFonts w:eastAsia="Times New Roman" w:cs="Times New Roman"/>
          <w:lang w:val="hy-AM" w:eastAsia="ru-RU"/>
        </w:rPr>
        <w:t xml:space="preserve"> </w:t>
      </w:r>
      <w:r w:rsidRPr="00542A21">
        <w:rPr>
          <w:rFonts w:eastAsia="Times New Roman" w:cs="Sylfaen"/>
          <w:lang w:val="hy-AM" w:eastAsia="ru-RU"/>
        </w:rPr>
        <w:t>գերակա</w:t>
      </w:r>
      <w:r w:rsidRPr="00542A21">
        <w:rPr>
          <w:rFonts w:eastAsia="Times New Roman" w:cs="Times New Roman"/>
          <w:lang w:val="hy-AM" w:eastAsia="ru-RU"/>
        </w:rPr>
        <w:t xml:space="preserve"> </w:t>
      </w:r>
      <w:r w:rsidRPr="00542A21">
        <w:rPr>
          <w:rFonts w:eastAsia="Times New Roman" w:cs="Sylfaen"/>
          <w:lang w:val="hy-AM" w:eastAsia="ru-RU"/>
        </w:rPr>
        <w:t>վերջնական</w:t>
      </w:r>
      <w:r w:rsidRPr="00542A21">
        <w:rPr>
          <w:rFonts w:eastAsia="Times New Roman" w:cs="Times New Roman"/>
          <w:lang w:val="hy-AM" w:eastAsia="ru-RU"/>
        </w:rPr>
        <w:t xml:space="preserve"> </w:t>
      </w:r>
      <w:r w:rsidRPr="00542A21">
        <w:rPr>
          <w:rFonts w:eastAsia="Times New Roman" w:cs="Sylfaen"/>
          <w:lang w:val="hy-AM" w:eastAsia="ru-RU"/>
        </w:rPr>
        <w:t>արդյունքները</w:t>
      </w:r>
      <w:r w:rsidRPr="00542A21">
        <w:rPr>
          <w:rFonts w:eastAsia="Times New Roman" w:cs="Times New Roman"/>
          <w:lang w:val="hy-AM" w:eastAsia="ru-RU"/>
        </w:rPr>
        <w:t xml:space="preserve">, </w:t>
      </w:r>
      <w:r w:rsidRPr="00542A21">
        <w:rPr>
          <w:rFonts w:eastAsia="Times New Roman" w:cs="Sylfaen"/>
          <w:lang w:val="hy-AM" w:eastAsia="ru-RU"/>
        </w:rPr>
        <w:t>որոնց</w:t>
      </w:r>
      <w:r w:rsidRPr="00542A21">
        <w:rPr>
          <w:rFonts w:eastAsia="Times New Roman" w:cs="Times New Roman"/>
          <w:lang w:val="hy-AM" w:eastAsia="ru-RU"/>
        </w:rPr>
        <w:t xml:space="preserve"> </w:t>
      </w:r>
      <w:r w:rsidRPr="00542A21">
        <w:rPr>
          <w:rFonts w:eastAsia="Times New Roman" w:cs="Sylfaen"/>
          <w:lang w:val="hy-AM" w:eastAsia="ru-RU"/>
        </w:rPr>
        <w:t>վրա</w:t>
      </w:r>
      <w:r w:rsidRPr="00542A21">
        <w:rPr>
          <w:rFonts w:eastAsia="Times New Roman" w:cs="Times New Roman"/>
          <w:lang w:val="hy-AM" w:eastAsia="ru-RU"/>
        </w:rPr>
        <w:t xml:space="preserve"> </w:t>
      </w:r>
      <w:r w:rsidRPr="00542A21">
        <w:rPr>
          <w:rFonts w:eastAsia="Times New Roman" w:cs="Sylfaen"/>
          <w:lang w:val="hy-AM" w:eastAsia="ru-RU"/>
        </w:rPr>
        <w:t>գերատեսչությունը</w:t>
      </w:r>
      <w:r w:rsidRPr="00542A21">
        <w:rPr>
          <w:rFonts w:eastAsia="Times New Roman" w:cs="Times New Roman"/>
          <w:lang w:val="hy-AM" w:eastAsia="ru-RU"/>
        </w:rPr>
        <w:t xml:space="preserve"> </w:t>
      </w:r>
      <w:r w:rsidRPr="00542A21">
        <w:rPr>
          <w:rFonts w:eastAsia="Times New Roman" w:cs="Sylfaen"/>
          <w:lang w:val="hy-AM" w:eastAsia="ru-RU"/>
        </w:rPr>
        <w:t>ձգտում</w:t>
      </w:r>
      <w:r w:rsidRPr="00542A21">
        <w:rPr>
          <w:rFonts w:eastAsia="Times New Roman" w:cs="Times New Roman"/>
          <w:lang w:val="hy-AM" w:eastAsia="ru-RU"/>
        </w:rPr>
        <w:t xml:space="preserve"> </w:t>
      </w:r>
      <w:r w:rsidRPr="00542A21">
        <w:rPr>
          <w:rFonts w:eastAsia="Times New Roman" w:cs="Sylfaen"/>
          <w:lang w:val="hy-AM" w:eastAsia="ru-RU"/>
        </w:rPr>
        <w:t>է</w:t>
      </w:r>
      <w:r w:rsidRPr="00542A21">
        <w:rPr>
          <w:rFonts w:eastAsia="Times New Roman" w:cs="Times New Roman"/>
          <w:lang w:val="hy-AM" w:eastAsia="ru-RU"/>
        </w:rPr>
        <w:t xml:space="preserve"> </w:t>
      </w:r>
      <w:r w:rsidRPr="00542A21">
        <w:rPr>
          <w:rFonts w:eastAsia="Times New Roman" w:cs="Sylfaen"/>
          <w:lang w:val="hy-AM" w:eastAsia="ru-RU"/>
        </w:rPr>
        <w:t>ներազդել</w:t>
      </w:r>
      <w:r w:rsidRPr="00542A21">
        <w:rPr>
          <w:rFonts w:eastAsia="Times New Roman" w:cs="Times New Roman"/>
          <w:lang w:val="hy-AM" w:eastAsia="ru-RU"/>
        </w:rPr>
        <w:t xml:space="preserve">, </w:t>
      </w:r>
      <w:r w:rsidRPr="00542A21">
        <w:rPr>
          <w:rFonts w:eastAsia="Times New Roman" w:cs="Sylfaen"/>
          <w:lang w:val="hy-AM" w:eastAsia="ru-RU"/>
        </w:rPr>
        <w:t>նրանց</w:t>
      </w:r>
      <w:r w:rsidRPr="00542A21">
        <w:rPr>
          <w:rFonts w:eastAsia="Times New Roman" w:cs="Times New Roman"/>
          <w:lang w:val="hy-AM" w:eastAsia="ru-RU"/>
        </w:rPr>
        <w:t xml:space="preserve"> </w:t>
      </w:r>
      <w:r w:rsidRPr="00542A21">
        <w:rPr>
          <w:rFonts w:eastAsia="Times New Roman" w:cs="Sylfaen"/>
          <w:lang w:val="hy-AM" w:eastAsia="ru-RU"/>
        </w:rPr>
        <w:t>իրագործման</w:t>
      </w:r>
      <w:r w:rsidRPr="00542A21">
        <w:rPr>
          <w:rFonts w:eastAsia="Times New Roman" w:cs="Times New Roman"/>
          <w:lang w:val="hy-AM" w:eastAsia="ru-RU"/>
        </w:rPr>
        <w:t xml:space="preserve"> </w:t>
      </w:r>
      <w:r w:rsidRPr="00542A21">
        <w:rPr>
          <w:rFonts w:eastAsia="Times New Roman" w:cs="Sylfaen"/>
          <w:lang w:val="hy-AM" w:eastAsia="ru-RU"/>
        </w:rPr>
        <w:t>ռազմավարությունով</w:t>
      </w:r>
      <w:r w:rsidRPr="00542A21">
        <w:rPr>
          <w:rFonts w:eastAsia="Times New Roman" w:cs="Times New Roman"/>
          <w:lang w:val="hy-AM" w:eastAsia="ru-RU"/>
        </w:rPr>
        <w:t xml:space="preserve"> </w:t>
      </w:r>
      <w:r w:rsidRPr="00542A21">
        <w:rPr>
          <w:rFonts w:eastAsia="Times New Roman" w:cs="Sylfaen"/>
          <w:lang w:val="hy-AM" w:eastAsia="ru-RU"/>
        </w:rPr>
        <w:t>ՀՀ</w:t>
      </w:r>
      <w:r w:rsidRPr="00542A21">
        <w:rPr>
          <w:rFonts w:eastAsia="Times New Roman" w:cs="Times New Roman"/>
          <w:lang w:val="hy-AM" w:eastAsia="ru-RU"/>
        </w:rPr>
        <w:t xml:space="preserve"> </w:t>
      </w:r>
      <w:r w:rsidRPr="00542A21">
        <w:rPr>
          <w:rFonts w:eastAsia="Times New Roman" w:cs="Sylfaen"/>
          <w:lang w:val="hy-AM" w:eastAsia="ru-RU"/>
        </w:rPr>
        <w:t>սահմանադրական</w:t>
      </w:r>
      <w:r w:rsidRPr="00542A21">
        <w:rPr>
          <w:rFonts w:eastAsia="Times New Roman" w:cs="Times New Roman"/>
          <w:lang w:val="hy-AM" w:eastAsia="ru-RU"/>
        </w:rPr>
        <w:t xml:space="preserve"> </w:t>
      </w:r>
      <w:r w:rsidRPr="00542A21">
        <w:rPr>
          <w:rFonts w:eastAsia="Times New Roman" w:cs="Sylfaen"/>
          <w:lang w:val="hy-AM" w:eastAsia="ru-RU"/>
        </w:rPr>
        <w:t>դատարանը</w:t>
      </w:r>
      <w:r w:rsidRPr="00542A21">
        <w:rPr>
          <w:rFonts w:eastAsia="Times New Roman" w:cs="Times New Roman"/>
          <w:lang w:val="hy-AM" w:eastAsia="ru-RU"/>
        </w:rPr>
        <w:t xml:space="preserve"> </w:t>
      </w:r>
      <w:r w:rsidRPr="00542A21">
        <w:rPr>
          <w:rFonts w:eastAsia="Times New Roman" w:cs="Sylfaen"/>
          <w:lang w:val="hy-AM" w:eastAsia="ru-RU"/>
        </w:rPr>
        <w:t>հետամուտ</w:t>
      </w:r>
      <w:r w:rsidRPr="00542A21">
        <w:rPr>
          <w:rFonts w:eastAsia="Times New Roman" w:cs="Times New Roman"/>
          <w:lang w:val="hy-AM" w:eastAsia="ru-RU"/>
        </w:rPr>
        <w:t xml:space="preserve"> </w:t>
      </w:r>
      <w:r w:rsidRPr="00542A21">
        <w:rPr>
          <w:rFonts w:eastAsia="Times New Roman" w:cs="Sylfaen"/>
          <w:lang w:val="hy-AM" w:eastAsia="ru-RU"/>
        </w:rPr>
        <w:t>կլինի</w:t>
      </w:r>
      <w:r w:rsidRPr="00542A21">
        <w:rPr>
          <w:rFonts w:eastAsia="Times New Roman" w:cs="Times New Roman"/>
          <w:lang w:val="hy-AM" w:eastAsia="ru-RU"/>
        </w:rPr>
        <w:t xml:space="preserve"> </w:t>
      </w:r>
      <w:r w:rsidRPr="00542A21">
        <w:rPr>
          <w:rFonts w:eastAsia="Times New Roman" w:cs="Sylfaen"/>
          <w:lang w:val="hy-AM" w:eastAsia="ru-RU"/>
        </w:rPr>
        <w:t>հետևյալ</w:t>
      </w:r>
      <w:r w:rsidRPr="00542A21">
        <w:rPr>
          <w:rFonts w:eastAsia="Times New Roman" w:cs="Times New Roman"/>
          <w:lang w:val="hy-AM" w:eastAsia="ru-RU"/>
        </w:rPr>
        <w:t xml:space="preserve"> </w:t>
      </w:r>
      <w:r w:rsidRPr="00542A21">
        <w:rPr>
          <w:rFonts w:eastAsia="Times New Roman" w:cs="Sylfaen"/>
          <w:lang w:val="hy-AM" w:eastAsia="ru-RU"/>
        </w:rPr>
        <w:t>արդյունքներին</w:t>
      </w:r>
      <w:r w:rsidRPr="00542A21">
        <w:rPr>
          <w:rFonts w:eastAsia="Times New Roman" w:cs="Times New Roman"/>
          <w:lang w:val="hy-AM" w:eastAsia="ru-RU"/>
        </w:rPr>
        <w:t xml:space="preserve">, </w:t>
      </w:r>
      <w:r w:rsidRPr="00542A21">
        <w:rPr>
          <w:rFonts w:eastAsia="Times New Roman" w:cs="Sylfaen"/>
          <w:lang w:val="hy-AM" w:eastAsia="ru-RU"/>
        </w:rPr>
        <w:t>մասնավորապես՝</w:t>
      </w:r>
      <w:r w:rsidRPr="00542A21">
        <w:rPr>
          <w:rFonts w:eastAsia="Times New Roman" w:cs="Times New Roman"/>
          <w:lang w:val="hy-AM" w:eastAsia="ru-RU"/>
        </w:rPr>
        <w:t xml:space="preserve"> </w:t>
      </w:r>
    </w:p>
    <w:p w14:paraId="6EE927D3" w14:textId="7777777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542A21">
        <w:rPr>
          <w:rFonts w:eastAsia="Times New Roman" w:cs="Sylfaen"/>
          <w:lang w:val="hy-AM" w:eastAsia="ru-RU"/>
        </w:rPr>
        <w:t>Օրենքով</w:t>
      </w:r>
      <w:r w:rsidRPr="00542A21">
        <w:rPr>
          <w:rFonts w:eastAsia="Times New Roman" w:cs="Times New Roman"/>
          <w:lang w:val="hy-AM" w:eastAsia="ru-RU"/>
        </w:rPr>
        <w:t xml:space="preserve"> </w:t>
      </w:r>
      <w:r w:rsidRPr="00542A21">
        <w:rPr>
          <w:rFonts w:eastAsia="Times New Roman" w:cs="Sylfaen"/>
          <w:lang w:val="hy-AM" w:eastAsia="ru-RU"/>
        </w:rPr>
        <w:t>սահմանված</w:t>
      </w:r>
      <w:r w:rsidRPr="00542A21">
        <w:rPr>
          <w:rFonts w:eastAsia="Times New Roman" w:cs="Times New Roman"/>
          <w:lang w:val="hy-AM" w:eastAsia="ru-RU"/>
        </w:rPr>
        <w:t xml:space="preserve"> </w:t>
      </w:r>
      <w:r w:rsidRPr="00542A21">
        <w:rPr>
          <w:rFonts w:eastAsia="Times New Roman" w:cs="Sylfaen"/>
          <w:lang w:val="hy-AM" w:eastAsia="ru-RU"/>
        </w:rPr>
        <w:t>կարգով</w:t>
      </w:r>
      <w:r w:rsidRPr="00542A21">
        <w:rPr>
          <w:rFonts w:eastAsia="Times New Roman" w:cs="Times New Roman"/>
          <w:lang w:val="hy-AM" w:eastAsia="ru-RU"/>
        </w:rPr>
        <w:t xml:space="preserve"> </w:t>
      </w:r>
      <w:r w:rsidRPr="00542A21">
        <w:rPr>
          <w:rFonts w:eastAsia="Times New Roman" w:cs="Sylfaen"/>
          <w:lang w:val="hy-AM" w:eastAsia="ru-RU"/>
        </w:rPr>
        <w:t>որոշել</w:t>
      </w:r>
      <w:r w:rsidRPr="00542A21">
        <w:rPr>
          <w:rFonts w:eastAsia="Times New Roman" w:cs="Times New Roman"/>
          <w:lang w:val="hy-AM" w:eastAsia="ru-RU"/>
        </w:rPr>
        <w:t xml:space="preserve"> </w:t>
      </w:r>
      <w:r w:rsidRPr="00542A21">
        <w:rPr>
          <w:rFonts w:eastAsia="Times New Roman" w:cs="Sylfaen"/>
          <w:lang w:val="hy-AM" w:eastAsia="ru-RU"/>
        </w:rPr>
        <w:t>օրենքների</w:t>
      </w:r>
      <w:r w:rsidRPr="00542A21">
        <w:rPr>
          <w:rFonts w:eastAsia="Times New Roman" w:cs="Times New Roman"/>
          <w:lang w:val="hy-AM" w:eastAsia="ru-RU"/>
        </w:rPr>
        <w:t xml:space="preserve">, </w:t>
      </w:r>
      <w:r w:rsidRPr="00542A21">
        <w:rPr>
          <w:rFonts w:eastAsia="Times New Roman" w:cs="Sylfaen"/>
          <w:lang w:val="hy-AM" w:eastAsia="ru-RU"/>
        </w:rPr>
        <w:t>Ազգային</w:t>
      </w:r>
      <w:r w:rsidRPr="00542A21">
        <w:rPr>
          <w:rFonts w:eastAsia="Times New Roman" w:cs="Times New Roman"/>
          <w:lang w:val="hy-AM" w:eastAsia="ru-RU"/>
        </w:rPr>
        <w:t xml:space="preserve"> </w:t>
      </w:r>
      <w:r w:rsidRPr="00542A21">
        <w:rPr>
          <w:rFonts w:eastAsia="Times New Roman" w:cs="Sylfaen"/>
          <w:lang w:val="hy-AM" w:eastAsia="ru-RU"/>
        </w:rPr>
        <w:t>ժողովի</w:t>
      </w:r>
      <w:r w:rsidRPr="00542A21">
        <w:rPr>
          <w:rFonts w:eastAsia="Times New Roman" w:cs="Times New Roman"/>
          <w:lang w:val="hy-AM" w:eastAsia="ru-RU"/>
        </w:rPr>
        <w:t xml:space="preserve"> </w:t>
      </w:r>
      <w:r w:rsidRPr="00542A21">
        <w:rPr>
          <w:rFonts w:eastAsia="Times New Roman" w:cs="Sylfaen"/>
          <w:lang w:val="hy-AM" w:eastAsia="ru-RU"/>
        </w:rPr>
        <w:t>որոշումների</w:t>
      </w:r>
      <w:r w:rsidRPr="00542A21">
        <w:rPr>
          <w:rFonts w:eastAsia="Times New Roman" w:cs="Times New Roman"/>
          <w:lang w:val="hy-AM" w:eastAsia="ru-RU"/>
        </w:rPr>
        <w:t xml:space="preserve">, </w:t>
      </w:r>
      <w:r w:rsidRPr="00542A21">
        <w:rPr>
          <w:rFonts w:eastAsia="Times New Roman" w:cs="Sylfaen"/>
          <w:lang w:val="hy-AM" w:eastAsia="ru-RU"/>
        </w:rPr>
        <w:t>այլ</w:t>
      </w:r>
      <w:r w:rsidRPr="00542A21">
        <w:rPr>
          <w:rFonts w:eastAsia="Times New Roman" w:cs="Times New Roman"/>
          <w:lang w:val="hy-AM" w:eastAsia="ru-RU"/>
        </w:rPr>
        <w:t xml:space="preserve"> </w:t>
      </w:r>
      <w:r w:rsidRPr="00542A21">
        <w:rPr>
          <w:rFonts w:eastAsia="Times New Roman" w:cs="Sylfaen"/>
          <w:lang w:val="hy-AM" w:eastAsia="ru-RU"/>
        </w:rPr>
        <w:t>նորմատիվ</w:t>
      </w:r>
      <w:r w:rsidRPr="00542A21">
        <w:rPr>
          <w:rFonts w:eastAsia="Times New Roman" w:cs="Times New Roman"/>
          <w:lang w:val="hy-AM" w:eastAsia="ru-RU"/>
        </w:rPr>
        <w:t xml:space="preserve"> </w:t>
      </w:r>
      <w:r w:rsidRPr="00542A21">
        <w:rPr>
          <w:rFonts w:eastAsia="Times New Roman" w:cs="Sylfaen"/>
          <w:lang w:val="hy-AM" w:eastAsia="ru-RU"/>
        </w:rPr>
        <w:t>ակտերի</w:t>
      </w:r>
      <w:r w:rsidRPr="00542A21">
        <w:rPr>
          <w:rFonts w:eastAsia="Times New Roman" w:cs="Times New Roman"/>
          <w:lang w:val="hy-AM" w:eastAsia="ru-RU"/>
        </w:rPr>
        <w:t xml:space="preserve"> </w:t>
      </w:r>
      <w:r w:rsidRPr="00542A21">
        <w:rPr>
          <w:rFonts w:eastAsia="Times New Roman" w:cs="Sylfaen"/>
          <w:lang w:val="hy-AM" w:eastAsia="ru-RU"/>
        </w:rPr>
        <w:t>համապատասխանությունը</w:t>
      </w:r>
      <w:r w:rsidRPr="00542A21">
        <w:rPr>
          <w:rFonts w:eastAsia="Times New Roman" w:cs="Times New Roman"/>
          <w:lang w:val="hy-AM" w:eastAsia="ru-RU"/>
        </w:rPr>
        <w:t xml:space="preserve"> </w:t>
      </w:r>
      <w:r w:rsidRPr="00542A21">
        <w:rPr>
          <w:rFonts w:eastAsia="Times New Roman" w:cs="Sylfaen"/>
          <w:lang w:val="hy-AM" w:eastAsia="ru-RU"/>
        </w:rPr>
        <w:t>Սահմանադրությանը</w:t>
      </w:r>
      <w:r w:rsidRPr="00542A21">
        <w:rPr>
          <w:rFonts w:eastAsia="Times New Roman" w:cs="Times New Roman"/>
          <w:lang w:val="hy-AM" w:eastAsia="ru-RU"/>
        </w:rPr>
        <w:t xml:space="preserve">, </w:t>
      </w:r>
      <w:r w:rsidRPr="00542A21">
        <w:rPr>
          <w:rFonts w:eastAsia="Times New Roman" w:cs="Sylfaen"/>
          <w:lang w:val="hy-AM" w:eastAsia="ru-RU"/>
        </w:rPr>
        <w:t>մինչև</w:t>
      </w:r>
      <w:r w:rsidRPr="00542A21">
        <w:rPr>
          <w:rFonts w:eastAsia="Times New Roman" w:cs="Times New Roman"/>
          <w:lang w:val="hy-AM" w:eastAsia="ru-RU"/>
        </w:rPr>
        <w:t xml:space="preserve"> </w:t>
      </w:r>
      <w:r w:rsidRPr="00542A21">
        <w:rPr>
          <w:rFonts w:eastAsia="Times New Roman" w:cs="Sylfaen"/>
          <w:lang w:val="hy-AM" w:eastAsia="ru-RU"/>
        </w:rPr>
        <w:t>վավերացումը</w:t>
      </w:r>
      <w:r w:rsidRPr="00542A21">
        <w:rPr>
          <w:rFonts w:eastAsia="Times New Roman" w:cs="Times New Roman"/>
          <w:lang w:val="hy-AM" w:eastAsia="ru-RU"/>
        </w:rPr>
        <w:t xml:space="preserve"> </w:t>
      </w:r>
      <w:r w:rsidRPr="00542A21">
        <w:rPr>
          <w:rFonts w:eastAsia="Times New Roman" w:cs="Sylfaen"/>
          <w:lang w:val="hy-AM" w:eastAsia="ru-RU"/>
        </w:rPr>
        <w:t>որոշել</w:t>
      </w:r>
      <w:r w:rsidRPr="00542A21">
        <w:rPr>
          <w:rFonts w:eastAsia="Times New Roman" w:cs="Times New Roman"/>
          <w:lang w:val="hy-AM" w:eastAsia="ru-RU"/>
        </w:rPr>
        <w:t xml:space="preserve"> </w:t>
      </w:r>
      <w:r w:rsidRPr="00542A21">
        <w:rPr>
          <w:rFonts w:eastAsia="Times New Roman" w:cs="Sylfaen"/>
          <w:lang w:val="hy-AM" w:eastAsia="ru-RU"/>
        </w:rPr>
        <w:t>միջազգային</w:t>
      </w:r>
      <w:r w:rsidRPr="00542A21">
        <w:rPr>
          <w:rFonts w:eastAsia="Times New Roman" w:cs="Times New Roman"/>
          <w:lang w:val="hy-AM" w:eastAsia="ru-RU"/>
        </w:rPr>
        <w:t xml:space="preserve"> </w:t>
      </w:r>
      <w:r w:rsidRPr="00542A21">
        <w:rPr>
          <w:rFonts w:eastAsia="Times New Roman" w:cs="Sylfaen"/>
          <w:lang w:val="hy-AM" w:eastAsia="ru-RU"/>
        </w:rPr>
        <w:t>պայմանագրերում</w:t>
      </w:r>
      <w:r w:rsidRPr="00542A21">
        <w:rPr>
          <w:rFonts w:eastAsia="Times New Roman" w:cs="Times New Roman"/>
          <w:lang w:val="hy-AM" w:eastAsia="ru-RU"/>
        </w:rPr>
        <w:t xml:space="preserve"> </w:t>
      </w:r>
      <w:r w:rsidRPr="00542A21">
        <w:rPr>
          <w:rFonts w:eastAsia="Times New Roman" w:cs="Sylfaen"/>
          <w:lang w:val="hy-AM" w:eastAsia="ru-RU"/>
        </w:rPr>
        <w:t>ամրագրված</w:t>
      </w:r>
      <w:r w:rsidRPr="00542A21">
        <w:rPr>
          <w:rFonts w:eastAsia="Times New Roman" w:cs="Times New Roman"/>
          <w:lang w:val="hy-AM" w:eastAsia="ru-RU"/>
        </w:rPr>
        <w:t xml:space="preserve"> </w:t>
      </w:r>
      <w:r w:rsidRPr="00542A21">
        <w:rPr>
          <w:rFonts w:eastAsia="Times New Roman" w:cs="Sylfaen"/>
          <w:lang w:val="hy-AM" w:eastAsia="ru-RU"/>
        </w:rPr>
        <w:t>պարտավորությունների</w:t>
      </w:r>
      <w:r w:rsidRPr="00542A21">
        <w:rPr>
          <w:rFonts w:eastAsia="Times New Roman" w:cs="Times New Roman"/>
          <w:lang w:val="hy-AM" w:eastAsia="ru-RU"/>
        </w:rPr>
        <w:t xml:space="preserve"> </w:t>
      </w:r>
      <w:r w:rsidRPr="00542A21">
        <w:rPr>
          <w:rFonts w:eastAsia="Times New Roman" w:cs="Sylfaen"/>
          <w:lang w:val="hy-AM" w:eastAsia="ru-RU"/>
        </w:rPr>
        <w:t>համապատասխանությունը</w:t>
      </w:r>
      <w:r w:rsidRPr="00542A21">
        <w:rPr>
          <w:rFonts w:eastAsia="Times New Roman" w:cs="Times New Roman"/>
          <w:lang w:val="hy-AM" w:eastAsia="ru-RU"/>
        </w:rPr>
        <w:t xml:space="preserve"> </w:t>
      </w:r>
      <w:r w:rsidRPr="00542A21">
        <w:rPr>
          <w:rFonts w:eastAsia="Times New Roman" w:cs="Sylfaen"/>
          <w:lang w:val="hy-AM" w:eastAsia="ru-RU"/>
        </w:rPr>
        <w:t>ՀՀ</w:t>
      </w:r>
      <w:r w:rsidRPr="00542A21">
        <w:rPr>
          <w:rFonts w:eastAsia="Times New Roman" w:cs="Times New Roman"/>
          <w:lang w:val="hy-AM" w:eastAsia="ru-RU"/>
        </w:rPr>
        <w:t xml:space="preserve"> </w:t>
      </w:r>
      <w:r w:rsidRPr="00542A21">
        <w:rPr>
          <w:rFonts w:eastAsia="Times New Roman" w:cs="Sylfaen"/>
          <w:lang w:val="hy-AM" w:eastAsia="ru-RU"/>
        </w:rPr>
        <w:t>սահմանադրությանը</w:t>
      </w:r>
      <w:r w:rsidRPr="00542A21">
        <w:rPr>
          <w:rFonts w:eastAsia="Times New Roman" w:cs="Times New Roman"/>
          <w:lang w:val="hy-AM" w:eastAsia="ru-RU"/>
        </w:rPr>
        <w:t xml:space="preserve">, </w:t>
      </w:r>
      <w:r w:rsidRPr="00542A21">
        <w:rPr>
          <w:rFonts w:eastAsia="Times New Roman" w:cs="Sylfaen"/>
          <w:lang w:val="hy-AM" w:eastAsia="ru-RU"/>
        </w:rPr>
        <w:t>լուծել</w:t>
      </w:r>
      <w:r w:rsidRPr="00542A21">
        <w:rPr>
          <w:rFonts w:eastAsia="Times New Roman" w:cs="Times New Roman"/>
          <w:lang w:val="hy-AM" w:eastAsia="ru-RU"/>
        </w:rPr>
        <w:t xml:space="preserve"> </w:t>
      </w:r>
      <w:r w:rsidRPr="00542A21">
        <w:rPr>
          <w:rFonts w:eastAsia="Times New Roman" w:cs="Sylfaen"/>
          <w:lang w:val="hy-AM" w:eastAsia="ru-RU"/>
        </w:rPr>
        <w:t>հանրաքվեների</w:t>
      </w:r>
      <w:r w:rsidRPr="00542A21">
        <w:rPr>
          <w:rFonts w:eastAsia="Times New Roman" w:cs="Times New Roman"/>
          <w:lang w:val="hy-AM" w:eastAsia="ru-RU"/>
        </w:rPr>
        <w:t xml:space="preserve"> </w:t>
      </w:r>
      <w:r w:rsidRPr="00542A21">
        <w:rPr>
          <w:rFonts w:eastAsia="Times New Roman" w:cs="Sylfaen"/>
          <w:lang w:val="hy-AM" w:eastAsia="ru-RU"/>
        </w:rPr>
        <w:t>հետ</w:t>
      </w:r>
      <w:r w:rsidRPr="00542A21">
        <w:rPr>
          <w:rFonts w:eastAsia="Times New Roman" w:cs="Times New Roman"/>
          <w:lang w:val="hy-AM" w:eastAsia="ru-RU"/>
        </w:rPr>
        <w:t xml:space="preserve"> </w:t>
      </w:r>
      <w:r w:rsidRPr="00542A21">
        <w:rPr>
          <w:rFonts w:eastAsia="Times New Roman" w:cs="Sylfaen"/>
          <w:lang w:val="hy-AM" w:eastAsia="ru-RU"/>
        </w:rPr>
        <w:t>կապված</w:t>
      </w:r>
      <w:r w:rsidRPr="00542A21">
        <w:rPr>
          <w:rFonts w:eastAsia="Times New Roman" w:cs="Times New Roman"/>
          <w:lang w:val="hy-AM" w:eastAsia="ru-RU"/>
        </w:rPr>
        <w:t xml:space="preserve"> </w:t>
      </w:r>
      <w:r w:rsidRPr="00542A21">
        <w:rPr>
          <w:rFonts w:eastAsia="Times New Roman" w:cs="Sylfaen"/>
          <w:lang w:val="hy-AM" w:eastAsia="ru-RU"/>
        </w:rPr>
        <w:t>վեճերը</w:t>
      </w:r>
      <w:r w:rsidRPr="00542A21">
        <w:rPr>
          <w:rFonts w:eastAsia="Times New Roman" w:cs="Times New Roman"/>
          <w:lang w:val="hy-AM" w:eastAsia="ru-RU"/>
        </w:rPr>
        <w:t xml:space="preserve">: </w:t>
      </w:r>
    </w:p>
    <w:p w14:paraId="01A9B33B" w14:textId="7777777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542A21">
        <w:rPr>
          <w:rFonts w:eastAsia="Times New Roman" w:cs="Sylfaen"/>
          <w:lang w:val="hy-AM" w:eastAsia="ru-RU"/>
        </w:rPr>
        <w:t>Սահմանադրական</w:t>
      </w:r>
      <w:r w:rsidRPr="00542A21">
        <w:rPr>
          <w:rFonts w:eastAsia="Times New Roman" w:cs="Times New Roman"/>
          <w:lang w:val="hy-AM" w:eastAsia="ru-RU"/>
        </w:rPr>
        <w:t xml:space="preserve"> </w:t>
      </w:r>
      <w:r w:rsidRPr="00542A21">
        <w:rPr>
          <w:rFonts w:eastAsia="Times New Roman" w:cs="Sylfaen"/>
          <w:lang w:val="hy-AM" w:eastAsia="ru-RU"/>
        </w:rPr>
        <w:t>դատարանի</w:t>
      </w:r>
      <w:r w:rsidRPr="00542A21">
        <w:rPr>
          <w:rFonts w:eastAsia="Times New Roman" w:cs="Times New Roman"/>
          <w:lang w:val="hy-AM" w:eastAsia="ru-RU"/>
        </w:rPr>
        <w:t xml:space="preserve"> </w:t>
      </w:r>
      <w:r w:rsidRPr="00542A21">
        <w:rPr>
          <w:rFonts w:eastAsia="Times New Roman" w:cs="Sylfaen"/>
          <w:lang w:val="hy-AM" w:eastAsia="ru-RU"/>
        </w:rPr>
        <w:t>այս</w:t>
      </w:r>
      <w:r w:rsidRPr="00542A21">
        <w:rPr>
          <w:rFonts w:eastAsia="Times New Roman" w:cs="Times New Roman"/>
          <w:lang w:val="hy-AM" w:eastAsia="ru-RU"/>
        </w:rPr>
        <w:t xml:space="preserve"> </w:t>
      </w:r>
      <w:r w:rsidRPr="00542A21">
        <w:rPr>
          <w:rFonts w:eastAsia="Times New Roman" w:cs="Sylfaen"/>
          <w:lang w:val="hy-AM" w:eastAsia="ru-RU"/>
        </w:rPr>
        <w:t>լիազորությունը</w:t>
      </w:r>
      <w:r w:rsidRPr="00542A21">
        <w:rPr>
          <w:rFonts w:eastAsia="Times New Roman" w:cs="Times New Roman"/>
          <w:lang w:val="hy-AM" w:eastAsia="ru-RU"/>
        </w:rPr>
        <w:t xml:space="preserve"> </w:t>
      </w:r>
      <w:r w:rsidRPr="00542A21">
        <w:rPr>
          <w:rFonts w:eastAsia="Times New Roman" w:cs="Sylfaen"/>
          <w:lang w:val="hy-AM" w:eastAsia="ru-RU"/>
        </w:rPr>
        <w:t>սահմանված</w:t>
      </w:r>
      <w:r w:rsidRPr="00542A21">
        <w:rPr>
          <w:rFonts w:eastAsia="Times New Roman" w:cs="Times New Roman"/>
          <w:lang w:val="hy-AM" w:eastAsia="ru-RU"/>
        </w:rPr>
        <w:t xml:space="preserve"> </w:t>
      </w:r>
      <w:r w:rsidRPr="00542A21">
        <w:rPr>
          <w:rFonts w:eastAsia="Times New Roman" w:cs="Sylfaen"/>
          <w:lang w:val="hy-AM" w:eastAsia="ru-RU"/>
        </w:rPr>
        <w:t>է</w:t>
      </w:r>
      <w:r w:rsidRPr="00542A21">
        <w:rPr>
          <w:rFonts w:eastAsia="Times New Roman" w:cs="Times New Roman"/>
          <w:lang w:val="hy-AM" w:eastAsia="ru-RU"/>
        </w:rPr>
        <w:t xml:space="preserve"> </w:t>
      </w:r>
      <w:r w:rsidRPr="00542A21">
        <w:rPr>
          <w:rFonts w:eastAsia="Times New Roman" w:cs="Sylfaen"/>
          <w:lang w:val="hy-AM" w:eastAsia="ru-RU"/>
        </w:rPr>
        <w:t>Սահմանադրությամբ</w:t>
      </w:r>
      <w:r w:rsidRPr="00542A21">
        <w:rPr>
          <w:rFonts w:eastAsia="Times New Roman" w:cs="Times New Roman"/>
          <w:lang w:val="hy-AM" w:eastAsia="ru-RU"/>
        </w:rPr>
        <w:t xml:space="preserve"> </w:t>
      </w:r>
      <w:r w:rsidRPr="00542A21">
        <w:rPr>
          <w:rFonts w:eastAsia="Times New Roman" w:cs="Sylfaen"/>
          <w:lang w:val="hy-AM" w:eastAsia="ru-RU"/>
        </w:rPr>
        <w:t>և</w:t>
      </w:r>
      <w:r w:rsidRPr="00542A21">
        <w:rPr>
          <w:rFonts w:eastAsia="Times New Roman" w:cs="Times New Roman"/>
          <w:lang w:val="hy-AM" w:eastAsia="ru-RU"/>
        </w:rPr>
        <w:t xml:space="preserve"> </w:t>
      </w:r>
      <w:r w:rsidRPr="00542A21">
        <w:rPr>
          <w:rFonts w:eastAsia="Times New Roman" w:cs="Sylfaen"/>
          <w:lang w:val="hy-AM" w:eastAsia="ru-RU"/>
        </w:rPr>
        <w:t>առաջնահերթ</w:t>
      </w:r>
      <w:r w:rsidRPr="00542A21">
        <w:rPr>
          <w:rFonts w:eastAsia="Times New Roman" w:cs="Times New Roman"/>
          <w:lang w:val="hy-AM" w:eastAsia="ru-RU"/>
        </w:rPr>
        <w:t xml:space="preserve"> </w:t>
      </w:r>
      <w:r w:rsidRPr="00542A21">
        <w:rPr>
          <w:rFonts w:eastAsia="Times New Roman" w:cs="Sylfaen"/>
          <w:lang w:val="hy-AM" w:eastAsia="ru-RU"/>
        </w:rPr>
        <w:t>է</w:t>
      </w:r>
      <w:r w:rsidRPr="00542A21">
        <w:rPr>
          <w:rFonts w:eastAsia="Times New Roman" w:cs="Times New Roman"/>
          <w:lang w:val="hy-AM" w:eastAsia="ru-RU"/>
        </w:rPr>
        <w:t xml:space="preserve"> </w:t>
      </w:r>
      <w:r w:rsidRPr="00542A21">
        <w:rPr>
          <w:rFonts w:eastAsia="Times New Roman" w:cs="Sylfaen"/>
          <w:lang w:val="hy-AM" w:eastAsia="ru-RU"/>
        </w:rPr>
        <w:t>հանդիսանում</w:t>
      </w:r>
      <w:r w:rsidRPr="00542A21">
        <w:rPr>
          <w:rFonts w:eastAsia="Times New Roman" w:cs="Times New Roman"/>
          <w:lang w:val="hy-AM" w:eastAsia="ru-RU"/>
        </w:rPr>
        <w:t xml:space="preserve"> </w:t>
      </w:r>
      <w:r w:rsidRPr="00542A21">
        <w:rPr>
          <w:rFonts w:eastAsia="Times New Roman" w:cs="Sylfaen"/>
          <w:lang w:val="hy-AM" w:eastAsia="ru-RU"/>
        </w:rPr>
        <w:t>առաջիկա</w:t>
      </w:r>
      <w:r w:rsidRPr="00542A21">
        <w:rPr>
          <w:rFonts w:eastAsia="Times New Roman" w:cs="Times New Roman"/>
          <w:lang w:val="hy-AM" w:eastAsia="ru-RU"/>
        </w:rPr>
        <w:t xml:space="preserve"> </w:t>
      </w:r>
      <w:r w:rsidRPr="00542A21">
        <w:rPr>
          <w:rFonts w:eastAsia="Times New Roman" w:cs="Sylfaen"/>
          <w:lang w:val="hy-AM" w:eastAsia="ru-RU"/>
        </w:rPr>
        <w:t>տարիների</w:t>
      </w:r>
      <w:r w:rsidRPr="00542A21">
        <w:rPr>
          <w:rFonts w:eastAsia="Times New Roman" w:cs="Times New Roman"/>
          <w:lang w:val="hy-AM" w:eastAsia="ru-RU"/>
        </w:rPr>
        <w:t xml:space="preserve"> </w:t>
      </w:r>
      <w:r w:rsidRPr="00542A21">
        <w:rPr>
          <w:rFonts w:eastAsia="Times New Roman" w:cs="Sylfaen"/>
          <w:lang w:val="hy-AM" w:eastAsia="ru-RU"/>
        </w:rPr>
        <w:t>համար</w:t>
      </w:r>
      <w:r w:rsidRPr="00542A21">
        <w:rPr>
          <w:rFonts w:eastAsia="Times New Roman" w:cs="Times New Roman"/>
          <w:lang w:val="hy-AM" w:eastAsia="ru-RU"/>
        </w:rPr>
        <w:t xml:space="preserve">: </w:t>
      </w:r>
    </w:p>
    <w:p w14:paraId="664D8F5C" w14:textId="7E20FFF7" w:rsidR="00080175" w:rsidRPr="00542A21" w:rsidRDefault="00080175" w:rsidP="004247C0">
      <w:pPr>
        <w:tabs>
          <w:tab w:val="left" w:pos="0"/>
        </w:tabs>
        <w:spacing w:before="120" w:after="0" w:line="276" w:lineRule="auto"/>
        <w:ind w:firstLine="0"/>
        <w:rPr>
          <w:rFonts w:eastAsia="Times New Roman" w:cs="Times New Roman"/>
          <w:lang w:val="hy-AM" w:eastAsia="ru-RU"/>
        </w:rPr>
      </w:pPr>
      <w:r w:rsidRPr="00542A21">
        <w:rPr>
          <w:rFonts w:eastAsia="Times New Roman" w:cs="Sylfaen"/>
          <w:lang w:val="hy-AM" w:eastAsia="ru-RU"/>
        </w:rPr>
        <w:t>ՀՀ</w:t>
      </w:r>
      <w:r w:rsidRPr="00542A21">
        <w:rPr>
          <w:rFonts w:eastAsia="Times New Roman" w:cs="Times New Roman"/>
          <w:lang w:val="hy-AM" w:eastAsia="ru-RU"/>
        </w:rPr>
        <w:t xml:space="preserve"> </w:t>
      </w:r>
      <w:r w:rsidRPr="00542A21">
        <w:rPr>
          <w:rFonts w:eastAsia="Times New Roman" w:cs="Sylfaen"/>
          <w:lang w:val="hy-AM" w:eastAsia="ru-RU"/>
        </w:rPr>
        <w:t>սահմանադրական</w:t>
      </w:r>
      <w:r w:rsidRPr="00542A21">
        <w:rPr>
          <w:rFonts w:eastAsia="Times New Roman" w:cs="Times New Roman"/>
          <w:lang w:val="hy-AM" w:eastAsia="ru-RU"/>
        </w:rPr>
        <w:t xml:space="preserve"> </w:t>
      </w:r>
      <w:r w:rsidRPr="00542A21">
        <w:rPr>
          <w:rFonts w:eastAsia="Times New Roman" w:cs="Sylfaen"/>
          <w:lang w:val="hy-AM" w:eastAsia="ru-RU"/>
        </w:rPr>
        <w:t>դատարանի</w:t>
      </w:r>
      <w:r w:rsidRPr="00542A21">
        <w:rPr>
          <w:rFonts w:eastAsia="Times New Roman" w:cs="Times New Roman"/>
          <w:lang w:val="hy-AM" w:eastAsia="ru-RU"/>
        </w:rPr>
        <w:t xml:space="preserve"> </w:t>
      </w:r>
      <w:r w:rsidRPr="00542A21">
        <w:rPr>
          <w:rFonts w:eastAsia="Times New Roman" w:cs="Sylfaen"/>
          <w:lang w:val="hy-AM" w:eastAsia="ru-RU"/>
        </w:rPr>
        <w:t>գործունեության</w:t>
      </w:r>
      <w:r w:rsidRPr="00542A21">
        <w:rPr>
          <w:rFonts w:eastAsia="Times New Roman" w:cs="Times New Roman"/>
          <w:lang w:val="hy-AM" w:eastAsia="ru-RU"/>
        </w:rPr>
        <w:t xml:space="preserve"> </w:t>
      </w:r>
      <w:r w:rsidRPr="00542A21">
        <w:rPr>
          <w:rFonts w:eastAsia="Times New Roman" w:cs="Sylfaen"/>
          <w:lang w:val="hy-AM" w:eastAsia="ru-RU"/>
        </w:rPr>
        <w:t>ապահովում</w:t>
      </w:r>
      <w:r w:rsidRPr="00542A21">
        <w:rPr>
          <w:rFonts w:eastAsia="Times New Roman" w:cs="Times New Roman"/>
          <w:lang w:val="hy-AM" w:eastAsia="ru-RU"/>
        </w:rPr>
        <w:t xml:space="preserve"> </w:t>
      </w:r>
      <w:r w:rsidRPr="00542A21">
        <w:rPr>
          <w:rFonts w:eastAsia="Times New Roman" w:cs="Sylfaen"/>
          <w:lang w:val="hy-AM" w:eastAsia="ru-RU"/>
        </w:rPr>
        <w:t>ծրագրի</w:t>
      </w:r>
      <w:r w:rsidRPr="00542A21">
        <w:rPr>
          <w:rFonts w:eastAsia="Times New Roman" w:cs="Times New Roman"/>
          <w:lang w:val="hy-AM" w:eastAsia="ru-RU"/>
        </w:rPr>
        <w:t xml:space="preserve"> </w:t>
      </w:r>
      <w:r w:rsidRPr="00542A21">
        <w:rPr>
          <w:rFonts w:eastAsia="Times New Roman" w:cs="Sylfaen"/>
          <w:lang w:val="hy-AM" w:eastAsia="ru-RU"/>
        </w:rPr>
        <w:t>իրականացման</w:t>
      </w:r>
      <w:r w:rsidRPr="00542A21">
        <w:rPr>
          <w:rFonts w:eastAsia="Times New Roman" w:cs="Times New Roman"/>
          <w:lang w:val="hy-AM" w:eastAsia="ru-RU"/>
        </w:rPr>
        <w:t xml:space="preserve"> </w:t>
      </w:r>
      <w:r w:rsidR="00F13DF6">
        <w:rPr>
          <w:rFonts w:eastAsia="Times New Roman" w:cs="Sylfaen"/>
          <w:lang w:val="hy-AM" w:eastAsia="ru-RU"/>
        </w:rPr>
        <w:t>արդյունք</w:t>
      </w:r>
      <w:r w:rsidRPr="00542A21">
        <w:rPr>
          <w:rFonts w:eastAsia="Times New Roman" w:cs="Sylfaen"/>
          <w:lang w:val="hy-AM" w:eastAsia="ru-RU"/>
        </w:rPr>
        <w:t>ում</w:t>
      </w:r>
      <w:r w:rsidRPr="00542A21">
        <w:rPr>
          <w:rFonts w:eastAsia="Times New Roman" w:cs="Times New Roman"/>
          <w:lang w:val="hy-AM" w:eastAsia="ru-RU"/>
        </w:rPr>
        <w:t xml:space="preserve"> </w:t>
      </w:r>
      <w:r w:rsidRPr="00542A21">
        <w:rPr>
          <w:rFonts w:eastAsia="Times New Roman" w:cs="Sylfaen"/>
          <w:lang w:val="hy-AM" w:eastAsia="ru-RU"/>
        </w:rPr>
        <w:t>ակնկալվում</w:t>
      </w:r>
      <w:r w:rsidRPr="00542A21">
        <w:rPr>
          <w:rFonts w:eastAsia="Times New Roman" w:cs="Times New Roman"/>
          <w:lang w:val="hy-AM" w:eastAsia="ru-RU"/>
        </w:rPr>
        <w:t xml:space="preserve"> </w:t>
      </w:r>
      <w:r w:rsidRPr="00542A21">
        <w:rPr>
          <w:rFonts w:eastAsia="Times New Roman" w:cs="Sylfaen"/>
          <w:lang w:val="hy-AM" w:eastAsia="ru-RU"/>
        </w:rPr>
        <w:t>է</w:t>
      </w:r>
      <w:r w:rsidRPr="00542A21">
        <w:rPr>
          <w:rFonts w:eastAsia="Times New Roman" w:cs="Times New Roman"/>
          <w:lang w:val="hy-AM" w:eastAsia="ru-RU"/>
        </w:rPr>
        <w:t xml:space="preserve"> </w:t>
      </w:r>
      <w:r w:rsidRPr="00542A21">
        <w:rPr>
          <w:rFonts w:eastAsia="Times New Roman" w:cs="Sylfaen"/>
          <w:lang w:val="hy-AM" w:eastAsia="ru-RU"/>
        </w:rPr>
        <w:t>Օրենքով</w:t>
      </w:r>
      <w:r w:rsidRPr="00542A21">
        <w:rPr>
          <w:rFonts w:eastAsia="Times New Roman" w:cs="Times New Roman"/>
          <w:lang w:val="hy-AM" w:eastAsia="ru-RU"/>
        </w:rPr>
        <w:t xml:space="preserve"> </w:t>
      </w:r>
      <w:r w:rsidRPr="00542A21">
        <w:rPr>
          <w:rFonts w:eastAsia="Times New Roman" w:cs="Sylfaen"/>
          <w:lang w:val="hy-AM" w:eastAsia="ru-RU"/>
        </w:rPr>
        <w:t>սահմանված</w:t>
      </w:r>
      <w:r w:rsidRPr="00542A21">
        <w:rPr>
          <w:rFonts w:eastAsia="Times New Roman" w:cs="Times New Roman"/>
          <w:lang w:val="hy-AM" w:eastAsia="ru-RU"/>
        </w:rPr>
        <w:t xml:space="preserve"> </w:t>
      </w:r>
      <w:r w:rsidRPr="00542A21">
        <w:rPr>
          <w:rFonts w:eastAsia="Times New Roman" w:cs="Sylfaen"/>
          <w:lang w:val="hy-AM" w:eastAsia="ru-RU"/>
        </w:rPr>
        <w:t>կարգով</w:t>
      </w:r>
      <w:r w:rsidRPr="00542A21">
        <w:rPr>
          <w:rFonts w:eastAsia="Times New Roman" w:cs="Times New Roman"/>
          <w:lang w:val="hy-AM" w:eastAsia="ru-RU"/>
        </w:rPr>
        <w:t xml:space="preserve"> </w:t>
      </w:r>
      <w:r w:rsidRPr="00542A21">
        <w:rPr>
          <w:rFonts w:eastAsia="Times New Roman" w:cs="Sylfaen"/>
          <w:lang w:val="hy-AM" w:eastAsia="ru-RU"/>
        </w:rPr>
        <w:t>լուծելով</w:t>
      </w:r>
      <w:r w:rsidRPr="00542A21">
        <w:rPr>
          <w:rFonts w:eastAsia="Times New Roman" w:cs="Times New Roman"/>
          <w:lang w:val="hy-AM" w:eastAsia="ru-RU"/>
        </w:rPr>
        <w:t xml:space="preserve"> </w:t>
      </w:r>
      <w:r w:rsidRPr="00542A21">
        <w:rPr>
          <w:rFonts w:eastAsia="Times New Roman" w:cs="Sylfaen"/>
          <w:lang w:val="hy-AM" w:eastAsia="ru-RU"/>
        </w:rPr>
        <w:t>ընդունված</w:t>
      </w:r>
      <w:r w:rsidRPr="00542A21">
        <w:rPr>
          <w:rFonts w:eastAsia="Times New Roman" w:cs="Times New Roman"/>
          <w:lang w:val="hy-AM" w:eastAsia="ru-RU"/>
        </w:rPr>
        <w:t xml:space="preserve"> </w:t>
      </w:r>
      <w:r w:rsidRPr="00542A21">
        <w:rPr>
          <w:rFonts w:eastAsia="Times New Roman" w:cs="Sylfaen"/>
          <w:lang w:val="hy-AM" w:eastAsia="ru-RU"/>
        </w:rPr>
        <w:t>որոշումների</w:t>
      </w:r>
      <w:r w:rsidRPr="00542A21">
        <w:rPr>
          <w:rFonts w:eastAsia="Times New Roman" w:cs="Times New Roman"/>
          <w:lang w:val="hy-AM" w:eastAsia="ru-RU"/>
        </w:rPr>
        <w:t xml:space="preserve">, </w:t>
      </w:r>
      <w:r w:rsidRPr="00542A21">
        <w:rPr>
          <w:rFonts w:eastAsia="Times New Roman" w:cs="Sylfaen"/>
          <w:lang w:val="hy-AM" w:eastAsia="ru-RU"/>
        </w:rPr>
        <w:t>օրենքների</w:t>
      </w:r>
      <w:r w:rsidRPr="00542A21">
        <w:rPr>
          <w:rFonts w:eastAsia="Times New Roman" w:cs="Times New Roman"/>
          <w:lang w:val="hy-AM" w:eastAsia="ru-RU"/>
        </w:rPr>
        <w:t xml:space="preserve">, </w:t>
      </w:r>
      <w:r w:rsidRPr="00542A21">
        <w:rPr>
          <w:rFonts w:eastAsia="Times New Roman" w:cs="Sylfaen"/>
          <w:lang w:val="hy-AM" w:eastAsia="ru-RU"/>
        </w:rPr>
        <w:t>իրավական</w:t>
      </w:r>
      <w:r w:rsidRPr="00542A21">
        <w:rPr>
          <w:rFonts w:eastAsia="Times New Roman" w:cs="Times New Roman"/>
          <w:lang w:val="hy-AM" w:eastAsia="ru-RU"/>
        </w:rPr>
        <w:t xml:space="preserve"> </w:t>
      </w:r>
      <w:r w:rsidRPr="00542A21">
        <w:rPr>
          <w:rFonts w:eastAsia="Times New Roman" w:cs="Sylfaen"/>
          <w:lang w:val="hy-AM" w:eastAsia="ru-RU"/>
        </w:rPr>
        <w:t>այլ</w:t>
      </w:r>
      <w:r w:rsidRPr="00542A21">
        <w:rPr>
          <w:rFonts w:eastAsia="Times New Roman" w:cs="Times New Roman"/>
          <w:lang w:val="hy-AM" w:eastAsia="ru-RU"/>
        </w:rPr>
        <w:t xml:space="preserve"> </w:t>
      </w:r>
      <w:r w:rsidRPr="00542A21">
        <w:rPr>
          <w:rFonts w:eastAsia="Times New Roman" w:cs="Sylfaen"/>
          <w:lang w:val="hy-AM" w:eastAsia="ru-RU"/>
        </w:rPr>
        <w:t>ակտերի</w:t>
      </w:r>
      <w:r w:rsidRPr="00542A21">
        <w:rPr>
          <w:rFonts w:eastAsia="Times New Roman" w:cs="Times New Roman"/>
          <w:lang w:val="hy-AM" w:eastAsia="ru-RU"/>
        </w:rPr>
        <w:t xml:space="preserve"> </w:t>
      </w:r>
      <w:r w:rsidRPr="00542A21">
        <w:rPr>
          <w:rFonts w:eastAsia="Times New Roman" w:cs="Sylfaen"/>
          <w:lang w:val="hy-AM" w:eastAsia="ru-RU"/>
        </w:rPr>
        <w:t>սահմանադրությանը</w:t>
      </w:r>
      <w:r w:rsidRPr="00542A21">
        <w:rPr>
          <w:rFonts w:eastAsia="Times New Roman" w:cs="Times New Roman"/>
          <w:lang w:val="hy-AM" w:eastAsia="ru-RU"/>
        </w:rPr>
        <w:t xml:space="preserve"> </w:t>
      </w:r>
      <w:r w:rsidRPr="00542A21">
        <w:rPr>
          <w:rFonts w:eastAsia="Times New Roman" w:cs="Sylfaen"/>
          <w:lang w:val="hy-AM" w:eastAsia="ru-RU"/>
        </w:rPr>
        <w:t>համապատասխանությունը՝</w:t>
      </w:r>
      <w:r w:rsidRPr="00542A21">
        <w:rPr>
          <w:rFonts w:eastAsia="Times New Roman" w:cs="Times New Roman"/>
          <w:lang w:val="hy-AM" w:eastAsia="ru-RU"/>
        </w:rPr>
        <w:t xml:space="preserve"> </w:t>
      </w:r>
      <w:r w:rsidRPr="00542A21">
        <w:rPr>
          <w:rFonts w:eastAsia="Times New Roman" w:cs="Sylfaen"/>
          <w:lang w:val="hy-AM" w:eastAsia="ru-RU"/>
        </w:rPr>
        <w:t>ապահովել</w:t>
      </w:r>
      <w:r w:rsidRPr="00542A21">
        <w:rPr>
          <w:rFonts w:eastAsia="Times New Roman" w:cs="Times New Roman"/>
          <w:lang w:val="hy-AM" w:eastAsia="ru-RU"/>
        </w:rPr>
        <w:t xml:space="preserve"> </w:t>
      </w:r>
      <w:r w:rsidRPr="00542A21">
        <w:rPr>
          <w:rFonts w:eastAsia="Times New Roman" w:cs="Sylfaen"/>
          <w:lang w:val="hy-AM" w:eastAsia="ru-RU"/>
        </w:rPr>
        <w:t>նրանց</w:t>
      </w:r>
      <w:r w:rsidRPr="00542A21">
        <w:rPr>
          <w:rFonts w:eastAsia="Times New Roman" w:cs="Times New Roman"/>
          <w:lang w:val="hy-AM" w:eastAsia="ru-RU"/>
        </w:rPr>
        <w:t xml:space="preserve"> </w:t>
      </w:r>
      <w:r w:rsidRPr="00542A21">
        <w:rPr>
          <w:rFonts w:eastAsia="Times New Roman" w:cs="Sylfaen"/>
          <w:lang w:val="hy-AM" w:eastAsia="ru-RU"/>
        </w:rPr>
        <w:t>արդյունավետ</w:t>
      </w:r>
      <w:r w:rsidRPr="00542A21">
        <w:rPr>
          <w:rFonts w:eastAsia="Times New Roman" w:cs="Times New Roman"/>
          <w:lang w:val="hy-AM" w:eastAsia="ru-RU"/>
        </w:rPr>
        <w:t xml:space="preserve"> </w:t>
      </w:r>
      <w:r w:rsidRPr="00542A21">
        <w:rPr>
          <w:rFonts w:eastAsia="Times New Roman" w:cs="Sylfaen"/>
          <w:lang w:val="hy-AM" w:eastAsia="ru-RU"/>
        </w:rPr>
        <w:t>գործողությունը</w:t>
      </w:r>
      <w:r w:rsidRPr="00542A21">
        <w:rPr>
          <w:rFonts w:eastAsia="Times New Roman" w:cs="Times New Roman"/>
          <w:lang w:val="hy-AM" w:eastAsia="ru-RU"/>
        </w:rPr>
        <w:t xml:space="preserve">: </w:t>
      </w:r>
    </w:p>
    <w:p w14:paraId="4881ADB7" w14:textId="77777777" w:rsidR="00080175" w:rsidRPr="00756644" w:rsidRDefault="00080175" w:rsidP="004247C0">
      <w:pPr>
        <w:shd w:val="clear" w:color="auto" w:fill="FFFFFF"/>
        <w:tabs>
          <w:tab w:val="left" w:pos="0"/>
          <w:tab w:val="left" w:pos="810"/>
          <w:tab w:val="left" w:pos="1080"/>
        </w:tabs>
        <w:spacing w:before="120" w:after="0" w:line="276" w:lineRule="auto"/>
        <w:ind w:firstLine="0"/>
        <w:rPr>
          <w:rFonts w:eastAsia="Times New Roman" w:cs="Times New Roman"/>
          <w:szCs w:val="20"/>
          <w:lang w:val="hy-AM"/>
        </w:rPr>
      </w:pPr>
    </w:p>
    <w:p w14:paraId="31F21CFF" w14:textId="650A6951"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4" w:name="_Toc170926348"/>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.6. </w:t>
      </w:r>
      <w:r w:rsidRPr="00B24E6A">
        <w:rPr>
          <w:rFonts w:eastAsia="Times New Roman" w:cs="Times New Roman"/>
          <w:b w:val="0"/>
          <w:caps w:val="0"/>
          <w:color w:val="44546A" w:themeColor="text2"/>
          <w:sz w:val="24"/>
          <w:szCs w:val="24"/>
          <w:lang w:val="fr-FR"/>
        </w:rPr>
        <w:t>ՄԱՐԴՈՒ ԻՐԱՎՈՒՆՔՆԵՐԻ ՊԱՇՏՊԱՆ</w:t>
      </w:r>
      <w:bookmarkEnd w:id="234"/>
    </w:p>
    <w:p w14:paraId="304F4279" w14:textId="77777777" w:rsidR="00080175" w:rsidRPr="00E305EB" w:rsidRDefault="00080175" w:rsidP="004247C0">
      <w:pPr>
        <w:tabs>
          <w:tab w:val="left" w:pos="0"/>
          <w:tab w:val="left" w:pos="851"/>
        </w:tabs>
        <w:spacing w:before="120" w:after="0" w:line="276" w:lineRule="auto"/>
        <w:ind w:firstLine="0"/>
        <w:rPr>
          <w:rFonts w:eastAsia="Times New Roman" w:cs="Sylfaen"/>
          <w:bCs/>
          <w:kern w:val="16"/>
          <w:lang w:val="hy-AM"/>
        </w:rPr>
      </w:pPr>
      <w:r w:rsidRPr="00E305EB">
        <w:rPr>
          <w:rFonts w:eastAsia="Times New Roman" w:cs="Sylfaen"/>
          <w:bCs/>
          <w:kern w:val="16"/>
          <w:lang w:val="hy-AM"/>
        </w:rPr>
        <w:t xml:space="preserve">ՀՀ մարդու իրավունքների պաշտպանը՝ որպես անկախ սահմանադրական ինստիտուտ, հետևում է պետական և տեղական ինքնակառավարման մարմինների ու պաշտոնատար անձանց, իսկ օրենքով սահմանված դեպքերում` նաև կազմակերպությունների կողմից մարդու իրավունքների և ազատությունների պահպանմանը, նպաստում է խախտված իրավունքների և ազատությունների վերականգնմանը, իրավունքներին ու ազատություններին առնչվող նորմատիվ իրավական ակտերի կատարելագործմանը: </w:t>
      </w:r>
    </w:p>
    <w:p w14:paraId="6BB5DBA5" w14:textId="77777777" w:rsidR="00080175" w:rsidRPr="00E305EB" w:rsidRDefault="00080175" w:rsidP="004247C0">
      <w:pPr>
        <w:tabs>
          <w:tab w:val="left" w:pos="0"/>
          <w:tab w:val="left" w:pos="851"/>
        </w:tabs>
        <w:spacing w:before="120" w:after="0" w:line="276" w:lineRule="auto"/>
        <w:ind w:firstLine="0"/>
        <w:rPr>
          <w:rFonts w:eastAsia="Times New Roman" w:cs="Sylfaen"/>
          <w:bCs/>
          <w:kern w:val="16"/>
          <w:lang w:val="hy-AM"/>
        </w:rPr>
      </w:pPr>
      <w:r w:rsidRPr="00E305EB">
        <w:rPr>
          <w:rFonts w:eastAsia="Times New Roman" w:cs="Sylfaen"/>
          <w:bCs/>
          <w:kern w:val="16"/>
          <w:lang w:val="hy-AM"/>
        </w:rPr>
        <w:t xml:space="preserve">Մարդու իրավունքների պաշտպանի գործունեությունն ընդգրկում է հետևյալ հիմնական ուղղությունները. </w:t>
      </w:r>
    </w:p>
    <w:p w14:paraId="3AB831E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անհատական բողոքների և դիմումների քննարկում, մշտադիտարկման այցեր, դրանց արդյունքներով համակարգային խնդիրների վերհանում, </w:t>
      </w:r>
    </w:p>
    <w:p w14:paraId="475FCA4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մարդու իրավունքներին և ազատություններին վերաբերող նորմատիվ իրավական ակտերի նախագծերի վերաբերյալ իրավասու մարմին կարծիքների տրամադրում,</w:t>
      </w:r>
    </w:p>
    <w:p w14:paraId="40DFF1B1"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մարդու իրավունքների ու ազատությունների ապահովմանն ուղղված օրենսդրական նախագծերի մշակում, </w:t>
      </w:r>
    </w:p>
    <w:p w14:paraId="6A47DC5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օրենքների, Ազգային ժողովի որոշումների, Հանրապետության նախագահի հրամանագրերի և կարգադրությունների, ՀՀ կառավարության և ՀՀ վարչապետի որոշումների, ենթաօրենսդրական նորմատիվ իրավական ակտերի Սահմանադրության 2-րդ գլխի դրույթներին համապատասխանության հարցերով Սահմանադրական դատարան դիմումների հասցեագրում, </w:t>
      </w:r>
    </w:p>
    <w:p w14:paraId="61DD6CB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Սահմանադրական դատարանում քննվող՝ Սահմանադրության 2-րդ գլխի դրույթներին հակասությանը վերաբերող դիմումների վերաբերյալ հատուկ կարծիքների ներկայացում, </w:t>
      </w:r>
    </w:p>
    <w:p w14:paraId="06A0AAA2"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lastRenderedPageBreak/>
        <w:t xml:space="preserve">մարդու իրավունքների կրթությանն ու իրազեկմանն ուղղված շարունակական միջոցառումների անցկացում, </w:t>
      </w:r>
    </w:p>
    <w:p w14:paraId="5CBECFE2" w14:textId="77777777" w:rsidR="00080175" w:rsidRPr="00542A21"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Sylfaen"/>
          <w:bCs/>
          <w:kern w:val="16"/>
          <w:lang w:val="hy-AM"/>
        </w:rPr>
      </w:pPr>
      <w:r w:rsidRPr="00512140">
        <w:rPr>
          <w:rFonts w:cs="GHEA Grapalat"/>
          <w:lang w:val="hy-AM"/>
        </w:rPr>
        <w:t>մարդու իրավունքների մանդատ ունեցող միջազգային և տարածաշրջանային կազմակերպությունների հետ աշխատանք՝ միտված Հայաստանում մարդու իրավունքների պաշտպանության իրավիճակի ներկայացմանն ու բարել</w:t>
      </w:r>
      <w:r w:rsidRPr="00E305EB">
        <w:rPr>
          <w:rFonts w:eastAsia="Times New Roman" w:cs="Sylfaen"/>
          <w:bCs/>
          <w:kern w:val="16"/>
          <w:lang w:val="hy-AM"/>
        </w:rPr>
        <w:t xml:space="preserve">ավմանը: </w:t>
      </w:r>
    </w:p>
    <w:p w14:paraId="1F39F270" w14:textId="77777777" w:rsidR="00080175" w:rsidRPr="00542A21" w:rsidRDefault="00080175" w:rsidP="004247C0">
      <w:pPr>
        <w:tabs>
          <w:tab w:val="left" w:pos="0"/>
          <w:tab w:val="left" w:pos="810"/>
          <w:tab w:val="left" w:pos="851"/>
          <w:tab w:val="left" w:pos="1080"/>
        </w:tabs>
        <w:spacing w:before="120" w:after="0" w:line="276" w:lineRule="auto"/>
        <w:ind w:firstLine="0"/>
        <w:rPr>
          <w:rFonts w:eastAsia="Times New Roman" w:cs="Times New Roman"/>
          <w:lang w:val="hy-AM" w:eastAsia="ru-RU"/>
        </w:rPr>
      </w:pPr>
      <w:r w:rsidRPr="00542A21">
        <w:rPr>
          <w:rFonts w:eastAsia="Times New Roman" w:cs="Times New Roman"/>
          <w:lang w:val="hy-AM" w:eastAsia="ru-RU"/>
        </w:rPr>
        <w:t>«</w:t>
      </w:r>
      <w:r w:rsidRPr="00542A21">
        <w:rPr>
          <w:rFonts w:eastAsia="Times New Roman" w:cs="Sylfaen"/>
          <w:lang w:val="hy-AM" w:eastAsia="ru-RU"/>
        </w:rPr>
        <w:t>Մարդու իրավունքների պաշտպանություն</w:t>
      </w:r>
      <w:r w:rsidRPr="00542A21">
        <w:rPr>
          <w:rFonts w:eastAsia="Times New Roman" w:cs="Times New Roman"/>
          <w:lang w:val="hy-AM" w:eastAsia="ru-RU"/>
        </w:rPr>
        <w:t>»</w:t>
      </w:r>
      <w:r w:rsidRPr="00542A21">
        <w:rPr>
          <w:rFonts w:eastAsia="Times New Roman" w:cs="Sylfaen"/>
          <w:lang w:val="hy-AM" w:eastAsia="ru-RU"/>
        </w:rPr>
        <w:t xml:space="preserve"> ծրագրի վերջնական արդյունքի հիմնական թիրախային նպատակն է՝ Մարդու իրավունքների ազգային հաստատությունների</w:t>
      </w:r>
      <w:r w:rsidRPr="00542A21">
        <w:rPr>
          <w:rFonts w:eastAsia="Times New Roman" w:cs="Times New Roman"/>
          <w:lang w:val="hy-AM" w:eastAsia="ru-RU"/>
        </w:rPr>
        <w:t xml:space="preserve"> </w:t>
      </w:r>
      <w:r w:rsidRPr="00542A21">
        <w:rPr>
          <w:rFonts w:eastAsia="Times New Roman" w:cs="Sylfaen"/>
          <w:lang w:val="hy-AM" w:eastAsia="ru-RU"/>
        </w:rPr>
        <w:t>համաշխարհային</w:t>
      </w:r>
      <w:r w:rsidRPr="00542A21">
        <w:rPr>
          <w:rFonts w:eastAsia="Times New Roman" w:cs="Times New Roman"/>
          <w:lang w:val="hy-AM" w:eastAsia="ru-RU"/>
        </w:rPr>
        <w:t xml:space="preserve"> </w:t>
      </w:r>
      <w:r w:rsidRPr="00542A21">
        <w:rPr>
          <w:rFonts w:eastAsia="Times New Roman" w:cs="Sylfaen"/>
          <w:lang w:val="hy-AM" w:eastAsia="ru-RU"/>
        </w:rPr>
        <w:t>միավորման</w:t>
      </w:r>
      <w:r w:rsidRPr="00542A21">
        <w:rPr>
          <w:rFonts w:eastAsia="Times New Roman" w:cs="Times New Roman"/>
          <w:lang w:val="hy-AM" w:eastAsia="ru-RU"/>
        </w:rPr>
        <w:t xml:space="preserve"> </w:t>
      </w:r>
      <w:r w:rsidRPr="00542A21">
        <w:rPr>
          <w:rFonts w:eastAsia="Times New Roman" w:cs="Sylfaen"/>
          <w:lang w:val="hy-AM" w:eastAsia="ru-RU"/>
        </w:rPr>
        <w:t>անկախ</w:t>
      </w:r>
      <w:r w:rsidRPr="00542A21">
        <w:rPr>
          <w:rFonts w:eastAsia="Times New Roman" w:cs="Times New Roman"/>
          <w:lang w:val="hy-AM" w:eastAsia="ru-RU"/>
        </w:rPr>
        <w:t xml:space="preserve"> </w:t>
      </w:r>
      <w:r w:rsidRPr="00542A21">
        <w:rPr>
          <w:rFonts w:eastAsia="Times New Roman" w:cs="Sylfaen"/>
          <w:lang w:val="hy-AM" w:eastAsia="ru-RU"/>
        </w:rPr>
        <w:t>հանձնախմբի</w:t>
      </w:r>
      <w:r w:rsidRPr="00542A21">
        <w:rPr>
          <w:rFonts w:eastAsia="Times New Roman" w:cs="Times New Roman"/>
          <w:lang w:val="hy-AM" w:eastAsia="ru-RU"/>
        </w:rPr>
        <w:t xml:space="preserve"> </w:t>
      </w:r>
      <w:r w:rsidRPr="00542A21">
        <w:rPr>
          <w:rFonts w:eastAsia="Times New Roman" w:cs="Sylfaen"/>
          <w:lang w:val="hy-AM" w:eastAsia="ru-RU"/>
        </w:rPr>
        <w:t>կողմից</w:t>
      </w:r>
      <w:r w:rsidRPr="00542A21">
        <w:rPr>
          <w:rFonts w:eastAsia="Times New Roman" w:cs="Times New Roman"/>
          <w:lang w:val="hy-AM" w:eastAsia="ru-RU"/>
        </w:rPr>
        <w:t xml:space="preserve"> </w:t>
      </w:r>
      <w:r w:rsidRPr="00542A21">
        <w:rPr>
          <w:rFonts w:eastAsia="Times New Roman" w:cs="Sylfaen"/>
          <w:lang w:val="hy-AM" w:eastAsia="ru-RU"/>
        </w:rPr>
        <w:t>Հայաստանի</w:t>
      </w:r>
      <w:r w:rsidRPr="00542A21">
        <w:rPr>
          <w:rFonts w:eastAsia="Times New Roman" w:cs="Times New Roman"/>
          <w:lang w:val="hy-AM" w:eastAsia="ru-RU"/>
        </w:rPr>
        <w:t xml:space="preserve"> </w:t>
      </w:r>
      <w:r w:rsidRPr="00542A21">
        <w:rPr>
          <w:rFonts w:eastAsia="Times New Roman" w:cs="Sylfaen"/>
          <w:lang w:val="hy-AM" w:eastAsia="ru-RU"/>
        </w:rPr>
        <w:t>մարդու</w:t>
      </w:r>
      <w:r w:rsidRPr="00542A21">
        <w:rPr>
          <w:rFonts w:eastAsia="Times New Roman" w:cs="Times New Roman"/>
          <w:lang w:val="hy-AM" w:eastAsia="ru-RU"/>
        </w:rPr>
        <w:t xml:space="preserve"> </w:t>
      </w:r>
      <w:r w:rsidRPr="00542A21">
        <w:rPr>
          <w:rFonts w:eastAsia="Times New Roman" w:cs="Sylfaen"/>
          <w:lang w:val="hy-AM" w:eastAsia="ru-RU"/>
        </w:rPr>
        <w:t>իրավունքների</w:t>
      </w:r>
      <w:r w:rsidRPr="00542A21">
        <w:rPr>
          <w:rFonts w:eastAsia="Times New Roman" w:cs="Times New Roman"/>
          <w:lang w:val="hy-AM" w:eastAsia="ru-RU"/>
        </w:rPr>
        <w:t xml:space="preserve"> </w:t>
      </w:r>
      <w:r w:rsidRPr="00542A21">
        <w:rPr>
          <w:rFonts w:eastAsia="Times New Roman" w:cs="Sylfaen"/>
          <w:lang w:val="hy-AM" w:eastAsia="ru-RU"/>
        </w:rPr>
        <w:t>պաշտպանի</w:t>
      </w:r>
      <w:r w:rsidRPr="00542A21">
        <w:rPr>
          <w:rFonts w:eastAsia="Times New Roman" w:cs="Times New Roman"/>
          <w:lang w:val="hy-AM" w:eastAsia="ru-RU"/>
        </w:rPr>
        <w:t xml:space="preserve"> </w:t>
      </w:r>
      <w:r w:rsidRPr="00542A21">
        <w:rPr>
          <w:rFonts w:eastAsia="Times New Roman" w:cs="Sylfaen"/>
          <w:lang w:val="hy-AM" w:eastAsia="ru-RU"/>
        </w:rPr>
        <w:t>հաստատությանը</w:t>
      </w:r>
      <w:r w:rsidRPr="00542A21">
        <w:rPr>
          <w:rFonts w:eastAsia="Times New Roman" w:cs="Times New Roman"/>
          <w:lang w:val="hy-AM" w:eastAsia="ru-RU"/>
        </w:rPr>
        <w:t xml:space="preserve"> </w:t>
      </w:r>
      <w:r w:rsidRPr="00542A21">
        <w:rPr>
          <w:rFonts w:eastAsia="Times New Roman" w:cs="Sylfaen"/>
          <w:lang w:val="hy-AM" w:eastAsia="ru-RU"/>
        </w:rPr>
        <w:t>շնորհված</w:t>
      </w:r>
      <w:r w:rsidRPr="00542A21">
        <w:rPr>
          <w:rFonts w:eastAsia="Times New Roman" w:cs="Times New Roman"/>
          <w:lang w:val="hy-AM" w:eastAsia="ru-RU"/>
        </w:rPr>
        <w:t xml:space="preserve"> </w:t>
      </w:r>
      <w:r w:rsidRPr="00542A21">
        <w:rPr>
          <w:rFonts w:eastAsia="Times New Roman" w:cs="Sylfaen"/>
          <w:lang w:val="hy-AM" w:eastAsia="ru-RU"/>
        </w:rPr>
        <w:t>ամենաբարձր</w:t>
      </w:r>
      <w:r w:rsidRPr="00542A21">
        <w:rPr>
          <w:rFonts w:eastAsia="Times New Roman" w:cs="Times New Roman"/>
          <w:lang w:val="hy-AM" w:eastAsia="ru-RU"/>
        </w:rPr>
        <w:t xml:space="preserve"> «A» </w:t>
      </w:r>
      <w:r w:rsidRPr="00542A21">
        <w:rPr>
          <w:rFonts w:eastAsia="Times New Roman" w:cs="Sylfaen"/>
          <w:lang w:val="hy-AM" w:eastAsia="ru-RU"/>
        </w:rPr>
        <w:t>միջազ</w:t>
      </w:r>
      <w:r w:rsidRPr="00542A21">
        <w:rPr>
          <w:rFonts w:eastAsia="Times New Roman" w:cs="Times New Roman"/>
          <w:lang w:val="hy-AM" w:eastAsia="ru-RU"/>
        </w:rPr>
        <w:t>գ</w:t>
      </w:r>
      <w:r w:rsidRPr="00542A21">
        <w:rPr>
          <w:rFonts w:eastAsia="Times New Roman" w:cs="Sylfaen"/>
          <w:lang w:val="hy-AM" w:eastAsia="ru-RU"/>
        </w:rPr>
        <w:t>ային</w:t>
      </w:r>
      <w:r w:rsidRPr="00542A21">
        <w:rPr>
          <w:rFonts w:eastAsia="Times New Roman" w:cs="Times New Roman"/>
          <w:lang w:val="hy-AM" w:eastAsia="ru-RU"/>
        </w:rPr>
        <w:t xml:space="preserve"> </w:t>
      </w:r>
      <w:r w:rsidRPr="00542A21">
        <w:rPr>
          <w:rFonts w:eastAsia="Times New Roman" w:cs="Sylfaen"/>
          <w:lang w:val="hy-AM" w:eastAsia="ru-RU"/>
        </w:rPr>
        <w:t>հեղինակավոր</w:t>
      </w:r>
      <w:r w:rsidRPr="00542A21">
        <w:rPr>
          <w:rFonts w:eastAsia="Times New Roman" w:cs="Times New Roman"/>
          <w:lang w:val="hy-AM" w:eastAsia="ru-RU"/>
        </w:rPr>
        <w:t xml:space="preserve"> </w:t>
      </w:r>
      <w:r w:rsidRPr="00542A21">
        <w:rPr>
          <w:rFonts w:eastAsia="Times New Roman" w:cs="Sylfaen"/>
          <w:lang w:val="hy-AM" w:eastAsia="ru-RU"/>
        </w:rPr>
        <w:t>կարգավիճակի</w:t>
      </w:r>
      <w:r w:rsidRPr="00542A21">
        <w:rPr>
          <w:rFonts w:eastAsia="Times New Roman" w:cs="Times New Roman"/>
          <w:lang w:val="hy-AM" w:eastAsia="ru-RU"/>
        </w:rPr>
        <w:t xml:space="preserve"> </w:t>
      </w:r>
      <w:r w:rsidRPr="00542A21">
        <w:rPr>
          <w:rFonts w:eastAsia="Times New Roman" w:cs="Sylfaen"/>
          <w:lang w:val="hy-AM" w:eastAsia="ru-RU"/>
        </w:rPr>
        <w:t>պահպանումը</w:t>
      </w:r>
      <w:r w:rsidRPr="00542A21">
        <w:rPr>
          <w:rFonts w:eastAsia="Times New Roman" w:cs="Times New Roman"/>
          <w:lang w:val="hy-AM" w:eastAsia="ru-RU"/>
        </w:rPr>
        <w:t xml:space="preserve"> (</w:t>
      </w:r>
      <w:r w:rsidRPr="00542A21">
        <w:rPr>
          <w:rFonts w:eastAsia="Times New Roman" w:cs="Sylfaen"/>
          <w:lang w:val="hy-AM" w:eastAsia="ru-RU"/>
        </w:rPr>
        <w:t>վերահաստատումը</w:t>
      </w:r>
      <w:r w:rsidRPr="00542A21">
        <w:rPr>
          <w:rFonts w:eastAsia="Times New Roman" w:cs="Times New Roman"/>
          <w:lang w:val="hy-AM" w:eastAsia="ru-RU"/>
        </w:rPr>
        <w:t>):</w:t>
      </w:r>
    </w:p>
    <w:p w14:paraId="0D16644B" w14:textId="77777777" w:rsidR="00080175" w:rsidRPr="00FE0674" w:rsidRDefault="00080175" w:rsidP="004247C0">
      <w:pPr>
        <w:tabs>
          <w:tab w:val="left" w:pos="0"/>
          <w:tab w:val="left" w:pos="810"/>
          <w:tab w:val="left" w:pos="1080"/>
        </w:tabs>
        <w:spacing w:before="120" w:after="0" w:line="276" w:lineRule="auto"/>
        <w:ind w:firstLine="0"/>
        <w:rPr>
          <w:rFonts w:eastAsia="Times New Roman" w:cs="Times New Roman"/>
          <w:sz w:val="24"/>
          <w:szCs w:val="24"/>
          <w:lang w:val="hy-AM" w:eastAsia="ru-RU"/>
        </w:rPr>
      </w:pPr>
    </w:p>
    <w:p w14:paraId="2F124E2A" w14:textId="7B13EB76"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5" w:name="_Toc170926349"/>
      <w:r w:rsidRPr="00B024E7">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B024E7">
        <w:rPr>
          <w:rFonts w:eastAsia="Times New Roman" w:cs="Times New Roman"/>
          <w:b w:val="0"/>
          <w:caps w:val="0"/>
          <w:color w:val="44546A" w:themeColor="text2"/>
          <w:sz w:val="24"/>
          <w:szCs w:val="24"/>
          <w:lang w:val="fr-FR"/>
        </w:rPr>
        <w:t>.7. ԲԱՐՁՐԱԳՈՒՅՆ ԴԱՏԱԿԱՆ ԽՈՐՀՈՒՐԴ</w:t>
      </w:r>
      <w:bookmarkEnd w:id="235"/>
    </w:p>
    <w:p w14:paraId="34F8A513" w14:textId="77777777" w:rsidR="0053440D" w:rsidRPr="006D57A2" w:rsidRDefault="0053440D" w:rsidP="004247C0">
      <w:pPr>
        <w:tabs>
          <w:tab w:val="left" w:pos="0"/>
          <w:tab w:val="left" w:pos="810"/>
          <w:tab w:val="left" w:pos="1080"/>
        </w:tabs>
        <w:spacing w:before="120" w:after="0" w:line="276" w:lineRule="auto"/>
        <w:ind w:firstLine="0"/>
        <w:rPr>
          <w:rFonts w:eastAsia="Times New Roman" w:cs="Times New Roman"/>
          <w:kern w:val="16"/>
          <w:lang w:val="hy-AM"/>
        </w:rPr>
      </w:pPr>
      <w:r w:rsidRPr="006D57A2">
        <w:rPr>
          <w:rFonts w:eastAsia="Times New Roman" w:cs="Times New Roman"/>
          <w:kern w:val="16"/>
          <w:lang w:val="hy-AM"/>
        </w:rPr>
        <w:t>Բարձրագույն դատական խորհուրդն անկախ պետական մարմին է, որը Սահմանադրությամբ և «ՀՀ դատական օրենսգրիք» ՀՀ սահմանադրական օրենքով սահմանված լիազորություններն իրականացնելու միջոցով երաշխավորում է դատարանների և դատավորների անկախությունը: Բարձրագույն դատական խորհրդի գլխավոր նպատակն է նախադրյալներ ստեղծել Հայաստանում ձևավորելու արդարադատության անկախության, անաչառության, մատչելիության, թափանցիկության, հաշվետվողականության և արդյունավետության նոր մշակույթ: Բարձրագույն դատական խորհրդի կողմից որդեգրվել են փոխկապակցված ու փոխլրացնող ռազմավարական ուղղություններ, մոտեցումը համակարգային է, հատվածական կամ այսրոպեական լուծումները չեն կարող ակնկալվող արդյունքներն ապահովել: Հստակ առանձնացվում են ճգնաժամային և ֆունկցիոնալ կառավարման խնդիրներ:</w:t>
      </w:r>
    </w:p>
    <w:p w14:paraId="41E1A889" w14:textId="77777777" w:rsidR="0053440D" w:rsidRPr="006D57A2" w:rsidRDefault="0053440D" w:rsidP="004247C0">
      <w:pPr>
        <w:tabs>
          <w:tab w:val="left" w:pos="0"/>
          <w:tab w:val="left" w:pos="810"/>
          <w:tab w:val="left" w:pos="1080"/>
        </w:tabs>
        <w:spacing w:before="120" w:after="0" w:line="276" w:lineRule="auto"/>
        <w:ind w:firstLine="0"/>
        <w:rPr>
          <w:rFonts w:eastAsia="Times New Roman" w:cs="Times New Roman"/>
          <w:kern w:val="16"/>
          <w:lang w:val="hy-AM"/>
        </w:rPr>
      </w:pPr>
      <w:r w:rsidRPr="006D57A2">
        <w:rPr>
          <w:rFonts w:eastAsia="Times New Roman" w:cs="Times New Roman"/>
          <w:kern w:val="16"/>
          <w:lang w:val="hy-AM"/>
        </w:rPr>
        <w:t>Բարձրագույն դատական խորհրդի կողմից մշակված արդյունավետ արդարադատության արդյունավետության ռազմավարական առաջնահերթությունների շրջանակներում նախատեսվում են օրենսդրական և կազմակերպչական բնույթի այնպիսի քայլեր, ինչպիսիք են արդարադատության ծախսատարության կրճատումը, էլեկտրոնային արդարադատության փուլային ներդրումը, դատական գործերի կառավարման ժամանակակից թվայնացված համակարգի ներդրումը, արդարադատության համակարգային մշտադիտարկումը, դատական արխիվների և ընթացիկ գործերի ամբողջական թվայնացման համակարգի արմատավորումը, դատարանների շենքային ու նյութատեխնիկական պայմանների որակական բարելավումը, դատարանների ու դատավորների նյութական ու սոցիալական անկախության անհրաժեշտ ու բավարար երաշխիքների ապահովումը, դատավորների օպտիմալ ծանրաբեռնվածության ապահովումը:</w:t>
      </w:r>
    </w:p>
    <w:p w14:paraId="090B796C" w14:textId="77777777" w:rsidR="0053440D" w:rsidRPr="006D57A2" w:rsidRDefault="0053440D" w:rsidP="004247C0">
      <w:pPr>
        <w:tabs>
          <w:tab w:val="left" w:pos="0"/>
          <w:tab w:val="left" w:pos="810"/>
          <w:tab w:val="left" w:pos="1080"/>
        </w:tabs>
        <w:spacing w:before="120" w:after="0" w:line="276" w:lineRule="auto"/>
        <w:ind w:firstLine="0"/>
        <w:rPr>
          <w:rFonts w:eastAsia="Times New Roman" w:cs="Times New Roman"/>
          <w:kern w:val="16"/>
          <w:lang w:val="hy-AM"/>
        </w:rPr>
      </w:pPr>
      <w:r w:rsidRPr="006D57A2">
        <w:rPr>
          <w:rFonts w:eastAsia="Times New Roman" w:cs="Times New Roman"/>
          <w:kern w:val="16"/>
          <w:lang w:val="hy-AM"/>
        </w:rPr>
        <w:t>ՄԺԾԾ ժամանակահատվածում հիմնական ծախսային գերակայություններն են.</w:t>
      </w:r>
    </w:p>
    <w:p w14:paraId="183DDC0F" w14:textId="77777777" w:rsidR="0053440D" w:rsidRDefault="0053440D" w:rsidP="004247C0">
      <w:pPr>
        <w:tabs>
          <w:tab w:val="left" w:pos="0"/>
          <w:tab w:val="left" w:pos="810"/>
          <w:tab w:val="left" w:pos="1080"/>
        </w:tabs>
        <w:spacing w:before="120" w:after="0" w:line="276" w:lineRule="auto"/>
        <w:ind w:firstLine="0"/>
        <w:rPr>
          <w:rFonts w:eastAsia="Times New Roman" w:cs="Times New Roman"/>
          <w:kern w:val="16"/>
          <w:lang w:val="hy-AM"/>
        </w:rPr>
      </w:pPr>
      <w:r w:rsidRPr="006D57A2">
        <w:rPr>
          <w:rFonts w:eastAsia="Times New Roman" w:cs="Times New Roman"/>
          <w:kern w:val="16"/>
          <w:lang w:val="hy-AM"/>
        </w:rPr>
        <w:t xml:space="preserve">Սահմանված ժամանակահատվածում, ինչպես նաև հաջորդող տարիներին թիրախային նպատակը համարվում է </w:t>
      </w:r>
      <w:r>
        <w:rPr>
          <w:rFonts w:eastAsia="Times New Roman" w:cs="Times New Roman"/>
          <w:kern w:val="16"/>
          <w:lang w:val="hy-AM"/>
        </w:rPr>
        <w:t>ը</w:t>
      </w:r>
      <w:r w:rsidRPr="00366C9F">
        <w:rPr>
          <w:rFonts w:eastAsia="Times New Roman" w:cs="Times New Roman"/>
          <w:kern w:val="16"/>
          <w:lang w:val="hy-AM"/>
        </w:rPr>
        <w:t>ստ Արևելյան գործընկերության /ԱԼԳ/ Հայաստանի դատական իշխանության անկախության ինդեքսի</w:t>
      </w:r>
      <w:r w:rsidRPr="006D57A2">
        <w:rPr>
          <w:rFonts w:eastAsia="Times New Roman" w:cs="Times New Roman"/>
          <w:kern w:val="16"/>
          <w:lang w:val="hy-AM"/>
        </w:rPr>
        <w:t xml:space="preserve"> բարելավումը՝ միջազգային հարթակում դիրքի ամրապնդման համար, անկախ, անաչառ, մատչելի, արդյունավետ ու հաշվետու ա</w:t>
      </w:r>
      <w:r>
        <w:rPr>
          <w:rFonts w:eastAsia="Times New Roman" w:cs="Times New Roman"/>
          <w:kern w:val="16"/>
          <w:lang w:val="hy-AM"/>
        </w:rPr>
        <w:t>րդարադատություն ունենալու համար</w:t>
      </w:r>
      <w:r w:rsidRPr="006D57A2">
        <w:rPr>
          <w:rFonts w:eastAsia="Times New Roman" w:cs="Times New Roman"/>
          <w:kern w:val="16"/>
          <w:lang w:val="hy-AM"/>
        </w:rPr>
        <w:t>:</w:t>
      </w:r>
    </w:p>
    <w:p w14:paraId="182FEB4A" w14:textId="77777777" w:rsidR="0053440D" w:rsidRPr="00756644" w:rsidRDefault="0053440D" w:rsidP="004247C0">
      <w:pPr>
        <w:tabs>
          <w:tab w:val="left" w:pos="0"/>
          <w:tab w:val="left" w:pos="810"/>
          <w:tab w:val="left" w:pos="1080"/>
        </w:tabs>
        <w:spacing w:before="120" w:after="0" w:line="276" w:lineRule="auto"/>
        <w:ind w:firstLine="0"/>
        <w:rPr>
          <w:rFonts w:eastAsia="Times New Roman" w:cs="Times New Roman"/>
          <w:kern w:val="16"/>
          <w:lang w:val="hy-AM"/>
        </w:rPr>
      </w:pPr>
    </w:p>
    <w:p w14:paraId="425B3BD0" w14:textId="0835F0AB"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6" w:name="_Toc170926350"/>
      <w:r>
        <w:rPr>
          <w:rFonts w:eastAsia="Times New Roman" w:cs="Times New Roman"/>
          <w:b w:val="0"/>
          <w:caps w:val="0"/>
          <w:color w:val="44546A" w:themeColor="text2"/>
          <w:sz w:val="24"/>
          <w:szCs w:val="24"/>
          <w:lang w:val="fr-FR"/>
        </w:rPr>
        <w:lastRenderedPageBreak/>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.8. </w:t>
      </w:r>
      <w:r w:rsidRPr="00DC5A39">
        <w:rPr>
          <w:rFonts w:eastAsia="Times New Roman" w:cs="Times New Roman"/>
          <w:b w:val="0"/>
          <w:caps w:val="0"/>
          <w:color w:val="44546A" w:themeColor="text2"/>
          <w:sz w:val="24"/>
          <w:szCs w:val="24"/>
          <w:lang w:val="fr-FR"/>
        </w:rPr>
        <w:t>ԿՈՌՈՒՊՑԻԱՅԻ ԿԱՆԽԱՐԳԵԼՄԱՆ ՀԱՆՁՆԱԺՈՂՈՎ</w:t>
      </w:r>
      <w:bookmarkEnd w:id="236"/>
    </w:p>
    <w:p w14:paraId="267C0D28" w14:textId="77777777" w:rsidR="00DC5A39" w:rsidRDefault="00DC5A39" w:rsidP="004247C0">
      <w:pPr>
        <w:tabs>
          <w:tab w:val="left" w:pos="0"/>
          <w:tab w:val="left" w:pos="810"/>
          <w:tab w:val="left" w:pos="1080"/>
        </w:tabs>
        <w:spacing w:before="120" w:after="0" w:line="276" w:lineRule="auto"/>
        <w:ind w:firstLine="0"/>
        <w:rPr>
          <w:rFonts w:eastAsia="Times New Roman" w:cs="Times New Roman"/>
          <w:kern w:val="16"/>
          <w:lang w:val="hy-AM"/>
        </w:rPr>
      </w:pPr>
      <w:r>
        <w:rPr>
          <w:rFonts w:eastAsia="Times New Roman" w:cs="Times New Roman"/>
          <w:kern w:val="16"/>
          <w:lang w:val="hy-AM"/>
        </w:rPr>
        <w:t>Հանձնաժողովի գործունեության ոլորտն առնչվում է.</w:t>
      </w:r>
    </w:p>
    <w:p w14:paraId="00116F95" w14:textId="77777777" w:rsidR="00DC5A39" w:rsidRDefault="00DC5A39" w:rsidP="004247C0">
      <w:pPr>
        <w:numPr>
          <w:ilvl w:val="0"/>
          <w:numId w:val="23"/>
        </w:numPr>
        <w:tabs>
          <w:tab w:val="left" w:pos="0"/>
        </w:tabs>
        <w:spacing w:before="120" w:after="0" w:line="276" w:lineRule="auto"/>
        <w:ind w:left="180" w:firstLine="0"/>
        <w:rPr>
          <w:rFonts w:eastAsia="Times New Roman" w:cs="Sylfaen"/>
          <w:bCs/>
          <w:kern w:val="16"/>
          <w:lang w:val="hy-AM"/>
        </w:rPr>
      </w:pPr>
      <w:r>
        <w:rPr>
          <w:rFonts w:eastAsia="Times New Roman" w:cs="Sylfaen"/>
          <w:bCs/>
          <w:kern w:val="16"/>
          <w:lang w:val="hy-AM"/>
        </w:rPr>
        <w:t xml:space="preserve">ՀՀ Կառավարության 2023 թվականի հոկտեմբերի 26-ի N 1871-Լ որոշմամբ սահմանված կոռուպցիայի կանխարգելման քաղաքականությանը՝ ինստիտուցիոնալ համակարգի ներդրման և կայացման առումով, </w:t>
      </w:r>
    </w:p>
    <w:p w14:paraId="37F25583" w14:textId="77777777" w:rsidR="00DC5A39" w:rsidRDefault="00DC5A39" w:rsidP="004247C0">
      <w:pPr>
        <w:numPr>
          <w:ilvl w:val="0"/>
          <w:numId w:val="23"/>
        </w:numPr>
        <w:tabs>
          <w:tab w:val="left" w:pos="0"/>
          <w:tab w:val="left" w:pos="284"/>
        </w:tabs>
        <w:spacing w:before="120" w:after="0" w:line="276" w:lineRule="auto"/>
        <w:ind w:left="0" w:firstLine="0"/>
        <w:rPr>
          <w:rFonts w:eastAsia="Times New Roman" w:cs="Sylfaen"/>
          <w:bCs/>
          <w:kern w:val="16"/>
          <w:lang w:val="hy-AM"/>
        </w:rPr>
      </w:pPr>
      <w:r>
        <w:rPr>
          <w:rFonts w:eastAsia="Times New Roman" w:cs="Sylfaen"/>
          <w:bCs/>
          <w:kern w:val="16"/>
          <w:lang w:val="hy-AM"/>
        </w:rPr>
        <w:t xml:space="preserve"> «Հանրային ծառայության մասին» օրենքով սահմանված հայտարարագրման համակարգին, ինչպես նաև </w:t>
      </w:r>
    </w:p>
    <w:p w14:paraId="66C746C6" w14:textId="77777777" w:rsidR="00DC5A39" w:rsidRDefault="00DC5A39" w:rsidP="004247C0">
      <w:pPr>
        <w:numPr>
          <w:ilvl w:val="0"/>
          <w:numId w:val="23"/>
        </w:numPr>
        <w:tabs>
          <w:tab w:val="left" w:pos="0"/>
          <w:tab w:val="left" w:pos="284"/>
        </w:tabs>
        <w:spacing w:before="120" w:after="0" w:line="276" w:lineRule="auto"/>
        <w:ind w:left="0" w:firstLine="0"/>
        <w:rPr>
          <w:rFonts w:eastAsia="Times New Roman" w:cs="Sylfaen"/>
          <w:bCs/>
          <w:kern w:val="16"/>
          <w:lang w:val="hy-AM"/>
        </w:rPr>
      </w:pPr>
      <w:r>
        <w:rPr>
          <w:rFonts w:eastAsia="Times New Roman" w:cs="Sylfaen"/>
          <w:bCs/>
          <w:kern w:val="16"/>
          <w:lang w:val="hy-AM"/>
        </w:rPr>
        <w:t xml:space="preserve">«Կոռուպցիայի կանխարգելման հանձնաժողովի մասին» օրենքով սահմանված Հանձնաժողովի հետևյալ լիազորությունների իրականացմանը՝ </w:t>
      </w:r>
    </w:p>
    <w:p w14:paraId="05F30CA6"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eastAsiaTheme="minorHAnsi" w:cs="GHEA Grapalat"/>
          <w:lang w:val="hy-AM"/>
        </w:rPr>
      </w:pPr>
      <w:r>
        <w:rPr>
          <w:rFonts w:cs="GHEA Grapalat"/>
          <w:lang w:val="hy-AM"/>
        </w:rPr>
        <w:t>պետական պաշտոն զբաղեցնող անձանց, համայնքների ղեկավարների, նրանց տեղակալների, Երևան համայնքի վարչական շրջանների ղեկավարների, նրանց տեղակալների պաշտոն զբաղեցնող անձանց կողմից «Հանրային ծառայության մասին» օրենքով սահմանված անհամատեղելիության պահանջների և այլ սահմանափակումների, ինչպես նաև պետական պաշտոն զբաղեցնող անձանց (բացառությամբ պատգամավորի, դատավորի, Բարձրագույն դատական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վարքագծի կանոնների խախտումների և իրավիճակային շահերի բախման դեպքերի վերաբերյալ դիմումների քննություն և որոշումների կայացում,</w:t>
      </w:r>
    </w:p>
    <w:p w14:paraId="5838F34D"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eastAsia="Times New Roman" w:cs="Times New Roman"/>
          <w:lang w:val="hy-AM" w:eastAsia="x-none"/>
        </w:rPr>
      </w:pPr>
      <w:r>
        <w:rPr>
          <w:rFonts w:cs="GHEA Grapalat"/>
          <w:lang w:val="hy-AM"/>
        </w:rPr>
        <w:t>հայտարարատու պաշտոնատար անձանց, այդ թվում` «Կուսակցությունների մասին» սահմանադրական օրենքով նախատեսված՝ կուսակցությունների ղեկավար մարմինների պաշտոնատար անձանց</w:t>
      </w:r>
      <w:r>
        <w:rPr>
          <w:rFonts w:ascii="Calibri" w:hAnsi="Calibri" w:cs="Calibri"/>
          <w:lang w:val="hy-AM"/>
        </w:rPr>
        <w:t> </w:t>
      </w:r>
      <w:r>
        <w:rPr>
          <w:rFonts w:cs="GHEA Grapalat"/>
          <w:lang w:val="hy-AM"/>
        </w:rPr>
        <w:t>և հայտարարագրերի ռեեստրի վարում, հայտարարագրի ձևանմուշի,</w:t>
      </w:r>
      <w:r>
        <w:rPr>
          <w:rFonts w:ascii="Calibri" w:hAnsi="Calibri" w:cs="Calibri"/>
          <w:lang w:val="hy-AM"/>
        </w:rPr>
        <w:t> </w:t>
      </w:r>
      <w:hyperlink r:id="rId67" w:history="1">
        <w:r>
          <w:rPr>
            <w:rStyle w:val="Hyperlink"/>
            <w:rFonts w:cs="GHEA Grapalat"/>
            <w:color w:val="auto"/>
            <w:lang w:val="hy-AM"/>
          </w:rPr>
          <w:t>հայտարարագրի լրացմանը ներկայացվող պահանջներ</w:t>
        </w:r>
      </w:hyperlink>
      <w:r>
        <w:rPr>
          <w:rFonts w:eastAsia="Times New Roman" w:cs="Times New Roman"/>
          <w:lang w:val="hy-AM" w:eastAsia="x-none"/>
        </w:rPr>
        <w:t xml:space="preserve">ի, հայտարարագրերի ռեեստրի տվյալների ցանկի, </w:t>
      </w:r>
      <w:r>
        <w:rPr>
          <w:rFonts w:ascii="Calibri" w:eastAsia="Times New Roman" w:hAnsi="Calibri" w:cs="Calibri"/>
          <w:lang w:val="hy-AM" w:eastAsia="x-none"/>
        </w:rPr>
        <w:t> </w:t>
      </w:r>
      <w:hyperlink r:id="rId68" w:history="1">
        <w:r>
          <w:rPr>
            <w:rStyle w:val="Hyperlink"/>
            <w:rFonts w:eastAsia="Times New Roman" w:cs="Times New Roman"/>
            <w:color w:val="auto"/>
            <w:lang w:val="hy-AM" w:eastAsia="x-none"/>
          </w:rPr>
          <w:t>հայտարարագրի ներկայացման և հայտարարագրված տվյալներում փոփոխություն կատարելու</w:t>
        </w:r>
      </w:hyperlink>
      <w:r>
        <w:rPr>
          <w:rFonts w:eastAsia="Times New Roman" w:cs="Times New Roman"/>
          <w:lang w:val="hy-AM" w:eastAsia="x-none"/>
        </w:rPr>
        <w:t>, հայտարարագրի արխիվացման կարգերի, ինչպես նաև հայտարարագրերի վերլուծության մեթոդաբանության և ռիսկային չափորոշիչների սահմանում,</w:t>
      </w:r>
    </w:p>
    <w:p w14:paraId="1BDAB741"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eastAsiaTheme="minorHAnsi" w:cs="GHEA Grapalat"/>
          <w:lang w:val="hy-AM"/>
        </w:rPr>
      </w:pPr>
      <w:r>
        <w:rPr>
          <w:rFonts w:cs="GHEA Grapalat"/>
          <w:lang w:val="hy-AM"/>
        </w:rPr>
        <w:t>հայտարարագրմանն առնչվող խախտումների վերաբերյալ գործերի քննում,</w:t>
      </w:r>
    </w:p>
    <w:p w14:paraId="30B4E9C4"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eastAsia="Times New Roman" w:cs="Sylfaen"/>
          <w:bCs/>
          <w:kern w:val="16"/>
          <w:lang w:val="hy-AM" w:eastAsia="x-none"/>
        </w:rPr>
      </w:pPr>
      <w:r>
        <w:rPr>
          <w:rFonts w:cs="GHEA Grapalat"/>
          <w:lang w:val="hy-AM"/>
        </w:rPr>
        <w:t>պետական</w:t>
      </w:r>
      <w:r>
        <w:rPr>
          <w:rFonts w:eastAsia="Times New Roman" w:cs="Times New Roman"/>
          <w:lang w:val="hy-AM" w:eastAsia="x-none"/>
        </w:rPr>
        <w:t xml:space="preserve"> պաշտոն զբաղեցնող անձանց (բացառությամբ պատգամավորի, դատավորի, Բարձրագույն դատա</w:t>
      </w:r>
      <w:r>
        <w:rPr>
          <w:rFonts w:eastAsia="Times New Roman" w:cs="Sylfaen"/>
          <w:bCs/>
          <w:kern w:val="16"/>
          <w:lang w:val="hy-AM" w:eastAsia="x-none"/>
        </w:rPr>
        <w:t xml:space="preserve">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վարքագծի կանոնների վերաբերյալ խորհրդատվական բնույթի պարզաբանումներ, ինչպես նաև շահերի բախման իրավիճակի լուծմանն ուղղված քայլեր ձեռնարկելու վերաբերյալ առաջարկությունների ներկայացում, </w:t>
      </w:r>
    </w:p>
    <w:p w14:paraId="2778E40A"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eastAsiaTheme="minorHAnsi" w:cs="GHEA Grapalat"/>
          <w:lang w:val="hy-AM"/>
        </w:rPr>
      </w:pPr>
      <w:r>
        <w:rPr>
          <w:rFonts w:cs="GHEA Grapalat"/>
          <w:lang w:val="hy-AM"/>
        </w:rPr>
        <w:t xml:space="preserve">անհամատեղելիության պահանջների և այլ սահմանափակումների, վարքագծի կանոնների խախտումների, շահերի բախման դեպքերի վիճակագրության վարում, </w:t>
      </w:r>
    </w:p>
    <w:p w14:paraId="63D11352"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Հանրային ծառայողների կողմից նվերների հաշվառման ռեեստրի ներդրում և վարում,</w:t>
      </w:r>
    </w:p>
    <w:p w14:paraId="66DF19C3"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պետական կառավարման և տեղական ինքնակառավարման մարմիններում կոռուպցիոն ռիսկերի կառուցակարգերի ներդրում և կիրառում,</w:t>
      </w:r>
    </w:p>
    <w:p w14:paraId="17EC3A0A"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lastRenderedPageBreak/>
        <w:t xml:space="preserve">կոռուպցիայի դեմ պայքարին առնչվող ռազմավարությունների և միջոցառումների ծրագրերի (այդ թվում՝ ոլորտային), նախագծերի փորձագիտական վերլուծություն և դրանց վերաբերյալ իրավասու մարմնին առաջարկությունների ներկայացում, </w:t>
      </w:r>
    </w:p>
    <w:p w14:paraId="5C7B5032"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 xml:space="preserve">կոռուպցիայի կանխարգելման ծրագրերի մշակում և դրանց ներկայացում ՀՀ կառավարությանը, </w:t>
      </w:r>
    </w:p>
    <w:p w14:paraId="01C081B5" w14:textId="77777777" w:rsidR="00DC5A39" w:rsidRDefault="00DC5A39" w:rsidP="004247C0">
      <w:pPr>
        <w:numPr>
          <w:ilvl w:val="0"/>
          <w:numId w:val="30"/>
        </w:numPr>
        <w:tabs>
          <w:tab w:val="left" w:pos="0"/>
          <w:tab w:val="left" w:pos="284"/>
        </w:tabs>
        <w:autoSpaceDE w:val="0"/>
        <w:autoSpaceDN w:val="0"/>
        <w:adjustRightInd w:val="0"/>
        <w:spacing w:before="120" w:after="0" w:line="276" w:lineRule="auto"/>
        <w:rPr>
          <w:rFonts w:cs="GHEA Grapalat"/>
          <w:lang w:val="hy-AM"/>
        </w:rPr>
      </w:pPr>
      <w:r>
        <w:rPr>
          <w:rFonts w:cs="GHEA Grapalat"/>
          <w:lang w:val="hy-AM"/>
        </w:rPr>
        <w:t xml:space="preserve">կոռուպցիայի դեմ պայքարին առնչվող հարցերով կրթական և հանրային իրազեկման բարձրացման ծրագրերի և իրականացնում միջոցառումների մշակում, </w:t>
      </w:r>
    </w:p>
    <w:p w14:paraId="513CB3AD" w14:textId="77777777" w:rsidR="00DC5A39" w:rsidRDefault="00DC5A39" w:rsidP="004247C0">
      <w:pPr>
        <w:numPr>
          <w:ilvl w:val="0"/>
          <w:numId w:val="30"/>
        </w:numPr>
        <w:tabs>
          <w:tab w:val="left" w:pos="0"/>
          <w:tab w:val="left" w:pos="90"/>
          <w:tab w:val="left" w:pos="284"/>
        </w:tabs>
        <w:autoSpaceDE w:val="0"/>
        <w:autoSpaceDN w:val="0"/>
        <w:adjustRightInd w:val="0"/>
        <w:spacing w:before="120" w:after="0" w:line="276" w:lineRule="auto"/>
        <w:rPr>
          <w:rFonts w:cs="GHEA Grapalat"/>
          <w:lang w:val="hy-AM"/>
        </w:rPr>
      </w:pPr>
      <w:r>
        <w:rPr>
          <w:rFonts w:cs="GHEA Grapalat"/>
          <w:lang w:val="hy-AM"/>
        </w:rPr>
        <w:t xml:space="preserve">իր մշակած հակակոռուպցիոն ծրագրերի և դրանց իրականացման միջոցառումների ծրագրի (այդ թվում՝ ոլորտային) կատարման վերաբերյալ մոնիտորինգի զեկույցների մշակում, դրանց վերաբերյալ առաջարկությունների ներկայացում իրավասու մարմիններին, </w:t>
      </w:r>
    </w:p>
    <w:p w14:paraId="20C5D329" w14:textId="77777777" w:rsidR="00DC5A39" w:rsidRDefault="00DC5A39" w:rsidP="004247C0">
      <w:pPr>
        <w:numPr>
          <w:ilvl w:val="0"/>
          <w:numId w:val="30"/>
        </w:numPr>
        <w:tabs>
          <w:tab w:val="left" w:pos="0"/>
          <w:tab w:val="left" w:pos="90"/>
          <w:tab w:val="left" w:pos="284"/>
        </w:tabs>
        <w:autoSpaceDE w:val="0"/>
        <w:autoSpaceDN w:val="0"/>
        <w:adjustRightInd w:val="0"/>
        <w:spacing w:before="120" w:after="0" w:line="276" w:lineRule="auto"/>
        <w:rPr>
          <w:rFonts w:cs="GHEA Grapalat"/>
          <w:lang w:val="hy-AM"/>
        </w:rPr>
      </w:pPr>
      <w:r>
        <w:rPr>
          <w:rFonts w:cs="GHEA Grapalat"/>
          <w:lang w:val="hy-AM"/>
        </w:rPr>
        <w:t xml:space="preserve">«Հանրային ծառայության մասին» օրենքով սահմանված դեպքերում և կարգով պետական պաշտոններում նշանակման ենթակա անձանց բարեվարքության ուսումնասիրության իրականացում, </w:t>
      </w:r>
    </w:p>
    <w:p w14:paraId="6042982B" w14:textId="77777777" w:rsidR="00DC5A39" w:rsidRDefault="00DC5A39" w:rsidP="004247C0">
      <w:pPr>
        <w:numPr>
          <w:ilvl w:val="0"/>
          <w:numId w:val="30"/>
        </w:numPr>
        <w:tabs>
          <w:tab w:val="left" w:pos="0"/>
          <w:tab w:val="left" w:pos="90"/>
          <w:tab w:val="left" w:pos="284"/>
        </w:tabs>
        <w:autoSpaceDE w:val="0"/>
        <w:autoSpaceDN w:val="0"/>
        <w:adjustRightInd w:val="0"/>
        <w:spacing w:before="120" w:after="0" w:line="276" w:lineRule="auto"/>
        <w:rPr>
          <w:rFonts w:cs="GHEA Grapalat"/>
          <w:lang w:val="hy-AM"/>
        </w:rPr>
      </w:pPr>
      <w:r>
        <w:rPr>
          <w:rFonts w:cs="GHEA Grapalat"/>
          <w:lang w:val="hy-AM"/>
        </w:rPr>
        <w:t xml:space="preserve">պետական պաշտոն զբաղեցնող անձանց (բացառությամբ պատգամավորի, դատավորի, Բարձրագույն դատական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հանրային ծառայողի վարքագծի տիպային կանոնների (կանոնագիրքը) ընդունում, </w:t>
      </w:r>
    </w:p>
    <w:p w14:paraId="75D4A660" w14:textId="77777777" w:rsidR="00DC5A39" w:rsidRDefault="00DC5A39" w:rsidP="004247C0">
      <w:pPr>
        <w:numPr>
          <w:ilvl w:val="0"/>
          <w:numId w:val="30"/>
        </w:numPr>
        <w:tabs>
          <w:tab w:val="left" w:pos="0"/>
          <w:tab w:val="left" w:pos="90"/>
          <w:tab w:val="left" w:pos="284"/>
        </w:tabs>
        <w:autoSpaceDE w:val="0"/>
        <w:autoSpaceDN w:val="0"/>
        <w:adjustRightInd w:val="0"/>
        <w:spacing w:before="120" w:after="0" w:line="276" w:lineRule="auto"/>
        <w:rPr>
          <w:rFonts w:eastAsia="Times New Roman" w:cs="Sylfaen"/>
          <w:bCs/>
          <w:kern w:val="16"/>
          <w:lang w:val="hy-AM" w:eastAsia="x-none"/>
        </w:rPr>
      </w:pPr>
      <w:r>
        <w:rPr>
          <w:rFonts w:cs="GHEA Grapalat"/>
          <w:lang w:val="hy-AM"/>
        </w:rPr>
        <w:t>կուսակցությունների ընթացիկ</w:t>
      </w:r>
      <w:r>
        <w:rPr>
          <w:rFonts w:eastAsia="Times New Roman" w:cs="Sylfaen"/>
          <w:bCs/>
          <w:kern w:val="16"/>
          <w:lang w:val="hy-AM" w:eastAsia="x-none"/>
        </w:rPr>
        <w:t xml:space="preserve"> ֆինանսական գործունեության նկատմամբ վերահսկողության իրականացում, ներառյալ՝ կուսակցությունների տարեկան հաշվետվությունների  ներկայացման պահանջների պահպանման և դրանցում առկա տեղեկատվության և տվյալների արժանահավատության և ամբողջականության ստուգում, դրանց առնչվող խախտումների վերաբերյալ գործերի քննում և լուծում, տարեկան հաշվետվությունների աուդիտի կազմակերպում, կուսակցությունների ղեկավար մարմինների պաշտոնատար անձանց հայտարարագրում (համակարգի ներդրում, ռեեստրի վարում, հայտարարագրերի ստուգում և վերլուծություն, դրանց առնչվող խախտումների վերաբերյալ գործերի քննում և լուծում), «Կուսակցությունների մասին» սահմանադրական օրենքով նախատեսված պետական նպատակային ֆինանսավորման միջոցների օգտագործման ստուգում, թեկնածուների, ընտրություններին մասնակցող կուսակցությունների (կուսակցությունների դաշինքների) նախընտրական հիմնադրամներ, քարոզչության հիմնադրամ կատարված նվիրատվությունների և դրանց օգտագործման վերաբերյալ հայտարարագրերի ներկայացման պահանջների պահպանման, դրանցում առկա տեղեկատվության և տվյալների արժանահավատության ու ամբողջականության ստուգում և այլն:</w:t>
      </w:r>
    </w:p>
    <w:p w14:paraId="79FF9B45" w14:textId="77777777" w:rsidR="00DC5A39" w:rsidRDefault="00DC5A39" w:rsidP="004247C0">
      <w:pPr>
        <w:tabs>
          <w:tab w:val="left" w:pos="0"/>
          <w:tab w:val="left" w:pos="90"/>
          <w:tab w:val="left" w:pos="810"/>
          <w:tab w:val="left" w:pos="1080"/>
        </w:tabs>
        <w:spacing w:before="120" w:after="0" w:line="276" w:lineRule="auto"/>
        <w:ind w:firstLine="0"/>
        <w:rPr>
          <w:rFonts w:eastAsia="Times New Roman" w:cs="Sylfaen"/>
          <w:bCs/>
          <w:kern w:val="16"/>
          <w:lang w:val="hy-AM"/>
        </w:rPr>
      </w:pPr>
      <w:r>
        <w:rPr>
          <w:rFonts w:eastAsia="Times New Roman" w:cs="Sylfaen"/>
          <w:bCs/>
          <w:kern w:val="16"/>
          <w:lang w:val="hy-AM"/>
        </w:rPr>
        <w:t xml:space="preserve">Միջնաժամկետ հատվածում </w:t>
      </w:r>
      <w:r>
        <w:rPr>
          <w:rFonts w:eastAsia="Times New Roman" w:cs="Sylfaen"/>
          <w:iCs/>
          <w:lang w:val="hy-AM"/>
        </w:rPr>
        <w:t xml:space="preserve">Կոռուպցիայի կանխարգելման հանձնաժողովի նպատակն է կոռուպցիայի կանխարգելման և բարեվարքության միասնական համակարգի արդյունավետ կիրառման ապահովումը: Այդ կապակցությամբ միջնաժամկետ հատվածում </w:t>
      </w:r>
      <w:r>
        <w:rPr>
          <w:rFonts w:eastAsia="Times New Roman" w:cs="Sylfaen"/>
          <w:bCs/>
          <w:kern w:val="16"/>
          <w:lang w:val="hy-AM"/>
        </w:rPr>
        <w:t>Կոռուպցիայի կանխարգելման հանձնաժողովը սահմանել է հետևյալ հիմնական թիրախները`</w:t>
      </w:r>
    </w:p>
    <w:p w14:paraId="5DF4A392" w14:textId="77777777" w:rsidR="00DC5A39" w:rsidRDefault="00DC5A39" w:rsidP="004247C0">
      <w:pPr>
        <w:pStyle w:val="ListParagraph"/>
        <w:numPr>
          <w:ilvl w:val="0"/>
          <w:numId w:val="30"/>
        </w:numPr>
        <w:tabs>
          <w:tab w:val="left" w:pos="0"/>
          <w:tab w:val="left" w:pos="90"/>
        </w:tabs>
        <w:spacing w:before="120" w:after="0" w:line="276" w:lineRule="auto"/>
        <w:contextualSpacing w:val="0"/>
        <w:rPr>
          <w:lang w:val="hy-AM"/>
        </w:rPr>
      </w:pPr>
      <w:r>
        <w:rPr>
          <w:rFonts w:cs="Arial"/>
          <w:lang w:val="hy-AM"/>
        </w:rPr>
        <w:t>Օրենսդրական</w:t>
      </w:r>
      <w:r>
        <w:rPr>
          <w:lang w:val="hy-AM"/>
        </w:rPr>
        <w:t xml:space="preserve"> </w:t>
      </w:r>
      <w:r>
        <w:rPr>
          <w:rFonts w:cs="Arial"/>
          <w:lang w:val="hy-AM"/>
        </w:rPr>
        <w:t>փոփոխությունների</w:t>
      </w:r>
      <w:r>
        <w:rPr>
          <w:lang w:val="hy-AM"/>
        </w:rPr>
        <w:t xml:space="preserve"> </w:t>
      </w:r>
      <w:r>
        <w:rPr>
          <w:rFonts w:cs="Arial"/>
          <w:lang w:val="hy-AM"/>
        </w:rPr>
        <w:t>իրականացում</w:t>
      </w:r>
      <w:r>
        <w:rPr>
          <w:lang w:val="hy-AM"/>
        </w:rPr>
        <w:t xml:space="preserve">, </w:t>
      </w:r>
      <w:r>
        <w:rPr>
          <w:rFonts w:cs="Arial"/>
          <w:lang w:val="hy-AM"/>
        </w:rPr>
        <w:t>կանխարգելման</w:t>
      </w:r>
      <w:r>
        <w:rPr>
          <w:lang w:val="hy-AM"/>
        </w:rPr>
        <w:t xml:space="preserve"> </w:t>
      </w:r>
      <w:r>
        <w:rPr>
          <w:rFonts w:cs="Arial"/>
          <w:lang w:val="hy-AM"/>
        </w:rPr>
        <w:t>գործող</w:t>
      </w:r>
      <w:r>
        <w:rPr>
          <w:lang w:val="hy-AM"/>
        </w:rPr>
        <w:t xml:space="preserve"> </w:t>
      </w:r>
      <w:r>
        <w:rPr>
          <w:rFonts w:cs="Arial"/>
          <w:lang w:val="hy-AM"/>
        </w:rPr>
        <w:t>կառուցակարգերի</w:t>
      </w:r>
      <w:r>
        <w:rPr>
          <w:lang w:val="hy-AM"/>
        </w:rPr>
        <w:t xml:space="preserve"> </w:t>
      </w:r>
      <w:r>
        <w:rPr>
          <w:rFonts w:cs="Arial"/>
          <w:lang w:val="hy-AM"/>
        </w:rPr>
        <w:t>կատարելագործում</w:t>
      </w:r>
      <w:r>
        <w:rPr>
          <w:lang w:val="hy-AM"/>
        </w:rPr>
        <w:t>,</w:t>
      </w:r>
    </w:p>
    <w:p w14:paraId="0D33FB79" w14:textId="77777777" w:rsidR="00DC5A39" w:rsidRDefault="00DC5A39" w:rsidP="004247C0">
      <w:pPr>
        <w:pStyle w:val="ListParagraph"/>
        <w:numPr>
          <w:ilvl w:val="0"/>
          <w:numId w:val="30"/>
        </w:numPr>
        <w:tabs>
          <w:tab w:val="left" w:pos="0"/>
          <w:tab w:val="left" w:pos="90"/>
        </w:tabs>
        <w:spacing w:before="120" w:after="0" w:line="276" w:lineRule="auto"/>
        <w:contextualSpacing w:val="0"/>
        <w:rPr>
          <w:lang w:val="hy-AM"/>
        </w:rPr>
      </w:pPr>
      <w:r>
        <w:rPr>
          <w:rFonts w:cs="Arial"/>
          <w:lang w:val="hy-AM"/>
        </w:rPr>
        <w:lastRenderedPageBreak/>
        <w:t>Կոռուպցիայի</w:t>
      </w:r>
      <w:r>
        <w:rPr>
          <w:lang w:val="hy-AM"/>
        </w:rPr>
        <w:t xml:space="preserve"> </w:t>
      </w:r>
      <w:r>
        <w:rPr>
          <w:rFonts w:cs="Arial"/>
          <w:lang w:val="hy-AM"/>
        </w:rPr>
        <w:t>կանխարգելման</w:t>
      </w:r>
      <w:r>
        <w:rPr>
          <w:lang w:val="hy-AM"/>
        </w:rPr>
        <w:t xml:space="preserve"> </w:t>
      </w:r>
      <w:r>
        <w:rPr>
          <w:rFonts w:cs="Arial"/>
          <w:lang w:val="hy-AM"/>
        </w:rPr>
        <w:t>վերաբերյալ</w:t>
      </w:r>
      <w:r>
        <w:rPr>
          <w:lang w:val="hy-AM"/>
        </w:rPr>
        <w:t xml:space="preserve"> </w:t>
      </w:r>
      <w:r>
        <w:rPr>
          <w:rFonts w:cs="Arial"/>
          <w:lang w:val="hy-AM"/>
        </w:rPr>
        <w:t>հանրային</w:t>
      </w:r>
      <w:r>
        <w:rPr>
          <w:lang w:val="hy-AM"/>
        </w:rPr>
        <w:t xml:space="preserve"> </w:t>
      </w:r>
      <w:r>
        <w:rPr>
          <w:rFonts w:cs="Arial"/>
          <w:lang w:val="hy-AM"/>
        </w:rPr>
        <w:t>իրազեկման</w:t>
      </w:r>
      <w:r>
        <w:rPr>
          <w:lang w:val="hy-AM"/>
        </w:rPr>
        <w:t xml:space="preserve"> </w:t>
      </w:r>
      <w:r>
        <w:rPr>
          <w:rFonts w:cs="Arial"/>
          <w:lang w:val="hy-AM"/>
        </w:rPr>
        <w:t>և</w:t>
      </w:r>
      <w:r>
        <w:rPr>
          <w:lang w:val="hy-AM"/>
        </w:rPr>
        <w:t xml:space="preserve"> </w:t>
      </w:r>
      <w:r>
        <w:rPr>
          <w:rFonts w:cs="Arial"/>
          <w:lang w:val="hy-AM"/>
        </w:rPr>
        <w:t>կրթական</w:t>
      </w:r>
      <w:r>
        <w:rPr>
          <w:lang w:val="hy-AM"/>
        </w:rPr>
        <w:t xml:space="preserve"> </w:t>
      </w:r>
      <w:r>
        <w:rPr>
          <w:rFonts w:cs="Arial"/>
          <w:lang w:val="hy-AM"/>
        </w:rPr>
        <w:t>ծրագրերի</w:t>
      </w:r>
      <w:r>
        <w:rPr>
          <w:lang w:val="hy-AM"/>
        </w:rPr>
        <w:t xml:space="preserve"> </w:t>
      </w:r>
      <w:r>
        <w:rPr>
          <w:rFonts w:cs="Arial"/>
          <w:lang w:val="hy-AM"/>
        </w:rPr>
        <w:t>շարունանական</w:t>
      </w:r>
      <w:r>
        <w:rPr>
          <w:lang w:val="hy-AM"/>
        </w:rPr>
        <w:t xml:space="preserve"> </w:t>
      </w:r>
      <w:r>
        <w:rPr>
          <w:rFonts w:cs="Arial"/>
          <w:lang w:val="hy-AM"/>
        </w:rPr>
        <w:t>իրականացում</w:t>
      </w:r>
      <w:r>
        <w:rPr>
          <w:lang w:val="hy-AM"/>
        </w:rPr>
        <w:t>,</w:t>
      </w:r>
    </w:p>
    <w:p w14:paraId="1E4305DC" w14:textId="77777777" w:rsidR="00DC5A39" w:rsidRDefault="00DC5A39" w:rsidP="004247C0">
      <w:pPr>
        <w:pStyle w:val="ListParagraph"/>
        <w:numPr>
          <w:ilvl w:val="0"/>
          <w:numId w:val="30"/>
        </w:numPr>
        <w:tabs>
          <w:tab w:val="left" w:pos="0"/>
          <w:tab w:val="left" w:pos="90"/>
        </w:tabs>
        <w:spacing w:before="120" w:after="0" w:line="276" w:lineRule="auto"/>
        <w:contextualSpacing w:val="0"/>
        <w:rPr>
          <w:lang w:val="hy-AM"/>
        </w:rPr>
      </w:pPr>
      <w:r>
        <w:rPr>
          <w:rFonts w:cs="Arial"/>
          <w:lang w:val="hy-AM"/>
        </w:rPr>
        <w:t>Կոռուպցիայի</w:t>
      </w:r>
      <w:r>
        <w:rPr>
          <w:lang w:val="hy-AM"/>
        </w:rPr>
        <w:t xml:space="preserve"> </w:t>
      </w:r>
      <w:r>
        <w:rPr>
          <w:rFonts w:cs="Arial"/>
          <w:lang w:val="hy-AM"/>
        </w:rPr>
        <w:t>կանխարգելման</w:t>
      </w:r>
      <w:r>
        <w:rPr>
          <w:lang w:val="hy-AM"/>
        </w:rPr>
        <w:t xml:space="preserve"> </w:t>
      </w:r>
      <w:r>
        <w:rPr>
          <w:rFonts w:cs="Arial"/>
          <w:lang w:val="hy-AM"/>
        </w:rPr>
        <w:t>հանձնաժողովի</w:t>
      </w:r>
      <w:r>
        <w:rPr>
          <w:lang w:val="hy-AM"/>
        </w:rPr>
        <w:t xml:space="preserve"> </w:t>
      </w:r>
      <w:r>
        <w:rPr>
          <w:rFonts w:cs="Arial"/>
          <w:lang w:val="hy-AM"/>
        </w:rPr>
        <w:t>կարողությունների</w:t>
      </w:r>
      <w:r>
        <w:rPr>
          <w:lang w:val="hy-AM"/>
        </w:rPr>
        <w:t xml:space="preserve"> </w:t>
      </w:r>
      <w:r>
        <w:rPr>
          <w:rFonts w:cs="Arial"/>
          <w:lang w:val="hy-AM"/>
        </w:rPr>
        <w:t>շարունակական</w:t>
      </w:r>
      <w:r>
        <w:rPr>
          <w:lang w:val="hy-AM"/>
        </w:rPr>
        <w:t xml:space="preserve"> </w:t>
      </w:r>
      <w:r>
        <w:rPr>
          <w:rFonts w:cs="Arial"/>
          <w:lang w:val="hy-AM"/>
        </w:rPr>
        <w:t>զարգացում,</w:t>
      </w:r>
    </w:p>
    <w:p w14:paraId="0C44858B" w14:textId="77777777" w:rsidR="00DC5A39" w:rsidRDefault="00DC5A39" w:rsidP="004247C0">
      <w:pPr>
        <w:pStyle w:val="ListParagraph"/>
        <w:numPr>
          <w:ilvl w:val="0"/>
          <w:numId w:val="30"/>
        </w:numPr>
        <w:tabs>
          <w:tab w:val="left" w:pos="0"/>
          <w:tab w:val="left" w:pos="90"/>
        </w:tabs>
        <w:spacing w:before="120" w:after="0" w:line="276" w:lineRule="auto"/>
        <w:contextualSpacing w:val="0"/>
        <w:rPr>
          <w:lang w:val="hy-AM"/>
        </w:rPr>
      </w:pPr>
      <w:r>
        <w:rPr>
          <w:rFonts w:cs="Arial"/>
          <w:lang w:val="hy-AM"/>
        </w:rPr>
        <w:t>Կոռուպցիայի</w:t>
      </w:r>
      <w:r>
        <w:rPr>
          <w:lang w:val="hy-AM"/>
        </w:rPr>
        <w:t xml:space="preserve"> </w:t>
      </w:r>
      <w:r>
        <w:rPr>
          <w:rFonts w:cs="Arial"/>
          <w:lang w:val="hy-AM"/>
        </w:rPr>
        <w:t>կանխարգելման</w:t>
      </w:r>
      <w:r>
        <w:rPr>
          <w:lang w:val="hy-AM"/>
        </w:rPr>
        <w:t xml:space="preserve"> </w:t>
      </w:r>
      <w:r>
        <w:rPr>
          <w:rFonts w:cs="Arial"/>
          <w:lang w:val="hy-AM"/>
        </w:rPr>
        <w:t>հանձնաժողովի</w:t>
      </w:r>
      <w:r>
        <w:rPr>
          <w:lang w:val="hy-AM"/>
        </w:rPr>
        <w:t xml:space="preserve"> </w:t>
      </w:r>
      <w:r>
        <w:rPr>
          <w:rFonts w:cs="Arial"/>
          <w:lang w:val="hy-AM"/>
        </w:rPr>
        <w:t>գործունեության</w:t>
      </w:r>
      <w:r>
        <w:rPr>
          <w:lang w:val="hy-AM"/>
        </w:rPr>
        <w:t xml:space="preserve"> </w:t>
      </w:r>
      <w:r>
        <w:rPr>
          <w:rFonts w:cs="Arial"/>
          <w:lang w:val="hy-AM"/>
        </w:rPr>
        <w:t>հաշվետվողականության</w:t>
      </w:r>
      <w:r>
        <w:rPr>
          <w:lang w:val="hy-AM"/>
        </w:rPr>
        <w:t xml:space="preserve"> բարձրացում,</w:t>
      </w:r>
    </w:p>
    <w:p w14:paraId="3BC3D6F3" w14:textId="77777777" w:rsidR="00DC5A39" w:rsidRDefault="00DC5A39" w:rsidP="004247C0">
      <w:pPr>
        <w:pStyle w:val="ListParagraph"/>
        <w:numPr>
          <w:ilvl w:val="0"/>
          <w:numId w:val="30"/>
        </w:numPr>
        <w:tabs>
          <w:tab w:val="left" w:pos="0"/>
          <w:tab w:val="left" w:pos="90"/>
        </w:tabs>
        <w:spacing w:before="120" w:after="0" w:line="276" w:lineRule="auto"/>
        <w:contextualSpacing w:val="0"/>
        <w:rPr>
          <w:lang w:val="hy-AM"/>
        </w:rPr>
      </w:pPr>
      <w:r>
        <w:rPr>
          <w:rFonts w:cs="Arial"/>
          <w:lang w:val="hy-AM"/>
        </w:rPr>
        <w:t>Կոռուպցիայի</w:t>
      </w:r>
      <w:r>
        <w:rPr>
          <w:lang w:val="hy-AM"/>
        </w:rPr>
        <w:t xml:space="preserve"> </w:t>
      </w:r>
      <w:r>
        <w:rPr>
          <w:rFonts w:cs="Arial"/>
          <w:lang w:val="hy-AM"/>
        </w:rPr>
        <w:t>կանխարգելման</w:t>
      </w:r>
      <w:r>
        <w:rPr>
          <w:lang w:val="hy-AM"/>
        </w:rPr>
        <w:t xml:space="preserve"> </w:t>
      </w:r>
      <w:r>
        <w:rPr>
          <w:rFonts w:cs="Arial"/>
          <w:lang w:val="hy-AM"/>
        </w:rPr>
        <w:t>հիմնական</w:t>
      </w:r>
      <w:r>
        <w:rPr>
          <w:lang w:val="hy-AM"/>
        </w:rPr>
        <w:t xml:space="preserve"> </w:t>
      </w:r>
      <w:r>
        <w:rPr>
          <w:rFonts w:cs="Arial"/>
          <w:lang w:val="hy-AM"/>
        </w:rPr>
        <w:t>գործիքների</w:t>
      </w:r>
      <w:r>
        <w:rPr>
          <w:lang w:val="hy-AM"/>
        </w:rPr>
        <w:t xml:space="preserve"> </w:t>
      </w:r>
      <w:r>
        <w:rPr>
          <w:rFonts w:cs="Arial"/>
          <w:lang w:val="hy-AM"/>
        </w:rPr>
        <w:t>թվայնացում</w:t>
      </w:r>
      <w:r>
        <w:rPr>
          <w:lang w:val="hy-AM"/>
        </w:rPr>
        <w:t xml:space="preserve">, </w:t>
      </w:r>
      <w:r>
        <w:rPr>
          <w:rFonts w:cs="Arial"/>
          <w:lang w:val="hy-AM"/>
        </w:rPr>
        <w:t>արհեստական</w:t>
      </w:r>
      <w:r>
        <w:rPr>
          <w:lang w:val="hy-AM"/>
        </w:rPr>
        <w:t xml:space="preserve"> </w:t>
      </w:r>
      <w:r>
        <w:rPr>
          <w:rFonts w:cs="Arial"/>
          <w:lang w:val="hy-AM"/>
        </w:rPr>
        <w:t>բանականության</w:t>
      </w:r>
      <w:r>
        <w:rPr>
          <w:lang w:val="hy-AM"/>
        </w:rPr>
        <w:t xml:space="preserve"> </w:t>
      </w:r>
      <w:r>
        <w:rPr>
          <w:rFonts w:cs="Arial"/>
          <w:lang w:val="hy-AM"/>
        </w:rPr>
        <w:t>միջոցով</w:t>
      </w:r>
      <w:r>
        <w:rPr>
          <w:lang w:val="hy-AM"/>
        </w:rPr>
        <w:t xml:space="preserve"> </w:t>
      </w:r>
      <w:r>
        <w:rPr>
          <w:rFonts w:cs="Arial"/>
          <w:lang w:val="hy-AM"/>
        </w:rPr>
        <w:t>տվյալների</w:t>
      </w:r>
      <w:r>
        <w:rPr>
          <w:lang w:val="hy-AM"/>
        </w:rPr>
        <w:t xml:space="preserve"> </w:t>
      </w:r>
      <w:r>
        <w:rPr>
          <w:rFonts w:cs="Arial"/>
          <w:lang w:val="hy-AM"/>
        </w:rPr>
        <w:t>վերլուծություն</w:t>
      </w:r>
      <w:r>
        <w:rPr>
          <w:lang w:val="hy-AM"/>
        </w:rPr>
        <w:t>:</w:t>
      </w:r>
    </w:p>
    <w:p w14:paraId="6D09B96F" w14:textId="1811FE28" w:rsidR="00080175" w:rsidRDefault="00DC5A39" w:rsidP="004247C0">
      <w:pPr>
        <w:tabs>
          <w:tab w:val="left" w:pos="0"/>
          <w:tab w:val="left" w:pos="90"/>
        </w:tabs>
        <w:spacing w:before="120" w:after="0" w:line="276" w:lineRule="auto"/>
        <w:ind w:firstLine="0"/>
        <w:rPr>
          <w:color w:val="000000"/>
          <w:lang w:val="hy-AM"/>
        </w:rPr>
      </w:pPr>
      <w:r>
        <w:rPr>
          <w:color w:val="000000"/>
          <w:lang w:val="hy-AM"/>
        </w:rPr>
        <w:t xml:space="preserve">Ակնկալվում է նշված թիրախների միջոցով նպաստել՝ միջազգային ոլորտային կազմակերպությունների կողմից (Թրանսփարենսի ինթերնեշնլ կոռուպցիայի ընկալման համաթիվ, Եվրոպայի խորհրդի Կոռուպցիայի դեմ պայքարող պետությունների խմբի (ԳՐԵԿՈ) 4-րդ և 5-րդ փուլի գնահատումներ,  </w:t>
      </w:r>
      <w:r>
        <w:rPr>
          <w:rFonts w:cs="GHEA Grapalat"/>
          <w:color w:val="000000"/>
          <w:lang w:val="hy-AM"/>
        </w:rPr>
        <w:t>ինչպես</w:t>
      </w:r>
      <w:r>
        <w:rPr>
          <w:color w:val="000000"/>
          <w:lang w:val="hy-AM"/>
        </w:rPr>
        <w:t xml:space="preserve"> </w:t>
      </w:r>
      <w:r>
        <w:rPr>
          <w:rFonts w:cs="GHEA Grapalat"/>
          <w:color w:val="000000"/>
          <w:lang w:val="hy-AM"/>
        </w:rPr>
        <w:t>նաև</w:t>
      </w:r>
      <w:r>
        <w:rPr>
          <w:color w:val="000000"/>
          <w:lang w:val="hy-AM"/>
        </w:rPr>
        <w:t xml:space="preserve"> </w:t>
      </w:r>
      <w:r>
        <w:rPr>
          <w:rFonts w:cs="GHEA Grapalat"/>
          <w:color w:val="000000"/>
          <w:lang w:val="hy-AM"/>
        </w:rPr>
        <w:t>Տնտեսական</w:t>
      </w:r>
      <w:r>
        <w:rPr>
          <w:color w:val="000000"/>
          <w:lang w:val="hy-AM"/>
        </w:rPr>
        <w:t xml:space="preserve"> </w:t>
      </w:r>
      <w:r>
        <w:rPr>
          <w:rFonts w:cs="GHEA Grapalat"/>
          <w:color w:val="000000"/>
          <w:lang w:val="hy-AM"/>
        </w:rPr>
        <w:t>համագործակցության</w:t>
      </w:r>
      <w:r>
        <w:rPr>
          <w:color w:val="000000"/>
          <w:lang w:val="hy-AM"/>
        </w:rPr>
        <w:t xml:space="preserve"> </w:t>
      </w:r>
      <w:r>
        <w:rPr>
          <w:rFonts w:cs="GHEA Grapalat"/>
          <w:color w:val="000000"/>
          <w:lang w:val="hy-AM"/>
        </w:rPr>
        <w:t>և</w:t>
      </w:r>
      <w:r>
        <w:rPr>
          <w:color w:val="000000"/>
          <w:lang w:val="hy-AM"/>
        </w:rPr>
        <w:t xml:space="preserve"> </w:t>
      </w:r>
      <w:r>
        <w:rPr>
          <w:rFonts w:cs="GHEA Grapalat"/>
          <w:color w:val="000000"/>
          <w:lang w:val="hy-AM"/>
        </w:rPr>
        <w:t>զարգացման</w:t>
      </w:r>
      <w:r>
        <w:rPr>
          <w:color w:val="000000"/>
          <w:lang w:val="hy-AM"/>
        </w:rPr>
        <w:t xml:space="preserve"> </w:t>
      </w:r>
      <w:r>
        <w:rPr>
          <w:rFonts w:cs="GHEA Grapalat"/>
          <w:color w:val="000000"/>
          <w:lang w:val="hy-AM"/>
        </w:rPr>
        <w:t>կազմակերպության</w:t>
      </w:r>
      <w:r>
        <w:rPr>
          <w:color w:val="000000"/>
          <w:lang w:val="hy-AM"/>
        </w:rPr>
        <w:t xml:space="preserve"> </w:t>
      </w:r>
      <w:r>
        <w:rPr>
          <w:rFonts w:cs="GHEA Grapalat"/>
          <w:color w:val="000000"/>
          <w:lang w:val="hy-AM"/>
        </w:rPr>
        <w:t>գնահատում</w:t>
      </w:r>
      <w:r>
        <w:rPr>
          <w:color w:val="000000"/>
          <w:lang w:val="hy-AM"/>
        </w:rPr>
        <w:t xml:space="preserve">) </w:t>
      </w:r>
      <w:r>
        <w:rPr>
          <w:rFonts w:cs="GHEA Grapalat"/>
          <w:color w:val="000000"/>
          <w:lang w:val="hy-AM"/>
        </w:rPr>
        <w:t>Հայաստանի</w:t>
      </w:r>
      <w:r>
        <w:rPr>
          <w:color w:val="000000"/>
          <w:lang w:val="hy-AM"/>
        </w:rPr>
        <w:t xml:space="preserve"> </w:t>
      </w:r>
      <w:r>
        <w:rPr>
          <w:rFonts w:cs="GHEA Grapalat"/>
          <w:color w:val="000000"/>
          <w:lang w:val="hy-AM"/>
        </w:rPr>
        <w:t>Հանրապետության</w:t>
      </w:r>
      <w:r>
        <w:rPr>
          <w:color w:val="000000"/>
          <w:lang w:val="hy-AM"/>
        </w:rPr>
        <w:t xml:space="preserve"> հակակոռուպցիոն ոլորտի առնչությամբ տրված ցուցանիշների</w:t>
      </w:r>
      <w:r>
        <w:rPr>
          <w:rFonts w:ascii="Calibri" w:hAnsi="Calibri" w:cs="Calibri"/>
          <w:color w:val="000000"/>
          <w:lang w:val="hy-AM"/>
        </w:rPr>
        <w:t> </w:t>
      </w:r>
      <w:r>
        <w:rPr>
          <w:color w:val="000000"/>
          <w:lang w:val="hy-AM"/>
        </w:rPr>
        <w:t xml:space="preserve"> (</w:t>
      </w:r>
      <w:r>
        <w:rPr>
          <w:rFonts w:cs="GHEA Grapalat"/>
          <w:color w:val="000000"/>
          <w:lang w:val="hy-AM"/>
        </w:rPr>
        <w:t>գնահատականների</w:t>
      </w:r>
      <w:r>
        <w:rPr>
          <w:color w:val="000000"/>
          <w:lang w:val="hy-AM"/>
        </w:rPr>
        <w:t xml:space="preserve">) </w:t>
      </w:r>
      <w:r>
        <w:rPr>
          <w:rFonts w:cs="GHEA Grapalat"/>
          <w:color w:val="000000"/>
          <w:lang w:val="hy-AM"/>
        </w:rPr>
        <w:t xml:space="preserve">բարձրացմանը, </w:t>
      </w:r>
      <w:r>
        <w:rPr>
          <w:color w:val="000000"/>
          <w:lang w:val="hy-AM"/>
        </w:rPr>
        <w:t xml:space="preserve"> կոռուպցիայի կանխարգելման արդյունավետ մեխանիզմների, այդ թվում՝ բարեվարքության կառուցակարգերի ներդրման միջոցով հանրային կառավարման մարմիններում, պետական և համայնքային մասնակցությամբ կազմակերպություններում կոռուպցիայի նվազմանը, </w:t>
      </w:r>
      <w:r>
        <w:rPr>
          <w:rFonts w:cs="GHEA Grapalat"/>
          <w:color w:val="000000"/>
          <w:lang w:val="hy-AM"/>
        </w:rPr>
        <w:t>ինչպես</w:t>
      </w:r>
      <w:r>
        <w:rPr>
          <w:color w:val="000000"/>
          <w:lang w:val="hy-AM"/>
        </w:rPr>
        <w:t xml:space="preserve"> </w:t>
      </w:r>
      <w:r>
        <w:rPr>
          <w:rFonts w:cs="GHEA Grapalat"/>
          <w:color w:val="000000"/>
          <w:lang w:val="hy-AM"/>
        </w:rPr>
        <w:t>նաև</w:t>
      </w:r>
      <w:r>
        <w:rPr>
          <w:rFonts w:ascii="Calibri" w:hAnsi="Calibri" w:cs="Calibri"/>
          <w:color w:val="000000"/>
          <w:lang w:val="hy-AM"/>
        </w:rPr>
        <w:t> </w:t>
      </w:r>
      <w:r>
        <w:rPr>
          <w:color w:val="000000"/>
          <w:lang w:val="hy-AM"/>
        </w:rPr>
        <w:t xml:space="preserve"> </w:t>
      </w:r>
      <w:r>
        <w:rPr>
          <w:rFonts w:cs="GHEA Grapalat"/>
          <w:color w:val="000000"/>
          <w:lang w:val="hy-AM"/>
        </w:rPr>
        <w:t>կոռուպցիայի</w:t>
      </w:r>
      <w:r>
        <w:rPr>
          <w:color w:val="000000"/>
          <w:lang w:val="hy-AM"/>
        </w:rPr>
        <w:t xml:space="preserve"> </w:t>
      </w:r>
      <w:r>
        <w:rPr>
          <w:rFonts w:cs="GHEA Grapalat"/>
          <w:color w:val="000000"/>
          <w:lang w:val="hy-AM"/>
        </w:rPr>
        <w:t>նկատմամբ</w:t>
      </w:r>
      <w:r>
        <w:rPr>
          <w:color w:val="000000"/>
          <w:lang w:val="hy-AM"/>
        </w:rPr>
        <w:t xml:space="preserve"> </w:t>
      </w:r>
      <w:r>
        <w:rPr>
          <w:rFonts w:cs="GHEA Grapalat"/>
          <w:color w:val="000000"/>
          <w:lang w:val="hy-AM"/>
        </w:rPr>
        <w:t>հանրային</w:t>
      </w:r>
      <w:r>
        <w:rPr>
          <w:color w:val="000000"/>
          <w:lang w:val="hy-AM"/>
        </w:rPr>
        <w:t xml:space="preserve"> </w:t>
      </w:r>
      <w:r>
        <w:rPr>
          <w:rFonts w:cs="GHEA Grapalat"/>
          <w:color w:val="000000"/>
          <w:lang w:val="hy-AM"/>
        </w:rPr>
        <w:t>զգայունակության</w:t>
      </w:r>
      <w:r>
        <w:rPr>
          <w:color w:val="000000"/>
          <w:lang w:val="hy-AM"/>
        </w:rPr>
        <w:t xml:space="preserve"> բարձրացմանը, որը </w:t>
      </w:r>
      <w:r>
        <w:rPr>
          <w:rFonts w:cs="GHEA Grapalat"/>
          <w:color w:val="000000"/>
          <w:lang w:val="hy-AM"/>
        </w:rPr>
        <w:t>բխում</w:t>
      </w:r>
      <w:r>
        <w:rPr>
          <w:color w:val="000000"/>
          <w:lang w:val="hy-AM"/>
        </w:rPr>
        <w:t xml:space="preserve"> </w:t>
      </w:r>
      <w:r>
        <w:rPr>
          <w:rFonts w:cs="GHEA Grapalat"/>
          <w:color w:val="000000"/>
          <w:lang w:val="hy-AM"/>
        </w:rPr>
        <w:t>է</w:t>
      </w:r>
      <w:r>
        <w:rPr>
          <w:color w:val="000000"/>
          <w:lang w:val="hy-AM"/>
        </w:rPr>
        <w:t xml:space="preserve"> </w:t>
      </w:r>
      <w:r>
        <w:rPr>
          <w:rFonts w:cs="GHEA Grapalat"/>
          <w:color w:val="000000"/>
          <w:lang w:val="hy-AM"/>
        </w:rPr>
        <w:t>ՄԱԿ</w:t>
      </w:r>
      <w:r>
        <w:rPr>
          <w:color w:val="000000"/>
          <w:lang w:val="hy-AM"/>
        </w:rPr>
        <w:t>-</w:t>
      </w:r>
      <w:r>
        <w:rPr>
          <w:rFonts w:cs="GHEA Grapalat"/>
          <w:color w:val="000000"/>
          <w:lang w:val="hy-AM"/>
        </w:rPr>
        <w:t>ի</w:t>
      </w:r>
      <w:r>
        <w:rPr>
          <w:color w:val="000000"/>
          <w:lang w:val="hy-AM"/>
        </w:rPr>
        <w:t xml:space="preserve"> </w:t>
      </w:r>
      <w:r>
        <w:rPr>
          <w:rFonts w:cs="GHEA Grapalat"/>
          <w:color w:val="000000"/>
          <w:lang w:val="hy-AM"/>
        </w:rPr>
        <w:t>«Կայուն</w:t>
      </w:r>
      <w:r>
        <w:rPr>
          <w:color w:val="000000"/>
          <w:lang w:val="hy-AM"/>
        </w:rPr>
        <w:t xml:space="preserve"> </w:t>
      </w:r>
      <w:r>
        <w:rPr>
          <w:rFonts w:cs="GHEA Grapalat"/>
          <w:color w:val="000000"/>
          <w:lang w:val="hy-AM"/>
        </w:rPr>
        <w:t>զարգա</w:t>
      </w:r>
      <w:r>
        <w:rPr>
          <w:color w:val="000000"/>
          <w:lang w:val="hy-AM"/>
        </w:rPr>
        <w:t>ցման 2030 օրակարգում» ներառված կայուն զարգացման նպատակների և դրանց գծով սահմանված գլոբալ ցուցանիշներից, մասնավորապես՝</w:t>
      </w:r>
      <w:r>
        <w:rPr>
          <w:rFonts w:ascii="Calibri" w:hAnsi="Calibri" w:cs="Calibri"/>
          <w:color w:val="000000"/>
          <w:lang w:val="hy-AM"/>
        </w:rPr>
        <w:t> </w:t>
      </w:r>
      <w:r>
        <w:rPr>
          <w:color w:val="000000"/>
          <w:lang w:val="hy-AM"/>
        </w:rPr>
        <w:t xml:space="preserve"> </w:t>
      </w:r>
      <w:r>
        <w:rPr>
          <w:rFonts w:cs="GHEA Grapalat"/>
          <w:color w:val="000000"/>
          <w:lang w:val="hy-AM"/>
        </w:rPr>
        <w:t>նպատակ</w:t>
      </w:r>
      <w:r>
        <w:rPr>
          <w:color w:val="000000"/>
          <w:lang w:val="hy-AM"/>
        </w:rPr>
        <w:t xml:space="preserve"> 16.5</w:t>
      </w:r>
      <w:r>
        <w:rPr>
          <w:rFonts w:ascii="Calibri" w:hAnsi="Calibri" w:cs="Calibri"/>
          <w:color w:val="000000"/>
          <w:lang w:val="hy-AM"/>
        </w:rPr>
        <w:t> </w:t>
      </w:r>
      <w:r>
        <w:rPr>
          <w:rFonts w:cs="GHEA Grapalat"/>
          <w:color w:val="000000"/>
          <w:lang w:val="hy-AM"/>
        </w:rPr>
        <w:t>Էապես</w:t>
      </w:r>
      <w:r>
        <w:rPr>
          <w:color w:val="000000"/>
          <w:lang w:val="hy-AM"/>
        </w:rPr>
        <w:t xml:space="preserve"> </w:t>
      </w:r>
      <w:r>
        <w:rPr>
          <w:rFonts w:cs="GHEA Grapalat"/>
          <w:color w:val="000000"/>
          <w:lang w:val="hy-AM"/>
        </w:rPr>
        <w:t>կրճատել</w:t>
      </w:r>
      <w:r>
        <w:rPr>
          <w:color w:val="000000"/>
          <w:lang w:val="hy-AM"/>
        </w:rPr>
        <w:t xml:space="preserve"> </w:t>
      </w:r>
      <w:r>
        <w:rPr>
          <w:rFonts w:cs="GHEA Grapalat"/>
          <w:color w:val="000000"/>
          <w:lang w:val="hy-AM"/>
        </w:rPr>
        <w:t>կոռուպցիան</w:t>
      </w:r>
      <w:r>
        <w:rPr>
          <w:color w:val="000000"/>
          <w:lang w:val="hy-AM"/>
        </w:rPr>
        <w:t xml:space="preserve"> </w:t>
      </w:r>
      <w:r>
        <w:rPr>
          <w:rFonts w:cs="GHEA Grapalat"/>
          <w:color w:val="000000"/>
          <w:lang w:val="hy-AM"/>
        </w:rPr>
        <w:t>և</w:t>
      </w:r>
      <w:r>
        <w:rPr>
          <w:color w:val="000000"/>
          <w:lang w:val="hy-AM"/>
        </w:rPr>
        <w:t xml:space="preserve"> </w:t>
      </w:r>
      <w:r>
        <w:rPr>
          <w:rFonts w:cs="GHEA Grapalat"/>
          <w:color w:val="000000"/>
          <w:lang w:val="hy-AM"/>
        </w:rPr>
        <w:t>կաշառակերությունը</w:t>
      </w:r>
      <w:r>
        <w:rPr>
          <w:color w:val="000000"/>
          <w:lang w:val="hy-AM"/>
        </w:rPr>
        <w:t xml:space="preserve"> </w:t>
      </w:r>
      <w:r>
        <w:rPr>
          <w:rFonts w:cs="GHEA Grapalat"/>
          <w:color w:val="000000"/>
          <w:lang w:val="hy-AM"/>
        </w:rPr>
        <w:t>իրենց</w:t>
      </w:r>
      <w:r>
        <w:rPr>
          <w:color w:val="000000"/>
          <w:lang w:val="hy-AM"/>
        </w:rPr>
        <w:t xml:space="preserve"> </w:t>
      </w:r>
      <w:r>
        <w:rPr>
          <w:rFonts w:cs="GHEA Grapalat"/>
          <w:color w:val="000000"/>
          <w:lang w:val="hy-AM"/>
        </w:rPr>
        <w:t>բոլոր</w:t>
      </w:r>
      <w:r>
        <w:rPr>
          <w:color w:val="000000"/>
          <w:lang w:val="hy-AM"/>
        </w:rPr>
        <w:t xml:space="preserve"> </w:t>
      </w:r>
      <w:r>
        <w:rPr>
          <w:rFonts w:cs="GHEA Grapalat"/>
          <w:color w:val="000000"/>
          <w:lang w:val="hy-AM"/>
        </w:rPr>
        <w:t>ձևե</w:t>
      </w:r>
      <w:r>
        <w:rPr>
          <w:color w:val="000000"/>
          <w:lang w:val="hy-AM"/>
        </w:rPr>
        <w:t>րով:</w:t>
      </w:r>
    </w:p>
    <w:p w14:paraId="054FFBAF" w14:textId="77777777" w:rsidR="00DC5A39" w:rsidRPr="00B7443A" w:rsidRDefault="00DC5A39" w:rsidP="004247C0">
      <w:pPr>
        <w:tabs>
          <w:tab w:val="left" w:pos="0"/>
        </w:tabs>
        <w:spacing w:before="120" w:after="0" w:line="276" w:lineRule="auto"/>
        <w:ind w:firstLine="0"/>
        <w:rPr>
          <w:rFonts w:eastAsia="Times New Roman" w:cs="Sylfaen"/>
          <w:iCs/>
          <w:lang w:val="hy-AM"/>
        </w:rPr>
      </w:pPr>
    </w:p>
    <w:p w14:paraId="291BD6A1" w14:textId="2D0CF469"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7" w:name="_Toc170926351"/>
      <w:r w:rsidRPr="0037789A">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37789A">
        <w:rPr>
          <w:rFonts w:eastAsia="Times New Roman" w:cs="Times New Roman"/>
          <w:b w:val="0"/>
          <w:caps w:val="0"/>
          <w:color w:val="44546A" w:themeColor="text2"/>
          <w:sz w:val="24"/>
          <w:szCs w:val="24"/>
          <w:lang w:val="fr-FR"/>
        </w:rPr>
        <w:t>.9. ՄՐՑԱԿՑՈՒԹՅԱՆ ՊԱՇՏՊԱՆՈՒԹՅԱՆ ՀԱՆՁՆԱԺՈՂՈՎ</w:t>
      </w:r>
      <w:bookmarkEnd w:id="237"/>
    </w:p>
    <w:p w14:paraId="4793924C" w14:textId="77777777" w:rsidR="0037789A" w:rsidRDefault="0037789A" w:rsidP="004247C0">
      <w:pPr>
        <w:tabs>
          <w:tab w:val="left" w:pos="0"/>
          <w:tab w:val="left" w:pos="630"/>
        </w:tabs>
        <w:spacing w:before="120" w:after="0" w:line="276" w:lineRule="auto"/>
        <w:ind w:firstLine="0"/>
        <w:rPr>
          <w:rFonts w:eastAsia="Microsoft YaHei" w:cs="Lucida Sans"/>
          <w:lang w:val="hy-AM"/>
        </w:rPr>
      </w:pPr>
      <w:r w:rsidRPr="00B76210">
        <w:rPr>
          <w:rFonts w:eastAsia="Microsoft YaHei" w:cs="Lucida Sans"/>
          <w:lang w:val="hy-AM"/>
        </w:rPr>
        <w:t xml:space="preserve">Մրցակցության պաշտպանության հանձնաժողովը պետական ինքնավար մարմին է, որն ապահովում է տնտեսական գործունեության ազատությունը, ազատ տնտեսական մրցակցությունը, բարեխիղճ մրցակցության և ձեռնարկատիրության զարգացման համար անհրաժեշտ միջավայրը և իրականացնում է սպառողների շահերի պաշտպանությունը: </w:t>
      </w:r>
    </w:p>
    <w:p w14:paraId="03603ED6" w14:textId="77777777" w:rsidR="0037789A" w:rsidRDefault="0037789A" w:rsidP="004247C0">
      <w:pPr>
        <w:tabs>
          <w:tab w:val="left" w:pos="0"/>
          <w:tab w:val="left" w:pos="630"/>
        </w:tabs>
        <w:spacing w:before="120" w:after="0" w:line="276" w:lineRule="auto"/>
        <w:ind w:firstLine="0"/>
        <w:rPr>
          <w:rFonts w:eastAsia="Microsoft YaHei" w:cs="Lucida Sans"/>
          <w:lang w:val="hy-AM"/>
        </w:rPr>
      </w:pPr>
      <w:r w:rsidRPr="00F7295D">
        <w:rPr>
          <w:rFonts w:eastAsia="Microsoft YaHei" w:cs="Lucida Sans"/>
          <w:lang w:val="hy-AM"/>
        </w:rPr>
        <w:t>Մրցակցության պաշտպանության հանձնաժողովի հիմնական ռազմավարական նպատակներն են պաշտպանել և խրախուսել տնտեսական գործունեության ազատությունը, ապահովել բարեխիղճ մրցակցության համար անհրաժեշտ միջավայր, նպաստել ձեռնարկատիրության զարգացմանը և սպառողների շահերի պաշտպանությանը Հայաստանի Հանրապետությունում։ Մրցակցության պաշտպանության հանձնաժողովի գերակա վերջնական արդյունքն է ազատ տնտեսական մրցակցության ապահովումը։</w:t>
      </w:r>
    </w:p>
    <w:p w14:paraId="1E574753" w14:textId="77777777" w:rsidR="0037789A" w:rsidRPr="00FE454B" w:rsidRDefault="0037789A" w:rsidP="004247C0">
      <w:pPr>
        <w:tabs>
          <w:tab w:val="left" w:pos="0"/>
          <w:tab w:val="left" w:pos="630"/>
        </w:tabs>
        <w:spacing w:before="120" w:after="0" w:line="276" w:lineRule="auto"/>
        <w:ind w:firstLine="0"/>
        <w:rPr>
          <w:rFonts w:eastAsia="Microsoft YaHei" w:cs="Lucida Sans"/>
          <w:lang w:val="hy-AM"/>
        </w:rPr>
      </w:pPr>
      <w:r w:rsidRPr="00FE454B">
        <w:rPr>
          <w:rFonts w:eastAsia="Microsoft YaHei" w:cs="Lucida Sans"/>
          <w:lang w:val="hy-AM"/>
        </w:rPr>
        <w:t>Հանձնաժողովը տնտեսական մրցակցության իրավիճակը գնահատելու համար իրականացնում է 100 հատ ուսումնասիրություններ՝ Հայաստանի Հանրապետությունում արդյունավետ մրցակցային միջավայրի ձևավորման և տնտեսական մրցակցության պաշտպանության օրենսդրության դրույթների պահպանման նկատմամբ ընթացիկ հսկողություն իրականացնելու նպատակով։</w:t>
      </w:r>
    </w:p>
    <w:p w14:paraId="1557FBBE" w14:textId="77777777" w:rsidR="0037789A" w:rsidRPr="00CF3D84" w:rsidRDefault="0037789A" w:rsidP="004247C0">
      <w:pPr>
        <w:tabs>
          <w:tab w:val="left" w:pos="0"/>
          <w:tab w:val="left" w:pos="630"/>
        </w:tabs>
        <w:spacing w:before="120" w:after="0" w:line="276" w:lineRule="auto"/>
        <w:ind w:firstLine="0"/>
        <w:rPr>
          <w:rFonts w:eastAsia="Microsoft YaHei" w:cs="Lucida Sans"/>
          <w:lang w:val="hy-AM"/>
        </w:rPr>
      </w:pPr>
      <w:r w:rsidRPr="00FE454B">
        <w:rPr>
          <w:rFonts w:eastAsia="Microsoft YaHei" w:cs="Lucida Sans"/>
          <w:lang w:val="hy-AM"/>
        </w:rPr>
        <w:lastRenderedPageBreak/>
        <w:t>Հանձնաժողովը յուրաքանչյուր տարի իրականացնելու է լայն սպառում ունեցող պարենային և ոչ պարենային նշանակության ապրանքների և ծառայությունների 5 ոլորտի/ապրանքային շուկայի ուսումնասիրություն</w:t>
      </w:r>
      <w:r>
        <w:rPr>
          <w:rFonts w:eastAsia="Microsoft YaHei" w:cs="Lucida Sans"/>
          <w:lang w:val="hy-AM"/>
        </w:rPr>
        <w:t xml:space="preserve">: </w:t>
      </w:r>
      <w:r w:rsidRPr="00CF3D84">
        <w:rPr>
          <w:rFonts w:eastAsia="Microsoft YaHei" w:cs="Lucida Sans"/>
          <w:lang w:val="hy-AM"/>
        </w:rPr>
        <w:t>Վերջիններիս նպատակն է բացահայտել ոլորտում մրցակցային իրավիճակը, տնտեսական մրցակցության հնարավոր կանխման, սահմանափակաման, արգելման և (կամ) սպառողների շահերի հնարավոր վնասման դեպքերը, մրցակցային իրավիճակի վրա ազդող այլ պայմանները։ Ուսումնասիրության շրջանակում Հանձնաժողովը, ըստ անհրաժեշտության,  հատկորոշում է ապրանքային շուկայի սահմանները, որոշում է ապրանքային շուկայի սուբյեկտների կազմը, ապրանքային շուկայի ծավալները, տնտեսավարող սուբյեկտների մասնաբաժինները, ապրանքային շուկայի կենտրոնացվածության աստիճանը, ուսումնասիրում է համապատասխան իրավական ակտերը, պարզում է ապրանքային շուկա մուտքի խոչընդոտների առկայությունը, ինչպես նաև ուսումնասիրում է ոլորտին կամ ապրանքային շուկային առնչվող այլ հանգամանքներ, որոնք կարող են ընդհանուր մրցակցային իրավիճակի, տնտեսական մրցակցության հնարավոր կանխման, սահմանափակման, արգելման և (կամ) սպառողների շահերի հնարավոր վնասման դեպքերի վերաբերյալ եզրահանգումներ կատարելու հնարավորություն տալ:</w:t>
      </w:r>
    </w:p>
    <w:p w14:paraId="144D2927" w14:textId="77777777" w:rsidR="0037789A" w:rsidRPr="00735988" w:rsidRDefault="0037789A" w:rsidP="004247C0">
      <w:pPr>
        <w:tabs>
          <w:tab w:val="left" w:pos="0"/>
          <w:tab w:val="left" w:pos="567"/>
        </w:tabs>
        <w:spacing w:before="120" w:after="0" w:line="276" w:lineRule="auto"/>
        <w:ind w:firstLine="0"/>
        <w:rPr>
          <w:rFonts w:eastAsia="Times New Roman" w:cs="Times New Roman"/>
          <w:kern w:val="16"/>
          <w:lang w:val="hy-AM"/>
        </w:rPr>
      </w:pPr>
      <w:r w:rsidRPr="00735988">
        <w:rPr>
          <w:rFonts w:eastAsia="Times New Roman" w:cs="Times New Roman"/>
          <w:kern w:val="16"/>
          <w:lang w:val="hy-AM"/>
        </w:rPr>
        <w:t xml:space="preserve">«Տնտեսական մրցակցության պաշտպանություն» ծրագրի շրջանակներում Հանձնաժողովի ոլորտային ծախսերի գերակա ուղղություններն են. </w:t>
      </w:r>
    </w:p>
    <w:p w14:paraId="6F30803A" w14:textId="77777777" w:rsidR="0037789A" w:rsidRPr="00735988" w:rsidRDefault="0037789A"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35988">
        <w:rPr>
          <w:rFonts w:cs="GHEA Grapalat"/>
          <w:lang w:val="hy-AM"/>
        </w:rPr>
        <w:t xml:space="preserve">Տնտեսական մրցակցության պաշտպանությանն ուղղված միջոցառումների իրականացում, </w:t>
      </w:r>
    </w:p>
    <w:p w14:paraId="32B420B7" w14:textId="77777777" w:rsidR="0037789A" w:rsidRPr="00735988" w:rsidRDefault="0037789A"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735988">
        <w:rPr>
          <w:rFonts w:cs="GHEA Grapalat"/>
          <w:lang w:val="hy-AM"/>
        </w:rPr>
        <w:t>Ապրանքային շուկաներում «Տնտեսական մրցակցության պաշտպանության մասին» ՀՀ օրենքով սահմանված չարաշահումների սահմանափակումը, կանխումը, արգելումը, ձեռնարկատիրության զարգացման նպաստումը,</w:t>
      </w:r>
    </w:p>
    <w:p w14:paraId="4357D8D5" w14:textId="77777777" w:rsidR="0037789A" w:rsidRPr="00735988" w:rsidRDefault="0037789A"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kern w:val="16"/>
          <w:lang w:val="hy-AM"/>
        </w:rPr>
      </w:pPr>
      <w:r w:rsidRPr="00735988">
        <w:rPr>
          <w:rFonts w:cs="GHEA Grapalat"/>
          <w:lang w:val="hy-AM"/>
        </w:rPr>
        <w:t>Միջազգային</w:t>
      </w:r>
      <w:r w:rsidRPr="00735988">
        <w:rPr>
          <w:rFonts w:eastAsia="Times New Roman" w:cs="Times New Roman"/>
          <w:kern w:val="16"/>
          <w:lang w:val="hy-AM"/>
        </w:rPr>
        <w:t xml:space="preserve"> համանման կառույցներին ինտեգրվելը և փորձի փոխանակումը:</w:t>
      </w:r>
    </w:p>
    <w:p w14:paraId="1B25B1B5" w14:textId="77777777" w:rsidR="00080175" w:rsidRPr="00FE0674" w:rsidRDefault="00080175" w:rsidP="004247C0">
      <w:pPr>
        <w:tabs>
          <w:tab w:val="left" w:pos="0"/>
          <w:tab w:val="left" w:pos="810"/>
          <w:tab w:val="left" w:pos="1080"/>
        </w:tabs>
        <w:spacing w:before="120" w:after="0" w:line="276" w:lineRule="auto"/>
        <w:ind w:firstLine="0"/>
        <w:rPr>
          <w:rFonts w:eastAsia="Times New Roman" w:cs="Times New Roman"/>
          <w:kern w:val="16"/>
          <w:sz w:val="24"/>
          <w:szCs w:val="24"/>
          <w:lang w:val="hy-AM"/>
        </w:rPr>
      </w:pPr>
    </w:p>
    <w:p w14:paraId="101F3DC2" w14:textId="2D41B2E3"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38" w:name="_Toc170926352"/>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w:t>
      </w:r>
      <w:r w:rsidRPr="00B24E6A">
        <w:rPr>
          <w:rFonts w:eastAsia="Times New Roman" w:cs="Times New Roman"/>
          <w:b w:val="0"/>
          <w:caps w:val="0"/>
          <w:color w:val="44546A" w:themeColor="text2"/>
          <w:sz w:val="24"/>
          <w:szCs w:val="24"/>
          <w:lang w:val="fr-FR"/>
        </w:rPr>
        <w:t>10. ՀԵՌՈՒՍՏԱՏԵՍՈՒԹՅԱՆ ԵՎ ՌԱԴԻՈՅԻ ՀԱՆՁՆԱԺՈՂՈՎ</w:t>
      </w:r>
      <w:bookmarkEnd w:id="238"/>
    </w:p>
    <w:p w14:paraId="1990ED28" w14:textId="77777777" w:rsidR="00080175" w:rsidRPr="00F46CAC" w:rsidRDefault="00080175" w:rsidP="004247C0">
      <w:pPr>
        <w:tabs>
          <w:tab w:val="left" w:pos="0"/>
        </w:tabs>
        <w:spacing w:before="120" w:after="0" w:line="276" w:lineRule="auto"/>
        <w:ind w:firstLine="0"/>
        <w:rPr>
          <w:rFonts w:eastAsia="Times New Roman" w:cs="Sylfaen"/>
          <w:lang w:val="hy-AM"/>
        </w:rPr>
      </w:pPr>
      <w:r w:rsidRPr="00F46CAC">
        <w:rPr>
          <w:rFonts w:eastAsia="Times New Roman" w:cs="Sylfaen"/>
          <w:lang w:val="hy-AM"/>
        </w:rPr>
        <w:t>Հեռուստատեսության</w:t>
      </w:r>
      <w:r w:rsidRPr="00F46CAC">
        <w:rPr>
          <w:rFonts w:eastAsia="Times New Roman" w:cs="Times Armenian"/>
          <w:lang w:val="hy-AM"/>
        </w:rPr>
        <w:t xml:space="preserve"> </w:t>
      </w:r>
      <w:r w:rsidRPr="00F46CAC">
        <w:rPr>
          <w:rFonts w:eastAsia="Times New Roman" w:cs="Sylfaen"/>
          <w:lang w:val="hy-AM"/>
        </w:rPr>
        <w:t>և</w:t>
      </w:r>
      <w:r w:rsidRPr="00F46CAC">
        <w:rPr>
          <w:rFonts w:eastAsia="Times New Roman" w:cs="Times Armenian"/>
          <w:lang w:val="hy-AM"/>
        </w:rPr>
        <w:t xml:space="preserve"> </w:t>
      </w:r>
      <w:r w:rsidRPr="00F46CAC">
        <w:rPr>
          <w:rFonts w:eastAsia="Times New Roman" w:cs="Sylfaen"/>
          <w:lang w:val="hy-AM"/>
        </w:rPr>
        <w:t>ռադիոյի</w:t>
      </w:r>
      <w:r w:rsidRPr="00F46CAC">
        <w:rPr>
          <w:rFonts w:eastAsia="Times New Roman" w:cs="Times Armenian"/>
          <w:lang w:val="hy-AM"/>
        </w:rPr>
        <w:t xml:space="preserve"> հանձնաժողովը (այսուհետ` </w:t>
      </w:r>
      <w:r w:rsidRPr="00F46CAC">
        <w:rPr>
          <w:rFonts w:eastAsia="Times New Roman" w:cs="Sylfaen"/>
          <w:lang w:val="hy-AM"/>
        </w:rPr>
        <w:t>Հանձնաժողով)</w:t>
      </w:r>
      <w:r w:rsidRPr="00F46CAC">
        <w:rPr>
          <w:rFonts w:eastAsia="Times New Roman" w:cs="Times New Roman"/>
          <w:lang w:val="hy-AM"/>
        </w:rPr>
        <w:t xml:space="preserve"> սահմանադրական կարգավիճակ ունեցող </w:t>
      </w:r>
      <w:r w:rsidRPr="00F46CAC">
        <w:rPr>
          <w:rFonts w:eastAsia="Times New Roman" w:cs="Sylfaen"/>
          <w:lang w:val="hy-AM"/>
        </w:rPr>
        <w:t>անկախ</w:t>
      </w:r>
      <w:r w:rsidRPr="00F46CAC">
        <w:rPr>
          <w:rFonts w:eastAsia="Times New Roman" w:cs="Times New Roman"/>
          <w:lang w:val="hy-AM"/>
        </w:rPr>
        <w:t xml:space="preserve"> </w:t>
      </w:r>
      <w:r w:rsidRPr="00F46CAC">
        <w:rPr>
          <w:rFonts w:eastAsia="Times New Roman" w:cs="Sylfaen"/>
          <w:lang w:val="hy-AM"/>
        </w:rPr>
        <w:t>պետական</w:t>
      </w:r>
      <w:r w:rsidRPr="00F46CAC">
        <w:rPr>
          <w:rFonts w:eastAsia="Times New Roman" w:cs="Times New Roman"/>
          <w:lang w:val="hy-AM"/>
        </w:rPr>
        <w:t xml:space="preserve"> </w:t>
      </w:r>
      <w:r w:rsidRPr="00F46CAC">
        <w:rPr>
          <w:rFonts w:eastAsia="Times New Roman" w:cs="Sylfaen"/>
          <w:lang w:val="hy-AM"/>
        </w:rPr>
        <w:t>մարմին</w:t>
      </w:r>
      <w:r w:rsidRPr="00F46CAC">
        <w:rPr>
          <w:rFonts w:eastAsia="Times New Roman" w:cs="Times New Roman"/>
          <w:lang w:val="hy-AM"/>
        </w:rPr>
        <w:t xml:space="preserve"> </w:t>
      </w:r>
      <w:r w:rsidRPr="00F46CAC">
        <w:rPr>
          <w:rFonts w:eastAsia="Times New Roman" w:cs="Sylfaen"/>
          <w:lang w:val="hy-AM"/>
        </w:rPr>
        <w:t>է</w:t>
      </w:r>
      <w:r w:rsidRPr="00F46CAC">
        <w:rPr>
          <w:rFonts w:eastAsia="Times New Roman" w:cs="Times New Roman"/>
          <w:lang w:val="hy-AM"/>
        </w:rPr>
        <w:t xml:space="preserve">, </w:t>
      </w:r>
      <w:r w:rsidRPr="00F46CAC">
        <w:rPr>
          <w:rFonts w:eastAsia="Times New Roman" w:cs="Sylfaen"/>
          <w:lang w:val="hy-AM"/>
        </w:rPr>
        <w:t>որն</w:t>
      </w:r>
      <w:r w:rsidRPr="00F46CAC">
        <w:rPr>
          <w:rFonts w:eastAsia="Times New Roman" w:cs="Times New Roman"/>
          <w:lang w:val="hy-AM"/>
        </w:rPr>
        <w:t xml:space="preserve"> </w:t>
      </w:r>
      <w:r w:rsidRPr="00F46CAC">
        <w:rPr>
          <w:rFonts w:eastAsia="Times New Roman" w:cs="Sylfaen"/>
          <w:lang w:val="hy-AM"/>
        </w:rPr>
        <w:t>ապահովում</w:t>
      </w:r>
      <w:r w:rsidRPr="00F46CAC">
        <w:rPr>
          <w:rFonts w:eastAsia="Times New Roman" w:cs="Times New Roman"/>
          <w:lang w:val="hy-AM"/>
        </w:rPr>
        <w:t xml:space="preserve"> </w:t>
      </w:r>
      <w:r w:rsidRPr="00F46CAC">
        <w:rPr>
          <w:rFonts w:eastAsia="Times New Roman" w:cs="Sylfaen"/>
          <w:lang w:val="hy-AM"/>
        </w:rPr>
        <w:t>է</w:t>
      </w:r>
      <w:r w:rsidRPr="00F46CAC">
        <w:rPr>
          <w:rFonts w:eastAsia="Times New Roman" w:cs="Times New Roman"/>
          <w:lang w:val="hy-AM"/>
        </w:rPr>
        <w:t xml:space="preserve"> </w:t>
      </w:r>
      <w:r w:rsidRPr="00F46CAC">
        <w:rPr>
          <w:rFonts w:eastAsia="Times New Roman" w:cs="Sylfaen"/>
          <w:lang w:val="hy-AM"/>
        </w:rPr>
        <w:t>հեռարձակվող</w:t>
      </w:r>
      <w:r w:rsidRPr="00F46CAC">
        <w:rPr>
          <w:rFonts w:eastAsia="Times New Roman" w:cs="Times New Roman"/>
          <w:lang w:val="hy-AM"/>
        </w:rPr>
        <w:t xml:space="preserve"> </w:t>
      </w:r>
      <w:r w:rsidRPr="00F46CAC">
        <w:rPr>
          <w:rFonts w:eastAsia="Times New Roman" w:cs="Sylfaen"/>
          <w:lang w:val="hy-AM"/>
        </w:rPr>
        <w:t>լրատվության</w:t>
      </w:r>
      <w:r w:rsidRPr="00F46CAC">
        <w:rPr>
          <w:rFonts w:eastAsia="Times New Roman" w:cs="Times New Roman"/>
          <w:lang w:val="hy-AM"/>
        </w:rPr>
        <w:t xml:space="preserve"> </w:t>
      </w:r>
      <w:r w:rsidRPr="00F46CAC">
        <w:rPr>
          <w:rFonts w:eastAsia="Times New Roman" w:cs="Sylfaen"/>
          <w:lang w:val="hy-AM"/>
        </w:rPr>
        <w:t>միջոցների</w:t>
      </w:r>
      <w:r w:rsidRPr="00F46CAC">
        <w:rPr>
          <w:rFonts w:eastAsia="Times New Roman" w:cs="Times New Roman"/>
          <w:lang w:val="hy-AM"/>
        </w:rPr>
        <w:t xml:space="preserve"> </w:t>
      </w:r>
      <w:r w:rsidRPr="00F46CAC">
        <w:rPr>
          <w:rFonts w:eastAsia="Times New Roman" w:cs="Sylfaen"/>
          <w:lang w:val="hy-AM"/>
        </w:rPr>
        <w:t>ազատությունը</w:t>
      </w:r>
      <w:r w:rsidRPr="00F46CAC">
        <w:rPr>
          <w:rFonts w:eastAsia="Times New Roman" w:cs="Times New Roman"/>
          <w:lang w:val="hy-AM"/>
        </w:rPr>
        <w:t xml:space="preserve">, </w:t>
      </w:r>
      <w:r w:rsidRPr="00F46CAC">
        <w:rPr>
          <w:rFonts w:eastAsia="Times New Roman" w:cs="Sylfaen"/>
          <w:lang w:val="hy-AM"/>
        </w:rPr>
        <w:t>անկախությունը</w:t>
      </w:r>
      <w:r w:rsidRPr="00F46CAC">
        <w:rPr>
          <w:rFonts w:eastAsia="Times New Roman" w:cs="Times New Roman"/>
          <w:lang w:val="hy-AM"/>
        </w:rPr>
        <w:t xml:space="preserve"> </w:t>
      </w:r>
      <w:r w:rsidRPr="00F46CAC">
        <w:rPr>
          <w:rFonts w:eastAsia="Times New Roman" w:cs="Sylfaen"/>
          <w:lang w:val="hy-AM"/>
        </w:rPr>
        <w:t>և</w:t>
      </w:r>
      <w:r w:rsidRPr="00F46CAC">
        <w:rPr>
          <w:rFonts w:eastAsia="Times New Roman" w:cs="Times New Roman"/>
          <w:lang w:val="hy-AM"/>
        </w:rPr>
        <w:t xml:space="preserve"> </w:t>
      </w:r>
      <w:r w:rsidRPr="00F46CAC">
        <w:rPr>
          <w:rFonts w:eastAsia="Times New Roman" w:cs="Sylfaen"/>
          <w:lang w:val="hy-AM"/>
        </w:rPr>
        <w:t>բազմազանությունը</w:t>
      </w:r>
      <w:r w:rsidRPr="00F46CAC">
        <w:rPr>
          <w:rFonts w:eastAsia="Times New Roman" w:cs="Times New Roman"/>
          <w:lang w:val="hy-AM"/>
        </w:rPr>
        <w:t xml:space="preserve">, </w:t>
      </w:r>
      <w:r w:rsidRPr="00F46CAC">
        <w:rPr>
          <w:rFonts w:eastAsia="Times New Roman" w:cs="Sylfaen"/>
          <w:lang w:val="hy-AM"/>
        </w:rPr>
        <w:t>վերահսկում</w:t>
      </w:r>
      <w:r w:rsidRPr="00F46CAC">
        <w:rPr>
          <w:rFonts w:eastAsia="Times New Roman" w:cs="Times New Roman"/>
          <w:lang w:val="hy-AM"/>
        </w:rPr>
        <w:t xml:space="preserve"> </w:t>
      </w:r>
      <w:r w:rsidRPr="00F46CAC">
        <w:rPr>
          <w:rFonts w:eastAsia="Times New Roman" w:cs="Sylfaen"/>
          <w:lang w:val="hy-AM"/>
        </w:rPr>
        <w:t>է տեսալսողական մեդիածառայություն մատուցողների, ցանցային և մուլտիպլեքս օպերատորների,</w:t>
      </w:r>
      <w:r w:rsidRPr="00F46CAC">
        <w:rPr>
          <w:rFonts w:eastAsia="Times New Roman" w:cs="Times New Roman"/>
          <w:lang w:val="hy-AM"/>
        </w:rPr>
        <w:t xml:space="preserve"> ինչպես նաև </w:t>
      </w:r>
      <w:r w:rsidRPr="00F46CAC">
        <w:rPr>
          <w:rFonts w:eastAsia="Times New Roman" w:cs="Sylfaen"/>
          <w:lang w:val="hy-AM"/>
        </w:rPr>
        <w:t xml:space="preserve">տեսալսողական ծրագրերի դիստրիբյուտորների գործունեությունը։ </w:t>
      </w:r>
    </w:p>
    <w:p w14:paraId="67E6DB6A" w14:textId="77777777" w:rsidR="00080175" w:rsidRPr="00F46CAC" w:rsidRDefault="00080175" w:rsidP="004247C0">
      <w:pPr>
        <w:tabs>
          <w:tab w:val="left" w:pos="0"/>
        </w:tabs>
        <w:spacing w:before="120" w:after="0" w:line="276" w:lineRule="auto"/>
        <w:ind w:firstLine="0"/>
        <w:rPr>
          <w:rFonts w:eastAsia="Times New Roman" w:cs="Times New Roman"/>
          <w:lang w:val="hy-AM"/>
        </w:rPr>
      </w:pPr>
      <w:r w:rsidRPr="00F46CAC">
        <w:rPr>
          <w:rFonts w:eastAsia="Times New Roman" w:cs="Sylfaen"/>
          <w:lang w:val="hy-AM"/>
        </w:rPr>
        <w:t>Հանձնաժողովի հիմնական գործառույթներն են</w:t>
      </w:r>
      <w:r w:rsidRPr="00F46CAC">
        <w:rPr>
          <w:rFonts w:eastAsia="Times New Roman" w:cs="Times New Roman"/>
          <w:lang w:val="hy-AM"/>
        </w:rPr>
        <w:t>`</w:t>
      </w:r>
    </w:p>
    <w:p w14:paraId="1E7C6114"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հանրային մուլտիպլեքսում սլոթի օգտագործման լիցենզավորման մրցույթների անցկացում.</w:t>
      </w:r>
    </w:p>
    <w:p w14:paraId="24A50180"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լսողական ծրագրի հաճախականության օգտագործման լիցենզավորման մրցույթների անցկացում.</w:t>
      </w:r>
    </w:p>
    <w:p w14:paraId="69375F0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մասնավոր մուլտիպլեքս օպերատորի գործունեության լիցենզավորման մրցույթների անցկացում.</w:t>
      </w:r>
    </w:p>
    <w:p w14:paraId="0C461725"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ցանցային օպերատորի գործունեության լիցենզավորում.</w:t>
      </w:r>
    </w:p>
    <w:p w14:paraId="77F29A5D" w14:textId="3F7E2198"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lastRenderedPageBreak/>
        <w:t>տեսալսողական մեդիածառայություն մատուցողի կարգավիճակի տրամադրում՝ հեղինակա</w:t>
      </w:r>
      <w:r w:rsidR="0026460F">
        <w:rPr>
          <w:rFonts w:cs="GHEA Grapalat"/>
          <w:lang w:val="hy-AM"/>
        </w:rPr>
        <w:t>զ</w:t>
      </w:r>
      <w:r w:rsidRPr="00512140">
        <w:rPr>
          <w:rFonts w:cs="GHEA Grapalat"/>
          <w:lang w:val="hy-AM"/>
        </w:rPr>
        <w:t>որում.</w:t>
      </w:r>
    </w:p>
    <w:p w14:paraId="3118DD45"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տեսալսողական ծրագրերի դիստրիբյուտորների ծանուցումների հաստատում.</w:t>
      </w:r>
    </w:p>
    <w:p w14:paraId="21ED60BB"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ոչ գծային տեսալսողական տեղեկատվության հեռարձակման գործունեություն իրականացնելու թույլտվությունների տրամադրում.</w:t>
      </w:r>
    </w:p>
    <w:p w14:paraId="2AA4B669"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լիցենզիա ստացած անձանց ցուցակի կազմում և հրապարակում, լիցենզիայում նշված պայմանների և «Տեսալսողական մեդիայի մասին» օրենքի (այսուհետ` Օրենք)  պահանջների կատարման նկատմամբ հսկողության իրականացում.</w:t>
      </w:r>
    </w:p>
    <w:p w14:paraId="0BF690C5"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տեսալսողական հաղորդումների տեսագրությունների և ձայնագրությունների ընտրանքային դիտարկման միջոցով օրենսդրության և լիցենզիայի պահանջներին դրանց համապատասխանության  պարզում.</w:t>
      </w:r>
    </w:p>
    <w:p w14:paraId="0D1C9901"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«Տեսալսողական մեդիայի մասին» օրենքի խախտման կամ իր որոշումները չկատարելու դեպքում պատասխանատվության միջոցների կիրառում.</w:t>
      </w:r>
    </w:p>
    <w:p w14:paraId="1D268120"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տեսալսողական մեդիածառայություն մատուցողների կողմից նախընտրական քարոզչության՝ Հայաստանի Հանրապետության ընտրական օրենսգրքով սահմանված կարգի պահպանման նկատմամբ վերահսկողություն.</w:t>
      </w:r>
    </w:p>
    <w:p w14:paraId="69346038"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 տեսալսողական մեդիածառայություն մատուցողների, ցանցային և մուլտիպլեքս օպերատորների և տեսալսողական ծրագրերի դիստրիբյուտորների գործունեության վերաբերյալ բողոքների, առաջարկությունների և հարցումների ուսումնասիրում և պատասխանում կամ եզրակացության տրամադրում.</w:t>
      </w:r>
    </w:p>
    <w:p w14:paraId="195C3C02"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 տեսալսողական մեդիածառայություն մատուցողների և ցանցային օպերատորների գործունեության մշտադիտարկում.</w:t>
      </w:r>
    </w:p>
    <w:p w14:paraId="0276CF47"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 «Հայաստանի Հանրապետությունում ստուգումների կազմակերպման և անցկացման մասին» օրենքով սահմանված կարգով և դեպքերում ստուգումների և ուսումնասիրությունների իրականացում.</w:t>
      </w:r>
    </w:p>
    <w:p w14:paraId="22FA9343"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 Հանրային հեռարձակողի ծրագրերում տեղեկատվական, կրթական, մշակութային և ժամանցային բնույթի հաղորդումների բազմազանության ապահովման համար վերահսկողության իրականացում.</w:t>
      </w:r>
    </w:p>
    <w:p w14:paraId="01F03B3A"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օրենքով սահմանված դեպքերում կարգերի, մեթոդաբանությունների և այլ ենթաօրենսդրական նորմատիվ իրավական ակտերի ընդունում:</w:t>
      </w:r>
    </w:p>
    <w:p w14:paraId="781CC7EE" w14:textId="77777777" w:rsidR="00080175" w:rsidRPr="00F46CAC" w:rsidRDefault="00080175" w:rsidP="004247C0">
      <w:pPr>
        <w:shd w:val="clear" w:color="auto" w:fill="FFFFFF"/>
        <w:tabs>
          <w:tab w:val="left" w:pos="0"/>
          <w:tab w:val="left" w:pos="284"/>
        </w:tabs>
        <w:spacing w:before="120" w:after="0" w:line="276" w:lineRule="auto"/>
        <w:ind w:firstLine="0"/>
        <w:rPr>
          <w:rFonts w:eastAsia="Times New Roman" w:cs="Times New Roman"/>
          <w:lang w:val="hy-AM"/>
        </w:rPr>
      </w:pPr>
      <w:r w:rsidRPr="00F46CAC">
        <w:rPr>
          <w:rFonts w:eastAsia="Times New Roman" w:cs="Times New Roman"/>
          <w:lang w:val="hy-AM"/>
        </w:rPr>
        <w:t xml:space="preserve">ՄԺԾԾ ժամանակահատվածում Հանձնաժողովի կողմից իրականացվելիք հիմնական </w:t>
      </w:r>
      <w:r w:rsidRPr="00F46CAC">
        <w:rPr>
          <w:rFonts w:eastAsia="Times New Roman" w:cs="Sylfaen"/>
          <w:bCs/>
          <w:kern w:val="16"/>
          <w:lang w:val="hy-AM"/>
        </w:rPr>
        <w:t>գերակա ծախսային ուղղություններն</w:t>
      </w:r>
      <w:r w:rsidRPr="00F46CAC">
        <w:rPr>
          <w:rFonts w:eastAsia="Times New Roman" w:cs="Times New Roman"/>
          <w:lang w:val="hy-AM"/>
        </w:rPr>
        <w:t xml:space="preserve"> են՝</w:t>
      </w:r>
    </w:p>
    <w:p w14:paraId="032EE795"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Տեսալսողական մեդիածառայություն մատուցողների գործունեության վերահսկում և կարգավորում, ինչը կնպաստի ոլորտային նպատակների իրագործմանը</w:t>
      </w:r>
      <w:r w:rsidRPr="00512140">
        <w:rPr>
          <w:rFonts w:ascii="Cambria Math" w:hAnsi="Cambria Math" w:cs="Cambria Math"/>
          <w:lang w:val="hy-AM"/>
        </w:rPr>
        <w:t>․</w:t>
      </w:r>
    </w:p>
    <w:p w14:paraId="3976FBBF"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 xml:space="preserve">Հանրային մուլտիպլեքսում սլոթի օգտագործման և լսողական ծրագրի հաճախականության օգտագործման լիցենզավորման մրցույթների անցկացում, ներառյալ մարզային սփռման մրցույթների, ինչը տեղեկատվություն ստանալու ավելի լայն ընտրության հնարավորություն կտա </w:t>
      </w:r>
      <w:r w:rsidRPr="00512140">
        <w:rPr>
          <w:rFonts w:cs="GHEA Grapalat"/>
          <w:lang w:val="hy-AM"/>
        </w:rPr>
        <w:lastRenderedPageBreak/>
        <w:t>սպառողներին, իսկ մարզերի բնակչությանը՝ մշտապես իրազեկ լինելու տեղական նորություններին և մարզերին առնչվող խնդիրներին</w:t>
      </w:r>
      <w:r w:rsidRPr="00512140">
        <w:rPr>
          <w:rFonts w:ascii="Cambria Math" w:hAnsi="Cambria Math" w:cs="Cambria Math"/>
          <w:lang w:val="hy-AM"/>
        </w:rPr>
        <w:t>․</w:t>
      </w:r>
    </w:p>
    <w:p w14:paraId="24A4A635" w14:textId="77777777" w:rsidR="00080175" w:rsidRPr="00F46CAC"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Sylfaen"/>
          <w:lang w:val="hy-AM"/>
        </w:rPr>
      </w:pPr>
      <w:r w:rsidRPr="00512140">
        <w:rPr>
          <w:rFonts w:cs="GHEA Grapalat"/>
          <w:lang w:val="hy-AM"/>
        </w:rPr>
        <w:t>Մասնավոր մուլտիպլեքս օպերատորի գործունեության լիցենզավորման մրցույթի անցկացում, ինչը կնպաստի տեսալսողական ծրագրերի հեռարձակման թվայնացման համակարգի կայուն գործարկմանը, ինչպես նաև կապահովի նոր սուբյեկտների մուտքը տեսալսողական շուկա՝</w:t>
      </w:r>
      <w:r w:rsidRPr="00F46CAC">
        <w:rPr>
          <w:rFonts w:eastAsia="Times New Roman" w:cs="Sylfaen"/>
          <w:lang w:val="hy-AM"/>
        </w:rPr>
        <w:t xml:space="preserve">  նպաստելով մեդիաների միջև հավասարակշռված մրցակցային միջավայրի ստեղծմանը</w:t>
      </w:r>
      <w:r w:rsidRPr="00F46CAC">
        <w:rPr>
          <w:rFonts w:ascii="Cambria Math" w:eastAsia="Times New Roman" w:hAnsi="Cambria Math" w:cs="Sylfaen"/>
          <w:lang w:val="hy-AM"/>
        </w:rPr>
        <w:t>․</w:t>
      </w:r>
      <w:r w:rsidRPr="00F46CAC">
        <w:rPr>
          <w:rFonts w:eastAsia="Times New Roman" w:cs="Sylfaen"/>
          <w:lang w:val="hy-AM"/>
        </w:rPr>
        <w:t xml:space="preserve"> </w:t>
      </w:r>
    </w:p>
    <w:p w14:paraId="5B89053C" w14:textId="77777777" w:rsidR="00080175" w:rsidRPr="00756644" w:rsidRDefault="00080175" w:rsidP="004247C0">
      <w:pPr>
        <w:shd w:val="clear" w:color="auto" w:fill="FFFFFF"/>
        <w:tabs>
          <w:tab w:val="left" w:pos="0"/>
          <w:tab w:val="left" w:pos="851"/>
        </w:tabs>
        <w:spacing w:before="120" w:after="0" w:line="276" w:lineRule="auto"/>
        <w:ind w:firstLine="0"/>
        <w:rPr>
          <w:rFonts w:eastAsia="Times New Roman" w:cs="Times New Roman"/>
          <w:sz w:val="24"/>
          <w:szCs w:val="24"/>
          <w:highlight w:val="yellow"/>
          <w:lang w:val="hy-AM"/>
        </w:rPr>
      </w:pPr>
    </w:p>
    <w:p w14:paraId="329AC1AA" w14:textId="42633FF0"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Sylfaen"/>
          <w:b w:val="0"/>
          <w:sz w:val="24"/>
          <w:szCs w:val="24"/>
        </w:rPr>
      </w:pPr>
      <w:bookmarkStart w:id="239" w:name="_Toc170926353"/>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.11. </w:t>
      </w:r>
      <w:r w:rsidRPr="00A809B2">
        <w:rPr>
          <w:rFonts w:eastAsia="Times New Roman" w:cs="Times New Roman"/>
          <w:b w:val="0"/>
          <w:caps w:val="0"/>
          <w:color w:val="44546A" w:themeColor="text2"/>
          <w:sz w:val="24"/>
          <w:szCs w:val="24"/>
          <w:lang w:val="fr-FR"/>
        </w:rPr>
        <w:t>ԿԵՆՏՐՈՆԱԿԱՆ ԸՆՏՐԱԿԱՆ ՀԱՆՁՆԱԺՈՂՈՎ</w:t>
      </w:r>
      <w:bookmarkEnd w:id="239"/>
    </w:p>
    <w:p w14:paraId="0E6667EC" w14:textId="77777777" w:rsidR="00A809B2" w:rsidRPr="00767498" w:rsidRDefault="00A809B2" w:rsidP="004247C0">
      <w:pPr>
        <w:tabs>
          <w:tab w:val="left" w:pos="0"/>
          <w:tab w:val="left" w:pos="851"/>
        </w:tabs>
        <w:spacing w:before="120" w:after="0" w:line="276" w:lineRule="auto"/>
        <w:ind w:firstLine="0"/>
        <w:rPr>
          <w:rFonts w:eastAsia="Calibri" w:cs="Sylfaen"/>
          <w:color w:val="000000"/>
          <w:lang w:val="hy-AM" w:eastAsia="en-GB"/>
        </w:rPr>
      </w:pPr>
      <w:r w:rsidRPr="00542A21">
        <w:rPr>
          <w:rFonts w:eastAsia="Times New Roman" w:cs="Sylfaen"/>
          <w:lang w:val="hy-AM" w:eastAsia="ru-RU"/>
        </w:rPr>
        <w:t>Կենտրոնական</w:t>
      </w:r>
      <w:r w:rsidRPr="00542A21">
        <w:rPr>
          <w:rFonts w:eastAsia="Times New Roman" w:cs="Times New Roman"/>
          <w:lang w:val="hy-AM" w:eastAsia="ru-RU"/>
        </w:rPr>
        <w:t xml:space="preserve"> </w:t>
      </w:r>
      <w:r w:rsidRPr="00542A21">
        <w:rPr>
          <w:rFonts w:eastAsia="Times New Roman" w:cs="Sylfaen"/>
          <w:lang w:val="hy-AM" w:eastAsia="ru-RU"/>
        </w:rPr>
        <w:t>ընտրական</w:t>
      </w:r>
      <w:r w:rsidRPr="00542A21">
        <w:rPr>
          <w:rFonts w:eastAsia="Times New Roman" w:cs="Times New Roman"/>
          <w:lang w:val="hy-AM" w:eastAsia="ru-RU"/>
        </w:rPr>
        <w:t xml:space="preserve"> </w:t>
      </w:r>
      <w:r w:rsidRPr="00542A21">
        <w:rPr>
          <w:rFonts w:eastAsia="Times New Roman" w:cs="Sylfaen"/>
          <w:lang w:val="hy-AM" w:eastAsia="ru-RU"/>
        </w:rPr>
        <w:t>հանձնաժողով</w:t>
      </w:r>
      <w:r w:rsidRPr="00767498">
        <w:rPr>
          <w:rFonts w:eastAsia="Times New Roman" w:cs="Sylfaen"/>
          <w:lang w:val="hy-AM" w:eastAsia="ru-RU"/>
        </w:rPr>
        <w:t xml:space="preserve">ի </w:t>
      </w:r>
      <w:r w:rsidRPr="00767498">
        <w:rPr>
          <w:rFonts w:eastAsia="Calibri" w:cs="Sylfaen"/>
          <w:color w:val="000000"/>
          <w:lang w:val="hy-AM" w:eastAsia="en-GB"/>
        </w:rPr>
        <w:t xml:space="preserve">աշխատանքներն ուղղված են </w:t>
      </w:r>
      <w:r w:rsidRPr="00767498">
        <w:rPr>
          <w:rFonts w:eastAsia="Calibri" w:cs="Times New Roman"/>
          <w:color w:val="000000"/>
          <w:lang w:val="hy-AM" w:eastAsia="en-GB"/>
        </w:rPr>
        <w:t xml:space="preserve">ընտրական գործընթացների պատշաճ կազմակերպմանն ու անցկացմանը, դրանց բարելավմանն ու </w:t>
      </w:r>
      <w:r w:rsidRPr="00767498">
        <w:rPr>
          <w:rFonts w:eastAsia="Calibri" w:cs="Sylfaen"/>
          <w:color w:val="000000"/>
          <w:lang w:val="hy-AM" w:eastAsia="en-GB"/>
        </w:rPr>
        <w:t>կատարելագործմանը</w:t>
      </w:r>
      <w:r w:rsidRPr="00767498">
        <w:rPr>
          <w:rFonts w:eastAsia="Calibri" w:cs="Times New Roman"/>
          <w:color w:val="000000"/>
          <w:lang w:val="af-ZA" w:eastAsia="en-GB"/>
        </w:rPr>
        <w:t xml:space="preserve">, </w:t>
      </w:r>
      <w:r w:rsidRPr="00767498">
        <w:rPr>
          <w:rFonts w:eastAsia="Calibri" w:cs="Times New Roman"/>
          <w:color w:val="000000"/>
          <w:lang w:val="hy-AM" w:eastAsia="en-GB"/>
        </w:rPr>
        <w:t xml:space="preserve">ընտրական իրավունքի և ընտրական գործընթացների վերաբերյալ </w:t>
      </w:r>
      <w:r w:rsidRPr="00767498">
        <w:rPr>
          <w:rFonts w:eastAsia="Calibri" w:cs="Sylfaen"/>
          <w:color w:val="000000"/>
          <w:lang w:val="hy-AM" w:eastAsia="en-GB"/>
        </w:rPr>
        <w:t>ուսուցումների և դասընթացների կազմակերպմանը, դասավանդման նոր մեթոդաբանության, ուսուցման նոր հարթակների մշակմանն ու ներդրմանը և ընտրական գործընթացների վերաբերյալ հանրային իրազեկման ապահովմանն ու ընդլայնմանը։</w:t>
      </w:r>
    </w:p>
    <w:p w14:paraId="09AD7D6A" w14:textId="77777777" w:rsidR="00A809B2" w:rsidRPr="00767498" w:rsidRDefault="00A809B2" w:rsidP="004247C0">
      <w:pPr>
        <w:tabs>
          <w:tab w:val="left" w:pos="0"/>
          <w:tab w:val="left" w:pos="851"/>
        </w:tabs>
        <w:spacing w:before="120" w:after="0" w:line="276" w:lineRule="auto"/>
        <w:ind w:firstLine="0"/>
        <w:rPr>
          <w:rFonts w:eastAsia="Calibri" w:cs="Times New Roman"/>
          <w:bCs/>
          <w:color w:val="000000"/>
          <w:lang w:val="hy-AM" w:eastAsia="en-GB"/>
        </w:rPr>
      </w:pPr>
      <w:r w:rsidRPr="00767498">
        <w:rPr>
          <w:rFonts w:eastAsia="Calibri" w:cs="Sylfaen"/>
          <w:color w:val="000000"/>
          <w:lang w:val="hy-AM" w:eastAsia="en-GB"/>
        </w:rPr>
        <w:t>Վերոգրյալի ապահովման համար իրականացվում են վերլուծություններ, ուսումնասիրություններ, կազմակերպվում են Հանձնաժողովի անդամների և Հանձնաժողովի աշխատակիցների վերապատրաստումներ, անցկացվում են սեմինարներ, կոնֆերանսներ, ապահովվում են շփումներ շահագրգիռ մասնակիցների հետ (կուսակցությունների ներկայացուցիչներ, հասարակական կազմակերպություններ, զանգվածային լրատվության միջոցների ներկայացուցիչներ, տարածքային ընտրական հանձնաժողովներ և այլն)։</w:t>
      </w:r>
    </w:p>
    <w:p w14:paraId="5FB0F338" w14:textId="25296426" w:rsidR="00A809B2" w:rsidRPr="00767498" w:rsidRDefault="00A809B2" w:rsidP="004247C0">
      <w:pPr>
        <w:tabs>
          <w:tab w:val="left" w:pos="0"/>
          <w:tab w:val="num" w:pos="567"/>
          <w:tab w:val="left" w:pos="851"/>
        </w:tabs>
        <w:spacing w:before="120" w:after="0" w:line="276" w:lineRule="auto"/>
        <w:ind w:firstLine="0"/>
        <w:rPr>
          <w:rFonts w:eastAsia="Calibri" w:cs="Arial"/>
          <w:color w:val="000000"/>
          <w:lang w:val="hy-AM" w:eastAsia="en-GB"/>
        </w:rPr>
      </w:pPr>
      <w:r w:rsidRPr="00767498">
        <w:rPr>
          <w:rFonts w:eastAsia="Calibri" w:cs="Times New Roman"/>
          <w:bCs/>
          <w:color w:val="000000"/>
          <w:lang w:val="hy-AM" w:eastAsia="en-GB"/>
        </w:rPr>
        <w:t xml:space="preserve">Հանձնաժողովը համագործակցում է հասարակական կազմակերպությունների հետ՝ </w:t>
      </w:r>
      <w:r w:rsidR="0026460F">
        <w:rPr>
          <w:rFonts w:eastAsia="Calibri" w:cs="Times New Roman"/>
          <w:bCs/>
          <w:color w:val="000000"/>
          <w:lang w:val="hy-AM" w:eastAsia="en-GB"/>
        </w:rPr>
        <w:t>հաշմ</w:t>
      </w:r>
      <w:r w:rsidRPr="00767498">
        <w:rPr>
          <w:rFonts w:eastAsia="Calibri" w:cs="Times New Roman"/>
          <w:bCs/>
          <w:color w:val="000000"/>
          <w:lang w:val="hy-AM" w:eastAsia="en-GB"/>
        </w:rPr>
        <w:t xml:space="preserve">անդամություն ունեցող անձանց համար ընտրական գործընթացներն առավել մատչելի դարձնելու ուղղությամբ։ Նշված աշխատանքները կնպաստեն նաև </w:t>
      </w:r>
      <w:r w:rsidRPr="00767498">
        <w:rPr>
          <w:rFonts w:eastAsia="Calibri" w:cs="Times New Roman"/>
          <w:color w:val="000000"/>
          <w:lang w:val="hy-AM" w:eastAsia="ru-RU"/>
        </w:rPr>
        <w:t xml:space="preserve">ՀՀ կառավարության ծրագրով սահմանված նպատակին, ըստ որի՝ «վերահաստատելով </w:t>
      </w:r>
      <w:r w:rsidRPr="00767498">
        <w:rPr>
          <w:rFonts w:eastAsia="Calibri" w:cs="Arial"/>
          <w:color w:val="000000"/>
          <w:lang w:val="hy-AM" w:eastAsia="en-GB"/>
        </w:rPr>
        <w:t>հաշմանդամություն ունեցող անձանց իրավունքների պաշտպանությանն ուղղված հետևողական</w:t>
      </w:r>
      <w:r w:rsidRPr="00542A21">
        <w:rPr>
          <w:rFonts w:eastAsia="Calibri" w:cs="Arial"/>
          <w:color w:val="000000"/>
          <w:lang w:val="hy-AM" w:eastAsia="en-GB"/>
        </w:rPr>
        <w:t xml:space="preserve"> </w:t>
      </w:r>
      <w:r w:rsidRPr="00767498">
        <w:rPr>
          <w:rFonts w:eastAsia="Calibri" w:cs="Arial"/>
          <w:color w:val="000000"/>
          <w:lang w:val="hy-AM" w:eastAsia="en-GB"/>
        </w:rPr>
        <w:t xml:space="preserve">ջանքերը՝ </w:t>
      </w:r>
      <w:r>
        <w:rPr>
          <w:rFonts w:eastAsia="Calibri" w:cs="Arial"/>
          <w:color w:val="000000"/>
          <w:lang w:val="hy-AM" w:eastAsia="en-GB"/>
        </w:rPr>
        <w:t>ՀՀ կ</w:t>
      </w:r>
      <w:r w:rsidRPr="00767498">
        <w:rPr>
          <w:rFonts w:eastAsia="Calibri" w:cs="Arial"/>
          <w:color w:val="000000"/>
          <w:lang w:val="hy-AM" w:eastAsia="en-GB"/>
        </w:rPr>
        <w:t xml:space="preserve">առավարությունը շարունակելու է ձեռնարկել անհրաժեշտ բոլոր միջոցները՝ բացառելու hամար հաշմանդամության հիմքով խտրականությունը կյանքի բոլոր ոլորտներում», և </w:t>
      </w:r>
      <w:r w:rsidRPr="00767498">
        <w:rPr>
          <w:rFonts w:eastAsia="Calibri" w:cs="Times New Roman"/>
          <w:color w:val="000000"/>
          <w:lang w:val="hy-AM" w:eastAsia="ru-RU"/>
        </w:rPr>
        <w:t>ՀՀ կառավարության ծրագրով սահմանված՝</w:t>
      </w:r>
      <w:r w:rsidRPr="00767498">
        <w:rPr>
          <w:rFonts w:eastAsia="Calibri" w:cs="Arial"/>
          <w:color w:val="000000"/>
          <w:lang w:val="hy-AM" w:eastAsia="en-GB"/>
        </w:rPr>
        <w:t xml:space="preserve"> հաշմանդամություն ունեցող անձանց իրավունքների և արժանապատվության պաշտպանությանը և նրանց սոցիալական ներառման ապահովման խնդրի լուծմանը։</w:t>
      </w:r>
    </w:p>
    <w:p w14:paraId="226F8F86" w14:textId="77777777" w:rsidR="00A809B2" w:rsidRPr="00767498" w:rsidRDefault="00A809B2" w:rsidP="004247C0">
      <w:pPr>
        <w:tabs>
          <w:tab w:val="left" w:pos="0"/>
          <w:tab w:val="left" w:pos="851"/>
        </w:tabs>
        <w:spacing w:before="120" w:after="0" w:line="276" w:lineRule="auto"/>
        <w:ind w:firstLine="0"/>
        <w:rPr>
          <w:rFonts w:eastAsia="Calibri" w:cs="Arial"/>
          <w:color w:val="000000"/>
          <w:lang w:val="hy-AM" w:eastAsia="en-GB"/>
        </w:rPr>
      </w:pPr>
      <w:r w:rsidRPr="00767498">
        <w:rPr>
          <w:rFonts w:eastAsia="Calibri" w:cs="Times New Roman"/>
          <w:bCs/>
          <w:color w:val="000000"/>
          <w:lang w:val="hy-AM" w:eastAsia="en-GB"/>
        </w:rPr>
        <w:t>Հանձնաժողովը</w:t>
      </w:r>
      <w:r w:rsidRPr="00767498">
        <w:rPr>
          <w:rFonts w:eastAsia="Calibri" w:cs="Arial"/>
          <w:color w:val="000000"/>
          <w:lang w:val="hy-AM" w:eastAsia="en-GB"/>
        </w:rPr>
        <w:t xml:space="preserve"> ա</w:t>
      </w:r>
      <w:r w:rsidRPr="00767498">
        <w:rPr>
          <w:rFonts w:eastAsia="Times New Roman" w:cs="Times New Roman"/>
          <w:bCs/>
          <w:iCs/>
          <w:color w:val="000000"/>
          <w:lang w:val="hy-AM" w:eastAsia="ru-RU"/>
        </w:rPr>
        <w:t>պահովում է կանանց լիարժեք և արդյունավետ մասնակցությունը և հավասար հնարավորությունները քաղաքական, տնտեսական և հանրային կյանքում որոշումների կայացման բոլոր մակարդակներում ղեկավար դիրք զբաղեցնելու համար</w:t>
      </w:r>
      <w:r w:rsidRPr="00767498">
        <w:rPr>
          <w:rFonts w:eastAsia="Times New Roman" w:cs="Times New Roman"/>
          <w:iCs/>
          <w:color w:val="000000"/>
          <w:lang w:val="hy-AM" w:eastAsia="ru-RU"/>
        </w:rPr>
        <w:t xml:space="preserve"> (և՛ հանձնաժողովների անդամների, և՛ թեկնածուների շրջանում)։</w:t>
      </w:r>
    </w:p>
    <w:p w14:paraId="2CE1DBE7" w14:textId="77777777" w:rsidR="00A809B2" w:rsidRDefault="00A809B2" w:rsidP="004247C0">
      <w:pPr>
        <w:tabs>
          <w:tab w:val="left" w:pos="0"/>
          <w:tab w:val="left" w:pos="851"/>
        </w:tabs>
        <w:spacing w:before="120" w:after="0" w:line="276" w:lineRule="auto"/>
        <w:ind w:firstLine="0"/>
        <w:rPr>
          <w:rFonts w:eastAsia="Times New Roman" w:cs="Times New Roman"/>
          <w:lang w:val="hy-AM" w:eastAsia="ru-RU"/>
        </w:rPr>
      </w:pPr>
      <w:r w:rsidRPr="00767498">
        <w:rPr>
          <w:rFonts w:eastAsia="Times New Roman" w:cs="Times New Roman"/>
          <w:lang w:val="hy-AM" w:eastAsia="ru-RU"/>
        </w:rPr>
        <w:t xml:space="preserve">Հաշվի առնելով, որ քաղաքացիների իրազեկումը առաջնային է Կենտրոնական ընտրական հանձնաժողովի համար, </w:t>
      </w:r>
      <w:r w:rsidRPr="00542A21">
        <w:rPr>
          <w:rFonts w:eastAsia="Times New Roman" w:cs="Times New Roman"/>
          <w:lang w:val="hy-AM" w:eastAsia="ru-RU"/>
        </w:rPr>
        <w:t>Հ</w:t>
      </w:r>
      <w:r w:rsidRPr="00767498">
        <w:rPr>
          <w:rFonts w:eastAsia="Times New Roman" w:cs="Times New Roman"/>
          <w:lang w:val="hy-AM" w:eastAsia="ru-RU"/>
        </w:rPr>
        <w:t>անձնաժողովը միջոցներ է ձեռնարկելու իրազեկման աշխատանքները (այդ թվում՝ բաց դասեր անցկացնելով, երիտասարդների ներգրավելով և այլն) ընդլայնելու համար</w:t>
      </w:r>
      <w:r w:rsidRPr="00542A21">
        <w:rPr>
          <w:rFonts w:eastAsia="Times New Roman" w:cs="Times New Roman"/>
          <w:lang w:val="hy-AM" w:eastAsia="ru-RU"/>
        </w:rPr>
        <w:t>:</w:t>
      </w:r>
    </w:p>
    <w:p w14:paraId="5EFFF407" w14:textId="77777777" w:rsidR="00512140" w:rsidRPr="00542A21" w:rsidRDefault="00512140" w:rsidP="004247C0">
      <w:pPr>
        <w:tabs>
          <w:tab w:val="left" w:pos="0"/>
          <w:tab w:val="left" w:pos="851"/>
        </w:tabs>
        <w:spacing w:before="120" w:after="0" w:line="276" w:lineRule="auto"/>
        <w:ind w:firstLine="0"/>
        <w:rPr>
          <w:rFonts w:eastAsia="Times New Roman" w:cs="Times New Roman"/>
          <w:lang w:val="hy-AM" w:eastAsia="ru-RU"/>
        </w:rPr>
      </w:pPr>
    </w:p>
    <w:p w14:paraId="1C41A356" w14:textId="20003092"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40" w:name="_Toc170926354"/>
      <w:r w:rsidRPr="00FE0674">
        <w:rPr>
          <w:rFonts w:eastAsia="Times New Roman" w:cs="Times New Roman"/>
          <w:b w:val="0"/>
          <w:caps w:val="0"/>
          <w:color w:val="44546A" w:themeColor="text2"/>
          <w:sz w:val="24"/>
          <w:szCs w:val="24"/>
          <w:lang w:val="fr-FR"/>
        </w:rPr>
        <w:lastRenderedPageBreak/>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.12. </w:t>
      </w:r>
      <w:r w:rsidRPr="00B616DB">
        <w:rPr>
          <w:rFonts w:eastAsia="Times New Roman" w:cs="Times New Roman"/>
          <w:b w:val="0"/>
          <w:caps w:val="0"/>
          <w:color w:val="44546A" w:themeColor="text2"/>
          <w:sz w:val="24"/>
          <w:szCs w:val="24"/>
          <w:lang w:val="fr-FR"/>
        </w:rPr>
        <w:t>ՀԱՆՐԱՅԻՆ ԾԱՌԱՅՈՒԹՅՈՒՆՆԵՐԸ ԿԱՐԳԱՎՈՐՈՂ ՀԱՆՁՆԱԺՈՂՈՎ</w:t>
      </w:r>
      <w:bookmarkEnd w:id="240"/>
    </w:p>
    <w:p w14:paraId="499F3EE3" w14:textId="77777777" w:rsidR="00B616DB" w:rsidRPr="00016892" w:rsidRDefault="00B616DB" w:rsidP="004247C0">
      <w:pPr>
        <w:tabs>
          <w:tab w:val="left" w:pos="0"/>
          <w:tab w:val="left" w:pos="810"/>
          <w:tab w:val="left" w:pos="1080"/>
        </w:tabs>
        <w:spacing w:before="120" w:after="0" w:line="276" w:lineRule="auto"/>
        <w:ind w:firstLine="0"/>
        <w:rPr>
          <w:rFonts w:eastAsia="Calibri"/>
          <w:bCs/>
          <w:lang w:val="hy-AM"/>
        </w:rPr>
      </w:pPr>
      <w:r w:rsidRPr="00016892">
        <w:rPr>
          <w:rFonts w:eastAsia="Calibri"/>
          <w:lang w:val="hy-AM"/>
        </w:rPr>
        <w:t>Հայաստանի Հանրապետության հանրային ծառայությունները կարգավորող հանձնաժողովի առաջնահերթ գործառույթներից է կարգավորման օրենսդրական դաշտի շարունակական կատարելագործումը, և միջազգային առաջավոր փորձի վրա հիմնված բազմակողմանի և առավել ճկուն իրավական կարգավորումը՝ ելնելով սպառողների և կարգավորվող անձանց իրավունքների պաշտպանության, նրանց շահերի հավասարակշռման, մրցակցային միջավայրի զարգացման համար անհրաժեշտ պայմանների ստեղծման, կարգավորվող ենթակառուցվածքներում արդյունավետ ներդրումների խրախուսման և կարգավորման դաշտի թափանցիկության ապահովման առաջնահերթություններից, հանրային ծառայությունների ոլորտում միջազգային համագործակցության անհրաժեշտությունից։</w:t>
      </w:r>
    </w:p>
    <w:p w14:paraId="7D3C76A8" w14:textId="7ECCA1CD" w:rsidR="00B616DB" w:rsidRPr="00016892" w:rsidRDefault="00B616DB" w:rsidP="004247C0">
      <w:pPr>
        <w:tabs>
          <w:tab w:val="left" w:pos="0"/>
          <w:tab w:val="left" w:pos="810"/>
          <w:tab w:val="left" w:pos="1080"/>
        </w:tabs>
        <w:spacing w:before="120" w:after="0" w:line="276" w:lineRule="auto"/>
        <w:ind w:firstLine="0"/>
        <w:rPr>
          <w:rFonts w:eastAsia="Calibri"/>
          <w:bCs/>
          <w:lang w:val="hy-AM"/>
        </w:rPr>
      </w:pPr>
      <w:r w:rsidRPr="00016892">
        <w:rPr>
          <w:rFonts w:eastAsia="Calibri"/>
          <w:lang w:val="hy-AM"/>
        </w:rPr>
        <w:t>Հանձնաժողովը, իր կողմից հիմնարար նշանակություն ունեցող հանրային շահերի պաշտպանության սահմանադրաիրավական մանդատի իրագործման</w:t>
      </w:r>
      <w:r w:rsidR="0026460F">
        <w:rPr>
          <w:rFonts w:eastAsia="Calibri"/>
          <w:lang w:val="hy-AM"/>
        </w:rPr>
        <w:t>ն</w:t>
      </w:r>
      <w:r w:rsidRPr="00016892">
        <w:rPr>
          <w:rFonts w:eastAsia="Calibri"/>
          <w:lang w:val="hy-AM"/>
        </w:rPr>
        <w:t xml:space="preserve"> ուղղված խնդիրների առավել համակողմանի և արդյունավետ լուծումների ապահովման, հանրային ծառայություններից օգտվող սպառողների և ոլորտի կարգավորվող անձանց շահերի հավասարակշռման և վերջիններիս նկատմամբ խտրականության բացառման անհրաժեշտությունից ելնելով, շարունակելու է հետամուտ լինել կարգավորվող ոլորտների իրավական ակտերի լրամշակման աշխատանքներին։ </w:t>
      </w:r>
    </w:p>
    <w:p w14:paraId="13A11653" w14:textId="77777777" w:rsidR="00B616DB" w:rsidRPr="00016892" w:rsidRDefault="00B616DB" w:rsidP="004247C0">
      <w:pPr>
        <w:tabs>
          <w:tab w:val="left" w:pos="0"/>
          <w:tab w:val="left" w:pos="810"/>
          <w:tab w:val="left" w:pos="1080"/>
        </w:tabs>
        <w:spacing w:before="120" w:after="0" w:line="276" w:lineRule="auto"/>
        <w:ind w:firstLine="0"/>
        <w:rPr>
          <w:rFonts w:eastAsia="Calibri"/>
          <w:bCs/>
          <w:lang w:val="hy-AM"/>
        </w:rPr>
      </w:pPr>
      <w:r w:rsidRPr="00016892">
        <w:rPr>
          <w:rFonts w:eastAsia="Calibri"/>
          <w:lang w:val="hy-AM"/>
        </w:rPr>
        <w:t xml:space="preserve">Կշարունակվեն նաև ոլորտում ներդրումների խթանմանն ուղղված էներգետիկայի բնագավառում գործունեության լիցենզավորման կարգի կատարելագործման աշխատանքները։ </w:t>
      </w:r>
    </w:p>
    <w:p w14:paraId="25E23B68" w14:textId="77777777" w:rsidR="00B616DB" w:rsidRPr="00016892" w:rsidRDefault="00B616DB" w:rsidP="004247C0">
      <w:pPr>
        <w:tabs>
          <w:tab w:val="left" w:pos="0"/>
          <w:tab w:val="left" w:pos="810"/>
          <w:tab w:val="left" w:pos="1080"/>
        </w:tabs>
        <w:spacing w:before="120" w:after="0" w:line="276" w:lineRule="auto"/>
        <w:ind w:firstLine="0"/>
        <w:rPr>
          <w:rFonts w:eastAsia="Calibri"/>
          <w:bCs/>
          <w:lang w:val="hy-AM"/>
        </w:rPr>
      </w:pPr>
      <w:r w:rsidRPr="00016892">
        <w:rPr>
          <w:rFonts w:cs="Sylfaen"/>
          <w:iCs/>
          <w:lang w:val="hy-AM" w:eastAsia="en-GB"/>
        </w:rPr>
        <w:t>Միջնաժամկետ հատվածում</w:t>
      </w:r>
      <w:r w:rsidRPr="00016892">
        <w:rPr>
          <w:rFonts w:eastAsia="Calibri"/>
          <w:lang w:val="hy-AM"/>
        </w:rPr>
        <w:t xml:space="preserve"> ևս շարունակվելու են աշխատանքները սակագնային քաղաքականության իրականացման ու կատարելագործման, էներգետիկայի բնագավառում իրականացվող ներդրումային ծրագրերի ուսումնասիրման, համապատասխան կազմակերպությունների կողմից կազմված և հրապարակված գնումների պլանների վերլուծության և շուկայի ազատականացման իրավական դաշտի կատարելագործման ուղղությամբ։ Աշխատանքներ կտարվեն նաև էլեկտրաէներգետիկական շուկայի գործունեության մշտադիտարկման, հնարավոր խնդիրների վերհանման և դրանց լուծման ուղղությամբ։</w:t>
      </w:r>
    </w:p>
    <w:p w14:paraId="730DC2AB" w14:textId="77777777" w:rsidR="00B616DB" w:rsidRPr="00016892" w:rsidRDefault="00B616DB" w:rsidP="004247C0">
      <w:pPr>
        <w:tabs>
          <w:tab w:val="left" w:pos="0"/>
          <w:tab w:val="left" w:pos="810"/>
          <w:tab w:val="left" w:pos="1080"/>
        </w:tabs>
        <w:spacing w:before="120" w:after="0" w:line="276" w:lineRule="auto"/>
        <w:ind w:firstLine="0"/>
        <w:rPr>
          <w:rFonts w:eastAsia="Calibri"/>
          <w:bCs/>
          <w:lang w:val="hy-AM"/>
        </w:rPr>
      </w:pPr>
      <w:r w:rsidRPr="00016892">
        <w:rPr>
          <w:rFonts w:eastAsia="Calibri"/>
          <w:lang w:val="hy-AM"/>
        </w:rPr>
        <w:t xml:space="preserve">Միջնաժամկետ հատվածում կշարունակվեն իրականացվել էներգետիկայի բնագավառում սակագների վրա ազդող գործոնների վերլուծության և էներգետիկայի բնագավառի սակագների վերանայման աշխատանքները։ </w:t>
      </w:r>
    </w:p>
    <w:p w14:paraId="71F21BAB" w14:textId="77777777" w:rsidR="00B616DB" w:rsidRPr="00016892" w:rsidRDefault="00B616DB" w:rsidP="004247C0">
      <w:pPr>
        <w:tabs>
          <w:tab w:val="left" w:pos="0"/>
          <w:tab w:val="left" w:pos="810"/>
          <w:tab w:val="left" w:pos="1080"/>
        </w:tabs>
        <w:spacing w:before="120" w:after="0" w:line="276" w:lineRule="auto"/>
        <w:ind w:firstLine="0"/>
        <w:rPr>
          <w:rFonts w:eastAsia="Calibri"/>
          <w:lang w:val="hy-AM"/>
        </w:rPr>
      </w:pPr>
      <w:r w:rsidRPr="00016892">
        <w:rPr>
          <w:rFonts w:eastAsia="Calibri"/>
          <w:lang w:val="hy-AM"/>
        </w:rPr>
        <w:t xml:space="preserve">Նախատեսվում է իրականացնել «Վեոլիա ջուր» ՓԲԸ-ի վարձակալության պայմանագրային հաշվետու տարվա համար խմելու ջրի մատակարարման և ջրահեռացման (կեղտաջրերի մաքրման) ծառայությունների մատուցման սակագների վերանայման (ճշգրտման) աշխատանքները, այդ թվում՝ խմելու ջրի ծավալների մոնիթորինգի իրականացման աշխատանքները: </w:t>
      </w:r>
    </w:p>
    <w:p w14:paraId="701C7192" w14:textId="77777777" w:rsidR="00B616DB" w:rsidRPr="00016892" w:rsidRDefault="00B616DB" w:rsidP="004247C0">
      <w:pPr>
        <w:tabs>
          <w:tab w:val="left" w:pos="0"/>
          <w:tab w:val="left" w:pos="810"/>
          <w:tab w:val="left" w:pos="1080"/>
        </w:tabs>
        <w:spacing w:before="120" w:after="0" w:line="276" w:lineRule="auto"/>
        <w:ind w:firstLine="0"/>
        <w:rPr>
          <w:rFonts w:eastAsia="Calibri"/>
          <w:lang w:val="hy-AM"/>
        </w:rPr>
      </w:pPr>
      <w:r w:rsidRPr="00016892">
        <w:rPr>
          <w:rFonts w:eastAsia="Calibri"/>
          <w:lang w:val="hy-AM"/>
        </w:rPr>
        <w:t xml:space="preserve">Հանրային ծառայությունների կարգավորվող այլ բնագավառներում գործող անձանց կողմից սակագների սահմանման կամ վերանայման հայտի ներկայացման դեպքում կիրականացվեն համապատասխան սակագների վրա ազդող գործոնների վերլուծության և սակագների վերանայման աշխատանքները: </w:t>
      </w:r>
    </w:p>
    <w:p w14:paraId="0E3DD106" w14:textId="77777777" w:rsidR="00B616DB" w:rsidRPr="00016892" w:rsidRDefault="00B616DB" w:rsidP="004247C0">
      <w:pPr>
        <w:tabs>
          <w:tab w:val="left" w:pos="0"/>
          <w:tab w:val="left" w:pos="810"/>
          <w:tab w:val="left" w:pos="1080"/>
        </w:tabs>
        <w:spacing w:before="120" w:after="0" w:line="276" w:lineRule="auto"/>
        <w:ind w:firstLine="0"/>
        <w:rPr>
          <w:rFonts w:eastAsia="Calibri"/>
          <w:lang w:val="hy-AM"/>
        </w:rPr>
      </w:pPr>
      <w:r w:rsidRPr="00016892">
        <w:rPr>
          <w:rFonts w:eastAsia="Calibri"/>
          <w:lang w:val="hy-AM"/>
        </w:rPr>
        <w:lastRenderedPageBreak/>
        <w:t xml:space="preserve">Բաժանորդների կողմից բարձրացված խնդիրների ուսումնասիրության արդյունքում՝  մատակարար-սպառող կարգավորվող իրավահարաբերությունների բարելավման նպատակով ևս ըստ անհրաժեշտության կլրամշակվեն էլեկտրաէներգետիկական շուկայի բաշխման ցանցային կանոնները, էլեկտրաէներգետիկական մանրածախ շուկայի առևտրային կանոնները, բնական գազի մատակարարման և օգտագործման, ինչպես նաև խմելու ջրի մատակարարման և ջրահեռացման (կեղտաջրերի մաքրման) ծառայությունների մատուցման կանոնները:  </w:t>
      </w:r>
    </w:p>
    <w:p w14:paraId="748884B4" w14:textId="77777777" w:rsidR="00B616DB" w:rsidRPr="00016892" w:rsidRDefault="00B616DB" w:rsidP="004247C0">
      <w:pPr>
        <w:tabs>
          <w:tab w:val="left" w:pos="0"/>
          <w:tab w:val="left" w:pos="810"/>
          <w:tab w:val="left" w:pos="1080"/>
        </w:tabs>
        <w:spacing w:before="120" w:after="0" w:line="276" w:lineRule="auto"/>
        <w:ind w:firstLine="0"/>
        <w:rPr>
          <w:rFonts w:eastAsia="Calibri"/>
          <w:lang w:val="hy-AM"/>
        </w:rPr>
      </w:pPr>
      <w:r w:rsidRPr="00016892">
        <w:rPr>
          <w:rFonts w:eastAsia="Calibri"/>
          <w:lang w:val="hy-AM"/>
        </w:rPr>
        <w:t>էլեկտրաէներգետիկական համակարգում ֆինանսական կայունություն և առաքված էլեկտրաէներգիայի և մատուցված ծառայությունների դիմաց «Հայաստանի էլեկտրական ցանցեր» ՓԲԸ-ի կողմից 100% վճարումներ ապահովելու նպատակով միջնաժամկետ հատվածում ևս հանձնաժողովը կշարունակի վերահսկել իր կողմից ներդրված՝ հատուկ հաշվի մեխանիզմի բնականոն աշխատանքը՝ երաշխավորելով արտադրողներին և շուկային ծառայություններ մատուցող ընկերություններին վճարումների կատարումը: Միաժամանակ, հանձնաժողովը կվերահսկի նաև էլեկտրաէներգետիկական մեծածախ շուկայում հաշվեկշռման ծառայություն մատուցող կայանի (Երևանի ջերմաէլեկտրակենտրոն» ՓԲԸ) կողմից հաշվեկշռման և հաճախականության կարգավորման նպատակով երկրորդային և երրորդային պահուստ ապահովող արտադրող կայաններին («Հրազդանի էներգետիկ կազմակերպություն (ՀրազՋԷԿ)» ԲԲԸ և «Գազպրոմ Արմենիա» ՓԲԸ (Հրազդան-5 կայանի մասով) էլեկտրաէներգետիկական մեծածախ շուկայի կանոններով նախատեսված վճարումների կատարման ընթացքը։</w:t>
      </w:r>
    </w:p>
    <w:p w14:paraId="3457F011" w14:textId="77777777" w:rsidR="00B616DB" w:rsidRPr="00016892" w:rsidRDefault="00B616DB" w:rsidP="004247C0">
      <w:pPr>
        <w:tabs>
          <w:tab w:val="left" w:pos="0"/>
          <w:tab w:val="left" w:pos="810"/>
          <w:tab w:val="left" w:pos="1080"/>
        </w:tabs>
        <w:spacing w:before="120" w:after="0" w:line="276" w:lineRule="auto"/>
        <w:ind w:firstLine="0"/>
        <w:rPr>
          <w:rFonts w:eastAsia="Calibri"/>
          <w:lang w:val="hy-AM"/>
        </w:rPr>
      </w:pPr>
      <w:r w:rsidRPr="00016892">
        <w:rPr>
          <w:rFonts w:eastAsia="Calibri"/>
          <w:lang w:val="hy-AM"/>
        </w:rPr>
        <w:t>Հաշվի առնելով Հայաստանի Հանրապետությունում ինքնավար էներգաարտադրու</w:t>
      </w:r>
      <w:r w:rsidRPr="00016892">
        <w:rPr>
          <w:rFonts w:eastAsia="Calibri"/>
          <w:lang w:val="hy-AM"/>
        </w:rPr>
        <w:softHyphen/>
        <w:t>թյան զարգացման տեմպերի դինամիկան և սպասվող միտումները՝ հանձնաժողովը միջնաժամկետ հատվածում ևս ըստ անհրաժեշտության կլրամշակի համապատասխան իրավակարգավորումները և կշարունակի հանրության շրջանում և գործարար միջավայրում իրականացնել ոլորտին առնչվող հանրային իրազեկման աշխատանքները։</w:t>
      </w:r>
    </w:p>
    <w:p w14:paraId="2CA18DA0" w14:textId="763D378C" w:rsidR="00B616DB" w:rsidRPr="00016892" w:rsidRDefault="00B616DB" w:rsidP="004247C0">
      <w:pPr>
        <w:pStyle w:val="NoSpacing"/>
        <w:tabs>
          <w:tab w:val="left" w:pos="0"/>
        </w:tabs>
        <w:spacing w:before="120" w:line="276" w:lineRule="auto"/>
        <w:ind w:firstLine="0"/>
        <w:rPr>
          <w:iCs/>
          <w:lang w:val="hy-AM" w:eastAsia="ru-RU"/>
        </w:rPr>
      </w:pPr>
      <w:r w:rsidRPr="00016892">
        <w:rPr>
          <w:iCs/>
          <w:lang w:val="hy-AM" w:eastAsia="ru-RU"/>
        </w:rPr>
        <w:t>Հաշվի առնելով, ՀՀ-ում սպառողների պահանջի աճը ինտերնետի նկատմամբ՝ հանձնաժողովը նախատեսում է շարունակել աշխատանքները (այդ թվում՝ օպերատորների հետ համագործակցության, ինչպես նաև լիցենզիաների և ռադիոհաճախականությունների օգտագործման թույլտվությունների տրամադրմամբ) ենթակառուցվածքների զարգացման և ՀՀ բնակավայրերում ամրակցված (լարային և անլար տեխնոլոգիաների) լայնաշերտ ինտերնետ հասանելիության ծառայությունների զարգացման ուղղությամբ, որոնցով պայմանավորված ակնկալվում է լայնաշերտ տեխնոլոգիայի վրա հիմնված օպտիկամանրաթելային ցանցերի հասանելիության և ամրակցված լայնաշերտ ինտերնետ հասանելիության բաժանորդների թվաքանակի տարեկան աճ 5-10-ական</w:t>
      </w:r>
      <w:r w:rsidR="0026460F">
        <w:rPr>
          <w:iCs/>
          <w:lang w:val="hy-AM" w:eastAsia="ru-RU"/>
        </w:rPr>
        <w:t xml:space="preserve"> </w:t>
      </w:r>
      <w:r w:rsidRPr="00016892">
        <w:rPr>
          <w:iCs/>
          <w:lang w:val="hy-AM" w:eastAsia="ru-RU"/>
        </w:rPr>
        <w:t>%, ինչպես նաև օգտագործված ընդհանուր լայնաշերտ ինտերնետ կապի հոսքերի աճ՝ տարեկան 5-30% միջակայքերի սահմաններում։</w:t>
      </w:r>
    </w:p>
    <w:p w14:paraId="4CC2F79C" w14:textId="329CAFCC" w:rsidR="00B616DB" w:rsidRPr="00016892" w:rsidRDefault="00B616DB" w:rsidP="004247C0">
      <w:pPr>
        <w:pStyle w:val="NoSpacing"/>
        <w:tabs>
          <w:tab w:val="left" w:pos="0"/>
        </w:tabs>
        <w:spacing w:before="120" w:line="276" w:lineRule="auto"/>
        <w:ind w:firstLine="0"/>
        <w:rPr>
          <w:iCs/>
          <w:lang w:val="hy-AM" w:eastAsia="ru-RU"/>
        </w:rPr>
      </w:pPr>
      <w:r w:rsidRPr="00016892">
        <w:rPr>
          <w:iCs/>
          <w:lang w:val="hy-AM" w:eastAsia="ru-RU"/>
        </w:rPr>
        <w:t xml:space="preserve">Հանձնաժողովի կողմից իրականացված՝ 700ՄՀց և 800ՄՀց ռադիոհաճախականությունների համապատասխան հատվածների օգտագործման թույլտվությունների տրամադրման մրցութային գործընթացի, ինչպես նաև լիցենզիոն պարտավորությունների սահմանման </w:t>
      </w:r>
      <w:r w:rsidR="0026460F">
        <w:rPr>
          <w:iCs/>
          <w:lang w:val="hy-AM" w:eastAsia="ru-RU"/>
        </w:rPr>
        <w:t>ա</w:t>
      </w:r>
      <w:r w:rsidRPr="00016892">
        <w:rPr>
          <w:iCs/>
          <w:lang w:val="hy-AM" w:eastAsia="ru-RU"/>
        </w:rPr>
        <w:t xml:space="preserve">րդյունքում </w:t>
      </w:r>
    </w:p>
    <w:p w14:paraId="6EA1F642" w14:textId="77777777" w:rsidR="00B616DB" w:rsidRPr="00016892" w:rsidRDefault="00B616DB" w:rsidP="004247C0">
      <w:pPr>
        <w:pStyle w:val="NoSpacing"/>
        <w:numPr>
          <w:ilvl w:val="0"/>
          <w:numId w:val="48"/>
        </w:numPr>
        <w:tabs>
          <w:tab w:val="left" w:pos="0"/>
        </w:tabs>
        <w:spacing w:before="120" w:line="276" w:lineRule="auto"/>
        <w:ind w:left="0" w:firstLine="0"/>
        <w:rPr>
          <w:iCs/>
          <w:lang w:val="hy-AM" w:eastAsia="ru-RU"/>
        </w:rPr>
      </w:pPr>
      <w:r w:rsidRPr="00016892">
        <w:rPr>
          <w:iCs/>
          <w:lang w:val="hy-AM" w:eastAsia="ru-RU"/>
        </w:rPr>
        <w:t xml:space="preserve">հանրապետության բնակավայրերի առնվազն 80%-ում հասանելի կլինի բոլոր 3 օպերատորի փոխադարձ ներթափանցելի շարժական կապի 4G+ (LTE Advanced) ծածկույթ (ներկայումս բոլոր 1001 բնակավայրերում առկա է առնվազն 1 օպերատորի, 91,4%-ում (915 </w:t>
      </w:r>
      <w:r w:rsidRPr="00016892">
        <w:rPr>
          <w:iCs/>
          <w:lang w:val="hy-AM" w:eastAsia="ru-RU"/>
        </w:rPr>
        <w:lastRenderedPageBreak/>
        <w:t xml:space="preserve">բնակավայր)՝ առնվազն 2 օպերատորի և 21,8%-ում (218 բնակավայր)՝ 3 օպերատորի 4G+ (LTE Advanced) ծածկույթ), </w:t>
      </w:r>
    </w:p>
    <w:p w14:paraId="567132F8" w14:textId="77777777" w:rsidR="00B616DB" w:rsidRPr="00016892" w:rsidRDefault="00B616DB" w:rsidP="004247C0">
      <w:pPr>
        <w:pStyle w:val="NoSpacing"/>
        <w:numPr>
          <w:ilvl w:val="0"/>
          <w:numId w:val="48"/>
        </w:numPr>
        <w:tabs>
          <w:tab w:val="left" w:pos="0"/>
        </w:tabs>
        <w:spacing w:before="120" w:line="276" w:lineRule="auto"/>
        <w:ind w:left="0" w:firstLine="0"/>
        <w:rPr>
          <w:iCs/>
          <w:lang w:val="hy-AM" w:eastAsia="ru-RU"/>
        </w:rPr>
      </w:pPr>
      <w:r w:rsidRPr="00016892">
        <w:rPr>
          <w:iCs/>
          <w:lang w:val="hy-AM" w:eastAsia="ru-RU"/>
        </w:rPr>
        <w:t xml:space="preserve">հանրապետության խոշոր քաղաքներում (Երևան, Գյումրի, Վանաձոր) կներդրվի շարժական լայնաշերտ կապի 5G տեխնոլոգիայի ցանց (այդ թվում՝ «իրերի ինտերնետ»/IoT տեխնոլոգիայի), </w:t>
      </w:r>
    </w:p>
    <w:p w14:paraId="4FBD2AA3" w14:textId="77777777" w:rsidR="00B616DB" w:rsidRPr="00016892" w:rsidRDefault="00B616DB" w:rsidP="004247C0">
      <w:pPr>
        <w:pStyle w:val="NoSpacing"/>
        <w:numPr>
          <w:ilvl w:val="0"/>
          <w:numId w:val="48"/>
        </w:numPr>
        <w:tabs>
          <w:tab w:val="left" w:pos="0"/>
        </w:tabs>
        <w:spacing w:before="120" w:line="276" w:lineRule="auto"/>
        <w:ind w:left="0" w:firstLine="0"/>
        <w:rPr>
          <w:iCs/>
          <w:lang w:val="hy-AM" w:eastAsia="ru-RU"/>
        </w:rPr>
      </w:pPr>
      <w:r w:rsidRPr="00016892">
        <w:rPr>
          <w:iCs/>
          <w:lang w:val="hy-AM" w:eastAsia="ru-RU"/>
        </w:rPr>
        <w:t>կբարձրացվեն շարժական կապի օպերատորների կապի ցանցերի հուսալիության և անվտանգության մակարդակն ու կարդիականացվեն անվտանգության համակարգերը,</w:t>
      </w:r>
    </w:p>
    <w:p w14:paraId="27198130" w14:textId="77777777" w:rsidR="00B616DB" w:rsidRPr="00016892" w:rsidRDefault="00B616DB" w:rsidP="004247C0">
      <w:pPr>
        <w:pStyle w:val="NoSpacing"/>
        <w:numPr>
          <w:ilvl w:val="0"/>
          <w:numId w:val="48"/>
        </w:numPr>
        <w:tabs>
          <w:tab w:val="left" w:pos="0"/>
        </w:tabs>
        <w:spacing w:before="120" w:line="276" w:lineRule="auto"/>
        <w:ind w:left="0" w:firstLine="0"/>
        <w:rPr>
          <w:iCs/>
          <w:lang w:val="hy-AM" w:eastAsia="ru-RU"/>
        </w:rPr>
      </w:pPr>
      <w:r w:rsidRPr="00016892">
        <w:rPr>
          <w:iCs/>
          <w:lang w:val="hy-AM" w:eastAsia="ru-RU"/>
        </w:rPr>
        <w:t>ընդհանուր շուրջ 2 մլրդ ՀՀ դրամի կապիտալ ներդրումների իրականացմամբ կընդլայնվեն շարժական կապի բոլոր երեք օպերատորների կապի ենթակառուցվածքները,</w:t>
      </w:r>
    </w:p>
    <w:p w14:paraId="187DDD57" w14:textId="77777777" w:rsidR="00B616DB" w:rsidRPr="00016892" w:rsidRDefault="00B616DB" w:rsidP="004247C0">
      <w:pPr>
        <w:pStyle w:val="NoSpacing"/>
        <w:numPr>
          <w:ilvl w:val="0"/>
          <w:numId w:val="48"/>
        </w:numPr>
        <w:tabs>
          <w:tab w:val="left" w:pos="0"/>
        </w:tabs>
        <w:spacing w:before="120" w:line="276" w:lineRule="auto"/>
        <w:ind w:left="0" w:firstLine="0"/>
        <w:rPr>
          <w:iCs/>
          <w:lang w:val="hy-AM" w:eastAsia="ru-RU"/>
        </w:rPr>
      </w:pPr>
      <w:r w:rsidRPr="00016892">
        <w:rPr>
          <w:iCs/>
          <w:lang w:val="hy-AM" w:eastAsia="ru-RU"/>
        </w:rPr>
        <w:t>ՀՀ պետական ԲՈՒՀ-ում կհիմնվի էլեկտրոնային հաղորդակցության շարժական կապի ծառայություններ մատուցելու հնարավորությամբ ուսումնական լաբորատորիա, որը կնպաստի ռադիոտեխնիկա, կապ և տեղեկատվահաղորդակցական տեխնոլոգիաներ մասնագիտությունների կրթական ծրագրերով մասնագիտացվող՝ ոլորտի համար անհրաժեշտ որակյալ կադրերի պատրաստմանը,</w:t>
      </w:r>
    </w:p>
    <w:p w14:paraId="2FA11059" w14:textId="77777777" w:rsidR="00B616DB" w:rsidRPr="00016892" w:rsidRDefault="00B616DB" w:rsidP="004247C0">
      <w:pPr>
        <w:pStyle w:val="NoSpacing"/>
        <w:numPr>
          <w:ilvl w:val="0"/>
          <w:numId w:val="48"/>
        </w:numPr>
        <w:tabs>
          <w:tab w:val="left" w:pos="0"/>
        </w:tabs>
        <w:spacing w:before="120" w:line="276" w:lineRule="auto"/>
        <w:ind w:left="0" w:firstLine="0"/>
        <w:rPr>
          <w:i/>
          <w:lang w:val="hy-AM" w:eastAsia="ru-RU"/>
        </w:rPr>
      </w:pPr>
      <w:r w:rsidRPr="00016892">
        <w:rPr>
          <w:iCs/>
          <w:lang w:val="hy-AM" w:eastAsia="ru-RU"/>
        </w:rPr>
        <w:t>օպտիկամանրաթելային հասանելիություն չունեցող 302 բնակավայրերում կապահովվի լարային օպտիկամանրաթելային և (կամ) դրան որակապես համարժեք անլար տեխնոլոգիայի ամրակցված լայնաշերտ կապ՝ այսինքն, արդյունքում նշված տեխնոլոգիայի լայնաշերտ ինտերնետ կապը հասանելի կլինի հանրապետության բոլոր բնակավայրերում (ներկայումս օպտիկամանրաթելային կապի հասանելիությամբ ապահովված են բնակավայրերի շուրջ 70%-ը՝ 691 բնակավայր)։</w:t>
      </w:r>
    </w:p>
    <w:p w14:paraId="5B510C13" w14:textId="77777777" w:rsidR="00B616DB" w:rsidRDefault="00B616DB" w:rsidP="004247C0">
      <w:pPr>
        <w:pStyle w:val="NoSpacing"/>
        <w:tabs>
          <w:tab w:val="left" w:pos="0"/>
        </w:tabs>
        <w:spacing w:before="120" w:line="276" w:lineRule="auto"/>
        <w:ind w:firstLine="0"/>
        <w:rPr>
          <w:iCs/>
          <w:lang w:val="hy-AM"/>
        </w:rPr>
      </w:pPr>
      <w:r w:rsidRPr="00016892">
        <w:rPr>
          <w:iCs/>
          <w:lang w:val="hy-AM"/>
        </w:rPr>
        <w:t>Ներկայումս ոլորտի իրավասու և շահագրգիռ այլ մարմինների հետ քննարկումններ են իրականացվում 5G տեխնոլոգիայի ներդրման համար կիրառվող 2300-2400ՄՀց ռադիոհաճախականությունների տիրույթը մրցութային հիմունքներով տրամադրելու տարբերակների (ներառյալ՝ մրցույթի իրականացման և մրցութային պայմաններին վերաբերող, այդ թվում՝ շարժական կապի լայնաշերտ 5G տեխնոլոգիայի ցանցերի ներդրման և հետագա զարգացման համար բարենպաստ պայմանների ապահովման հարցերը) և այդ համատեքստում նշված տիրույթի տրամադրման և օգտագործման պարտադիր վճարների չափերի սահմանման առնչությամբ, որի արդյունքների հիման վրա ՀՀ կառավարության քննարկմանը կներկայացվի տվյալ վճարների չափերը սահմանող ՀՀ պետական բյուջեի մասին օրենքում համապատասխան փոփոխություններ նախատեսող օրենքի նախագիծ և այն ուժի մեջ մտնելուց հետո հանձնաժողովի կողմից կիրականացվի 2300-2400ՄՀց, ինչպես 700ՄՀց և 2600ՄՀց ռադիոհաճախականությունների տիրույթի ազատ հատվածների տրամադրման մրցութային գործընթացը։</w:t>
      </w:r>
    </w:p>
    <w:p w14:paraId="72653984" w14:textId="1B473E25" w:rsidR="00574E29" w:rsidRDefault="00B616DB" w:rsidP="004247C0">
      <w:pPr>
        <w:pStyle w:val="NoSpacing"/>
        <w:tabs>
          <w:tab w:val="left" w:pos="0"/>
        </w:tabs>
        <w:spacing w:before="120" w:line="276" w:lineRule="auto"/>
        <w:ind w:firstLine="0"/>
        <w:rPr>
          <w:iCs/>
          <w:lang w:val="hy-AM"/>
        </w:rPr>
      </w:pPr>
      <w:r w:rsidRPr="00016892">
        <w:rPr>
          <w:iCs/>
          <w:lang w:val="hy-AM"/>
        </w:rPr>
        <w:t xml:space="preserve">Բացի այդ, հանձնաժողովն ակտիվ աշխատանքներ է տանում ոլորտի շարունակական զարգացման ապահովման ուղղությամբ, մասնավորապես, 5G տեխնոլոգայի զարգացման և հանրապետությունում լիարժեք 5G տեխնոլոգիայի ներդրումն  ապահովելու համար անհրաժեշտ (օրինակ, 3600-3800ՄՀց) ռադիոհաճախականային ռեսուրսի ազատականացման և հետագա տրամադրման, ինչպես նաև լայնաշերտ ցանցերի զարգացմանը նպաստող՝ ենթակառուցվածքների համատեղ օգտագործմանն առնչվող կարգավորումների մշակման և կիրառման մասով (լայնաշերտ կապի ենթակառուցվաքների զարգացման նպատակով կապի և </w:t>
      </w:r>
      <w:r w:rsidRPr="00016892">
        <w:rPr>
          <w:iCs/>
          <w:lang w:val="hy-AM"/>
        </w:rPr>
        <w:lastRenderedPageBreak/>
        <w:t>այլ ենթակառուցվածքների օգտագործման հնարավորության ստեղծում, որը կնպաստի լայնաշերտ կապի ցանցների ներդրման ծախսերի նվազեցմանը)։</w:t>
      </w:r>
    </w:p>
    <w:p w14:paraId="1727CA51" w14:textId="77777777" w:rsidR="004247C0" w:rsidRPr="00B616DB" w:rsidRDefault="004247C0" w:rsidP="004247C0">
      <w:pPr>
        <w:pStyle w:val="NoSpacing"/>
        <w:tabs>
          <w:tab w:val="left" w:pos="0"/>
        </w:tabs>
        <w:spacing w:before="120" w:line="276" w:lineRule="auto"/>
        <w:ind w:firstLine="0"/>
        <w:rPr>
          <w:iCs/>
          <w:lang w:val="hy-AM"/>
        </w:rPr>
      </w:pPr>
    </w:p>
    <w:p w14:paraId="305C7FC7" w14:textId="317F511A"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41" w:name="_Toc170926355"/>
      <w:r w:rsidRPr="00FE0674">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.13</w:t>
      </w:r>
      <w:r w:rsidRPr="00B24E6A">
        <w:rPr>
          <w:rFonts w:eastAsia="Times New Roman" w:cs="Times New Roman"/>
          <w:b w:val="0"/>
          <w:caps w:val="0"/>
          <w:color w:val="44546A" w:themeColor="text2"/>
          <w:sz w:val="24"/>
          <w:szCs w:val="24"/>
          <w:lang w:val="fr-FR"/>
        </w:rPr>
        <w:t xml:space="preserve">. </w:t>
      </w:r>
      <w:r w:rsidRPr="00F16E3F">
        <w:rPr>
          <w:rFonts w:eastAsia="Times New Roman" w:cs="Times New Roman"/>
          <w:b w:val="0"/>
          <w:caps w:val="0"/>
          <w:color w:val="44546A" w:themeColor="text2"/>
          <w:sz w:val="24"/>
          <w:szCs w:val="24"/>
          <w:lang w:val="fr-FR"/>
        </w:rPr>
        <w:t>ՊԵՏԱԿԱՆ ՎԵՐԱՀՍԿՈՂԱԿԱՆ ԾԱՌԱՅՈՒԹՅՈՒՆ</w:t>
      </w:r>
      <w:bookmarkEnd w:id="241"/>
    </w:p>
    <w:p w14:paraId="679ED4D3" w14:textId="77777777" w:rsidR="00080175" w:rsidRPr="002B3D1A" w:rsidRDefault="00080175" w:rsidP="004247C0">
      <w:pPr>
        <w:tabs>
          <w:tab w:val="left" w:pos="0"/>
          <w:tab w:val="left" w:pos="810"/>
          <w:tab w:val="left" w:pos="1080"/>
        </w:tabs>
        <w:spacing w:before="120" w:after="0" w:line="276" w:lineRule="auto"/>
        <w:ind w:firstLine="0"/>
        <w:rPr>
          <w:rFonts w:eastAsia="Times New Roman" w:cs="Times New Roman"/>
          <w:kern w:val="16"/>
          <w:lang w:val="hy-AM"/>
        </w:rPr>
      </w:pPr>
      <w:r w:rsidRPr="002B3D1A">
        <w:rPr>
          <w:rFonts w:eastAsia="Times New Roman" w:cs="Times New Roman"/>
          <w:kern w:val="16"/>
          <w:lang w:val="hy-AM"/>
        </w:rPr>
        <w:t xml:space="preserve">«Պետական վերահսկողական ծառայության մասին» ՀՀ օրենքով (այսուհետ՝ Օրենք) ՀՀ պետական վերահսկողական ծառայությունը «Պետական կառավարման համակարգի մարմինների մասին» Հայաստանի Հանրապետության օրենքով սահմանված պետական վերահսկողության ոլորտում գործող </w:t>
      </w:r>
      <w:r w:rsidRPr="008A111A">
        <w:rPr>
          <w:rFonts w:eastAsia="Times New Roman" w:cs="Times New Roman"/>
          <w:kern w:val="16"/>
          <w:lang w:val="hy-AM"/>
        </w:rPr>
        <w:t>ՀՀ</w:t>
      </w:r>
      <w:r w:rsidRPr="009F15FA">
        <w:rPr>
          <w:rFonts w:eastAsia="Times New Roman" w:cs="Times New Roman"/>
          <w:kern w:val="16"/>
          <w:lang w:val="fr-FR"/>
        </w:rPr>
        <w:t xml:space="preserve"> </w:t>
      </w:r>
      <w:r w:rsidRPr="002B3D1A">
        <w:rPr>
          <w:rFonts w:eastAsia="Times New Roman" w:cs="Times New Roman"/>
          <w:kern w:val="16"/>
          <w:lang w:val="hy-AM"/>
        </w:rPr>
        <w:t>վարչապետին ենթակա մարմին է, որն իրականացնում է Օրենքով իրեն վերապահված վերահսկողական լիազորություններ:</w:t>
      </w:r>
    </w:p>
    <w:p w14:paraId="53579332" w14:textId="77777777" w:rsidR="00080175" w:rsidRPr="002B3D1A" w:rsidRDefault="00080175" w:rsidP="004247C0">
      <w:pPr>
        <w:tabs>
          <w:tab w:val="left" w:pos="0"/>
          <w:tab w:val="left" w:pos="810"/>
          <w:tab w:val="left" w:pos="1080"/>
        </w:tabs>
        <w:spacing w:before="120" w:after="0" w:line="276" w:lineRule="auto"/>
        <w:ind w:firstLine="0"/>
        <w:rPr>
          <w:rFonts w:eastAsia="Times New Roman" w:cs="Times New Roman"/>
          <w:kern w:val="16"/>
          <w:lang w:val="hy-AM"/>
        </w:rPr>
      </w:pPr>
      <w:r w:rsidRPr="002B3D1A">
        <w:rPr>
          <w:rFonts w:eastAsia="Times New Roman" w:cs="Times New Roman"/>
          <w:kern w:val="16"/>
          <w:lang w:val="hy-AM"/>
        </w:rPr>
        <w:t>ՀՀ պետական վերահսկողական ծառայության քաղաքականության հիմնական թիրախներից է՝ ՀՀ պետական միջոցների կառավարման, ձևավորման և օգտագործման արդյունավետության և օրինականության բարձրացումը:</w:t>
      </w:r>
    </w:p>
    <w:p w14:paraId="61B6B842" w14:textId="77777777" w:rsidR="00080175" w:rsidRPr="002B3D1A" w:rsidRDefault="00080175" w:rsidP="004247C0">
      <w:pPr>
        <w:tabs>
          <w:tab w:val="left" w:pos="0"/>
          <w:tab w:val="left" w:pos="810"/>
          <w:tab w:val="left" w:pos="1080"/>
        </w:tabs>
        <w:spacing w:before="120" w:after="0" w:line="276" w:lineRule="auto"/>
        <w:ind w:firstLine="0"/>
        <w:rPr>
          <w:rFonts w:eastAsia="Times New Roman" w:cs="Times New Roman"/>
          <w:kern w:val="16"/>
          <w:lang w:val="hy-AM"/>
        </w:rPr>
      </w:pPr>
      <w:r w:rsidRPr="002B3D1A">
        <w:rPr>
          <w:rFonts w:eastAsia="Times New Roman" w:cs="Times New Roman"/>
          <w:kern w:val="16"/>
          <w:lang w:val="hy-AM"/>
        </w:rPr>
        <w:t>ՀՀ պետական վերահսկողական ծառայության գործունեությունը նպաստում է ՄԱԿ-ի  կայուն զարգացման 17 նպատակների և դրանց գծով սահմանված գլոբալ ցուցանիշների ապահովմանը:</w:t>
      </w:r>
    </w:p>
    <w:p w14:paraId="39C7A6AD" w14:textId="77777777" w:rsidR="00080175" w:rsidRPr="002B3D1A" w:rsidRDefault="00080175" w:rsidP="004247C0">
      <w:pPr>
        <w:tabs>
          <w:tab w:val="left" w:pos="0"/>
          <w:tab w:val="left" w:pos="810"/>
          <w:tab w:val="left" w:pos="1080"/>
        </w:tabs>
        <w:spacing w:before="120" w:after="0" w:line="276" w:lineRule="auto"/>
        <w:ind w:firstLine="0"/>
        <w:rPr>
          <w:rFonts w:eastAsia="Times New Roman" w:cs="Times New Roman"/>
          <w:kern w:val="16"/>
          <w:lang w:val="hy-AM"/>
        </w:rPr>
      </w:pPr>
      <w:r w:rsidRPr="002B3D1A">
        <w:rPr>
          <w:rFonts w:eastAsia="Times New Roman" w:cs="Times New Roman"/>
          <w:kern w:val="16"/>
          <w:lang w:val="hy-AM"/>
        </w:rPr>
        <w:t xml:space="preserve">ՀՀ պետական վերահսկողական ծառայության կողմից կատարվող աշխատանքների գերակայություններն  են. </w:t>
      </w:r>
    </w:p>
    <w:p w14:paraId="3B520780"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պետական կառավարման համակարգի մարմիններում և պետական հիմնարկներում իրականացնում է ուսումնասիրություններ.</w:t>
      </w:r>
    </w:p>
    <w:p w14:paraId="54F68C5F"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Սահմանադրությամբ և օրենքներով ստեղծված, պետական կառավարման համակարգի մարմին չհանդիսացող մարմիններում իրականացնում է ուսումնասիրություններ պետական միջոցների կառավարման օրինականության վերահսկողության նպատակով.</w:t>
      </w:r>
    </w:p>
    <w:p w14:paraId="1173EE4F" w14:textId="77777777" w:rsidR="00080175" w:rsidRPr="00512140" w:rsidRDefault="00080175"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Հայաստանի Հանրապետության մասնակցությամբ իրավաբանական անձանց մոտ իրականացնում է ուսումնասիրություններ Հայաստանի Հանրապետության մասնակցությունից ծագող և լիազոր մարմնի</w:t>
      </w:r>
      <w:r w:rsidRPr="00EE0014">
        <w:rPr>
          <w:rFonts w:eastAsia="Times New Roman" w:cs="Times New Roman"/>
          <w:kern w:val="16"/>
          <w:lang w:val="hy-AM"/>
        </w:rPr>
        <w:t xml:space="preserve">, ինչպես նաև կառավարման բարձրագույն և հսկողություն իրականացնող մարմնում Հայաստանի Հանրապետության ներկայացուցչի լիազորություններից բխող </w:t>
      </w:r>
      <w:r w:rsidRPr="00512140">
        <w:rPr>
          <w:rFonts w:cs="GHEA Grapalat"/>
          <w:lang w:val="hy-AM"/>
        </w:rPr>
        <w:t>վերահսկողության իրականացման նպատակով.</w:t>
      </w:r>
    </w:p>
    <w:p w14:paraId="2789FF5A" w14:textId="77777777" w:rsidR="00080175" w:rsidRPr="00EE0014" w:rsidRDefault="00080175"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kern w:val="16"/>
          <w:lang w:val="hy-AM"/>
        </w:rPr>
      </w:pPr>
      <w:r w:rsidRPr="00512140">
        <w:rPr>
          <w:rFonts w:cs="GHEA Grapalat"/>
          <w:lang w:val="hy-AM"/>
        </w:rPr>
        <w:t>Հայաստանի Հանրապետությունից սուբսիդիա և դրամաշնորհ ստացած անձանց մոտ իրականացնում</w:t>
      </w:r>
      <w:r w:rsidRPr="00EE0014">
        <w:rPr>
          <w:rFonts w:eastAsia="Times New Roman" w:cs="Times New Roman"/>
          <w:kern w:val="16"/>
          <w:lang w:val="hy-AM"/>
        </w:rPr>
        <w:t xml:space="preserve"> է ուսումնասիրություններ պետական միջոց տրամադրելու համար հիմք հանդիսացող տեղեկատվության արժանահավատության գնահատման նպատակով:</w:t>
      </w:r>
    </w:p>
    <w:p w14:paraId="7415F170" w14:textId="77777777" w:rsidR="0008017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p>
    <w:p w14:paraId="08DC5C6A" w14:textId="35A71113" w:rsidR="00080175" w:rsidRPr="00FE0674"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sz w:val="24"/>
          <w:szCs w:val="24"/>
        </w:rPr>
      </w:pPr>
      <w:bookmarkStart w:id="242" w:name="_Toc170926356"/>
      <w:r>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FE0674">
        <w:rPr>
          <w:rFonts w:eastAsia="Times New Roman" w:cs="Times New Roman"/>
          <w:b w:val="0"/>
          <w:caps w:val="0"/>
          <w:color w:val="44546A" w:themeColor="text2"/>
          <w:sz w:val="24"/>
          <w:szCs w:val="24"/>
          <w:lang w:val="fr-FR"/>
        </w:rPr>
        <w:t xml:space="preserve">.14. </w:t>
      </w:r>
      <w:r w:rsidRPr="00E90E8B">
        <w:rPr>
          <w:rFonts w:eastAsia="Times New Roman" w:cs="Times New Roman"/>
          <w:b w:val="0"/>
          <w:caps w:val="0"/>
          <w:color w:val="44546A" w:themeColor="text2"/>
          <w:sz w:val="24"/>
          <w:szCs w:val="24"/>
          <w:lang w:val="fr-FR"/>
        </w:rPr>
        <w:t>ՄԻՋՈՒԿԱՅԻՆ ԱՆՎՏԱՆԳՈՒԹՅԱՆ ԿԱՐԳԱՎՈՐՄԱՆ ԿՈՄԻՏԵ</w:t>
      </w:r>
      <w:bookmarkEnd w:id="242"/>
    </w:p>
    <w:p w14:paraId="1A1F9A26" w14:textId="77777777" w:rsidR="00E90E8B" w:rsidRPr="002A5269" w:rsidRDefault="00E90E8B" w:rsidP="004247C0">
      <w:pPr>
        <w:tabs>
          <w:tab w:val="left" w:pos="0"/>
        </w:tabs>
        <w:spacing w:before="120" w:after="0" w:line="276" w:lineRule="auto"/>
        <w:ind w:firstLine="0"/>
        <w:rPr>
          <w:rFonts w:eastAsia="Times New Roman" w:cs="Times New Roman"/>
          <w:bCs/>
          <w:lang w:val="hy-AM"/>
        </w:rPr>
      </w:pPr>
      <w:bookmarkStart w:id="243" w:name="_Hlk170211420"/>
      <w:r w:rsidRPr="002A5269">
        <w:rPr>
          <w:rFonts w:eastAsia="Times New Roman" w:cs="Times New Roman"/>
          <w:lang w:val="hy-AM"/>
        </w:rPr>
        <w:t>Կոմիտեի գործունեության հիմնական ուղղություններն են՝</w:t>
      </w:r>
    </w:p>
    <w:p w14:paraId="496950B0"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ատոմային էներգիայի օգտագործման ոլորտի միջուկային և ճառագայթային անվտանգության կարգավորում</w:t>
      </w:r>
      <w:r>
        <w:rPr>
          <w:rFonts w:cs="GHEA Grapalat"/>
          <w:lang w:val="hy-AM"/>
        </w:rPr>
        <w:t>,</w:t>
      </w:r>
    </w:p>
    <w:p w14:paraId="68494235"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F05E64">
        <w:rPr>
          <w:rFonts w:eastAsia="Times New Roman" w:cs="Times New Roman"/>
          <w:szCs w:val="21"/>
          <w:lang w:val="hy-AM"/>
        </w:rPr>
        <w:t>իոնացնող</w:t>
      </w:r>
      <w:r w:rsidRPr="00F05E64">
        <w:rPr>
          <w:rFonts w:eastAsia="Times New Roman" w:cs="Times New Roman"/>
          <w:b/>
          <w:bCs/>
          <w:szCs w:val="21"/>
          <w:lang w:val="hy-AM"/>
        </w:rPr>
        <w:t xml:space="preserve"> </w:t>
      </w:r>
      <w:r w:rsidRPr="00512140">
        <w:rPr>
          <w:rFonts w:cs="GHEA Grapalat"/>
          <w:lang w:val="hy-AM"/>
        </w:rPr>
        <w:t xml:space="preserve">և գեներացնող </w:t>
      </w:r>
      <w:r>
        <w:rPr>
          <w:rFonts w:cs="GHEA Grapalat"/>
          <w:lang w:val="hy-AM"/>
        </w:rPr>
        <w:t xml:space="preserve">ճառագայթային </w:t>
      </w:r>
      <w:r w:rsidRPr="00512140">
        <w:rPr>
          <w:rFonts w:cs="GHEA Grapalat"/>
          <w:lang w:val="hy-AM"/>
        </w:rPr>
        <w:t>աղբյուրներ պարունակող ախտորոշիչ սարքերի</w:t>
      </w:r>
      <w:r>
        <w:rPr>
          <w:rFonts w:cs="GHEA Grapalat"/>
          <w:lang w:val="hy-AM"/>
        </w:rPr>
        <w:t xml:space="preserve"> օգտագործմամբ գործունեության</w:t>
      </w:r>
      <w:r w:rsidRPr="00512140">
        <w:rPr>
          <w:rFonts w:cs="GHEA Grapalat"/>
          <w:lang w:val="hy-AM"/>
        </w:rPr>
        <w:t xml:space="preserve"> լիցենզավորում</w:t>
      </w:r>
      <w:r>
        <w:rPr>
          <w:rFonts w:cs="GHEA Grapalat"/>
          <w:lang w:val="hy-AM"/>
        </w:rPr>
        <w:t>,</w:t>
      </w:r>
    </w:p>
    <w:p w14:paraId="5D7DD606"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lastRenderedPageBreak/>
        <w:t xml:space="preserve">միջուկային տեղակայնքների և միջուկային նյութերի ֆիզիկական պաշտպանություն՝ ՀՀ ազգային անվտանգության ծառայության հետ </w:t>
      </w:r>
      <w:bookmarkStart w:id="244" w:name="_Hlk135922344"/>
      <w:r w:rsidRPr="00512140">
        <w:rPr>
          <w:rFonts w:cs="GHEA Grapalat"/>
          <w:lang w:val="hy-AM"/>
        </w:rPr>
        <w:t>համատեղ</w:t>
      </w:r>
      <w:bookmarkEnd w:id="244"/>
      <w:r>
        <w:rPr>
          <w:rFonts w:cs="GHEA Grapalat"/>
          <w:lang w:val="hy-AM"/>
        </w:rPr>
        <w:t>,</w:t>
      </w:r>
    </w:p>
    <w:p w14:paraId="3F889E2A"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սահմանային անցակետերում միջուկային նյութերի և ճառագայթային աղբյուրների չարտոնված տեղափոխման հսկողություն՝ ՀՀ պետական եկամուտների կոմիտեի հետ համատեղ</w:t>
      </w:r>
      <w:r>
        <w:rPr>
          <w:rFonts w:cs="GHEA Grapalat"/>
          <w:lang w:val="hy-AM"/>
        </w:rPr>
        <w:t>,</w:t>
      </w:r>
    </w:p>
    <w:p w14:paraId="77288001"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բնակչության և ՀԱԷԿ-ի անձնակազմի պաշտպանություն միջուկային և ճառագայթային վթարների դեպքում, այդ թվում  միջուկային տեղակայնքների հրդեհի առաջացման դեպքում՝ ՀՀ ներքին գործերի նախարարության հետ համատեղ</w:t>
      </w:r>
      <w:r>
        <w:rPr>
          <w:rFonts w:cs="GHEA Grapalat"/>
          <w:lang w:val="hy-AM"/>
        </w:rPr>
        <w:t>,</w:t>
      </w:r>
    </w:p>
    <w:p w14:paraId="67C3A2E4" w14:textId="77777777" w:rsidR="00E90E8B" w:rsidRPr="002A5269" w:rsidRDefault="00E90E8B"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kern w:val="16"/>
          <w:lang w:val="hy-AM"/>
        </w:rPr>
      </w:pPr>
      <w:r w:rsidRPr="00512140">
        <w:rPr>
          <w:rFonts w:cs="GHEA Grapalat"/>
          <w:lang w:val="hy-AM"/>
        </w:rPr>
        <w:t>ՀՀ միջուկային օրենսդրության համապատասխանեցումը Ատոմային էներգիայի միջազգային գործակալության (ԱԷՄԳ) անվտանգության ստանդարտներին,  Եվրոպական միության անվտանգության դիրեկտիվների՝ այդ թվում  Արևմտաեվրոպական երկրների կարգավորող մարմինների ասոցիացիայի</w:t>
      </w:r>
      <w:r w:rsidRPr="002A5269">
        <w:rPr>
          <w:rFonts w:eastAsia="Times New Roman" w:cs="Times New Roman"/>
          <w:kern w:val="16"/>
          <w:lang w:val="hy-AM"/>
        </w:rPr>
        <w:t xml:space="preserve"> (WENRA) անվտանգության պահանջներին, «Ատոմային էներգիայի մասին» ՀՀ նոր օրենքի նախագծի մշակումը, միջուկային և ճառագայթային  անվտանգության նոր նորմերի, կանոնների, պահանջների, ուղեցույցների, անվտանգության գնահատման մեթոդների մշակումը, գործող նորմերի ու կանոնների վերանայումը, լրամշակումը, անվտանգությանը վերաբերվող փաստաթղթերի քննարկումը, վերլուծությունը և գնահատումը: </w:t>
      </w:r>
    </w:p>
    <w:p w14:paraId="574D00D5" w14:textId="77777777" w:rsidR="00E90E8B" w:rsidRPr="002A5269" w:rsidRDefault="00E90E8B" w:rsidP="004247C0">
      <w:pPr>
        <w:tabs>
          <w:tab w:val="left" w:pos="0"/>
          <w:tab w:val="left" w:pos="284"/>
          <w:tab w:val="left" w:pos="810"/>
          <w:tab w:val="left" w:pos="1080"/>
        </w:tabs>
        <w:spacing w:before="120" w:after="0" w:line="276" w:lineRule="auto"/>
        <w:ind w:firstLine="0"/>
        <w:rPr>
          <w:rFonts w:eastAsia="Times New Roman" w:cs="Times New Roman"/>
          <w:kern w:val="16"/>
          <w:lang w:val="hy-AM"/>
        </w:rPr>
      </w:pPr>
      <w:r w:rsidRPr="002A5269">
        <w:rPr>
          <w:rFonts w:eastAsia="Times New Roman" w:cs="Times New Roman"/>
          <w:kern w:val="16"/>
          <w:lang w:val="hy-AM"/>
        </w:rPr>
        <w:t>ՀՀ միջուկային անվտանգության կարգավորման կոմիտեն իրականացնում է «Միջուկային և ճառագայթային անվտանգության կարգավորում» ծրագիրը: Ծրագրի նպատակն է՝ բնակչության, ատոմային էներգիայի օգտագործման օբյեկտների անձնակազմի անվտանգության ապահովումը, շրջակա միջավայրի պաշտպանությունն իոնացնող ճառագայթման հնարավոր վնասակար ազդեցությունից, Հայաստանի Հանրապետության անվտանգության շահերի պաշտպանության նպատակով:</w:t>
      </w:r>
    </w:p>
    <w:p w14:paraId="4025DCD2" w14:textId="77777777" w:rsidR="00E90E8B" w:rsidRPr="002A5269" w:rsidRDefault="00E90E8B" w:rsidP="004247C0">
      <w:pPr>
        <w:tabs>
          <w:tab w:val="left" w:pos="0"/>
          <w:tab w:val="left" w:pos="284"/>
          <w:tab w:val="left" w:pos="810"/>
          <w:tab w:val="left" w:pos="1080"/>
        </w:tabs>
        <w:spacing w:before="120" w:after="0" w:line="276" w:lineRule="auto"/>
        <w:ind w:firstLine="0"/>
        <w:rPr>
          <w:rFonts w:eastAsia="Times New Roman" w:cs="Times New Roman"/>
          <w:kern w:val="16"/>
          <w:lang w:val="hy-AM"/>
        </w:rPr>
      </w:pPr>
      <w:r w:rsidRPr="002A5269">
        <w:rPr>
          <w:rFonts w:eastAsia="Times New Roman" w:cs="Times New Roman"/>
          <w:kern w:val="16"/>
          <w:lang w:val="hy-AM"/>
        </w:rPr>
        <w:t>Ծրագրի վերջնական արդյունքն է՝ ՀՀ բնակչության համար թույլատրելի իոնացնող ճառագայթման տարեկան արդյունարար դոզայի արժեքի չգերազանցումը սահմանված չափաքանակներից։ Վերջնական արդյունքին հասնելու գերակա ուղղությունները՝</w:t>
      </w:r>
    </w:p>
    <w:p w14:paraId="07953E48" w14:textId="2698D65A"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շրջակա միջավայրի ճառագայթային մոնիթորինգի ժամանակակից համակարգի ներդրում՝ շրջակա միջավայրի հնարավոր ռադիոակտիվ աղտոտմամբ պայմանավորված բնակչության ճառագայթահարումը վերահսկելու համար</w:t>
      </w:r>
    </w:p>
    <w:p w14:paraId="03830968" w14:textId="7777777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կոմիտեի գիտատեխնիկական աջակցության զարգացում</w:t>
      </w:r>
    </w:p>
    <w:p w14:paraId="550C8590" w14:textId="1F09B59B"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մասնագիտական և տեսչական անձնակազմի որակավորման բարձրացում, (փորձի փոխանակում, վերապատրաստում, դասընթացներ)</w:t>
      </w:r>
    </w:p>
    <w:p w14:paraId="5C6CDAA6" w14:textId="3EA2E667" w:rsidR="00E90E8B" w:rsidRPr="00512140" w:rsidRDefault="00E90E8B" w:rsidP="004247C0">
      <w:pPr>
        <w:numPr>
          <w:ilvl w:val="0"/>
          <w:numId w:val="24"/>
        </w:numPr>
        <w:tabs>
          <w:tab w:val="left" w:pos="0"/>
          <w:tab w:val="left" w:pos="284"/>
        </w:tabs>
        <w:autoSpaceDE w:val="0"/>
        <w:autoSpaceDN w:val="0"/>
        <w:adjustRightInd w:val="0"/>
        <w:spacing w:before="120" w:after="0" w:line="276" w:lineRule="auto"/>
        <w:ind w:firstLine="0"/>
        <w:rPr>
          <w:rFonts w:cs="GHEA Grapalat"/>
          <w:lang w:val="hy-AM"/>
        </w:rPr>
      </w:pPr>
      <w:r w:rsidRPr="00512140">
        <w:rPr>
          <w:rFonts w:cs="GHEA Grapalat"/>
          <w:lang w:val="hy-AM"/>
        </w:rPr>
        <w:t>միջուկային զենքի չտարածման ռեժիմի ուժեղացում, միջուկային նյութի հաշվառման և վերահսկման պետական համակարգի կատարելագործում</w:t>
      </w:r>
    </w:p>
    <w:p w14:paraId="570CFD60" w14:textId="77777777" w:rsidR="00E90E8B" w:rsidRDefault="00E90E8B" w:rsidP="004247C0">
      <w:pPr>
        <w:numPr>
          <w:ilvl w:val="0"/>
          <w:numId w:val="24"/>
        </w:numPr>
        <w:tabs>
          <w:tab w:val="left" w:pos="0"/>
          <w:tab w:val="left" w:pos="284"/>
        </w:tabs>
        <w:autoSpaceDE w:val="0"/>
        <w:autoSpaceDN w:val="0"/>
        <w:adjustRightInd w:val="0"/>
        <w:spacing w:before="120" w:after="0" w:line="276" w:lineRule="auto"/>
        <w:ind w:firstLine="0"/>
        <w:rPr>
          <w:rFonts w:eastAsia="Times New Roman" w:cs="Times New Roman"/>
          <w:kern w:val="16"/>
          <w:lang w:val="hy-AM"/>
        </w:rPr>
      </w:pPr>
      <w:r w:rsidRPr="00512140">
        <w:rPr>
          <w:rFonts w:cs="GHEA Grapalat"/>
          <w:lang w:val="hy-AM"/>
        </w:rPr>
        <w:t>վթարային հակազդման</w:t>
      </w:r>
      <w:r w:rsidRPr="002A5269">
        <w:rPr>
          <w:rFonts w:eastAsia="Times New Roman" w:cs="Times New Roman"/>
          <w:kern w:val="16"/>
          <w:lang w:val="hy-AM"/>
        </w:rPr>
        <w:t xml:space="preserve"> կենտրոնի համապատասխանեցում ժամանակակից պահանջներին:</w:t>
      </w:r>
    </w:p>
    <w:bookmarkEnd w:id="243"/>
    <w:p w14:paraId="3776FC57" w14:textId="77777777" w:rsidR="00574E29" w:rsidRDefault="00574E29" w:rsidP="004247C0">
      <w:pPr>
        <w:tabs>
          <w:tab w:val="left" w:pos="0"/>
        </w:tabs>
        <w:spacing w:before="120" w:after="0" w:line="276" w:lineRule="auto"/>
        <w:ind w:firstLine="0"/>
        <w:rPr>
          <w:rFonts w:eastAsia="Times New Roman" w:cs="Times New Roman"/>
          <w:kern w:val="16"/>
          <w:lang w:val="hy-AM"/>
        </w:rPr>
      </w:pPr>
    </w:p>
    <w:p w14:paraId="6ABB7955" w14:textId="691F636B" w:rsidR="00080175" w:rsidRPr="00AA20B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45" w:name="_Toc170926357"/>
      <w:r w:rsidRPr="00AA20B5">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AA20B5">
        <w:rPr>
          <w:rFonts w:eastAsia="Times New Roman" w:cs="Times New Roman"/>
          <w:b w:val="0"/>
          <w:caps w:val="0"/>
          <w:color w:val="44546A" w:themeColor="text2"/>
          <w:sz w:val="24"/>
          <w:szCs w:val="24"/>
          <w:lang w:val="fr-FR"/>
        </w:rPr>
        <w:t>.15</w:t>
      </w:r>
      <w:r w:rsidRPr="00A04B52">
        <w:rPr>
          <w:rFonts w:eastAsia="Times New Roman" w:cs="Times New Roman"/>
          <w:b w:val="0"/>
          <w:caps w:val="0"/>
          <w:color w:val="44546A" w:themeColor="text2"/>
          <w:sz w:val="24"/>
          <w:szCs w:val="24"/>
          <w:lang w:val="fr-FR"/>
        </w:rPr>
        <w:t>. ՀԱՇՎԵՔՆՆԻՉ ՊԱԼԱՏ</w:t>
      </w:r>
      <w:bookmarkEnd w:id="245"/>
    </w:p>
    <w:p w14:paraId="7288C863"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lastRenderedPageBreak/>
        <w:t>Հաշվեքննիչ պալատն արտաքին պետական հաշվեքննություն իրականացնող անկախ պետական մարմին է։</w:t>
      </w:r>
    </w:p>
    <w:p w14:paraId="047C855D"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Հաշվեքննիչ պալատի գործունեության նպատակը հաշվեքննությունների իրականացմամբ հանրային ֆինանսների և սեփականության ոլորտում օրինականության և արդյունավետության պահպանման վերաբերյալ հանրությանն ու Ազգային ժողով ժամանակին մասնագիտական ու անկողմնակալ տեղեկատվություն ներկայացնելն է:</w:t>
      </w:r>
    </w:p>
    <w:p w14:paraId="3814FCF4"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highlight w:val="yellow"/>
          <w:lang w:val="hy-AM"/>
        </w:rPr>
      </w:pPr>
      <w:r w:rsidRPr="00D95100">
        <w:rPr>
          <w:rFonts w:eastAsia="Times New Roman" w:cs="Times New Roman"/>
          <w:kern w:val="16"/>
          <w:lang w:val="hy-AM"/>
        </w:rPr>
        <w:t>Նշված նպատակի ապահովման համար Հաշվեքննիչ պալատը հաշվեքննություն է իրականացնում պետական և տեղական ինքնակառավարման մարմինների ու հիմնարկների, ինչպես նաև Հայաստանի Հանրապետության հիմնադրած՝ պետական գործառույթներով օժտված այլ իրավաբանական անձանց նկատմամբ՝ անկախ դրանց գործունեությունն արտահայտող ֆինանսական գործառնությունների՝ պետական և համայնքային բյուջեներում արտացոլված լինելու հանգամանքից կամ եղանակից:</w:t>
      </w:r>
    </w:p>
    <w:p w14:paraId="1838F103"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 xml:space="preserve">Հաշվեքննիչ պալատը </w:t>
      </w:r>
      <w:r>
        <w:rPr>
          <w:rFonts w:eastAsia="Times New Roman" w:cs="Times New Roman"/>
          <w:kern w:val="16"/>
          <w:lang w:val="hy-AM"/>
        </w:rPr>
        <w:t xml:space="preserve">իր ռազմավարական զարգացման ծրագրի շրջանակներում </w:t>
      </w:r>
      <w:r w:rsidRPr="00D95100">
        <w:rPr>
          <w:rFonts w:eastAsia="Times New Roman" w:cs="Times New Roman"/>
          <w:kern w:val="16"/>
          <w:lang w:val="hy-AM"/>
        </w:rPr>
        <w:t>ձգտում է հասնել վերջնական արդյունքներին հետևյալ ուղղությունն</w:t>
      </w:r>
      <w:r>
        <w:rPr>
          <w:rFonts w:eastAsia="Times New Roman" w:cs="Times New Roman"/>
          <w:kern w:val="16"/>
          <w:lang w:val="hy-AM"/>
        </w:rPr>
        <w:t>երով</w:t>
      </w:r>
      <w:r w:rsidRPr="00D95100">
        <w:rPr>
          <w:rFonts w:eastAsia="Times New Roman" w:cs="Times New Roman"/>
          <w:kern w:val="16"/>
          <w:lang w:val="hy-AM"/>
        </w:rPr>
        <w:t>՝</w:t>
      </w:r>
    </w:p>
    <w:p w14:paraId="5B82C7CB" w14:textId="77777777" w:rsidR="00A04B52" w:rsidRPr="00D95100" w:rsidRDefault="00A04B52" w:rsidP="004247C0">
      <w:pPr>
        <w:tabs>
          <w:tab w:val="left" w:pos="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 xml:space="preserve">- </w:t>
      </w:r>
      <w:r>
        <w:rPr>
          <w:rFonts w:eastAsia="Times New Roman" w:cs="Times New Roman"/>
          <w:kern w:val="16"/>
          <w:lang w:val="hy-AM"/>
        </w:rPr>
        <w:t xml:space="preserve">2024 թվականի հունիսի 11-ին ուժի մեջ մտած </w:t>
      </w:r>
      <w:r w:rsidRPr="00D95100">
        <w:rPr>
          <w:rFonts w:eastAsia="Times New Roman" w:cs="Times New Roman"/>
          <w:kern w:val="16"/>
          <w:lang w:val="hy-AM"/>
        </w:rPr>
        <w:t xml:space="preserve">Արտաքին պետական հաշվեքննության ոլորտի </w:t>
      </w:r>
      <w:r>
        <w:rPr>
          <w:rFonts w:eastAsia="Times New Roman" w:cs="Times New Roman"/>
          <w:kern w:val="16"/>
          <w:lang w:val="hy-AM"/>
        </w:rPr>
        <w:t xml:space="preserve">օրենսդրական փաթեթի լիարժեք ներդրման նպատակով  և </w:t>
      </w:r>
      <w:r w:rsidRPr="00D95100">
        <w:rPr>
          <w:rFonts w:eastAsia="Times New Roman" w:cs="Times New Roman"/>
          <w:kern w:val="16"/>
          <w:lang w:val="hy-AM"/>
        </w:rPr>
        <w:t>Աուդիտի բարձ</w:t>
      </w:r>
      <w:r w:rsidRPr="00D95100">
        <w:rPr>
          <w:rFonts w:eastAsia="Times New Roman" w:cs="Times New Roman"/>
          <w:kern w:val="16"/>
          <w:lang w:val="hy-AM"/>
        </w:rPr>
        <w:softHyphen/>
        <w:t>րա</w:t>
      </w:r>
      <w:r w:rsidRPr="00D95100">
        <w:rPr>
          <w:rFonts w:eastAsia="Times New Roman" w:cs="Times New Roman"/>
          <w:kern w:val="16"/>
          <w:lang w:val="hy-AM"/>
        </w:rPr>
        <w:softHyphen/>
      </w:r>
      <w:r w:rsidRPr="00D95100">
        <w:rPr>
          <w:rFonts w:eastAsia="Times New Roman" w:cs="Times New Roman"/>
          <w:kern w:val="16"/>
          <w:lang w:val="hy-AM"/>
        </w:rPr>
        <w:softHyphen/>
        <w:t>գույն մարմինների միջազգային կազմակեր</w:t>
      </w:r>
      <w:r>
        <w:rPr>
          <w:rFonts w:eastAsia="Times New Roman" w:cs="Times New Roman"/>
          <w:kern w:val="16"/>
          <w:lang w:val="hy-AM"/>
        </w:rPr>
        <w:t>պության (INTOSAI) ստանդարտներին համաձայն ներքին իրավական ակտերի մշակում և ներդրում․</w:t>
      </w:r>
    </w:p>
    <w:p w14:paraId="4337B06E" w14:textId="77777777" w:rsidR="00A04B52"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 xml:space="preserve">- </w:t>
      </w:r>
      <w:r>
        <w:rPr>
          <w:rFonts w:eastAsia="Times New Roman" w:cs="Times New Roman"/>
          <w:kern w:val="16"/>
          <w:lang w:val="hy-AM"/>
        </w:rPr>
        <w:t>հ</w:t>
      </w:r>
      <w:r w:rsidRPr="00D95100">
        <w:rPr>
          <w:rFonts w:eastAsia="Times New Roman" w:cs="Times New Roman"/>
          <w:kern w:val="16"/>
          <w:lang w:val="hy-AM"/>
        </w:rPr>
        <w:t>աշվեքննությ</w:t>
      </w:r>
      <w:r>
        <w:rPr>
          <w:rFonts w:eastAsia="Times New Roman" w:cs="Times New Roman"/>
          <w:kern w:val="16"/>
          <w:lang w:val="hy-AM"/>
        </w:rPr>
        <w:t>ան</w:t>
      </w:r>
      <w:r w:rsidRPr="00D95100">
        <w:rPr>
          <w:rFonts w:eastAsia="Times New Roman" w:cs="Times New Roman"/>
          <w:kern w:val="16"/>
          <w:lang w:val="hy-AM"/>
        </w:rPr>
        <w:t xml:space="preserve"> գործընթացի որակի բարձրացում՝ նկատի ունենալով նաև Հաշվեքննիչ պալատի ՏՏ ենթակ</w:t>
      </w:r>
      <w:r>
        <w:rPr>
          <w:rFonts w:eastAsia="Times New Roman" w:cs="Times New Roman"/>
          <w:kern w:val="16"/>
          <w:lang w:val="hy-AM"/>
        </w:rPr>
        <w:t>առուցվածքների զարգացման հարցերը․</w:t>
      </w:r>
    </w:p>
    <w:p w14:paraId="4A784533"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 xml:space="preserve">- Հաշվեքննիչ պալատում </w:t>
      </w:r>
      <w:r>
        <w:rPr>
          <w:rFonts w:eastAsia="Times New Roman" w:cs="Times New Roman"/>
          <w:kern w:val="16"/>
          <w:lang w:val="hy-AM"/>
        </w:rPr>
        <w:t>հաշվեքննության ծառայության ներդրման նպատակով մարդկային ռեսուրսների կառավարման համակարգի մշակում և ներդրում,</w:t>
      </w:r>
    </w:p>
    <w:p w14:paraId="03039C2F" w14:textId="77777777" w:rsidR="00A04B52" w:rsidRPr="00D95100" w:rsidRDefault="00A04B52" w:rsidP="004247C0">
      <w:pPr>
        <w:tabs>
          <w:tab w:val="left" w:pos="0"/>
          <w:tab w:val="left" w:pos="810"/>
          <w:tab w:val="left" w:pos="1080"/>
        </w:tabs>
        <w:spacing w:before="120" w:after="0" w:line="276" w:lineRule="auto"/>
        <w:ind w:firstLine="0"/>
        <w:rPr>
          <w:rFonts w:eastAsia="Times New Roman" w:cs="Times New Roman"/>
          <w:kern w:val="16"/>
          <w:lang w:val="hy-AM"/>
        </w:rPr>
      </w:pPr>
      <w:r w:rsidRPr="00D95100">
        <w:rPr>
          <w:rFonts w:eastAsia="Times New Roman" w:cs="Times New Roman"/>
          <w:kern w:val="16"/>
          <w:lang w:val="hy-AM"/>
        </w:rPr>
        <w:t xml:space="preserve">- Ազգային ժողովի, ՀՀ կառավարության և այլ շահառուների հետ համագործակցության զարգացում՝ հատկապես նկատի ունենալով հաշվեքննությունից հետո տարվող աշխատանքները՝ follow-up գործընթաց: </w:t>
      </w:r>
    </w:p>
    <w:p w14:paraId="5B237E80" w14:textId="77777777" w:rsidR="00080175" w:rsidRPr="00A04B52" w:rsidRDefault="00080175" w:rsidP="004247C0">
      <w:pPr>
        <w:tabs>
          <w:tab w:val="left" w:pos="0"/>
          <w:tab w:val="left" w:pos="851"/>
        </w:tabs>
        <w:spacing w:before="120" w:after="0" w:line="276" w:lineRule="auto"/>
        <w:ind w:firstLine="0"/>
        <w:rPr>
          <w:rFonts w:eastAsia="Calibri" w:cs="Times New Roman"/>
          <w:lang w:val="hy-AM" w:eastAsia="x-none"/>
        </w:rPr>
      </w:pPr>
    </w:p>
    <w:p w14:paraId="7BB8CA24" w14:textId="56E1683F" w:rsidR="00080175" w:rsidRPr="00AA20B5" w:rsidRDefault="00080175" w:rsidP="004247C0">
      <w:pPr>
        <w:pStyle w:val="Heading3"/>
        <w:keepNext w:val="0"/>
        <w:keepLines w:val="0"/>
        <w:tabs>
          <w:tab w:val="left" w:pos="0"/>
        </w:tabs>
        <w:spacing w:before="120" w:after="0" w:line="276" w:lineRule="auto"/>
        <w:contextualSpacing w:val="0"/>
        <w:jc w:val="both"/>
        <w:rPr>
          <w:rFonts w:eastAsia="Times New Roman" w:cs="Times New Roman"/>
          <w:b w:val="0"/>
          <w:caps w:val="0"/>
          <w:color w:val="44546A" w:themeColor="text2"/>
          <w:sz w:val="24"/>
          <w:szCs w:val="24"/>
          <w:lang w:val="fr-FR"/>
        </w:rPr>
      </w:pPr>
      <w:bookmarkStart w:id="246" w:name="_Toc170926358"/>
      <w:r w:rsidRPr="00AA20B5">
        <w:rPr>
          <w:rFonts w:eastAsia="Times New Roman" w:cs="Times New Roman"/>
          <w:b w:val="0"/>
          <w:caps w:val="0"/>
          <w:color w:val="44546A" w:themeColor="text2"/>
          <w:sz w:val="24"/>
          <w:szCs w:val="24"/>
          <w:lang w:val="fr-FR"/>
        </w:rPr>
        <w:t>2</w:t>
      </w:r>
      <w:r w:rsidR="004247C0">
        <w:rPr>
          <w:rFonts w:eastAsia="Times New Roman" w:cs="Times New Roman"/>
          <w:b w:val="0"/>
          <w:caps w:val="0"/>
          <w:color w:val="44546A" w:themeColor="text2"/>
          <w:sz w:val="24"/>
          <w:szCs w:val="24"/>
          <w:lang w:val="fr-FR"/>
        </w:rPr>
        <w:t>2</w:t>
      </w:r>
      <w:r w:rsidRPr="00AA20B5">
        <w:rPr>
          <w:rFonts w:eastAsia="Times New Roman" w:cs="Times New Roman"/>
          <w:b w:val="0"/>
          <w:caps w:val="0"/>
          <w:color w:val="44546A" w:themeColor="text2"/>
          <w:sz w:val="24"/>
          <w:szCs w:val="24"/>
          <w:lang w:val="fr-FR"/>
        </w:rPr>
        <w:t xml:space="preserve">.16. </w:t>
      </w:r>
      <w:r w:rsidRPr="00A523A8">
        <w:rPr>
          <w:rFonts w:eastAsia="Times New Roman" w:cs="Times New Roman"/>
          <w:b w:val="0"/>
          <w:caps w:val="0"/>
          <w:color w:val="44546A" w:themeColor="text2"/>
          <w:sz w:val="24"/>
          <w:szCs w:val="24"/>
          <w:lang w:val="fr-FR"/>
        </w:rPr>
        <w:t>ՀԱԿԱԿՈՌՈՒՊՑԻՈՆ ԿՈՄԻՏԵ</w:t>
      </w:r>
      <w:bookmarkEnd w:id="246"/>
      <w:r w:rsidRPr="00AA20B5">
        <w:rPr>
          <w:rFonts w:eastAsia="Times New Roman" w:cs="Times New Roman"/>
          <w:b w:val="0"/>
          <w:caps w:val="0"/>
          <w:color w:val="44546A" w:themeColor="text2"/>
          <w:sz w:val="24"/>
          <w:szCs w:val="24"/>
          <w:lang w:val="fr-FR"/>
        </w:rPr>
        <w:t xml:space="preserve"> </w:t>
      </w:r>
    </w:p>
    <w:p w14:paraId="29782AB9" w14:textId="77777777" w:rsidR="00A523A8" w:rsidRPr="00B82E8D" w:rsidRDefault="00A523A8" w:rsidP="004247C0">
      <w:pPr>
        <w:shd w:val="clear" w:color="auto" w:fill="FFFFFF"/>
        <w:tabs>
          <w:tab w:val="left" w:pos="0"/>
        </w:tabs>
        <w:spacing w:before="120" w:after="0" w:line="276" w:lineRule="auto"/>
        <w:ind w:firstLine="0"/>
        <w:rPr>
          <w:color w:val="000000"/>
          <w:lang w:val="hy-AM"/>
        </w:rPr>
      </w:pPr>
      <w:bookmarkStart w:id="247" w:name="_Toc45838556"/>
      <w:r w:rsidRPr="00B82E8D">
        <w:rPr>
          <w:rFonts w:cs="Arial Unicode"/>
          <w:color w:val="000000"/>
          <w:lang w:val="hy-AM"/>
        </w:rPr>
        <w:t>Հակակոռուպցիոն</w:t>
      </w:r>
      <w:r w:rsidRPr="00542A21">
        <w:rPr>
          <w:rFonts w:cs="Arial Unicode"/>
          <w:color w:val="000000"/>
          <w:lang w:val="hy-AM"/>
        </w:rPr>
        <w:t xml:space="preserve"> </w:t>
      </w:r>
      <w:r w:rsidRPr="00B82E8D">
        <w:rPr>
          <w:rFonts w:cs="Arial Unicode"/>
          <w:color w:val="000000"/>
          <w:lang w:val="hy-AM"/>
        </w:rPr>
        <w:t>կոմիտե</w:t>
      </w:r>
      <w:r w:rsidRPr="00B82E8D">
        <w:rPr>
          <w:color w:val="000000"/>
          <w:lang w:val="hy-AM"/>
        </w:rPr>
        <w:t>ն քննչական մարմին է, որը կազմակերպում</w:t>
      </w:r>
      <w:r w:rsidRPr="00542A21">
        <w:rPr>
          <w:color w:val="000000"/>
          <w:lang w:val="hy-AM"/>
        </w:rPr>
        <w:t xml:space="preserve"> </w:t>
      </w:r>
      <w:r w:rsidRPr="00B82E8D">
        <w:rPr>
          <w:color w:val="000000"/>
          <w:lang w:val="hy-AM"/>
        </w:rPr>
        <w:t>և</w:t>
      </w:r>
      <w:r w:rsidRPr="00542A21">
        <w:rPr>
          <w:color w:val="000000"/>
          <w:lang w:val="hy-AM"/>
        </w:rPr>
        <w:t xml:space="preserve"> </w:t>
      </w:r>
      <w:r w:rsidRPr="00B82E8D">
        <w:rPr>
          <w:color w:val="000000"/>
          <w:lang w:val="hy-AM"/>
        </w:rPr>
        <w:t>իրականացնում է Հայաստանի Հանրապետության քրեական դատավարության օրենսգրքով իր ենթակայությանը վերապահված՝ ենթադրյալ կոռուպցիոն հանցագործություններով մինչդատական քրեական վարույթը:</w:t>
      </w:r>
      <w:r>
        <w:rPr>
          <w:color w:val="000000"/>
          <w:lang w:val="hy-AM"/>
        </w:rPr>
        <w:t xml:space="preserve"> </w:t>
      </w:r>
      <w:r w:rsidRPr="00B82E8D">
        <w:rPr>
          <w:rFonts w:cs="Arial Unicode"/>
          <w:color w:val="000000"/>
          <w:lang w:val="hy-AM"/>
        </w:rPr>
        <w:t>Հակակոռուպցիոն</w:t>
      </w:r>
      <w:r w:rsidRPr="00B82E8D">
        <w:rPr>
          <w:rFonts w:ascii="Courier New" w:hAnsi="Courier New" w:cs="Courier New"/>
          <w:color w:val="000000"/>
          <w:lang w:val="hy-AM"/>
        </w:rPr>
        <w:t> </w:t>
      </w:r>
      <w:r w:rsidRPr="00B82E8D">
        <w:rPr>
          <w:rFonts w:cs="Arial Unicode"/>
          <w:color w:val="000000"/>
          <w:lang w:val="hy-AM"/>
        </w:rPr>
        <w:t>կոմիտեն</w:t>
      </w:r>
      <w:r w:rsidRPr="00B82E8D">
        <w:rPr>
          <w:color w:val="000000"/>
          <w:lang w:val="hy-AM"/>
        </w:rPr>
        <w:t xml:space="preserve"> </w:t>
      </w:r>
      <w:r w:rsidRPr="00B82E8D">
        <w:rPr>
          <w:rFonts w:cs="Arial Unicode"/>
          <w:color w:val="000000"/>
          <w:lang w:val="hy-AM"/>
        </w:rPr>
        <w:t>իր</w:t>
      </w:r>
      <w:r w:rsidRPr="00B82E8D">
        <w:rPr>
          <w:color w:val="000000"/>
          <w:lang w:val="hy-AM"/>
        </w:rPr>
        <w:t xml:space="preserve"> </w:t>
      </w:r>
      <w:r w:rsidRPr="00B82E8D">
        <w:rPr>
          <w:rFonts w:cs="Arial Unicode"/>
          <w:color w:val="000000"/>
          <w:lang w:val="hy-AM"/>
        </w:rPr>
        <w:t>լիազորությո</w:t>
      </w:r>
      <w:r w:rsidRPr="00B82E8D">
        <w:rPr>
          <w:color w:val="000000"/>
          <w:lang w:val="hy-AM"/>
        </w:rPr>
        <w:t>ւնների շրջանակներում իրականացնում է օպերատիվ-հետախուզական գործունեություն:</w:t>
      </w:r>
    </w:p>
    <w:p w14:paraId="020BD31A" w14:textId="77777777" w:rsidR="00A523A8" w:rsidRPr="00AE48DC" w:rsidRDefault="00A523A8" w:rsidP="004247C0">
      <w:pPr>
        <w:shd w:val="clear" w:color="auto" w:fill="FFFFFF"/>
        <w:tabs>
          <w:tab w:val="left" w:pos="0"/>
        </w:tabs>
        <w:spacing w:before="120" w:after="0" w:line="276" w:lineRule="auto"/>
        <w:ind w:firstLine="0"/>
        <w:rPr>
          <w:color w:val="000000"/>
          <w:lang w:val="hy-AM"/>
        </w:rPr>
      </w:pPr>
      <w:r w:rsidRPr="00B82E8D">
        <w:rPr>
          <w:lang w:val="hy-AM"/>
        </w:rPr>
        <w:t xml:space="preserve">ՀՀ հակակոռուպցիոն կոմիտեի </w:t>
      </w:r>
      <w:r w:rsidRPr="00AE48DC">
        <w:rPr>
          <w:color w:val="000000"/>
          <w:lang w:val="hy-AM"/>
        </w:rPr>
        <w:t>կողմից իրականացվող գործունեության հիմնական նպատակն է կոռուպցիոն բնույթի հանցագործությունների բացահայտումն ու քննությունը:</w:t>
      </w:r>
    </w:p>
    <w:p w14:paraId="1AAE4265" w14:textId="77777777" w:rsidR="00A523A8" w:rsidRPr="00B82E8D" w:rsidRDefault="00A523A8" w:rsidP="004247C0">
      <w:pPr>
        <w:shd w:val="clear" w:color="auto" w:fill="FFFFFF"/>
        <w:tabs>
          <w:tab w:val="left" w:pos="0"/>
        </w:tabs>
        <w:spacing w:before="120" w:after="0" w:line="276" w:lineRule="auto"/>
        <w:ind w:firstLine="0"/>
        <w:rPr>
          <w:color w:val="000000"/>
          <w:lang w:val="hy-AM"/>
        </w:rPr>
      </w:pPr>
      <w:r w:rsidRPr="00AE48DC">
        <w:rPr>
          <w:color w:val="000000"/>
          <w:lang w:val="hy-AM"/>
        </w:rPr>
        <w:t xml:space="preserve">ՀՀ հակակոռուպցիոն կոմիտեն՝ որպես քննչական մարմին </w:t>
      </w:r>
      <w:r w:rsidRPr="00B82E8D">
        <w:rPr>
          <w:color w:val="000000"/>
          <w:lang w:val="hy-AM"/>
        </w:rPr>
        <w:t>ձեռնարկել</w:t>
      </w:r>
      <w:r>
        <w:rPr>
          <w:color w:val="000000"/>
          <w:lang w:val="hy-AM"/>
        </w:rPr>
        <w:t>ու է</w:t>
      </w:r>
      <w:r w:rsidRPr="00B82E8D">
        <w:rPr>
          <w:color w:val="000000"/>
          <w:lang w:val="hy-AM"/>
        </w:rPr>
        <w:t xml:space="preserve"> բոլոր միջոցառումները, որպեսզի իր գործունեության արդյունքում քրեական օրենսգրքով չթույլատրված արարք կատարած յուրաքանչյուր ոք բացահայտվի և ՀՀ քրեական օրենսգրքով սահմանված կարգով պատասխանատվության ենթարկվի:</w:t>
      </w:r>
    </w:p>
    <w:p w14:paraId="2A35EE24" w14:textId="77777777" w:rsidR="00A523A8" w:rsidRDefault="00A523A8" w:rsidP="004247C0">
      <w:pPr>
        <w:shd w:val="clear" w:color="auto" w:fill="FFFFFF"/>
        <w:tabs>
          <w:tab w:val="left" w:pos="0"/>
        </w:tabs>
        <w:spacing w:before="120" w:after="0" w:line="276" w:lineRule="auto"/>
        <w:ind w:firstLine="0"/>
        <w:rPr>
          <w:color w:val="000000"/>
          <w:lang w:val="hy-AM"/>
        </w:rPr>
      </w:pPr>
      <w:r w:rsidRPr="00B82E8D">
        <w:rPr>
          <w:color w:val="000000"/>
          <w:lang w:val="hy-AM"/>
        </w:rPr>
        <w:lastRenderedPageBreak/>
        <w:t xml:space="preserve">ՀՀ </w:t>
      </w:r>
      <w:r w:rsidRPr="00AE48DC">
        <w:rPr>
          <w:color w:val="000000"/>
          <w:lang w:val="hy-AM"/>
        </w:rPr>
        <w:t>հակակոռուպցիոն կոմիտեի</w:t>
      </w:r>
      <w:r w:rsidRPr="00B82E8D">
        <w:rPr>
          <w:color w:val="000000"/>
          <w:lang w:val="hy-AM"/>
        </w:rPr>
        <w:t xml:space="preserve"> ծառայողները քրեական վարույթի պատշաճ քննությունն ու դրա արդյունավետությունն ապահովելու նպատակով կատարում են մի շարք քննչական, օպերատիվ-հետախուզական և դատավարական գործողություններ, այդ թվում՝ նշանակում փորձաքննություններ, դատավարական փաստաթղթեր ներ</w:t>
      </w:r>
      <w:r>
        <w:rPr>
          <w:color w:val="000000"/>
          <w:lang w:val="hy-AM"/>
        </w:rPr>
        <w:t>կայացնում թարգմանության և այլն:</w:t>
      </w:r>
    </w:p>
    <w:p w14:paraId="71FDB690" w14:textId="33E664F1" w:rsidR="00A523A8" w:rsidRDefault="00A523A8" w:rsidP="004247C0">
      <w:pPr>
        <w:shd w:val="clear" w:color="auto" w:fill="FFFFFF"/>
        <w:tabs>
          <w:tab w:val="left" w:pos="0"/>
        </w:tabs>
        <w:spacing w:before="120" w:after="0" w:line="276" w:lineRule="auto"/>
        <w:ind w:firstLine="0"/>
        <w:rPr>
          <w:color w:val="000000"/>
          <w:lang w:val="hy-AM"/>
        </w:rPr>
      </w:pPr>
      <w:r w:rsidRPr="0032006C">
        <w:rPr>
          <w:color w:val="000000"/>
          <w:lang w:val="hy-AM"/>
        </w:rPr>
        <w:t xml:space="preserve">ՀՀ </w:t>
      </w:r>
      <w:r w:rsidRPr="00AE48DC">
        <w:rPr>
          <w:color w:val="000000"/>
          <w:lang w:val="hy-AM"/>
        </w:rPr>
        <w:t xml:space="preserve">հակակոռուպցիոն կոմիտեի քննչական գործառույթներ իրականացնող ստորաբաժանումների </w:t>
      </w:r>
      <w:r w:rsidRPr="0032006C">
        <w:rPr>
          <w:color w:val="000000"/>
          <w:lang w:val="hy-AM"/>
        </w:rPr>
        <w:t xml:space="preserve">գործունեությունն </w:t>
      </w:r>
      <w:r w:rsidR="00784A04">
        <w:rPr>
          <w:color w:val="000000"/>
          <w:lang w:val="hy-AM"/>
        </w:rPr>
        <w:t>ապահով</w:t>
      </w:r>
      <w:r w:rsidRPr="0032006C">
        <w:rPr>
          <w:color w:val="000000"/>
          <w:lang w:val="hy-AM"/>
        </w:rPr>
        <w:t xml:space="preserve">ում է հանցավորության, մասնավորապես՝ կոռուպցիայի դեմ պայքարը, որը բխում է ՀՀ կառավարության </w:t>
      </w:r>
      <w:r w:rsidRPr="00AE48DC">
        <w:rPr>
          <w:color w:val="000000"/>
          <w:lang w:val="hy-AM"/>
        </w:rPr>
        <w:t xml:space="preserve">2021-2026 թվականների ծրագրի 5.5-րդ </w:t>
      </w:r>
      <w:r w:rsidRPr="0032006C">
        <w:rPr>
          <w:color w:val="000000"/>
          <w:lang w:val="hy-AM"/>
        </w:rPr>
        <w:t>բաժնից:</w:t>
      </w:r>
    </w:p>
    <w:p w14:paraId="2D51AA33" w14:textId="77777777" w:rsidR="00A523A8" w:rsidRDefault="00A523A8" w:rsidP="004247C0">
      <w:pPr>
        <w:shd w:val="clear" w:color="auto" w:fill="FFFFFF"/>
        <w:tabs>
          <w:tab w:val="left" w:pos="0"/>
        </w:tabs>
        <w:spacing w:before="120" w:after="0" w:line="276" w:lineRule="auto"/>
        <w:ind w:firstLine="0"/>
        <w:rPr>
          <w:color w:val="000000"/>
          <w:lang w:val="hy-AM"/>
        </w:rPr>
      </w:pPr>
      <w:r w:rsidRPr="00AE48DC">
        <w:rPr>
          <w:color w:val="000000"/>
          <w:lang w:val="hy-AM"/>
        </w:rPr>
        <w:t>ՀՀ հակակոռուպցիոն կոմիտեի ծառայողների հանձնարարությամբ կամ խնդրանքով օտարերկրյա պետության տարածքում հարցաքննության, զննության, առգրավման, խուզարկության, փորձաքննության և ՀՀ քրեական դատավարության օրենսգրքով նախատեսված այլ դատավարական գործողությունների կատարումն իրականացվում է Հայաստանի Հանրապետության կողմից վավերացված միջազգային պայմանագրերին համապատասխան</w:t>
      </w:r>
      <w:r>
        <w:rPr>
          <w:color w:val="000000"/>
          <w:lang w:val="hy-AM"/>
        </w:rPr>
        <w:t>:</w:t>
      </w:r>
    </w:p>
    <w:p w14:paraId="30FB31FB" w14:textId="77777777" w:rsidR="00A523A8" w:rsidRPr="00AE48DC" w:rsidRDefault="00A523A8" w:rsidP="00732CE8">
      <w:pPr>
        <w:shd w:val="clear" w:color="auto" w:fill="FFFFFF"/>
        <w:tabs>
          <w:tab w:val="left" w:pos="0"/>
        </w:tabs>
        <w:spacing w:before="120" w:after="0" w:line="276" w:lineRule="auto"/>
        <w:ind w:firstLine="0"/>
        <w:rPr>
          <w:color w:val="000000"/>
          <w:lang w:val="hy-AM"/>
        </w:rPr>
      </w:pPr>
      <w:r w:rsidRPr="00AE48DC">
        <w:rPr>
          <w:color w:val="000000"/>
          <w:lang w:val="hy-AM"/>
        </w:rPr>
        <w:t xml:space="preserve">ՀՀ հակակոռուպցիոն կոմիտեն առաջնորդվում է ՄԱԿ-ի «Կոռուպցիայի դեմ» կոնվենցիայի դրույթներով, ինչպես նաև ՀՀ-ի կողմից վավերացված մի շարք միջազգային պայմանագրերով ամրագրված կարգավորումներով, մասնավորապես՝ ՄԱԿ-ի «Անդրազգային հանցավորության դեմ պայքարի» կոնվենցիայով, «Քաղաքացիական, ընտանեկան և քրեական գործերով իրավական օգնության և </w:t>
      </w:r>
      <w:r w:rsidRPr="00AE48DC">
        <w:rPr>
          <w:rFonts w:ascii="Calibri" w:hAnsi="Calibri" w:cs="Calibri"/>
          <w:color w:val="000000"/>
          <w:lang w:val="hy-AM"/>
        </w:rPr>
        <w:t> </w:t>
      </w:r>
      <w:r w:rsidRPr="00AE48DC">
        <w:rPr>
          <w:color w:val="000000"/>
          <w:lang w:val="hy-AM"/>
        </w:rPr>
        <w:t>իրավական հարաբերությունների մասին» Մինսկի և Քիշնևի կոնվենցիաներով, «Հանցավոր ճանապարհով ստացված եկամուտների լվացման, հետախուզման, առգրավման ու բռնագրավման և ահաբեկչության ֆինանսավորման դեմ պայքարի մասին» Եվրոպայի խորհրդի կոնվենցիայով և այլն:</w:t>
      </w:r>
    </w:p>
    <w:p w14:paraId="13A026F5" w14:textId="77777777" w:rsidR="00080175" w:rsidRDefault="00080175" w:rsidP="00732CE8">
      <w:pPr>
        <w:pStyle w:val="Heading1"/>
        <w:tabs>
          <w:tab w:val="left" w:pos="0"/>
        </w:tabs>
        <w:spacing w:before="120" w:after="0" w:line="276" w:lineRule="auto"/>
        <w:contextualSpacing w:val="0"/>
        <w:jc w:val="both"/>
        <w:rPr>
          <w:sz w:val="28"/>
          <w:lang w:val="hy-AM"/>
        </w:rPr>
      </w:pPr>
    </w:p>
    <w:p w14:paraId="02033EED" w14:textId="77777777" w:rsidR="00080175" w:rsidRDefault="00080175" w:rsidP="00C30825">
      <w:pPr>
        <w:pStyle w:val="Heading1"/>
        <w:tabs>
          <w:tab w:val="left" w:pos="0"/>
        </w:tabs>
        <w:spacing w:before="120" w:after="0" w:line="276" w:lineRule="auto"/>
        <w:rPr>
          <w:sz w:val="28"/>
          <w:lang w:val="hy-AM"/>
        </w:rPr>
      </w:pPr>
    </w:p>
    <w:p w14:paraId="5191CD3C" w14:textId="77777777" w:rsidR="00080175" w:rsidRDefault="00080175" w:rsidP="00C30825">
      <w:pPr>
        <w:pStyle w:val="Heading1"/>
        <w:tabs>
          <w:tab w:val="left" w:pos="0"/>
        </w:tabs>
        <w:spacing w:before="120" w:after="0" w:line="276" w:lineRule="auto"/>
        <w:rPr>
          <w:sz w:val="28"/>
          <w:lang w:val="hy-AM"/>
        </w:rPr>
      </w:pPr>
    </w:p>
    <w:p w14:paraId="617B470C" w14:textId="77777777" w:rsidR="00080175" w:rsidRDefault="00080175" w:rsidP="00C30825">
      <w:pPr>
        <w:pStyle w:val="Heading1"/>
        <w:tabs>
          <w:tab w:val="left" w:pos="0"/>
        </w:tabs>
        <w:spacing w:before="120" w:after="0" w:line="276" w:lineRule="auto"/>
        <w:rPr>
          <w:sz w:val="28"/>
          <w:lang w:val="hy-AM"/>
        </w:rPr>
      </w:pPr>
    </w:p>
    <w:p w14:paraId="51617671" w14:textId="77777777" w:rsidR="00080175" w:rsidRDefault="00080175" w:rsidP="00C30825">
      <w:pPr>
        <w:pStyle w:val="Heading1"/>
        <w:tabs>
          <w:tab w:val="left" w:pos="0"/>
        </w:tabs>
        <w:spacing w:before="120" w:after="0" w:line="276" w:lineRule="auto"/>
        <w:rPr>
          <w:sz w:val="28"/>
          <w:lang w:val="hy-AM"/>
        </w:rPr>
      </w:pPr>
    </w:p>
    <w:p w14:paraId="2309BA26" w14:textId="77777777" w:rsidR="00080175" w:rsidRDefault="00080175" w:rsidP="00C30825">
      <w:pPr>
        <w:pStyle w:val="Heading1"/>
        <w:tabs>
          <w:tab w:val="left" w:pos="0"/>
        </w:tabs>
        <w:spacing w:before="120" w:after="0" w:line="276" w:lineRule="auto"/>
        <w:rPr>
          <w:sz w:val="28"/>
          <w:lang w:val="hy-AM"/>
        </w:rPr>
      </w:pPr>
    </w:p>
    <w:p w14:paraId="47370943" w14:textId="77777777" w:rsidR="00080175" w:rsidRDefault="00080175" w:rsidP="00C30825">
      <w:pPr>
        <w:pStyle w:val="Heading1"/>
        <w:tabs>
          <w:tab w:val="left" w:pos="0"/>
        </w:tabs>
        <w:spacing w:before="120" w:after="0" w:line="276" w:lineRule="auto"/>
        <w:rPr>
          <w:sz w:val="28"/>
          <w:lang w:val="hy-AM"/>
        </w:rPr>
      </w:pPr>
    </w:p>
    <w:p w14:paraId="256B37CB" w14:textId="77777777" w:rsidR="00080175" w:rsidRDefault="00080175" w:rsidP="00C30825">
      <w:pPr>
        <w:pStyle w:val="Heading1"/>
        <w:tabs>
          <w:tab w:val="left" w:pos="0"/>
        </w:tabs>
        <w:spacing w:before="120" w:after="0" w:line="276" w:lineRule="auto"/>
        <w:rPr>
          <w:sz w:val="28"/>
          <w:lang w:val="hy-AM"/>
        </w:rPr>
      </w:pPr>
    </w:p>
    <w:p w14:paraId="1D48222B" w14:textId="77777777" w:rsidR="00080175" w:rsidRDefault="00080175" w:rsidP="00C30825">
      <w:pPr>
        <w:pStyle w:val="Heading1"/>
        <w:tabs>
          <w:tab w:val="left" w:pos="0"/>
        </w:tabs>
        <w:spacing w:before="120" w:after="0" w:line="276" w:lineRule="auto"/>
        <w:rPr>
          <w:sz w:val="28"/>
          <w:lang w:val="hy-AM"/>
        </w:rPr>
      </w:pPr>
    </w:p>
    <w:p w14:paraId="735380AB" w14:textId="77777777" w:rsidR="00B33D19" w:rsidRDefault="00B33D19" w:rsidP="00C30825">
      <w:pPr>
        <w:spacing w:before="120" w:after="0" w:line="276" w:lineRule="auto"/>
        <w:ind w:firstLine="0"/>
        <w:jc w:val="left"/>
        <w:rPr>
          <w:rFonts w:eastAsiaTheme="majorEastAsia" w:cstheme="majorBidi"/>
          <w:b/>
          <w:bCs/>
          <w:color w:val="44546A" w:themeColor="text2"/>
          <w:sz w:val="28"/>
          <w:szCs w:val="28"/>
          <w:lang w:val="hy-AM"/>
        </w:rPr>
      </w:pPr>
      <w:r>
        <w:rPr>
          <w:sz w:val="28"/>
          <w:lang w:val="hy-AM"/>
        </w:rPr>
        <w:br w:type="page"/>
      </w:r>
    </w:p>
    <w:p w14:paraId="657C1109" w14:textId="77777777" w:rsidR="00080175" w:rsidRDefault="00080175" w:rsidP="00C30825">
      <w:pPr>
        <w:pStyle w:val="Heading1"/>
        <w:tabs>
          <w:tab w:val="left" w:pos="0"/>
        </w:tabs>
        <w:spacing w:before="120" w:after="0" w:line="276" w:lineRule="auto"/>
        <w:rPr>
          <w:sz w:val="28"/>
          <w:lang w:val="hy-AM"/>
        </w:rPr>
      </w:pPr>
    </w:p>
    <w:p w14:paraId="63A67C48" w14:textId="77777777" w:rsidR="00B33D19" w:rsidRDefault="00B33D19" w:rsidP="00C30825">
      <w:pPr>
        <w:spacing w:before="120" w:after="0" w:line="276" w:lineRule="auto"/>
        <w:rPr>
          <w:lang w:val="hy-AM"/>
        </w:rPr>
      </w:pPr>
    </w:p>
    <w:p w14:paraId="04FAB339" w14:textId="77777777" w:rsidR="00B33D19" w:rsidRDefault="00B33D19" w:rsidP="00C30825">
      <w:pPr>
        <w:spacing w:before="120" w:after="0" w:line="276" w:lineRule="auto"/>
        <w:rPr>
          <w:lang w:val="hy-AM"/>
        </w:rPr>
      </w:pPr>
    </w:p>
    <w:p w14:paraId="20BA35C0" w14:textId="77777777" w:rsidR="00B33D19" w:rsidRDefault="00B33D19" w:rsidP="00C30825">
      <w:pPr>
        <w:spacing w:before="120" w:after="0" w:line="276" w:lineRule="auto"/>
        <w:rPr>
          <w:lang w:val="hy-AM"/>
        </w:rPr>
      </w:pPr>
    </w:p>
    <w:p w14:paraId="22ACC864" w14:textId="77777777" w:rsidR="00B33D19" w:rsidRPr="00B33D19" w:rsidRDefault="00B33D19" w:rsidP="00C30825">
      <w:pPr>
        <w:spacing w:before="120" w:after="0" w:line="276" w:lineRule="auto"/>
        <w:rPr>
          <w:lang w:val="hy-AM"/>
        </w:rPr>
      </w:pPr>
    </w:p>
    <w:p w14:paraId="59905C4C" w14:textId="77777777" w:rsidR="00080175" w:rsidRDefault="00080175" w:rsidP="00C30825">
      <w:pPr>
        <w:pStyle w:val="Heading1"/>
        <w:tabs>
          <w:tab w:val="left" w:pos="0"/>
        </w:tabs>
        <w:spacing w:before="120" w:after="0" w:line="276" w:lineRule="auto"/>
        <w:rPr>
          <w:sz w:val="28"/>
          <w:lang w:val="hy-AM"/>
        </w:rPr>
      </w:pPr>
    </w:p>
    <w:p w14:paraId="1231C3C0" w14:textId="77777777" w:rsidR="00080175" w:rsidRDefault="00080175" w:rsidP="00C30825">
      <w:pPr>
        <w:pStyle w:val="Heading1"/>
        <w:tabs>
          <w:tab w:val="left" w:pos="0"/>
        </w:tabs>
        <w:spacing w:before="120" w:after="0" w:line="276" w:lineRule="auto"/>
        <w:rPr>
          <w:sz w:val="28"/>
          <w:lang w:val="hy-AM"/>
        </w:rPr>
      </w:pPr>
    </w:p>
    <w:p w14:paraId="1A2F650F" w14:textId="77777777" w:rsidR="00080175" w:rsidRDefault="00080175" w:rsidP="00C30825">
      <w:pPr>
        <w:pStyle w:val="Heading1"/>
        <w:tabs>
          <w:tab w:val="left" w:pos="0"/>
        </w:tabs>
        <w:spacing w:before="120" w:after="0" w:line="276" w:lineRule="auto"/>
        <w:rPr>
          <w:sz w:val="28"/>
          <w:lang w:val="hy-AM"/>
        </w:rPr>
      </w:pPr>
    </w:p>
    <w:p w14:paraId="2744AECB" w14:textId="77777777" w:rsidR="00080175" w:rsidRDefault="00080175" w:rsidP="00C30825">
      <w:pPr>
        <w:pStyle w:val="Heading1"/>
        <w:tabs>
          <w:tab w:val="left" w:pos="0"/>
        </w:tabs>
        <w:spacing w:before="120" w:after="0" w:line="276" w:lineRule="auto"/>
        <w:rPr>
          <w:sz w:val="28"/>
          <w:lang w:val="hy-AM"/>
        </w:rPr>
      </w:pPr>
    </w:p>
    <w:p w14:paraId="10F25A05" w14:textId="77777777" w:rsidR="00080175" w:rsidRDefault="00080175" w:rsidP="00C30825">
      <w:pPr>
        <w:pStyle w:val="Heading1"/>
        <w:tabs>
          <w:tab w:val="left" w:pos="0"/>
        </w:tabs>
        <w:spacing w:before="120" w:after="0" w:line="276" w:lineRule="auto"/>
        <w:rPr>
          <w:sz w:val="28"/>
          <w:lang w:val="hy-AM"/>
        </w:rPr>
      </w:pPr>
    </w:p>
    <w:p w14:paraId="3C74351A" w14:textId="77777777" w:rsidR="00080175" w:rsidRPr="00A9024E" w:rsidRDefault="00080175" w:rsidP="00C30825">
      <w:pPr>
        <w:pStyle w:val="Heading1"/>
        <w:tabs>
          <w:tab w:val="left" w:pos="0"/>
        </w:tabs>
        <w:spacing w:before="120" w:after="0" w:line="276" w:lineRule="auto"/>
        <w:jc w:val="center"/>
        <w:rPr>
          <w:sz w:val="28"/>
          <w:lang w:val="hy-AM"/>
        </w:rPr>
      </w:pPr>
      <w:bookmarkStart w:id="248" w:name="_Toc170926359"/>
      <w:r w:rsidRPr="009616FB">
        <w:rPr>
          <w:sz w:val="28"/>
          <w:lang w:val="hy-AM"/>
        </w:rPr>
        <w:t>ՎԵՐԼՈՒԾՈՒԹՅՈՒՆՆԵՐ</w:t>
      </w:r>
      <w:bookmarkEnd w:id="247"/>
      <w:bookmarkEnd w:id="248"/>
    </w:p>
    <w:p w14:paraId="512604A1"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3A8C7AB1"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3A4BA8D9"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039970CA"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3088B4B3"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0788FD2A"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2D64E856" w14:textId="77777777" w:rsidR="00080175" w:rsidRDefault="00080175" w:rsidP="00C30825">
      <w:pPr>
        <w:keepNext/>
        <w:tabs>
          <w:tab w:val="left" w:pos="0"/>
        </w:tabs>
        <w:spacing w:before="120" w:after="0" w:line="276" w:lineRule="auto"/>
        <w:ind w:firstLine="0"/>
        <w:outlineLvl w:val="0"/>
        <w:rPr>
          <w:b/>
          <w:bCs/>
          <w:spacing w:val="40"/>
          <w:kern w:val="32"/>
          <w:lang w:val="es-ES"/>
        </w:rPr>
      </w:pPr>
    </w:p>
    <w:p w14:paraId="1331E7F0" w14:textId="77777777" w:rsidR="00080175" w:rsidRDefault="00080175" w:rsidP="00C30825">
      <w:pPr>
        <w:keepNext/>
        <w:tabs>
          <w:tab w:val="left" w:pos="0"/>
        </w:tabs>
        <w:spacing w:before="120" w:after="0" w:line="276" w:lineRule="auto"/>
        <w:ind w:firstLine="0"/>
        <w:outlineLvl w:val="0"/>
        <w:rPr>
          <w:b/>
          <w:bCs/>
          <w:spacing w:val="40"/>
          <w:kern w:val="32"/>
          <w:lang w:val="hy-AM"/>
        </w:rPr>
      </w:pPr>
      <w:r>
        <w:rPr>
          <w:b/>
          <w:bCs/>
          <w:spacing w:val="40"/>
          <w:kern w:val="32"/>
          <w:lang w:val="es-ES"/>
        </w:rPr>
        <w:br w:type="page"/>
      </w:r>
    </w:p>
    <w:p w14:paraId="0A55DCB6" w14:textId="65B415C8" w:rsidR="00080175" w:rsidRDefault="00080175" w:rsidP="009616FB">
      <w:pPr>
        <w:keepNext/>
        <w:keepLines/>
        <w:tabs>
          <w:tab w:val="left" w:pos="0"/>
        </w:tabs>
        <w:spacing w:before="120" w:after="0" w:line="276" w:lineRule="auto"/>
        <w:ind w:firstLine="0"/>
        <w:contextualSpacing/>
        <w:jc w:val="left"/>
        <w:outlineLvl w:val="2"/>
        <w:rPr>
          <w:rFonts w:eastAsia="Times New Roman" w:cs="Times New Roman"/>
          <w:b/>
          <w:color w:val="44546A" w:themeColor="text2"/>
          <w:sz w:val="24"/>
          <w:szCs w:val="24"/>
          <w:lang w:val="hy-AM"/>
        </w:rPr>
      </w:pPr>
      <w:bookmarkStart w:id="249" w:name="_Toc45838557"/>
      <w:bookmarkStart w:id="250" w:name="_Toc45898777"/>
      <w:bookmarkStart w:id="251" w:name="_Toc170926360"/>
      <w:bookmarkStart w:id="252" w:name="_Toc45838558"/>
      <w:bookmarkEnd w:id="147"/>
      <w:bookmarkEnd w:id="148"/>
      <w:bookmarkEnd w:id="149"/>
      <w:r w:rsidRPr="00AA20B5">
        <w:rPr>
          <w:rFonts w:eastAsia="Times New Roman" w:cs="Times New Roman"/>
          <w:b/>
          <w:color w:val="44546A" w:themeColor="text2"/>
          <w:sz w:val="24"/>
          <w:szCs w:val="24"/>
          <w:lang w:val="hy-AM"/>
        </w:rPr>
        <w:lastRenderedPageBreak/>
        <w:t xml:space="preserve">1. </w:t>
      </w:r>
      <w:bookmarkEnd w:id="249"/>
      <w:bookmarkEnd w:id="250"/>
      <w:r w:rsidR="007C4132">
        <w:rPr>
          <w:rFonts w:eastAsia="Times New Roman" w:cs="Times New Roman"/>
          <w:b/>
          <w:color w:val="44546A" w:themeColor="text2"/>
          <w:sz w:val="24"/>
          <w:szCs w:val="24"/>
          <w:lang w:val="hy-AM"/>
        </w:rPr>
        <w:t>ՀՀ ԿԱՌԱՎԱՐՈՒԹՅԱՆ ՊԱՐՏՔԻ ԿԱՌԱՎԱՐՄԱՆ 2024-2026 ԹՎԱԿԱՆՆԵՐԻ ՌԱԶՄԱՎԱՐՈՒԹՅՈՒՆ</w:t>
      </w:r>
      <w:bookmarkEnd w:id="251"/>
    </w:p>
    <w:p w14:paraId="071180D5" w14:textId="782147CE" w:rsidR="007C4132" w:rsidRDefault="007C4132" w:rsidP="009616FB">
      <w:pPr>
        <w:keepNext/>
        <w:keepLines/>
        <w:tabs>
          <w:tab w:val="left" w:pos="0"/>
        </w:tabs>
        <w:spacing w:before="120" w:after="0" w:line="276" w:lineRule="auto"/>
        <w:ind w:firstLine="0"/>
        <w:contextualSpacing/>
        <w:jc w:val="left"/>
        <w:outlineLvl w:val="2"/>
        <w:rPr>
          <w:rFonts w:eastAsia="Times New Roman" w:cs="Times Unicode"/>
          <w:lang w:val="hy-AM"/>
        </w:rPr>
      </w:pPr>
    </w:p>
    <w:p w14:paraId="6ECA6BFD" w14:textId="77777777" w:rsidR="007C4132" w:rsidRPr="007C4132" w:rsidRDefault="007C4132" w:rsidP="007C4132">
      <w:pPr>
        <w:pStyle w:val="Heading1"/>
        <w:ind w:left="357"/>
        <w:rPr>
          <w:sz w:val="24"/>
          <w:szCs w:val="24"/>
          <w:lang w:val="hy-AM"/>
        </w:rPr>
      </w:pPr>
      <w:bookmarkStart w:id="253" w:name="_Toc138950995"/>
      <w:bookmarkStart w:id="254" w:name="_Toc170926361"/>
      <w:r w:rsidRPr="007C4132">
        <w:rPr>
          <w:sz w:val="24"/>
          <w:szCs w:val="24"/>
          <w:lang w:val="hy-AM"/>
        </w:rPr>
        <w:t>Ներածություն</w:t>
      </w:r>
      <w:bookmarkEnd w:id="253"/>
      <w:bookmarkEnd w:id="254"/>
    </w:p>
    <w:p w14:paraId="669DBD6C"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կառավարման ռազմավարությունը ներկայացնում է ՀՀ պետական բյուջեի պակասուրդի ֆինանսավորման և պարտքի վերաֆինանսավորման  համար անհրա</w:t>
      </w:r>
      <w:r w:rsidRPr="007C4132">
        <w:rPr>
          <w:lang w:val="hy-AM"/>
        </w:rPr>
        <w:softHyphen/>
        <w:t>ժեշտ փոխառու միջոցների ներգրավման, ինչպես նաև ՀՀ կառավարության պարտքի պորտֆելի ծախսերի և ռիսկերի կառավարման ռազմավարությունը: Այն եռամյա ծրագիր է, որը վերանայվում և հրապարակվում է տարեկան պարբերականությամբ՝ նպաստելով կառավարության պարտքի կանխատեսելի և թափանցիկ կառավարման ապահովմանը:</w:t>
      </w:r>
    </w:p>
    <w:p w14:paraId="4C78C375"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կառավարման ռազմավարությունը պարզաբանում է պարտք ներգրավելու քաղաքականությունը՝ ներառելով կառավարության պարտքի կառավարման ուղենշային ցուցանիշ</w:t>
      </w:r>
      <w:r w:rsidRPr="007C4132">
        <w:rPr>
          <w:lang w:val="hy-AM"/>
        </w:rPr>
        <w:softHyphen/>
        <w:t>ները, բացահայտում և գնահատում է կառավարության պարտ</w:t>
      </w:r>
      <w:r w:rsidRPr="007C4132">
        <w:rPr>
          <w:lang w:val="hy-AM"/>
        </w:rPr>
        <w:softHyphen/>
        <w:t>քի պորտֆելի կառավարման հետ կապված ռիսկերը, ինչպես նաև նախանշում է միջնաժամկետ հատվածում պարտքային քաղաքականության սկզբունքները, նպատակադրումներն ու իրականացվելիք միջոցառումները:</w:t>
      </w:r>
    </w:p>
    <w:p w14:paraId="4FEF3692" w14:textId="77777777" w:rsidR="007C4132" w:rsidRPr="007C4132" w:rsidRDefault="007C4132" w:rsidP="00746426">
      <w:pPr>
        <w:spacing w:before="120" w:after="0" w:line="276" w:lineRule="auto"/>
        <w:ind w:firstLine="0"/>
        <w:rPr>
          <w:lang w:val="hy-AM"/>
        </w:rPr>
      </w:pPr>
      <w:r w:rsidRPr="007C4132">
        <w:rPr>
          <w:lang w:val="hy-AM"/>
        </w:rPr>
        <w:t xml:space="preserve">ՀՀ կառավարության պարտքի կառավարման ռազմավարությունը մշակվում է Պետական միջնաժամկետ ծախսերի ծրագրով նախանշված հարկաբյուջետային քաղաքականության հիմնական նպատակադրումների ներքո, որոնք ենթադրում են, որ պետական բյուջեն միջնաժամկետ հորիզոնում շարունակելու է ձևավորվել պակասուրդով, սակայն վերջինս, հարկաբյուջետային կանոնների ներքո, ծրագրավորվում է այնպիսի մակարդակում, որ երաշխավորի կառավարության պարտքի կայունությունն ու կառավարելիությունը։ </w:t>
      </w:r>
    </w:p>
    <w:p w14:paraId="270D5B6D"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ընդունելի պորտֆելի ձևավորման նպատակով ՀՀ ֆինանսների նախարարության կողմից իրականացվում են ծախսերի և ռիսկերի վերլուծություններ՝ կիրառելով նաև միջազգային լավագույն փորձի հիման վրա հեղինակավոր միջազգային ֆինանսական կառույցների կողմից մշակված մոտեցումները: Վերլուծությունները հնարավորություն են ընձեռում գնահատել ՀՀ կառավարության պարտքի պորտֆելի ծախսերի ու ռիսկերի ցուցանիշները և դրանց վրա հնարավոր շոկերի ազդեցությունները: ՀՀ կառավարության պարտքի կառավարման ռազմավարությունում ներկայացվում և վերլուծվում են ՀՀ կառավարության պարտքի պորտֆելի շուկայական՝ փոխարժեքի և տոկոսադրույքի ռիսկերը, ինչպես նաև վերաֆինանսա</w:t>
      </w:r>
      <w:r w:rsidRPr="007C4132">
        <w:rPr>
          <w:lang w:val="hy-AM"/>
        </w:rPr>
        <w:softHyphen/>
        <w:t>վորման ռիսկը:</w:t>
      </w:r>
      <w:r w:rsidRPr="007C4132">
        <w:rPr>
          <w:color w:val="FF0000"/>
          <w:lang w:val="hy-AM"/>
        </w:rPr>
        <w:t xml:space="preserve"> </w:t>
      </w:r>
      <w:r w:rsidRPr="007C4132">
        <w:rPr>
          <w:lang w:val="hy-AM"/>
        </w:rPr>
        <w:t>Ռազմավարությունը կազմելիս հաշվի են առնվել նաև ՀՀ կառավարության պարտքի կառավարման այնպիսի սահմանափակումներ, ինչպիսիք են ներքին շուկայի կարողությունը կամ արտաքին վարկերից օգտվելու հնարավորությունները:</w:t>
      </w:r>
    </w:p>
    <w:p w14:paraId="46793D03" w14:textId="77777777" w:rsidR="007C4132" w:rsidRPr="007C4132" w:rsidRDefault="007C4132" w:rsidP="00746426">
      <w:pPr>
        <w:spacing w:before="120" w:after="0" w:line="276" w:lineRule="auto"/>
        <w:ind w:firstLine="0"/>
        <w:rPr>
          <w:lang w:val="hy-AM"/>
        </w:rPr>
      </w:pPr>
      <w:r w:rsidRPr="007C4132">
        <w:rPr>
          <w:lang w:val="hy-AM"/>
        </w:rPr>
        <w:t xml:space="preserve">Ընդհանուր առմամբ, ՀՀ կառավարության պարտքի կառավարման ռազմավարությունը ներկայացնում է ծախսերի և ռիսկերի համադրման հնարավոր տարբերակներից նախընտրելին, որի ընտրության հիմքում ընկած է ընդունելի ծախսերով և ռիսկերով ֆինանսական կարիքի բավարարումը: </w:t>
      </w:r>
    </w:p>
    <w:p w14:paraId="66F8FFEF" w14:textId="26F1A6BF" w:rsidR="007C4132" w:rsidRPr="00A71282" w:rsidRDefault="00DA0D02" w:rsidP="00A71282">
      <w:pPr>
        <w:tabs>
          <w:tab w:val="left" w:pos="0"/>
        </w:tabs>
        <w:spacing w:before="120" w:after="0" w:line="276" w:lineRule="auto"/>
        <w:ind w:firstLine="0"/>
        <w:rPr>
          <w:b/>
          <w:color w:val="44546A" w:themeColor="text2"/>
          <w:sz w:val="24"/>
          <w:szCs w:val="24"/>
          <w:lang w:val="hy-AM" w:eastAsia="ru-RU"/>
        </w:rPr>
      </w:pPr>
      <w:bookmarkStart w:id="255" w:name="_Toc138950996"/>
      <w:r w:rsidRPr="00A71282">
        <w:rPr>
          <w:b/>
          <w:color w:val="44546A" w:themeColor="text2"/>
          <w:sz w:val="24"/>
          <w:szCs w:val="24"/>
          <w:lang w:val="hy-AM" w:eastAsia="ru-RU"/>
        </w:rPr>
        <w:t xml:space="preserve">1.1. </w:t>
      </w:r>
      <w:r w:rsidR="007C4132" w:rsidRPr="00A71282">
        <w:rPr>
          <w:b/>
          <w:color w:val="44546A" w:themeColor="text2"/>
          <w:sz w:val="24"/>
          <w:szCs w:val="24"/>
          <w:lang w:val="hy-AM" w:eastAsia="ru-RU"/>
        </w:rPr>
        <w:t>ՀՀ կառավարության պարտքի կառավարման ռազմավարության նպատակները և ընդգրկման շրջանակը</w:t>
      </w:r>
      <w:bookmarkEnd w:id="255"/>
    </w:p>
    <w:p w14:paraId="797F5C1F" w14:textId="77777777" w:rsidR="007C4132" w:rsidRPr="007C4132" w:rsidRDefault="007C4132" w:rsidP="00746426">
      <w:pPr>
        <w:spacing w:before="120" w:after="0" w:line="276" w:lineRule="auto"/>
        <w:ind w:firstLine="0"/>
        <w:rPr>
          <w:lang w:val="hy-AM"/>
        </w:rPr>
      </w:pPr>
      <w:r w:rsidRPr="007C4132">
        <w:rPr>
          <w:lang w:val="hy-AM"/>
        </w:rPr>
        <w:lastRenderedPageBreak/>
        <w:t xml:space="preserve">ՀՀ կառավարության պարտքի կառավարման ռազմավարությունը մշակվում է 2008 թվականին ընդունված «Պետական պարտքի մասին» Հայաստանի Հանրապետության օրենքի դրույթներին համապատասխան: </w:t>
      </w:r>
    </w:p>
    <w:p w14:paraId="25FE0B79" w14:textId="77777777" w:rsidR="007C4132" w:rsidRPr="007C4132" w:rsidDel="0018173E" w:rsidRDefault="007C4132" w:rsidP="00746426">
      <w:pPr>
        <w:spacing w:before="120" w:after="0" w:line="276" w:lineRule="auto"/>
        <w:ind w:firstLine="0"/>
        <w:rPr>
          <w:lang w:val="hy-AM"/>
        </w:rPr>
      </w:pPr>
      <w:r w:rsidRPr="007C4132">
        <w:rPr>
          <w:lang w:val="hy-AM"/>
        </w:rPr>
        <w:t>«Պետական պարտքի մասին» ՀՀ օրենքի համաձայն, ՀՀ կառավարության պարտքի կառավարման հիմնական նպատակը կառա</w:t>
      </w:r>
      <w:r w:rsidRPr="007C4132">
        <w:rPr>
          <w:lang w:val="hy-AM"/>
        </w:rPr>
        <w:softHyphen/>
        <w:t>վարու</w:t>
      </w:r>
      <w:r w:rsidRPr="007C4132">
        <w:rPr>
          <w:lang w:val="hy-AM"/>
        </w:rPr>
        <w:softHyphen/>
        <w:t>թյան ֆինանսական կարիքի բավարարման մշտական հնարավորության ապահովումն է` երկարաժամ</w:t>
      </w:r>
      <w:r w:rsidRPr="007C4132">
        <w:rPr>
          <w:lang w:val="hy-AM"/>
        </w:rPr>
        <w:softHyphen/>
        <w:t xml:space="preserve">կետ հատվածում նվազեցնելով պարտքի սպասարկման մեծությունը։ ՀՀ կառավարության պարտքի կառավարման նպատակներից է նաև կառավարության պարտքի օպտիմալ կառուցվածքի ձևավորումը՝ հաշվի առնելով պոտենցիալ ռիսկերը: Այլ կերպ ասած, </w:t>
      </w:r>
      <w:r w:rsidRPr="007C4132">
        <w:rPr>
          <w:rFonts w:cs="Calibri"/>
          <w:lang w:val="hy-AM"/>
        </w:rPr>
        <w:t>Կառավարության պարտքի կառավարման հիմնական նպատակն է միջնաժամկետ և երկարաժամկետ հատվածում ապահովել կառավարության ֆինանսական կարիքների բավարարման մշտական հնարավորությունը և վճարային պարտավորությունների կատարումը՝ հնարավոր նվազագույն ծախսերով և պարտքի պորտֆելի ռիսկերի խելամիտ մակարդակի պայմաններում։</w:t>
      </w:r>
    </w:p>
    <w:p w14:paraId="1E0ADE53" w14:textId="77777777" w:rsidR="007C4132" w:rsidRPr="007C4132" w:rsidRDefault="007C4132" w:rsidP="00746426">
      <w:pPr>
        <w:spacing w:before="120" w:after="0" w:line="276" w:lineRule="auto"/>
        <w:ind w:firstLine="0"/>
        <w:rPr>
          <w:lang w:val="hy-AM"/>
        </w:rPr>
      </w:pPr>
      <w:r w:rsidRPr="007C4132">
        <w:rPr>
          <w:lang w:val="hy-AM"/>
        </w:rPr>
        <w:t>«Պետական պարտքի մասին» ՀՀ օրենքով սահմանվել են նաև պետական պարտքի ներգրավման նպատակները՝ պետական բյուջեի դեֆիցիտի ֆինանսավորումը և ընթացիկ իրացվելիության ապահովումը, ներքին պետական պարտքի շուկայի պահպանումը և զարգացումը:</w:t>
      </w:r>
    </w:p>
    <w:p w14:paraId="21FFE6ED"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կառավարման ռազմավարությունն ընդգրկում է միայն ՀՀ կառավարության պարտքը. կատարված վերլուծությունները չեն ներառում ՀՀ կենտրոնական բանկի արտաքին պարտքը: Վերջինս ստանձնվում է ՀՀ կենտրոնական բանկի անունից և կողմից: «Պետական պարտքի մասին» ՀՀ օրենքի համաձայն Կենտրոնական բանկի պարտքի կառավարման նպատակները սահմանվում են «ՀՀ կենտրոնական բանկի մասին» ՀՀ օրենքով:</w:t>
      </w:r>
    </w:p>
    <w:p w14:paraId="714AE497" w14:textId="77777777" w:rsidR="007C4132" w:rsidRPr="007C4132" w:rsidRDefault="007C4132" w:rsidP="007C4132">
      <w:pPr>
        <w:ind w:firstLine="0"/>
        <w:rPr>
          <w:lang w:val="hy-AM"/>
        </w:rPr>
      </w:pPr>
    </w:p>
    <w:p w14:paraId="61307488" w14:textId="1F96BCD0" w:rsidR="007C4132" w:rsidRPr="00A71282" w:rsidRDefault="007C4132" w:rsidP="00A71282">
      <w:pPr>
        <w:tabs>
          <w:tab w:val="left" w:pos="0"/>
        </w:tabs>
        <w:spacing w:before="120" w:after="0" w:line="276" w:lineRule="auto"/>
        <w:ind w:firstLine="0"/>
        <w:rPr>
          <w:b/>
          <w:color w:val="44546A" w:themeColor="text2"/>
          <w:sz w:val="24"/>
          <w:szCs w:val="24"/>
          <w:lang w:val="hy-AM" w:eastAsia="ru-RU"/>
        </w:rPr>
      </w:pPr>
      <w:r w:rsidRPr="007C4132">
        <w:rPr>
          <w:lang w:val="hy-AM"/>
        </w:rPr>
        <w:br w:type="page"/>
      </w:r>
      <w:bookmarkStart w:id="256" w:name="_Toc138950997"/>
      <w:r w:rsidR="00DA0D02" w:rsidRPr="00A71282">
        <w:rPr>
          <w:b/>
          <w:color w:val="44546A" w:themeColor="text2"/>
          <w:sz w:val="24"/>
          <w:szCs w:val="24"/>
          <w:lang w:val="hy-AM" w:eastAsia="ru-RU"/>
        </w:rPr>
        <w:lastRenderedPageBreak/>
        <w:t xml:space="preserve">1.2. </w:t>
      </w:r>
      <w:r w:rsidRPr="00A71282">
        <w:rPr>
          <w:b/>
          <w:color w:val="44546A" w:themeColor="text2"/>
          <w:sz w:val="24"/>
          <w:szCs w:val="24"/>
          <w:lang w:val="hy-AM" w:eastAsia="ru-RU"/>
        </w:rPr>
        <w:t>ՀՀ կառավարության պարտքի կառավարման ոլորտում 2023 թվականի տարեսկզբից արձանագրված զարգացումները</w:t>
      </w:r>
      <w:bookmarkEnd w:id="256"/>
    </w:p>
    <w:p w14:paraId="1AF37307" w14:textId="77777777" w:rsidR="007C4132" w:rsidRPr="007C4132" w:rsidRDefault="007C4132" w:rsidP="00746426">
      <w:pPr>
        <w:spacing w:before="120" w:after="0" w:line="276" w:lineRule="auto"/>
        <w:ind w:firstLine="0"/>
        <w:rPr>
          <w:lang w:val="hy-AM"/>
        </w:rPr>
      </w:pPr>
      <w:r w:rsidRPr="007C4132">
        <w:rPr>
          <w:lang w:val="hy-AM"/>
        </w:rPr>
        <w:t>2023 թվականի տարե</w:t>
      </w:r>
      <w:r w:rsidRPr="007C4132">
        <w:rPr>
          <w:lang w:val="hy-AM"/>
        </w:rPr>
        <w:softHyphen/>
        <w:t>վերջին «ՀՀ կառավարության պարտք/ՀՆԱ» ցուցանիշը կազմել է 48.1%, որը պակաս է ծրագրային ցուցանիշից 1.8 տոկոսային կետով: Վերջինս պայմանավորված է ինչպես ՀՀ կառավարության պարտքի՝ ծրագրային մակարդակից 1.6%-ով պակաս կազմելու, այնպես էլ անվանական ՀՆԱ-ի փաստացի և ծրագրային ցուցանիշների միջև դրական տարբերությամբ:</w:t>
      </w:r>
    </w:p>
    <w:p w14:paraId="0890A36C" w14:textId="77777777" w:rsidR="007C4132" w:rsidRPr="007C4132" w:rsidRDefault="007C4132" w:rsidP="00746426">
      <w:pPr>
        <w:spacing w:before="120" w:after="0" w:line="276" w:lineRule="auto"/>
        <w:ind w:firstLine="0"/>
        <w:rPr>
          <w:color w:val="FF0000"/>
          <w:lang w:val="hy-AM"/>
        </w:rPr>
      </w:pPr>
      <w:r w:rsidRPr="007C4132">
        <w:rPr>
          <w:lang w:val="hy-AM"/>
        </w:rPr>
        <w:t>Ինչպես 2022 թվականի տարե</w:t>
      </w:r>
      <w:r w:rsidRPr="007C4132">
        <w:rPr>
          <w:lang w:val="hy-AM"/>
        </w:rPr>
        <w:softHyphen/>
        <w:t>վերջին, «ՀՀ կառավարության պարտք/ՀՆԱ» ցուցանիշը ցածր է հարկաբյուջետային կանոններով սահմանված 50% շեմային մակարդակից և գտնվում է 40% շեմային մակարդակը գերազանցելու ծախսային սահմանափակումների կամ կանոնների համակարգի ավելի մեղմ տիրույթում:</w:t>
      </w:r>
    </w:p>
    <w:p w14:paraId="2FDA0B7A" w14:textId="77777777" w:rsidR="007C4132" w:rsidRPr="007C4132" w:rsidRDefault="007C4132" w:rsidP="00746426">
      <w:pPr>
        <w:spacing w:before="120" w:after="0" w:line="276" w:lineRule="auto"/>
        <w:ind w:firstLine="0"/>
        <w:rPr>
          <w:lang w:val="hy-AM"/>
        </w:rPr>
      </w:pPr>
      <w:r w:rsidRPr="007C4132">
        <w:rPr>
          <w:lang w:val="hy-AM"/>
        </w:rPr>
        <w:t xml:space="preserve">2024-2026 թվականների ռազմավարությամբ սահմանված բոլոր ուղենշային ցուցանիշները 2023 թվականի փաստացի արդյունքներով գտնվել են նախանշված միջակայքերում: </w:t>
      </w:r>
    </w:p>
    <w:p w14:paraId="5AF7055C" w14:textId="77777777" w:rsidR="007C4132" w:rsidRPr="0070296A" w:rsidRDefault="007C4132" w:rsidP="007C4132">
      <w:pPr>
        <w:pStyle w:val="afd"/>
        <w:numPr>
          <w:ilvl w:val="0"/>
          <w:numId w:val="21"/>
        </w:numPr>
        <w:ind w:left="1276" w:hanging="1276"/>
      </w:pPr>
      <w:r w:rsidRPr="0070296A">
        <w:t xml:space="preserve">ՀՀ կառավարության պարտքի </w:t>
      </w:r>
      <w:r w:rsidRPr="00581010">
        <w:t>կառավարման 202</w:t>
      </w:r>
      <w:r>
        <w:t>4</w:t>
      </w:r>
      <w:r w:rsidRPr="00581010">
        <w:t>-202</w:t>
      </w:r>
      <w:r>
        <w:t>6</w:t>
      </w:r>
      <w:r w:rsidRPr="00581010">
        <w:t xml:space="preserve"> թվականների ռազմավարությամբ սահմանված ուղենշային ցուցանիշների կատարողականը 202</w:t>
      </w:r>
      <w:r>
        <w:t>3</w:t>
      </w:r>
      <w:r w:rsidRPr="00581010">
        <w:t xml:space="preserve"> թվականին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44"/>
        <w:gridCol w:w="2059"/>
        <w:gridCol w:w="2027"/>
      </w:tblGrid>
      <w:tr w:rsidR="007C4132" w:rsidRPr="0070296A" w14:paraId="172DAD8C" w14:textId="77777777" w:rsidTr="007C4132">
        <w:trPr>
          <w:tblHeader/>
          <w:jc w:val="center"/>
        </w:trPr>
        <w:tc>
          <w:tcPr>
            <w:tcW w:w="5893" w:type="dxa"/>
            <w:tcBorders>
              <w:top w:val="thinThickThinSmallGap" w:sz="24" w:space="0" w:color="auto"/>
              <w:left w:val="nil"/>
              <w:bottom w:val="thinThickSmallGap" w:sz="24" w:space="0" w:color="auto"/>
              <w:right w:val="nil"/>
            </w:tcBorders>
            <w:shd w:val="clear" w:color="auto" w:fill="BDD6EE" w:themeFill="accent1" w:themeFillTint="66"/>
          </w:tcPr>
          <w:p w14:paraId="5195838C" w14:textId="77777777" w:rsidR="007C4132" w:rsidRPr="007C4132" w:rsidRDefault="007C4132" w:rsidP="00013648">
            <w:pPr>
              <w:rPr>
                <w:lang w:val="hy-AM"/>
              </w:rPr>
            </w:pPr>
          </w:p>
        </w:tc>
        <w:tc>
          <w:tcPr>
            <w:tcW w:w="211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FE465A0" w14:textId="77777777" w:rsidR="007C4132" w:rsidRPr="0070296A" w:rsidRDefault="007C4132" w:rsidP="00013648">
            <w:pPr>
              <w:ind w:firstLine="0"/>
              <w:jc w:val="center"/>
            </w:pPr>
            <w:r w:rsidRPr="0070296A">
              <w:t>Ուղենիշ</w:t>
            </w:r>
          </w:p>
        </w:tc>
        <w:tc>
          <w:tcPr>
            <w:tcW w:w="212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81BAE2D" w14:textId="77777777" w:rsidR="007C4132" w:rsidRPr="0070296A" w:rsidRDefault="007C4132" w:rsidP="00013648">
            <w:pPr>
              <w:spacing w:line="240" w:lineRule="auto"/>
              <w:ind w:firstLine="0"/>
              <w:jc w:val="center"/>
            </w:pPr>
            <w:r w:rsidRPr="0070296A">
              <w:t>31.12.202</w:t>
            </w:r>
            <w:r>
              <w:t>3</w:t>
            </w:r>
          </w:p>
          <w:p w14:paraId="48F5C259" w14:textId="77777777" w:rsidR="007C4132" w:rsidRPr="0070296A" w:rsidRDefault="007C4132" w:rsidP="00013648">
            <w:pPr>
              <w:spacing w:line="240" w:lineRule="auto"/>
              <w:ind w:firstLine="0"/>
              <w:jc w:val="center"/>
            </w:pPr>
            <w:r w:rsidRPr="0070296A">
              <w:t>փաստացի</w:t>
            </w:r>
          </w:p>
        </w:tc>
      </w:tr>
      <w:tr w:rsidR="007C4132" w:rsidRPr="00E06CCC" w14:paraId="11D9CC4D" w14:textId="77777777" w:rsidTr="00013648">
        <w:trPr>
          <w:jc w:val="center"/>
        </w:trPr>
        <w:tc>
          <w:tcPr>
            <w:tcW w:w="5893" w:type="dxa"/>
            <w:tcBorders>
              <w:top w:val="thinThickSmallGap" w:sz="24" w:space="0" w:color="auto"/>
              <w:left w:val="nil"/>
              <w:right w:val="nil"/>
            </w:tcBorders>
          </w:tcPr>
          <w:p w14:paraId="4E6785D6" w14:textId="77777777" w:rsidR="007C4132" w:rsidRPr="007C4132" w:rsidRDefault="007C4132" w:rsidP="00013648">
            <w:pPr>
              <w:spacing w:line="240" w:lineRule="auto"/>
              <w:ind w:firstLine="559"/>
              <w:rPr>
                <w:b/>
                <w:sz w:val="20"/>
                <w:szCs w:val="20"/>
              </w:rPr>
            </w:pPr>
            <w:r w:rsidRPr="007C4132">
              <w:rPr>
                <w:b/>
                <w:sz w:val="20"/>
                <w:szCs w:val="20"/>
              </w:rPr>
              <w:t>Վերաֆինանսավորման ռիսկ</w:t>
            </w:r>
          </w:p>
        </w:tc>
        <w:tc>
          <w:tcPr>
            <w:tcW w:w="2115" w:type="dxa"/>
            <w:tcBorders>
              <w:top w:val="thinThickSmallGap" w:sz="24" w:space="0" w:color="auto"/>
              <w:left w:val="nil"/>
              <w:right w:val="nil"/>
            </w:tcBorders>
            <w:vAlign w:val="center"/>
          </w:tcPr>
          <w:p w14:paraId="7486427F" w14:textId="77777777" w:rsidR="007C4132" w:rsidRPr="007C4132" w:rsidRDefault="007C4132" w:rsidP="00013648">
            <w:pPr>
              <w:ind w:firstLine="0"/>
              <w:jc w:val="center"/>
              <w:rPr>
                <w:b/>
                <w:sz w:val="20"/>
                <w:szCs w:val="20"/>
              </w:rPr>
            </w:pPr>
          </w:p>
        </w:tc>
        <w:tc>
          <w:tcPr>
            <w:tcW w:w="2127" w:type="dxa"/>
            <w:tcBorders>
              <w:top w:val="thinThickSmallGap" w:sz="24" w:space="0" w:color="auto"/>
              <w:left w:val="nil"/>
              <w:right w:val="nil"/>
            </w:tcBorders>
            <w:vAlign w:val="center"/>
          </w:tcPr>
          <w:p w14:paraId="5DB20795" w14:textId="77777777" w:rsidR="007C4132" w:rsidRPr="007C4132" w:rsidRDefault="007C4132" w:rsidP="00013648">
            <w:pPr>
              <w:ind w:firstLine="0"/>
              <w:jc w:val="center"/>
              <w:rPr>
                <w:b/>
                <w:color w:val="FF0000"/>
                <w:sz w:val="20"/>
                <w:szCs w:val="20"/>
              </w:rPr>
            </w:pPr>
          </w:p>
        </w:tc>
      </w:tr>
      <w:tr w:rsidR="007C4132" w:rsidRPr="00E06CCC" w14:paraId="559C063D" w14:textId="77777777" w:rsidTr="00013648">
        <w:trPr>
          <w:jc w:val="center"/>
        </w:trPr>
        <w:tc>
          <w:tcPr>
            <w:tcW w:w="5893" w:type="dxa"/>
            <w:tcBorders>
              <w:left w:val="nil"/>
              <w:right w:val="nil"/>
            </w:tcBorders>
          </w:tcPr>
          <w:p w14:paraId="6B7F7266" w14:textId="77777777" w:rsidR="007C4132" w:rsidRPr="007C4132" w:rsidRDefault="007C4132" w:rsidP="00013648">
            <w:pPr>
              <w:spacing w:line="240" w:lineRule="auto"/>
              <w:ind w:firstLine="0"/>
              <w:rPr>
                <w:sz w:val="20"/>
                <w:szCs w:val="20"/>
              </w:rPr>
            </w:pPr>
            <w:r w:rsidRPr="007C4132">
              <w:rPr>
                <w:sz w:val="20"/>
                <w:szCs w:val="20"/>
              </w:rPr>
              <w:t xml:space="preserve">Մինչև մարում միջին ժամկետը </w:t>
            </w:r>
          </w:p>
        </w:tc>
        <w:tc>
          <w:tcPr>
            <w:tcW w:w="2115" w:type="dxa"/>
            <w:tcBorders>
              <w:left w:val="nil"/>
              <w:right w:val="nil"/>
            </w:tcBorders>
            <w:vAlign w:val="center"/>
          </w:tcPr>
          <w:p w14:paraId="13549763" w14:textId="77777777" w:rsidR="007C4132" w:rsidRPr="007C4132" w:rsidRDefault="007C4132" w:rsidP="00013648">
            <w:pPr>
              <w:ind w:firstLine="0"/>
              <w:jc w:val="center"/>
              <w:rPr>
                <w:sz w:val="20"/>
                <w:szCs w:val="20"/>
              </w:rPr>
            </w:pPr>
            <w:r w:rsidRPr="007C4132">
              <w:rPr>
                <w:sz w:val="20"/>
                <w:szCs w:val="20"/>
              </w:rPr>
              <w:t>7 – 10 տարի</w:t>
            </w:r>
          </w:p>
        </w:tc>
        <w:tc>
          <w:tcPr>
            <w:tcW w:w="2127" w:type="dxa"/>
            <w:tcBorders>
              <w:left w:val="nil"/>
              <w:right w:val="nil"/>
            </w:tcBorders>
            <w:vAlign w:val="center"/>
          </w:tcPr>
          <w:p w14:paraId="2F406CD5" w14:textId="77777777" w:rsidR="007C4132" w:rsidRPr="007C4132" w:rsidRDefault="007C4132" w:rsidP="00013648">
            <w:pPr>
              <w:ind w:firstLine="0"/>
              <w:jc w:val="center"/>
              <w:rPr>
                <w:sz w:val="20"/>
                <w:szCs w:val="20"/>
              </w:rPr>
            </w:pPr>
            <w:r w:rsidRPr="007C4132">
              <w:rPr>
                <w:sz w:val="20"/>
                <w:szCs w:val="20"/>
              </w:rPr>
              <w:t>7.4</w:t>
            </w:r>
          </w:p>
        </w:tc>
      </w:tr>
      <w:tr w:rsidR="007C4132" w:rsidRPr="00E06CCC" w14:paraId="08473325" w14:textId="77777777" w:rsidTr="00013648">
        <w:trPr>
          <w:jc w:val="center"/>
        </w:trPr>
        <w:tc>
          <w:tcPr>
            <w:tcW w:w="5893" w:type="dxa"/>
            <w:tcBorders>
              <w:left w:val="nil"/>
              <w:right w:val="nil"/>
            </w:tcBorders>
          </w:tcPr>
          <w:p w14:paraId="5DA82A59" w14:textId="77777777" w:rsidR="007C4132" w:rsidRPr="007C4132" w:rsidRDefault="007C4132" w:rsidP="00013648">
            <w:pPr>
              <w:spacing w:line="240" w:lineRule="auto"/>
              <w:ind w:firstLine="0"/>
              <w:rPr>
                <w:sz w:val="20"/>
                <w:szCs w:val="20"/>
              </w:rPr>
            </w:pPr>
            <w:r w:rsidRPr="007C4132">
              <w:rPr>
                <w:sz w:val="20"/>
                <w:szCs w:val="20"/>
              </w:rPr>
              <w:t>Առաջիկա երեք տարիների ընթացքում մարվող պարտքի կշիռը ընդամենը պարտքի մեջ</w:t>
            </w:r>
          </w:p>
        </w:tc>
        <w:tc>
          <w:tcPr>
            <w:tcW w:w="2115" w:type="dxa"/>
            <w:tcBorders>
              <w:left w:val="nil"/>
              <w:right w:val="nil"/>
            </w:tcBorders>
            <w:vAlign w:val="center"/>
          </w:tcPr>
          <w:p w14:paraId="176D9085" w14:textId="77777777" w:rsidR="007C4132" w:rsidRPr="007C4132" w:rsidRDefault="007C4132" w:rsidP="00013648">
            <w:pPr>
              <w:ind w:firstLine="0"/>
              <w:jc w:val="center"/>
              <w:rPr>
                <w:sz w:val="20"/>
                <w:szCs w:val="20"/>
              </w:rPr>
            </w:pPr>
            <w:r w:rsidRPr="007C4132">
              <w:rPr>
                <w:sz w:val="20"/>
                <w:szCs w:val="20"/>
              </w:rPr>
              <w:t>առավելագույնը 35%</w:t>
            </w:r>
          </w:p>
        </w:tc>
        <w:tc>
          <w:tcPr>
            <w:tcW w:w="2127" w:type="dxa"/>
            <w:tcBorders>
              <w:left w:val="nil"/>
              <w:right w:val="nil"/>
            </w:tcBorders>
            <w:vAlign w:val="center"/>
          </w:tcPr>
          <w:p w14:paraId="614DFF47" w14:textId="77777777" w:rsidR="007C4132" w:rsidRPr="007C4132" w:rsidRDefault="007C4132" w:rsidP="00013648">
            <w:pPr>
              <w:ind w:firstLine="0"/>
              <w:jc w:val="center"/>
              <w:rPr>
                <w:sz w:val="20"/>
                <w:szCs w:val="20"/>
              </w:rPr>
            </w:pPr>
            <w:r w:rsidRPr="007C4132">
              <w:rPr>
                <w:sz w:val="20"/>
                <w:szCs w:val="20"/>
              </w:rPr>
              <w:t>28.6</w:t>
            </w:r>
          </w:p>
        </w:tc>
      </w:tr>
      <w:tr w:rsidR="007C4132" w:rsidRPr="00E06CCC" w14:paraId="7AF6ED18" w14:textId="77777777" w:rsidTr="00013648">
        <w:trPr>
          <w:jc w:val="center"/>
        </w:trPr>
        <w:tc>
          <w:tcPr>
            <w:tcW w:w="5893" w:type="dxa"/>
            <w:tcBorders>
              <w:left w:val="nil"/>
              <w:right w:val="nil"/>
            </w:tcBorders>
          </w:tcPr>
          <w:p w14:paraId="2E81B895" w14:textId="77777777" w:rsidR="007C4132" w:rsidRPr="007C4132" w:rsidRDefault="007C4132" w:rsidP="00013648">
            <w:pPr>
              <w:spacing w:line="240" w:lineRule="auto"/>
              <w:ind w:firstLine="0"/>
              <w:rPr>
                <w:sz w:val="20"/>
                <w:szCs w:val="20"/>
              </w:rPr>
            </w:pPr>
            <w:r w:rsidRPr="007C4132">
              <w:rPr>
                <w:sz w:val="20"/>
                <w:szCs w:val="20"/>
              </w:rPr>
              <w:t>Առաջիկա տարվա ընթացքում մարվող պետական գանձապետական պարտատոմսերի (ՊԳՊ) կշիռը ՊԳՊ-երի ծավալի մեջ (տարեվերջին)</w:t>
            </w:r>
          </w:p>
        </w:tc>
        <w:tc>
          <w:tcPr>
            <w:tcW w:w="2115" w:type="dxa"/>
            <w:tcBorders>
              <w:left w:val="nil"/>
              <w:right w:val="nil"/>
            </w:tcBorders>
            <w:vAlign w:val="center"/>
          </w:tcPr>
          <w:p w14:paraId="4192F110" w14:textId="77777777" w:rsidR="007C4132" w:rsidRPr="007C4132" w:rsidRDefault="007C4132" w:rsidP="00013648">
            <w:pPr>
              <w:ind w:firstLine="0"/>
              <w:jc w:val="center"/>
              <w:rPr>
                <w:sz w:val="20"/>
                <w:szCs w:val="20"/>
              </w:rPr>
            </w:pPr>
            <w:r w:rsidRPr="007C4132">
              <w:rPr>
                <w:sz w:val="20"/>
                <w:szCs w:val="20"/>
              </w:rPr>
              <w:t>առավելագույնը 20%</w:t>
            </w:r>
          </w:p>
        </w:tc>
        <w:tc>
          <w:tcPr>
            <w:tcW w:w="2127" w:type="dxa"/>
            <w:tcBorders>
              <w:left w:val="nil"/>
              <w:right w:val="nil"/>
            </w:tcBorders>
            <w:vAlign w:val="center"/>
          </w:tcPr>
          <w:p w14:paraId="3D36D0D9" w14:textId="77777777" w:rsidR="007C4132" w:rsidRPr="007C4132" w:rsidRDefault="007C4132" w:rsidP="00013648">
            <w:pPr>
              <w:ind w:firstLine="0"/>
              <w:jc w:val="center"/>
              <w:rPr>
                <w:sz w:val="20"/>
                <w:szCs w:val="20"/>
              </w:rPr>
            </w:pPr>
            <w:r w:rsidRPr="007C4132">
              <w:rPr>
                <w:sz w:val="20"/>
                <w:szCs w:val="20"/>
              </w:rPr>
              <w:t>11.8</w:t>
            </w:r>
          </w:p>
        </w:tc>
      </w:tr>
      <w:tr w:rsidR="007C4132" w:rsidRPr="00E06CCC" w14:paraId="0C8BFC23" w14:textId="77777777" w:rsidTr="00013648">
        <w:trPr>
          <w:jc w:val="center"/>
        </w:trPr>
        <w:tc>
          <w:tcPr>
            <w:tcW w:w="5893" w:type="dxa"/>
            <w:tcBorders>
              <w:left w:val="nil"/>
              <w:right w:val="nil"/>
            </w:tcBorders>
          </w:tcPr>
          <w:p w14:paraId="6DF2B0DF" w14:textId="77777777" w:rsidR="007C4132" w:rsidRPr="007C4132" w:rsidRDefault="007C4132" w:rsidP="00013648">
            <w:pPr>
              <w:spacing w:line="240" w:lineRule="auto"/>
              <w:ind w:firstLine="559"/>
              <w:rPr>
                <w:b/>
                <w:sz w:val="20"/>
                <w:szCs w:val="20"/>
              </w:rPr>
            </w:pPr>
            <w:r w:rsidRPr="007C4132">
              <w:rPr>
                <w:b/>
                <w:sz w:val="20"/>
                <w:szCs w:val="20"/>
              </w:rPr>
              <w:t>Տոկոսադրույքի ռիսկ</w:t>
            </w:r>
          </w:p>
        </w:tc>
        <w:tc>
          <w:tcPr>
            <w:tcW w:w="2115" w:type="dxa"/>
            <w:tcBorders>
              <w:left w:val="nil"/>
              <w:right w:val="nil"/>
            </w:tcBorders>
            <w:vAlign w:val="center"/>
          </w:tcPr>
          <w:p w14:paraId="12783E4B" w14:textId="77777777" w:rsidR="007C4132" w:rsidRPr="007C4132" w:rsidRDefault="007C4132" w:rsidP="00013648">
            <w:pPr>
              <w:ind w:firstLine="0"/>
              <w:jc w:val="center"/>
              <w:rPr>
                <w:b/>
                <w:sz w:val="20"/>
                <w:szCs w:val="20"/>
              </w:rPr>
            </w:pPr>
          </w:p>
        </w:tc>
        <w:tc>
          <w:tcPr>
            <w:tcW w:w="2127" w:type="dxa"/>
            <w:tcBorders>
              <w:left w:val="nil"/>
              <w:right w:val="nil"/>
            </w:tcBorders>
            <w:vAlign w:val="center"/>
          </w:tcPr>
          <w:p w14:paraId="29FA90A6" w14:textId="77777777" w:rsidR="007C4132" w:rsidRPr="007C4132" w:rsidRDefault="007C4132" w:rsidP="00013648">
            <w:pPr>
              <w:ind w:firstLine="0"/>
              <w:jc w:val="center"/>
              <w:rPr>
                <w:b/>
                <w:sz w:val="20"/>
                <w:szCs w:val="20"/>
              </w:rPr>
            </w:pPr>
          </w:p>
        </w:tc>
      </w:tr>
      <w:tr w:rsidR="007C4132" w:rsidRPr="00E06CCC" w14:paraId="2E65E7A5" w14:textId="77777777" w:rsidTr="00013648">
        <w:trPr>
          <w:jc w:val="center"/>
        </w:trPr>
        <w:tc>
          <w:tcPr>
            <w:tcW w:w="5893" w:type="dxa"/>
            <w:tcBorders>
              <w:left w:val="nil"/>
              <w:right w:val="nil"/>
            </w:tcBorders>
          </w:tcPr>
          <w:p w14:paraId="7154774B" w14:textId="77777777" w:rsidR="007C4132" w:rsidRPr="007C4132" w:rsidRDefault="007C4132" w:rsidP="00013648">
            <w:pPr>
              <w:spacing w:line="240" w:lineRule="auto"/>
              <w:ind w:firstLine="0"/>
              <w:rPr>
                <w:sz w:val="20"/>
                <w:szCs w:val="20"/>
              </w:rPr>
            </w:pPr>
            <w:r w:rsidRPr="007C4132">
              <w:rPr>
                <w:sz w:val="20"/>
                <w:szCs w:val="20"/>
              </w:rPr>
              <w:t>Ֆիքսված տոկոսադրույքով պարտքի կշիռն ընդամենը պարտքի մեջ</w:t>
            </w:r>
          </w:p>
        </w:tc>
        <w:tc>
          <w:tcPr>
            <w:tcW w:w="2115" w:type="dxa"/>
            <w:tcBorders>
              <w:left w:val="nil"/>
              <w:right w:val="nil"/>
            </w:tcBorders>
            <w:vAlign w:val="center"/>
          </w:tcPr>
          <w:p w14:paraId="50717B5F" w14:textId="77777777" w:rsidR="007C4132" w:rsidRPr="007C4132" w:rsidRDefault="007C4132" w:rsidP="00013648">
            <w:pPr>
              <w:ind w:firstLine="0"/>
              <w:jc w:val="center"/>
              <w:rPr>
                <w:sz w:val="20"/>
                <w:szCs w:val="20"/>
              </w:rPr>
            </w:pPr>
            <w:r w:rsidRPr="007C4132">
              <w:rPr>
                <w:sz w:val="20"/>
                <w:szCs w:val="20"/>
              </w:rPr>
              <w:t>առնվազն 80%</w:t>
            </w:r>
          </w:p>
        </w:tc>
        <w:tc>
          <w:tcPr>
            <w:tcW w:w="2127" w:type="dxa"/>
            <w:tcBorders>
              <w:left w:val="nil"/>
              <w:right w:val="nil"/>
            </w:tcBorders>
            <w:vAlign w:val="center"/>
          </w:tcPr>
          <w:p w14:paraId="2C96C08F" w14:textId="77777777" w:rsidR="007C4132" w:rsidRPr="007C4132" w:rsidRDefault="007C4132" w:rsidP="00013648">
            <w:pPr>
              <w:ind w:firstLine="0"/>
              <w:jc w:val="center"/>
              <w:rPr>
                <w:sz w:val="20"/>
                <w:szCs w:val="20"/>
              </w:rPr>
            </w:pPr>
            <w:r w:rsidRPr="007C4132">
              <w:rPr>
                <w:sz w:val="20"/>
                <w:szCs w:val="20"/>
              </w:rPr>
              <w:t>84.1</w:t>
            </w:r>
          </w:p>
        </w:tc>
      </w:tr>
      <w:tr w:rsidR="007C4132" w:rsidRPr="00E06CCC" w14:paraId="417A0750" w14:textId="77777777" w:rsidTr="00013648">
        <w:trPr>
          <w:jc w:val="center"/>
        </w:trPr>
        <w:tc>
          <w:tcPr>
            <w:tcW w:w="5893" w:type="dxa"/>
            <w:tcBorders>
              <w:left w:val="nil"/>
              <w:right w:val="nil"/>
            </w:tcBorders>
          </w:tcPr>
          <w:p w14:paraId="1674798A" w14:textId="77777777" w:rsidR="007C4132" w:rsidRPr="007C4132" w:rsidRDefault="007C4132" w:rsidP="00013648">
            <w:pPr>
              <w:spacing w:line="240" w:lineRule="auto"/>
              <w:ind w:firstLine="559"/>
              <w:rPr>
                <w:b/>
                <w:sz w:val="20"/>
                <w:szCs w:val="20"/>
              </w:rPr>
            </w:pPr>
            <w:r w:rsidRPr="007C4132">
              <w:rPr>
                <w:b/>
                <w:sz w:val="20"/>
                <w:szCs w:val="20"/>
              </w:rPr>
              <w:t>Փոխարժեքի ռիսկ</w:t>
            </w:r>
          </w:p>
        </w:tc>
        <w:tc>
          <w:tcPr>
            <w:tcW w:w="2115" w:type="dxa"/>
            <w:tcBorders>
              <w:left w:val="nil"/>
              <w:right w:val="nil"/>
            </w:tcBorders>
            <w:vAlign w:val="center"/>
          </w:tcPr>
          <w:p w14:paraId="0D675962" w14:textId="77777777" w:rsidR="007C4132" w:rsidRPr="007C4132" w:rsidRDefault="007C4132" w:rsidP="00013648">
            <w:pPr>
              <w:ind w:firstLine="0"/>
              <w:jc w:val="center"/>
              <w:rPr>
                <w:b/>
                <w:sz w:val="20"/>
                <w:szCs w:val="20"/>
              </w:rPr>
            </w:pPr>
          </w:p>
        </w:tc>
        <w:tc>
          <w:tcPr>
            <w:tcW w:w="2127" w:type="dxa"/>
            <w:tcBorders>
              <w:left w:val="nil"/>
              <w:right w:val="nil"/>
            </w:tcBorders>
            <w:vAlign w:val="center"/>
          </w:tcPr>
          <w:p w14:paraId="50DCCB8F" w14:textId="77777777" w:rsidR="007C4132" w:rsidRPr="007C4132" w:rsidRDefault="007C4132" w:rsidP="00013648">
            <w:pPr>
              <w:ind w:firstLine="0"/>
              <w:jc w:val="center"/>
              <w:rPr>
                <w:b/>
                <w:sz w:val="20"/>
                <w:szCs w:val="20"/>
              </w:rPr>
            </w:pPr>
          </w:p>
        </w:tc>
      </w:tr>
      <w:tr w:rsidR="007C4132" w:rsidRPr="00E06CCC" w14:paraId="0A550EAA" w14:textId="77777777" w:rsidTr="00013648">
        <w:trPr>
          <w:jc w:val="center"/>
        </w:trPr>
        <w:tc>
          <w:tcPr>
            <w:tcW w:w="5893" w:type="dxa"/>
            <w:tcBorders>
              <w:left w:val="nil"/>
              <w:right w:val="nil"/>
            </w:tcBorders>
          </w:tcPr>
          <w:p w14:paraId="01776427" w14:textId="77777777" w:rsidR="007C4132" w:rsidRPr="007C4132" w:rsidRDefault="007C4132" w:rsidP="00013648">
            <w:pPr>
              <w:spacing w:line="240" w:lineRule="auto"/>
              <w:ind w:firstLine="0"/>
              <w:rPr>
                <w:b/>
                <w:sz w:val="20"/>
                <w:szCs w:val="20"/>
              </w:rPr>
            </w:pPr>
            <w:r w:rsidRPr="007C4132">
              <w:rPr>
                <w:sz w:val="20"/>
                <w:szCs w:val="20"/>
              </w:rPr>
              <w:t>Ներքին պարտքի կշիռն ընդամենը պարտքի մեջ</w:t>
            </w:r>
          </w:p>
        </w:tc>
        <w:tc>
          <w:tcPr>
            <w:tcW w:w="2115" w:type="dxa"/>
            <w:tcBorders>
              <w:left w:val="nil"/>
              <w:right w:val="nil"/>
            </w:tcBorders>
            <w:vAlign w:val="center"/>
          </w:tcPr>
          <w:p w14:paraId="5C49E8B5" w14:textId="77777777" w:rsidR="007C4132" w:rsidRPr="007C4132" w:rsidRDefault="007C4132" w:rsidP="00013648">
            <w:pPr>
              <w:ind w:firstLine="0"/>
              <w:jc w:val="center"/>
              <w:rPr>
                <w:b/>
                <w:sz w:val="20"/>
                <w:szCs w:val="20"/>
              </w:rPr>
            </w:pPr>
            <w:r w:rsidRPr="007C4132">
              <w:rPr>
                <w:sz w:val="20"/>
                <w:szCs w:val="20"/>
              </w:rPr>
              <w:t>առնվազն 40%</w:t>
            </w:r>
          </w:p>
        </w:tc>
        <w:tc>
          <w:tcPr>
            <w:tcW w:w="2127" w:type="dxa"/>
            <w:tcBorders>
              <w:left w:val="nil"/>
              <w:right w:val="nil"/>
            </w:tcBorders>
            <w:vAlign w:val="center"/>
          </w:tcPr>
          <w:p w14:paraId="1A715EF8" w14:textId="77777777" w:rsidR="007C4132" w:rsidRPr="007C4132" w:rsidRDefault="007C4132" w:rsidP="00013648">
            <w:pPr>
              <w:ind w:firstLine="0"/>
              <w:jc w:val="center"/>
              <w:rPr>
                <w:sz w:val="20"/>
                <w:szCs w:val="20"/>
              </w:rPr>
            </w:pPr>
            <w:r w:rsidRPr="007C4132">
              <w:rPr>
                <w:sz w:val="20"/>
                <w:szCs w:val="20"/>
              </w:rPr>
              <w:t>47.3</w:t>
            </w:r>
          </w:p>
        </w:tc>
      </w:tr>
      <w:tr w:rsidR="007C4132" w:rsidRPr="00E06CCC" w14:paraId="046B5974" w14:textId="77777777" w:rsidTr="00013648">
        <w:trPr>
          <w:jc w:val="center"/>
        </w:trPr>
        <w:tc>
          <w:tcPr>
            <w:tcW w:w="5893" w:type="dxa"/>
            <w:tcBorders>
              <w:left w:val="nil"/>
              <w:bottom w:val="thickThinSmallGap" w:sz="24" w:space="0" w:color="auto"/>
              <w:right w:val="nil"/>
            </w:tcBorders>
          </w:tcPr>
          <w:p w14:paraId="7C203691" w14:textId="77777777" w:rsidR="007C4132" w:rsidRPr="007C4132" w:rsidRDefault="007C4132" w:rsidP="00013648">
            <w:pPr>
              <w:spacing w:line="240" w:lineRule="auto"/>
              <w:ind w:firstLine="0"/>
              <w:rPr>
                <w:sz w:val="20"/>
                <w:szCs w:val="20"/>
              </w:rPr>
            </w:pPr>
            <w:r w:rsidRPr="007C4132">
              <w:rPr>
                <w:sz w:val="20"/>
                <w:szCs w:val="20"/>
              </w:rPr>
              <w:t>ՀՀ դրամով ներգրավված պարտքի կշիռն ընդամենը պարտքի մեջ</w:t>
            </w:r>
          </w:p>
        </w:tc>
        <w:tc>
          <w:tcPr>
            <w:tcW w:w="2115" w:type="dxa"/>
            <w:tcBorders>
              <w:left w:val="nil"/>
              <w:bottom w:val="thickThinSmallGap" w:sz="24" w:space="0" w:color="auto"/>
              <w:right w:val="nil"/>
            </w:tcBorders>
            <w:vAlign w:val="center"/>
          </w:tcPr>
          <w:p w14:paraId="7ADA5C52" w14:textId="77777777" w:rsidR="007C4132" w:rsidRPr="007C4132" w:rsidRDefault="007C4132" w:rsidP="00013648">
            <w:pPr>
              <w:ind w:firstLine="0"/>
              <w:jc w:val="center"/>
              <w:rPr>
                <w:sz w:val="20"/>
                <w:szCs w:val="20"/>
              </w:rPr>
            </w:pPr>
            <w:r w:rsidRPr="007C4132">
              <w:rPr>
                <w:sz w:val="20"/>
                <w:szCs w:val="20"/>
              </w:rPr>
              <w:t>առնվազն 40%</w:t>
            </w:r>
          </w:p>
        </w:tc>
        <w:tc>
          <w:tcPr>
            <w:tcW w:w="2127" w:type="dxa"/>
            <w:tcBorders>
              <w:left w:val="nil"/>
              <w:bottom w:val="thickThinSmallGap" w:sz="24" w:space="0" w:color="auto"/>
              <w:right w:val="nil"/>
            </w:tcBorders>
            <w:vAlign w:val="center"/>
          </w:tcPr>
          <w:p w14:paraId="2614BB8A" w14:textId="77777777" w:rsidR="007C4132" w:rsidRPr="007C4132" w:rsidRDefault="007C4132" w:rsidP="00013648">
            <w:pPr>
              <w:ind w:firstLine="0"/>
              <w:jc w:val="center"/>
              <w:rPr>
                <w:sz w:val="20"/>
                <w:szCs w:val="20"/>
              </w:rPr>
            </w:pPr>
            <w:r w:rsidRPr="007C4132">
              <w:rPr>
                <w:sz w:val="20"/>
                <w:szCs w:val="20"/>
              </w:rPr>
              <w:t>45.9</w:t>
            </w:r>
          </w:p>
        </w:tc>
      </w:tr>
    </w:tbl>
    <w:p w14:paraId="25537316" w14:textId="77777777" w:rsidR="007C4132" w:rsidRPr="00E06CCC" w:rsidRDefault="007C4132" w:rsidP="007C4132">
      <w:pPr>
        <w:rPr>
          <w:color w:val="FF0000"/>
        </w:rPr>
      </w:pPr>
      <w:r w:rsidRPr="000D4D8C">
        <w:rPr>
          <w:sz w:val="18"/>
        </w:rPr>
        <w:t>Աղբյուրը՝ ՀՀ ՖՆ հաշվարկներ</w:t>
      </w:r>
    </w:p>
    <w:p w14:paraId="0D72D276" w14:textId="77777777" w:rsidR="007C4132" w:rsidRPr="00B1068B" w:rsidRDefault="007C4132" w:rsidP="00746426">
      <w:pPr>
        <w:shd w:val="clear" w:color="auto" w:fill="FFFFFF"/>
        <w:spacing w:before="120" w:after="0" w:line="276" w:lineRule="auto"/>
        <w:ind w:firstLine="0"/>
        <w:rPr>
          <w:color w:val="FF0000"/>
        </w:rPr>
      </w:pPr>
      <w:r w:rsidRPr="0070296A">
        <w:t>202</w:t>
      </w:r>
      <w:r>
        <w:t>3</w:t>
      </w:r>
      <w:r w:rsidRPr="0070296A">
        <w:t xml:space="preserve"> թվականի </w:t>
      </w:r>
      <w:r>
        <w:t>պետական բյուջեի պակասուրդ</w:t>
      </w:r>
      <w:r w:rsidRPr="0070296A">
        <w:t>ի ֆինանսավորումը</w:t>
      </w:r>
      <w:r w:rsidRPr="0014711F">
        <w:t xml:space="preserve"> </w:t>
      </w:r>
      <w:r w:rsidRPr="0070296A">
        <w:t>փոխառու զուտ միջոցների հաշվին</w:t>
      </w:r>
      <w:r>
        <w:t xml:space="preserve"> կատարվել է 287.0 մլրդ դրամով, ընդ որում,</w:t>
      </w:r>
      <w:r w:rsidRPr="0070296A">
        <w:t xml:space="preserve"> ներքին փոխառու զուտ միջոցների հաշվին (առանց մուրհակ</w:t>
      </w:r>
      <w:r w:rsidRPr="0070296A">
        <w:softHyphen/>
        <w:t xml:space="preserve">ների) </w:t>
      </w:r>
      <w:r>
        <w:t xml:space="preserve">ֆինանսավորումը </w:t>
      </w:r>
      <w:r w:rsidRPr="0070296A">
        <w:t xml:space="preserve">կազմել է </w:t>
      </w:r>
      <w:r>
        <w:t>360</w:t>
      </w:r>
      <w:r w:rsidRPr="0070296A">
        <w:t>.0 մլրդ դրամ, իսկ արտաքին փոխառու զուտ միջոցների հաշվին</w:t>
      </w:r>
      <w:r>
        <w:t xml:space="preserve"> ֆինանսավորումը բացասական է</w:t>
      </w:r>
      <w:r w:rsidRPr="0070296A">
        <w:t xml:space="preserve">՝ </w:t>
      </w:r>
      <w:r>
        <w:t>(73.</w:t>
      </w:r>
      <w:r w:rsidRPr="00B1068B">
        <w:t>3)</w:t>
      </w:r>
      <w:r w:rsidRPr="0070296A">
        <w:t xml:space="preserve"> մլրդ դրամ: </w:t>
      </w:r>
      <w:r>
        <w:t xml:space="preserve">Հետևաբար, ներքին փոխառու միջոցներով զուտ ֆինանսավորումն ամբողջությամբ </w:t>
      </w:r>
      <w:r w:rsidRPr="00E93075">
        <w:t xml:space="preserve">ծածկել է փոխառու զուտ </w:t>
      </w:r>
      <w:r w:rsidRPr="00E93075">
        <w:lastRenderedPageBreak/>
        <w:t xml:space="preserve">միջոցներով դեֆիցիտի ֆինանսավորման փաստացի կարիքը և արտաքին փոխառու միջոցների զուտ մարումը: </w:t>
      </w:r>
    </w:p>
    <w:p w14:paraId="0900A694" w14:textId="77777777" w:rsidR="007C4132" w:rsidRDefault="007C4132" w:rsidP="00746426">
      <w:pPr>
        <w:spacing w:before="120" w:after="0" w:line="276" w:lineRule="auto"/>
        <w:ind w:firstLine="0"/>
      </w:pPr>
      <w:r w:rsidRPr="00E93075">
        <w:t>2023 թվականի ընթացքում ՀՀ կառավարության պարտքի գծով իրականացված գործառնություններում զգալի կշիռ ունեն պետական գանձապետական պարտատոմսերը:</w:t>
      </w:r>
      <w:r w:rsidDel="00514DEC">
        <w:t xml:space="preserve"> </w:t>
      </w:r>
    </w:p>
    <w:p w14:paraId="79032798" w14:textId="77777777" w:rsidR="007C4132" w:rsidRPr="0070296A" w:rsidRDefault="007C4132" w:rsidP="007C4132">
      <w:pPr>
        <w:pStyle w:val="afd"/>
        <w:numPr>
          <w:ilvl w:val="0"/>
          <w:numId w:val="21"/>
        </w:numPr>
        <w:ind w:left="0" w:firstLine="0"/>
      </w:pPr>
      <w:r>
        <w:t>ՀՀ կառավարության պարտքի գծով իրականացված գործառնություններն ըստ գործիքների</w:t>
      </w:r>
      <w:r w:rsidRPr="00581010">
        <w:t xml:space="preserve"> </w:t>
      </w:r>
    </w:p>
    <w:tbl>
      <w:tblPr>
        <w:tblW w:w="9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1646"/>
        <w:gridCol w:w="29"/>
        <w:gridCol w:w="1809"/>
        <w:gridCol w:w="1600"/>
        <w:gridCol w:w="22"/>
        <w:gridCol w:w="1765"/>
      </w:tblGrid>
      <w:tr w:rsidR="007C4132" w:rsidRPr="00887722" w14:paraId="7C76758B" w14:textId="77777777" w:rsidTr="004247C0">
        <w:trPr>
          <w:trHeight w:val="698"/>
          <w:tblHeader/>
          <w:jc w:val="center"/>
        </w:trPr>
        <w:tc>
          <w:tcPr>
            <w:tcW w:w="307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912FC64" w14:textId="77777777" w:rsidR="007C4132" w:rsidRPr="007C4132" w:rsidRDefault="007C4132" w:rsidP="00013648">
            <w:pPr>
              <w:spacing w:line="240" w:lineRule="auto"/>
              <w:ind w:firstLine="0"/>
              <w:jc w:val="center"/>
              <w:rPr>
                <w:sz w:val="20"/>
                <w:szCs w:val="20"/>
              </w:rPr>
            </w:pPr>
            <w:r w:rsidRPr="007C4132">
              <w:rPr>
                <w:sz w:val="20"/>
                <w:szCs w:val="20"/>
              </w:rPr>
              <w:t>2023</w:t>
            </w:r>
          </w:p>
        </w:tc>
        <w:tc>
          <w:tcPr>
            <w:tcW w:w="164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86939B5" w14:textId="77777777" w:rsidR="007C4132" w:rsidRPr="007C4132" w:rsidRDefault="007C4132" w:rsidP="00013648">
            <w:pPr>
              <w:spacing w:line="240" w:lineRule="auto"/>
              <w:ind w:firstLine="0"/>
              <w:jc w:val="center"/>
              <w:rPr>
                <w:sz w:val="20"/>
                <w:szCs w:val="20"/>
              </w:rPr>
            </w:pPr>
            <w:r w:rsidRPr="007C4132">
              <w:rPr>
                <w:sz w:val="20"/>
                <w:szCs w:val="20"/>
              </w:rPr>
              <w:t>Տեղաբաշխված ծավալը</w:t>
            </w:r>
          </w:p>
        </w:tc>
        <w:tc>
          <w:tcPr>
            <w:tcW w:w="1838" w:type="dxa"/>
            <w:gridSpan w:val="2"/>
            <w:tcBorders>
              <w:top w:val="thinThickThinSmallGap" w:sz="24" w:space="0" w:color="auto"/>
              <w:left w:val="nil"/>
              <w:bottom w:val="thinThickSmallGap" w:sz="24" w:space="0" w:color="auto"/>
              <w:right w:val="nil"/>
            </w:tcBorders>
            <w:shd w:val="clear" w:color="auto" w:fill="BDD6EE" w:themeFill="accent1" w:themeFillTint="66"/>
            <w:vAlign w:val="center"/>
          </w:tcPr>
          <w:p w14:paraId="37D7A321" w14:textId="77777777" w:rsidR="007C4132" w:rsidRPr="007C4132" w:rsidRDefault="007C4132" w:rsidP="00013648">
            <w:pPr>
              <w:spacing w:line="240" w:lineRule="auto"/>
              <w:ind w:firstLine="0"/>
              <w:jc w:val="center"/>
              <w:rPr>
                <w:sz w:val="20"/>
                <w:szCs w:val="20"/>
              </w:rPr>
            </w:pPr>
            <w:r w:rsidRPr="007C4132">
              <w:rPr>
                <w:sz w:val="20"/>
                <w:szCs w:val="20"/>
              </w:rPr>
              <w:t>Տեղաբաշխումից մուտքը</w:t>
            </w:r>
          </w:p>
        </w:tc>
        <w:tc>
          <w:tcPr>
            <w:tcW w:w="160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69A02AD" w14:textId="77777777" w:rsidR="007C4132" w:rsidRPr="007C4132" w:rsidRDefault="007C4132" w:rsidP="00013648">
            <w:pPr>
              <w:spacing w:line="240" w:lineRule="auto"/>
              <w:ind w:firstLine="0"/>
              <w:jc w:val="center"/>
              <w:rPr>
                <w:sz w:val="20"/>
                <w:szCs w:val="20"/>
              </w:rPr>
            </w:pPr>
            <w:r w:rsidRPr="007C4132">
              <w:rPr>
                <w:sz w:val="20"/>
                <w:szCs w:val="20"/>
              </w:rPr>
              <w:t>Մարման և/կամ հետգնման ծավալը</w:t>
            </w:r>
          </w:p>
        </w:tc>
        <w:tc>
          <w:tcPr>
            <w:tcW w:w="1787" w:type="dxa"/>
            <w:gridSpan w:val="2"/>
            <w:tcBorders>
              <w:top w:val="thinThickThinSmallGap" w:sz="24" w:space="0" w:color="auto"/>
              <w:left w:val="nil"/>
              <w:bottom w:val="thinThickSmallGap" w:sz="24" w:space="0" w:color="auto"/>
              <w:right w:val="nil"/>
            </w:tcBorders>
            <w:shd w:val="clear" w:color="auto" w:fill="BDD6EE" w:themeFill="accent1" w:themeFillTint="66"/>
            <w:vAlign w:val="center"/>
          </w:tcPr>
          <w:p w14:paraId="3D6590F2" w14:textId="77777777" w:rsidR="007C4132" w:rsidRPr="007C4132" w:rsidRDefault="007C4132" w:rsidP="00013648">
            <w:pPr>
              <w:spacing w:line="240" w:lineRule="auto"/>
              <w:ind w:firstLine="0"/>
              <w:jc w:val="center"/>
              <w:rPr>
                <w:sz w:val="20"/>
                <w:szCs w:val="20"/>
              </w:rPr>
            </w:pPr>
            <w:r w:rsidRPr="007C4132">
              <w:rPr>
                <w:sz w:val="20"/>
                <w:szCs w:val="20"/>
              </w:rPr>
              <w:t>Վճարված տոկոսագումարը</w:t>
            </w:r>
          </w:p>
        </w:tc>
      </w:tr>
      <w:tr w:rsidR="007C4132" w:rsidRPr="00887722" w14:paraId="481222AD" w14:textId="77777777" w:rsidTr="004247C0">
        <w:trPr>
          <w:trHeight w:val="468"/>
          <w:jc w:val="center"/>
        </w:trPr>
        <w:tc>
          <w:tcPr>
            <w:tcW w:w="3070" w:type="dxa"/>
            <w:tcBorders>
              <w:top w:val="thinThickSmallGap" w:sz="24" w:space="0" w:color="auto"/>
              <w:left w:val="nil"/>
              <w:bottom w:val="thinThickSmallGap" w:sz="24" w:space="0" w:color="auto"/>
              <w:right w:val="nil"/>
            </w:tcBorders>
          </w:tcPr>
          <w:p w14:paraId="67884955" w14:textId="77777777" w:rsidR="007C4132" w:rsidRPr="007C4132" w:rsidRDefault="007C4132" w:rsidP="00013648">
            <w:pPr>
              <w:spacing w:line="240" w:lineRule="auto"/>
              <w:ind w:firstLine="0"/>
              <w:jc w:val="left"/>
              <w:rPr>
                <w:sz w:val="20"/>
                <w:szCs w:val="20"/>
              </w:rPr>
            </w:pPr>
            <w:r w:rsidRPr="007C4132">
              <w:rPr>
                <w:sz w:val="20"/>
                <w:szCs w:val="20"/>
              </w:rPr>
              <w:t>Պետական գանձա</w:t>
            </w:r>
            <w:r w:rsidRPr="007C4132">
              <w:rPr>
                <w:sz w:val="20"/>
                <w:szCs w:val="20"/>
              </w:rPr>
              <w:softHyphen/>
              <w:t>պետական պարտատոմսեր, մլրդ դրամ</w:t>
            </w:r>
          </w:p>
        </w:tc>
        <w:tc>
          <w:tcPr>
            <w:tcW w:w="1646" w:type="dxa"/>
            <w:tcBorders>
              <w:top w:val="thinThickSmallGap" w:sz="24" w:space="0" w:color="auto"/>
              <w:left w:val="nil"/>
              <w:bottom w:val="thinThickSmallGap" w:sz="24" w:space="0" w:color="auto"/>
              <w:right w:val="nil"/>
            </w:tcBorders>
            <w:vAlign w:val="center"/>
          </w:tcPr>
          <w:p w14:paraId="72723B2F" w14:textId="77777777" w:rsidR="007C4132" w:rsidRPr="007C4132" w:rsidRDefault="007C4132" w:rsidP="00013648">
            <w:pPr>
              <w:ind w:firstLine="0"/>
              <w:jc w:val="center"/>
              <w:rPr>
                <w:sz w:val="20"/>
                <w:szCs w:val="20"/>
              </w:rPr>
            </w:pPr>
            <w:r w:rsidRPr="007C4132">
              <w:rPr>
                <w:rFonts w:cs="Sylfaen"/>
                <w:sz w:val="20"/>
                <w:szCs w:val="20"/>
              </w:rPr>
              <w:t>829.5</w:t>
            </w:r>
            <w:r w:rsidRPr="007C4132">
              <w:rPr>
                <w:rStyle w:val="FootnoteReference"/>
                <w:rFonts w:cs="Sylfaen"/>
                <w:sz w:val="20"/>
                <w:szCs w:val="20"/>
              </w:rPr>
              <w:footnoteReference w:id="26"/>
            </w:r>
          </w:p>
        </w:tc>
        <w:tc>
          <w:tcPr>
            <w:tcW w:w="1838" w:type="dxa"/>
            <w:gridSpan w:val="2"/>
            <w:tcBorders>
              <w:top w:val="thinThickSmallGap" w:sz="24" w:space="0" w:color="auto"/>
              <w:left w:val="nil"/>
              <w:bottom w:val="thinThickSmallGap" w:sz="24" w:space="0" w:color="auto"/>
              <w:right w:val="nil"/>
            </w:tcBorders>
            <w:vAlign w:val="center"/>
          </w:tcPr>
          <w:p w14:paraId="23557D33" w14:textId="77777777" w:rsidR="007C4132" w:rsidRPr="007C4132" w:rsidRDefault="007C4132" w:rsidP="00013648">
            <w:pPr>
              <w:ind w:firstLine="0"/>
              <w:jc w:val="center"/>
              <w:rPr>
                <w:sz w:val="20"/>
                <w:szCs w:val="20"/>
              </w:rPr>
            </w:pPr>
            <w:r w:rsidRPr="007C4132">
              <w:rPr>
                <w:rFonts w:cs="Sylfaen"/>
                <w:sz w:val="20"/>
                <w:szCs w:val="20"/>
              </w:rPr>
              <w:t>584.1</w:t>
            </w:r>
          </w:p>
        </w:tc>
        <w:tc>
          <w:tcPr>
            <w:tcW w:w="1600" w:type="dxa"/>
            <w:tcBorders>
              <w:top w:val="thinThickSmallGap" w:sz="24" w:space="0" w:color="auto"/>
              <w:left w:val="nil"/>
              <w:bottom w:val="thinThickSmallGap" w:sz="24" w:space="0" w:color="auto"/>
              <w:right w:val="nil"/>
            </w:tcBorders>
            <w:vAlign w:val="center"/>
          </w:tcPr>
          <w:p w14:paraId="21B0E293" w14:textId="77777777" w:rsidR="007C4132" w:rsidRPr="007C4132" w:rsidRDefault="007C4132" w:rsidP="00013648">
            <w:pPr>
              <w:ind w:firstLine="0"/>
              <w:jc w:val="center"/>
              <w:rPr>
                <w:sz w:val="20"/>
                <w:szCs w:val="20"/>
              </w:rPr>
            </w:pPr>
            <w:r w:rsidRPr="007C4132">
              <w:rPr>
                <w:rFonts w:cs="Sylfaen"/>
                <w:sz w:val="20"/>
                <w:szCs w:val="20"/>
              </w:rPr>
              <w:t>223.8</w:t>
            </w:r>
          </w:p>
        </w:tc>
        <w:tc>
          <w:tcPr>
            <w:tcW w:w="1787" w:type="dxa"/>
            <w:gridSpan w:val="2"/>
            <w:tcBorders>
              <w:top w:val="thinThickSmallGap" w:sz="24" w:space="0" w:color="auto"/>
              <w:left w:val="nil"/>
              <w:bottom w:val="thinThickSmallGap" w:sz="24" w:space="0" w:color="auto"/>
              <w:right w:val="nil"/>
            </w:tcBorders>
            <w:vAlign w:val="center"/>
          </w:tcPr>
          <w:p w14:paraId="19F0DB1A" w14:textId="77777777" w:rsidR="007C4132" w:rsidRPr="007C4132" w:rsidRDefault="007C4132" w:rsidP="00013648">
            <w:pPr>
              <w:ind w:firstLine="0"/>
              <w:jc w:val="center"/>
              <w:rPr>
                <w:sz w:val="20"/>
                <w:szCs w:val="20"/>
              </w:rPr>
            </w:pPr>
            <w:r w:rsidRPr="007C4132">
              <w:rPr>
                <w:sz w:val="20"/>
                <w:szCs w:val="20"/>
              </w:rPr>
              <w:t>157.4</w:t>
            </w:r>
          </w:p>
        </w:tc>
      </w:tr>
      <w:tr w:rsidR="007C4132" w:rsidRPr="0070296A" w14:paraId="1F4A336D" w14:textId="77777777" w:rsidTr="004247C0">
        <w:trPr>
          <w:trHeight w:val="307"/>
          <w:jc w:val="center"/>
        </w:trPr>
        <w:tc>
          <w:tcPr>
            <w:tcW w:w="3070" w:type="dxa"/>
            <w:tcBorders>
              <w:top w:val="thinThickSmallGap" w:sz="24" w:space="0" w:color="auto"/>
              <w:left w:val="nil"/>
              <w:bottom w:val="single" w:sz="4" w:space="0" w:color="auto"/>
              <w:right w:val="nil"/>
            </w:tcBorders>
            <w:vAlign w:val="center"/>
          </w:tcPr>
          <w:p w14:paraId="7AC92375" w14:textId="77777777" w:rsidR="007C4132" w:rsidRPr="007C4132" w:rsidRDefault="007C4132" w:rsidP="00013648">
            <w:pPr>
              <w:spacing w:line="240" w:lineRule="auto"/>
              <w:ind w:firstLine="0"/>
              <w:jc w:val="left"/>
              <w:rPr>
                <w:sz w:val="20"/>
                <w:szCs w:val="20"/>
              </w:rPr>
            </w:pPr>
            <w:r w:rsidRPr="007C4132">
              <w:rPr>
                <w:sz w:val="20"/>
                <w:szCs w:val="20"/>
              </w:rPr>
              <w:t>Արտարժութային պետական պարտատոմսեր, մլն ԱՄՆ դոլար</w:t>
            </w:r>
          </w:p>
        </w:tc>
        <w:tc>
          <w:tcPr>
            <w:tcW w:w="1675" w:type="dxa"/>
            <w:gridSpan w:val="2"/>
            <w:tcBorders>
              <w:top w:val="thinThickSmallGap" w:sz="24" w:space="0" w:color="auto"/>
              <w:left w:val="nil"/>
              <w:bottom w:val="single" w:sz="4" w:space="0" w:color="auto"/>
              <w:right w:val="nil"/>
            </w:tcBorders>
            <w:vAlign w:val="center"/>
          </w:tcPr>
          <w:p w14:paraId="11622CD4" w14:textId="77777777" w:rsidR="007C4132" w:rsidRPr="007C4132" w:rsidRDefault="007C4132" w:rsidP="00013648">
            <w:pPr>
              <w:spacing w:line="240" w:lineRule="auto"/>
              <w:ind w:firstLine="0"/>
              <w:jc w:val="center"/>
              <w:rPr>
                <w:sz w:val="20"/>
                <w:szCs w:val="20"/>
              </w:rPr>
            </w:pPr>
            <w:r w:rsidRPr="007C4132">
              <w:rPr>
                <w:sz w:val="20"/>
                <w:szCs w:val="20"/>
              </w:rPr>
              <w:t>-</w:t>
            </w:r>
          </w:p>
        </w:tc>
        <w:tc>
          <w:tcPr>
            <w:tcW w:w="1809" w:type="dxa"/>
            <w:tcBorders>
              <w:top w:val="thinThickSmallGap" w:sz="24" w:space="0" w:color="auto"/>
              <w:left w:val="nil"/>
              <w:bottom w:val="single" w:sz="4" w:space="0" w:color="auto"/>
              <w:right w:val="nil"/>
            </w:tcBorders>
            <w:vAlign w:val="center"/>
          </w:tcPr>
          <w:p w14:paraId="7E5E7516" w14:textId="77777777" w:rsidR="007C4132" w:rsidRPr="007C4132" w:rsidRDefault="007C4132" w:rsidP="00013648">
            <w:pPr>
              <w:spacing w:line="240" w:lineRule="auto"/>
              <w:ind w:firstLine="0"/>
              <w:jc w:val="center"/>
              <w:rPr>
                <w:sz w:val="20"/>
                <w:szCs w:val="20"/>
              </w:rPr>
            </w:pPr>
            <w:r w:rsidRPr="007C4132">
              <w:rPr>
                <w:sz w:val="20"/>
                <w:szCs w:val="20"/>
              </w:rPr>
              <w:t>-</w:t>
            </w:r>
          </w:p>
        </w:tc>
        <w:tc>
          <w:tcPr>
            <w:tcW w:w="1622" w:type="dxa"/>
            <w:gridSpan w:val="2"/>
            <w:tcBorders>
              <w:top w:val="thinThickSmallGap" w:sz="24" w:space="0" w:color="auto"/>
              <w:left w:val="nil"/>
              <w:bottom w:val="single" w:sz="4" w:space="0" w:color="auto"/>
              <w:right w:val="nil"/>
            </w:tcBorders>
            <w:vAlign w:val="center"/>
          </w:tcPr>
          <w:p w14:paraId="08BED66A" w14:textId="77777777" w:rsidR="007C4132" w:rsidRPr="007C4132" w:rsidRDefault="007C4132" w:rsidP="00013648">
            <w:pPr>
              <w:spacing w:line="240" w:lineRule="auto"/>
              <w:ind w:firstLine="0"/>
              <w:jc w:val="center"/>
              <w:rPr>
                <w:sz w:val="20"/>
                <w:szCs w:val="20"/>
              </w:rPr>
            </w:pPr>
            <w:r w:rsidRPr="007C4132">
              <w:rPr>
                <w:sz w:val="20"/>
                <w:szCs w:val="20"/>
              </w:rPr>
              <w:t>186.8</w:t>
            </w:r>
          </w:p>
        </w:tc>
        <w:tc>
          <w:tcPr>
            <w:tcW w:w="1765" w:type="dxa"/>
            <w:tcBorders>
              <w:top w:val="thinThickSmallGap" w:sz="24" w:space="0" w:color="auto"/>
              <w:left w:val="nil"/>
              <w:bottom w:val="single" w:sz="4" w:space="0" w:color="auto"/>
              <w:right w:val="nil"/>
            </w:tcBorders>
            <w:vAlign w:val="center"/>
          </w:tcPr>
          <w:p w14:paraId="1C345915" w14:textId="77777777" w:rsidR="007C4132" w:rsidRPr="007C4132" w:rsidRDefault="007C4132" w:rsidP="00013648">
            <w:pPr>
              <w:spacing w:line="240" w:lineRule="auto"/>
              <w:ind w:firstLine="0"/>
              <w:jc w:val="center"/>
              <w:rPr>
                <w:sz w:val="20"/>
                <w:szCs w:val="20"/>
              </w:rPr>
            </w:pPr>
            <w:r w:rsidRPr="007C4132">
              <w:rPr>
                <w:sz w:val="20"/>
                <w:szCs w:val="20"/>
              </w:rPr>
              <w:t>86.5</w:t>
            </w:r>
          </w:p>
        </w:tc>
      </w:tr>
      <w:tr w:rsidR="007C4132" w:rsidRPr="0070296A" w14:paraId="1A4FC3DA" w14:textId="77777777" w:rsidTr="004247C0">
        <w:trPr>
          <w:trHeight w:val="307"/>
          <w:jc w:val="center"/>
        </w:trPr>
        <w:tc>
          <w:tcPr>
            <w:tcW w:w="3070" w:type="dxa"/>
            <w:tcBorders>
              <w:top w:val="single" w:sz="4" w:space="0" w:color="auto"/>
              <w:left w:val="nil"/>
              <w:bottom w:val="thickThinSmallGap" w:sz="24" w:space="0" w:color="auto"/>
              <w:right w:val="nil"/>
            </w:tcBorders>
            <w:vAlign w:val="center"/>
          </w:tcPr>
          <w:p w14:paraId="7CA3AA4B" w14:textId="77777777" w:rsidR="007C4132" w:rsidRPr="007C4132" w:rsidRDefault="007C4132" w:rsidP="00013648">
            <w:pPr>
              <w:spacing w:line="240" w:lineRule="auto"/>
              <w:ind w:firstLine="0"/>
              <w:jc w:val="left"/>
              <w:rPr>
                <w:sz w:val="20"/>
                <w:szCs w:val="20"/>
              </w:rPr>
            </w:pPr>
            <w:r w:rsidRPr="007C4132">
              <w:rPr>
                <w:sz w:val="20"/>
                <w:szCs w:val="20"/>
              </w:rPr>
              <w:t>Արտարժութային պետական պարտատոմսեր, մլրդ դրամ</w:t>
            </w:r>
          </w:p>
        </w:tc>
        <w:tc>
          <w:tcPr>
            <w:tcW w:w="1675" w:type="dxa"/>
            <w:gridSpan w:val="2"/>
            <w:tcBorders>
              <w:top w:val="single" w:sz="4" w:space="0" w:color="auto"/>
              <w:left w:val="nil"/>
              <w:bottom w:val="thickThinSmallGap" w:sz="24" w:space="0" w:color="auto"/>
              <w:right w:val="nil"/>
            </w:tcBorders>
            <w:vAlign w:val="center"/>
          </w:tcPr>
          <w:p w14:paraId="2DC90D50" w14:textId="77777777" w:rsidR="007C4132" w:rsidRPr="007C4132" w:rsidRDefault="007C4132" w:rsidP="00013648">
            <w:pPr>
              <w:spacing w:line="240" w:lineRule="auto"/>
              <w:ind w:firstLine="0"/>
              <w:jc w:val="center"/>
              <w:rPr>
                <w:sz w:val="20"/>
                <w:szCs w:val="20"/>
              </w:rPr>
            </w:pPr>
            <w:r w:rsidRPr="007C4132">
              <w:rPr>
                <w:sz w:val="20"/>
                <w:szCs w:val="20"/>
              </w:rPr>
              <w:t>-</w:t>
            </w:r>
          </w:p>
        </w:tc>
        <w:tc>
          <w:tcPr>
            <w:tcW w:w="1809" w:type="dxa"/>
            <w:tcBorders>
              <w:top w:val="single" w:sz="4" w:space="0" w:color="auto"/>
              <w:left w:val="nil"/>
              <w:bottom w:val="thickThinSmallGap" w:sz="24" w:space="0" w:color="auto"/>
              <w:right w:val="nil"/>
            </w:tcBorders>
            <w:vAlign w:val="center"/>
          </w:tcPr>
          <w:p w14:paraId="15107887" w14:textId="77777777" w:rsidR="007C4132" w:rsidRPr="007C4132" w:rsidRDefault="007C4132" w:rsidP="00013648">
            <w:pPr>
              <w:spacing w:line="240" w:lineRule="auto"/>
              <w:ind w:firstLine="0"/>
              <w:jc w:val="center"/>
              <w:rPr>
                <w:sz w:val="20"/>
                <w:szCs w:val="20"/>
              </w:rPr>
            </w:pPr>
            <w:r w:rsidRPr="007C4132">
              <w:rPr>
                <w:sz w:val="20"/>
                <w:szCs w:val="20"/>
              </w:rPr>
              <w:t>-</w:t>
            </w:r>
          </w:p>
        </w:tc>
        <w:tc>
          <w:tcPr>
            <w:tcW w:w="1622" w:type="dxa"/>
            <w:gridSpan w:val="2"/>
            <w:tcBorders>
              <w:top w:val="single" w:sz="4" w:space="0" w:color="auto"/>
              <w:left w:val="nil"/>
              <w:bottom w:val="thickThinSmallGap" w:sz="24" w:space="0" w:color="auto"/>
              <w:right w:val="nil"/>
            </w:tcBorders>
            <w:vAlign w:val="center"/>
          </w:tcPr>
          <w:p w14:paraId="33EC8AF1" w14:textId="77777777" w:rsidR="007C4132" w:rsidRPr="007C4132" w:rsidRDefault="007C4132" w:rsidP="00013648">
            <w:pPr>
              <w:spacing w:line="240" w:lineRule="auto"/>
              <w:ind w:firstLine="0"/>
              <w:jc w:val="center"/>
              <w:rPr>
                <w:sz w:val="20"/>
                <w:szCs w:val="20"/>
              </w:rPr>
            </w:pPr>
            <w:r w:rsidRPr="007C4132">
              <w:rPr>
                <w:sz w:val="20"/>
                <w:szCs w:val="20"/>
              </w:rPr>
              <w:t>73.4</w:t>
            </w:r>
          </w:p>
        </w:tc>
        <w:tc>
          <w:tcPr>
            <w:tcW w:w="1765" w:type="dxa"/>
            <w:tcBorders>
              <w:top w:val="single" w:sz="4" w:space="0" w:color="auto"/>
              <w:left w:val="nil"/>
              <w:bottom w:val="thickThinSmallGap" w:sz="24" w:space="0" w:color="auto"/>
              <w:right w:val="nil"/>
            </w:tcBorders>
            <w:vAlign w:val="center"/>
          </w:tcPr>
          <w:p w14:paraId="149B065C" w14:textId="77777777" w:rsidR="007C4132" w:rsidRPr="007C4132" w:rsidRDefault="007C4132" w:rsidP="00013648">
            <w:pPr>
              <w:spacing w:line="240" w:lineRule="auto"/>
              <w:ind w:firstLine="0"/>
              <w:jc w:val="center"/>
              <w:rPr>
                <w:sz w:val="20"/>
                <w:szCs w:val="20"/>
              </w:rPr>
            </w:pPr>
            <w:r w:rsidRPr="007C4132">
              <w:rPr>
                <w:sz w:val="20"/>
                <w:szCs w:val="20"/>
              </w:rPr>
              <w:t>33.8</w:t>
            </w:r>
          </w:p>
        </w:tc>
      </w:tr>
      <w:tr w:rsidR="007C4132" w:rsidRPr="00043614" w14:paraId="0C06D56A" w14:textId="77777777" w:rsidTr="004247C0">
        <w:trPr>
          <w:trHeight w:val="255"/>
          <w:jc w:val="center"/>
        </w:trPr>
        <w:tc>
          <w:tcPr>
            <w:tcW w:w="3070" w:type="dxa"/>
            <w:tcBorders>
              <w:top w:val="thinThickSmallGap" w:sz="24" w:space="0" w:color="auto"/>
              <w:left w:val="nil"/>
              <w:bottom w:val="thinThickSmallGap" w:sz="24" w:space="0" w:color="auto"/>
              <w:right w:val="nil"/>
            </w:tcBorders>
            <w:shd w:val="clear" w:color="auto" w:fill="BDD6EE" w:themeFill="accent1" w:themeFillTint="66"/>
          </w:tcPr>
          <w:p w14:paraId="0119402A" w14:textId="77777777" w:rsidR="007C4132" w:rsidRPr="007C4132" w:rsidRDefault="007C4132" w:rsidP="00013648">
            <w:pPr>
              <w:spacing w:line="240" w:lineRule="auto"/>
              <w:ind w:firstLine="0"/>
              <w:jc w:val="left"/>
              <w:rPr>
                <w:sz w:val="20"/>
                <w:szCs w:val="20"/>
              </w:rPr>
            </w:pPr>
          </w:p>
        </w:tc>
        <w:tc>
          <w:tcPr>
            <w:tcW w:w="1646" w:type="dxa"/>
            <w:tcBorders>
              <w:top w:val="thinThickSmallGap" w:sz="24" w:space="0" w:color="auto"/>
              <w:left w:val="nil"/>
              <w:bottom w:val="thinThickSmallGap" w:sz="24" w:space="0" w:color="auto"/>
              <w:right w:val="nil"/>
            </w:tcBorders>
            <w:shd w:val="clear" w:color="auto" w:fill="BDD6EE" w:themeFill="accent1" w:themeFillTint="66"/>
            <w:vAlign w:val="center"/>
          </w:tcPr>
          <w:p w14:paraId="40BF470D" w14:textId="77777777" w:rsidR="007C4132" w:rsidRPr="007C4132" w:rsidRDefault="007C4132" w:rsidP="00013648">
            <w:pPr>
              <w:ind w:firstLine="0"/>
              <w:jc w:val="center"/>
              <w:rPr>
                <w:rFonts w:cs="Sylfaen"/>
                <w:sz w:val="20"/>
                <w:szCs w:val="20"/>
              </w:rPr>
            </w:pPr>
          </w:p>
        </w:tc>
        <w:tc>
          <w:tcPr>
            <w:tcW w:w="1838" w:type="dxa"/>
            <w:gridSpan w:val="2"/>
            <w:tcBorders>
              <w:top w:val="thinThickSmallGap" w:sz="24" w:space="0" w:color="auto"/>
              <w:left w:val="nil"/>
              <w:bottom w:val="thinThickSmallGap" w:sz="24" w:space="0" w:color="auto"/>
              <w:right w:val="nil"/>
            </w:tcBorders>
            <w:shd w:val="clear" w:color="auto" w:fill="BDD6EE" w:themeFill="accent1" w:themeFillTint="66"/>
          </w:tcPr>
          <w:p w14:paraId="0515959E" w14:textId="77777777" w:rsidR="007C4132" w:rsidRPr="007C4132" w:rsidRDefault="007C4132" w:rsidP="00013648">
            <w:pPr>
              <w:spacing w:line="240" w:lineRule="auto"/>
              <w:ind w:firstLine="0"/>
              <w:jc w:val="center"/>
              <w:rPr>
                <w:sz w:val="20"/>
                <w:szCs w:val="20"/>
              </w:rPr>
            </w:pPr>
            <w:r w:rsidRPr="007C4132">
              <w:rPr>
                <w:sz w:val="20"/>
                <w:szCs w:val="20"/>
              </w:rPr>
              <w:t>Մասհանման ծավալը</w:t>
            </w:r>
          </w:p>
        </w:tc>
        <w:tc>
          <w:tcPr>
            <w:tcW w:w="1600" w:type="dxa"/>
            <w:tcBorders>
              <w:top w:val="thinThickSmallGap" w:sz="24" w:space="0" w:color="auto"/>
              <w:left w:val="nil"/>
              <w:bottom w:val="thinThickSmallGap" w:sz="24" w:space="0" w:color="auto"/>
              <w:right w:val="nil"/>
            </w:tcBorders>
            <w:shd w:val="clear" w:color="auto" w:fill="BDD6EE" w:themeFill="accent1" w:themeFillTint="66"/>
          </w:tcPr>
          <w:p w14:paraId="28198FD0" w14:textId="77777777" w:rsidR="007C4132" w:rsidRPr="007C4132" w:rsidRDefault="007C4132" w:rsidP="00013648">
            <w:pPr>
              <w:spacing w:line="240" w:lineRule="auto"/>
              <w:ind w:firstLine="0"/>
              <w:jc w:val="center"/>
              <w:rPr>
                <w:sz w:val="20"/>
                <w:szCs w:val="20"/>
              </w:rPr>
            </w:pPr>
            <w:r w:rsidRPr="007C4132">
              <w:rPr>
                <w:sz w:val="20"/>
                <w:szCs w:val="20"/>
              </w:rPr>
              <w:t>Մարման ծավալը</w:t>
            </w:r>
          </w:p>
        </w:tc>
        <w:tc>
          <w:tcPr>
            <w:tcW w:w="1787" w:type="dxa"/>
            <w:gridSpan w:val="2"/>
            <w:tcBorders>
              <w:top w:val="thinThickSmallGap" w:sz="24" w:space="0" w:color="auto"/>
              <w:left w:val="nil"/>
              <w:bottom w:val="thinThickSmallGap" w:sz="24" w:space="0" w:color="auto"/>
              <w:right w:val="nil"/>
            </w:tcBorders>
            <w:shd w:val="clear" w:color="auto" w:fill="BDD6EE" w:themeFill="accent1" w:themeFillTint="66"/>
          </w:tcPr>
          <w:p w14:paraId="77AEE7FD" w14:textId="77777777" w:rsidR="007C4132" w:rsidRPr="007C4132" w:rsidRDefault="007C4132" w:rsidP="00013648">
            <w:pPr>
              <w:spacing w:line="240" w:lineRule="auto"/>
              <w:ind w:firstLine="0"/>
              <w:jc w:val="center"/>
              <w:rPr>
                <w:sz w:val="20"/>
                <w:szCs w:val="20"/>
              </w:rPr>
            </w:pPr>
            <w:r w:rsidRPr="007C4132">
              <w:rPr>
                <w:sz w:val="20"/>
                <w:szCs w:val="20"/>
              </w:rPr>
              <w:t>Վճարված տոկոսագումարը</w:t>
            </w:r>
          </w:p>
        </w:tc>
      </w:tr>
      <w:tr w:rsidR="007C4132" w:rsidRPr="00887722" w14:paraId="75084C01" w14:textId="77777777" w:rsidTr="004247C0">
        <w:trPr>
          <w:trHeight w:val="468"/>
          <w:jc w:val="center"/>
        </w:trPr>
        <w:tc>
          <w:tcPr>
            <w:tcW w:w="3070" w:type="dxa"/>
            <w:tcBorders>
              <w:top w:val="thinThickSmallGap" w:sz="24" w:space="0" w:color="auto"/>
              <w:left w:val="nil"/>
              <w:bottom w:val="single" w:sz="4" w:space="0" w:color="auto"/>
              <w:right w:val="nil"/>
            </w:tcBorders>
          </w:tcPr>
          <w:p w14:paraId="7D360AC3" w14:textId="77777777" w:rsidR="007C4132" w:rsidRPr="007C4132" w:rsidRDefault="007C4132" w:rsidP="00013648">
            <w:pPr>
              <w:spacing w:line="240" w:lineRule="auto"/>
              <w:ind w:firstLine="0"/>
              <w:jc w:val="left"/>
              <w:rPr>
                <w:sz w:val="20"/>
                <w:szCs w:val="20"/>
              </w:rPr>
            </w:pPr>
            <w:r w:rsidRPr="007C4132">
              <w:rPr>
                <w:sz w:val="20"/>
                <w:szCs w:val="20"/>
              </w:rPr>
              <w:t>Արտաքին վարկեր, մլն ԱՄՆ դոլար</w:t>
            </w:r>
          </w:p>
        </w:tc>
        <w:tc>
          <w:tcPr>
            <w:tcW w:w="1646" w:type="dxa"/>
            <w:tcBorders>
              <w:top w:val="thinThickSmallGap" w:sz="24" w:space="0" w:color="auto"/>
              <w:left w:val="nil"/>
              <w:bottom w:val="single" w:sz="4" w:space="0" w:color="auto"/>
              <w:right w:val="nil"/>
            </w:tcBorders>
          </w:tcPr>
          <w:p w14:paraId="1D47D114" w14:textId="77777777" w:rsidR="007C4132" w:rsidRPr="007C4132" w:rsidRDefault="007C4132" w:rsidP="00013648">
            <w:pPr>
              <w:ind w:firstLine="0"/>
              <w:jc w:val="center"/>
              <w:rPr>
                <w:rFonts w:cs="Sylfaen"/>
                <w:sz w:val="20"/>
                <w:szCs w:val="20"/>
              </w:rPr>
            </w:pPr>
          </w:p>
        </w:tc>
        <w:tc>
          <w:tcPr>
            <w:tcW w:w="1838" w:type="dxa"/>
            <w:gridSpan w:val="2"/>
            <w:tcBorders>
              <w:top w:val="thinThickSmallGap" w:sz="24" w:space="0" w:color="auto"/>
              <w:left w:val="nil"/>
              <w:bottom w:val="single" w:sz="4" w:space="0" w:color="auto"/>
              <w:right w:val="nil"/>
            </w:tcBorders>
            <w:vAlign w:val="center"/>
          </w:tcPr>
          <w:p w14:paraId="672CB804" w14:textId="77777777" w:rsidR="007C4132" w:rsidRPr="007C4132" w:rsidRDefault="007C4132" w:rsidP="00013648">
            <w:pPr>
              <w:ind w:firstLine="0"/>
              <w:jc w:val="center"/>
              <w:rPr>
                <w:rFonts w:cs="Sylfaen"/>
                <w:sz w:val="20"/>
                <w:szCs w:val="20"/>
              </w:rPr>
            </w:pPr>
            <w:r w:rsidRPr="007C4132">
              <w:rPr>
                <w:sz w:val="20"/>
                <w:szCs w:val="20"/>
              </w:rPr>
              <w:t>316.4</w:t>
            </w:r>
          </w:p>
        </w:tc>
        <w:tc>
          <w:tcPr>
            <w:tcW w:w="1600" w:type="dxa"/>
            <w:tcBorders>
              <w:top w:val="thinThickSmallGap" w:sz="24" w:space="0" w:color="auto"/>
              <w:left w:val="nil"/>
              <w:bottom w:val="single" w:sz="4" w:space="0" w:color="auto"/>
              <w:right w:val="nil"/>
            </w:tcBorders>
            <w:vAlign w:val="center"/>
          </w:tcPr>
          <w:p w14:paraId="399C63CB" w14:textId="77777777" w:rsidR="007C4132" w:rsidRPr="007C4132" w:rsidRDefault="007C4132" w:rsidP="00013648">
            <w:pPr>
              <w:ind w:firstLine="0"/>
              <w:jc w:val="center"/>
              <w:rPr>
                <w:rFonts w:cs="Sylfaen"/>
                <w:sz w:val="20"/>
                <w:szCs w:val="20"/>
              </w:rPr>
            </w:pPr>
            <w:r w:rsidRPr="007C4132">
              <w:rPr>
                <w:sz w:val="20"/>
                <w:szCs w:val="20"/>
              </w:rPr>
              <w:t>315.6</w:t>
            </w:r>
          </w:p>
        </w:tc>
        <w:tc>
          <w:tcPr>
            <w:tcW w:w="1787" w:type="dxa"/>
            <w:gridSpan w:val="2"/>
            <w:tcBorders>
              <w:top w:val="thinThickSmallGap" w:sz="24" w:space="0" w:color="auto"/>
              <w:left w:val="nil"/>
              <w:bottom w:val="single" w:sz="4" w:space="0" w:color="auto"/>
              <w:right w:val="nil"/>
            </w:tcBorders>
            <w:vAlign w:val="center"/>
          </w:tcPr>
          <w:p w14:paraId="3FAD43A1" w14:textId="77777777" w:rsidR="007C4132" w:rsidRPr="007C4132" w:rsidRDefault="007C4132" w:rsidP="00013648">
            <w:pPr>
              <w:ind w:firstLine="0"/>
              <w:jc w:val="center"/>
              <w:rPr>
                <w:sz w:val="20"/>
                <w:szCs w:val="20"/>
              </w:rPr>
            </w:pPr>
            <w:r w:rsidRPr="007C4132">
              <w:rPr>
                <w:sz w:val="20"/>
                <w:szCs w:val="20"/>
              </w:rPr>
              <w:t>157.6</w:t>
            </w:r>
          </w:p>
        </w:tc>
      </w:tr>
      <w:tr w:rsidR="007C4132" w:rsidRPr="00887722" w14:paraId="703AC5D9" w14:textId="77777777" w:rsidTr="004247C0">
        <w:trPr>
          <w:trHeight w:val="468"/>
          <w:jc w:val="center"/>
        </w:trPr>
        <w:tc>
          <w:tcPr>
            <w:tcW w:w="3070" w:type="dxa"/>
            <w:tcBorders>
              <w:top w:val="single" w:sz="4" w:space="0" w:color="auto"/>
              <w:left w:val="nil"/>
              <w:bottom w:val="thickThinSmallGap" w:sz="24" w:space="0" w:color="auto"/>
              <w:right w:val="nil"/>
            </w:tcBorders>
          </w:tcPr>
          <w:p w14:paraId="5A58BE5E" w14:textId="77777777" w:rsidR="007C4132" w:rsidRPr="007C4132" w:rsidRDefault="007C4132" w:rsidP="00013648">
            <w:pPr>
              <w:spacing w:line="240" w:lineRule="auto"/>
              <w:ind w:firstLine="0"/>
              <w:jc w:val="left"/>
              <w:rPr>
                <w:sz w:val="20"/>
                <w:szCs w:val="20"/>
              </w:rPr>
            </w:pPr>
            <w:r w:rsidRPr="007C4132">
              <w:rPr>
                <w:sz w:val="20"/>
                <w:szCs w:val="20"/>
              </w:rPr>
              <w:t>Արտաքին վարկեր, մլրդ դրամ</w:t>
            </w:r>
          </w:p>
        </w:tc>
        <w:tc>
          <w:tcPr>
            <w:tcW w:w="1646" w:type="dxa"/>
            <w:tcBorders>
              <w:top w:val="single" w:sz="4" w:space="0" w:color="auto"/>
              <w:left w:val="nil"/>
              <w:bottom w:val="thickThinSmallGap" w:sz="24" w:space="0" w:color="auto"/>
              <w:right w:val="nil"/>
            </w:tcBorders>
          </w:tcPr>
          <w:p w14:paraId="198C0DAB" w14:textId="77777777" w:rsidR="007C4132" w:rsidRPr="007C4132" w:rsidRDefault="007C4132" w:rsidP="00013648">
            <w:pPr>
              <w:ind w:firstLine="0"/>
              <w:jc w:val="center"/>
              <w:rPr>
                <w:rFonts w:cs="Sylfaen"/>
                <w:sz w:val="20"/>
                <w:szCs w:val="20"/>
              </w:rPr>
            </w:pPr>
          </w:p>
        </w:tc>
        <w:tc>
          <w:tcPr>
            <w:tcW w:w="1838" w:type="dxa"/>
            <w:gridSpan w:val="2"/>
            <w:tcBorders>
              <w:top w:val="single" w:sz="4" w:space="0" w:color="auto"/>
              <w:left w:val="nil"/>
              <w:bottom w:val="thickThinSmallGap" w:sz="24" w:space="0" w:color="auto"/>
              <w:right w:val="nil"/>
            </w:tcBorders>
            <w:vAlign w:val="center"/>
          </w:tcPr>
          <w:p w14:paraId="2CF513B7" w14:textId="77777777" w:rsidR="007C4132" w:rsidRPr="007C4132" w:rsidRDefault="007C4132" w:rsidP="00013648">
            <w:pPr>
              <w:ind w:firstLine="0"/>
              <w:jc w:val="center"/>
              <w:rPr>
                <w:sz w:val="20"/>
                <w:szCs w:val="20"/>
              </w:rPr>
            </w:pPr>
            <w:r w:rsidRPr="007C4132">
              <w:rPr>
                <w:sz w:val="20"/>
                <w:szCs w:val="20"/>
              </w:rPr>
              <w:t>124.6</w:t>
            </w:r>
          </w:p>
        </w:tc>
        <w:tc>
          <w:tcPr>
            <w:tcW w:w="1600" w:type="dxa"/>
            <w:tcBorders>
              <w:top w:val="single" w:sz="4" w:space="0" w:color="auto"/>
              <w:left w:val="nil"/>
              <w:bottom w:val="thickThinSmallGap" w:sz="24" w:space="0" w:color="auto"/>
              <w:right w:val="nil"/>
            </w:tcBorders>
            <w:vAlign w:val="center"/>
          </w:tcPr>
          <w:p w14:paraId="51022EF8" w14:textId="77777777" w:rsidR="007C4132" w:rsidRPr="007C4132" w:rsidRDefault="007C4132" w:rsidP="00013648">
            <w:pPr>
              <w:ind w:firstLine="0"/>
              <w:jc w:val="center"/>
              <w:rPr>
                <w:sz w:val="20"/>
                <w:szCs w:val="20"/>
              </w:rPr>
            </w:pPr>
            <w:r w:rsidRPr="007C4132">
              <w:rPr>
                <w:sz w:val="20"/>
                <w:szCs w:val="20"/>
              </w:rPr>
              <w:t>124.5</w:t>
            </w:r>
          </w:p>
        </w:tc>
        <w:tc>
          <w:tcPr>
            <w:tcW w:w="1787" w:type="dxa"/>
            <w:gridSpan w:val="2"/>
            <w:tcBorders>
              <w:top w:val="single" w:sz="4" w:space="0" w:color="auto"/>
              <w:left w:val="nil"/>
              <w:bottom w:val="thickThinSmallGap" w:sz="24" w:space="0" w:color="auto"/>
              <w:right w:val="nil"/>
            </w:tcBorders>
            <w:vAlign w:val="center"/>
          </w:tcPr>
          <w:p w14:paraId="5BD0B19D" w14:textId="77777777" w:rsidR="007C4132" w:rsidRPr="007C4132" w:rsidRDefault="007C4132" w:rsidP="00013648">
            <w:pPr>
              <w:ind w:firstLine="0"/>
              <w:jc w:val="center"/>
              <w:rPr>
                <w:sz w:val="20"/>
                <w:szCs w:val="20"/>
              </w:rPr>
            </w:pPr>
            <w:r w:rsidRPr="007C4132">
              <w:rPr>
                <w:sz w:val="20"/>
                <w:szCs w:val="20"/>
              </w:rPr>
              <w:t>62.3</w:t>
            </w:r>
          </w:p>
        </w:tc>
      </w:tr>
    </w:tbl>
    <w:p w14:paraId="19C512AA" w14:textId="77777777" w:rsidR="007C4132" w:rsidRPr="00E06CCC" w:rsidRDefault="007C4132" w:rsidP="007C4132">
      <w:pPr>
        <w:shd w:val="clear" w:color="auto" w:fill="FFFFFF"/>
        <w:spacing w:before="120" w:after="120"/>
        <w:ind w:firstLine="720"/>
        <w:rPr>
          <w:color w:val="FF0000"/>
        </w:rPr>
      </w:pPr>
      <w:r w:rsidRPr="00146A53">
        <w:rPr>
          <w:sz w:val="16"/>
        </w:rPr>
        <w:t>Աղբյուրը՝ ՀՀ ՖՆ</w:t>
      </w:r>
    </w:p>
    <w:p w14:paraId="3869CEE9" w14:textId="77777777" w:rsidR="007C4132" w:rsidRDefault="007C4132" w:rsidP="00746426">
      <w:pPr>
        <w:spacing w:before="120" w:after="0" w:line="276" w:lineRule="auto"/>
        <w:ind w:firstLine="0"/>
      </w:pPr>
      <w:r w:rsidRPr="0070296A">
        <w:t>202</w:t>
      </w:r>
      <w:r>
        <w:t>3</w:t>
      </w:r>
      <w:r w:rsidRPr="0070296A">
        <w:t xml:space="preserve"> թվականի ընթացքում պետական գանձապետական պարտատոմսերի առաջնային տեղաբաշխումների միջին կշռված եկամտաբերությունը կազմել է</w:t>
      </w:r>
      <w:r>
        <w:t xml:space="preserve"> 10.83</w:t>
      </w:r>
      <w:r w:rsidRPr="0070296A">
        <w:t xml:space="preserve"> %` նախորդ տարվա 11.07%</w:t>
      </w:r>
      <w:r>
        <w:t>-ի</w:t>
      </w:r>
      <w:r w:rsidRPr="0070296A">
        <w:t xml:space="preserve"> համեմատությամբ </w:t>
      </w:r>
      <w:r>
        <w:t>նվազ</w:t>
      </w:r>
      <w:r w:rsidRPr="0070296A">
        <w:t xml:space="preserve">ելով </w:t>
      </w:r>
      <w:r>
        <w:t>0.2</w:t>
      </w:r>
      <w:r w:rsidRPr="0070296A">
        <w:t xml:space="preserve"> տոկոսային կետով</w:t>
      </w:r>
      <w:r>
        <w:t>:</w:t>
      </w:r>
      <w:r w:rsidRPr="0070296A">
        <w:t xml:space="preserve"> 202</w:t>
      </w:r>
      <w:r>
        <w:t>3</w:t>
      </w:r>
      <w:r w:rsidRPr="0070296A">
        <w:t xml:space="preserve"> թվականի ընթացքում տեղաբաշխված պետական գանձապետական պարտատոմսերի միջին կշ</w:t>
      </w:r>
      <w:r>
        <w:t>ռ</w:t>
      </w:r>
      <w:r w:rsidRPr="0070296A">
        <w:t>ված ժամկետը կազմել է</w:t>
      </w:r>
      <w:r>
        <w:t xml:space="preserve"> 2381</w:t>
      </w:r>
      <w:r w:rsidRPr="0070296A">
        <w:t xml:space="preserve"> օր կամ </w:t>
      </w:r>
      <w:r>
        <w:t xml:space="preserve">6.5 </w:t>
      </w:r>
      <w:r w:rsidRPr="0070296A">
        <w:t xml:space="preserve">տարի՝ նախորդ տարվա նույն ցուցանիշի </w:t>
      </w:r>
      <w:r>
        <w:t>1762 օրվա կամ 4</w:t>
      </w:r>
      <w:r w:rsidRPr="0070296A">
        <w:t xml:space="preserve">.8 տարվա դիմաց։ </w:t>
      </w:r>
      <w:r>
        <w:t xml:space="preserve">Եթե հաշվի չառնենք </w:t>
      </w:r>
      <w:r w:rsidRPr="001E4A23">
        <w:t>2023թ. դեկտեմբերին 206.</w:t>
      </w:r>
      <w:r>
        <w:t>4 մլրդ</w:t>
      </w:r>
      <w:r w:rsidRPr="001E4A23">
        <w:t xml:space="preserve"> դրամ անվանական արժեքով պարտատոմսերի ուղղակի տեղաբաշխ</w:t>
      </w:r>
      <w:r>
        <w:t xml:space="preserve">ման գործարքը, ապա </w:t>
      </w:r>
      <w:r w:rsidRPr="0070296A">
        <w:t>202</w:t>
      </w:r>
      <w:r>
        <w:t>3</w:t>
      </w:r>
      <w:r w:rsidRPr="0070296A">
        <w:t xml:space="preserve"> թվականի ընթացքում պետական գանձապետական պարտատոմսերի առաջնային տեղաբաշխումների միջին կշռված եկամտաբերությունը </w:t>
      </w:r>
      <w:r>
        <w:t>կ</w:t>
      </w:r>
      <w:r w:rsidRPr="0070296A">
        <w:t>կազմ</w:t>
      </w:r>
      <w:r>
        <w:t>ի 11.24</w:t>
      </w:r>
      <w:r w:rsidRPr="0070296A">
        <w:t>%</w:t>
      </w:r>
      <w:r>
        <w:t>,</w:t>
      </w:r>
      <w:r w:rsidRPr="00CE191C">
        <w:t xml:space="preserve"> </w:t>
      </w:r>
      <w:r>
        <w:t xml:space="preserve">ինչը </w:t>
      </w:r>
      <w:r w:rsidRPr="0070296A">
        <w:t xml:space="preserve">նախորդ տարվա (11.07%) </w:t>
      </w:r>
      <w:r>
        <w:t>ցուցանիշից բարձր է 0.17</w:t>
      </w:r>
      <w:r w:rsidRPr="0070296A">
        <w:t xml:space="preserve"> տոկոսային կետով</w:t>
      </w:r>
      <w:r>
        <w:t xml:space="preserve">: Առանց </w:t>
      </w:r>
      <w:r w:rsidRPr="001E4A23">
        <w:t>2023թ. դեկտեմբերին 206.</w:t>
      </w:r>
      <w:r>
        <w:t>4 մլրդ</w:t>
      </w:r>
      <w:r w:rsidRPr="001E4A23">
        <w:t xml:space="preserve"> դրամ անվանական արժեքով պարտատոմսերի ուղղակի տեղաբաշխ</w:t>
      </w:r>
      <w:r>
        <w:t xml:space="preserve">ման գործարքը հաշվի առնելու՝ պարտատոմսերի </w:t>
      </w:r>
      <w:r w:rsidRPr="0070296A">
        <w:t>միջին կշ</w:t>
      </w:r>
      <w:r>
        <w:t>ռ</w:t>
      </w:r>
      <w:r w:rsidRPr="0070296A">
        <w:t>ված ժամկետը</w:t>
      </w:r>
      <w:r>
        <w:t xml:space="preserve"> կկազմեր 1978 օր կամ 5.4 տարի: </w:t>
      </w:r>
      <w:r w:rsidRPr="00F24BB9">
        <w:t>2022-2023</w:t>
      </w:r>
      <w:r>
        <w:t xml:space="preserve"> թվականներին արձանագրված բարձր տոկոսադրույքների միջավայրում գանձապետական պարտատոմսերի </w:t>
      </w:r>
      <w:r>
        <w:lastRenderedPageBreak/>
        <w:t>տեղաբաշխումների կառուցվածքում գերակշռել են կարճաժամկետ և միջնաժամկետ պարտատոմսերը՝ նպատակ ունենալով երկարաժամկետ հատվածում զսպել տոկոսավճարների աճը: 2023 թվականի երկրորդ կեսից, վերաֆինանսավորման տոկոսադրույքի շարունական նվազմանը զուգահեռ, գանձապետական պարտատոմսերի առաջնային տեղաբաշխումների եկամտաբերությունն աստիճանաբար նվազել է, իսկ տեղաբաշխվող պարտատոմսերի ժամկետայնությունը՝ երկարել:</w:t>
      </w:r>
    </w:p>
    <w:p w14:paraId="2FCC90B7" w14:textId="2E945904" w:rsidR="007C4132" w:rsidRDefault="007C4132" w:rsidP="00746426">
      <w:pPr>
        <w:tabs>
          <w:tab w:val="left" w:pos="0"/>
        </w:tabs>
        <w:spacing w:before="120" w:after="0" w:line="276" w:lineRule="auto"/>
        <w:ind w:firstLine="0"/>
        <w:rPr>
          <w:color w:val="000000" w:themeColor="text1"/>
        </w:rPr>
      </w:pPr>
      <w:r w:rsidRPr="006267A8">
        <w:rPr>
          <w:bCs/>
          <w:color w:val="000000" w:themeColor="text1"/>
        </w:rPr>
        <w:t xml:space="preserve">Վերաֆինանսավորման ռիսկի կառավարման, ինչպես նաև դրամի արժևորման պայմաններում դրամային արտահայտությամբ թողարկումից մուտքի համեմատությամբ եվրապարտատոմսի մարման խնայողության նպատակով 2023 թվականի </w:t>
      </w:r>
      <w:r w:rsidRPr="00AC642D">
        <w:t>հոկտեմբերի 2-ին իրականացվել է 2025 թվականին մարվող եվրոպարտատոմսի հետգնում՝ 186.8 մլն ԱՄՆ դոլար ծավալով</w:t>
      </w:r>
      <w:r w:rsidRPr="006267A8">
        <w:rPr>
          <w:color w:val="000000" w:themeColor="text1"/>
        </w:rPr>
        <w:t>: Հետգնված 186.8 մլն ԱՄՆ դոլարի դիմաց փոխարժեքների տարբերության հետևանքով խնայողություն</w:t>
      </w:r>
      <w:r>
        <w:rPr>
          <w:color w:val="000000" w:themeColor="text1"/>
        </w:rPr>
        <w:t xml:space="preserve">ը կազմել </w:t>
      </w:r>
      <w:r w:rsidRPr="006267A8">
        <w:rPr>
          <w:color w:val="000000" w:themeColor="text1"/>
        </w:rPr>
        <w:t>է 15.4 մլրդ դրամ:</w:t>
      </w:r>
    </w:p>
    <w:p w14:paraId="0C27B617" w14:textId="7684AD7C" w:rsidR="007C4132" w:rsidRDefault="007C4132" w:rsidP="007C4132">
      <w:pPr>
        <w:keepNext/>
        <w:keepLines/>
        <w:tabs>
          <w:tab w:val="left" w:pos="0"/>
        </w:tabs>
        <w:spacing w:before="120" w:after="0" w:line="276" w:lineRule="auto"/>
        <w:ind w:firstLine="0"/>
        <w:contextualSpacing/>
        <w:jc w:val="left"/>
        <w:outlineLvl w:val="2"/>
        <w:rPr>
          <w:color w:val="000000" w:themeColor="text1"/>
        </w:rPr>
      </w:pPr>
    </w:p>
    <w:p w14:paraId="4C5441D5" w14:textId="17DA2607" w:rsidR="007C4132" w:rsidRPr="00A71282" w:rsidRDefault="00DA0D02" w:rsidP="00A71282">
      <w:pPr>
        <w:tabs>
          <w:tab w:val="left" w:pos="0"/>
        </w:tabs>
        <w:spacing w:before="120" w:after="0" w:line="276" w:lineRule="auto"/>
        <w:ind w:firstLine="0"/>
        <w:rPr>
          <w:b/>
          <w:color w:val="44546A" w:themeColor="text2"/>
          <w:sz w:val="24"/>
          <w:szCs w:val="24"/>
          <w:lang w:val="hy-AM" w:eastAsia="ru-RU"/>
        </w:rPr>
      </w:pPr>
      <w:bookmarkStart w:id="257" w:name="_Toc138950998"/>
      <w:r w:rsidRPr="00A71282">
        <w:rPr>
          <w:b/>
          <w:color w:val="44546A" w:themeColor="text2"/>
          <w:sz w:val="24"/>
          <w:szCs w:val="24"/>
          <w:lang w:val="hy-AM" w:eastAsia="ru-RU"/>
        </w:rPr>
        <w:t>1.3</w:t>
      </w:r>
      <w:r w:rsidR="007C4132" w:rsidRPr="00A71282">
        <w:rPr>
          <w:b/>
          <w:color w:val="44546A" w:themeColor="text2"/>
          <w:sz w:val="24"/>
          <w:szCs w:val="24"/>
          <w:lang w:val="hy-AM" w:eastAsia="ru-RU"/>
        </w:rPr>
        <w:t>. ՀՀ կառավարության պարտքի պորտֆելի ծախսերի ու ռիսկերի նկարագիրը</w:t>
      </w:r>
      <w:bookmarkEnd w:id="257"/>
    </w:p>
    <w:p w14:paraId="576E685C" w14:textId="77777777" w:rsidR="007C4132" w:rsidRPr="00A71282" w:rsidRDefault="007C4132" w:rsidP="00746426">
      <w:pPr>
        <w:spacing w:before="120" w:after="0" w:line="276" w:lineRule="auto"/>
        <w:ind w:firstLine="0"/>
        <w:rPr>
          <w:lang w:val="hy-AM"/>
        </w:rPr>
      </w:pPr>
      <w:r w:rsidRPr="00A71282">
        <w:rPr>
          <w:lang w:val="hy-AM"/>
        </w:rPr>
        <w:t>2023 թվականի տարեվերջին ՀՀ կառավարության ծախսերի և ռիսկերի ցուցանիշներն ամբողջական պատկերացում են տալիս և որակապես բնութագրում են ՀՀ կառավարության պարտքի պորտֆելը։</w:t>
      </w:r>
      <w:r w:rsidRPr="00A71282" w:rsidDel="00C1476F">
        <w:rPr>
          <w:lang w:val="hy-AM"/>
        </w:rPr>
        <w:t xml:space="preserve"> </w:t>
      </w:r>
    </w:p>
    <w:p w14:paraId="41A68569" w14:textId="77777777" w:rsidR="007C4132" w:rsidRPr="0070296A" w:rsidRDefault="007C4132" w:rsidP="007C4132">
      <w:pPr>
        <w:pStyle w:val="afd"/>
        <w:numPr>
          <w:ilvl w:val="0"/>
          <w:numId w:val="21"/>
        </w:numPr>
        <w:ind w:left="1276" w:hanging="1276"/>
      </w:pPr>
      <w:r w:rsidRPr="0070296A">
        <w:t>ՀՀ կառավարության պարտքի ծախսերի և ռիսկերի ցուցանիշները 31.12.202</w:t>
      </w:r>
      <w:r>
        <w:t>3</w:t>
      </w:r>
      <w:r w:rsidRPr="0070296A">
        <w:t xml:space="preserve"> թվականի դրությամբ</w:t>
      </w:r>
    </w:p>
    <w:tbl>
      <w:tblPr>
        <w:tblW w:w="9965" w:type="dxa"/>
        <w:tblInd w:w="108" w:type="dxa"/>
        <w:tblLayout w:type="fixed"/>
        <w:tblLook w:val="04A0" w:firstRow="1" w:lastRow="0" w:firstColumn="1" w:lastColumn="0" w:noHBand="0" w:noVBand="1"/>
      </w:tblPr>
      <w:tblGrid>
        <w:gridCol w:w="2694"/>
        <w:gridCol w:w="2693"/>
        <w:gridCol w:w="1790"/>
        <w:gridCol w:w="1418"/>
        <w:gridCol w:w="1353"/>
        <w:gridCol w:w="17"/>
      </w:tblGrid>
      <w:tr w:rsidR="007C4132" w:rsidRPr="00E06CCC" w14:paraId="7925AC60" w14:textId="77777777" w:rsidTr="007F635D">
        <w:trPr>
          <w:trHeight w:val="312"/>
          <w:tblHeader/>
        </w:trPr>
        <w:tc>
          <w:tcPr>
            <w:tcW w:w="5387" w:type="dxa"/>
            <w:gridSpan w:val="2"/>
            <w:tcBorders>
              <w:top w:val="single" w:sz="4" w:space="0" w:color="auto"/>
              <w:left w:val="single" w:sz="4" w:space="0" w:color="auto"/>
              <w:bottom w:val="single" w:sz="4" w:space="0" w:color="auto"/>
              <w:right w:val="single" w:sz="4" w:space="0" w:color="000000"/>
            </w:tcBorders>
            <w:shd w:val="clear" w:color="auto" w:fill="5B9BD5"/>
            <w:noWrap/>
            <w:vAlign w:val="bottom"/>
            <w:hideMark/>
          </w:tcPr>
          <w:p w14:paraId="2C58EDE1" w14:textId="77777777" w:rsidR="007C4132" w:rsidRPr="00A71282" w:rsidRDefault="007C4132" w:rsidP="00013648">
            <w:pPr>
              <w:spacing w:line="240" w:lineRule="auto"/>
              <w:ind w:firstLine="0"/>
              <w:rPr>
                <w:sz w:val="20"/>
                <w:szCs w:val="20"/>
                <w:lang w:val="hy-AM"/>
              </w:rPr>
            </w:pPr>
          </w:p>
        </w:tc>
        <w:tc>
          <w:tcPr>
            <w:tcW w:w="1790" w:type="dxa"/>
            <w:tcBorders>
              <w:top w:val="single" w:sz="4" w:space="0" w:color="auto"/>
              <w:left w:val="nil"/>
              <w:bottom w:val="single" w:sz="4" w:space="0" w:color="auto"/>
              <w:right w:val="single" w:sz="4" w:space="0" w:color="auto"/>
            </w:tcBorders>
            <w:shd w:val="clear" w:color="auto" w:fill="5B9BD5"/>
            <w:noWrap/>
            <w:vAlign w:val="center"/>
            <w:hideMark/>
          </w:tcPr>
          <w:p w14:paraId="6AAA9752" w14:textId="77777777" w:rsidR="007C4132" w:rsidRPr="00A71282" w:rsidRDefault="007C4132" w:rsidP="00013648">
            <w:pPr>
              <w:spacing w:line="240" w:lineRule="auto"/>
              <w:ind w:firstLine="0"/>
              <w:jc w:val="center"/>
              <w:rPr>
                <w:sz w:val="20"/>
                <w:szCs w:val="20"/>
              </w:rPr>
            </w:pPr>
            <w:r w:rsidRPr="00A71282">
              <w:rPr>
                <w:sz w:val="20"/>
                <w:szCs w:val="20"/>
              </w:rPr>
              <w:t>Արտարժութային պարտք</w:t>
            </w:r>
          </w:p>
        </w:tc>
        <w:tc>
          <w:tcPr>
            <w:tcW w:w="1418" w:type="dxa"/>
            <w:tcBorders>
              <w:top w:val="single" w:sz="4" w:space="0" w:color="auto"/>
              <w:left w:val="nil"/>
              <w:bottom w:val="single" w:sz="4" w:space="0" w:color="auto"/>
              <w:right w:val="nil"/>
            </w:tcBorders>
            <w:shd w:val="clear" w:color="auto" w:fill="5B9BD5"/>
            <w:noWrap/>
            <w:vAlign w:val="center"/>
            <w:hideMark/>
          </w:tcPr>
          <w:p w14:paraId="2D7C02AD" w14:textId="77777777" w:rsidR="007C4132" w:rsidRPr="00A71282" w:rsidRDefault="007C4132" w:rsidP="00013648">
            <w:pPr>
              <w:spacing w:line="240" w:lineRule="auto"/>
              <w:ind w:firstLine="0"/>
              <w:jc w:val="center"/>
              <w:rPr>
                <w:sz w:val="20"/>
                <w:szCs w:val="20"/>
              </w:rPr>
            </w:pPr>
            <w:r w:rsidRPr="00A71282">
              <w:rPr>
                <w:sz w:val="20"/>
                <w:szCs w:val="20"/>
              </w:rPr>
              <w:t>Դրամային պարտք</w:t>
            </w:r>
          </w:p>
        </w:tc>
        <w:tc>
          <w:tcPr>
            <w:tcW w:w="1370" w:type="dxa"/>
            <w:gridSpan w:val="2"/>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097F712E" w14:textId="77777777" w:rsidR="007C4132" w:rsidRPr="00A71282" w:rsidRDefault="007C4132" w:rsidP="00013648">
            <w:pPr>
              <w:spacing w:line="240" w:lineRule="auto"/>
              <w:ind w:firstLine="0"/>
              <w:jc w:val="center"/>
              <w:rPr>
                <w:sz w:val="20"/>
                <w:szCs w:val="20"/>
              </w:rPr>
            </w:pPr>
            <w:r w:rsidRPr="00A71282">
              <w:rPr>
                <w:sz w:val="20"/>
                <w:szCs w:val="20"/>
              </w:rPr>
              <w:t>Ընդամենը</w:t>
            </w:r>
          </w:p>
        </w:tc>
      </w:tr>
      <w:tr w:rsidR="007C4132" w:rsidRPr="002F6D8D" w14:paraId="4E16D9DE" w14:textId="77777777" w:rsidTr="007F635D">
        <w:trPr>
          <w:trHeight w:val="312"/>
        </w:trPr>
        <w:tc>
          <w:tcPr>
            <w:tcW w:w="5387"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52E7B2" w14:textId="77777777" w:rsidR="007C4132" w:rsidRPr="00A71282" w:rsidRDefault="007C4132" w:rsidP="00013648">
            <w:pPr>
              <w:spacing w:line="240" w:lineRule="auto"/>
              <w:ind w:firstLine="0"/>
              <w:jc w:val="left"/>
              <w:rPr>
                <w:rFonts w:cs="Calibri"/>
                <w:sz w:val="20"/>
                <w:szCs w:val="20"/>
              </w:rPr>
            </w:pPr>
            <w:r w:rsidRPr="00A71282">
              <w:rPr>
                <w:sz w:val="20"/>
                <w:szCs w:val="20"/>
              </w:rPr>
              <w:t>ՀՀ կառավարության պարտքի</w:t>
            </w:r>
            <w:r w:rsidRPr="00A71282">
              <w:rPr>
                <w:rFonts w:cs="Calibri"/>
                <w:sz w:val="20"/>
                <w:szCs w:val="20"/>
              </w:rPr>
              <w:t xml:space="preserve"> ծավալը (մլրդ դրամ)</w:t>
            </w:r>
          </w:p>
        </w:tc>
        <w:tc>
          <w:tcPr>
            <w:tcW w:w="1790" w:type="dxa"/>
            <w:tcBorders>
              <w:top w:val="nil"/>
              <w:left w:val="nil"/>
              <w:bottom w:val="single" w:sz="4" w:space="0" w:color="auto"/>
              <w:right w:val="nil"/>
            </w:tcBorders>
            <w:shd w:val="clear" w:color="auto" w:fill="auto"/>
            <w:noWrap/>
            <w:vAlign w:val="center"/>
            <w:hideMark/>
          </w:tcPr>
          <w:p w14:paraId="488F6537" w14:textId="77777777" w:rsidR="007C4132" w:rsidRPr="00A71282" w:rsidRDefault="007C4132" w:rsidP="00013648">
            <w:pPr>
              <w:spacing w:line="240" w:lineRule="auto"/>
              <w:ind w:firstLine="0"/>
              <w:jc w:val="center"/>
              <w:rPr>
                <w:sz w:val="20"/>
                <w:szCs w:val="20"/>
              </w:rPr>
            </w:pPr>
            <w:r w:rsidRPr="00A71282">
              <w:rPr>
                <w:sz w:val="20"/>
                <w:szCs w:val="20"/>
              </w:rPr>
              <w:t>2,471.9</w:t>
            </w:r>
          </w:p>
        </w:tc>
        <w:tc>
          <w:tcPr>
            <w:tcW w:w="1418" w:type="dxa"/>
            <w:tcBorders>
              <w:top w:val="nil"/>
              <w:left w:val="single" w:sz="4" w:space="0" w:color="auto"/>
              <w:bottom w:val="single" w:sz="4" w:space="0" w:color="auto"/>
              <w:right w:val="nil"/>
            </w:tcBorders>
            <w:shd w:val="clear" w:color="auto" w:fill="auto"/>
            <w:noWrap/>
            <w:vAlign w:val="center"/>
            <w:hideMark/>
          </w:tcPr>
          <w:p w14:paraId="402AC8BF" w14:textId="77777777" w:rsidR="007C4132" w:rsidRPr="00A71282" w:rsidRDefault="007C4132" w:rsidP="00013648">
            <w:pPr>
              <w:spacing w:line="240" w:lineRule="auto"/>
              <w:ind w:firstLine="0"/>
              <w:jc w:val="center"/>
              <w:rPr>
                <w:sz w:val="20"/>
                <w:szCs w:val="20"/>
              </w:rPr>
            </w:pPr>
            <w:r w:rsidRPr="00A71282">
              <w:rPr>
                <w:sz w:val="20"/>
                <w:szCs w:val="20"/>
              </w:rPr>
              <w:t>2,100.0</w:t>
            </w:r>
          </w:p>
        </w:tc>
        <w:tc>
          <w:tcPr>
            <w:tcW w:w="1370" w:type="dxa"/>
            <w:gridSpan w:val="2"/>
            <w:tcBorders>
              <w:top w:val="nil"/>
              <w:left w:val="single" w:sz="4" w:space="0" w:color="auto"/>
              <w:bottom w:val="single" w:sz="4" w:space="0" w:color="auto"/>
              <w:right w:val="single" w:sz="4" w:space="0" w:color="auto"/>
            </w:tcBorders>
            <w:shd w:val="clear" w:color="auto" w:fill="auto"/>
            <w:noWrap/>
            <w:vAlign w:val="center"/>
            <w:hideMark/>
          </w:tcPr>
          <w:p w14:paraId="44641217" w14:textId="77777777" w:rsidR="007C4132" w:rsidRPr="00A71282" w:rsidRDefault="007C4132" w:rsidP="00013648">
            <w:pPr>
              <w:spacing w:line="240" w:lineRule="auto"/>
              <w:ind w:firstLine="0"/>
              <w:jc w:val="center"/>
              <w:rPr>
                <w:sz w:val="20"/>
                <w:szCs w:val="20"/>
              </w:rPr>
            </w:pPr>
            <w:r w:rsidRPr="00A71282">
              <w:rPr>
                <w:sz w:val="20"/>
                <w:szCs w:val="20"/>
              </w:rPr>
              <w:t>4,571.9</w:t>
            </w:r>
          </w:p>
        </w:tc>
      </w:tr>
      <w:tr w:rsidR="007C4132" w:rsidRPr="00E06CCC" w14:paraId="115BC7B6" w14:textId="77777777" w:rsidTr="007F635D">
        <w:trPr>
          <w:trHeight w:val="312"/>
        </w:trPr>
        <w:tc>
          <w:tcPr>
            <w:tcW w:w="5387"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DB0E77F" w14:textId="77777777" w:rsidR="007C4132" w:rsidRPr="00A71282" w:rsidRDefault="007C4132" w:rsidP="00013648">
            <w:pPr>
              <w:spacing w:line="240" w:lineRule="auto"/>
              <w:ind w:firstLine="0"/>
              <w:jc w:val="left"/>
              <w:rPr>
                <w:sz w:val="20"/>
                <w:szCs w:val="20"/>
              </w:rPr>
            </w:pPr>
            <w:r w:rsidRPr="00A71282">
              <w:rPr>
                <w:sz w:val="20"/>
                <w:szCs w:val="20"/>
              </w:rPr>
              <w:t>ՀՀ կառավարության պարտքի ծավալը (մլն ԱՄՆ դոլար)</w:t>
            </w:r>
          </w:p>
        </w:tc>
        <w:tc>
          <w:tcPr>
            <w:tcW w:w="1790" w:type="dxa"/>
            <w:tcBorders>
              <w:top w:val="nil"/>
              <w:left w:val="nil"/>
              <w:bottom w:val="single" w:sz="4" w:space="0" w:color="auto"/>
              <w:right w:val="nil"/>
            </w:tcBorders>
            <w:shd w:val="clear" w:color="auto" w:fill="auto"/>
            <w:noWrap/>
            <w:vAlign w:val="center"/>
            <w:hideMark/>
          </w:tcPr>
          <w:p w14:paraId="66ADE8C6" w14:textId="77777777" w:rsidR="007C4132" w:rsidRPr="00A71282" w:rsidRDefault="007C4132" w:rsidP="00013648">
            <w:pPr>
              <w:spacing w:line="240" w:lineRule="auto"/>
              <w:ind w:firstLine="0"/>
              <w:jc w:val="center"/>
              <w:rPr>
                <w:sz w:val="20"/>
                <w:szCs w:val="20"/>
              </w:rPr>
            </w:pPr>
            <w:r w:rsidRPr="00A71282">
              <w:rPr>
                <w:sz w:val="20"/>
                <w:szCs w:val="20"/>
              </w:rPr>
              <w:t>6,106.6</w:t>
            </w:r>
          </w:p>
        </w:tc>
        <w:tc>
          <w:tcPr>
            <w:tcW w:w="1418" w:type="dxa"/>
            <w:tcBorders>
              <w:top w:val="nil"/>
              <w:left w:val="single" w:sz="4" w:space="0" w:color="auto"/>
              <w:bottom w:val="single" w:sz="4" w:space="0" w:color="auto"/>
              <w:right w:val="nil"/>
            </w:tcBorders>
            <w:shd w:val="clear" w:color="auto" w:fill="auto"/>
            <w:noWrap/>
            <w:vAlign w:val="center"/>
            <w:hideMark/>
          </w:tcPr>
          <w:p w14:paraId="38C7D483" w14:textId="77777777" w:rsidR="007C4132" w:rsidRPr="00A71282" w:rsidRDefault="007C4132" w:rsidP="00013648">
            <w:pPr>
              <w:spacing w:line="240" w:lineRule="auto"/>
              <w:ind w:firstLine="0"/>
              <w:jc w:val="center"/>
              <w:rPr>
                <w:sz w:val="20"/>
                <w:szCs w:val="20"/>
              </w:rPr>
            </w:pPr>
            <w:r w:rsidRPr="00A71282">
              <w:rPr>
                <w:sz w:val="20"/>
                <w:szCs w:val="20"/>
              </w:rPr>
              <w:t>5,188.0</w:t>
            </w:r>
          </w:p>
        </w:tc>
        <w:tc>
          <w:tcPr>
            <w:tcW w:w="137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5308499" w14:textId="77777777" w:rsidR="007C4132" w:rsidRPr="00A71282" w:rsidRDefault="007C4132" w:rsidP="00013648">
            <w:pPr>
              <w:spacing w:line="240" w:lineRule="auto"/>
              <w:ind w:firstLine="0"/>
              <w:jc w:val="center"/>
              <w:rPr>
                <w:sz w:val="20"/>
                <w:szCs w:val="20"/>
              </w:rPr>
            </w:pPr>
            <w:r w:rsidRPr="00A71282">
              <w:rPr>
                <w:sz w:val="20"/>
                <w:szCs w:val="20"/>
              </w:rPr>
              <w:t>11,294.6</w:t>
            </w:r>
          </w:p>
        </w:tc>
      </w:tr>
      <w:tr w:rsidR="007C4132" w:rsidRPr="00E06CCC" w14:paraId="7DD6A4B7" w14:textId="77777777" w:rsidTr="007F635D">
        <w:trPr>
          <w:trHeight w:val="318"/>
        </w:trPr>
        <w:tc>
          <w:tcPr>
            <w:tcW w:w="5387" w:type="dxa"/>
            <w:gridSpan w:val="2"/>
            <w:tcBorders>
              <w:top w:val="single" w:sz="4" w:space="0" w:color="auto"/>
              <w:left w:val="single" w:sz="4" w:space="0" w:color="auto"/>
              <w:bottom w:val="double" w:sz="6" w:space="0" w:color="auto"/>
              <w:right w:val="single" w:sz="4" w:space="0" w:color="000000"/>
            </w:tcBorders>
            <w:shd w:val="clear" w:color="auto" w:fill="auto"/>
            <w:noWrap/>
            <w:vAlign w:val="center"/>
          </w:tcPr>
          <w:p w14:paraId="09095AB3" w14:textId="77777777" w:rsidR="007C4132" w:rsidRPr="00A71282" w:rsidRDefault="007C4132" w:rsidP="00013648">
            <w:pPr>
              <w:spacing w:line="240" w:lineRule="auto"/>
              <w:ind w:firstLine="0"/>
              <w:jc w:val="left"/>
              <w:rPr>
                <w:rFonts w:cs="Calibri"/>
                <w:sz w:val="20"/>
                <w:szCs w:val="20"/>
              </w:rPr>
            </w:pPr>
            <w:r w:rsidRPr="00A71282">
              <w:rPr>
                <w:sz w:val="20"/>
                <w:szCs w:val="20"/>
              </w:rPr>
              <w:t>ՀՀ կառավարության պարտք/ՀՆԱ</w:t>
            </w:r>
            <w:r w:rsidRPr="00A71282">
              <w:rPr>
                <w:rFonts w:cs="Calibri"/>
                <w:sz w:val="20"/>
                <w:szCs w:val="20"/>
              </w:rPr>
              <w:t>, (%)</w:t>
            </w:r>
          </w:p>
        </w:tc>
        <w:tc>
          <w:tcPr>
            <w:tcW w:w="1790" w:type="dxa"/>
            <w:tcBorders>
              <w:top w:val="nil"/>
              <w:left w:val="nil"/>
              <w:bottom w:val="double" w:sz="6" w:space="0" w:color="auto"/>
              <w:right w:val="single" w:sz="4" w:space="0" w:color="auto"/>
            </w:tcBorders>
            <w:shd w:val="clear" w:color="auto" w:fill="auto"/>
            <w:noWrap/>
            <w:vAlign w:val="center"/>
          </w:tcPr>
          <w:p w14:paraId="46E946BD" w14:textId="77777777" w:rsidR="007C4132" w:rsidRPr="00A71282" w:rsidRDefault="007C4132" w:rsidP="00013648">
            <w:pPr>
              <w:spacing w:line="240" w:lineRule="auto"/>
              <w:ind w:firstLine="0"/>
              <w:jc w:val="center"/>
              <w:rPr>
                <w:sz w:val="20"/>
                <w:szCs w:val="20"/>
              </w:rPr>
            </w:pPr>
            <w:r w:rsidRPr="00A71282">
              <w:rPr>
                <w:sz w:val="20"/>
                <w:szCs w:val="20"/>
              </w:rPr>
              <w:t>26.0</w:t>
            </w:r>
          </w:p>
        </w:tc>
        <w:tc>
          <w:tcPr>
            <w:tcW w:w="1418" w:type="dxa"/>
            <w:tcBorders>
              <w:top w:val="nil"/>
              <w:left w:val="nil"/>
              <w:bottom w:val="double" w:sz="6" w:space="0" w:color="auto"/>
              <w:right w:val="single" w:sz="4" w:space="0" w:color="auto"/>
            </w:tcBorders>
            <w:shd w:val="clear" w:color="auto" w:fill="auto"/>
            <w:noWrap/>
            <w:vAlign w:val="center"/>
          </w:tcPr>
          <w:p w14:paraId="7E4BA5F6" w14:textId="77777777" w:rsidR="007C4132" w:rsidRPr="00A71282" w:rsidRDefault="007C4132" w:rsidP="00013648">
            <w:pPr>
              <w:spacing w:line="240" w:lineRule="auto"/>
              <w:ind w:firstLine="0"/>
              <w:jc w:val="center"/>
              <w:rPr>
                <w:sz w:val="20"/>
                <w:szCs w:val="20"/>
              </w:rPr>
            </w:pPr>
            <w:r w:rsidRPr="00A71282">
              <w:rPr>
                <w:sz w:val="20"/>
                <w:szCs w:val="20"/>
              </w:rPr>
              <w:t>22.1</w:t>
            </w:r>
          </w:p>
        </w:tc>
        <w:tc>
          <w:tcPr>
            <w:tcW w:w="1370" w:type="dxa"/>
            <w:gridSpan w:val="2"/>
            <w:tcBorders>
              <w:top w:val="nil"/>
              <w:left w:val="nil"/>
              <w:bottom w:val="double" w:sz="6" w:space="0" w:color="auto"/>
              <w:right w:val="single" w:sz="4" w:space="0" w:color="auto"/>
            </w:tcBorders>
            <w:shd w:val="clear" w:color="auto" w:fill="auto"/>
            <w:noWrap/>
            <w:vAlign w:val="center"/>
          </w:tcPr>
          <w:p w14:paraId="372ABE63" w14:textId="77777777" w:rsidR="007C4132" w:rsidRPr="00A71282" w:rsidRDefault="007C4132" w:rsidP="00013648">
            <w:pPr>
              <w:spacing w:line="240" w:lineRule="auto"/>
              <w:ind w:firstLine="0"/>
              <w:jc w:val="center"/>
              <w:rPr>
                <w:sz w:val="20"/>
                <w:szCs w:val="20"/>
              </w:rPr>
            </w:pPr>
            <w:r w:rsidRPr="00A71282">
              <w:rPr>
                <w:sz w:val="20"/>
                <w:szCs w:val="20"/>
              </w:rPr>
              <w:t>48.1</w:t>
            </w:r>
          </w:p>
        </w:tc>
      </w:tr>
      <w:tr w:rsidR="007C4132" w:rsidRPr="00E06CCC" w14:paraId="744EB4E2" w14:textId="77777777" w:rsidTr="007F635D">
        <w:trPr>
          <w:gridAfter w:val="1"/>
          <w:wAfter w:w="17" w:type="dxa"/>
          <w:trHeight w:val="318"/>
        </w:trPr>
        <w:tc>
          <w:tcPr>
            <w:tcW w:w="2694" w:type="dxa"/>
            <w:vMerge w:val="restart"/>
            <w:tcBorders>
              <w:top w:val="nil"/>
              <w:left w:val="single" w:sz="4" w:space="0" w:color="auto"/>
              <w:bottom w:val="double" w:sz="6" w:space="0" w:color="000000"/>
              <w:right w:val="nil"/>
            </w:tcBorders>
            <w:shd w:val="clear" w:color="auto" w:fill="auto"/>
            <w:noWrap/>
            <w:vAlign w:val="center"/>
            <w:hideMark/>
          </w:tcPr>
          <w:p w14:paraId="2E7A0EFF" w14:textId="77777777" w:rsidR="007C4132" w:rsidRPr="00A71282" w:rsidRDefault="007C4132" w:rsidP="00013648">
            <w:pPr>
              <w:spacing w:line="240" w:lineRule="auto"/>
              <w:ind w:firstLine="0"/>
              <w:jc w:val="left"/>
              <w:rPr>
                <w:sz w:val="20"/>
                <w:szCs w:val="20"/>
              </w:rPr>
            </w:pPr>
            <w:r w:rsidRPr="00A71282">
              <w:rPr>
                <w:sz w:val="20"/>
                <w:szCs w:val="20"/>
              </w:rPr>
              <w:t>Ծախսի ցուցանիշներ</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B9E12B2" w14:textId="77777777" w:rsidR="007C4132" w:rsidRPr="00A71282" w:rsidRDefault="007C4132" w:rsidP="00013648">
            <w:pPr>
              <w:spacing w:line="240" w:lineRule="auto"/>
              <w:ind w:firstLine="0"/>
              <w:jc w:val="left"/>
              <w:rPr>
                <w:rFonts w:cs="Calibri"/>
                <w:sz w:val="20"/>
                <w:szCs w:val="20"/>
              </w:rPr>
            </w:pPr>
            <w:r w:rsidRPr="00A71282">
              <w:rPr>
                <w:sz w:val="20"/>
                <w:szCs w:val="20"/>
              </w:rPr>
              <w:t xml:space="preserve">Տոկոսավճար/ՀՆԱ, </w:t>
            </w:r>
            <w:r w:rsidRPr="00A71282">
              <w:rPr>
                <w:rFonts w:cs="Calibri"/>
                <w:sz w:val="20"/>
                <w:szCs w:val="20"/>
              </w:rPr>
              <w:t xml:space="preserve">(%) </w:t>
            </w:r>
          </w:p>
        </w:tc>
        <w:tc>
          <w:tcPr>
            <w:tcW w:w="1790" w:type="dxa"/>
            <w:tcBorders>
              <w:top w:val="nil"/>
              <w:left w:val="nil"/>
              <w:bottom w:val="single" w:sz="4" w:space="0" w:color="auto"/>
              <w:right w:val="single" w:sz="4" w:space="0" w:color="auto"/>
            </w:tcBorders>
            <w:shd w:val="clear" w:color="auto" w:fill="auto"/>
            <w:noWrap/>
            <w:vAlign w:val="center"/>
            <w:hideMark/>
          </w:tcPr>
          <w:p w14:paraId="1A400A23" w14:textId="77777777" w:rsidR="007C4132" w:rsidRPr="00A71282" w:rsidRDefault="007C4132" w:rsidP="00013648">
            <w:pPr>
              <w:spacing w:line="240" w:lineRule="auto"/>
              <w:ind w:firstLine="0"/>
              <w:jc w:val="center"/>
              <w:rPr>
                <w:sz w:val="20"/>
                <w:szCs w:val="20"/>
              </w:rPr>
            </w:pPr>
            <w:r w:rsidRPr="00A71282">
              <w:rPr>
                <w:sz w:val="20"/>
                <w:szCs w:val="20"/>
              </w:rPr>
              <w:t>1.0</w:t>
            </w:r>
          </w:p>
        </w:tc>
        <w:tc>
          <w:tcPr>
            <w:tcW w:w="1418" w:type="dxa"/>
            <w:tcBorders>
              <w:top w:val="nil"/>
              <w:left w:val="nil"/>
              <w:bottom w:val="single" w:sz="4" w:space="0" w:color="auto"/>
              <w:right w:val="single" w:sz="4" w:space="0" w:color="auto"/>
            </w:tcBorders>
            <w:shd w:val="clear" w:color="auto" w:fill="auto"/>
            <w:noWrap/>
            <w:vAlign w:val="center"/>
            <w:hideMark/>
          </w:tcPr>
          <w:p w14:paraId="25D1A188" w14:textId="77777777" w:rsidR="007C4132" w:rsidRPr="00A71282" w:rsidRDefault="007C4132" w:rsidP="00013648">
            <w:pPr>
              <w:spacing w:line="240" w:lineRule="auto"/>
              <w:ind w:firstLine="0"/>
              <w:jc w:val="center"/>
              <w:rPr>
                <w:sz w:val="20"/>
                <w:szCs w:val="20"/>
              </w:rPr>
            </w:pPr>
            <w:r w:rsidRPr="00A71282">
              <w:rPr>
                <w:sz w:val="20"/>
                <w:szCs w:val="20"/>
              </w:rPr>
              <w:t>1.7</w:t>
            </w:r>
          </w:p>
        </w:tc>
        <w:tc>
          <w:tcPr>
            <w:tcW w:w="1353" w:type="dxa"/>
            <w:tcBorders>
              <w:top w:val="nil"/>
              <w:left w:val="nil"/>
              <w:bottom w:val="single" w:sz="4" w:space="0" w:color="auto"/>
              <w:right w:val="single" w:sz="4" w:space="0" w:color="auto"/>
            </w:tcBorders>
            <w:shd w:val="clear" w:color="auto" w:fill="auto"/>
            <w:noWrap/>
            <w:vAlign w:val="center"/>
            <w:hideMark/>
          </w:tcPr>
          <w:p w14:paraId="762E9673" w14:textId="77777777" w:rsidR="007C4132" w:rsidRPr="00A71282" w:rsidRDefault="007C4132" w:rsidP="00013648">
            <w:pPr>
              <w:spacing w:line="240" w:lineRule="auto"/>
              <w:ind w:firstLine="0"/>
              <w:jc w:val="center"/>
              <w:rPr>
                <w:sz w:val="20"/>
                <w:szCs w:val="20"/>
              </w:rPr>
            </w:pPr>
            <w:r w:rsidRPr="00A71282">
              <w:rPr>
                <w:sz w:val="20"/>
                <w:szCs w:val="20"/>
              </w:rPr>
              <w:t>2.7</w:t>
            </w:r>
          </w:p>
        </w:tc>
      </w:tr>
      <w:tr w:rsidR="007C4132" w:rsidRPr="00E06CCC" w14:paraId="3F8A3188" w14:textId="77777777" w:rsidTr="007F635D">
        <w:trPr>
          <w:gridAfter w:val="1"/>
          <w:wAfter w:w="17" w:type="dxa"/>
          <w:trHeight w:val="332"/>
        </w:trPr>
        <w:tc>
          <w:tcPr>
            <w:tcW w:w="2694" w:type="dxa"/>
            <w:vMerge/>
            <w:tcBorders>
              <w:top w:val="nil"/>
              <w:left w:val="single" w:sz="4" w:space="0" w:color="auto"/>
              <w:bottom w:val="double" w:sz="6" w:space="0" w:color="000000"/>
              <w:right w:val="nil"/>
            </w:tcBorders>
            <w:vAlign w:val="center"/>
            <w:hideMark/>
          </w:tcPr>
          <w:p w14:paraId="0A7E2CBA" w14:textId="77777777" w:rsidR="007C4132" w:rsidRPr="00A71282" w:rsidRDefault="007C4132" w:rsidP="00013648">
            <w:pPr>
              <w:spacing w:line="240" w:lineRule="auto"/>
              <w:ind w:firstLine="0"/>
              <w:jc w:val="left"/>
              <w:rPr>
                <w:sz w:val="20"/>
                <w:szCs w:val="20"/>
              </w:rPr>
            </w:pPr>
          </w:p>
        </w:tc>
        <w:tc>
          <w:tcPr>
            <w:tcW w:w="2693" w:type="dxa"/>
            <w:tcBorders>
              <w:top w:val="nil"/>
              <w:left w:val="single" w:sz="4" w:space="0" w:color="auto"/>
              <w:bottom w:val="double" w:sz="6" w:space="0" w:color="auto"/>
              <w:right w:val="single" w:sz="4" w:space="0" w:color="auto"/>
            </w:tcBorders>
            <w:shd w:val="clear" w:color="auto" w:fill="auto"/>
            <w:noWrap/>
            <w:vAlign w:val="center"/>
            <w:hideMark/>
          </w:tcPr>
          <w:p w14:paraId="2586A155" w14:textId="77777777" w:rsidR="007C4132" w:rsidRPr="00A71282" w:rsidRDefault="007C4132" w:rsidP="00013648">
            <w:pPr>
              <w:spacing w:line="240" w:lineRule="auto"/>
              <w:ind w:firstLine="0"/>
              <w:jc w:val="left"/>
              <w:rPr>
                <w:rFonts w:cs="Calibri"/>
                <w:sz w:val="20"/>
                <w:szCs w:val="20"/>
              </w:rPr>
            </w:pPr>
            <w:r w:rsidRPr="00A71282">
              <w:rPr>
                <w:sz w:val="20"/>
                <w:szCs w:val="20"/>
              </w:rPr>
              <w:t>Միջին կշռված տոկոսադրույքը</w:t>
            </w:r>
            <w:r w:rsidRPr="00A71282">
              <w:rPr>
                <w:rFonts w:cs="Calibri"/>
                <w:sz w:val="20"/>
                <w:szCs w:val="20"/>
              </w:rPr>
              <w:t xml:space="preserve"> (%)</w:t>
            </w:r>
          </w:p>
        </w:tc>
        <w:tc>
          <w:tcPr>
            <w:tcW w:w="1790" w:type="dxa"/>
            <w:tcBorders>
              <w:top w:val="nil"/>
              <w:left w:val="nil"/>
              <w:bottom w:val="double" w:sz="6" w:space="0" w:color="auto"/>
              <w:right w:val="single" w:sz="4" w:space="0" w:color="auto"/>
            </w:tcBorders>
            <w:shd w:val="clear" w:color="auto" w:fill="auto"/>
            <w:noWrap/>
            <w:vAlign w:val="center"/>
            <w:hideMark/>
          </w:tcPr>
          <w:p w14:paraId="38E7F17A" w14:textId="77777777" w:rsidR="007C4132" w:rsidRPr="00A71282" w:rsidRDefault="007C4132" w:rsidP="00013648">
            <w:pPr>
              <w:spacing w:line="240" w:lineRule="auto"/>
              <w:ind w:firstLine="0"/>
              <w:jc w:val="center"/>
              <w:rPr>
                <w:sz w:val="20"/>
                <w:szCs w:val="20"/>
              </w:rPr>
            </w:pPr>
            <w:r w:rsidRPr="00A71282">
              <w:rPr>
                <w:sz w:val="20"/>
                <w:szCs w:val="20"/>
              </w:rPr>
              <w:t>3.9</w:t>
            </w:r>
          </w:p>
        </w:tc>
        <w:tc>
          <w:tcPr>
            <w:tcW w:w="1418" w:type="dxa"/>
            <w:tcBorders>
              <w:top w:val="nil"/>
              <w:left w:val="nil"/>
              <w:bottom w:val="double" w:sz="6" w:space="0" w:color="auto"/>
              <w:right w:val="single" w:sz="4" w:space="0" w:color="auto"/>
            </w:tcBorders>
            <w:shd w:val="clear" w:color="auto" w:fill="auto"/>
            <w:noWrap/>
            <w:vAlign w:val="center"/>
            <w:hideMark/>
          </w:tcPr>
          <w:p w14:paraId="3527A69E" w14:textId="77777777" w:rsidR="007C4132" w:rsidRPr="00A71282" w:rsidRDefault="007C4132" w:rsidP="00013648">
            <w:pPr>
              <w:spacing w:line="240" w:lineRule="auto"/>
              <w:ind w:firstLine="0"/>
              <w:jc w:val="center"/>
              <w:rPr>
                <w:sz w:val="20"/>
                <w:szCs w:val="20"/>
              </w:rPr>
            </w:pPr>
            <w:r w:rsidRPr="00A71282">
              <w:rPr>
                <w:sz w:val="20"/>
                <w:szCs w:val="20"/>
              </w:rPr>
              <w:t>10.7</w:t>
            </w:r>
          </w:p>
        </w:tc>
        <w:tc>
          <w:tcPr>
            <w:tcW w:w="1353" w:type="dxa"/>
            <w:tcBorders>
              <w:top w:val="nil"/>
              <w:left w:val="nil"/>
              <w:bottom w:val="double" w:sz="6" w:space="0" w:color="auto"/>
              <w:right w:val="single" w:sz="4" w:space="0" w:color="auto"/>
            </w:tcBorders>
            <w:shd w:val="clear" w:color="auto" w:fill="auto"/>
            <w:noWrap/>
            <w:vAlign w:val="center"/>
            <w:hideMark/>
          </w:tcPr>
          <w:p w14:paraId="4D2FD84F" w14:textId="77777777" w:rsidR="007C4132" w:rsidRPr="00A71282" w:rsidRDefault="007C4132" w:rsidP="00013648">
            <w:pPr>
              <w:spacing w:line="240" w:lineRule="auto"/>
              <w:ind w:firstLine="0"/>
              <w:jc w:val="center"/>
              <w:rPr>
                <w:sz w:val="20"/>
                <w:szCs w:val="20"/>
                <w:lang w:val="ru-RU"/>
              </w:rPr>
            </w:pPr>
            <w:r w:rsidRPr="00A71282">
              <w:rPr>
                <w:sz w:val="20"/>
                <w:szCs w:val="20"/>
                <w:lang w:val="ru-RU"/>
              </w:rPr>
              <w:t>7.0</w:t>
            </w:r>
          </w:p>
        </w:tc>
      </w:tr>
      <w:tr w:rsidR="007C4132" w:rsidRPr="00E06CCC" w14:paraId="5AB01034" w14:textId="77777777" w:rsidTr="007F635D">
        <w:trPr>
          <w:gridAfter w:val="1"/>
          <w:wAfter w:w="17" w:type="dxa"/>
          <w:trHeight w:val="627"/>
        </w:trPr>
        <w:tc>
          <w:tcPr>
            <w:tcW w:w="2694" w:type="dxa"/>
            <w:vMerge w:val="restart"/>
            <w:tcBorders>
              <w:top w:val="nil"/>
              <w:left w:val="single" w:sz="4" w:space="0" w:color="auto"/>
              <w:right w:val="single" w:sz="4" w:space="0" w:color="auto"/>
            </w:tcBorders>
            <w:shd w:val="clear" w:color="auto" w:fill="auto"/>
            <w:noWrap/>
            <w:vAlign w:val="center"/>
            <w:hideMark/>
          </w:tcPr>
          <w:p w14:paraId="339AF849" w14:textId="77777777" w:rsidR="007C4132" w:rsidRPr="00A71282" w:rsidRDefault="007C4132" w:rsidP="00013648">
            <w:pPr>
              <w:spacing w:line="240" w:lineRule="auto"/>
              <w:ind w:firstLine="0"/>
              <w:jc w:val="left"/>
              <w:rPr>
                <w:sz w:val="20"/>
                <w:szCs w:val="20"/>
              </w:rPr>
            </w:pPr>
            <w:r w:rsidRPr="00A71282">
              <w:rPr>
                <w:sz w:val="20"/>
                <w:szCs w:val="20"/>
              </w:rPr>
              <w:t>Վերաֆինանսավորման ռիսկ</w:t>
            </w:r>
          </w:p>
        </w:tc>
        <w:tc>
          <w:tcPr>
            <w:tcW w:w="2693" w:type="dxa"/>
            <w:tcBorders>
              <w:top w:val="nil"/>
              <w:left w:val="nil"/>
              <w:bottom w:val="single" w:sz="4" w:space="0" w:color="auto"/>
              <w:right w:val="single" w:sz="4" w:space="0" w:color="auto"/>
            </w:tcBorders>
            <w:shd w:val="clear" w:color="auto" w:fill="auto"/>
            <w:noWrap/>
            <w:vAlign w:val="center"/>
            <w:hideMark/>
          </w:tcPr>
          <w:p w14:paraId="5B33E61B" w14:textId="77777777" w:rsidR="007C4132" w:rsidRPr="00A71282" w:rsidRDefault="007C4132" w:rsidP="00013648">
            <w:pPr>
              <w:spacing w:line="240" w:lineRule="auto"/>
              <w:ind w:firstLine="0"/>
              <w:jc w:val="left"/>
              <w:rPr>
                <w:rFonts w:cs="Calibri"/>
                <w:sz w:val="20"/>
                <w:szCs w:val="20"/>
              </w:rPr>
            </w:pPr>
            <w:r w:rsidRPr="00A71282">
              <w:rPr>
                <w:sz w:val="20"/>
                <w:szCs w:val="20"/>
              </w:rPr>
              <w:t>Մինչև մարում միջին ժամկետը</w:t>
            </w:r>
            <w:r w:rsidRPr="00A71282">
              <w:rPr>
                <w:rFonts w:cs="Calibri"/>
                <w:sz w:val="20"/>
                <w:szCs w:val="20"/>
              </w:rPr>
              <w:t xml:space="preserve"> (տարի)</w:t>
            </w:r>
          </w:p>
        </w:tc>
        <w:tc>
          <w:tcPr>
            <w:tcW w:w="1790" w:type="dxa"/>
            <w:tcBorders>
              <w:top w:val="nil"/>
              <w:left w:val="nil"/>
              <w:bottom w:val="single" w:sz="4" w:space="0" w:color="auto"/>
              <w:right w:val="single" w:sz="4" w:space="0" w:color="auto"/>
            </w:tcBorders>
            <w:shd w:val="clear" w:color="auto" w:fill="auto"/>
            <w:noWrap/>
            <w:vAlign w:val="center"/>
            <w:hideMark/>
          </w:tcPr>
          <w:p w14:paraId="710F6EA0" w14:textId="77777777" w:rsidR="007C4132" w:rsidRPr="00A71282" w:rsidRDefault="007C4132" w:rsidP="00013648">
            <w:pPr>
              <w:spacing w:line="240" w:lineRule="auto"/>
              <w:ind w:firstLine="0"/>
              <w:jc w:val="center"/>
              <w:rPr>
                <w:sz w:val="20"/>
                <w:szCs w:val="20"/>
                <w:lang w:val="ru-RU"/>
              </w:rPr>
            </w:pPr>
            <w:r w:rsidRPr="00A71282">
              <w:rPr>
                <w:sz w:val="20"/>
                <w:szCs w:val="20"/>
                <w:lang w:val="ru-RU"/>
              </w:rPr>
              <w:t>6.8</w:t>
            </w:r>
          </w:p>
        </w:tc>
        <w:tc>
          <w:tcPr>
            <w:tcW w:w="1418" w:type="dxa"/>
            <w:tcBorders>
              <w:top w:val="nil"/>
              <w:left w:val="nil"/>
              <w:bottom w:val="single" w:sz="4" w:space="0" w:color="auto"/>
              <w:right w:val="single" w:sz="4" w:space="0" w:color="auto"/>
            </w:tcBorders>
            <w:shd w:val="clear" w:color="auto" w:fill="auto"/>
            <w:noWrap/>
            <w:vAlign w:val="center"/>
            <w:hideMark/>
          </w:tcPr>
          <w:p w14:paraId="7813E1A3" w14:textId="77777777" w:rsidR="007C4132" w:rsidRPr="00A71282" w:rsidRDefault="007C4132" w:rsidP="00013648">
            <w:pPr>
              <w:spacing w:line="240" w:lineRule="auto"/>
              <w:ind w:firstLine="0"/>
              <w:jc w:val="center"/>
              <w:rPr>
                <w:sz w:val="20"/>
                <w:szCs w:val="20"/>
              </w:rPr>
            </w:pPr>
            <w:r w:rsidRPr="00A71282">
              <w:rPr>
                <w:sz w:val="20"/>
                <w:szCs w:val="20"/>
              </w:rPr>
              <w:t>8.0</w:t>
            </w:r>
          </w:p>
        </w:tc>
        <w:tc>
          <w:tcPr>
            <w:tcW w:w="1353" w:type="dxa"/>
            <w:tcBorders>
              <w:top w:val="nil"/>
              <w:left w:val="nil"/>
              <w:bottom w:val="single" w:sz="4" w:space="0" w:color="auto"/>
              <w:right w:val="single" w:sz="4" w:space="0" w:color="auto"/>
            </w:tcBorders>
            <w:shd w:val="clear" w:color="auto" w:fill="auto"/>
            <w:noWrap/>
            <w:vAlign w:val="center"/>
            <w:hideMark/>
          </w:tcPr>
          <w:p w14:paraId="2DC4319D" w14:textId="77777777" w:rsidR="007C4132" w:rsidRPr="00A71282" w:rsidRDefault="007C4132" w:rsidP="00013648">
            <w:pPr>
              <w:spacing w:line="240" w:lineRule="auto"/>
              <w:ind w:firstLine="0"/>
              <w:jc w:val="center"/>
              <w:rPr>
                <w:sz w:val="20"/>
                <w:szCs w:val="20"/>
                <w:lang w:val="ru-RU"/>
              </w:rPr>
            </w:pPr>
            <w:r w:rsidRPr="00A71282">
              <w:rPr>
                <w:sz w:val="20"/>
                <w:szCs w:val="20"/>
              </w:rPr>
              <w:t>7.4</w:t>
            </w:r>
          </w:p>
        </w:tc>
      </w:tr>
      <w:tr w:rsidR="007C4132" w:rsidRPr="00E06CCC" w14:paraId="1D9725E7" w14:textId="77777777" w:rsidTr="007F635D">
        <w:trPr>
          <w:gridAfter w:val="1"/>
          <w:wAfter w:w="17" w:type="dxa"/>
          <w:trHeight w:val="642"/>
        </w:trPr>
        <w:tc>
          <w:tcPr>
            <w:tcW w:w="2694" w:type="dxa"/>
            <w:vMerge/>
            <w:tcBorders>
              <w:left w:val="single" w:sz="4" w:space="0" w:color="auto"/>
              <w:bottom w:val="double" w:sz="6" w:space="0" w:color="000000"/>
              <w:right w:val="single" w:sz="4" w:space="0" w:color="auto"/>
            </w:tcBorders>
            <w:shd w:val="clear" w:color="auto" w:fill="auto"/>
            <w:vAlign w:val="center"/>
            <w:hideMark/>
          </w:tcPr>
          <w:p w14:paraId="2F6A6F43" w14:textId="77777777" w:rsidR="007C4132" w:rsidRPr="00A71282" w:rsidRDefault="007C4132" w:rsidP="00013648">
            <w:pPr>
              <w:spacing w:line="240" w:lineRule="auto"/>
              <w:ind w:firstLine="0"/>
              <w:jc w:val="left"/>
              <w:rPr>
                <w:sz w:val="20"/>
                <w:szCs w:val="20"/>
              </w:rPr>
            </w:pPr>
          </w:p>
        </w:tc>
        <w:tc>
          <w:tcPr>
            <w:tcW w:w="2693" w:type="dxa"/>
            <w:tcBorders>
              <w:top w:val="nil"/>
              <w:left w:val="nil"/>
              <w:bottom w:val="double" w:sz="6" w:space="0" w:color="auto"/>
              <w:right w:val="single" w:sz="4" w:space="0" w:color="auto"/>
            </w:tcBorders>
            <w:shd w:val="clear" w:color="auto" w:fill="auto"/>
            <w:noWrap/>
            <w:vAlign w:val="center"/>
          </w:tcPr>
          <w:p w14:paraId="213B250C" w14:textId="77777777" w:rsidR="007C4132" w:rsidRPr="00A71282" w:rsidRDefault="007C4132" w:rsidP="00013648">
            <w:pPr>
              <w:spacing w:line="240" w:lineRule="auto"/>
              <w:ind w:firstLine="0"/>
              <w:jc w:val="left"/>
              <w:rPr>
                <w:rFonts w:cs="Calibri"/>
                <w:sz w:val="20"/>
                <w:szCs w:val="20"/>
              </w:rPr>
            </w:pPr>
            <w:r w:rsidRPr="00A71282">
              <w:rPr>
                <w:sz w:val="20"/>
                <w:szCs w:val="20"/>
              </w:rPr>
              <w:t>Մեկ տարվա ընթացքում մարվող պարտքի կշիռը</w:t>
            </w:r>
            <w:r w:rsidRPr="00A71282">
              <w:rPr>
                <w:rFonts w:cs="Calibri"/>
                <w:sz w:val="20"/>
                <w:szCs w:val="20"/>
              </w:rPr>
              <w:t xml:space="preserve"> (% ընդամենի մեջ)</w:t>
            </w:r>
          </w:p>
        </w:tc>
        <w:tc>
          <w:tcPr>
            <w:tcW w:w="1790" w:type="dxa"/>
            <w:tcBorders>
              <w:top w:val="nil"/>
              <w:left w:val="nil"/>
              <w:bottom w:val="double" w:sz="6" w:space="0" w:color="auto"/>
              <w:right w:val="single" w:sz="4" w:space="0" w:color="auto"/>
            </w:tcBorders>
            <w:shd w:val="clear" w:color="auto" w:fill="auto"/>
            <w:noWrap/>
            <w:vAlign w:val="center"/>
          </w:tcPr>
          <w:p w14:paraId="750910AD" w14:textId="77777777" w:rsidR="007C4132" w:rsidRPr="00A71282" w:rsidRDefault="007C4132" w:rsidP="00013648">
            <w:pPr>
              <w:spacing w:line="240" w:lineRule="auto"/>
              <w:ind w:firstLine="0"/>
              <w:jc w:val="center"/>
              <w:rPr>
                <w:sz w:val="20"/>
                <w:szCs w:val="20"/>
              </w:rPr>
            </w:pPr>
            <w:r w:rsidRPr="00A71282">
              <w:rPr>
                <w:sz w:val="20"/>
                <w:szCs w:val="20"/>
              </w:rPr>
              <w:t>6.8</w:t>
            </w:r>
          </w:p>
        </w:tc>
        <w:tc>
          <w:tcPr>
            <w:tcW w:w="1418" w:type="dxa"/>
            <w:tcBorders>
              <w:top w:val="nil"/>
              <w:left w:val="nil"/>
              <w:bottom w:val="double" w:sz="6" w:space="0" w:color="auto"/>
              <w:right w:val="single" w:sz="4" w:space="0" w:color="auto"/>
            </w:tcBorders>
            <w:shd w:val="clear" w:color="auto" w:fill="auto"/>
            <w:noWrap/>
            <w:vAlign w:val="center"/>
          </w:tcPr>
          <w:p w14:paraId="77D1BC73" w14:textId="77777777" w:rsidR="007C4132" w:rsidRPr="00A71282" w:rsidRDefault="007C4132" w:rsidP="00013648">
            <w:pPr>
              <w:spacing w:line="240" w:lineRule="auto"/>
              <w:ind w:firstLine="0"/>
              <w:jc w:val="center"/>
              <w:rPr>
                <w:sz w:val="20"/>
                <w:szCs w:val="20"/>
              </w:rPr>
            </w:pPr>
            <w:r w:rsidRPr="00A71282">
              <w:rPr>
                <w:sz w:val="20"/>
                <w:szCs w:val="20"/>
              </w:rPr>
              <w:t>11.8</w:t>
            </w:r>
          </w:p>
        </w:tc>
        <w:tc>
          <w:tcPr>
            <w:tcW w:w="1353" w:type="dxa"/>
            <w:tcBorders>
              <w:top w:val="nil"/>
              <w:left w:val="nil"/>
              <w:bottom w:val="double" w:sz="6" w:space="0" w:color="auto"/>
              <w:right w:val="single" w:sz="4" w:space="0" w:color="auto"/>
            </w:tcBorders>
            <w:shd w:val="clear" w:color="auto" w:fill="auto"/>
            <w:noWrap/>
            <w:vAlign w:val="center"/>
          </w:tcPr>
          <w:p w14:paraId="44376E81" w14:textId="77777777" w:rsidR="007C4132" w:rsidRPr="00A71282" w:rsidRDefault="007C4132" w:rsidP="00013648">
            <w:pPr>
              <w:spacing w:line="240" w:lineRule="auto"/>
              <w:ind w:firstLine="0"/>
              <w:jc w:val="center"/>
              <w:rPr>
                <w:sz w:val="20"/>
                <w:szCs w:val="20"/>
              </w:rPr>
            </w:pPr>
            <w:r w:rsidRPr="00A71282">
              <w:rPr>
                <w:sz w:val="20"/>
                <w:szCs w:val="20"/>
              </w:rPr>
              <w:t>9.1</w:t>
            </w:r>
          </w:p>
        </w:tc>
      </w:tr>
      <w:tr w:rsidR="007C4132" w:rsidRPr="00E06CCC" w14:paraId="1037E04C" w14:textId="77777777" w:rsidTr="007F635D">
        <w:trPr>
          <w:gridAfter w:val="1"/>
          <w:wAfter w:w="17" w:type="dxa"/>
          <w:trHeight w:val="615"/>
        </w:trPr>
        <w:tc>
          <w:tcPr>
            <w:tcW w:w="2694" w:type="dxa"/>
            <w:vMerge w:val="restart"/>
            <w:tcBorders>
              <w:top w:val="nil"/>
              <w:left w:val="single" w:sz="4" w:space="0" w:color="auto"/>
              <w:bottom w:val="nil"/>
              <w:right w:val="single" w:sz="4" w:space="0" w:color="auto"/>
            </w:tcBorders>
            <w:shd w:val="clear" w:color="auto" w:fill="auto"/>
            <w:noWrap/>
            <w:vAlign w:val="center"/>
            <w:hideMark/>
          </w:tcPr>
          <w:p w14:paraId="4A95DCFE" w14:textId="77777777" w:rsidR="007C4132" w:rsidRPr="00A71282" w:rsidRDefault="007C4132" w:rsidP="00013648">
            <w:pPr>
              <w:spacing w:line="240" w:lineRule="auto"/>
              <w:ind w:firstLine="0"/>
              <w:jc w:val="left"/>
              <w:rPr>
                <w:sz w:val="20"/>
                <w:szCs w:val="20"/>
              </w:rPr>
            </w:pPr>
            <w:r w:rsidRPr="00A71282">
              <w:rPr>
                <w:sz w:val="20"/>
                <w:szCs w:val="20"/>
              </w:rPr>
              <w:t>Տոկոսադրույքի ռիսկ</w:t>
            </w:r>
          </w:p>
        </w:tc>
        <w:tc>
          <w:tcPr>
            <w:tcW w:w="2693" w:type="dxa"/>
            <w:tcBorders>
              <w:top w:val="nil"/>
              <w:left w:val="nil"/>
              <w:bottom w:val="single" w:sz="4" w:space="0" w:color="auto"/>
              <w:right w:val="single" w:sz="4" w:space="0" w:color="auto"/>
            </w:tcBorders>
            <w:shd w:val="clear" w:color="auto" w:fill="auto"/>
            <w:noWrap/>
            <w:vAlign w:val="center"/>
            <w:hideMark/>
          </w:tcPr>
          <w:p w14:paraId="724BE073" w14:textId="77777777" w:rsidR="007C4132" w:rsidRPr="00A71282" w:rsidRDefault="007C4132" w:rsidP="00013648">
            <w:pPr>
              <w:spacing w:line="240" w:lineRule="auto"/>
              <w:ind w:firstLine="0"/>
              <w:jc w:val="left"/>
              <w:rPr>
                <w:rFonts w:cs="Calibri"/>
                <w:sz w:val="20"/>
                <w:szCs w:val="20"/>
              </w:rPr>
            </w:pPr>
            <w:r w:rsidRPr="00A71282">
              <w:rPr>
                <w:sz w:val="20"/>
                <w:szCs w:val="20"/>
              </w:rPr>
              <w:t>Մինչև վերաֆիքսում միջին ժամկետը</w:t>
            </w:r>
            <w:r w:rsidRPr="00A71282">
              <w:rPr>
                <w:rFonts w:cs="Calibri"/>
                <w:sz w:val="20"/>
                <w:szCs w:val="20"/>
              </w:rPr>
              <w:t xml:space="preserve"> (տարի)</w:t>
            </w:r>
          </w:p>
        </w:tc>
        <w:tc>
          <w:tcPr>
            <w:tcW w:w="1790" w:type="dxa"/>
            <w:tcBorders>
              <w:top w:val="nil"/>
              <w:left w:val="nil"/>
              <w:bottom w:val="single" w:sz="4" w:space="0" w:color="auto"/>
              <w:right w:val="single" w:sz="4" w:space="0" w:color="auto"/>
            </w:tcBorders>
            <w:shd w:val="clear" w:color="auto" w:fill="auto"/>
            <w:noWrap/>
            <w:vAlign w:val="center"/>
            <w:hideMark/>
          </w:tcPr>
          <w:p w14:paraId="63EE965C" w14:textId="77777777" w:rsidR="007C4132" w:rsidRPr="00A71282" w:rsidRDefault="007C4132" w:rsidP="00013648">
            <w:pPr>
              <w:spacing w:line="240" w:lineRule="auto"/>
              <w:ind w:firstLine="0"/>
              <w:jc w:val="center"/>
              <w:rPr>
                <w:sz w:val="20"/>
                <w:szCs w:val="20"/>
              </w:rPr>
            </w:pPr>
            <w:r w:rsidRPr="00A71282">
              <w:rPr>
                <w:sz w:val="20"/>
                <w:szCs w:val="20"/>
              </w:rPr>
              <w:t>5.1</w:t>
            </w:r>
          </w:p>
        </w:tc>
        <w:tc>
          <w:tcPr>
            <w:tcW w:w="1418" w:type="dxa"/>
            <w:tcBorders>
              <w:top w:val="nil"/>
              <w:left w:val="nil"/>
              <w:bottom w:val="single" w:sz="4" w:space="0" w:color="auto"/>
              <w:right w:val="single" w:sz="4" w:space="0" w:color="auto"/>
            </w:tcBorders>
            <w:shd w:val="clear" w:color="auto" w:fill="auto"/>
            <w:noWrap/>
            <w:vAlign w:val="center"/>
            <w:hideMark/>
          </w:tcPr>
          <w:p w14:paraId="530B278E" w14:textId="77777777" w:rsidR="007C4132" w:rsidRPr="00A71282" w:rsidRDefault="007C4132" w:rsidP="00013648">
            <w:pPr>
              <w:spacing w:line="240" w:lineRule="auto"/>
              <w:ind w:firstLine="0"/>
              <w:jc w:val="center"/>
              <w:rPr>
                <w:sz w:val="20"/>
                <w:szCs w:val="20"/>
              </w:rPr>
            </w:pPr>
            <w:r w:rsidRPr="00A71282">
              <w:rPr>
                <w:sz w:val="20"/>
                <w:szCs w:val="20"/>
              </w:rPr>
              <w:t>8.0</w:t>
            </w:r>
          </w:p>
        </w:tc>
        <w:tc>
          <w:tcPr>
            <w:tcW w:w="1353" w:type="dxa"/>
            <w:tcBorders>
              <w:top w:val="nil"/>
              <w:left w:val="nil"/>
              <w:bottom w:val="single" w:sz="4" w:space="0" w:color="auto"/>
              <w:right w:val="single" w:sz="4" w:space="0" w:color="auto"/>
            </w:tcBorders>
            <w:shd w:val="clear" w:color="auto" w:fill="auto"/>
            <w:noWrap/>
            <w:vAlign w:val="center"/>
            <w:hideMark/>
          </w:tcPr>
          <w:p w14:paraId="6DF94E25" w14:textId="77777777" w:rsidR="007C4132" w:rsidRPr="00A71282" w:rsidRDefault="007C4132" w:rsidP="00013648">
            <w:pPr>
              <w:spacing w:line="240" w:lineRule="auto"/>
              <w:ind w:firstLine="0"/>
              <w:jc w:val="center"/>
              <w:rPr>
                <w:sz w:val="20"/>
                <w:szCs w:val="20"/>
              </w:rPr>
            </w:pPr>
            <w:r w:rsidRPr="00A71282">
              <w:rPr>
                <w:sz w:val="20"/>
                <w:szCs w:val="20"/>
              </w:rPr>
              <w:t>6.4</w:t>
            </w:r>
          </w:p>
        </w:tc>
      </w:tr>
      <w:tr w:rsidR="007C4132" w:rsidRPr="00E06CCC" w14:paraId="0047E17D" w14:textId="77777777" w:rsidTr="007F635D">
        <w:trPr>
          <w:gridAfter w:val="1"/>
          <w:wAfter w:w="17" w:type="dxa"/>
          <w:trHeight w:val="616"/>
        </w:trPr>
        <w:tc>
          <w:tcPr>
            <w:tcW w:w="2694" w:type="dxa"/>
            <w:vMerge/>
            <w:tcBorders>
              <w:top w:val="nil"/>
              <w:left w:val="single" w:sz="4" w:space="0" w:color="auto"/>
              <w:bottom w:val="nil"/>
              <w:right w:val="single" w:sz="4" w:space="0" w:color="auto"/>
            </w:tcBorders>
            <w:vAlign w:val="center"/>
            <w:hideMark/>
          </w:tcPr>
          <w:p w14:paraId="4AA48B04" w14:textId="77777777" w:rsidR="007C4132" w:rsidRPr="00A71282" w:rsidRDefault="007C4132" w:rsidP="00013648">
            <w:pPr>
              <w:spacing w:line="240" w:lineRule="auto"/>
              <w:ind w:firstLine="0"/>
              <w:jc w:val="left"/>
              <w:rPr>
                <w:sz w:val="20"/>
                <w:szCs w:val="20"/>
              </w:rPr>
            </w:pPr>
          </w:p>
        </w:tc>
        <w:tc>
          <w:tcPr>
            <w:tcW w:w="2693" w:type="dxa"/>
            <w:tcBorders>
              <w:top w:val="nil"/>
              <w:left w:val="nil"/>
              <w:bottom w:val="single" w:sz="4" w:space="0" w:color="auto"/>
              <w:right w:val="single" w:sz="4" w:space="0" w:color="auto"/>
            </w:tcBorders>
            <w:shd w:val="clear" w:color="auto" w:fill="auto"/>
            <w:noWrap/>
            <w:vAlign w:val="center"/>
            <w:hideMark/>
          </w:tcPr>
          <w:p w14:paraId="2575F644" w14:textId="77777777" w:rsidR="007C4132" w:rsidRPr="00A71282" w:rsidRDefault="007C4132" w:rsidP="00013648">
            <w:pPr>
              <w:spacing w:line="240" w:lineRule="auto"/>
              <w:ind w:firstLine="0"/>
              <w:jc w:val="left"/>
              <w:rPr>
                <w:rFonts w:cs="Calibri"/>
                <w:sz w:val="20"/>
                <w:szCs w:val="20"/>
              </w:rPr>
            </w:pPr>
            <w:r w:rsidRPr="00A71282">
              <w:rPr>
                <w:sz w:val="20"/>
                <w:szCs w:val="20"/>
              </w:rPr>
              <w:t xml:space="preserve">Առաջիկա տարում վերաֆիքսվող պարտքի կշիռը </w:t>
            </w:r>
            <w:r w:rsidRPr="00A71282">
              <w:rPr>
                <w:rFonts w:cs="Calibri"/>
                <w:sz w:val="20"/>
                <w:szCs w:val="20"/>
              </w:rPr>
              <w:t>(% ընդամենի մեջ)</w:t>
            </w:r>
          </w:p>
        </w:tc>
        <w:tc>
          <w:tcPr>
            <w:tcW w:w="1790" w:type="dxa"/>
            <w:tcBorders>
              <w:top w:val="nil"/>
              <w:left w:val="nil"/>
              <w:bottom w:val="single" w:sz="4" w:space="0" w:color="auto"/>
              <w:right w:val="single" w:sz="4" w:space="0" w:color="auto"/>
            </w:tcBorders>
            <w:shd w:val="clear" w:color="auto" w:fill="auto"/>
            <w:noWrap/>
            <w:vAlign w:val="center"/>
            <w:hideMark/>
          </w:tcPr>
          <w:p w14:paraId="39755210" w14:textId="77777777" w:rsidR="007C4132" w:rsidRPr="00A71282" w:rsidRDefault="007C4132" w:rsidP="00013648">
            <w:pPr>
              <w:spacing w:line="240" w:lineRule="auto"/>
              <w:ind w:firstLine="0"/>
              <w:jc w:val="center"/>
              <w:rPr>
                <w:sz w:val="20"/>
                <w:szCs w:val="20"/>
              </w:rPr>
            </w:pPr>
            <w:r w:rsidRPr="00A71282">
              <w:rPr>
                <w:sz w:val="20"/>
                <w:szCs w:val="20"/>
              </w:rPr>
              <w:t>29.9</w:t>
            </w:r>
          </w:p>
        </w:tc>
        <w:tc>
          <w:tcPr>
            <w:tcW w:w="1418" w:type="dxa"/>
            <w:tcBorders>
              <w:top w:val="nil"/>
              <w:left w:val="nil"/>
              <w:bottom w:val="single" w:sz="4" w:space="0" w:color="auto"/>
              <w:right w:val="single" w:sz="4" w:space="0" w:color="auto"/>
            </w:tcBorders>
            <w:shd w:val="clear" w:color="auto" w:fill="auto"/>
            <w:noWrap/>
            <w:vAlign w:val="center"/>
            <w:hideMark/>
          </w:tcPr>
          <w:p w14:paraId="64DA14F7" w14:textId="77777777" w:rsidR="007C4132" w:rsidRPr="00A71282" w:rsidRDefault="007C4132" w:rsidP="00013648">
            <w:pPr>
              <w:spacing w:line="240" w:lineRule="auto"/>
              <w:ind w:firstLine="0"/>
              <w:jc w:val="center"/>
              <w:rPr>
                <w:sz w:val="20"/>
                <w:szCs w:val="20"/>
              </w:rPr>
            </w:pPr>
            <w:r w:rsidRPr="00A71282">
              <w:rPr>
                <w:sz w:val="20"/>
                <w:szCs w:val="20"/>
              </w:rPr>
              <w:t>11.8</w:t>
            </w:r>
          </w:p>
        </w:tc>
        <w:tc>
          <w:tcPr>
            <w:tcW w:w="1353" w:type="dxa"/>
            <w:tcBorders>
              <w:top w:val="nil"/>
              <w:left w:val="nil"/>
              <w:bottom w:val="single" w:sz="4" w:space="0" w:color="auto"/>
              <w:right w:val="single" w:sz="4" w:space="0" w:color="auto"/>
            </w:tcBorders>
            <w:shd w:val="clear" w:color="auto" w:fill="auto"/>
            <w:noWrap/>
            <w:vAlign w:val="center"/>
            <w:hideMark/>
          </w:tcPr>
          <w:p w14:paraId="1D6329D0" w14:textId="77777777" w:rsidR="007C4132" w:rsidRPr="00A71282" w:rsidRDefault="007C4132" w:rsidP="00013648">
            <w:pPr>
              <w:spacing w:line="240" w:lineRule="auto"/>
              <w:ind w:firstLine="0"/>
              <w:jc w:val="center"/>
              <w:rPr>
                <w:sz w:val="20"/>
                <w:szCs w:val="20"/>
              </w:rPr>
            </w:pPr>
            <w:r w:rsidRPr="00A71282">
              <w:rPr>
                <w:sz w:val="20"/>
                <w:szCs w:val="20"/>
              </w:rPr>
              <w:t>21.6</w:t>
            </w:r>
          </w:p>
        </w:tc>
      </w:tr>
      <w:tr w:rsidR="007C4132" w:rsidRPr="00E06CCC" w14:paraId="3F6670DB" w14:textId="77777777" w:rsidTr="007F635D">
        <w:trPr>
          <w:gridAfter w:val="1"/>
          <w:wAfter w:w="17" w:type="dxa"/>
          <w:trHeight w:val="624"/>
        </w:trPr>
        <w:tc>
          <w:tcPr>
            <w:tcW w:w="2694" w:type="dxa"/>
            <w:vMerge/>
            <w:tcBorders>
              <w:top w:val="nil"/>
              <w:left w:val="single" w:sz="4" w:space="0" w:color="auto"/>
              <w:bottom w:val="nil"/>
              <w:right w:val="single" w:sz="4" w:space="0" w:color="auto"/>
            </w:tcBorders>
            <w:vAlign w:val="center"/>
            <w:hideMark/>
          </w:tcPr>
          <w:p w14:paraId="60A2327A" w14:textId="77777777" w:rsidR="007C4132" w:rsidRPr="00A71282" w:rsidRDefault="007C4132" w:rsidP="00013648">
            <w:pPr>
              <w:spacing w:line="240" w:lineRule="auto"/>
              <w:ind w:firstLine="0"/>
              <w:jc w:val="left"/>
              <w:rPr>
                <w:sz w:val="20"/>
                <w:szCs w:val="20"/>
              </w:rPr>
            </w:pPr>
          </w:p>
        </w:tc>
        <w:tc>
          <w:tcPr>
            <w:tcW w:w="2693" w:type="dxa"/>
            <w:tcBorders>
              <w:top w:val="nil"/>
              <w:left w:val="nil"/>
              <w:right w:val="single" w:sz="4" w:space="0" w:color="auto"/>
            </w:tcBorders>
            <w:shd w:val="clear" w:color="auto" w:fill="auto"/>
            <w:noWrap/>
            <w:vAlign w:val="center"/>
            <w:hideMark/>
          </w:tcPr>
          <w:p w14:paraId="497769C2" w14:textId="77777777" w:rsidR="007C4132" w:rsidRPr="00A71282" w:rsidRDefault="007C4132" w:rsidP="00013648">
            <w:pPr>
              <w:spacing w:line="240" w:lineRule="auto"/>
              <w:ind w:firstLine="0"/>
              <w:jc w:val="left"/>
              <w:rPr>
                <w:rFonts w:cs="Calibri"/>
                <w:sz w:val="20"/>
                <w:szCs w:val="20"/>
              </w:rPr>
            </w:pPr>
            <w:r w:rsidRPr="00A71282">
              <w:rPr>
                <w:sz w:val="20"/>
                <w:szCs w:val="20"/>
              </w:rPr>
              <w:t xml:space="preserve">ֆիքսված տոկոսադրույքով պարտքի կշիռը </w:t>
            </w:r>
            <w:r w:rsidRPr="00A71282">
              <w:rPr>
                <w:rFonts w:cs="Calibri"/>
                <w:sz w:val="20"/>
                <w:szCs w:val="20"/>
              </w:rPr>
              <w:t>(% ընդամենի մեջ)</w:t>
            </w:r>
          </w:p>
        </w:tc>
        <w:tc>
          <w:tcPr>
            <w:tcW w:w="1790" w:type="dxa"/>
            <w:tcBorders>
              <w:top w:val="nil"/>
              <w:left w:val="nil"/>
              <w:right w:val="single" w:sz="4" w:space="0" w:color="auto"/>
            </w:tcBorders>
            <w:shd w:val="clear" w:color="auto" w:fill="auto"/>
            <w:noWrap/>
            <w:vAlign w:val="center"/>
            <w:hideMark/>
          </w:tcPr>
          <w:p w14:paraId="05210DDF" w14:textId="77777777" w:rsidR="007C4132" w:rsidRPr="00A71282" w:rsidRDefault="007C4132" w:rsidP="00013648">
            <w:pPr>
              <w:spacing w:line="240" w:lineRule="auto"/>
              <w:ind w:firstLine="0"/>
              <w:jc w:val="center"/>
              <w:rPr>
                <w:sz w:val="20"/>
                <w:szCs w:val="20"/>
              </w:rPr>
            </w:pPr>
            <w:r w:rsidRPr="00A71282">
              <w:rPr>
                <w:sz w:val="20"/>
                <w:szCs w:val="20"/>
              </w:rPr>
              <w:t>70.5</w:t>
            </w:r>
          </w:p>
        </w:tc>
        <w:tc>
          <w:tcPr>
            <w:tcW w:w="1418" w:type="dxa"/>
            <w:tcBorders>
              <w:top w:val="nil"/>
              <w:left w:val="nil"/>
              <w:right w:val="single" w:sz="4" w:space="0" w:color="auto"/>
            </w:tcBorders>
            <w:shd w:val="clear" w:color="auto" w:fill="auto"/>
            <w:noWrap/>
            <w:vAlign w:val="center"/>
            <w:hideMark/>
          </w:tcPr>
          <w:p w14:paraId="601DE80C" w14:textId="77777777" w:rsidR="007C4132" w:rsidRPr="00A71282" w:rsidRDefault="007C4132" w:rsidP="00013648">
            <w:pPr>
              <w:spacing w:line="240" w:lineRule="auto"/>
              <w:ind w:firstLine="0"/>
              <w:jc w:val="center"/>
              <w:rPr>
                <w:sz w:val="20"/>
                <w:szCs w:val="20"/>
              </w:rPr>
            </w:pPr>
            <w:r w:rsidRPr="00A71282">
              <w:rPr>
                <w:sz w:val="20"/>
                <w:szCs w:val="20"/>
              </w:rPr>
              <w:t>100.0</w:t>
            </w:r>
          </w:p>
        </w:tc>
        <w:tc>
          <w:tcPr>
            <w:tcW w:w="1353" w:type="dxa"/>
            <w:tcBorders>
              <w:top w:val="nil"/>
              <w:left w:val="nil"/>
              <w:right w:val="single" w:sz="4" w:space="0" w:color="auto"/>
            </w:tcBorders>
            <w:shd w:val="clear" w:color="auto" w:fill="auto"/>
            <w:noWrap/>
            <w:vAlign w:val="center"/>
            <w:hideMark/>
          </w:tcPr>
          <w:p w14:paraId="765BEB7F" w14:textId="77777777" w:rsidR="007C4132" w:rsidRPr="00A71282" w:rsidRDefault="007C4132" w:rsidP="00013648">
            <w:pPr>
              <w:spacing w:line="240" w:lineRule="auto"/>
              <w:ind w:firstLine="0"/>
              <w:jc w:val="center"/>
              <w:rPr>
                <w:sz w:val="20"/>
                <w:szCs w:val="20"/>
              </w:rPr>
            </w:pPr>
            <w:r w:rsidRPr="00A71282">
              <w:rPr>
                <w:sz w:val="20"/>
                <w:szCs w:val="20"/>
              </w:rPr>
              <w:t>84.1</w:t>
            </w:r>
          </w:p>
        </w:tc>
      </w:tr>
      <w:tr w:rsidR="007C4132" w:rsidRPr="00E06CCC" w14:paraId="3514A92C" w14:textId="77777777" w:rsidTr="007F635D">
        <w:trPr>
          <w:gridAfter w:val="1"/>
          <w:wAfter w:w="17" w:type="dxa"/>
          <w:trHeight w:val="318"/>
        </w:trPr>
        <w:tc>
          <w:tcPr>
            <w:tcW w:w="2694" w:type="dxa"/>
            <w:vMerge w:val="restart"/>
            <w:tcBorders>
              <w:top w:val="double" w:sz="6" w:space="0" w:color="auto"/>
              <w:left w:val="single" w:sz="4" w:space="0" w:color="auto"/>
              <w:bottom w:val="single" w:sz="4" w:space="0" w:color="000000"/>
              <w:right w:val="single" w:sz="4" w:space="0" w:color="auto"/>
            </w:tcBorders>
            <w:shd w:val="clear" w:color="auto" w:fill="auto"/>
            <w:noWrap/>
            <w:vAlign w:val="center"/>
            <w:hideMark/>
          </w:tcPr>
          <w:p w14:paraId="58045600" w14:textId="77777777" w:rsidR="007C4132" w:rsidRPr="00A71282" w:rsidRDefault="007C4132" w:rsidP="00013648">
            <w:pPr>
              <w:spacing w:line="240" w:lineRule="auto"/>
              <w:ind w:firstLine="0"/>
              <w:jc w:val="left"/>
              <w:rPr>
                <w:sz w:val="20"/>
                <w:szCs w:val="20"/>
              </w:rPr>
            </w:pPr>
            <w:r w:rsidRPr="00A71282">
              <w:rPr>
                <w:sz w:val="20"/>
                <w:szCs w:val="20"/>
              </w:rPr>
              <w:t>Փոխարժեքի ռիսկ</w:t>
            </w:r>
          </w:p>
        </w:tc>
        <w:tc>
          <w:tcPr>
            <w:tcW w:w="2693" w:type="dxa"/>
            <w:tcBorders>
              <w:top w:val="double" w:sz="6" w:space="0" w:color="auto"/>
              <w:left w:val="nil"/>
              <w:bottom w:val="single" w:sz="4" w:space="0" w:color="auto"/>
              <w:right w:val="nil"/>
            </w:tcBorders>
            <w:shd w:val="clear" w:color="auto" w:fill="auto"/>
            <w:noWrap/>
            <w:vAlign w:val="center"/>
            <w:hideMark/>
          </w:tcPr>
          <w:p w14:paraId="3964330A" w14:textId="77777777" w:rsidR="007C4132" w:rsidRPr="00A71282" w:rsidRDefault="007C4132" w:rsidP="00013648">
            <w:pPr>
              <w:spacing w:line="240" w:lineRule="auto"/>
              <w:ind w:firstLine="0"/>
              <w:jc w:val="left"/>
              <w:rPr>
                <w:rFonts w:cs="Calibri"/>
                <w:sz w:val="20"/>
                <w:szCs w:val="20"/>
              </w:rPr>
            </w:pPr>
            <w:r w:rsidRPr="00A71282">
              <w:rPr>
                <w:sz w:val="20"/>
                <w:szCs w:val="20"/>
              </w:rPr>
              <w:t xml:space="preserve">Արտարժութային պարտքի կշիռը </w:t>
            </w:r>
            <w:r w:rsidRPr="00A71282">
              <w:rPr>
                <w:rFonts w:cs="Calibri"/>
                <w:sz w:val="20"/>
                <w:szCs w:val="20"/>
              </w:rPr>
              <w:t>(% ընդամենի մեջ)</w:t>
            </w:r>
          </w:p>
        </w:tc>
        <w:tc>
          <w:tcPr>
            <w:tcW w:w="179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406D5D5" w14:textId="77777777" w:rsidR="007C4132" w:rsidRPr="00A71282" w:rsidRDefault="007C4132" w:rsidP="00013648">
            <w:pPr>
              <w:spacing w:line="240" w:lineRule="auto"/>
              <w:ind w:firstLine="0"/>
              <w:jc w:val="center"/>
              <w:rPr>
                <w:sz w:val="20"/>
                <w:szCs w:val="20"/>
              </w:rPr>
            </w:pPr>
            <w:r w:rsidRPr="00A71282">
              <w:rPr>
                <w:sz w:val="20"/>
                <w:szCs w:val="20"/>
              </w:rPr>
              <w:t>-</w:t>
            </w:r>
          </w:p>
        </w:tc>
        <w:tc>
          <w:tcPr>
            <w:tcW w:w="1418" w:type="dxa"/>
            <w:tcBorders>
              <w:top w:val="double" w:sz="6" w:space="0" w:color="auto"/>
              <w:left w:val="nil"/>
              <w:bottom w:val="single" w:sz="4" w:space="0" w:color="auto"/>
              <w:right w:val="single" w:sz="4" w:space="0" w:color="auto"/>
            </w:tcBorders>
            <w:shd w:val="clear" w:color="auto" w:fill="auto"/>
            <w:noWrap/>
            <w:vAlign w:val="center"/>
            <w:hideMark/>
          </w:tcPr>
          <w:p w14:paraId="254625FF" w14:textId="77777777" w:rsidR="007C4132" w:rsidRPr="00A71282" w:rsidRDefault="007C4132" w:rsidP="00013648">
            <w:pPr>
              <w:spacing w:line="240" w:lineRule="auto"/>
              <w:ind w:firstLine="0"/>
              <w:jc w:val="center"/>
              <w:rPr>
                <w:sz w:val="20"/>
                <w:szCs w:val="20"/>
              </w:rPr>
            </w:pPr>
            <w:r w:rsidRPr="00A71282">
              <w:rPr>
                <w:sz w:val="20"/>
                <w:szCs w:val="20"/>
              </w:rPr>
              <w:t>-</w:t>
            </w:r>
          </w:p>
        </w:tc>
        <w:tc>
          <w:tcPr>
            <w:tcW w:w="1353" w:type="dxa"/>
            <w:tcBorders>
              <w:top w:val="double" w:sz="6" w:space="0" w:color="auto"/>
              <w:left w:val="nil"/>
              <w:bottom w:val="single" w:sz="4" w:space="0" w:color="auto"/>
              <w:right w:val="single" w:sz="4" w:space="0" w:color="auto"/>
            </w:tcBorders>
            <w:shd w:val="clear" w:color="auto" w:fill="auto"/>
            <w:noWrap/>
            <w:vAlign w:val="center"/>
            <w:hideMark/>
          </w:tcPr>
          <w:p w14:paraId="0F2C6468" w14:textId="77777777" w:rsidR="007C4132" w:rsidRPr="00A71282" w:rsidRDefault="007C4132" w:rsidP="00013648">
            <w:pPr>
              <w:spacing w:line="240" w:lineRule="auto"/>
              <w:ind w:firstLine="0"/>
              <w:jc w:val="center"/>
              <w:rPr>
                <w:sz w:val="20"/>
                <w:szCs w:val="20"/>
              </w:rPr>
            </w:pPr>
            <w:r w:rsidRPr="00A71282">
              <w:rPr>
                <w:sz w:val="20"/>
                <w:szCs w:val="20"/>
              </w:rPr>
              <w:t>54.1</w:t>
            </w:r>
          </w:p>
        </w:tc>
      </w:tr>
      <w:tr w:rsidR="007C4132" w:rsidRPr="00E06CCC" w14:paraId="57C95C40" w14:textId="77777777" w:rsidTr="007F635D">
        <w:trPr>
          <w:gridAfter w:val="1"/>
          <w:wAfter w:w="17" w:type="dxa"/>
          <w:trHeight w:val="288"/>
        </w:trPr>
        <w:tc>
          <w:tcPr>
            <w:tcW w:w="2694" w:type="dxa"/>
            <w:vMerge/>
            <w:tcBorders>
              <w:top w:val="double" w:sz="6" w:space="0" w:color="auto"/>
              <w:left w:val="single" w:sz="4" w:space="0" w:color="auto"/>
              <w:bottom w:val="single" w:sz="4" w:space="0" w:color="000000"/>
              <w:right w:val="single" w:sz="4" w:space="0" w:color="auto"/>
            </w:tcBorders>
            <w:vAlign w:val="center"/>
            <w:hideMark/>
          </w:tcPr>
          <w:p w14:paraId="74AACA15" w14:textId="77777777" w:rsidR="007C4132" w:rsidRPr="00A71282" w:rsidRDefault="007C4132" w:rsidP="00013648">
            <w:pPr>
              <w:spacing w:line="240" w:lineRule="auto"/>
              <w:ind w:firstLine="0"/>
              <w:rPr>
                <w:sz w:val="20"/>
                <w:szCs w:val="20"/>
              </w:rPr>
            </w:pPr>
          </w:p>
        </w:tc>
        <w:tc>
          <w:tcPr>
            <w:tcW w:w="2693" w:type="dxa"/>
            <w:tcBorders>
              <w:top w:val="nil"/>
              <w:left w:val="nil"/>
              <w:bottom w:val="single" w:sz="4" w:space="0" w:color="auto"/>
              <w:right w:val="nil"/>
            </w:tcBorders>
            <w:shd w:val="clear" w:color="auto" w:fill="auto"/>
            <w:noWrap/>
            <w:vAlign w:val="center"/>
            <w:hideMark/>
          </w:tcPr>
          <w:p w14:paraId="5717844F" w14:textId="77777777" w:rsidR="007C4132" w:rsidRPr="00A71282" w:rsidRDefault="007C4132" w:rsidP="00013648">
            <w:pPr>
              <w:spacing w:line="240" w:lineRule="auto"/>
              <w:ind w:firstLine="0"/>
              <w:jc w:val="left"/>
              <w:rPr>
                <w:rFonts w:cs="Calibri"/>
                <w:sz w:val="20"/>
                <w:szCs w:val="20"/>
              </w:rPr>
            </w:pPr>
            <w:r w:rsidRPr="00A71282">
              <w:rPr>
                <w:sz w:val="20"/>
                <w:szCs w:val="20"/>
              </w:rPr>
              <w:t>Արտարժութային կարճաժամկետ պարտք/միջազգային պահուստներ, (%)</w:t>
            </w:r>
            <w:r w:rsidRPr="00A71282">
              <w:rPr>
                <w:rFonts w:cs="Calibri"/>
                <w:sz w:val="20"/>
                <w:szCs w:val="20"/>
              </w:rPr>
              <w:t xml:space="preserve"> </w:t>
            </w:r>
          </w:p>
        </w:tc>
        <w:tc>
          <w:tcPr>
            <w:tcW w:w="1790" w:type="dxa"/>
            <w:tcBorders>
              <w:top w:val="nil"/>
              <w:left w:val="single" w:sz="4" w:space="0" w:color="auto"/>
              <w:bottom w:val="single" w:sz="4" w:space="0" w:color="auto"/>
              <w:right w:val="single" w:sz="4" w:space="0" w:color="auto"/>
            </w:tcBorders>
            <w:shd w:val="clear" w:color="auto" w:fill="auto"/>
            <w:noWrap/>
            <w:vAlign w:val="center"/>
            <w:hideMark/>
          </w:tcPr>
          <w:p w14:paraId="3C3BAE21" w14:textId="77777777" w:rsidR="007C4132" w:rsidRPr="00A71282" w:rsidRDefault="007C4132" w:rsidP="00013648">
            <w:pPr>
              <w:spacing w:line="240" w:lineRule="auto"/>
              <w:ind w:firstLine="0"/>
              <w:jc w:val="center"/>
              <w:rPr>
                <w:sz w:val="20"/>
                <w:szCs w:val="20"/>
              </w:rPr>
            </w:pPr>
            <w:r w:rsidRPr="00A71282">
              <w:rPr>
                <w:sz w:val="20"/>
                <w:szCs w:val="20"/>
              </w:rPr>
              <w:t>-</w:t>
            </w:r>
          </w:p>
        </w:tc>
        <w:tc>
          <w:tcPr>
            <w:tcW w:w="1418" w:type="dxa"/>
            <w:tcBorders>
              <w:top w:val="nil"/>
              <w:left w:val="nil"/>
              <w:bottom w:val="single" w:sz="4" w:space="0" w:color="auto"/>
              <w:right w:val="single" w:sz="4" w:space="0" w:color="auto"/>
            </w:tcBorders>
            <w:shd w:val="clear" w:color="auto" w:fill="auto"/>
            <w:noWrap/>
            <w:vAlign w:val="center"/>
            <w:hideMark/>
          </w:tcPr>
          <w:p w14:paraId="58940340" w14:textId="77777777" w:rsidR="007C4132" w:rsidRPr="00A71282" w:rsidRDefault="007C4132" w:rsidP="00013648">
            <w:pPr>
              <w:spacing w:line="240" w:lineRule="auto"/>
              <w:ind w:firstLine="0"/>
              <w:jc w:val="center"/>
              <w:rPr>
                <w:sz w:val="20"/>
                <w:szCs w:val="20"/>
              </w:rPr>
            </w:pPr>
            <w:r w:rsidRPr="00A71282">
              <w:rPr>
                <w:sz w:val="20"/>
                <w:szCs w:val="20"/>
              </w:rPr>
              <w:t>-</w:t>
            </w:r>
          </w:p>
        </w:tc>
        <w:tc>
          <w:tcPr>
            <w:tcW w:w="1353" w:type="dxa"/>
            <w:tcBorders>
              <w:top w:val="nil"/>
              <w:left w:val="nil"/>
              <w:bottom w:val="single" w:sz="4" w:space="0" w:color="auto"/>
              <w:right w:val="single" w:sz="4" w:space="0" w:color="auto"/>
            </w:tcBorders>
            <w:shd w:val="clear" w:color="auto" w:fill="auto"/>
            <w:noWrap/>
            <w:vAlign w:val="center"/>
            <w:hideMark/>
          </w:tcPr>
          <w:p w14:paraId="414D913B" w14:textId="77777777" w:rsidR="007C4132" w:rsidRPr="00A71282" w:rsidRDefault="007C4132" w:rsidP="00013648">
            <w:pPr>
              <w:spacing w:line="240" w:lineRule="auto"/>
              <w:ind w:firstLine="0"/>
              <w:jc w:val="center"/>
              <w:rPr>
                <w:sz w:val="20"/>
                <w:szCs w:val="20"/>
              </w:rPr>
            </w:pPr>
            <w:r w:rsidRPr="00A71282">
              <w:rPr>
                <w:sz w:val="20"/>
                <w:szCs w:val="20"/>
              </w:rPr>
              <w:t>11.4</w:t>
            </w:r>
          </w:p>
        </w:tc>
      </w:tr>
    </w:tbl>
    <w:p w14:paraId="62E4D897" w14:textId="77777777" w:rsidR="007C4132" w:rsidRPr="00E06CCC" w:rsidRDefault="007C4132" w:rsidP="007C4132">
      <w:pPr>
        <w:rPr>
          <w:color w:val="FF0000"/>
        </w:rPr>
      </w:pPr>
      <w:r w:rsidRPr="00146A53">
        <w:rPr>
          <w:sz w:val="16"/>
        </w:rPr>
        <w:lastRenderedPageBreak/>
        <w:t>Աղբյուրը՝ ՀՀ ՖՆ հաշվարկներ</w:t>
      </w:r>
    </w:p>
    <w:p w14:paraId="005614CB" w14:textId="77777777" w:rsidR="007C4132" w:rsidRPr="0070296A" w:rsidRDefault="007C4132" w:rsidP="00746426">
      <w:pPr>
        <w:spacing w:before="120" w:after="0" w:line="276" w:lineRule="auto"/>
        <w:ind w:firstLine="0"/>
      </w:pPr>
      <w:r w:rsidRPr="0070296A">
        <w:t>Կառավարության պարտքի ծախսերը բնութագրելու համար կիրառվել են հետևյալ ցուցա</w:t>
      </w:r>
      <w:r w:rsidRPr="0070296A">
        <w:softHyphen/>
        <w:t xml:space="preserve">նիշները՝ պարտքի պորտֆելի միջին կշռված տոկոսադրույքը, տոկոսավճարի կշիռը պետական բյուջեի եկամուտների մեջ և տոկոսավճարի կշիռը ՀՆԱ-ի մեջ: </w:t>
      </w:r>
    </w:p>
    <w:p w14:paraId="01684D7F" w14:textId="77777777" w:rsidR="007C4132" w:rsidRPr="0070296A" w:rsidRDefault="007C4132" w:rsidP="00746426">
      <w:pPr>
        <w:spacing w:before="120" w:after="0" w:line="276" w:lineRule="auto"/>
        <w:ind w:firstLine="0"/>
      </w:pPr>
      <w:r w:rsidRPr="0070296A">
        <w:t>202</w:t>
      </w:r>
      <w:r>
        <w:t>3</w:t>
      </w:r>
      <w:r w:rsidRPr="0070296A">
        <w:t xml:space="preserve"> թվականի տարեվերջին ՀՀ կառավարության պարտքի պորտֆելի միջին կշռված տոկոսադրույքը կազմել է </w:t>
      </w:r>
      <w:r>
        <w:t>7.0</w:t>
      </w:r>
      <w:r w:rsidRPr="0070296A">
        <w:t xml:space="preserve">%, ընդ որում՝ դրամային պարտքի համար այն կազմել է </w:t>
      </w:r>
      <w:r>
        <w:t>10.7</w:t>
      </w:r>
      <w:r w:rsidRPr="0070296A">
        <w:t xml:space="preserve">%, իսկ արտարժութային պարտքի համար` </w:t>
      </w:r>
      <w:r>
        <w:t>3.9</w:t>
      </w:r>
      <w:r w:rsidRPr="0070296A">
        <w:t xml:space="preserve">%: </w:t>
      </w:r>
    </w:p>
    <w:p w14:paraId="1971B8E3" w14:textId="77777777" w:rsidR="007C4132" w:rsidRPr="0070296A" w:rsidRDefault="007C4132" w:rsidP="00746426">
      <w:pPr>
        <w:spacing w:before="120" w:after="0" w:line="276" w:lineRule="auto"/>
        <w:ind w:firstLine="0"/>
        <w:rPr>
          <w:rFonts w:cs="Times Armenian"/>
        </w:rPr>
      </w:pPr>
      <w:r w:rsidRPr="0070296A">
        <w:t>Արտաքին վարկերի տոկոսադրույքներն ունե</w:t>
      </w:r>
      <w:r>
        <w:t>ցել են</w:t>
      </w:r>
      <w:r w:rsidRPr="0070296A">
        <w:t xml:space="preserve"> աճի միտում, որովհետև միջին եկամուտ ունեցող երկրների շարքին դասվելու արդյունքում Հայաստանին այլևս հասանելի չեն միջազգային կառույցների կողմից տրամադրվող արտոնյալության բարձր աստիճան ունեցող վարկերը: </w:t>
      </w:r>
      <w:r w:rsidRPr="00AA27ED">
        <w:t>Միաժամանակ, միջազգային ֆինանսական շուկաներում, պայմանավորված հիմնականում զարգացած երկրների կենտրոնական բանկերի (ԱՄՆ, Եվրոգոտի, Մեծ Բրիտանիա) կողմից ինչպես տոկոսադրույքների բարձրացումների, այնպես էլ քանակական մեղմացման ծրագրերի հետքաշման</w:t>
      </w:r>
      <w:r>
        <w:t xml:space="preserve"> տե</w:t>
      </w:r>
      <w:r w:rsidRPr="00AA27ED">
        <w:t>ս</w:t>
      </w:r>
      <w:r>
        <w:t>ք</w:t>
      </w:r>
      <w:r w:rsidRPr="00AA27ED">
        <w:t>ով զսպող դրամավարկային քաղաքականությամբ, տոկոսադրույքների զգալի աճ է գրանցվել։</w:t>
      </w:r>
      <w:r>
        <w:t xml:space="preserve"> Այս գործոնների ազդեցությամբ արտաքին վարկերի և փոխառությունների միջին կշռված տոկոսադրույքը տարեվերջին կազմել է</w:t>
      </w:r>
      <w:r w:rsidRPr="0070296A">
        <w:t xml:space="preserve"> </w:t>
      </w:r>
      <w:r w:rsidRPr="00581010">
        <w:t>3.</w:t>
      </w:r>
      <w:r>
        <w:t>6</w:t>
      </w:r>
      <w:r w:rsidRPr="00581010">
        <w:t xml:space="preserve">%` </w:t>
      </w:r>
      <w:r>
        <w:t>նախորդ տարվա 3.2</w:t>
      </w:r>
      <w:r w:rsidRPr="00B206B2">
        <w:t>%</w:t>
      </w:r>
      <w:r>
        <w:t xml:space="preserve">-ի դիմաց։ </w:t>
      </w:r>
      <w:r w:rsidRPr="0070296A">
        <w:t>Ինչ վերաբերում է պետական գանձա</w:t>
      </w:r>
      <w:r w:rsidRPr="0070296A">
        <w:softHyphen/>
        <w:t xml:space="preserve">պետական պարտատոմսերի միջին եկամտաբերությանը, ապա </w:t>
      </w:r>
      <w:r w:rsidRPr="0070296A">
        <w:rPr>
          <w:rFonts w:cs="Sylfaen"/>
        </w:rPr>
        <w:t>202</w:t>
      </w:r>
      <w:r>
        <w:rPr>
          <w:rFonts w:cs="Sylfaen"/>
        </w:rPr>
        <w:t>3</w:t>
      </w:r>
      <w:r w:rsidRPr="0070296A">
        <w:rPr>
          <w:rFonts w:cs="Sylfaen"/>
        </w:rPr>
        <w:t xml:space="preserve"> թվականի դեկտեմբերի 31-ի դրությամբ ՊԳՊ-երի</w:t>
      </w:r>
      <w:r w:rsidRPr="0070296A">
        <w:rPr>
          <w:rFonts w:cs="Times Armenian"/>
        </w:rPr>
        <w:t xml:space="preserve"> </w:t>
      </w:r>
      <w:r w:rsidRPr="0070296A">
        <w:rPr>
          <w:rFonts w:cs="Sylfaen"/>
        </w:rPr>
        <w:t>միջին</w:t>
      </w:r>
      <w:r w:rsidRPr="0070296A">
        <w:rPr>
          <w:rFonts w:cs="Times Armenian"/>
        </w:rPr>
        <w:t xml:space="preserve"> </w:t>
      </w:r>
      <w:r w:rsidRPr="0070296A">
        <w:rPr>
          <w:rFonts w:cs="Sylfaen"/>
        </w:rPr>
        <w:t>կշռված</w:t>
      </w:r>
      <w:r w:rsidRPr="0070296A">
        <w:rPr>
          <w:rFonts w:cs="Times Armenian"/>
        </w:rPr>
        <w:t xml:space="preserve"> </w:t>
      </w:r>
      <w:r w:rsidRPr="0070296A">
        <w:rPr>
          <w:rFonts w:cs="Sylfaen"/>
        </w:rPr>
        <w:t>եկամտաբերությունը կազմել է</w:t>
      </w:r>
      <w:r w:rsidRPr="0070296A">
        <w:rPr>
          <w:rFonts w:cs="Times Armenian"/>
        </w:rPr>
        <w:t xml:space="preserve"> 10.</w:t>
      </w:r>
      <w:r>
        <w:rPr>
          <w:rFonts w:cs="Times Armenian"/>
        </w:rPr>
        <w:t>7</w:t>
      </w:r>
      <w:r w:rsidRPr="0070296A">
        <w:rPr>
          <w:rFonts w:cs="Times Armenian"/>
        </w:rPr>
        <w:t>%</w:t>
      </w:r>
      <w:r>
        <w:rPr>
          <w:rFonts w:cs="Times Armenian"/>
        </w:rPr>
        <w:t>՝</w:t>
      </w:r>
      <w:r w:rsidRPr="0070296A">
        <w:rPr>
          <w:rFonts w:cs="Times Armenian"/>
        </w:rPr>
        <w:t xml:space="preserve"> </w:t>
      </w:r>
      <w:r w:rsidRPr="0070296A">
        <w:rPr>
          <w:spacing w:val="-5"/>
        </w:rPr>
        <w:t>202</w:t>
      </w:r>
      <w:r>
        <w:rPr>
          <w:spacing w:val="-5"/>
        </w:rPr>
        <w:t>2</w:t>
      </w:r>
      <w:r w:rsidRPr="0070296A">
        <w:rPr>
          <w:spacing w:val="-5"/>
        </w:rPr>
        <w:t xml:space="preserve"> թվականի տարեվերջի 10.</w:t>
      </w:r>
      <w:r>
        <w:rPr>
          <w:spacing w:val="-5"/>
        </w:rPr>
        <w:t>5</w:t>
      </w:r>
      <w:r w:rsidRPr="0070296A">
        <w:rPr>
          <w:spacing w:val="-5"/>
        </w:rPr>
        <w:t>% տոկոսի դիմաց</w:t>
      </w:r>
      <w:r w:rsidRPr="0070296A">
        <w:rPr>
          <w:rFonts w:cs="Times Armenian"/>
        </w:rPr>
        <w:t xml:space="preserve">: </w:t>
      </w:r>
    </w:p>
    <w:p w14:paraId="3ACEA3B6" w14:textId="77777777" w:rsidR="007C4132" w:rsidRPr="00806A44" w:rsidRDefault="007C4132" w:rsidP="007C4132">
      <w:pPr>
        <w:pStyle w:val="afe"/>
        <w:rPr>
          <w:b w:val="0"/>
        </w:rPr>
      </w:pPr>
      <w:r w:rsidRPr="0070296A">
        <w:lastRenderedPageBreak/>
        <w:t xml:space="preserve">Գծապատկեր 1. </w:t>
      </w:r>
      <w:r w:rsidRPr="00806A44">
        <w:rPr>
          <w:b w:val="0"/>
        </w:rPr>
        <w:t>Շրջանառության մեջ գտնվող ՊԳՊ-երի առաջնային տեղաբաշխումների միջին կշռված եկամտաբերության դինամիկան 2020-2023 թվականներին</w:t>
      </w:r>
    </w:p>
    <w:p w14:paraId="246B419B" w14:textId="77777777" w:rsidR="007C4132" w:rsidRPr="00E30ED6" w:rsidRDefault="007C4132" w:rsidP="007C4132">
      <w:pPr>
        <w:pStyle w:val="afe"/>
      </w:pPr>
      <w:r>
        <w:rPr>
          <w:noProof/>
          <w:lang w:val="en-US"/>
        </w:rPr>
        <w:drawing>
          <wp:inline distT="0" distB="0" distL="0" distR="0" wp14:anchorId="3465B455" wp14:editId="3CC401D6">
            <wp:extent cx="6248400" cy="3209925"/>
            <wp:effectExtent l="0" t="0" r="0" b="9525"/>
            <wp:docPr id="1545876426" name="Chart 1545876426">
              <a:extLst xmlns:a="http://schemas.openxmlformats.org/drawingml/2006/main">
                <a:ext uri="{FF2B5EF4-FFF2-40B4-BE49-F238E27FC236}">
                  <a16:creationId xmlns:a16="http://schemas.microsoft.com/office/drawing/2014/main" id="{00000000-0008-0000-11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1C08B89" w14:textId="77777777" w:rsidR="007C4132" w:rsidRPr="007C4132" w:rsidRDefault="007C4132" w:rsidP="007C4132">
      <w:pPr>
        <w:ind w:firstLine="0"/>
        <w:rPr>
          <w:color w:val="FF0000"/>
          <w:lang w:val="hy-AM"/>
        </w:rPr>
      </w:pPr>
      <w:r w:rsidRPr="007C4132" w:rsidDel="00BB5E9F">
        <w:rPr>
          <w:lang w:val="hy-AM"/>
        </w:rPr>
        <w:t xml:space="preserve"> </w:t>
      </w:r>
      <w:r w:rsidRPr="007C4132">
        <w:rPr>
          <w:sz w:val="18"/>
          <w:szCs w:val="18"/>
          <w:lang w:val="hy-AM"/>
        </w:rPr>
        <w:t>Աղբյուրը՝ ՀՀ ՖՆ</w:t>
      </w:r>
    </w:p>
    <w:p w14:paraId="12B5D167" w14:textId="77777777" w:rsidR="007C4132" w:rsidRPr="007C4132" w:rsidRDefault="007C4132" w:rsidP="00746426">
      <w:pPr>
        <w:spacing w:before="120" w:after="0" w:line="276" w:lineRule="auto"/>
        <w:ind w:firstLine="0"/>
        <w:rPr>
          <w:lang w:val="hy-AM"/>
        </w:rPr>
      </w:pPr>
    </w:p>
    <w:p w14:paraId="642F0C98" w14:textId="77777777" w:rsidR="007C4132" w:rsidRPr="007C4132" w:rsidRDefault="007C4132" w:rsidP="00746426">
      <w:pPr>
        <w:spacing w:before="120" w:after="0" w:line="276" w:lineRule="auto"/>
        <w:ind w:firstLine="0"/>
        <w:rPr>
          <w:lang w:val="hy-AM"/>
        </w:rPr>
      </w:pPr>
      <w:r w:rsidRPr="007C4132">
        <w:rPr>
          <w:lang w:val="hy-AM"/>
        </w:rPr>
        <w:t>2022 թվականի մարտ ամսից, ՀՀ ԿԲ-ի կողմից դրամավարկային պայմանների շարունակական խստացման միջավայրում, ՊԳՊ-երի առաջնային տեղաբաշխումների միջին կշռված եկամտաբերությունն աճել է և 2021թ. տարեվերջի 9.3%-ի դիմաց 2023թ. տարեվերջին կազմել է 11.2%՝ առանց 2023 թվականի դեկտեմբերի 29-ին 206.4 մլրդ դրամ անվանական արժեքով պարտատոմսերի ուղղակի տեղաբաշխման գործարքի: Վերջինս հաշվի առնելու դեպքում 2023 թվականի տարեվերջի դրությամբ 2023 թվականի առաջնային տեղաբաշխումների միջին կշռված եկամտաբերությունը կազմել է 10.8%:</w:t>
      </w:r>
    </w:p>
    <w:p w14:paraId="7C031B8D" w14:textId="77777777" w:rsidR="007C4132" w:rsidRPr="007C4132" w:rsidRDefault="007C4132" w:rsidP="00746426">
      <w:pPr>
        <w:spacing w:before="120" w:after="0" w:line="276" w:lineRule="auto"/>
        <w:ind w:firstLine="0"/>
        <w:rPr>
          <w:lang w:val="hy-AM"/>
        </w:rPr>
      </w:pPr>
      <w:r w:rsidRPr="007C4132">
        <w:rPr>
          <w:lang w:val="hy-AM"/>
        </w:rPr>
        <w:t xml:space="preserve">ՀՀ կառավարությունը 2023 թվականի ընթացքում պարտքի գծով վճարել է 253.4 մլրդ դրամ տոկոսավճար՝ նախորդ տարվա 198.3 մլրդ դրամի դիմաց: 2023 թվականին վճարված տոկոսագումարը կազմել է պետական բյուջեի եկամուտների 10.7%-ը, պետական բյուջեի ծախսերի 9.9%-ը և ՀՆԱ-ի 2.7%-ը՝ համապատասխանաբար նախորդ տարվա նույն ցուցանիշների 9.6%, 8.8% և 2.3%-ի դիմաց:  </w:t>
      </w:r>
    </w:p>
    <w:p w14:paraId="1E44E57D" w14:textId="77777777" w:rsidR="007C4132" w:rsidRPr="0070296A" w:rsidRDefault="007C4132" w:rsidP="00746426">
      <w:pPr>
        <w:pStyle w:val="aff"/>
        <w:keepNext w:val="0"/>
        <w:spacing w:before="120" w:after="0" w:line="276" w:lineRule="auto"/>
        <w:ind w:firstLine="0"/>
        <w:jc w:val="both"/>
      </w:pPr>
      <w:r w:rsidRPr="0070296A">
        <w:t>Փոխարժեքի ռիսկ</w:t>
      </w:r>
    </w:p>
    <w:p w14:paraId="5424AA3A"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առկա պորտֆելում տարիներ շարունակ շուկայական ռիսկերից ամենաէականը հանդիսացել է փոխարժեքի ռիսկը: Փոխարժեքի ռիսկը հիմնականում չափվում է հետևյալ ցուցանիշներով՝  արտարժութային պարտքի կշիռն ընդամենը պարտքի մեջ և արտարժութային կարճաժամկետ պարտքի կշիռը միջազգային պահուստների մեջ:</w:t>
      </w:r>
    </w:p>
    <w:p w14:paraId="1DA3474B" w14:textId="77777777" w:rsidR="007C4132" w:rsidRPr="007C4132" w:rsidRDefault="007C4132" w:rsidP="00746426">
      <w:pPr>
        <w:spacing w:before="120" w:after="0" w:line="276" w:lineRule="auto"/>
        <w:ind w:firstLine="0"/>
        <w:rPr>
          <w:lang w:val="hy-AM"/>
        </w:rPr>
      </w:pPr>
      <w:r w:rsidRPr="007C4132">
        <w:rPr>
          <w:lang w:val="hy-AM"/>
        </w:rPr>
        <w:t xml:space="preserve">ՀՀ կառավարության պարտքի ներկայիս պորտֆելը դեռևս կրում է փոխարժեքի զգալի ռիսկ, քանի որ 2023 թվականի դեկտեմբերի 31-ի դրությամբ պարտքի 54.1%-ը ներգրավված է արտարժույթով: Փոխարժեքի ռիսկի նվազեցման ուղղությամբ ՀՀ կառավարության պարտքի կառավարման քաղաքականության հետևողական իրականացման արդյունքում այս ցուցանիշը </w:t>
      </w:r>
      <w:r w:rsidRPr="007C4132">
        <w:rPr>
          <w:lang w:val="hy-AM"/>
        </w:rPr>
        <w:lastRenderedPageBreak/>
        <w:t xml:space="preserve">2018 թվականից սկսած նվազման միտում է դրսևորել և հինգ տարիների կտրվածքով նվազել է 26.8 տոկոսային կետով: Նախորդ տարվա համեմատ այն նվազել է 8.0 տոկոսային կետով: </w:t>
      </w:r>
    </w:p>
    <w:p w14:paraId="1BF2C205" w14:textId="77777777" w:rsidR="007C4132" w:rsidRDefault="007C4132" w:rsidP="007C4132">
      <w:pPr>
        <w:pStyle w:val="afe"/>
      </w:pPr>
      <w:r w:rsidRPr="0070296A">
        <w:t>Գծապատկեր 2. ՀՀ կառավարության արտարժութային և դրամային պարտքերի հարաբերակցությունը 20</w:t>
      </w:r>
      <w:r w:rsidRPr="00972FF3">
        <w:t>19</w:t>
      </w:r>
      <w:r w:rsidRPr="0070296A">
        <w:t>-202</w:t>
      </w:r>
      <w:r w:rsidRPr="00B1068B">
        <w:t>3</w:t>
      </w:r>
      <w:r w:rsidRPr="0070296A">
        <w:t xml:space="preserve"> թվականներին (%)</w:t>
      </w:r>
    </w:p>
    <w:p w14:paraId="4B09EF04" w14:textId="77777777" w:rsidR="007C4132" w:rsidRPr="0070296A" w:rsidRDefault="007C4132" w:rsidP="007C4132">
      <w:pPr>
        <w:pStyle w:val="afe"/>
        <w:jc w:val="center"/>
      </w:pPr>
      <w:r>
        <w:rPr>
          <w:noProof/>
          <w:lang w:val="en-US"/>
        </w:rPr>
        <w:drawing>
          <wp:inline distT="0" distB="0" distL="0" distR="0" wp14:anchorId="46874A3B" wp14:editId="4F378AF4">
            <wp:extent cx="5362575" cy="2762250"/>
            <wp:effectExtent l="0" t="0" r="9525" b="0"/>
            <wp:docPr id="1545876427" name="Chart 1545876427" title="Ըստ ներգրավման արժույթի">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72344F1" w14:textId="77777777" w:rsidR="007C4132" w:rsidRPr="00A71282" w:rsidRDefault="007C4132" w:rsidP="007C4132">
      <w:pPr>
        <w:rPr>
          <w:color w:val="FF0000"/>
          <w:lang w:val="hy-AM"/>
        </w:rPr>
      </w:pPr>
      <w:r w:rsidRPr="00A71282">
        <w:rPr>
          <w:sz w:val="18"/>
          <w:szCs w:val="18"/>
          <w:lang w:val="hy-AM"/>
        </w:rPr>
        <w:t xml:space="preserve"> Աղբյուրը՝ ՀՀ ՖՆ</w:t>
      </w:r>
    </w:p>
    <w:p w14:paraId="7F18BF3E" w14:textId="77777777" w:rsidR="007C4132" w:rsidRPr="00A71282" w:rsidRDefault="007C4132" w:rsidP="007C4132">
      <w:pPr>
        <w:rPr>
          <w:lang w:val="hy-AM"/>
        </w:rPr>
      </w:pPr>
    </w:p>
    <w:p w14:paraId="736DAABA" w14:textId="77777777" w:rsidR="007C4132" w:rsidRPr="00A71282" w:rsidRDefault="007C4132" w:rsidP="00746426">
      <w:pPr>
        <w:spacing w:before="120" w:after="0" w:line="276" w:lineRule="auto"/>
        <w:ind w:firstLine="0"/>
        <w:rPr>
          <w:lang w:val="hy-AM"/>
        </w:rPr>
      </w:pPr>
      <w:r w:rsidRPr="00A71282">
        <w:rPr>
          <w:lang w:val="hy-AM"/>
        </w:rPr>
        <w:t>2023 թվականի տարեվերջին ՀՀ կառավարության արտարժույթով ներգրավված պարտքի պորտֆելի արտարժութային կառուցվածքում գերակշռել է ԱՄՆ դոլարով պարտքը՝ 57.2%, որը SDR-ի համապատասխան արտարժույթների կշիռներով բաշխելուց հետո կազմել է 67%։ ՀՀ կառավարության արտարժույթով ներգրավված պարտքի կառուցվածքը նախորդ տարվա վերջի համեմատությամբ դիվերսիֆիկացվել է, որի արդյունքում ԱՄՆ դոլարով պարտքի մասնաբաժինը նվազել է մոտ 2 տոկոսային կետով, իսկ եվրոյով պարտքի մասնաբաժինն աճել է 3.8 տոկոսային կետով: Բավական է նշել, որ 2023 թվականին վարկերի մասհանումների 70%-ը, այդ թվում, ներգրավված բյուջետային աջակցության վարկերի 83%-ը կատարվել է եվրոյով: Գծապատկերը ցույց է տալիս, որ նախորդ 5 տարիների ընթացքում պարտքի արտարժութային կառուցվածքի դիվերսիֆիկացիայի առումով 2023 թվականը բեկումնային է:</w:t>
      </w:r>
    </w:p>
    <w:p w14:paraId="513B8F7D" w14:textId="77777777" w:rsidR="007C4132" w:rsidRPr="0070296A" w:rsidRDefault="007C4132" w:rsidP="007C4132">
      <w:pPr>
        <w:pStyle w:val="afe"/>
      </w:pPr>
    </w:p>
    <w:p w14:paraId="3031BE04" w14:textId="77777777" w:rsidR="007C4132" w:rsidRPr="002C4CFE" w:rsidRDefault="007C4132" w:rsidP="007C4132">
      <w:pPr>
        <w:pStyle w:val="afe"/>
        <w:rPr>
          <w:b w:val="0"/>
        </w:rPr>
      </w:pPr>
      <w:r>
        <w:t>Գծապատկեր 3</w:t>
      </w:r>
      <w:r w:rsidRPr="0070296A">
        <w:t xml:space="preserve">. </w:t>
      </w:r>
      <w:r w:rsidRPr="002C4CFE">
        <w:rPr>
          <w:b w:val="0"/>
        </w:rPr>
        <w:t xml:space="preserve">ՀՀ կառավարության արտարժութային պարտքի պորտֆելի </w:t>
      </w:r>
      <w:r>
        <w:rPr>
          <w:b w:val="0"/>
        </w:rPr>
        <w:t xml:space="preserve">դինամիկան </w:t>
      </w:r>
      <w:r w:rsidRPr="002C4CFE">
        <w:rPr>
          <w:b w:val="0"/>
        </w:rPr>
        <w:t xml:space="preserve"> </w:t>
      </w:r>
      <w:r>
        <w:rPr>
          <w:b w:val="0"/>
        </w:rPr>
        <w:t>2019-</w:t>
      </w:r>
      <w:r w:rsidRPr="002C4CFE">
        <w:rPr>
          <w:b w:val="0"/>
        </w:rPr>
        <w:t>2023 թվական</w:t>
      </w:r>
      <w:r>
        <w:rPr>
          <w:b w:val="0"/>
        </w:rPr>
        <w:t>ներին</w:t>
      </w:r>
    </w:p>
    <w:p w14:paraId="7F536476" w14:textId="77777777" w:rsidR="007C4132" w:rsidRDefault="007C4132" w:rsidP="007C4132">
      <w:pPr>
        <w:jc w:val="center"/>
        <w:rPr>
          <w:color w:val="FF0000"/>
        </w:rPr>
      </w:pPr>
      <w:r>
        <w:rPr>
          <w:noProof/>
        </w:rPr>
        <w:drawing>
          <wp:inline distT="0" distB="0" distL="0" distR="0" wp14:anchorId="20DAA475" wp14:editId="7EE3F2F8">
            <wp:extent cx="4572000" cy="2743200"/>
            <wp:effectExtent l="0" t="0" r="0" b="0"/>
            <wp:docPr id="1545876428" name="Chart 15458764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D41F35F" w14:textId="77777777" w:rsidR="007C4132" w:rsidRPr="0070296A" w:rsidRDefault="007C4132" w:rsidP="007C4132">
      <w:pPr>
        <w:spacing w:line="240" w:lineRule="auto"/>
        <w:rPr>
          <w:sz w:val="18"/>
          <w:szCs w:val="18"/>
        </w:rPr>
      </w:pPr>
      <w:r w:rsidRPr="000D4D8C">
        <w:rPr>
          <w:sz w:val="18"/>
        </w:rPr>
        <w:t>Աղբյուրը՝ ՀՀ ՖՆ հաշվարկներ</w:t>
      </w:r>
    </w:p>
    <w:p w14:paraId="26226658" w14:textId="77777777" w:rsidR="007C4132" w:rsidRDefault="007C4132" w:rsidP="007C4132">
      <w:pPr>
        <w:jc w:val="center"/>
        <w:rPr>
          <w:color w:val="FF0000"/>
        </w:rPr>
      </w:pPr>
    </w:p>
    <w:p w14:paraId="10BD07DA" w14:textId="77777777" w:rsidR="007C4132" w:rsidRDefault="007C4132" w:rsidP="00746426">
      <w:pPr>
        <w:spacing w:before="120" w:after="0" w:line="276" w:lineRule="auto"/>
        <w:ind w:firstLine="0"/>
      </w:pPr>
      <w:r w:rsidRPr="0070296A">
        <w:t xml:space="preserve">Արտարժութային կարճաժամկետ պարտքի կշիռը միջազգային պահուստների մեջ կազմել է </w:t>
      </w:r>
      <w:r>
        <w:t>11.4</w:t>
      </w:r>
      <w:r w:rsidRPr="0070296A">
        <w:t xml:space="preserve">%, ինչը նշանակում է, որ արտարժութային կարճաժամկետ պարտքի մարումների իրականացման համար առկա է արտարժութային ակտիվների բավարար ծավալ: </w:t>
      </w:r>
      <w:r>
        <w:t>Ըստ էության, 2024 թվականին մարման ենթակա արտարժութային պարտքը կազմում է 2023 թվականի տարեվերջին առկա միջազգային պահուստների մոտ մեկ տասներորդ մասը: Նախորդ տարվա համեմատությամբ այս ցուցանիշը նվազել է 0.5 տոկոսային կետով:</w:t>
      </w:r>
    </w:p>
    <w:p w14:paraId="3EE2ED6B" w14:textId="77777777" w:rsidR="007C4132" w:rsidRPr="0070296A" w:rsidRDefault="007C4132" w:rsidP="00746426">
      <w:pPr>
        <w:pStyle w:val="aff"/>
        <w:keepNext w:val="0"/>
        <w:spacing w:before="120" w:after="0" w:line="276" w:lineRule="auto"/>
        <w:ind w:firstLine="0"/>
        <w:jc w:val="both"/>
      </w:pPr>
      <w:r w:rsidRPr="0070296A">
        <w:t>Վերաֆինանսավորման ռիսկ</w:t>
      </w:r>
    </w:p>
    <w:p w14:paraId="22BAF6B1" w14:textId="77777777" w:rsidR="007C4132" w:rsidRPr="00491E57" w:rsidRDefault="007C4132" w:rsidP="00746426">
      <w:pPr>
        <w:spacing w:before="120" w:after="0" w:line="276" w:lineRule="auto"/>
        <w:ind w:firstLine="0"/>
        <w:rPr>
          <w:lang w:val="hy-AM"/>
        </w:rPr>
      </w:pPr>
      <w:r w:rsidRPr="00491E57">
        <w:rPr>
          <w:lang w:val="hy-AM"/>
        </w:rPr>
        <w:t>Կառավարության պարտքի պորտֆելի վերաֆինանսավորման ռիսկը գնահատվում է մինչև մարում միջին ժամկետի, առաջիկա մեկ և երեք տարիների ընթացքում մարվող պարտքի կշռի ցուցանիշներով և  կառավարության պարտքի պորտֆելի մարման գրաֆիկով:</w:t>
      </w:r>
    </w:p>
    <w:p w14:paraId="7996AF73" w14:textId="77777777" w:rsidR="007C4132" w:rsidRPr="00491E57" w:rsidRDefault="007C4132" w:rsidP="00746426">
      <w:pPr>
        <w:spacing w:before="120" w:after="0" w:line="276" w:lineRule="auto"/>
        <w:ind w:firstLine="0"/>
        <w:rPr>
          <w:color w:val="FF0000"/>
          <w:lang w:val="hy-AM"/>
        </w:rPr>
      </w:pPr>
      <w:r w:rsidRPr="00491E57">
        <w:rPr>
          <w:lang w:val="hy-AM"/>
        </w:rPr>
        <w:t>ՀՀ կառավարության պարտքի մինչև մարում միջին ժամկետի ցուցանիշը 2023 թվականի դեկտեմ</w:t>
      </w:r>
      <w:r w:rsidRPr="00491E57">
        <w:rPr>
          <w:lang w:val="hy-AM"/>
        </w:rPr>
        <w:softHyphen/>
        <w:t>բերի 31-ի դրությամբ կազմել է 7.4 տարի, նախորդ ժամանակահատվածի 7.7 տարվա դիմաց: Ընդ որում, ՀՀ կառավարության արտարժութային պարտքի մինչև մարում միջին ժամկետը կազմել է 6.8 տարի՝ նախորդ ժամանակահատվածի 7.1 տարվա դիմաց, իսկ դրամային պարտքինը՝ 8.0 տարի՝ նախորդ ժամանակահատվածի 8.7 տարվա դիմաց: ՀՀ կառավարության պարտքի մինչև մարում միջին ժամկետի ցուցանիշների նվազումը պայմանավորված է եղել 2023 թվականի ընթացքում ֆինանսական շուկայում տոկոսադրույքների աճի ազդեցությունը տոկոսավճարների վրա մեղմելու նպատակով տեղաբաշխվող պետական գանձապետական պարտատոմսերի ժամկետայնության կրճատմամբ, ինչպես նաև արտոնյալ՝ երկարաժամկետ վարկերի աստիճանական մարմամբ և դրանց համեմատաբար ավելի կարճ ժամկետայնությամբ պարտքային գործիքներով վերաֆինանսավորմամբ: Այնուամենայնիվ, ՀՀ կառավարության պարտքի պորտֆելի վերաֆինանսավորման ռիսկի տեսակետից մինչև մարում միջին ժամկետի ցուցանիշը գտնվել է ՀՀ կառավարության պարտքի կառավարման 2024-2026 թվականների ռազմավարությամբ սահմանված ուղենշային միջակայքում:</w:t>
      </w:r>
      <w:r w:rsidRPr="00491E57">
        <w:rPr>
          <w:color w:val="FF0000"/>
          <w:lang w:val="hy-AM"/>
        </w:rPr>
        <w:t xml:space="preserve"> </w:t>
      </w:r>
    </w:p>
    <w:p w14:paraId="24D5D61A" w14:textId="77777777" w:rsidR="007C4132" w:rsidRPr="00491E57" w:rsidRDefault="007C4132" w:rsidP="007C4132">
      <w:pPr>
        <w:rPr>
          <w:color w:val="FF0000"/>
          <w:lang w:val="hy-AM"/>
        </w:rPr>
      </w:pPr>
    </w:p>
    <w:p w14:paraId="3A8358B8" w14:textId="77777777" w:rsidR="007C4132" w:rsidRPr="002C4CFE" w:rsidRDefault="007C4132" w:rsidP="007C4132">
      <w:pPr>
        <w:pStyle w:val="afe"/>
        <w:rPr>
          <w:b w:val="0"/>
        </w:rPr>
      </w:pPr>
      <w:r w:rsidRPr="0070296A">
        <w:t xml:space="preserve">Գծապատկեր </w:t>
      </w:r>
      <w:r w:rsidRPr="00427C55">
        <w:t>4</w:t>
      </w:r>
      <w:r w:rsidRPr="0070296A">
        <w:t xml:space="preserve">. </w:t>
      </w:r>
      <w:r w:rsidRPr="002C4CFE">
        <w:rPr>
          <w:b w:val="0"/>
        </w:rPr>
        <w:t xml:space="preserve">ՀՀ կառավարության </w:t>
      </w:r>
      <w:r>
        <w:rPr>
          <w:b w:val="0"/>
        </w:rPr>
        <w:t>պարտքի մինչև մարումը մնացած ժամկետն ըստ պարտքային հիմնական գործիքների</w:t>
      </w:r>
    </w:p>
    <w:p w14:paraId="5BEF6A4D" w14:textId="77777777" w:rsidR="007C4132" w:rsidRPr="00E06CCC" w:rsidRDefault="007C4132" w:rsidP="007C4132">
      <w:pPr>
        <w:ind w:firstLine="90"/>
        <w:jc w:val="center"/>
        <w:rPr>
          <w:color w:val="FF0000"/>
        </w:rPr>
      </w:pPr>
      <w:r>
        <w:rPr>
          <w:noProof/>
        </w:rPr>
        <w:drawing>
          <wp:inline distT="0" distB="0" distL="0" distR="0" wp14:anchorId="09ED0577" wp14:editId="64F752F6">
            <wp:extent cx="6486525" cy="2819400"/>
            <wp:effectExtent l="0" t="0" r="9525" b="0"/>
            <wp:docPr id="1545876429" name="Chart 15458764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ACDF58D" w14:textId="77777777" w:rsidR="007C4132" w:rsidRPr="00E06CCC" w:rsidRDefault="007C4132" w:rsidP="00746426">
      <w:pPr>
        <w:spacing w:before="120" w:after="0" w:line="276" w:lineRule="auto"/>
        <w:ind w:firstLine="0"/>
        <w:rPr>
          <w:color w:val="FF0000"/>
        </w:rPr>
      </w:pPr>
      <w:r w:rsidRPr="0070296A">
        <w:t>202</w:t>
      </w:r>
      <w:r>
        <w:t>3</w:t>
      </w:r>
      <w:r w:rsidRPr="0070296A">
        <w:t xml:space="preserve"> թվականի դեկտեմբերի 31-ի դրությամբ առաջիկա տարվա ընթացքում մարվող պարտքի կշի</w:t>
      </w:r>
      <w:r w:rsidRPr="0070296A">
        <w:softHyphen/>
        <w:t xml:space="preserve">ռը կազմել է </w:t>
      </w:r>
      <w:r>
        <w:t>9.1</w:t>
      </w:r>
      <w:r w:rsidRPr="0070296A">
        <w:t xml:space="preserve">% և նախորդ տարվա նկատմամբ այն </w:t>
      </w:r>
      <w:r>
        <w:t>աճ</w:t>
      </w:r>
      <w:r w:rsidRPr="0070296A">
        <w:t xml:space="preserve">ել է </w:t>
      </w:r>
      <w:r>
        <w:t>1.1</w:t>
      </w:r>
      <w:r w:rsidRPr="0070296A">
        <w:t xml:space="preserve"> տոկոսային կետով: ՀՀ կառավա</w:t>
      </w:r>
      <w:r w:rsidRPr="0070296A">
        <w:softHyphen/>
        <w:t>րության արտարժութային պարտքի մեկ տարվա ընթացքում մարման կշիռը</w:t>
      </w:r>
      <w:r>
        <w:t xml:space="preserve"> նախորդ տարվա նկատմամբ</w:t>
      </w:r>
      <w:r w:rsidRPr="0070296A">
        <w:t xml:space="preserve"> </w:t>
      </w:r>
      <w:r>
        <w:t xml:space="preserve">աճել է 1.8 տոկոսային կետով և </w:t>
      </w:r>
      <w:r w:rsidRPr="0070296A">
        <w:t xml:space="preserve">կազմել է </w:t>
      </w:r>
      <w:r>
        <w:t>6.8</w:t>
      </w:r>
      <w:r w:rsidRPr="0070296A">
        <w:t>%, իսկ դրամային պարտքի</w:t>
      </w:r>
      <w:r>
        <w:t>նը</w:t>
      </w:r>
      <w:r w:rsidRPr="0070296A">
        <w:t xml:space="preserve">` </w:t>
      </w:r>
      <w:r>
        <w:t>նվազել է 1.3 տոկոսային կետով և կազմել է 11.8</w:t>
      </w:r>
      <w:r w:rsidRPr="0070296A">
        <w:t xml:space="preserve">%: Ինչ վերաբերում է </w:t>
      </w:r>
      <w:r w:rsidRPr="001740C6">
        <w:t xml:space="preserve">առաջիկա երեք տարիների ընթացքում մարվող պարտքի կշռի </w:t>
      </w:r>
      <w:r>
        <w:t>ցուցանիշին, ապա այն 2023 թվականի տարեվերջին կազմել է 28.6</w:t>
      </w:r>
      <w:r w:rsidRPr="0070296A">
        <w:t>%</w:t>
      </w:r>
      <w:r w:rsidRPr="0062624A">
        <w:t>, իսկ</w:t>
      </w:r>
      <w:r w:rsidRPr="0070296A">
        <w:t xml:space="preserve"> </w:t>
      </w:r>
      <w:r>
        <w:t>ա</w:t>
      </w:r>
      <w:r w:rsidRPr="001740C6">
        <w:t xml:space="preserve">ռաջիկա երեք տարիների ընթացքում մարվող </w:t>
      </w:r>
      <w:r w:rsidRPr="0062624A">
        <w:t>արտարժութային և դրամային պարտքի կշիռ</w:t>
      </w:r>
      <w:r w:rsidRPr="005341FA">
        <w:t>ները կազմել են համապատաս</w:t>
      </w:r>
      <w:r w:rsidRPr="00BD4200">
        <w:t>խ</w:t>
      </w:r>
      <w:r w:rsidRPr="00074649">
        <w:t>անաբար 25.</w:t>
      </w:r>
      <w:r>
        <w:t>2</w:t>
      </w:r>
      <w:r w:rsidRPr="00074649">
        <w:t xml:space="preserve">% և </w:t>
      </w:r>
      <w:r w:rsidRPr="006D07E7">
        <w:t>3</w:t>
      </w:r>
      <w:r>
        <w:t>2.6</w:t>
      </w:r>
      <w:r w:rsidRPr="0070296A">
        <w:t xml:space="preserve">%: </w:t>
      </w:r>
      <w:r>
        <w:t>Ա</w:t>
      </w:r>
      <w:r w:rsidRPr="001740C6">
        <w:t xml:space="preserve">ռաջիկա երեք տարիների ընթացքում մարվող պարտքի կշռի </w:t>
      </w:r>
      <w:r>
        <w:t>ցուցանիշները նախորդ տարեվերջի նկատմամբ էականորեն չեն փոխվել:</w:t>
      </w:r>
    </w:p>
    <w:p w14:paraId="1A51D314" w14:textId="77777777" w:rsidR="007C4132" w:rsidRPr="0070296A" w:rsidRDefault="007C4132" w:rsidP="00746426">
      <w:pPr>
        <w:spacing w:before="120" w:after="0" w:line="276" w:lineRule="auto"/>
        <w:ind w:firstLine="0"/>
      </w:pPr>
      <w:r w:rsidRPr="0070296A">
        <w:t>202</w:t>
      </w:r>
      <w:r>
        <w:t>3</w:t>
      </w:r>
      <w:r w:rsidRPr="0070296A">
        <w:t xml:space="preserve"> թվականի տարեվերջի դրությամբ կառավարության արտաքին վարկերի մարումները սփռված են եղել մինչև 2054 թվականը, դրամային պարտատոմսերինը` մինչև 205</w:t>
      </w:r>
      <w:r w:rsidRPr="00427C55">
        <w:t>2</w:t>
      </w:r>
      <w:r w:rsidRPr="0070296A">
        <w:t xml:space="preserve"> թվականը, արտարժութային պարտատոմսերինը՝ մինչև 2031 թվականը, իսկ երաշխիքներինը՝ մինչև 2036 թվականը: </w:t>
      </w:r>
    </w:p>
    <w:p w14:paraId="501B6A3A" w14:textId="77777777" w:rsidR="007C4132" w:rsidRPr="00FC49D6" w:rsidRDefault="007C4132" w:rsidP="007C4132">
      <w:pPr>
        <w:pStyle w:val="afe"/>
        <w:rPr>
          <w:b w:val="0"/>
        </w:rPr>
      </w:pPr>
      <w:r w:rsidRPr="0070296A">
        <w:t xml:space="preserve">Գծապատկեր </w:t>
      </w:r>
      <w:r>
        <w:t>5</w:t>
      </w:r>
      <w:r w:rsidRPr="0070296A">
        <w:t xml:space="preserve">. </w:t>
      </w:r>
      <w:r w:rsidRPr="00FC49D6">
        <w:rPr>
          <w:b w:val="0"/>
        </w:rPr>
        <w:t>Կառավարության պարտքի մարումների գրաֆիկն ըստ գործիքակազմի 31.12.2023 թվականի դրությամբ (մլրդ դրամ)</w:t>
      </w:r>
    </w:p>
    <w:p w14:paraId="46C7033E" w14:textId="77777777" w:rsidR="007C4132" w:rsidRPr="0070296A" w:rsidRDefault="007C4132" w:rsidP="007C4132">
      <w:pPr>
        <w:pStyle w:val="afe"/>
      </w:pPr>
      <w:r>
        <w:rPr>
          <w:noProof/>
          <w:lang w:val="en-US"/>
        </w:rPr>
        <w:drawing>
          <wp:inline distT="0" distB="0" distL="0" distR="0" wp14:anchorId="7F369210" wp14:editId="6B8E62D3">
            <wp:extent cx="6286500" cy="2781300"/>
            <wp:effectExtent l="0" t="0" r="19050" b="19050"/>
            <wp:docPr id="1545876430" name="Chart 1545876430">
              <a:extLst xmlns:a="http://schemas.openxmlformats.org/drawingml/2006/main">
                <a:ext uri="{FF2B5EF4-FFF2-40B4-BE49-F238E27FC236}">
                  <a16:creationId xmlns:a16="http://schemas.microsoft.com/office/drawing/2014/main" id="{00000000-0008-0000-0F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BD448FF" w14:textId="77777777" w:rsidR="007C4132" w:rsidRPr="007C4132" w:rsidRDefault="007C4132" w:rsidP="007C4132">
      <w:pPr>
        <w:ind w:firstLine="0"/>
        <w:rPr>
          <w:lang w:val="hy-AM"/>
        </w:rPr>
      </w:pPr>
      <w:r w:rsidRPr="007C4132">
        <w:rPr>
          <w:sz w:val="18"/>
          <w:szCs w:val="18"/>
          <w:lang w:val="hy-AM"/>
        </w:rPr>
        <w:t>Աղբյուրը՝ ՀՀ ՖՆ</w:t>
      </w:r>
    </w:p>
    <w:p w14:paraId="7A0158EB" w14:textId="77777777" w:rsidR="007C4132" w:rsidRPr="007C4132" w:rsidRDefault="007C4132" w:rsidP="00746426">
      <w:pPr>
        <w:spacing w:before="120" w:after="0" w:line="276" w:lineRule="auto"/>
        <w:ind w:firstLine="0"/>
        <w:rPr>
          <w:b/>
          <w:i/>
          <w:lang w:val="hy-AM"/>
        </w:rPr>
      </w:pPr>
      <w:r w:rsidRPr="007C4132">
        <w:rPr>
          <w:b/>
          <w:i/>
          <w:lang w:val="hy-AM"/>
        </w:rPr>
        <w:t>Տոկոսադրույքի ռիսկ</w:t>
      </w:r>
    </w:p>
    <w:p w14:paraId="20BD19FF" w14:textId="77777777" w:rsidR="007C4132" w:rsidRPr="007C4132" w:rsidRDefault="007C4132" w:rsidP="00746426">
      <w:pPr>
        <w:spacing w:before="120" w:after="0" w:line="276" w:lineRule="auto"/>
        <w:ind w:firstLine="0"/>
        <w:rPr>
          <w:lang w:val="hy-AM"/>
        </w:rPr>
      </w:pPr>
      <w:r w:rsidRPr="007C4132">
        <w:rPr>
          <w:lang w:val="hy-AM"/>
        </w:rPr>
        <w:t>Կառավարության պարտքի պորտֆելի տոկոսադրույքի ռիսկը գնահատվում է հիմնականում հետևյալ ցուցանիշներով՝ ֆիքսված տոկոսադրույքով պարտքի կշիռն ընդամենը պարտքի մեջ,  առաջիկա տարում վերաֆիքսվող պարտքի կշիռն ընդամենը պարտքի մեջ և մինչև վերաֆիքսում միջին ժամկետը:</w:t>
      </w:r>
    </w:p>
    <w:p w14:paraId="119B1166" w14:textId="77777777" w:rsidR="007C4132" w:rsidRPr="007C4132" w:rsidRDefault="007C4132" w:rsidP="00746426">
      <w:pPr>
        <w:spacing w:before="120" w:after="0" w:line="276" w:lineRule="auto"/>
        <w:ind w:firstLine="0"/>
        <w:rPr>
          <w:lang w:val="hy-AM"/>
        </w:rPr>
      </w:pPr>
      <w:r w:rsidRPr="007C4132">
        <w:rPr>
          <w:lang w:val="hy-AM"/>
        </w:rPr>
        <w:t>ՀՀ կառավարության պարտքի 84.1%-ը ֆիքսված տոկոսադրույքով է: Դրամային պարտքն ամբողջությամբ ֆիքսված տոկոսադրույքով է, իսկ արտարժութային պարտքի 70.5%-ն է ֆիքսված տոկոսադրույքով՝ նախորդ տարվա 73.5%-ի դիմաց: Կարելի է արձանագրել, որ նախորդ տարվա նկատմամբ արտարժութային պարտքի տոկոսադրույքի ռիսկը որոշակիորեն մեծացել է: Ընդհանրապես, բարձր տոկոսադրույքների միջավայրում, ինչպիսին 2023 թվականն էր արտաքին ֆինանսական շուկաների առումով, լողացող տոկոսադրույքով պարտքի ներգրավումը նախընտրելի է ֆիքսվածի համեմատությամբ, ինչն էլ հաշվի է առնվել ընդունված որոշումներում և արտացոլվում է ՀՀ կառավարության պարտքի ցուցանիշներում:</w:t>
      </w:r>
    </w:p>
    <w:p w14:paraId="04F72DA8" w14:textId="77777777" w:rsidR="007C4132" w:rsidRDefault="007C4132" w:rsidP="007C4132">
      <w:pPr>
        <w:pStyle w:val="afe"/>
        <w:rPr>
          <w:b w:val="0"/>
        </w:rPr>
      </w:pPr>
      <w:r w:rsidRPr="0070296A">
        <w:t xml:space="preserve">Գծապատկեր </w:t>
      </w:r>
      <w:r w:rsidRPr="00427C55">
        <w:t>6</w:t>
      </w:r>
      <w:r w:rsidRPr="0070296A">
        <w:t xml:space="preserve">. </w:t>
      </w:r>
      <w:r>
        <w:rPr>
          <w:b w:val="0"/>
        </w:rPr>
        <w:t>Արտարժութային պարտքի կառուցվածքն ըստ տոկոսադրույքի</w:t>
      </w:r>
    </w:p>
    <w:p w14:paraId="199F30F8" w14:textId="77777777" w:rsidR="007C4132" w:rsidRPr="002C4CFE" w:rsidRDefault="007C4132" w:rsidP="007C4132">
      <w:pPr>
        <w:pStyle w:val="afe"/>
        <w:jc w:val="center"/>
        <w:rPr>
          <w:b w:val="0"/>
        </w:rPr>
      </w:pPr>
      <w:r>
        <w:rPr>
          <w:noProof/>
          <w:lang w:val="en-US"/>
        </w:rPr>
        <w:drawing>
          <wp:inline distT="0" distB="0" distL="0" distR="0" wp14:anchorId="507231F6" wp14:editId="47F38734">
            <wp:extent cx="5238750" cy="2400300"/>
            <wp:effectExtent l="0" t="0" r="0" b="0"/>
            <wp:docPr id="1545876431" name="Chart 15458764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B2650A5" w14:textId="77777777" w:rsidR="007C4132" w:rsidRPr="0070296A" w:rsidRDefault="007C4132" w:rsidP="007C4132"/>
    <w:p w14:paraId="57F08668" w14:textId="77777777" w:rsidR="007C4132" w:rsidRPr="00B1068B" w:rsidRDefault="007C4132" w:rsidP="00746426">
      <w:pPr>
        <w:spacing w:before="120" w:after="0" w:line="276" w:lineRule="auto"/>
        <w:ind w:firstLine="0"/>
      </w:pPr>
      <w:r w:rsidRPr="0070296A">
        <w:t>Ինչ վերաբերում է առաջիկա տարում վերաֆիքսվող պարտքի կշռի</w:t>
      </w:r>
      <w:r>
        <w:t xml:space="preserve"> ցուցանիշին</w:t>
      </w:r>
      <w:r w:rsidRPr="0070296A">
        <w:t>, ապա ՀՀ կառավարության պարտքի միայն 2</w:t>
      </w:r>
      <w:r w:rsidRPr="00B1068B">
        <w:t>1.6</w:t>
      </w:r>
      <w:r w:rsidRPr="0070296A">
        <w:t>%-ն է ենթակա վերաֆիքսման 202</w:t>
      </w:r>
      <w:r w:rsidRPr="00B1068B">
        <w:t>4</w:t>
      </w:r>
      <w:r w:rsidRPr="0070296A">
        <w:t xml:space="preserve"> թվականին, ուստի այս ցուցանիշի գծով էական ռիսկեր չեն արձանագրվել: </w:t>
      </w:r>
    </w:p>
    <w:p w14:paraId="41613406" w14:textId="77777777" w:rsidR="007C4132" w:rsidRPr="0070296A" w:rsidRDefault="007C4132" w:rsidP="00746426">
      <w:pPr>
        <w:spacing w:before="120" w:after="0" w:line="276" w:lineRule="auto"/>
        <w:ind w:firstLine="0"/>
      </w:pPr>
      <w:r w:rsidRPr="0070296A">
        <w:t>Մինչև վերաֆիքսում միջին ժամկետի ցուցանիշը 202</w:t>
      </w:r>
      <w:r w:rsidRPr="00972FF3">
        <w:t>3</w:t>
      </w:r>
      <w:r w:rsidRPr="0070296A">
        <w:t xml:space="preserve"> թվականի վերջին կազմել է 6.</w:t>
      </w:r>
      <w:r w:rsidRPr="00B1068B">
        <w:t>4</w:t>
      </w:r>
      <w:r w:rsidRPr="0070296A">
        <w:t xml:space="preserve"> տարի, որը կարելի է գնահատել որպես պարտքի պորտֆելի տոկոսադրույքի ռիսկի ցածր մակարդակ: Այս ցուցանիշն ավելի փոքր է, քան մինչև մարում միջին ժամկետի ցուցանիշը, քանի որ պարտքի 15</w:t>
      </w:r>
      <w:r w:rsidRPr="00B1068B">
        <w:t>.9</w:t>
      </w:r>
      <w:r w:rsidRPr="0070296A">
        <w:t>%-ը լողացող տոկոսադրույքով է, որ</w:t>
      </w:r>
      <w:r>
        <w:t xml:space="preserve">ի տոկոսադրույքը </w:t>
      </w:r>
      <w:r w:rsidRPr="0070296A">
        <w:t>ևս ենթակա է վերաֆիքսման 202</w:t>
      </w:r>
      <w:r w:rsidRPr="00B1068B">
        <w:t>4</w:t>
      </w:r>
      <w:r w:rsidRPr="0070296A">
        <w:t xml:space="preserve"> թվականի ընթացքում:</w:t>
      </w:r>
    </w:p>
    <w:p w14:paraId="4915A7C4" w14:textId="77777777" w:rsidR="007C4132" w:rsidRPr="0070296A" w:rsidRDefault="007C4132" w:rsidP="00746426">
      <w:pPr>
        <w:spacing w:before="120" w:after="0" w:line="276" w:lineRule="auto"/>
        <w:ind w:firstLine="0"/>
      </w:pPr>
      <w:r w:rsidRPr="00541BFC">
        <w:t>ՀՀ կառավարության պարտքի առկա պորտֆելի ծախսերի և ռիսկերի ցուցանիշները ցույց են տալիս, որ պարտքի առկա պորտֆելն ամենաշատը կրում է փոխարժեքի ռիսկի ազդեցությունը, ինչը հիմնավորվում է նաև հաջորդող բաժիններում ՀՀ կառավարության պարտքի պորտֆելի ռիսկի ցուցանիշների զգայունության վերլուծությունների արդյունքներով:</w:t>
      </w:r>
    </w:p>
    <w:p w14:paraId="5ED1DF05" w14:textId="78F1FAE8" w:rsidR="007C4132" w:rsidRDefault="007C4132" w:rsidP="00746426">
      <w:pPr>
        <w:spacing w:before="120" w:after="0" w:line="276" w:lineRule="auto"/>
        <w:ind w:firstLine="0"/>
      </w:pPr>
      <w:r w:rsidRPr="00CA5E01">
        <w:t>ՀՀ կառավարության պարտքի կառավարման հիմնական ռիսկերը կառավարելիության շրջանակներում պահելու, և հատկապես փոխարժեքի բարձր ռիսկը նվազեցնելու նպատակով, որպես ռազմավարական նպատա</w:t>
      </w:r>
      <w:r w:rsidRPr="00CA5E01">
        <w:softHyphen/>
        <w:t>կա</w:t>
      </w:r>
      <w:r w:rsidRPr="00CA5E01">
        <w:softHyphen/>
        <w:t>դ</w:t>
      </w:r>
      <w:r w:rsidRPr="00CA5E01">
        <w:softHyphen/>
        <w:t>րում, դիտարկվում է ներքին պետական պարտքի շուկայի զարգացումը և կառավարության պարտքի մեջ ՀՀ դրամով ներգրավված պարտքի կշռի ավելա</w:t>
      </w:r>
      <w:r w:rsidRPr="00CA5E01">
        <w:softHyphen/>
        <w:t>ցումը:</w:t>
      </w:r>
    </w:p>
    <w:p w14:paraId="7A7E485D" w14:textId="5EFACD0A" w:rsidR="00DA0D02" w:rsidRPr="00A71282" w:rsidRDefault="00A71282" w:rsidP="00A71282">
      <w:pPr>
        <w:tabs>
          <w:tab w:val="left" w:pos="0"/>
        </w:tabs>
        <w:spacing w:before="120" w:after="0" w:line="276" w:lineRule="auto"/>
        <w:ind w:firstLine="0"/>
        <w:rPr>
          <w:b/>
          <w:color w:val="44546A" w:themeColor="text2"/>
          <w:sz w:val="24"/>
          <w:szCs w:val="24"/>
          <w:lang w:val="hy-AM" w:eastAsia="ru-RU"/>
        </w:rPr>
      </w:pPr>
      <w:bookmarkStart w:id="258" w:name="_Toc138950999"/>
      <w:r>
        <w:rPr>
          <w:b/>
          <w:color w:val="44546A" w:themeColor="text2"/>
          <w:sz w:val="24"/>
          <w:szCs w:val="24"/>
          <w:lang w:eastAsia="ru-RU"/>
        </w:rPr>
        <w:t xml:space="preserve">1.4. </w:t>
      </w:r>
      <w:r w:rsidR="00DA0D02" w:rsidRPr="00A71282">
        <w:rPr>
          <w:b/>
          <w:color w:val="44546A" w:themeColor="text2"/>
          <w:sz w:val="24"/>
          <w:szCs w:val="24"/>
          <w:lang w:val="hy-AM" w:eastAsia="ru-RU"/>
        </w:rPr>
        <w:t>ՀՀ կառավարության պարտքի կառավարման 2025-2027 թվականների ռազմավարությունը</w:t>
      </w:r>
      <w:bookmarkEnd w:id="258"/>
    </w:p>
    <w:p w14:paraId="14C3EB13" w14:textId="52BCC22E" w:rsidR="00DA0D02" w:rsidRPr="00A71282" w:rsidRDefault="00DA0D02" w:rsidP="00A71282">
      <w:pPr>
        <w:tabs>
          <w:tab w:val="left" w:pos="0"/>
        </w:tabs>
        <w:spacing w:before="120" w:after="0" w:line="276" w:lineRule="auto"/>
        <w:ind w:firstLine="0"/>
        <w:rPr>
          <w:b/>
          <w:color w:val="44546A" w:themeColor="text2"/>
          <w:sz w:val="24"/>
          <w:szCs w:val="24"/>
          <w:lang w:val="hy-AM" w:eastAsia="ru-RU"/>
        </w:rPr>
      </w:pPr>
      <w:bookmarkStart w:id="259" w:name="_Toc138951000"/>
      <w:r w:rsidRPr="00A71282">
        <w:rPr>
          <w:b/>
          <w:color w:val="44546A" w:themeColor="text2"/>
          <w:sz w:val="24"/>
          <w:szCs w:val="24"/>
          <w:lang w:val="hy-AM" w:eastAsia="ru-RU"/>
        </w:rPr>
        <w:t>1.4.1. Մակրոտնտեսական զարգացումները և կանխատեսումները</w:t>
      </w:r>
      <w:bookmarkEnd w:id="259"/>
    </w:p>
    <w:p w14:paraId="3B1DFBCA" w14:textId="77777777" w:rsidR="00DA0D02" w:rsidRPr="00DA0D02" w:rsidRDefault="00DA0D02" w:rsidP="00746426">
      <w:pPr>
        <w:numPr>
          <w:ilvl w:val="0"/>
          <w:numId w:val="40"/>
        </w:numPr>
        <w:spacing w:before="120" w:after="0" w:line="276" w:lineRule="auto"/>
        <w:ind w:left="0" w:firstLine="0"/>
        <w:rPr>
          <w:lang w:val="es-ES"/>
        </w:rPr>
      </w:pPr>
      <w:r w:rsidRPr="00DA0D02">
        <w:rPr>
          <w:lang w:val="es-ES"/>
        </w:rPr>
        <w:t>2021</w:t>
      </w:r>
      <w:r w:rsidRPr="00A71282">
        <w:rPr>
          <w:lang w:val="hy-AM"/>
        </w:rPr>
        <w:t>թ</w:t>
      </w:r>
      <w:r w:rsidRPr="00DA0D02">
        <w:rPr>
          <w:rFonts w:ascii="Cambria Math" w:hAnsi="Cambria Math" w:cs="Cambria Math"/>
          <w:lang w:val="es-ES"/>
        </w:rPr>
        <w:t>․</w:t>
      </w:r>
      <w:r w:rsidRPr="00DA0D02">
        <w:rPr>
          <w:lang w:val="es-ES"/>
        </w:rPr>
        <w:t xml:space="preserve"> </w:t>
      </w:r>
      <w:r w:rsidRPr="00A71282">
        <w:rPr>
          <w:lang w:val="hy-AM"/>
        </w:rPr>
        <w:t>համավարակի</w:t>
      </w:r>
      <w:r w:rsidRPr="00DA0D02">
        <w:rPr>
          <w:lang w:val="es-ES"/>
        </w:rPr>
        <w:t xml:space="preserve"> </w:t>
      </w:r>
      <w:r w:rsidRPr="00A71282">
        <w:rPr>
          <w:lang w:val="hy-AM"/>
        </w:rPr>
        <w:t>շոկից</w:t>
      </w:r>
      <w:r w:rsidRPr="00DA0D02">
        <w:rPr>
          <w:lang w:val="es-ES"/>
        </w:rPr>
        <w:t xml:space="preserve"> </w:t>
      </w:r>
      <w:r w:rsidRPr="00A71282">
        <w:rPr>
          <w:lang w:val="hy-AM"/>
        </w:rPr>
        <w:t>հետո</w:t>
      </w:r>
      <w:r w:rsidRPr="00DA0D02">
        <w:rPr>
          <w:lang w:val="es-ES"/>
        </w:rPr>
        <w:t xml:space="preserve"> </w:t>
      </w:r>
      <w:r w:rsidRPr="00A71282">
        <w:rPr>
          <w:lang w:val="hy-AM"/>
        </w:rPr>
        <w:t>տնտեսական</w:t>
      </w:r>
      <w:r w:rsidRPr="00DA0D02">
        <w:rPr>
          <w:lang w:val="es-ES"/>
        </w:rPr>
        <w:t xml:space="preserve"> </w:t>
      </w:r>
      <w:r w:rsidRPr="00A71282">
        <w:rPr>
          <w:lang w:val="hy-AM"/>
        </w:rPr>
        <w:t>աճի</w:t>
      </w:r>
      <w:r w:rsidRPr="00DA0D02">
        <w:rPr>
          <w:lang w:val="es-ES"/>
        </w:rPr>
        <w:t xml:space="preserve"> </w:t>
      </w:r>
      <w:r w:rsidRPr="00A71282">
        <w:rPr>
          <w:lang w:val="hy-AM"/>
        </w:rPr>
        <w:t>վերականգնման</w:t>
      </w:r>
      <w:r w:rsidRPr="00DA0D02">
        <w:rPr>
          <w:lang w:val="es-ES"/>
        </w:rPr>
        <w:t xml:space="preserve"> </w:t>
      </w:r>
      <w:r w:rsidRPr="00A71282">
        <w:rPr>
          <w:lang w:val="hy-AM"/>
        </w:rPr>
        <w:t>փուլ</w:t>
      </w:r>
      <w:r w:rsidRPr="00DA0D02">
        <w:rPr>
          <w:lang w:val="es-ES"/>
        </w:rPr>
        <w:t xml:space="preserve"> </w:t>
      </w:r>
      <w:r w:rsidRPr="00A71282">
        <w:rPr>
          <w:lang w:val="hy-AM"/>
        </w:rPr>
        <w:t>թևակոխած</w:t>
      </w:r>
      <w:r w:rsidRPr="00DA0D02">
        <w:rPr>
          <w:lang w:val="es-ES"/>
        </w:rPr>
        <w:t xml:space="preserve"> </w:t>
      </w:r>
      <w:r w:rsidRPr="00A71282">
        <w:rPr>
          <w:lang w:val="hy-AM"/>
        </w:rPr>
        <w:t>համաշխարհային</w:t>
      </w:r>
      <w:r w:rsidRPr="00DA0D02">
        <w:rPr>
          <w:lang w:val="es-ES"/>
        </w:rPr>
        <w:t xml:space="preserve"> </w:t>
      </w:r>
      <w:r w:rsidRPr="00A71282">
        <w:rPr>
          <w:lang w:val="hy-AM"/>
        </w:rPr>
        <w:t>տնտեսությունը</w:t>
      </w:r>
      <w:r w:rsidRPr="00DA0D02">
        <w:rPr>
          <w:lang w:val="es-ES"/>
        </w:rPr>
        <w:t xml:space="preserve">, </w:t>
      </w:r>
      <w:r w:rsidRPr="00A71282">
        <w:rPr>
          <w:lang w:val="hy-AM"/>
        </w:rPr>
        <w:t>այդ</w:t>
      </w:r>
      <w:r w:rsidRPr="00DA0D02">
        <w:rPr>
          <w:lang w:val="es-ES"/>
        </w:rPr>
        <w:t xml:space="preserve"> </w:t>
      </w:r>
      <w:r w:rsidRPr="00A71282">
        <w:rPr>
          <w:lang w:val="hy-AM"/>
        </w:rPr>
        <w:t>թվում՝</w:t>
      </w:r>
      <w:r w:rsidRPr="00DA0D02">
        <w:rPr>
          <w:lang w:val="es-ES"/>
        </w:rPr>
        <w:t xml:space="preserve"> </w:t>
      </w:r>
      <w:r w:rsidRPr="00A71282">
        <w:rPr>
          <w:lang w:val="hy-AM"/>
        </w:rPr>
        <w:t>ՀՀ</w:t>
      </w:r>
      <w:r w:rsidRPr="00DA0D02">
        <w:rPr>
          <w:lang w:val="es-ES"/>
        </w:rPr>
        <w:t xml:space="preserve"> </w:t>
      </w:r>
      <w:r w:rsidRPr="00A71282">
        <w:rPr>
          <w:lang w:val="hy-AM"/>
        </w:rPr>
        <w:t>գործընկեր</w:t>
      </w:r>
      <w:r w:rsidRPr="00DA0D02">
        <w:rPr>
          <w:lang w:val="es-ES"/>
        </w:rPr>
        <w:t xml:space="preserve"> </w:t>
      </w:r>
      <w:r w:rsidRPr="00A71282">
        <w:rPr>
          <w:lang w:val="hy-AM"/>
        </w:rPr>
        <w:t>երկրների</w:t>
      </w:r>
      <w:r w:rsidRPr="00DA0D02">
        <w:rPr>
          <w:lang w:val="es-ES"/>
        </w:rPr>
        <w:t xml:space="preserve"> </w:t>
      </w:r>
      <w:r w:rsidRPr="00A71282">
        <w:rPr>
          <w:lang w:val="hy-AM"/>
        </w:rPr>
        <w:t>տնտեսությունները</w:t>
      </w:r>
      <w:r w:rsidRPr="00DA0D02">
        <w:rPr>
          <w:lang w:val="es-ES"/>
        </w:rPr>
        <w:t xml:space="preserve">, 2022 </w:t>
      </w:r>
      <w:r w:rsidRPr="00A71282">
        <w:rPr>
          <w:lang w:val="hy-AM"/>
        </w:rPr>
        <w:t>թվականի</w:t>
      </w:r>
      <w:r w:rsidRPr="00DA0D02">
        <w:rPr>
          <w:lang w:val="es-ES"/>
        </w:rPr>
        <w:t xml:space="preserve"> </w:t>
      </w:r>
      <w:r w:rsidRPr="00A71282">
        <w:rPr>
          <w:lang w:val="hy-AM"/>
        </w:rPr>
        <w:t>տարեսկզբին</w:t>
      </w:r>
      <w:r w:rsidRPr="00DA0D02">
        <w:rPr>
          <w:lang w:val="es-ES"/>
        </w:rPr>
        <w:t xml:space="preserve"> </w:t>
      </w:r>
      <w:r w:rsidRPr="00A71282">
        <w:rPr>
          <w:lang w:val="hy-AM"/>
        </w:rPr>
        <w:t>բախվեցին</w:t>
      </w:r>
      <w:r w:rsidRPr="00DA0D02">
        <w:rPr>
          <w:lang w:val="es-ES"/>
        </w:rPr>
        <w:t xml:space="preserve"> </w:t>
      </w:r>
      <w:r w:rsidRPr="00A71282">
        <w:rPr>
          <w:lang w:val="hy-AM"/>
        </w:rPr>
        <w:t>նոր</w:t>
      </w:r>
      <w:r w:rsidRPr="00DA0D02">
        <w:rPr>
          <w:lang w:val="es-ES"/>
        </w:rPr>
        <w:t xml:space="preserve"> </w:t>
      </w:r>
      <w:r w:rsidRPr="00A71282">
        <w:rPr>
          <w:lang w:val="hy-AM"/>
        </w:rPr>
        <w:t>շոկի</w:t>
      </w:r>
      <w:r w:rsidRPr="00DA0D02">
        <w:rPr>
          <w:lang w:val="es-ES"/>
        </w:rPr>
        <w:t xml:space="preserve">, </w:t>
      </w:r>
      <w:r w:rsidRPr="00A71282">
        <w:rPr>
          <w:lang w:val="hy-AM"/>
        </w:rPr>
        <w:t>որի</w:t>
      </w:r>
      <w:r w:rsidRPr="00DA0D02">
        <w:rPr>
          <w:lang w:val="es-ES"/>
        </w:rPr>
        <w:t xml:space="preserve"> </w:t>
      </w:r>
      <w:r w:rsidRPr="00A71282">
        <w:rPr>
          <w:lang w:val="hy-AM"/>
        </w:rPr>
        <w:t>արդյունքում</w:t>
      </w:r>
      <w:r w:rsidRPr="00DA0D02">
        <w:rPr>
          <w:lang w:val="es-ES"/>
        </w:rPr>
        <w:t xml:space="preserve"> </w:t>
      </w:r>
      <w:r w:rsidRPr="00A71282">
        <w:rPr>
          <w:lang w:val="hy-AM"/>
        </w:rPr>
        <w:t>տեղի</w:t>
      </w:r>
      <w:r w:rsidRPr="00DA0D02">
        <w:rPr>
          <w:lang w:val="es-ES"/>
        </w:rPr>
        <w:t xml:space="preserve"> </w:t>
      </w:r>
      <w:r w:rsidRPr="00A71282">
        <w:rPr>
          <w:lang w:val="hy-AM"/>
        </w:rPr>
        <w:t>է</w:t>
      </w:r>
      <w:r w:rsidRPr="00DA0D02">
        <w:rPr>
          <w:lang w:val="es-ES"/>
        </w:rPr>
        <w:t xml:space="preserve"> </w:t>
      </w:r>
      <w:r w:rsidRPr="00A71282">
        <w:rPr>
          <w:lang w:val="hy-AM"/>
        </w:rPr>
        <w:t>ունեցել</w:t>
      </w:r>
      <w:r w:rsidRPr="00DA0D02">
        <w:rPr>
          <w:lang w:val="es-ES"/>
        </w:rPr>
        <w:t xml:space="preserve"> </w:t>
      </w:r>
      <w:r w:rsidRPr="00A71282">
        <w:rPr>
          <w:lang w:val="hy-AM"/>
        </w:rPr>
        <w:t>տնտեսական</w:t>
      </w:r>
      <w:r w:rsidRPr="00DA0D02">
        <w:rPr>
          <w:lang w:val="es-ES"/>
        </w:rPr>
        <w:t xml:space="preserve"> </w:t>
      </w:r>
      <w:r w:rsidRPr="00A71282">
        <w:rPr>
          <w:lang w:val="hy-AM"/>
        </w:rPr>
        <w:t>աճի</w:t>
      </w:r>
      <w:r w:rsidRPr="00DA0D02">
        <w:rPr>
          <w:lang w:val="es-ES"/>
        </w:rPr>
        <w:t xml:space="preserve"> </w:t>
      </w:r>
      <w:r w:rsidRPr="00A71282">
        <w:rPr>
          <w:lang w:val="hy-AM"/>
        </w:rPr>
        <w:t>տեմպերի</w:t>
      </w:r>
      <w:r w:rsidRPr="00DA0D02">
        <w:rPr>
          <w:lang w:val="es-ES"/>
        </w:rPr>
        <w:t xml:space="preserve"> </w:t>
      </w:r>
      <w:r w:rsidRPr="00A71282">
        <w:rPr>
          <w:lang w:val="hy-AM"/>
        </w:rPr>
        <w:t>դանդաղում</w:t>
      </w:r>
      <w:r w:rsidRPr="00DA0D02">
        <w:rPr>
          <w:lang w:val="es-ES"/>
        </w:rPr>
        <w:t xml:space="preserve"> (</w:t>
      </w:r>
      <w:r w:rsidRPr="00A71282">
        <w:rPr>
          <w:lang w:val="hy-AM"/>
        </w:rPr>
        <w:t>ՌԴ</w:t>
      </w:r>
      <w:r w:rsidRPr="00DA0D02">
        <w:rPr>
          <w:lang w:val="es-ES"/>
        </w:rPr>
        <w:t>-</w:t>
      </w:r>
      <w:r w:rsidRPr="00A71282">
        <w:rPr>
          <w:lang w:val="hy-AM"/>
        </w:rPr>
        <w:t>ում՝</w:t>
      </w:r>
      <w:r w:rsidRPr="00DA0D02">
        <w:rPr>
          <w:lang w:val="es-ES"/>
        </w:rPr>
        <w:t xml:space="preserve"> </w:t>
      </w:r>
      <w:r w:rsidRPr="00A71282">
        <w:rPr>
          <w:lang w:val="hy-AM"/>
        </w:rPr>
        <w:t>անկում</w:t>
      </w:r>
      <w:r w:rsidRPr="00DA0D02">
        <w:rPr>
          <w:lang w:val="es-ES"/>
        </w:rPr>
        <w:t>)</w:t>
      </w:r>
      <w:r w:rsidRPr="00A71282">
        <w:rPr>
          <w:lang w:val="hy-AM"/>
        </w:rPr>
        <w:t>՝</w:t>
      </w:r>
      <w:r w:rsidRPr="00DA0D02">
        <w:rPr>
          <w:lang w:val="es-ES"/>
        </w:rPr>
        <w:t xml:space="preserve"> </w:t>
      </w:r>
      <w:r w:rsidRPr="00A71282">
        <w:rPr>
          <w:lang w:val="hy-AM"/>
        </w:rPr>
        <w:t>պայմանավորված</w:t>
      </w:r>
      <w:r w:rsidRPr="00DA0D02">
        <w:rPr>
          <w:lang w:val="es-ES"/>
        </w:rPr>
        <w:t xml:space="preserve"> </w:t>
      </w:r>
      <w:r w:rsidRPr="00A71282">
        <w:rPr>
          <w:lang w:val="hy-AM"/>
        </w:rPr>
        <w:t>համաշխարհային</w:t>
      </w:r>
      <w:r w:rsidRPr="00DA0D02">
        <w:rPr>
          <w:lang w:val="es-ES"/>
        </w:rPr>
        <w:t xml:space="preserve"> </w:t>
      </w:r>
      <w:r w:rsidRPr="00A71282">
        <w:rPr>
          <w:lang w:val="hy-AM"/>
        </w:rPr>
        <w:t>արժեշղթաների</w:t>
      </w:r>
      <w:r w:rsidRPr="00DA0D02">
        <w:rPr>
          <w:lang w:val="es-ES"/>
        </w:rPr>
        <w:t xml:space="preserve"> </w:t>
      </w:r>
      <w:r w:rsidRPr="00A71282">
        <w:rPr>
          <w:lang w:val="hy-AM"/>
        </w:rPr>
        <w:t>խաթարումներով</w:t>
      </w:r>
      <w:r w:rsidRPr="00DA0D02">
        <w:rPr>
          <w:lang w:val="es-ES"/>
        </w:rPr>
        <w:t xml:space="preserve">, </w:t>
      </w:r>
      <w:r w:rsidRPr="00A71282">
        <w:rPr>
          <w:lang w:val="hy-AM"/>
        </w:rPr>
        <w:t>պարենային</w:t>
      </w:r>
      <w:r w:rsidRPr="00DA0D02">
        <w:rPr>
          <w:lang w:val="es-ES"/>
        </w:rPr>
        <w:t xml:space="preserve"> </w:t>
      </w:r>
      <w:r w:rsidRPr="00A71282">
        <w:rPr>
          <w:lang w:val="hy-AM"/>
        </w:rPr>
        <w:t>և</w:t>
      </w:r>
      <w:r w:rsidRPr="00DA0D02">
        <w:rPr>
          <w:lang w:val="es-ES"/>
        </w:rPr>
        <w:t xml:space="preserve"> </w:t>
      </w:r>
      <w:r w:rsidRPr="00A71282">
        <w:rPr>
          <w:lang w:val="hy-AM"/>
        </w:rPr>
        <w:t>հումքային</w:t>
      </w:r>
      <w:r w:rsidRPr="00DA0D02">
        <w:rPr>
          <w:lang w:val="es-ES"/>
        </w:rPr>
        <w:t xml:space="preserve"> </w:t>
      </w:r>
      <w:r w:rsidRPr="00A71282">
        <w:rPr>
          <w:lang w:val="hy-AM"/>
        </w:rPr>
        <w:t>ապրանքների</w:t>
      </w:r>
      <w:r w:rsidRPr="00DA0D02">
        <w:rPr>
          <w:lang w:val="es-ES"/>
        </w:rPr>
        <w:t xml:space="preserve"> </w:t>
      </w:r>
      <w:r w:rsidRPr="00A71282">
        <w:rPr>
          <w:lang w:val="hy-AM"/>
        </w:rPr>
        <w:t>միջազգային</w:t>
      </w:r>
      <w:r w:rsidRPr="00DA0D02">
        <w:rPr>
          <w:lang w:val="es-ES"/>
        </w:rPr>
        <w:t xml:space="preserve"> </w:t>
      </w:r>
      <w:r w:rsidRPr="00A71282">
        <w:rPr>
          <w:lang w:val="hy-AM"/>
        </w:rPr>
        <w:t>գների</w:t>
      </w:r>
      <w:r w:rsidRPr="00DA0D02">
        <w:rPr>
          <w:lang w:val="es-ES"/>
        </w:rPr>
        <w:t xml:space="preserve"> </w:t>
      </w:r>
      <w:r w:rsidRPr="00A71282">
        <w:rPr>
          <w:lang w:val="hy-AM"/>
        </w:rPr>
        <w:t>բարձրացմամբ</w:t>
      </w:r>
      <w:r w:rsidRPr="00DA0D02">
        <w:rPr>
          <w:lang w:val="es-ES"/>
        </w:rPr>
        <w:t xml:space="preserve">, </w:t>
      </w:r>
      <w:r w:rsidRPr="00A71282">
        <w:rPr>
          <w:lang w:val="hy-AM"/>
        </w:rPr>
        <w:t>դրանց</w:t>
      </w:r>
      <w:r w:rsidRPr="00DA0D02">
        <w:rPr>
          <w:lang w:val="es-ES"/>
        </w:rPr>
        <w:t xml:space="preserve"> </w:t>
      </w:r>
      <w:r w:rsidRPr="00A71282">
        <w:rPr>
          <w:lang w:val="hy-AM"/>
        </w:rPr>
        <w:t>հետևանքով</w:t>
      </w:r>
      <w:r w:rsidRPr="00DA0D02">
        <w:rPr>
          <w:lang w:val="es-ES"/>
        </w:rPr>
        <w:t xml:space="preserve"> </w:t>
      </w:r>
      <w:r w:rsidRPr="00A71282">
        <w:rPr>
          <w:lang w:val="hy-AM"/>
        </w:rPr>
        <w:t>առաջացած</w:t>
      </w:r>
      <w:r w:rsidRPr="00DA0D02">
        <w:rPr>
          <w:lang w:val="es-ES"/>
        </w:rPr>
        <w:t xml:space="preserve"> </w:t>
      </w:r>
      <w:r w:rsidRPr="00A71282">
        <w:rPr>
          <w:lang w:val="hy-AM"/>
        </w:rPr>
        <w:t>բարձր</w:t>
      </w:r>
      <w:r w:rsidRPr="00DA0D02">
        <w:rPr>
          <w:lang w:val="es-ES"/>
        </w:rPr>
        <w:t xml:space="preserve"> </w:t>
      </w:r>
      <w:r w:rsidRPr="00A71282">
        <w:rPr>
          <w:lang w:val="hy-AM"/>
        </w:rPr>
        <w:t>գնաճին</w:t>
      </w:r>
      <w:r w:rsidRPr="00DA0D02">
        <w:rPr>
          <w:lang w:val="es-ES"/>
        </w:rPr>
        <w:t xml:space="preserve"> </w:t>
      </w:r>
      <w:r w:rsidRPr="00A71282">
        <w:rPr>
          <w:lang w:val="hy-AM"/>
        </w:rPr>
        <w:t>հակազդող</w:t>
      </w:r>
      <w:r w:rsidRPr="00DA0D02">
        <w:rPr>
          <w:lang w:val="es-ES"/>
        </w:rPr>
        <w:t xml:space="preserve"> </w:t>
      </w:r>
      <w:r w:rsidRPr="00A71282">
        <w:rPr>
          <w:lang w:val="hy-AM"/>
        </w:rPr>
        <w:t>աննախադեպ</w:t>
      </w:r>
      <w:r w:rsidRPr="00DA0D02">
        <w:rPr>
          <w:lang w:val="es-ES"/>
        </w:rPr>
        <w:t xml:space="preserve"> </w:t>
      </w:r>
      <w:r w:rsidRPr="00A71282">
        <w:rPr>
          <w:lang w:val="hy-AM"/>
        </w:rPr>
        <w:t>զսպող</w:t>
      </w:r>
      <w:r w:rsidRPr="00DA0D02">
        <w:rPr>
          <w:lang w:val="es-ES"/>
        </w:rPr>
        <w:t xml:space="preserve"> </w:t>
      </w:r>
      <w:r w:rsidRPr="00A71282">
        <w:rPr>
          <w:lang w:val="hy-AM"/>
        </w:rPr>
        <w:t>դրամավարկային</w:t>
      </w:r>
      <w:r w:rsidRPr="00DA0D02">
        <w:rPr>
          <w:lang w:val="es-ES"/>
        </w:rPr>
        <w:t xml:space="preserve"> </w:t>
      </w:r>
      <w:r w:rsidRPr="00A71282">
        <w:rPr>
          <w:lang w:val="hy-AM"/>
        </w:rPr>
        <w:t>քաղաքականություններով</w:t>
      </w:r>
      <w:r w:rsidRPr="00DA0D02">
        <w:rPr>
          <w:lang w:val="es-ES"/>
        </w:rPr>
        <w:t xml:space="preserve"> </w:t>
      </w:r>
      <w:r w:rsidRPr="00A71282">
        <w:rPr>
          <w:lang w:val="hy-AM"/>
        </w:rPr>
        <w:t>ու</w:t>
      </w:r>
      <w:r w:rsidRPr="00DA0D02">
        <w:rPr>
          <w:lang w:val="es-ES"/>
        </w:rPr>
        <w:t xml:space="preserve"> </w:t>
      </w:r>
      <w:r w:rsidRPr="00A71282">
        <w:rPr>
          <w:lang w:val="hy-AM"/>
        </w:rPr>
        <w:t>համաշխարհային</w:t>
      </w:r>
      <w:r w:rsidRPr="00DA0D02">
        <w:rPr>
          <w:lang w:val="es-ES"/>
        </w:rPr>
        <w:t xml:space="preserve"> </w:t>
      </w:r>
      <w:r w:rsidRPr="00A71282">
        <w:rPr>
          <w:lang w:val="hy-AM"/>
        </w:rPr>
        <w:t>ֆինանսական</w:t>
      </w:r>
      <w:r w:rsidRPr="00DA0D02">
        <w:rPr>
          <w:lang w:val="es-ES"/>
        </w:rPr>
        <w:t xml:space="preserve"> </w:t>
      </w:r>
      <w:r w:rsidRPr="00A71282">
        <w:rPr>
          <w:lang w:val="hy-AM"/>
        </w:rPr>
        <w:t>պայմանների</w:t>
      </w:r>
      <w:r w:rsidRPr="00DA0D02">
        <w:rPr>
          <w:lang w:val="es-ES"/>
        </w:rPr>
        <w:t xml:space="preserve"> </w:t>
      </w:r>
      <w:r w:rsidRPr="00A71282">
        <w:rPr>
          <w:lang w:val="hy-AM"/>
        </w:rPr>
        <w:t>խստացմամբ</w:t>
      </w:r>
      <w:r w:rsidRPr="00DA0D02">
        <w:rPr>
          <w:lang w:val="es-ES"/>
        </w:rPr>
        <w:t>: 2023</w:t>
      </w:r>
      <w:r w:rsidRPr="00A71282">
        <w:rPr>
          <w:lang w:val="hy-AM"/>
        </w:rPr>
        <w:t>թ</w:t>
      </w:r>
      <w:r w:rsidRPr="00DA0D02">
        <w:rPr>
          <w:rFonts w:ascii="Cambria Math" w:hAnsi="Cambria Math" w:cs="Cambria Math"/>
          <w:lang w:val="es-ES"/>
        </w:rPr>
        <w:t>․</w:t>
      </w:r>
      <w:r w:rsidRPr="00DA0D02">
        <w:rPr>
          <w:lang w:val="es-ES"/>
        </w:rPr>
        <w:t xml:space="preserve"> </w:t>
      </w:r>
      <w:r w:rsidRPr="00A71282">
        <w:rPr>
          <w:lang w:val="hy-AM"/>
        </w:rPr>
        <w:t>ՀՀ</w:t>
      </w:r>
      <w:r w:rsidRPr="00DA0D02">
        <w:rPr>
          <w:lang w:val="es-ES"/>
        </w:rPr>
        <w:t xml:space="preserve"> </w:t>
      </w:r>
      <w:r w:rsidRPr="00A71282">
        <w:rPr>
          <w:lang w:val="hy-AM"/>
        </w:rPr>
        <w:t>հիմնական</w:t>
      </w:r>
      <w:r w:rsidRPr="00DA0D02">
        <w:rPr>
          <w:lang w:val="es-ES"/>
        </w:rPr>
        <w:t xml:space="preserve"> </w:t>
      </w:r>
      <w:r w:rsidRPr="00A71282">
        <w:rPr>
          <w:lang w:val="hy-AM"/>
        </w:rPr>
        <w:t>գործընկեր</w:t>
      </w:r>
      <w:r w:rsidRPr="00DA0D02">
        <w:rPr>
          <w:lang w:val="es-ES"/>
        </w:rPr>
        <w:t xml:space="preserve"> </w:t>
      </w:r>
      <w:r w:rsidRPr="00A71282">
        <w:rPr>
          <w:lang w:val="hy-AM"/>
        </w:rPr>
        <w:t>երկրներում</w:t>
      </w:r>
      <w:r w:rsidRPr="00DA0D02">
        <w:rPr>
          <w:lang w:val="es-ES"/>
        </w:rPr>
        <w:t xml:space="preserve">, </w:t>
      </w:r>
      <w:r w:rsidRPr="00A71282">
        <w:rPr>
          <w:lang w:val="hy-AM"/>
        </w:rPr>
        <w:t>բացառությամբ</w:t>
      </w:r>
      <w:r w:rsidRPr="00DA0D02">
        <w:rPr>
          <w:lang w:val="es-ES"/>
        </w:rPr>
        <w:t xml:space="preserve"> </w:t>
      </w:r>
      <w:r w:rsidRPr="00A71282">
        <w:rPr>
          <w:lang w:val="hy-AM"/>
        </w:rPr>
        <w:t>Եվրագոտու</w:t>
      </w:r>
      <w:r w:rsidRPr="00DA0D02">
        <w:rPr>
          <w:lang w:val="es-ES"/>
        </w:rPr>
        <w:t xml:space="preserve">, </w:t>
      </w:r>
      <w:r w:rsidRPr="00A71282">
        <w:rPr>
          <w:lang w:val="hy-AM"/>
        </w:rPr>
        <w:t>տեղի</w:t>
      </w:r>
      <w:r w:rsidRPr="00DA0D02">
        <w:rPr>
          <w:lang w:val="es-ES"/>
        </w:rPr>
        <w:t xml:space="preserve"> </w:t>
      </w:r>
      <w:r w:rsidRPr="00A71282">
        <w:rPr>
          <w:lang w:val="hy-AM"/>
        </w:rPr>
        <w:t>է</w:t>
      </w:r>
      <w:r w:rsidRPr="00DA0D02">
        <w:rPr>
          <w:lang w:val="es-ES"/>
        </w:rPr>
        <w:t xml:space="preserve"> </w:t>
      </w:r>
      <w:r w:rsidRPr="00A71282">
        <w:rPr>
          <w:lang w:val="hy-AM"/>
        </w:rPr>
        <w:t>ունեցել</w:t>
      </w:r>
      <w:r w:rsidRPr="00DA0D02">
        <w:rPr>
          <w:lang w:val="es-ES"/>
        </w:rPr>
        <w:t xml:space="preserve"> </w:t>
      </w:r>
      <w:r w:rsidRPr="00A71282">
        <w:rPr>
          <w:lang w:val="hy-AM"/>
        </w:rPr>
        <w:t>տնտեսական</w:t>
      </w:r>
      <w:r w:rsidRPr="00DA0D02">
        <w:rPr>
          <w:lang w:val="es-ES"/>
        </w:rPr>
        <w:t xml:space="preserve"> </w:t>
      </w:r>
      <w:r w:rsidRPr="00A71282">
        <w:rPr>
          <w:lang w:val="hy-AM"/>
        </w:rPr>
        <w:t>աճի</w:t>
      </w:r>
      <w:r w:rsidRPr="00DA0D02">
        <w:rPr>
          <w:lang w:val="es-ES"/>
        </w:rPr>
        <w:t xml:space="preserve"> </w:t>
      </w:r>
      <w:r w:rsidRPr="00A71282">
        <w:rPr>
          <w:lang w:val="hy-AM"/>
        </w:rPr>
        <w:t>տեմպերի</w:t>
      </w:r>
      <w:r w:rsidRPr="00DA0D02">
        <w:rPr>
          <w:lang w:val="es-ES"/>
        </w:rPr>
        <w:t xml:space="preserve"> </w:t>
      </w:r>
      <w:r w:rsidRPr="00A71282">
        <w:rPr>
          <w:lang w:val="hy-AM"/>
        </w:rPr>
        <w:t>վերականգնում։</w:t>
      </w:r>
      <w:r w:rsidRPr="00DA0D02">
        <w:rPr>
          <w:lang w:val="es-ES"/>
        </w:rPr>
        <w:t xml:space="preserve"> </w:t>
      </w:r>
      <w:r w:rsidRPr="00F50CE5">
        <w:t>Աճի</w:t>
      </w:r>
      <w:r w:rsidRPr="00DA0D02">
        <w:rPr>
          <w:lang w:val="es-ES"/>
        </w:rPr>
        <w:t xml:space="preserve"> </w:t>
      </w:r>
      <w:r w:rsidRPr="00F50CE5">
        <w:t>արագացումը</w:t>
      </w:r>
      <w:r w:rsidRPr="00DA0D02">
        <w:rPr>
          <w:lang w:val="es-ES"/>
        </w:rPr>
        <w:t xml:space="preserve"> </w:t>
      </w:r>
      <w:r w:rsidRPr="00F50CE5">
        <w:t>պայմանավորված</w:t>
      </w:r>
      <w:r w:rsidRPr="00DA0D02">
        <w:rPr>
          <w:lang w:val="es-ES"/>
        </w:rPr>
        <w:t xml:space="preserve"> </w:t>
      </w:r>
      <w:r w:rsidRPr="00F50CE5">
        <w:t>է</w:t>
      </w:r>
      <w:r w:rsidRPr="00DA0D02">
        <w:rPr>
          <w:lang w:val="es-ES"/>
        </w:rPr>
        <w:t xml:space="preserve"> </w:t>
      </w:r>
      <w:r w:rsidRPr="00F50CE5">
        <w:t>եղել</w:t>
      </w:r>
      <w:r w:rsidRPr="00DA0D02">
        <w:rPr>
          <w:lang w:val="es-ES"/>
        </w:rPr>
        <w:t xml:space="preserve"> </w:t>
      </w:r>
      <w:r w:rsidRPr="00F50CE5">
        <w:t>պետական</w:t>
      </w:r>
      <w:r w:rsidRPr="00DA0D02">
        <w:rPr>
          <w:lang w:val="es-ES"/>
        </w:rPr>
        <w:t xml:space="preserve"> </w:t>
      </w:r>
      <w:r w:rsidRPr="00F50CE5">
        <w:t>ու</w:t>
      </w:r>
      <w:r w:rsidRPr="00DA0D02">
        <w:rPr>
          <w:lang w:val="es-ES"/>
        </w:rPr>
        <w:t xml:space="preserve"> </w:t>
      </w:r>
      <w:r w:rsidRPr="00F50CE5">
        <w:t>մասնավոր</w:t>
      </w:r>
      <w:r w:rsidRPr="00DA0D02">
        <w:rPr>
          <w:lang w:val="es-ES"/>
        </w:rPr>
        <w:t xml:space="preserve"> </w:t>
      </w:r>
      <w:r w:rsidRPr="00F50CE5">
        <w:t>սպառման</w:t>
      </w:r>
      <w:r w:rsidRPr="00DA0D02">
        <w:rPr>
          <w:lang w:val="es-ES"/>
        </w:rPr>
        <w:t xml:space="preserve"> </w:t>
      </w:r>
      <w:r w:rsidRPr="00F50CE5">
        <w:t>աճով</w:t>
      </w:r>
      <w:r w:rsidRPr="00DA0D02">
        <w:rPr>
          <w:lang w:val="es-ES"/>
        </w:rPr>
        <w:t xml:space="preserve">, </w:t>
      </w:r>
      <w:r w:rsidRPr="00F50CE5">
        <w:t>ինչպես</w:t>
      </w:r>
      <w:r w:rsidRPr="00DA0D02">
        <w:rPr>
          <w:lang w:val="es-ES"/>
        </w:rPr>
        <w:t xml:space="preserve"> </w:t>
      </w:r>
      <w:r w:rsidRPr="00F50CE5">
        <w:t>նաև</w:t>
      </w:r>
      <w:r w:rsidRPr="00DA0D02">
        <w:rPr>
          <w:lang w:val="es-ES"/>
        </w:rPr>
        <w:t xml:space="preserve"> </w:t>
      </w:r>
      <w:r w:rsidRPr="00F50CE5">
        <w:t>գնաճի</w:t>
      </w:r>
      <w:r w:rsidRPr="00DA0D02">
        <w:rPr>
          <w:lang w:val="es-ES"/>
        </w:rPr>
        <w:t xml:space="preserve"> </w:t>
      </w:r>
      <w:r w:rsidRPr="00F50CE5">
        <w:t>տեմպերի</w:t>
      </w:r>
      <w:r w:rsidRPr="00DA0D02">
        <w:rPr>
          <w:lang w:val="es-ES"/>
        </w:rPr>
        <w:t xml:space="preserve"> </w:t>
      </w:r>
      <w:r w:rsidRPr="00F50CE5">
        <w:t>աստիճանական</w:t>
      </w:r>
      <w:r w:rsidRPr="00DA0D02">
        <w:rPr>
          <w:lang w:val="es-ES"/>
        </w:rPr>
        <w:t xml:space="preserve"> </w:t>
      </w:r>
      <w:r w:rsidRPr="00F50CE5">
        <w:t>կայունացմամբ։</w:t>
      </w:r>
      <w:r w:rsidRPr="00DA0D02">
        <w:rPr>
          <w:lang w:val="es-ES"/>
        </w:rPr>
        <w:t xml:space="preserve"> </w:t>
      </w:r>
      <w:r w:rsidRPr="00F50CE5">
        <w:t>Եվրագոտում</w:t>
      </w:r>
      <w:r w:rsidRPr="00DA0D02">
        <w:rPr>
          <w:lang w:val="es-ES"/>
        </w:rPr>
        <w:t xml:space="preserve"> </w:t>
      </w:r>
      <w:r w:rsidRPr="00F50CE5">
        <w:t>արձանագրված</w:t>
      </w:r>
      <w:r w:rsidRPr="00DA0D02">
        <w:rPr>
          <w:lang w:val="es-ES"/>
        </w:rPr>
        <w:t xml:space="preserve"> </w:t>
      </w:r>
      <w:r w:rsidRPr="00F50CE5">
        <w:t>թույլ</w:t>
      </w:r>
      <w:r w:rsidRPr="00DA0D02">
        <w:rPr>
          <w:lang w:val="es-ES"/>
        </w:rPr>
        <w:t xml:space="preserve"> </w:t>
      </w:r>
      <w:r w:rsidRPr="00F50CE5">
        <w:t>աճն</w:t>
      </w:r>
      <w:r w:rsidRPr="00DA0D02">
        <w:rPr>
          <w:lang w:val="es-ES"/>
        </w:rPr>
        <w:t xml:space="preserve"> </w:t>
      </w:r>
      <w:r w:rsidRPr="00F50CE5">
        <w:t>արտացոլում</w:t>
      </w:r>
      <w:r w:rsidRPr="00DA0D02">
        <w:rPr>
          <w:lang w:val="es-ES"/>
        </w:rPr>
        <w:t xml:space="preserve"> </w:t>
      </w:r>
      <w:r w:rsidRPr="00F50CE5">
        <w:t>էր</w:t>
      </w:r>
      <w:r w:rsidRPr="00DA0D02">
        <w:rPr>
          <w:lang w:val="es-ES"/>
        </w:rPr>
        <w:t xml:space="preserve"> </w:t>
      </w:r>
      <w:r w:rsidRPr="00F50CE5">
        <w:t>սպառողական</w:t>
      </w:r>
      <w:r w:rsidRPr="00DA0D02">
        <w:rPr>
          <w:lang w:val="es-ES"/>
        </w:rPr>
        <w:t xml:space="preserve"> </w:t>
      </w:r>
      <w:r w:rsidRPr="00F50CE5">
        <w:t>թույլ</w:t>
      </w:r>
      <w:r w:rsidRPr="00DA0D02">
        <w:rPr>
          <w:lang w:val="es-ES"/>
        </w:rPr>
        <w:t xml:space="preserve"> </w:t>
      </w:r>
      <w:r w:rsidRPr="00F50CE5">
        <w:t>տրամադրությունները</w:t>
      </w:r>
      <w:r w:rsidRPr="00DA0D02">
        <w:rPr>
          <w:lang w:val="es-ES"/>
        </w:rPr>
        <w:t xml:space="preserve">, </w:t>
      </w:r>
      <w:r w:rsidRPr="00F50CE5">
        <w:t>էներգակիրների</w:t>
      </w:r>
      <w:r w:rsidRPr="00DA0D02">
        <w:rPr>
          <w:lang w:val="es-ES"/>
        </w:rPr>
        <w:t xml:space="preserve"> </w:t>
      </w:r>
      <w:r w:rsidRPr="00F50CE5">
        <w:t>բարձր</w:t>
      </w:r>
      <w:r w:rsidRPr="00DA0D02">
        <w:rPr>
          <w:lang w:val="es-ES"/>
        </w:rPr>
        <w:t xml:space="preserve"> </w:t>
      </w:r>
      <w:r w:rsidRPr="00F50CE5">
        <w:t>գների</w:t>
      </w:r>
      <w:r w:rsidRPr="00DA0D02">
        <w:rPr>
          <w:lang w:val="es-ES"/>
        </w:rPr>
        <w:t xml:space="preserve"> </w:t>
      </w:r>
      <w:r w:rsidRPr="00F50CE5">
        <w:t>երկարաձգված</w:t>
      </w:r>
      <w:r w:rsidRPr="00DA0D02">
        <w:rPr>
          <w:lang w:val="es-ES"/>
        </w:rPr>
        <w:t xml:space="preserve"> </w:t>
      </w:r>
      <w:r w:rsidRPr="00F50CE5">
        <w:t>ազդեցությունը</w:t>
      </w:r>
      <w:r w:rsidRPr="00DA0D02">
        <w:rPr>
          <w:lang w:val="es-ES"/>
        </w:rPr>
        <w:t xml:space="preserve">, </w:t>
      </w:r>
      <w:r w:rsidRPr="00F50CE5">
        <w:t>ինչպես</w:t>
      </w:r>
      <w:r w:rsidRPr="00DA0D02">
        <w:rPr>
          <w:lang w:val="es-ES"/>
        </w:rPr>
        <w:t xml:space="preserve"> </w:t>
      </w:r>
      <w:r w:rsidRPr="00F50CE5">
        <w:t>նաև</w:t>
      </w:r>
      <w:r w:rsidRPr="00DA0D02">
        <w:rPr>
          <w:lang w:val="es-ES"/>
        </w:rPr>
        <w:t xml:space="preserve"> </w:t>
      </w:r>
      <w:r w:rsidRPr="00F50CE5">
        <w:t>մշակող</w:t>
      </w:r>
      <w:r w:rsidRPr="00DA0D02">
        <w:rPr>
          <w:lang w:val="es-ES"/>
        </w:rPr>
        <w:t xml:space="preserve"> </w:t>
      </w:r>
      <w:r w:rsidRPr="00F50CE5">
        <w:t>արդյունաբերության</w:t>
      </w:r>
      <w:r w:rsidRPr="00DA0D02">
        <w:rPr>
          <w:lang w:val="es-ES"/>
        </w:rPr>
        <w:t xml:space="preserve"> </w:t>
      </w:r>
      <w:r w:rsidRPr="00F50CE5">
        <w:t>թույլ</w:t>
      </w:r>
      <w:r w:rsidRPr="00DA0D02">
        <w:rPr>
          <w:lang w:val="es-ES"/>
        </w:rPr>
        <w:t xml:space="preserve"> </w:t>
      </w:r>
      <w:r w:rsidRPr="00F50CE5">
        <w:t>ակտիվությունը։</w:t>
      </w:r>
      <w:r w:rsidRPr="00DA0D02">
        <w:rPr>
          <w:lang w:val="es-ES"/>
        </w:rPr>
        <w:t xml:space="preserve"> </w:t>
      </w:r>
      <w:r w:rsidRPr="00F50CE5">
        <w:t>Այս</w:t>
      </w:r>
      <w:r w:rsidRPr="00DA0D02">
        <w:rPr>
          <w:lang w:val="es-ES"/>
        </w:rPr>
        <w:t xml:space="preserve"> </w:t>
      </w:r>
      <w:r w:rsidRPr="00F50CE5">
        <w:t>պայմաններում</w:t>
      </w:r>
      <w:r w:rsidRPr="00DA0D02">
        <w:rPr>
          <w:lang w:val="es-ES"/>
        </w:rPr>
        <w:t xml:space="preserve"> 2024 </w:t>
      </w:r>
      <w:r w:rsidRPr="00F50CE5">
        <w:t>թվականին</w:t>
      </w:r>
      <w:r w:rsidRPr="00DA0D02">
        <w:rPr>
          <w:lang w:val="es-ES"/>
        </w:rPr>
        <w:t xml:space="preserve"> </w:t>
      </w:r>
      <w:r w:rsidRPr="00F50CE5">
        <w:t>գործընկեր</w:t>
      </w:r>
      <w:r w:rsidRPr="00DA0D02">
        <w:rPr>
          <w:lang w:val="es-ES"/>
        </w:rPr>
        <w:t xml:space="preserve"> </w:t>
      </w:r>
      <w:r w:rsidRPr="00F50CE5">
        <w:t>երկրներից</w:t>
      </w:r>
      <w:r w:rsidRPr="00DA0D02">
        <w:rPr>
          <w:lang w:val="es-ES"/>
        </w:rPr>
        <w:t xml:space="preserve"> </w:t>
      </w:r>
      <w:r w:rsidRPr="00F50CE5">
        <w:t>ԱՄՆ</w:t>
      </w:r>
      <w:r w:rsidRPr="00DA0D02">
        <w:rPr>
          <w:lang w:val="es-ES"/>
        </w:rPr>
        <w:t>-</w:t>
      </w:r>
      <w:r w:rsidRPr="00F50CE5">
        <w:t>ում</w:t>
      </w:r>
      <w:r w:rsidRPr="00DA0D02">
        <w:rPr>
          <w:lang w:val="es-ES"/>
        </w:rPr>
        <w:t xml:space="preserve"> </w:t>
      </w:r>
      <w:r w:rsidRPr="00F50CE5">
        <w:t>և</w:t>
      </w:r>
      <w:r w:rsidRPr="00DA0D02">
        <w:rPr>
          <w:lang w:val="es-ES"/>
        </w:rPr>
        <w:t xml:space="preserve"> </w:t>
      </w:r>
      <w:r w:rsidRPr="00F50CE5">
        <w:t>Եվրագոտում</w:t>
      </w:r>
      <w:r w:rsidRPr="00DA0D02">
        <w:rPr>
          <w:lang w:val="es-ES"/>
        </w:rPr>
        <w:t xml:space="preserve"> </w:t>
      </w:r>
      <w:r w:rsidRPr="00F50CE5">
        <w:t>կանխատեսվում</w:t>
      </w:r>
      <w:r w:rsidRPr="00DA0D02">
        <w:rPr>
          <w:lang w:val="es-ES"/>
        </w:rPr>
        <w:t xml:space="preserve"> </w:t>
      </w:r>
      <w:r w:rsidRPr="00F50CE5">
        <w:t>է</w:t>
      </w:r>
      <w:r w:rsidRPr="00DA0D02">
        <w:rPr>
          <w:lang w:val="es-ES"/>
        </w:rPr>
        <w:t xml:space="preserve"> </w:t>
      </w:r>
      <w:r w:rsidRPr="00F50CE5">
        <w:t>տնտեսական</w:t>
      </w:r>
      <w:r w:rsidRPr="00DA0D02">
        <w:rPr>
          <w:lang w:val="es-ES"/>
        </w:rPr>
        <w:t xml:space="preserve"> </w:t>
      </w:r>
      <w:r w:rsidRPr="00F50CE5">
        <w:t>աճի</w:t>
      </w:r>
      <w:r w:rsidRPr="00DA0D02">
        <w:rPr>
          <w:lang w:val="es-ES"/>
        </w:rPr>
        <w:t xml:space="preserve"> </w:t>
      </w:r>
      <w:r w:rsidRPr="00F50CE5">
        <w:t>տեմպերի</w:t>
      </w:r>
      <w:r w:rsidRPr="00DA0D02">
        <w:rPr>
          <w:lang w:val="es-ES"/>
        </w:rPr>
        <w:t xml:space="preserve"> </w:t>
      </w:r>
      <w:r w:rsidRPr="00F50CE5">
        <w:t>արագացում</w:t>
      </w:r>
      <w:r w:rsidRPr="00DA0D02">
        <w:rPr>
          <w:lang w:val="es-ES"/>
        </w:rPr>
        <w:t xml:space="preserve">, </w:t>
      </w:r>
      <w:r w:rsidRPr="00F50CE5">
        <w:t>մինչդեռ</w:t>
      </w:r>
      <w:r w:rsidRPr="00DA0D02">
        <w:rPr>
          <w:lang w:val="es-ES"/>
        </w:rPr>
        <w:t xml:space="preserve"> </w:t>
      </w:r>
      <w:r w:rsidRPr="00F50CE5">
        <w:t>ՌԴ</w:t>
      </w:r>
      <w:r w:rsidRPr="00DA0D02">
        <w:rPr>
          <w:lang w:val="es-ES"/>
        </w:rPr>
        <w:t>-</w:t>
      </w:r>
      <w:r w:rsidRPr="00F50CE5">
        <w:t>ում</w:t>
      </w:r>
      <w:r w:rsidRPr="00DA0D02">
        <w:rPr>
          <w:lang w:val="es-ES"/>
        </w:rPr>
        <w:t xml:space="preserve"> </w:t>
      </w:r>
      <w:r w:rsidRPr="00F50CE5">
        <w:t>և</w:t>
      </w:r>
      <w:r w:rsidRPr="00DA0D02">
        <w:rPr>
          <w:lang w:val="es-ES"/>
        </w:rPr>
        <w:t xml:space="preserve"> </w:t>
      </w:r>
      <w:r w:rsidRPr="00F50CE5">
        <w:t>Չինաստանում՝</w:t>
      </w:r>
      <w:r w:rsidRPr="00DA0D02">
        <w:rPr>
          <w:lang w:val="es-ES"/>
        </w:rPr>
        <w:t xml:space="preserve"> </w:t>
      </w:r>
      <w:r w:rsidRPr="00F50CE5">
        <w:t>դանդաղում</w:t>
      </w:r>
      <w:r w:rsidRPr="00DA0D02">
        <w:rPr>
          <w:lang w:val="es-ES"/>
        </w:rPr>
        <w:t xml:space="preserve">, </w:t>
      </w:r>
      <w:r w:rsidRPr="00F50CE5">
        <w:t>իսկ</w:t>
      </w:r>
      <w:r w:rsidRPr="00DA0D02">
        <w:rPr>
          <w:lang w:val="es-ES"/>
        </w:rPr>
        <w:t xml:space="preserve"> </w:t>
      </w:r>
      <w:r w:rsidRPr="00F50CE5">
        <w:t>միջնաժամկետում՝</w:t>
      </w:r>
      <w:r w:rsidRPr="00DA0D02">
        <w:rPr>
          <w:lang w:val="es-ES"/>
        </w:rPr>
        <w:t xml:space="preserve"> </w:t>
      </w:r>
      <w:r w:rsidRPr="00F50CE5">
        <w:t>կանխատեսվում</w:t>
      </w:r>
      <w:r w:rsidRPr="00DA0D02">
        <w:rPr>
          <w:lang w:val="es-ES"/>
        </w:rPr>
        <w:t xml:space="preserve"> </w:t>
      </w:r>
      <w:r w:rsidRPr="00F50CE5">
        <w:t>է</w:t>
      </w:r>
      <w:r w:rsidRPr="00DA0D02">
        <w:rPr>
          <w:lang w:val="es-ES"/>
        </w:rPr>
        <w:t xml:space="preserve"> </w:t>
      </w:r>
      <w:r w:rsidRPr="00F50CE5">
        <w:t>իրենց</w:t>
      </w:r>
      <w:r w:rsidRPr="00DA0D02">
        <w:rPr>
          <w:lang w:val="es-ES"/>
        </w:rPr>
        <w:t xml:space="preserve"> </w:t>
      </w:r>
      <w:r w:rsidRPr="00F50CE5">
        <w:t>պատմական</w:t>
      </w:r>
      <w:r w:rsidRPr="00DA0D02">
        <w:rPr>
          <w:lang w:val="es-ES"/>
        </w:rPr>
        <w:t xml:space="preserve"> </w:t>
      </w:r>
      <w:r w:rsidRPr="00F50CE5">
        <w:t>միջին</w:t>
      </w:r>
      <w:r w:rsidRPr="00DA0D02">
        <w:rPr>
          <w:lang w:val="es-ES"/>
        </w:rPr>
        <w:t xml:space="preserve"> </w:t>
      </w:r>
      <w:r w:rsidRPr="00F50CE5">
        <w:t>աճերից</w:t>
      </w:r>
      <w:r w:rsidRPr="00DA0D02">
        <w:rPr>
          <w:lang w:val="es-ES"/>
        </w:rPr>
        <w:t xml:space="preserve"> </w:t>
      </w:r>
      <w:r w:rsidRPr="00F50CE5">
        <w:t>ցածր</w:t>
      </w:r>
      <w:r w:rsidRPr="00DA0D02">
        <w:rPr>
          <w:lang w:val="es-ES"/>
        </w:rPr>
        <w:t xml:space="preserve"> </w:t>
      </w:r>
      <w:r w:rsidRPr="00F50CE5">
        <w:t>տնտեսական</w:t>
      </w:r>
      <w:r w:rsidRPr="00DA0D02">
        <w:rPr>
          <w:lang w:val="es-ES"/>
        </w:rPr>
        <w:t xml:space="preserve"> </w:t>
      </w:r>
      <w:r w:rsidRPr="00F50CE5">
        <w:t>աճեր։</w:t>
      </w:r>
    </w:p>
    <w:p w14:paraId="08513D97" w14:textId="77777777" w:rsidR="00DA0D02" w:rsidRPr="00DA0D02" w:rsidRDefault="00DA0D02" w:rsidP="00746426">
      <w:pPr>
        <w:numPr>
          <w:ilvl w:val="0"/>
          <w:numId w:val="40"/>
        </w:numPr>
        <w:spacing w:before="120" w:after="0" w:line="276" w:lineRule="auto"/>
        <w:ind w:left="0" w:firstLine="0"/>
        <w:rPr>
          <w:lang w:val="es-ES"/>
        </w:rPr>
      </w:pPr>
      <w:r w:rsidRPr="00F50CE5">
        <w:t>Կորոնավիրուսի</w:t>
      </w:r>
      <w:r w:rsidRPr="00DA0D02">
        <w:rPr>
          <w:lang w:val="es-ES"/>
        </w:rPr>
        <w:t xml:space="preserve"> </w:t>
      </w:r>
      <w:r w:rsidRPr="00F50CE5">
        <w:t>համավարակի</w:t>
      </w:r>
      <w:r w:rsidRPr="00DA0D02">
        <w:rPr>
          <w:lang w:val="es-ES"/>
        </w:rPr>
        <w:t xml:space="preserve"> </w:t>
      </w:r>
      <w:r w:rsidRPr="00F50CE5">
        <w:t>և</w:t>
      </w:r>
      <w:r w:rsidRPr="00DA0D02">
        <w:rPr>
          <w:lang w:val="es-ES"/>
        </w:rPr>
        <w:t xml:space="preserve"> </w:t>
      </w:r>
      <w:r w:rsidRPr="00F50CE5">
        <w:t>Արցախյան</w:t>
      </w:r>
      <w:r w:rsidRPr="00DA0D02">
        <w:rPr>
          <w:lang w:val="es-ES"/>
        </w:rPr>
        <w:t xml:space="preserve"> </w:t>
      </w:r>
      <w:r w:rsidRPr="00F50CE5">
        <w:t>պատերազմի</w:t>
      </w:r>
      <w:r w:rsidRPr="00DA0D02">
        <w:rPr>
          <w:lang w:val="es-ES"/>
        </w:rPr>
        <w:t xml:space="preserve"> </w:t>
      </w:r>
      <w:r w:rsidRPr="00F50CE5">
        <w:t>բացասական</w:t>
      </w:r>
      <w:r w:rsidRPr="00DA0D02">
        <w:rPr>
          <w:lang w:val="es-ES"/>
        </w:rPr>
        <w:t xml:space="preserve"> </w:t>
      </w:r>
      <w:r w:rsidRPr="00F50CE5">
        <w:t>ազդեցություններով</w:t>
      </w:r>
      <w:r w:rsidRPr="00DA0D02">
        <w:rPr>
          <w:lang w:val="es-ES"/>
        </w:rPr>
        <w:t xml:space="preserve"> </w:t>
      </w:r>
      <w:r w:rsidRPr="00F50CE5">
        <w:t>պայմանավորված</w:t>
      </w:r>
      <w:r w:rsidRPr="00DA0D02">
        <w:rPr>
          <w:lang w:val="es-ES"/>
        </w:rPr>
        <w:t xml:space="preserve"> 2020 </w:t>
      </w:r>
      <w:r w:rsidRPr="00F50CE5">
        <w:t>թվականի</w:t>
      </w:r>
      <w:r w:rsidRPr="00DA0D02">
        <w:rPr>
          <w:lang w:val="es-ES"/>
        </w:rPr>
        <w:t xml:space="preserve"> </w:t>
      </w:r>
      <w:r w:rsidRPr="00F50CE5">
        <w:t>տնտեսական</w:t>
      </w:r>
      <w:r w:rsidRPr="00DA0D02">
        <w:rPr>
          <w:lang w:val="es-ES"/>
        </w:rPr>
        <w:t xml:space="preserve"> </w:t>
      </w:r>
      <w:r w:rsidRPr="00F50CE5">
        <w:t>անկումից</w:t>
      </w:r>
      <w:r w:rsidRPr="00DA0D02">
        <w:rPr>
          <w:lang w:val="es-ES"/>
        </w:rPr>
        <w:t xml:space="preserve"> </w:t>
      </w:r>
      <w:r w:rsidRPr="00F50CE5">
        <w:t>հետո</w:t>
      </w:r>
      <w:r w:rsidRPr="00DA0D02">
        <w:rPr>
          <w:lang w:val="es-ES"/>
        </w:rPr>
        <w:t xml:space="preserve"> 2021-2023 </w:t>
      </w:r>
      <w:r w:rsidRPr="00F50CE5">
        <w:t>թվականներին</w:t>
      </w:r>
      <w:r w:rsidRPr="00DA0D02">
        <w:rPr>
          <w:lang w:val="es-ES"/>
        </w:rPr>
        <w:t xml:space="preserve"> </w:t>
      </w:r>
      <w:r w:rsidRPr="00F50CE5">
        <w:t>տնտեսությունը</w:t>
      </w:r>
      <w:r w:rsidRPr="00DA0D02">
        <w:rPr>
          <w:lang w:val="es-ES"/>
        </w:rPr>
        <w:t xml:space="preserve"> </w:t>
      </w:r>
      <w:r w:rsidRPr="00F50CE5">
        <w:t>թևակոխել</w:t>
      </w:r>
      <w:r w:rsidRPr="00DA0D02">
        <w:rPr>
          <w:lang w:val="es-ES"/>
        </w:rPr>
        <w:t xml:space="preserve"> </w:t>
      </w:r>
      <w:r w:rsidRPr="00F50CE5">
        <w:t>է</w:t>
      </w:r>
      <w:r w:rsidRPr="00DA0D02">
        <w:rPr>
          <w:lang w:val="es-ES"/>
        </w:rPr>
        <w:t xml:space="preserve"> </w:t>
      </w:r>
      <w:r w:rsidRPr="00F50CE5">
        <w:t>վերականգնման</w:t>
      </w:r>
      <w:r w:rsidRPr="00DA0D02">
        <w:rPr>
          <w:lang w:val="es-ES"/>
        </w:rPr>
        <w:t xml:space="preserve"> </w:t>
      </w:r>
      <w:r w:rsidRPr="00F50CE5">
        <w:t>և</w:t>
      </w:r>
      <w:r w:rsidRPr="00DA0D02">
        <w:rPr>
          <w:lang w:val="es-ES"/>
        </w:rPr>
        <w:t xml:space="preserve"> </w:t>
      </w:r>
      <w:r w:rsidRPr="00F50CE5">
        <w:t>աճի</w:t>
      </w:r>
      <w:r w:rsidRPr="00DA0D02">
        <w:rPr>
          <w:lang w:val="es-ES"/>
        </w:rPr>
        <w:t xml:space="preserve"> </w:t>
      </w:r>
      <w:r w:rsidRPr="00F50CE5">
        <w:t>փուլ</w:t>
      </w:r>
      <w:r w:rsidRPr="00DA0D02">
        <w:rPr>
          <w:lang w:val="es-ES"/>
        </w:rPr>
        <w:t xml:space="preserve"> </w:t>
      </w:r>
      <w:r w:rsidRPr="00F50CE5">
        <w:t>և</w:t>
      </w:r>
      <w:r w:rsidRPr="00DA0D02">
        <w:rPr>
          <w:lang w:val="es-ES"/>
        </w:rPr>
        <w:t xml:space="preserve"> </w:t>
      </w:r>
      <w:r w:rsidRPr="00F50CE5">
        <w:t>միջինում</w:t>
      </w:r>
      <w:r w:rsidRPr="00DA0D02">
        <w:rPr>
          <w:lang w:val="es-ES"/>
        </w:rPr>
        <w:t xml:space="preserve"> </w:t>
      </w:r>
      <w:r w:rsidRPr="00F50CE5">
        <w:t>գրանցել</w:t>
      </w:r>
      <w:r w:rsidRPr="00DA0D02">
        <w:rPr>
          <w:lang w:val="es-ES"/>
        </w:rPr>
        <w:t xml:space="preserve"> 9.0% </w:t>
      </w:r>
      <w:r w:rsidRPr="00F50CE5">
        <w:t>իրական</w:t>
      </w:r>
      <w:r w:rsidRPr="00DA0D02">
        <w:rPr>
          <w:lang w:val="es-ES"/>
        </w:rPr>
        <w:t xml:space="preserve"> </w:t>
      </w:r>
      <w:r w:rsidRPr="00F50CE5">
        <w:t>աճ՝</w:t>
      </w:r>
      <w:r w:rsidRPr="00DA0D02">
        <w:rPr>
          <w:lang w:val="es-ES"/>
        </w:rPr>
        <w:t xml:space="preserve"> </w:t>
      </w:r>
      <w:r w:rsidRPr="00F50CE5">
        <w:t>իր</w:t>
      </w:r>
      <w:r w:rsidRPr="00DA0D02">
        <w:rPr>
          <w:lang w:val="es-ES"/>
        </w:rPr>
        <w:t xml:space="preserve"> </w:t>
      </w:r>
      <w:r w:rsidRPr="00F50CE5">
        <w:t>վրա</w:t>
      </w:r>
      <w:r w:rsidRPr="00DA0D02">
        <w:rPr>
          <w:lang w:val="es-ES"/>
        </w:rPr>
        <w:t xml:space="preserve"> </w:t>
      </w:r>
      <w:r w:rsidRPr="00F50CE5">
        <w:t>կրելով</w:t>
      </w:r>
      <w:r w:rsidRPr="00DA0D02">
        <w:rPr>
          <w:lang w:val="es-ES"/>
        </w:rPr>
        <w:t xml:space="preserve"> 2022 </w:t>
      </w:r>
      <w:r w:rsidRPr="00F50CE5">
        <w:t>թվականի</w:t>
      </w:r>
      <w:r w:rsidRPr="00DA0D02">
        <w:rPr>
          <w:lang w:val="es-ES"/>
        </w:rPr>
        <w:t xml:space="preserve"> </w:t>
      </w:r>
      <w:r w:rsidRPr="00F50CE5">
        <w:t>փետրվարի</w:t>
      </w:r>
      <w:r w:rsidRPr="00DA0D02">
        <w:rPr>
          <w:lang w:val="es-ES"/>
        </w:rPr>
        <w:t xml:space="preserve"> </w:t>
      </w:r>
      <w:r w:rsidRPr="00F50CE5">
        <w:t>վերջերից</w:t>
      </w:r>
      <w:r w:rsidRPr="00DA0D02">
        <w:rPr>
          <w:lang w:val="es-ES"/>
        </w:rPr>
        <w:t xml:space="preserve"> </w:t>
      </w:r>
      <w:r w:rsidRPr="00F50CE5">
        <w:t>սկիզբ</w:t>
      </w:r>
      <w:r w:rsidRPr="00DA0D02">
        <w:rPr>
          <w:lang w:val="es-ES"/>
        </w:rPr>
        <w:t xml:space="preserve"> </w:t>
      </w:r>
      <w:r w:rsidRPr="00F50CE5">
        <w:t>առած</w:t>
      </w:r>
      <w:r w:rsidRPr="00DA0D02">
        <w:rPr>
          <w:lang w:val="es-ES"/>
        </w:rPr>
        <w:t xml:space="preserve"> </w:t>
      </w:r>
      <w:r w:rsidRPr="00F50CE5">
        <w:t>ռուս</w:t>
      </w:r>
      <w:r w:rsidRPr="00DA0D02">
        <w:rPr>
          <w:lang w:val="es-ES"/>
        </w:rPr>
        <w:t>-</w:t>
      </w:r>
      <w:r w:rsidRPr="00F50CE5">
        <w:t>ուկրաինական</w:t>
      </w:r>
      <w:r w:rsidRPr="00DA0D02">
        <w:rPr>
          <w:lang w:val="es-ES"/>
        </w:rPr>
        <w:t xml:space="preserve"> </w:t>
      </w:r>
      <w:r w:rsidRPr="00F50CE5">
        <w:t>հակամարտության</w:t>
      </w:r>
      <w:r w:rsidRPr="00DA0D02">
        <w:rPr>
          <w:lang w:val="es-ES"/>
        </w:rPr>
        <w:t xml:space="preserve"> </w:t>
      </w:r>
      <w:r w:rsidRPr="00F50CE5">
        <w:t>և</w:t>
      </w:r>
      <w:r w:rsidRPr="00DA0D02">
        <w:rPr>
          <w:lang w:val="es-ES"/>
        </w:rPr>
        <w:t xml:space="preserve"> </w:t>
      </w:r>
      <w:r w:rsidRPr="00F50CE5">
        <w:t>Ռուսաստանի</w:t>
      </w:r>
      <w:r w:rsidRPr="00DA0D02">
        <w:rPr>
          <w:lang w:val="es-ES"/>
        </w:rPr>
        <w:t xml:space="preserve"> </w:t>
      </w:r>
      <w:r w:rsidRPr="00F50CE5">
        <w:t>դեմ</w:t>
      </w:r>
      <w:r w:rsidRPr="00DA0D02">
        <w:rPr>
          <w:lang w:val="es-ES"/>
        </w:rPr>
        <w:t xml:space="preserve"> </w:t>
      </w:r>
      <w:r w:rsidRPr="00F50CE5">
        <w:t>կիրառված</w:t>
      </w:r>
      <w:r w:rsidRPr="00DA0D02">
        <w:rPr>
          <w:lang w:val="es-ES"/>
        </w:rPr>
        <w:t xml:space="preserve"> </w:t>
      </w:r>
      <w:r w:rsidRPr="00F50CE5">
        <w:t>պատժամիջոցների</w:t>
      </w:r>
      <w:r w:rsidRPr="00DA0D02">
        <w:rPr>
          <w:lang w:val="es-ES"/>
        </w:rPr>
        <w:t xml:space="preserve"> </w:t>
      </w:r>
      <w:r w:rsidRPr="00F50CE5">
        <w:t>հետևանքով</w:t>
      </w:r>
      <w:r w:rsidRPr="00DA0D02">
        <w:rPr>
          <w:lang w:val="es-ES"/>
        </w:rPr>
        <w:t xml:space="preserve"> </w:t>
      </w:r>
      <w:r w:rsidRPr="00F50CE5">
        <w:t>դեպի</w:t>
      </w:r>
      <w:r w:rsidRPr="00DA0D02">
        <w:rPr>
          <w:lang w:val="es-ES"/>
        </w:rPr>
        <w:t xml:space="preserve"> </w:t>
      </w:r>
      <w:r w:rsidRPr="00F50CE5">
        <w:t>Հայաստան</w:t>
      </w:r>
      <w:r w:rsidRPr="00DA0D02">
        <w:rPr>
          <w:lang w:val="es-ES"/>
        </w:rPr>
        <w:t xml:space="preserve"> </w:t>
      </w:r>
      <w:r w:rsidRPr="00F50CE5">
        <w:t>մարդկանց</w:t>
      </w:r>
      <w:r w:rsidRPr="00DA0D02">
        <w:rPr>
          <w:lang w:val="es-ES"/>
        </w:rPr>
        <w:t xml:space="preserve"> </w:t>
      </w:r>
      <w:r w:rsidRPr="00F50CE5">
        <w:t>ներհոսքի</w:t>
      </w:r>
      <w:r w:rsidRPr="00DA0D02">
        <w:rPr>
          <w:lang w:val="es-ES"/>
        </w:rPr>
        <w:t xml:space="preserve">, </w:t>
      </w:r>
      <w:r w:rsidRPr="00F50CE5">
        <w:t>զբոսաշրջության</w:t>
      </w:r>
      <w:r w:rsidRPr="00DA0D02">
        <w:rPr>
          <w:lang w:val="es-ES"/>
        </w:rPr>
        <w:t xml:space="preserve"> </w:t>
      </w:r>
      <w:r w:rsidRPr="00F50CE5">
        <w:t>զգալի</w:t>
      </w:r>
      <w:r w:rsidRPr="00DA0D02">
        <w:rPr>
          <w:lang w:val="es-ES"/>
        </w:rPr>
        <w:t xml:space="preserve"> </w:t>
      </w:r>
      <w:r w:rsidRPr="00F50CE5">
        <w:t>ավելացման</w:t>
      </w:r>
      <w:r w:rsidRPr="00DA0D02">
        <w:rPr>
          <w:lang w:val="es-ES"/>
        </w:rPr>
        <w:t xml:space="preserve">, </w:t>
      </w:r>
      <w:r w:rsidRPr="00F50CE5">
        <w:t>տեղեկատվական</w:t>
      </w:r>
      <w:r w:rsidRPr="00DA0D02">
        <w:rPr>
          <w:lang w:val="es-ES"/>
        </w:rPr>
        <w:t xml:space="preserve"> </w:t>
      </w:r>
      <w:r w:rsidRPr="00F50CE5">
        <w:t>տեխնոլոգիաների</w:t>
      </w:r>
      <w:r w:rsidRPr="00DA0D02">
        <w:rPr>
          <w:lang w:val="es-ES"/>
        </w:rPr>
        <w:t xml:space="preserve"> </w:t>
      </w:r>
      <w:r w:rsidRPr="00F50CE5">
        <w:t>ոլորտի</w:t>
      </w:r>
      <w:r w:rsidRPr="00DA0D02">
        <w:rPr>
          <w:lang w:val="es-ES"/>
        </w:rPr>
        <w:t xml:space="preserve"> </w:t>
      </w:r>
      <w:r w:rsidRPr="00F50CE5">
        <w:t>ընկերությունների</w:t>
      </w:r>
      <w:r w:rsidRPr="00DA0D02">
        <w:rPr>
          <w:lang w:val="es-ES"/>
        </w:rPr>
        <w:t xml:space="preserve"> </w:t>
      </w:r>
      <w:r w:rsidRPr="00F50CE5">
        <w:t>ՀՀ</w:t>
      </w:r>
      <w:r w:rsidRPr="00DA0D02">
        <w:rPr>
          <w:lang w:val="es-ES"/>
        </w:rPr>
        <w:t xml:space="preserve"> </w:t>
      </w:r>
      <w:r w:rsidRPr="00F50CE5">
        <w:t>տեղափոխման</w:t>
      </w:r>
      <w:r w:rsidRPr="00DA0D02">
        <w:rPr>
          <w:lang w:val="es-ES"/>
        </w:rPr>
        <w:t xml:space="preserve">, </w:t>
      </w:r>
      <w:r w:rsidRPr="00F50CE5">
        <w:t>ՀՀ</w:t>
      </w:r>
      <w:r w:rsidRPr="00DA0D02">
        <w:rPr>
          <w:lang w:val="es-ES"/>
        </w:rPr>
        <w:t>-</w:t>
      </w:r>
      <w:r w:rsidRPr="00F50CE5">
        <w:t>ից</w:t>
      </w:r>
      <w:r w:rsidRPr="00DA0D02">
        <w:rPr>
          <w:lang w:val="es-ES"/>
        </w:rPr>
        <w:t xml:space="preserve"> </w:t>
      </w:r>
      <w:r w:rsidRPr="00F50CE5">
        <w:t>դեպի</w:t>
      </w:r>
      <w:r w:rsidRPr="00DA0D02">
        <w:rPr>
          <w:lang w:val="es-ES"/>
        </w:rPr>
        <w:t xml:space="preserve"> </w:t>
      </w:r>
      <w:r w:rsidRPr="00F50CE5">
        <w:t>Ռուսաստան</w:t>
      </w:r>
      <w:r w:rsidRPr="00DA0D02">
        <w:rPr>
          <w:lang w:val="es-ES"/>
        </w:rPr>
        <w:t xml:space="preserve"> </w:t>
      </w:r>
      <w:r w:rsidRPr="00F50CE5">
        <w:t>արտահանման</w:t>
      </w:r>
      <w:r w:rsidRPr="00DA0D02">
        <w:rPr>
          <w:lang w:val="es-ES"/>
        </w:rPr>
        <w:t xml:space="preserve"> </w:t>
      </w:r>
      <w:r w:rsidRPr="00F50CE5">
        <w:t>պահանջարկի</w:t>
      </w:r>
      <w:r w:rsidRPr="00DA0D02">
        <w:rPr>
          <w:lang w:val="es-ES"/>
        </w:rPr>
        <w:t xml:space="preserve"> </w:t>
      </w:r>
      <w:r w:rsidRPr="00F50CE5">
        <w:t>ավելացման</w:t>
      </w:r>
      <w:r w:rsidRPr="00DA0D02">
        <w:rPr>
          <w:lang w:val="es-ES"/>
        </w:rPr>
        <w:t xml:space="preserve">, </w:t>
      </w:r>
      <w:r w:rsidRPr="00F50CE5">
        <w:t>պետական</w:t>
      </w:r>
      <w:r w:rsidRPr="00DA0D02">
        <w:rPr>
          <w:lang w:val="es-ES"/>
        </w:rPr>
        <w:t xml:space="preserve"> </w:t>
      </w:r>
      <w:r w:rsidRPr="00F50CE5">
        <w:t>բյուջեից</w:t>
      </w:r>
      <w:r w:rsidRPr="00DA0D02">
        <w:rPr>
          <w:lang w:val="es-ES"/>
        </w:rPr>
        <w:t xml:space="preserve"> </w:t>
      </w:r>
      <w:r w:rsidRPr="00F50CE5">
        <w:t>կապիտալ</w:t>
      </w:r>
      <w:r w:rsidRPr="00DA0D02">
        <w:rPr>
          <w:lang w:val="es-ES"/>
        </w:rPr>
        <w:t xml:space="preserve"> </w:t>
      </w:r>
      <w:r w:rsidRPr="00F50CE5">
        <w:t>ծախսերի</w:t>
      </w:r>
      <w:r w:rsidRPr="00DA0D02">
        <w:rPr>
          <w:lang w:val="es-ES"/>
        </w:rPr>
        <w:t xml:space="preserve"> </w:t>
      </w:r>
      <w:r w:rsidRPr="00F50CE5">
        <w:t>և</w:t>
      </w:r>
      <w:r w:rsidRPr="00DA0D02">
        <w:rPr>
          <w:lang w:val="es-ES"/>
        </w:rPr>
        <w:t xml:space="preserve"> </w:t>
      </w:r>
      <w:r w:rsidRPr="00F50CE5">
        <w:t>բնակարանաշինության</w:t>
      </w:r>
      <w:r w:rsidRPr="00DA0D02">
        <w:rPr>
          <w:lang w:val="es-ES"/>
        </w:rPr>
        <w:t xml:space="preserve"> </w:t>
      </w:r>
      <w:r w:rsidRPr="00F50CE5">
        <w:t>բարձր</w:t>
      </w:r>
      <w:r w:rsidRPr="00DA0D02">
        <w:rPr>
          <w:lang w:val="es-ES"/>
        </w:rPr>
        <w:t xml:space="preserve"> </w:t>
      </w:r>
      <w:r w:rsidRPr="00F50CE5">
        <w:t>աճերի</w:t>
      </w:r>
      <w:r w:rsidRPr="00DA0D02">
        <w:rPr>
          <w:lang w:val="es-ES"/>
        </w:rPr>
        <w:t xml:space="preserve">, </w:t>
      </w:r>
      <w:r w:rsidRPr="00F50CE5">
        <w:t>ինչպես</w:t>
      </w:r>
      <w:r w:rsidRPr="00DA0D02">
        <w:rPr>
          <w:lang w:val="es-ES"/>
        </w:rPr>
        <w:t xml:space="preserve"> </w:t>
      </w:r>
      <w:r w:rsidRPr="00F50CE5">
        <w:t>նաև</w:t>
      </w:r>
      <w:r w:rsidRPr="00DA0D02">
        <w:rPr>
          <w:lang w:val="es-ES"/>
        </w:rPr>
        <w:t xml:space="preserve"> 2023 </w:t>
      </w:r>
      <w:r w:rsidRPr="00F50CE5">
        <w:t>թվականի</w:t>
      </w:r>
      <w:r w:rsidRPr="00DA0D02">
        <w:rPr>
          <w:lang w:val="es-ES"/>
        </w:rPr>
        <w:t xml:space="preserve"> </w:t>
      </w:r>
      <w:r w:rsidRPr="00F50CE5">
        <w:t>սեպտեմբերի</w:t>
      </w:r>
      <w:r w:rsidRPr="00DA0D02">
        <w:rPr>
          <w:lang w:val="es-ES"/>
        </w:rPr>
        <w:t xml:space="preserve"> </w:t>
      </w:r>
      <w:r w:rsidRPr="00F50CE5">
        <w:t>վերջից</w:t>
      </w:r>
      <w:r w:rsidRPr="00DA0D02">
        <w:rPr>
          <w:lang w:val="es-ES"/>
        </w:rPr>
        <w:t xml:space="preserve"> </w:t>
      </w:r>
      <w:r w:rsidRPr="00F50CE5">
        <w:t>Լեռնային</w:t>
      </w:r>
      <w:r w:rsidRPr="00DA0D02">
        <w:rPr>
          <w:lang w:val="es-ES"/>
        </w:rPr>
        <w:t xml:space="preserve"> </w:t>
      </w:r>
      <w:r w:rsidRPr="00F50CE5">
        <w:t>Ղարաբաղից</w:t>
      </w:r>
      <w:r w:rsidRPr="00DA0D02">
        <w:rPr>
          <w:lang w:val="es-ES"/>
        </w:rPr>
        <w:t xml:space="preserve"> </w:t>
      </w:r>
      <w:r w:rsidRPr="00F50CE5">
        <w:t>ՀՀ</w:t>
      </w:r>
      <w:r w:rsidRPr="00DA0D02">
        <w:rPr>
          <w:lang w:val="es-ES"/>
        </w:rPr>
        <w:t xml:space="preserve"> </w:t>
      </w:r>
      <w:r w:rsidRPr="00F50CE5">
        <w:t>բռնի</w:t>
      </w:r>
      <w:r w:rsidRPr="00DA0D02">
        <w:rPr>
          <w:lang w:val="es-ES"/>
        </w:rPr>
        <w:t xml:space="preserve"> </w:t>
      </w:r>
      <w:r w:rsidRPr="00F50CE5">
        <w:t>տեղահանված</w:t>
      </w:r>
      <w:r w:rsidRPr="00DA0D02">
        <w:rPr>
          <w:lang w:val="es-ES"/>
        </w:rPr>
        <w:t xml:space="preserve"> </w:t>
      </w:r>
      <w:r w:rsidRPr="00F50CE5">
        <w:t>մեր</w:t>
      </w:r>
      <w:r w:rsidRPr="00DA0D02">
        <w:rPr>
          <w:lang w:val="es-ES"/>
        </w:rPr>
        <w:t xml:space="preserve"> </w:t>
      </w:r>
      <w:r w:rsidRPr="00F50CE5">
        <w:t>հայրենակիցների</w:t>
      </w:r>
      <w:r w:rsidRPr="00DA0D02">
        <w:rPr>
          <w:lang w:val="es-ES"/>
        </w:rPr>
        <w:t xml:space="preserve"> </w:t>
      </w:r>
      <w:r w:rsidRPr="00F50CE5">
        <w:t>և</w:t>
      </w:r>
      <w:r w:rsidRPr="00DA0D02">
        <w:rPr>
          <w:lang w:val="es-ES"/>
        </w:rPr>
        <w:t xml:space="preserve"> </w:t>
      </w:r>
      <w:r w:rsidRPr="00F50CE5">
        <w:t>նոյեմբեր</w:t>
      </w:r>
      <w:r w:rsidRPr="00DA0D02">
        <w:rPr>
          <w:lang w:val="es-ES"/>
        </w:rPr>
        <w:t>-</w:t>
      </w:r>
      <w:r w:rsidRPr="00F50CE5">
        <w:t>դեկտեմբեր</w:t>
      </w:r>
      <w:r w:rsidRPr="00DA0D02">
        <w:rPr>
          <w:lang w:val="es-ES"/>
        </w:rPr>
        <w:t xml:space="preserve"> </w:t>
      </w:r>
      <w:r w:rsidRPr="00F50CE5">
        <w:t>ամիսներին</w:t>
      </w:r>
      <w:r w:rsidRPr="00DA0D02">
        <w:rPr>
          <w:lang w:val="es-ES"/>
        </w:rPr>
        <w:t xml:space="preserve"> </w:t>
      </w:r>
      <w:r w:rsidRPr="00F50CE5">
        <w:t>ոսկերչական</w:t>
      </w:r>
      <w:r w:rsidRPr="00DA0D02">
        <w:rPr>
          <w:lang w:val="es-ES"/>
        </w:rPr>
        <w:t xml:space="preserve"> </w:t>
      </w:r>
      <w:r w:rsidRPr="00F50CE5">
        <w:t>արտադրատեսակների</w:t>
      </w:r>
      <w:r w:rsidRPr="00DA0D02">
        <w:rPr>
          <w:lang w:val="es-ES"/>
        </w:rPr>
        <w:t xml:space="preserve"> </w:t>
      </w:r>
      <w:r w:rsidRPr="00F50CE5">
        <w:t>արտադրության</w:t>
      </w:r>
      <w:r w:rsidRPr="00DA0D02">
        <w:rPr>
          <w:lang w:val="es-ES"/>
        </w:rPr>
        <w:t xml:space="preserve"> </w:t>
      </w:r>
      <w:r w:rsidRPr="00F50CE5">
        <w:t>կտրուկ</w:t>
      </w:r>
      <w:r w:rsidRPr="00DA0D02">
        <w:rPr>
          <w:lang w:val="es-ES"/>
        </w:rPr>
        <w:t xml:space="preserve"> </w:t>
      </w:r>
      <w:r w:rsidRPr="00F50CE5">
        <w:t>աճի</w:t>
      </w:r>
      <w:r w:rsidRPr="00DA0D02">
        <w:rPr>
          <w:lang w:val="es-ES"/>
        </w:rPr>
        <w:t xml:space="preserve"> </w:t>
      </w:r>
      <w:r w:rsidRPr="00F50CE5">
        <w:t>տնտեսական</w:t>
      </w:r>
      <w:r w:rsidRPr="00DA0D02">
        <w:rPr>
          <w:lang w:val="es-ES"/>
        </w:rPr>
        <w:t xml:space="preserve"> </w:t>
      </w:r>
      <w:r w:rsidRPr="00F50CE5">
        <w:t>ազդեցությունները</w:t>
      </w:r>
      <w:r w:rsidRPr="00DA0D02">
        <w:rPr>
          <w:lang w:val="es-ES"/>
        </w:rPr>
        <w:t xml:space="preserve">: </w:t>
      </w:r>
    </w:p>
    <w:p w14:paraId="2FB48F17" w14:textId="77777777" w:rsidR="00DA0D02" w:rsidRPr="00DA0D02" w:rsidRDefault="00DA0D02" w:rsidP="00746426">
      <w:pPr>
        <w:numPr>
          <w:ilvl w:val="0"/>
          <w:numId w:val="40"/>
        </w:numPr>
        <w:spacing w:before="120" w:after="0" w:line="276" w:lineRule="auto"/>
        <w:ind w:left="0" w:firstLine="0"/>
        <w:rPr>
          <w:lang w:val="es-ES"/>
        </w:rPr>
      </w:pPr>
      <w:r w:rsidRPr="00F50CE5">
        <w:t>Տնտեսական</w:t>
      </w:r>
      <w:r w:rsidRPr="00DA0D02">
        <w:rPr>
          <w:lang w:val="es-ES"/>
        </w:rPr>
        <w:t xml:space="preserve"> </w:t>
      </w:r>
      <w:r w:rsidRPr="00F50CE5">
        <w:t>աճի</w:t>
      </w:r>
      <w:r w:rsidRPr="00DA0D02">
        <w:rPr>
          <w:lang w:val="es-ES"/>
        </w:rPr>
        <w:t xml:space="preserve"> </w:t>
      </w:r>
      <w:r w:rsidRPr="00F50CE5">
        <w:t>բարձր</w:t>
      </w:r>
      <w:r w:rsidRPr="00DA0D02">
        <w:rPr>
          <w:lang w:val="es-ES"/>
        </w:rPr>
        <w:t xml:space="preserve"> </w:t>
      </w:r>
      <w:r w:rsidRPr="00F50CE5">
        <w:t>տեմպերը</w:t>
      </w:r>
      <w:r w:rsidRPr="00DA0D02">
        <w:rPr>
          <w:lang w:val="es-ES"/>
        </w:rPr>
        <w:t xml:space="preserve"> </w:t>
      </w:r>
      <w:r w:rsidRPr="00F50CE5">
        <w:t>շարունակվել</w:t>
      </w:r>
      <w:r w:rsidRPr="00DA0D02">
        <w:rPr>
          <w:lang w:val="es-ES"/>
        </w:rPr>
        <w:t xml:space="preserve"> </w:t>
      </w:r>
      <w:r w:rsidRPr="00F50CE5">
        <w:t>են</w:t>
      </w:r>
      <w:r w:rsidRPr="00DA0D02">
        <w:rPr>
          <w:lang w:val="es-ES"/>
        </w:rPr>
        <w:t xml:space="preserve"> </w:t>
      </w:r>
      <w:r w:rsidRPr="00F50CE5">
        <w:t>նաև</w:t>
      </w:r>
      <w:r w:rsidRPr="00DA0D02">
        <w:rPr>
          <w:lang w:val="es-ES"/>
        </w:rPr>
        <w:t xml:space="preserve"> 2024 </w:t>
      </w:r>
      <w:r w:rsidRPr="00F50CE5">
        <w:t>թվականի</w:t>
      </w:r>
      <w:r w:rsidRPr="00DA0D02">
        <w:rPr>
          <w:lang w:val="es-ES"/>
        </w:rPr>
        <w:t xml:space="preserve"> </w:t>
      </w:r>
      <w:r w:rsidRPr="00F50CE5">
        <w:t>առաջին</w:t>
      </w:r>
      <w:r w:rsidRPr="00DA0D02">
        <w:rPr>
          <w:lang w:val="es-ES"/>
        </w:rPr>
        <w:t xml:space="preserve"> </w:t>
      </w:r>
      <w:r w:rsidRPr="00F50CE5">
        <w:t>եռամսյակում՝</w:t>
      </w:r>
      <w:r w:rsidRPr="00DA0D02">
        <w:rPr>
          <w:lang w:val="es-ES"/>
        </w:rPr>
        <w:t xml:space="preserve"> </w:t>
      </w:r>
      <w:r w:rsidRPr="00F50CE5">
        <w:t>իրենց</w:t>
      </w:r>
      <w:r w:rsidRPr="00DA0D02">
        <w:rPr>
          <w:lang w:val="es-ES"/>
        </w:rPr>
        <w:t xml:space="preserve"> </w:t>
      </w:r>
      <w:r w:rsidRPr="00F50CE5">
        <w:t>վրա</w:t>
      </w:r>
      <w:r w:rsidRPr="00DA0D02">
        <w:rPr>
          <w:lang w:val="es-ES"/>
        </w:rPr>
        <w:t xml:space="preserve"> </w:t>
      </w:r>
      <w:r w:rsidRPr="00F50CE5">
        <w:t>կրելով</w:t>
      </w:r>
      <w:r w:rsidRPr="00DA0D02">
        <w:rPr>
          <w:lang w:val="es-ES"/>
        </w:rPr>
        <w:t xml:space="preserve"> </w:t>
      </w:r>
      <w:r w:rsidRPr="00F50CE5">
        <w:t>նաև</w:t>
      </w:r>
      <w:r w:rsidRPr="00DA0D02">
        <w:rPr>
          <w:lang w:val="es-ES"/>
        </w:rPr>
        <w:t xml:space="preserve"> </w:t>
      </w:r>
      <w:r w:rsidRPr="00F50CE5">
        <w:t>ոսկերչական</w:t>
      </w:r>
      <w:r w:rsidRPr="00DA0D02">
        <w:rPr>
          <w:lang w:val="es-ES"/>
        </w:rPr>
        <w:t xml:space="preserve"> </w:t>
      </w:r>
      <w:r w:rsidRPr="00F50CE5">
        <w:t>արտադրատեսակների</w:t>
      </w:r>
      <w:r w:rsidRPr="00DA0D02">
        <w:rPr>
          <w:lang w:val="es-ES"/>
        </w:rPr>
        <w:t xml:space="preserve"> </w:t>
      </w:r>
      <w:r w:rsidRPr="00F50CE5">
        <w:t>վերամշակման</w:t>
      </w:r>
      <w:r w:rsidRPr="00DA0D02">
        <w:rPr>
          <w:lang w:val="es-ES"/>
        </w:rPr>
        <w:t xml:space="preserve"> </w:t>
      </w:r>
      <w:r w:rsidRPr="00F50CE5">
        <w:t>կտրուկ</w:t>
      </w:r>
      <w:r w:rsidRPr="00DA0D02">
        <w:rPr>
          <w:lang w:val="es-ES"/>
        </w:rPr>
        <w:t xml:space="preserve"> </w:t>
      </w:r>
      <w:r w:rsidRPr="00F50CE5">
        <w:t>աճի</w:t>
      </w:r>
      <w:r w:rsidRPr="00DA0D02">
        <w:rPr>
          <w:lang w:val="es-ES"/>
        </w:rPr>
        <w:t xml:space="preserve"> </w:t>
      </w:r>
      <w:r w:rsidRPr="00F50CE5">
        <w:t>և</w:t>
      </w:r>
      <w:r w:rsidRPr="00DA0D02">
        <w:rPr>
          <w:lang w:val="es-ES"/>
        </w:rPr>
        <w:t xml:space="preserve"> </w:t>
      </w:r>
      <w:r w:rsidRPr="00F50CE5">
        <w:t>Լեռնային</w:t>
      </w:r>
      <w:r w:rsidRPr="00DA0D02">
        <w:rPr>
          <w:lang w:val="es-ES"/>
        </w:rPr>
        <w:t xml:space="preserve"> </w:t>
      </w:r>
      <w:r w:rsidRPr="00F50CE5">
        <w:t>Ղարաբաղից</w:t>
      </w:r>
      <w:r w:rsidRPr="00DA0D02">
        <w:rPr>
          <w:lang w:val="es-ES"/>
        </w:rPr>
        <w:t xml:space="preserve"> </w:t>
      </w:r>
      <w:r w:rsidRPr="00F50CE5">
        <w:t>ՀՀ</w:t>
      </w:r>
      <w:r w:rsidRPr="00DA0D02">
        <w:rPr>
          <w:lang w:val="es-ES"/>
        </w:rPr>
        <w:t xml:space="preserve"> </w:t>
      </w:r>
      <w:r w:rsidRPr="00F50CE5">
        <w:t>բռնի</w:t>
      </w:r>
      <w:r w:rsidRPr="00DA0D02">
        <w:rPr>
          <w:lang w:val="es-ES"/>
        </w:rPr>
        <w:t xml:space="preserve"> </w:t>
      </w:r>
      <w:r w:rsidRPr="00F50CE5">
        <w:t>տեղահանված</w:t>
      </w:r>
      <w:r w:rsidRPr="00DA0D02">
        <w:rPr>
          <w:lang w:val="es-ES"/>
        </w:rPr>
        <w:t xml:space="preserve"> </w:t>
      </w:r>
      <w:r w:rsidRPr="00F50CE5">
        <w:t>անձանց</w:t>
      </w:r>
      <w:r w:rsidRPr="00DA0D02">
        <w:rPr>
          <w:lang w:val="es-ES"/>
        </w:rPr>
        <w:t xml:space="preserve"> </w:t>
      </w:r>
      <w:r w:rsidRPr="00F50CE5">
        <w:t>աջակցության</w:t>
      </w:r>
      <w:r w:rsidRPr="00DA0D02">
        <w:rPr>
          <w:lang w:val="es-ES"/>
        </w:rPr>
        <w:t xml:space="preserve"> </w:t>
      </w:r>
      <w:r w:rsidRPr="00F50CE5">
        <w:t>ծրագրերի</w:t>
      </w:r>
      <w:r w:rsidRPr="00DA0D02">
        <w:rPr>
          <w:lang w:val="es-ES"/>
        </w:rPr>
        <w:t xml:space="preserve"> </w:t>
      </w:r>
      <w:r w:rsidRPr="00F50CE5">
        <w:t>և</w:t>
      </w:r>
      <w:r w:rsidRPr="00DA0D02">
        <w:rPr>
          <w:lang w:val="es-ES"/>
        </w:rPr>
        <w:t xml:space="preserve"> </w:t>
      </w:r>
      <w:r w:rsidRPr="00F50CE5">
        <w:t>ինտեգրման</w:t>
      </w:r>
      <w:r w:rsidRPr="00DA0D02">
        <w:rPr>
          <w:lang w:val="es-ES"/>
        </w:rPr>
        <w:t xml:space="preserve"> </w:t>
      </w:r>
      <w:r w:rsidRPr="00F50CE5">
        <w:t>տնտեսական</w:t>
      </w:r>
      <w:r w:rsidRPr="00DA0D02">
        <w:rPr>
          <w:lang w:val="es-ES"/>
        </w:rPr>
        <w:t xml:space="preserve"> </w:t>
      </w:r>
      <w:r w:rsidRPr="00F50CE5">
        <w:t>ազդեցությունները</w:t>
      </w:r>
      <w:r w:rsidRPr="00DA0D02">
        <w:rPr>
          <w:lang w:val="es-ES"/>
        </w:rPr>
        <w:t xml:space="preserve">: </w:t>
      </w:r>
      <w:r w:rsidRPr="00F50CE5">
        <w:t>Արդյունքում</w:t>
      </w:r>
      <w:r w:rsidRPr="00DA0D02">
        <w:rPr>
          <w:lang w:val="es-ES"/>
        </w:rPr>
        <w:t xml:space="preserve"> </w:t>
      </w:r>
      <w:r w:rsidRPr="00F50CE5">
        <w:t>գրանցվել</w:t>
      </w:r>
      <w:r w:rsidRPr="00DA0D02">
        <w:rPr>
          <w:lang w:val="es-ES"/>
        </w:rPr>
        <w:t xml:space="preserve"> </w:t>
      </w:r>
      <w:r w:rsidRPr="00F50CE5">
        <w:t>է</w:t>
      </w:r>
      <w:r w:rsidRPr="00DA0D02">
        <w:rPr>
          <w:lang w:val="es-ES"/>
        </w:rPr>
        <w:t xml:space="preserve"> 9.2% </w:t>
      </w:r>
      <w:r w:rsidRPr="00F50CE5">
        <w:t>տնտեսական</w:t>
      </w:r>
      <w:r w:rsidRPr="00DA0D02">
        <w:rPr>
          <w:lang w:val="es-ES"/>
        </w:rPr>
        <w:t xml:space="preserve"> </w:t>
      </w:r>
      <w:r w:rsidRPr="00F50CE5">
        <w:t>աճ՝</w:t>
      </w:r>
      <w:r w:rsidRPr="00DA0D02">
        <w:rPr>
          <w:lang w:val="es-ES"/>
        </w:rPr>
        <w:t xml:space="preserve"> </w:t>
      </w:r>
      <w:r w:rsidRPr="00F50CE5">
        <w:t>պայմանավորված</w:t>
      </w:r>
      <w:r w:rsidRPr="00DA0D02">
        <w:rPr>
          <w:lang w:val="es-ES"/>
        </w:rPr>
        <w:t xml:space="preserve"> </w:t>
      </w:r>
      <w:r w:rsidRPr="00F50CE5">
        <w:t>հիմնականում</w:t>
      </w:r>
      <w:r w:rsidRPr="00DA0D02">
        <w:rPr>
          <w:lang w:val="es-ES"/>
        </w:rPr>
        <w:t xml:space="preserve"> </w:t>
      </w:r>
      <w:r w:rsidRPr="00F50CE5">
        <w:t>ծառայությունների</w:t>
      </w:r>
      <w:r w:rsidRPr="00DA0D02">
        <w:rPr>
          <w:lang w:val="es-ES"/>
        </w:rPr>
        <w:t xml:space="preserve"> </w:t>
      </w:r>
      <w:r w:rsidRPr="00F50CE5">
        <w:t>և</w:t>
      </w:r>
      <w:r w:rsidRPr="00DA0D02">
        <w:rPr>
          <w:lang w:val="es-ES"/>
        </w:rPr>
        <w:t xml:space="preserve"> </w:t>
      </w:r>
      <w:r w:rsidRPr="00F50CE5">
        <w:t>արդյունաբերության</w:t>
      </w:r>
      <w:r w:rsidRPr="00DA0D02">
        <w:rPr>
          <w:lang w:val="es-ES"/>
        </w:rPr>
        <w:t xml:space="preserve"> </w:t>
      </w:r>
      <w:r w:rsidRPr="00F50CE5">
        <w:t>աճով</w:t>
      </w:r>
      <w:r w:rsidRPr="00DA0D02">
        <w:rPr>
          <w:lang w:val="es-ES"/>
        </w:rPr>
        <w:t xml:space="preserve">: </w:t>
      </w:r>
      <w:r w:rsidRPr="00F50CE5">
        <w:t>Ապրիլ</w:t>
      </w:r>
      <w:r w:rsidRPr="00DA0D02">
        <w:rPr>
          <w:lang w:val="es-ES"/>
        </w:rPr>
        <w:t>-</w:t>
      </w:r>
      <w:r w:rsidRPr="00F50CE5">
        <w:t>մայիս</w:t>
      </w:r>
      <w:r w:rsidRPr="00DA0D02">
        <w:rPr>
          <w:lang w:val="es-ES"/>
        </w:rPr>
        <w:t xml:space="preserve"> </w:t>
      </w:r>
      <w:r w:rsidRPr="00F50CE5">
        <w:t>ամիսներին</w:t>
      </w:r>
      <w:r w:rsidRPr="00DA0D02">
        <w:rPr>
          <w:lang w:val="es-ES"/>
        </w:rPr>
        <w:t xml:space="preserve"> </w:t>
      </w:r>
      <w:r w:rsidRPr="00F50CE5">
        <w:t>տնտեսական</w:t>
      </w:r>
      <w:r w:rsidRPr="00DA0D02">
        <w:rPr>
          <w:lang w:val="es-ES"/>
        </w:rPr>
        <w:t xml:space="preserve"> </w:t>
      </w:r>
      <w:r w:rsidRPr="00F50CE5">
        <w:t>ակտիվությունը</w:t>
      </w:r>
      <w:r w:rsidRPr="00DA0D02">
        <w:rPr>
          <w:lang w:val="es-ES"/>
        </w:rPr>
        <w:t xml:space="preserve"> </w:t>
      </w:r>
      <w:r w:rsidRPr="00F50CE5">
        <w:t>որոշակիորեն</w:t>
      </w:r>
      <w:r w:rsidRPr="00DA0D02">
        <w:rPr>
          <w:lang w:val="es-ES"/>
        </w:rPr>
        <w:t xml:space="preserve"> </w:t>
      </w:r>
      <w:r w:rsidRPr="00F50CE5">
        <w:t>դանդաղել</w:t>
      </w:r>
      <w:r w:rsidRPr="00DA0D02">
        <w:rPr>
          <w:lang w:val="es-ES"/>
        </w:rPr>
        <w:t xml:space="preserve"> </w:t>
      </w:r>
      <w:r w:rsidRPr="00F50CE5">
        <w:t>է՝</w:t>
      </w:r>
      <w:r w:rsidRPr="00DA0D02">
        <w:rPr>
          <w:lang w:val="es-ES"/>
        </w:rPr>
        <w:t xml:space="preserve"> </w:t>
      </w:r>
      <w:r w:rsidRPr="00F50CE5">
        <w:t>պայմանավորված</w:t>
      </w:r>
      <w:r w:rsidRPr="00DA0D02">
        <w:rPr>
          <w:lang w:val="es-ES"/>
        </w:rPr>
        <w:t xml:space="preserve"> </w:t>
      </w:r>
      <w:r w:rsidRPr="00F50CE5">
        <w:t>հիմնականում</w:t>
      </w:r>
      <w:r w:rsidRPr="00DA0D02">
        <w:rPr>
          <w:lang w:val="es-ES"/>
        </w:rPr>
        <w:t xml:space="preserve"> </w:t>
      </w:r>
      <w:r w:rsidRPr="00F50CE5">
        <w:t>արդյունաբերության</w:t>
      </w:r>
      <w:r w:rsidRPr="00DA0D02">
        <w:rPr>
          <w:lang w:val="es-ES"/>
        </w:rPr>
        <w:t xml:space="preserve"> </w:t>
      </w:r>
      <w:r w:rsidRPr="00F50CE5">
        <w:t>և</w:t>
      </w:r>
      <w:r w:rsidRPr="00DA0D02">
        <w:rPr>
          <w:lang w:val="es-ES"/>
        </w:rPr>
        <w:t xml:space="preserve"> </w:t>
      </w:r>
      <w:r w:rsidRPr="00F50CE5">
        <w:t>առևտրի</w:t>
      </w:r>
      <w:r w:rsidRPr="00DA0D02">
        <w:rPr>
          <w:lang w:val="es-ES"/>
        </w:rPr>
        <w:t xml:space="preserve"> </w:t>
      </w:r>
      <w:r w:rsidRPr="00F50CE5">
        <w:t>աճերի</w:t>
      </w:r>
      <w:r w:rsidRPr="00DA0D02">
        <w:rPr>
          <w:lang w:val="es-ES"/>
        </w:rPr>
        <w:t xml:space="preserve"> </w:t>
      </w:r>
      <w:r w:rsidRPr="00F50CE5">
        <w:t>տեմպերի</w:t>
      </w:r>
      <w:r w:rsidRPr="00DA0D02">
        <w:rPr>
          <w:lang w:val="es-ES"/>
        </w:rPr>
        <w:t xml:space="preserve"> </w:t>
      </w:r>
      <w:r w:rsidRPr="00F50CE5">
        <w:t>դանդաղմամբ</w:t>
      </w:r>
      <w:r w:rsidRPr="00DA0D02">
        <w:rPr>
          <w:lang w:val="es-ES"/>
        </w:rPr>
        <w:t xml:space="preserve">, </w:t>
      </w:r>
      <w:r w:rsidRPr="00F50CE5">
        <w:t>սակայն</w:t>
      </w:r>
      <w:r w:rsidRPr="00DA0D02">
        <w:rPr>
          <w:lang w:val="es-ES"/>
        </w:rPr>
        <w:t xml:space="preserve"> </w:t>
      </w:r>
      <w:r w:rsidRPr="00F50CE5">
        <w:t>տնտեսական</w:t>
      </w:r>
      <w:r w:rsidRPr="00DA0D02">
        <w:rPr>
          <w:lang w:val="es-ES"/>
        </w:rPr>
        <w:t xml:space="preserve"> </w:t>
      </w:r>
      <w:r w:rsidRPr="00F50CE5">
        <w:t>ակտիվության</w:t>
      </w:r>
      <w:r w:rsidRPr="00DA0D02">
        <w:rPr>
          <w:lang w:val="es-ES"/>
        </w:rPr>
        <w:t xml:space="preserve"> </w:t>
      </w:r>
      <w:r w:rsidRPr="00F50CE5">
        <w:t>բարձր</w:t>
      </w:r>
      <w:r w:rsidRPr="00DA0D02">
        <w:rPr>
          <w:lang w:val="es-ES"/>
        </w:rPr>
        <w:t xml:space="preserve"> </w:t>
      </w:r>
      <w:r w:rsidRPr="00F50CE5">
        <w:t>տեմպը</w:t>
      </w:r>
      <w:r w:rsidRPr="00DA0D02">
        <w:rPr>
          <w:lang w:val="es-ES"/>
        </w:rPr>
        <w:t xml:space="preserve"> </w:t>
      </w:r>
      <w:r w:rsidRPr="00F50CE5">
        <w:t>շարունակվել</w:t>
      </w:r>
      <w:r w:rsidRPr="00DA0D02">
        <w:rPr>
          <w:lang w:val="es-ES"/>
        </w:rPr>
        <w:t xml:space="preserve"> </w:t>
      </w:r>
      <w:r w:rsidRPr="00F50CE5">
        <w:t>է</w:t>
      </w:r>
      <w:r w:rsidRPr="00DA0D02">
        <w:rPr>
          <w:lang w:val="es-ES"/>
        </w:rPr>
        <w:t xml:space="preserve"> </w:t>
      </w:r>
      <w:r w:rsidRPr="00F50CE5">
        <w:t>պահպանվել</w:t>
      </w:r>
      <w:r w:rsidRPr="00DA0D02">
        <w:rPr>
          <w:lang w:val="es-ES"/>
        </w:rPr>
        <w:t xml:space="preserve">: </w:t>
      </w:r>
    </w:p>
    <w:p w14:paraId="3CE238E7" w14:textId="77777777" w:rsidR="00DA0D02" w:rsidRPr="00DA0D02" w:rsidRDefault="00DA0D02" w:rsidP="00746426">
      <w:pPr>
        <w:numPr>
          <w:ilvl w:val="0"/>
          <w:numId w:val="40"/>
        </w:numPr>
        <w:spacing w:before="120" w:after="0" w:line="276" w:lineRule="auto"/>
        <w:ind w:left="0" w:firstLine="0"/>
        <w:rPr>
          <w:lang w:val="es-ES"/>
        </w:rPr>
      </w:pPr>
      <w:r w:rsidRPr="00DA0D02">
        <w:rPr>
          <w:lang w:val="es-ES"/>
        </w:rPr>
        <w:t>2024</w:t>
      </w:r>
      <w:r w:rsidRPr="00F50CE5">
        <w:t>թ</w:t>
      </w:r>
      <w:r w:rsidRPr="00DA0D02">
        <w:rPr>
          <w:lang w:val="es-ES"/>
        </w:rPr>
        <w:t xml:space="preserve">. </w:t>
      </w:r>
      <w:r w:rsidRPr="00F50CE5">
        <w:t>ընթացիկ</w:t>
      </w:r>
      <w:r w:rsidRPr="00DA0D02">
        <w:rPr>
          <w:lang w:val="es-ES"/>
        </w:rPr>
        <w:t xml:space="preserve"> </w:t>
      </w:r>
      <w:r w:rsidRPr="00F50CE5">
        <w:t>զարգացումների</w:t>
      </w:r>
      <w:r w:rsidRPr="00DA0D02">
        <w:rPr>
          <w:lang w:val="es-ES"/>
        </w:rPr>
        <w:t xml:space="preserve">, </w:t>
      </w:r>
      <w:r w:rsidRPr="00F50CE5">
        <w:t>պետական</w:t>
      </w:r>
      <w:r w:rsidRPr="00DA0D02">
        <w:rPr>
          <w:lang w:val="es-ES"/>
        </w:rPr>
        <w:t xml:space="preserve"> </w:t>
      </w:r>
      <w:r w:rsidRPr="00F50CE5">
        <w:t>կապիտալ</w:t>
      </w:r>
      <w:r w:rsidRPr="00DA0D02">
        <w:rPr>
          <w:lang w:val="es-ES"/>
        </w:rPr>
        <w:t xml:space="preserve"> </w:t>
      </w:r>
      <w:r w:rsidRPr="00F50CE5">
        <w:t>ծախսերի</w:t>
      </w:r>
      <w:r w:rsidRPr="00DA0D02">
        <w:rPr>
          <w:lang w:val="es-ES"/>
        </w:rPr>
        <w:t xml:space="preserve"> </w:t>
      </w:r>
      <w:r w:rsidRPr="00F50CE5">
        <w:t>դերի</w:t>
      </w:r>
      <w:r w:rsidRPr="00DA0D02">
        <w:rPr>
          <w:lang w:val="es-ES"/>
        </w:rPr>
        <w:t xml:space="preserve"> </w:t>
      </w:r>
      <w:r w:rsidRPr="00F50CE5">
        <w:t>շարունակական</w:t>
      </w:r>
      <w:r w:rsidRPr="00DA0D02">
        <w:rPr>
          <w:lang w:val="es-ES"/>
        </w:rPr>
        <w:t xml:space="preserve"> </w:t>
      </w:r>
      <w:r w:rsidRPr="00F50CE5">
        <w:t>բարձրացման</w:t>
      </w:r>
      <w:r w:rsidRPr="00DA0D02">
        <w:rPr>
          <w:lang w:val="es-ES"/>
        </w:rPr>
        <w:t xml:space="preserve">, </w:t>
      </w:r>
      <w:r w:rsidRPr="00F50CE5">
        <w:t>ինչպես</w:t>
      </w:r>
      <w:r w:rsidRPr="00DA0D02">
        <w:rPr>
          <w:lang w:val="es-ES"/>
        </w:rPr>
        <w:t xml:space="preserve"> </w:t>
      </w:r>
      <w:r w:rsidRPr="00F50CE5">
        <w:t>նաև</w:t>
      </w:r>
      <w:r w:rsidRPr="00DA0D02">
        <w:rPr>
          <w:lang w:val="es-ES"/>
        </w:rPr>
        <w:t xml:space="preserve">  </w:t>
      </w:r>
      <w:r w:rsidRPr="00F50CE5">
        <w:t>կառուցվածքային</w:t>
      </w:r>
      <w:r w:rsidRPr="00DA0D02">
        <w:rPr>
          <w:lang w:val="es-ES"/>
        </w:rPr>
        <w:t xml:space="preserve"> </w:t>
      </w:r>
      <w:r w:rsidRPr="00F50CE5">
        <w:t>բարեփոխումների</w:t>
      </w:r>
      <w:r w:rsidRPr="00DA0D02">
        <w:rPr>
          <w:lang w:val="es-ES"/>
        </w:rPr>
        <w:t xml:space="preserve"> </w:t>
      </w:r>
      <w:r w:rsidRPr="00F50CE5">
        <w:t>ու</w:t>
      </w:r>
      <w:r w:rsidRPr="00DA0D02">
        <w:rPr>
          <w:lang w:val="es-ES"/>
        </w:rPr>
        <w:t xml:space="preserve"> </w:t>
      </w:r>
      <w:r w:rsidRPr="00F50CE5">
        <w:t>Ամուլսարի</w:t>
      </w:r>
      <w:r w:rsidRPr="00DA0D02">
        <w:rPr>
          <w:lang w:val="es-ES"/>
        </w:rPr>
        <w:t xml:space="preserve"> </w:t>
      </w:r>
      <w:r w:rsidRPr="00F50CE5">
        <w:t>շահագործման</w:t>
      </w:r>
      <w:r w:rsidRPr="00DA0D02">
        <w:rPr>
          <w:lang w:val="es-ES"/>
        </w:rPr>
        <w:t xml:space="preserve"> </w:t>
      </w:r>
      <w:r w:rsidRPr="00F50CE5">
        <w:t>հնարավոր</w:t>
      </w:r>
      <w:r w:rsidRPr="00DA0D02">
        <w:rPr>
          <w:lang w:val="es-ES"/>
        </w:rPr>
        <w:t xml:space="preserve"> </w:t>
      </w:r>
      <w:r w:rsidRPr="00F50CE5">
        <w:t>ազդեցությունների</w:t>
      </w:r>
      <w:r w:rsidRPr="00DA0D02">
        <w:rPr>
          <w:lang w:val="es-ES"/>
        </w:rPr>
        <w:t xml:space="preserve"> </w:t>
      </w:r>
      <w:r w:rsidRPr="00F50CE5">
        <w:t>արդյունքում</w:t>
      </w:r>
      <w:r w:rsidRPr="00DA0D02">
        <w:rPr>
          <w:lang w:val="es-ES"/>
        </w:rPr>
        <w:t xml:space="preserve"> 2024 </w:t>
      </w:r>
      <w:r w:rsidRPr="00F50CE5">
        <w:t>թվականի</w:t>
      </w:r>
      <w:r w:rsidRPr="00DA0D02">
        <w:rPr>
          <w:lang w:val="es-ES"/>
        </w:rPr>
        <w:t xml:space="preserve"> </w:t>
      </w:r>
      <w:r w:rsidRPr="00F50CE5">
        <w:t>համար</w:t>
      </w:r>
      <w:r w:rsidRPr="00DA0D02">
        <w:rPr>
          <w:lang w:val="es-ES"/>
        </w:rPr>
        <w:t xml:space="preserve"> </w:t>
      </w:r>
      <w:r w:rsidRPr="00F50CE5">
        <w:t>սպասվում</w:t>
      </w:r>
      <w:r w:rsidRPr="00DA0D02">
        <w:rPr>
          <w:lang w:val="es-ES"/>
        </w:rPr>
        <w:t xml:space="preserve"> </w:t>
      </w:r>
      <w:r w:rsidRPr="00F50CE5">
        <w:t>է</w:t>
      </w:r>
      <w:r w:rsidRPr="00DA0D02">
        <w:rPr>
          <w:lang w:val="es-ES"/>
        </w:rPr>
        <w:t xml:space="preserve"> </w:t>
      </w:r>
      <w:r w:rsidRPr="00F50CE5">
        <w:t>շուրջ</w:t>
      </w:r>
      <w:r w:rsidRPr="00DA0D02">
        <w:rPr>
          <w:lang w:val="es-ES"/>
        </w:rPr>
        <w:t xml:space="preserve"> 6.3% </w:t>
      </w:r>
      <w:r w:rsidRPr="00F50CE5">
        <w:t>տնտեսական</w:t>
      </w:r>
      <w:r w:rsidRPr="00DA0D02">
        <w:rPr>
          <w:lang w:val="es-ES"/>
        </w:rPr>
        <w:t xml:space="preserve"> </w:t>
      </w:r>
      <w:r w:rsidRPr="00F50CE5">
        <w:t>աճ</w:t>
      </w:r>
      <w:r w:rsidRPr="00DA0D02">
        <w:rPr>
          <w:lang w:val="es-ES"/>
        </w:rPr>
        <w:t xml:space="preserve">, </w:t>
      </w:r>
      <w:r w:rsidRPr="00F50CE5">
        <w:t>իսկ</w:t>
      </w:r>
      <w:r w:rsidRPr="00DA0D02">
        <w:rPr>
          <w:lang w:val="es-ES"/>
        </w:rPr>
        <w:t xml:space="preserve"> </w:t>
      </w:r>
      <w:r w:rsidRPr="00F50CE5">
        <w:t>միջնաժամկետում՝</w:t>
      </w:r>
      <w:r w:rsidRPr="00DA0D02">
        <w:rPr>
          <w:lang w:val="es-ES"/>
        </w:rPr>
        <w:t xml:space="preserve"> </w:t>
      </w:r>
      <w:r w:rsidRPr="00F50CE5">
        <w:t>միջինում</w:t>
      </w:r>
      <w:r w:rsidRPr="00DA0D02">
        <w:rPr>
          <w:lang w:val="es-ES"/>
        </w:rPr>
        <w:t xml:space="preserve"> 5</w:t>
      </w:r>
      <w:r w:rsidRPr="00DA0D02">
        <w:rPr>
          <w:rFonts w:ascii="Cambria Math" w:hAnsi="Cambria Math" w:cs="Cambria Math"/>
          <w:lang w:val="es-ES"/>
        </w:rPr>
        <w:t>․</w:t>
      </w:r>
      <w:r w:rsidRPr="00DA0D02">
        <w:rPr>
          <w:lang w:val="es-ES"/>
        </w:rPr>
        <w:t xml:space="preserve">7% </w:t>
      </w:r>
      <w:r w:rsidRPr="00F50CE5">
        <w:t>աճ</w:t>
      </w:r>
      <w:r w:rsidRPr="00DA0D02">
        <w:rPr>
          <w:lang w:val="es-ES"/>
        </w:rPr>
        <w:t xml:space="preserve">: </w:t>
      </w:r>
      <w:r w:rsidRPr="00F50CE5">
        <w:t>Այս</w:t>
      </w:r>
      <w:r w:rsidRPr="00DA0D02">
        <w:rPr>
          <w:lang w:val="es-ES"/>
        </w:rPr>
        <w:t xml:space="preserve"> </w:t>
      </w:r>
      <w:r w:rsidRPr="00F50CE5">
        <w:t>պայմաններում</w:t>
      </w:r>
      <w:r w:rsidRPr="00DA0D02">
        <w:rPr>
          <w:lang w:val="es-ES"/>
        </w:rPr>
        <w:t xml:space="preserve"> </w:t>
      </w:r>
      <w:r w:rsidRPr="00F50CE5">
        <w:t>ՀՀ</w:t>
      </w:r>
      <w:r w:rsidRPr="00DA0D02">
        <w:rPr>
          <w:lang w:val="es-ES"/>
        </w:rPr>
        <w:t xml:space="preserve"> </w:t>
      </w:r>
      <w:r w:rsidRPr="00F50CE5">
        <w:t>կառավարության</w:t>
      </w:r>
      <w:r w:rsidRPr="00DA0D02">
        <w:rPr>
          <w:lang w:val="es-ES"/>
        </w:rPr>
        <w:t xml:space="preserve"> </w:t>
      </w:r>
      <w:r w:rsidRPr="00F50CE5">
        <w:t>ծրագրի</w:t>
      </w:r>
      <w:r w:rsidRPr="00DA0D02">
        <w:rPr>
          <w:lang w:val="es-ES"/>
        </w:rPr>
        <w:t xml:space="preserve"> 2021-2026</w:t>
      </w:r>
      <w:r w:rsidRPr="00F50CE5">
        <w:t>թթ</w:t>
      </w:r>
      <w:r w:rsidRPr="00DA0D02">
        <w:rPr>
          <w:lang w:val="es-ES"/>
        </w:rPr>
        <w:t xml:space="preserve">. </w:t>
      </w:r>
      <w:r w:rsidRPr="00F50CE5">
        <w:t>միջինում</w:t>
      </w:r>
      <w:r w:rsidRPr="00DA0D02">
        <w:rPr>
          <w:lang w:val="es-ES"/>
        </w:rPr>
        <w:t xml:space="preserve"> 7% </w:t>
      </w:r>
      <w:r w:rsidRPr="00F50CE5">
        <w:t>աճը</w:t>
      </w:r>
      <w:r w:rsidRPr="00DA0D02">
        <w:rPr>
          <w:lang w:val="es-ES"/>
        </w:rPr>
        <w:t xml:space="preserve"> </w:t>
      </w:r>
      <w:r w:rsidRPr="00F50CE5">
        <w:t>կապահովվի</w:t>
      </w:r>
      <w:r w:rsidRPr="00DA0D02">
        <w:rPr>
          <w:lang w:val="es-ES"/>
        </w:rPr>
        <w:t xml:space="preserve">: </w:t>
      </w:r>
      <w:r w:rsidRPr="00F50CE5">
        <w:t>Ընդ</w:t>
      </w:r>
      <w:r w:rsidRPr="00DA0D02">
        <w:rPr>
          <w:lang w:val="es-ES"/>
        </w:rPr>
        <w:t xml:space="preserve"> </w:t>
      </w:r>
      <w:r w:rsidRPr="00F50CE5">
        <w:t>որում</w:t>
      </w:r>
      <w:r w:rsidRPr="00DA0D02">
        <w:rPr>
          <w:lang w:val="es-ES"/>
        </w:rPr>
        <w:t xml:space="preserve">, </w:t>
      </w:r>
      <w:r w:rsidRPr="00F50CE5">
        <w:t>վերջին</w:t>
      </w:r>
      <w:r w:rsidRPr="00DA0D02">
        <w:rPr>
          <w:lang w:val="es-ES"/>
        </w:rPr>
        <w:t xml:space="preserve"> </w:t>
      </w:r>
      <w:r w:rsidRPr="00F50CE5">
        <w:t>տարիներին</w:t>
      </w:r>
      <w:r w:rsidRPr="00DA0D02">
        <w:rPr>
          <w:lang w:val="es-ES"/>
        </w:rPr>
        <w:t xml:space="preserve"> </w:t>
      </w:r>
      <w:r w:rsidRPr="00F50CE5">
        <w:t>ՀՀ</w:t>
      </w:r>
      <w:r w:rsidRPr="00DA0D02">
        <w:rPr>
          <w:lang w:val="es-ES"/>
        </w:rPr>
        <w:t xml:space="preserve"> </w:t>
      </w:r>
      <w:r w:rsidRPr="00F50CE5">
        <w:t>տնտեսական</w:t>
      </w:r>
      <w:r w:rsidRPr="00DA0D02">
        <w:rPr>
          <w:lang w:val="es-ES"/>
        </w:rPr>
        <w:t xml:space="preserve"> </w:t>
      </w:r>
      <w:r w:rsidRPr="00F50CE5">
        <w:t>աճի</w:t>
      </w:r>
      <w:r w:rsidRPr="00DA0D02">
        <w:rPr>
          <w:lang w:val="es-ES"/>
        </w:rPr>
        <w:t xml:space="preserve"> </w:t>
      </w:r>
      <w:r w:rsidRPr="00F50CE5">
        <w:t>ներուժը</w:t>
      </w:r>
      <w:r w:rsidRPr="00DA0D02">
        <w:rPr>
          <w:lang w:val="es-ES"/>
        </w:rPr>
        <w:t xml:space="preserve"> </w:t>
      </w:r>
      <w:r w:rsidRPr="00F50CE5">
        <w:t>բարձրացել</w:t>
      </w:r>
      <w:r w:rsidRPr="00DA0D02">
        <w:rPr>
          <w:lang w:val="es-ES"/>
        </w:rPr>
        <w:t xml:space="preserve"> </w:t>
      </w:r>
      <w:r w:rsidRPr="00F50CE5">
        <w:t>է՝</w:t>
      </w:r>
      <w:r w:rsidRPr="00DA0D02">
        <w:rPr>
          <w:lang w:val="es-ES"/>
        </w:rPr>
        <w:t xml:space="preserve"> </w:t>
      </w:r>
      <w:r w:rsidRPr="00F50CE5">
        <w:t>հասնելով</w:t>
      </w:r>
      <w:r w:rsidRPr="00DA0D02">
        <w:rPr>
          <w:lang w:val="es-ES"/>
        </w:rPr>
        <w:t xml:space="preserve"> 5.0-5.5%: </w:t>
      </w:r>
      <w:r w:rsidRPr="00F50CE5">
        <w:t>Այս</w:t>
      </w:r>
      <w:r w:rsidRPr="00DA0D02">
        <w:rPr>
          <w:lang w:val="es-ES"/>
        </w:rPr>
        <w:t xml:space="preserve"> </w:t>
      </w:r>
      <w:r w:rsidRPr="00F50CE5">
        <w:t>աճը</w:t>
      </w:r>
      <w:r w:rsidRPr="00DA0D02">
        <w:rPr>
          <w:lang w:val="es-ES"/>
        </w:rPr>
        <w:t xml:space="preserve"> </w:t>
      </w:r>
      <w:r w:rsidRPr="00F50CE5">
        <w:t>պահպանելու</w:t>
      </w:r>
      <w:r w:rsidRPr="00DA0D02">
        <w:rPr>
          <w:lang w:val="es-ES"/>
        </w:rPr>
        <w:t xml:space="preserve"> </w:t>
      </w:r>
      <w:r w:rsidRPr="00F50CE5">
        <w:t>և</w:t>
      </w:r>
      <w:r w:rsidRPr="00DA0D02">
        <w:rPr>
          <w:lang w:val="es-ES"/>
        </w:rPr>
        <w:t xml:space="preserve"> </w:t>
      </w:r>
      <w:r w:rsidRPr="00F50CE5">
        <w:t>ավելի</w:t>
      </w:r>
      <w:r w:rsidRPr="00DA0D02">
        <w:rPr>
          <w:lang w:val="es-ES"/>
        </w:rPr>
        <w:t xml:space="preserve"> </w:t>
      </w:r>
      <w:r w:rsidRPr="00F50CE5">
        <w:t>բարձր՝</w:t>
      </w:r>
      <w:r w:rsidRPr="00DA0D02">
        <w:rPr>
          <w:lang w:val="es-ES"/>
        </w:rPr>
        <w:t xml:space="preserve"> 7% </w:t>
      </w:r>
      <w:r w:rsidRPr="00F50CE5">
        <w:t>կայուն</w:t>
      </w:r>
      <w:r w:rsidRPr="00DA0D02">
        <w:rPr>
          <w:lang w:val="es-ES"/>
        </w:rPr>
        <w:t xml:space="preserve"> </w:t>
      </w:r>
      <w:r w:rsidRPr="00F50CE5">
        <w:t>աճի</w:t>
      </w:r>
      <w:r w:rsidRPr="00DA0D02">
        <w:rPr>
          <w:lang w:val="es-ES"/>
        </w:rPr>
        <w:t xml:space="preserve"> </w:t>
      </w:r>
      <w:r w:rsidRPr="00F50CE5">
        <w:t>հասնելու</w:t>
      </w:r>
      <w:r w:rsidRPr="00DA0D02">
        <w:rPr>
          <w:lang w:val="es-ES"/>
        </w:rPr>
        <w:t xml:space="preserve"> </w:t>
      </w:r>
      <w:r w:rsidRPr="00F50CE5">
        <w:t>համար</w:t>
      </w:r>
      <w:r w:rsidRPr="00DA0D02">
        <w:rPr>
          <w:lang w:val="es-ES"/>
        </w:rPr>
        <w:t xml:space="preserve"> </w:t>
      </w:r>
      <w:r w:rsidRPr="00F50CE5">
        <w:t>անհրաժեշտ</w:t>
      </w:r>
      <w:r w:rsidRPr="00DA0D02">
        <w:rPr>
          <w:lang w:val="es-ES"/>
        </w:rPr>
        <w:t xml:space="preserve"> </w:t>
      </w:r>
      <w:r w:rsidRPr="00F50CE5">
        <w:t>է</w:t>
      </w:r>
      <w:r w:rsidRPr="00DA0D02">
        <w:rPr>
          <w:lang w:val="es-ES"/>
        </w:rPr>
        <w:t xml:space="preserve"> </w:t>
      </w:r>
      <w:r w:rsidRPr="00F50CE5">
        <w:t>լրացուցիչ</w:t>
      </w:r>
      <w:r w:rsidRPr="00DA0D02">
        <w:rPr>
          <w:lang w:val="es-ES"/>
        </w:rPr>
        <w:t xml:space="preserve"> </w:t>
      </w:r>
      <w:r w:rsidRPr="00F50CE5">
        <w:t>ջանքեր՝</w:t>
      </w:r>
      <w:r w:rsidRPr="00DA0D02">
        <w:rPr>
          <w:lang w:val="es-ES"/>
        </w:rPr>
        <w:t xml:space="preserve"> </w:t>
      </w:r>
      <w:r w:rsidRPr="00F50CE5">
        <w:t>ուղղված</w:t>
      </w:r>
      <w:r w:rsidRPr="00DA0D02">
        <w:rPr>
          <w:lang w:val="es-ES"/>
        </w:rPr>
        <w:t xml:space="preserve"> </w:t>
      </w:r>
      <w:r w:rsidRPr="00F50CE5">
        <w:t>արտադրողականության</w:t>
      </w:r>
      <w:r w:rsidRPr="00DA0D02">
        <w:rPr>
          <w:lang w:val="es-ES"/>
        </w:rPr>
        <w:t xml:space="preserve"> </w:t>
      </w:r>
      <w:r w:rsidRPr="00F50CE5">
        <w:t>բարձրացմանը</w:t>
      </w:r>
      <w:r w:rsidRPr="00DA0D02">
        <w:rPr>
          <w:lang w:val="es-ES"/>
        </w:rPr>
        <w:t xml:space="preserve">, </w:t>
      </w:r>
      <w:r w:rsidRPr="00F50CE5">
        <w:t>ներդրումների</w:t>
      </w:r>
      <w:r w:rsidRPr="00DA0D02">
        <w:rPr>
          <w:lang w:val="es-ES"/>
        </w:rPr>
        <w:t xml:space="preserve"> </w:t>
      </w:r>
      <w:r w:rsidRPr="00F50CE5">
        <w:t>և</w:t>
      </w:r>
      <w:r w:rsidRPr="00DA0D02">
        <w:rPr>
          <w:lang w:val="es-ES"/>
        </w:rPr>
        <w:t xml:space="preserve"> </w:t>
      </w:r>
      <w:r w:rsidRPr="00F50CE5">
        <w:t>արտահանման</w:t>
      </w:r>
      <w:r w:rsidRPr="00DA0D02">
        <w:rPr>
          <w:lang w:val="es-ES"/>
        </w:rPr>
        <w:t xml:space="preserve"> </w:t>
      </w:r>
      <w:r w:rsidRPr="00F50CE5">
        <w:t>խթանմանը։</w:t>
      </w:r>
      <w:r w:rsidRPr="00DA0D02">
        <w:rPr>
          <w:lang w:val="es-ES"/>
        </w:rPr>
        <w:t xml:space="preserve"> </w:t>
      </w:r>
      <w:r w:rsidRPr="00F50CE5">
        <w:t>Այս</w:t>
      </w:r>
      <w:r w:rsidRPr="00DA0D02">
        <w:rPr>
          <w:lang w:val="es-ES"/>
        </w:rPr>
        <w:t xml:space="preserve"> </w:t>
      </w:r>
      <w:r w:rsidRPr="00F50CE5">
        <w:t>համատեքստում</w:t>
      </w:r>
      <w:r w:rsidRPr="00DA0D02">
        <w:rPr>
          <w:lang w:val="es-ES"/>
        </w:rPr>
        <w:t xml:space="preserve"> </w:t>
      </w:r>
      <w:r w:rsidRPr="00F50CE5">
        <w:t>ՀՀ</w:t>
      </w:r>
      <w:r w:rsidRPr="00DA0D02">
        <w:rPr>
          <w:lang w:val="es-ES"/>
        </w:rPr>
        <w:t xml:space="preserve"> </w:t>
      </w:r>
      <w:r w:rsidRPr="00F50CE5">
        <w:t>կառավարությունը</w:t>
      </w:r>
      <w:r w:rsidRPr="00DA0D02">
        <w:rPr>
          <w:lang w:val="es-ES"/>
        </w:rPr>
        <w:t xml:space="preserve"> </w:t>
      </w:r>
      <w:r w:rsidRPr="00F50CE5">
        <w:t>հետամուտ</w:t>
      </w:r>
      <w:r w:rsidRPr="00DA0D02">
        <w:rPr>
          <w:lang w:val="es-ES"/>
        </w:rPr>
        <w:t xml:space="preserve"> </w:t>
      </w:r>
      <w:r w:rsidRPr="00F50CE5">
        <w:t>է</w:t>
      </w:r>
      <w:r w:rsidRPr="00DA0D02">
        <w:rPr>
          <w:lang w:val="es-ES"/>
        </w:rPr>
        <w:t xml:space="preserve"> </w:t>
      </w:r>
      <w:r w:rsidRPr="00F50CE5">
        <w:t>լինելու</w:t>
      </w:r>
      <w:r w:rsidRPr="00DA0D02">
        <w:rPr>
          <w:lang w:val="es-ES"/>
        </w:rPr>
        <w:t xml:space="preserve"> </w:t>
      </w:r>
      <w:r w:rsidRPr="00F50CE5">
        <w:t>մարդկային</w:t>
      </w:r>
      <w:r w:rsidRPr="00DA0D02">
        <w:rPr>
          <w:lang w:val="es-ES"/>
        </w:rPr>
        <w:t xml:space="preserve"> </w:t>
      </w:r>
      <w:r w:rsidRPr="00F50CE5">
        <w:t>և</w:t>
      </w:r>
      <w:r w:rsidRPr="00DA0D02">
        <w:rPr>
          <w:lang w:val="es-ES"/>
        </w:rPr>
        <w:t xml:space="preserve"> </w:t>
      </w:r>
      <w:r w:rsidRPr="00F50CE5">
        <w:t>ֆիզիկական</w:t>
      </w:r>
      <w:r w:rsidRPr="00DA0D02">
        <w:rPr>
          <w:lang w:val="es-ES"/>
        </w:rPr>
        <w:t xml:space="preserve"> </w:t>
      </w:r>
      <w:r w:rsidRPr="00F50CE5">
        <w:t>կապիտալում</w:t>
      </w:r>
      <w:r w:rsidRPr="00DA0D02">
        <w:rPr>
          <w:lang w:val="es-ES"/>
        </w:rPr>
        <w:t xml:space="preserve"> </w:t>
      </w:r>
      <w:r w:rsidRPr="00F50CE5">
        <w:t>ներդրումների</w:t>
      </w:r>
      <w:r w:rsidRPr="00DA0D02">
        <w:rPr>
          <w:lang w:val="es-ES"/>
        </w:rPr>
        <w:t xml:space="preserve">, </w:t>
      </w:r>
      <w:r w:rsidRPr="00F50CE5">
        <w:t>մասնավոր</w:t>
      </w:r>
      <w:r w:rsidRPr="00DA0D02">
        <w:rPr>
          <w:lang w:val="es-ES"/>
        </w:rPr>
        <w:t xml:space="preserve"> </w:t>
      </w:r>
      <w:r w:rsidRPr="00F50CE5">
        <w:t>ներդրումների</w:t>
      </w:r>
      <w:r w:rsidRPr="00DA0D02">
        <w:rPr>
          <w:lang w:val="es-ES"/>
        </w:rPr>
        <w:t xml:space="preserve">, </w:t>
      </w:r>
      <w:r w:rsidRPr="00F50CE5">
        <w:t>զբաղվածության</w:t>
      </w:r>
      <w:r w:rsidRPr="00DA0D02">
        <w:rPr>
          <w:lang w:val="es-ES"/>
        </w:rPr>
        <w:t xml:space="preserve"> </w:t>
      </w:r>
      <w:r w:rsidRPr="00F50CE5">
        <w:t>և</w:t>
      </w:r>
      <w:r w:rsidRPr="00DA0D02">
        <w:rPr>
          <w:lang w:val="es-ES"/>
        </w:rPr>
        <w:t xml:space="preserve"> </w:t>
      </w:r>
      <w:r w:rsidRPr="00F50CE5">
        <w:t>արտահանման</w:t>
      </w:r>
      <w:r w:rsidRPr="00DA0D02">
        <w:rPr>
          <w:lang w:val="es-ES"/>
        </w:rPr>
        <w:t xml:space="preserve"> </w:t>
      </w:r>
      <w:r w:rsidRPr="00F50CE5">
        <w:t>խթանմանն</w:t>
      </w:r>
      <w:r w:rsidRPr="00DA0D02">
        <w:rPr>
          <w:lang w:val="es-ES"/>
        </w:rPr>
        <w:t xml:space="preserve"> </w:t>
      </w:r>
      <w:r w:rsidRPr="00F50CE5">
        <w:t>ուղղված</w:t>
      </w:r>
      <w:r w:rsidRPr="00DA0D02">
        <w:rPr>
          <w:lang w:val="es-ES"/>
        </w:rPr>
        <w:t xml:space="preserve"> </w:t>
      </w:r>
      <w:r w:rsidRPr="00F50CE5">
        <w:t>ռազմավարությունների</w:t>
      </w:r>
      <w:r w:rsidRPr="00DA0D02">
        <w:rPr>
          <w:lang w:val="es-ES"/>
        </w:rPr>
        <w:t xml:space="preserve"> </w:t>
      </w:r>
      <w:r w:rsidRPr="00F50CE5">
        <w:t>արդյունավետ</w:t>
      </w:r>
      <w:r w:rsidRPr="00DA0D02">
        <w:rPr>
          <w:lang w:val="es-ES"/>
        </w:rPr>
        <w:t xml:space="preserve"> </w:t>
      </w:r>
      <w:r w:rsidRPr="00F50CE5">
        <w:t>իրականացմանը։</w:t>
      </w:r>
    </w:p>
    <w:p w14:paraId="4DADBDB3" w14:textId="77777777" w:rsidR="00DA0D02" w:rsidRPr="00DA0D02" w:rsidRDefault="00DA0D02" w:rsidP="00746426">
      <w:pPr>
        <w:numPr>
          <w:ilvl w:val="0"/>
          <w:numId w:val="40"/>
        </w:numPr>
        <w:spacing w:before="120" w:after="0" w:line="276" w:lineRule="auto"/>
        <w:ind w:left="0" w:firstLine="0"/>
        <w:rPr>
          <w:lang w:val="es-ES"/>
        </w:rPr>
      </w:pPr>
      <w:r w:rsidRPr="00F50CE5">
        <w:t>Տնտեսական</w:t>
      </w:r>
      <w:r w:rsidRPr="00DA0D02">
        <w:rPr>
          <w:lang w:val="es-ES"/>
        </w:rPr>
        <w:t xml:space="preserve"> </w:t>
      </w:r>
      <w:r w:rsidRPr="00F50CE5">
        <w:t>ակտիվության</w:t>
      </w:r>
      <w:r w:rsidRPr="00DA0D02">
        <w:rPr>
          <w:lang w:val="es-ES"/>
        </w:rPr>
        <w:t xml:space="preserve"> </w:t>
      </w:r>
      <w:r w:rsidRPr="00F50CE5">
        <w:t>աճի</w:t>
      </w:r>
      <w:r w:rsidRPr="00DA0D02">
        <w:rPr>
          <w:lang w:val="es-ES"/>
        </w:rPr>
        <w:t xml:space="preserve"> </w:t>
      </w:r>
      <w:r w:rsidRPr="00F50CE5">
        <w:t>տեմպի</w:t>
      </w:r>
      <w:r w:rsidRPr="00DA0D02">
        <w:rPr>
          <w:lang w:val="es-ES"/>
        </w:rPr>
        <w:t xml:space="preserve"> </w:t>
      </w:r>
      <w:r w:rsidRPr="00F50CE5">
        <w:t>դանդաղման</w:t>
      </w:r>
      <w:r w:rsidRPr="00DA0D02">
        <w:rPr>
          <w:lang w:val="es-ES"/>
        </w:rPr>
        <w:t xml:space="preserve"> </w:t>
      </w:r>
      <w:r w:rsidRPr="00F50CE5">
        <w:t>և</w:t>
      </w:r>
      <w:r w:rsidRPr="00DA0D02">
        <w:rPr>
          <w:lang w:val="es-ES"/>
        </w:rPr>
        <w:t xml:space="preserve"> </w:t>
      </w:r>
      <w:r w:rsidRPr="00F50CE5">
        <w:t>վերաարտահանման</w:t>
      </w:r>
      <w:r w:rsidRPr="00DA0D02">
        <w:rPr>
          <w:lang w:val="es-ES"/>
        </w:rPr>
        <w:t xml:space="preserve"> </w:t>
      </w:r>
      <w:r w:rsidRPr="00F50CE5">
        <w:t>դերի</w:t>
      </w:r>
      <w:r w:rsidRPr="00DA0D02">
        <w:rPr>
          <w:lang w:val="es-ES"/>
        </w:rPr>
        <w:t xml:space="preserve"> </w:t>
      </w:r>
      <w:r w:rsidRPr="00F50CE5">
        <w:t>որոշակի</w:t>
      </w:r>
      <w:r w:rsidRPr="00DA0D02">
        <w:rPr>
          <w:lang w:val="es-ES"/>
        </w:rPr>
        <w:t xml:space="preserve"> </w:t>
      </w:r>
      <w:r w:rsidRPr="00F50CE5">
        <w:t>նվազման</w:t>
      </w:r>
      <w:r w:rsidRPr="00DA0D02">
        <w:rPr>
          <w:lang w:val="es-ES"/>
        </w:rPr>
        <w:t xml:space="preserve"> </w:t>
      </w:r>
      <w:r w:rsidRPr="00F50CE5">
        <w:t>պայմաններում</w:t>
      </w:r>
      <w:r w:rsidRPr="00DA0D02">
        <w:rPr>
          <w:lang w:val="es-ES"/>
        </w:rPr>
        <w:t xml:space="preserve"> 2024</w:t>
      </w:r>
      <w:r w:rsidRPr="00F50CE5">
        <w:t>թ</w:t>
      </w:r>
      <w:r w:rsidRPr="00DA0D02">
        <w:rPr>
          <w:lang w:val="es-ES"/>
        </w:rPr>
        <w:t xml:space="preserve">. </w:t>
      </w:r>
      <w:r w:rsidRPr="00F50CE5">
        <w:t>սպասվում</w:t>
      </w:r>
      <w:r w:rsidRPr="00DA0D02">
        <w:rPr>
          <w:lang w:val="es-ES"/>
        </w:rPr>
        <w:t xml:space="preserve"> </w:t>
      </w:r>
      <w:r w:rsidRPr="00F50CE5">
        <w:t>է</w:t>
      </w:r>
      <w:r w:rsidRPr="00DA0D02">
        <w:rPr>
          <w:lang w:val="es-ES"/>
        </w:rPr>
        <w:t xml:space="preserve"> </w:t>
      </w:r>
      <w:r w:rsidRPr="00F50CE5">
        <w:t>արտահանման</w:t>
      </w:r>
      <w:r w:rsidRPr="00DA0D02">
        <w:rPr>
          <w:lang w:val="es-ES"/>
        </w:rPr>
        <w:t xml:space="preserve"> </w:t>
      </w:r>
      <w:r w:rsidRPr="00F50CE5">
        <w:t>և</w:t>
      </w:r>
      <w:r w:rsidRPr="00DA0D02">
        <w:rPr>
          <w:lang w:val="es-ES"/>
        </w:rPr>
        <w:t xml:space="preserve"> </w:t>
      </w:r>
      <w:r w:rsidRPr="00F50CE5">
        <w:t>ներմուծման</w:t>
      </w:r>
      <w:r w:rsidRPr="00DA0D02">
        <w:rPr>
          <w:lang w:val="es-ES"/>
        </w:rPr>
        <w:t xml:space="preserve"> </w:t>
      </w:r>
      <w:r w:rsidRPr="00F50CE5">
        <w:t>աճի</w:t>
      </w:r>
      <w:r w:rsidRPr="00DA0D02">
        <w:rPr>
          <w:lang w:val="es-ES"/>
        </w:rPr>
        <w:t xml:space="preserve"> </w:t>
      </w:r>
      <w:r w:rsidRPr="00F50CE5">
        <w:t>տեմպերի</w:t>
      </w:r>
      <w:r w:rsidRPr="00DA0D02">
        <w:rPr>
          <w:lang w:val="es-ES"/>
        </w:rPr>
        <w:t xml:space="preserve"> </w:t>
      </w:r>
      <w:r w:rsidRPr="00F50CE5">
        <w:t>զգալի</w:t>
      </w:r>
      <w:r w:rsidRPr="00DA0D02">
        <w:rPr>
          <w:lang w:val="es-ES"/>
        </w:rPr>
        <w:t xml:space="preserve"> </w:t>
      </w:r>
      <w:r w:rsidRPr="00F50CE5">
        <w:t>դանդաղում</w:t>
      </w:r>
      <w:r w:rsidRPr="00DA0D02">
        <w:rPr>
          <w:lang w:val="es-ES"/>
        </w:rPr>
        <w:t xml:space="preserve">: </w:t>
      </w:r>
      <w:r w:rsidRPr="00F50CE5">
        <w:t>Արդյունքում՝</w:t>
      </w:r>
      <w:r w:rsidRPr="00DA0D02">
        <w:rPr>
          <w:lang w:val="es-ES"/>
        </w:rPr>
        <w:t xml:space="preserve"> </w:t>
      </w:r>
      <w:r w:rsidRPr="00F50CE5">
        <w:t>առևտրային</w:t>
      </w:r>
      <w:r w:rsidRPr="00DA0D02">
        <w:rPr>
          <w:lang w:val="es-ES"/>
        </w:rPr>
        <w:t xml:space="preserve"> </w:t>
      </w:r>
      <w:r w:rsidRPr="00F50CE5">
        <w:t>բացասական</w:t>
      </w:r>
      <w:r w:rsidRPr="00DA0D02">
        <w:rPr>
          <w:lang w:val="es-ES"/>
        </w:rPr>
        <w:t xml:space="preserve"> </w:t>
      </w:r>
      <w:r w:rsidRPr="00F50CE5">
        <w:t>հաշվեկշռի</w:t>
      </w:r>
      <w:r w:rsidRPr="00DA0D02">
        <w:rPr>
          <w:lang w:val="es-ES"/>
        </w:rPr>
        <w:t xml:space="preserve"> </w:t>
      </w:r>
      <w:r w:rsidRPr="00F50CE5">
        <w:t>և</w:t>
      </w:r>
      <w:r w:rsidRPr="00DA0D02">
        <w:rPr>
          <w:lang w:val="es-ES"/>
        </w:rPr>
        <w:t xml:space="preserve"> </w:t>
      </w:r>
      <w:r w:rsidRPr="00F50CE5">
        <w:t>ծառայությունների</w:t>
      </w:r>
      <w:r w:rsidRPr="00DA0D02">
        <w:rPr>
          <w:lang w:val="es-ES"/>
        </w:rPr>
        <w:t xml:space="preserve"> </w:t>
      </w:r>
      <w:r w:rsidRPr="00F50CE5">
        <w:t>դրական</w:t>
      </w:r>
      <w:r w:rsidRPr="00DA0D02">
        <w:rPr>
          <w:lang w:val="es-ES"/>
        </w:rPr>
        <w:t xml:space="preserve"> </w:t>
      </w:r>
      <w:r w:rsidRPr="00F50CE5">
        <w:t>հաշվեկշի</w:t>
      </w:r>
      <w:r w:rsidRPr="00DA0D02">
        <w:rPr>
          <w:lang w:val="es-ES"/>
        </w:rPr>
        <w:t xml:space="preserve"> </w:t>
      </w:r>
      <w:r w:rsidRPr="00F50CE5">
        <w:t>վատթարացմամբ</w:t>
      </w:r>
      <w:r w:rsidRPr="00DA0D02">
        <w:rPr>
          <w:lang w:val="es-ES"/>
        </w:rPr>
        <w:t xml:space="preserve"> </w:t>
      </w:r>
      <w:r w:rsidRPr="00F50CE5">
        <w:t>պայմանավորված</w:t>
      </w:r>
      <w:r w:rsidRPr="00DA0D02">
        <w:rPr>
          <w:lang w:val="es-ES"/>
        </w:rPr>
        <w:t xml:space="preserve"> 2024</w:t>
      </w:r>
      <w:r w:rsidRPr="00F50CE5">
        <w:t>թ</w:t>
      </w:r>
      <w:r w:rsidRPr="00DA0D02">
        <w:rPr>
          <w:lang w:val="es-ES"/>
        </w:rPr>
        <w:t xml:space="preserve">. </w:t>
      </w:r>
      <w:r w:rsidRPr="00F50CE5">
        <w:t>ընթացիկ</w:t>
      </w:r>
      <w:r w:rsidRPr="00DA0D02">
        <w:rPr>
          <w:lang w:val="es-ES"/>
        </w:rPr>
        <w:t xml:space="preserve"> </w:t>
      </w:r>
      <w:r w:rsidRPr="00F50CE5">
        <w:t>հաշվի</w:t>
      </w:r>
      <w:r w:rsidRPr="00DA0D02">
        <w:rPr>
          <w:lang w:val="es-ES"/>
        </w:rPr>
        <w:t xml:space="preserve"> </w:t>
      </w:r>
      <w:r w:rsidRPr="00F50CE5">
        <w:t>պակասուրդը</w:t>
      </w:r>
      <w:r w:rsidRPr="00DA0D02">
        <w:rPr>
          <w:lang w:val="es-ES"/>
        </w:rPr>
        <w:t xml:space="preserve"> </w:t>
      </w:r>
      <w:r w:rsidRPr="00F50CE5">
        <w:t>ՀՆԱ</w:t>
      </w:r>
      <w:r w:rsidRPr="00DA0D02">
        <w:rPr>
          <w:lang w:val="es-ES"/>
        </w:rPr>
        <w:t>-</w:t>
      </w:r>
      <w:r w:rsidRPr="00F50CE5">
        <w:t>ում</w:t>
      </w:r>
      <w:r w:rsidRPr="00DA0D02">
        <w:rPr>
          <w:lang w:val="es-ES"/>
        </w:rPr>
        <w:t xml:space="preserve"> </w:t>
      </w:r>
      <w:r w:rsidRPr="00F50CE5">
        <w:t>կշարունակի</w:t>
      </w:r>
      <w:r w:rsidRPr="00DA0D02">
        <w:rPr>
          <w:lang w:val="es-ES"/>
        </w:rPr>
        <w:t xml:space="preserve"> </w:t>
      </w:r>
      <w:r w:rsidRPr="00F50CE5">
        <w:t>խորանալ՝</w:t>
      </w:r>
      <w:r w:rsidRPr="00DA0D02">
        <w:rPr>
          <w:lang w:val="es-ES"/>
        </w:rPr>
        <w:t xml:space="preserve"> </w:t>
      </w:r>
      <w:r w:rsidRPr="00F50CE5">
        <w:t>հասնելով</w:t>
      </w:r>
      <w:r w:rsidRPr="00DA0D02">
        <w:rPr>
          <w:lang w:val="es-ES"/>
        </w:rPr>
        <w:t xml:space="preserve"> </w:t>
      </w:r>
      <w:r w:rsidRPr="00F50CE5">
        <w:t>ՀՆԱ</w:t>
      </w:r>
      <w:r w:rsidRPr="00DA0D02">
        <w:rPr>
          <w:lang w:val="es-ES"/>
        </w:rPr>
        <w:t>-</w:t>
      </w:r>
      <w:r w:rsidRPr="00F50CE5">
        <w:t>ում</w:t>
      </w:r>
      <w:r w:rsidRPr="00DA0D02">
        <w:rPr>
          <w:lang w:val="es-ES"/>
        </w:rPr>
        <w:t xml:space="preserve"> 3.2%-</w:t>
      </w:r>
      <w:r w:rsidRPr="00F50CE5">
        <w:t>ի</w:t>
      </w:r>
      <w:r w:rsidRPr="00DA0D02">
        <w:rPr>
          <w:lang w:val="es-ES"/>
        </w:rPr>
        <w:t xml:space="preserve">: </w:t>
      </w:r>
      <w:r w:rsidRPr="00F50CE5">
        <w:t>Միջնաժամկետում</w:t>
      </w:r>
      <w:r w:rsidRPr="00DA0D02">
        <w:rPr>
          <w:lang w:val="es-ES"/>
        </w:rPr>
        <w:t>, 2022-2023</w:t>
      </w:r>
      <w:r w:rsidRPr="00F50CE5">
        <w:t>թթ</w:t>
      </w:r>
      <w:r w:rsidRPr="00DA0D02">
        <w:rPr>
          <w:lang w:val="es-ES"/>
        </w:rPr>
        <w:t xml:space="preserve">. </w:t>
      </w:r>
      <w:r w:rsidRPr="00F50CE5">
        <w:t>առաջացած</w:t>
      </w:r>
      <w:r w:rsidRPr="00DA0D02">
        <w:rPr>
          <w:lang w:val="es-ES"/>
        </w:rPr>
        <w:t xml:space="preserve"> </w:t>
      </w:r>
      <w:r w:rsidRPr="00F50CE5">
        <w:t>դրական</w:t>
      </w:r>
      <w:r w:rsidRPr="00DA0D02">
        <w:rPr>
          <w:lang w:val="es-ES"/>
        </w:rPr>
        <w:t xml:space="preserve"> </w:t>
      </w:r>
      <w:r w:rsidRPr="00F50CE5">
        <w:t>գործոնների</w:t>
      </w:r>
      <w:r w:rsidRPr="00DA0D02">
        <w:rPr>
          <w:lang w:val="es-ES"/>
        </w:rPr>
        <w:t xml:space="preserve"> </w:t>
      </w:r>
      <w:r w:rsidRPr="00F50CE5">
        <w:t>ազդեցությունների</w:t>
      </w:r>
      <w:r w:rsidRPr="00DA0D02">
        <w:rPr>
          <w:lang w:val="es-ES"/>
        </w:rPr>
        <w:t xml:space="preserve"> </w:t>
      </w:r>
      <w:r w:rsidRPr="00F50CE5">
        <w:t>աստիճանական</w:t>
      </w:r>
      <w:r w:rsidRPr="00DA0D02">
        <w:rPr>
          <w:lang w:val="es-ES"/>
        </w:rPr>
        <w:t xml:space="preserve"> </w:t>
      </w:r>
      <w:r w:rsidRPr="00F50CE5">
        <w:t>չեզոքացման</w:t>
      </w:r>
      <w:r w:rsidRPr="00DA0D02">
        <w:rPr>
          <w:lang w:val="es-ES"/>
        </w:rPr>
        <w:t xml:space="preserve"> </w:t>
      </w:r>
      <w:r w:rsidRPr="00F50CE5">
        <w:t>պայմաններում</w:t>
      </w:r>
      <w:r w:rsidRPr="00DA0D02">
        <w:rPr>
          <w:lang w:val="es-ES"/>
        </w:rPr>
        <w:t xml:space="preserve"> </w:t>
      </w:r>
      <w:r w:rsidRPr="00F50CE5">
        <w:t>ընթացիկ</w:t>
      </w:r>
      <w:r w:rsidRPr="00DA0D02">
        <w:rPr>
          <w:lang w:val="es-ES"/>
        </w:rPr>
        <w:t xml:space="preserve"> </w:t>
      </w:r>
      <w:r w:rsidRPr="00F50CE5">
        <w:t>հաշվի</w:t>
      </w:r>
      <w:r w:rsidRPr="00DA0D02">
        <w:rPr>
          <w:lang w:val="es-ES"/>
        </w:rPr>
        <w:t xml:space="preserve"> </w:t>
      </w:r>
      <w:r w:rsidRPr="00F50CE5">
        <w:t>պակասուրդը</w:t>
      </w:r>
      <w:r w:rsidRPr="00DA0D02">
        <w:rPr>
          <w:lang w:val="es-ES"/>
        </w:rPr>
        <w:t xml:space="preserve"> </w:t>
      </w:r>
      <w:r w:rsidRPr="00F50CE5">
        <w:t>կխորանա՝</w:t>
      </w:r>
      <w:r w:rsidRPr="00DA0D02">
        <w:rPr>
          <w:lang w:val="es-ES"/>
        </w:rPr>
        <w:t xml:space="preserve"> </w:t>
      </w:r>
      <w:r w:rsidRPr="00F50CE5">
        <w:t>մոտենալով</w:t>
      </w:r>
      <w:r w:rsidRPr="00DA0D02">
        <w:rPr>
          <w:lang w:val="es-ES"/>
        </w:rPr>
        <w:t xml:space="preserve"> </w:t>
      </w:r>
      <w:r w:rsidRPr="00F50CE5">
        <w:t>իր</w:t>
      </w:r>
      <w:r w:rsidRPr="00DA0D02">
        <w:rPr>
          <w:lang w:val="es-ES"/>
        </w:rPr>
        <w:t xml:space="preserve"> </w:t>
      </w:r>
      <w:r w:rsidRPr="00F50CE5">
        <w:t>երկարաժամկետ</w:t>
      </w:r>
      <w:r w:rsidRPr="00DA0D02">
        <w:rPr>
          <w:lang w:val="es-ES"/>
        </w:rPr>
        <w:t xml:space="preserve"> </w:t>
      </w:r>
      <w:r w:rsidRPr="00F50CE5">
        <w:t>հավասարակշիռ</w:t>
      </w:r>
      <w:r w:rsidRPr="00DA0D02">
        <w:rPr>
          <w:lang w:val="es-ES"/>
        </w:rPr>
        <w:t xml:space="preserve"> </w:t>
      </w:r>
      <w:r w:rsidRPr="00F50CE5">
        <w:t>մակարդակին</w:t>
      </w:r>
      <w:r w:rsidRPr="00DA0D02">
        <w:rPr>
          <w:lang w:val="es-ES"/>
        </w:rPr>
        <w:t xml:space="preserve">: </w:t>
      </w:r>
    </w:p>
    <w:p w14:paraId="1D535652" w14:textId="77777777" w:rsidR="00DA0D02" w:rsidRPr="00DA0D02" w:rsidRDefault="00DA0D02" w:rsidP="00746426">
      <w:pPr>
        <w:numPr>
          <w:ilvl w:val="0"/>
          <w:numId w:val="40"/>
        </w:numPr>
        <w:spacing w:before="120" w:after="0" w:line="276" w:lineRule="auto"/>
        <w:ind w:left="0" w:firstLine="0"/>
        <w:rPr>
          <w:lang w:val="es-ES"/>
        </w:rPr>
      </w:pPr>
      <w:r w:rsidRPr="00F50CE5">
        <w:t>Միջինաժամկետ</w:t>
      </w:r>
      <w:r w:rsidRPr="00DA0D02">
        <w:rPr>
          <w:lang w:val="es-ES"/>
        </w:rPr>
        <w:t xml:space="preserve"> </w:t>
      </w:r>
      <w:r w:rsidRPr="00F50CE5">
        <w:t>հատվածում</w:t>
      </w:r>
      <w:r w:rsidRPr="00DA0D02">
        <w:rPr>
          <w:lang w:val="es-ES"/>
        </w:rPr>
        <w:t xml:space="preserve"> </w:t>
      </w:r>
      <w:r w:rsidRPr="00F50CE5">
        <w:t>հարկաբյուջետային</w:t>
      </w:r>
      <w:r w:rsidRPr="00DA0D02">
        <w:rPr>
          <w:lang w:val="es-ES"/>
        </w:rPr>
        <w:t xml:space="preserve"> </w:t>
      </w:r>
      <w:r w:rsidRPr="00F50CE5">
        <w:t>քաղաքականությունն</w:t>
      </w:r>
      <w:r w:rsidRPr="00DA0D02">
        <w:rPr>
          <w:lang w:val="es-ES"/>
        </w:rPr>
        <w:t xml:space="preserve"> </w:t>
      </w:r>
      <w:r w:rsidRPr="00F50CE5">
        <w:t>ուղղված</w:t>
      </w:r>
      <w:r w:rsidRPr="00DA0D02">
        <w:rPr>
          <w:lang w:val="es-ES"/>
        </w:rPr>
        <w:t xml:space="preserve"> </w:t>
      </w:r>
      <w:r w:rsidRPr="00F50CE5">
        <w:t>կլինի</w:t>
      </w:r>
      <w:r w:rsidRPr="00DA0D02">
        <w:rPr>
          <w:lang w:val="es-ES"/>
        </w:rPr>
        <w:t xml:space="preserve"> </w:t>
      </w:r>
      <w:r w:rsidRPr="00F50CE5">
        <w:t>կառուցվածքային</w:t>
      </w:r>
      <w:r w:rsidRPr="00DA0D02">
        <w:rPr>
          <w:lang w:val="es-ES"/>
        </w:rPr>
        <w:t xml:space="preserve"> </w:t>
      </w:r>
      <w:r w:rsidRPr="00F50CE5">
        <w:t>բարեփոխումների</w:t>
      </w:r>
      <w:r w:rsidRPr="00DA0D02">
        <w:rPr>
          <w:lang w:val="es-ES"/>
        </w:rPr>
        <w:t xml:space="preserve"> </w:t>
      </w:r>
      <w:r w:rsidRPr="00F50CE5">
        <w:t>սահուն</w:t>
      </w:r>
      <w:r w:rsidRPr="00DA0D02">
        <w:rPr>
          <w:lang w:val="es-ES"/>
        </w:rPr>
        <w:t xml:space="preserve"> </w:t>
      </w:r>
      <w:r w:rsidRPr="00F50CE5">
        <w:t>ընթացքը</w:t>
      </w:r>
      <w:r w:rsidRPr="00DA0D02">
        <w:rPr>
          <w:lang w:val="es-ES"/>
        </w:rPr>
        <w:t xml:space="preserve"> </w:t>
      </w:r>
      <w:r w:rsidRPr="00F50CE5">
        <w:t>երաշխավորելու</w:t>
      </w:r>
      <w:r w:rsidRPr="00DA0D02">
        <w:rPr>
          <w:lang w:val="es-ES"/>
        </w:rPr>
        <w:t xml:space="preserve"> </w:t>
      </w:r>
      <w:r w:rsidRPr="00F50CE5">
        <w:t>և</w:t>
      </w:r>
      <w:r w:rsidRPr="00DA0D02">
        <w:rPr>
          <w:lang w:val="es-ES"/>
        </w:rPr>
        <w:t xml:space="preserve"> </w:t>
      </w:r>
      <w:r w:rsidRPr="00F50CE5">
        <w:t>ֆիզիկական</w:t>
      </w:r>
      <w:r w:rsidRPr="00DA0D02">
        <w:rPr>
          <w:lang w:val="es-ES"/>
        </w:rPr>
        <w:t xml:space="preserve"> </w:t>
      </w:r>
      <w:r w:rsidRPr="00F50CE5">
        <w:t>ու</w:t>
      </w:r>
      <w:r w:rsidRPr="00DA0D02">
        <w:rPr>
          <w:lang w:val="es-ES"/>
        </w:rPr>
        <w:t xml:space="preserve"> </w:t>
      </w:r>
      <w:r w:rsidRPr="00F50CE5">
        <w:t>մարդկային</w:t>
      </w:r>
      <w:r w:rsidRPr="00DA0D02">
        <w:rPr>
          <w:lang w:val="es-ES"/>
        </w:rPr>
        <w:t xml:space="preserve"> </w:t>
      </w:r>
      <w:r w:rsidRPr="00F50CE5">
        <w:t>կապիտալում</w:t>
      </w:r>
      <w:r w:rsidRPr="00DA0D02">
        <w:rPr>
          <w:lang w:val="es-ES"/>
        </w:rPr>
        <w:t xml:space="preserve"> </w:t>
      </w:r>
      <w:r w:rsidRPr="00F50CE5">
        <w:t>ներդրումների</w:t>
      </w:r>
      <w:r w:rsidRPr="00DA0D02">
        <w:rPr>
          <w:lang w:val="es-ES"/>
        </w:rPr>
        <w:t xml:space="preserve"> </w:t>
      </w:r>
      <w:r w:rsidRPr="00F50CE5">
        <w:t>մակարդակի</w:t>
      </w:r>
      <w:r w:rsidRPr="00DA0D02">
        <w:rPr>
          <w:lang w:val="es-ES"/>
        </w:rPr>
        <w:t xml:space="preserve"> </w:t>
      </w:r>
      <w:r w:rsidRPr="00F50CE5">
        <w:t>էական</w:t>
      </w:r>
      <w:r w:rsidRPr="00DA0D02">
        <w:rPr>
          <w:lang w:val="es-ES"/>
        </w:rPr>
        <w:t xml:space="preserve"> </w:t>
      </w:r>
      <w:r w:rsidRPr="00F50CE5">
        <w:t>բարձրացման</w:t>
      </w:r>
      <w:r w:rsidRPr="00DA0D02">
        <w:rPr>
          <w:lang w:val="es-ES"/>
        </w:rPr>
        <w:t xml:space="preserve"> </w:t>
      </w:r>
      <w:r w:rsidRPr="00F50CE5">
        <w:t>միջոցով</w:t>
      </w:r>
      <w:r w:rsidRPr="00DA0D02">
        <w:rPr>
          <w:lang w:val="es-ES"/>
        </w:rPr>
        <w:t xml:space="preserve"> </w:t>
      </w:r>
      <w:r w:rsidRPr="00F50CE5">
        <w:t>տնտեսության</w:t>
      </w:r>
      <w:r w:rsidRPr="00DA0D02">
        <w:rPr>
          <w:lang w:val="es-ES"/>
        </w:rPr>
        <w:t xml:space="preserve"> </w:t>
      </w:r>
      <w:r w:rsidRPr="00F50CE5">
        <w:t>դիմակայունության</w:t>
      </w:r>
      <w:r w:rsidRPr="00DA0D02">
        <w:rPr>
          <w:lang w:val="es-ES"/>
        </w:rPr>
        <w:t xml:space="preserve"> </w:t>
      </w:r>
      <w:r w:rsidRPr="00F50CE5">
        <w:t>ամրապնդմանն</w:t>
      </w:r>
      <w:r w:rsidRPr="00DA0D02">
        <w:rPr>
          <w:lang w:val="es-ES"/>
        </w:rPr>
        <w:t xml:space="preserve"> </w:t>
      </w:r>
      <w:r w:rsidRPr="00F50CE5">
        <w:t>ու</w:t>
      </w:r>
      <w:r w:rsidRPr="00DA0D02">
        <w:rPr>
          <w:lang w:val="es-ES"/>
        </w:rPr>
        <w:t xml:space="preserve"> </w:t>
      </w:r>
      <w:r w:rsidRPr="00F50CE5">
        <w:t>աճի</w:t>
      </w:r>
      <w:r w:rsidRPr="00DA0D02">
        <w:rPr>
          <w:lang w:val="es-ES"/>
        </w:rPr>
        <w:t xml:space="preserve"> </w:t>
      </w:r>
      <w:r w:rsidRPr="00F50CE5">
        <w:t>ներուժի</w:t>
      </w:r>
      <w:r w:rsidRPr="00DA0D02">
        <w:rPr>
          <w:lang w:val="es-ES"/>
        </w:rPr>
        <w:t xml:space="preserve"> </w:t>
      </w:r>
      <w:r w:rsidRPr="00F50CE5">
        <w:t>բարձրացմանը։</w:t>
      </w:r>
      <w:r w:rsidRPr="00DA0D02">
        <w:rPr>
          <w:lang w:val="es-ES"/>
        </w:rPr>
        <w:t xml:space="preserve"> </w:t>
      </w:r>
      <w:r w:rsidRPr="00F50CE5">
        <w:t>Ընդ</w:t>
      </w:r>
      <w:r w:rsidRPr="00DA0D02">
        <w:rPr>
          <w:lang w:val="es-ES"/>
        </w:rPr>
        <w:t xml:space="preserve"> </w:t>
      </w:r>
      <w:r w:rsidRPr="00F50CE5">
        <w:t>որում</w:t>
      </w:r>
      <w:r w:rsidRPr="00DA0D02">
        <w:rPr>
          <w:lang w:val="es-ES"/>
        </w:rPr>
        <w:t xml:space="preserve">, </w:t>
      </w:r>
      <w:r w:rsidRPr="00F50CE5">
        <w:t>այն</w:t>
      </w:r>
      <w:r w:rsidRPr="00DA0D02">
        <w:rPr>
          <w:lang w:val="es-ES"/>
        </w:rPr>
        <w:t xml:space="preserve"> </w:t>
      </w:r>
      <w:r w:rsidRPr="00F50CE5">
        <w:t>իրականացվում</w:t>
      </w:r>
      <w:r w:rsidRPr="00DA0D02">
        <w:rPr>
          <w:lang w:val="es-ES"/>
        </w:rPr>
        <w:t xml:space="preserve"> </w:t>
      </w:r>
      <w:r w:rsidRPr="00F50CE5">
        <w:t>է</w:t>
      </w:r>
      <w:r w:rsidRPr="00DA0D02">
        <w:rPr>
          <w:lang w:val="es-ES"/>
        </w:rPr>
        <w:t xml:space="preserve"> </w:t>
      </w:r>
      <w:r w:rsidRPr="00F50CE5">
        <w:t>նշված</w:t>
      </w:r>
      <w:r w:rsidRPr="00DA0D02">
        <w:rPr>
          <w:lang w:val="es-ES"/>
        </w:rPr>
        <w:t xml:space="preserve"> </w:t>
      </w:r>
      <w:r w:rsidRPr="00F50CE5">
        <w:t>բարեփոխումների</w:t>
      </w:r>
      <w:r w:rsidRPr="00DA0D02">
        <w:rPr>
          <w:lang w:val="es-ES"/>
        </w:rPr>
        <w:t xml:space="preserve"> </w:t>
      </w:r>
      <w:r w:rsidRPr="00F50CE5">
        <w:t>համար</w:t>
      </w:r>
      <w:r w:rsidRPr="00DA0D02">
        <w:rPr>
          <w:lang w:val="es-ES"/>
        </w:rPr>
        <w:t xml:space="preserve"> </w:t>
      </w:r>
      <w:r w:rsidRPr="00F50CE5">
        <w:t>միջնաժամկետի</w:t>
      </w:r>
      <w:r w:rsidRPr="00DA0D02">
        <w:rPr>
          <w:lang w:val="es-ES"/>
        </w:rPr>
        <w:t xml:space="preserve"> </w:t>
      </w:r>
      <w:r w:rsidRPr="00F50CE5">
        <w:t>սկզբում</w:t>
      </w:r>
      <w:r w:rsidRPr="00DA0D02">
        <w:rPr>
          <w:lang w:val="es-ES"/>
        </w:rPr>
        <w:t xml:space="preserve"> «</w:t>
      </w:r>
      <w:r w:rsidRPr="00F50CE5">
        <w:t>առաջ</w:t>
      </w:r>
      <w:r w:rsidRPr="00DA0D02">
        <w:rPr>
          <w:lang w:val="es-ES"/>
        </w:rPr>
        <w:t xml:space="preserve"> </w:t>
      </w:r>
      <w:r w:rsidRPr="00F50CE5">
        <w:t>ընկած</w:t>
      </w:r>
      <w:r w:rsidRPr="00DA0D02">
        <w:rPr>
          <w:lang w:val="es-ES"/>
        </w:rPr>
        <w:t xml:space="preserve">» </w:t>
      </w:r>
      <w:r w:rsidRPr="00F50CE5">
        <w:t>ռեսուրսների</w:t>
      </w:r>
      <w:r w:rsidRPr="00DA0D02">
        <w:rPr>
          <w:lang w:val="es-ES"/>
        </w:rPr>
        <w:t xml:space="preserve"> </w:t>
      </w:r>
      <w:r w:rsidRPr="00F50CE5">
        <w:t>ձևավորման</w:t>
      </w:r>
      <w:r w:rsidRPr="00DA0D02">
        <w:rPr>
          <w:lang w:val="es-ES"/>
        </w:rPr>
        <w:t xml:space="preserve"> </w:t>
      </w:r>
      <w:r w:rsidRPr="00F50CE5">
        <w:t>ճանապարհով</w:t>
      </w:r>
      <w:r w:rsidRPr="00DA0D02">
        <w:rPr>
          <w:lang w:val="es-ES"/>
        </w:rPr>
        <w:t xml:space="preserve">, </w:t>
      </w:r>
      <w:r w:rsidRPr="00F50CE5">
        <w:t>ինչի</w:t>
      </w:r>
      <w:r w:rsidRPr="00DA0D02">
        <w:rPr>
          <w:lang w:val="es-ES"/>
        </w:rPr>
        <w:t xml:space="preserve"> </w:t>
      </w:r>
      <w:r w:rsidRPr="00F50CE5">
        <w:t>արդյունքում</w:t>
      </w:r>
      <w:r w:rsidRPr="00DA0D02">
        <w:rPr>
          <w:lang w:val="es-ES"/>
        </w:rPr>
        <w:t xml:space="preserve"> </w:t>
      </w:r>
      <w:r w:rsidRPr="00F50CE5">
        <w:t>բյուջեի</w:t>
      </w:r>
      <w:r w:rsidRPr="00DA0D02">
        <w:rPr>
          <w:lang w:val="es-ES"/>
        </w:rPr>
        <w:t xml:space="preserve"> </w:t>
      </w:r>
      <w:r w:rsidRPr="00F50CE5">
        <w:t>պակասուրդը</w:t>
      </w:r>
      <w:r w:rsidRPr="00DA0D02">
        <w:rPr>
          <w:lang w:val="es-ES"/>
        </w:rPr>
        <w:t xml:space="preserve"> 2024-2025 </w:t>
      </w:r>
      <w:r w:rsidRPr="00F50CE5">
        <w:t>թթ</w:t>
      </w:r>
      <w:r w:rsidRPr="00DA0D02">
        <w:rPr>
          <w:rFonts w:ascii="Cambria Math" w:hAnsi="Cambria Math" w:cs="Cambria Math"/>
          <w:lang w:val="es-ES"/>
        </w:rPr>
        <w:t>․</w:t>
      </w:r>
      <w:r w:rsidRPr="00DA0D02">
        <w:rPr>
          <w:lang w:val="es-ES"/>
        </w:rPr>
        <w:t>-</w:t>
      </w:r>
      <w:r w:rsidRPr="00F50CE5">
        <w:t>ին</w:t>
      </w:r>
      <w:r w:rsidRPr="00DA0D02">
        <w:rPr>
          <w:lang w:val="es-ES"/>
        </w:rPr>
        <w:t xml:space="preserve"> </w:t>
      </w:r>
      <w:r w:rsidRPr="00F50CE5">
        <w:t>կաճի՝</w:t>
      </w:r>
      <w:r w:rsidRPr="00DA0D02">
        <w:rPr>
          <w:lang w:val="es-ES"/>
        </w:rPr>
        <w:t xml:space="preserve"> </w:t>
      </w:r>
      <w:r w:rsidRPr="00F50CE5">
        <w:t>հանգեցնելով</w:t>
      </w:r>
      <w:r w:rsidRPr="00DA0D02">
        <w:rPr>
          <w:lang w:val="es-ES"/>
        </w:rPr>
        <w:t xml:space="preserve"> </w:t>
      </w:r>
      <w:r w:rsidRPr="00F50CE5">
        <w:t>կառավարության</w:t>
      </w:r>
      <w:r w:rsidRPr="00DA0D02">
        <w:rPr>
          <w:lang w:val="es-ES"/>
        </w:rPr>
        <w:t xml:space="preserve"> </w:t>
      </w:r>
      <w:r w:rsidRPr="00F50CE5">
        <w:t>պարտքի</w:t>
      </w:r>
      <w:r w:rsidRPr="00DA0D02">
        <w:rPr>
          <w:lang w:val="es-ES"/>
        </w:rPr>
        <w:t xml:space="preserve"> </w:t>
      </w:r>
      <w:r w:rsidRPr="00F50CE5">
        <w:t>բեռի</w:t>
      </w:r>
      <w:r w:rsidRPr="00DA0D02">
        <w:rPr>
          <w:lang w:val="es-ES"/>
        </w:rPr>
        <w:t xml:space="preserve"> </w:t>
      </w:r>
      <w:r w:rsidRPr="00F50CE5">
        <w:t>որոշակի</w:t>
      </w:r>
      <w:r w:rsidRPr="00DA0D02">
        <w:rPr>
          <w:lang w:val="es-ES"/>
        </w:rPr>
        <w:t xml:space="preserve"> </w:t>
      </w:r>
      <w:r w:rsidRPr="00F50CE5">
        <w:t>մեծացմանը</w:t>
      </w:r>
      <w:r w:rsidRPr="00DA0D02">
        <w:rPr>
          <w:lang w:val="es-ES"/>
        </w:rPr>
        <w:t xml:space="preserve">, </w:t>
      </w:r>
      <w:r w:rsidRPr="00F50CE5">
        <w:t>որից</w:t>
      </w:r>
      <w:r w:rsidRPr="00DA0D02">
        <w:rPr>
          <w:lang w:val="es-ES"/>
        </w:rPr>
        <w:t xml:space="preserve"> </w:t>
      </w:r>
      <w:r w:rsidRPr="00F50CE5">
        <w:t>հետո</w:t>
      </w:r>
      <w:r w:rsidRPr="00DA0D02">
        <w:rPr>
          <w:lang w:val="es-ES"/>
        </w:rPr>
        <w:t xml:space="preserve"> </w:t>
      </w:r>
      <w:r w:rsidRPr="00F50CE5">
        <w:t>տեղի</w:t>
      </w:r>
      <w:r w:rsidRPr="00DA0D02">
        <w:rPr>
          <w:lang w:val="es-ES"/>
        </w:rPr>
        <w:t xml:space="preserve"> </w:t>
      </w:r>
      <w:r w:rsidRPr="00F50CE5">
        <w:t>կունենա</w:t>
      </w:r>
      <w:r w:rsidRPr="00DA0D02">
        <w:rPr>
          <w:lang w:val="es-ES"/>
        </w:rPr>
        <w:t xml:space="preserve"> </w:t>
      </w:r>
      <w:r w:rsidRPr="00F50CE5">
        <w:t>հարկաբյուջետային</w:t>
      </w:r>
      <w:r w:rsidRPr="00DA0D02">
        <w:rPr>
          <w:lang w:val="es-ES"/>
        </w:rPr>
        <w:t xml:space="preserve"> </w:t>
      </w:r>
      <w:r w:rsidRPr="00F50CE5">
        <w:t>կոնսոլիդացիա</w:t>
      </w:r>
      <w:r w:rsidRPr="00DA0D02">
        <w:rPr>
          <w:lang w:val="es-ES"/>
        </w:rPr>
        <w:t xml:space="preserve">, </w:t>
      </w:r>
      <w:r w:rsidRPr="00F50CE5">
        <w:t>որով</w:t>
      </w:r>
      <w:r w:rsidRPr="00DA0D02">
        <w:rPr>
          <w:lang w:val="es-ES"/>
        </w:rPr>
        <w:t xml:space="preserve"> </w:t>
      </w:r>
      <w:r w:rsidRPr="00F50CE5">
        <w:t>պարտքի</w:t>
      </w:r>
      <w:r w:rsidRPr="00DA0D02">
        <w:rPr>
          <w:lang w:val="es-ES"/>
        </w:rPr>
        <w:t xml:space="preserve"> </w:t>
      </w:r>
      <w:r w:rsidRPr="00F50CE5">
        <w:t>բեռը</w:t>
      </w:r>
      <w:r w:rsidRPr="00DA0D02">
        <w:rPr>
          <w:lang w:val="es-ES"/>
        </w:rPr>
        <w:t xml:space="preserve"> 2026-2027 </w:t>
      </w:r>
      <w:r w:rsidRPr="00F50CE5">
        <w:t>թվականներին</w:t>
      </w:r>
      <w:r w:rsidRPr="00DA0D02">
        <w:rPr>
          <w:lang w:val="es-ES"/>
        </w:rPr>
        <w:t xml:space="preserve"> </w:t>
      </w:r>
      <w:r w:rsidRPr="00F50CE5">
        <w:t>կկայունանա</w:t>
      </w:r>
      <w:r w:rsidRPr="00DA0D02">
        <w:rPr>
          <w:lang w:val="es-ES"/>
        </w:rPr>
        <w:t xml:space="preserve"> 55%-</w:t>
      </w:r>
      <w:r w:rsidRPr="00F50CE5">
        <w:t>ի</w:t>
      </w:r>
      <w:r w:rsidRPr="00DA0D02">
        <w:rPr>
          <w:lang w:val="es-ES"/>
        </w:rPr>
        <w:t xml:space="preserve"> </w:t>
      </w:r>
      <w:r w:rsidRPr="00F50CE5">
        <w:t>մակարդակում։</w:t>
      </w:r>
      <w:r w:rsidRPr="00DA0D02">
        <w:rPr>
          <w:lang w:val="es-ES"/>
        </w:rPr>
        <w:t xml:space="preserve"> </w:t>
      </w:r>
      <w:r w:rsidRPr="00F50CE5">
        <w:t>Ընդ</w:t>
      </w:r>
      <w:r w:rsidRPr="00DA0D02">
        <w:rPr>
          <w:lang w:val="es-ES"/>
        </w:rPr>
        <w:t xml:space="preserve"> </w:t>
      </w:r>
      <w:r w:rsidRPr="00F50CE5">
        <w:t>որում</w:t>
      </w:r>
      <w:r w:rsidRPr="00DA0D02">
        <w:rPr>
          <w:lang w:val="es-ES"/>
        </w:rPr>
        <w:t xml:space="preserve">, </w:t>
      </w:r>
      <w:r w:rsidRPr="00F50CE5">
        <w:t>տնտեսական</w:t>
      </w:r>
      <w:r w:rsidRPr="00DA0D02">
        <w:rPr>
          <w:lang w:val="es-ES"/>
        </w:rPr>
        <w:t xml:space="preserve"> </w:t>
      </w:r>
      <w:r w:rsidRPr="00F50CE5">
        <w:t>աճի՝</w:t>
      </w:r>
      <w:r w:rsidRPr="00DA0D02">
        <w:rPr>
          <w:lang w:val="es-ES"/>
        </w:rPr>
        <w:t xml:space="preserve"> </w:t>
      </w:r>
      <w:r w:rsidRPr="00F50CE5">
        <w:t>իր</w:t>
      </w:r>
      <w:r w:rsidRPr="00DA0D02">
        <w:rPr>
          <w:lang w:val="es-ES"/>
        </w:rPr>
        <w:t xml:space="preserve"> </w:t>
      </w:r>
      <w:r w:rsidRPr="00F50CE5">
        <w:t>ներուժային</w:t>
      </w:r>
      <w:r w:rsidRPr="00DA0D02">
        <w:rPr>
          <w:lang w:val="es-ES"/>
        </w:rPr>
        <w:t xml:space="preserve"> </w:t>
      </w:r>
      <w:r w:rsidRPr="00F50CE5">
        <w:t>մակարդակին</w:t>
      </w:r>
      <w:r w:rsidRPr="00DA0D02">
        <w:rPr>
          <w:lang w:val="es-ES"/>
        </w:rPr>
        <w:t xml:space="preserve"> </w:t>
      </w:r>
      <w:r w:rsidRPr="00F50CE5">
        <w:t>մոտենալու</w:t>
      </w:r>
      <w:r w:rsidRPr="00DA0D02">
        <w:rPr>
          <w:lang w:val="es-ES"/>
        </w:rPr>
        <w:t xml:space="preserve"> </w:t>
      </w:r>
      <w:r w:rsidRPr="00F50CE5">
        <w:t>պայմաններում</w:t>
      </w:r>
      <w:r w:rsidRPr="00DA0D02">
        <w:rPr>
          <w:lang w:val="es-ES"/>
        </w:rPr>
        <w:t xml:space="preserve"> </w:t>
      </w:r>
      <w:r w:rsidRPr="00F50CE5">
        <w:t>հարկաբյուջետային</w:t>
      </w:r>
      <w:r w:rsidRPr="00DA0D02">
        <w:rPr>
          <w:lang w:val="es-ES"/>
        </w:rPr>
        <w:t xml:space="preserve"> </w:t>
      </w:r>
      <w:r w:rsidRPr="00F50CE5">
        <w:t>քաղաքականությունը</w:t>
      </w:r>
      <w:r w:rsidRPr="00DA0D02">
        <w:rPr>
          <w:lang w:val="es-ES"/>
        </w:rPr>
        <w:t xml:space="preserve"> </w:t>
      </w:r>
      <w:r w:rsidRPr="00F50CE5">
        <w:t>ամբողջական</w:t>
      </w:r>
      <w:r w:rsidRPr="00DA0D02">
        <w:rPr>
          <w:lang w:val="es-ES"/>
        </w:rPr>
        <w:t xml:space="preserve"> </w:t>
      </w:r>
      <w:r w:rsidRPr="00F50CE5">
        <w:t>պահանջարկի</w:t>
      </w:r>
      <w:r w:rsidRPr="00DA0D02">
        <w:rPr>
          <w:lang w:val="es-ES"/>
        </w:rPr>
        <w:t xml:space="preserve"> </w:t>
      </w:r>
      <w:r w:rsidRPr="00F50CE5">
        <w:t>վրա</w:t>
      </w:r>
      <w:r w:rsidRPr="00DA0D02">
        <w:rPr>
          <w:lang w:val="es-ES"/>
        </w:rPr>
        <w:t xml:space="preserve"> </w:t>
      </w:r>
      <w:r w:rsidRPr="00F50CE5">
        <w:t>կունենա</w:t>
      </w:r>
      <w:r w:rsidRPr="00DA0D02">
        <w:rPr>
          <w:lang w:val="es-ES"/>
        </w:rPr>
        <w:t xml:space="preserve"> </w:t>
      </w:r>
      <w:r w:rsidRPr="00F50CE5">
        <w:t>չեզոք</w:t>
      </w:r>
      <w:r w:rsidRPr="00DA0D02">
        <w:rPr>
          <w:lang w:val="es-ES"/>
        </w:rPr>
        <w:t xml:space="preserve"> </w:t>
      </w:r>
      <w:r w:rsidRPr="00F50CE5">
        <w:t>ազդեցություն։</w:t>
      </w:r>
      <w:r w:rsidRPr="00DA0D02">
        <w:rPr>
          <w:lang w:val="es-ES"/>
        </w:rPr>
        <w:t xml:space="preserve"> </w:t>
      </w:r>
      <w:r w:rsidRPr="00F50CE5">
        <w:t>Միաժամանակ</w:t>
      </w:r>
      <w:r w:rsidRPr="00DA0D02">
        <w:rPr>
          <w:lang w:val="es-ES"/>
        </w:rPr>
        <w:t xml:space="preserve"> </w:t>
      </w:r>
      <w:r w:rsidRPr="00F50CE5">
        <w:t>հարկաբյուջետային</w:t>
      </w:r>
      <w:r w:rsidRPr="00DA0D02">
        <w:rPr>
          <w:lang w:val="es-ES"/>
        </w:rPr>
        <w:t xml:space="preserve"> </w:t>
      </w:r>
      <w:r w:rsidRPr="00F50CE5">
        <w:t>քաղաքականության</w:t>
      </w:r>
      <w:r w:rsidRPr="00DA0D02">
        <w:rPr>
          <w:lang w:val="es-ES"/>
        </w:rPr>
        <w:t xml:space="preserve"> </w:t>
      </w:r>
      <w:r w:rsidRPr="00F50CE5">
        <w:t>համար</w:t>
      </w:r>
      <w:r w:rsidRPr="00DA0D02">
        <w:rPr>
          <w:lang w:val="es-ES"/>
        </w:rPr>
        <w:t xml:space="preserve"> </w:t>
      </w:r>
      <w:r w:rsidRPr="00F50CE5">
        <w:t>առաջնահերթ</w:t>
      </w:r>
      <w:r w:rsidRPr="00DA0D02">
        <w:rPr>
          <w:lang w:val="es-ES"/>
        </w:rPr>
        <w:t xml:space="preserve"> </w:t>
      </w:r>
      <w:r w:rsidRPr="00F50CE5">
        <w:t>է</w:t>
      </w:r>
      <w:r w:rsidRPr="00DA0D02">
        <w:rPr>
          <w:lang w:val="es-ES"/>
        </w:rPr>
        <w:t xml:space="preserve"> </w:t>
      </w:r>
      <w:r w:rsidRPr="00F50CE5">
        <w:t>առկա</w:t>
      </w:r>
      <w:r w:rsidRPr="00DA0D02">
        <w:rPr>
          <w:lang w:val="es-ES"/>
        </w:rPr>
        <w:t xml:space="preserve"> </w:t>
      </w:r>
      <w:r w:rsidRPr="00F50CE5">
        <w:t>ռեսուրսների</w:t>
      </w:r>
      <w:r w:rsidRPr="00DA0D02">
        <w:rPr>
          <w:lang w:val="es-ES"/>
        </w:rPr>
        <w:t xml:space="preserve"> </w:t>
      </w:r>
      <w:r w:rsidRPr="00F50CE5">
        <w:t>առավել</w:t>
      </w:r>
      <w:r w:rsidRPr="00DA0D02">
        <w:rPr>
          <w:lang w:val="es-ES"/>
        </w:rPr>
        <w:t xml:space="preserve"> </w:t>
      </w:r>
      <w:r w:rsidRPr="00F50CE5">
        <w:t>արդյունավետ</w:t>
      </w:r>
      <w:r w:rsidRPr="00DA0D02">
        <w:rPr>
          <w:lang w:val="es-ES"/>
        </w:rPr>
        <w:t xml:space="preserve"> </w:t>
      </w:r>
      <w:r w:rsidRPr="00F50CE5">
        <w:t>օգտագործումը</w:t>
      </w:r>
      <w:r w:rsidRPr="00DA0D02">
        <w:rPr>
          <w:lang w:val="es-ES"/>
        </w:rPr>
        <w:t xml:space="preserve"> </w:t>
      </w:r>
      <w:r w:rsidRPr="00F50CE5">
        <w:t>և</w:t>
      </w:r>
      <w:r w:rsidRPr="00DA0D02">
        <w:rPr>
          <w:lang w:val="es-ES"/>
        </w:rPr>
        <w:t xml:space="preserve"> </w:t>
      </w:r>
      <w:r w:rsidRPr="00F50CE5">
        <w:t>հնարավոր</w:t>
      </w:r>
      <w:r w:rsidRPr="00DA0D02">
        <w:rPr>
          <w:lang w:val="es-ES"/>
        </w:rPr>
        <w:t xml:space="preserve"> </w:t>
      </w:r>
      <w:r w:rsidRPr="00F50CE5">
        <w:t>ռիսկերի</w:t>
      </w:r>
      <w:r w:rsidRPr="00DA0D02">
        <w:rPr>
          <w:lang w:val="es-ES"/>
        </w:rPr>
        <w:t xml:space="preserve"> </w:t>
      </w:r>
      <w:r w:rsidRPr="00F50CE5">
        <w:t>կառավարման</w:t>
      </w:r>
      <w:r w:rsidRPr="00DA0D02">
        <w:rPr>
          <w:lang w:val="es-ES"/>
        </w:rPr>
        <w:t xml:space="preserve"> </w:t>
      </w:r>
      <w:r w:rsidRPr="00F50CE5">
        <w:t>կարողությունների</w:t>
      </w:r>
      <w:r w:rsidRPr="00DA0D02">
        <w:rPr>
          <w:lang w:val="es-ES"/>
        </w:rPr>
        <w:t xml:space="preserve"> </w:t>
      </w:r>
      <w:r w:rsidRPr="00F50CE5">
        <w:t>ձևավորումը</w:t>
      </w:r>
      <w:r w:rsidRPr="00DA0D02">
        <w:rPr>
          <w:lang w:val="es-ES"/>
        </w:rPr>
        <w:t xml:space="preserve">, </w:t>
      </w:r>
      <w:r w:rsidRPr="00F50CE5">
        <w:t>ինչը</w:t>
      </w:r>
      <w:r w:rsidRPr="00DA0D02">
        <w:rPr>
          <w:lang w:val="es-ES"/>
        </w:rPr>
        <w:t xml:space="preserve">, </w:t>
      </w:r>
      <w:r w:rsidRPr="00F50CE5">
        <w:t>աճի</w:t>
      </w:r>
      <w:r w:rsidRPr="00DA0D02">
        <w:rPr>
          <w:lang w:val="es-ES"/>
        </w:rPr>
        <w:t xml:space="preserve"> </w:t>
      </w:r>
      <w:r w:rsidRPr="00F50CE5">
        <w:t>ներուժի</w:t>
      </w:r>
      <w:r w:rsidRPr="00DA0D02">
        <w:rPr>
          <w:lang w:val="es-ES"/>
        </w:rPr>
        <w:t xml:space="preserve"> </w:t>
      </w:r>
      <w:r w:rsidRPr="00F50CE5">
        <w:t>բարձրացման</w:t>
      </w:r>
      <w:r w:rsidRPr="00DA0D02">
        <w:rPr>
          <w:lang w:val="es-ES"/>
        </w:rPr>
        <w:t xml:space="preserve"> </w:t>
      </w:r>
      <w:r w:rsidRPr="00F50CE5">
        <w:t>հետ</w:t>
      </w:r>
      <w:r w:rsidRPr="00DA0D02">
        <w:rPr>
          <w:lang w:val="es-ES"/>
        </w:rPr>
        <w:t xml:space="preserve">, </w:t>
      </w:r>
      <w:r w:rsidRPr="00F50CE5">
        <w:t>պետք</w:t>
      </w:r>
      <w:r w:rsidRPr="00DA0D02">
        <w:rPr>
          <w:lang w:val="es-ES"/>
        </w:rPr>
        <w:t xml:space="preserve"> </w:t>
      </w:r>
      <w:r w:rsidRPr="00F50CE5">
        <w:t>է</w:t>
      </w:r>
      <w:r w:rsidRPr="00DA0D02">
        <w:rPr>
          <w:lang w:val="es-ES"/>
        </w:rPr>
        <w:t xml:space="preserve"> </w:t>
      </w:r>
      <w:r w:rsidRPr="00F50CE5">
        <w:t>երաշխավորի</w:t>
      </w:r>
      <w:r w:rsidRPr="00DA0D02">
        <w:rPr>
          <w:lang w:val="es-ES"/>
        </w:rPr>
        <w:t xml:space="preserve"> </w:t>
      </w:r>
      <w:r w:rsidRPr="00F50CE5">
        <w:t>հարկաբյուջետային</w:t>
      </w:r>
      <w:r w:rsidRPr="00DA0D02">
        <w:rPr>
          <w:lang w:val="es-ES"/>
        </w:rPr>
        <w:t xml:space="preserve"> </w:t>
      </w:r>
      <w:r w:rsidRPr="00F50CE5">
        <w:t>կայունությունը</w:t>
      </w:r>
      <w:r w:rsidRPr="00DA0D02">
        <w:rPr>
          <w:lang w:val="es-ES"/>
        </w:rPr>
        <w:t xml:space="preserve"> </w:t>
      </w:r>
      <w:r w:rsidRPr="00F50CE5">
        <w:t>երկարաժամկետում։</w:t>
      </w:r>
      <w:r w:rsidRPr="00DA0D02">
        <w:rPr>
          <w:lang w:val="es-ES"/>
        </w:rPr>
        <w:t xml:space="preserve"> </w:t>
      </w:r>
    </w:p>
    <w:p w14:paraId="2123368C" w14:textId="77777777" w:rsidR="00DA0D02" w:rsidRPr="00DA0D02" w:rsidRDefault="00DA0D02" w:rsidP="00746426">
      <w:pPr>
        <w:numPr>
          <w:ilvl w:val="0"/>
          <w:numId w:val="40"/>
        </w:numPr>
        <w:spacing w:before="120" w:after="0" w:line="276" w:lineRule="auto"/>
        <w:ind w:left="0" w:firstLine="0"/>
        <w:rPr>
          <w:lang w:val="es-ES"/>
        </w:rPr>
      </w:pPr>
      <w:r w:rsidRPr="00DA0D02">
        <w:rPr>
          <w:lang w:val="es-ES"/>
        </w:rPr>
        <w:t>2023</w:t>
      </w:r>
      <w:r w:rsidRPr="00F50CE5">
        <w:t>թ</w:t>
      </w:r>
      <w:r w:rsidRPr="00DA0D02">
        <w:rPr>
          <w:rFonts w:ascii="Cambria Math" w:hAnsi="Cambria Math" w:cs="Cambria Math"/>
          <w:lang w:val="es-ES"/>
        </w:rPr>
        <w:t>․</w:t>
      </w:r>
      <w:r w:rsidRPr="00DA0D02">
        <w:rPr>
          <w:lang w:val="es-ES"/>
        </w:rPr>
        <w:t>-</w:t>
      </w:r>
      <w:r w:rsidRPr="00F50CE5">
        <w:t>ին</w:t>
      </w:r>
      <w:r w:rsidRPr="00DA0D02">
        <w:rPr>
          <w:lang w:val="es-ES"/>
        </w:rPr>
        <w:t xml:space="preserve"> </w:t>
      </w:r>
      <w:r w:rsidRPr="00F50CE5">
        <w:t>գնաճի</w:t>
      </w:r>
      <w:r w:rsidRPr="00DA0D02">
        <w:rPr>
          <w:lang w:val="es-ES"/>
        </w:rPr>
        <w:t xml:space="preserve"> </w:t>
      </w:r>
      <w:r w:rsidRPr="00F50CE5">
        <w:t>կտրուկ</w:t>
      </w:r>
      <w:r w:rsidRPr="00DA0D02">
        <w:rPr>
          <w:lang w:val="es-ES"/>
        </w:rPr>
        <w:t xml:space="preserve"> </w:t>
      </w:r>
      <w:r w:rsidRPr="00F50CE5">
        <w:t>դանդաղումից</w:t>
      </w:r>
      <w:r w:rsidRPr="00DA0D02">
        <w:rPr>
          <w:lang w:val="es-ES"/>
        </w:rPr>
        <w:t xml:space="preserve">, </w:t>
      </w:r>
      <w:r w:rsidRPr="00F50CE5">
        <w:t>ապա՝</w:t>
      </w:r>
      <w:r w:rsidRPr="00DA0D02">
        <w:rPr>
          <w:lang w:val="es-ES"/>
        </w:rPr>
        <w:t xml:space="preserve"> </w:t>
      </w:r>
      <w:r w:rsidRPr="00F50CE5">
        <w:t>գնանկումային</w:t>
      </w:r>
      <w:r w:rsidRPr="00DA0D02">
        <w:rPr>
          <w:lang w:val="es-ES"/>
        </w:rPr>
        <w:t xml:space="preserve"> </w:t>
      </w:r>
      <w:r w:rsidRPr="00F50CE5">
        <w:t>տենդենցների</w:t>
      </w:r>
      <w:r w:rsidRPr="00DA0D02">
        <w:rPr>
          <w:lang w:val="es-ES"/>
        </w:rPr>
        <w:t xml:space="preserve"> </w:t>
      </w:r>
      <w:r w:rsidRPr="00F50CE5">
        <w:t>ձևավորումից</w:t>
      </w:r>
      <w:r w:rsidRPr="00DA0D02">
        <w:rPr>
          <w:lang w:val="es-ES"/>
        </w:rPr>
        <w:t xml:space="preserve"> </w:t>
      </w:r>
      <w:r w:rsidRPr="00F50CE5">
        <w:t>հետո</w:t>
      </w:r>
      <w:r w:rsidRPr="00DA0D02">
        <w:rPr>
          <w:lang w:val="es-ES"/>
        </w:rPr>
        <w:t xml:space="preserve"> 2024 </w:t>
      </w:r>
      <w:r w:rsidRPr="00F50CE5">
        <w:t>թ</w:t>
      </w:r>
      <w:r w:rsidRPr="00DA0D02">
        <w:rPr>
          <w:rFonts w:ascii="Cambria Math" w:hAnsi="Cambria Math" w:cs="Cambria Math"/>
          <w:lang w:val="es-ES"/>
        </w:rPr>
        <w:t>․</w:t>
      </w:r>
      <w:r w:rsidRPr="00DA0D02">
        <w:rPr>
          <w:lang w:val="es-ES"/>
        </w:rPr>
        <w:t>-</w:t>
      </w:r>
      <w:r w:rsidRPr="00F50CE5">
        <w:t>ին</w:t>
      </w:r>
      <w:r w:rsidRPr="00DA0D02">
        <w:rPr>
          <w:lang w:val="es-ES"/>
        </w:rPr>
        <w:t xml:space="preserve"> </w:t>
      </w:r>
      <w:r w:rsidRPr="00F50CE5">
        <w:t>ինչպես</w:t>
      </w:r>
      <w:r w:rsidRPr="00DA0D02">
        <w:rPr>
          <w:lang w:val="es-ES"/>
        </w:rPr>
        <w:t xml:space="preserve"> </w:t>
      </w:r>
      <w:r w:rsidRPr="00F50CE5">
        <w:t>միջին</w:t>
      </w:r>
      <w:r w:rsidRPr="00DA0D02">
        <w:rPr>
          <w:lang w:val="es-ES"/>
        </w:rPr>
        <w:t xml:space="preserve">, </w:t>
      </w:r>
      <w:r w:rsidRPr="00F50CE5">
        <w:t>այնպես</w:t>
      </w:r>
      <w:r w:rsidRPr="00DA0D02">
        <w:rPr>
          <w:lang w:val="es-ES"/>
        </w:rPr>
        <w:t xml:space="preserve"> </w:t>
      </w:r>
      <w:r w:rsidRPr="00F50CE5">
        <w:t>էլ</w:t>
      </w:r>
      <w:r w:rsidRPr="00DA0D02">
        <w:rPr>
          <w:lang w:val="es-ES"/>
        </w:rPr>
        <w:t xml:space="preserve"> 12 </w:t>
      </w:r>
      <w:r w:rsidRPr="00F50CE5">
        <w:t>ամսյա</w:t>
      </w:r>
      <w:r w:rsidRPr="00DA0D02">
        <w:rPr>
          <w:lang w:val="es-ES"/>
        </w:rPr>
        <w:t xml:space="preserve"> </w:t>
      </w:r>
      <w:r w:rsidRPr="00F50CE5">
        <w:t>գնաճը</w:t>
      </w:r>
      <w:r w:rsidRPr="00DA0D02">
        <w:rPr>
          <w:lang w:val="es-ES"/>
        </w:rPr>
        <w:t xml:space="preserve"> </w:t>
      </w:r>
      <w:r w:rsidRPr="00F50CE5">
        <w:t>ցածր</w:t>
      </w:r>
      <w:r w:rsidRPr="00DA0D02">
        <w:rPr>
          <w:lang w:val="es-ES"/>
        </w:rPr>
        <w:t xml:space="preserve"> </w:t>
      </w:r>
      <w:r w:rsidRPr="00F50CE5">
        <w:t>կլինեն</w:t>
      </w:r>
      <w:r w:rsidRPr="00DA0D02">
        <w:rPr>
          <w:lang w:val="es-ES"/>
        </w:rPr>
        <w:t xml:space="preserve"> </w:t>
      </w:r>
      <w:r w:rsidRPr="00F50CE5">
        <w:t>նպատակային</w:t>
      </w:r>
      <w:r w:rsidRPr="00DA0D02">
        <w:rPr>
          <w:lang w:val="es-ES"/>
        </w:rPr>
        <w:t xml:space="preserve"> </w:t>
      </w:r>
      <w:r w:rsidRPr="00F50CE5">
        <w:t>ցուցանիշից</w:t>
      </w:r>
      <w:r w:rsidRPr="00DA0D02">
        <w:rPr>
          <w:lang w:val="es-ES"/>
        </w:rPr>
        <w:t xml:space="preserve"> </w:t>
      </w:r>
      <w:r w:rsidRPr="00F50CE5">
        <w:t>և</w:t>
      </w:r>
      <w:r w:rsidRPr="00DA0D02">
        <w:rPr>
          <w:lang w:val="es-ES"/>
        </w:rPr>
        <w:t xml:space="preserve"> </w:t>
      </w:r>
      <w:r w:rsidRPr="00F50CE5">
        <w:t>միջնաժամկետում</w:t>
      </w:r>
      <w:r w:rsidRPr="00DA0D02">
        <w:rPr>
          <w:lang w:val="es-ES"/>
        </w:rPr>
        <w:t xml:space="preserve"> </w:t>
      </w:r>
      <w:r w:rsidRPr="00F50CE5">
        <w:t>կկայունանան</w:t>
      </w:r>
      <w:r w:rsidRPr="00DA0D02">
        <w:rPr>
          <w:lang w:val="es-ES"/>
        </w:rPr>
        <w:t xml:space="preserve"> </w:t>
      </w:r>
      <w:r w:rsidRPr="00F50CE5">
        <w:t>նպատակային</w:t>
      </w:r>
      <w:r w:rsidRPr="00DA0D02">
        <w:rPr>
          <w:lang w:val="es-ES"/>
        </w:rPr>
        <w:t xml:space="preserve"> 4% </w:t>
      </w:r>
      <w:r w:rsidRPr="00F50CE5">
        <w:t>ցուցանիշի</w:t>
      </w:r>
      <w:r w:rsidRPr="00DA0D02">
        <w:rPr>
          <w:lang w:val="es-ES"/>
        </w:rPr>
        <w:t xml:space="preserve"> </w:t>
      </w:r>
      <w:r w:rsidRPr="00F50CE5">
        <w:t>շուրջ</w:t>
      </w:r>
      <w:r w:rsidRPr="00DA0D02">
        <w:rPr>
          <w:lang w:val="es-ES"/>
        </w:rPr>
        <w:t xml:space="preserve">: </w:t>
      </w:r>
      <w:r w:rsidRPr="00F50CE5">
        <w:t>Մշտադիտարկելով</w:t>
      </w:r>
      <w:r w:rsidRPr="00DA0D02">
        <w:rPr>
          <w:lang w:val="es-ES"/>
        </w:rPr>
        <w:t xml:space="preserve"> </w:t>
      </w:r>
      <w:r w:rsidRPr="00F50CE5">
        <w:t>տնտեսության</w:t>
      </w:r>
      <w:r w:rsidRPr="00DA0D02">
        <w:rPr>
          <w:lang w:val="es-ES"/>
        </w:rPr>
        <w:t xml:space="preserve"> </w:t>
      </w:r>
      <w:r w:rsidRPr="00F50CE5">
        <w:t>զարգացման</w:t>
      </w:r>
      <w:r w:rsidRPr="00DA0D02">
        <w:rPr>
          <w:lang w:val="es-ES"/>
        </w:rPr>
        <w:t xml:space="preserve"> </w:t>
      </w:r>
      <w:r w:rsidRPr="00F50CE5">
        <w:t>սցենարները</w:t>
      </w:r>
      <w:r w:rsidRPr="00DA0D02">
        <w:rPr>
          <w:lang w:val="es-ES"/>
        </w:rPr>
        <w:t xml:space="preserve">, </w:t>
      </w:r>
      <w:r w:rsidRPr="00F50CE5">
        <w:t>ԿԲ</w:t>
      </w:r>
      <w:r w:rsidRPr="00DA0D02">
        <w:rPr>
          <w:lang w:val="es-ES"/>
        </w:rPr>
        <w:t>-</w:t>
      </w:r>
      <w:r w:rsidRPr="00F50CE5">
        <w:t>ը</w:t>
      </w:r>
      <w:r w:rsidRPr="00DA0D02">
        <w:rPr>
          <w:lang w:val="es-ES"/>
        </w:rPr>
        <w:t xml:space="preserve"> </w:t>
      </w:r>
      <w:r w:rsidRPr="00F50CE5">
        <w:t>կձեռնարկի</w:t>
      </w:r>
      <w:r w:rsidRPr="00DA0D02">
        <w:rPr>
          <w:lang w:val="es-ES"/>
        </w:rPr>
        <w:t xml:space="preserve"> </w:t>
      </w:r>
      <w:r w:rsidRPr="00F50CE5">
        <w:t>համարժեք</w:t>
      </w:r>
      <w:r w:rsidRPr="00DA0D02">
        <w:rPr>
          <w:lang w:val="es-ES"/>
        </w:rPr>
        <w:t xml:space="preserve"> </w:t>
      </w:r>
      <w:r w:rsidRPr="00F50CE5">
        <w:t>գործողություններ՝</w:t>
      </w:r>
      <w:r w:rsidRPr="00DA0D02">
        <w:rPr>
          <w:lang w:val="es-ES"/>
        </w:rPr>
        <w:t xml:space="preserve"> </w:t>
      </w:r>
      <w:r w:rsidRPr="00F50CE5">
        <w:t>միջնաժամկետ</w:t>
      </w:r>
      <w:r w:rsidRPr="00DA0D02">
        <w:rPr>
          <w:lang w:val="es-ES"/>
        </w:rPr>
        <w:t xml:space="preserve"> </w:t>
      </w:r>
      <w:r w:rsidRPr="00F50CE5">
        <w:t>հորիզոնում</w:t>
      </w:r>
      <w:r w:rsidRPr="00DA0D02">
        <w:rPr>
          <w:lang w:val="es-ES"/>
        </w:rPr>
        <w:t xml:space="preserve"> </w:t>
      </w:r>
      <w:r w:rsidRPr="00F50CE5">
        <w:t>գնաճի</w:t>
      </w:r>
      <w:r w:rsidRPr="00DA0D02">
        <w:rPr>
          <w:lang w:val="es-ES"/>
        </w:rPr>
        <w:t xml:space="preserve"> 4% </w:t>
      </w:r>
      <w:r w:rsidRPr="00F50CE5">
        <w:t>մակարդակի</w:t>
      </w:r>
      <w:r w:rsidRPr="00DA0D02">
        <w:rPr>
          <w:lang w:val="es-ES"/>
        </w:rPr>
        <w:t xml:space="preserve"> </w:t>
      </w:r>
      <w:r w:rsidRPr="00F50CE5">
        <w:t>և</w:t>
      </w:r>
      <w:r w:rsidRPr="00DA0D02">
        <w:rPr>
          <w:lang w:val="es-ES"/>
        </w:rPr>
        <w:t xml:space="preserve"> </w:t>
      </w:r>
      <w:r w:rsidRPr="00F50CE5">
        <w:t>գների</w:t>
      </w:r>
      <w:r w:rsidRPr="00DA0D02">
        <w:rPr>
          <w:lang w:val="es-ES"/>
        </w:rPr>
        <w:t xml:space="preserve"> </w:t>
      </w:r>
      <w:r w:rsidRPr="00F50CE5">
        <w:t>կայունության</w:t>
      </w:r>
      <w:r w:rsidRPr="00DA0D02">
        <w:rPr>
          <w:lang w:val="es-ES"/>
        </w:rPr>
        <w:t xml:space="preserve"> </w:t>
      </w:r>
      <w:r w:rsidRPr="00F50CE5">
        <w:t>նպատակի</w:t>
      </w:r>
      <w:r w:rsidRPr="00DA0D02">
        <w:rPr>
          <w:lang w:val="es-ES"/>
        </w:rPr>
        <w:t xml:space="preserve"> </w:t>
      </w:r>
      <w:r w:rsidRPr="00F50CE5">
        <w:t>ապահովման</w:t>
      </w:r>
      <w:r w:rsidRPr="00DA0D02">
        <w:rPr>
          <w:lang w:val="es-ES"/>
        </w:rPr>
        <w:t xml:space="preserve"> </w:t>
      </w:r>
      <w:r w:rsidRPr="00F50CE5">
        <w:t>համար</w:t>
      </w:r>
      <w:r w:rsidRPr="00DA0D02">
        <w:rPr>
          <w:lang w:val="es-ES"/>
        </w:rPr>
        <w:t>:</w:t>
      </w:r>
    </w:p>
    <w:p w14:paraId="5EF05985" w14:textId="77777777" w:rsidR="00DA0D02" w:rsidRPr="00DA0D02" w:rsidRDefault="00DA0D02" w:rsidP="00746426">
      <w:pPr>
        <w:numPr>
          <w:ilvl w:val="0"/>
          <w:numId w:val="40"/>
        </w:numPr>
        <w:spacing w:before="120" w:after="0" w:line="276" w:lineRule="auto"/>
        <w:ind w:left="0" w:firstLine="0"/>
        <w:rPr>
          <w:lang w:val="es-ES"/>
        </w:rPr>
      </w:pPr>
      <w:r w:rsidRPr="00F50CE5">
        <w:t>Ռուս</w:t>
      </w:r>
      <w:r w:rsidRPr="00DA0D02">
        <w:rPr>
          <w:lang w:val="es-ES"/>
        </w:rPr>
        <w:t>-</w:t>
      </w:r>
      <w:r w:rsidRPr="00F50CE5">
        <w:t>ուկրաինական</w:t>
      </w:r>
      <w:r w:rsidRPr="00DA0D02">
        <w:rPr>
          <w:lang w:val="es-ES"/>
        </w:rPr>
        <w:t xml:space="preserve"> </w:t>
      </w:r>
      <w:r w:rsidRPr="00F50CE5">
        <w:t>հակամարտությունը</w:t>
      </w:r>
      <w:r w:rsidRPr="00DA0D02">
        <w:rPr>
          <w:lang w:val="es-ES"/>
        </w:rPr>
        <w:t xml:space="preserve"> </w:t>
      </w:r>
      <w:r w:rsidRPr="00F50CE5">
        <w:t>և</w:t>
      </w:r>
      <w:r w:rsidRPr="00DA0D02">
        <w:rPr>
          <w:lang w:val="es-ES"/>
        </w:rPr>
        <w:t xml:space="preserve"> </w:t>
      </w:r>
      <w:r w:rsidRPr="00F50CE5">
        <w:t>Ռուսաստանի</w:t>
      </w:r>
      <w:r w:rsidRPr="00DA0D02">
        <w:rPr>
          <w:lang w:val="es-ES"/>
        </w:rPr>
        <w:t xml:space="preserve"> </w:t>
      </w:r>
      <w:r w:rsidRPr="00F50CE5">
        <w:t>դեմ</w:t>
      </w:r>
      <w:r w:rsidRPr="00DA0D02">
        <w:rPr>
          <w:lang w:val="es-ES"/>
        </w:rPr>
        <w:t xml:space="preserve"> </w:t>
      </w:r>
      <w:r w:rsidRPr="00F50CE5">
        <w:t>կիրառված</w:t>
      </w:r>
      <w:r w:rsidRPr="00DA0D02">
        <w:rPr>
          <w:lang w:val="es-ES"/>
        </w:rPr>
        <w:t xml:space="preserve"> </w:t>
      </w:r>
      <w:r w:rsidRPr="00F50CE5">
        <w:t>աննախադեպ</w:t>
      </w:r>
      <w:r w:rsidRPr="00DA0D02">
        <w:rPr>
          <w:lang w:val="es-ES"/>
        </w:rPr>
        <w:t xml:space="preserve"> </w:t>
      </w:r>
      <w:r w:rsidRPr="00F50CE5">
        <w:t>պատժամիջոցները</w:t>
      </w:r>
      <w:r w:rsidRPr="00DA0D02">
        <w:rPr>
          <w:lang w:val="es-ES"/>
        </w:rPr>
        <w:t xml:space="preserve"> </w:t>
      </w:r>
      <w:r w:rsidRPr="00F50CE5">
        <w:t>աշխարհում</w:t>
      </w:r>
      <w:r w:rsidRPr="00DA0D02">
        <w:rPr>
          <w:lang w:val="es-ES"/>
        </w:rPr>
        <w:t xml:space="preserve"> </w:t>
      </w:r>
      <w:r w:rsidRPr="00F50CE5">
        <w:t>ստեղծել</w:t>
      </w:r>
      <w:r w:rsidRPr="00DA0D02">
        <w:rPr>
          <w:lang w:val="es-ES"/>
        </w:rPr>
        <w:t xml:space="preserve"> </w:t>
      </w:r>
      <w:r w:rsidRPr="00F50CE5">
        <w:t>են</w:t>
      </w:r>
      <w:r w:rsidRPr="00DA0D02">
        <w:rPr>
          <w:lang w:val="es-ES"/>
        </w:rPr>
        <w:t xml:space="preserve"> </w:t>
      </w:r>
      <w:r w:rsidRPr="00F50CE5">
        <w:t>նոր</w:t>
      </w:r>
      <w:r w:rsidRPr="00DA0D02">
        <w:rPr>
          <w:lang w:val="es-ES"/>
        </w:rPr>
        <w:t xml:space="preserve"> </w:t>
      </w:r>
      <w:r w:rsidRPr="00F50CE5">
        <w:t>իրականություն</w:t>
      </w:r>
      <w:r w:rsidRPr="00DA0D02">
        <w:rPr>
          <w:lang w:val="es-ES"/>
        </w:rPr>
        <w:t xml:space="preserve">, </w:t>
      </w:r>
      <w:r w:rsidRPr="00F50CE5">
        <w:t>որի</w:t>
      </w:r>
      <w:r w:rsidRPr="00DA0D02">
        <w:rPr>
          <w:lang w:val="es-ES"/>
        </w:rPr>
        <w:t xml:space="preserve">  </w:t>
      </w:r>
      <w:r w:rsidRPr="00F50CE5">
        <w:t>պայմաններում</w:t>
      </w:r>
      <w:r w:rsidRPr="00DA0D02">
        <w:rPr>
          <w:lang w:val="es-ES"/>
        </w:rPr>
        <w:t xml:space="preserve"> </w:t>
      </w:r>
      <w:r w:rsidRPr="00F50CE5">
        <w:t>ինչպես</w:t>
      </w:r>
      <w:r w:rsidRPr="00DA0D02">
        <w:rPr>
          <w:lang w:val="es-ES"/>
        </w:rPr>
        <w:t xml:space="preserve"> </w:t>
      </w:r>
      <w:r w:rsidRPr="00F50CE5">
        <w:t>աշխարհի</w:t>
      </w:r>
      <w:r w:rsidRPr="00DA0D02">
        <w:rPr>
          <w:lang w:val="es-ES"/>
        </w:rPr>
        <w:t xml:space="preserve"> </w:t>
      </w:r>
      <w:r w:rsidRPr="00F50CE5">
        <w:t>և</w:t>
      </w:r>
      <w:r w:rsidRPr="00DA0D02">
        <w:rPr>
          <w:lang w:val="es-ES"/>
        </w:rPr>
        <w:t xml:space="preserve"> </w:t>
      </w:r>
      <w:r w:rsidRPr="00F50CE5">
        <w:t>ՀՀ</w:t>
      </w:r>
      <w:r w:rsidRPr="00DA0D02">
        <w:rPr>
          <w:lang w:val="es-ES"/>
        </w:rPr>
        <w:t xml:space="preserve"> </w:t>
      </w:r>
      <w:r w:rsidRPr="00F50CE5">
        <w:t>գործընկեր</w:t>
      </w:r>
      <w:r w:rsidRPr="00DA0D02">
        <w:rPr>
          <w:lang w:val="es-ES"/>
        </w:rPr>
        <w:t xml:space="preserve"> </w:t>
      </w:r>
      <w:r w:rsidRPr="00F50CE5">
        <w:t>երկրների</w:t>
      </w:r>
      <w:r w:rsidRPr="00DA0D02">
        <w:rPr>
          <w:lang w:val="es-ES"/>
        </w:rPr>
        <w:t xml:space="preserve">, </w:t>
      </w:r>
      <w:r w:rsidRPr="00F50CE5">
        <w:t>այնպես</w:t>
      </w:r>
      <w:r w:rsidRPr="00DA0D02">
        <w:rPr>
          <w:lang w:val="es-ES"/>
        </w:rPr>
        <w:t xml:space="preserve"> </w:t>
      </w:r>
      <w:r w:rsidRPr="00F50CE5">
        <w:t>էլ</w:t>
      </w:r>
      <w:r w:rsidRPr="00DA0D02">
        <w:rPr>
          <w:lang w:val="es-ES"/>
        </w:rPr>
        <w:t xml:space="preserve"> </w:t>
      </w:r>
      <w:r w:rsidRPr="00F50CE5">
        <w:t>ՀՀ</w:t>
      </w:r>
      <w:r w:rsidRPr="00DA0D02">
        <w:rPr>
          <w:lang w:val="es-ES"/>
        </w:rPr>
        <w:t xml:space="preserve"> </w:t>
      </w:r>
      <w:r w:rsidRPr="00F50CE5">
        <w:t>տնտեսական</w:t>
      </w:r>
      <w:r w:rsidRPr="00DA0D02">
        <w:rPr>
          <w:lang w:val="es-ES"/>
        </w:rPr>
        <w:t xml:space="preserve"> </w:t>
      </w:r>
      <w:r w:rsidRPr="00F50CE5">
        <w:t>աճի</w:t>
      </w:r>
      <w:r w:rsidRPr="00DA0D02">
        <w:rPr>
          <w:lang w:val="es-ES"/>
        </w:rPr>
        <w:t xml:space="preserve"> </w:t>
      </w:r>
      <w:r w:rsidRPr="00F50CE5">
        <w:t>կանխատեսումները</w:t>
      </w:r>
      <w:r w:rsidRPr="00DA0D02">
        <w:rPr>
          <w:lang w:val="es-ES"/>
        </w:rPr>
        <w:t xml:space="preserve"> </w:t>
      </w:r>
      <w:r w:rsidRPr="00F50CE5">
        <w:t>իրենց</w:t>
      </w:r>
      <w:r w:rsidRPr="00DA0D02">
        <w:rPr>
          <w:lang w:val="es-ES"/>
        </w:rPr>
        <w:t xml:space="preserve"> </w:t>
      </w:r>
      <w:r w:rsidRPr="00F50CE5">
        <w:t>մեջ</w:t>
      </w:r>
      <w:r w:rsidRPr="00DA0D02">
        <w:rPr>
          <w:lang w:val="es-ES"/>
        </w:rPr>
        <w:t xml:space="preserve"> </w:t>
      </w:r>
      <w:r w:rsidRPr="00F50CE5">
        <w:t>կրում</w:t>
      </w:r>
      <w:r w:rsidRPr="00DA0D02">
        <w:rPr>
          <w:lang w:val="es-ES"/>
        </w:rPr>
        <w:t xml:space="preserve"> </w:t>
      </w:r>
      <w:r w:rsidRPr="00F50CE5">
        <w:t>են</w:t>
      </w:r>
      <w:r w:rsidRPr="00DA0D02">
        <w:rPr>
          <w:lang w:val="es-ES"/>
        </w:rPr>
        <w:t xml:space="preserve"> </w:t>
      </w:r>
      <w:r w:rsidRPr="00F50CE5">
        <w:t>մեծ</w:t>
      </w:r>
      <w:r w:rsidRPr="00DA0D02">
        <w:rPr>
          <w:lang w:val="es-ES"/>
        </w:rPr>
        <w:t xml:space="preserve"> </w:t>
      </w:r>
      <w:r w:rsidRPr="00F50CE5">
        <w:t>անորոշություն</w:t>
      </w:r>
      <w:r w:rsidRPr="00DA0D02">
        <w:rPr>
          <w:lang w:val="es-ES"/>
        </w:rPr>
        <w:t xml:space="preserve">: </w:t>
      </w:r>
      <w:r w:rsidRPr="00F50CE5">
        <w:t>Այս</w:t>
      </w:r>
      <w:r w:rsidRPr="00DA0D02">
        <w:rPr>
          <w:lang w:val="es-ES"/>
        </w:rPr>
        <w:t xml:space="preserve"> </w:t>
      </w:r>
      <w:r w:rsidRPr="00F50CE5">
        <w:t>պայմաններում</w:t>
      </w:r>
      <w:r w:rsidRPr="00DA0D02">
        <w:rPr>
          <w:lang w:val="es-ES"/>
        </w:rPr>
        <w:t xml:space="preserve">, </w:t>
      </w:r>
      <w:r w:rsidRPr="00F50CE5">
        <w:t>ինչպես</w:t>
      </w:r>
      <w:r w:rsidRPr="00DA0D02">
        <w:rPr>
          <w:lang w:val="es-ES"/>
        </w:rPr>
        <w:t xml:space="preserve"> </w:t>
      </w:r>
      <w:r w:rsidRPr="00F50CE5">
        <w:t>աշխարհի</w:t>
      </w:r>
      <w:r w:rsidRPr="00DA0D02">
        <w:rPr>
          <w:lang w:val="es-ES"/>
        </w:rPr>
        <w:t xml:space="preserve"> </w:t>
      </w:r>
      <w:r w:rsidRPr="00F50CE5">
        <w:t>և</w:t>
      </w:r>
      <w:r w:rsidRPr="00DA0D02">
        <w:rPr>
          <w:lang w:val="es-ES"/>
        </w:rPr>
        <w:t xml:space="preserve"> </w:t>
      </w:r>
      <w:r w:rsidRPr="00F50CE5">
        <w:t>ՀՀ</w:t>
      </w:r>
      <w:r w:rsidRPr="00DA0D02">
        <w:rPr>
          <w:lang w:val="es-ES"/>
        </w:rPr>
        <w:t xml:space="preserve"> </w:t>
      </w:r>
      <w:r w:rsidRPr="00F50CE5">
        <w:t>գործընկերների</w:t>
      </w:r>
      <w:r w:rsidRPr="00DA0D02">
        <w:rPr>
          <w:lang w:val="es-ES"/>
        </w:rPr>
        <w:t xml:space="preserve">, </w:t>
      </w:r>
      <w:r w:rsidRPr="00F50CE5">
        <w:t>այնպես</w:t>
      </w:r>
      <w:r w:rsidRPr="00DA0D02">
        <w:rPr>
          <w:lang w:val="es-ES"/>
        </w:rPr>
        <w:t xml:space="preserve"> </w:t>
      </w:r>
      <w:r w:rsidRPr="00F50CE5">
        <w:t>էլ</w:t>
      </w:r>
      <w:r w:rsidRPr="00DA0D02">
        <w:rPr>
          <w:lang w:val="es-ES"/>
        </w:rPr>
        <w:t xml:space="preserve"> </w:t>
      </w:r>
      <w:r w:rsidRPr="00F50CE5">
        <w:t>ՄԺԾԾ</w:t>
      </w:r>
      <w:r w:rsidRPr="00DA0D02">
        <w:rPr>
          <w:lang w:val="es-ES"/>
        </w:rPr>
        <w:t xml:space="preserve"> </w:t>
      </w:r>
      <w:r w:rsidRPr="00F50CE5">
        <w:t>շրջանակում</w:t>
      </w:r>
      <w:r w:rsidRPr="00DA0D02">
        <w:rPr>
          <w:lang w:val="es-ES"/>
        </w:rPr>
        <w:t xml:space="preserve"> </w:t>
      </w:r>
      <w:r w:rsidRPr="00F50CE5">
        <w:t>ՀՀ</w:t>
      </w:r>
      <w:r w:rsidRPr="00DA0D02">
        <w:rPr>
          <w:lang w:val="es-ES"/>
        </w:rPr>
        <w:t xml:space="preserve"> </w:t>
      </w:r>
      <w:r w:rsidRPr="00F50CE5">
        <w:t>տնտեսական</w:t>
      </w:r>
      <w:r w:rsidRPr="00DA0D02">
        <w:rPr>
          <w:lang w:val="es-ES"/>
        </w:rPr>
        <w:t xml:space="preserve"> </w:t>
      </w:r>
      <w:r w:rsidRPr="00F50CE5">
        <w:t>աճի</w:t>
      </w:r>
      <w:r w:rsidRPr="00DA0D02">
        <w:rPr>
          <w:lang w:val="es-ES"/>
        </w:rPr>
        <w:t xml:space="preserve"> </w:t>
      </w:r>
      <w:r w:rsidRPr="00F50CE5">
        <w:t>կանխատեսումների</w:t>
      </w:r>
      <w:r w:rsidRPr="00DA0D02">
        <w:rPr>
          <w:lang w:val="es-ES"/>
        </w:rPr>
        <w:t xml:space="preserve"> </w:t>
      </w:r>
      <w:r w:rsidRPr="00F50CE5">
        <w:t>համար</w:t>
      </w:r>
      <w:r w:rsidRPr="00DA0D02">
        <w:rPr>
          <w:lang w:val="es-ES"/>
        </w:rPr>
        <w:t xml:space="preserve"> </w:t>
      </w:r>
      <w:r w:rsidRPr="00F50CE5">
        <w:t>առկա</w:t>
      </w:r>
      <w:r w:rsidRPr="00DA0D02">
        <w:rPr>
          <w:lang w:val="es-ES"/>
        </w:rPr>
        <w:t xml:space="preserve"> </w:t>
      </w:r>
      <w:r w:rsidRPr="00F50CE5">
        <w:t>են</w:t>
      </w:r>
      <w:r w:rsidRPr="00DA0D02">
        <w:rPr>
          <w:lang w:val="es-ES"/>
        </w:rPr>
        <w:t xml:space="preserve"> </w:t>
      </w:r>
      <w:r w:rsidRPr="00F50CE5">
        <w:t>երկկողմանի</w:t>
      </w:r>
      <w:r w:rsidRPr="00DA0D02">
        <w:rPr>
          <w:lang w:val="es-ES"/>
        </w:rPr>
        <w:t xml:space="preserve"> </w:t>
      </w:r>
      <w:r w:rsidRPr="00F50CE5">
        <w:t>ռիսկեր</w:t>
      </w:r>
      <w:r w:rsidRPr="00DA0D02">
        <w:rPr>
          <w:lang w:val="es-ES"/>
        </w:rPr>
        <w:t xml:space="preserve">, </w:t>
      </w:r>
      <w:r w:rsidRPr="00F50CE5">
        <w:t>սակայն</w:t>
      </w:r>
      <w:r w:rsidRPr="00DA0D02">
        <w:rPr>
          <w:lang w:val="es-ES"/>
        </w:rPr>
        <w:t xml:space="preserve"> </w:t>
      </w:r>
      <w:r w:rsidRPr="00F50CE5">
        <w:t>դեպի</w:t>
      </w:r>
      <w:r w:rsidRPr="00DA0D02">
        <w:rPr>
          <w:lang w:val="es-ES"/>
        </w:rPr>
        <w:t xml:space="preserve"> </w:t>
      </w:r>
      <w:r w:rsidRPr="00F50CE5">
        <w:t>ներքև</w:t>
      </w:r>
      <w:r w:rsidRPr="00DA0D02">
        <w:rPr>
          <w:lang w:val="es-ES"/>
        </w:rPr>
        <w:t xml:space="preserve"> </w:t>
      </w:r>
      <w:r w:rsidRPr="00F50CE5">
        <w:t>ռիսկերը</w:t>
      </w:r>
      <w:r w:rsidRPr="00DA0D02">
        <w:rPr>
          <w:lang w:val="es-ES"/>
        </w:rPr>
        <w:t xml:space="preserve"> </w:t>
      </w:r>
      <w:r w:rsidRPr="00F50CE5">
        <w:t>համեմատաբար</w:t>
      </w:r>
      <w:r w:rsidRPr="00DA0D02">
        <w:rPr>
          <w:lang w:val="es-ES"/>
        </w:rPr>
        <w:t xml:space="preserve"> </w:t>
      </w:r>
      <w:r w:rsidRPr="00F50CE5">
        <w:t>մեծ</w:t>
      </w:r>
      <w:r w:rsidRPr="00DA0D02">
        <w:rPr>
          <w:lang w:val="es-ES"/>
        </w:rPr>
        <w:t xml:space="preserve"> </w:t>
      </w:r>
      <w:r w:rsidRPr="00F50CE5">
        <w:t>են։</w:t>
      </w:r>
    </w:p>
    <w:p w14:paraId="45A73A27" w14:textId="14AB1269" w:rsidR="00DA0D02" w:rsidRDefault="00DA0D02" w:rsidP="00DA0D02">
      <w:pPr>
        <w:rPr>
          <w:lang w:val="es-ES"/>
        </w:rPr>
      </w:pPr>
    </w:p>
    <w:p w14:paraId="3B6EC728" w14:textId="77777777" w:rsidR="00DA0D02" w:rsidRPr="0070296A" w:rsidRDefault="00DA0D02" w:rsidP="00DA0D02">
      <w:pPr>
        <w:pStyle w:val="afd"/>
        <w:numPr>
          <w:ilvl w:val="0"/>
          <w:numId w:val="21"/>
        </w:numPr>
        <w:ind w:left="1276" w:hanging="1276"/>
      </w:pPr>
      <w:r w:rsidRPr="0070296A">
        <w:t xml:space="preserve"> ՀՀ կառավարության պարտքի կառավարման ռազմավարության հիմքում ընկած հիմնական ցուցանիշները 2022-202</w:t>
      </w:r>
      <w:r>
        <w:t>7</w:t>
      </w:r>
      <w:r w:rsidRPr="0070296A">
        <w:t xml:space="preserve"> թվականներին</w:t>
      </w:r>
    </w:p>
    <w:tbl>
      <w:tblPr>
        <w:tblW w:w="10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7"/>
        <w:gridCol w:w="1278"/>
        <w:gridCol w:w="1235"/>
        <w:gridCol w:w="1278"/>
        <w:gridCol w:w="1192"/>
        <w:gridCol w:w="1077"/>
        <w:gridCol w:w="1073"/>
      </w:tblGrid>
      <w:tr w:rsidR="00746426" w:rsidRPr="0070296A" w14:paraId="393AC59F" w14:textId="77777777" w:rsidTr="00746426">
        <w:trPr>
          <w:trHeight w:val="274"/>
          <w:tblHeader/>
          <w:jc w:val="center"/>
        </w:trPr>
        <w:tc>
          <w:tcPr>
            <w:tcW w:w="3387" w:type="dxa"/>
            <w:tcBorders>
              <w:top w:val="thinThickThinSmallGap" w:sz="24" w:space="0" w:color="auto"/>
              <w:left w:val="nil"/>
              <w:bottom w:val="thinThickSmallGap" w:sz="24" w:space="0" w:color="auto"/>
              <w:right w:val="nil"/>
            </w:tcBorders>
            <w:shd w:val="clear" w:color="auto" w:fill="BDD6EE" w:themeFill="accent1" w:themeFillTint="66"/>
          </w:tcPr>
          <w:p w14:paraId="23DB0CF8" w14:textId="77777777" w:rsidR="00DA0D02" w:rsidRPr="00DA0D02" w:rsidRDefault="00DA0D02" w:rsidP="00013648">
            <w:pPr>
              <w:ind w:firstLine="0"/>
              <w:rPr>
                <w:lang w:val="hy-AM"/>
              </w:rPr>
            </w:pPr>
          </w:p>
        </w:tc>
        <w:tc>
          <w:tcPr>
            <w:tcW w:w="1278"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258D4BDB" w14:textId="77777777" w:rsidR="00DA0D02" w:rsidRPr="0070296A" w:rsidRDefault="00DA0D02" w:rsidP="00013648">
            <w:pPr>
              <w:keepNext/>
              <w:spacing w:line="240" w:lineRule="auto"/>
              <w:ind w:firstLine="0"/>
              <w:jc w:val="center"/>
            </w:pPr>
            <w:r w:rsidRPr="0070296A">
              <w:t>202</w:t>
            </w:r>
            <w:r>
              <w:t>2</w:t>
            </w:r>
            <w:r w:rsidRPr="0070296A">
              <w:t xml:space="preserve"> փաստ.</w:t>
            </w:r>
          </w:p>
        </w:tc>
        <w:tc>
          <w:tcPr>
            <w:tcW w:w="123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8A3C828" w14:textId="77777777" w:rsidR="00DA0D02" w:rsidRPr="0070296A" w:rsidDel="007A73B0" w:rsidRDefault="00DA0D02" w:rsidP="00013648">
            <w:pPr>
              <w:keepNext/>
              <w:spacing w:line="240" w:lineRule="auto"/>
              <w:ind w:firstLine="0"/>
              <w:jc w:val="center"/>
            </w:pPr>
            <w:r>
              <w:t>2023</w:t>
            </w:r>
            <w:r w:rsidRPr="0070296A">
              <w:t xml:space="preserve"> փաստ.</w:t>
            </w:r>
          </w:p>
        </w:tc>
        <w:tc>
          <w:tcPr>
            <w:tcW w:w="1278"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E4277D3" w14:textId="77777777" w:rsidR="00DA0D02" w:rsidRPr="0070296A" w:rsidRDefault="00DA0D02" w:rsidP="00013648">
            <w:pPr>
              <w:keepNext/>
              <w:spacing w:line="240" w:lineRule="auto"/>
              <w:ind w:firstLine="0"/>
              <w:jc w:val="center"/>
            </w:pPr>
            <w:r w:rsidRPr="0070296A">
              <w:t>2024 կանխ.</w:t>
            </w:r>
          </w:p>
        </w:tc>
        <w:tc>
          <w:tcPr>
            <w:tcW w:w="1192"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6FBDCED" w14:textId="77777777" w:rsidR="00DA0D02" w:rsidRPr="0070296A" w:rsidRDefault="00DA0D02" w:rsidP="00013648">
            <w:pPr>
              <w:keepNext/>
              <w:spacing w:line="240" w:lineRule="auto"/>
              <w:ind w:firstLine="0"/>
              <w:jc w:val="center"/>
            </w:pPr>
            <w:r w:rsidRPr="0070296A">
              <w:t>2025 կանխ.</w:t>
            </w:r>
          </w:p>
        </w:tc>
        <w:tc>
          <w:tcPr>
            <w:tcW w:w="107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75752EE" w14:textId="77777777" w:rsidR="00DA0D02" w:rsidRPr="0070296A" w:rsidRDefault="00DA0D02" w:rsidP="00013648">
            <w:pPr>
              <w:keepNext/>
              <w:spacing w:line="240" w:lineRule="auto"/>
              <w:ind w:firstLine="0"/>
              <w:jc w:val="center"/>
            </w:pPr>
            <w:r w:rsidRPr="0070296A">
              <w:t>2026 կանխ.</w:t>
            </w:r>
          </w:p>
        </w:tc>
        <w:tc>
          <w:tcPr>
            <w:tcW w:w="1073" w:type="dxa"/>
            <w:tcBorders>
              <w:top w:val="thinThickThinSmallGap" w:sz="24" w:space="0" w:color="auto"/>
              <w:left w:val="nil"/>
              <w:bottom w:val="thinThickSmallGap" w:sz="24" w:space="0" w:color="auto"/>
              <w:right w:val="nil"/>
            </w:tcBorders>
            <w:shd w:val="clear" w:color="auto" w:fill="BDD6EE" w:themeFill="accent1" w:themeFillTint="66"/>
          </w:tcPr>
          <w:p w14:paraId="0C153E58" w14:textId="77777777" w:rsidR="00DA0D02" w:rsidRDefault="00DA0D02" w:rsidP="00013648">
            <w:pPr>
              <w:keepNext/>
              <w:spacing w:line="240" w:lineRule="auto"/>
              <w:ind w:firstLine="0"/>
              <w:jc w:val="center"/>
            </w:pPr>
            <w:r w:rsidRPr="0070296A">
              <w:t>202</w:t>
            </w:r>
            <w:r>
              <w:t>7</w:t>
            </w:r>
          </w:p>
          <w:p w14:paraId="26056D31" w14:textId="77777777" w:rsidR="00DA0D02" w:rsidRPr="0070296A" w:rsidRDefault="00DA0D02" w:rsidP="00013648">
            <w:pPr>
              <w:keepNext/>
              <w:spacing w:line="240" w:lineRule="auto"/>
              <w:ind w:firstLine="0"/>
              <w:jc w:val="center"/>
            </w:pPr>
            <w:r w:rsidRPr="0070296A">
              <w:t>կանխ.</w:t>
            </w:r>
          </w:p>
        </w:tc>
      </w:tr>
      <w:tr w:rsidR="00DA0D02" w:rsidRPr="0070296A" w14:paraId="75B830D9" w14:textId="77777777" w:rsidTr="00746426">
        <w:trPr>
          <w:trHeight w:val="149"/>
          <w:jc w:val="center"/>
        </w:trPr>
        <w:tc>
          <w:tcPr>
            <w:tcW w:w="3387" w:type="dxa"/>
            <w:tcBorders>
              <w:top w:val="thinThickSmallGap" w:sz="24" w:space="0" w:color="auto"/>
              <w:left w:val="nil"/>
              <w:right w:val="nil"/>
            </w:tcBorders>
            <w:vAlign w:val="center"/>
          </w:tcPr>
          <w:p w14:paraId="1EBC2FEB" w14:textId="77777777" w:rsidR="00DA0D02" w:rsidRPr="0070296A" w:rsidRDefault="00DA0D02" w:rsidP="00013648">
            <w:pPr>
              <w:spacing w:line="240" w:lineRule="auto"/>
              <w:ind w:firstLine="0"/>
              <w:jc w:val="left"/>
            </w:pPr>
            <w:r>
              <w:t>Տնտեսական</w:t>
            </w:r>
            <w:r w:rsidRPr="0070296A">
              <w:rPr>
                <w:rFonts w:cs="Arial"/>
              </w:rPr>
              <w:t xml:space="preserve"> </w:t>
            </w:r>
            <w:r w:rsidRPr="0070296A">
              <w:t>աճ</w:t>
            </w:r>
            <w:r w:rsidRPr="0070296A">
              <w:rPr>
                <w:rFonts w:cs="Arial"/>
              </w:rPr>
              <w:t xml:space="preserve"> (%)</w:t>
            </w:r>
          </w:p>
        </w:tc>
        <w:tc>
          <w:tcPr>
            <w:tcW w:w="1278" w:type="dxa"/>
            <w:tcBorders>
              <w:top w:val="thinThickSmallGap" w:sz="24" w:space="0" w:color="auto"/>
              <w:left w:val="double" w:sz="4" w:space="0" w:color="auto"/>
              <w:right w:val="nil"/>
            </w:tcBorders>
          </w:tcPr>
          <w:p w14:paraId="348704F7" w14:textId="77777777" w:rsidR="00DA0D02" w:rsidRPr="006F2973" w:rsidRDefault="00DA0D02" w:rsidP="00013648">
            <w:pPr>
              <w:spacing w:line="240" w:lineRule="auto"/>
              <w:ind w:firstLine="0"/>
              <w:jc w:val="center"/>
              <w:rPr>
                <w:bCs/>
              </w:rPr>
            </w:pPr>
            <w:r w:rsidRPr="006F2973">
              <w:rPr>
                <w:rFonts w:cs="Times New Roman"/>
                <w:color w:val="000000"/>
              </w:rPr>
              <w:t xml:space="preserve">12.6 </w:t>
            </w:r>
          </w:p>
        </w:tc>
        <w:tc>
          <w:tcPr>
            <w:tcW w:w="1235" w:type="dxa"/>
            <w:tcBorders>
              <w:top w:val="thinThickSmallGap" w:sz="24" w:space="0" w:color="auto"/>
              <w:left w:val="nil"/>
              <w:right w:val="nil"/>
            </w:tcBorders>
          </w:tcPr>
          <w:p w14:paraId="3AD65338" w14:textId="77777777" w:rsidR="00DA0D02" w:rsidRPr="006F2973" w:rsidRDefault="00DA0D02" w:rsidP="00013648">
            <w:pPr>
              <w:spacing w:line="240" w:lineRule="auto"/>
              <w:ind w:firstLine="0"/>
              <w:jc w:val="center"/>
              <w:rPr>
                <w:bCs/>
              </w:rPr>
            </w:pPr>
            <w:r w:rsidRPr="006F2973">
              <w:rPr>
                <w:rFonts w:cs="Times New Roman"/>
                <w:color w:val="000000"/>
              </w:rPr>
              <w:t xml:space="preserve">8.7 </w:t>
            </w:r>
          </w:p>
        </w:tc>
        <w:tc>
          <w:tcPr>
            <w:tcW w:w="1278" w:type="dxa"/>
            <w:tcBorders>
              <w:top w:val="thinThickSmallGap" w:sz="24" w:space="0" w:color="auto"/>
              <w:left w:val="nil"/>
              <w:right w:val="nil"/>
            </w:tcBorders>
          </w:tcPr>
          <w:p w14:paraId="4B435CDE" w14:textId="77777777" w:rsidR="00DA0D02" w:rsidRPr="006F2973" w:rsidRDefault="00DA0D02" w:rsidP="00013648">
            <w:pPr>
              <w:spacing w:line="240" w:lineRule="auto"/>
              <w:ind w:firstLine="0"/>
              <w:jc w:val="center"/>
              <w:rPr>
                <w:bCs/>
              </w:rPr>
            </w:pPr>
            <w:r w:rsidRPr="006F2973">
              <w:rPr>
                <w:rFonts w:cs="Times New Roman"/>
                <w:color w:val="000000"/>
              </w:rPr>
              <w:t xml:space="preserve">6.3 </w:t>
            </w:r>
          </w:p>
        </w:tc>
        <w:tc>
          <w:tcPr>
            <w:tcW w:w="1192" w:type="dxa"/>
            <w:tcBorders>
              <w:top w:val="thinThickSmallGap" w:sz="24" w:space="0" w:color="auto"/>
              <w:left w:val="nil"/>
              <w:right w:val="nil"/>
            </w:tcBorders>
          </w:tcPr>
          <w:p w14:paraId="724E7C19" w14:textId="77777777" w:rsidR="00DA0D02" w:rsidRPr="006F2973" w:rsidRDefault="00DA0D02" w:rsidP="00013648">
            <w:pPr>
              <w:spacing w:line="240" w:lineRule="auto"/>
              <w:ind w:firstLine="0"/>
              <w:jc w:val="center"/>
              <w:rPr>
                <w:bCs/>
              </w:rPr>
            </w:pPr>
            <w:r w:rsidRPr="006F2973">
              <w:rPr>
                <w:rFonts w:cs="Times New Roman"/>
                <w:color w:val="000000"/>
              </w:rPr>
              <w:t xml:space="preserve">5.8 </w:t>
            </w:r>
          </w:p>
        </w:tc>
        <w:tc>
          <w:tcPr>
            <w:tcW w:w="1073" w:type="dxa"/>
            <w:tcBorders>
              <w:top w:val="thinThickSmallGap" w:sz="24" w:space="0" w:color="auto"/>
              <w:left w:val="nil"/>
              <w:right w:val="nil"/>
            </w:tcBorders>
          </w:tcPr>
          <w:p w14:paraId="47FBC7EA" w14:textId="77777777" w:rsidR="00DA0D02" w:rsidRPr="006F2973" w:rsidRDefault="00DA0D02" w:rsidP="00013648">
            <w:pPr>
              <w:spacing w:line="240" w:lineRule="auto"/>
              <w:ind w:firstLine="0"/>
              <w:jc w:val="center"/>
              <w:rPr>
                <w:bCs/>
              </w:rPr>
            </w:pPr>
            <w:r w:rsidRPr="006F2973">
              <w:rPr>
                <w:rFonts w:cs="Times New Roman"/>
                <w:color w:val="000000"/>
              </w:rPr>
              <w:t xml:space="preserve">5.7 </w:t>
            </w:r>
          </w:p>
        </w:tc>
        <w:tc>
          <w:tcPr>
            <w:tcW w:w="1073" w:type="dxa"/>
            <w:tcBorders>
              <w:top w:val="thinThickSmallGap" w:sz="24" w:space="0" w:color="auto"/>
              <w:left w:val="nil"/>
              <w:right w:val="nil"/>
            </w:tcBorders>
          </w:tcPr>
          <w:p w14:paraId="2131272A" w14:textId="77777777" w:rsidR="00DA0D02" w:rsidRPr="006F2973" w:rsidRDefault="00DA0D02" w:rsidP="00013648">
            <w:pPr>
              <w:spacing w:line="240" w:lineRule="auto"/>
              <w:ind w:firstLine="0"/>
              <w:jc w:val="center"/>
            </w:pPr>
            <w:r w:rsidRPr="006F2973">
              <w:rPr>
                <w:rFonts w:cs="Times New Roman"/>
                <w:color w:val="000000"/>
              </w:rPr>
              <w:t xml:space="preserve">5.5 </w:t>
            </w:r>
          </w:p>
        </w:tc>
      </w:tr>
      <w:tr w:rsidR="00DA0D02" w:rsidRPr="0070296A" w14:paraId="179064DA" w14:textId="77777777" w:rsidTr="00746426">
        <w:trPr>
          <w:trHeight w:val="157"/>
          <w:jc w:val="center"/>
        </w:trPr>
        <w:tc>
          <w:tcPr>
            <w:tcW w:w="3387" w:type="dxa"/>
            <w:tcBorders>
              <w:left w:val="nil"/>
              <w:right w:val="nil"/>
            </w:tcBorders>
            <w:vAlign w:val="center"/>
          </w:tcPr>
          <w:p w14:paraId="3636F6AF" w14:textId="77777777" w:rsidR="00DA0D02" w:rsidRPr="00746426" w:rsidRDefault="00DA0D02" w:rsidP="00013648">
            <w:pPr>
              <w:spacing w:line="240" w:lineRule="auto"/>
              <w:ind w:firstLine="0"/>
              <w:jc w:val="left"/>
              <w:rPr>
                <w:sz w:val="20"/>
                <w:szCs w:val="20"/>
              </w:rPr>
            </w:pPr>
            <w:r w:rsidRPr="00746426">
              <w:rPr>
                <w:sz w:val="20"/>
                <w:szCs w:val="20"/>
              </w:rPr>
              <w:t>ՍԳԻ</w:t>
            </w:r>
            <w:r w:rsidRPr="00746426">
              <w:rPr>
                <w:rFonts w:cs="Arial"/>
                <w:sz w:val="20"/>
                <w:szCs w:val="20"/>
              </w:rPr>
              <w:t xml:space="preserve"> (</w:t>
            </w:r>
            <w:r w:rsidRPr="00746426">
              <w:rPr>
                <w:sz w:val="20"/>
                <w:szCs w:val="20"/>
              </w:rPr>
              <w:t>ժամկետի</w:t>
            </w:r>
            <w:r w:rsidRPr="00746426">
              <w:rPr>
                <w:rFonts w:cs="Arial"/>
                <w:sz w:val="20"/>
                <w:szCs w:val="20"/>
              </w:rPr>
              <w:t xml:space="preserve"> </w:t>
            </w:r>
            <w:r w:rsidRPr="00746426">
              <w:rPr>
                <w:sz w:val="20"/>
                <w:szCs w:val="20"/>
              </w:rPr>
              <w:t>միջինը</w:t>
            </w:r>
            <w:r w:rsidRPr="00746426">
              <w:rPr>
                <w:rFonts w:cs="Arial"/>
                <w:sz w:val="20"/>
                <w:szCs w:val="20"/>
              </w:rPr>
              <w:t xml:space="preserve">, </w:t>
            </w:r>
            <w:r w:rsidRPr="00746426">
              <w:rPr>
                <w:rFonts w:cs="Arial"/>
                <w:sz w:val="20"/>
                <w:szCs w:val="20"/>
                <w:lang w:val="ru-RU"/>
              </w:rPr>
              <w:t>%</w:t>
            </w:r>
            <w:r w:rsidRPr="00746426">
              <w:rPr>
                <w:rFonts w:cs="Arial"/>
                <w:sz w:val="20"/>
                <w:szCs w:val="20"/>
              </w:rPr>
              <w:t>)</w:t>
            </w:r>
          </w:p>
        </w:tc>
        <w:tc>
          <w:tcPr>
            <w:tcW w:w="1278" w:type="dxa"/>
            <w:tcBorders>
              <w:left w:val="double" w:sz="4" w:space="0" w:color="auto"/>
              <w:right w:val="nil"/>
            </w:tcBorders>
          </w:tcPr>
          <w:p w14:paraId="75A2692B" w14:textId="77777777" w:rsidR="00DA0D02" w:rsidRPr="00746426" w:rsidRDefault="00DA0D02" w:rsidP="00013648">
            <w:pPr>
              <w:ind w:firstLine="0"/>
              <w:jc w:val="center"/>
              <w:rPr>
                <w:bCs/>
                <w:sz w:val="20"/>
                <w:szCs w:val="20"/>
              </w:rPr>
            </w:pPr>
            <w:r w:rsidRPr="00746426">
              <w:rPr>
                <w:rFonts w:cs="Times New Roman"/>
                <w:sz w:val="20"/>
                <w:szCs w:val="20"/>
              </w:rPr>
              <w:t>8.6</w:t>
            </w:r>
          </w:p>
        </w:tc>
        <w:tc>
          <w:tcPr>
            <w:tcW w:w="1235" w:type="dxa"/>
            <w:tcBorders>
              <w:left w:val="nil"/>
              <w:right w:val="nil"/>
            </w:tcBorders>
          </w:tcPr>
          <w:p w14:paraId="72A98F67" w14:textId="77777777" w:rsidR="00DA0D02" w:rsidRPr="00746426" w:rsidRDefault="00DA0D02" w:rsidP="00013648">
            <w:pPr>
              <w:ind w:firstLine="0"/>
              <w:jc w:val="center"/>
              <w:rPr>
                <w:bCs/>
                <w:sz w:val="20"/>
                <w:szCs w:val="20"/>
              </w:rPr>
            </w:pPr>
            <w:r w:rsidRPr="00746426">
              <w:rPr>
                <w:rFonts w:cs="Times New Roman"/>
                <w:sz w:val="20"/>
                <w:szCs w:val="20"/>
              </w:rPr>
              <w:t>2.0</w:t>
            </w:r>
          </w:p>
        </w:tc>
        <w:tc>
          <w:tcPr>
            <w:tcW w:w="1278" w:type="dxa"/>
            <w:tcBorders>
              <w:left w:val="nil"/>
              <w:right w:val="nil"/>
            </w:tcBorders>
          </w:tcPr>
          <w:p w14:paraId="6DEF5B20" w14:textId="77777777" w:rsidR="00DA0D02" w:rsidRPr="00746426" w:rsidRDefault="00DA0D02" w:rsidP="00013648">
            <w:pPr>
              <w:ind w:firstLine="0"/>
              <w:jc w:val="center"/>
              <w:rPr>
                <w:bCs/>
                <w:sz w:val="20"/>
                <w:szCs w:val="20"/>
              </w:rPr>
            </w:pPr>
            <w:r w:rsidRPr="00746426">
              <w:rPr>
                <w:rFonts w:cs="Times New Roman"/>
                <w:sz w:val="20"/>
                <w:szCs w:val="20"/>
              </w:rPr>
              <w:t>0.7</w:t>
            </w:r>
          </w:p>
        </w:tc>
        <w:tc>
          <w:tcPr>
            <w:tcW w:w="1192" w:type="dxa"/>
            <w:tcBorders>
              <w:left w:val="nil"/>
              <w:right w:val="nil"/>
            </w:tcBorders>
          </w:tcPr>
          <w:p w14:paraId="1287CC72" w14:textId="77777777" w:rsidR="00DA0D02" w:rsidRPr="00746426" w:rsidRDefault="00DA0D02" w:rsidP="00013648">
            <w:pPr>
              <w:ind w:firstLine="0"/>
              <w:jc w:val="center"/>
              <w:rPr>
                <w:bCs/>
                <w:sz w:val="20"/>
                <w:szCs w:val="20"/>
              </w:rPr>
            </w:pPr>
            <w:r w:rsidRPr="00746426">
              <w:rPr>
                <w:rFonts w:cs="Times New Roman"/>
                <w:sz w:val="20"/>
                <w:szCs w:val="20"/>
              </w:rPr>
              <w:t>3.5</w:t>
            </w:r>
          </w:p>
        </w:tc>
        <w:tc>
          <w:tcPr>
            <w:tcW w:w="1073" w:type="dxa"/>
            <w:tcBorders>
              <w:left w:val="nil"/>
              <w:right w:val="nil"/>
            </w:tcBorders>
          </w:tcPr>
          <w:p w14:paraId="7EBAE197" w14:textId="77777777" w:rsidR="00DA0D02" w:rsidRPr="00746426" w:rsidRDefault="00DA0D02" w:rsidP="00013648">
            <w:pPr>
              <w:ind w:firstLine="0"/>
              <w:jc w:val="center"/>
              <w:rPr>
                <w:bCs/>
                <w:sz w:val="20"/>
                <w:szCs w:val="20"/>
              </w:rPr>
            </w:pPr>
            <w:r w:rsidRPr="00746426">
              <w:rPr>
                <w:rFonts w:cs="Times New Roman"/>
                <w:sz w:val="20"/>
                <w:szCs w:val="20"/>
              </w:rPr>
              <w:t>4.0</w:t>
            </w:r>
          </w:p>
        </w:tc>
        <w:tc>
          <w:tcPr>
            <w:tcW w:w="1073" w:type="dxa"/>
            <w:tcBorders>
              <w:left w:val="nil"/>
              <w:right w:val="nil"/>
            </w:tcBorders>
          </w:tcPr>
          <w:p w14:paraId="626D5630" w14:textId="77777777" w:rsidR="00DA0D02" w:rsidRPr="00746426" w:rsidRDefault="00DA0D02" w:rsidP="00013648">
            <w:pPr>
              <w:ind w:firstLine="0"/>
              <w:jc w:val="center"/>
              <w:rPr>
                <w:sz w:val="20"/>
                <w:szCs w:val="20"/>
              </w:rPr>
            </w:pPr>
            <w:r w:rsidRPr="00746426">
              <w:rPr>
                <w:rFonts w:cs="Times New Roman"/>
                <w:sz w:val="20"/>
                <w:szCs w:val="20"/>
              </w:rPr>
              <w:t>4.0</w:t>
            </w:r>
          </w:p>
        </w:tc>
      </w:tr>
      <w:tr w:rsidR="00DA0D02" w:rsidRPr="0070296A" w14:paraId="7C766C9A" w14:textId="77777777" w:rsidTr="00746426">
        <w:trPr>
          <w:trHeight w:val="157"/>
          <w:jc w:val="center"/>
        </w:trPr>
        <w:tc>
          <w:tcPr>
            <w:tcW w:w="9447" w:type="dxa"/>
            <w:gridSpan w:val="6"/>
            <w:tcBorders>
              <w:left w:val="nil"/>
              <w:right w:val="nil"/>
            </w:tcBorders>
            <w:vAlign w:val="center"/>
          </w:tcPr>
          <w:p w14:paraId="1979CAE0" w14:textId="77777777" w:rsidR="00DA0D02" w:rsidRPr="00746426" w:rsidRDefault="00DA0D02" w:rsidP="00013648">
            <w:pPr>
              <w:spacing w:line="240" w:lineRule="auto"/>
              <w:ind w:firstLine="0"/>
              <w:jc w:val="center"/>
              <w:rPr>
                <w:bCs/>
                <w:sz w:val="20"/>
                <w:szCs w:val="20"/>
              </w:rPr>
            </w:pPr>
            <w:r w:rsidRPr="00746426">
              <w:rPr>
                <w:bCs/>
                <w:sz w:val="20"/>
                <w:szCs w:val="20"/>
              </w:rPr>
              <w:t xml:space="preserve">Հարկաբյուջետային  հատված </w:t>
            </w:r>
            <w:r w:rsidRPr="00746426">
              <w:rPr>
                <w:rFonts w:cs="Arial"/>
                <w:bCs/>
                <w:sz w:val="20"/>
                <w:szCs w:val="20"/>
              </w:rPr>
              <w:t xml:space="preserve">(% </w:t>
            </w:r>
            <w:r w:rsidRPr="00746426">
              <w:rPr>
                <w:bCs/>
                <w:sz w:val="20"/>
                <w:szCs w:val="20"/>
              </w:rPr>
              <w:t>ՀՆԱ</w:t>
            </w:r>
            <w:r w:rsidRPr="00746426">
              <w:rPr>
                <w:rFonts w:cs="Arial"/>
                <w:bCs/>
                <w:sz w:val="20"/>
                <w:szCs w:val="20"/>
              </w:rPr>
              <w:t>-</w:t>
            </w:r>
            <w:r w:rsidRPr="00746426">
              <w:rPr>
                <w:bCs/>
                <w:sz w:val="20"/>
                <w:szCs w:val="20"/>
              </w:rPr>
              <w:t>ի</w:t>
            </w:r>
            <w:r w:rsidRPr="00746426">
              <w:rPr>
                <w:rFonts w:cs="Arial"/>
                <w:bCs/>
                <w:sz w:val="20"/>
                <w:szCs w:val="20"/>
              </w:rPr>
              <w:t xml:space="preserve"> </w:t>
            </w:r>
            <w:r w:rsidRPr="00746426">
              <w:rPr>
                <w:bCs/>
                <w:sz w:val="20"/>
                <w:szCs w:val="20"/>
              </w:rPr>
              <w:t>նկատմամբ</w:t>
            </w:r>
            <w:r w:rsidRPr="00746426">
              <w:rPr>
                <w:rFonts w:cs="Arial"/>
                <w:bCs/>
                <w:sz w:val="20"/>
                <w:szCs w:val="20"/>
              </w:rPr>
              <w:t>)</w:t>
            </w:r>
          </w:p>
        </w:tc>
        <w:tc>
          <w:tcPr>
            <w:tcW w:w="1073" w:type="dxa"/>
            <w:tcBorders>
              <w:left w:val="nil"/>
              <w:right w:val="nil"/>
            </w:tcBorders>
          </w:tcPr>
          <w:p w14:paraId="7068B862" w14:textId="77777777" w:rsidR="00DA0D02" w:rsidRPr="00746426" w:rsidRDefault="00DA0D02" w:rsidP="00013648">
            <w:pPr>
              <w:spacing w:line="240" w:lineRule="auto"/>
              <w:ind w:firstLine="0"/>
              <w:jc w:val="center"/>
              <w:rPr>
                <w:bCs/>
                <w:sz w:val="20"/>
                <w:szCs w:val="20"/>
              </w:rPr>
            </w:pPr>
          </w:p>
        </w:tc>
      </w:tr>
      <w:tr w:rsidR="00DA0D02" w:rsidRPr="0070296A" w14:paraId="4F24E485" w14:textId="77777777" w:rsidTr="00746426">
        <w:trPr>
          <w:trHeight w:val="157"/>
          <w:jc w:val="center"/>
        </w:trPr>
        <w:tc>
          <w:tcPr>
            <w:tcW w:w="3387" w:type="dxa"/>
            <w:tcBorders>
              <w:left w:val="nil"/>
              <w:right w:val="nil"/>
            </w:tcBorders>
            <w:vAlign w:val="center"/>
          </w:tcPr>
          <w:p w14:paraId="66314A73" w14:textId="77777777" w:rsidR="00DA0D02" w:rsidRPr="00746426" w:rsidRDefault="00DA0D02" w:rsidP="00013648">
            <w:pPr>
              <w:spacing w:line="240" w:lineRule="auto"/>
              <w:ind w:firstLine="0"/>
              <w:jc w:val="left"/>
              <w:rPr>
                <w:sz w:val="20"/>
                <w:szCs w:val="20"/>
              </w:rPr>
            </w:pPr>
            <w:r w:rsidRPr="00746426">
              <w:rPr>
                <w:sz w:val="20"/>
                <w:szCs w:val="20"/>
              </w:rPr>
              <w:t>Եկամուտներ</w:t>
            </w:r>
            <w:r w:rsidRPr="00746426">
              <w:rPr>
                <w:rFonts w:cs="Arial"/>
                <w:sz w:val="20"/>
                <w:szCs w:val="20"/>
              </w:rPr>
              <w:t xml:space="preserve"> </w:t>
            </w:r>
            <w:r w:rsidRPr="00746426">
              <w:rPr>
                <w:sz w:val="20"/>
                <w:szCs w:val="20"/>
              </w:rPr>
              <w:t>և</w:t>
            </w:r>
            <w:r w:rsidRPr="00746426">
              <w:rPr>
                <w:rFonts w:cs="Arial"/>
                <w:sz w:val="20"/>
                <w:szCs w:val="20"/>
              </w:rPr>
              <w:t xml:space="preserve"> </w:t>
            </w:r>
            <w:r w:rsidRPr="00746426">
              <w:rPr>
                <w:sz w:val="20"/>
                <w:szCs w:val="20"/>
              </w:rPr>
              <w:t>դրամաշնորհներ</w:t>
            </w:r>
          </w:p>
        </w:tc>
        <w:tc>
          <w:tcPr>
            <w:tcW w:w="1278" w:type="dxa"/>
            <w:tcBorders>
              <w:left w:val="double" w:sz="4" w:space="0" w:color="auto"/>
              <w:right w:val="nil"/>
            </w:tcBorders>
            <w:vAlign w:val="center"/>
          </w:tcPr>
          <w:p w14:paraId="0C021D62" w14:textId="77777777" w:rsidR="00DA0D02" w:rsidRPr="00746426" w:rsidRDefault="00DA0D02" w:rsidP="00013648">
            <w:pPr>
              <w:ind w:firstLine="0"/>
              <w:jc w:val="center"/>
              <w:rPr>
                <w:sz w:val="20"/>
                <w:szCs w:val="20"/>
              </w:rPr>
            </w:pPr>
            <w:r w:rsidRPr="00746426">
              <w:rPr>
                <w:rFonts w:cs="Calibri"/>
                <w:bCs/>
                <w:color w:val="000000"/>
                <w:sz w:val="20"/>
                <w:szCs w:val="20"/>
              </w:rPr>
              <w:t>24.7</w:t>
            </w:r>
          </w:p>
        </w:tc>
        <w:tc>
          <w:tcPr>
            <w:tcW w:w="1235" w:type="dxa"/>
            <w:tcBorders>
              <w:left w:val="nil"/>
              <w:right w:val="nil"/>
            </w:tcBorders>
            <w:vAlign w:val="center"/>
          </w:tcPr>
          <w:p w14:paraId="482DF8E4" w14:textId="77777777" w:rsidR="00DA0D02" w:rsidRPr="00746426" w:rsidRDefault="00DA0D02" w:rsidP="00013648">
            <w:pPr>
              <w:ind w:firstLine="0"/>
              <w:jc w:val="center"/>
              <w:rPr>
                <w:sz w:val="20"/>
                <w:szCs w:val="20"/>
              </w:rPr>
            </w:pPr>
            <w:r w:rsidRPr="00746426">
              <w:rPr>
                <w:rFonts w:cs="Calibri"/>
                <w:bCs/>
                <w:color w:val="000000"/>
                <w:sz w:val="20"/>
                <w:szCs w:val="20"/>
              </w:rPr>
              <w:t>25.4</w:t>
            </w:r>
          </w:p>
        </w:tc>
        <w:tc>
          <w:tcPr>
            <w:tcW w:w="1278" w:type="dxa"/>
            <w:tcBorders>
              <w:left w:val="nil"/>
              <w:right w:val="nil"/>
            </w:tcBorders>
            <w:vAlign w:val="center"/>
          </w:tcPr>
          <w:p w14:paraId="26B216D3" w14:textId="77777777" w:rsidR="00DA0D02" w:rsidRPr="00746426" w:rsidRDefault="00DA0D02" w:rsidP="00013648">
            <w:pPr>
              <w:ind w:firstLine="0"/>
              <w:jc w:val="center"/>
              <w:rPr>
                <w:sz w:val="20"/>
                <w:szCs w:val="20"/>
              </w:rPr>
            </w:pPr>
            <w:r w:rsidRPr="00746426">
              <w:rPr>
                <w:rFonts w:cs="Calibri"/>
                <w:bCs/>
                <w:color w:val="000000"/>
                <w:sz w:val="20"/>
                <w:szCs w:val="20"/>
              </w:rPr>
              <w:t>25.7</w:t>
            </w:r>
          </w:p>
        </w:tc>
        <w:tc>
          <w:tcPr>
            <w:tcW w:w="1192" w:type="dxa"/>
            <w:tcBorders>
              <w:left w:val="nil"/>
              <w:right w:val="nil"/>
            </w:tcBorders>
            <w:vAlign w:val="center"/>
          </w:tcPr>
          <w:p w14:paraId="192267E2" w14:textId="77777777" w:rsidR="00DA0D02" w:rsidRPr="00746426" w:rsidRDefault="00DA0D02" w:rsidP="00013648">
            <w:pPr>
              <w:ind w:firstLine="0"/>
              <w:jc w:val="center"/>
              <w:rPr>
                <w:sz w:val="20"/>
                <w:szCs w:val="20"/>
              </w:rPr>
            </w:pPr>
            <w:r w:rsidRPr="00746426">
              <w:rPr>
                <w:rFonts w:cs="Calibri"/>
                <w:bCs/>
                <w:color w:val="000000"/>
                <w:sz w:val="20"/>
                <w:szCs w:val="20"/>
              </w:rPr>
              <w:t>25.9</w:t>
            </w:r>
          </w:p>
        </w:tc>
        <w:tc>
          <w:tcPr>
            <w:tcW w:w="1073" w:type="dxa"/>
            <w:tcBorders>
              <w:left w:val="nil"/>
              <w:right w:val="nil"/>
            </w:tcBorders>
            <w:vAlign w:val="center"/>
          </w:tcPr>
          <w:p w14:paraId="57F80AAA" w14:textId="77777777" w:rsidR="00DA0D02" w:rsidRPr="00746426" w:rsidRDefault="00DA0D02" w:rsidP="00013648">
            <w:pPr>
              <w:ind w:firstLine="0"/>
              <w:jc w:val="center"/>
              <w:rPr>
                <w:sz w:val="20"/>
                <w:szCs w:val="20"/>
              </w:rPr>
            </w:pPr>
            <w:r w:rsidRPr="00746426">
              <w:rPr>
                <w:rFonts w:cs="Calibri"/>
                <w:bCs/>
                <w:color w:val="000000"/>
                <w:sz w:val="20"/>
                <w:szCs w:val="20"/>
              </w:rPr>
              <w:t>26.5</w:t>
            </w:r>
          </w:p>
        </w:tc>
        <w:tc>
          <w:tcPr>
            <w:tcW w:w="1073" w:type="dxa"/>
            <w:tcBorders>
              <w:left w:val="nil"/>
              <w:right w:val="nil"/>
            </w:tcBorders>
            <w:vAlign w:val="center"/>
          </w:tcPr>
          <w:p w14:paraId="61BDF31F" w14:textId="77777777" w:rsidR="00DA0D02" w:rsidRPr="00746426" w:rsidRDefault="00DA0D02" w:rsidP="00013648">
            <w:pPr>
              <w:ind w:firstLine="0"/>
              <w:jc w:val="center"/>
              <w:rPr>
                <w:sz w:val="20"/>
                <w:szCs w:val="20"/>
              </w:rPr>
            </w:pPr>
            <w:r w:rsidRPr="00746426">
              <w:rPr>
                <w:rFonts w:cs="Calibri"/>
                <w:bCs/>
                <w:color w:val="000000"/>
                <w:sz w:val="20"/>
                <w:szCs w:val="20"/>
              </w:rPr>
              <w:t>26.8</w:t>
            </w:r>
          </w:p>
        </w:tc>
      </w:tr>
      <w:tr w:rsidR="00DA0D02" w:rsidRPr="0070296A" w14:paraId="63AFBCB1" w14:textId="77777777" w:rsidTr="00746426">
        <w:trPr>
          <w:trHeight w:val="127"/>
          <w:jc w:val="center"/>
        </w:trPr>
        <w:tc>
          <w:tcPr>
            <w:tcW w:w="3387" w:type="dxa"/>
            <w:tcBorders>
              <w:left w:val="nil"/>
              <w:right w:val="nil"/>
            </w:tcBorders>
            <w:vAlign w:val="center"/>
          </w:tcPr>
          <w:p w14:paraId="555FB09C" w14:textId="77777777" w:rsidR="00DA0D02" w:rsidRPr="00746426" w:rsidRDefault="00DA0D02" w:rsidP="00013648">
            <w:pPr>
              <w:spacing w:line="240" w:lineRule="auto"/>
              <w:ind w:firstLine="0"/>
              <w:jc w:val="left"/>
              <w:rPr>
                <w:sz w:val="20"/>
                <w:szCs w:val="20"/>
              </w:rPr>
            </w:pPr>
            <w:r w:rsidRPr="00746426">
              <w:rPr>
                <w:sz w:val="20"/>
                <w:szCs w:val="20"/>
              </w:rPr>
              <w:t>Ծախսեր</w:t>
            </w:r>
          </w:p>
        </w:tc>
        <w:tc>
          <w:tcPr>
            <w:tcW w:w="1278" w:type="dxa"/>
            <w:tcBorders>
              <w:left w:val="double" w:sz="4" w:space="0" w:color="auto"/>
              <w:right w:val="nil"/>
            </w:tcBorders>
            <w:vAlign w:val="center"/>
          </w:tcPr>
          <w:p w14:paraId="530738E5" w14:textId="77777777" w:rsidR="00DA0D02" w:rsidRPr="00746426" w:rsidRDefault="00DA0D02" w:rsidP="00013648">
            <w:pPr>
              <w:ind w:firstLine="0"/>
              <w:jc w:val="center"/>
              <w:rPr>
                <w:sz w:val="20"/>
                <w:szCs w:val="20"/>
              </w:rPr>
            </w:pPr>
            <w:r w:rsidRPr="00746426">
              <w:rPr>
                <w:rFonts w:cs="Calibri"/>
                <w:bCs/>
                <w:color w:val="000000"/>
                <w:sz w:val="20"/>
                <w:szCs w:val="20"/>
              </w:rPr>
              <w:t>26.8</w:t>
            </w:r>
          </w:p>
        </w:tc>
        <w:tc>
          <w:tcPr>
            <w:tcW w:w="1235" w:type="dxa"/>
            <w:tcBorders>
              <w:left w:val="nil"/>
              <w:right w:val="nil"/>
            </w:tcBorders>
            <w:vAlign w:val="center"/>
          </w:tcPr>
          <w:p w14:paraId="571E9C6E" w14:textId="77777777" w:rsidR="00DA0D02" w:rsidRPr="00746426" w:rsidRDefault="00DA0D02" w:rsidP="00013648">
            <w:pPr>
              <w:ind w:firstLine="0"/>
              <w:jc w:val="center"/>
              <w:rPr>
                <w:sz w:val="20"/>
                <w:szCs w:val="20"/>
              </w:rPr>
            </w:pPr>
            <w:r w:rsidRPr="00746426">
              <w:rPr>
                <w:rFonts w:cs="Calibri"/>
                <w:bCs/>
                <w:color w:val="000000"/>
                <w:sz w:val="20"/>
                <w:szCs w:val="20"/>
              </w:rPr>
              <w:t>27.3</w:t>
            </w:r>
          </w:p>
        </w:tc>
        <w:tc>
          <w:tcPr>
            <w:tcW w:w="1278" w:type="dxa"/>
            <w:tcBorders>
              <w:left w:val="nil"/>
              <w:right w:val="nil"/>
            </w:tcBorders>
            <w:vAlign w:val="center"/>
          </w:tcPr>
          <w:p w14:paraId="4C640FBC" w14:textId="77777777" w:rsidR="00DA0D02" w:rsidRPr="00746426" w:rsidRDefault="00DA0D02" w:rsidP="00013648">
            <w:pPr>
              <w:ind w:firstLine="0"/>
              <w:jc w:val="center"/>
              <w:rPr>
                <w:sz w:val="20"/>
                <w:szCs w:val="20"/>
              </w:rPr>
            </w:pPr>
            <w:r w:rsidRPr="00746426">
              <w:rPr>
                <w:rFonts w:cs="Calibri"/>
                <w:bCs/>
                <w:color w:val="000000"/>
                <w:sz w:val="20"/>
                <w:szCs w:val="20"/>
              </w:rPr>
              <w:t>30.5</w:t>
            </w:r>
          </w:p>
        </w:tc>
        <w:tc>
          <w:tcPr>
            <w:tcW w:w="1192" w:type="dxa"/>
            <w:tcBorders>
              <w:left w:val="nil"/>
              <w:right w:val="nil"/>
            </w:tcBorders>
            <w:vAlign w:val="center"/>
          </w:tcPr>
          <w:p w14:paraId="35BC8F17" w14:textId="77777777" w:rsidR="00DA0D02" w:rsidRPr="00746426" w:rsidRDefault="00DA0D02" w:rsidP="00013648">
            <w:pPr>
              <w:ind w:firstLine="0"/>
              <w:jc w:val="center"/>
              <w:rPr>
                <w:sz w:val="20"/>
                <w:szCs w:val="20"/>
              </w:rPr>
            </w:pPr>
            <w:r w:rsidRPr="00746426">
              <w:rPr>
                <w:rFonts w:cs="Calibri"/>
                <w:bCs/>
                <w:color w:val="000000"/>
                <w:sz w:val="20"/>
                <w:szCs w:val="20"/>
              </w:rPr>
              <w:t>31.4</w:t>
            </w:r>
          </w:p>
        </w:tc>
        <w:tc>
          <w:tcPr>
            <w:tcW w:w="1073" w:type="dxa"/>
            <w:tcBorders>
              <w:left w:val="nil"/>
              <w:right w:val="nil"/>
            </w:tcBorders>
            <w:vAlign w:val="center"/>
          </w:tcPr>
          <w:p w14:paraId="1DCA3F7F" w14:textId="77777777" w:rsidR="00DA0D02" w:rsidRPr="00746426" w:rsidRDefault="00DA0D02" w:rsidP="00013648">
            <w:pPr>
              <w:ind w:firstLine="0"/>
              <w:jc w:val="center"/>
              <w:rPr>
                <w:sz w:val="20"/>
                <w:szCs w:val="20"/>
              </w:rPr>
            </w:pPr>
            <w:r w:rsidRPr="00746426">
              <w:rPr>
                <w:rFonts w:cs="Calibri"/>
                <w:bCs/>
                <w:color w:val="000000"/>
                <w:sz w:val="20"/>
                <w:szCs w:val="20"/>
              </w:rPr>
              <w:t>31.0</w:t>
            </w:r>
          </w:p>
        </w:tc>
        <w:tc>
          <w:tcPr>
            <w:tcW w:w="1073" w:type="dxa"/>
            <w:tcBorders>
              <w:left w:val="nil"/>
              <w:right w:val="nil"/>
            </w:tcBorders>
            <w:vAlign w:val="center"/>
          </w:tcPr>
          <w:p w14:paraId="72F2B251" w14:textId="77777777" w:rsidR="00DA0D02" w:rsidRPr="00746426" w:rsidRDefault="00DA0D02" w:rsidP="00013648">
            <w:pPr>
              <w:ind w:firstLine="0"/>
              <w:jc w:val="center"/>
              <w:rPr>
                <w:sz w:val="20"/>
                <w:szCs w:val="20"/>
              </w:rPr>
            </w:pPr>
            <w:r w:rsidRPr="00746426">
              <w:rPr>
                <w:rFonts w:cs="Calibri"/>
                <w:bCs/>
                <w:color w:val="000000"/>
                <w:sz w:val="20"/>
                <w:szCs w:val="20"/>
              </w:rPr>
              <w:t>30.3</w:t>
            </w:r>
          </w:p>
        </w:tc>
      </w:tr>
      <w:tr w:rsidR="00DA0D02" w:rsidRPr="0070296A" w14:paraId="3A20D44C" w14:textId="77777777" w:rsidTr="00746426">
        <w:trPr>
          <w:trHeight w:val="177"/>
          <w:jc w:val="center"/>
        </w:trPr>
        <w:tc>
          <w:tcPr>
            <w:tcW w:w="3387" w:type="dxa"/>
            <w:tcBorders>
              <w:left w:val="nil"/>
              <w:right w:val="nil"/>
            </w:tcBorders>
            <w:vAlign w:val="center"/>
          </w:tcPr>
          <w:p w14:paraId="67E6C876" w14:textId="77777777" w:rsidR="00DA0D02" w:rsidRPr="00746426" w:rsidRDefault="00DA0D02" w:rsidP="00013648">
            <w:pPr>
              <w:spacing w:line="240" w:lineRule="auto"/>
              <w:ind w:firstLine="0"/>
              <w:jc w:val="left"/>
              <w:rPr>
                <w:sz w:val="20"/>
                <w:szCs w:val="20"/>
              </w:rPr>
            </w:pPr>
            <w:r w:rsidRPr="00746426">
              <w:rPr>
                <w:sz w:val="20"/>
                <w:szCs w:val="20"/>
              </w:rPr>
              <w:t>Պակասուրդ (-)</w:t>
            </w:r>
          </w:p>
        </w:tc>
        <w:tc>
          <w:tcPr>
            <w:tcW w:w="1278" w:type="dxa"/>
            <w:tcBorders>
              <w:left w:val="double" w:sz="4" w:space="0" w:color="auto"/>
              <w:right w:val="nil"/>
            </w:tcBorders>
            <w:vAlign w:val="center"/>
          </w:tcPr>
          <w:p w14:paraId="1BA541DE" w14:textId="77777777" w:rsidR="00DA0D02" w:rsidRPr="00746426" w:rsidRDefault="00DA0D02" w:rsidP="00013648">
            <w:pPr>
              <w:ind w:firstLine="0"/>
              <w:jc w:val="center"/>
              <w:rPr>
                <w:sz w:val="20"/>
                <w:szCs w:val="20"/>
              </w:rPr>
            </w:pPr>
            <w:r w:rsidRPr="00746426">
              <w:rPr>
                <w:rFonts w:cs="Calibri"/>
                <w:bCs/>
                <w:color w:val="000000"/>
                <w:sz w:val="20"/>
                <w:szCs w:val="20"/>
              </w:rPr>
              <w:t>-2.1</w:t>
            </w:r>
          </w:p>
        </w:tc>
        <w:tc>
          <w:tcPr>
            <w:tcW w:w="1235" w:type="dxa"/>
            <w:tcBorders>
              <w:left w:val="nil"/>
              <w:right w:val="nil"/>
            </w:tcBorders>
            <w:vAlign w:val="center"/>
          </w:tcPr>
          <w:p w14:paraId="2DDCA3D0" w14:textId="77777777" w:rsidR="00DA0D02" w:rsidRPr="00746426" w:rsidRDefault="00DA0D02" w:rsidP="00013648">
            <w:pPr>
              <w:ind w:firstLine="0"/>
              <w:jc w:val="center"/>
              <w:rPr>
                <w:sz w:val="20"/>
                <w:szCs w:val="20"/>
              </w:rPr>
            </w:pPr>
            <w:r w:rsidRPr="00746426">
              <w:rPr>
                <w:rFonts w:cs="Calibri"/>
                <w:bCs/>
                <w:color w:val="000000"/>
                <w:sz w:val="20"/>
                <w:szCs w:val="20"/>
              </w:rPr>
              <w:t>-2.0</w:t>
            </w:r>
          </w:p>
        </w:tc>
        <w:tc>
          <w:tcPr>
            <w:tcW w:w="1278" w:type="dxa"/>
            <w:tcBorders>
              <w:left w:val="nil"/>
              <w:right w:val="nil"/>
            </w:tcBorders>
            <w:vAlign w:val="center"/>
          </w:tcPr>
          <w:p w14:paraId="048524F4" w14:textId="77777777" w:rsidR="00DA0D02" w:rsidRPr="00746426" w:rsidRDefault="00DA0D02" w:rsidP="00013648">
            <w:pPr>
              <w:ind w:firstLine="0"/>
              <w:jc w:val="center"/>
              <w:rPr>
                <w:sz w:val="20"/>
                <w:szCs w:val="20"/>
              </w:rPr>
            </w:pPr>
            <w:r w:rsidRPr="00746426">
              <w:rPr>
                <w:rFonts w:cs="Calibri"/>
                <w:bCs/>
                <w:color w:val="000000"/>
                <w:sz w:val="20"/>
                <w:szCs w:val="20"/>
              </w:rPr>
              <w:t>-4.7</w:t>
            </w:r>
          </w:p>
        </w:tc>
        <w:tc>
          <w:tcPr>
            <w:tcW w:w="1192" w:type="dxa"/>
            <w:tcBorders>
              <w:left w:val="nil"/>
              <w:right w:val="nil"/>
            </w:tcBorders>
            <w:vAlign w:val="center"/>
          </w:tcPr>
          <w:p w14:paraId="02E75593" w14:textId="77777777" w:rsidR="00DA0D02" w:rsidRPr="00746426" w:rsidRDefault="00DA0D02" w:rsidP="00013648">
            <w:pPr>
              <w:ind w:firstLine="0"/>
              <w:jc w:val="center"/>
              <w:rPr>
                <w:sz w:val="20"/>
                <w:szCs w:val="20"/>
              </w:rPr>
            </w:pPr>
            <w:r w:rsidRPr="00746426">
              <w:rPr>
                <w:rFonts w:cs="Calibri"/>
                <w:bCs/>
                <w:color w:val="000000"/>
                <w:sz w:val="20"/>
                <w:szCs w:val="20"/>
              </w:rPr>
              <w:t>-5.5</w:t>
            </w:r>
          </w:p>
        </w:tc>
        <w:tc>
          <w:tcPr>
            <w:tcW w:w="1073" w:type="dxa"/>
            <w:tcBorders>
              <w:left w:val="nil"/>
              <w:right w:val="nil"/>
            </w:tcBorders>
            <w:vAlign w:val="center"/>
          </w:tcPr>
          <w:p w14:paraId="7FCA8CF7" w14:textId="77777777" w:rsidR="00DA0D02" w:rsidRPr="00746426" w:rsidRDefault="00DA0D02" w:rsidP="00013648">
            <w:pPr>
              <w:ind w:firstLine="0"/>
              <w:jc w:val="center"/>
              <w:rPr>
                <w:sz w:val="20"/>
                <w:szCs w:val="20"/>
              </w:rPr>
            </w:pPr>
            <w:r w:rsidRPr="00746426">
              <w:rPr>
                <w:rFonts w:cs="Calibri"/>
                <w:bCs/>
                <w:color w:val="000000"/>
                <w:sz w:val="20"/>
                <w:szCs w:val="20"/>
              </w:rPr>
              <w:t>-4.5</w:t>
            </w:r>
          </w:p>
        </w:tc>
        <w:tc>
          <w:tcPr>
            <w:tcW w:w="1073" w:type="dxa"/>
            <w:tcBorders>
              <w:left w:val="nil"/>
              <w:right w:val="nil"/>
            </w:tcBorders>
            <w:vAlign w:val="center"/>
          </w:tcPr>
          <w:p w14:paraId="188ED227" w14:textId="77777777" w:rsidR="00DA0D02" w:rsidRPr="00746426" w:rsidRDefault="00DA0D02" w:rsidP="00013648">
            <w:pPr>
              <w:ind w:firstLine="0"/>
              <w:jc w:val="center"/>
              <w:rPr>
                <w:sz w:val="20"/>
                <w:szCs w:val="20"/>
              </w:rPr>
            </w:pPr>
            <w:r w:rsidRPr="00746426">
              <w:rPr>
                <w:rFonts w:cs="Calibri"/>
                <w:bCs/>
                <w:color w:val="000000"/>
                <w:sz w:val="20"/>
                <w:szCs w:val="20"/>
              </w:rPr>
              <w:t>-3.5</w:t>
            </w:r>
          </w:p>
        </w:tc>
      </w:tr>
      <w:tr w:rsidR="00DA0D02" w:rsidRPr="0070296A" w14:paraId="3BC930D5" w14:textId="77777777" w:rsidTr="00746426">
        <w:trPr>
          <w:trHeight w:val="176"/>
          <w:jc w:val="center"/>
        </w:trPr>
        <w:tc>
          <w:tcPr>
            <w:tcW w:w="3387" w:type="dxa"/>
            <w:tcBorders>
              <w:left w:val="nil"/>
              <w:right w:val="nil"/>
            </w:tcBorders>
            <w:vAlign w:val="center"/>
          </w:tcPr>
          <w:p w14:paraId="187D2EF2" w14:textId="77777777" w:rsidR="00DA0D02" w:rsidRPr="00746426" w:rsidRDefault="00DA0D02" w:rsidP="00013648">
            <w:pPr>
              <w:spacing w:line="240" w:lineRule="auto"/>
              <w:ind w:firstLine="0"/>
              <w:jc w:val="left"/>
              <w:rPr>
                <w:sz w:val="20"/>
                <w:szCs w:val="20"/>
              </w:rPr>
            </w:pPr>
            <w:r w:rsidRPr="00746426">
              <w:rPr>
                <w:sz w:val="20"/>
                <w:szCs w:val="20"/>
              </w:rPr>
              <w:t>ՀՀ</w:t>
            </w:r>
            <w:r w:rsidRPr="00746426">
              <w:rPr>
                <w:rFonts w:cs="Arial"/>
                <w:sz w:val="20"/>
                <w:szCs w:val="20"/>
              </w:rPr>
              <w:t xml:space="preserve"> </w:t>
            </w:r>
            <w:r w:rsidRPr="00746426">
              <w:rPr>
                <w:sz w:val="20"/>
                <w:szCs w:val="20"/>
              </w:rPr>
              <w:t>կառավարության</w:t>
            </w:r>
            <w:r w:rsidRPr="00746426">
              <w:rPr>
                <w:rFonts w:cs="Arial"/>
                <w:sz w:val="20"/>
                <w:szCs w:val="20"/>
              </w:rPr>
              <w:t xml:space="preserve"> </w:t>
            </w:r>
            <w:r w:rsidRPr="00746426">
              <w:rPr>
                <w:sz w:val="20"/>
                <w:szCs w:val="20"/>
              </w:rPr>
              <w:t>պարտք</w:t>
            </w:r>
          </w:p>
        </w:tc>
        <w:tc>
          <w:tcPr>
            <w:tcW w:w="1278" w:type="dxa"/>
            <w:tcBorders>
              <w:left w:val="double" w:sz="4" w:space="0" w:color="auto"/>
              <w:right w:val="nil"/>
            </w:tcBorders>
            <w:vAlign w:val="center"/>
          </w:tcPr>
          <w:p w14:paraId="157EAA65" w14:textId="77777777" w:rsidR="00DA0D02" w:rsidRPr="00746426" w:rsidRDefault="00DA0D02" w:rsidP="00013648">
            <w:pPr>
              <w:ind w:firstLine="0"/>
              <w:jc w:val="center"/>
              <w:rPr>
                <w:sz w:val="20"/>
                <w:szCs w:val="20"/>
              </w:rPr>
            </w:pPr>
            <w:r w:rsidRPr="00746426">
              <w:rPr>
                <w:rFonts w:cs="Calibri"/>
                <w:bCs/>
                <w:color w:val="000000"/>
                <w:sz w:val="20"/>
                <w:szCs w:val="20"/>
              </w:rPr>
              <w:t>46.7</w:t>
            </w:r>
          </w:p>
        </w:tc>
        <w:tc>
          <w:tcPr>
            <w:tcW w:w="1235" w:type="dxa"/>
            <w:tcBorders>
              <w:left w:val="nil"/>
              <w:right w:val="nil"/>
            </w:tcBorders>
            <w:vAlign w:val="center"/>
          </w:tcPr>
          <w:p w14:paraId="375BAC2D" w14:textId="77777777" w:rsidR="00DA0D02" w:rsidRPr="00746426" w:rsidRDefault="00DA0D02" w:rsidP="00013648">
            <w:pPr>
              <w:ind w:firstLine="0"/>
              <w:jc w:val="center"/>
              <w:rPr>
                <w:sz w:val="20"/>
                <w:szCs w:val="20"/>
              </w:rPr>
            </w:pPr>
            <w:r w:rsidRPr="00746426">
              <w:rPr>
                <w:rFonts w:cs="Calibri"/>
                <w:bCs/>
                <w:color w:val="000000"/>
                <w:sz w:val="20"/>
                <w:szCs w:val="20"/>
              </w:rPr>
              <w:t>48.1</w:t>
            </w:r>
          </w:p>
        </w:tc>
        <w:tc>
          <w:tcPr>
            <w:tcW w:w="1278" w:type="dxa"/>
            <w:tcBorders>
              <w:left w:val="nil"/>
              <w:right w:val="nil"/>
            </w:tcBorders>
            <w:vAlign w:val="center"/>
          </w:tcPr>
          <w:p w14:paraId="52E8F8C3" w14:textId="77777777" w:rsidR="00DA0D02" w:rsidRPr="00746426" w:rsidRDefault="00DA0D02" w:rsidP="00013648">
            <w:pPr>
              <w:ind w:firstLine="0"/>
              <w:jc w:val="center"/>
              <w:rPr>
                <w:sz w:val="20"/>
                <w:szCs w:val="20"/>
              </w:rPr>
            </w:pPr>
            <w:r w:rsidRPr="00746426">
              <w:rPr>
                <w:rFonts w:cs="Calibri"/>
                <w:bCs/>
                <w:color w:val="000000"/>
                <w:sz w:val="20"/>
                <w:szCs w:val="20"/>
              </w:rPr>
              <w:t>50.5</w:t>
            </w:r>
          </w:p>
        </w:tc>
        <w:tc>
          <w:tcPr>
            <w:tcW w:w="1192" w:type="dxa"/>
            <w:tcBorders>
              <w:left w:val="nil"/>
              <w:right w:val="nil"/>
            </w:tcBorders>
            <w:vAlign w:val="center"/>
          </w:tcPr>
          <w:p w14:paraId="4E9C3671" w14:textId="77777777" w:rsidR="00DA0D02" w:rsidRPr="00746426" w:rsidRDefault="00DA0D02" w:rsidP="00013648">
            <w:pPr>
              <w:ind w:firstLine="0"/>
              <w:jc w:val="center"/>
              <w:rPr>
                <w:sz w:val="20"/>
                <w:szCs w:val="20"/>
              </w:rPr>
            </w:pPr>
            <w:r w:rsidRPr="00746426">
              <w:rPr>
                <w:rFonts w:cs="Calibri"/>
                <w:bCs/>
                <w:color w:val="000000"/>
                <w:sz w:val="20"/>
                <w:szCs w:val="20"/>
              </w:rPr>
              <w:t>53.7</w:t>
            </w:r>
          </w:p>
        </w:tc>
        <w:tc>
          <w:tcPr>
            <w:tcW w:w="1073" w:type="dxa"/>
            <w:tcBorders>
              <w:left w:val="nil"/>
              <w:right w:val="nil"/>
            </w:tcBorders>
            <w:vAlign w:val="center"/>
          </w:tcPr>
          <w:p w14:paraId="59E17294" w14:textId="77777777" w:rsidR="00DA0D02" w:rsidRPr="00746426" w:rsidRDefault="00DA0D02" w:rsidP="00013648">
            <w:pPr>
              <w:ind w:firstLine="0"/>
              <w:jc w:val="center"/>
              <w:rPr>
                <w:sz w:val="20"/>
                <w:szCs w:val="20"/>
              </w:rPr>
            </w:pPr>
            <w:r w:rsidRPr="00746426">
              <w:rPr>
                <w:rFonts w:cs="Calibri"/>
                <w:bCs/>
                <w:color w:val="000000"/>
                <w:sz w:val="20"/>
                <w:szCs w:val="20"/>
              </w:rPr>
              <w:t>55.0</w:t>
            </w:r>
          </w:p>
        </w:tc>
        <w:tc>
          <w:tcPr>
            <w:tcW w:w="1073" w:type="dxa"/>
            <w:tcBorders>
              <w:left w:val="nil"/>
              <w:right w:val="nil"/>
            </w:tcBorders>
            <w:vAlign w:val="center"/>
          </w:tcPr>
          <w:p w14:paraId="38F57653" w14:textId="77777777" w:rsidR="00DA0D02" w:rsidRPr="00746426" w:rsidRDefault="00DA0D02" w:rsidP="00013648">
            <w:pPr>
              <w:ind w:firstLine="0"/>
              <w:jc w:val="center"/>
              <w:rPr>
                <w:sz w:val="20"/>
                <w:szCs w:val="20"/>
              </w:rPr>
            </w:pPr>
            <w:r w:rsidRPr="00746426">
              <w:rPr>
                <w:rFonts w:cs="Calibri"/>
                <w:bCs/>
                <w:color w:val="000000"/>
                <w:sz w:val="20"/>
                <w:szCs w:val="20"/>
              </w:rPr>
              <w:t>55.0</w:t>
            </w:r>
          </w:p>
        </w:tc>
      </w:tr>
      <w:tr w:rsidR="00DA0D02" w:rsidRPr="0070296A" w14:paraId="0BE06B7E" w14:textId="77777777" w:rsidTr="00746426">
        <w:trPr>
          <w:trHeight w:val="162"/>
          <w:jc w:val="center"/>
        </w:trPr>
        <w:tc>
          <w:tcPr>
            <w:tcW w:w="9447" w:type="dxa"/>
            <w:gridSpan w:val="6"/>
            <w:tcBorders>
              <w:left w:val="nil"/>
              <w:right w:val="nil"/>
            </w:tcBorders>
            <w:vAlign w:val="center"/>
          </w:tcPr>
          <w:p w14:paraId="30633DB0" w14:textId="77777777" w:rsidR="00DA0D02" w:rsidRPr="00746426" w:rsidDel="00A75F14" w:rsidRDefault="00DA0D02" w:rsidP="00013648">
            <w:pPr>
              <w:spacing w:line="240" w:lineRule="auto"/>
              <w:ind w:firstLine="0"/>
              <w:jc w:val="center"/>
              <w:rPr>
                <w:bCs/>
                <w:sz w:val="20"/>
                <w:szCs w:val="20"/>
              </w:rPr>
            </w:pPr>
            <w:r w:rsidRPr="00746426">
              <w:rPr>
                <w:bCs/>
                <w:sz w:val="20"/>
                <w:szCs w:val="20"/>
              </w:rPr>
              <w:t>Արտաքին</w:t>
            </w:r>
            <w:r w:rsidRPr="00746426">
              <w:rPr>
                <w:rFonts w:cs="Arial"/>
                <w:bCs/>
                <w:sz w:val="20"/>
                <w:szCs w:val="20"/>
              </w:rPr>
              <w:t xml:space="preserve"> </w:t>
            </w:r>
            <w:r w:rsidRPr="00746426">
              <w:rPr>
                <w:bCs/>
                <w:sz w:val="20"/>
                <w:szCs w:val="20"/>
              </w:rPr>
              <w:t>հատված</w:t>
            </w:r>
          </w:p>
        </w:tc>
        <w:tc>
          <w:tcPr>
            <w:tcW w:w="1073" w:type="dxa"/>
            <w:tcBorders>
              <w:left w:val="nil"/>
              <w:right w:val="nil"/>
            </w:tcBorders>
          </w:tcPr>
          <w:p w14:paraId="6A424866" w14:textId="77777777" w:rsidR="00DA0D02" w:rsidRPr="00746426" w:rsidRDefault="00DA0D02" w:rsidP="00013648">
            <w:pPr>
              <w:spacing w:line="240" w:lineRule="auto"/>
              <w:ind w:firstLine="0"/>
              <w:jc w:val="center"/>
              <w:rPr>
                <w:bCs/>
                <w:sz w:val="20"/>
                <w:szCs w:val="20"/>
              </w:rPr>
            </w:pPr>
          </w:p>
        </w:tc>
      </w:tr>
      <w:tr w:rsidR="00DA0D02" w:rsidRPr="0070296A" w14:paraId="566367DE" w14:textId="77777777" w:rsidTr="00746426">
        <w:trPr>
          <w:trHeight w:val="212"/>
          <w:jc w:val="center"/>
        </w:trPr>
        <w:tc>
          <w:tcPr>
            <w:tcW w:w="3387" w:type="dxa"/>
            <w:tcBorders>
              <w:left w:val="nil"/>
              <w:right w:val="nil"/>
            </w:tcBorders>
            <w:vAlign w:val="center"/>
          </w:tcPr>
          <w:p w14:paraId="3B886C9B" w14:textId="77777777" w:rsidR="00DA0D02" w:rsidRPr="00746426" w:rsidDel="00A75F14" w:rsidRDefault="00DA0D02" w:rsidP="00013648">
            <w:pPr>
              <w:spacing w:line="240" w:lineRule="auto"/>
              <w:ind w:firstLine="0"/>
              <w:jc w:val="left"/>
              <w:rPr>
                <w:sz w:val="20"/>
                <w:szCs w:val="20"/>
              </w:rPr>
            </w:pPr>
            <w:r w:rsidRPr="00746426">
              <w:rPr>
                <w:sz w:val="20"/>
                <w:szCs w:val="20"/>
              </w:rPr>
              <w:t>Ապրանքների</w:t>
            </w:r>
            <w:r w:rsidRPr="00746426">
              <w:rPr>
                <w:rFonts w:cs="Arial"/>
                <w:sz w:val="20"/>
                <w:szCs w:val="20"/>
              </w:rPr>
              <w:t xml:space="preserve"> </w:t>
            </w:r>
            <w:r w:rsidRPr="00746426">
              <w:rPr>
                <w:sz w:val="20"/>
                <w:szCs w:val="20"/>
              </w:rPr>
              <w:t>և</w:t>
            </w:r>
            <w:r w:rsidRPr="00746426">
              <w:rPr>
                <w:rFonts w:cs="Arial"/>
                <w:sz w:val="20"/>
                <w:szCs w:val="20"/>
              </w:rPr>
              <w:t xml:space="preserve"> </w:t>
            </w:r>
            <w:r w:rsidRPr="00746426">
              <w:rPr>
                <w:sz w:val="20"/>
                <w:szCs w:val="20"/>
              </w:rPr>
              <w:t>ծառայությունների</w:t>
            </w:r>
            <w:r w:rsidRPr="00746426">
              <w:rPr>
                <w:rFonts w:cs="Arial"/>
                <w:sz w:val="20"/>
                <w:szCs w:val="20"/>
              </w:rPr>
              <w:t xml:space="preserve"> </w:t>
            </w:r>
            <w:r w:rsidRPr="00746426">
              <w:rPr>
                <w:sz w:val="20"/>
                <w:szCs w:val="20"/>
              </w:rPr>
              <w:t>արտահանում</w:t>
            </w:r>
            <w:r w:rsidRPr="00746426">
              <w:rPr>
                <w:rFonts w:cs="Arial"/>
                <w:sz w:val="20"/>
                <w:szCs w:val="20"/>
              </w:rPr>
              <w:t xml:space="preserve"> (մլն </w:t>
            </w:r>
            <w:r w:rsidRPr="00746426">
              <w:rPr>
                <w:sz w:val="20"/>
                <w:szCs w:val="20"/>
              </w:rPr>
              <w:t>ԱՄՆ</w:t>
            </w:r>
            <w:r w:rsidRPr="00746426">
              <w:rPr>
                <w:rFonts w:cs="Arial"/>
                <w:sz w:val="20"/>
                <w:szCs w:val="20"/>
              </w:rPr>
              <w:t xml:space="preserve"> </w:t>
            </w:r>
            <w:r w:rsidRPr="00746426">
              <w:rPr>
                <w:sz w:val="20"/>
                <w:szCs w:val="20"/>
              </w:rPr>
              <w:t>դոլար</w:t>
            </w:r>
            <w:r w:rsidRPr="00746426">
              <w:rPr>
                <w:rFonts w:cs="Arial"/>
                <w:sz w:val="20"/>
                <w:szCs w:val="20"/>
              </w:rPr>
              <w:t>)</w:t>
            </w:r>
          </w:p>
        </w:tc>
        <w:tc>
          <w:tcPr>
            <w:tcW w:w="1278" w:type="dxa"/>
            <w:tcBorders>
              <w:left w:val="double" w:sz="4" w:space="0" w:color="auto"/>
              <w:right w:val="nil"/>
            </w:tcBorders>
            <w:vAlign w:val="center"/>
          </w:tcPr>
          <w:p w14:paraId="7BBB5A1C"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9,698.5</w:t>
            </w:r>
          </w:p>
        </w:tc>
        <w:tc>
          <w:tcPr>
            <w:tcW w:w="1235" w:type="dxa"/>
            <w:tcBorders>
              <w:left w:val="nil"/>
              <w:right w:val="nil"/>
            </w:tcBorders>
            <w:vAlign w:val="center"/>
          </w:tcPr>
          <w:p w14:paraId="5D7CE246" w14:textId="77777777" w:rsidR="00DA0D02" w:rsidRPr="00746426" w:rsidRDefault="00DA0D02" w:rsidP="00013648">
            <w:pPr>
              <w:spacing w:line="240" w:lineRule="auto"/>
              <w:ind w:firstLine="0"/>
              <w:jc w:val="center"/>
              <w:rPr>
                <w:rFonts w:eastAsia="Calibri" w:cs="Arial"/>
                <w:bCs/>
                <w:sz w:val="20"/>
                <w:szCs w:val="20"/>
              </w:rPr>
            </w:pPr>
            <w:r w:rsidRPr="00746426">
              <w:rPr>
                <w:sz w:val="20"/>
                <w:szCs w:val="20"/>
              </w:rPr>
              <w:t>12,842.2</w:t>
            </w:r>
          </w:p>
        </w:tc>
        <w:tc>
          <w:tcPr>
            <w:tcW w:w="1278" w:type="dxa"/>
            <w:tcBorders>
              <w:left w:val="nil"/>
              <w:right w:val="nil"/>
            </w:tcBorders>
            <w:vAlign w:val="center"/>
          </w:tcPr>
          <w:p w14:paraId="1B018C3F"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14,284.2</w:t>
            </w:r>
          </w:p>
        </w:tc>
        <w:tc>
          <w:tcPr>
            <w:tcW w:w="1192" w:type="dxa"/>
            <w:tcBorders>
              <w:left w:val="nil"/>
              <w:right w:val="nil"/>
            </w:tcBorders>
            <w:vAlign w:val="center"/>
          </w:tcPr>
          <w:p w14:paraId="256E072F"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15,842.5</w:t>
            </w:r>
          </w:p>
        </w:tc>
        <w:tc>
          <w:tcPr>
            <w:tcW w:w="1073" w:type="dxa"/>
            <w:tcBorders>
              <w:left w:val="nil"/>
              <w:right w:val="nil"/>
            </w:tcBorders>
            <w:vAlign w:val="center"/>
          </w:tcPr>
          <w:p w14:paraId="091655B1"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17,545.6</w:t>
            </w:r>
          </w:p>
        </w:tc>
        <w:tc>
          <w:tcPr>
            <w:tcW w:w="1073" w:type="dxa"/>
            <w:tcBorders>
              <w:left w:val="nil"/>
              <w:right w:val="nil"/>
            </w:tcBorders>
            <w:vAlign w:val="center"/>
          </w:tcPr>
          <w:p w14:paraId="38E222F2" w14:textId="77777777" w:rsidR="00DA0D02" w:rsidRPr="00746426" w:rsidRDefault="00DA0D02" w:rsidP="00013648">
            <w:pPr>
              <w:spacing w:line="240" w:lineRule="auto"/>
              <w:ind w:firstLine="0"/>
              <w:jc w:val="center"/>
              <w:rPr>
                <w:sz w:val="20"/>
                <w:szCs w:val="20"/>
              </w:rPr>
            </w:pPr>
            <w:r w:rsidRPr="00746426">
              <w:rPr>
                <w:sz w:val="20"/>
                <w:szCs w:val="20"/>
              </w:rPr>
              <w:t>9,698.5</w:t>
            </w:r>
          </w:p>
        </w:tc>
      </w:tr>
      <w:tr w:rsidR="00DA0D02" w:rsidRPr="0070296A" w14:paraId="03CE9FAB" w14:textId="77777777" w:rsidTr="00746426">
        <w:trPr>
          <w:trHeight w:val="212"/>
          <w:jc w:val="center"/>
        </w:trPr>
        <w:tc>
          <w:tcPr>
            <w:tcW w:w="3387" w:type="dxa"/>
            <w:tcBorders>
              <w:left w:val="nil"/>
              <w:right w:val="nil"/>
            </w:tcBorders>
            <w:vAlign w:val="center"/>
          </w:tcPr>
          <w:p w14:paraId="3E949434" w14:textId="77777777" w:rsidR="00DA0D02" w:rsidRPr="00746426" w:rsidDel="00A75F14" w:rsidRDefault="00DA0D02" w:rsidP="00013648">
            <w:pPr>
              <w:spacing w:line="240" w:lineRule="auto"/>
              <w:ind w:firstLine="0"/>
              <w:jc w:val="left"/>
              <w:rPr>
                <w:sz w:val="20"/>
                <w:szCs w:val="20"/>
              </w:rPr>
            </w:pPr>
            <w:r w:rsidRPr="00746426">
              <w:rPr>
                <w:sz w:val="20"/>
                <w:szCs w:val="20"/>
              </w:rPr>
              <w:t>Ապրանքների</w:t>
            </w:r>
            <w:r w:rsidRPr="00746426">
              <w:rPr>
                <w:rFonts w:cs="Arial"/>
                <w:sz w:val="20"/>
                <w:szCs w:val="20"/>
              </w:rPr>
              <w:t xml:space="preserve"> </w:t>
            </w:r>
            <w:r w:rsidRPr="00746426">
              <w:rPr>
                <w:sz w:val="20"/>
                <w:szCs w:val="20"/>
              </w:rPr>
              <w:t>և</w:t>
            </w:r>
            <w:r w:rsidRPr="00746426">
              <w:rPr>
                <w:rFonts w:cs="Arial"/>
                <w:sz w:val="20"/>
                <w:szCs w:val="20"/>
              </w:rPr>
              <w:t xml:space="preserve"> </w:t>
            </w:r>
            <w:r w:rsidRPr="00746426">
              <w:rPr>
                <w:sz w:val="20"/>
                <w:szCs w:val="20"/>
              </w:rPr>
              <w:t>ծառայությունների</w:t>
            </w:r>
            <w:r w:rsidRPr="00746426">
              <w:rPr>
                <w:rFonts w:cs="Arial"/>
                <w:sz w:val="20"/>
                <w:szCs w:val="20"/>
              </w:rPr>
              <w:t xml:space="preserve"> </w:t>
            </w:r>
            <w:r w:rsidRPr="00746426">
              <w:rPr>
                <w:sz w:val="20"/>
                <w:szCs w:val="20"/>
              </w:rPr>
              <w:t>ներմուծում</w:t>
            </w:r>
            <w:r w:rsidRPr="00746426">
              <w:rPr>
                <w:rFonts w:cs="Arial"/>
                <w:sz w:val="20"/>
                <w:szCs w:val="20"/>
              </w:rPr>
              <w:t xml:space="preserve"> (մլն </w:t>
            </w:r>
            <w:r w:rsidRPr="00746426">
              <w:rPr>
                <w:sz w:val="20"/>
                <w:szCs w:val="20"/>
              </w:rPr>
              <w:t>ԱՄՆ</w:t>
            </w:r>
            <w:r w:rsidRPr="00746426">
              <w:rPr>
                <w:rFonts w:cs="Arial"/>
                <w:sz w:val="20"/>
                <w:szCs w:val="20"/>
              </w:rPr>
              <w:t xml:space="preserve"> </w:t>
            </w:r>
            <w:r w:rsidRPr="00746426">
              <w:rPr>
                <w:sz w:val="20"/>
                <w:szCs w:val="20"/>
              </w:rPr>
              <w:t>դոլար</w:t>
            </w:r>
            <w:r w:rsidRPr="00746426">
              <w:rPr>
                <w:rFonts w:cs="Arial"/>
                <w:sz w:val="20"/>
                <w:szCs w:val="20"/>
              </w:rPr>
              <w:t>)</w:t>
            </w:r>
          </w:p>
        </w:tc>
        <w:tc>
          <w:tcPr>
            <w:tcW w:w="1278" w:type="dxa"/>
            <w:tcBorders>
              <w:left w:val="double" w:sz="4" w:space="0" w:color="auto"/>
              <w:right w:val="nil"/>
            </w:tcBorders>
            <w:vAlign w:val="center"/>
          </w:tcPr>
          <w:p w14:paraId="65065F96"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10,117.5</w:t>
            </w:r>
          </w:p>
        </w:tc>
        <w:tc>
          <w:tcPr>
            <w:tcW w:w="1235" w:type="dxa"/>
            <w:tcBorders>
              <w:left w:val="nil"/>
              <w:right w:val="nil"/>
            </w:tcBorders>
            <w:vAlign w:val="center"/>
          </w:tcPr>
          <w:p w14:paraId="408DEF62" w14:textId="77777777" w:rsidR="00DA0D02" w:rsidRPr="00746426" w:rsidRDefault="00DA0D02" w:rsidP="00013648">
            <w:pPr>
              <w:spacing w:line="240" w:lineRule="auto"/>
              <w:ind w:firstLine="0"/>
              <w:jc w:val="center"/>
              <w:rPr>
                <w:rFonts w:eastAsia="Calibri" w:cs="Arial"/>
                <w:bCs/>
                <w:sz w:val="20"/>
                <w:szCs w:val="20"/>
              </w:rPr>
            </w:pPr>
            <w:r w:rsidRPr="00746426">
              <w:rPr>
                <w:sz w:val="20"/>
                <w:szCs w:val="20"/>
              </w:rPr>
              <w:t>13,488.0</w:t>
            </w:r>
          </w:p>
        </w:tc>
        <w:tc>
          <w:tcPr>
            <w:tcW w:w="1278" w:type="dxa"/>
            <w:tcBorders>
              <w:left w:val="nil"/>
              <w:right w:val="nil"/>
            </w:tcBorders>
            <w:vAlign w:val="center"/>
          </w:tcPr>
          <w:p w14:paraId="2025600A"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15,021.3</w:t>
            </w:r>
          </w:p>
        </w:tc>
        <w:tc>
          <w:tcPr>
            <w:tcW w:w="1192" w:type="dxa"/>
            <w:tcBorders>
              <w:left w:val="nil"/>
              <w:right w:val="nil"/>
            </w:tcBorders>
            <w:vAlign w:val="center"/>
          </w:tcPr>
          <w:p w14:paraId="54E22684"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16,727.5</w:t>
            </w:r>
          </w:p>
        </w:tc>
        <w:tc>
          <w:tcPr>
            <w:tcW w:w="1073" w:type="dxa"/>
            <w:tcBorders>
              <w:left w:val="nil"/>
              <w:right w:val="nil"/>
            </w:tcBorders>
            <w:vAlign w:val="center"/>
          </w:tcPr>
          <w:p w14:paraId="02EC695A"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18,629.5</w:t>
            </w:r>
          </w:p>
        </w:tc>
        <w:tc>
          <w:tcPr>
            <w:tcW w:w="1073" w:type="dxa"/>
            <w:tcBorders>
              <w:left w:val="nil"/>
              <w:right w:val="nil"/>
            </w:tcBorders>
            <w:vAlign w:val="center"/>
          </w:tcPr>
          <w:p w14:paraId="42925B8A" w14:textId="77777777" w:rsidR="00DA0D02" w:rsidRPr="00746426" w:rsidRDefault="00DA0D02" w:rsidP="00013648">
            <w:pPr>
              <w:spacing w:line="240" w:lineRule="auto"/>
              <w:ind w:firstLine="0"/>
              <w:jc w:val="center"/>
              <w:rPr>
                <w:sz w:val="20"/>
                <w:szCs w:val="20"/>
              </w:rPr>
            </w:pPr>
            <w:r w:rsidRPr="00746426">
              <w:rPr>
                <w:sz w:val="20"/>
                <w:szCs w:val="20"/>
              </w:rPr>
              <w:t>10,117.5</w:t>
            </w:r>
          </w:p>
        </w:tc>
      </w:tr>
      <w:tr w:rsidR="00DA0D02" w:rsidRPr="0070296A" w14:paraId="53CF4EF6" w14:textId="77777777" w:rsidTr="00746426">
        <w:trPr>
          <w:trHeight w:val="212"/>
          <w:jc w:val="center"/>
        </w:trPr>
        <w:tc>
          <w:tcPr>
            <w:tcW w:w="3387" w:type="dxa"/>
            <w:tcBorders>
              <w:left w:val="nil"/>
              <w:right w:val="nil"/>
            </w:tcBorders>
            <w:vAlign w:val="center"/>
          </w:tcPr>
          <w:p w14:paraId="28D02822" w14:textId="77777777" w:rsidR="00DA0D02" w:rsidRPr="00746426" w:rsidDel="00A75F14" w:rsidRDefault="00DA0D02" w:rsidP="00013648">
            <w:pPr>
              <w:spacing w:line="240" w:lineRule="auto"/>
              <w:ind w:firstLine="0"/>
              <w:jc w:val="left"/>
              <w:rPr>
                <w:sz w:val="20"/>
                <w:szCs w:val="20"/>
              </w:rPr>
            </w:pPr>
            <w:r w:rsidRPr="00746426">
              <w:rPr>
                <w:sz w:val="20"/>
                <w:szCs w:val="20"/>
              </w:rPr>
              <w:t>Ընթացիկ</w:t>
            </w:r>
            <w:r w:rsidRPr="00746426">
              <w:rPr>
                <w:rFonts w:cs="Arial"/>
                <w:sz w:val="20"/>
                <w:szCs w:val="20"/>
              </w:rPr>
              <w:t xml:space="preserve"> </w:t>
            </w:r>
            <w:r w:rsidRPr="00746426">
              <w:rPr>
                <w:sz w:val="20"/>
                <w:szCs w:val="20"/>
              </w:rPr>
              <w:t>հաշվի</w:t>
            </w:r>
            <w:r w:rsidRPr="00746426">
              <w:rPr>
                <w:rFonts w:cs="Arial"/>
                <w:sz w:val="20"/>
                <w:szCs w:val="20"/>
              </w:rPr>
              <w:t xml:space="preserve"> </w:t>
            </w:r>
            <w:r w:rsidRPr="00746426">
              <w:rPr>
                <w:sz w:val="20"/>
                <w:szCs w:val="20"/>
              </w:rPr>
              <w:t>հաշվեկշիռ</w:t>
            </w:r>
            <w:r w:rsidRPr="00746426">
              <w:rPr>
                <w:rFonts w:cs="Arial"/>
                <w:sz w:val="20"/>
                <w:szCs w:val="20"/>
              </w:rPr>
              <w:t xml:space="preserve"> (</w:t>
            </w:r>
            <w:r w:rsidRPr="00746426">
              <w:rPr>
                <w:rFonts w:cs="Arial"/>
                <w:iCs/>
                <w:sz w:val="20"/>
                <w:szCs w:val="20"/>
              </w:rPr>
              <w:t xml:space="preserve">% </w:t>
            </w:r>
            <w:r w:rsidRPr="00746426">
              <w:rPr>
                <w:iCs/>
                <w:sz w:val="20"/>
                <w:szCs w:val="20"/>
              </w:rPr>
              <w:t>ՀՆԱ</w:t>
            </w:r>
            <w:r w:rsidRPr="00746426">
              <w:rPr>
                <w:rFonts w:cs="Arial"/>
                <w:iCs/>
                <w:sz w:val="20"/>
                <w:szCs w:val="20"/>
              </w:rPr>
              <w:t>-</w:t>
            </w:r>
            <w:r w:rsidRPr="00746426">
              <w:rPr>
                <w:iCs/>
                <w:sz w:val="20"/>
                <w:szCs w:val="20"/>
              </w:rPr>
              <w:t>ի</w:t>
            </w:r>
            <w:r w:rsidRPr="00746426">
              <w:rPr>
                <w:rFonts w:cs="Arial"/>
                <w:iCs/>
                <w:sz w:val="20"/>
                <w:szCs w:val="20"/>
              </w:rPr>
              <w:t xml:space="preserve"> </w:t>
            </w:r>
            <w:r w:rsidRPr="00746426">
              <w:rPr>
                <w:iCs/>
                <w:sz w:val="20"/>
                <w:szCs w:val="20"/>
              </w:rPr>
              <w:t>նկատմամբ</w:t>
            </w:r>
            <w:r w:rsidRPr="00746426">
              <w:rPr>
                <w:rFonts w:cs="Arial"/>
                <w:sz w:val="20"/>
                <w:szCs w:val="20"/>
              </w:rPr>
              <w:t>)</w:t>
            </w:r>
          </w:p>
        </w:tc>
        <w:tc>
          <w:tcPr>
            <w:tcW w:w="1278" w:type="dxa"/>
            <w:tcBorders>
              <w:left w:val="double" w:sz="4" w:space="0" w:color="auto"/>
              <w:right w:val="nil"/>
            </w:tcBorders>
            <w:vAlign w:val="center"/>
          </w:tcPr>
          <w:p w14:paraId="54A05EFE"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-0.9</w:t>
            </w:r>
          </w:p>
        </w:tc>
        <w:tc>
          <w:tcPr>
            <w:tcW w:w="1235" w:type="dxa"/>
            <w:tcBorders>
              <w:left w:val="nil"/>
              <w:right w:val="nil"/>
            </w:tcBorders>
            <w:vAlign w:val="center"/>
          </w:tcPr>
          <w:p w14:paraId="27690A6B" w14:textId="77777777" w:rsidR="00DA0D02" w:rsidRPr="00746426" w:rsidRDefault="00DA0D02" w:rsidP="00013648">
            <w:pPr>
              <w:spacing w:line="240" w:lineRule="auto"/>
              <w:ind w:firstLine="0"/>
              <w:jc w:val="center"/>
              <w:rPr>
                <w:rFonts w:eastAsia="Calibri" w:cs="Arial"/>
                <w:bCs/>
                <w:sz w:val="20"/>
                <w:szCs w:val="20"/>
              </w:rPr>
            </w:pPr>
            <w:r w:rsidRPr="00746426">
              <w:rPr>
                <w:sz w:val="20"/>
                <w:szCs w:val="20"/>
              </w:rPr>
              <w:t>-2.7</w:t>
            </w:r>
          </w:p>
        </w:tc>
        <w:tc>
          <w:tcPr>
            <w:tcW w:w="1278" w:type="dxa"/>
            <w:tcBorders>
              <w:left w:val="nil"/>
              <w:right w:val="nil"/>
            </w:tcBorders>
            <w:vAlign w:val="center"/>
          </w:tcPr>
          <w:p w14:paraId="03C1840A"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-3.5</w:t>
            </w:r>
          </w:p>
        </w:tc>
        <w:tc>
          <w:tcPr>
            <w:tcW w:w="1192" w:type="dxa"/>
            <w:tcBorders>
              <w:left w:val="nil"/>
              <w:right w:val="nil"/>
            </w:tcBorders>
            <w:vAlign w:val="center"/>
          </w:tcPr>
          <w:p w14:paraId="31F32CF4"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-4.2</w:t>
            </w:r>
          </w:p>
        </w:tc>
        <w:tc>
          <w:tcPr>
            <w:tcW w:w="1073" w:type="dxa"/>
            <w:tcBorders>
              <w:left w:val="nil"/>
              <w:right w:val="nil"/>
            </w:tcBorders>
            <w:vAlign w:val="center"/>
          </w:tcPr>
          <w:p w14:paraId="591064C1" w14:textId="77777777" w:rsidR="00DA0D02" w:rsidRPr="00746426" w:rsidDel="00A75F14" w:rsidRDefault="00DA0D02" w:rsidP="00013648">
            <w:pPr>
              <w:spacing w:line="240" w:lineRule="auto"/>
              <w:ind w:firstLine="0"/>
              <w:jc w:val="center"/>
              <w:rPr>
                <w:rFonts w:eastAsia="Calibri" w:cs="Arial"/>
                <w:bCs/>
                <w:sz w:val="20"/>
                <w:szCs w:val="20"/>
              </w:rPr>
            </w:pPr>
            <w:r w:rsidRPr="00746426">
              <w:rPr>
                <w:sz w:val="20"/>
                <w:szCs w:val="20"/>
              </w:rPr>
              <w:t>-4.9</w:t>
            </w:r>
          </w:p>
        </w:tc>
        <w:tc>
          <w:tcPr>
            <w:tcW w:w="1073" w:type="dxa"/>
            <w:tcBorders>
              <w:left w:val="nil"/>
              <w:right w:val="nil"/>
            </w:tcBorders>
            <w:vAlign w:val="center"/>
          </w:tcPr>
          <w:p w14:paraId="64F63154" w14:textId="77777777" w:rsidR="00DA0D02" w:rsidRPr="00746426" w:rsidRDefault="00DA0D02" w:rsidP="00013648">
            <w:pPr>
              <w:spacing w:line="240" w:lineRule="auto"/>
              <w:ind w:firstLine="0"/>
              <w:jc w:val="center"/>
              <w:rPr>
                <w:sz w:val="20"/>
                <w:szCs w:val="20"/>
              </w:rPr>
            </w:pPr>
            <w:r w:rsidRPr="00746426">
              <w:rPr>
                <w:sz w:val="20"/>
                <w:szCs w:val="20"/>
              </w:rPr>
              <w:t>-0.9</w:t>
            </w:r>
          </w:p>
        </w:tc>
      </w:tr>
      <w:tr w:rsidR="00DA0D02" w:rsidRPr="0070296A" w14:paraId="3CAFEC84" w14:textId="77777777" w:rsidTr="00746426">
        <w:trPr>
          <w:trHeight w:val="55"/>
          <w:jc w:val="center"/>
        </w:trPr>
        <w:tc>
          <w:tcPr>
            <w:tcW w:w="3387" w:type="dxa"/>
            <w:tcBorders>
              <w:left w:val="nil"/>
              <w:right w:val="nil"/>
            </w:tcBorders>
            <w:shd w:val="clear" w:color="auto" w:fill="D9D9D9"/>
            <w:vAlign w:val="center"/>
          </w:tcPr>
          <w:p w14:paraId="53151F57" w14:textId="77777777" w:rsidR="00DA0D02" w:rsidRPr="00746426" w:rsidDel="00A75F14" w:rsidRDefault="00DA0D02" w:rsidP="00013648">
            <w:pPr>
              <w:spacing w:line="240" w:lineRule="auto"/>
              <w:ind w:firstLine="0"/>
              <w:jc w:val="left"/>
              <w:rPr>
                <w:color w:val="FF0000"/>
                <w:sz w:val="20"/>
                <w:szCs w:val="20"/>
              </w:rPr>
            </w:pPr>
          </w:p>
        </w:tc>
        <w:tc>
          <w:tcPr>
            <w:tcW w:w="1278" w:type="dxa"/>
            <w:tcBorders>
              <w:left w:val="double" w:sz="4" w:space="0" w:color="auto"/>
              <w:right w:val="nil"/>
            </w:tcBorders>
            <w:shd w:val="clear" w:color="auto" w:fill="D9D9D9"/>
            <w:vAlign w:val="center"/>
          </w:tcPr>
          <w:p w14:paraId="6C601CA0" w14:textId="77777777" w:rsidR="00DA0D02" w:rsidRPr="00746426" w:rsidDel="00A75F14" w:rsidRDefault="00DA0D02" w:rsidP="00013648">
            <w:pPr>
              <w:spacing w:line="240" w:lineRule="auto"/>
              <w:ind w:firstLine="0"/>
              <w:jc w:val="center"/>
              <w:rPr>
                <w:rFonts w:eastAsia="Calibri" w:cs="Arial"/>
                <w:bCs/>
                <w:color w:val="FF0000"/>
                <w:sz w:val="20"/>
                <w:szCs w:val="20"/>
              </w:rPr>
            </w:pPr>
          </w:p>
        </w:tc>
        <w:tc>
          <w:tcPr>
            <w:tcW w:w="1235" w:type="dxa"/>
            <w:tcBorders>
              <w:left w:val="nil"/>
              <w:right w:val="nil"/>
            </w:tcBorders>
            <w:shd w:val="clear" w:color="auto" w:fill="D9D9D9"/>
            <w:vAlign w:val="center"/>
          </w:tcPr>
          <w:p w14:paraId="3E372607" w14:textId="77777777" w:rsidR="00DA0D02" w:rsidRPr="00746426" w:rsidRDefault="00DA0D02" w:rsidP="00013648">
            <w:pPr>
              <w:spacing w:line="240" w:lineRule="auto"/>
              <w:ind w:firstLine="0"/>
              <w:jc w:val="center"/>
              <w:rPr>
                <w:rFonts w:eastAsia="Calibri" w:cs="Arial"/>
                <w:bCs/>
                <w:color w:val="FF0000"/>
                <w:sz w:val="20"/>
                <w:szCs w:val="20"/>
              </w:rPr>
            </w:pPr>
          </w:p>
        </w:tc>
        <w:tc>
          <w:tcPr>
            <w:tcW w:w="1278" w:type="dxa"/>
            <w:tcBorders>
              <w:left w:val="nil"/>
              <w:right w:val="nil"/>
            </w:tcBorders>
            <w:shd w:val="clear" w:color="auto" w:fill="D9D9D9"/>
            <w:vAlign w:val="center"/>
          </w:tcPr>
          <w:p w14:paraId="64BAB6C7" w14:textId="77777777" w:rsidR="00DA0D02" w:rsidRPr="00746426" w:rsidDel="00A75F14" w:rsidRDefault="00DA0D02" w:rsidP="00013648">
            <w:pPr>
              <w:spacing w:line="240" w:lineRule="auto"/>
              <w:ind w:firstLine="0"/>
              <w:jc w:val="center"/>
              <w:rPr>
                <w:rFonts w:eastAsia="Calibri" w:cs="Arial"/>
                <w:bCs/>
                <w:color w:val="FF0000"/>
                <w:sz w:val="20"/>
                <w:szCs w:val="20"/>
              </w:rPr>
            </w:pPr>
          </w:p>
        </w:tc>
        <w:tc>
          <w:tcPr>
            <w:tcW w:w="1192" w:type="dxa"/>
            <w:tcBorders>
              <w:left w:val="nil"/>
              <w:right w:val="nil"/>
            </w:tcBorders>
            <w:shd w:val="clear" w:color="auto" w:fill="D9D9D9"/>
            <w:vAlign w:val="center"/>
          </w:tcPr>
          <w:p w14:paraId="6A02E122" w14:textId="77777777" w:rsidR="00DA0D02" w:rsidRPr="00746426" w:rsidDel="00A75F14" w:rsidRDefault="00DA0D02" w:rsidP="00013648">
            <w:pPr>
              <w:spacing w:line="240" w:lineRule="auto"/>
              <w:ind w:firstLine="0"/>
              <w:jc w:val="center"/>
              <w:rPr>
                <w:rFonts w:eastAsia="Calibri" w:cs="Arial"/>
                <w:bCs/>
                <w:color w:val="FF0000"/>
                <w:sz w:val="20"/>
                <w:szCs w:val="20"/>
              </w:rPr>
            </w:pPr>
          </w:p>
        </w:tc>
        <w:tc>
          <w:tcPr>
            <w:tcW w:w="1073" w:type="dxa"/>
            <w:tcBorders>
              <w:left w:val="nil"/>
              <w:right w:val="nil"/>
            </w:tcBorders>
            <w:shd w:val="clear" w:color="auto" w:fill="D9D9D9"/>
            <w:vAlign w:val="center"/>
          </w:tcPr>
          <w:p w14:paraId="0B83C453" w14:textId="77777777" w:rsidR="00DA0D02" w:rsidRPr="00746426" w:rsidDel="00A75F14" w:rsidRDefault="00DA0D02" w:rsidP="00013648">
            <w:pPr>
              <w:spacing w:line="240" w:lineRule="auto"/>
              <w:ind w:firstLine="0"/>
              <w:jc w:val="center"/>
              <w:rPr>
                <w:rFonts w:eastAsia="Calibri" w:cs="Arial"/>
                <w:bCs/>
                <w:color w:val="FF0000"/>
                <w:sz w:val="20"/>
                <w:szCs w:val="20"/>
              </w:rPr>
            </w:pPr>
          </w:p>
        </w:tc>
        <w:tc>
          <w:tcPr>
            <w:tcW w:w="1073" w:type="dxa"/>
            <w:tcBorders>
              <w:left w:val="nil"/>
              <w:right w:val="nil"/>
            </w:tcBorders>
            <w:shd w:val="clear" w:color="auto" w:fill="D9D9D9"/>
          </w:tcPr>
          <w:p w14:paraId="590F5800" w14:textId="77777777" w:rsidR="00DA0D02" w:rsidRPr="00746426" w:rsidDel="00A75F14" w:rsidRDefault="00DA0D02" w:rsidP="00013648">
            <w:pPr>
              <w:spacing w:line="240" w:lineRule="auto"/>
              <w:ind w:firstLine="0"/>
              <w:jc w:val="center"/>
              <w:rPr>
                <w:rFonts w:eastAsia="Calibri" w:cs="Arial"/>
                <w:bCs/>
                <w:color w:val="FF0000"/>
                <w:sz w:val="20"/>
                <w:szCs w:val="20"/>
              </w:rPr>
            </w:pPr>
          </w:p>
        </w:tc>
      </w:tr>
      <w:tr w:rsidR="00DA0D02" w:rsidRPr="0070296A" w14:paraId="412C6EE9" w14:textId="77777777" w:rsidTr="00746426">
        <w:trPr>
          <w:trHeight w:val="129"/>
          <w:jc w:val="center"/>
        </w:trPr>
        <w:tc>
          <w:tcPr>
            <w:tcW w:w="3387" w:type="dxa"/>
            <w:tcBorders>
              <w:left w:val="nil"/>
              <w:right w:val="nil"/>
            </w:tcBorders>
            <w:vAlign w:val="center"/>
          </w:tcPr>
          <w:p w14:paraId="441148BD" w14:textId="77777777" w:rsidR="00DA0D02" w:rsidRPr="00746426" w:rsidDel="00A75F14" w:rsidRDefault="00DA0D02" w:rsidP="00013648">
            <w:pPr>
              <w:spacing w:line="240" w:lineRule="auto"/>
              <w:ind w:firstLine="0"/>
              <w:jc w:val="left"/>
              <w:rPr>
                <w:sz w:val="20"/>
                <w:szCs w:val="20"/>
              </w:rPr>
            </w:pPr>
            <w:r w:rsidRPr="00746426">
              <w:rPr>
                <w:sz w:val="20"/>
                <w:szCs w:val="20"/>
              </w:rPr>
              <w:t>ՀՀ կառավարության պարտք (մլրդ դրամ)</w:t>
            </w:r>
          </w:p>
        </w:tc>
        <w:tc>
          <w:tcPr>
            <w:tcW w:w="1278" w:type="dxa"/>
            <w:tcBorders>
              <w:left w:val="double" w:sz="4" w:space="0" w:color="auto"/>
              <w:right w:val="nil"/>
            </w:tcBorders>
            <w:vAlign w:val="center"/>
          </w:tcPr>
          <w:p w14:paraId="66204AC2" w14:textId="77777777" w:rsidR="00DA0D02" w:rsidRPr="00746426" w:rsidDel="00A75F14" w:rsidRDefault="00DA0D02" w:rsidP="00013648">
            <w:pPr>
              <w:ind w:firstLine="0"/>
              <w:jc w:val="center"/>
              <w:rPr>
                <w:rFonts w:eastAsia="Calibri" w:cs="Arial"/>
                <w:bCs/>
                <w:sz w:val="20"/>
                <w:szCs w:val="20"/>
              </w:rPr>
            </w:pPr>
            <w:r w:rsidRPr="00746426">
              <w:rPr>
                <w:bCs/>
                <w:sz w:val="20"/>
                <w:szCs w:val="20"/>
              </w:rPr>
              <w:t>3,969.7</w:t>
            </w:r>
          </w:p>
        </w:tc>
        <w:tc>
          <w:tcPr>
            <w:tcW w:w="1235" w:type="dxa"/>
            <w:tcBorders>
              <w:left w:val="nil"/>
              <w:right w:val="nil"/>
            </w:tcBorders>
            <w:vAlign w:val="center"/>
          </w:tcPr>
          <w:p w14:paraId="7FE0D4FB" w14:textId="77777777" w:rsidR="00DA0D02" w:rsidRPr="00746426" w:rsidRDefault="00DA0D02" w:rsidP="00013648">
            <w:pPr>
              <w:ind w:firstLine="0"/>
              <w:jc w:val="center"/>
              <w:rPr>
                <w:rFonts w:eastAsia="Calibri" w:cs="Arial"/>
                <w:bCs/>
                <w:sz w:val="20"/>
                <w:szCs w:val="20"/>
              </w:rPr>
            </w:pPr>
            <w:r w:rsidRPr="00746426">
              <w:rPr>
                <w:bCs/>
                <w:sz w:val="20"/>
                <w:szCs w:val="20"/>
              </w:rPr>
              <w:t>4,572.0</w:t>
            </w:r>
          </w:p>
        </w:tc>
        <w:tc>
          <w:tcPr>
            <w:tcW w:w="1278" w:type="dxa"/>
            <w:tcBorders>
              <w:left w:val="nil"/>
              <w:right w:val="nil"/>
            </w:tcBorders>
            <w:vAlign w:val="center"/>
          </w:tcPr>
          <w:p w14:paraId="6F579F96" w14:textId="77777777" w:rsidR="00DA0D02" w:rsidRPr="00746426" w:rsidDel="00A75F14" w:rsidRDefault="00DA0D02" w:rsidP="00013648">
            <w:pPr>
              <w:ind w:firstLine="0"/>
              <w:jc w:val="center"/>
              <w:rPr>
                <w:rFonts w:eastAsia="Calibri" w:cs="Arial"/>
                <w:bCs/>
                <w:sz w:val="20"/>
                <w:szCs w:val="20"/>
              </w:rPr>
            </w:pPr>
            <w:r w:rsidRPr="00746426">
              <w:rPr>
                <w:bCs/>
                <w:sz w:val="20"/>
                <w:szCs w:val="20"/>
              </w:rPr>
              <w:t>5,173.0</w:t>
            </w:r>
          </w:p>
        </w:tc>
        <w:tc>
          <w:tcPr>
            <w:tcW w:w="1192" w:type="dxa"/>
            <w:tcBorders>
              <w:left w:val="nil"/>
              <w:right w:val="nil"/>
            </w:tcBorders>
            <w:vAlign w:val="center"/>
          </w:tcPr>
          <w:p w14:paraId="0F9227D2" w14:textId="77777777" w:rsidR="00DA0D02" w:rsidRPr="00746426" w:rsidDel="00A75F14" w:rsidRDefault="00DA0D02" w:rsidP="00013648">
            <w:pPr>
              <w:ind w:firstLine="0"/>
              <w:jc w:val="center"/>
              <w:rPr>
                <w:rFonts w:eastAsia="Calibri" w:cs="Arial"/>
                <w:bCs/>
                <w:sz w:val="20"/>
                <w:szCs w:val="20"/>
              </w:rPr>
            </w:pPr>
            <w:r w:rsidRPr="00746426">
              <w:rPr>
                <w:bCs/>
                <w:sz w:val="20"/>
                <w:szCs w:val="20"/>
              </w:rPr>
              <w:t>6,017.5</w:t>
            </w:r>
          </w:p>
        </w:tc>
        <w:tc>
          <w:tcPr>
            <w:tcW w:w="1073" w:type="dxa"/>
            <w:tcBorders>
              <w:left w:val="nil"/>
              <w:right w:val="nil"/>
            </w:tcBorders>
            <w:vAlign w:val="center"/>
          </w:tcPr>
          <w:p w14:paraId="750E4D2C" w14:textId="77777777" w:rsidR="00DA0D02" w:rsidRPr="00746426" w:rsidDel="00A75F14" w:rsidRDefault="00DA0D02" w:rsidP="00013648">
            <w:pPr>
              <w:ind w:firstLine="0"/>
              <w:jc w:val="center"/>
              <w:rPr>
                <w:rFonts w:eastAsia="Calibri" w:cs="Arial"/>
                <w:bCs/>
                <w:sz w:val="20"/>
                <w:szCs w:val="20"/>
              </w:rPr>
            </w:pPr>
            <w:r w:rsidRPr="00746426">
              <w:rPr>
                <w:bCs/>
                <w:sz w:val="20"/>
                <w:szCs w:val="20"/>
              </w:rPr>
              <w:t>6,774.8</w:t>
            </w:r>
          </w:p>
        </w:tc>
        <w:tc>
          <w:tcPr>
            <w:tcW w:w="1073" w:type="dxa"/>
            <w:tcBorders>
              <w:left w:val="nil"/>
              <w:right w:val="nil"/>
            </w:tcBorders>
            <w:vAlign w:val="center"/>
          </w:tcPr>
          <w:p w14:paraId="40B37F6E" w14:textId="77777777" w:rsidR="00DA0D02" w:rsidRPr="00746426" w:rsidRDefault="00DA0D02" w:rsidP="00013648">
            <w:pPr>
              <w:ind w:firstLine="0"/>
              <w:jc w:val="center"/>
              <w:rPr>
                <w:sz w:val="20"/>
                <w:szCs w:val="20"/>
              </w:rPr>
            </w:pPr>
            <w:r w:rsidRPr="00746426">
              <w:rPr>
                <w:bCs/>
                <w:sz w:val="20"/>
                <w:szCs w:val="20"/>
              </w:rPr>
              <w:t>7,430.3</w:t>
            </w:r>
          </w:p>
        </w:tc>
      </w:tr>
      <w:tr w:rsidR="00DA0D02" w:rsidRPr="0070296A" w14:paraId="334E380A" w14:textId="77777777" w:rsidTr="00746426">
        <w:trPr>
          <w:trHeight w:val="212"/>
          <w:jc w:val="center"/>
        </w:trPr>
        <w:tc>
          <w:tcPr>
            <w:tcW w:w="3387" w:type="dxa"/>
            <w:tcBorders>
              <w:left w:val="nil"/>
              <w:bottom w:val="thickThinSmallGap" w:sz="24" w:space="0" w:color="auto"/>
              <w:right w:val="nil"/>
            </w:tcBorders>
            <w:vAlign w:val="center"/>
          </w:tcPr>
          <w:p w14:paraId="60A7B337" w14:textId="77777777" w:rsidR="00DA0D02" w:rsidRPr="00746426" w:rsidRDefault="00DA0D02" w:rsidP="00013648">
            <w:pPr>
              <w:spacing w:line="240" w:lineRule="auto"/>
              <w:ind w:firstLine="0"/>
              <w:jc w:val="left"/>
              <w:rPr>
                <w:sz w:val="20"/>
                <w:szCs w:val="20"/>
              </w:rPr>
            </w:pPr>
            <w:r w:rsidRPr="00746426">
              <w:rPr>
                <w:sz w:val="20"/>
                <w:szCs w:val="20"/>
                <w:lang w:val="ru-RU"/>
              </w:rPr>
              <w:t>Անվանական</w:t>
            </w:r>
            <w:r w:rsidRPr="00746426">
              <w:rPr>
                <w:rFonts w:cs="Arial"/>
                <w:sz w:val="20"/>
                <w:szCs w:val="20"/>
                <w:lang w:val="ru-RU"/>
              </w:rPr>
              <w:t xml:space="preserve"> </w:t>
            </w:r>
            <w:r w:rsidRPr="00746426">
              <w:rPr>
                <w:sz w:val="20"/>
                <w:szCs w:val="20"/>
              </w:rPr>
              <w:t>ՀՆԱ</w:t>
            </w:r>
            <w:r w:rsidRPr="00746426">
              <w:rPr>
                <w:rFonts w:cs="Arial"/>
                <w:sz w:val="20"/>
                <w:szCs w:val="20"/>
              </w:rPr>
              <w:t xml:space="preserve"> (</w:t>
            </w:r>
            <w:r w:rsidRPr="00746426">
              <w:rPr>
                <w:sz w:val="20"/>
                <w:szCs w:val="20"/>
                <w:lang w:val="ru-RU"/>
              </w:rPr>
              <w:t>մլրդ</w:t>
            </w:r>
            <w:r w:rsidRPr="00746426">
              <w:rPr>
                <w:rFonts w:cs="Arial"/>
                <w:sz w:val="20"/>
                <w:szCs w:val="20"/>
              </w:rPr>
              <w:t xml:space="preserve"> </w:t>
            </w:r>
            <w:r w:rsidRPr="00746426">
              <w:rPr>
                <w:sz w:val="20"/>
                <w:szCs w:val="20"/>
                <w:lang w:val="ru-RU"/>
              </w:rPr>
              <w:t>դրամ</w:t>
            </w:r>
            <w:r w:rsidRPr="00746426">
              <w:rPr>
                <w:rFonts w:cs="Arial"/>
                <w:sz w:val="20"/>
                <w:szCs w:val="20"/>
              </w:rPr>
              <w:t>)</w:t>
            </w:r>
          </w:p>
        </w:tc>
        <w:tc>
          <w:tcPr>
            <w:tcW w:w="1278" w:type="dxa"/>
            <w:tcBorders>
              <w:left w:val="double" w:sz="4" w:space="0" w:color="auto"/>
              <w:bottom w:val="thickThinSmallGap" w:sz="24" w:space="0" w:color="auto"/>
              <w:right w:val="nil"/>
            </w:tcBorders>
            <w:vAlign w:val="center"/>
          </w:tcPr>
          <w:p w14:paraId="1C932544" w14:textId="77777777" w:rsidR="00DA0D02" w:rsidRPr="00746426" w:rsidRDefault="00DA0D02" w:rsidP="00013648">
            <w:pPr>
              <w:spacing w:line="240" w:lineRule="auto"/>
              <w:ind w:firstLine="0"/>
              <w:jc w:val="center"/>
              <w:rPr>
                <w:rFonts w:eastAsia="Calibri" w:cs="Arial"/>
                <w:sz w:val="20"/>
                <w:szCs w:val="20"/>
              </w:rPr>
            </w:pPr>
            <w:r w:rsidRPr="00746426">
              <w:rPr>
                <w:sz w:val="20"/>
                <w:szCs w:val="20"/>
              </w:rPr>
              <w:t>8,501.4</w:t>
            </w:r>
          </w:p>
        </w:tc>
        <w:tc>
          <w:tcPr>
            <w:tcW w:w="1235" w:type="dxa"/>
            <w:tcBorders>
              <w:left w:val="nil"/>
              <w:bottom w:val="thickThinSmallGap" w:sz="24" w:space="0" w:color="auto"/>
              <w:right w:val="nil"/>
            </w:tcBorders>
            <w:vAlign w:val="center"/>
          </w:tcPr>
          <w:p w14:paraId="540964D7" w14:textId="77777777" w:rsidR="00DA0D02" w:rsidRPr="00746426" w:rsidRDefault="00DA0D02" w:rsidP="00013648">
            <w:pPr>
              <w:spacing w:line="240" w:lineRule="auto"/>
              <w:ind w:firstLine="0"/>
              <w:jc w:val="center"/>
              <w:rPr>
                <w:rFonts w:eastAsia="Calibri" w:cs="Arial"/>
                <w:sz w:val="20"/>
                <w:szCs w:val="20"/>
              </w:rPr>
            </w:pPr>
            <w:r w:rsidRPr="00746426">
              <w:rPr>
                <w:sz w:val="20"/>
                <w:szCs w:val="20"/>
              </w:rPr>
              <w:t>10,235</w:t>
            </w:r>
          </w:p>
        </w:tc>
        <w:tc>
          <w:tcPr>
            <w:tcW w:w="1278" w:type="dxa"/>
            <w:tcBorders>
              <w:left w:val="nil"/>
              <w:bottom w:val="thickThinSmallGap" w:sz="24" w:space="0" w:color="auto"/>
              <w:right w:val="nil"/>
            </w:tcBorders>
            <w:vAlign w:val="center"/>
          </w:tcPr>
          <w:p w14:paraId="076E5C5C" w14:textId="77777777" w:rsidR="00DA0D02" w:rsidRPr="00746426" w:rsidRDefault="00DA0D02" w:rsidP="00013648">
            <w:pPr>
              <w:spacing w:line="240" w:lineRule="auto"/>
              <w:ind w:firstLine="0"/>
              <w:jc w:val="center"/>
              <w:rPr>
                <w:rFonts w:eastAsia="Calibri" w:cs="Arial"/>
                <w:sz w:val="20"/>
                <w:szCs w:val="20"/>
              </w:rPr>
            </w:pPr>
            <w:r w:rsidRPr="00746426">
              <w:rPr>
                <w:sz w:val="20"/>
                <w:szCs w:val="20"/>
              </w:rPr>
              <w:t>11,197</w:t>
            </w:r>
          </w:p>
        </w:tc>
        <w:tc>
          <w:tcPr>
            <w:tcW w:w="1192" w:type="dxa"/>
            <w:tcBorders>
              <w:left w:val="nil"/>
              <w:bottom w:val="thickThinSmallGap" w:sz="24" w:space="0" w:color="auto"/>
              <w:right w:val="nil"/>
            </w:tcBorders>
            <w:vAlign w:val="center"/>
          </w:tcPr>
          <w:p w14:paraId="2FD9D724" w14:textId="77777777" w:rsidR="00DA0D02" w:rsidRPr="00746426" w:rsidRDefault="00DA0D02" w:rsidP="00013648">
            <w:pPr>
              <w:spacing w:line="240" w:lineRule="auto"/>
              <w:ind w:firstLine="0"/>
              <w:jc w:val="center"/>
              <w:rPr>
                <w:rFonts w:eastAsia="Calibri" w:cs="Arial"/>
                <w:sz w:val="20"/>
                <w:szCs w:val="20"/>
              </w:rPr>
            </w:pPr>
            <w:r w:rsidRPr="00746426">
              <w:rPr>
                <w:sz w:val="20"/>
                <w:szCs w:val="20"/>
              </w:rPr>
              <w:t>12,309</w:t>
            </w:r>
          </w:p>
        </w:tc>
        <w:tc>
          <w:tcPr>
            <w:tcW w:w="1073" w:type="dxa"/>
            <w:tcBorders>
              <w:left w:val="nil"/>
              <w:bottom w:val="thickThinSmallGap" w:sz="24" w:space="0" w:color="auto"/>
              <w:right w:val="nil"/>
            </w:tcBorders>
            <w:vAlign w:val="center"/>
          </w:tcPr>
          <w:p w14:paraId="531F4FE0" w14:textId="77777777" w:rsidR="00DA0D02" w:rsidRPr="00746426" w:rsidRDefault="00DA0D02" w:rsidP="00013648">
            <w:pPr>
              <w:spacing w:line="240" w:lineRule="auto"/>
              <w:ind w:firstLine="0"/>
              <w:jc w:val="center"/>
              <w:rPr>
                <w:rFonts w:eastAsia="Calibri" w:cs="Arial"/>
                <w:sz w:val="20"/>
                <w:szCs w:val="20"/>
              </w:rPr>
            </w:pPr>
            <w:r w:rsidRPr="00746426">
              <w:rPr>
                <w:sz w:val="20"/>
                <w:szCs w:val="20"/>
              </w:rPr>
              <w:t>13,505</w:t>
            </w:r>
          </w:p>
        </w:tc>
        <w:tc>
          <w:tcPr>
            <w:tcW w:w="1073" w:type="dxa"/>
            <w:tcBorders>
              <w:left w:val="nil"/>
              <w:bottom w:val="thickThinSmallGap" w:sz="24" w:space="0" w:color="auto"/>
              <w:right w:val="nil"/>
            </w:tcBorders>
            <w:vAlign w:val="center"/>
          </w:tcPr>
          <w:p w14:paraId="73482F5F" w14:textId="77777777" w:rsidR="00DA0D02" w:rsidRPr="00746426" w:rsidRDefault="00DA0D02" w:rsidP="00013648">
            <w:pPr>
              <w:spacing w:line="240" w:lineRule="auto"/>
              <w:ind w:firstLine="0"/>
              <w:jc w:val="center"/>
              <w:rPr>
                <w:sz w:val="20"/>
                <w:szCs w:val="20"/>
              </w:rPr>
            </w:pPr>
            <w:r w:rsidRPr="00746426">
              <w:rPr>
                <w:sz w:val="20"/>
                <w:szCs w:val="20"/>
              </w:rPr>
              <w:t>10,235</w:t>
            </w:r>
          </w:p>
        </w:tc>
      </w:tr>
    </w:tbl>
    <w:p w14:paraId="5AC89A18" w14:textId="77777777" w:rsidR="00DA0D02" w:rsidRPr="00C7201F" w:rsidRDefault="00DA0D02" w:rsidP="00DA0D02">
      <w:pPr>
        <w:rPr>
          <w:color w:val="FF0000"/>
          <w:sz w:val="18"/>
          <w:szCs w:val="18"/>
        </w:rPr>
      </w:pPr>
      <w:r w:rsidRPr="00C7201F">
        <w:rPr>
          <w:sz w:val="18"/>
          <w:szCs w:val="18"/>
        </w:rPr>
        <w:t>Աղբյուրը՝ 2025-2027 թվականների ՄԺԾԾ</w:t>
      </w:r>
    </w:p>
    <w:p w14:paraId="5CCC68FA" w14:textId="77777777" w:rsidR="00DA0D02" w:rsidRPr="00E06CCC" w:rsidRDefault="00DA0D02" w:rsidP="00DA0D02">
      <w:pPr>
        <w:rPr>
          <w:color w:val="FF0000"/>
        </w:rPr>
      </w:pPr>
    </w:p>
    <w:p w14:paraId="54787BB3" w14:textId="0A8ACC1A" w:rsidR="00DA0D02" w:rsidRPr="00461381" w:rsidRDefault="00746426" w:rsidP="00461381">
      <w:pPr>
        <w:tabs>
          <w:tab w:val="left" w:pos="0"/>
        </w:tabs>
        <w:spacing w:before="120" w:after="0" w:line="276" w:lineRule="auto"/>
        <w:ind w:firstLine="0"/>
        <w:rPr>
          <w:b/>
          <w:color w:val="44546A" w:themeColor="text2"/>
          <w:sz w:val="24"/>
          <w:szCs w:val="24"/>
          <w:lang w:val="hy-AM" w:eastAsia="ru-RU"/>
        </w:rPr>
      </w:pPr>
      <w:bookmarkStart w:id="260" w:name="_Toc138951001"/>
      <w:r w:rsidRPr="00461381">
        <w:rPr>
          <w:b/>
          <w:color w:val="44546A" w:themeColor="text2"/>
          <w:sz w:val="24"/>
          <w:szCs w:val="24"/>
          <w:lang w:val="hy-AM" w:eastAsia="ru-RU"/>
        </w:rPr>
        <w:t xml:space="preserve">1.4.2. </w:t>
      </w:r>
      <w:r w:rsidR="00DA0D02" w:rsidRPr="00461381">
        <w:rPr>
          <w:b/>
          <w:color w:val="44546A" w:themeColor="text2"/>
          <w:sz w:val="24"/>
          <w:szCs w:val="24"/>
          <w:lang w:val="hy-AM" w:eastAsia="ru-RU"/>
        </w:rPr>
        <w:t>Նպատակադրումներն ու իրականացվելիք միջոցառումները</w:t>
      </w:r>
      <w:bookmarkEnd w:id="260"/>
    </w:p>
    <w:p w14:paraId="68199336" w14:textId="77777777" w:rsidR="00DA0D02" w:rsidRPr="00795BB8" w:rsidRDefault="00DA0D02" w:rsidP="00746426">
      <w:pPr>
        <w:spacing w:before="120" w:after="0" w:line="276" w:lineRule="auto"/>
        <w:ind w:firstLine="0"/>
        <w:rPr>
          <w:lang w:val="hy-AM"/>
        </w:rPr>
      </w:pPr>
      <w:r w:rsidRPr="00795BB8">
        <w:rPr>
          <w:lang w:val="hy-AM"/>
        </w:rPr>
        <w:t xml:space="preserve">Պարտքի կառավարելի մակարդակում պահպանմանը զուգահեռ ՀՀ կառավարությունը կշարունակի պարտքի պորտֆելի բարելավման ջանքերը՝ նպատակ ունենալով պահպանել դիմակայունությունը հնարավոր ցնցումներին, ապահովել պետական պարտատոմսերի շուկայի շարունակական զարգացումը և խորացումը, հասանելիությունը ներքին ու արտաքին ֆինանսական շուկաներին, ինչպես նաև ֆինանսավորման աղբյուրների ու գործիքների դիվերսիֆիկացումը: </w:t>
      </w:r>
    </w:p>
    <w:p w14:paraId="38317CDF" w14:textId="77777777" w:rsidR="00DA0D02" w:rsidRPr="00A71282" w:rsidRDefault="00DA0D02" w:rsidP="00746426">
      <w:pPr>
        <w:pStyle w:val="CommentText"/>
        <w:spacing w:before="120" w:after="0" w:line="276" w:lineRule="auto"/>
        <w:ind w:firstLine="0"/>
        <w:rPr>
          <w:rFonts w:ascii="GHEA Grapalat" w:hAnsi="GHEA Grapalat"/>
          <w:sz w:val="22"/>
          <w:szCs w:val="22"/>
          <w:lang w:val="hy-AM" w:eastAsia="en-US"/>
        </w:rPr>
      </w:pPr>
      <w:r w:rsidRPr="00A71282">
        <w:rPr>
          <w:rFonts w:ascii="GHEA Grapalat" w:hAnsi="GHEA Grapalat"/>
          <w:sz w:val="22"/>
          <w:szCs w:val="22"/>
          <w:lang w:val="hy-AM" w:eastAsia="en-US"/>
        </w:rPr>
        <w:t>Այս տեսանկյունից ՀՀ կառավարության պարտքի կառուցվածքում ներքին արժույթով պարտքը կշարունակի պահպանվել պատմականորեն բարձր մակարդակներում, կշարունակվեն արտաքին ներդրողների մոտ պարտատոմսերի շուկայի բարձր գրավչության պահպանման ջանքերը, ինչպես նաև կընդլայնվի միջազգային ֆինանսական կառույցների հետ համագործակցությունը՝ ավանդական գործիքներին զուգահեռ ներգրավելով նոր թիրախային ֆինանսավորման գործիքներ ՀՀ կառավարության տարբեր ոլորտների ռազմավարությունների արդյունավետ իրականացման համար:</w:t>
      </w:r>
    </w:p>
    <w:p w14:paraId="5D905352" w14:textId="77777777" w:rsidR="00DA0D02" w:rsidRPr="00134332" w:rsidRDefault="00DA0D02" w:rsidP="00746426">
      <w:pPr>
        <w:spacing w:before="120" w:after="0" w:line="276" w:lineRule="auto"/>
        <w:ind w:firstLine="0"/>
      </w:pPr>
      <w:r>
        <w:t>Մասնավորապես.</w:t>
      </w:r>
    </w:p>
    <w:p w14:paraId="04D9689A" w14:textId="77777777" w:rsidR="00DA0D02" w:rsidRDefault="00DA0D02" w:rsidP="00746426">
      <w:pPr>
        <w:numPr>
          <w:ilvl w:val="0"/>
          <w:numId w:val="45"/>
        </w:numPr>
        <w:spacing w:before="120" w:after="0" w:line="276" w:lineRule="auto"/>
        <w:ind w:left="0" w:firstLine="0"/>
      </w:pPr>
      <w:r w:rsidRPr="0070296A">
        <w:t>ՀՀ ֆինանսների նախարարությունը կշարունակի պետական գանձապետական պարտատոմ</w:t>
      </w:r>
      <w:r w:rsidRPr="0070296A">
        <w:softHyphen/>
        <w:t>սերի հետգնումների, փոխա</w:t>
      </w:r>
      <w:r w:rsidRPr="0070296A">
        <w:softHyphen/>
        <w:t>նակումների իրականացումը` նպատակ ունենալով հարթեցնել պարտ</w:t>
      </w:r>
      <w:r w:rsidRPr="0070296A">
        <w:softHyphen/>
        <w:t>քի մարման գրաֆիկը և նվազեցնել վերաֆինանսավորման ռիսկը, ինչպես նաև բարձ</w:t>
      </w:r>
      <w:r w:rsidRPr="0070296A">
        <w:softHyphen/>
        <w:t>րաց</w:t>
      </w:r>
      <w:r w:rsidRPr="0070296A">
        <w:softHyphen/>
        <w:t>նել տեղաբաշխվող պարտատոմսերի իրացվելիությունը և նպաստել երկրորդային շուկայի զարգացմանը:</w:t>
      </w:r>
      <w:r w:rsidRPr="00A16196">
        <w:t xml:space="preserve"> </w:t>
      </w:r>
    </w:p>
    <w:p w14:paraId="238EA06F" w14:textId="77777777" w:rsidR="00DA0D02" w:rsidRDefault="00DA0D02" w:rsidP="00746426">
      <w:pPr>
        <w:numPr>
          <w:ilvl w:val="0"/>
          <w:numId w:val="45"/>
        </w:numPr>
        <w:spacing w:before="120" w:after="0" w:line="276" w:lineRule="auto"/>
        <w:ind w:left="0" w:firstLine="0"/>
      </w:pPr>
      <w:r>
        <w:t>Պետական գանձապետական պարտատոմսերի եկամտաբերության նվազման պայմաններում աստիճանաբար կավելացվի երկարաժամկետ պարտատոմսերի տեղաբաշխումների ծավալը՝ դրանք կենտրոնացնելով 10 տարի մարման ժամկետի շուրջ՝ որպես հիմնական ուղենիշ:</w:t>
      </w:r>
    </w:p>
    <w:p w14:paraId="31AD768D" w14:textId="77777777" w:rsidR="00DA0D02" w:rsidRDefault="00DA0D02" w:rsidP="00746426">
      <w:pPr>
        <w:numPr>
          <w:ilvl w:val="0"/>
          <w:numId w:val="45"/>
        </w:numPr>
        <w:spacing w:before="120" w:after="0" w:line="276" w:lineRule="auto"/>
        <w:ind w:left="0" w:firstLine="0"/>
      </w:pPr>
      <w:r w:rsidRPr="00B14452">
        <w:t xml:space="preserve">Պետական գանձապետական պարտատոմսերի փոխանակման միջոցով կշարունակվի շրջանառության մեջ գտնվող պարտատոմսերի կոնսոլիդացիան՝ կրճատելով </w:t>
      </w:r>
      <w:r>
        <w:t>դրանց քանակը:</w:t>
      </w:r>
    </w:p>
    <w:p w14:paraId="66A9C9D9" w14:textId="77777777" w:rsidR="00DA0D02" w:rsidRDefault="00DA0D02" w:rsidP="00746426">
      <w:pPr>
        <w:numPr>
          <w:ilvl w:val="0"/>
          <w:numId w:val="45"/>
        </w:numPr>
        <w:spacing w:before="120" w:after="0" w:line="276" w:lineRule="auto"/>
        <w:ind w:left="0" w:firstLine="0"/>
      </w:pPr>
      <w:r>
        <w:t>Կիրականացվի գնաճով ինդեքսավորվող պարտատոմսերի դեբյուտային թողարկում:</w:t>
      </w:r>
    </w:p>
    <w:p w14:paraId="1AB186BD" w14:textId="77777777" w:rsidR="00DA0D02" w:rsidRDefault="00DA0D02" w:rsidP="00746426">
      <w:pPr>
        <w:numPr>
          <w:ilvl w:val="0"/>
          <w:numId w:val="45"/>
        </w:numPr>
        <w:spacing w:before="120" w:after="0" w:line="276" w:lineRule="auto"/>
        <w:ind w:left="0" w:firstLine="0"/>
      </w:pPr>
      <w:r>
        <w:t xml:space="preserve">Պետական բյուջեով նախատեսված </w:t>
      </w:r>
      <w:r w:rsidRPr="005F4268">
        <w:t>որոշակի ոլորտներում առանձին նախագծերի ֆինանսավորման</w:t>
      </w:r>
      <w:r>
        <w:t xml:space="preserve"> նպատակով կդիտարկվի նպատակային պարտատոմսերի թողարկման հնարավորությունը:</w:t>
      </w:r>
    </w:p>
    <w:p w14:paraId="278AD2A2" w14:textId="77777777" w:rsidR="00DA0D02" w:rsidRDefault="00DA0D02" w:rsidP="00746426">
      <w:pPr>
        <w:numPr>
          <w:ilvl w:val="0"/>
          <w:numId w:val="45"/>
        </w:numPr>
        <w:spacing w:before="120" w:after="0" w:line="276" w:lineRule="auto"/>
        <w:ind w:left="0" w:firstLine="0"/>
      </w:pPr>
      <w:r w:rsidRPr="0070296A">
        <w:t xml:space="preserve">Կարևորելով պետական գանձապետական պարտատոմսերի մանրածախ շուկայի զարգացումը` </w:t>
      </w:r>
      <w:r>
        <w:t>կընդլայնվի</w:t>
      </w:r>
      <w:r w:rsidRPr="0070296A">
        <w:t xml:space="preserve"> </w:t>
      </w:r>
      <w:r>
        <w:t xml:space="preserve">մանրածախ առցանց հարթակի </w:t>
      </w:r>
      <w:r w:rsidRPr="00581010">
        <w:t xml:space="preserve">(gp.minfin.am) </w:t>
      </w:r>
      <w:r>
        <w:t xml:space="preserve">հասանելիությունը Հայաստանի Հանրապետության տարածքից դուրս ևս ապահովելու </w:t>
      </w:r>
      <w:r w:rsidRPr="00FE1EBF">
        <w:t xml:space="preserve">և </w:t>
      </w:r>
      <w:r>
        <w:t>ոչ ռեզիդենտների մուտքը պետական գանձապետական պարտատոմսերի շուկա առավել մատչելի դարձնելու համար: Կ</w:t>
      </w:r>
      <w:r w:rsidRPr="0070296A">
        <w:t xml:space="preserve">առավարության նկատմամբ վստահության ամրապնդման ուղղությամբ քայլերին զուգահեռ, </w:t>
      </w:r>
      <w:r>
        <w:t>կշարունակվեն</w:t>
      </w:r>
      <w:r w:rsidRPr="0070296A">
        <w:t xml:space="preserve"> հանրային իրազեկման աշխատանքներ</w:t>
      </w:r>
      <w:r>
        <w:t>ը</w:t>
      </w:r>
      <w:r w:rsidRPr="0070296A">
        <w:t xml:space="preserve"> պոտեն</w:t>
      </w:r>
      <w:r w:rsidRPr="0070296A">
        <w:softHyphen/>
        <w:t xml:space="preserve">ցիալ ներդրողների շրջանում: </w:t>
      </w:r>
    </w:p>
    <w:p w14:paraId="13BF5FC1" w14:textId="77777777" w:rsidR="00DA0D02" w:rsidRPr="00A278C6" w:rsidRDefault="00DA0D02" w:rsidP="00746426">
      <w:pPr>
        <w:numPr>
          <w:ilvl w:val="0"/>
          <w:numId w:val="45"/>
        </w:numPr>
        <w:spacing w:before="120" w:after="0" w:line="276" w:lineRule="auto"/>
        <w:ind w:left="0" w:firstLine="0"/>
      </w:pPr>
      <w:r w:rsidRPr="0070296A">
        <w:t>Համագործակցությունն արտաքին վարկատուների հետ կշարունակվի՝ նա</w:t>
      </w:r>
      <w:r w:rsidRPr="0070296A">
        <w:softHyphen/>
        <w:t>խա</w:t>
      </w:r>
      <w:r w:rsidRPr="0070296A">
        <w:softHyphen/>
      </w:r>
      <w:r w:rsidRPr="0070296A">
        <w:softHyphen/>
        <w:t>պատվությունը տալով վարկավորման առավել բարենպաստ պայմաններով և ազատ փոխարկելի արժույթով փոխառու միջոցներ տրամադրող վարկատուների հետ համա</w:t>
      </w:r>
      <w:r w:rsidRPr="0070296A">
        <w:softHyphen/>
        <w:t>գործակ</w:t>
      </w:r>
      <w:r w:rsidRPr="0070296A">
        <w:softHyphen/>
        <w:t>ցությանը, և աստիճանաբար անցում կկատարվի շուկայական գործիքներով պակասուրդի ֆինանսավորմանը:</w:t>
      </w:r>
      <w:r>
        <w:t xml:space="preserve"> </w:t>
      </w:r>
      <w:r w:rsidRPr="00A278C6">
        <w:t xml:space="preserve">Նախատեսվում է </w:t>
      </w:r>
      <w:r>
        <w:t>նաև ա</w:t>
      </w:r>
      <w:r w:rsidRPr="00A278C6">
        <w:t>րտաքին վարկատուների հետ</w:t>
      </w:r>
      <w:r>
        <w:t xml:space="preserve"> համագործակցության շրջանակներում իրականացնել </w:t>
      </w:r>
      <w:r w:rsidRPr="00A278C6">
        <w:t>«Ծրագիր արդյունքի դիմաց» ֆինանսավորման գործիքի</w:t>
      </w:r>
      <w:r>
        <w:t xml:space="preserve"> </w:t>
      </w:r>
      <w:r w:rsidRPr="00A278C6">
        <w:t>կիրառմամբ նոր ծրագրեր</w:t>
      </w:r>
      <w:r>
        <w:t>՝ ջրային, առողջապահության և այլ ոլորտներում։</w:t>
      </w:r>
    </w:p>
    <w:p w14:paraId="2FC92CDB" w14:textId="77777777" w:rsidR="00DA0D02" w:rsidRDefault="00DA0D02" w:rsidP="00746426">
      <w:pPr>
        <w:numPr>
          <w:ilvl w:val="0"/>
          <w:numId w:val="45"/>
        </w:numPr>
        <w:spacing w:before="120" w:after="0" w:line="276" w:lineRule="auto"/>
        <w:ind w:left="0" w:firstLine="0"/>
      </w:pPr>
      <w:r w:rsidRPr="00074649">
        <w:t>Սույն</w:t>
      </w:r>
      <w:r w:rsidRPr="00FE1EBF">
        <w:rPr>
          <w:lang w:val="es-ES"/>
        </w:rPr>
        <w:t xml:space="preserve"> </w:t>
      </w:r>
      <w:r w:rsidRPr="0070296A">
        <w:t>ռազմավարությամբ</w:t>
      </w:r>
      <w:r w:rsidRPr="00FE1EBF">
        <w:rPr>
          <w:lang w:val="es-ES"/>
        </w:rPr>
        <w:t xml:space="preserve"> </w:t>
      </w:r>
      <w:r w:rsidRPr="0070296A">
        <w:t>նախատեսվել</w:t>
      </w:r>
      <w:r w:rsidRPr="00FE1EBF">
        <w:rPr>
          <w:lang w:val="es-ES"/>
        </w:rPr>
        <w:t xml:space="preserve"> </w:t>
      </w:r>
      <w:r w:rsidRPr="0070296A">
        <w:t>է</w:t>
      </w:r>
      <w:r w:rsidRPr="00FE1EBF">
        <w:rPr>
          <w:lang w:val="es-ES"/>
        </w:rPr>
        <w:t xml:space="preserve"> 202</w:t>
      </w:r>
      <w:r w:rsidRPr="0070296A">
        <w:t>5</w:t>
      </w:r>
      <w:r>
        <w:t xml:space="preserve"> </w:t>
      </w:r>
      <w:r w:rsidRPr="0070296A">
        <w:t>թ</w:t>
      </w:r>
      <w:r>
        <w:t>վականին</w:t>
      </w:r>
      <w:r w:rsidRPr="00FE1EBF">
        <w:rPr>
          <w:lang w:val="es-ES"/>
        </w:rPr>
        <w:t xml:space="preserve"> </w:t>
      </w:r>
      <w:r w:rsidRPr="0070296A">
        <w:t>մարվող</w:t>
      </w:r>
      <w:r w:rsidRPr="00FE1EBF">
        <w:rPr>
          <w:lang w:val="es-ES"/>
        </w:rPr>
        <w:t xml:space="preserve"> </w:t>
      </w:r>
      <w:r w:rsidRPr="0070296A">
        <w:t>եվրապարտատոմսերը</w:t>
      </w:r>
      <w:r w:rsidRPr="00FE1EBF">
        <w:rPr>
          <w:lang w:val="es-ES"/>
        </w:rPr>
        <w:t xml:space="preserve"> </w:t>
      </w:r>
      <w:r w:rsidRPr="0070296A">
        <w:t>վերաֆինան</w:t>
      </w:r>
      <w:r w:rsidRPr="00FE1EBF">
        <w:rPr>
          <w:lang w:val="es-ES"/>
        </w:rPr>
        <w:softHyphen/>
      </w:r>
      <w:r w:rsidRPr="0070296A">
        <w:t>սա</w:t>
      </w:r>
      <w:r w:rsidRPr="00FE1EBF">
        <w:rPr>
          <w:lang w:val="es-ES"/>
        </w:rPr>
        <w:softHyphen/>
      </w:r>
      <w:r w:rsidRPr="0070296A">
        <w:t>վորելու</w:t>
      </w:r>
      <w:r w:rsidRPr="00FE1EBF">
        <w:rPr>
          <w:lang w:val="es-ES"/>
        </w:rPr>
        <w:t xml:space="preserve"> </w:t>
      </w:r>
      <w:r w:rsidRPr="0070296A">
        <w:t>նպատակով</w:t>
      </w:r>
      <w:r w:rsidRPr="00FE1EBF">
        <w:rPr>
          <w:lang w:val="es-ES"/>
        </w:rPr>
        <w:t xml:space="preserve"> </w:t>
      </w:r>
      <w:r w:rsidRPr="0070296A">
        <w:t>իրականացնել</w:t>
      </w:r>
      <w:r w:rsidRPr="00FE1EBF">
        <w:rPr>
          <w:lang w:val="es-ES"/>
        </w:rPr>
        <w:t xml:space="preserve"> </w:t>
      </w:r>
      <w:r w:rsidRPr="0070296A">
        <w:t>նոր</w:t>
      </w:r>
      <w:r w:rsidRPr="00FE1EBF">
        <w:rPr>
          <w:lang w:val="es-ES"/>
        </w:rPr>
        <w:t xml:space="preserve"> </w:t>
      </w:r>
      <w:r w:rsidRPr="0070296A">
        <w:t>եվրապար</w:t>
      </w:r>
      <w:r w:rsidRPr="00FE1EBF">
        <w:rPr>
          <w:lang w:val="es-ES"/>
        </w:rPr>
        <w:softHyphen/>
      </w:r>
      <w:r w:rsidRPr="0070296A">
        <w:t>տատոմսերի</w:t>
      </w:r>
      <w:r w:rsidRPr="00FE1EBF">
        <w:rPr>
          <w:lang w:val="es-ES"/>
        </w:rPr>
        <w:t xml:space="preserve"> </w:t>
      </w:r>
      <w:r w:rsidRPr="0070296A">
        <w:t>տեղաբաշխում</w:t>
      </w:r>
      <w:r w:rsidRPr="00FE1EBF">
        <w:rPr>
          <w:lang w:val="es-ES"/>
        </w:rPr>
        <w:t xml:space="preserve">: Սակայն, միջազգային ֆինանսական կառույցներից առավել նպաստավոր պայմաններով փոխառությունների ներգրավման </w:t>
      </w:r>
      <w:r w:rsidRPr="0070296A">
        <w:t>հնարա</w:t>
      </w:r>
      <w:r w:rsidRPr="00FE1EBF">
        <w:rPr>
          <w:lang w:val="es-ES"/>
        </w:rPr>
        <w:softHyphen/>
      </w:r>
      <w:r w:rsidRPr="0070296A">
        <w:t>վորության</w:t>
      </w:r>
      <w:r w:rsidRPr="00FE1EBF">
        <w:rPr>
          <w:lang w:val="es-ES"/>
        </w:rPr>
        <w:t xml:space="preserve"> </w:t>
      </w:r>
      <w:r w:rsidRPr="0070296A">
        <w:t>առկայության</w:t>
      </w:r>
      <w:r w:rsidRPr="00FE1EBF">
        <w:rPr>
          <w:lang w:val="es-ES"/>
        </w:rPr>
        <w:t xml:space="preserve"> </w:t>
      </w:r>
      <w:r w:rsidRPr="0070296A">
        <w:t>կամ</w:t>
      </w:r>
      <w:r w:rsidRPr="00FE1EBF">
        <w:rPr>
          <w:lang w:val="es-ES"/>
        </w:rPr>
        <w:t xml:space="preserve"> </w:t>
      </w:r>
      <w:r w:rsidRPr="0070296A">
        <w:t>ներքին</w:t>
      </w:r>
      <w:r w:rsidRPr="00FE1EBF">
        <w:rPr>
          <w:lang w:val="es-ES"/>
        </w:rPr>
        <w:t xml:space="preserve"> </w:t>
      </w:r>
      <w:r w:rsidRPr="0070296A">
        <w:t>շուկայում</w:t>
      </w:r>
      <w:r w:rsidRPr="00FE1EBF">
        <w:rPr>
          <w:lang w:val="es-ES"/>
        </w:rPr>
        <w:t xml:space="preserve"> </w:t>
      </w:r>
      <w:r w:rsidRPr="0070296A">
        <w:t>բարենպաստ</w:t>
      </w:r>
      <w:r w:rsidRPr="00FE1EBF">
        <w:rPr>
          <w:lang w:val="es-ES"/>
        </w:rPr>
        <w:t xml:space="preserve"> </w:t>
      </w:r>
      <w:r w:rsidRPr="0070296A">
        <w:t>պայմանների</w:t>
      </w:r>
      <w:r w:rsidRPr="00FE1EBF">
        <w:rPr>
          <w:lang w:val="es-ES"/>
        </w:rPr>
        <w:t xml:space="preserve"> </w:t>
      </w:r>
      <w:r w:rsidRPr="0070296A">
        <w:t>առկայու</w:t>
      </w:r>
      <w:r w:rsidRPr="00FE1EBF">
        <w:rPr>
          <w:lang w:val="es-ES"/>
        </w:rPr>
        <w:softHyphen/>
      </w:r>
      <w:r w:rsidRPr="0070296A">
        <w:t>թյան</w:t>
      </w:r>
      <w:r w:rsidRPr="00FE1EBF">
        <w:rPr>
          <w:lang w:val="es-ES"/>
        </w:rPr>
        <w:t xml:space="preserve"> </w:t>
      </w:r>
      <w:r w:rsidRPr="0070296A">
        <w:t>դեպ</w:t>
      </w:r>
      <w:r w:rsidRPr="00FE1EBF">
        <w:rPr>
          <w:lang w:val="es-ES"/>
        </w:rPr>
        <w:softHyphen/>
      </w:r>
      <w:r w:rsidRPr="0070296A">
        <w:t>քերում</w:t>
      </w:r>
      <w:r w:rsidRPr="00FE1EBF">
        <w:rPr>
          <w:lang w:val="es-ES"/>
        </w:rPr>
        <w:t xml:space="preserve">, կառավարության կողմից </w:t>
      </w:r>
      <w:r w:rsidRPr="0070296A">
        <w:t>կդիտարկվեն</w:t>
      </w:r>
      <w:r w:rsidRPr="00FE1EBF">
        <w:rPr>
          <w:lang w:val="es-ES"/>
        </w:rPr>
        <w:t xml:space="preserve"> այդ աղբյուրներից յուրաքանչյուրի կամ դրանց համատեղման միջոցով 202</w:t>
      </w:r>
      <w:r w:rsidRPr="0070296A">
        <w:t>5</w:t>
      </w:r>
      <w:r>
        <w:t xml:space="preserve"> </w:t>
      </w:r>
      <w:r w:rsidRPr="0070296A">
        <w:t>թ</w:t>
      </w:r>
      <w:r>
        <w:t>վականին</w:t>
      </w:r>
      <w:r w:rsidRPr="0070296A">
        <w:t xml:space="preserve"> մարվող</w:t>
      </w:r>
      <w:r w:rsidRPr="00FE1EBF">
        <w:rPr>
          <w:lang w:val="es-ES"/>
        </w:rPr>
        <w:t xml:space="preserve"> </w:t>
      </w:r>
      <w:r w:rsidRPr="0070296A">
        <w:t>եվրապարտատոմսերը</w:t>
      </w:r>
      <w:r w:rsidRPr="00FE1EBF">
        <w:rPr>
          <w:lang w:val="es-ES"/>
        </w:rPr>
        <w:t xml:space="preserve"> </w:t>
      </w:r>
      <w:r w:rsidRPr="0070296A">
        <w:t>վերաֆինանսավորելու</w:t>
      </w:r>
      <w:r w:rsidRPr="00FE1EBF">
        <w:rPr>
          <w:lang w:val="es-ES"/>
        </w:rPr>
        <w:t xml:space="preserve"> </w:t>
      </w:r>
      <w:r w:rsidRPr="0070296A">
        <w:t>նպատակահարմարությունը</w:t>
      </w:r>
      <w:r w:rsidRPr="00FE1EBF">
        <w:rPr>
          <w:lang w:val="es-ES"/>
        </w:rPr>
        <w:t>:</w:t>
      </w:r>
    </w:p>
    <w:p w14:paraId="53CA9ACF" w14:textId="77777777" w:rsidR="00DA0D02" w:rsidRPr="0070296A" w:rsidRDefault="00DA0D02" w:rsidP="00746426">
      <w:pPr>
        <w:numPr>
          <w:ilvl w:val="0"/>
          <w:numId w:val="45"/>
        </w:numPr>
        <w:spacing w:before="120" w:after="0" w:line="276" w:lineRule="auto"/>
        <w:ind w:left="0" w:firstLine="0"/>
      </w:pPr>
      <w:r>
        <w:t xml:space="preserve">Կբարելավվի Բլումբերգ տեղեկատվական </w:t>
      </w:r>
      <w:r w:rsidRPr="009A7086">
        <w:t xml:space="preserve">հարթակում ՀՀ շուկաների վերաբերյալ </w:t>
      </w:r>
      <w:r>
        <w:t xml:space="preserve">ներկայացվող </w:t>
      </w:r>
      <w:r w:rsidRPr="009A7086">
        <w:t>տեղեկ</w:t>
      </w:r>
      <w:r>
        <w:t>ությունների կազմն ու որակը՝ ընդգրկելով ցուցանիշների լայն շրջանակ:</w:t>
      </w:r>
    </w:p>
    <w:p w14:paraId="1EA1DB75" w14:textId="77777777" w:rsidR="00DA0D02" w:rsidRPr="0070296A" w:rsidRDefault="00DA0D02" w:rsidP="00746426">
      <w:pPr>
        <w:numPr>
          <w:ilvl w:val="0"/>
          <w:numId w:val="45"/>
        </w:numPr>
        <w:spacing w:before="120" w:after="0" w:line="276" w:lineRule="auto"/>
        <w:ind w:left="0" w:firstLine="0"/>
      </w:pPr>
      <w:r>
        <w:t>ՀՀ կառավարության ֆինանսների կառավարման տեղեկատվական համակարգի մշակման շրջանակներում կ</w:t>
      </w:r>
      <w:r w:rsidRPr="0028372C">
        <w:t xml:space="preserve">ներդրվի </w:t>
      </w:r>
      <w:r>
        <w:t xml:space="preserve">ՀՀ կառավարության պարտքի հաշվառման, սպասարկման և այլ գործընթացների </w:t>
      </w:r>
      <w:r w:rsidRPr="0028372C">
        <w:t xml:space="preserve">կազմակերպման </w:t>
      </w:r>
      <w:r>
        <w:t xml:space="preserve">նոր </w:t>
      </w:r>
      <w:r w:rsidRPr="0028372C">
        <w:t>էլեկտրոնային համակարգ:</w:t>
      </w:r>
    </w:p>
    <w:p w14:paraId="426CCC54" w14:textId="77777777" w:rsidR="00DA0D02" w:rsidRDefault="00DA0D02" w:rsidP="00746426">
      <w:pPr>
        <w:numPr>
          <w:ilvl w:val="0"/>
          <w:numId w:val="45"/>
        </w:numPr>
        <w:spacing w:before="120" w:after="0" w:line="276" w:lineRule="auto"/>
        <w:ind w:left="0" w:firstLine="0"/>
      </w:pPr>
      <w:r w:rsidRPr="0070296A">
        <w:t xml:space="preserve">Միջազգային լավագույն փորձին համապատասխան </w:t>
      </w:r>
      <w:r>
        <w:t xml:space="preserve">վերանայված </w:t>
      </w:r>
      <w:r w:rsidRPr="0070296A">
        <w:t xml:space="preserve">«Պետական պարտքի մասին» </w:t>
      </w:r>
      <w:r>
        <w:t>նոր</w:t>
      </w:r>
      <w:r w:rsidRPr="0070296A">
        <w:t xml:space="preserve"> օրենքի </w:t>
      </w:r>
      <w:r>
        <w:t>ընդունումից հետո</w:t>
      </w:r>
      <w:r w:rsidRPr="00427C55">
        <w:t xml:space="preserve">` </w:t>
      </w:r>
      <w:r w:rsidRPr="00D50F26">
        <w:t>միջոցներ կձեռ</w:t>
      </w:r>
      <w:r w:rsidRPr="004A7A61">
        <w:t>նարկվեն</w:t>
      </w:r>
      <w:r>
        <w:t xml:space="preserve"> կմշակվեն ոլորտը կարգավորող ենթաօրենսդրական ակտեր</w:t>
      </w:r>
      <w:r w:rsidRPr="0070296A">
        <w:t>:</w:t>
      </w:r>
    </w:p>
    <w:p w14:paraId="62E78E87" w14:textId="77777777" w:rsidR="00DA0D02" w:rsidRDefault="00DA0D02" w:rsidP="00746426">
      <w:pPr>
        <w:numPr>
          <w:ilvl w:val="0"/>
          <w:numId w:val="45"/>
        </w:numPr>
        <w:spacing w:before="120" w:after="0" w:line="276" w:lineRule="auto"/>
        <w:ind w:left="0" w:firstLine="0"/>
      </w:pPr>
      <w:r>
        <w:t>Կվերանայվեն պետական գանձապետական պարտատոմսերի շուկայում գործող առաջնային դիլերների նկատմամբ կարգավորումներով նախատեսված պարտականությունները՝ ստեղծելով լրացուցիչ խթաններ:</w:t>
      </w:r>
    </w:p>
    <w:p w14:paraId="6853ACFA" w14:textId="77777777" w:rsidR="00DA0D02" w:rsidRDefault="00DA0D02" w:rsidP="00746426">
      <w:pPr>
        <w:numPr>
          <w:ilvl w:val="0"/>
          <w:numId w:val="45"/>
        </w:numPr>
        <w:spacing w:before="120" w:after="0" w:line="276" w:lineRule="auto"/>
        <w:ind w:left="0" w:firstLine="0"/>
      </w:pPr>
      <w:r w:rsidRPr="0070296A">
        <w:t>Պարտքի արդյունավետ կառավարման կարևորագույն գործոններից է թափանցի</w:t>
      </w:r>
      <w:r w:rsidRPr="0070296A">
        <w:softHyphen/>
        <w:t>կության ու հասարակության հետ մշտական հաղորդակցության ապահովումը: Այդ նպատակով կառավարությունը կշարունակի ներդրողների և հանրության հետ բաց ու հրապարակային աշխատանքները և պարտքի վերաբերյալ հաշվետ</w:t>
      </w:r>
      <w:r w:rsidRPr="0070296A">
        <w:softHyphen/>
        <w:t>վությունների ներկայացումը:</w:t>
      </w:r>
    </w:p>
    <w:p w14:paraId="6D1FEE26" w14:textId="77777777" w:rsidR="00DA0D02" w:rsidRDefault="00DA0D02" w:rsidP="00746426">
      <w:pPr>
        <w:numPr>
          <w:ilvl w:val="0"/>
          <w:numId w:val="45"/>
        </w:numPr>
        <w:spacing w:before="120" w:after="0" w:line="276" w:lineRule="auto"/>
        <w:ind w:left="0" w:firstLine="0"/>
      </w:pPr>
      <w:r>
        <w:t>Պարբերաբար կիրականացվեն իրազեկման արշավներ՝ ներքին և արտաքին ներդրողներին ներկայացնելով ՀՀ սոցիալ-տնտեսական զարգացումների վերաբերյալ օպերատիվ տեղեկություններ:</w:t>
      </w:r>
    </w:p>
    <w:p w14:paraId="7D002741" w14:textId="77777777" w:rsidR="00DA0D02" w:rsidRDefault="00DA0D02" w:rsidP="00746426">
      <w:pPr>
        <w:numPr>
          <w:ilvl w:val="0"/>
          <w:numId w:val="45"/>
        </w:numPr>
        <w:spacing w:before="120" w:after="0" w:line="276" w:lineRule="auto"/>
        <w:ind w:left="0" w:firstLine="0"/>
      </w:pPr>
      <w:r>
        <w:t xml:space="preserve">Կայունացման հաշվի օրենսդրական կարգավորումների համաձայն՝ կապահովվի </w:t>
      </w:r>
      <w:r w:rsidRPr="009C7D61">
        <w:t xml:space="preserve">Հայաստանի Հանրապետության կառավարության տվյալ տարվա բյուջետային ուղերձում </w:t>
      </w:r>
      <w:r>
        <w:t>այդ</w:t>
      </w:r>
      <w:r w:rsidRPr="009C7D61">
        <w:t xml:space="preserve"> տարվա համար կանխատեսված համախառն ներքին արդյունքի </w:t>
      </w:r>
      <w:r>
        <w:t xml:space="preserve">առնվազն մեկ տոկոսի չափով միջոցների առկայությունը։ </w:t>
      </w:r>
      <w:r w:rsidRPr="0070296A">
        <w:t>Ներքին և արտաքին շուկաներում անցան</w:t>
      </w:r>
      <w:r w:rsidRPr="0070296A">
        <w:softHyphen/>
        <w:t xml:space="preserve">կալի գործընթացների դեպքում այն </w:t>
      </w:r>
      <w:r>
        <w:t xml:space="preserve">կապահովագրի կառավարության պարտքի գծով վճարումների անխափան իրականացումը և հարկ եղած դեպքերում կաջակցի </w:t>
      </w:r>
      <w:r w:rsidRPr="0070296A">
        <w:t>ՀՀ պետական բյուջեի կատարմ</w:t>
      </w:r>
      <w:r>
        <w:t>ա</w:t>
      </w:r>
      <w:r w:rsidRPr="0070296A">
        <w:t>ն</w:t>
      </w:r>
      <w:r>
        <w:t>ը:</w:t>
      </w:r>
      <w:r w:rsidRPr="0070296A">
        <w:t xml:space="preserve"> </w:t>
      </w:r>
    </w:p>
    <w:p w14:paraId="7DE09300" w14:textId="298D8B3B" w:rsidR="00795BB8" w:rsidRPr="00461381" w:rsidRDefault="00795BB8" w:rsidP="00461381">
      <w:pPr>
        <w:tabs>
          <w:tab w:val="left" w:pos="0"/>
        </w:tabs>
        <w:spacing w:before="120" w:after="0" w:line="276" w:lineRule="auto"/>
        <w:ind w:firstLine="0"/>
        <w:rPr>
          <w:b/>
          <w:color w:val="44546A" w:themeColor="text2"/>
          <w:sz w:val="24"/>
          <w:szCs w:val="24"/>
          <w:lang w:val="hy-AM" w:eastAsia="ru-RU"/>
        </w:rPr>
      </w:pPr>
      <w:bookmarkStart w:id="261" w:name="_Toc138951002"/>
      <w:r w:rsidRPr="00461381">
        <w:rPr>
          <w:b/>
          <w:color w:val="44546A" w:themeColor="text2"/>
          <w:sz w:val="24"/>
          <w:szCs w:val="24"/>
          <w:lang w:val="hy-AM" w:eastAsia="ru-RU"/>
        </w:rPr>
        <w:t>1.4.3. ՀՀ կառավարության պարտքի կառավարման ռազմավարության ընտրությունը</w:t>
      </w:r>
      <w:bookmarkEnd w:id="261"/>
    </w:p>
    <w:p w14:paraId="2B746AFD" w14:textId="77777777" w:rsidR="00795BB8" w:rsidRPr="00795BB8" w:rsidRDefault="00795BB8" w:rsidP="00795BB8">
      <w:pPr>
        <w:spacing w:before="120" w:after="0" w:line="276" w:lineRule="auto"/>
        <w:ind w:firstLine="0"/>
        <w:rPr>
          <w:lang w:val="es-ES" w:eastAsia="ru-RU"/>
        </w:rPr>
      </w:pPr>
      <w:r w:rsidRPr="00A71282">
        <w:rPr>
          <w:lang w:val="hy-AM" w:eastAsia="ru-RU"/>
        </w:rPr>
        <w:t>ՀՀ</w:t>
      </w:r>
      <w:r w:rsidRPr="00795BB8">
        <w:rPr>
          <w:lang w:val="es-ES" w:eastAsia="ru-RU"/>
        </w:rPr>
        <w:t xml:space="preserve"> </w:t>
      </w:r>
      <w:r w:rsidRPr="00A71282">
        <w:rPr>
          <w:lang w:val="hy-AM" w:eastAsia="ru-RU"/>
        </w:rPr>
        <w:t>կառավարության</w:t>
      </w:r>
      <w:r w:rsidRPr="00795BB8">
        <w:rPr>
          <w:lang w:val="es-ES" w:eastAsia="ru-RU"/>
        </w:rPr>
        <w:t xml:space="preserve"> </w:t>
      </w:r>
      <w:r w:rsidRPr="00A71282">
        <w:rPr>
          <w:lang w:val="hy-AM" w:eastAsia="ru-RU"/>
        </w:rPr>
        <w:t>պարտքի</w:t>
      </w:r>
      <w:r w:rsidRPr="00795BB8">
        <w:rPr>
          <w:lang w:val="es-ES" w:eastAsia="ru-RU"/>
        </w:rPr>
        <w:t xml:space="preserve"> </w:t>
      </w:r>
      <w:r w:rsidRPr="00A71282">
        <w:rPr>
          <w:lang w:val="hy-AM" w:eastAsia="ru-RU"/>
        </w:rPr>
        <w:t>կառավարման</w:t>
      </w:r>
      <w:r w:rsidRPr="00795BB8">
        <w:rPr>
          <w:lang w:val="es-ES" w:eastAsia="ru-RU"/>
        </w:rPr>
        <w:t xml:space="preserve"> </w:t>
      </w:r>
      <w:r w:rsidRPr="00A71282">
        <w:rPr>
          <w:lang w:val="hy-AM" w:eastAsia="ru-RU"/>
        </w:rPr>
        <w:t>ռազմավարության</w:t>
      </w:r>
      <w:r w:rsidRPr="00795BB8">
        <w:rPr>
          <w:lang w:val="es-ES" w:eastAsia="ru-RU"/>
        </w:rPr>
        <w:t xml:space="preserve"> </w:t>
      </w:r>
      <w:r w:rsidRPr="00A71282">
        <w:rPr>
          <w:lang w:val="hy-AM" w:eastAsia="ru-RU"/>
        </w:rPr>
        <w:t>մեջ</w:t>
      </w:r>
      <w:r w:rsidRPr="00795BB8">
        <w:rPr>
          <w:lang w:val="es-ES" w:eastAsia="ru-RU"/>
        </w:rPr>
        <w:t xml:space="preserve"> </w:t>
      </w:r>
      <w:r w:rsidRPr="00A71282">
        <w:rPr>
          <w:lang w:val="hy-AM" w:eastAsia="ru-RU"/>
        </w:rPr>
        <w:t>կիրառված</w:t>
      </w:r>
      <w:r w:rsidRPr="00795BB8">
        <w:rPr>
          <w:lang w:val="es-ES" w:eastAsia="ru-RU"/>
        </w:rPr>
        <w:t xml:space="preserve"> </w:t>
      </w:r>
      <w:r w:rsidRPr="00A71282">
        <w:rPr>
          <w:lang w:val="hy-AM" w:eastAsia="ru-RU"/>
        </w:rPr>
        <w:t>մակրոտնտեսական</w:t>
      </w:r>
      <w:r w:rsidRPr="00795BB8">
        <w:rPr>
          <w:lang w:val="es-ES" w:eastAsia="ru-RU"/>
        </w:rPr>
        <w:t xml:space="preserve"> </w:t>
      </w:r>
      <w:r w:rsidRPr="00A71282">
        <w:rPr>
          <w:lang w:val="hy-AM" w:eastAsia="ru-RU"/>
        </w:rPr>
        <w:t>և</w:t>
      </w:r>
      <w:r w:rsidRPr="00795BB8">
        <w:rPr>
          <w:lang w:val="es-ES" w:eastAsia="ru-RU"/>
        </w:rPr>
        <w:t xml:space="preserve"> </w:t>
      </w:r>
      <w:r w:rsidRPr="00A71282">
        <w:rPr>
          <w:lang w:val="hy-AM" w:eastAsia="ru-RU"/>
        </w:rPr>
        <w:t>հարկաբյուջետային</w:t>
      </w:r>
      <w:r w:rsidRPr="00795BB8">
        <w:rPr>
          <w:lang w:val="es-ES" w:eastAsia="ru-RU"/>
        </w:rPr>
        <w:t xml:space="preserve"> </w:t>
      </w:r>
      <w:r w:rsidRPr="00A71282">
        <w:rPr>
          <w:lang w:val="hy-AM" w:eastAsia="ru-RU"/>
        </w:rPr>
        <w:t>ցուցանիշները</w:t>
      </w:r>
      <w:r w:rsidRPr="00795BB8">
        <w:rPr>
          <w:lang w:val="es-ES" w:eastAsia="ru-RU"/>
        </w:rPr>
        <w:t xml:space="preserve"> </w:t>
      </w:r>
      <w:r w:rsidRPr="00A71282">
        <w:rPr>
          <w:lang w:val="hy-AM" w:eastAsia="ru-RU"/>
        </w:rPr>
        <w:t>համադրելի</w:t>
      </w:r>
      <w:r w:rsidRPr="00795BB8">
        <w:rPr>
          <w:lang w:val="es-ES" w:eastAsia="ru-RU"/>
        </w:rPr>
        <w:t xml:space="preserve"> </w:t>
      </w:r>
      <w:r w:rsidRPr="00A71282">
        <w:rPr>
          <w:lang w:val="hy-AM" w:eastAsia="ru-RU"/>
        </w:rPr>
        <w:t>են</w:t>
      </w:r>
      <w:r w:rsidRPr="00795BB8">
        <w:rPr>
          <w:lang w:val="es-ES" w:eastAsia="ru-RU"/>
        </w:rPr>
        <w:t xml:space="preserve"> 202</w:t>
      </w:r>
      <w:r w:rsidRPr="00B1068B">
        <w:rPr>
          <w:lang w:val="af-ZA" w:eastAsia="ru-RU"/>
        </w:rPr>
        <w:t>5</w:t>
      </w:r>
      <w:r w:rsidRPr="00795BB8">
        <w:rPr>
          <w:lang w:val="es-ES" w:eastAsia="ru-RU"/>
        </w:rPr>
        <w:t>-202</w:t>
      </w:r>
      <w:r w:rsidRPr="00B1068B">
        <w:rPr>
          <w:lang w:val="af-ZA" w:eastAsia="ru-RU"/>
        </w:rPr>
        <w:t>7</w:t>
      </w:r>
      <w:r w:rsidRPr="00795BB8">
        <w:rPr>
          <w:lang w:val="es-ES" w:eastAsia="ru-RU"/>
        </w:rPr>
        <w:t xml:space="preserve"> </w:t>
      </w:r>
      <w:r w:rsidRPr="00A71282">
        <w:rPr>
          <w:lang w:val="hy-AM" w:eastAsia="ru-RU"/>
        </w:rPr>
        <w:t>թվականների</w:t>
      </w:r>
      <w:r w:rsidRPr="00795BB8">
        <w:rPr>
          <w:lang w:val="es-ES" w:eastAsia="ru-RU"/>
        </w:rPr>
        <w:t xml:space="preserve"> </w:t>
      </w:r>
      <w:r w:rsidRPr="00A71282">
        <w:rPr>
          <w:lang w:val="hy-AM" w:eastAsia="ru-RU"/>
        </w:rPr>
        <w:t>պետական</w:t>
      </w:r>
      <w:r w:rsidRPr="00795BB8">
        <w:rPr>
          <w:lang w:val="es-ES" w:eastAsia="ru-RU"/>
        </w:rPr>
        <w:t xml:space="preserve"> </w:t>
      </w:r>
      <w:r w:rsidRPr="00A71282">
        <w:rPr>
          <w:lang w:val="hy-AM" w:eastAsia="ru-RU"/>
        </w:rPr>
        <w:t>միջնաժամկետ</w:t>
      </w:r>
      <w:r w:rsidRPr="00795BB8">
        <w:rPr>
          <w:lang w:val="es-ES" w:eastAsia="ru-RU"/>
        </w:rPr>
        <w:t xml:space="preserve"> </w:t>
      </w:r>
      <w:r w:rsidRPr="00A71282">
        <w:rPr>
          <w:lang w:val="hy-AM" w:eastAsia="ru-RU"/>
        </w:rPr>
        <w:t>ծախսերի</w:t>
      </w:r>
      <w:r w:rsidRPr="00795BB8">
        <w:rPr>
          <w:lang w:val="es-ES" w:eastAsia="ru-RU"/>
        </w:rPr>
        <w:t xml:space="preserve"> </w:t>
      </w:r>
      <w:r w:rsidRPr="00A71282">
        <w:rPr>
          <w:lang w:val="hy-AM" w:eastAsia="ru-RU"/>
        </w:rPr>
        <w:t>ծրագրով</w:t>
      </w:r>
      <w:r w:rsidRPr="00795BB8">
        <w:rPr>
          <w:lang w:val="es-ES" w:eastAsia="ru-RU"/>
        </w:rPr>
        <w:t xml:space="preserve"> </w:t>
      </w:r>
      <w:r w:rsidRPr="00A71282">
        <w:rPr>
          <w:lang w:val="hy-AM" w:eastAsia="ru-RU"/>
        </w:rPr>
        <w:t>կանխատեսված</w:t>
      </w:r>
      <w:r w:rsidRPr="00795BB8">
        <w:rPr>
          <w:lang w:val="es-ES" w:eastAsia="ru-RU"/>
        </w:rPr>
        <w:t xml:space="preserve"> </w:t>
      </w:r>
      <w:r w:rsidRPr="00A71282">
        <w:rPr>
          <w:lang w:val="hy-AM" w:eastAsia="ru-RU"/>
        </w:rPr>
        <w:t>մակրոտնտեսական</w:t>
      </w:r>
      <w:r w:rsidRPr="00795BB8">
        <w:rPr>
          <w:lang w:val="es-ES" w:eastAsia="ru-RU"/>
        </w:rPr>
        <w:t xml:space="preserve"> </w:t>
      </w:r>
      <w:r w:rsidRPr="00A71282">
        <w:rPr>
          <w:lang w:val="hy-AM" w:eastAsia="ru-RU"/>
        </w:rPr>
        <w:t>և</w:t>
      </w:r>
      <w:r w:rsidRPr="00795BB8">
        <w:rPr>
          <w:lang w:val="es-ES" w:eastAsia="ru-RU"/>
        </w:rPr>
        <w:t xml:space="preserve"> </w:t>
      </w:r>
      <w:r w:rsidRPr="00A71282">
        <w:rPr>
          <w:lang w:val="hy-AM" w:eastAsia="ru-RU"/>
        </w:rPr>
        <w:t>հարկաբյուջետային</w:t>
      </w:r>
      <w:r w:rsidRPr="00795BB8">
        <w:rPr>
          <w:lang w:val="es-ES" w:eastAsia="ru-RU"/>
        </w:rPr>
        <w:t xml:space="preserve"> </w:t>
      </w:r>
      <w:r w:rsidRPr="00A71282">
        <w:rPr>
          <w:lang w:val="hy-AM" w:eastAsia="ru-RU"/>
        </w:rPr>
        <w:t>շրջանակին։</w:t>
      </w:r>
      <w:r w:rsidRPr="00795BB8">
        <w:rPr>
          <w:lang w:val="es-ES" w:eastAsia="ru-RU"/>
        </w:rPr>
        <w:t xml:space="preserve"> </w:t>
      </w:r>
      <w:r w:rsidRPr="006B4DF2">
        <w:rPr>
          <w:lang w:eastAsia="ru-RU"/>
        </w:rPr>
        <w:t>ՀՀ</w:t>
      </w:r>
      <w:r w:rsidRPr="00795BB8">
        <w:rPr>
          <w:lang w:val="es-ES" w:eastAsia="ru-RU"/>
        </w:rPr>
        <w:t xml:space="preserve"> </w:t>
      </w:r>
      <w:r w:rsidRPr="006B4DF2">
        <w:rPr>
          <w:lang w:eastAsia="ru-RU"/>
        </w:rPr>
        <w:t>կառավարության</w:t>
      </w:r>
      <w:r w:rsidRPr="00795BB8">
        <w:rPr>
          <w:lang w:val="es-ES" w:eastAsia="ru-RU"/>
        </w:rPr>
        <w:t xml:space="preserve"> </w:t>
      </w:r>
      <w:r w:rsidRPr="006B4DF2">
        <w:rPr>
          <w:lang w:eastAsia="ru-RU"/>
        </w:rPr>
        <w:t>պարտքի</w:t>
      </w:r>
      <w:r w:rsidRPr="00795BB8">
        <w:rPr>
          <w:lang w:val="es-ES" w:eastAsia="ru-RU"/>
        </w:rPr>
        <w:t xml:space="preserve"> </w:t>
      </w:r>
      <w:r w:rsidRPr="006B4DF2">
        <w:rPr>
          <w:lang w:eastAsia="ru-RU"/>
        </w:rPr>
        <w:t>կառավարման</w:t>
      </w:r>
      <w:r w:rsidRPr="00795BB8">
        <w:rPr>
          <w:lang w:val="es-ES" w:eastAsia="ru-RU"/>
        </w:rPr>
        <w:t xml:space="preserve"> </w:t>
      </w:r>
      <w:r w:rsidRPr="006B4DF2">
        <w:rPr>
          <w:lang w:eastAsia="ru-RU"/>
        </w:rPr>
        <w:t>ռազմավարությամբ</w:t>
      </w:r>
      <w:r w:rsidRPr="00795BB8">
        <w:rPr>
          <w:lang w:val="es-ES" w:eastAsia="ru-RU"/>
        </w:rPr>
        <w:t xml:space="preserve"> </w:t>
      </w:r>
      <w:r w:rsidRPr="006B4DF2">
        <w:rPr>
          <w:lang w:eastAsia="ru-RU"/>
        </w:rPr>
        <w:t>նախատեսվել</w:t>
      </w:r>
      <w:r w:rsidRPr="00795BB8">
        <w:rPr>
          <w:lang w:val="es-ES" w:eastAsia="ru-RU"/>
        </w:rPr>
        <w:t xml:space="preserve"> </w:t>
      </w:r>
      <w:r w:rsidRPr="006B4DF2">
        <w:rPr>
          <w:lang w:eastAsia="ru-RU"/>
        </w:rPr>
        <w:t>է</w:t>
      </w:r>
      <w:r w:rsidRPr="00795BB8">
        <w:rPr>
          <w:lang w:val="es-ES" w:eastAsia="ru-RU"/>
        </w:rPr>
        <w:t xml:space="preserve">, </w:t>
      </w:r>
      <w:r w:rsidRPr="006B4DF2">
        <w:rPr>
          <w:lang w:eastAsia="ru-RU"/>
        </w:rPr>
        <w:t>որ</w:t>
      </w:r>
      <w:r w:rsidRPr="00795BB8">
        <w:rPr>
          <w:lang w:val="es-ES" w:eastAsia="ru-RU"/>
        </w:rPr>
        <w:t xml:space="preserve"> «</w:t>
      </w:r>
      <w:r w:rsidRPr="006B4DF2">
        <w:rPr>
          <w:lang w:eastAsia="ru-RU"/>
        </w:rPr>
        <w:t>ՀՀ</w:t>
      </w:r>
      <w:r w:rsidRPr="00795BB8">
        <w:rPr>
          <w:lang w:val="es-ES" w:eastAsia="ru-RU"/>
        </w:rPr>
        <w:t xml:space="preserve"> </w:t>
      </w:r>
      <w:r w:rsidRPr="006B4DF2">
        <w:rPr>
          <w:lang w:eastAsia="ru-RU"/>
        </w:rPr>
        <w:t>կառավարության</w:t>
      </w:r>
      <w:r w:rsidRPr="00795BB8">
        <w:rPr>
          <w:lang w:val="es-ES" w:eastAsia="ru-RU"/>
        </w:rPr>
        <w:t xml:space="preserve"> </w:t>
      </w:r>
      <w:r w:rsidRPr="006B4DF2">
        <w:rPr>
          <w:lang w:eastAsia="ru-RU"/>
        </w:rPr>
        <w:t>պարտք</w:t>
      </w:r>
      <w:r w:rsidRPr="00795BB8">
        <w:rPr>
          <w:lang w:val="es-ES" w:eastAsia="ru-RU"/>
        </w:rPr>
        <w:t>/</w:t>
      </w:r>
      <w:r w:rsidRPr="006B4DF2">
        <w:rPr>
          <w:lang w:eastAsia="ru-RU"/>
        </w:rPr>
        <w:t>ՀՆԱ</w:t>
      </w:r>
      <w:r w:rsidRPr="00795BB8">
        <w:rPr>
          <w:lang w:val="es-ES" w:eastAsia="ru-RU"/>
        </w:rPr>
        <w:t xml:space="preserve">» </w:t>
      </w:r>
      <w:r w:rsidRPr="006B4DF2">
        <w:rPr>
          <w:lang w:eastAsia="ru-RU"/>
        </w:rPr>
        <w:t>ցուցանիշը</w:t>
      </w:r>
      <w:r w:rsidRPr="00795BB8">
        <w:rPr>
          <w:lang w:val="es-ES" w:eastAsia="ru-RU"/>
        </w:rPr>
        <w:t xml:space="preserve"> </w:t>
      </w:r>
      <w:r w:rsidRPr="006B4DF2">
        <w:rPr>
          <w:lang w:eastAsia="ru-RU"/>
        </w:rPr>
        <w:t>միջնաժամկետ</w:t>
      </w:r>
      <w:r w:rsidRPr="00795BB8">
        <w:rPr>
          <w:lang w:val="es-ES" w:eastAsia="ru-RU"/>
        </w:rPr>
        <w:t xml:space="preserve"> </w:t>
      </w:r>
      <w:r w:rsidRPr="006B4DF2">
        <w:rPr>
          <w:lang w:eastAsia="ru-RU"/>
        </w:rPr>
        <w:t>հատվածում</w:t>
      </w:r>
      <w:r w:rsidRPr="00795BB8">
        <w:rPr>
          <w:lang w:val="es-ES" w:eastAsia="ru-RU"/>
        </w:rPr>
        <w:t xml:space="preserve"> </w:t>
      </w:r>
      <w:r>
        <w:rPr>
          <w:lang w:eastAsia="ru-RU"/>
        </w:rPr>
        <w:t>կկայունանա</w:t>
      </w:r>
      <w:r w:rsidRPr="00795BB8">
        <w:rPr>
          <w:lang w:val="es-ES" w:eastAsia="ru-RU"/>
        </w:rPr>
        <w:t xml:space="preserve"> 55%-</w:t>
      </w:r>
      <w:r>
        <w:rPr>
          <w:lang w:eastAsia="ru-RU"/>
        </w:rPr>
        <w:t>ի</w:t>
      </w:r>
      <w:r w:rsidRPr="00795BB8">
        <w:rPr>
          <w:lang w:val="es-ES" w:eastAsia="ru-RU"/>
        </w:rPr>
        <w:t xml:space="preserve"> </w:t>
      </w:r>
      <w:r>
        <w:rPr>
          <w:lang w:eastAsia="ru-RU"/>
        </w:rPr>
        <w:t>շուրջ</w:t>
      </w:r>
      <w:r w:rsidRPr="00795BB8">
        <w:rPr>
          <w:lang w:val="es-ES" w:eastAsia="ru-RU"/>
        </w:rPr>
        <w:t xml:space="preserve">: </w:t>
      </w:r>
      <w:r>
        <w:rPr>
          <w:lang w:eastAsia="ru-RU"/>
        </w:rPr>
        <w:t>Տ</w:t>
      </w:r>
      <w:r w:rsidRPr="00596A85">
        <w:rPr>
          <w:lang w:eastAsia="ru-RU"/>
        </w:rPr>
        <w:t>ոկոսավճարների</w:t>
      </w:r>
      <w:r w:rsidRPr="00795BB8">
        <w:rPr>
          <w:lang w:val="es-ES" w:eastAsia="ru-RU"/>
        </w:rPr>
        <w:t xml:space="preserve"> </w:t>
      </w:r>
      <w:r w:rsidRPr="00596A85">
        <w:rPr>
          <w:lang w:eastAsia="ru-RU"/>
        </w:rPr>
        <w:t>բեռը</w:t>
      </w:r>
      <w:r w:rsidRPr="00795BB8">
        <w:rPr>
          <w:lang w:val="es-ES" w:eastAsia="ru-RU"/>
        </w:rPr>
        <w:t xml:space="preserve"> </w:t>
      </w:r>
      <w:r w:rsidRPr="00541BFC">
        <w:rPr>
          <w:lang w:eastAsia="ru-RU"/>
        </w:rPr>
        <w:t>միջնաժամկետ</w:t>
      </w:r>
      <w:r w:rsidRPr="00795BB8">
        <w:rPr>
          <w:lang w:val="es-ES" w:eastAsia="ru-RU"/>
        </w:rPr>
        <w:t xml:space="preserve"> </w:t>
      </w:r>
      <w:r w:rsidRPr="00541BFC">
        <w:rPr>
          <w:lang w:eastAsia="ru-RU"/>
        </w:rPr>
        <w:t>հատվածում</w:t>
      </w:r>
      <w:r w:rsidRPr="00795BB8">
        <w:rPr>
          <w:lang w:val="es-ES" w:eastAsia="ru-RU"/>
        </w:rPr>
        <w:t xml:space="preserve"> </w:t>
      </w:r>
      <w:r w:rsidRPr="00541BFC">
        <w:rPr>
          <w:lang w:eastAsia="ru-RU"/>
        </w:rPr>
        <w:t>էական</w:t>
      </w:r>
      <w:r w:rsidRPr="00795BB8">
        <w:rPr>
          <w:lang w:val="es-ES" w:eastAsia="ru-RU"/>
        </w:rPr>
        <w:t xml:space="preserve"> </w:t>
      </w:r>
      <w:r w:rsidRPr="00541BFC">
        <w:rPr>
          <w:lang w:eastAsia="ru-RU"/>
        </w:rPr>
        <w:t>չավելացնելու</w:t>
      </w:r>
      <w:r w:rsidRPr="00795BB8">
        <w:rPr>
          <w:lang w:val="es-ES" w:eastAsia="ru-RU"/>
        </w:rPr>
        <w:t xml:space="preserve">, </w:t>
      </w:r>
      <w:r w:rsidRPr="00541BFC">
        <w:rPr>
          <w:lang w:eastAsia="ru-RU"/>
        </w:rPr>
        <w:t>ինչպես</w:t>
      </w:r>
      <w:r w:rsidRPr="00795BB8">
        <w:rPr>
          <w:lang w:val="es-ES" w:eastAsia="ru-RU"/>
        </w:rPr>
        <w:t xml:space="preserve"> </w:t>
      </w:r>
      <w:r w:rsidRPr="00541BFC">
        <w:rPr>
          <w:lang w:eastAsia="ru-RU"/>
        </w:rPr>
        <w:t>նաև</w:t>
      </w:r>
      <w:r w:rsidRPr="00795BB8">
        <w:rPr>
          <w:lang w:val="es-ES" w:eastAsia="ru-RU"/>
        </w:rPr>
        <w:t xml:space="preserve"> </w:t>
      </w:r>
      <w:r w:rsidRPr="00541BFC">
        <w:rPr>
          <w:lang w:eastAsia="ru-RU"/>
        </w:rPr>
        <w:t>պետական</w:t>
      </w:r>
      <w:r w:rsidRPr="00795BB8">
        <w:rPr>
          <w:lang w:val="es-ES" w:eastAsia="ru-RU"/>
        </w:rPr>
        <w:t xml:space="preserve"> </w:t>
      </w:r>
      <w:r>
        <w:rPr>
          <w:lang w:eastAsia="ru-RU"/>
        </w:rPr>
        <w:t>բյուջեի</w:t>
      </w:r>
      <w:r w:rsidRPr="00795BB8">
        <w:rPr>
          <w:lang w:val="es-ES" w:eastAsia="ru-RU"/>
        </w:rPr>
        <w:t xml:space="preserve"> </w:t>
      </w:r>
      <w:r>
        <w:rPr>
          <w:lang w:eastAsia="ru-RU"/>
        </w:rPr>
        <w:t>արտարժութային</w:t>
      </w:r>
      <w:r w:rsidRPr="00795BB8">
        <w:rPr>
          <w:lang w:val="es-ES" w:eastAsia="ru-RU"/>
        </w:rPr>
        <w:t xml:space="preserve"> </w:t>
      </w:r>
      <w:r>
        <w:rPr>
          <w:lang w:eastAsia="ru-RU"/>
        </w:rPr>
        <w:t>մուտքերի</w:t>
      </w:r>
      <w:r w:rsidRPr="00795BB8">
        <w:rPr>
          <w:lang w:val="es-ES" w:eastAsia="ru-RU"/>
        </w:rPr>
        <w:t xml:space="preserve"> </w:t>
      </w:r>
      <w:r>
        <w:rPr>
          <w:lang w:eastAsia="ru-RU"/>
        </w:rPr>
        <w:t>կարիքն</w:t>
      </w:r>
      <w:r w:rsidRPr="00795BB8">
        <w:rPr>
          <w:lang w:val="es-ES" w:eastAsia="ru-RU"/>
        </w:rPr>
        <w:t xml:space="preserve"> </w:t>
      </w:r>
      <w:r>
        <w:rPr>
          <w:lang w:eastAsia="ru-RU"/>
        </w:rPr>
        <w:t>ապահովելու</w:t>
      </w:r>
      <w:r w:rsidRPr="00795BB8">
        <w:rPr>
          <w:lang w:val="es-ES" w:eastAsia="ru-RU"/>
        </w:rPr>
        <w:t xml:space="preserve"> </w:t>
      </w:r>
      <w:r w:rsidRPr="006B4DF2">
        <w:rPr>
          <w:lang w:eastAsia="ru-RU"/>
        </w:rPr>
        <w:t>նպատակով</w:t>
      </w:r>
      <w:r w:rsidRPr="00795BB8">
        <w:rPr>
          <w:lang w:val="es-ES" w:eastAsia="ru-RU"/>
        </w:rPr>
        <w:t xml:space="preserve">, </w:t>
      </w:r>
      <w:r w:rsidRPr="006B4DF2">
        <w:rPr>
          <w:lang w:eastAsia="ru-RU"/>
        </w:rPr>
        <w:t>ներքին</w:t>
      </w:r>
      <w:r w:rsidRPr="00795BB8">
        <w:rPr>
          <w:lang w:val="es-ES" w:eastAsia="ru-RU"/>
        </w:rPr>
        <w:t xml:space="preserve"> </w:t>
      </w:r>
      <w:r w:rsidRPr="00596A85">
        <w:rPr>
          <w:lang w:eastAsia="ru-RU"/>
        </w:rPr>
        <w:t>պարտքի</w:t>
      </w:r>
      <w:r w:rsidRPr="00795BB8">
        <w:rPr>
          <w:lang w:val="es-ES" w:eastAsia="ru-RU"/>
        </w:rPr>
        <w:t xml:space="preserve"> </w:t>
      </w:r>
      <w:r>
        <w:rPr>
          <w:lang w:eastAsia="ru-RU"/>
        </w:rPr>
        <w:t>և</w:t>
      </w:r>
      <w:r w:rsidRPr="00795BB8">
        <w:rPr>
          <w:lang w:val="es-ES" w:eastAsia="ru-RU"/>
        </w:rPr>
        <w:t xml:space="preserve"> </w:t>
      </w:r>
      <w:r w:rsidRPr="00596A85">
        <w:rPr>
          <w:lang w:eastAsia="ru-RU"/>
        </w:rPr>
        <w:t>դրամային</w:t>
      </w:r>
      <w:r w:rsidRPr="00795BB8">
        <w:rPr>
          <w:lang w:val="es-ES" w:eastAsia="ru-RU"/>
        </w:rPr>
        <w:t xml:space="preserve"> </w:t>
      </w:r>
      <w:r w:rsidRPr="00596A85">
        <w:rPr>
          <w:lang w:eastAsia="ru-RU"/>
        </w:rPr>
        <w:t>պարտքի</w:t>
      </w:r>
      <w:r w:rsidRPr="00795BB8">
        <w:rPr>
          <w:lang w:val="es-ES" w:eastAsia="ru-RU"/>
        </w:rPr>
        <w:t xml:space="preserve"> </w:t>
      </w:r>
      <w:r>
        <w:rPr>
          <w:lang w:eastAsia="ru-RU"/>
        </w:rPr>
        <w:t>մասնաբաժինները</w:t>
      </w:r>
      <w:r w:rsidRPr="00795BB8">
        <w:rPr>
          <w:lang w:val="es-ES" w:eastAsia="ru-RU"/>
        </w:rPr>
        <w:t xml:space="preserve"> </w:t>
      </w:r>
      <w:r>
        <w:rPr>
          <w:lang w:eastAsia="ru-RU"/>
        </w:rPr>
        <w:t>պարտքի</w:t>
      </w:r>
      <w:r w:rsidRPr="00795BB8">
        <w:rPr>
          <w:lang w:val="es-ES" w:eastAsia="ru-RU"/>
        </w:rPr>
        <w:t xml:space="preserve"> </w:t>
      </w:r>
      <w:r>
        <w:rPr>
          <w:lang w:eastAsia="ru-RU"/>
        </w:rPr>
        <w:t>կառուցվածքում</w:t>
      </w:r>
      <w:r w:rsidRPr="00795BB8">
        <w:rPr>
          <w:lang w:val="es-ES" w:eastAsia="ru-RU"/>
        </w:rPr>
        <w:t xml:space="preserve"> </w:t>
      </w:r>
      <w:r>
        <w:rPr>
          <w:lang w:eastAsia="ru-RU"/>
        </w:rPr>
        <w:t>միջնաժամկետ</w:t>
      </w:r>
      <w:r w:rsidRPr="00795BB8">
        <w:rPr>
          <w:lang w:val="es-ES" w:eastAsia="ru-RU"/>
        </w:rPr>
        <w:t xml:space="preserve"> </w:t>
      </w:r>
      <w:r>
        <w:rPr>
          <w:lang w:eastAsia="ru-RU"/>
        </w:rPr>
        <w:t>հատվածում</w:t>
      </w:r>
      <w:r w:rsidRPr="00795BB8">
        <w:rPr>
          <w:lang w:val="es-ES" w:eastAsia="ru-RU"/>
        </w:rPr>
        <w:t xml:space="preserve"> </w:t>
      </w:r>
      <w:r>
        <w:rPr>
          <w:lang w:eastAsia="ru-RU"/>
        </w:rPr>
        <w:t>կնվազեն</w:t>
      </w:r>
      <w:r w:rsidRPr="00795BB8">
        <w:rPr>
          <w:lang w:val="es-ES" w:eastAsia="ru-RU"/>
        </w:rPr>
        <w:t xml:space="preserve"> </w:t>
      </w:r>
      <w:r>
        <w:rPr>
          <w:lang w:eastAsia="ru-RU"/>
        </w:rPr>
        <w:t>միջինում</w:t>
      </w:r>
      <w:r w:rsidRPr="00795BB8">
        <w:rPr>
          <w:lang w:val="es-ES" w:eastAsia="ru-RU"/>
        </w:rPr>
        <w:t xml:space="preserve"> </w:t>
      </w:r>
      <w:r>
        <w:rPr>
          <w:lang w:eastAsia="ru-RU"/>
        </w:rPr>
        <w:t>համապատասխանաբար</w:t>
      </w:r>
      <w:r w:rsidRPr="00795BB8">
        <w:rPr>
          <w:lang w:val="es-ES" w:eastAsia="ru-RU"/>
        </w:rPr>
        <w:t xml:space="preserve"> 1.3 </w:t>
      </w:r>
      <w:r>
        <w:rPr>
          <w:lang w:eastAsia="ru-RU"/>
        </w:rPr>
        <w:t>և</w:t>
      </w:r>
      <w:r w:rsidRPr="00795BB8">
        <w:rPr>
          <w:lang w:val="es-ES" w:eastAsia="ru-RU"/>
        </w:rPr>
        <w:t xml:space="preserve"> 1.6 </w:t>
      </w:r>
      <w:r>
        <w:rPr>
          <w:lang w:eastAsia="ru-RU"/>
        </w:rPr>
        <w:t>տոկոսային</w:t>
      </w:r>
      <w:r w:rsidRPr="00795BB8">
        <w:rPr>
          <w:lang w:val="es-ES" w:eastAsia="ru-RU"/>
        </w:rPr>
        <w:t xml:space="preserve"> </w:t>
      </w:r>
      <w:r>
        <w:rPr>
          <w:lang w:eastAsia="ru-RU"/>
        </w:rPr>
        <w:t>կետով՝</w:t>
      </w:r>
      <w:r w:rsidRPr="00795BB8">
        <w:rPr>
          <w:lang w:val="es-ES" w:eastAsia="ru-RU"/>
        </w:rPr>
        <w:t xml:space="preserve"> </w:t>
      </w:r>
      <w:r>
        <w:rPr>
          <w:lang w:eastAsia="ru-RU"/>
        </w:rPr>
        <w:t>սակայն</w:t>
      </w:r>
      <w:r w:rsidRPr="00795BB8">
        <w:rPr>
          <w:lang w:val="es-ES" w:eastAsia="ru-RU"/>
        </w:rPr>
        <w:t xml:space="preserve"> </w:t>
      </w:r>
      <w:r>
        <w:rPr>
          <w:lang w:eastAsia="ru-RU"/>
        </w:rPr>
        <w:t>կպահպանվեն</w:t>
      </w:r>
      <w:r w:rsidRPr="00795BB8">
        <w:rPr>
          <w:lang w:val="es-ES" w:eastAsia="ru-RU"/>
        </w:rPr>
        <w:t xml:space="preserve"> </w:t>
      </w:r>
      <w:r>
        <w:rPr>
          <w:lang w:eastAsia="ru-RU"/>
        </w:rPr>
        <w:t>պատմականորեն</w:t>
      </w:r>
      <w:r w:rsidRPr="00795BB8">
        <w:rPr>
          <w:lang w:val="es-ES" w:eastAsia="ru-RU"/>
        </w:rPr>
        <w:t xml:space="preserve"> </w:t>
      </w:r>
      <w:r>
        <w:rPr>
          <w:lang w:eastAsia="ru-RU"/>
        </w:rPr>
        <w:t>բարձր</w:t>
      </w:r>
      <w:r w:rsidRPr="00795BB8">
        <w:rPr>
          <w:lang w:val="es-ES" w:eastAsia="ru-RU"/>
        </w:rPr>
        <w:t xml:space="preserve"> </w:t>
      </w:r>
      <w:r>
        <w:rPr>
          <w:lang w:eastAsia="ru-RU"/>
        </w:rPr>
        <w:t>մակարդակներում</w:t>
      </w:r>
      <w:r w:rsidRPr="00795BB8">
        <w:rPr>
          <w:lang w:val="es-ES" w:eastAsia="ru-RU"/>
        </w:rPr>
        <w:t xml:space="preserve">:: </w:t>
      </w:r>
    </w:p>
    <w:p w14:paraId="2C393112" w14:textId="77777777" w:rsidR="00795BB8" w:rsidRPr="00795BB8" w:rsidRDefault="00795BB8" w:rsidP="00795BB8">
      <w:pPr>
        <w:spacing w:before="120" w:after="0" w:line="276" w:lineRule="auto"/>
        <w:ind w:firstLine="0"/>
        <w:rPr>
          <w:lang w:val="es-ES" w:eastAsia="ru-RU"/>
        </w:rPr>
      </w:pPr>
      <w:r w:rsidRPr="0070296A">
        <w:rPr>
          <w:lang w:eastAsia="ru-RU"/>
        </w:rPr>
        <w:t>Ներքին</w:t>
      </w:r>
      <w:r w:rsidRPr="00795BB8">
        <w:rPr>
          <w:lang w:val="es-ES" w:eastAsia="ru-RU"/>
        </w:rPr>
        <w:t xml:space="preserve"> </w:t>
      </w:r>
      <w:r w:rsidRPr="0070296A">
        <w:rPr>
          <w:lang w:eastAsia="ru-RU"/>
        </w:rPr>
        <w:t>փոխառու</w:t>
      </w:r>
      <w:r w:rsidRPr="00795BB8">
        <w:rPr>
          <w:lang w:val="es-ES" w:eastAsia="ru-RU"/>
        </w:rPr>
        <w:t xml:space="preserve"> </w:t>
      </w:r>
      <w:r w:rsidRPr="0070296A">
        <w:rPr>
          <w:lang w:eastAsia="ru-RU"/>
        </w:rPr>
        <w:t>զուտ</w:t>
      </w:r>
      <w:r w:rsidRPr="00795BB8">
        <w:rPr>
          <w:lang w:val="es-ES" w:eastAsia="ru-RU"/>
        </w:rPr>
        <w:t xml:space="preserve"> </w:t>
      </w:r>
      <w:r w:rsidRPr="0070296A">
        <w:rPr>
          <w:lang w:eastAsia="ru-RU"/>
        </w:rPr>
        <w:t>միջոցների</w:t>
      </w:r>
      <w:r w:rsidRPr="00795BB8">
        <w:rPr>
          <w:lang w:val="es-ES" w:eastAsia="ru-RU"/>
        </w:rPr>
        <w:t xml:space="preserve"> </w:t>
      </w:r>
      <w:r w:rsidRPr="0070296A">
        <w:rPr>
          <w:lang w:eastAsia="ru-RU"/>
        </w:rPr>
        <w:t>հաշվին</w:t>
      </w:r>
      <w:r w:rsidRPr="00795BB8">
        <w:rPr>
          <w:lang w:val="es-ES" w:eastAsia="ru-RU"/>
        </w:rPr>
        <w:t xml:space="preserve"> </w:t>
      </w:r>
      <w:r w:rsidRPr="0070296A">
        <w:rPr>
          <w:lang w:eastAsia="ru-RU"/>
        </w:rPr>
        <w:t>դեֆիցիտի</w:t>
      </w:r>
      <w:r w:rsidRPr="00795BB8">
        <w:rPr>
          <w:lang w:val="es-ES" w:eastAsia="ru-RU"/>
        </w:rPr>
        <w:t xml:space="preserve"> </w:t>
      </w:r>
      <w:r w:rsidRPr="0070296A">
        <w:rPr>
          <w:lang w:eastAsia="ru-RU"/>
        </w:rPr>
        <w:t>ֆինանսավորումն</w:t>
      </w:r>
      <w:r w:rsidRPr="00795BB8">
        <w:rPr>
          <w:lang w:val="es-ES" w:eastAsia="ru-RU"/>
        </w:rPr>
        <w:t xml:space="preserve"> </w:t>
      </w:r>
      <w:r w:rsidRPr="0070296A">
        <w:rPr>
          <w:lang w:eastAsia="ru-RU"/>
        </w:rPr>
        <w:t>իրականացվելու</w:t>
      </w:r>
      <w:r w:rsidRPr="00795BB8">
        <w:rPr>
          <w:lang w:val="es-ES" w:eastAsia="ru-RU"/>
        </w:rPr>
        <w:t xml:space="preserve"> </w:t>
      </w:r>
      <w:r w:rsidRPr="0070296A">
        <w:rPr>
          <w:lang w:eastAsia="ru-RU"/>
        </w:rPr>
        <w:t>է</w:t>
      </w:r>
      <w:r w:rsidRPr="00795BB8">
        <w:rPr>
          <w:lang w:val="es-ES" w:eastAsia="ru-RU"/>
        </w:rPr>
        <w:t xml:space="preserve"> </w:t>
      </w:r>
      <w:r w:rsidRPr="0070296A">
        <w:rPr>
          <w:lang w:eastAsia="ru-RU"/>
        </w:rPr>
        <w:t>մինչև</w:t>
      </w:r>
      <w:r w:rsidRPr="00795BB8">
        <w:rPr>
          <w:lang w:val="es-ES" w:eastAsia="ru-RU"/>
        </w:rPr>
        <w:t xml:space="preserve"> </w:t>
      </w:r>
      <w:r w:rsidRPr="0070296A">
        <w:rPr>
          <w:lang w:eastAsia="ru-RU"/>
        </w:rPr>
        <w:t>մեկ</w:t>
      </w:r>
      <w:r w:rsidRPr="00795BB8">
        <w:rPr>
          <w:lang w:val="es-ES" w:eastAsia="ru-RU"/>
        </w:rPr>
        <w:t xml:space="preserve"> </w:t>
      </w:r>
      <w:r w:rsidRPr="0070296A">
        <w:rPr>
          <w:lang w:eastAsia="ru-RU"/>
        </w:rPr>
        <w:t>տարի</w:t>
      </w:r>
      <w:r w:rsidRPr="00795BB8">
        <w:rPr>
          <w:lang w:val="es-ES" w:eastAsia="ru-RU"/>
        </w:rPr>
        <w:t xml:space="preserve"> </w:t>
      </w:r>
      <w:r w:rsidRPr="0070296A">
        <w:rPr>
          <w:lang w:eastAsia="ru-RU"/>
        </w:rPr>
        <w:t>մարման</w:t>
      </w:r>
      <w:r w:rsidRPr="00795BB8">
        <w:rPr>
          <w:lang w:val="es-ES" w:eastAsia="ru-RU"/>
        </w:rPr>
        <w:t xml:space="preserve"> </w:t>
      </w:r>
      <w:r w:rsidRPr="0070296A">
        <w:rPr>
          <w:lang w:eastAsia="ru-RU"/>
        </w:rPr>
        <w:t>ժամկետով</w:t>
      </w:r>
      <w:r w:rsidRPr="00795BB8">
        <w:rPr>
          <w:lang w:val="es-ES" w:eastAsia="ru-RU"/>
        </w:rPr>
        <w:t xml:space="preserve"> </w:t>
      </w:r>
      <w:r w:rsidRPr="0070296A">
        <w:rPr>
          <w:lang w:eastAsia="ru-RU"/>
        </w:rPr>
        <w:t>պետական</w:t>
      </w:r>
      <w:r w:rsidRPr="00795BB8">
        <w:rPr>
          <w:lang w:val="es-ES" w:eastAsia="ru-RU"/>
        </w:rPr>
        <w:t xml:space="preserve"> </w:t>
      </w:r>
      <w:r w:rsidRPr="0070296A">
        <w:rPr>
          <w:lang w:eastAsia="ru-RU"/>
        </w:rPr>
        <w:t>գանձապետական</w:t>
      </w:r>
      <w:r w:rsidRPr="00795BB8">
        <w:rPr>
          <w:lang w:val="es-ES" w:eastAsia="ru-RU"/>
        </w:rPr>
        <w:t xml:space="preserve"> </w:t>
      </w:r>
      <w:r w:rsidRPr="0070296A">
        <w:rPr>
          <w:lang w:eastAsia="ru-RU"/>
        </w:rPr>
        <w:t>կարճաժամկետ</w:t>
      </w:r>
      <w:r w:rsidRPr="00795BB8">
        <w:rPr>
          <w:lang w:val="es-ES" w:eastAsia="ru-RU"/>
        </w:rPr>
        <w:t xml:space="preserve"> </w:t>
      </w:r>
      <w:r w:rsidRPr="0070296A">
        <w:rPr>
          <w:lang w:eastAsia="ru-RU"/>
        </w:rPr>
        <w:t>պարտատոմսեր</w:t>
      </w:r>
      <w:r w:rsidRPr="00795BB8">
        <w:rPr>
          <w:lang w:val="es-ES" w:eastAsia="ru-RU"/>
        </w:rPr>
        <w:t xml:space="preserve">, 3 </w:t>
      </w:r>
      <w:r w:rsidRPr="0070296A">
        <w:rPr>
          <w:lang w:eastAsia="ru-RU"/>
        </w:rPr>
        <w:t>և</w:t>
      </w:r>
      <w:r w:rsidRPr="00795BB8">
        <w:rPr>
          <w:lang w:val="es-ES" w:eastAsia="ru-RU"/>
        </w:rPr>
        <w:t xml:space="preserve"> 5 </w:t>
      </w:r>
      <w:r w:rsidRPr="0070296A">
        <w:rPr>
          <w:lang w:eastAsia="ru-RU"/>
        </w:rPr>
        <w:t>տարի</w:t>
      </w:r>
      <w:r w:rsidRPr="00795BB8">
        <w:rPr>
          <w:lang w:val="es-ES" w:eastAsia="ru-RU"/>
        </w:rPr>
        <w:t xml:space="preserve"> </w:t>
      </w:r>
      <w:r w:rsidRPr="0070296A">
        <w:rPr>
          <w:lang w:eastAsia="ru-RU"/>
        </w:rPr>
        <w:t>մարման</w:t>
      </w:r>
      <w:r w:rsidRPr="00795BB8">
        <w:rPr>
          <w:lang w:val="es-ES" w:eastAsia="ru-RU"/>
        </w:rPr>
        <w:t xml:space="preserve"> </w:t>
      </w:r>
      <w:r w:rsidRPr="0070296A">
        <w:rPr>
          <w:lang w:eastAsia="ru-RU"/>
        </w:rPr>
        <w:t>ժամկետով</w:t>
      </w:r>
      <w:r w:rsidRPr="00795BB8">
        <w:rPr>
          <w:lang w:val="es-ES" w:eastAsia="ru-RU"/>
        </w:rPr>
        <w:t xml:space="preserve"> </w:t>
      </w:r>
      <w:r w:rsidRPr="0070296A">
        <w:rPr>
          <w:lang w:eastAsia="ru-RU"/>
        </w:rPr>
        <w:t>միջնաժամկետ</w:t>
      </w:r>
      <w:r w:rsidRPr="00795BB8">
        <w:rPr>
          <w:lang w:val="es-ES" w:eastAsia="ru-RU"/>
        </w:rPr>
        <w:t xml:space="preserve"> </w:t>
      </w:r>
      <w:r w:rsidRPr="0070296A">
        <w:rPr>
          <w:lang w:eastAsia="ru-RU"/>
        </w:rPr>
        <w:t>արժեկտրոնային</w:t>
      </w:r>
      <w:r w:rsidRPr="00795BB8">
        <w:rPr>
          <w:lang w:val="es-ES" w:eastAsia="ru-RU"/>
        </w:rPr>
        <w:t xml:space="preserve"> </w:t>
      </w:r>
      <w:r w:rsidRPr="0070296A">
        <w:rPr>
          <w:lang w:eastAsia="ru-RU"/>
        </w:rPr>
        <w:t>պարտատոմսեր</w:t>
      </w:r>
      <w:r w:rsidRPr="00795BB8">
        <w:rPr>
          <w:lang w:val="es-ES" w:eastAsia="ru-RU"/>
        </w:rPr>
        <w:t xml:space="preserve">, 10 </w:t>
      </w:r>
      <w:r w:rsidRPr="0070296A">
        <w:rPr>
          <w:lang w:eastAsia="ru-RU"/>
        </w:rPr>
        <w:t>և</w:t>
      </w:r>
      <w:r w:rsidRPr="00795BB8">
        <w:rPr>
          <w:lang w:val="es-ES" w:eastAsia="ru-RU"/>
        </w:rPr>
        <w:t xml:space="preserve"> 30  </w:t>
      </w:r>
      <w:r w:rsidRPr="0070296A">
        <w:rPr>
          <w:lang w:eastAsia="ru-RU"/>
        </w:rPr>
        <w:t>տարի</w:t>
      </w:r>
      <w:r w:rsidRPr="00795BB8">
        <w:rPr>
          <w:lang w:val="es-ES" w:eastAsia="ru-RU"/>
        </w:rPr>
        <w:t xml:space="preserve"> </w:t>
      </w:r>
      <w:r w:rsidRPr="0070296A">
        <w:rPr>
          <w:lang w:eastAsia="ru-RU"/>
        </w:rPr>
        <w:t>մարման</w:t>
      </w:r>
      <w:r w:rsidRPr="00795BB8">
        <w:rPr>
          <w:lang w:val="es-ES" w:eastAsia="ru-RU"/>
        </w:rPr>
        <w:t xml:space="preserve"> </w:t>
      </w:r>
      <w:r w:rsidRPr="0070296A">
        <w:rPr>
          <w:lang w:eastAsia="ru-RU"/>
        </w:rPr>
        <w:t>ժամկետով</w:t>
      </w:r>
      <w:r w:rsidRPr="00795BB8">
        <w:rPr>
          <w:lang w:val="es-ES" w:eastAsia="ru-RU"/>
        </w:rPr>
        <w:t xml:space="preserve"> </w:t>
      </w:r>
      <w:r w:rsidRPr="0070296A">
        <w:rPr>
          <w:lang w:eastAsia="ru-RU"/>
        </w:rPr>
        <w:t>երկարաժամկետ</w:t>
      </w:r>
      <w:r w:rsidRPr="00795BB8">
        <w:rPr>
          <w:lang w:val="es-ES" w:eastAsia="ru-RU"/>
        </w:rPr>
        <w:t xml:space="preserve"> </w:t>
      </w:r>
      <w:r w:rsidRPr="0070296A">
        <w:rPr>
          <w:lang w:eastAsia="ru-RU"/>
        </w:rPr>
        <w:t>արժեկտրոնային</w:t>
      </w:r>
      <w:r w:rsidRPr="00795BB8">
        <w:rPr>
          <w:lang w:val="es-ES" w:eastAsia="ru-RU"/>
        </w:rPr>
        <w:t xml:space="preserve"> </w:t>
      </w:r>
      <w:r w:rsidRPr="0070296A">
        <w:rPr>
          <w:lang w:eastAsia="ru-RU"/>
        </w:rPr>
        <w:t>պարտատոմսեր</w:t>
      </w:r>
      <w:r w:rsidRPr="00795BB8">
        <w:rPr>
          <w:lang w:val="es-ES" w:eastAsia="ru-RU"/>
        </w:rPr>
        <w:t xml:space="preserve">, </w:t>
      </w:r>
      <w:r w:rsidRPr="0070296A">
        <w:rPr>
          <w:lang w:eastAsia="ru-RU"/>
        </w:rPr>
        <w:t>ինչպես</w:t>
      </w:r>
      <w:r w:rsidRPr="00795BB8">
        <w:rPr>
          <w:lang w:val="es-ES" w:eastAsia="ru-RU"/>
        </w:rPr>
        <w:t xml:space="preserve"> </w:t>
      </w:r>
      <w:r w:rsidRPr="0070296A">
        <w:rPr>
          <w:lang w:eastAsia="ru-RU"/>
        </w:rPr>
        <w:t>նաև</w:t>
      </w:r>
      <w:r w:rsidRPr="00795BB8">
        <w:rPr>
          <w:lang w:val="es-ES" w:eastAsia="ru-RU"/>
        </w:rPr>
        <w:t xml:space="preserve"> 6 </w:t>
      </w:r>
      <w:r w:rsidRPr="0070296A">
        <w:rPr>
          <w:lang w:eastAsia="ru-RU"/>
        </w:rPr>
        <w:t>ամիս</w:t>
      </w:r>
      <w:r w:rsidRPr="00795BB8">
        <w:rPr>
          <w:lang w:val="es-ES" w:eastAsia="ru-RU"/>
        </w:rPr>
        <w:t xml:space="preserve">, 1, 2 </w:t>
      </w:r>
      <w:r w:rsidRPr="0070296A">
        <w:rPr>
          <w:lang w:eastAsia="ru-RU"/>
        </w:rPr>
        <w:t>և</w:t>
      </w:r>
      <w:r w:rsidRPr="00795BB8">
        <w:rPr>
          <w:lang w:val="es-ES" w:eastAsia="ru-RU"/>
        </w:rPr>
        <w:t xml:space="preserve"> 3 </w:t>
      </w:r>
      <w:r w:rsidRPr="0070296A">
        <w:rPr>
          <w:lang w:eastAsia="ru-RU"/>
        </w:rPr>
        <w:t>տարի</w:t>
      </w:r>
      <w:r w:rsidRPr="00795BB8">
        <w:rPr>
          <w:lang w:val="es-ES" w:eastAsia="ru-RU"/>
        </w:rPr>
        <w:t xml:space="preserve"> </w:t>
      </w:r>
      <w:r w:rsidRPr="0070296A">
        <w:rPr>
          <w:lang w:eastAsia="ru-RU"/>
        </w:rPr>
        <w:t>մարման</w:t>
      </w:r>
      <w:r w:rsidRPr="00795BB8">
        <w:rPr>
          <w:lang w:val="es-ES" w:eastAsia="ru-RU"/>
        </w:rPr>
        <w:t xml:space="preserve"> </w:t>
      </w:r>
      <w:r w:rsidRPr="0070296A">
        <w:rPr>
          <w:lang w:eastAsia="ru-RU"/>
        </w:rPr>
        <w:t>ժամկետով</w:t>
      </w:r>
      <w:r w:rsidRPr="00795BB8">
        <w:rPr>
          <w:lang w:val="es-ES" w:eastAsia="ru-RU"/>
        </w:rPr>
        <w:t xml:space="preserve">  </w:t>
      </w:r>
      <w:r w:rsidRPr="0070296A">
        <w:rPr>
          <w:lang w:eastAsia="ru-RU"/>
        </w:rPr>
        <w:t>խնայողական</w:t>
      </w:r>
      <w:r w:rsidRPr="00795BB8">
        <w:rPr>
          <w:lang w:val="es-ES" w:eastAsia="ru-RU"/>
        </w:rPr>
        <w:t xml:space="preserve"> </w:t>
      </w:r>
      <w:r w:rsidRPr="0070296A">
        <w:rPr>
          <w:lang w:eastAsia="ru-RU"/>
        </w:rPr>
        <w:t>արժեկտրոնային</w:t>
      </w:r>
      <w:r w:rsidRPr="00795BB8">
        <w:rPr>
          <w:lang w:val="es-ES" w:eastAsia="ru-RU"/>
        </w:rPr>
        <w:t xml:space="preserve"> </w:t>
      </w:r>
      <w:r w:rsidRPr="0070296A">
        <w:rPr>
          <w:lang w:eastAsia="ru-RU"/>
        </w:rPr>
        <w:t>պարտատոմսեր</w:t>
      </w:r>
      <w:r w:rsidRPr="00795BB8">
        <w:rPr>
          <w:lang w:val="es-ES" w:eastAsia="ru-RU"/>
        </w:rPr>
        <w:t xml:space="preserve"> </w:t>
      </w:r>
      <w:r w:rsidRPr="0070296A">
        <w:rPr>
          <w:lang w:eastAsia="ru-RU"/>
        </w:rPr>
        <w:t>տեղաբաշխելու</w:t>
      </w:r>
      <w:r w:rsidRPr="00795BB8">
        <w:rPr>
          <w:lang w:val="es-ES" w:eastAsia="ru-RU"/>
        </w:rPr>
        <w:t xml:space="preserve"> </w:t>
      </w:r>
      <w:r w:rsidRPr="0070296A">
        <w:rPr>
          <w:lang w:eastAsia="ru-RU"/>
        </w:rPr>
        <w:t>միջոցով</w:t>
      </w:r>
      <w:r w:rsidRPr="00795BB8">
        <w:rPr>
          <w:lang w:val="es-ES" w:eastAsia="ru-RU"/>
        </w:rPr>
        <w:t xml:space="preserve">: </w:t>
      </w:r>
    </w:p>
    <w:p w14:paraId="291C4C1E" w14:textId="77777777" w:rsidR="00795BB8" w:rsidRPr="00795BB8" w:rsidRDefault="00795BB8" w:rsidP="00795BB8">
      <w:pPr>
        <w:spacing w:before="120" w:after="0" w:line="276" w:lineRule="auto"/>
        <w:ind w:firstLine="0"/>
        <w:rPr>
          <w:lang w:val="es-ES" w:eastAsia="ru-RU"/>
        </w:rPr>
      </w:pPr>
      <w:r w:rsidRPr="0070296A">
        <w:rPr>
          <w:lang w:eastAsia="ru-RU"/>
        </w:rPr>
        <w:t>Արտաքին</w:t>
      </w:r>
      <w:r w:rsidRPr="00795BB8">
        <w:rPr>
          <w:lang w:val="es-ES" w:eastAsia="ru-RU"/>
        </w:rPr>
        <w:t xml:space="preserve"> </w:t>
      </w:r>
      <w:r w:rsidRPr="0070296A">
        <w:rPr>
          <w:lang w:eastAsia="ru-RU"/>
        </w:rPr>
        <w:t>փոխառու</w:t>
      </w:r>
      <w:r w:rsidRPr="00795BB8">
        <w:rPr>
          <w:lang w:val="es-ES" w:eastAsia="ru-RU"/>
        </w:rPr>
        <w:t xml:space="preserve"> </w:t>
      </w:r>
      <w:r w:rsidRPr="0070296A">
        <w:rPr>
          <w:lang w:eastAsia="ru-RU"/>
        </w:rPr>
        <w:t>զուտ</w:t>
      </w:r>
      <w:r w:rsidRPr="00795BB8">
        <w:rPr>
          <w:lang w:val="es-ES" w:eastAsia="ru-RU"/>
        </w:rPr>
        <w:t xml:space="preserve"> </w:t>
      </w:r>
      <w:r w:rsidRPr="0070296A">
        <w:rPr>
          <w:lang w:eastAsia="ru-RU"/>
        </w:rPr>
        <w:t>միջոցների</w:t>
      </w:r>
      <w:r w:rsidRPr="00795BB8">
        <w:rPr>
          <w:lang w:val="es-ES" w:eastAsia="ru-RU"/>
        </w:rPr>
        <w:t xml:space="preserve"> </w:t>
      </w:r>
      <w:r w:rsidRPr="0070296A">
        <w:rPr>
          <w:lang w:eastAsia="ru-RU"/>
        </w:rPr>
        <w:t>հաշվին</w:t>
      </w:r>
      <w:r w:rsidRPr="00795BB8">
        <w:rPr>
          <w:lang w:val="es-ES" w:eastAsia="ru-RU"/>
        </w:rPr>
        <w:t xml:space="preserve"> </w:t>
      </w:r>
      <w:r w:rsidRPr="0070296A">
        <w:rPr>
          <w:lang w:eastAsia="ru-RU"/>
        </w:rPr>
        <w:t>դեֆիցիտի</w:t>
      </w:r>
      <w:r w:rsidRPr="00795BB8">
        <w:rPr>
          <w:lang w:val="es-ES" w:eastAsia="ru-RU"/>
        </w:rPr>
        <w:t xml:space="preserve"> </w:t>
      </w:r>
      <w:r w:rsidRPr="0070296A">
        <w:rPr>
          <w:lang w:eastAsia="ru-RU"/>
        </w:rPr>
        <w:t>ֆինանսավորումն</w:t>
      </w:r>
      <w:r w:rsidRPr="00795BB8">
        <w:rPr>
          <w:lang w:val="es-ES" w:eastAsia="ru-RU"/>
        </w:rPr>
        <w:t xml:space="preserve"> </w:t>
      </w:r>
      <w:r w:rsidRPr="0070296A">
        <w:rPr>
          <w:lang w:eastAsia="ru-RU"/>
        </w:rPr>
        <w:t>իրականացվելու</w:t>
      </w:r>
      <w:r w:rsidRPr="00795BB8">
        <w:rPr>
          <w:lang w:val="es-ES" w:eastAsia="ru-RU"/>
        </w:rPr>
        <w:t xml:space="preserve"> </w:t>
      </w:r>
      <w:r w:rsidRPr="0070296A">
        <w:rPr>
          <w:lang w:eastAsia="ru-RU"/>
        </w:rPr>
        <w:t>է</w:t>
      </w:r>
      <w:r w:rsidRPr="00795BB8">
        <w:rPr>
          <w:lang w:val="es-ES" w:eastAsia="ru-RU"/>
        </w:rPr>
        <w:t xml:space="preserve"> </w:t>
      </w:r>
      <w:r w:rsidRPr="0070296A">
        <w:rPr>
          <w:lang w:eastAsia="ru-RU"/>
        </w:rPr>
        <w:t>երկկողմ</w:t>
      </w:r>
      <w:r w:rsidRPr="00795BB8">
        <w:rPr>
          <w:lang w:val="es-ES" w:eastAsia="ru-RU"/>
        </w:rPr>
        <w:t xml:space="preserve"> </w:t>
      </w:r>
      <w:r w:rsidRPr="0070296A">
        <w:rPr>
          <w:lang w:eastAsia="ru-RU"/>
        </w:rPr>
        <w:t>և</w:t>
      </w:r>
      <w:r w:rsidRPr="00795BB8">
        <w:rPr>
          <w:lang w:val="es-ES" w:eastAsia="ru-RU"/>
        </w:rPr>
        <w:t xml:space="preserve"> </w:t>
      </w:r>
      <w:r w:rsidRPr="0070296A">
        <w:rPr>
          <w:lang w:eastAsia="ru-RU"/>
        </w:rPr>
        <w:t>բազմակողմ</w:t>
      </w:r>
      <w:r w:rsidRPr="00795BB8">
        <w:rPr>
          <w:lang w:val="es-ES" w:eastAsia="ru-RU"/>
        </w:rPr>
        <w:t xml:space="preserve"> </w:t>
      </w:r>
      <w:r w:rsidRPr="0070296A">
        <w:rPr>
          <w:lang w:eastAsia="ru-RU"/>
        </w:rPr>
        <w:t>միջազգային</w:t>
      </w:r>
      <w:r w:rsidRPr="00795BB8">
        <w:rPr>
          <w:lang w:val="es-ES" w:eastAsia="ru-RU"/>
        </w:rPr>
        <w:t xml:space="preserve"> </w:t>
      </w:r>
      <w:r w:rsidRPr="0070296A">
        <w:rPr>
          <w:lang w:eastAsia="ru-RU"/>
        </w:rPr>
        <w:t>վարկատուներից</w:t>
      </w:r>
      <w:r w:rsidRPr="00795BB8">
        <w:rPr>
          <w:lang w:val="es-ES" w:eastAsia="ru-RU"/>
        </w:rPr>
        <w:t xml:space="preserve"> </w:t>
      </w:r>
      <w:r w:rsidRPr="0070296A">
        <w:rPr>
          <w:lang w:eastAsia="ru-RU"/>
        </w:rPr>
        <w:t>նպատակային</w:t>
      </w:r>
      <w:r w:rsidRPr="00795BB8">
        <w:rPr>
          <w:lang w:val="es-ES" w:eastAsia="ru-RU"/>
        </w:rPr>
        <w:t xml:space="preserve">, </w:t>
      </w:r>
      <w:r>
        <w:rPr>
          <w:lang w:eastAsia="ru-RU"/>
        </w:rPr>
        <w:t>բյուջետային</w:t>
      </w:r>
      <w:r w:rsidRPr="00795BB8">
        <w:rPr>
          <w:lang w:val="es-ES" w:eastAsia="ru-RU"/>
        </w:rPr>
        <w:t xml:space="preserve"> </w:t>
      </w:r>
      <w:r>
        <w:rPr>
          <w:lang w:eastAsia="ru-RU"/>
        </w:rPr>
        <w:t>աջակցության</w:t>
      </w:r>
      <w:r w:rsidRPr="00795BB8">
        <w:rPr>
          <w:lang w:val="es-ES" w:eastAsia="ru-RU"/>
        </w:rPr>
        <w:t xml:space="preserve"> </w:t>
      </w:r>
      <w:r w:rsidRPr="0070296A">
        <w:rPr>
          <w:lang w:eastAsia="ru-RU"/>
        </w:rPr>
        <w:t>վարկեր</w:t>
      </w:r>
      <w:r w:rsidRPr="00795BB8">
        <w:rPr>
          <w:lang w:val="es-ES" w:eastAsia="ru-RU"/>
        </w:rPr>
        <w:t xml:space="preserve"> </w:t>
      </w:r>
      <w:r w:rsidRPr="0070296A">
        <w:rPr>
          <w:lang w:eastAsia="ru-RU"/>
        </w:rPr>
        <w:t>ներգրավելու</w:t>
      </w:r>
      <w:r w:rsidRPr="00795BB8">
        <w:rPr>
          <w:lang w:val="es-ES" w:eastAsia="ru-RU"/>
        </w:rPr>
        <w:t xml:space="preserve"> </w:t>
      </w:r>
      <w:r>
        <w:rPr>
          <w:lang w:eastAsia="ru-RU"/>
        </w:rPr>
        <w:t>և</w:t>
      </w:r>
      <w:r w:rsidRPr="00795BB8">
        <w:rPr>
          <w:lang w:val="es-ES" w:eastAsia="ru-RU"/>
        </w:rPr>
        <w:t xml:space="preserve"> </w:t>
      </w:r>
      <w:r>
        <w:rPr>
          <w:lang w:eastAsia="ru-RU"/>
        </w:rPr>
        <w:t>արդյունքի</w:t>
      </w:r>
      <w:r w:rsidRPr="00795BB8">
        <w:rPr>
          <w:lang w:val="es-ES" w:eastAsia="ru-RU"/>
        </w:rPr>
        <w:t xml:space="preserve"> </w:t>
      </w:r>
      <w:r>
        <w:rPr>
          <w:lang w:eastAsia="ru-RU"/>
        </w:rPr>
        <w:t>վրա</w:t>
      </w:r>
      <w:r w:rsidRPr="00795BB8">
        <w:rPr>
          <w:lang w:val="es-ES" w:eastAsia="ru-RU"/>
        </w:rPr>
        <w:t xml:space="preserve"> </w:t>
      </w:r>
      <w:r>
        <w:rPr>
          <w:lang w:eastAsia="ru-RU"/>
        </w:rPr>
        <w:t>հիմնված</w:t>
      </w:r>
      <w:r w:rsidRPr="00795BB8">
        <w:rPr>
          <w:lang w:val="es-ES" w:eastAsia="ru-RU"/>
        </w:rPr>
        <w:t xml:space="preserve"> </w:t>
      </w:r>
      <w:r>
        <w:rPr>
          <w:lang w:eastAsia="ru-RU"/>
        </w:rPr>
        <w:t>ոլորտային</w:t>
      </w:r>
      <w:r w:rsidRPr="00795BB8">
        <w:rPr>
          <w:lang w:val="es-ES" w:eastAsia="ru-RU"/>
        </w:rPr>
        <w:t xml:space="preserve"> </w:t>
      </w:r>
      <w:r>
        <w:rPr>
          <w:lang w:eastAsia="ru-RU"/>
        </w:rPr>
        <w:t>թիրախային</w:t>
      </w:r>
      <w:r w:rsidRPr="00795BB8">
        <w:rPr>
          <w:lang w:val="es-ES" w:eastAsia="ru-RU"/>
        </w:rPr>
        <w:t xml:space="preserve">, </w:t>
      </w:r>
      <w:r w:rsidRPr="00CF4EB3">
        <w:rPr>
          <w:lang w:eastAsia="ru-RU"/>
        </w:rPr>
        <w:t>ինչպես</w:t>
      </w:r>
      <w:r w:rsidRPr="00795BB8">
        <w:rPr>
          <w:lang w:val="es-ES" w:eastAsia="ru-RU"/>
        </w:rPr>
        <w:t xml:space="preserve"> </w:t>
      </w:r>
      <w:r w:rsidRPr="00CF4EB3">
        <w:rPr>
          <w:lang w:eastAsia="ru-RU"/>
        </w:rPr>
        <w:t>նաև</w:t>
      </w:r>
      <w:r w:rsidRPr="00795BB8">
        <w:rPr>
          <w:lang w:val="es-ES" w:eastAsia="ru-RU"/>
        </w:rPr>
        <w:t xml:space="preserve"> </w:t>
      </w:r>
      <w:r>
        <w:rPr>
          <w:lang w:eastAsia="ru-RU"/>
        </w:rPr>
        <w:t>միջազգային</w:t>
      </w:r>
      <w:r w:rsidRPr="00795BB8">
        <w:rPr>
          <w:lang w:val="es-ES" w:eastAsia="ru-RU"/>
        </w:rPr>
        <w:t xml:space="preserve"> </w:t>
      </w:r>
      <w:r>
        <w:rPr>
          <w:lang w:eastAsia="ru-RU"/>
        </w:rPr>
        <w:t>կապիտալի</w:t>
      </w:r>
      <w:r w:rsidRPr="00795BB8">
        <w:rPr>
          <w:lang w:val="es-ES" w:eastAsia="ru-RU"/>
        </w:rPr>
        <w:t xml:space="preserve"> </w:t>
      </w:r>
      <w:r>
        <w:rPr>
          <w:lang w:eastAsia="ru-RU"/>
        </w:rPr>
        <w:t>շուկայում</w:t>
      </w:r>
      <w:r w:rsidRPr="00795BB8">
        <w:rPr>
          <w:lang w:val="es-ES" w:eastAsia="ru-RU"/>
        </w:rPr>
        <w:t xml:space="preserve"> </w:t>
      </w:r>
      <w:r>
        <w:rPr>
          <w:lang w:eastAsia="ru-RU"/>
        </w:rPr>
        <w:t>եվրապարտատոմսեր</w:t>
      </w:r>
      <w:r w:rsidRPr="00795BB8">
        <w:rPr>
          <w:lang w:val="es-ES" w:eastAsia="ru-RU"/>
        </w:rPr>
        <w:t xml:space="preserve"> </w:t>
      </w:r>
      <w:r>
        <w:rPr>
          <w:lang w:eastAsia="ru-RU"/>
        </w:rPr>
        <w:t>թողարկելու</w:t>
      </w:r>
      <w:r w:rsidRPr="00795BB8">
        <w:rPr>
          <w:lang w:val="es-ES" w:eastAsia="ru-RU"/>
        </w:rPr>
        <w:t xml:space="preserve"> </w:t>
      </w:r>
      <w:r w:rsidRPr="0070296A">
        <w:rPr>
          <w:lang w:eastAsia="ru-RU"/>
        </w:rPr>
        <w:t>միջոցով</w:t>
      </w:r>
      <w:r w:rsidRPr="00795BB8">
        <w:rPr>
          <w:lang w:val="es-ES" w:eastAsia="ru-RU"/>
        </w:rPr>
        <w:t>:</w:t>
      </w:r>
    </w:p>
    <w:p w14:paraId="3DA0E6CD" w14:textId="77777777" w:rsidR="00795BB8" w:rsidRPr="00795BB8" w:rsidRDefault="00795BB8" w:rsidP="00795BB8">
      <w:pPr>
        <w:spacing w:before="120" w:after="0" w:line="276" w:lineRule="auto"/>
        <w:ind w:firstLine="0"/>
        <w:rPr>
          <w:lang w:val="es-ES" w:eastAsia="ru-RU"/>
        </w:rPr>
      </w:pPr>
      <w:r w:rsidRPr="0070296A">
        <w:t>Ռազմավարությ</w:t>
      </w:r>
      <w:r>
        <w:t>ա</w:t>
      </w:r>
      <w:r w:rsidRPr="0070296A">
        <w:t>ն</w:t>
      </w:r>
      <w:r w:rsidRPr="00795BB8">
        <w:rPr>
          <w:lang w:val="es-ES"/>
        </w:rPr>
        <w:t xml:space="preserve"> </w:t>
      </w:r>
      <w:r w:rsidRPr="0070296A">
        <w:t>ընտրությունը</w:t>
      </w:r>
      <w:r w:rsidRPr="00795BB8">
        <w:rPr>
          <w:lang w:val="es-ES"/>
        </w:rPr>
        <w:t xml:space="preserve"> </w:t>
      </w:r>
      <w:r w:rsidRPr="0070296A">
        <w:t>կատարվում</w:t>
      </w:r>
      <w:r w:rsidRPr="00795BB8">
        <w:rPr>
          <w:lang w:val="es-ES"/>
        </w:rPr>
        <w:t xml:space="preserve"> </w:t>
      </w:r>
      <w:r w:rsidRPr="0070296A">
        <w:t>է</w:t>
      </w:r>
      <w:r w:rsidRPr="00795BB8">
        <w:rPr>
          <w:lang w:val="es-ES"/>
        </w:rPr>
        <w:t xml:space="preserve"> </w:t>
      </w:r>
      <w:r w:rsidRPr="0070296A">
        <w:t>ծախսերի</w:t>
      </w:r>
      <w:r w:rsidRPr="00795BB8">
        <w:rPr>
          <w:lang w:val="es-ES"/>
        </w:rPr>
        <w:t xml:space="preserve"> </w:t>
      </w:r>
      <w:r w:rsidRPr="0070296A">
        <w:t>և</w:t>
      </w:r>
      <w:r w:rsidRPr="00795BB8">
        <w:rPr>
          <w:lang w:val="es-ES"/>
        </w:rPr>
        <w:t xml:space="preserve"> </w:t>
      </w:r>
      <w:r w:rsidRPr="0070296A">
        <w:t>ռիսկերի</w:t>
      </w:r>
      <w:r w:rsidRPr="00795BB8">
        <w:rPr>
          <w:lang w:val="es-ES"/>
        </w:rPr>
        <w:t xml:space="preserve"> </w:t>
      </w:r>
      <w:r w:rsidRPr="0070296A">
        <w:t>ցուցանիշների</w:t>
      </w:r>
      <w:r w:rsidRPr="00795BB8">
        <w:rPr>
          <w:lang w:val="es-ES"/>
        </w:rPr>
        <w:t xml:space="preserve"> </w:t>
      </w:r>
      <w:r w:rsidRPr="0070296A">
        <w:t>մի</w:t>
      </w:r>
      <w:r w:rsidRPr="00795BB8">
        <w:rPr>
          <w:lang w:val="es-ES"/>
        </w:rPr>
        <w:t xml:space="preserve"> </w:t>
      </w:r>
      <w:r w:rsidRPr="0070296A">
        <w:t>ամբողջ</w:t>
      </w:r>
      <w:r w:rsidRPr="00795BB8">
        <w:rPr>
          <w:lang w:val="es-ES"/>
        </w:rPr>
        <w:t xml:space="preserve"> </w:t>
      </w:r>
      <w:r w:rsidRPr="0070296A">
        <w:t>համակարգի</w:t>
      </w:r>
      <w:r w:rsidRPr="00795BB8">
        <w:rPr>
          <w:lang w:val="es-ES"/>
        </w:rPr>
        <w:t xml:space="preserve"> </w:t>
      </w:r>
      <w:r w:rsidRPr="0070296A">
        <w:t>ուսումնասիրության</w:t>
      </w:r>
      <w:r w:rsidRPr="00795BB8">
        <w:rPr>
          <w:lang w:val="es-ES"/>
        </w:rPr>
        <w:t xml:space="preserve"> </w:t>
      </w:r>
      <w:r w:rsidRPr="0070296A">
        <w:t>և</w:t>
      </w:r>
      <w:r w:rsidRPr="00795BB8">
        <w:rPr>
          <w:lang w:val="es-ES"/>
        </w:rPr>
        <w:t xml:space="preserve"> </w:t>
      </w:r>
      <w:r w:rsidRPr="0070296A">
        <w:t>վերլուծության</w:t>
      </w:r>
      <w:r w:rsidRPr="00795BB8">
        <w:rPr>
          <w:lang w:val="es-ES"/>
        </w:rPr>
        <w:t xml:space="preserve"> </w:t>
      </w:r>
      <w:r w:rsidRPr="0070296A">
        <w:t>արդյունքում</w:t>
      </w:r>
      <w:r w:rsidRPr="00795BB8">
        <w:rPr>
          <w:lang w:val="es-ES"/>
        </w:rPr>
        <w:t xml:space="preserve">: </w:t>
      </w:r>
      <w:r w:rsidRPr="0070296A">
        <w:t>ՀՀ</w:t>
      </w:r>
      <w:r w:rsidRPr="00795BB8">
        <w:rPr>
          <w:lang w:val="es-ES"/>
        </w:rPr>
        <w:t xml:space="preserve"> </w:t>
      </w:r>
      <w:r w:rsidRPr="0070296A">
        <w:t>կառավարության</w:t>
      </w:r>
      <w:r w:rsidRPr="00795BB8">
        <w:rPr>
          <w:lang w:val="es-ES"/>
        </w:rPr>
        <w:t xml:space="preserve"> </w:t>
      </w:r>
      <w:r w:rsidRPr="0070296A">
        <w:t>պարտքը</w:t>
      </w:r>
      <w:r w:rsidRPr="00795BB8">
        <w:rPr>
          <w:lang w:val="es-ES"/>
        </w:rPr>
        <w:t xml:space="preserve"> </w:t>
      </w:r>
      <w:r w:rsidRPr="0070296A">
        <w:t>բնութագրող</w:t>
      </w:r>
      <w:r w:rsidRPr="00795BB8">
        <w:rPr>
          <w:lang w:val="es-ES"/>
        </w:rPr>
        <w:t xml:space="preserve"> </w:t>
      </w:r>
      <w:r w:rsidRPr="0070296A">
        <w:t>ծախսերի</w:t>
      </w:r>
      <w:r w:rsidRPr="00795BB8">
        <w:rPr>
          <w:lang w:val="es-ES"/>
        </w:rPr>
        <w:t xml:space="preserve"> </w:t>
      </w:r>
      <w:r w:rsidRPr="0070296A">
        <w:t>և</w:t>
      </w:r>
      <w:r w:rsidRPr="00795BB8">
        <w:rPr>
          <w:lang w:val="es-ES"/>
        </w:rPr>
        <w:t xml:space="preserve"> </w:t>
      </w:r>
      <w:r w:rsidRPr="0070296A">
        <w:t>ռիսկերի</w:t>
      </w:r>
      <w:r w:rsidRPr="00795BB8">
        <w:rPr>
          <w:lang w:val="es-ES"/>
        </w:rPr>
        <w:t xml:space="preserve"> </w:t>
      </w:r>
      <w:r>
        <w:t>ցուցանիշների</w:t>
      </w:r>
      <w:r w:rsidRPr="00795BB8">
        <w:rPr>
          <w:lang w:val="es-ES"/>
        </w:rPr>
        <w:t xml:space="preserve"> </w:t>
      </w:r>
      <w:r w:rsidRPr="0070296A">
        <w:t>համալիր</w:t>
      </w:r>
      <w:r w:rsidRPr="00795BB8">
        <w:rPr>
          <w:lang w:val="es-ES"/>
        </w:rPr>
        <w:t xml:space="preserve"> </w:t>
      </w:r>
      <w:r w:rsidRPr="0070296A">
        <w:t>ուսումնասիրության</w:t>
      </w:r>
      <w:r w:rsidRPr="00795BB8">
        <w:rPr>
          <w:lang w:val="es-ES"/>
        </w:rPr>
        <w:t xml:space="preserve"> </w:t>
      </w:r>
      <w:r w:rsidRPr="0070296A">
        <w:t>արդյունքում</w:t>
      </w:r>
      <w:r w:rsidRPr="00795BB8">
        <w:rPr>
          <w:lang w:val="es-ES"/>
        </w:rPr>
        <w:t xml:space="preserve"> </w:t>
      </w:r>
      <w:r w:rsidRPr="0070296A">
        <w:t>ընտրվել</w:t>
      </w:r>
      <w:r w:rsidRPr="00795BB8">
        <w:rPr>
          <w:lang w:val="es-ES"/>
        </w:rPr>
        <w:t xml:space="preserve"> </w:t>
      </w:r>
      <w:r w:rsidRPr="0070296A">
        <w:t>է</w:t>
      </w:r>
      <w:r w:rsidRPr="00795BB8">
        <w:rPr>
          <w:lang w:val="es-ES"/>
        </w:rPr>
        <w:t xml:space="preserve"> </w:t>
      </w:r>
      <w:r w:rsidRPr="0070296A">
        <w:t>այնպիսի</w:t>
      </w:r>
      <w:r w:rsidRPr="00795BB8">
        <w:rPr>
          <w:lang w:val="es-ES"/>
        </w:rPr>
        <w:t xml:space="preserve"> </w:t>
      </w:r>
      <w:r w:rsidRPr="0070296A">
        <w:t>ռազմավարություն</w:t>
      </w:r>
      <w:r w:rsidRPr="00795BB8">
        <w:rPr>
          <w:lang w:val="es-ES"/>
        </w:rPr>
        <w:t xml:space="preserve">, </w:t>
      </w:r>
      <w:r w:rsidRPr="0070296A">
        <w:t>որը</w:t>
      </w:r>
      <w:r w:rsidRPr="00795BB8">
        <w:rPr>
          <w:lang w:val="es-ES"/>
        </w:rPr>
        <w:t xml:space="preserve"> </w:t>
      </w:r>
      <w:r w:rsidRPr="0070296A">
        <w:t>կնպաստի</w:t>
      </w:r>
      <w:r w:rsidRPr="00795BB8">
        <w:rPr>
          <w:lang w:val="es-ES"/>
        </w:rPr>
        <w:t xml:space="preserve"> </w:t>
      </w:r>
      <w:r w:rsidRPr="0070296A">
        <w:t>ներքին</w:t>
      </w:r>
      <w:r w:rsidRPr="00795BB8">
        <w:rPr>
          <w:lang w:val="es-ES"/>
        </w:rPr>
        <w:t xml:space="preserve"> </w:t>
      </w:r>
      <w:r w:rsidRPr="0070296A">
        <w:t>պարտքի</w:t>
      </w:r>
      <w:r w:rsidRPr="00795BB8">
        <w:rPr>
          <w:lang w:val="es-ES"/>
        </w:rPr>
        <w:t xml:space="preserve"> </w:t>
      </w:r>
      <w:r w:rsidRPr="0070296A">
        <w:t>շուկայի</w:t>
      </w:r>
      <w:r w:rsidRPr="00795BB8">
        <w:rPr>
          <w:lang w:val="es-ES"/>
        </w:rPr>
        <w:t xml:space="preserve"> </w:t>
      </w:r>
      <w:r w:rsidRPr="0070296A">
        <w:t>զարգացմանը</w:t>
      </w:r>
      <w:r w:rsidRPr="00795BB8">
        <w:rPr>
          <w:lang w:val="es-ES"/>
        </w:rPr>
        <w:t xml:space="preserve">, </w:t>
      </w:r>
      <w:r w:rsidRPr="0070296A">
        <w:t>կապահովի</w:t>
      </w:r>
      <w:r w:rsidRPr="00795BB8">
        <w:rPr>
          <w:lang w:val="es-ES"/>
        </w:rPr>
        <w:t xml:space="preserve"> </w:t>
      </w:r>
      <w:r w:rsidRPr="0070296A">
        <w:t>ՀՀ</w:t>
      </w:r>
      <w:r w:rsidRPr="00795BB8">
        <w:rPr>
          <w:lang w:val="es-ES"/>
        </w:rPr>
        <w:t xml:space="preserve"> </w:t>
      </w:r>
      <w:r w:rsidRPr="0070296A">
        <w:t>կառավարության</w:t>
      </w:r>
      <w:r w:rsidRPr="00795BB8">
        <w:rPr>
          <w:lang w:val="es-ES"/>
        </w:rPr>
        <w:t xml:space="preserve"> </w:t>
      </w:r>
      <w:r w:rsidRPr="0070296A">
        <w:t>պարտքի</w:t>
      </w:r>
      <w:r w:rsidRPr="00795BB8">
        <w:rPr>
          <w:lang w:val="es-ES"/>
        </w:rPr>
        <w:t xml:space="preserve"> </w:t>
      </w:r>
      <w:r w:rsidRPr="0070296A">
        <w:t>գծով</w:t>
      </w:r>
      <w:r w:rsidRPr="00795BB8">
        <w:rPr>
          <w:lang w:val="es-ES"/>
        </w:rPr>
        <w:t xml:space="preserve"> </w:t>
      </w:r>
      <w:r w:rsidRPr="0070296A">
        <w:t>ռիսկերի</w:t>
      </w:r>
      <w:r w:rsidRPr="00795BB8">
        <w:rPr>
          <w:lang w:val="es-ES"/>
        </w:rPr>
        <w:t xml:space="preserve"> </w:t>
      </w:r>
      <w:r w:rsidRPr="0070296A">
        <w:t>չափավոր</w:t>
      </w:r>
      <w:r w:rsidRPr="00795BB8">
        <w:rPr>
          <w:lang w:val="es-ES"/>
        </w:rPr>
        <w:t xml:space="preserve"> </w:t>
      </w:r>
      <w:r w:rsidRPr="0070296A">
        <w:t>մակարդակ</w:t>
      </w:r>
      <w:r w:rsidRPr="00795BB8">
        <w:rPr>
          <w:lang w:val="es-ES"/>
        </w:rPr>
        <w:t xml:space="preserve">, </w:t>
      </w:r>
      <w:r w:rsidRPr="0070296A">
        <w:t>միաժամանակ</w:t>
      </w:r>
      <w:r w:rsidRPr="00795BB8">
        <w:rPr>
          <w:lang w:val="es-ES"/>
        </w:rPr>
        <w:t xml:space="preserve">, </w:t>
      </w:r>
      <w:r w:rsidRPr="0070296A">
        <w:t>միջնաժամկետ</w:t>
      </w:r>
      <w:r w:rsidRPr="00795BB8">
        <w:rPr>
          <w:lang w:val="es-ES"/>
        </w:rPr>
        <w:t xml:space="preserve"> </w:t>
      </w:r>
      <w:r w:rsidRPr="0070296A">
        <w:t>հատվածում</w:t>
      </w:r>
      <w:r w:rsidRPr="00795BB8">
        <w:rPr>
          <w:lang w:val="es-ES"/>
        </w:rPr>
        <w:t xml:space="preserve"> </w:t>
      </w:r>
      <w:r w:rsidRPr="0070296A">
        <w:t>հնարավորինս</w:t>
      </w:r>
      <w:r w:rsidRPr="00795BB8">
        <w:rPr>
          <w:lang w:val="es-ES"/>
        </w:rPr>
        <w:t xml:space="preserve"> </w:t>
      </w:r>
      <w:r w:rsidRPr="0070296A">
        <w:t>կսահմանափակի</w:t>
      </w:r>
      <w:r w:rsidRPr="00795BB8">
        <w:rPr>
          <w:lang w:val="es-ES"/>
        </w:rPr>
        <w:t xml:space="preserve"> </w:t>
      </w:r>
      <w:r w:rsidRPr="0070296A">
        <w:t>պետական</w:t>
      </w:r>
      <w:r w:rsidRPr="00795BB8">
        <w:rPr>
          <w:lang w:val="es-ES"/>
        </w:rPr>
        <w:t xml:space="preserve"> </w:t>
      </w:r>
      <w:r w:rsidRPr="0070296A">
        <w:t>պարտքի</w:t>
      </w:r>
      <w:r w:rsidRPr="00795BB8">
        <w:rPr>
          <w:lang w:val="es-ES"/>
        </w:rPr>
        <w:t xml:space="preserve"> </w:t>
      </w:r>
      <w:r w:rsidRPr="0070296A">
        <w:t>գծով</w:t>
      </w:r>
      <w:r w:rsidRPr="00795BB8">
        <w:rPr>
          <w:lang w:val="es-ES"/>
        </w:rPr>
        <w:t xml:space="preserve"> </w:t>
      </w:r>
      <w:r w:rsidRPr="0070296A">
        <w:t>ծախսերի</w:t>
      </w:r>
      <w:r w:rsidRPr="00795BB8">
        <w:rPr>
          <w:lang w:val="es-ES"/>
        </w:rPr>
        <w:t xml:space="preserve"> </w:t>
      </w:r>
      <w:r w:rsidRPr="0070296A">
        <w:t>աճը</w:t>
      </w:r>
      <w:r w:rsidRPr="00795BB8">
        <w:rPr>
          <w:lang w:val="es-ES"/>
        </w:rPr>
        <w:t>:</w:t>
      </w:r>
      <w:r w:rsidRPr="00795BB8">
        <w:rPr>
          <w:color w:val="FF0000"/>
          <w:lang w:val="es-ES"/>
        </w:rPr>
        <w:t xml:space="preserve"> </w:t>
      </w:r>
    </w:p>
    <w:p w14:paraId="60C32063" w14:textId="77777777" w:rsidR="00795BB8" w:rsidRPr="00795BB8" w:rsidRDefault="00795BB8" w:rsidP="00795BB8">
      <w:pPr>
        <w:spacing w:before="120" w:after="0" w:line="276" w:lineRule="auto"/>
        <w:ind w:firstLine="0"/>
        <w:rPr>
          <w:lang w:val="es-ES"/>
        </w:rPr>
      </w:pPr>
      <w:r w:rsidRPr="00A03771">
        <w:rPr>
          <w:lang w:eastAsia="ru-RU"/>
        </w:rPr>
        <w:t>Ներքին</w:t>
      </w:r>
      <w:r w:rsidRPr="00795BB8">
        <w:rPr>
          <w:lang w:val="es-ES" w:eastAsia="ru-RU"/>
        </w:rPr>
        <w:t xml:space="preserve"> </w:t>
      </w:r>
      <w:r w:rsidRPr="00A03771">
        <w:rPr>
          <w:lang w:eastAsia="ru-RU"/>
        </w:rPr>
        <w:t>փոխառու</w:t>
      </w:r>
      <w:r w:rsidRPr="00795BB8">
        <w:rPr>
          <w:lang w:val="es-ES" w:eastAsia="ru-RU"/>
        </w:rPr>
        <w:t xml:space="preserve"> </w:t>
      </w:r>
      <w:r w:rsidRPr="00A03771">
        <w:rPr>
          <w:lang w:eastAsia="ru-RU"/>
        </w:rPr>
        <w:t>զուտ</w:t>
      </w:r>
      <w:r w:rsidRPr="00795BB8">
        <w:rPr>
          <w:lang w:val="es-ES" w:eastAsia="ru-RU"/>
        </w:rPr>
        <w:t xml:space="preserve"> </w:t>
      </w:r>
      <w:r w:rsidRPr="00A03771">
        <w:rPr>
          <w:lang w:eastAsia="ru-RU"/>
        </w:rPr>
        <w:t>միջոցների</w:t>
      </w:r>
      <w:r w:rsidRPr="00795BB8">
        <w:rPr>
          <w:lang w:val="es-ES" w:eastAsia="ru-RU"/>
        </w:rPr>
        <w:t xml:space="preserve"> </w:t>
      </w:r>
      <w:r w:rsidRPr="00A03771">
        <w:rPr>
          <w:lang w:eastAsia="ru-RU"/>
        </w:rPr>
        <w:t>հաշվին</w:t>
      </w:r>
      <w:r w:rsidRPr="00795BB8">
        <w:rPr>
          <w:lang w:val="es-ES" w:eastAsia="ru-RU"/>
        </w:rPr>
        <w:t xml:space="preserve"> </w:t>
      </w:r>
      <w:r w:rsidRPr="00A03771">
        <w:rPr>
          <w:lang w:eastAsia="ru-RU"/>
        </w:rPr>
        <w:t>դեֆիցիտի</w:t>
      </w:r>
      <w:r w:rsidRPr="00795BB8">
        <w:rPr>
          <w:lang w:val="es-ES" w:eastAsia="ru-RU"/>
        </w:rPr>
        <w:t xml:space="preserve"> </w:t>
      </w:r>
      <w:r w:rsidRPr="00A03771">
        <w:rPr>
          <w:lang w:eastAsia="ru-RU"/>
        </w:rPr>
        <w:t>ֆինանսավորման</w:t>
      </w:r>
      <w:r w:rsidRPr="00795BB8">
        <w:rPr>
          <w:lang w:val="es-ES" w:eastAsia="ru-RU"/>
        </w:rPr>
        <w:t xml:space="preserve"> </w:t>
      </w:r>
      <w:r w:rsidRPr="00A03771">
        <w:rPr>
          <w:lang w:eastAsia="ru-RU"/>
        </w:rPr>
        <w:t>կառուցվածքը</w:t>
      </w:r>
      <w:r w:rsidRPr="00795BB8">
        <w:rPr>
          <w:lang w:val="es-ES" w:eastAsia="ru-RU"/>
        </w:rPr>
        <w:t xml:space="preserve"> </w:t>
      </w:r>
      <w:r w:rsidRPr="00A03771">
        <w:rPr>
          <w:lang w:eastAsia="ru-RU"/>
        </w:rPr>
        <w:t>նախատեսելիս</w:t>
      </w:r>
      <w:r w:rsidRPr="00795BB8">
        <w:rPr>
          <w:lang w:val="es-ES" w:eastAsia="ru-RU"/>
        </w:rPr>
        <w:t xml:space="preserve"> </w:t>
      </w:r>
      <w:r w:rsidRPr="00A03771">
        <w:rPr>
          <w:lang w:eastAsia="ru-RU"/>
        </w:rPr>
        <w:t>հաշվի</w:t>
      </w:r>
      <w:r w:rsidRPr="00795BB8">
        <w:rPr>
          <w:lang w:val="es-ES" w:eastAsia="ru-RU"/>
        </w:rPr>
        <w:t xml:space="preserve"> </w:t>
      </w:r>
      <w:r w:rsidRPr="00A03771">
        <w:rPr>
          <w:lang w:eastAsia="ru-RU"/>
        </w:rPr>
        <w:t>են</w:t>
      </w:r>
      <w:r w:rsidRPr="00795BB8">
        <w:rPr>
          <w:lang w:val="es-ES" w:eastAsia="ru-RU"/>
        </w:rPr>
        <w:t xml:space="preserve"> </w:t>
      </w:r>
      <w:r w:rsidRPr="00A03771">
        <w:rPr>
          <w:lang w:eastAsia="ru-RU"/>
        </w:rPr>
        <w:t>առնվել</w:t>
      </w:r>
      <w:r w:rsidRPr="00795BB8">
        <w:rPr>
          <w:lang w:val="es-ES" w:eastAsia="ru-RU"/>
        </w:rPr>
        <w:t xml:space="preserve"> </w:t>
      </w:r>
      <w:r w:rsidRPr="00A03771">
        <w:rPr>
          <w:lang w:eastAsia="ru-RU"/>
        </w:rPr>
        <w:t>տնտեսությունում</w:t>
      </w:r>
      <w:r w:rsidRPr="00795BB8">
        <w:rPr>
          <w:lang w:val="es-ES" w:eastAsia="ru-RU"/>
        </w:rPr>
        <w:t xml:space="preserve"> </w:t>
      </w:r>
      <w:r w:rsidRPr="00A03771">
        <w:rPr>
          <w:lang w:eastAsia="ru-RU"/>
        </w:rPr>
        <w:t>մակրոմիջավայրի</w:t>
      </w:r>
      <w:r w:rsidRPr="00795BB8">
        <w:rPr>
          <w:lang w:val="es-ES" w:eastAsia="ru-RU"/>
        </w:rPr>
        <w:t xml:space="preserve"> </w:t>
      </w:r>
      <w:r w:rsidRPr="00A03771">
        <w:rPr>
          <w:lang w:eastAsia="ru-RU"/>
        </w:rPr>
        <w:t>զարգացումներ</w:t>
      </w:r>
      <w:r>
        <w:rPr>
          <w:lang w:eastAsia="ru-RU"/>
        </w:rPr>
        <w:t>ն</w:t>
      </w:r>
      <w:r w:rsidRPr="00795BB8">
        <w:rPr>
          <w:lang w:val="es-ES" w:eastAsia="ru-RU"/>
        </w:rPr>
        <w:t xml:space="preserve"> </w:t>
      </w:r>
      <w:r w:rsidRPr="00A03771">
        <w:rPr>
          <w:lang w:eastAsia="ru-RU"/>
        </w:rPr>
        <w:t>ըստ</w:t>
      </w:r>
      <w:r w:rsidRPr="00795BB8">
        <w:rPr>
          <w:lang w:val="es-ES" w:eastAsia="ru-RU"/>
        </w:rPr>
        <w:t xml:space="preserve"> </w:t>
      </w:r>
      <w:r w:rsidRPr="00A03771">
        <w:rPr>
          <w:lang w:eastAsia="ru-RU"/>
        </w:rPr>
        <w:t>կանխատեսումների</w:t>
      </w:r>
      <w:r w:rsidRPr="00795BB8">
        <w:rPr>
          <w:lang w:val="es-ES" w:eastAsia="ru-RU"/>
        </w:rPr>
        <w:t xml:space="preserve">  </w:t>
      </w:r>
      <w:r w:rsidRPr="00A03771">
        <w:rPr>
          <w:lang w:eastAsia="ru-RU"/>
        </w:rPr>
        <w:t>բազային</w:t>
      </w:r>
      <w:r w:rsidRPr="00795BB8">
        <w:rPr>
          <w:lang w:val="es-ES" w:eastAsia="ru-RU"/>
        </w:rPr>
        <w:t xml:space="preserve"> </w:t>
      </w:r>
      <w:r w:rsidRPr="00A03771">
        <w:rPr>
          <w:lang w:eastAsia="ru-RU"/>
        </w:rPr>
        <w:t>սցենարի</w:t>
      </w:r>
      <w:r w:rsidRPr="00795BB8">
        <w:rPr>
          <w:lang w:val="es-ES" w:eastAsia="ru-RU"/>
        </w:rPr>
        <w:t xml:space="preserve">, </w:t>
      </w:r>
      <w:r w:rsidRPr="00A03771">
        <w:rPr>
          <w:lang w:eastAsia="ru-RU"/>
        </w:rPr>
        <w:t>իրացվելիության</w:t>
      </w:r>
      <w:r w:rsidRPr="00795BB8">
        <w:rPr>
          <w:lang w:val="es-ES" w:eastAsia="ru-RU"/>
        </w:rPr>
        <w:t xml:space="preserve"> </w:t>
      </w:r>
      <w:r w:rsidRPr="00A03771">
        <w:rPr>
          <w:lang w:eastAsia="ru-RU"/>
        </w:rPr>
        <w:t>առկա</w:t>
      </w:r>
      <w:r w:rsidRPr="00795BB8">
        <w:rPr>
          <w:lang w:val="es-ES" w:eastAsia="ru-RU"/>
        </w:rPr>
        <w:t xml:space="preserve"> </w:t>
      </w:r>
      <w:r w:rsidRPr="00A03771">
        <w:rPr>
          <w:lang w:eastAsia="ru-RU"/>
        </w:rPr>
        <w:t>մակարդակը</w:t>
      </w:r>
      <w:r w:rsidRPr="00795BB8">
        <w:rPr>
          <w:lang w:val="es-ES" w:eastAsia="ru-RU"/>
        </w:rPr>
        <w:t xml:space="preserve">, </w:t>
      </w:r>
      <w:r w:rsidRPr="00A03771">
        <w:rPr>
          <w:lang w:eastAsia="ru-RU"/>
        </w:rPr>
        <w:t>պետական</w:t>
      </w:r>
      <w:r w:rsidRPr="00795BB8">
        <w:rPr>
          <w:lang w:val="es-ES" w:eastAsia="ru-RU"/>
        </w:rPr>
        <w:t xml:space="preserve"> </w:t>
      </w:r>
      <w:r w:rsidRPr="00A03771">
        <w:rPr>
          <w:lang w:eastAsia="ru-RU"/>
        </w:rPr>
        <w:t>գանձապետական</w:t>
      </w:r>
      <w:r w:rsidRPr="00795BB8">
        <w:rPr>
          <w:lang w:val="es-ES" w:eastAsia="ru-RU"/>
        </w:rPr>
        <w:t xml:space="preserve"> </w:t>
      </w:r>
      <w:r w:rsidRPr="00A03771">
        <w:rPr>
          <w:lang w:eastAsia="ru-RU"/>
        </w:rPr>
        <w:t>պարտատոմսերի</w:t>
      </w:r>
      <w:r w:rsidRPr="00795BB8">
        <w:rPr>
          <w:lang w:val="es-ES" w:eastAsia="ru-RU"/>
        </w:rPr>
        <w:t xml:space="preserve"> </w:t>
      </w:r>
      <w:r w:rsidRPr="00A03771">
        <w:rPr>
          <w:lang w:eastAsia="ru-RU"/>
        </w:rPr>
        <w:t>նկատմամբ</w:t>
      </w:r>
      <w:r w:rsidRPr="00795BB8">
        <w:rPr>
          <w:lang w:val="es-ES" w:eastAsia="ru-RU"/>
        </w:rPr>
        <w:t xml:space="preserve"> </w:t>
      </w:r>
      <w:r w:rsidRPr="00A03771">
        <w:rPr>
          <w:lang w:eastAsia="ru-RU"/>
        </w:rPr>
        <w:t>ձևավորված</w:t>
      </w:r>
      <w:r w:rsidRPr="00795BB8">
        <w:rPr>
          <w:lang w:val="es-ES" w:eastAsia="ru-RU"/>
        </w:rPr>
        <w:t xml:space="preserve"> </w:t>
      </w:r>
      <w:r w:rsidRPr="00A03771">
        <w:rPr>
          <w:lang w:eastAsia="ru-RU"/>
        </w:rPr>
        <w:t>կայուն</w:t>
      </w:r>
      <w:r w:rsidRPr="00795BB8">
        <w:rPr>
          <w:lang w:val="es-ES" w:eastAsia="ru-RU"/>
        </w:rPr>
        <w:t xml:space="preserve"> </w:t>
      </w:r>
      <w:r w:rsidRPr="00A03771">
        <w:rPr>
          <w:lang w:eastAsia="ru-RU"/>
        </w:rPr>
        <w:t>պահանջարկը</w:t>
      </w:r>
      <w:r w:rsidRPr="00795BB8">
        <w:rPr>
          <w:lang w:val="es-ES" w:eastAsia="ru-RU"/>
        </w:rPr>
        <w:t xml:space="preserve"> </w:t>
      </w:r>
      <w:r w:rsidRPr="00A03771">
        <w:rPr>
          <w:lang w:eastAsia="ru-RU"/>
        </w:rPr>
        <w:t>և</w:t>
      </w:r>
      <w:r w:rsidRPr="00795BB8">
        <w:rPr>
          <w:lang w:val="es-ES" w:eastAsia="ru-RU"/>
        </w:rPr>
        <w:t xml:space="preserve"> </w:t>
      </w:r>
      <w:r w:rsidRPr="00A03771">
        <w:rPr>
          <w:lang w:eastAsia="ru-RU"/>
        </w:rPr>
        <w:t>պարտքի</w:t>
      </w:r>
      <w:r w:rsidRPr="00795BB8">
        <w:rPr>
          <w:lang w:val="es-ES" w:eastAsia="ru-RU"/>
        </w:rPr>
        <w:t xml:space="preserve"> </w:t>
      </w:r>
      <w:r w:rsidRPr="00A03771">
        <w:rPr>
          <w:lang w:eastAsia="ru-RU"/>
        </w:rPr>
        <w:t>սպասարկման</w:t>
      </w:r>
      <w:r w:rsidRPr="00795BB8">
        <w:rPr>
          <w:lang w:val="es-ES" w:eastAsia="ru-RU"/>
        </w:rPr>
        <w:t xml:space="preserve"> </w:t>
      </w:r>
      <w:r w:rsidRPr="00A03771">
        <w:rPr>
          <w:lang w:eastAsia="ru-RU"/>
        </w:rPr>
        <w:t>մեծությունը</w:t>
      </w:r>
      <w:r w:rsidRPr="00795BB8">
        <w:rPr>
          <w:lang w:val="es-ES" w:eastAsia="ru-RU"/>
        </w:rPr>
        <w:t>:</w:t>
      </w:r>
    </w:p>
    <w:p w14:paraId="38BE4E9B" w14:textId="77777777" w:rsidR="00795BB8" w:rsidRPr="00795BB8" w:rsidRDefault="00795BB8" w:rsidP="00795BB8">
      <w:pPr>
        <w:spacing w:before="120" w:after="0" w:line="276" w:lineRule="auto"/>
        <w:ind w:firstLine="0"/>
        <w:rPr>
          <w:lang w:val="es-ES"/>
        </w:rPr>
      </w:pPr>
      <w:r w:rsidRPr="00795BB8">
        <w:rPr>
          <w:lang w:val="es-ES"/>
        </w:rPr>
        <w:t xml:space="preserve">2025-2027 </w:t>
      </w:r>
      <w:r w:rsidRPr="0070296A">
        <w:t>թվականների</w:t>
      </w:r>
      <w:r w:rsidRPr="00795BB8">
        <w:rPr>
          <w:lang w:val="es-ES"/>
        </w:rPr>
        <w:t xml:space="preserve"> </w:t>
      </w:r>
      <w:r w:rsidRPr="0070296A">
        <w:t>համար</w:t>
      </w:r>
      <w:r w:rsidRPr="00795BB8">
        <w:rPr>
          <w:lang w:val="es-ES"/>
        </w:rPr>
        <w:t xml:space="preserve"> </w:t>
      </w:r>
      <w:r w:rsidRPr="0070296A">
        <w:t>պետական</w:t>
      </w:r>
      <w:r w:rsidRPr="00795BB8">
        <w:rPr>
          <w:lang w:val="es-ES"/>
        </w:rPr>
        <w:t xml:space="preserve"> </w:t>
      </w:r>
      <w:r w:rsidRPr="0070296A">
        <w:t>բյուջեի</w:t>
      </w:r>
      <w:r w:rsidRPr="00795BB8">
        <w:rPr>
          <w:lang w:val="es-ES"/>
        </w:rPr>
        <w:t xml:space="preserve"> </w:t>
      </w:r>
      <w:r w:rsidRPr="0070296A">
        <w:t>դեֆիցիտի</w:t>
      </w:r>
      <w:r w:rsidRPr="00795BB8">
        <w:rPr>
          <w:lang w:val="es-ES"/>
        </w:rPr>
        <w:t xml:space="preserve"> </w:t>
      </w:r>
      <w:r w:rsidRPr="0070296A">
        <w:t>ֆինանսավորումը</w:t>
      </w:r>
      <w:r w:rsidRPr="00795BB8">
        <w:rPr>
          <w:lang w:val="es-ES"/>
        </w:rPr>
        <w:t xml:space="preserve"> </w:t>
      </w:r>
      <w:r w:rsidRPr="0070296A">
        <w:t>փոխառու</w:t>
      </w:r>
      <w:r w:rsidRPr="00795BB8">
        <w:rPr>
          <w:lang w:val="es-ES"/>
        </w:rPr>
        <w:t xml:space="preserve"> </w:t>
      </w:r>
      <w:r w:rsidRPr="0070296A">
        <w:t>զուտ</w:t>
      </w:r>
      <w:r w:rsidRPr="00795BB8">
        <w:rPr>
          <w:lang w:val="es-ES"/>
        </w:rPr>
        <w:t xml:space="preserve"> </w:t>
      </w:r>
      <w:r w:rsidRPr="0070296A">
        <w:t>միջոցների</w:t>
      </w:r>
      <w:r w:rsidRPr="00795BB8">
        <w:rPr>
          <w:lang w:val="es-ES"/>
        </w:rPr>
        <w:t xml:space="preserve"> </w:t>
      </w:r>
      <w:r w:rsidRPr="0070296A">
        <w:t>հաշվին</w:t>
      </w:r>
      <w:r w:rsidRPr="00795BB8">
        <w:rPr>
          <w:lang w:val="es-ES"/>
        </w:rPr>
        <w:t xml:space="preserve"> </w:t>
      </w:r>
      <w:r w:rsidRPr="0070296A">
        <w:t>նախատեսվում</w:t>
      </w:r>
      <w:r w:rsidRPr="00795BB8">
        <w:rPr>
          <w:lang w:val="es-ES"/>
        </w:rPr>
        <w:t xml:space="preserve"> </w:t>
      </w:r>
      <w:r w:rsidRPr="0070296A">
        <w:t>է</w:t>
      </w:r>
      <w:r w:rsidRPr="00795BB8">
        <w:rPr>
          <w:lang w:val="es-ES"/>
        </w:rPr>
        <w:t xml:space="preserve"> </w:t>
      </w:r>
      <w:r>
        <w:t>արտաքին</w:t>
      </w:r>
      <w:r w:rsidRPr="00795BB8">
        <w:rPr>
          <w:lang w:val="es-ES"/>
        </w:rPr>
        <w:t xml:space="preserve"> </w:t>
      </w:r>
      <w:r>
        <w:t>փոխառու</w:t>
      </w:r>
      <w:r w:rsidRPr="00795BB8">
        <w:rPr>
          <w:lang w:val="es-ES"/>
        </w:rPr>
        <w:t xml:space="preserve"> </w:t>
      </w:r>
      <w:r>
        <w:t>զուտ</w:t>
      </w:r>
      <w:r w:rsidRPr="00795BB8">
        <w:rPr>
          <w:lang w:val="es-ES"/>
        </w:rPr>
        <w:t xml:space="preserve"> </w:t>
      </w:r>
      <w:r>
        <w:t>միջոցների</w:t>
      </w:r>
      <w:r w:rsidRPr="00795BB8">
        <w:rPr>
          <w:lang w:val="es-ES"/>
        </w:rPr>
        <w:t xml:space="preserve"> </w:t>
      </w:r>
      <w:r>
        <w:t>հաշվին</w:t>
      </w:r>
      <w:r w:rsidRPr="00795BB8">
        <w:rPr>
          <w:lang w:val="es-ES"/>
        </w:rPr>
        <w:t xml:space="preserve"> </w:t>
      </w:r>
      <w:r w:rsidRPr="0070296A">
        <w:t>իրականացնել</w:t>
      </w:r>
      <w:r w:rsidRPr="00795BB8">
        <w:rPr>
          <w:lang w:val="es-ES"/>
        </w:rPr>
        <w:t xml:space="preserve"> </w:t>
      </w:r>
      <w:r>
        <w:t>ավելի</w:t>
      </w:r>
      <w:r w:rsidRPr="00795BB8">
        <w:rPr>
          <w:lang w:val="es-ES"/>
        </w:rPr>
        <w:t xml:space="preserve"> </w:t>
      </w:r>
      <w:r>
        <w:t>մեծ</w:t>
      </w:r>
      <w:r w:rsidRPr="00795BB8">
        <w:rPr>
          <w:lang w:val="es-ES"/>
        </w:rPr>
        <w:t xml:space="preserve"> </w:t>
      </w:r>
      <w:r>
        <w:t>ծավալներով</w:t>
      </w:r>
      <w:r w:rsidRPr="00795BB8">
        <w:rPr>
          <w:lang w:val="es-ES"/>
        </w:rPr>
        <w:t xml:space="preserve">, </w:t>
      </w:r>
      <w:r>
        <w:t>քան</w:t>
      </w:r>
      <w:r w:rsidRPr="00795BB8">
        <w:rPr>
          <w:lang w:val="es-ES"/>
        </w:rPr>
        <w:t xml:space="preserve"> </w:t>
      </w:r>
      <w:r>
        <w:t>ներքին</w:t>
      </w:r>
      <w:r w:rsidRPr="00795BB8">
        <w:rPr>
          <w:lang w:val="es-ES"/>
        </w:rPr>
        <w:t xml:space="preserve"> </w:t>
      </w:r>
      <w:r>
        <w:t>փոխառու</w:t>
      </w:r>
      <w:r w:rsidRPr="00795BB8">
        <w:rPr>
          <w:lang w:val="es-ES"/>
        </w:rPr>
        <w:t xml:space="preserve"> </w:t>
      </w:r>
      <w:r>
        <w:t>զուտ</w:t>
      </w:r>
      <w:r w:rsidRPr="00795BB8">
        <w:rPr>
          <w:lang w:val="es-ES"/>
        </w:rPr>
        <w:t xml:space="preserve"> </w:t>
      </w:r>
      <w:r>
        <w:t>միջոցների</w:t>
      </w:r>
      <w:r w:rsidRPr="00795BB8">
        <w:rPr>
          <w:lang w:val="es-ES"/>
        </w:rPr>
        <w:t xml:space="preserve"> </w:t>
      </w:r>
      <w:r>
        <w:t>հաշվին։</w:t>
      </w:r>
    </w:p>
    <w:p w14:paraId="77DA6593" w14:textId="77777777" w:rsidR="00795BB8" w:rsidRPr="0070296A" w:rsidRDefault="00795BB8" w:rsidP="00795BB8">
      <w:pPr>
        <w:pStyle w:val="afd"/>
        <w:numPr>
          <w:ilvl w:val="0"/>
          <w:numId w:val="21"/>
        </w:numPr>
        <w:ind w:left="1276" w:hanging="1276"/>
      </w:pPr>
      <w:r w:rsidRPr="0070296A">
        <w:t xml:space="preserve"> Պետական բյուջեի դեֆիցիտի ֆինանսավորումը փոխառու զուտ միջոցների հաշվին 202</w:t>
      </w:r>
      <w:r w:rsidRPr="00B1068B">
        <w:t>3</w:t>
      </w:r>
      <w:r w:rsidRPr="0070296A">
        <w:t>-202</w:t>
      </w:r>
      <w:r w:rsidRPr="00B1068B">
        <w:t>7</w:t>
      </w:r>
      <w:r w:rsidRPr="0070296A">
        <w:t xml:space="preserve"> թվականներին  (մլրդ դրամ)</w:t>
      </w:r>
    </w:p>
    <w:tbl>
      <w:tblPr>
        <w:tblW w:w="10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88"/>
        <w:gridCol w:w="1155"/>
        <w:gridCol w:w="1415"/>
        <w:gridCol w:w="1074"/>
        <w:gridCol w:w="923"/>
        <w:gridCol w:w="927"/>
        <w:gridCol w:w="945"/>
      </w:tblGrid>
      <w:tr w:rsidR="00795BB8" w:rsidRPr="0070296A" w14:paraId="461F94CF" w14:textId="77777777" w:rsidTr="00795BB8">
        <w:trPr>
          <w:trHeight w:val="719"/>
          <w:tblHeader/>
          <w:jc w:val="center"/>
        </w:trPr>
        <w:tc>
          <w:tcPr>
            <w:tcW w:w="4388"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077AD5E" w14:textId="77777777" w:rsidR="00795BB8" w:rsidRPr="00795BB8" w:rsidRDefault="00795BB8" w:rsidP="00013648">
            <w:pPr>
              <w:ind w:firstLine="94"/>
              <w:jc w:val="center"/>
              <w:rPr>
                <w:sz w:val="20"/>
                <w:szCs w:val="20"/>
                <w:lang w:val="hy-AM"/>
              </w:rPr>
            </w:pPr>
          </w:p>
        </w:tc>
        <w:tc>
          <w:tcPr>
            <w:tcW w:w="115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A42B774" w14:textId="77777777" w:rsidR="00795BB8" w:rsidRPr="00795BB8" w:rsidRDefault="00795BB8" w:rsidP="00013648">
            <w:pPr>
              <w:spacing w:line="240" w:lineRule="auto"/>
              <w:ind w:firstLine="94"/>
              <w:jc w:val="center"/>
              <w:rPr>
                <w:sz w:val="20"/>
                <w:szCs w:val="20"/>
              </w:rPr>
            </w:pPr>
            <w:r w:rsidRPr="00795BB8">
              <w:rPr>
                <w:sz w:val="20"/>
                <w:szCs w:val="20"/>
              </w:rPr>
              <w:t>2023 փաստ.</w:t>
            </w:r>
          </w:p>
        </w:tc>
        <w:tc>
          <w:tcPr>
            <w:tcW w:w="1415"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4C84C1D8" w14:textId="77777777" w:rsidR="00795BB8" w:rsidRPr="00795BB8" w:rsidRDefault="00795BB8" w:rsidP="00013648">
            <w:pPr>
              <w:spacing w:line="240" w:lineRule="auto"/>
              <w:ind w:firstLine="94"/>
              <w:jc w:val="center"/>
              <w:rPr>
                <w:sz w:val="20"/>
                <w:szCs w:val="20"/>
              </w:rPr>
            </w:pPr>
            <w:r w:rsidRPr="00795BB8">
              <w:rPr>
                <w:sz w:val="20"/>
                <w:szCs w:val="20"/>
              </w:rPr>
              <w:t>2024 պետբյուջեի ծրագիր</w:t>
            </w:r>
          </w:p>
        </w:tc>
        <w:tc>
          <w:tcPr>
            <w:tcW w:w="1074"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1C0D5A1B" w14:textId="77777777" w:rsidR="00795BB8" w:rsidRPr="00795BB8" w:rsidRDefault="00795BB8" w:rsidP="00013648">
            <w:pPr>
              <w:spacing w:line="240" w:lineRule="auto"/>
              <w:ind w:firstLine="94"/>
              <w:jc w:val="center"/>
              <w:rPr>
                <w:sz w:val="20"/>
                <w:szCs w:val="20"/>
              </w:rPr>
            </w:pPr>
            <w:r w:rsidRPr="00795BB8">
              <w:rPr>
                <w:sz w:val="20"/>
                <w:szCs w:val="20"/>
              </w:rPr>
              <w:t>2024 կանխ.</w:t>
            </w:r>
          </w:p>
        </w:tc>
        <w:tc>
          <w:tcPr>
            <w:tcW w:w="92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7468118" w14:textId="77777777" w:rsidR="00795BB8" w:rsidRPr="00795BB8" w:rsidRDefault="00795BB8" w:rsidP="00013648">
            <w:pPr>
              <w:spacing w:line="240" w:lineRule="auto"/>
              <w:ind w:firstLine="94"/>
              <w:jc w:val="center"/>
              <w:rPr>
                <w:sz w:val="20"/>
                <w:szCs w:val="20"/>
              </w:rPr>
            </w:pPr>
            <w:r w:rsidRPr="00795BB8">
              <w:rPr>
                <w:sz w:val="20"/>
                <w:szCs w:val="20"/>
              </w:rPr>
              <w:t>2025 կանխ.</w:t>
            </w:r>
          </w:p>
        </w:tc>
        <w:tc>
          <w:tcPr>
            <w:tcW w:w="92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6D353E7" w14:textId="77777777" w:rsidR="00795BB8" w:rsidRPr="00795BB8" w:rsidRDefault="00795BB8" w:rsidP="00013648">
            <w:pPr>
              <w:spacing w:line="240" w:lineRule="auto"/>
              <w:ind w:firstLine="94"/>
              <w:jc w:val="center"/>
              <w:rPr>
                <w:sz w:val="20"/>
                <w:szCs w:val="20"/>
              </w:rPr>
            </w:pPr>
            <w:r w:rsidRPr="00795BB8">
              <w:rPr>
                <w:sz w:val="20"/>
                <w:szCs w:val="20"/>
              </w:rPr>
              <w:t>2026 կանխ.</w:t>
            </w:r>
          </w:p>
        </w:tc>
        <w:tc>
          <w:tcPr>
            <w:tcW w:w="94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446AB1F" w14:textId="77777777" w:rsidR="00795BB8" w:rsidRPr="00795BB8" w:rsidRDefault="00795BB8" w:rsidP="00013648">
            <w:pPr>
              <w:spacing w:line="240" w:lineRule="auto"/>
              <w:ind w:firstLine="94"/>
              <w:jc w:val="center"/>
              <w:rPr>
                <w:sz w:val="20"/>
                <w:szCs w:val="20"/>
              </w:rPr>
            </w:pPr>
            <w:r w:rsidRPr="00795BB8">
              <w:rPr>
                <w:sz w:val="20"/>
                <w:szCs w:val="20"/>
              </w:rPr>
              <w:t>2027 կանխ.</w:t>
            </w:r>
          </w:p>
        </w:tc>
      </w:tr>
      <w:tr w:rsidR="00795BB8" w:rsidRPr="00E06CCC" w14:paraId="0560B3CB" w14:textId="77777777" w:rsidTr="00013648">
        <w:trPr>
          <w:trHeight w:val="1062"/>
          <w:jc w:val="center"/>
        </w:trPr>
        <w:tc>
          <w:tcPr>
            <w:tcW w:w="4388" w:type="dxa"/>
            <w:tcBorders>
              <w:top w:val="thinThickSmallGap" w:sz="24" w:space="0" w:color="auto"/>
              <w:left w:val="nil"/>
              <w:right w:val="nil"/>
            </w:tcBorders>
            <w:vAlign w:val="center"/>
          </w:tcPr>
          <w:p w14:paraId="449CAD27" w14:textId="77777777" w:rsidR="00795BB8" w:rsidRPr="00795BB8" w:rsidRDefault="00795BB8" w:rsidP="00013648">
            <w:pPr>
              <w:spacing w:line="240" w:lineRule="auto"/>
              <w:ind w:firstLine="94"/>
              <w:jc w:val="left"/>
              <w:rPr>
                <w:sz w:val="20"/>
                <w:szCs w:val="20"/>
              </w:rPr>
            </w:pPr>
            <w:r w:rsidRPr="00795BB8">
              <w:rPr>
                <w:sz w:val="20"/>
                <w:szCs w:val="20"/>
              </w:rPr>
              <w:t>Պետական բյուջեի դեֆիցիտի ֆինանսավորումը փոխառու զուտ միջոցների հաշվին</w:t>
            </w:r>
          </w:p>
        </w:tc>
        <w:tc>
          <w:tcPr>
            <w:tcW w:w="1155" w:type="dxa"/>
            <w:tcBorders>
              <w:top w:val="thinThickSmallGap" w:sz="24" w:space="0" w:color="auto"/>
              <w:left w:val="nil"/>
              <w:right w:val="nil"/>
            </w:tcBorders>
            <w:vAlign w:val="center"/>
          </w:tcPr>
          <w:p w14:paraId="49AB96D8" w14:textId="77777777" w:rsidR="00795BB8" w:rsidRPr="00795BB8" w:rsidRDefault="00795BB8" w:rsidP="00013648">
            <w:pPr>
              <w:ind w:firstLine="0"/>
              <w:jc w:val="center"/>
              <w:rPr>
                <w:sz w:val="20"/>
                <w:szCs w:val="20"/>
              </w:rPr>
            </w:pPr>
            <w:r w:rsidRPr="00795BB8">
              <w:rPr>
                <w:sz w:val="20"/>
                <w:szCs w:val="20"/>
              </w:rPr>
              <w:t>287.0</w:t>
            </w:r>
          </w:p>
        </w:tc>
        <w:tc>
          <w:tcPr>
            <w:tcW w:w="1415" w:type="dxa"/>
            <w:tcBorders>
              <w:top w:val="thinThickSmallGap" w:sz="24" w:space="0" w:color="auto"/>
              <w:left w:val="nil"/>
              <w:right w:val="double" w:sz="4" w:space="0" w:color="auto"/>
            </w:tcBorders>
            <w:vAlign w:val="center"/>
          </w:tcPr>
          <w:p w14:paraId="56C6C8F7" w14:textId="77777777" w:rsidR="00795BB8" w:rsidRPr="00795BB8" w:rsidRDefault="00795BB8" w:rsidP="00013648">
            <w:pPr>
              <w:ind w:firstLine="0"/>
              <w:jc w:val="center"/>
              <w:rPr>
                <w:color w:val="FF0000"/>
                <w:sz w:val="20"/>
                <w:szCs w:val="20"/>
              </w:rPr>
            </w:pPr>
            <w:r w:rsidRPr="00795BB8">
              <w:rPr>
                <w:sz w:val="20"/>
                <w:szCs w:val="20"/>
              </w:rPr>
              <w:t>490.8</w:t>
            </w:r>
          </w:p>
        </w:tc>
        <w:tc>
          <w:tcPr>
            <w:tcW w:w="1074" w:type="dxa"/>
            <w:tcBorders>
              <w:top w:val="thinThickSmallGap" w:sz="24" w:space="0" w:color="auto"/>
              <w:left w:val="double" w:sz="4" w:space="0" w:color="auto"/>
              <w:right w:val="nil"/>
            </w:tcBorders>
            <w:vAlign w:val="center"/>
          </w:tcPr>
          <w:p w14:paraId="2318862C" w14:textId="77777777" w:rsidR="00795BB8" w:rsidRPr="00795BB8" w:rsidRDefault="00795BB8" w:rsidP="00013648">
            <w:pPr>
              <w:ind w:firstLine="0"/>
              <w:jc w:val="center"/>
              <w:rPr>
                <w:sz w:val="20"/>
                <w:szCs w:val="20"/>
              </w:rPr>
            </w:pPr>
            <w:r w:rsidRPr="00795BB8">
              <w:rPr>
                <w:sz w:val="20"/>
                <w:szCs w:val="20"/>
              </w:rPr>
              <w:t>490.8</w:t>
            </w:r>
          </w:p>
        </w:tc>
        <w:tc>
          <w:tcPr>
            <w:tcW w:w="923" w:type="dxa"/>
            <w:tcBorders>
              <w:top w:val="thinThickSmallGap" w:sz="24" w:space="0" w:color="auto"/>
              <w:left w:val="nil"/>
              <w:right w:val="nil"/>
            </w:tcBorders>
            <w:vAlign w:val="center"/>
          </w:tcPr>
          <w:p w14:paraId="7EE002AC" w14:textId="77777777" w:rsidR="00795BB8" w:rsidRPr="00795BB8" w:rsidRDefault="00795BB8" w:rsidP="00013648">
            <w:pPr>
              <w:ind w:firstLine="0"/>
              <w:jc w:val="center"/>
              <w:rPr>
                <w:color w:val="FF0000"/>
                <w:sz w:val="20"/>
                <w:szCs w:val="20"/>
              </w:rPr>
            </w:pPr>
            <w:r w:rsidRPr="00795BB8">
              <w:rPr>
                <w:sz w:val="20"/>
                <w:szCs w:val="20"/>
              </w:rPr>
              <w:t>664.9</w:t>
            </w:r>
          </w:p>
        </w:tc>
        <w:tc>
          <w:tcPr>
            <w:tcW w:w="927" w:type="dxa"/>
            <w:tcBorders>
              <w:top w:val="thinThickSmallGap" w:sz="24" w:space="0" w:color="auto"/>
              <w:left w:val="nil"/>
              <w:right w:val="nil"/>
            </w:tcBorders>
            <w:vAlign w:val="center"/>
          </w:tcPr>
          <w:p w14:paraId="72D385A1" w14:textId="77777777" w:rsidR="00795BB8" w:rsidRPr="00795BB8" w:rsidRDefault="00795BB8" w:rsidP="00013648">
            <w:pPr>
              <w:ind w:firstLine="0"/>
              <w:jc w:val="center"/>
              <w:rPr>
                <w:color w:val="FF0000"/>
                <w:sz w:val="20"/>
                <w:szCs w:val="20"/>
              </w:rPr>
            </w:pPr>
            <w:r w:rsidRPr="00795BB8">
              <w:rPr>
                <w:bCs/>
                <w:sz w:val="20"/>
                <w:szCs w:val="20"/>
              </w:rPr>
              <w:t>593.6</w:t>
            </w:r>
          </w:p>
        </w:tc>
        <w:tc>
          <w:tcPr>
            <w:tcW w:w="945" w:type="dxa"/>
            <w:tcBorders>
              <w:top w:val="thinThickSmallGap" w:sz="24" w:space="0" w:color="auto"/>
              <w:left w:val="nil"/>
              <w:right w:val="nil"/>
            </w:tcBorders>
            <w:vAlign w:val="center"/>
          </w:tcPr>
          <w:p w14:paraId="37BA6926" w14:textId="77777777" w:rsidR="00795BB8" w:rsidRPr="00795BB8" w:rsidRDefault="00795BB8" w:rsidP="00013648">
            <w:pPr>
              <w:ind w:firstLine="0"/>
              <w:jc w:val="center"/>
              <w:rPr>
                <w:color w:val="FF0000"/>
                <w:sz w:val="20"/>
                <w:szCs w:val="20"/>
              </w:rPr>
            </w:pPr>
            <w:r w:rsidRPr="00795BB8">
              <w:rPr>
                <w:bCs/>
                <w:sz w:val="20"/>
                <w:szCs w:val="20"/>
              </w:rPr>
              <w:t>574.4</w:t>
            </w:r>
          </w:p>
        </w:tc>
      </w:tr>
      <w:tr w:rsidR="00795BB8" w:rsidRPr="00E06CCC" w14:paraId="487FC7B4" w14:textId="77777777" w:rsidTr="00013648">
        <w:trPr>
          <w:trHeight w:val="314"/>
          <w:jc w:val="center"/>
        </w:trPr>
        <w:tc>
          <w:tcPr>
            <w:tcW w:w="4388" w:type="dxa"/>
            <w:tcBorders>
              <w:left w:val="nil"/>
              <w:right w:val="nil"/>
            </w:tcBorders>
            <w:vAlign w:val="center"/>
          </w:tcPr>
          <w:p w14:paraId="69DE362E" w14:textId="77777777" w:rsidR="00795BB8" w:rsidRPr="00795BB8" w:rsidRDefault="00795BB8" w:rsidP="00013648">
            <w:pPr>
              <w:spacing w:line="240" w:lineRule="auto"/>
              <w:ind w:firstLine="94"/>
              <w:jc w:val="center"/>
              <w:rPr>
                <w:sz w:val="20"/>
                <w:szCs w:val="20"/>
              </w:rPr>
            </w:pPr>
            <w:r w:rsidRPr="00795BB8">
              <w:rPr>
                <w:sz w:val="20"/>
                <w:szCs w:val="20"/>
              </w:rPr>
              <w:t>որից`</w:t>
            </w:r>
          </w:p>
        </w:tc>
        <w:tc>
          <w:tcPr>
            <w:tcW w:w="1155" w:type="dxa"/>
            <w:tcBorders>
              <w:left w:val="nil"/>
              <w:right w:val="nil"/>
            </w:tcBorders>
            <w:vAlign w:val="center"/>
          </w:tcPr>
          <w:p w14:paraId="0CD16ED6" w14:textId="77777777" w:rsidR="00795BB8" w:rsidRPr="00795BB8" w:rsidRDefault="00795BB8" w:rsidP="00013648">
            <w:pPr>
              <w:ind w:firstLine="94"/>
              <w:jc w:val="center"/>
              <w:rPr>
                <w:sz w:val="20"/>
                <w:szCs w:val="20"/>
              </w:rPr>
            </w:pPr>
          </w:p>
        </w:tc>
        <w:tc>
          <w:tcPr>
            <w:tcW w:w="1415" w:type="dxa"/>
            <w:tcBorders>
              <w:left w:val="nil"/>
              <w:right w:val="double" w:sz="4" w:space="0" w:color="auto"/>
            </w:tcBorders>
            <w:vAlign w:val="center"/>
          </w:tcPr>
          <w:p w14:paraId="5995BF56" w14:textId="77777777" w:rsidR="00795BB8" w:rsidRPr="00795BB8" w:rsidRDefault="00795BB8" w:rsidP="00013648">
            <w:pPr>
              <w:ind w:firstLine="94"/>
              <w:jc w:val="center"/>
              <w:rPr>
                <w:color w:val="FF0000"/>
                <w:sz w:val="20"/>
                <w:szCs w:val="20"/>
              </w:rPr>
            </w:pPr>
          </w:p>
        </w:tc>
        <w:tc>
          <w:tcPr>
            <w:tcW w:w="1074" w:type="dxa"/>
            <w:tcBorders>
              <w:left w:val="double" w:sz="4" w:space="0" w:color="auto"/>
              <w:right w:val="nil"/>
            </w:tcBorders>
            <w:vAlign w:val="center"/>
          </w:tcPr>
          <w:p w14:paraId="60DA3DE7" w14:textId="77777777" w:rsidR="00795BB8" w:rsidRPr="00795BB8" w:rsidRDefault="00795BB8" w:rsidP="00013648">
            <w:pPr>
              <w:ind w:firstLine="94"/>
              <w:jc w:val="center"/>
              <w:rPr>
                <w:color w:val="FF0000"/>
                <w:sz w:val="20"/>
                <w:szCs w:val="20"/>
              </w:rPr>
            </w:pPr>
          </w:p>
        </w:tc>
        <w:tc>
          <w:tcPr>
            <w:tcW w:w="923" w:type="dxa"/>
            <w:tcBorders>
              <w:left w:val="nil"/>
              <w:right w:val="nil"/>
            </w:tcBorders>
            <w:vAlign w:val="center"/>
          </w:tcPr>
          <w:p w14:paraId="2F85A3D5" w14:textId="77777777" w:rsidR="00795BB8" w:rsidRPr="00795BB8" w:rsidRDefault="00795BB8" w:rsidP="00013648">
            <w:pPr>
              <w:ind w:firstLine="94"/>
              <w:jc w:val="center"/>
              <w:rPr>
                <w:color w:val="FF0000"/>
                <w:sz w:val="20"/>
                <w:szCs w:val="20"/>
              </w:rPr>
            </w:pPr>
          </w:p>
        </w:tc>
        <w:tc>
          <w:tcPr>
            <w:tcW w:w="927" w:type="dxa"/>
            <w:tcBorders>
              <w:left w:val="nil"/>
              <w:right w:val="nil"/>
            </w:tcBorders>
            <w:vAlign w:val="center"/>
          </w:tcPr>
          <w:p w14:paraId="34EADED9" w14:textId="77777777" w:rsidR="00795BB8" w:rsidRPr="00795BB8" w:rsidRDefault="00795BB8" w:rsidP="00013648">
            <w:pPr>
              <w:ind w:firstLine="94"/>
              <w:jc w:val="center"/>
              <w:rPr>
                <w:color w:val="FF0000"/>
                <w:sz w:val="20"/>
                <w:szCs w:val="20"/>
              </w:rPr>
            </w:pPr>
          </w:p>
        </w:tc>
        <w:tc>
          <w:tcPr>
            <w:tcW w:w="945" w:type="dxa"/>
            <w:tcBorders>
              <w:left w:val="nil"/>
              <w:right w:val="nil"/>
            </w:tcBorders>
            <w:vAlign w:val="center"/>
          </w:tcPr>
          <w:p w14:paraId="3173F4B6" w14:textId="77777777" w:rsidR="00795BB8" w:rsidRPr="00795BB8" w:rsidRDefault="00795BB8" w:rsidP="00013648">
            <w:pPr>
              <w:ind w:firstLine="94"/>
              <w:jc w:val="center"/>
              <w:rPr>
                <w:color w:val="FF0000"/>
                <w:sz w:val="20"/>
                <w:szCs w:val="20"/>
              </w:rPr>
            </w:pPr>
          </w:p>
        </w:tc>
      </w:tr>
      <w:tr w:rsidR="00795BB8" w:rsidRPr="00E06CCC" w14:paraId="610D9B65" w14:textId="77777777" w:rsidTr="00013648">
        <w:trPr>
          <w:trHeight w:val="455"/>
          <w:jc w:val="center"/>
        </w:trPr>
        <w:tc>
          <w:tcPr>
            <w:tcW w:w="4388" w:type="dxa"/>
            <w:tcBorders>
              <w:left w:val="nil"/>
              <w:right w:val="nil"/>
            </w:tcBorders>
            <w:vAlign w:val="center"/>
          </w:tcPr>
          <w:p w14:paraId="691D1935" w14:textId="77777777" w:rsidR="00795BB8" w:rsidRPr="00795BB8" w:rsidRDefault="00795BB8" w:rsidP="00013648">
            <w:pPr>
              <w:spacing w:line="240" w:lineRule="auto"/>
              <w:ind w:firstLine="94"/>
              <w:jc w:val="left"/>
              <w:rPr>
                <w:sz w:val="20"/>
                <w:szCs w:val="20"/>
              </w:rPr>
            </w:pPr>
            <w:r w:rsidRPr="00795BB8">
              <w:rPr>
                <w:sz w:val="20"/>
                <w:szCs w:val="20"/>
              </w:rPr>
              <w:t>Ներքին փոխառու զուտ միջոցներ (առանց մուրհակների)</w:t>
            </w:r>
          </w:p>
        </w:tc>
        <w:tc>
          <w:tcPr>
            <w:tcW w:w="1155" w:type="dxa"/>
            <w:tcBorders>
              <w:left w:val="nil"/>
              <w:right w:val="nil"/>
            </w:tcBorders>
            <w:vAlign w:val="center"/>
          </w:tcPr>
          <w:p w14:paraId="1C5CF7C6" w14:textId="77777777" w:rsidR="00795BB8" w:rsidRPr="00795BB8" w:rsidRDefault="00795BB8" w:rsidP="00013648">
            <w:pPr>
              <w:ind w:firstLine="94"/>
              <w:jc w:val="center"/>
              <w:rPr>
                <w:sz w:val="20"/>
                <w:szCs w:val="20"/>
              </w:rPr>
            </w:pPr>
            <w:r w:rsidRPr="00795BB8">
              <w:rPr>
                <w:sz w:val="20"/>
                <w:szCs w:val="20"/>
              </w:rPr>
              <w:t>360.3</w:t>
            </w:r>
          </w:p>
        </w:tc>
        <w:tc>
          <w:tcPr>
            <w:tcW w:w="1415" w:type="dxa"/>
            <w:tcBorders>
              <w:left w:val="nil"/>
              <w:right w:val="double" w:sz="4" w:space="0" w:color="auto"/>
            </w:tcBorders>
            <w:vAlign w:val="center"/>
          </w:tcPr>
          <w:p w14:paraId="359A2186" w14:textId="77777777" w:rsidR="00795BB8" w:rsidRPr="00795BB8" w:rsidRDefault="00795BB8" w:rsidP="00013648">
            <w:pPr>
              <w:ind w:firstLine="0"/>
              <w:jc w:val="center"/>
              <w:rPr>
                <w:color w:val="FF0000"/>
                <w:sz w:val="20"/>
                <w:szCs w:val="20"/>
              </w:rPr>
            </w:pPr>
            <w:r w:rsidRPr="00795BB8">
              <w:rPr>
                <w:sz w:val="20"/>
                <w:szCs w:val="20"/>
              </w:rPr>
              <w:t>350.8</w:t>
            </w:r>
          </w:p>
        </w:tc>
        <w:tc>
          <w:tcPr>
            <w:tcW w:w="1074" w:type="dxa"/>
            <w:tcBorders>
              <w:left w:val="double" w:sz="4" w:space="0" w:color="auto"/>
              <w:right w:val="nil"/>
            </w:tcBorders>
            <w:vAlign w:val="center"/>
          </w:tcPr>
          <w:p w14:paraId="7504ED2A" w14:textId="77777777" w:rsidR="00795BB8" w:rsidRPr="00795BB8" w:rsidRDefault="00795BB8" w:rsidP="00013648">
            <w:pPr>
              <w:ind w:firstLine="94"/>
              <w:jc w:val="center"/>
              <w:rPr>
                <w:color w:val="FF0000"/>
                <w:sz w:val="20"/>
                <w:szCs w:val="20"/>
              </w:rPr>
            </w:pPr>
            <w:r w:rsidRPr="00795BB8">
              <w:rPr>
                <w:sz w:val="20"/>
                <w:szCs w:val="20"/>
              </w:rPr>
              <w:t>350.8</w:t>
            </w:r>
          </w:p>
        </w:tc>
        <w:tc>
          <w:tcPr>
            <w:tcW w:w="923" w:type="dxa"/>
            <w:tcBorders>
              <w:left w:val="nil"/>
              <w:right w:val="nil"/>
            </w:tcBorders>
            <w:vAlign w:val="center"/>
          </w:tcPr>
          <w:p w14:paraId="590B5C24" w14:textId="77777777" w:rsidR="00795BB8" w:rsidRPr="00795BB8" w:rsidDel="00796972" w:rsidRDefault="00795BB8" w:rsidP="00013648">
            <w:pPr>
              <w:ind w:firstLine="94"/>
              <w:jc w:val="center"/>
              <w:rPr>
                <w:color w:val="FF0000"/>
                <w:sz w:val="20"/>
                <w:szCs w:val="20"/>
              </w:rPr>
            </w:pPr>
            <w:r w:rsidRPr="00795BB8">
              <w:rPr>
                <w:sz w:val="20"/>
                <w:szCs w:val="20"/>
              </w:rPr>
              <w:t>294.0</w:t>
            </w:r>
          </w:p>
        </w:tc>
        <w:tc>
          <w:tcPr>
            <w:tcW w:w="927" w:type="dxa"/>
            <w:tcBorders>
              <w:left w:val="nil"/>
              <w:right w:val="nil"/>
            </w:tcBorders>
            <w:vAlign w:val="center"/>
          </w:tcPr>
          <w:p w14:paraId="23DAC2E5" w14:textId="77777777" w:rsidR="00795BB8" w:rsidRPr="00795BB8" w:rsidRDefault="00795BB8" w:rsidP="00013648">
            <w:pPr>
              <w:ind w:firstLine="94"/>
              <w:jc w:val="center"/>
              <w:rPr>
                <w:color w:val="FF0000"/>
                <w:sz w:val="20"/>
                <w:szCs w:val="20"/>
              </w:rPr>
            </w:pPr>
            <w:r w:rsidRPr="00795BB8">
              <w:rPr>
                <w:sz w:val="20"/>
                <w:szCs w:val="20"/>
              </w:rPr>
              <w:t>277.0</w:t>
            </w:r>
          </w:p>
        </w:tc>
        <w:tc>
          <w:tcPr>
            <w:tcW w:w="945" w:type="dxa"/>
            <w:tcBorders>
              <w:left w:val="nil"/>
              <w:right w:val="nil"/>
            </w:tcBorders>
            <w:vAlign w:val="center"/>
          </w:tcPr>
          <w:p w14:paraId="1A73A1A9" w14:textId="77777777" w:rsidR="00795BB8" w:rsidRPr="00795BB8" w:rsidRDefault="00795BB8" w:rsidP="00013648">
            <w:pPr>
              <w:ind w:firstLine="94"/>
              <w:jc w:val="center"/>
              <w:rPr>
                <w:color w:val="FF0000"/>
                <w:sz w:val="20"/>
                <w:szCs w:val="20"/>
              </w:rPr>
            </w:pPr>
            <w:r w:rsidRPr="00795BB8">
              <w:rPr>
                <w:sz w:val="20"/>
                <w:szCs w:val="20"/>
              </w:rPr>
              <w:t>192.0</w:t>
            </w:r>
          </w:p>
        </w:tc>
      </w:tr>
      <w:tr w:rsidR="00795BB8" w:rsidRPr="00E06CCC" w14:paraId="1D940865" w14:textId="77777777" w:rsidTr="00013648">
        <w:trPr>
          <w:trHeight w:val="557"/>
          <w:jc w:val="center"/>
        </w:trPr>
        <w:tc>
          <w:tcPr>
            <w:tcW w:w="4388" w:type="dxa"/>
            <w:tcBorders>
              <w:left w:val="nil"/>
              <w:bottom w:val="thickThinSmallGap" w:sz="24" w:space="0" w:color="auto"/>
              <w:right w:val="nil"/>
            </w:tcBorders>
            <w:vAlign w:val="center"/>
          </w:tcPr>
          <w:p w14:paraId="620F6B13" w14:textId="77777777" w:rsidR="00795BB8" w:rsidRPr="00795BB8" w:rsidRDefault="00795BB8" w:rsidP="00013648">
            <w:pPr>
              <w:spacing w:line="240" w:lineRule="auto"/>
              <w:ind w:firstLine="94"/>
              <w:jc w:val="left"/>
              <w:rPr>
                <w:sz w:val="20"/>
                <w:szCs w:val="20"/>
              </w:rPr>
            </w:pPr>
            <w:r w:rsidRPr="00795BB8">
              <w:rPr>
                <w:sz w:val="20"/>
                <w:szCs w:val="20"/>
              </w:rPr>
              <w:t>Արտաքին փոխառու զուտ միջոցներ</w:t>
            </w:r>
          </w:p>
        </w:tc>
        <w:tc>
          <w:tcPr>
            <w:tcW w:w="1155" w:type="dxa"/>
            <w:tcBorders>
              <w:left w:val="nil"/>
              <w:bottom w:val="thickThinSmallGap" w:sz="24" w:space="0" w:color="auto"/>
              <w:right w:val="nil"/>
            </w:tcBorders>
            <w:vAlign w:val="center"/>
          </w:tcPr>
          <w:p w14:paraId="048B9BA3" w14:textId="77777777" w:rsidR="00795BB8" w:rsidRPr="00795BB8" w:rsidRDefault="00795BB8" w:rsidP="00013648">
            <w:pPr>
              <w:ind w:firstLine="94"/>
              <w:jc w:val="center"/>
              <w:rPr>
                <w:sz w:val="20"/>
                <w:szCs w:val="20"/>
              </w:rPr>
            </w:pPr>
            <w:r w:rsidRPr="00795BB8">
              <w:rPr>
                <w:sz w:val="20"/>
                <w:szCs w:val="20"/>
              </w:rPr>
              <w:t>(73.3)</w:t>
            </w:r>
          </w:p>
        </w:tc>
        <w:tc>
          <w:tcPr>
            <w:tcW w:w="1415" w:type="dxa"/>
            <w:tcBorders>
              <w:left w:val="nil"/>
              <w:bottom w:val="thickThinSmallGap" w:sz="24" w:space="0" w:color="auto"/>
              <w:right w:val="double" w:sz="4" w:space="0" w:color="auto"/>
            </w:tcBorders>
            <w:vAlign w:val="center"/>
          </w:tcPr>
          <w:p w14:paraId="7ADE669F" w14:textId="77777777" w:rsidR="00795BB8" w:rsidRPr="00795BB8" w:rsidRDefault="00795BB8" w:rsidP="00013648">
            <w:pPr>
              <w:spacing w:line="240" w:lineRule="auto"/>
              <w:ind w:firstLine="0"/>
              <w:jc w:val="center"/>
              <w:rPr>
                <w:color w:val="FF0000"/>
                <w:sz w:val="20"/>
                <w:szCs w:val="20"/>
              </w:rPr>
            </w:pPr>
            <w:r w:rsidRPr="00795BB8">
              <w:rPr>
                <w:sz w:val="20"/>
                <w:szCs w:val="20"/>
              </w:rPr>
              <w:t>140.0</w:t>
            </w:r>
          </w:p>
        </w:tc>
        <w:tc>
          <w:tcPr>
            <w:tcW w:w="1074" w:type="dxa"/>
            <w:tcBorders>
              <w:left w:val="double" w:sz="4" w:space="0" w:color="auto"/>
              <w:bottom w:val="thickThinSmallGap" w:sz="24" w:space="0" w:color="auto"/>
              <w:right w:val="nil"/>
            </w:tcBorders>
            <w:vAlign w:val="center"/>
          </w:tcPr>
          <w:p w14:paraId="4113DA9F" w14:textId="77777777" w:rsidR="00795BB8" w:rsidRPr="00795BB8" w:rsidRDefault="00795BB8" w:rsidP="00013648">
            <w:pPr>
              <w:ind w:firstLine="94"/>
              <w:jc w:val="center"/>
              <w:rPr>
                <w:color w:val="FF0000"/>
                <w:sz w:val="20"/>
                <w:szCs w:val="20"/>
              </w:rPr>
            </w:pPr>
            <w:r w:rsidRPr="00795BB8">
              <w:rPr>
                <w:sz w:val="20"/>
                <w:szCs w:val="20"/>
              </w:rPr>
              <w:t>140.0</w:t>
            </w:r>
          </w:p>
        </w:tc>
        <w:tc>
          <w:tcPr>
            <w:tcW w:w="923" w:type="dxa"/>
            <w:tcBorders>
              <w:left w:val="nil"/>
              <w:bottom w:val="thickThinSmallGap" w:sz="24" w:space="0" w:color="auto"/>
              <w:right w:val="nil"/>
            </w:tcBorders>
            <w:vAlign w:val="center"/>
          </w:tcPr>
          <w:p w14:paraId="31B6DF27" w14:textId="77777777" w:rsidR="00795BB8" w:rsidRPr="00795BB8" w:rsidRDefault="00795BB8" w:rsidP="00013648">
            <w:pPr>
              <w:ind w:firstLine="94"/>
              <w:jc w:val="center"/>
              <w:rPr>
                <w:color w:val="FF0000"/>
                <w:sz w:val="20"/>
                <w:szCs w:val="20"/>
              </w:rPr>
            </w:pPr>
            <w:r w:rsidRPr="00795BB8">
              <w:rPr>
                <w:sz w:val="20"/>
                <w:szCs w:val="20"/>
              </w:rPr>
              <w:t>370.9</w:t>
            </w:r>
          </w:p>
        </w:tc>
        <w:tc>
          <w:tcPr>
            <w:tcW w:w="927" w:type="dxa"/>
            <w:tcBorders>
              <w:left w:val="nil"/>
              <w:bottom w:val="thickThinSmallGap" w:sz="24" w:space="0" w:color="auto"/>
              <w:right w:val="nil"/>
            </w:tcBorders>
            <w:vAlign w:val="center"/>
          </w:tcPr>
          <w:p w14:paraId="4F9BA964" w14:textId="77777777" w:rsidR="00795BB8" w:rsidRPr="00795BB8" w:rsidRDefault="00795BB8" w:rsidP="00013648">
            <w:pPr>
              <w:ind w:firstLine="94"/>
              <w:jc w:val="center"/>
              <w:rPr>
                <w:color w:val="FF0000"/>
                <w:sz w:val="20"/>
                <w:szCs w:val="20"/>
              </w:rPr>
            </w:pPr>
            <w:r w:rsidRPr="00795BB8">
              <w:rPr>
                <w:bCs/>
                <w:color w:val="000000"/>
                <w:sz w:val="20"/>
                <w:szCs w:val="20"/>
              </w:rPr>
              <w:t>316.6</w:t>
            </w:r>
          </w:p>
        </w:tc>
        <w:tc>
          <w:tcPr>
            <w:tcW w:w="945" w:type="dxa"/>
            <w:tcBorders>
              <w:left w:val="nil"/>
              <w:bottom w:val="thickThinSmallGap" w:sz="24" w:space="0" w:color="auto"/>
              <w:right w:val="nil"/>
            </w:tcBorders>
            <w:vAlign w:val="center"/>
          </w:tcPr>
          <w:p w14:paraId="21BE5372" w14:textId="77777777" w:rsidR="00795BB8" w:rsidRPr="00795BB8" w:rsidRDefault="00795BB8" w:rsidP="00013648">
            <w:pPr>
              <w:ind w:firstLine="94"/>
              <w:jc w:val="center"/>
              <w:rPr>
                <w:color w:val="FF0000"/>
                <w:sz w:val="20"/>
                <w:szCs w:val="20"/>
              </w:rPr>
            </w:pPr>
            <w:r w:rsidRPr="00795BB8">
              <w:rPr>
                <w:bCs/>
                <w:color w:val="000000"/>
                <w:sz w:val="20"/>
                <w:szCs w:val="20"/>
              </w:rPr>
              <w:t>382.4</w:t>
            </w:r>
          </w:p>
        </w:tc>
      </w:tr>
    </w:tbl>
    <w:p w14:paraId="5312C536" w14:textId="2CEC4291" w:rsidR="00795BB8" w:rsidRDefault="00795BB8" w:rsidP="00795BB8">
      <w:pPr>
        <w:spacing w:before="120"/>
        <w:rPr>
          <w:sz w:val="16"/>
        </w:rPr>
      </w:pPr>
      <w:r w:rsidRPr="00146A53">
        <w:rPr>
          <w:sz w:val="16"/>
        </w:rPr>
        <w:t>Աղբյուրը՝ ՀՀ ՖՆ հաշվարկներ և կանխատեսումներ</w:t>
      </w:r>
    </w:p>
    <w:p w14:paraId="7EC26F0B" w14:textId="042AE5F2" w:rsidR="00795BB8" w:rsidRDefault="00795BB8" w:rsidP="00795BB8">
      <w:pPr>
        <w:spacing w:before="120"/>
        <w:rPr>
          <w:sz w:val="16"/>
        </w:rPr>
      </w:pPr>
    </w:p>
    <w:p w14:paraId="7CC42C95" w14:textId="0CEF4EC3" w:rsidR="00795BB8" w:rsidRDefault="00795BB8" w:rsidP="00795BB8">
      <w:pPr>
        <w:spacing w:before="120"/>
        <w:rPr>
          <w:sz w:val="16"/>
        </w:rPr>
      </w:pPr>
    </w:p>
    <w:p w14:paraId="53AD416A" w14:textId="38B370A6" w:rsidR="00795BB8" w:rsidRDefault="00795BB8" w:rsidP="00795BB8">
      <w:pPr>
        <w:spacing w:before="120"/>
        <w:rPr>
          <w:sz w:val="16"/>
        </w:rPr>
      </w:pPr>
    </w:p>
    <w:p w14:paraId="56F574C8" w14:textId="218E0CC0" w:rsidR="00795BB8" w:rsidRDefault="00795BB8" w:rsidP="00795BB8">
      <w:pPr>
        <w:spacing w:before="120"/>
        <w:rPr>
          <w:sz w:val="16"/>
        </w:rPr>
      </w:pPr>
    </w:p>
    <w:p w14:paraId="618BF166" w14:textId="50B8B31D" w:rsidR="00795BB8" w:rsidRDefault="00795BB8" w:rsidP="00795BB8">
      <w:pPr>
        <w:spacing w:before="120"/>
        <w:rPr>
          <w:sz w:val="16"/>
        </w:rPr>
      </w:pPr>
    </w:p>
    <w:p w14:paraId="58BC504D" w14:textId="4B6181F9" w:rsidR="00795BB8" w:rsidRDefault="00795BB8" w:rsidP="00795BB8">
      <w:pPr>
        <w:spacing w:before="120"/>
        <w:rPr>
          <w:sz w:val="16"/>
        </w:rPr>
      </w:pPr>
    </w:p>
    <w:p w14:paraId="76C40BCA" w14:textId="5A053885" w:rsidR="00795BB8" w:rsidRDefault="00795BB8" w:rsidP="00795BB8">
      <w:pPr>
        <w:spacing w:before="120"/>
        <w:rPr>
          <w:sz w:val="16"/>
        </w:rPr>
      </w:pPr>
    </w:p>
    <w:p w14:paraId="15563523" w14:textId="27414BFE" w:rsidR="00795BB8" w:rsidRDefault="00795BB8" w:rsidP="00795BB8">
      <w:pPr>
        <w:spacing w:before="120"/>
        <w:rPr>
          <w:sz w:val="16"/>
        </w:rPr>
      </w:pPr>
    </w:p>
    <w:p w14:paraId="0F0D25AB" w14:textId="066AD529" w:rsidR="00795BB8" w:rsidRDefault="00795BB8" w:rsidP="00795BB8">
      <w:pPr>
        <w:spacing w:before="120"/>
        <w:rPr>
          <w:sz w:val="16"/>
        </w:rPr>
      </w:pPr>
    </w:p>
    <w:p w14:paraId="4B8036AC" w14:textId="77777777" w:rsidR="00795BB8" w:rsidRDefault="00795BB8" w:rsidP="00795BB8">
      <w:pPr>
        <w:spacing w:before="120"/>
        <w:rPr>
          <w:sz w:val="16"/>
        </w:rPr>
      </w:pPr>
    </w:p>
    <w:p w14:paraId="12247D24" w14:textId="77777777" w:rsidR="00795BB8" w:rsidRPr="00795BB8" w:rsidRDefault="00795BB8" w:rsidP="00795BB8">
      <w:pPr>
        <w:pStyle w:val="afe"/>
        <w:rPr>
          <w:sz w:val="22"/>
          <w:szCs w:val="22"/>
        </w:rPr>
      </w:pPr>
      <w:r w:rsidRPr="00795BB8">
        <w:rPr>
          <w:sz w:val="22"/>
          <w:szCs w:val="22"/>
        </w:rPr>
        <w:t xml:space="preserve">Գծապատկեր 7. </w:t>
      </w:r>
      <w:r w:rsidRPr="00795BB8">
        <w:rPr>
          <w:b w:val="0"/>
          <w:sz w:val="22"/>
          <w:szCs w:val="22"/>
        </w:rPr>
        <w:t>Ներքին և արտաքին փոխառու զուտ միջոցների հաշվին դեֆիցիտի ֆինանսավորման կառուցվածքը 2023-2027 թվականներին</w:t>
      </w:r>
    </w:p>
    <w:p w14:paraId="1CE17D5C" w14:textId="77777777" w:rsidR="00795BB8" w:rsidRPr="00E067EF" w:rsidRDefault="00795BB8" w:rsidP="00795BB8">
      <w:pPr>
        <w:pStyle w:val="NoSpacing"/>
        <w:ind w:left="567"/>
        <w:rPr>
          <w:noProof/>
          <w:lang w:val="hy-AM"/>
        </w:rPr>
      </w:pPr>
    </w:p>
    <w:p w14:paraId="1192FD81" w14:textId="77777777" w:rsidR="00795BB8" w:rsidRDefault="00795BB8" w:rsidP="00795BB8">
      <w:pPr>
        <w:ind w:right="488" w:firstLine="0"/>
      </w:pPr>
      <w:r>
        <w:rPr>
          <w:noProof/>
        </w:rPr>
        <w:drawing>
          <wp:inline distT="0" distB="0" distL="0" distR="0" wp14:anchorId="50A00C01" wp14:editId="26F9706F">
            <wp:extent cx="6195060" cy="3371850"/>
            <wp:effectExtent l="0" t="0" r="15240" b="0"/>
            <wp:docPr id="1545876455" name="Chart 1545876455">
              <a:extLst xmlns:a="http://schemas.openxmlformats.org/drawingml/2006/main">
                <a:ext uri="{FF2B5EF4-FFF2-40B4-BE49-F238E27FC236}">
                  <a16:creationId xmlns:a16="http://schemas.microsoft.com/office/drawing/2014/main" id="{00000000-0008-0000-0C00-00009408D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F13F17D" w14:textId="77777777" w:rsidR="00795BB8" w:rsidRPr="00581010" w:rsidRDefault="00795BB8" w:rsidP="00795BB8">
      <w:pPr>
        <w:spacing w:before="120"/>
        <w:rPr>
          <w:sz w:val="16"/>
        </w:rPr>
      </w:pPr>
      <w:r w:rsidRPr="00581010">
        <w:rPr>
          <w:sz w:val="16"/>
        </w:rPr>
        <w:t>Աղբյուրը՝ ՀՀ ՖՆ հաշվարկներ և կանխատեսումներ</w:t>
      </w:r>
    </w:p>
    <w:p w14:paraId="4B242805" w14:textId="77777777" w:rsidR="00795BB8" w:rsidRDefault="00795BB8" w:rsidP="00D037CF">
      <w:pPr>
        <w:spacing w:before="120" w:after="0" w:line="276" w:lineRule="auto"/>
        <w:ind w:firstLine="0"/>
      </w:pPr>
      <w:r w:rsidRPr="0070296A">
        <w:t xml:space="preserve">Միջնաժամկետ հատվածում, ՀՀ պետական բյուջեի դեֆիցիտի ֆինանսավորման կառուցվածքում ներքին </w:t>
      </w:r>
      <w:r>
        <w:t xml:space="preserve">և արտաքին </w:t>
      </w:r>
      <w:r w:rsidRPr="0070296A">
        <w:t>փոխառու զուտ միջոցներ</w:t>
      </w:r>
      <w:r>
        <w:t>ը բաշխվել են այնպես, որ պահպանվի ՀՀ կառավարության պարտքի կառուցվածքում ներքին պարտքի տեսակարար կշռի նվազագույն 40</w:t>
      </w:r>
      <w:r w:rsidRPr="00B1068B">
        <w:t>%</w:t>
      </w:r>
      <w:r>
        <w:t xml:space="preserve"> ուղենիշը, միաժամանակ, հաշվի են առնվել 2025-2027թթ. հարկաբյուջետային շրջանակի առանձնահատկությունները, այդ թվում արտարժութային ելքերի առկայության պայմաններում առաջացող արտարժույթի կարիքը և աճող ֆինանսական կարիքի պայմաններում ներքին շուկայի հագեցվածություն չառաջացնելու մղումը: Վերջինիս պայմաններում, չնվազեցնելով ներքին պարտքի շուկայում ակտիվությունը, անհրաժեշտություն է առաջանում փոքր-ինչ ճշգրտել տարեկան զուտ թողարկումների ծավալը: </w:t>
      </w:r>
    </w:p>
    <w:p w14:paraId="452018F7" w14:textId="77777777" w:rsidR="00795BB8" w:rsidRDefault="00795BB8" w:rsidP="00D037CF">
      <w:pPr>
        <w:spacing w:before="120" w:after="0" w:line="276" w:lineRule="auto"/>
        <w:ind w:firstLine="0"/>
      </w:pPr>
      <w:r>
        <w:t>Ֆինանսավորման կարիքը բավարարելու նպատակով միջնաժամկետ հատվածում նախատեսվում է միջոցներ ներգրավել ինչպես արտաքին վարկերով և փոխառություններով, այնպես էլ պետական գանձապետական և արտարժութային պարտատոմսերի տեղաբաշխումների միջոցով։</w:t>
      </w:r>
    </w:p>
    <w:p w14:paraId="7B6A8AB4" w14:textId="77777777" w:rsidR="00795BB8" w:rsidRPr="000271C1" w:rsidRDefault="00795BB8" w:rsidP="00795BB8">
      <w:pPr>
        <w:pStyle w:val="afd"/>
        <w:numPr>
          <w:ilvl w:val="0"/>
          <w:numId w:val="21"/>
        </w:numPr>
        <w:ind w:left="1276" w:hanging="1276"/>
      </w:pPr>
      <w:r>
        <w:t xml:space="preserve"> Ֆինանսական կարիքի բավարարումը փոխառու միջոցների հաշվին </w:t>
      </w:r>
      <w:r w:rsidRPr="000271C1">
        <w:t>202</w:t>
      </w:r>
      <w:r>
        <w:t xml:space="preserve">3-2027 </w:t>
      </w:r>
      <w:r w:rsidRPr="000271C1">
        <w:t>թվականներին  (մլրդ դրամ)</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353"/>
        <w:gridCol w:w="1353"/>
        <w:gridCol w:w="1353"/>
        <w:gridCol w:w="1234"/>
        <w:gridCol w:w="1253"/>
      </w:tblGrid>
      <w:tr w:rsidR="00795BB8" w:rsidRPr="000271C1" w14:paraId="4D5BD170" w14:textId="77777777" w:rsidTr="00795BB8">
        <w:trPr>
          <w:trHeight w:val="793"/>
          <w:tblHeader/>
          <w:jc w:val="center"/>
        </w:trPr>
        <w:tc>
          <w:tcPr>
            <w:tcW w:w="396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1580677" w14:textId="77777777" w:rsidR="00795BB8" w:rsidRPr="00795BB8" w:rsidRDefault="00795BB8" w:rsidP="00013648">
            <w:pPr>
              <w:ind w:firstLine="94"/>
              <w:jc w:val="center"/>
              <w:rPr>
                <w:lang w:val="hy-AM"/>
              </w:rPr>
            </w:pPr>
          </w:p>
        </w:tc>
        <w:tc>
          <w:tcPr>
            <w:tcW w:w="1353"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68FCCC6F" w14:textId="77777777" w:rsidR="00795BB8" w:rsidRPr="00E77DF0" w:rsidRDefault="00795BB8" w:rsidP="00013648">
            <w:pPr>
              <w:spacing w:line="240" w:lineRule="auto"/>
              <w:ind w:firstLine="94"/>
              <w:jc w:val="center"/>
              <w:rPr>
                <w:sz w:val="20"/>
                <w:szCs w:val="20"/>
              </w:rPr>
            </w:pPr>
            <w:r w:rsidRPr="00E77DF0">
              <w:rPr>
                <w:sz w:val="20"/>
                <w:szCs w:val="20"/>
              </w:rPr>
              <w:t>2023 փաստ.</w:t>
            </w:r>
          </w:p>
        </w:tc>
        <w:tc>
          <w:tcPr>
            <w:tcW w:w="1353"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453BA9EC" w14:textId="77777777" w:rsidR="00795BB8" w:rsidRPr="00E77DF0" w:rsidRDefault="00795BB8" w:rsidP="00013648">
            <w:pPr>
              <w:spacing w:line="240" w:lineRule="auto"/>
              <w:ind w:firstLine="94"/>
              <w:jc w:val="center"/>
              <w:rPr>
                <w:sz w:val="20"/>
                <w:szCs w:val="20"/>
              </w:rPr>
            </w:pPr>
            <w:r w:rsidRPr="00E77DF0">
              <w:rPr>
                <w:sz w:val="20"/>
                <w:szCs w:val="20"/>
              </w:rPr>
              <w:t>2024 կանխ.</w:t>
            </w:r>
          </w:p>
        </w:tc>
        <w:tc>
          <w:tcPr>
            <w:tcW w:w="135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CF29648" w14:textId="77777777" w:rsidR="00795BB8" w:rsidRPr="00E77DF0" w:rsidRDefault="00795BB8" w:rsidP="00013648">
            <w:pPr>
              <w:spacing w:line="240" w:lineRule="auto"/>
              <w:ind w:firstLine="94"/>
              <w:jc w:val="center"/>
              <w:rPr>
                <w:sz w:val="20"/>
                <w:szCs w:val="20"/>
              </w:rPr>
            </w:pPr>
            <w:r w:rsidRPr="00E77DF0">
              <w:rPr>
                <w:sz w:val="20"/>
                <w:szCs w:val="20"/>
              </w:rPr>
              <w:t>2025 կանխ.</w:t>
            </w:r>
          </w:p>
        </w:tc>
        <w:tc>
          <w:tcPr>
            <w:tcW w:w="1234"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17C0FF1" w14:textId="77777777" w:rsidR="00795BB8" w:rsidRPr="00E77DF0" w:rsidRDefault="00795BB8" w:rsidP="00013648">
            <w:pPr>
              <w:spacing w:line="240" w:lineRule="auto"/>
              <w:ind w:firstLine="94"/>
              <w:jc w:val="center"/>
              <w:rPr>
                <w:sz w:val="20"/>
                <w:szCs w:val="20"/>
              </w:rPr>
            </w:pPr>
            <w:r w:rsidRPr="00E77DF0">
              <w:rPr>
                <w:sz w:val="20"/>
                <w:szCs w:val="20"/>
              </w:rPr>
              <w:t>2026 կանխ.</w:t>
            </w:r>
          </w:p>
        </w:tc>
        <w:tc>
          <w:tcPr>
            <w:tcW w:w="125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F7C447A" w14:textId="77777777" w:rsidR="00795BB8" w:rsidRPr="00E77DF0" w:rsidRDefault="00795BB8" w:rsidP="00013648">
            <w:pPr>
              <w:spacing w:line="240" w:lineRule="auto"/>
              <w:ind w:firstLine="94"/>
              <w:jc w:val="center"/>
              <w:rPr>
                <w:sz w:val="20"/>
                <w:szCs w:val="20"/>
              </w:rPr>
            </w:pPr>
            <w:r w:rsidRPr="00E77DF0">
              <w:rPr>
                <w:sz w:val="20"/>
                <w:szCs w:val="20"/>
              </w:rPr>
              <w:t>2027 կանխ.</w:t>
            </w:r>
          </w:p>
        </w:tc>
      </w:tr>
      <w:tr w:rsidR="00795BB8" w:rsidRPr="00E06CCC" w14:paraId="3633D79D" w14:textId="77777777" w:rsidTr="00013648">
        <w:trPr>
          <w:trHeight w:val="522"/>
          <w:jc w:val="center"/>
        </w:trPr>
        <w:tc>
          <w:tcPr>
            <w:tcW w:w="3969" w:type="dxa"/>
            <w:tcBorders>
              <w:top w:val="thinThickSmallGap" w:sz="24" w:space="0" w:color="auto"/>
              <w:left w:val="nil"/>
              <w:right w:val="nil"/>
            </w:tcBorders>
            <w:vAlign w:val="center"/>
          </w:tcPr>
          <w:p w14:paraId="567E9CB6" w14:textId="77777777" w:rsidR="00795BB8" w:rsidRPr="00E77DF0" w:rsidRDefault="00795BB8" w:rsidP="00013648">
            <w:pPr>
              <w:spacing w:line="240" w:lineRule="auto"/>
              <w:ind w:firstLine="94"/>
              <w:jc w:val="center"/>
              <w:rPr>
                <w:sz w:val="20"/>
                <w:szCs w:val="20"/>
              </w:rPr>
            </w:pPr>
            <w:r w:rsidRPr="00E77DF0">
              <w:rPr>
                <w:sz w:val="20"/>
                <w:szCs w:val="20"/>
              </w:rPr>
              <w:t>Ընդամենը ֆինանսավորում</w:t>
            </w:r>
          </w:p>
        </w:tc>
        <w:tc>
          <w:tcPr>
            <w:tcW w:w="1353" w:type="dxa"/>
            <w:tcBorders>
              <w:top w:val="thinThickSmallGap" w:sz="24" w:space="0" w:color="auto"/>
              <w:left w:val="nil"/>
              <w:right w:val="double" w:sz="4" w:space="0" w:color="auto"/>
            </w:tcBorders>
            <w:vAlign w:val="center"/>
          </w:tcPr>
          <w:p w14:paraId="524EE8F4" w14:textId="77777777" w:rsidR="00795BB8" w:rsidRPr="00E77DF0" w:rsidRDefault="00795BB8" w:rsidP="00013648">
            <w:pPr>
              <w:ind w:firstLine="94"/>
              <w:jc w:val="center"/>
              <w:rPr>
                <w:sz w:val="20"/>
                <w:szCs w:val="20"/>
              </w:rPr>
            </w:pPr>
            <w:r w:rsidRPr="00E77DF0">
              <w:rPr>
                <w:sz w:val="20"/>
                <w:szCs w:val="20"/>
              </w:rPr>
              <w:t>708.7</w:t>
            </w:r>
          </w:p>
        </w:tc>
        <w:tc>
          <w:tcPr>
            <w:tcW w:w="1353" w:type="dxa"/>
            <w:tcBorders>
              <w:top w:val="thinThickSmallGap" w:sz="24" w:space="0" w:color="auto"/>
              <w:left w:val="double" w:sz="4" w:space="0" w:color="auto"/>
              <w:right w:val="nil"/>
            </w:tcBorders>
            <w:vAlign w:val="center"/>
          </w:tcPr>
          <w:p w14:paraId="384BB5A1" w14:textId="77777777" w:rsidR="00795BB8" w:rsidRPr="00E77DF0" w:rsidRDefault="00795BB8" w:rsidP="00013648">
            <w:pPr>
              <w:ind w:firstLine="94"/>
              <w:jc w:val="center"/>
              <w:rPr>
                <w:sz w:val="20"/>
                <w:szCs w:val="20"/>
              </w:rPr>
            </w:pPr>
            <w:r w:rsidRPr="00E77DF0">
              <w:rPr>
                <w:sz w:val="20"/>
                <w:szCs w:val="20"/>
              </w:rPr>
              <w:t>970.9</w:t>
            </w:r>
          </w:p>
        </w:tc>
        <w:tc>
          <w:tcPr>
            <w:tcW w:w="1353" w:type="dxa"/>
            <w:tcBorders>
              <w:top w:val="thinThickSmallGap" w:sz="24" w:space="0" w:color="auto"/>
              <w:left w:val="nil"/>
              <w:right w:val="nil"/>
            </w:tcBorders>
            <w:vAlign w:val="center"/>
          </w:tcPr>
          <w:p w14:paraId="4B83A4EC" w14:textId="77777777" w:rsidR="00795BB8" w:rsidRPr="00E77DF0" w:rsidRDefault="00795BB8" w:rsidP="00013648">
            <w:pPr>
              <w:ind w:firstLine="94"/>
              <w:jc w:val="center"/>
              <w:rPr>
                <w:color w:val="FF0000"/>
                <w:sz w:val="20"/>
                <w:szCs w:val="20"/>
              </w:rPr>
            </w:pPr>
            <w:r w:rsidRPr="00E77DF0">
              <w:rPr>
                <w:sz w:val="20"/>
                <w:szCs w:val="20"/>
              </w:rPr>
              <w:t>1,393.9</w:t>
            </w:r>
          </w:p>
        </w:tc>
        <w:tc>
          <w:tcPr>
            <w:tcW w:w="1234" w:type="dxa"/>
            <w:tcBorders>
              <w:top w:val="thinThickSmallGap" w:sz="24" w:space="0" w:color="auto"/>
              <w:left w:val="nil"/>
              <w:right w:val="nil"/>
            </w:tcBorders>
            <w:vAlign w:val="center"/>
          </w:tcPr>
          <w:p w14:paraId="145ADDDC" w14:textId="77777777" w:rsidR="00795BB8" w:rsidRPr="00E77DF0" w:rsidRDefault="00795BB8" w:rsidP="00013648">
            <w:pPr>
              <w:ind w:firstLine="94"/>
              <w:jc w:val="center"/>
              <w:rPr>
                <w:sz w:val="20"/>
                <w:szCs w:val="20"/>
              </w:rPr>
            </w:pPr>
            <w:r w:rsidRPr="00E77DF0">
              <w:rPr>
                <w:sz w:val="20"/>
                <w:szCs w:val="20"/>
              </w:rPr>
              <w:t>1,218.3</w:t>
            </w:r>
          </w:p>
        </w:tc>
        <w:tc>
          <w:tcPr>
            <w:tcW w:w="1253" w:type="dxa"/>
            <w:tcBorders>
              <w:top w:val="thinThickSmallGap" w:sz="24" w:space="0" w:color="auto"/>
              <w:left w:val="nil"/>
              <w:right w:val="nil"/>
            </w:tcBorders>
            <w:vAlign w:val="center"/>
          </w:tcPr>
          <w:p w14:paraId="7CFDF884" w14:textId="77777777" w:rsidR="00795BB8" w:rsidRPr="00E77DF0" w:rsidRDefault="00795BB8" w:rsidP="00013648">
            <w:pPr>
              <w:ind w:firstLine="94"/>
              <w:jc w:val="center"/>
              <w:rPr>
                <w:sz w:val="20"/>
                <w:szCs w:val="20"/>
              </w:rPr>
            </w:pPr>
            <w:r w:rsidRPr="00E77DF0">
              <w:rPr>
                <w:sz w:val="20"/>
                <w:szCs w:val="20"/>
              </w:rPr>
              <w:t>1,202.8</w:t>
            </w:r>
          </w:p>
        </w:tc>
      </w:tr>
      <w:tr w:rsidR="00795BB8" w:rsidRPr="00E06CCC" w14:paraId="5877A79B" w14:textId="77777777" w:rsidTr="00013648">
        <w:trPr>
          <w:trHeight w:val="320"/>
          <w:jc w:val="center"/>
        </w:trPr>
        <w:tc>
          <w:tcPr>
            <w:tcW w:w="3969" w:type="dxa"/>
            <w:tcBorders>
              <w:left w:val="nil"/>
              <w:right w:val="nil"/>
            </w:tcBorders>
            <w:vAlign w:val="center"/>
          </w:tcPr>
          <w:p w14:paraId="7DE37F05" w14:textId="77777777" w:rsidR="00795BB8" w:rsidRPr="00E77DF0" w:rsidRDefault="00795BB8" w:rsidP="00013648">
            <w:pPr>
              <w:spacing w:line="240" w:lineRule="auto"/>
              <w:ind w:left="354" w:firstLine="0"/>
              <w:jc w:val="center"/>
              <w:rPr>
                <w:sz w:val="20"/>
                <w:szCs w:val="20"/>
              </w:rPr>
            </w:pPr>
            <w:r w:rsidRPr="00E77DF0">
              <w:rPr>
                <w:sz w:val="20"/>
                <w:szCs w:val="20"/>
              </w:rPr>
              <w:t>որից</w:t>
            </w:r>
          </w:p>
        </w:tc>
        <w:tc>
          <w:tcPr>
            <w:tcW w:w="1353" w:type="dxa"/>
            <w:tcBorders>
              <w:left w:val="nil"/>
              <w:right w:val="double" w:sz="4" w:space="0" w:color="auto"/>
            </w:tcBorders>
            <w:vAlign w:val="center"/>
          </w:tcPr>
          <w:p w14:paraId="1B8CCC9E" w14:textId="77777777" w:rsidR="00795BB8" w:rsidRPr="00E77DF0" w:rsidRDefault="00795BB8" w:rsidP="00013648">
            <w:pPr>
              <w:ind w:firstLine="94"/>
              <w:jc w:val="center"/>
              <w:rPr>
                <w:sz w:val="20"/>
                <w:szCs w:val="20"/>
              </w:rPr>
            </w:pPr>
          </w:p>
        </w:tc>
        <w:tc>
          <w:tcPr>
            <w:tcW w:w="1353" w:type="dxa"/>
            <w:tcBorders>
              <w:left w:val="double" w:sz="4" w:space="0" w:color="auto"/>
              <w:right w:val="nil"/>
            </w:tcBorders>
            <w:vAlign w:val="center"/>
          </w:tcPr>
          <w:p w14:paraId="03928F29" w14:textId="77777777" w:rsidR="00795BB8" w:rsidRPr="00E77DF0" w:rsidRDefault="00795BB8" w:rsidP="00013648">
            <w:pPr>
              <w:ind w:firstLine="94"/>
              <w:jc w:val="center"/>
              <w:rPr>
                <w:sz w:val="20"/>
                <w:szCs w:val="20"/>
              </w:rPr>
            </w:pPr>
          </w:p>
        </w:tc>
        <w:tc>
          <w:tcPr>
            <w:tcW w:w="1353" w:type="dxa"/>
            <w:tcBorders>
              <w:left w:val="nil"/>
              <w:right w:val="nil"/>
            </w:tcBorders>
            <w:vAlign w:val="center"/>
          </w:tcPr>
          <w:p w14:paraId="288ACF7E" w14:textId="77777777" w:rsidR="00795BB8" w:rsidRPr="00E77DF0" w:rsidRDefault="00795BB8" w:rsidP="00013648">
            <w:pPr>
              <w:ind w:firstLine="94"/>
              <w:jc w:val="center"/>
              <w:rPr>
                <w:sz w:val="20"/>
                <w:szCs w:val="20"/>
              </w:rPr>
            </w:pPr>
          </w:p>
        </w:tc>
        <w:tc>
          <w:tcPr>
            <w:tcW w:w="1234" w:type="dxa"/>
            <w:tcBorders>
              <w:left w:val="nil"/>
              <w:right w:val="nil"/>
            </w:tcBorders>
            <w:vAlign w:val="center"/>
          </w:tcPr>
          <w:p w14:paraId="7046E611" w14:textId="77777777" w:rsidR="00795BB8" w:rsidRPr="00E77DF0" w:rsidRDefault="00795BB8" w:rsidP="00013648">
            <w:pPr>
              <w:ind w:firstLine="94"/>
              <w:jc w:val="center"/>
              <w:rPr>
                <w:sz w:val="20"/>
                <w:szCs w:val="20"/>
              </w:rPr>
            </w:pPr>
          </w:p>
        </w:tc>
        <w:tc>
          <w:tcPr>
            <w:tcW w:w="1253" w:type="dxa"/>
            <w:tcBorders>
              <w:left w:val="nil"/>
              <w:right w:val="nil"/>
            </w:tcBorders>
            <w:vAlign w:val="center"/>
          </w:tcPr>
          <w:p w14:paraId="6AF51D73" w14:textId="77777777" w:rsidR="00795BB8" w:rsidRPr="00E77DF0" w:rsidRDefault="00795BB8" w:rsidP="00013648">
            <w:pPr>
              <w:ind w:firstLine="94"/>
              <w:jc w:val="center"/>
              <w:rPr>
                <w:sz w:val="20"/>
                <w:szCs w:val="20"/>
              </w:rPr>
            </w:pPr>
          </w:p>
        </w:tc>
      </w:tr>
      <w:tr w:rsidR="00795BB8" w:rsidRPr="00E06CCC" w14:paraId="45BCB052" w14:textId="77777777" w:rsidTr="00013648">
        <w:trPr>
          <w:trHeight w:val="320"/>
          <w:jc w:val="center"/>
        </w:trPr>
        <w:tc>
          <w:tcPr>
            <w:tcW w:w="3969" w:type="dxa"/>
            <w:tcBorders>
              <w:left w:val="nil"/>
              <w:right w:val="nil"/>
            </w:tcBorders>
            <w:vAlign w:val="center"/>
          </w:tcPr>
          <w:p w14:paraId="0165D5A1" w14:textId="77777777" w:rsidR="00795BB8" w:rsidRPr="00E77DF0" w:rsidRDefault="00795BB8" w:rsidP="00013648">
            <w:pPr>
              <w:spacing w:line="240" w:lineRule="auto"/>
              <w:ind w:left="354" w:firstLine="0"/>
              <w:jc w:val="left"/>
              <w:rPr>
                <w:sz w:val="20"/>
                <w:szCs w:val="20"/>
              </w:rPr>
            </w:pPr>
            <w:r w:rsidRPr="00E77DF0">
              <w:rPr>
                <w:sz w:val="20"/>
                <w:szCs w:val="20"/>
              </w:rPr>
              <w:t>արտաքին վարկեր և փոխառություններ</w:t>
            </w:r>
          </w:p>
        </w:tc>
        <w:tc>
          <w:tcPr>
            <w:tcW w:w="1353" w:type="dxa"/>
            <w:tcBorders>
              <w:left w:val="nil"/>
              <w:right w:val="double" w:sz="4" w:space="0" w:color="auto"/>
            </w:tcBorders>
            <w:vAlign w:val="center"/>
          </w:tcPr>
          <w:p w14:paraId="3AC13FAE" w14:textId="77777777" w:rsidR="00795BB8" w:rsidRPr="00E77DF0" w:rsidRDefault="00795BB8" w:rsidP="00013648">
            <w:pPr>
              <w:spacing w:line="240" w:lineRule="auto"/>
              <w:ind w:firstLine="0"/>
              <w:jc w:val="center"/>
              <w:rPr>
                <w:sz w:val="20"/>
                <w:szCs w:val="20"/>
              </w:rPr>
            </w:pPr>
            <w:r w:rsidRPr="00E77DF0">
              <w:rPr>
                <w:sz w:val="20"/>
                <w:szCs w:val="20"/>
              </w:rPr>
              <w:t>124.6</w:t>
            </w:r>
          </w:p>
        </w:tc>
        <w:tc>
          <w:tcPr>
            <w:tcW w:w="1353" w:type="dxa"/>
            <w:tcBorders>
              <w:left w:val="double" w:sz="4" w:space="0" w:color="auto"/>
              <w:right w:val="nil"/>
            </w:tcBorders>
            <w:vAlign w:val="center"/>
          </w:tcPr>
          <w:p w14:paraId="22B4C6E9" w14:textId="77777777" w:rsidR="00795BB8" w:rsidRPr="00E77DF0" w:rsidRDefault="00795BB8" w:rsidP="00013648">
            <w:pPr>
              <w:spacing w:line="240" w:lineRule="auto"/>
              <w:ind w:firstLine="0"/>
              <w:jc w:val="center"/>
              <w:rPr>
                <w:sz w:val="20"/>
                <w:szCs w:val="20"/>
              </w:rPr>
            </w:pPr>
            <w:r w:rsidRPr="00E77DF0">
              <w:rPr>
                <w:sz w:val="20"/>
                <w:szCs w:val="20"/>
              </w:rPr>
              <w:t>315.0</w:t>
            </w:r>
          </w:p>
        </w:tc>
        <w:tc>
          <w:tcPr>
            <w:tcW w:w="1353" w:type="dxa"/>
            <w:tcBorders>
              <w:left w:val="nil"/>
              <w:right w:val="nil"/>
            </w:tcBorders>
            <w:vAlign w:val="center"/>
          </w:tcPr>
          <w:p w14:paraId="0C3FAFA4" w14:textId="77777777" w:rsidR="00795BB8" w:rsidRPr="00E77DF0" w:rsidRDefault="00795BB8" w:rsidP="00013648">
            <w:pPr>
              <w:ind w:firstLine="0"/>
              <w:jc w:val="center"/>
              <w:rPr>
                <w:color w:val="FF0000"/>
                <w:sz w:val="20"/>
                <w:szCs w:val="20"/>
              </w:rPr>
            </w:pPr>
            <w:r w:rsidRPr="00E77DF0">
              <w:rPr>
                <w:sz w:val="20"/>
                <w:szCs w:val="20"/>
              </w:rPr>
              <w:t>489.5</w:t>
            </w:r>
          </w:p>
        </w:tc>
        <w:tc>
          <w:tcPr>
            <w:tcW w:w="1234" w:type="dxa"/>
            <w:tcBorders>
              <w:left w:val="nil"/>
              <w:right w:val="nil"/>
            </w:tcBorders>
            <w:vAlign w:val="center"/>
          </w:tcPr>
          <w:p w14:paraId="0241D5A3" w14:textId="77777777" w:rsidR="00795BB8" w:rsidRPr="00E77DF0" w:rsidRDefault="00795BB8" w:rsidP="00013648">
            <w:pPr>
              <w:ind w:firstLine="94"/>
              <w:jc w:val="center"/>
              <w:rPr>
                <w:sz w:val="20"/>
                <w:szCs w:val="20"/>
              </w:rPr>
            </w:pPr>
            <w:r w:rsidRPr="00E77DF0">
              <w:rPr>
                <w:sz w:val="20"/>
                <w:szCs w:val="20"/>
              </w:rPr>
              <w:t>512.6</w:t>
            </w:r>
          </w:p>
        </w:tc>
        <w:tc>
          <w:tcPr>
            <w:tcW w:w="1253" w:type="dxa"/>
            <w:tcBorders>
              <w:left w:val="nil"/>
              <w:right w:val="nil"/>
            </w:tcBorders>
            <w:vAlign w:val="center"/>
          </w:tcPr>
          <w:p w14:paraId="32AD8464" w14:textId="77777777" w:rsidR="00795BB8" w:rsidRPr="00E77DF0" w:rsidRDefault="00795BB8" w:rsidP="00013648">
            <w:pPr>
              <w:ind w:firstLine="94"/>
              <w:jc w:val="center"/>
              <w:rPr>
                <w:sz w:val="20"/>
                <w:szCs w:val="20"/>
              </w:rPr>
            </w:pPr>
            <w:r w:rsidRPr="00E77DF0">
              <w:rPr>
                <w:sz w:val="20"/>
                <w:szCs w:val="20"/>
              </w:rPr>
              <w:t>542.3</w:t>
            </w:r>
          </w:p>
        </w:tc>
      </w:tr>
      <w:tr w:rsidR="00795BB8" w:rsidRPr="00E06CCC" w14:paraId="3ACC5B71" w14:textId="77777777" w:rsidTr="00013648">
        <w:trPr>
          <w:trHeight w:val="503"/>
          <w:jc w:val="center"/>
        </w:trPr>
        <w:tc>
          <w:tcPr>
            <w:tcW w:w="3969" w:type="dxa"/>
            <w:tcBorders>
              <w:left w:val="nil"/>
              <w:right w:val="nil"/>
            </w:tcBorders>
            <w:vAlign w:val="center"/>
          </w:tcPr>
          <w:p w14:paraId="72C508E9" w14:textId="77777777" w:rsidR="00795BB8" w:rsidRPr="00E77DF0" w:rsidRDefault="00795BB8" w:rsidP="00013648">
            <w:pPr>
              <w:spacing w:line="240" w:lineRule="auto"/>
              <w:ind w:left="354" w:firstLine="0"/>
              <w:jc w:val="left"/>
              <w:rPr>
                <w:sz w:val="20"/>
                <w:szCs w:val="20"/>
              </w:rPr>
            </w:pPr>
            <w:r w:rsidRPr="00E77DF0">
              <w:rPr>
                <w:sz w:val="20"/>
                <w:szCs w:val="20"/>
              </w:rPr>
              <w:t>պետական գանձապետական պարտատոմսեր</w:t>
            </w:r>
          </w:p>
        </w:tc>
        <w:tc>
          <w:tcPr>
            <w:tcW w:w="1353" w:type="dxa"/>
            <w:tcBorders>
              <w:left w:val="nil"/>
              <w:right w:val="double" w:sz="4" w:space="0" w:color="auto"/>
            </w:tcBorders>
            <w:vAlign w:val="center"/>
          </w:tcPr>
          <w:p w14:paraId="0BF3CBA8" w14:textId="77777777" w:rsidR="00795BB8" w:rsidRPr="00E77DF0" w:rsidRDefault="00795BB8" w:rsidP="00013648">
            <w:pPr>
              <w:spacing w:line="240" w:lineRule="auto"/>
              <w:ind w:firstLine="0"/>
              <w:jc w:val="center"/>
              <w:rPr>
                <w:sz w:val="20"/>
                <w:szCs w:val="20"/>
              </w:rPr>
            </w:pPr>
          </w:p>
          <w:p w14:paraId="22D8ACFF" w14:textId="77777777" w:rsidR="00795BB8" w:rsidRPr="00E77DF0" w:rsidRDefault="00795BB8" w:rsidP="00013648">
            <w:pPr>
              <w:spacing w:line="240" w:lineRule="auto"/>
              <w:ind w:firstLine="0"/>
              <w:jc w:val="center"/>
              <w:rPr>
                <w:rFonts w:cs="Times New Roman"/>
                <w:sz w:val="20"/>
                <w:szCs w:val="20"/>
              </w:rPr>
            </w:pPr>
            <w:r w:rsidRPr="00E77DF0">
              <w:rPr>
                <w:sz w:val="20"/>
                <w:szCs w:val="20"/>
              </w:rPr>
              <w:t>584.1</w:t>
            </w:r>
          </w:p>
          <w:p w14:paraId="6D71789E" w14:textId="77777777" w:rsidR="00795BB8" w:rsidRPr="00E77DF0" w:rsidRDefault="00795BB8" w:rsidP="00013648">
            <w:pPr>
              <w:ind w:firstLine="94"/>
              <w:jc w:val="center"/>
              <w:rPr>
                <w:sz w:val="20"/>
                <w:szCs w:val="20"/>
              </w:rPr>
            </w:pPr>
          </w:p>
        </w:tc>
        <w:tc>
          <w:tcPr>
            <w:tcW w:w="1353" w:type="dxa"/>
            <w:tcBorders>
              <w:left w:val="double" w:sz="4" w:space="0" w:color="auto"/>
              <w:right w:val="nil"/>
            </w:tcBorders>
            <w:vAlign w:val="center"/>
          </w:tcPr>
          <w:p w14:paraId="352D3844" w14:textId="77777777" w:rsidR="00795BB8" w:rsidRPr="00E77DF0" w:rsidRDefault="00795BB8" w:rsidP="00013648">
            <w:pPr>
              <w:spacing w:line="240" w:lineRule="auto"/>
              <w:ind w:firstLine="0"/>
              <w:jc w:val="center"/>
              <w:rPr>
                <w:sz w:val="20"/>
                <w:szCs w:val="20"/>
              </w:rPr>
            </w:pPr>
          </w:p>
          <w:p w14:paraId="22D44DB7" w14:textId="77777777" w:rsidR="00795BB8" w:rsidRPr="00E77DF0" w:rsidRDefault="00795BB8" w:rsidP="00013648">
            <w:pPr>
              <w:spacing w:line="240" w:lineRule="auto"/>
              <w:ind w:firstLine="0"/>
              <w:jc w:val="center"/>
              <w:rPr>
                <w:rFonts w:cs="Times New Roman"/>
                <w:sz w:val="20"/>
                <w:szCs w:val="20"/>
              </w:rPr>
            </w:pPr>
            <w:r w:rsidRPr="00E77DF0">
              <w:rPr>
                <w:sz w:val="20"/>
                <w:szCs w:val="20"/>
              </w:rPr>
              <w:t>655.9</w:t>
            </w:r>
          </w:p>
          <w:p w14:paraId="45B6241F" w14:textId="77777777" w:rsidR="00795BB8" w:rsidRPr="00E77DF0" w:rsidRDefault="00795BB8" w:rsidP="00013648">
            <w:pPr>
              <w:ind w:firstLine="94"/>
              <w:jc w:val="center"/>
              <w:rPr>
                <w:sz w:val="20"/>
                <w:szCs w:val="20"/>
              </w:rPr>
            </w:pPr>
          </w:p>
        </w:tc>
        <w:tc>
          <w:tcPr>
            <w:tcW w:w="1353" w:type="dxa"/>
            <w:tcBorders>
              <w:left w:val="nil"/>
              <w:right w:val="nil"/>
            </w:tcBorders>
            <w:vAlign w:val="center"/>
          </w:tcPr>
          <w:p w14:paraId="77948D67" w14:textId="77777777" w:rsidR="00795BB8" w:rsidRPr="00E77DF0" w:rsidRDefault="00795BB8" w:rsidP="00013648">
            <w:pPr>
              <w:ind w:firstLine="94"/>
              <w:jc w:val="center"/>
              <w:rPr>
                <w:color w:val="FF0000"/>
                <w:sz w:val="20"/>
                <w:szCs w:val="20"/>
              </w:rPr>
            </w:pPr>
            <w:r w:rsidRPr="00E77DF0">
              <w:rPr>
                <w:sz w:val="20"/>
                <w:szCs w:val="20"/>
              </w:rPr>
              <w:t>702.5</w:t>
            </w:r>
          </w:p>
        </w:tc>
        <w:tc>
          <w:tcPr>
            <w:tcW w:w="1234" w:type="dxa"/>
            <w:tcBorders>
              <w:left w:val="nil"/>
              <w:right w:val="nil"/>
            </w:tcBorders>
            <w:vAlign w:val="center"/>
          </w:tcPr>
          <w:p w14:paraId="1901A7F3" w14:textId="77777777" w:rsidR="00795BB8" w:rsidRPr="00E77DF0" w:rsidRDefault="00795BB8" w:rsidP="00013648">
            <w:pPr>
              <w:ind w:firstLine="94"/>
              <w:jc w:val="center"/>
              <w:rPr>
                <w:color w:val="FF0000"/>
                <w:sz w:val="20"/>
                <w:szCs w:val="20"/>
              </w:rPr>
            </w:pPr>
            <w:r w:rsidRPr="00E77DF0">
              <w:rPr>
                <w:sz w:val="20"/>
                <w:szCs w:val="20"/>
              </w:rPr>
              <w:t>701.1</w:t>
            </w:r>
          </w:p>
        </w:tc>
        <w:tc>
          <w:tcPr>
            <w:tcW w:w="1253" w:type="dxa"/>
            <w:tcBorders>
              <w:left w:val="nil"/>
              <w:right w:val="nil"/>
            </w:tcBorders>
            <w:vAlign w:val="center"/>
          </w:tcPr>
          <w:p w14:paraId="6F94CEBF" w14:textId="77777777" w:rsidR="00795BB8" w:rsidRPr="00E77DF0" w:rsidRDefault="00795BB8" w:rsidP="00013648">
            <w:pPr>
              <w:ind w:firstLine="94"/>
              <w:jc w:val="center"/>
              <w:rPr>
                <w:color w:val="FF0000"/>
                <w:sz w:val="20"/>
                <w:szCs w:val="20"/>
              </w:rPr>
            </w:pPr>
            <w:r w:rsidRPr="00E77DF0">
              <w:rPr>
                <w:sz w:val="20"/>
                <w:szCs w:val="20"/>
              </w:rPr>
              <w:t>656.5</w:t>
            </w:r>
          </w:p>
        </w:tc>
      </w:tr>
      <w:tr w:rsidR="00795BB8" w:rsidRPr="00E06CCC" w14:paraId="614A2DF0" w14:textId="77777777" w:rsidTr="00013648">
        <w:trPr>
          <w:trHeight w:val="567"/>
          <w:jc w:val="center"/>
        </w:trPr>
        <w:tc>
          <w:tcPr>
            <w:tcW w:w="3969" w:type="dxa"/>
            <w:tcBorders>
              <w:left w:val="nil"/>
              <w:bottom w:val="thickThinSmallGap" w:sz="24" w:space="0" w:color="auto"/>
              <w:right w:val="nil"/>
            </w:tcBorders>
            <w:vAlign w:val="center"/>
          </w:tcPr>
          <w:p w14:paraId="4CDCC0D0" w14:textId="77777777" w:rsidR="00795BB8" w:rsidRPr="00E77DF0" w:rsidRDefault="00795BB8" w:rsidP="00013648">
            <w:pPr>
              <w:spacing w:line="240" w:lineRule="auto"/>
              <w:ind w:left="354" w:firstLine="0"/>
              <w:jc w:val="left"/>
              <w:rPr>
                <w:sz w:val="20"/>
                <w:szCs w:val="20"/>
              </w:rPr>
            </w:pPr>
            <w:r w:rsidRPr="00E77DF0">
              <w:rPr>
                <w:sz w:val="20"/>
                <w:szCs w:val="20"/>
              </w:rPr>
              <w:t>արտարժութային պետական պարտատոմսեր</w:t>
            </w:r>
          </w:p>
        </w:tc>
        <w:tc>
          <w:tcPr>
            <w:tcW w:w="1353" w:type="dxa"/>
            <w:tcBorders>
              <w:left w:val="nil"/>
              <w:bottom w:val="thickThinSmallGap" w:sz="24" w:space="0" w:color="auto"/>
              <w:right w:val="double" w:sz="4" w:space="0" w:color="auto"/>
            </w:tcBorders>
            <w:vAlign w:val="center"/>
          </w:tcPr>
          <w:p w14:paraId="4BDDBF55" w14:textId="77777777" w:rsidR="00795BB8" w:rsidRPr="00E77DF0" w:rsidRDefault="00795BB8" w:rsidP="00013648">
            <w:pPr>
              <w:ind w:firstLine="94"/>
              <w:jc w:val="center"/>
              <w:rPr>
                <w:sz w:val="20"/>
                <w:szCs w:val="20"/>
              </w:rPr>
            </w:pPr>
            <w:r w:rsidRPr="00E77DF0">
              <w:rPr>
                <w:sz w:val="20"/>
                <w:szCs w:val="20"/>
              </w:rPr>
              <w:t>-</w:t>
            </w:r>
          </w:p>
        </w:tc>
        <w:tc>
          <w:tcPr>
            <w:tcW w:w="1353" w:type="dxa"/>
            <w:tcBorders>
              <w:left w:val="double" w:sz="4" w:space="0" w:color="auto"/>
              <w:bottom w:val="thickThinSmallGap" w:sz="24" w:space="0" w:color="auto"/>
              <w:right w:val="nil"/>
            </w:tcBorders>
            <w:vAlign w:val="center"/>
          </w:tcPr>
          <w:p w14:paraId="1501FC91" w14:textId="77777777" w:rsidR="00795BB8" w:rsidRPr="00E77DF0" w:rsidRDefault="00795BB8" w:rsidP="00013648">
            <w:pPr>
              <w:ind w:firstLine="94"/>
              <w:jc w:val="center"/>
              <w:rPr>
                <w:sz w:val="20"/>
                <w:szCs w:val="20"/>
              </w:rPr>
            </w:pPr>
            <w:r w:rsidRPr="00E77DF0">
              <w:rPr>
                <w:sz w:val="20"/>
                <w:szCs w:val="20"/>
              </w:rPr>
              <w:t>-</w:t>
            </w:r>
          </w:p>
        </w:tc>
        <w:tc>
          <w:tcPr>
            <w:tcW w:w="1353" w:type="dxa"/>
            <w:tcBorders>
              <w:left w:val="nil"/>
              <w:bottom w:val="thickThinSmallGap" w:sz="24" w:space="0" w:color="auto"/>
              <w:right w:val="nil"/>
            </w:tcBorders>
            <w:vAlign w:val="center"/>
          </w:tcPr>
          <w:p w14:paraId="0843149B" w14:textId="77777777" w:rsidR="00795BB8" w:rsidRPr="00E77DF0" w:rsidRDefault="00795BB8" w:rsidP="00013648">
            <w:pPr>
              <w:ind w:firstLine="94"/>
              <w:jc w:val="center"/>
              <w:rPr>
                <w:color w:val="FF0000"/>
                <w:sz w:val="20"/>
                <w:szCs w:val="20"/>
              </w:rPr>
            </w:pPr>
            <w:r w:rsidRPr="00E77DF0">
              <w:rPr>
                <w:sz w:val="20"/>
                <w:szCs w:val="20"/>
              </w:rPr>
              <w:t>201.9</w:t>
            </w:r>
          </w:p>
        </w:tc>
        <w:tc>
          <w:tcPr>
            <w:tcW w:w="1234" w:type="dxa"/>
            <w:tcBorders>
              <w:left w:val="nil"/>
              <w:bottom w:val="thickThinSmallGap" w:sz="24" w:space="0" w:color="auto"/>
              <w:right w:val="nil"/>
            </w:tcBorders>
            <w:vAlign w:val="center"/>
          </w:tcPr>
          <w:p w14:paraId="107A2E31" w14:textId="77777777" w:rsidR="00795BB8" w:rsidRPr="00E77DF0" w:rsidRDefault="00795BB8" w:rsidP="00013648">
            <w:pPr>
              <w:ind w:firstLine="94"/>
              <w:jc w:val="center"/>
              <w:rPr>
                <w:color w:val="FF0000"/>
                <w:sz w:val="20"/>
                <w:szCs w:val="20"/>
              </w:rPr>
            </w:pPr>
            <w:r w:rsidRPr="00E77DF0">
              <w:rPr>
                <w:sz w:val="20"/>
                <w:szCs w:val="20"/>
              </w:rPr>
              <w:t>-</w:t>
            </w:r>
          </w:p>
        </w:tc>
        <w:tc>
          <w:tcPr>
            <w:tcW w:w="1253" w:type="dxa"/>
            <w:tcBorders>
              <w:left w:val="nil"/>
              <w:bottom w:val="thickThinSmallGap" w:sz="24" w:space="0" w:color="auto"/>
              <w:right w:val="nil"/>
            </w:tcBorders>
            <w:vAlign w:val="center"/>
          </w:tcPr>
          <w:p w14:paraId="3A4AC3E6" w14:textId="77777777" w:rsidR="00795BB8" w:rsidRPr="00E77DF0" w:rsidRDefault="00795BB8" w:rsidP="00013648">
            <w:pPr>
              <w:ind w:firstLine="94"/>
              <w:jc w:val="center"/>
              <w:rPr>
                <w:color w:val="FF0000"/>
                <w:sz w:val="20"/>
                <w:szCs w:val="20"/>
              </w:rPr>
            </w:pPr>
            <w:r w:rsidRPr="00E77DF0">
              <w:rPr>
                <w:sz w:val="20"/>
                <w:szCs w:val="20"/>
              </w:rPr>
              <w:t>-</w:t>
            </w:r>
          </w:p>
        </w:tc>
      </w:tr>
    </w:tbl>
    <w:p w14:paraId="75D132CA" w14:textId="0698D9C5" w:rsidR="00795BB8" w:rsidRDefault="00795BB8" w:rsidP="00795BB8">
      <w:pPr>
        <w:spacing w:before="120"/>
        <w:rPr>
          <w:sz w:val="16"/>
        </w:rPr>
      </w:pPr>
      <w:r w:rsidRPr="00146A53">
        <w:rPr>
          <w:sz w:val="16"/>
        </w:rPr>
        <w:t>Աղբյուրը՝ ՀՀ ՖՆ հաշվարկներ և կանխատեսումներ</w:t>
      </w:r>
    </w:p>
    <w:p w14:paraId="30E70607" w14:textId="77777777" w:rsidR="007F635D" w:rsidRPr="0070296A" w:rsidRDefault="007F635D" w:rsidP="00795BB8">
      <w:pPr>
        <w:spacing w:before="120"/>
      </w:pPr>
    </w:p>
    <w:p w14:paraId="277D1CA7" w14:textId="77777777" w:rsidR="00795BB8" w:rsidRPr="007F635D" w:rsidRDefault="00795BB8" w:rsidP="00795BB8">
      <w:pPr>
        <w:pStyle w:val="afd"/>
        <w:numPr>
          <w:ilvl w:val="0"/>
          <w:numId w:val="21"/>
        </w:numPr>
        <w:ind w:left="1276" w:hanging="1276"/>
        <w:rPr>
          <w:sz w:val="20"/>
          <w:szCs w:val="20"/>
        </w:rPr>
      </w:pPr>
      <w:r w:rsidRPr="007F635D">
        <w:rPr>
          <w:sz w:val="20"/>
          <w:szCs w:val="20"/>
        </w:rPr>
        <w:t>Ֆինանսական կարիքի բավարարումը արտարժութային փոխառու միջոցների հաշվին 2023-2027 թվականներին  (մլն ԱՄՆ դոլար)</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353"/>
        <w:gridCol w:w="1353"/>
        <w:gridCol w:w="1353"/>
        <w:gridCol w:w="1234"/>
        <w:gridCol w:w="1253"/>
      </w:tblGrid>
      <w:tr w:rsidR="00795BB8" w:rsidRPr="000271C1" w14:paraId="7259E2CB" w14:textId="77777777" w:rsidTr="00795BB8">
        <w:trPr>
          <w:trHeight w:val="793"/>
          <w:tblHeader/>
          <w:jc w:val="center"/>
        </w:trPr>
        <w:tc>
          <w:tcPr>
            <w:tcW w:w="396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5C10D69" w14:textId="77777777" w:rsidR="00795BB8" w:rsidRPr="00E77DF0" w:rsidRDefault="00795BB8" w:rsidP="00013648">
            <w:pPr>
              <w:ind w:firstLine="94"/>
              <w:jc w:val="center"/>
              <w:rPr>
                <w:sz w:val="20"/>
                <w:szCs w:val="20"/>
              </w:rPr>
            </w:pPr>
          </w:p>
        </w:tc>
        <w:tc>
          <w:tcPr>
            <w:tcW w:w="1353"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5A2C2758" w14:textId="77777777" w:rsidR="00795BB8" w:rsidRPr="00E77DF0" w:rsidRDefault="00795BB8" w:rsidP="00013648">
            <w:pPr>
              <w:spacing w:line="240" w:lineRule="auto"/>
              <w:ind w:firstLine="94"/>
              <w:jc w:val="center"/>
              <w:rPr>
                <w:sz w:val="20"/>
                <w:szCs w:val="20"/>
              </w:rPr>
            </w:pPr>
            <w:r w:rsidRPr="00E77DF0">
              <w:rPr>
                <w:sz w:val="20"/>
                <w:szCs w:val="20"/>
              </w:rPr>
              <w:t>2023 փաստ.</w:t>
            </w:r>
          </w:p>
        </w:tc>
        <w:tc>
          <w:tcPr>
            <w:tcW w:w="1353"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6AEE4FA1" w14:textId="77777777" w:rsidR="00795BB8" w:rsidRPr="00E77DF0" w:rsidRDefault="00795BB8" w:rsidP="00013648">
            <w:pPr>
              <w:spacing w:line="240" w:lineRule="auto"/>
              <w:ind w:firstLine="94"/>
              <w:jc w:val="center"/>
              <w:rPr>
                <w:sz w:val="20"/>
                <w:szCs w:val="20"/>
              </w:rPr>
            </w:pPr>
            <w:r w:rsidRPr="00E77DF0">
              <w:rPr>
                <w:sz w:val="20"/>
                <w:szCs w:val="20"/>
              </w:rPr>
              <w:t>2024 կանխ.</w:t>
            </w:r>
          </w:p>
        </w:tc>
        <w:tc>
          <w:tcPr>
            <w:tcW w:w="135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371CC92" w14:textId="77777777" w:rsidR="00795BB8" w:rsidRPr="00E77DF0" w:rsidRDefault="00795BB8" w:rsidP="00013648">
            <w:pPr>
              <w:spacing w:line="240" w:lineRule="auto"/>
              <w:ind w:firstLine="94"/>
              <w:jc w:val="center"/>
              <w:rPr>
                <w:sz w:val="20"/>
                <w:szCs w:val="20"/>
              </w:rPr>
            </w:pPr>
            <w:r w:rsidRPr="00E77DF0">
              <w:rPr>
                <w:sz w:val="20"/>
                <w:szCs w:val="20"/>
              </w:rPr>
              <w:t>2025 կանխ.</w:t>
            </w:r>
          </w:p>
        </w:tc>
        <w:tc>
          <w:tcPr>
            <w:tcW w:w="1234"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FC1EB42" w14:textId="77777777" w:rsidR="00795BB8" w:rsidRPr="00E77DF0" w:rsidRDefault="00795BB8" w:rsidP="00013648">
            <w:pPr>
              <w:spacing w:line="240" w:lineRule="auto"/>
              <w:ind w:firstLine="94"/>
              <w:jc w:val="center"/>
              <w:rPr>
                <w:sz w:val="20"/>
                <w:szCs w:val="20"/>
              </w:rPr>
            </w:pPr>
            <w:r w:rsidRPr="00E77DF0">
              <w:rPr>
                <w:sz w:val="20"/>
                <w:szCs w:val="20"/>
              </w:rPr>
              <w:t>2026 կանխ.</w:t>
            </w:r>
          </w:p>
        </w:tc>
        <w:tc>
          <w:tcPr>
            <w:tcW w:w="125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D6B243B" w14:textId="77777777" w:rsidR="00795BB8" w:rsidRPr="00E77DF0" w:rsidRDefault="00795BB8" w:rsidP="00013648">
            <w:pPr>
              <w:spacing w:line="240" w:lineRule="auto"/>
              <w:ind w:firstLine="94"/>
              <w:jc w:val="center"/>
              <w:rPr>
                <w:sz w:val="20"/>
                <w:szCs w:val="20"/>
              </w:rPr>
            </w:pPr>
            <w:r w:rsidRPr="00E77DF0">
              <w:rPr>
                <w:sz w:val="20"/>
                <w:szCs w:val="20"/>
              </w:rPr>
              <w:t>2027 կանխ.</w:t>
            </w:r>
          </w:p>
        </w:tc>
      </w:tr>
      <w:tr w:rsidR="00795BB8" w:rsidRPr="00E06CCC" w14:paraId="54EEF138" w14:textId="77777777" w:rsidTr="00013648">
        <w:trPr>
          <w:trHeight w:val="522"/>
          <w:jc w:val="center"/>
        </w:trPr>
        <w:tc>
          <w:tcPr>
            <w:tcW w:w="3969" w:type="dxa"/>
            <w:tcBorders>
              <w:top w:val="thinThickSmallGap" w:sz="24" w:space="0" w:color="auto"/>
              <w:left w:val="nil"/>
              <w:right w:val="nil"/>
            </w:tcBorders>
            <w:vAlign w:val="center"/>
          </w:tcPr>
          <w:p w14:paraId="7D5E6D25" w14:textId="77777777" w:rsidR="00795BB8" w:rsidRPr="00E77DF0" w:rsidRDefault="00795BB8" w:rsidP="00013648">
            <w:pPr>
              <w:spacing w:line="240" w:lineRule="auto"/>
              <w:ind w:firstLine="94"/>
              <w:jc w:val="center"/>
              <w:rPr>
                <w:sz w:val="20"/>
                <w:szCs w:val="20"/>
              </w:rPr>
            </w:pPr>
            <w:r w:rsidRPr="00E77DF0">
              <w:rPr>
                <w:sz w:val="20"/>
                <w:szCs w:val="20"/>
              </w:rPr>
              <w:t>Ընդամենը ֆինանսավորում</w:t>
            </w:r>
          </w:p>
        </w:tc>
        <w:tc>
          <w:tcPr>
            <w:tcW w:w="1353" w:type="dxa"/>
            <w:tcBorders>
              <w:top w:val="thinThickSmallGap" w:sz="24" w:space="0" w:color="auto"/>
              <w:left w:val="nil"/>
              <w:right w:val="double" w:sz="4" w:space="0" w:color="auto"/>
            </w:tcBorders>
            <w:vAlign w:val="center"/>
          </w:tcPr>
          <w:p w14:paraId="2A8E17C2" w14:textId="77777777" w:rsidR="00795BB8" w:rsidRPr="00E77DF0" w:rsidRDefault="00795BB8" w:rsidP="00013648">
            <w:pPr>
              <w:ind w:firstLine="94"/>
              <w:jc w:val="center"/>
              <w:rPr>
                <w:sz w:val="20"/>
                <w:szCs w:val="20"/>
              </w:rPr>
            </w:pPr>
            <w:r w:rsidRPr="00E77DF0">
              <w:rPr>
                <w:sz w:val="20"/>
                <w:szCs w:val="20"/>
              </w:rPr>
              <w:t>316.4</w:t>
            </w:r>
          </w:p>
        </w:tc>
        <w:tc>
          <w:tcPr>
            <w:tcW w:w="1353" w:type="dxa"/>
            <w:tcBorders>
              <w:top w:val="thinThickSmallGap" w:sz="24" w:space="0" w:color="auto"/>
              <w:left w:val="double" w:sz="4" w:space="0" w:color="auto"/>
              <w:right w:val="nil"/>
            </w:tcBorders>
            <w:vAlign w:val="center"/>
          </w:tcPr>
          <w:p w14:paraId="283235EF" w14:textId="77777777" w:rsidR="00795BB8" w:rsidRPr="00E77DF0" w:rsidRDefault="00795BB8" w:rsidP="00013648">
            <w:pPr>
              <w:ind w:firstLine="94"/>
              <w:jc w:val="center"/>
              <w:rPr>
                <w:sz w:val="20"/>
                <w:szCs w:val="20"/>
              </w:rPr>
            </w:pPr>
            <w:r w:rsidRPr="00E77DF0">
              <w:rPr>
                <w:sz w:val="20"/>
                <w:szCs w:val="20"/>
              </w:rPr>
              <w:t>783.1</w:t>
            </w:r>
          </w:p>
        </w:tc>
        <w:tc>
          <w:tcPr>
            <w:tcW w:w="1353" w:type="dxa"/>
            <w:tcBorders>
              <w:top w:val="thinThickSmallGap" w:sz="24" w:space="0" w:color="auto"/>
              <w:left w:val="nil"/>
              <w:right w:val="nil"/>
            </w:tcBorders>
            <w:vAlign w:val="center"/>
          </w:tcPr>
          <w:p w14:paraId="294BDE1A" w14:textId="77777777" w:rsidR="00795BB8" w:rsidRPr="00E77DF0" w:rsidRDefault="00795BB8" w:rsidP="00013648">
            <w:pPr>
              <w:ind w:firstLine="94"/>
              <w:jc w:val="center"/>
              <w:rPr>
                <w:color w:val="FF0000"/>
                <w:sz w:val="20"/>
                <w:szCs w:val="20"/>
              </w:rPr>
            </w:pPr>
            <w:r w:rsidRPr="00E77DF0">
              <w:rPr>
                <w:sz w:val="20"/>
                <w:szCs w:val="20"/>
              </w:rPr>
              <w:t>1,711.9</w:t>
            </w:r>
          </w:p>
        </w:tc>
        <w:tc>
          <w:tcPr>
            <w:tcW w:w="1234" w:type="dxa"/>
            <w:tcBorders>
              <w:top w:val="thinThickSmallGap" w:sz="24" w:space="0" w:color="auto"/>
              <w:left w:val="nil"/>
              <w:right w:val="nil"/>
            </w:tcBorders>
            <w:vAlign w:val="center"/>
          </w:tcPr>
          <w:p w14:paraId="5E9461D6" w14:textId="77777777" w:rsidR="00795BB8" w:rsidRPr="00E77DF0" w:rsidRDefault="00795BB8" w:rsidP="00013648">
            <w:pPr>
              <w:ind w:firstLine="94"/>
              <w:jc w:val="center"/>
              <w:rPr>
                <w:sz w:val="20"/>
                <w:szCs w:val="20"/>
              </w:rPr>
            </w:pPr>
            <w:r w:rsidRPr="00E77DF0">
              <w:rPr>
                <w:sz w:val="20"/>
                <w:szCs w:val="20"/>
              </w:rPr>
              <w:t>1,269.1</w:t>
            </w:r>
          </w:p>
        </w:tc>
        <w:tc>
          <w:tcPr>
            <w:tcW w:w="1253" w:type="dxa"/>
            <w:tcBorders>
              <w:top w:val="thinThickSmallGap" w:sz="24" w:space="0" w:color="auto"/>
              <w:left w:val="nil"/>
              <w:right w:val="nil"/>
            </w:tcBorders>
            <w:vAlign w:val="center"/>
          </w:tcPr>
          <w:p w14:paraId="7D7A3923" w14:textId="77777777" w:rsidR="00795BB8" w:rsidRPr="00E77DF0" w:rsidRDefault="00795BB8" w:rsidP="00013648">
            <w:pPr>
              <w:ind w:firstLine="94"/>
              <w:jc w:val="center"/>
              <w:rPr>
                <w:sz w:val="20"/>
                <w:szCs w:val="20"/>
              </w:rPr>
            </w:pPr>
            <w:r w:rsidRPr="00E77DF0">
              <w:rPr>
                <w:sz w:val="20"/>
                <w:szCs w:val="20"/>
              </w:rPr>
              <w:t>1,342.8</w:t>
            </w:r>
          </w:p>
        </w:tc>
      </w:tr>
      <w:tr w:rsidR="00795BB8" w:rsidRPr="00E06CCC" w14:paraId="40AA5090" w14:textId="77777777" w:rsidTr="00013648">
        <w:trPr>
          <w:trHeight w:val="320"/>
          <w:jc w:val="center"/>
        </w:trPr>
        <w:tc>
          <w:tcPr>
            <w:tcW w:w="3969" w:type="dxa"/>
            <w:tcBorders>
              <w:left w:val="nil"/>
              <w:right w:val="nil"/>
            </w:tcBorders>
            <w:vAlign w:val="center"/>
          </w:tcPr>
          <w:p w14:paraId="6DA8D4C5" w14:textId="77777777" w:rsidR="00795BB8" w:rsidRPr="00E77DF0" w:rsidRDefault="00795BB8" w:rsidP="00013648">
            <w:pPr>
              <w:spacing w:line="240" w:lineRule="auto"/>
              <w:ind w:left="354" w:firstLine="0"/>
              <w:jc w:val="center"/>
              <w:rPr>
                <w:sz w:val="20"/>
                <w:szCs w:val="20"/>
              </w:rPr>
            </w:pPr>
            <w:r w:rsidRPr="00E77DF0">
              <w:rPr>
                <w:sz w:val="20"/>
                <w:szCs w:val="20"/>
              </w:rPr>
              <w:t>որից</w:t>
            </w:r>
          </w:p>
        </w:tc>
        <w:tc>
          <w:tcPr>
            <w:tcW w:w="1353" w:type="dxa"/>
            <w:tcBorders>
              <w:left w:val="nil"/>
              <w:right w:val="double" w:sz="4" w:space="0" w:color="auto"/>
            </w:tcBorders>
            <w:vAlign w:val="center"/>
          </w:tcPr>
          <w:p w14:paraId="00F78B32" w14:textId="77777777" w:rsidR="00795BB8" w:rsidRPr="00E77DF0" w:rsidRDefault="00795BB8" w:rsidP="00013648">
            <w:pPr>
              <w:ind w:firstLine="94"/>
              <w:jc w:val="center"/>
              <w:rPr>
                <w:sz w:val="20"/>
                <w:szCs w:val="20"/>
              </w:rPr>
            </w:pPr>
          </w:p>
        </w:tc>
        <w:tc>
          <w:tcPr>
            <w:tcW w:w="1353" w:type="dxa"/>
            <w:tcBorders>
              <w:left w:val="double" w:sz="4" w:space="0" w:color="auto"/>
              <w:right w:val="nil"/>
            </w:tcBorders>
            <w:vAlign w:val="center"/>
          </w:tcPr>
          <w:p w14:paraId="33A3B9EF" w14:textId="77777777" w:rsidR="00795BB8" w:rsidRPr="00E77DF0" w:rsidRDefault="00795BB8" w:rsidP="00013648">
            <w:pPr>
              <w:ind w:firstLine="94"/>
              <w:jc w:val="center"/>
              <w:rPr>
                <w:sz w:val="20"/>
                <w:szCs w:val="20"/>
              </w:rPr>
            </w:pPr>
          </w:p>
        </w:tc>
        <w:tc>
          <w:tcPr>
            <w:tcW w:w="1353" w:type="dxa"/>
            <w:tcBorders>
              <w:left w:val="nil"/>
              <w:right w:val="nil"/>
            </w:tcBorders>
            <w:vAlign w:val="center"/>
          </w:tcPr>
          <w:p w14:paraId="2B20C537" w14:textId="77777777" w:rsidR="00795BB8" w:rsidRPr="00E77DF0" w:rsidRDefault="00795BB8" w:rsidP="00013648">
            <w:pPr>
              <w:ind w:firstLine="94"/>
              <w:jc w:val="center"/>
              <w:rPr>
                <w:sz w:val="20"/>
                <w:szCs w:val="20"/>
              </w:rPr>
            </w:pPr>
          </w:p>
        </w:tc>
        <w:tc>
          <w:tcPr>
            <w:tcW w:w="1234" w:type="dxa"/>
            <w:tcBorders>
              <w:left w:val="nil"/>
              <w:right w:val="nil"/>
            </w:tcBorders>
            <w:vAlign w:val="center"/>
          </w:tcPr>
          <w:p w14:paraId="233AA796" w14:textId="77777777" w:rsidR="00795BB8" w:rsidRPr="00E77DF0" w:rsidRDefault="00795BB8" w:rsidP="00013648">
            <w:pPr>
              <w:ind w:firstLine="94"/>
              <w:jc w:val="center"/>
              <w:rPr>
                <w:sz w:val="20"/>
                <w:szCs w:val="20"/>
              </w:rPr>
            </w:pPr>
          </w:p>
        </w:tc>
        <w:tc>
          <w:tcPr>
            <w:tcW w:w="1253" w:type="dxa"/>
            <w:tcBorders>
              <w:left w:val="nil"/>
              <w:right w:val="nil"/>
            </w:tcBorders>
            <w:vAlign w:val="center"/>
          </w:tcPr>
          <w:p w14:paraId="1C3BE419" w14:textId="77777777" w:rsidR="00795BB8" w:rsidRPr="00E77DF0" w:rsidRDefault="00795BB8" w:rsidP="00013648">
            <w:pPr>
              <w:ind w:firstLine="94"/>
              <w:jc w:val="center"/>
              <w:rPr>
                <w:sz w:val="20"/>
                <w:szCs w:val="20"/>
              </w:rPr>
            </w:pPr>
          </w:p>
        </w:tc>
      </w:tr>
      <w:tr w:rsidR="00795BB8" w:rsidRPr="00E06CCC" w14:paraId="22A7A3EB" w14:textId="77777777" w:rsidTr="00013648">
        <w:trPr>
          <w:trHeight w:val="320"/>
          <w:jc w:val="center"/>
        </w:trPr>
        <w:tc>
          <w:tcPr>
            <w:tcW w:w="3969" w:type="dxa"/>
            <w:tcBorders>
              <w:left w:val="nil"/>
              <w:right w:val="nil"/>
            </w:tcBorders>
            <w:vAlign w:val="center"/>
          </w:tcPr>
          <w:p w14:paraId="60E16C5B" w14:textId="77777777" w:rsidR="00795BB8" w:rsidRPr="00E77DF0" w:rsidRDefault="00795BB8" w:rsidP="00013648">
            <w:pPr>
              <w:spacing w:line="240" w:lineRule="auto"/>
              <w:ind w:left="354" w:firstLine="0"/>
              <w:jc w:val="left"/>
              <w:rPr>
                <w:sz w:val="20"/>
                <w:szCs w:val="20"/>
              </w:rPr>
            </w:pPr>
            <w:r w:rsidRPr="00E77DF0">
              <w:rPr>
                <w:sz w:val="20"/>
                <w:szCs w:val="20"/>
              </w:rPr>
              <w:t>արտաքին նպատակային վարկեր և փոխառություններ</w:t>
            </w:r>
          </w:p>
        </w:tc>
        <w:tc>
          <w:tcPr>
            <w:tcW w:w="1353" w:type="dxa"/>
            <w:tcBorders>
              <w:left w:val="nil"/>
              <w:right w:val="double" w:sz="4" w:space="0" w:color="auto"/>
            </w:tcBorders>
            <w:vAlign w:val="center"/>
          </w:tcPr>
          <w:p w14:paraId="4306BE84" w14:textId="77777777" w:rsidR="00795BB8" w:rsidRPr="00E77DF0" w:rsidRDefault="00795BB8" w:rsidP="00013648">
            <w:pPr>
              <w:spacing w:line="240" w:lineRule="auto"/>
              <w:ind w:firstLine="0"/>
              <w:jc w:val="center"/>
              <w:rPr>
                <w:sz w:val="20"/>
                <w:szCs w:val="20"/>
              </w:rPr>
            </w:pPr>
            <w:r w:rsidRPr="00E77DF0">
              <w:rPr>
                <w:sz w:val="20"/>
                <w:szCs w:val="20"/>
              </w:rPr>
              <w:t>158.2</w:t>
            </w:r>
          </w:p>
        </w:tc>
        <w:tc>
          <w:tcPr>
            <w:tcW w:w="1353" w:type="dxa"/>
            <w:tcBorders>
              <w:left w:val="double" w:sz="4" w:space="0" w:color="auto"/>
              <w:right w:val="nil"/>
            </w:tcBorders>
            <w:vAlign w:val="center"/>
          </w:tcPr>
          <w:p w14:paraId="74C7B786" w14:textId="77777777" w:rsidR="00795BB8" w:rsidRPr="00E77DF0" w:rsidRDefault="00795BB8" w:rsidP="00013648">
            <w:pPr>
              <w:spacing w:line="240" w:lineRule="auto"/>
              <w:ind w:firstLine="0"/>
              <w:jc w:val="center"/>
              <w:rPr>
                <w:sz w:val="20"/>
                <w:szCs w:val="20"/>
              </w:rPr>
            </w:pPr>
            <w:r w:rsidRPr="00E77DF0">
              <w:rPr>
                <w:sz w:val="20"/>
                <w:szCs w:val="20"/>
              </w:rPr>
              <w:t>330.3</w:t>
            </w:r>
          </w:p>
        </w:tc>
        <w:tc>
          <w:tcPr>
            <w:tcW w:w="1353" w:type="dxa"/>
            <w:tcBorders>
              <w:left w:val="nil"/>
              <w:right w:val="nil"/>
            </w:tcBorders>
            <w:vAlign w:val="center"/>
          </w:tcPr>
          <w:p w14:paraId="2CD88D43" w14:textId="77777777" w:rsidR="00795BB8" w:rsidRPr="00E77DF0" w:rsidRDefault="00795BB8" w:rsidP="00013648">
            <w:pPr>
              <w:ind w:firstLine="0"/>
              <w:jc w:val="center"/>
              <w:rPr>
                <w:color w:val="FF0000"/>
                <w:sz w:val="20"/>
                <w:szCs w:val="20"/>
              </w:rPr>
            </w:pPr>
            <w:r w:rsidRPr="00E77DF0">
              <w:rPr>
                <w:sz w:val="20"/>
                <w:szCs w:val="20"/>
              </w:rPr>
              <w:t>611.9</w:t>
            </w:r>
          </w:p>
        </w:tc>
        <w:tc>
          <w:tcPr>
            <w:tcW w:w="1234" w:type="dxa"/>
            <w:tcBorders>
              <w:left w:val="nil"/>
              <w:right w:val="nil"/>
            </w:tcBorders>
            <w:vAlign w:val="center"/>
          </w:tcPr>
          <w:p w14:paraId="0AB0074E" w14:textId="77777777" w:rsidR="00795BB8" w:rsidRPr="00E77DF0" w:rsidRDefault="00795BB8" w:rsidP="00013648">
            <w:pPr>
              <w:ind w:firstLine="94"/>
              <w:jc w:val="center"/>
              <w:rPr>
                <w:sz w:val="20"/>
                <w:szCs w:val="20"/>
              </w:rPr>
            </w:pPr>
            <w:r w:rsidRPr="00E77DF0">
              <w:rPr>
                <w:sz w:val="20"/>
                <w:szCs w:val="20"/>
              </w:rPr>
              <w:t>669.1</w:t>
            </w:r>
          </w:p>
        </w:tc>
        <w:tc>
          <w:tcPr>
            <w:tcW w:w="1253" w:type="dxa"/>
            <w:tcBorders>
              <w:left w:val="nil"/>
              <w:right w:val="nil"/>
            </w:tcBorders>
            <w:vAlign w:val="center"/>
          </w:tcPr>
          <w:p w14:paraId="1E14E526" w14:textId="77777777" w:rsidR="00795BB8" w:rsidRPr="00E77DF0" w:rsidRDefault="00795BB8" w:rsidP="00013648">
            <w:pPr>
              <w:ind w:firstLine="94"/>
              <w:jc w:val="center"/>
              <w:rPr>
                <w:sz w:val="20"/>
                <w:szCs w:val="20"/>
              </w:rPr>
            </w:pPr>
            <w:r w:rsidRPr="00E77DF0">
              <w:rPr>
                <w:sz w:val="20"/>
                <w:szCs w:val="20"/>
              </w:rPr>
              <w:t>942.8</w:t>
            </w:r>
          </w:p>
        </w:tc>
      </w:tr>
      <w:tr w:rsidR="00795BB8" w:rsidRPr="00E06CCC" w14:paraId="1A521D65" w14:textId="77777777" w:rsidTr="00013648">
        <w:trPr>
          <w:trHeight w:val="503"/>
          <w:jc w:val="center"/>
        </w:trPr>
        <w:tc>
          <w:tcPr>
            <w:tcW w:w="3969" w:type="dxa"/>
            <w:tcBorders>
              <w:left w:val="nil"/>
              <w:right w:val="nil"/>
            </w:tcBorders>
            <w:vAlign w:val="center"/>
          </w:tcPr>
          <w:p w14:paraId="1448424B" w14:textId="77777777" w:rsidR="00795BB8" w:rsidRPr="00E77DF0" w:rsidRDefault="00795BB8" w:rsidP="00013648">
            <w:pPr>
              <w:spacing w:line="240" w:lineRule="auto"/>
              <w:ind w:left="354" w:firstLine="0"/>
              <w:jc w:val="left"/>
              <w:rPr>
                <w:sz w:val="20"/>
                <w:szCs w:val="20"/>
              </w:rPr>
            </w:pPr>
            <w:r w:rsidRPr="00E77DF0">
              <w:rPr>
                <w:sz w:val="20"/>
                <w:szCs w:val="20"/>
              </w:rPr>
              <w:t>բյուջետային աջակցության վարկեր</w:t>
            </w:r>
          </w:p>
        </w:tc>
        <w:tc>
          <w:tcPr>
            <w:tcW w:w="1353" w:type="dxa"/>
            <w:tcBorders>
              <w:left w:val="nil"/>
              <w:right w:val="double" w:sz="4" w:space="0" w:color="auto"/>
            </w:tcBorders>
            <w:vAlign w:val="center"/>
          </w:tcPr>
          <w:p w14:paraId="3323FB82" w14:textId="77777777" w:rsidR="00795BB8" w:rsidRPr="00E77DF0" w:rsidRDefault="00795BB8" w:rsidP="00013648">
            <w:pPr>
              <w:spacing w:line="240" w:lineRule="auto"/>
              <w:ind w:firstLine="0"/>
              <w:jc w:val="center"/>
              <w:rPr>
                <w:sz w:val="20"/>
                <w:szCs w:val="20"/>
              </w:rPr>
            </w:pPr>
          </w:p>
          <w:p w14:paraId="06746FEA" w14:textId="77777777" w:rsidR="00795BB8" w:rsidRPr="00E77DF0" w:rsidRDefault="00795BB8" w:rsidP="00013648">
            <w:pPr>
              <w:spacing w:line="240" w:lineRule="auto"/>
              <w:ind w:firstLine="0"/>
              <w:jc w:val="center"/>
              <w:rPr>
                <w:rFonts w:cs="Times New Roman"/>
                <w:sz w:val="20"/>
                <w:szCs w:val="20"/>
              </w:rPr>
            </w:pPr>
            <w:r w:rsidRPr="00E77DF0">
              <w:rPr>
                <w:sz w:val="20"/>
                <w:szCs w:val="20"/>
              </w:rPr>
              <w:t>158.2</w:t>
            </w:r>
          </w:p>
          <w:p w14:paraId="3BF614A3" w14:textId="77777777" w:rsidR="00795BB8" w:rsidRPr="00E77DF0" w:rsidRDefault="00795BB8" w:rsidP="00013648">
            <w:pPr>
              <w:ind w:firstLine="94"/>
              <w:jc w:val="center"/>
              <w:rPr>
                <w:sz w:val="20"/>
                <w:szCs w:val="20"/>
              </w:rPr>
            </w:pPr>
          </w:p>
        </w:tc>
        <w:tc>
          <w:tcPr>
            <w:tcW w:w="1353" w:type="dxa"/>
            <w:tcBorders>
              <w:left w:val="double" w:sz="4" w:space="0" w:color="auto"/>
              <w:right w:val="nil"/>
            </w:tcBorders>
            <w:vAlign w:val="center"/>
          </w:tcPr>
          <w:p w14:paraId="6A8286A1" w14:textId="77777777" w:rsidR="00795BB8" w:rsidRPr="00E77DF0" w:rsidRDefault="00795BB8" w:rsidP="00013648">
            <w:pPr>
              <w:spacing w:line="240" w:lineRule="auto"/>
              <w:ind w:firstLine="0"/>
              <w:jc w:val="center"/>
              <w:rPr>
                <w:sz w:val="20"/>
                <w:szCs w:val="20"/>
              </w:rPr>
            </w:pPr>
          </w:p>
          <w:p w14:paraId="2C73D164" w14:textId="77777777" w:rsidR="00795BB8" w:rsidRPr="00E77DF0" w:rsidRDefault="00795BB8" w:rsidP="00013648">
            <w:pPr>
              <w:spacing w:line="240" w:lineRule="auto"/>
              <w:ind w:firstLine="0"/>
              <w:jc w:val="center"/>
              <w:rPr>
                <w:rFonts w:cs="Times New Roman"/>
                <w:sz w:val="20"/>
                <w:szCs w:val="20"/>
              </w:rPr>
            </w:pPr>
            <w:r w:rsidRPr="00E77DF0">
              <w:rPr>
                <w:sz w:val="20"/>
                <w:szCs w:val="20"/>
              </w:rPr>
              <w:t>452.7</w:t>
            </w:r>
          </w:p>
          <w:p w14:paraId="7234A950" w14:textId="77777777" w:rsidR="00795BB8" w:rsidRPr="00E77DF0" w:rsidRDefault="00795BB8" w:rsidP="00013648">
            <w:pPr>
              <w:ind w:firstLine="94"/>
              <w:jc w:val="center"/>
              <w:rPr>
                <w:sz w:val="20"/>
                <w:szCs w:val="20"/>
              </w:rPr>
            </w:pPr>
          </w:p>
        </w:tc>
        <w:tc>
          <w:tcPr>
            <w:tcW w:w="1353" w:type="dxa"/>
            <w:tcBorders>
              <w:left w:val="nil"/>
              <w:right w:val="nil"/>
            </w:tcBorders>
            <w:vAlign w:val="center"/>
          </w:tcPr>
          <w:p w14:paraId="695066E8" w14:textId="77777777" w:rsidR="00795BB8" w:rsidRPr="00E77DF0" w:rsidRDefault="00795BB8" w:rsidP="00013648">
            <w:pPr>
              <w:ind w:firstLine="94"/>
              <w:jc w:val="center"/>
              <w:rPr>
                <w:color w:val="FF0000"/>
                <w:sz w:val="20"/>
                <w:szCs w:val="20"/>
              </w:rPr>
            </w:pPr>
            <w:r w:rsidRPr="00E77DF0">
              <w:rPr>
                <w:sz w:val="20"/>
                <w:szCs w:val="20"/>
              </w:rPr>
              <w:t>600.0</w:t>
            </w:r>
          </w:p>
        </w:tc>
        <w:tc>
          <w:tcPr>
            <w:tcW w:w="1234" w:type="dxa"/>
            <w:tcBorders>
              <w:left w:val="nil"/>
              <w:right w:val="nil"/>
            </w:tcBorders>
            <w:vAlign w:val="center"/>
          </w:tcPr>
          <w:p w14:paraId="4C88D46E" w14:textId="77777777" w:rsidR="00795BB8" w:rsidRPr="00E77DF0" w:rsidRDefault="00795BB8" w:rsidP="00013648">
            <w:pPr>
              <w:ind w:firstLine="94"/>
              <w:jc w:val="center"/>
              <w:rPr>
                <w:sz w:val="20"/>
                <w:szCs w:val="20"/>
              </w:rPr>
            </w:pPr>
            <w:r w:rsidRPr="00E77DF0">
              <w:rPr>
                <w:sz w:val="20"/>
                <w:szCs w:val="20"/>
              </w:rPr>
              <w:t>600.0</w:t>
            </w:r>
          </w:p>
        </w:tc>
        <w:tc>
          <w:tcPr>
            <w:tcW w:w="1253" w:type="dxa"/>
            <w:tcBorders>
              <w:left w:val="nil"/>
              <w:right w:val="nil"/>
            </w:tcBorders>
            <w:vAlign w:val="center"/>
          </w:tcPr>
          <w:p w14:paraId="384A6D5B" w14:textId="77777777" w:rsidR="00795BB8" w:rsidRPr="00E77DF0" w:rsidRDefault="00795BB8" w:rsidP="00013648">
            <w:pPr>
              <w:ind w:firstLine="94"/>
              <w:jc w:val="center"/>
              <w:rPr>
                <w:sz w:val="20"/>
                <w:szCs w:val="20"/>
              </w:rPr>
            </w:pPr>
            <w:r w:rsidRPr="00E77DF0">
              <w:rPr>
                <w:sz w:val="20"/>
                <w:szCs w:val="20"/>
              </w:rPr>
              <w:t>400.0</w:t>
            </w:r>
          </w:p>
        </w:tc>
      </w:tr>
      <w:tr w:rsidR="00795BB8" w:rsidRPr="00E06CCC" w14:paraId="31015BE4" w14:textId="77777777" w:rsidTr="00013648">
        <w:trPr>
          <w:trHeight w:val="567"/>
          <w:jc w:val="center"/>
        </w:trPr>
        <w:tc>
          <w:tcPr>
            <w:tcW w:w="3969" w:type="dxa"/>
            <w:tcBorders>
              <w:left w:val="nil"/>
              <w:bottom w:val="thickThinSmallGap" w:sz="24" w:space="0" w:color="auto"/>
              <w:right w:val="nil"/>
            </w:tcBorders>
            <w:vAlign w:val="center"/>
          </w:tcPr>
          <w:p w14:paraId="5B3E5D4B" w14:textId="77777777" w:rsidR="00795BB8" w:rsidRPr="00E77DF0" w:rsidRDefault="00795BB8" w:rsidP="00013648">
            <w:pPr>
              <w:spacing w:line="240" w:lineRule="auto"/>
              <w:ind w:left="354" w:firstLine="0"/>
              <w:jc w:val="left"/>
              <w:rPr>
                <w:sz w:val="20"/>
                <w:szCs w:val="20"/>
              </w:rPr>
            </w:pPr>
            <w:r w:rsidRPr="00E77DF0">
              <w:rPr>
                <w:sz w:val="20"/>
                <w:szCs w:val="20"/>
              </w:rPr>
              <w:t>արտարժութային պետական պարտատոմսեր</w:t>
            </w:r>
          </w:p>
        </w:tc>
        <w:tc>
          <w:tcPr>
            <w:tcW w:w="1353" w:type="dxa"/>
            <w:tcBorders>
              <w:left w:val="nil"/>
              <w:bottom w:val="thickThinSmallGap" w:sz="24" w:space="0" w:color="auto"/>
              <w:right w:val="double" w:sz="4" w:space="0" w:color="auto"/>
            </w:tcBorders>
            <w:vAlign w:val="center"/>
          </w:tcPr>
          <w:p w14:paraId="028DE988" w14:textId="77777777" w:rsidR="00795BB8" w:rsidRPr="00E77DF0" w:rsidRDefault="00795BB8" w:rsidP="00013648">
            <w:pPr>
              <w:ind w:firstLine="94"/>
              <w:jc w:val="center"/>
              <w:rPr>
                <w:sz w:val="20"/>
                <w:szCs w:val="20"/>
              </w:rPr>
            </w:pPr>
            <w:r w:rsidRPr="00E77DF0">
              <w:rPr>
                <w:sz w:val="20"/>
                <w:szCs w:val="20"/>
              </w:rPr>
              <w:t>-</w:t>
            </w:r>
          </w:p>
        </w:tc>
        <w:tc>
          <w:tcPr>
            <w:tcW w:w="1353" w:type="dxa"/>
            <w:tcBorders>
              <w:left w:val="double" w:sz="4" w:space="0" w:color="auto"/>
              <w:bottom w:val="thickThinSmallGap" w:sz="24" w:space="0" w:color="auto"/>
              <w:right w:val="nil"/>
            </w:tcBorders>
            <w:vAlign w:val="center"/>
          </w:tcPr>
          <w:p w14:paraId="1944AD5F" w14:textId="77777777" w:rsidR="00795BB8" w:rsidRPr="00E77DF0" w:rsidRDefault="00795BB8" w:rsidP="00013648">
            <w:pPr>
              <w:ind w:firstLine="94"/>
              <w:jc w:val="center"/>
              <w:rPr>
                <w:sz w:val="20"/>
                <w:szCs w:val="20"/>
              </w:rPr>
            </w:pPr>
            <w:r w:rsidRPr="00E77DF0">
              <w:rPr>
                <w:sz w:val="20"/>
                <w:szCs w:val="20"/>
              </w:rPr>
              <w:t>-</w:t>
            </w:r>
          </w:p>
        </w:tc>
        <w:tc>
          <w:tcPr>
            <w:tcW w:w="1353" w:type="dxa"/>
            <w:tcBorders>
              <w:left w:val="nil"/>
              <w:bottom w:val="thickThinSmallGap" w:sz="24" w:space="0" w:color="auto"/>
              <w:right w:val="nil"/>
            </w:tcBorders>
            <w:vAlign w:val="center"/>
          </w:tcPr>
          <w:p w14:paraId="7ABBDA5F" w14:textId="77777777" w:rsidR="00795BB8" w:rsidRPr="00E77DF0" w:rsidRDefault="00795BB8" w:rsidP="00013648">
            <w:pPr>
              <w:ind w:firstLine="94"/>
              <w:jc w:val="center"/>
              <w:rPr>
                <w:color w:val="FF0000"/>
                <w:sz w:val="20"/>
                <w:szCs w:val="20"/>
              </w:rPr>
            </w:pPr>
            <w:r w:rsidRPr="00E77DF0">
              <w:rPr>
                <w:sz w:val="20"/>
                <w:szCs w:val="20"/>
              </w:rPr>
              <w:t>500.0</w:t>
            </w:r>
          </w:p>
        </w:tc>
        <w:tc>
          <w:tcPr>
            <w:tcW w:w="1234" w:type="dxa"/>
            <w:tcBorders>
              <w:left w:val="nil"/>
              <w:bottom w:val="thickThinSmallGap" w:sz="24" w:space="0" w:color="auto"/>
              <w:right w:val="nil"/>
            </w:tcBorders>
            <w:vAlign w:val="center"/>
          </w:tcPr>
          <w:p w14:paraId="13B55C96" w14:textId="77777777" w:rsidR="00795BB8" w:rsidRPr="00E77DF0" w:rsidRDefault="00795BB8" w:rsidP="00013648">
            <w:pPr>
              <w:ind w:firstLine="94"/>
              <w:jc w:val="center"/>
              <w:rPr>
                <w:color w:val="FF0000"/>
                <w:sz w:val="20"/>
                <w:szCs w:val="20"/>
              </w:rPr>
            </w:pPr>
            <w:r w:rsidRPr="00E77DF0">
              <w:rPr>
                <w:sz w:val="20"/>
                <w:szCs w:val="20"/>
              </w:rPr>
              <w:t>-</w:t>
            </w:r>
          </w:p>
        </w:tc>
        <w:tc>
          <w:tcPr>
            <w:tcW w:w="1253" w:type="dxa"/>
            <w:tcBorders>
              <w:left w:val="nil"/>
              <w:bottom w:val="thickThinSmallGap" w:sz="24" w:space="0" w:color="auto"/>
              <w:right w:val="nil"/>
            </w:tcBorders>
            <w:vAlign w:val="center"/>
          </w:tcPr>
          <w:p w14:paraId="2FAD9387" w14:textId="77777777" w:rsidR="00795BB8" w:rsidRPr="00E77DF0" w:rsidRDefault="00795BB8" w:rsidP="00013648">
            <w:pPr>
              <w:ind w:firstLine="94"/>
              <w:jc w:val="center"/>
              <w:rPr>
                <w:color w:val="FF0000"/>
                <w:sz w:val="20"/>
                <w:szCs w:val="20"/>
              </w:rPr>
            </w:pPr>
            <w:r w:rsidRPr="00E77DF0">
              <w:rPr>
                <w:sz w:val="20"/>
                <w:szCs w:val="20"/>
              </w:rPr>
              <w:t>-</w:t>
            </w:r>
          </w:p>
        </w:tc>
      </w:tr>
    </w:tbl>
    <w:p w14:paraId="1C2EF600" w14:textId="77777777" w:rsidR="00795BB8" w:rsidRPr="0070296A" w:rsidRDefault="00795BB8" w:rsidP="00795BB8">
      <w:pPr>
        <w:spacing w:before="120"/>
      </w:pPr>
      <w:r w:rsidRPr="00146A53">
        <w:rPr>
          <w:sz w:val="16"/>
        </w:rPr>
        <w:t>Աղբյուրը՝ ՀՀ ՖՆ հաշվարկներ և կանխատեսումներ</w:t>
      </w:r>
    </w:p>
    <w:p w14:paraId="1A683526" w14:textId="2ACC587D" w:rsidR="00DA0D02" w:rsidRDefault="00DA0D02" w:rsidP="00DA0D02">
      <w:pPr>
        <w:ind w:firstLine="0"/>
        <w:rPr>
          <w:color w:val="FF0000"/>
        </w:rPr>
      </w:pPr>
    </w:p>
    <w:p w14:paraId="45CC3F4F" w14:textId="5D4C46AD" w:rsidR="00E77DF0" w:rsidRPr="00461381" w:rsidRDefault="00E77DF0" w:rsidP="00461381">
      <w:pPr>
        <w:tabs>
          <w:tab w:val="left" w:pos="0"/>
        </w:tabs>
        <w:spacing w:before="120" w:after="0" w:line="276" w:lineRule="auto"/>
        <w:ind w:firstLine="0"/>
        <w:rPr>
          <w:b/>
          <w:color w:val="44546A" w:themeColor="text2"/>
          <w:sz w:val="24"/>
          <w:szCs w:val="24"/>
          <w:lang w:val="hy-AM" w:eastAsia="ru-RU"/>
        </w:rPr>
      </w:pPr>
      <w:bookmarkStart w:id="262" w:name="_Toc138951003"/>
      <w:r w:rsidRPr="00461381">
        <w:rPr>
          <w:b/>
          <w:color w:val="44546A" w:themeColor="text2"/>
          <w:sz w:val="24"/>
          <w:szCs w:val="24"/>
          <w:lang w:val="hy-AM" w:eastAsia="ru-RU"/>
        </w:rPr>
        <w:t>1.4.4. Ընտրված ռազմավարության ծախսերի և ռիսկերի վերլուծությունը</w:t>
      </w:r>
      <w:bookmarkEnd w:id="262"/>
    </w:p>
    <w:p w14:paraId="47A592F0" w14:textId="217D0DF0" w:rsidR="00E77DF0" w:rsidRDefault="00E77DF0" w:rsidP="00D037CF">
      <w:pPr>
        <w:spacing w:before="120" w:after="0" w:line="276" w:lineRule="auto"/>
        <w:ind w:firstLine="0"/>
        <w:rPr>
          <w:lang w:val="es-ES"/>
        </w:rPr>
      </w:pPr>
      <w:r w:rsidRPr="00A71282">
        <w:rPr>
          <w:lang w:val="hy-AM"/>
        </w:rPr>
        <w:t>Կանխատեսված</w:t>
      </w:r>
      <w:r w:rsidRPr="00E77DF0">
        <w:rPr>
          <w:lang w:val="es-ES"/>
        </w:rPr>
        <w:t xml:space="preserve"> </w:t>
      </w:r>
      <w:r w:rsidRPr="00A71282">
        <w:rPr>
          <w:lang w:val="hy-AM"/>
        </w:rPr>
        <w:t>մակրոտնտեսական</w:t>
      </w:r>
      <w:r w:rsidRPr="00E77DF0">
        <w:rPr>
          <w:lang w:val="es-ES"/>
        </w:rPr>
        <w:t xml:space="preserve"> </w:t>
      </w:r>
      <w:r w:rsidRPr="00A71282">
        <w:rPr>
          <w:lang w:val="hy-AM"/>
        </w:rPr>
        <w:t>միջավայրի՝</w:t>
      </w:r>
      <w:r w:rsidRPr="00E77DF0">
        <w:rPr>
          <w:lang w:val="es-ES"/>
        </w:rPr>
        <w:t xml:space="preserve"> 2025-2027 </w:t>
      </w:r>
      <w:r w:rsidRPr="00A71282">
        <w:rPr>
          <w:lang w:val="hy-AM"/>
        </w:rPr>
        <w:t>թվականների</w:t>
      </w:r>
      <w:r w:rsidRPr="00E77DF0">
        <w:rPr>
          <w:lang w:val="es-ES"/>
        </w:rPr>
        <w:t xml:space="preserve"> </w:t>
      </w:r>
      <w:r w:rsidRPr="00A71282">
        <w:rPr>
          <w:lang w:val="hy-AM"/>
        </w:rPr>
        <w:t>պետական</w:t>
      </w:r>
      <w:r w:rsidRPr="00E77DF0">
        <w:rPr>
          <w:lang w:val="es-ES"/>
        </w:rPr>
        <w:t xml:space="preserve"> </w:t>
      </w:r>
      <w:r w:rsidRPr="00A71282">
        <w:rPr>
          <w:lang w:val="hy-AM"/>
        </w:rPr>
        <w:t>միջնաժամկետ</w:t>
      </w:r>
      <w:r w:rsidRPr="00E77DF0">
        <w:rPr>
          <w:lang w:val="es-ES"/>
        </w:rPr>
        <w:t xml:space="preserve"> </w:t>
      </w:r>
      <w:r w:rsidRPr="00A71282">
        <w:rPr>
          <w:lang w:val="hy-AM"/>
        </w:rPr>
        <w:t>ծախսերի</w:t>
      </w:r>
      <w:r w:rsidRPr="00E77DF0">
        <w:rPr>
          <w:lang w:val="es-ES"/>
        </w:rPr>
        <w:t xml:space="preserve"> </w:t>
      </w:r>
      <w:r w:rsidRPr="00A71282">
        <w:rPr>
          <w:lang w:val="hy-AM"/>
        </w:rPr>
        <w:t>ծրագրի</w:t>
      </w:r>
      <w:r w:rsidRPr="00E77DF0">
        <w:rPr>
          <w:lang w:val="es-ES"/>
        </w:rPr>
        <w:t xml:space="preserve"> </w:t>
      </w:r>
      <w:r w:rsidRPr="00A71282">
        <w:rPr>
          <w:lang w:val="hy-AM"/>
        </w:rPr>
        <w:t>հիմնական</w:t>
      </w:r>
      <w:r w:rsidRPr="00E77DF0">
        <w:rPr>
          <w:lang w:val="es-ES"/>
        </w:rPr>
        <w:t xml:space="preserve"> </w:t>
      </w:r>
      <w:r w:rsidRPr="00A71282">
        <w:rPr>
          <w:lang w:val="hy-AM"/>
        </w:rPr>
        <w:t>մակրոտնտեսական</w:t>
      </w:r>
      <w:r w:rsidRPr="00E77DF0">
        <w:rPr>
          <w:lang w:val="es-ES"/>
        </w:rPr>
        <w:t xml:space="preserve"> </w:t>
      </w:r>
      <w:r w:rsidRPr="00A71282">
        <w:rPr>
          <w:lang w:val="hy-AM"/>
        </w:rPr>
        <w:t>սցենարի</w:t>
      </w:r>
      <w:r w:rsidRPr="00E77DF0">
        <w:rPr>
          <w:lang w:val="es-ES"/>
        </w:rPr>
        <w:t xml:space="preserve"> </w:t>
      </w:r>
      <w:r w:rsidRPr="00A71282">
        <w:rPr>
          <w:lang w:val="hy-AM"/>
        </w:rPr>
        <w:t>պայմաններում</w:t>
      </w:r>
      <w:r w:rsidRPr="001D13B6">
        <w:rPr>
          <w:lang w:val="af-ZA"/>
        </w:rPr>
        <w:t>,</w:t>
      </w:r>
      <w:r w:rsidRPr="00E77DF0">
        <w:rPr>
          <w:lang w:val="es-ES"/>
        </w:rPr>
        <w:t xml:space="preserve"> </w:t>
      </w:r>
      <w:r w:rsidRPr="00A71282">
        <w:rPr>
          <w:lang w:val="hy-AM"/>
        </w:rPr>
        <w:t>որտեղ</w:t>
      </w:r>
      <w:r w:rsidRPr="00E77DF0">
        <w:rPr>
          <w:lang w:val="es-ES"/>
        </w:rPr>
        <w:t xml:space="preserve"> </w:t>
      </w:r>
      <w:r w:rsidRPr="00A71282">
        <w:rPr>
          <w:lang w:val="hy-AM"/>
        </w:rPr>
        <w:t>հաշվի</w:t>
      </w:r>
      <w:r w:rsidRPr="00E77DF0">
        <w:rPr>
          <w:lang w:val="es-ES"/>
        </w:rPr>
        <w:t xml:space="preserve"> </w:t>
      </w:r>
      <w:r w:rsidRPr="00A71282">
        <w:rPr>
          <w:lang w:val="hy-AM"/>
        </w:rPr>
        <w:t>են</w:t>
      </w:r>
      <w:r w:rsidRPr="00E77DF0">
        <w:rPr>
          <w:lang w:val="es-ES"/>
        </w:rPr>
        <w:t xml:space="preserve"> </w:t>
      </w:r>
      <w:r w:rsidRPr="00A71282">
        <w:rPr>
          <w:lang w:val="hy-AM"/>
        </w:rPr>
        <w:t>առնվել</w:t>
      </w:r>
      <w:r w:rsidRPr="00E77DF0">
        <w:rPr>
          <w:lang w:val="es-ES"/>
        </w:rPr>
        <w:t xml:space="preserve"> </w:t>
      </w:r>
      <w:r w:rsidRPr="00A71282">
        <w:rPr>
          <w:lang w:val="hy-AM"/>
        </w:rPr>
        <w:t>կանխատեսվող</w:t>
      </w:r>
      <w:r w:rsidRPr="00E77DF0">
        <w:rPr>
          <w:lang w:val="es-ES"/>
        </w:rPr>
        <w:t xml:space="preserve"> </w:t>
      </w:r>
      <w:r w:rsidRPr="00A71282">
        <w:rPr>
          <w:lang w:val="hy-AM"/>
        </w:rPr>
        <w:t>ներքին</w:t>
      </w:r>
      <w:r w:rsidRPr="00E77DF0">
        <w:rPr>
          <w:lang w:val="es-ES"/>
        </w:rPr>
        <w:t xml:space="preserve"> </w:t>
      </w:r>
      <w:r w:rsidRPr="00A71282">
        <w:rPr>
          <w:lang w:val="hy-AM"/>
        </w:rPr>
        <w:t>ու</w:t>
      </w:r>
      <w:r w:rsidRPr="00E77DF0">
        <w:rPr>
          <w:lang w:val="es-ES"/>
        </w:rPr>
        <w:t xml:space="preserve"> </w:t>
      </w:r>
      <w:r w:rsidRPr="00A71282">
        <w:rPr>
          <w:lang w:val="hy-AM"/>
        </w:rPr>
        <w:t>արտաքին</w:t>
      </w:r>
      <w:r w:rsidRPr="00E77DF0">
        <w:rPr>
          <w:lang w:val="es-ES"/>
        </w:rPr>
        <w:t xml:space="preserve"> </w:t>
      </w:r>
      <w:r w:rsidRPr="00A71282">
        <w:rPr>
          <w:lang w:val="hy-AM"/>
        </w:rPr>
        <w:t>պարտքային</w:t>
      </w:r>
      <w:r w:rsidRPr="00E77DF0">
        <w:rPr>
          <w:lang w:val="es-ES"/>
        </w:rPr>
        <w:t xml:space="preserve"> </w:t>
      </w:r>
      <w:r w:rsidRPr="00A71282">
        <w:rPr>
          <w:lang w:val="hy-AM"/>
        </w:rPr>
        <w:t>շուկաների</w:t>
      </w:r>
      <w:r w:rsidRPr="00E77DF0">
        <w:rPr>
          <w:lang w:val="es-ES"/>
        </w:rPr>
        <w:t xml:space="preserve"> </w:t>
      </w:r>
      <w:r w:rsidRPr="00A71282">
        <w:rPr>
          <w:lang w:val="hy-AM"/>
        </w:rPr>
        <w:t>վարքագիծը</w:t>
      </w:r>
      <w:r w:rsidRPr="00E77DF0">
        <w:rPr>
          <w:lang w:val="es-ES"/>
        </w:rPr>
        <w:t xml:space="preserve">, </w:t>
      </w:r>
      <w:r w:rsidRPr="00A71282">
        <w:rPr>
          <w:lang w:val="hy-AM"/>
        </w:rPr>
        <w:t>իսկ</w:t>
      </w:r>
      <w:r w:rsidRPr="00E77DF0">
        <w:rPr>
          <w:lang w:val="es-ES"/>
        </w:rPr>
        <w:t xml:space="preserve"> </w:t>
      </w:r>
      <w:r w:rsidRPr="00A71282">
        <w:rPr>
          <w:lang w:val="hy-AM"/>
        </w:rPr>
        <w:t>ՀՀ</w:t>
      </w:r>
      <w:r w:rsidRPr="00E77DF0">
        <w:rPr>
          <w:lang w:val="es-ES"/>
        </w:rPr>
        <w:t xml:space="preserve"> </w:t>
      </w:r>
      <w:r w:rsidRPr="00A71282">
        <w:rPr>
          <w:lang w:val="hy-AM"/>
        </w:rPr>
        <w:t>կառավարության</w:t>
      </w:r>
      <w:r w:rsidRPr="00E77DF0">
        <w:rPr>
          <w:lang w:val="es-ES"/>
        </w:rPr>
        <w:t xml:space="preserve"> </w:t>
      </w:r>
      <w:r w:rsidRPr="00A71282">
        <w:rPr>
          <w:lang w:val="hy-AM"/>
        </w:rPr>
        <w:t>ֆինանսական</w:t>
      </w:r>
      <w:r w:rsidRPr="00E77DF0">
        <w:rPr>
          <w:lang w:val="es-ES"/>
        </w:rPr>
        <w:t xml:space="preserve"> </w:t>
      </w:r>
      <w:r w:rsidRPr="00A71282">
        <w:rPr>
          <w:lang w:val="hy-AM"/>
        </w:rPr>
        <w:t>կարիքը</w:t>
      </w:r>
      <w:r w:rsidRPr="00E77DF0">
        <w:rPr>
          <w:lang w:val="es-ES"/>
        </w:rPr>
        <w:t xml:space="preserve"> 2025</w:t>
      </w:r>
      <w:r w:rsidRPr="00A71282">
        <w:rPr>
          <w:lang w:val="hy-AM"/>
        </w:rPr>
        <w:t>թ</w:t>
      </w:r>
      <w:r w:rsidRPr="00E77DF0">
        <w:rPr>
          <w:lang w:val="es-ES"/>
        </w:rPr>
        <w:t>-</w:t>
      </w:r>
      <w:r w:rsidRPr="00A71282">
        <w:rPr>
          <w:lang w:val="hy-AM"/>
        </w:rPr>
        <w:t>ին</w:t>
      </w:r>
      <w:r w:rsidRPr="00E77DF0">
        <w:rPr>
          <w:lang w:val="es-ES"/>
        </w:rPr>
        <w:t xml:space="preserve"> </w:t>
      </w:r>
      <w:r w:rsidRPr="00A71282">
        <w:rPr>
          <w:lang w:val="hy-AM"/>
        </w:rPr>
        <w:t>աճում</w:t>
      </w:r>
      <w:r w:rsidRPr="00E77DF0">
        <w:rPr>
          <w:lang w:val="es-ES"/>
        </w:rPr>
        <w:t xml:space="preserve"> </w:t>
      </w:r>
      <w:r w:rsidRPr="00A71282">
        <w:rPr>
          <w:lang w:val="hy-AM"/>
        </w:rPr>
        <w:t>է</w:t>
      </w:r>
      <w:r w:rsidRPr="00E77DF0">
        <w:rPr>
          <w:lang w:val="es-ES"/>
        </w:rPr>
        <w:t xml:space="preserve"> 2024</w:t>
      </w:r>
      <w:r w:rsidRPr="00A71282">
        <w:rPr>
          <w:lang w:val="hy-AM"/>
        </w:rPr>
        <w:t>թ</w:t>
      </w:r>
      <w:r w:rsidRPr="00E77DF0">
        <w:rPr>
          <w:lang w:val="es-ES"/>
        </w:rPr>
        <w:t>-</w:t>
      </w:r>
      <w:r w:rsidRPr="00A71282">
        <w:rPr>
          <w:lang w:val="hy-AM"/>
        </w:rPr>
        <w:t>ի</w:t>
      </w:r>
      <w:r w:rsidRPr="00E77DF0">
        <w:rPr>
          <w:lang w:val="es-ES"/>
        </w:rPr>
        <w:t xml:space="preserve"> </w:t>
      </w:r>
      <w:r w:rsidRPr="00A71282">
        <w:rPr>
          <w:lang w:val="hy-AM"/>
        </w:rPr>
        <w:t>նկատմամբ</w:t>
      </w:r>
      <w:r w:rsidRPr="00E77DF0">
        <w:rPr>
          <w:lang w:val="es-ES"/>
        </w:rPr>
        <w:t xml:space="preserve"> </w:t>
      </w:r>
      <w:r w:rsidRPr="00A71282">
        <w:rPr>
          <w:lang w:val="hy-AM"/>
        </w:rPr>
        <w:t>մոտ</w:t>
      </w:r>
      <w:r w:rsidRPr="00E77DF0">
        <w:rPr>
          <w:lang w:val="es-ES"/>
        </w:rPr>
        <w:t xml:space="preserve"> 44%-</w:t>
      </w:r>
      <w:r w:rsidRPr="00A71282">
        <w:rPr>
          <w:lang w:val="hy-AM"/>
        </w:rPr>
        <w:t>ով</w:t>
      </w:r>
      <w:r w:rsidRPr="00E77DF0">
        <w:rPr>
          <w:lang w:val="es-ES"/>
        </w:rPr>
        <w:t xml:space="preserve">, </w:t>
      </w:r>
      <w:r w:rsidRPr="00A71282">
        <w:rPr>
          <w:lang w:val="hy-AM"/>
        </w:rPr>
        <w:t>ՀՀ</w:t>
      </w:r>
      <w:r w:rsidRPr="00E77DF0">
        <w:rPr>
          <w:lang w:val="es-ES"/>
        </w:rPr>
        <w:t xml:space="preserve"> </w:t>
      </w:r>
      <w:r w:rsidRPr="00A71282">
        <w:rPr>
          <w:lang w:val="hy-AM"/>
        </w:rPr>
        <w:t>կառավարության</w:t>
      </w:r>
      <w:r w:rsidRPr="00E77DF0">
        <w:rPr>
          <w:lang w:val="es-ES"/>
        </w:rPr>
        <w:t xml:space="preserve"> </w:t>
      </w:r>
      <w:r w:rsidRPr="00A71282">
        <w:rPr>
          <w:lang w:val="hy-AM"/>
        </w:rPr>
        <w:t>պարտքի</w:t>
      </w:r>
      <w:r w:rsidRPr="00E77DF0">
        <w:rPr>
          <w:lang w:val="es-ES"/>
        </w:rPr>
        <w:t xml:space="preserve"> </w:t>
      </w:r>
      <w:r w:rsidRPr="00A71282">
        <w:rPr>
          <w:lang w:val="hy-AM"/>
        </w:rPr>
        <w:t>տոկոսավճարների</w:t>
      </w:r>
      <w:r w:rsidRPr="00E77DF0">
        <w:rPr>
          <w:lang w:val="es-ES"/>
        </w:rPr>
        <w:t xml:space="preserve"> </w:t>
      </w:r>
      <w:r w:rsidRPr="00A71282">
        <w:rPr>
          <w:lang w:val="hy-AM"/>
        </w:rPr>
        <w:t>բեռն</w:t>
      </w:r>
      <w:r w:rsidRPr="00E77DF0">
        <w:rPr>
          <w:lang w:val="es-ES"/>
        </w:rPr>
        <w:t xml:space="preserve"> </w:t>
      </w:r>
      <w:r w:rsidRPr="00A71282">
        <w:rPr>
          <w:lang w:val="hy-AM"/>
        </w:rPr>
        <w:t>աստիճանաբար</w:t>
      </w:r>
      <w:r w:rsidRPr="00E77DF0">
        <w:rPr>
          <w:lang w:val="es-ES"/>
        </w:rPr>
        <w:t xml:space="preserve"> </w:t>
      </w:r>
      <w:r w:rsidRPr="00A71282">
        <w:rPr>
          <w:lang w:val="hy-AM"/>
        </w:rPr>
        <w:t>ավելանում</w:t>
      </w:r>
      <w:r w:rsidRPr="00E77DF0">
        <w:rPr>
          <w:lang w:val="es-ES"/>
        </w:rPr>
        <w:t xml:space="preserve"> </w:t>
      </w:r>
      <w:r w:rsidRPr="00A71282">
        <w:rPr>
          <w:lang w:val="hy-AM"/>
        </w:rPr>
        <w:t>է</w:t>
      </w:r>
      <w:r w:rsidRPr="00E77DF0">
        <w:rPr>
          <w:lang w:val="es-ES"/>
        </w:rPr>
        <w:t xml:space="preserve"> </w:t>
      </w:r>
      <w:r w:rsidRPr="00A71282">
        <w:rPr>
          <w:lang w:val="hy-AM"/>
        </w:rPr>
        <w:t>և</w:t>
      </w:r>
      <w:r w:rsidRPr="00E77DF0">
        <w:rPr>
          <w:lang w:val="es-ES"/>
        </w:rPr>
        <w:t xml:space="preserve"> </w:t>
      </w:r>
      <w:r w:rsidRPr="00A71282">
        <w:rPr>
          <w:lang w:val="hy-AM"/>
        </w:rPr>
        <w:t>կայունանում</w:t>
      </w:r>
      <w:r w:rsidRPr="00E77DF0">
        <w:rPr>
          <w:lang w:val="es-ES"/>
        </w:rPr>
        <w:t xml:space="preserve"> </w:t>
      </w:r>
      <w:r w:rsidRPr="00A71282">
        <w:rPr>
          <w:lang w:val="hy-AM"/>
        </w:rPr>
        <w:t>միջնաժամկետ</w:t>
      </w:r>
      <w:r w:rsidRPr="00E77DF0">
        <w:rPr>
          <w:lang w:val="es-ES"/>
        </w:rPr>
        <w:t xml:space="preserve"> </w:t>
      </w:r>
      <w:r w:rsidRPr="00A71282">
        <w:rPr>
          <w:lang w:val="hy-AM"/>
        </w:rPr>
        <w:t>հատվածի</w:t>
      </w:r>
      <w:r w:rsidRPr="00E77DF0">
        <w:rPr>
          <w:lang w:val="es-ES"/>
        </w:rPr>
        <w:t xml:space="preserve"> </w:t>
      </w:r>
      <w:r w:rsidRPr="00A71282">
        <w:rPr>
          <w:lang w:val="hy-AM"/>
        </w:rPr>
        <w:t>վերջում</w:t>
      </w:r>
      <w:r w:rsidRPr="00E77DF0">
        <w:rPr>
          <w:lang w:val="es-ES"/>
        </w:rPr>
        <w:t>:</w:t>
      </w:r>
    </w:p>
    <w:p w14:paraId="558C68AF" w14:textId="77777777" w:rsidR="007F635D" w:rsidRPr="00E77DF0" w:rsidRDefault="007F635D" w:rsidP="00D037CF">
      <w:pPr>
        <w:spacing w:before="120" w:after="0" w:line="276" w:lineRule="auto"/>
        <w:ind w:firstLine="0"/>
        <w:rPr>
          <w:b/>
          <w:lang w:val="es-ES"/>
        </w:rPr>
      </w:pPr>
    </w:p>
    <w:p w14:paraId="3602E7D7" w14:textId="77777777" w:rsidR="00E77DF0" w:rsidRPr="001D13B6" w:rsidRDefault="00E77DF0" w:rsidP="00D037CF">
      <w:pPr>
        <w:pStyle w:val="afd"/>
        <w:keepNext w:val="0"/>
        <w:numPr>
          <w:ilvl w:val="0"/>
          <w:numId w:val="21"/>
        </w:numPr>
        <w:spacing w:before="120" w:after="0" w:line="276" w:lineRule="auto"/>
        <w:ind w:left="0" w:firstLine="0"/>
        <w:jc w:val="both"/>
      </w:pPr>
      <w:r w:rsidRPr="001D13B6">
        <w:t>ՀՀ կառավարության պարտքի պորտֆելի ծախսերի ցուցանիշների կանխատեսումները</w:t>
      </w:r>
    </w:p>
    <w:tbl>
      <w:tblPr>
        <w:tblW w:w="10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8"/>
        <w:gridCol w:w="980"/>
        <w:gridCol w:w="1504"/>
        <w:gridCol w:w="1111"/>
        <w:gridCol w:w="899"/>
        <w:gridCol w:w="969"/>
        <w:gridCol w:w="1031"/>
      </w:tblGrid>
      <w:tr w:rsidR="00E77DF0" w:rsidRPr="001D13B6" w14:paraId="1320EB42" w14:textId="77777777" w:rsidTr="00E77DF0">
        <w:trPr>
          <w:trHeight w:val="771"/>
          <w:tblHeader/>
          <w:jc w:val="center"/>
        </w:trPr>
        <w:tc>
          <w:tcPr>
            <w:tcW w:w="3738" w:type="dxa"/>
            <w:tcBorders>
              <w:top w:val="thinThickThinSmallGap" w:sz="24" w:space="0" w:color="auto"/>
              <w:left w:val="nil"/>
              <w:bottom w:val="thinThickSmallGap" w:sz="24" w:space="0" w:color="auto"/>
              <w:right w:val="nil"/>
            </w:tcBorders>
            <w:shd w:val="clear" w:color="auto" w:fill="BDD6EE" w:themeFill="accent1" w:themeFillTint="66"/>
          </w:tcPr>
          <w:p w14:paraId="2884F71A" w14:textId="77777777" w:rsidR="00E77DF0" w:rsidRPr="00E77DF0" w:rsidRDefault="00E77DF0" w:rsidP="00D037CF">
            <w:pPr>
              <w:spacing w:before="120" w:after="0" w:line="276" w:lineRule="auto"/>
              <w:ind w:firstLine="0"/>
              <w:rPr>
                <w:sz w:val="20"/>
                <w:szCs w:val="20"/>
                <w:lang w:val="es-ES"/>
              </w:rPr>
            </w:pPr>
          </w:p>
        </w:tc>
        <w:tc>
          <w:tcPr>
            <w:tcW w:w="980" w:type="dxa"/>
            <w:tcBorders>
              <w:top w:val="thinThickThinSmallGap" w:sz="24" w:space="0" w:color="auto"/>
              <w:left w:val="nil"/>
              <w:bottom w:val="thinThickSmallGap" w:sz="24" w:space="0" w:color="auto"/>
              <w:right w:val="nil"/>
            </w:tcBorders>
            <w:shd w:val="clear" w:color="auto" w:fill="BDD6EE" w:themeFill="accent1" w:themeFillTint="66"/>
          </w:tcPr>
          <w:p w14:paraId="10086BAD" w14:textId="77777777" w:rsidR="00E77DF0" w:rsidRPr="00E77DF0" w:rsidRDefault="00E77DF0" w:rsidP="00D037CF">
            <w:pPr>
              <w:spacing w:before="120" w:after="0" w:line="276" w:lineRule="auto"/>
              <w:ind w:firstLine="0"/>
              <w:rPr>
                <w:sz w:val="20"/>
                <w:szCs w:val="20"/>
              </w:rPr>
            </w:pPr>
            <w:r w:rsidRPr="00E77DF0">
              <w:rPr>
                <w:sz w:val="20"/>
                <w:szCs w:val="20"/>
              </w:rPr>
              <w:t>2023 փաստ.</w:t>
            </w:r>
          </w:p>
        </w:tc>
        <w:tc>
          <w:tcPr>
            <w:tcW w:w="1504"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2E178D69" w14:textId="77777777" w:rsidR="00E77DF0" w:rsidRPr="00E77DF0" w:rsidRDefault="00E77DF0" w:rsidP="00D037CF">
            <w:pPr>
              <w:spacing w:before="120" w:after="0" w:line="276" w:lineRule="auto"/>
              <w:ind w:firstLine="0"/>
              <w:rPr>
                <w:sz w:val="20"/>
                <w:szCs w:val="20"/>
              </w:rPr>
            </w:pPr>
            <w:r w:rsidRPr="00E77DF0">
              <w:rPr>
                <w:sz w:val="20"/>
                <w:szCs w:val="20"/>
              </w:rPr>
              <w:t>2024 պետբյուջեի ծրագիր</w:t>
            </w:r>
          </w:p>
        </w:tc>
        <w:tc>
          <w:tcPr>
            <w:tcW w:w="1111"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5898CC82" w14:textId="77777777" w:rsidR="00E77DF0" w:rsidRPr="00E77DF0" w:rsidRDefault="00E77DF0" w:rsidP="00D037CF">
            <w:pPr>
              <w:spacing w:before="120" w:after="0" w:line="276" w:lineRule="auto"/>
              <w:ind w:firstLine="0"/>
              <w:rPr>
                <w:sz w:val="20"/>
                <w:szCs w:val="20"/>
              </w:rPr>
            </w:pPr>
            <w:r w:rsidRPr="00E77DF0">
              <w:rPr>
                <w:sz w:val="20"/>
                <w:szCs w:val="20"/>
              </w:rPr>
              <w:t>2024 կանխ.</w:t>
            </w:r>
          </w:p>
        </w:tc>
        <w:tc>
          <w:tcPr>
            <w:tcW w:w="89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8EA8F7C" w14:textId="77777777" w:rsidR="00E77DF0" w:rsidRPr="00E77DF0" w:rsidRDefault="00E77DF0" w:rsidP="00D037CF">
            <w:pPr>
              <w:spacing w:before="120" w:after="0" w:line="276" w:lineRule="auto"/>
              <w:ind w:firstLine="0"/>
              <w:rPr>
                <w:sz w:val="20"/>
                <w:szCs w:val="20"/>
              </w:rPr>
            </w:pPr>
            <w:r w:rsidRPr="00E77DF0">
              <w:rPr>
                <w:sz w:val="20"/>
                <w:szCs w:val="20"/>
              </w:rPr>
              <w:t>2025 կանխ.</w:t>
            </w:r>
          </w:p>
        </w:tc>
        <w:tc>
          <w:tcPr>
            <w:tcW w:w="96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98F7657" w14:textId="77777777" w:rsidR="00E77DF0" w:rsidRPr="00E77DF0" w:rsidRDefault="00E77DF0" w:rsidP="00D037CF">
            <w:pPr>
              <w:spacing w:before="120" w:after="0" w:line="276" w:lineRule="auto"/>
              <w:ind w:firstLine="0"/>
              <w:rPr>
                <w:sz w:val="20"/>
                <w:szCs w:val="20"/>
              </w:rPr>
            </w:pPr>
            <w:r w:rsidRPr="00E77DF0">
              <w:rPr>
                <w:sz w:val="20"/>
                <w:szCs w:val="20"/>
              </w:rPr>
              <w:t>2026 կանխ.</w:t>
            </w:r>
          </w:p>
        </w:tc>
        <w:tc>
          <w:tcPr>
            <w:tcW w:w="1031"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FBBCFD4" w14:textId="77777777" w:rsidR="00E77DF0" w:rsidRPr="00E77DF0" w:rsidRDefault="00E77DF0" w:rsidP="00D037CF">
            <w:pPr>
              <w:spacing w:before="120" w:after="0" w:line="276" w:lineRule="auto"/>
              <w:ind w:firstLine="0"/>
              <w:rPr>
                <w:sz w:val="20"/>
                <w:szCs w:val="20"/>
              </w:rPr>
            </w:pPr>
            <w:r w:rsidRPr="00E77DF0">
              <w:rPr>
                <w:sz w:val="20"/>
                <w:szCs w:val="20"/>
              </w:rPr>
              <w:t>2027 կանխ.</w:t>
            </w:r>
          </w:p>
        </w:tc>
      </w:tr>
      <w:tr w:rsidR="00E77DF0" w:rsidRPr="001D13B6" w14:paraId="6E005F6D" w14:textId="77777777" w:rsidTr="00013648">
        <w:trPr>
          <w:trHeight w:val="447"/>
          <w:jc w:val="center"/>
        </w:trPr>
        <w:tc>
          <w:tcPr>
            <w:tcW w:w="3738" w:type="dxa"/>
            <w:tcBorders>
              <w:left w:val="nil"/>
              <w:right w:val="nil"/>
            </w:tcBorders>
            <w:vAlign w:val="center"/>
          </w:tcPr>
          <w:p w14:paraId="70EE0489" w14:textId="77777777" w:rsidR="00E77DF0" w:rsidRPr="00E77DF0" w:rsidRDefault="00E77DF0" w:rsidP="00D037CF">
            <w:pPr>
              <w:spacing w:before="120" w:after="0" w:line="276" w:lineRule="auto"/>
              <w:ind w:firstLine="0"/>
              <w:rPr>
                <w:sz w:val="20"/>
                <w:szCs w:val="20"/>
              </w:rPr>
            </w:pPr>
            <w:r w:rsidRPr="00E77DF0">
              <w:rPr>
                <w:sz w:val="20"/>
                <w:szCs w:val="20"/>
              </w:rPr>
              <w:t>Տոկոսավճար/ՀՆԱ (%)</w:t>
            </w:r>
          </w:p>
        </w:tc>
        <w:tc>
          <w:tcPr>
            <w:tcW w:w="980" w:type="dxa"/>
            <w:tcBorders>
              <w:left w:val="nil"/>
              <w:right w:val="nil"/>
            </w:tcBorders>
            <w:vAlign w:val="center"/>
          </w:tcPr>
          <w:p w14:paraId="7630F97F" w14:textId="77777777" w:rsidR="00E77DF0" w:rsidRPr="00E77DF0" w:rsidRDefault="00E77DF0" w:rsidP="00D037CF">
            <w:pPr>
              <w:spacing w:before="120" w:after="0" w:line="276" w:lineRule="auto"/>
              <w:ind w:firstLine="0"/>
              <w:rPr>
                <w:sz w:val="20"/>
                <w:szCs w:val="20"/>
              </w:rPr>
            </w:pPr>
            <w:r w:rsidRPr="00E77DF0">
              <w:rPr>
                <w:sz w:val="20"/>
                <w:szCs w:val="20"/>
              </w:rPr>
              <w:t>2.7</w:t>
            </w:r>
          </w:p>
        </w:tc>
        <w:tc>
          <w:tcPr>
            <w:tcW w:w="1504" w:type="dxa"/>
            <w:tcBorders>
              <w:left w:val="nil"/>
              <w:right w:val="double" w:sz="4" w:space="0" w:color="auto"/>
            </w:tcBorders>
            <w:vAlign w:val="center"/>
          </w:tcPr>
          <w:p w14:paraId="4FE0758C" w14:textId="77777777" w:rsidR="00E77DF0" w:rsidRPr="00E77DF0" w:rsidRDefault="00E77DF0" w:rsidP="00D037CF">
            <w:pPr>
              <w:spacing w:before="120" w:after="0" w:line="276" w:lineRule="auto"/>
              <w:ind w:firstLine="0"/>
              <w:rPr>
                <w:sz w:val="20"/>
                <w:szCs w:val="20"/>
              </w:rPr>
            </w:pPr>
            <w:r w:rsidRPr="00E77DF0">
              <w:rPr>
                <w:sz w:val="20"/>
                <w:szCs w:val="20"/>
              </w:rPr>
              <w:t xml:space="preserve"> 3.1</w:t>
            </w:r>
          </w:p>
        </w:tc>
        <w:tc>
          <w:tcPr>
            <w:tcW w:w="1111" w:type="dxa"/>
            <w:tcBorders>
              <w:left w:val="double" w:sz="4" w:space="0" w:color="auto"/>
              <w:right w:val="nil"/>
            </w:tcBorders>
            <w:vAlign w:val="center"/>
          </w:tcPr>
          <w:p w14:paraId="710A51CD" w14:textId="77777777" w:rsidR="00E77DF0" w:rsidRPr="00E77DF0" w:rsidRDefault="00E77DF0" w:rsidP="00D037CF">
            <w:pPr>
              <w:spacing w:before="120" w:after="0" w:line="276" w:lineRule="auto"/>
              <w:ind w:firstLine="0"/>
              <w:rPr>
                <w:sz w:val="20"/>
                <w:szCs w:val="20"/>
              </w:rPr>
            </w:pPr>
            <w:r w:rsidRPr="00E77DF0">
              <w:rPr>
                <w:sz w:val="20"/>
                <w:szCs w:val="20"/>
              </w:rPr>
              <w:t xml:space="preserve"> 3.1 </w:t>
            </w:r>
          </w:p>
        </w:tc>
        <w:tc>
          <w:tcPr>
            <w:tcW w:w="899" w:type="dxa"/>
            <w:tcBorders>
              <w:left w:val="nil"/>
              <w:right w:val="nil"/>
            </w:tcBorders>
            <w:vAlign w:val="center"/>
          </w:tcPr>
          <w:p w14:paraId="33F10C6D" w14:textId="77777777" w:rsidR="00E77DF0" w:rsidRPr="00E77DF0" w:rsidRDefault="00E77DF0" w:rsidP="00D037CF">
            <w:pPr>
              <w:spacing w:before="120" w:after="0" w:line="276" w:lineRule="auto"/>
              <w:ind w:firstLine="0"/>
              <w:rPr>
                <w:sz w:val="20"/>
                <w:szCs w:val="20"/>
              </w:rPr>
            </w:pPr>
            <w:r w:rsidRPr="00E77DF0">
              <w:rPr>
                <w:sz w:val="20"/>
                <w:szCs w:val="20"/>
              </w:rPr>
              <w:t xml:space="preserve"> 3.5 </w:t>
            </w:r>
          </w:p>
        </w:tc>
        <w:tc>
          <w:tcPr>
            <w:tcW w:w="969" w:type="dxa"/>
            <w:tcBorders>
              <w:left w:val="nil"/>
              <w:right w:val="nil"/>
            </w:tcBorders>
            <w:vAlign w:val="center"/>
          </w:tcPr>
          <w:p w14:paraId="41767B41" w14:textId="77777777" w:rsidR="00E77DF0" w:rsidRPr="00E77DF0" w:rsidRDefault="00E77DF0" w:rsidP="00D037CF">
            <w:pPr>
              <w:spacing w:before="120" w:after="0" w:line="276" w:lineRule="auto"/>
              <w:ind w:firstLine="0"/>
              <w:rPr>
                <w:sz w:val="20"/>
                <w:szCs w:val="20"/>
              </w:rPr>
            </w:pPr>
            <w:r w:rsidRPr="00E77DF0">
              <w:rPr>
                <w:sz w:val="20"/>
                <w:szCs w:val="20"/>
              </w:rPr>
              <w:t xml:space="preserve"> 3.6 </w:t>
            </w:r>
          </w:p>
        </w:tc>
        <w:tc>
          <w:tcPr>
            <w:tcW w:w="1031" w:type="dxa"/>
            <w:tcBorders>
              <w:left w:val="nil"/>
              <w:right w:val="nil"/>
            </w:tcBorders>
            <w:vAlign w:val="center"/>
          </w:tcPr>
          <w:p w14:paraId="7963354A" w14:textId="77777777" w:rsidR="00E77DF0" w:rsidRPr="00E77DF0" w:rsidRDefault="00E77DF0" w:rsidP="00D037CF">
            <w:pPr>
              <w:spacing w:before="120" w:after="0" w:line="276" w:lineRule="auto"/>
              <w:ind w:firstLine="0"/>
              <w:rPr>
                <w:sz w:val="20"/>
                <w:szCs w:val="20"/>
              </w:rPr>
            </w:pPr>
            <w:r w:rsidRPr="00E77DF0">
              <w:rPr>
                <w:sz w:val="20"/>
                <w:szCs w:val="20"/>
              </w:rPr>
              <w:t xml:space="preserve"> 3.6 </w:t>
            </w:r>
          </w:p>
        </w:tc>
      </w:tr>
      <w:tr w:rsidR="00E77DF0" w:rsidRPr="001D13B6" w14:paraId="49EF1F86" w14:textId="77777777" w:rsidTr="00013648">
        <w:trPr>
          <w:trHeight w:val="401"/>
          <w:jc w:val="center"/>
        </w:trPr>
        <w:tc>
          <w:tcPr>
            <w:tcW w:w="3738" w:type="dxa"/>
            <w:tcBorders>
              <w:left w:val="nil"/>
              <w:right w:val="nil"/>
            </w:tcBorders>
            <w:vAlign w:val="center"/>
          </w:tcPr>
          <w:p w14:paraId="1F59C911" w14:textId="77777777" w:rsidR="00E77DF0" w:rsidRPr="00E77DF0" w:rsidRDefault="00E77DF0" w:rsidP="00D037CF">
            <w:pPr>
              <w:spacing w:before="120" w:after="0" w:line="276" w:lineRule="auto"/>
              <w:ind w:firstLine="0"/>
              <w:rPr>
                <w:sz w:val="20"/>
                <w:szCs w:val="20"/>
              </w:rPr>
            </w:pPr>
            <w:r w:rsidRPr="00E77DF0">
              <w:rPr>
                <w:sz w:val="20"/>
                <w:szCs w:val="20"/>
              </w:rPr>
              <w:t>Տոկոսավճար/պետական բյուջեի եկամուտներ(%)</w:t>
            </w:r>
          </w:p>
        </w:tc>
        <w:tc>
          <w:tcPr>
            <w:tcW w:w="980" w:type="dxa"/>
            <w:tcBorders>
              <w:left w:val="nil"/>
              <w:right w:val="nil"/>
            </w:tcBorders>
            <w:vAlign w:val="center"/>
          </w:tcPr>
          <w:p w14:paraId="52835D61" w14:textId="77777777" w:rsidR="00E77DF0" w:rsidRPr="00E77DF0" w:rsidRDefault="00E77DF0" w:rsidP="00D037CF">
            <w:pPr>
              <w:spacing w:before="120" w:after="0" w:line="276" w:lineRule="auto"/>
              <w:ind w:firstLine="0"/>
              <w:rPr>
                <w:sz w:val="20"/>
                <w:szCs w:val="20"/>
              </w:rPr>
            </w:pPr>
            <w:r w:rsidRPr="00E77DF0">
              <w:rPr>
                <w:sz w:val="20"/>
                <w:szCs w:val="20"/>
              </w:rPr>
              <w:t>10.7</w:t>
            </w:r>
          </w:p>
        </w:tc>
        <w:tc>
          <w:tcPr>
            <w:tcW w:w="1504" w:type="dxa"/>
            <w:tcBorders>
              <w:left w:val="nil"/>
              <w:right w:val="double" w:sz="4" w:space="0" w:color="auto"/>
            </w:tcBorders>
            <w:vAlign w:val="center"/>
          </w:tcPr>
          <w:p w14:paraId="14A221AA" w14:textId="77777777" w:rsidR="00E77DF0" w:rsidRPr="00E77DF0" w:rsidRDefault="00E77DF0" w:rsidP="00D037CF">
            <w:pPr>
              <w:spacing w:before="120" w:after="0" w:line="276" w:lineRule="auto"/>
              <w:ind w:firstLine="0"/>
              <w:rPr>
                <w:sz w:val="20"/>
                <w:szCs w:val="20"/>
              </w:rPr>
            </w:pPr>
            <w:r w:rsidRPr="00E77DF0">
              <w:rPr>
                <w:sz w:val="20"/>
                <w:szCs w:val="20"/>
              </w:rPr>
              <w:t xml:space="preserve"> 11.9 </w:t>
            </w:r>
          </w:p>
        </w:tc>
        <w:tc>
          <w:tcPr>
            <w:tcW w:w="1111" w:type="dxa"/>
            <w:tcBorders>
              <w:left w:val="double" w:sz="4" w:space="0" w:color="auto"/>
              <w:right w:val="nil"/>
            </w:tcBorders>
            <w:vAlign w:val="center"/>
          </w:tcPr>
          <w:p w14:paraId="2AF23EEA" w14:textId="77777777" w:rsidR="00E77DF0" w:rsidRPr="00E77DF0" w:rsidRDefault="00E77DF0" w:rsidP="00D037CF">
            <w:pPr>
              <w:spacing w:before="120" w:after="0" w:line="276" w:lineRule="auto"/>
              <w:ind w:firstLine="0"/>
              <w:rPr>
                <w:sz w:val="20"/>
                <w:szCs w:val="20"/>
              </w:rPr>
            </w:pPr>
            <w:r w:rsidRPr="00E77DF0">
              <w:rPr>
                <w:sz w:val="20"/>
                <w:szCs w:val="20"/>
              </w:rPr>
              <w:t xml:space="preserve"> 11.9 </w:t>
            </w:r>
          </w:p>
        </w:tc>
        <w:tc>
          <w:tcPr>
            <w:tcW w:w="899" w:type="dxa"/>
            <w:tcBorders>
              <w:left w:val="nil"/>
              <w:right w:val="nil"/>
            </w:tcBorders>
            <w:vAlign w:val="center"/>
          </w:tcPr>
          <w:p w14:paraId="2A646DC7" w14:textId="77777777" w:rsidR="00E77DF0" w:rsidRPr="00E77DF0" w:rsidRDefault="00E77DF0" w:rsidP="00D037CF">
            <w:pPr>
              <w:spacing w:before="120" w:after="0" w:line="276" w:lineRule="auto"/>
              <w:ind w:firstLine="0"/>
              <w:rPr>
                <w:sz w:val="20"/>
                <w:szCs w:val="20"/>
              </w:rPr>
            </w:pPr>
            <w:r w:rsidRPr="00E77DF0">
              <w:rPr>
                <w:sz w:val="20"/>
                <w:szCs w:val="20"/>
              </w:rPr>
              <w:t xml:space="preserve">13.6 </w:t>
            </w:r>
          </w:p>
        </w:tc>
        <w:tc>
          <w:tcPr>
            <w:tcW w:w="969" w:type="dxa"/>
            <w:tcBorders>
              <w:left w:val="nil"/>
              <w:right w:val="nil"/>
            </w:tcBorders>
            <w:vAlign w:val="center"/>
          </w:tcPr>
          <w:p w14:paraId="69D42BCE" w14:textId="77777777" w:rsidR="00E77DF0" w:rsidRPr="00E77DF0" w:rsidRDefault="00E77DF0" w:rsidP="00D037CF">
            <w:pPr>
              <w:spacing w:before="120" w:after="0" w:line="276" w:lineRule="auto"/>
              <w:ind w:firstLine="0"/>
              <w:rPr>
                <w:sz w:val="20"/>
                <w:szCs w:val="20"/>
              </w:rPr>
            </w:pPr>
            <w:r w:rsidRPr="00E77DF0">
              <w:rPr>
                <w:sz w:val="20"/>
                <w:szCs w:val="20"/>
              </w:rPr>
              <w:t xml:space="preserve"> 13.5 </w:t>
            </w:r>
          </w:p>
        </w:tc>
        <w:tc>
          <w:tcPr>
            <w:tcW w:w="1031" w:type="dxa"/>
            <w:tcBorders>
              <w:left w:val="nil"/>
              <w:right w:val="nil"/>
            </w:tcBorders>
            <w:vAlign w:val="center"/>
          </w:tcPr>
          <w:p w14:paraId="0BA166BD" w14:textId="77777777" w:rsidR="00E77DF0" w:rsidRPr="00E77DF0" w:rsidRDefault="00E77DF0" w:rsidP="00D037CF">
            <w:pPr>
              <w:spacing w:before="120" w:after="0" w:line="276" w:lineRule="auto"/>
              <w:ind w:firstLine="0"/>
              <w:rPr>
                <w:sz w:val="20"/>
                <w:szCs w:val="20"/>
              </w:rPr>
            </w:pPr>
            <w:r w:rsidRPr="00E77DF0">
              <w:rPr>
                <w:sz w:val="20"/>
                <w:szCs w:val="20"/>
              </w:rPr>
              <w:t xml:space="preserve">13.5 </w:t>
            </w:r>
          </w:p>
        </w:tc>
      </w:tr>
      <w:tr w:rsidR="00E77DF0" w:rsidRPr="001D13B6" w14:paraId="11641482" w14:textId="77777777" w:rsidTr="00013648">
        <w:trPr>
          <w:trHeight w:val="408"/>
          <w:jc w:val="center"/>
        </w:trPr>
        <w:tc>
          <w:tcPr>
            <w:tcW w:w="3738" w:type="dxa"/>
            <w:tcBorders>
              <w:left w:val="nil"/>
              <w:right w:val="nil"/>
            </w:tcBorders>
            <w:vAlign w:val="center"/>
          </w:tcPr>
          <w:p w14:paraId="759940BA" w14:textId="77777777" w:rsidR="00E77DF0" w:rsidRPr="00E77DF0" w:rsidRDefault="00E77DF0" w:rsidP="00D037CF">
            <w:pPr>
              <w:spacing w:before="120" w:after="0" w:line="276" w:lineRule="auto"/>
              <w:ind w:firstLine="0"/>
              <w:rPr>
                <w:sz w:val="20"/>
                <w:szCs w:val="20"/>
              </w:rPr>
            </w:pPr>
            <w:r w:rsidRPr="00E77DF0">
              <w:rPr>
                <w:sz w:val="20"/>
                <w:szCs w:val="20"/>
              </w:rPr>
              <w:t>Տոկոսավճար/պետական բյուջեի ծախսեր (%)</w:t>
            </w:r>
          </w:p>
        </w:tc>
        <w:tc>
          <w:tcPr>
            <w:tcW w:w="980" w:type="dxa"/>
            <w:tcBorders>
              <w:left w:val="nil"/>
              <w:right w:val="nil"/>
            </w:tcBorders>
            <w:vAlign w:val="center"/>
          </w:tcPr>
          <w:p w14:paraId="135512BD" w14:textId="77777777" w:rsidR="00E77DF0" w:rsidRPr="00E77DF0" w:rsidRDefault="00E77DF0" w:rsidP="00D037CF">
            <w:pPr>
              <w:spacing w:before="120" w:after="0" w:line="276" w:lineRule="auto"/>
              <w:ind w:firstLine="0"/>
              <w:rPr>
                <w:sz w:val="20"/>
                <w:szCs w:val="20"/>
              </w:rPr>
            </w:pPr>
            <w:r w:rsidRPr="00E77DF0">
              <w:rPr>
                <w:sz w:val="20"/>
                <w:szCs w:val="20"/>
              </w:rPr>
              <w:t>9.9</w:t>
            </w:r>
          </w:p>
        </w:tc>
        <w:tc>
          <w:tcPr>
            <w:tcW w:w="1504" w:type="dxa"/>
            <w:tcBorders>
              <w:left w:val="nil"/>
              <w:right w:val="double" w:sz="4" w:space="0" w:color="auto"/>
            </w:tcBorders>
            <w:vAlign w:val="center"/>
          </w:tcPr>
          <w:p w14:paraId="41BC972E" w14:textId="77777777" w:rsidR="00E77DF0" w:rsidRPr="00E77DF0" w:rsidRDefault="00E77DF0" w:rsidP="00D037CF">
            <w:pPr>
              <w:spacing w:before="120" w:after="0" w:line="276" w:lineRule="auto"/>
              <w:ind w:firstLine="0"/>
              <w:rPr>
                <w:sz w:val="20"/>
                <w:szCs w:val="20"/>
              </w:rPr>
            </w:pPr>
            <w:r w:rsidRPr="00E77DF0">
              <w:rPr>
                <w:sz w:val="20"/>
                <w:szCs w:val="20"/>
              </w:rPr>
              <w:t xml:space="preserve"> 10.1</w:t>
            </w:r>
          </w:p>
        </w:tc>
        <w:tc>
          <w:tcPr>
            <w:tcW w:w="1111" w:type="dxa"/>
            <w:tcBorders>
              <w:left w:val="double" w:sz="4" w:space="0" w:color="auto"/>
              <w:right w:val="nil"/>
            </w:tcBorders>
            <w:vAlign w:val="center"/>
          </w:tcPr>
          <w:p w14:paraId="7B00943A" w14:textId="77777777" w:rsidR="00E77DF0" w:rsidRPr="00E77DF0" w:rsidRDefault="00E77DF0" w:rsidP="00D037CF">
            <w:pPr>
              <w:spacing w:before="120" w:after="0" w:line="276" w:lineRule="auto"/>
              <w:ind w:firstLine="0"/>
              <w:rPr>
                <w:sz w:val="20"/>
                <w:szCs w:val="20"/>
              </w:rPr>
            </w:pPr>
            <w:r w:rsidRPr="00E77DF0">
              <w:rPr>
                <w:sz w:val="20"/>
                <w:szCs w:val="20"/>
              </w:rPr>
              <w:t xml:space="preserve">10.1 </w:t>
            </w:r>
          </w:p>
        </w:tc>
        <w:tc>
          <w:tcPr>
            <w:tcW w:w="899" w:type="dxa"/>
            <w:tcBorders>
              <w:left w:val="nil"/>
              <w:right w:val="nil"/>
            </w:tcBorders>
            <w:vAlign w:val="center"/>
          </w:tcPr>
          <w:p w14:paraId="60437113" w14:textId="77777777" w:rsidR="00E77DF0" w:rsidRPr="00E77DF0" w:rsidRDefault="00E77DF0" w:rsidP="00D037CF">
            <w:pPr>
              <w:spacing w:before="120" w:after="0" w:line="276" w:lineRule="auto"/>
              <w:ind w:firstLine="0"/>
              <w:rPr>
                <w:sz w:val="20"/>
                <w:szCs w:val="20"/>
              </w:rPr>
            </w:pPr>
            <w:r w:rsidRPr="00E77DF0">
              <w:rPr>
                <w:sz w:val="20"/>
                <w:szCs w:val="20"/>
              </w:rPr>
              <w:t xml:space="preserve">11.2 </w:t>
            </w:r>
          </w:p>
        </w:tc>
        <w:tc>
          <w:tcPr>
            <w:tcW w:w="969" w:type="dxa"/>
            <w:tcBorders>
              <w:left w:val="nil"/>
              <w:right w:val="nil"/>
            </w:tcBorders>
            <w:vAlign w:val="center"/>
          </w:tcPr>
          <w:p w14:paraId="1655D76C" w14:textId="77777777" w:rsidR="00E77DF0" w:rsidRPr="00E77DF0" w:rsidRDefault="00E77DF0" w:rsidP="00D037CF">
            <w:pPr>
              <w:spacing w:before="120" w:after="0" w:line="276" w:lineRule="auto"/>
              <w:ind w:firstLine="0"/>
              <w:rPr>
                <w:sz w:val="20"/>
                <w:szCs w:val="20"/>
              </w:rPr>
            </w:pPr>
            <w:r w:rsidRPr="00E77DF0">
              <w:rPr>
                <w:sz w:val="20"/>
                <w:szCs w:val="20"/>
              </w:rPr>
              <w:t xml:space="preserve"> 11.6</w:t>
            </w:r>
          </w:p>
        </w:tc>
        <w:tc>
          <w:tcPr>
            <w:tcW w:w="1031" w:type="dxa"/>
            <w:tcBorders>
              <w:left w:val="nil"/>
              <w:right w:val="nil"/>
            </w:tcBorders>
            <w:vAlign w:val="center"/>
          </w:tcPr>
          <w:p w14:paraId="763604D3" w14:textId="77777777" w:rsidR="00E77DF0" w:rsidRPr="00E77DF0" w:rsidRDefault="00E77DF0" w:rsidP="00D037CF">
            <w:pPr>
              <w:spacing w:before="120" w:after="0" w:line="276" w:lineRule="auto"/>
              <w:ind w:firstLine="0"/>
              <w:rPr>
                <w:sz w:val="20"/>
                <w:szCs w:val="20"/>
              </w:rPr>
            </w:pPr>
            <w:r w:rsidRPr="00E77DF0">
              <w:rPr>
                <w:sz w:val="20"/>
                <w:szCs w:val="20"/>
              </w:rPr>
              <w:t xml:space="preserve">12.0 </w:t>
            </w:r>
          </w:p>
        </w:tc>
      </w:tr>
    </w:tbl>
    <w:p w14:paraId="47736A76" w14:textId="77777777" w:rsidR="00E77DF0" w:rsidRPr="00E77DF0" w:rsidRDefault="00E77DF0" w:rsidP="00D037CF">
      <w:pPr>
        <w:spacing w:before="120" w:after="0" w:line="276" w:lineRule="auto"/>
        <w:ind w:firstLine="0"/>
        <w:rPr>
          <w:sz w:val="16"/>
        </w:rPr>
      </w:pPr>
      <w:r w:rsidRPr="00E77DF0">
        <w:rPr>
          <w:sz w:val="16"/>
        </w:rPr>
        <w:t>Աղբյուրը՝ ՀՀ ՖՆ հաշվարկներ և կանխատեսումներ</w:t>
      </w:r>
    </w:p>
    <w:p w14:paraId="31C8034A" w14:textId="77777777" w:rsidR="00E77DF0" w:rsidRPr="001D13B6" w:rsidRDefault="00E77DF0" w:rsidP="00D037CF">
      <w:pPr>
        <w:spacing w:before="120" w:after="0" w:line="276" w:lineRule="auto"/>
        <w:ind w:firstLine="0"/>
        <w:rPr>
          <w:color w:val="FF0000"/>
        </w:rPr>
      </w:pPr>
    </w:p>
    <w:p w14:paraId="6133003A" w14:textId="77777777" w:rsidR="00E77DF0" w:rsidRPr="001D13B6" w:rsidRDefault="00E77DF0" w:rsidP="00D037CF">
      <w:pPr>
        <w:spacing w:before="120" w:after="0" w:line="276" w:lineRule="auto"/>
        <w:ind w:firstLine="0"/>
        <w:rPr>
          <w:color w:val="FF0000"/>
        </w:rPr>
      </w:pPr>
      <w:r w:rsidRPr="001D13B6">
        <w:t>Ընդհանուր առմամբ, կանխատեսվում է, որ միջնաժամկետ հատվածում՝ հիմնական մակրոտնտեսական սցենարի դեպքում, «ՀՀ կառավա</w:t>
      </w:r>
      <w:r w:rsidRPr="001D13B6">
        <w:softHyphen/>
        <w:t>րության պարտք/ՀՆԱ» ցուցանիշը կաճի 2025-2026 թվականներին, իսկ 2027 թվականի տարեվերջին կկայունանա 55% մակարդակում: ՀՀ կառավարության պարտքի տոկոսավճար/ՀՆԱ, ՀՀ կառավարության պարտքի տոկոսավճար/պետական բյուջեի եկամուտներ և ՀՀ կառավարության պարտքի տոկոսավճար/պետական բյուջեի ծախսեր ցուցանիշները միջնաժամկետ ժամանակահատվածի վերջում կանխատեսվում են համապատասխանաբար 3.6%, 13.5% և 12.0%:</w:t>
      </w:r>
      <w:r w:rsidRPr="001D13B6">
        <w:rPr>
          <w:color w:val="FF0000"/>
        </w:rPr>
        <w:t xml:space="preserve"> </w:t>
      </w:r>
      <w:r w:rsidRPr="001D13B6">
        <w:t>Ընտրված պարտքի ռազմավարությունը, մակրոտնտեսական հիմնական սցենարի պայմաններում հաշվի է առել ֆինանսավորման պոտենցիալ աղբյուրների հնարավորությունները, ծախսերի և ռիսկերի ցուցանիշների համախումբը՝ ձգտելով ֆինանսավորման աճող կարիքները բավարարելիս ռիսկերի ընդունելի մակարդակի պայմաններում հնարավորինս զսպել պարտքի տոկոսավճարների բեռի աճը։</w:t>
      </w:r>
    </w:p>
    <w:p w14:paraId="7C9CA2CF" w14:textId="77777777" w:rsidR="00E77DF0" w:rsidRPr="001D13B6" w:rsidRDefault="00E77DF0" w:rsidP="00D037CF">
      <w:pPr>
        <w:spacing w:before="120" w:after="0" w:line="276" w:lineRule="auto"/>
        <w:ind w:firstLine="0"/>
      </w:pPr>
      <w:r w:rsidRPr="001D13B6">
        <w:t>Ռիսկերի կառավարման տեսակետից կարևորվել են փոխարժեքի, վերաֆինանսա</w:t>
      </w:r>
      <w:r w:rsidRPr="001D13B6">
        <w:softHyphen/>
        <w:t xml:space="preserve">վորման և տոկոսադրույքի ռիսկերը: </w:t>
      </w:r>
    </w:p>
    <w:p w14:paraId="201ED510" w14:textId="77777777" w:rsidR="00E77DF0" w:rsidRPr="001D13B6" w:rsidRDefault="00E77DF0" w:rsidP="00D037CF">
      <w:pPr>
        <w:pStyle w:val="aff"/>
        <w:keepNext w:val="0"/>
        <w:spacing w:before="120" w:after="0" w:line="276" w:lineRule="auto"/>
        <w:ind w:firstLine="0"/>
        <w:jc w:val="both"/>
      </w:pPr>
      <w:r w:rsidRPr="001D13B6">
        <w:t>Փոխարժեքի ռիսկ</w:t>
      </w:r>
    </w:p>
    <w:p w14:paraId="59E09603" w14:textId="77777777" w:rsidR="00E77DF0" w:rsidRPr="001D13B6" w:rsidRDefault="00E77DF0" w:rsidP="00D037CF">
      <w:pPr>
        <w:spacing w:before="120" w:after="0" w:line="276" w:lineRule="auto"/>
        <w:ind w:firstLine="0"/>
      </w:pPr>
      <w:r w:rsidRPr="001D13B6">
        <w:t>«Ներքին պարտքի կշիռն ընդամենը պարտքի մեջ» ցուցանիշի մակարդակը միջնաժամկետ հատվածում կնվազի չափավոր տեմպով՝ տարեկան միջինում 1.3 տոկոսային կետով, և կգտնվի սահմանված ուղենշային տիրույթում` ժամանակահատվածի վերջում կազմելով 43.3%: Ներքին պարտքի մասնաբաժնի նվազման այս տեմպը համապատասխանում է ֆինանսական շուկայում պետական պարտատոմսերի համար ակնկալվող պահանջարկին համահունչ տեղաբաշխումների ծավալի, ինչպես նաև՝ տոկոսավճարների բեռի աճը միջնաժամկետ հատվածում զսպող մակարդակի հետ։</w:t>
      </w:r>
    </w:p>
    <w:p w14:paraId="17E7CAB5" w14:textId="77777777" w:rsidR="00E77DF0" w:rsidRPr="007F635D" w:rsidRDefault="00E77DF0" w:rsidP="00E77DF0">
      <w:pPr>
        <w:pStyle w:val="afd"/>
        <w:numPr>
          <w:ilvl w:val="0"/>
          <w:numId w:val="21"/>
        </w:numPr>
        <w:ind w:left="1276" w:hanging="1276"/>
        <w:rPr>
          <w:sz w:val="20"/>
          <w:szCs w:val="20"/>
        </w:rPr>
      </w:pPr>
      <w:r w:rsidRPr="007F635D">
        <w:rPr>
          <w:sz w:val="20"/>
          <w:szCs w:val="20"/>
        </w:rPr>
        <w:t>ՀՀ կառավարության ներքին պարտքի և ՀՀ դրամով ներգրաված պարտքի տեսակարար կշիռներն ընդամենը պարտքում</w:t>
      </w:r>
    </w:p>
    <w:tbl>
      <w:tblPr>
        <w:tblW w:w="10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957"/>
        <w:gridCol w:w="1466"/>
        <w:gridCol w:w="1143"/>
        <w:gridCol w:w="950"/>
        <w:gridCol w:w="969"/>
        <w:gridCol w:w="975"/>
      </w:tblGrid>
      <w:tr w:rsidR="00E77DF0" w:rsidRPr="001D13B6" w14:paraId="4056985E" w14:textId="77777777" w:rsidTr="00E77DF0">
        <w:trPr>
          <w:trHeight w:val="780"/>
          <w:tblHeader/>
          <w:jc w:val="center"/>
        </w:trPr>
        <w:tc>
          <w:tcPr>
            <w:tcW w:w="4361" w:type="dxa"/>
            <w:tcBorders>
              <w:top w:val="thinThickThinSmallGap" w:sz="24" w:space="0" w:color="auto"/>
              <w:left w:val="nil"/>
              <w:bottom w:val="thinThickSmallGap" w:sz="24" w:space="0" w:color="auto"/>
              <w:right w:val="nil"/>
            </w:tcBorders>
            <w:shd w:val="clear" w:color="auto" w:fill="BDD6EE" w:themeFill="accent1" w:themeFillTint="66"/>
          </w:tcPr>
          <w:p w14:paraId="32583E86" w14:textId="77777777" w:rsidR="00E77DF0" w:rsidRPr="00E77DF0" w:rsidRDefault="00E77DF0" w:rsidP="00013648">
            <w:pPr>
              <w:spacing w:line="240" w:lineRule="auto"/>
              <w:ind w:firstLine="20"/>
              <w:rPr>
                <w:sz w:val="20"/>
                <w:szCs w:val="20"/>
              </w:rPr>
            </w:pPr>
          </w:p>
        </w:tc>
        <w:tc>
          <w:tcPr>
            <w:tcW w:w="957" w:type="dxa"/>
            <w:tcBorders>
              <w:top w:val="thinThickThinSmallGap" w:sz="24" w:space="0" w:color="auto"/>
              <w:left w:val="nil"/>
              <w:bottom w:val="thinThickSmallGap" w:sz="24" w:space="0" w:color="auto"/>
              <w:right w:val="nil"/>
            </w:tcBorders>
            <w:shd w:val="clear" w:color="auto" w:fill="BDD6EE" w:themeFill="accent1" w:themeFillTint="66"/>
          </w:tcPr>
          <w:p w14:paraId="7E635A11" w14:textId="77777777" w:rsidR="00E77DF0" w:rsidRPr="00E77DF0" w:rsidRDefault="00E77DF0" w:rsidP="00013648">
            <w:pPr>
              <w:spacing w:line="240" w:lineRule="auto"/>
              <w:ind w:firstLine="20"/>
              <w:jc w:val="center"/>
              <w:rPr>
                <w:sz w:val="20"/>
                <w:szCs w:val="20"/>
              </w:rPr>
            </w:pPr>
            <w:r w:rsidRPr="00E77DF0">
              <w:rPr>
                <w:sz w:val="20"/>
                <w:szCs w:val="20"/>
              </w:rPr>
              <w:t>2023 փաստ.</w:t>
            </w:r>
          </w:p>
        </w:tc>
        <w:tc>
          <w:tcPr>
            <w:tcW w:w="1466"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448331A4" w14:textId="77777777" w:rsidR="00E77DF0" w:rsidRPr="00E77DF0" w:rsidRDefault="00E77DF0" w:rsidP="00013648">
            <w:pPr>
              <w:spacing w:line="240" w:lineRule="auto"/>
              <w:ind w:firstLine="20"/>
              <w:jc w:val="center"/>
              <w:rPr>
                <w:sz w:val="20"/>
                <w:szCs w:val="20"/>
              </w:rPr>
            </w:pPr>
            <w:r w:rsidRPr="00E77DF0">
              <w:rPr>
                <w:sz w:val="20"/>
                <w:szCs w:val="20"/>
              </w:rPr>
              <w:t>2024</w:t>
            </w:r>
          </w:p>
          <w:p w14:paraId="781436F8" w14:textId="77777777" w:rsidR="00E77DF0" w:rsidRPr="00E77DF0" w:rsidRDefault="00E77DF0" w:rsidP="00013648">
            <w:pPr>
              <w:spacing w:line="240" w:lineRule="auto"/>
              <w:ind w:firstLine="20"/>
              <w:jc w:val="center"/>
              <w:rPr>
                <w:sz w:val="20"/>
                <w:szCs w:val="20"/>
              </w:rPr>
            </w:pPr>
            <w:r w:rsidRPr="00E77DF0">
              <w:rPr>
                <w:sz w:val="20"/>
                <w:szCs w:val="20"/>
              </w:rPr>
              <w:t>պետբյուջեի ծրագիր</w:t>
            </w:r>
          </w:p>
        </w:tc>
        <w:tc>
          <w:tcPr>
            <w:tcW w:w="1143"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3A8DB27E" w14:textId="77777777" w:rsidR="00E77DF0" w:rsidRPr="00E77DF0" w:rsidRDefault="00E77DF0" w:rsidP="00013648">
            <w:pPr>
              <w:spacing w:line="240" w:lineRule="auto"/>
              <w:ind w:firstLine="20"/>
              <w:jc w:val="center"/>
              <w:rPr>
                <w:sz w:val="20"/>
                <w:szCs w:val="20"/>
              </w:rPr>
            </w:pPr>
            <w:r w:rsidRPr="00E77DF0">
              <w:rPr>
                <w:sz w:val="20"/>
                <w:szCs w:val="20"/>
              </w:rPr>
              <w:t>2024 կանխ.</w:t>
            </w:r>
          </w:p>
        </w:tc>
        <w:tc>
          <w:tcPr>
            <w:tcW w:w="95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90562EA" w14:textId="77777777" w:rsidR="00E77DF0" w:rsidRPr="00E77DF0" w:rsidRDefault="00E77DF0" w:rsidP="00013648">
            <w:pPr>
              <w:spacing w:line="240" w:lineRule="auto"/>
              <w:ind w:firstLine="20"/>
              <w:jc w:val="center"/>
              <w:rPr>
                <w:sz w:val="20"/>
                <w:szCs w:val="20"/>
              </w:rPr>
            </w:pPr>
            <w:r w:rsidRPr="00E77DF0">
              <w:rPr>
                <w:sz w:val="20"/>
                <w:szCs w:val="20"/>
              </w:rPr>
              <w:t>2025 կանխ.</w:t>
            </w:r>
          </w:p>
        </w:tc>
        <w:tc>
          <w:tcPr>
            <w:tcW w:w="96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EB08E5E" w14:textId="77777777" w:rsidR="00E77DF0" w:rsidRPr="00E77DF0" w:rsidRDefault="00E77DF0" w:rsidP="00013648">
            <w:pPr>
              <w:spacing w:line="240" w:lineRule="auto"/>
              <w:ind w:firstLine="20"/>
              <w:jc w:val="center"/>
              <w:rPr>
                <w:sz w:val="20"/>
                <w:szCs w:val="20"/>
              </w:rPr>
            </w:pPr>
            <w:r w:rsidRPr="00E77DF0">
              <w:rPr>
                <w:sz w:val="20"/>
                <w:szCs w:val="20"/>
              </w:rPr>
              <w:t>2026 կանխ.</w:t>
            </w:r>
          </w:p>
        </w:tc>
        <w:tc>
          <w:tcPr>
            <w:tcW w:w="97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6525A15" w14:textId="77777777" w:rsidR="00E77DF0" w:rsidRPr="00E77DF0" w:rsidRDefault="00E77DF0" w:rsidP="00013648">
            <w:pPr>
              <w:spacing w:line="240" w:lineRule="auto"/>
              <w:ind w:firstLine="20"/>
              <w:jc w:val="center"/>
              <w:rPr>
                <w:sz w:val="20"/>
                <w:szCs w:val="20"/>
              </w:rPr>
            </w:pPr>
            <w:r w:rsidRPr="00E77DF0">
              <w:rPr>
                <w:sz w:val="20"/>
                <w:szCs w:val="20"/>
              </w:rPr>
              <w:t>2027 կանխ.</w:t>
            </w:r>
          </w:p>
        </w:tc>
      </w:tr>
      <w:tr w:rsidR="00E77DF0" w:rsidRPr="001D13B6" w14:paraId="637AAA5C" w14:textId="77777777" w:rsidTr="00013648">
        <w:trPr>
          <w:trHeight w:val="393"/>
          <w:jc w:val="center"/>
        </w:trPr>
        <w:tc>
          <w:tcPr>
            <w:tcW w:w="4361" w:type="dxa"/>
            <w:tcBorders>
              <w:top w:val="thinThickSmallGap" w:sz="24" w:space="0" w:color="auto"/>
              <w:left w:val="nil"/>
              <w:bottom w:val="single" w:sz="4" w:space="0" w:color="auto"/>
              <w:right w:val="nil"/>
            </w:tcBorders>
            <w:vAlign w:val="center"/>
          </w:tcPr>
          <w:p w14:paraId="55202597" w14:textId="77777777" w:rsidR="00E77DF0" w:rsidRPr="00E77DF0" w:rsidRDefault="00E77DF0" w:rsidP="00013648">
            <w:pPr>
              <w:spacing w:line="240" w:lineRule="auto"/>
              <w:ind w:firstLine="20"/>
              <w:jc w:val="left"/>
              <w:rPr>
                <w:sz w:val="20"/>
                <w:szCs w:val="20"/>
              </w:rPr>
            </w:pPr>
            <w:r w:rsidRPr="00E77DF0">
              <w:rPr>
                <w:sz w:val="20"/>
                <w:szCs w:val="20"/>
              </w:rPr>
              <w:t>Ներքին պարտք/Ընդամենը պարտք (%)</w:t>
            </w:r>
          </w:p>
        </w:tc>
        <w:tc>
          <w:tcPr>
            <w:tcW w:w="957" w:type="dxa"/>
            <w:tcBorders>
              <w:top w:val="thinThickSmallGap" w:sz="24" w:space="0" w:color="auto"/>
              <w:left w:val="nil"/>
              <w:bottom w:val="single" w:sz="4" w:space="0" w:color="auto"/>
              <w:right w:val="nil"/>
            </w:tcBorders>
            <w:vAlign w:val="center"/>
          </w:tcPr>
          <w:p w14:paraId="4D4EEAB8" w14:textId="77777777" w:rsidR="00E77DF0" w:rsidRPr="00E77DF0" w:rsidRDefault="00E77DF0" w:rsidP="00013648">
            <w:pPr>
              <w:spacing w:line="240" w:lineRule="auto"/>
              <w:ind w:firstLine="20"/>
              <w:jc w:val="center"/>
              <w:rPr>
                <w:sz w:val="20"/>
                <w:szCs w:val="20"/>
              </w:rPr>
            </w:pPr>
            <w:r w:rsidRPr="00E77DF0">
              <w:rPr>
                <w:sz w:val="20"/>
                <w:szCs w:val="20"/>
              </w:rPr>
              <w:t>47.3</w:t>
            </w:r>
          </w:p>
        </w:tc>
        <w:tc>
          <w:tcPr>
            <w:tcW w:w="1466" w:type="dxa"/>
            <w:tcBorders>
              <w:top w:val="thinThickSmallGap" w:sz="24" w:space="0" w:color="auto"/>
              <w:left w:val="nil"/>
              <w:bottom w:val="single" w:sz="4" w:space="0" w:color="auto"/>
              <w:right w:val="double" w:sz="4" w:space="0" w:color="auto"/>
            </w:tcBorders>
            <w:vAlign w:val="center"/>
          </w:tcPr>
          <w:p w14:paraId="678F7F04" w14:textId="77777777" w:rsidR="00E77DF0" w:rsidRPr="00E77DF0" w:rsidRDefault="00E77DF0" w:rsidP="00013648">
            <w:pPr>
              <w:spacing w:line="240" w:lineRule="auto"/>
              <w:ind w:firstLine="20"/>
              <w:jc w:val="center"/>
              <w:rPr>
                <w:sz w:val="20"/>
                <w:szCs w:val="20"/>
              </w:rPr>
            </w:pPr>
            <w:r w:rsidRPr="00E77DF0">
              <w:rPr>
                <w:sz w:val="20"/>
                <w:szCs w:val="20"/>
              </w:rPr>
              <w:t xml:space="preserve"> 45.2 </w:t>
            </w:r>
          </w:p>
        </w:tc>
        <w:tc>
          <w:tcPr>
            <w:tcW w:w="1143" w:type="dxa"/>
            <w:tcBorders>
              <w:top w:val="thinThickSmallGap" w:sz="24" w:space="0" w:color="auto"/>
              <w:left w:val="double" w:sz="4" w:space="0" w:color="auto"/>
              <w:bottom w:val="single" w:sz="4" w:space="0" w:color="auto"/>
              <w:right w:val="nil"/>
            </w:tcBorders>
            <w:vAlign w:val="center"/>
          </w:tcPr>
          <w:p w14:paraId="0708A50F" w14:textId="77777777" w:rsidR="00E77DF0" w:rsidRPr="00E77DF0" w:rsidRDefault="00E77DF0" w:rsidP="00013648">
            <w:pPr>
              <w:spacing w:line="240" w:lineRule="auto"/>
              <w:ind w:firstLine="20"/>
              <w:jc w:val="center"/>
              <w:rPr>
                <w:sz w:val="20"/>
                <w:szCs w:val="20"/>
              </w:rPr>
            </w:pPr>
            <w:r w:rsidRPr="00E77DF0">
              <w:rPr>
                <w:sz w:val="20"/>
                <w:szCs w:val="20"/>
              </w:rPr>
              <w:t xml:space="preserve"> 48.1 </w:t>
            </w:r>
          </w:p>
        </w:tc>
        <w:tc>
          <w:tcPr>
            <w:tcW w:w="950" w:type="dxa"/>
            <w:tcBorders>
              <w:top w:val="thinThickSmallGap" w:sz="24" w:space="0" w:color="auto"/>
              <w:left w:val="nil"/>
              <w:bottom w:val="single" w:sz="4" w:space="0" w:color="auto"/>
              <w:right w:val="nil"/>
            </w:tcBorders>
            <w:vAlign w:val="center"/>
          </w:tcPr>
          <w:p w14:paraId="71B0D370" w14:textId="77777777" w:rsidR="00E77DF0" w:rsidRPr="00E77DF0" w:rsidRDefault="00E77DF0" w:rsidP="00013648">
            <w:pPr>
              <w:spacing w:line="240" w:lineRule="auto"/>
              <w:ind w:firstLine="0"/>
              <w:jc w:val="center"/>
              <w:rPr>
                <w:sz w:val="20"/>
                <w:szCs w:val="20"/>
              </w:rPr>
            </w:pPr>
            <w:r w:rsidRPr="00E77DF0">
              <w:rPr>
                <w:sz w:val="20"/>
                <w:szCs w:val="20"/>
              </w:rPr>
              <w:t xml:space="preserve"> 45.7 </w:t>
            </w:r>
          </w:p>
        </w:tc>
        <w:tc>
          <w:tcPr>
            <w:tcW w:w="969" w:type="dxa"/>
            <w:tcBorders>
              <w:top w:val="thinThickSmallGap" w:sz="24" w:space="0" w:color="auto"/>
              <w:left w:val="nil"/>
              <w:bottom w:val="single" w:sz="4" w:space="0" w:color="auto"/>
              <w:right w:val="nil"/>
            </w:tcBorders>
            <w:vAlign w:val="center"/>
          </w:tcPr>
          <w:p w14:paraId="27AC6939" w14:textId="77777777" w:rsidR="00E77DF0" w:rsidRPr="00E77DF0" w:rsidRDefault="00E77DF0" w:rsidP="00013648">
            <w:pPr>
              <w:spacing w:line="240" w:lineRule="auto"/>
              <w:ind w:firstLine="20"/>
              <w:jc w:val="center"/>
              <w:rPr>
                <w:sz w:val="20"/>
                <w:szCs w:val="20"/>
              </w:rPr>
            </w:pPr>
            <w:r w:rsidRPr="00E77DF0">
              <w:rPr>
                <w:sz w:val="20"/>
                <w:szCs w:val="20"/>
              </w:rPr>
              <w:t xml:space="preserve"> 44.6 </w:t>
            </w:r>
          </w:p>
        </w:tc>
        <w:tc>
          <w:tcPr>
            <w:tcW w:w="975" w:type="dxa"/>
            <w:tcBorders>
              <w:top w:val="thinThickSmallGap" w:sz="24" w:space="0" w:color="auto"/>
              <w:left w:val="nil"/>
              <w:bottom w:val="single" w:sz="4" w:space="0" w:color="auto"/>
              <w:right w:val="nil"/>
            </w:tcBorders>
            <w:vAlign w:val="center"/>
          </w:tcPr>
          <w:p w14:paraId="1C4D7B2A" w14:textId="77777777" w:rsidR="00E77DF0" w:rsidRPr="00E77DF0" w:rsidRDefault="00E77DF0" w:rsidP="00013648">
            <w:pPr>
              <w:spacing w:line="240" w:lineRule="auto"/>
              <w:ind w:firstLine="20"/>
              <w:jc w:val="center"/>
              <w:rPr>
                <w:sz w:val="20"/>
                <w:szCs w:val="20"/>
              </w:rPr>
            </w:pPr>
            <w:r w:rsidRPr="00E77DF0">
              <w:rPr>
                <w:sz w:val="20"/>
                <w:szCs w:val="20"/>
              </w:rPr>
              <w:t xml:space="preserve"> 43.3 </w:t>
            </w:r>
          </w:p>
        </w:tc>
      </w:tr>
      <w:tr w:rsidR="00E77DF0" w:rsidRPr="001D13B6" w14:paraId="69711A20" w14:textId="77777777" w:rsidTr="00013648">
        <w:trPr>
          <w:trHeight w:val="439"/>
          <w:jc w:val="center"/>
        </w:trPr>
        <w:tc>
          <w:tcPr>
            <w:tcW w:w="4361" w:type="dxa"/>
            <w:tcBorders>
              <w:top w:val="single" w:sz="4" w:space="0" w:color="auto"/>
              <w:left w:val="nil"/>
              <w:bottom w:val="thickThinSmallGap" w:sz="24" w:space="0" w:color="auto"/>
              <w:right w:val="nil"/>
            </w:tcBorders>
            <w:vAlign w:val="center"/>
          </w:tcPr>
          <w:p w14:paraId="73E67CC9" w14:textId="77777777" w:rsidR="00E77DF0" w:rsidRPr="00E77DF0" w:rsidRDefault="00E77DF0" w:rsidP="00013648">
            <w:pPr>
              <w:spacing w:line="240" w:lineRule="auto"/>
              <w:ind w:firstLine="20"/>
              <w:jc w:val="left"/>
              <w:rPr>
                <w:sz w:val="20"/>
                <w:szCs w:val="20"/>
              </w:rPr>
            </w:pPr>
            <w:r w:rsidRPr="00E77DF0">
              <w:rPr>
                <w:sz w:val="20"/>
                <w:szCs w:val="20"/>
              </w:rPr>
              <w:t>ՀՀ դրամով ներգրավված պարտք/Ընդամենը պարտք (%)</w:t>
            </w:r>
          </w:p>
        </w:tc>
        <w:tc>
          <w:tcPr>
            <w:tcW w:w="957" w:type="dxa"/>
            <w:tcBorders>
              <w:top w:val="single" w:sz="4" w:space="0" w:color="auto"/>
              <w:left w:val="nil"/>
              <w:bottom w:val="thickThinSmallGap" w:sz="24" w:space="0" w:color="auto"/>
              <w:right w:val="nil"/>
            </w:tcBorders>
            <w:vAlign w:val="center"/>
          </w:tcPr>
          <w:p w14:paraId="6C4E2467" w14:textId="77777777" w:rsidR="00E77DF0" w:rsidRPr="00E77DF0" w:rsidRDefault="00E77DF0" w:rsidP="00013648">
            <w:pPr>
              <w:spacing w:line="240" w:lineRule="auto"/>
              <w:ind w:firstLine="20"/>
              <w:jc w:val="center"/>
              <w:rPr>
                <w:sz w:val="20"/>
                <w:szCs w:val="20"/>
              </w:rPr>
            </w:pPr>
            <w:r w:rsidRPr="00E77DF0">
              <w:rPr>
                <w:sz w:val="20"/>
                <w:szCs w:val="20"/>
              </w:rPr>
              <w:t>45.9</w:t>
            </w:r>
          </w:p>
        </w:tc>
        <w:tc>
          <w:tcPr>
            <w:tcW w:w="1466" w:type="dxa"/>
            <w:tcBorders>
              <w:top w:val="single" w:sz="4" w:space="0" w:color="auto"/>
              <w:left w:val="nil"/>
              <w:bottom w:val="thickThinSmallGap" w:sz="24" w:space="0" w:color="auto"/>
              <w:right w:val="double" w:sz="4" w:space="0" w:color="auto"/>
            </w:tcBorders>
            <w:vAlign w:val="center"/>
          </w:tcPr>
          <w:p w14:paraId="0CD76727" w14:textId="77777777" w:rsidR="00E77DF0" w:rsidRPr="00E77DF0" w:rsidRDefault="00E77DF0" w:rsidP="00013648">
            <w:pPr>
              <w:spacing w:line="240" w:lineRule="auto"/>
              <w:ind w:firstLine="20"/>
              <w:jc w:val="center"/>
              <w:rPr>
                <w:sz w:val="20"/>
                <w:szCs w:val="20"/>
              </w:rPr>
            </w:pPr>
            <w:r w:rsidRPr="00E77DF0">
              <w:rPr>
                <w:sz w:val="20"/>
                <w:szCs w:val="20"/>
              </w:rPr>
              <w:t xml:space="preserve">44.3 </w:t>
            </w:r>
          </w:p>
        </w:tc>
        <w:tc>
          <w:tcPr>
            <w:tcW w:w="1143" w:type="dxa"/>
            <w:tcBorders>
              <w:top w:val="single" w:sz="4" w:space="0" w:color="auto"/>
              <w:left w:val="double" w:sz="4" w:space="0" w:color="auto"/>
              <w:bottom w:val="thickThinSmallGap" w:sz="24" w:space="0" w:color="auto"/>
              <w:right w:val="nil"/>
            </w:tcBorders>
            <w:vAlign w:val="center"/>
          </w:tcPr>
          <w:p w14:paraId="3E9CEDA7" w14:textId="77777777" w:rsidR="00E77DF0" w:rsidRPr="00E77DF0" w:rsidRDefault="00E77DF0" w:rsidP="00013648">
            <w:pPr>
              <w:spacing w:line="240" w:lineRule="auto"/>
              <w:ind w:firstLine="20"/>
              <w:jc w:val="center"/>
              <w:rPr>
                <w:sz w:val="20"/>
                <w:szCs w:val="20"/>
              </w:rPr>
            </w:pPr>
            <w:r w:rsidRPr="00E77DF0">
              <w:rPr>
                <w:sz w:val="20"/>
                <w:szCs w:val="20"/>
              </w:rPr>
              <w:t xml:space="preserve"> 47.5 </w:t>
            </w:r>
          </w:p>
        </w:tc>
        <w:tc>
          <w:tcPr>
            <w:tcW w:w="950" w:type="dxa"/>
            <w:tcBorders>
              <w:top w:val="single" w:sz="4" w:space="0" w:color="auto"/>
              <w:left w:val="nil"/>
              <w:bottom w:val="thickThinSmallGap" w:sz="24" w:space="0" w:color="auto"/>
              <w:right w:val="nil"/>
            </w:tcBorders>
            <w:vAlign w:val="center"/>
          </w:tcPr>
          <w:p w14:paraId="2555F922" w14:textId="77777777" w:rsidR="00E77DF0" w:rsidRPr="00E77DF0" w:rsidRDefault="00E77DF0" w:rsidP="00013648">
            <w:pPr>
              <w:spacing w:line="240" w:lineRule="auto"/>
              <w:ind w:firstLine="20"/>
              <w:jc w:val="center"/>
              <w:rPr>
                <w:sz w:val="20"/>
                <w:szCs w:val="20"/>
              </w:rPr>
            </w:pPr>
            <w:r w:rsidRPr="00E77DF0">
              <w:rPr>
                <w:sz w:val="20"/>
                <w:szCs w:val="20"/>
              </w:rPr>
              <w:t xml:space="preserve"> 46.5 </w:t>
            </w:r>
          </w:p>
        </w:tc>
        <w:tc>
          <w:tcPr>
            <w:tcW w:w="969" w:type="dxa"/>
            <w:tcBorders>
              <w:top w:val="single" w:sz="4" w:space="0" w:color="auto"/>
              <w:left w:val="nil"/>
              <w:bottom w:val="thickThinSmallGap" w:sz="24" w:space="0" w:color="auto"/>
              <w:right w:val="nil"/>
            </w:tcBorders>
            <w:vAlign w:val="center"/>
          </w:tcPr>
          <w:p w14:paraId="6E43628B" w14:textId="77777777" w:rsidR="00E77DF0" w:rsidRPr="00E77DF0" w:rsidRDefault="00E77DF0" w:rsidP="00013648">
            <w:pPr>
              <w:spacing w:line="240" w:lineRule="auto"/>
              <w:ind w:firstLine="20"/>
              <w:jc w:val="center"/>
              <w:rPr>
                <w:sz w:val="20"/>
                <w:szCs w:val="20"/>
              </w:rPr>
            </w:pPr>
            <w:r w:rsidRPr="00E77DF0">
              <w:rPr>
                <w:sz w:val="20"/>
                <w:szCs w:val="20"/>
              </w:rPr>
              <w:t xml:space="preserve"> 45.1 </w:t>
            </w:r>
          </w:p>
        </w:tc>
        <w:tc>
          <w:tcPr>
            <w:tcW w:w="975" w:type="dxa"/>
            <w:tcBorders>
              <w:top w:val="single" w:sz="4" w:space="0" w:color="auto"/>
              <w:left w:val="nil"/>
              <w:bottom w:val="thickThinSmallGap" w:sz="24" w:space="0" w:color="auto"/>
              <w:right w:val="nil"/>
            </w:tcBorders>
            <w:vAlign w:val="center"/>
          </w:tcPr>
          <w:p w14:paraId="2A285C7E" w14:textId="77777777" w:rsidR="00E77DF0" w:rsidRPr="00E77DF0" w:rsidRDefault="00E77DF0" w:rsidP="00013648">
            <w:pPr>
              <w:spacing w:line="240" w:lineRule="auto"/>
              <w:ind w:firstLine="20"/>
              <w:jc w:val="center"/>
              <w:rPr>
                <w:sz w:val="20"/>
                <w:szCs w:val="20"/>
              </w:rPr>
            </w:pPr>
            <w:r w:rsidRPr="00E77DF0">
              <w:rPr>
                <w:sz w:val="20"/>
                <w:szCs w:val="20"/>
              </w:rPr>
              <w:t xml:space="preserve">43.6 </w:t>
            </w:r>
          </w:p>
        </w:tc>
      </w:tr>
    </w:tbl>
    <w:p w14:paraId="33041AFD" w14:textId="77777777" w:rsidR="00E77DF0" w:rsidRPr="00E77DF0" w:rsidRDefault="00E77DF0" w:rsidP="00E77DF0">
      <w:pPr>
        <w:spacing w:before="120"/>
        <w:rPr>
          <w:sz w:val="16"/>
        </w:rPr>
      </w:pPr>
      <w:r w:rsidRPr="00E77DF0">
        <w:rPr>
          <w:sz w:val="16"/>
        </w:rPr>
        <w:t>Աղբյուրը՝ ՀՀ ՖՆ հաշվարկներ և կանխատեսումներ</w:t>
      </w:r>
    </w:p>
    <w:p w14:paraId="3F8C1BD3" w14:textId="77777777" w:rsidR="00E77DF0" w:rsidRPr="001D13B6" w:rsidRDefault="00E77DF0" w:rsidP="00E77DF0">
      <w:pPr>
        <w:ind w:firstLine="0"/>
        <w:rPr>
          <w:color w:val="FF0000"/>
        </w:rPr>
      </w:pPr>
    </w:p>
    <w:p w14:paraId="7D14452A" w14:textId="77777777" w:rsidR="00E77DF0" w:rsidRPr="001D13B6" w:rsidRDefault="00E77DF0" w:rsidP="00D037CF">
      <w:pPr>
        <w:spacing w:before="120" w:after="0" w:line="276" w:lineRule="auto"/>
        <w:ind w:firstLine="0"/>
        <w:rPr>
          <w:color w:val="FF0000"/>
        </w:rPr>
      </w:pPr>
      <w:r w:rsidRPr="001D13B6">
        <w:t>Փոխարժեքի ռիսկի կառավարման և տոկոսավճարների աճը զսպելու նպատակով «ՀՀ դրամով ներգրավված պարտքի կշիռն ընդամենը պարտքի մեջ» ցուցանիշի մակարդակը միջնաժամկետ հատվածում կնվազի միջինում տարեկան 1.6 տոկոսային կետով:</w:t>
      </w:r>
    </w:p>
    <w:p w14:paraId="0DAE6275" w14:textId="77777777" w:rsidR="00E77DF0" w:rsidRPr="001D13B6" w:rsidRDefault="00E77DF0" w:rsidP="00D037CF">
      <w:pPr>
        <w:spacing w:before="120" w:after="0" w:line="276" w:lineRule="auto"/>
        <w:ind w:firstLine="0"/>
      </w:pPr>
      <w:r w:rsidRPr="001D13B6">
        <w:t>2027 թվականի վերջին արտարժութային պարտքի տեսակարար կշիռը միջնաժամկետ հատվածում աճում է՝ կազմելով 56.7%, ուստի ՀՀ կառավարության պարտքի պորտֆելի փոխարժեքի ռիսկը առաջիկա տարիներին դեռևս կմնա որպես հիմնական ռիսկ:</w:t>
      </w:r>
    </w:p>
    <w:p w14:paraId="7603E244" w14:textId="77777777" w:rsidR="00E77DF0" w:rsidRPr="001D13B6" w:rsidRDefault="00E77DF0" w:rsidP="00E77DF0">
      <w:pPr>
        <w:pStyle w:val="afd"/>
        <w:numPr>
          <w:ilvl w:val="0"/>
          <w:numId w:val="21"/>
        </w:numPr>
        <w:ind w:left="1276" w:hanging="1276"/>
      </w:pPr>
      <w:r w:rsidRPr="001D13B6">
        <w:t xml:space="preserve"> ՀՀ կառավարության արտարժութային պարտքի կառուցվածքը 2023-2027 թվականներին տարեվերջի դրությամբ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037"/>
        <w:gridCol w:w="1456"/>
        <w:gridCol w:w="1286"/>
        <w:gridCol w:w="1080"/>
        <w:gridCol w:w="1080"/>
        <w:gridCol w:w="1089"/>
      </w:tblGrid>
      <w:tr w:rsidR="00E77DF0" w:rsidRPr="001D13B6" w14:paraId="3502300D" w14:textId="77777777" w:rsidTr="00E77DF0">
        <w:trPr>
          <w:trHeight w:val="720"/>
          <w:tblHeader/>
          <w:jc w:val="center"/>
        </w:trPr>
        <w:tc>
          <w:tcPr>
            <w:tcW w:w="1260" w:type="dxa"/>
            <w:tcBorders>
              <w:top w:val="thinThickThinSmallGap" w:sz="24" w:space="0" w:color="auto"/>
              <w:left w:val="nil"/>
              <w:bottom w:val="thinThickSmallGap" w:sz="24" w:space="0" w:color="auto"/>
              <w:right w:val="nil"/>
            </w:tcBorders>
            <w:shd w:val="clear" w:color="auto" w:fill="BDD6EE" w:themeFill="accent1" w:themeFillTint="66"/>
          </w:tcPr>
          <w:p w14:paraId="0E0C3AA6" w14:textId="77777777" w:rsidR="00E77DF0" w:rsidRPr="00E77DF0" w:rsidRDefault="00E77DF0" w:rsidP="00013648">
            <w:pPr>
              <w:spacing w:line="240" w:lineRule="auto"/>
              <w:ind w:firstLine="6"/>
              <w:rPr>
                <w:sz w:val="20"/>
                <w:szCs w:val="20"/>
                <w:lang w:val="hy-AM"/>
              </w:rPr>
            </w:pPr>
          </w:p>
        </w:tc>
        <w:tc>
          <w:tcPr>
            <w:tcW w:w="1037" w:type="dxa"/>
            <w:tcBorders>
              <w:top w:val="thinThickThinSmallGap" w:sz="24" w:space="0" w:color="auto"/>
              <w:left w:val="nil"/>
              <w:bottom w:val="thinThickSmallGap" w:sz="24" w:space="0" w:color="auto"/>
              <w:right w:val="nil"/>
            </w:tcBorders>
            <w:shd w:val="clear" w:color="auto" w:fill="BDD6EE" w:themeFill="accent1" w:themeFillTint="66"/>
          </w:tcPr>
          <w:p w14:paraId="0632B42C" w14:textId="77777777" w:rsidR="00E77DF0" w:rsidRPr="00E77DF0" w:rsidRDefault="00E77DF0" w:rsidP="00013648">
            <w:pPr>
              <w:spacing w:line="240" w:lineRule="auto"/>
              <w:ind w:firstLine="6"/>
              <w:jc w:val="center"/>
              <w:rPr>
                <w:sz w:val="20"/>
                <w:szCs w:val="20"/>
              </w:rPr>
            </w:pPr>
            <w:r w:rsidRPr="00E77DF0">
              <w:rPr>
                <w:sz w:val="20"/>
                <w:szCs w:val="20"/>
              </w:rPr>
              <w:t>2023 փաստ.</w:t>
            </w:r>
          </w:p>
        </w:tc>
        <w:tc>
          <w:tcPr>
            <w:tcW w:w="1456"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6236A27F" w14:textId="77777777" w:rsidR="00E77DF0" w:rsidRPr="00E77DF0" w:rsidRDefault="00E77DF0" w:rsidP="00013648">
            <w:pPr>
              <w:spacing w:line="240" w:lineRule="auto"/>
              <w:ind w:firstLine="20"/>
              <w:jc w:val="center"/>
              <w:rPr>
                <w:sz w:val="20"/>
                <w:szCs w:val="20"/>
              </w:rPr>
            </w:pPr>
            <w:r w:rsidRPr="00E77DF0">
              <w:rPr>
                <w:sz w:val="20"/>
                <w:szCs w:val="20"/>
              </w:rPr>
              <w:t>2024</w:t>
            </w:r>
          </w:p>
          <w:p w14:paraId="6504C9E9" w14:textId="77777777" w:rsidR="00E77DF0" w:rsidRPr="00E77DF0" w:rsidRDefault="00E77DF0" w:rsidP="00013648">
            <w:pPr>
              <w:spacing w:line="240" w:lineRule="auto"/>
              <w:ind w:firstLine="6"/>
              <w:jc w:val="center"/>
              <w:rPr>
                <w:sz w:val="20"/>
                <w:szCs w:val="20"/>
              </w:rPr>
            </w:pPr>
            <w:r w:rsidRPr="00E77DF0">
              <w:rPr>
                <w:sz w:val="20"/>
                <w:szCs w:val="20"/>
              </w:rPr>
              <w:t>պետբյուջեի ծրագիր</w:t>
            </w:r>
          </w:p>
        </w:tc>
        <w:tc>
          <w:tcPr>
            <w:tcW w:w="1286"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03C2DF71" w14:textId="77777777" w:rsidR="00E77DF0" w:rsidRPr="00E77DF0" w:rsidRDefault="00E77DF0" w:rsidP="00013648">
            <w:pPr>
              <w:spacing w:line="240" w:lineRule="auto"/>
              <w:ind w:firstLine="6"/>
              <w:jc w:val="center"/>
              <w:rPr>
                <w:sz w:val="20"/>
                <w:szCs w:val="20"/>
              </w:rPr>
            </w:pPr>
            <w:r w:rsidRPr="00E77DF0">
              <w:rPr>
                <w:sz w:val="20"/>
                <w:szCs w:val="20"/>
              </w:rPr>
              <w:t>2024 կանխ.</w:t>
            </w:r>
          </w:p>
        </w:tc>
        <w:tc>
          <w:tcPr>
            <w:tcW w:w="10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602A5D3" w14:textId="77777777" w:rsidR="00E77DF0" w:rsidRPr="00E77DF0" w:rsidRDefault="00E77DF0" w:rsidP="00013648">
            <w:pPr>
              <w:spacing w:line="240" w:lineRule="auto"/>
              <w:ind w:firstLine="6"/>
              <w:jc w:val="center"/>
              <w:rPr>
                <w:sz w:val="20"/>
                <w:szCs w:val="20"/>
              </w:rPr>
            </w:pPr>
            <w:r w:rsidRPr="00E77DF0">
              <w:rPr>
                <w:sz w:val="20"/>
                <w:szCs w:val="20"/>
              </w:rPr>
              <w:t>2025 կանխ.</w:t>
            </w:r>
          </w:p>
        </w:tc>
        <w:tc>
          <w:tcPr>
            <w:tcW w:w="10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EA07D33" w14:textId="77777777" w:rsidR="00E77DF0" w:rsidRPr="00E77DF0" w:rsidRDefault="00E77DF0" w:rsidP="00013648">
            <w:pPr>
              <w:spacing w:line="240" w:lineRule="auto"/>
              <w:ind w:firstLine="6"/>
              <w:jc w:val="center"/>
              <w:rPr>
                <w:sz w:val="20"/>
                <w:szCs w:val="20"/>
              </w:rPr>
            </w:pPr>
            <w:r w:rsidRPr="00E77DF0">
              <w:rPr>
                <w:sz w:val="20"/>
                <w:szCs w:val="20"/>
              </w:rPr>
              <w:t>2026 կանխ.</w:t>
            </w:r>
          </w:p>
        </w:tc>
        <w:tc>
          <w:tcPr>
            <w:tcW w:w="108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DEFD66F" w14:textId="77777777" w:rsidR="00E77DF0" w:rsidRPr="00E77DF0" w:rsidRDefault="00E77DF0" w:rsidP="00013648">
            <w:pPr>
              <w:spacing w:line="240" w:lineRule="auto"/>
              <w:ind w:firstLine="6"/>
              <w:jc w:val="center"/>
              <w:rPr>
                <w:sz w:val="20"/>
                <w:szCs w:val="20"/>
              </w:rPr>
            </w:pPr>
            <w:r w:rsidRPr="00E77DF0">
              <w:rPr>
                <w:sz w:val="20"/>
                <w:szCs w:val="20"/>
              </w:rPr>
              <w:t>2027 կանխ.</w:t>
            </w:r>
          </w:p>
        </w:tc>
      </w:tr>
      <w:tr w:rsidR="00E77DF0" w:rsidRPr="001D13B6" w14:paraId="1B219A35" w14:textId="77777777" w:rsidTr="00013648">
        <w:trPr>
          <w:jc w:val="center"/>
        </w:trPr>
        <w:tc>
          <w:tcPr>
            <w:tcW w:w="1260" w:type="dxa"/>
            <w:tcBorders>
              <w:top w:val="thinThickSmallGap" w:sz="24" w:space="0" w:color="auto"/>
              <w:left w:val="nil"/>
              <w:right w:val="nil"/>
            </w:tcBorders>
          </w:tcPr>
          <w:p w14:paraId="2FFA2064" w14:textId="77777777" w:rsidR="00E77DF0" w:rsidRPr="00E77DF0" w:rsidRDefault="00E77DF0" w:rsidP="00013648">
            <w:pPr>
              <w:spacing w:line="240" w:lineRule="auto"/>
              <w:ind w:firstLine="6"/>
              <w:jc w:val="center"/>
              <w:rPr>
                <w:sz w:val="20"/>
                <w:szCs w:val="20"/>
              </w:rPr>
            </w:pPr>
            <w:r w:rsidRPr="00E77DF0">
              <w:rPr>
                <w:sz w:val="20"/>
                <w:szCs w:val="20"/>
              </w:rPr>
              <w:t>USD</w:t>
            </w:r>
          </w:p>
        </w:tc>
        <w:tc>
          <w:tcPr>
            <w:tcW w:w="1037" w:type="dxa"/>
            <w:tcBorders>
              <w:top w:val="thinThickSmallGap" w:sz="24" w:space="0" w:color="auto"/>
              <w:left w:val="nil"/>
              <w:right w:val="nil"/>
            </w:tcBorders>
            <w:vAlign w:val="center"/>
          </w:tcPr>
          <w:p w14:paraId="29B9629D"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57.2</w:t>
            </w:r>
          </w:p>
        </w:tc>
        <w:tc>
          <w:tcPr>
            <w:tcW w:w="1456" w:type="dxa"/>
            <w:tcBorders>
              <w:top w:val="thinThickSmallGap" w:sz="24" w:space="0" w:color="auto"/>
              <w:left w:val="nil"/>
              <w:right w:val="double" w:sz="4" w:space="0" w:color="auto"/>
            </w:tcBorders>
            <w:vAlign w:val="center"/>
          </w:tcPr>
          <w:p w14:paraId="4808E30C" w14:textId="77777777" w:rsidR="00E77DF0" w:rsidRPr="00E77DF0" w:rsidRDefault="00E77DF0" w:rsidP="00013648">
            <w:pPr>
              <w:spacing w:line="240" w:lineRule="auto"/>
              <w:ind w:firstLine="6"/>
              <w:jc w:val="center"/>
              <w:rPr>
                <w:sz w:val="20"/>
                <w:szCs w:val="20"/>
              </w:rPr>
            </w:pPr>
            <w:r w:rsidRPr="00E77DF0">
              <w:rPr>
                <w:sz w:val="20"/>
                <w:szCs w:val="20"/>
              </w:rPr>
              <w:t>59.2</w:t>
            </w:r>
          </w:p>
        </w:tc>
        <w:tc>
          <w:tcPr>
            <w:tcW w:w="1286" w:type="dxa"/>
            <w:tcBorders>
              <w:top w:val="thinThickSmallGap" w:sz="24" w:space="0" w:color="auto"/>
              <w:left w:val="double" w:sz="4" w:space="0" w:color="auto"/>
              <w:right w:val="nil"/>
            </w:tcBorders>
            <w:vAlign w:val="center"/>
          </w:tcPr>
          <w:p w14:paraId="17FB1E2D" w14:textId="77777777" w:rsidR="00E77DF0" w:rsidRPr="00E77DF0" w:rsidRDefault="00E77DF0" w:rsidP="00013648">
            <w:pPr>
              <w:spacing w:line="240" w:lineRule="auto"/>
              <w:ind w:firstLine="6"/>
              <w:jc w:val="center"/>
              <w:rPr>
                <w:sz w:val="20"/>
                <w:szCs w:val="20"/>
              </w:rPr>
            </w:pPr>
            <w:r w:rsidRPr="00E77DF0">
              <w:rPr>
                <w:sz w:val="20"/>
                <w:szCs w:val="20"/>
              </w:rPr>
              <w:t>58.8</w:t>
            </w:r>
          </w:p>
        </w:tc>
        <w:tc>
          <w:tcPr>
            <w:tcW w:w="1080" w:type="dxa"/>
            <w:tcBorders>
              <w:top w:val="thinThickSmallGap" w:sz="24" w:space="0" w:color="auto"/>
              <w:left w:val="nil"/>
              <w:right w:val="nil"/>
            </w:tcBorders>
            <w:vAlign w:val="center"/>
          </w:tcPr>
          <w:p w14:paraId="17C15D85" w14:textId="77777777" w:rsidR="00E77DF0" w:rsidRPr="00E77DF0" w:rsidRDefault="00E77DF0" w:rsidP="00013648">
            <w:pPr>
              <w:spacing w:line="240" w:lineRule="auto"/>
              <w:ind w:firstLine="6"/>
              <w:jc w:val="center"/>
              <w:rPr>
                <w:sz w:val="20"/>
                <w:szCs w:val="20"/>
              </w:rPr>
            </w:pPr>
            <w:r w:rsidRPr="00E77DF0">
              <w:rPr>
                <w:sz w:val="20"/>
                <w:szCs w:val="20"/>
              </w:rPr>
              <w:t>64.6</w:t>
            </w:r>
          </w:p>
        </w:tc>
        <w:tc>
          <w:tcPr>
            <w:tcW w:w="1080" w:type="dxa"/>
            <w:tcBorders>
              <w:top w:val="thinThickSmallGap" w:sz="24" w:space="0" w:color="auto"/>
              <w:left w:val="nil"/>
              <w:right w:val="nil"/>
            </w:tcBorders>
            <w:vAlign w:val="center"/>
          </w:tcPr>
          <w:p w14:paraId="702D817E"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67.4</w:t>
            </w:r>
          </w:p>
        </w:tc>
        <w:tc>
          <w:tcPr>
            <w:tcW w:w="1089" w:type="dxa"/>
            <w:tcBorders>
              <w:top w:val="thinThickSmallGap" w:sz="24" w:space="0" w:color="auto"/>
              <w:left w:val="nil"/>
              <w:right w:val="nil"/>
            </w:tcBorders>
            <w:vAlign w:val="center"/>
          </w:tcPr>
          <w:p w14:paraId="1CCDB83C"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69.4</w:t>
            </w:r>
          </w:p>
        </w:tc>
      </w:tr>
      <w:tr w:rsidR="00E77DF0" w:rsidRPr="001D13B6" w14:paraId="35FAB48E" w14:textId="77777777" w:rsidTr="00013648">
        <w:trPr>
          <w:jc w:val="center"/>
        </w:trPr>
        <w:tc>
          <w:tcPr>
            <w:tcW w:w="1260" w:type="dxa"/>
            <w:tcBorders>
              <w:left w:val="nil"/>
              <w:right w:val="nil"/>
            </w:tcBorders>
          </w:tcPr>
          <w:p w14:paraId="7325B6DF" w14:textId="77777777" w:rsidR="00E77DF0" w:rsidRPr="00E77DF0" w:rsidRDefault="00E77DF0" w:rsidP="00013648">
            <w:pPr>
              <w:spacing w:line="240" w:lineRule="auto"/>
              <w:ind w:firstLine="6"/>
              <w:jc w:val="center"/>
              <w:rPr>
                <w:sz w:val="20"/>
                <w:szCs w:val="20"/>
              </w:rPr>
            </w:pPr>
            <w:r w:rsidRPr="00E77DF0">
              <w:rPr>
                <w:sz w:val="20"/>
                <w:szCs w:val="20"/>
              </w:rPr>
              <w:t>SDR</w:t>
            </w:r>
          </w:p>
        </w:tc>
        <w:tc>
          <w:tcPr>
            <w:tcW w:w="1037" w:type="dxa"/>
            <w:tcBorders>
              <w:left w:val="nil"/>
              <w:right w:val="nil"/>
            </w:tcBorders>
            <w:vAlign w:val="center"/>
          </w:tcPr>
          <w:p w14:paraId="08E57E21"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22.5</w:t>
            </w:r>
          </w:p>
        </w:tc>
        <w:tc>
          <w:tcPr>
            <w:tcW w:w="1456" w:type="dxa"/>
            <w:tcBorders>
              <w:left w:val="nil"/>
              <w:right w:val="double" w:sz="4" w:space="0" w:color="auto"/>
            </w:tcBorders>
            <w:vAlign w:val="center"/>
          </w:tcPr>
          <w:p w14:paraId="672467DE" w14:textId="77777777" w:rsidR="00E77DF0" w:rsidRPr="00E77DF0" w:rsidRDefault="00E77DF0" w:rsidP="00013648">
            <w:pPr>
              <w:spacing w:line="240" w:lineRule="auto"/>
              <w:ind w:firstLine="6"/>
              <w:jc w:val="center"/>
              <w:rPr>
                <w:sz w:val="20"/>
                <w:szCs w:val="20"/>
              </w:rPr>
            </w:pPr>
            <w:r w:rsidRPr="00E77DF0">
              <w:rPr>
                <w:sz w:val="20"/>
                <w:szCs w:val="20"/>
              </w:rPr>
              <w:t>17.5</w:t>
            </w:r>
          </w:p>
        </w:tc>
        <w:tc>
          <w:tcPr>
            <w:tcW w:w="1286" w:type="dxa"/>
            <w:tcBorders>
              <w:left w:val="double" w:sz="4" w:space="0" w:color="auto"/>
              <w:right w:val="nil"/>
            </w:tcBorders>
            <w:vAlign w:val="center"/>
          </w:tcPr>
          <w:p w14:paraId="7AB18C1B" w14:textId="77777777" w:rsidR="00E77DF0" w:rsidRPr="00E77DF0" w:rsidRDefault="00E77DF0" w:rsidP="00013648">
            <w:pPr>
              <w:spacing w:line="240" w:lineRule="auto"/>
              <w:ind w:firstLine="6"/>
              <w:jc w:val="center"/>
              <w:rPr>
                <w:sz w:val="20"/>
                <w:szCs w:val="20"/>
              </w:rPr>
            </w:pPr>
            <w:r w:rsidRPr="00E77DF0">
              <w:rPr>
                <w:sz w:val="20"/>
                <w:szCs w:val="20"/>
              </w:rPr>
              <w:t>17.5</w:t>
            </w:r>
          </w:p>
        </w:tc>
        <w:tc>
          <w:tcPr>
            <w:tcW w:w="1080" w:type="dxa"/>
            <w:tcBorders>
              <w:left w:val="nil"/>
              <w:right w:val="nil"/>
            </w:tcBorders>
            <w:vAlign w:val="center"/>
          </w:tcPr>
          <w:p w14:paraId="0858ED8F" w14:textId="77777777" w:rsidR="00E77DF0" w:rsidRPr="00E77DF0" w:rsidRDefault="00E77DF0" w:rsidP="00013648">
            <w:pPr>
              <w:spacing w:line="240" w:lineRule="auto"/>
              <w:ind w:firstLine="6"/>
              <w:jc w:val="center"/>
              <w:rPr>
                <w:sz w:val="20"/>
                <w:szCs w:val="20"/>
              </w:rPr>
            </w:pPr>
            <w:r w:rsidRPr="00E77DF0">
              <w:rPr>
                <w:sz w:val="20"/>
                <w:szCs w:val="20"/>
              </w:rPr>
              <w:t>12.5</w:t>
            </w:r>
          </w:p>
        </w:tc>
        <w:tc>
          <w:tcPr>
            <w:tcW w:w="1080" w:type="dxa"/>
            <w:tcBorders>
              <w:left w:val="nil"/>
              <w:right w:val="nil"/>
            </w:tcBorders>
            <w:vAlign w:val="center"/>
          </w:tcPr>
          <w:p w14:paraId="569E4344"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9.7</w:t>
            </w:r>
          </w:p>
        </w:tc>
        <w:tc>
          <w:tcPr>
            <w:tcW w:w="1089" w:type="dxa"/>
            <w:tcBorders>
              <w:left w:val="nil"/>
              <w:right w:val="nil"/>
            </w:tcBorders>
            <w:vAlign w:val="center"/>
          </w:tcPr>
          <w:p w14:paraId="10876A03"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7.6</w:t>
            </w:r>
          </w:p>
        </w:tc>
      </w:tr>
      <w:tr w:rsidR="00E77DF0" w:rsidRPr="001D13B6" w14:paraId="493BDE7B" w14:textId="77777777" w:rsidTr="00013648">
        <w:trPr>
          <w:jc w:val="center"/>
        </w:trPr>
        <w:tc>
          <w:tcPr>
            <w:tcW w:w="1260" w:type="dxa"/>
            <w:tcBorders>
              <w:left w:val="nil"/>
              <w:right w:val="nil"/>
            </w:tcBorders>
          </w:tcPr>
          <w:p w14:paraId="6DED7FA7" w14:textId="77777777" w:rsidR="00E77DF0" w:rsidRPr="00E77DF0" w:rsidRDefault="00E77DF0" w:rsidP="00013648">
            <w:pPr>
              <w:spacing w:line="240" w:lineRule="auto"/>
              <w:ind w:firstLine="6"/>
              <w:jc w:val="center"/>
              <w:rPr>
                <w:sz w:val="20"/>
                <w:szCs w:val="20"/>
              </w:rPr>
            </w:pPr>
            <w:r w:rsidRPr="00E77DF0">
              <w:rPr>
                <w:sz w:val="20"/>
                <w:szCs w:val="20"/>
              </w:rPr>
              <w:t>EUR</w:t>
            </w:r>
          </w:p>
        </w:tc>
        <w:tc>
          <w:tcPr>
            <w:tcW w:w="1037" w:type="dxa"/>
            <w:tcBorders>
              <w:left w:val="nil"/>
              <w:right w:val="nil"/>
            </w:tcBorders>
            <w:vAlign w:val="center"/>
          </w:tcPr>
          <w:p w14:paraId="4B47223A"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17.7</w:t>
            </w:r>
          </w:p>
        </w:tc>
        <w:tc>
          <w:tcPr>
            <w:tcW w:w="1456" w:type="dxa"/>
            <w:tcBorders>
              <w:left w:val="nil"/>
              <w:right w:val="double" w:sz="4" w:space="0" w:color="auto"/>
            </w:tcBorders>
            <w:vAlign w:val="center"/>
          </w:tcPr>
          <w:p w14:paraId="02F8EEF4" w14:textId="77777777" w:rsidR="00E77DF0" w:rsidRPr="00E77DF0" w:rsidRDefault="00E77DF0" w:rsidP="00013648">
            <w:pPr>
              <w:spacing w:line="240" w:lineRule="auto"/>
              <w:ind w:firstLine="6"/>
              <w:jc w:val="center"/>
              <w:rPr>
                <w:sz w:val="20"/>
                <w:szCs w:val="20"/>
              </w:rPr>
            </w:pPr>
            <w:r w:rsidRPr="00E77DF0">
              <w:rPr>
                <w:sz w:val="20"/>
                <w:szCs w:val="20"/>
              </w:rPr>
              <w:t>21.0</w:t>
            </w:r>
          </w:p>
        </w:tc>
        <w:tc>
          <w:tcPr>
            <w:tcW w:w="1286" w:type="dxa"/>
            <w:tcBorders>
              <w:left w:val="double" w:sz="4" w:space="0" w:color="auto"/>
              <w:right w:val="nil"/>
            </w:tcBorders>
            <w:vAlign w:val="center"/>
          </w:tcPr>
          <w:p w14:paraId="22F3BEFD" w14:textId="77777777" w:rsidR="00E77DF0" w:rsidRPr="00E77DF0" w:rsidRDefault="00E77DF0" w:rsidP="00013648">
            <w:pPr>
              <w:spacing w:line="240" w:lineRule="auto"/>
              <w:ind w:firstLine="6"/>
              <w:jc w:val="center"/>
              <w:rPr>
                <w:sz w:val="20"/>
                <w:szCs w:val="20"/>
              </w:rPr>
            </w:pPr>
            <w:r w:rsidRPr="00E77DF0">
              <w:rPr>
                <w:sz w:val="20"/>
                <w:szCs w:val="20"/>
              </w:rPr>
              <w:t>21.5</w:t>
            </w:r>
          </w:p>
        </w:tc>
        <w:tc>
          <w:tcPr>
            <w:tcW w:w="1080" w:type="dxa"/>
            <w:tcBorders>
              <w:left w:val="nil"/>
              <w:right w:val="nil"/>
            </w:tcBorders>
            <w:vAlign w:val="center"/>
          </w:tcPr>
          <w:p w14:paraId="7BF2BA2A" w14:textId="77777777" w:rsidR="00E77DF0" w:rsidRPr="00E77DF0" w:rsidRDefault="00E77DF0" w:rsidP="00013648">
            <w:pPr>
              <w:spacing w:line="240" w:lineRule="auto"/>
              <w:ind w:firstLine="0"/>
              <w:jc w:val="center"/>
              <w:rPr>
                <w:sz w:val="20"/>
                <w:szCs w:val="20"/>
              </w:rPr>
            </w:pPr>
            <w:r w:rsidRPr="00E77DF0">
              <w:rPr>
                <w:sz w:val="20"/>
                <w:szCs w:val="20"/>
              </w:rPr>
              <w:t>21.1</w:t>
            </w:r>
          </w:p>
        </w:tc>
        <w:tc>
          <w:tcPr>
            <w:tcW w:w="1080" w:type="dxa"/>
            <w:tcBorders>
              <w:left w:val="nil"/>
              <w:right w:val="nil"/>
            </w:tcBorders>
            <w:vAlign w:val="center"/>
          </w:tcPr>
          <w:p w14:paraId="29DCCE54"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21.4</w:t>
            </w:r>
          </w:p>
        </w:tc>
        <w:tc>
          <w:tcPr>
            <w:tcW w:w="1089" w:type="dxa"/>
            <w:tcBorders>
              <w:left w:val="nil"/>
              <w:right w:val="nil"/>
            </w:tcBorders>
            <w:vAlign w:val="center"/>
          </w:tcPr>
          <w:p w14:paraId="16E423BE"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21.7</w:t>
            </w:r>
          </w:p>
        </w:tc>
      </w:tr>
      <w:tr w:rsidR="00E77DF0" w:rsidRPr="001D13B6" w14:paraId="42798AD7" w14:textId="77777777" w:rsidTr="00013648">
        <w:trPr>
          <w:jc w:val="center"/>
        </w:trPr>
        <w:tc>
          <w:tcPr>
            <w:tcW w:w="1260" w:type="dxa"/>
            <w:tcBorders>
              <w:left w:val="nil"/>
              <w:right w:val="nil"/>
            </w:tcBorders>
          </w:tcPr>
          <w:p w14:paraId="18D2DFD7" w14:textId="77777777" w:rsidR="00E77DF0" w:rsidRPr="00E77DF0" w:rsidRDefault="00E77DF0" w:rsidP="00013648">
            <w:pPr>
              <w:spacing w:line="240" w:lineRule="auto"/>
              <w:ind w:firstLine="6"/>
              <w:jc w:val="center"/>
              <w:rPr>
                <w:sz w:val="20"/>
                <w:szCs w:val="20"/>
              </w:rPr>
            </w:pPr>
            <w:r w:rsidRPr="00E77DF0">
              <w:rPr>
                <w:sz w:val="20"/>
                <w:szCs w:val="20"/>
              </w:rPr>
              <w:t>JPY</w:t>
            </w:r>
          </w:p>
        </w:tc>
        <w:tc>
          <w:tcPr>
            <w:tcW w:w="1037" w:type="dxa"/>
            <w:tcBorders>
              <w:left w:val="nil"/>
              <w:right w:val="nil"/>
            </w:tcBorders>
            <w:vAlign w:val="center"/>
          </w:tcPr>
          <w:p w14:paraId="6CE1F5B2"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2.3</w:t>
            </w:r>
          </w:p>
        </w:tc>
        <w:tc>
          <w:tcPr>
            <w:tcW w:w="1456" w:type="dxa"/>
            <w:tcBorders>
              <w:left w:val="nil"/>
              <w:right w:val="double" w:sz="4" w:space="0" w:color="auto"/>
            </w:tcBorders>
            <w:vAlign w:val="center"/>
          </w:tcPr>
          <w:p w14:paraId="339BAF84" w14:textId="77777777" w:rsidR="00E77DF0" w:rsidRPr="00E77DF0" w:rsidRDefault="00E77DF0" w:rsidP="00013648">
            <w:pPr>
              <w:spacing w:line="240" w:lineRule="auto"/>
              <w:ind w:firstLine="6"/>
              <w:jc w:val="center"/>
              <w:rPr>
                <w:sz w:val="20"/>
                <w:szCs w:val="20"/>
              </w:rPr>
            </w:pPr>
            <w:r w:rsidRPr="00E77DF0">
              <w:rPr>
                <w:sz w:val="20"/>
                <w:szCs w:val="20"/>
              </w:rPr>
              <w:t>2.0</w:t>
            </w:r>
          </w:p>
        </w:tc>
        <w:tc>
          <w:tcPr>
            <w:tcW w:w="1286" w:type="dxa"/>
            <w:tcBorders>
              <w:left w:val="double" w:sz="4" w:space="0" w:color="auto"/>
              <w:right w:val="nil"/>
            </w:tcBorders>
            <w:vAlign w:val="center"/>
          </w:tcPr>
          <w:p w14:paraId="76A92C8C" w14:textId="77777777" w:rsidR="00E77DF0" w:rsidRPr="00E77DF0" w:rsidRDefault="00E77DF0" w:rsidP="00013648">
            <w:pPr>
              <w:spacing w:line="240" w:lineRule="auto"/>
              <w:ind w:firstLine="6"/>
              <w:jc w:val="center"/>
              <w:rPr>
                <w:sz w:val="20"/>
                <w:szCs w:val="20"/>
              </w:rPr>
            </w:pPr>
            <w:r w:rsidRPr="00E77DF0">
              <w:rPr>
                <w:sz w:val="20"/>
                <w:szCs w:val="20"/>
              </w:rPr>
              <w:t>2.0</w:t>
            </w:r>
          </w:p>
        </w:tc>
        <w:tc>
          <w:tcPr>
            <w:tcW w:w="1080" w:type="dxa"/>
            <w:tcBorders>
              <w:left w:val="nil"/>
              <w:right w:val="nil"/>
            </w:tcBorders>
            <w:vAlign w:val="center"/>
          </w:tcPr>
          <w:p w14:paraId="531EEFA5" w14:textId="77777777" w:rsidR="00E77DF0" w:rsidRPr="00E77DF0" w:rsidRDefault="00E77DF0" w:rsidP="00013648">
            <w:pPr>
              <w:spacing w:line="240" w:lineRule="auto"/>
              <w:ind w:firstLine="6"/>
              <w:jc w:val="center"/>
              <w:rPr>
                <w:sz w:val="20"/>
                <w:szCs w:val="20"/>
              </w:rPr>
            </w:pPr>
            <w:r w:rsidRPr="00E77DF0">
              <w:rPr>
                <w:sz w:val="20"/>
                <w:szCs w:val="20"/>
              </w:rPr>
              <w:t>1.6</w:t>
            </w:r>
          </w:p>
        </w:tc>
        <w:tc>
          <w:tcPr>
            <w:tcW w:w="1080" w:type="dxa"/>
            <w:tcBorders>
              <w:left w:val="nil"/>
              <w:right w:val="nil"/>
            </w:tcBorders>
            <w:vAlign w:val="center"/>
          </w:tcPr>
          <w:p w14:paraId="64DC5F49"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1.4</w:t>
            </w:r>
          </w:p>
        </w:tc>
        <w:tc>
          <w:tcPr>
            <w:tcW w:w="1089" w:type="dxa"/>
            <w:tcBorders>
              <w:left w:val="nil"/>
              <w:right w:val="nil"/>
            </w:tcBorders>
            <w:vAlign w:val="center"/>
          </w:tcPr>
          <w:p w14:paraId="75406542"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1.1</w:t>
            </w:r>
          </w:p>
        </w:tc>
      </w:tr>
      <w:tr w:rsidR="00E77DF0" w:rsidRPr="001D13B6" w14:paraId="6A5A332D" w14:textId="77777777" w:rsidTr="00013648">
        <w:trPr>
          <w:jc w:val="center"/>
        </w:trPr>
        <w:tc>
          <w:tcPr>
            <w:tcW w:w="1260" w:type="dxa"/>
            <w:tcBorders>
              <w:left w:val="nil"/>
              <w:right w:val="nil"/>
            </w:tcBorders>
          </w:tcPr>
          <w:p w14:paraId="4BD0294E" w14:textId="77777777" w:rsidR="00E77DF0" w:rsidRPr="00E77DF0" w:rsidRDefault="00E77DF0" w:rsidP="00013648">
            <w:pPr>
              <w:spacing w:line="240" w:lineRule="auto"/>
              <w:ind w:firstLine="6"/>
              <w:jc w:val="center"/>
              <w:rPr>
                <w:sz w:val="20"/>
                <w:szCs w:val="20"/>
              </w:rPr>
            </w:pPr>
            <w:r w:rsidRPr="00E77DF0">
              <w:rPr>
                <w:sz w:val="20"/>
                <w:szCs w:val="20"/>
              </w:rPr>
              <w:t>AED</w:t>
            </w:r>
          </w:p>
        </w:tc>
        <w:tc>
          <w:tcPr>
            <w:tcW w:w="1037" w:type="dxa"/>
            <w:tcBorders>
              <w:left w:val="nil"/>
              <w:right w:val="nil"/>
            </w:tcBorders>
            <w:vAlign w:val="center"/>
          </w:tcPr>
          <w:p w14:paraId="0BCD6EF4"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0.0</w:t>
            </w:r>
          </w:p>
        </w:tc>
        <w:tc>
          <w:tcPr>
            <w:tcW w:w="1456" w:type="dxa"/>
            <w:tcBorders>
              <w:left w:val="nil"/>
              <w:right w:val="double" w:sz="4" w:space="0" w:color="auto"/>
            </w:tcBorders>
            <w:vAlign w:val="center"/>
          </w:tcPr>
          <w:p w14:paraId="63264368" w14:textId="77777777" w:rsidR="00E77DF0" w:rsidRPr="00E77DF0" w:rsidRDefault="00E77DF0" w:rsidP="00013648">
            <w:pPr>
              <w:spacing w:line="240" w:lineRule="auto"/>
              <w:ind w:firstLine="6"/>
              <w:jc w:val="center"/>
              <w:rPr>
                <w:sz w:val="20"/>
                <w:szCs w:val="20"/>
              </w:rPr>
            </w:pPr>
            <w:r w:rsidRPr="00E77DF0">
              <w:rPr>
                <w:sz w:val="20"/>
                <w:szCs w:val="20"/>
              </w:rPr>
              <w:t>0.0</w:t>
            </w:r>
          </w:p>
        </w:tc>
        <w:tc>
          <w:tcPr>
            <w:tcW w:w="1286" w:type="dxa"/>
            <w:tcBorders>
              <w:left w:val="double" w:sz="4" w:space="0" w:color="auto"/>
              <w:right w:val="nil"/>
            </w:tcBorders>
            <w:vAlign w:val="center"/>
          </w:tcPr>
          <w:p w14:paraId="4DF4D289" w14:textId="77777777" w:rsidR="00E77DF0" w:rsidRPr="00E77DF0" w:rsidRDefault="00E77DF0" w:rsidP="00013648">
            <w:pPr>
              <w:spacing w:line="240" w:lineRule="auto"/>
              <w:ind w:firstLine="6"/>
              <w:jc w:val="center"/>
              <w:rPr>
                <w:sz w:val="20"/>
                <w:szCs w:val="20"/>
              </w:rPr>
            </w:pPr>
            <w:r w:rsidRPr="00E77DF0">
              <w:rPr>
                <w:sz w:val="20"/>
                <w:szCs w:val="20"/>
              </w:rPr>
              <w:t>0.0</w:t>
            </w:r>
          </w:p>
        </w:tc>
        <w:tc>
          <w:tcPr>
            <w:tcW w:w="1080" w:type="dxa"/>
            <w:tcBorders>
              <w:left w:val="nil"/>
              <w:right w:val="nil"/>
            </w:tcBorders>
            <w:vAlign w:val="center"/>
          </w:tcPr>
          <w:p w14:paraId="443D9EDF" w14:textId="77777777" w:rsidR="00E77DF0" w:rsidRPr="00E77DF0" w:rsidRDefault="00E77DF0" w:rsidP="00013648">
            <w:pPr>
              <w:spacing w:line="240" w:lineRule="auto"/>
              <w:ind w:firstLine="6"/>
              <w:jc w:val="center"/>
              <w:rPr>
                <w:sz w:val="20"/>
                <w:szCs w:val="20"/>
              </w:rPr>
            </w:pPr>
            <w:r w:rsidRPr="00E77DF0">
              <w:rPr>
                <w:sz w:val="20"/>
                <w:szCs w:val="20"/>
              </w:rPr>
              <w:t>0.0</w:t>
            </w:r>
          </w:p>
        </w:tc>
        <w:tc>
          <w:tcPr>
            <w:tcW w:w="1080" w:type="dxa"/>
            <w:tcBorders>
              <w:left w:val="nil"/>
              <w:right w:val="nil"/>
            </w:tcBorders>
            <w:vAlign w:val="center"/>
          </w:tcPr>
          <w:p w14:paraId="0B04A755"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0.0</w:t>
            </w:r>
          </w:p>
        </w:tc>
        <w:tc>
          <w:tcPr>
            <w:tcW w:w="1089" w:type="dxa"/>
            <w:tcBorders>
              <w:left w:val="nil"/>
              <w:right w:val="nil"/>
            </w:tcBorders>
            <w:vAlign w:val="center"/>
          </w:tcPr>
          <w:p w14:paraId="4C9424F2"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w:t>
            </w:r>
          </w:p>
        </w:tc>
      </w:tr>
      <w:tr w:rsidR="00E77DF0" w:rsidRPr="001D13B6" w14:paraId="4468AAEC" w14:textId="77777777" w:rsidTr="00013648">
        <w:trPr>
          <w:jc w:val="center"/>
        </w:trPr>
        <w:tc>
          <w:tcPr>
            <w:tcW w:w="1260" w:type="dxa"/>
            <w:tcBorders>
              <w:left w:val="nil"/>
              <w:bottom w:val="thickThinSmallGap" w:sz="24" w:space="0" w:color="auto"/>
              <w:right w:val="nil"/>
            </w:tcBorders>
          </w:tcPr>
          <w:p w14:paraId="216A2855" w14:textId="77777777" w:rsidR="00E77DF0" w:rsidRPr="00E77DF0" w:rsidRDefault="00E77DF0" w:rsidP="00013648">
            <w:pPr>
              <w:spacing w:line="240" w:lineRule="auto"/>
              <w:ind w:firstLine="6"/>
              <w:jc w:val="center"/>
              <w:rPr>
                <w:sz w:val="20"/>
                <w:szCs w:val="20"/>
              </w:rPr>
            </w:pPr>
            <w:r w:rsidRPr="00E77DF0">
              <w:rPr>
                <w:sz w:val="20"/>
                <w:szCs w:val="20"/>
              </w:rPr>
              <w:t>CNY</w:t>
            </w:r>
          </w:p>
        </w:tc>
        <w:tc>
          <w:tcPr>
            <w:tcW w:w="1037" w:type="dxa"/>
            <w:tcBorders>
              <w:left w:val="nil"/>
              <w:bottom w:val="thickThinSmallGap" w:sz="24" w:space="0" w:color="auto"/>
              <w:right w:val="nil"/>
            </w:tcBorders>
            <w:vAlign w:val="center"/>
          </w:tcPr>
          <w:p w14:paraId="0099F656"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0.3</w:t>
            </w:r>
          </w:p>
        </w:tc>
        <w:tc>
          <w:tcPr>
            <w:tcW w:w="1456" w:type="dxa"/>
            <w:tcBorders>
              <w:left w:val="nil"/>
              <w:bottom w:val="thickThinSmallGap" w:sz="24" w:space="0" w:color="auto"/>
              <w:right w:val="double" w:sz="4" w:space="0" w:color="auto"/>
            </w:tcBorders>
            <w:vAlign w:val="center"/>
          </w:tcPr>
          <w:p w14:paraId="2D8BF039" w14:textId="77777777" w:rsidR="00E77DF0" w:rsidRPr="00E77DF0" w:rsidRDefault="00E77DF0" w:rsidP="00013648">
            <w:pPr>
              <w:spacing w:line="240" w:lineRule="auto"/>
              <w:ind w:firstLine="6"/>
              <w:jc w:val="center"/>
              <w:rPr>
                <w:sz w:val="20"/>
                <w:szCs w:val="20"/>
              </w:rPr>
            </w:pPr>
            <w:r w:rsidRPr="00E77DF0">
              <w:rPr>
                <w:sz w:val="20"/>
                <w:szCs w:val="20"/>
              </w:rPr>
              <w:t>0.2</w:t>
            </w:r>
          </w:p>
        </w:tc>
        <w:tc>
          <w:tcPr>
            <w:tcW w:w="1286" w:type="dxa"/>
            <w:tcBorders>
              <w:left w:val="double" w:sz="4" w:space="0" w:color="auto"/>
              <w:bottom w:val="thickThinSmallGap" w:sz="24" w:space="0" w:color="auto"/>
              <w:right w:val="nil"/>
            </w:tcBorders>
            <w:vAlign w:val="center"/>
          </w:tcPr>
          <w:p w14:paraId="6C8B9046" w14:textId="77777777" w:rsidR="00E77DF0" w:rsidRPr="00E77DF0" w:rsidRDefault="00E77DF0" w:rsidP="00013648">
            <w:pPr>
              <w:spacing w:line="240" w:lineRule="auto"/>
              <w:ind w:firstLine="6"/>
              <w:jc w:val="center"/>
              <w:rPr>
                <w:sz w:val="20"/>
                <w:szCs w:val="20"/>
              </w:rPr>
            </w:pPr>
            <w:r w:rsidRPr="00E77DF0">
              <w:rPr>
                <w:sz w:val="20"/>
                <w:szCs w:val="20"/>
              </w:rPr>
              <w:t>0.2</w:t>
            </w:r>
          </w:p>
        </w:tc>
        <w:tc>
          <w:tcPr>
            <w:tcW w:w="1080" w:type="dxa"/>
            <w:tcBorders>
              <w:left w:val="nil"/>
              <w:bottom w:val="thickThinSmallGap" w:sz="24" w:space="0" w:color="auto"/>
              <w:right w:val="nil"/>
            </w:tcBorders>
            <w:vAlign w:val="center"/>
          </w:tcPr>
          <w:p w14:paraId="412AC368" w14:textId="77777777" w:rsidR="00E77DF0" w:rsidRPr="00E77DF0" w:rsidRDefault="00E77DF0" w:rsidP="00013648">
            <w:pPr>
              <w:spacing w:line="240" w:lineRule="auto"/>
              <w:ind w:firstLine="6"/>
              <w:jc w:val="center"/>
              <w:rPr>
                <w:sz w:val="20"/>
                <w:szCs w:val="20"/>
              </w:rPr>
            </w:pPr>
            <w:r w:rsidRPr="00E77DF0">
              <w:rPr>
                <w:sz w:val="20"/>
                <w:szCs w:val="20"/>
              </w:rPr>
              <w:t>0.2</w:t>
            </w:r>
          </w:p>
        </w:tc>
        <w:tc>
          <w:tcPr>
            <w:tcW w:w="1080" w:type="dxa"/>
            <w:tcBorders>
              <w:left w:val="nil"/>
              <w:bottom w:val="thickThinSmallGap" w:sz="24" w:space="0" w:color="auto"/>
              <w:right w:val="nil"/>
            </w:tcBorders>
            <w:vAlign w:val="center"/>
          </w:tcPr>
          <w:p w14:paraId="2097334B"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0.1</w:t>
            </w:r>
          </w:p>
        </w:tc>
        <w:tc>
          <w:tcPr>
            <w:tcW w:w="1089" w:type="dxa"/>
            <w:tcBorders>
              <w:left w:val="nil"/>
              <w:bottom w:val="thickThinSmallGap" w:sz="24" w:space="0" w:color="auto"/>
              <w:right w:val="nil"/>
            </w:tcBorders>
            <w:vAlign w:val="center"/>
          </w:tcPr>
          <w:p w14:paraId="639774CC" w14:textId="77777777" w:rsidR="00E77DF0" w:rsidRPr="00E77DF0" w:rsidRDefault="00E77DF0" w:rsidP="00013648">
            <w:pPr>
              <w:spacing w:line="240" w:lineRule="auto"/>
              <w:ind w:firstLine="6"/>
              <w:jc w:val="center"/>
              <w:rPr>
                <w:color w:val="000000" w:themeColor="text1"/>
                <w:sz w:val="20"/>
                <w:szCs w:val="20"/>
              </w:rPr>
            </w:pPr>
            <w:r w:rsidRPr="00E77DF0">
              <w:rPr>
                <w:color w:val="000000" w:themeColor="text1"/>
                <w:sz w:val="20"/>
                <w:szCs w:val="20"/>
              </w:rPr>
              <w:t>0.1</w:t>
            </w:r>
          </w:p>
        </w:tc>
      </w:tr>
    </w:tbl>
    <w:p w14:paraId="7E720063" w14:textId="77777777" w:rsidR="00E77DF0" w:rsidRPr="0049321C" w:rsidRDefault="00E77DF0" w:rsidP="00E77DF0">
      <w:pPr>
        <w:spacing w:before="120"/>
        <w:rPr>
          <w:sz w:val="16"/>
        </w:rPr>
      </w:pPr>
      <w:r w:rsidRPr="0049321C">
        <w:rPr>
          <w:sz w:val="16"/>
        </w:rPr>
        <w:t>Աղբյուրը՝ ՀՀ ՖՆ հաշվարկներ և կանխատեսումներ</w:t>
      </w:r>
    </w:p>
    <w:p w14:paraId="7685E24D" w14:textId="77777777" w:rsidR="00E77DF0" w:rsidRPr="001D13B6" w:rsidRDefault="00E77DF0" w:rsidP="00E77DF0"/>
    <w:p w14:paraId="0947AC6C" w14:textId="77777777" w:rsidR="00E77DF0" w:rsidRPr="001D13B6" w:rsidRDefault="00E77DF0" w:rsidP="00D037CF">
      <w:pPr>
        <w:spacing w:before="120" w:after="0" w:line="276" w:lineRule="auto"/>
        <w:ind w:firstLine="0"/>
        <w:rPr>
          <w:color w:val="FF0000"/>
        </w:rPr>
      </w:pPr>
      <w:r w:rsidRPr="001D13B6">
        <w:t>ՀՀ կառավարության արտարժութային պարտքի կառուցվածքում SDR-ով արտահայտված պարտքն աստիճանաբար կնվազի:</w:t>
      </w:r>
      <w:r w:rsidRPr="001D13B6">
        <w:rPr>
          <w:color w:val="FF0000"/>
        </w:rPr>
        <w:t xml:space="preserve"> </w:t>
      </w:r>
      <w:r w:rsidRPr="001D13B6">
        <w:t>Եթե SDR-ը, որը կազմված է հինգ արժույթներից, տարանջատում ենք այդ արժույթների կշիռներին համապատասխան` USD – 43.38%, EUR – 29.31%, GBP – 7.44%, JPY – 7.59% և CNY – 12.28%, ապա միջնաժամկետ ժամանակահատվածի ավարտին ՀՀ կառավարության արտարժութային պարտքի կառուցվածքում ԱՄՆ դոլարով պարտքի կշիռը 69.4%-ի փոխարեն կկազմի 72.7%, իսկ եվրոյով պարտքի կշիռը 21.7%-ից կաճի և կկազմի 23.9%։</w:t>
      </w:r>
      <w:r w:rsidRPr="001D13B6">
        <w:rPr>
          <w:color w:val="FF0000"/>
        </w:rPr>
        <w:t xml:space="preserve"> </w:t>
      </w:r>
    </w:p>
    <w:p w14:paraId="1DAE55DF" w14:textId="77777777" w:rsidR="00E77DF0" w:rsidRPr="001D13B6" w:rsidRDefault="00E77DF0" w:rsidP="00E77DF0">
      <w:pPr>
        <w:pStyle w:val="afd"/>
        <w:numPr>
          <w:ilvl w:val="0"/>
          <w:numId w:val="21"/>
        </w:numPr>
        <w:ind w:left="1276" w:hanging="1276"/>
      </w:pPr>
      <w:r w:rsidRPr="001D13B6">
        <w:t>ՀՀ կառավարության արտարժութային պարտքի կառուցվածքը 2023-2027 թվականների տարեվերջի դրությամբ` SDR-ի տարանջատմամբ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104"/>
        <w:gridCol w:w="1432"/>
        <w:gridCol w:w="1080"/>
        <w:gridCol w:w="1080"/>
        <w:gridCol w:w="1080"/>
        <w:gridCol w:w="1080"/>
      </w:tblGrid>
      <w:tr w:rsidR="00E77DF0" w:rsidRPr="001D13B6" w14:paraId="4D806372" w14:textId="77777777" w:rsidTr="00E77DF0">
        <w:trPr>
          <w:tblHeader/>
          <w:jc w:val="center"/>
        </w:trPr>
        <w:tc>
          <w:tcPr>
            <w:tcW w:w="1427" w:type="dxa"/>
            <w:tcBorders>
              <w:top w:val="thinThickThinSmallGap" w:sz="24" w:space="0" w:color="auto"/>
              <w:left w:val="nil"/>
              <w:bottom w:val="thinThickSmallGap" w:sz="24" w:space="0" w:color="auto"/>
              <w:right w:val="nil"/>
            </w:tcBorders>
            <w:shd w:val="clear" w:color="auto" w:fill="BDD6EE" w:themeFill="accent1" w:themeFillTint="66"/>
          </w:tcPr>
          <w:p w14:paraId="44210D0D" w14:textId="77777777" w:rsidR="00E77DF0" w:rsidRPr="001D13B6" w:rsidRDefault="00E77DF0" w:rsidP="00013648">
            <w:pPr>
              <w:spacing w:line="240" w:lineRule="auto"/>
              <w:ind w:firstLine="39"/>
            </w:pPr>
          </w:p>
        </w:tc>
        <w:tc>
          <w:tcPr>
            <w:tcW w:w="1104" w:type="dxa"/>
            <w:tcBorders>
              <w:top w:val="thinThickThinSmallGap" w:sz="24" w:space="0" w:color="auto"/>
              <w:left w:val="nil"/>
              <w:bottom w:val="thinThickSmallGap" w:sz="24" w:space="0" w:color="auto"/>
              <w:right w:val="nil"/>
            </w:tcBorders>
            <w:shd w:val="clear" w:color="auto" w:fill="BDD6EE" w:themeFill="accent1" w:themeFillTint="66"/>
          </w:tcPr>
          <w:p w14:paraId="42FE78AD" w14:textId="77777777" w:rsidR="00E77DF0" w:rsidRPr="001D13B6" w:rsidRDefault="00E77DF0" w:rsidP="00013648">
            <w:pPr>
              <w:spacing w:line="240" w:lineRule="auto"/>
              <w:ind w:firstLine="39"/>
              <w:jc w:val="center"/>
            </w:pPr>
            <w:r w:rsidRPr="001D13B6">
              <w:t>2023 փաստ.</w:t>
            </w:r>
          </w:p>
        </w:tc>
        <w:tc>
          <w:tcPr>
            <w:tcW w:w="1432"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37684D3B" w14:textId="77777777" w:rsidR="00E77DF0" w:rsidRPr="001D13B6" w:rsidRDefault="00E77DF0" w:rsidP="00013648">
            <w:pPr>
              <w:spacing w:line="240" w:lineRule="auto"/>
              <w:ind w:firstLine="20"/>
              <w:jc w:val="center"/>
            </w:pPr>
            <w:r w:rsidRPr="001D13B6">
              <w:t>2024</w:t>
            </w:r>
          </w:p>
          <w:p w14:paraId="376795BE" w14:textId="77777777" w:rsidR="00E77DF0" w:rsidRPr="001D13B6" w:rsidRDefault="00E77DF0" w:rsidP="00013648">
            <w:pPr>
              <w:spacing w:line="240" w:lineRule="auto"/>
              <w:ind w:firstLine="39"/>
              <w:jc w:val="center"/>
            </w:pPr>
            <w:r w:rsidRPr="001D13B6">
              <w:t>պետբյուջեի ծրագիր</w:t>
            </w:r>
          </w:p>
        </w:tc>
        <w:tc>
          <w:tcPr>
            <w:tcW w:w="1080"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1BE8748A" w14:textId="77777777" w:rsidR="00E77DF0" w:rsidRPr="001D13B6" w:rsidRDefault="00E77DF0" w:rsidP="00013648">
            <w:pPr>
              <w:spacing w:line="240" w:lineRule="auto"/>
              <w:ind w:firstLine="39"/>
              <w:jc w:val="center"/>
            </w:pPr>
            <w:r w:rsidRPr="001D13B6">
              <w:t>2024 կանխ.</w:t>
            </w:r>
          </w:p>
        </w:tc>
        <w:tc>
          <w:tcPr>
            <w:tcW w:w="10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FCB95CB" w14:textId="77777777" w:rsidR="00E77DF0" w:rsidRPr="001D13B6" w:rsidRDefault="00E77DF0" w:rsidP="00013648">
            <w:pPr>
              <w:spacing w:line="240" w:lineRule="auto"/>
              <w:ind w:firstLine="39"/>
              <w:jc w:val="center"/>
            </w:pPr>
            <w:r w:rsidRPr="001D13B6">
              <w:t>2025 կանխ.</w:t>
            </w:r>
          </w:p>
        </w:tc>
        <w:tc>
          <w:tcPr>
            <w:tcW w:w="10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03E676A" w14:textId="77777777" w:rsidR="00E77DF0" w:rsidRPr="001D13B6" w:rsidRDefault="00E77DF0" w:rsidP="00013648">
            <w:pPr>
              <w:spacing w:line="240" w:lineRule="auto"/>
              <w:ind w:firstLine="39"/>
              <w:jc w:val="center"/>
            </w:pPr>
            <w:r w:rsidRPr="001D13B6">
              <w:t>2026 կանխ.</w:t>
            </w:r>
          </w:p>
        </w:tc>
        <w:tc>
          <w:tcPr>
            <w:tcW w:w="10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511F8BD" w14:textId="77777777" w:rsidR="00E77DF0" w:rsidRPr="001D13B6" w:rsidRDefault="00E77DF0" w:rsidP="00013648">
            <w:pPr>
              <w:spacing w:line="240" w:lineRule="auto"/>
              <w:ind w:firstLine="39"/>
              <w:jc w:val="center"/>
            </w:pPr>
            <w:r w:rsidRPr="001D13B6">
              <w:t>2027 կանխ.</w:t>
            </w:r>
          </w:p>
        </w:tc>
      </w:tr>
      <w:tr w:rsidR="00E77DF0" w:rsidRPr="001D13B6" w14:paraId="3DE8AE8E" w14:textId="77777777" w:rsidTr="00013648">
        <w:trPr>
          <w:jc w:val="center"/>
        </w:trPr>
        <w:tc>
          <w:tcPr>
            <w:tcW w:w="1427" w:type="dxa"/>
            <w:tcBorders>
              <w:top w:val="thinThickSmallGap" w:sz="24" w:space="0" w:color="auto"/>
              <w:left w:val="nil"/>
              <w:right w:val="nil"/>
            </w:tcBorders>
            <w:vAlign w:val="center"/>
          </w:tcPr>
          <w:p w14:paraId="5173ED25" w14:textId="77777777" w:rsidR="00E77DF0" w:rsidRPr="001D13B6" w:rsidRDefault="00E77DF0" w:rsidP="00013648">
            <w:pPr>
              <w:spacing w:line="240" w:lineRule="auto"/>
              <w:ind w:firstLine="39"/>
              <w:jc w:val="center"/>
            </w:pPr>
            <w:r w:rsidRPr="001D13B6">
              <w:t>USD</w:t>
            </w:r>
          </w:p>
        </w:tc>
        <w:tc>
          <w:tcPr>
            <w:tcW w:w="1104" w:type="dxa"/>
            <w:tcBorders>
              <w:top w:val="thinThickSmallGap" w:sz="24" w:space="0" w:color="auto"/>
              <w:left w:val="nil"/>
              <w:right w:val="nil"/>
            </w:tcBorders>
            <w:vAlign w:val="center"/>
          </w:tcPr>
          <w:p w14:paraId="675D9163" w14:textId="77777777" w:rsidR="00E77DF0" w:rsidRPr="001D13B6" w:rsidRDefault="00E77DF0" w:rsidP="00013648">
            <w:pPr>
              <w:spacing w:line="240" w:lineRule="auto"/>
              <w:ind w:firstLine="39"/>
              <w:jc w:val="center"/>
              <w:rPr>
                <w:color w:val="000000" w:themeColor="text1"/>
              </w:rPr>
            </w:pPr>
            <w:r w:rsidRPr="001D13B6">
              <w:rPr>
                <w:color w:val="000000" w:themeColor="text1"/>
              </w:rPr>
              <w:t>67.0</w:t>
            </w:r>
          </w:p>
        </w:tc>
        <w:tc>
          <w:tcPr>
            <w:tcW w:w="1432" w:type="dxa"/>
            <w:tcBorders>
              <w:top w:val="thinThickSmallGap" w:sz="24" w:space="0" w:color="auto"/>
              <w:left w:val="nil"/>
              <w:right w:val="double" w:sz="4" w:space="0" w:color="auto"/>
            </w:tcBorders>
            <w:vAlign w:val="center"/>
          </w:tcPr>
          <w:p w14:paraId="0B9F60DB" w14:textId="77777777" w:rsidR="00E77DF0" w:rsidRPr="001D13B6" w:rsidRDefault="00E77DF0" w:rsidP="00013648">
            <w:pPr>
              <w:spacing w:line="240" w:lineRule="auto"/>
              <w:ind w:firstLine="39"/>
              <w:jc w:val="center"/>
              <w:rPr>
                <w:color w:val="000000" w:themeColor="text1"/>
              </w:rPr>
            </w:pPr>
            <w:r w:rsidRPr="001D13B6">
              <w:rPr>
                <w:color w:val="000000" w:themeColor="text1"/>
              </w:rPr>
              <w:t>66.8</w:t>
            </w:r>
          </w:p>
        </w:tc>
        <w:tc>
          <w:tcPr>
            <w:tcW w:w="1080" w:type="dxa"/>
            <w:tcBorders>
              <w:top w:val="thinThickSmallGap" w:sz="24" w:space="0" w:color="auto"/>
              <w:left w:val="double" w:sz="4" w:space="0" w:color="auto"/>
              <w:right w:val="nil"/>
            </w:tcBorders>
            <w:vAlign w:val="center"/>
          </w:tcPr>
          <w:p w14:paraId="7C535585" w14:textId="77777777" w:rsidR="00E77DF0" w:rsidRPr="001D13B6" w:rsidRDefault="00E77DF0" w:rsidP="00013648">
            <w:pPr>
              <w:spacing w:line="240" w:lineRule="auto"/>
              <w:ind w:firstLine="39"/>
              <w:jc w:val="center"/>
              <w:rPr>
                <w:color w:val="000000" w:themeColor="text1"/>
              </w:rPr>
            </w:pPr>
            <w:r w:rsidRPr="001D13B6">
              <w:rPr>
                <w:color w:val="000000" w:themeColor="text1"/>
              </w:rPr>
              <w:t>66.4</w:t>
            </w:r>
          </w:p>
        </w:tc>
        <w:tc>
          <w:tcPr>
            <w:tcW w:w="1080" w:type="dxa"/>
            <w:tcBorders>
              <w:top w:val="thinThickSmallGap" w:sz="24" w:space="0" w:color="auto"/>
              <w:left w:val="nil"/>
              <w:right w:val="nil"/>
            </w:tcBorders>
            <w:vAlign w:val="center"/>
          </w:tcPr>
          <w:p w14:paraId="2404D6B7" w14:textId="77777777" w:rsidR="00E77DF0" w:rsidRPr="001D13B6" w:rsidRDefault="00E77DF0" w:rsidP="00013648">
            <w:pPr>
              <w:spacing w:line="240" w:lineRule="auto"/>
              <w:ind w:firstLine="39"/>
              <w:jc w:val="center"/>
              <w:rPr>
                <w:color w:val="000000" w:themeColor="text1"/>
              </w:rPr>
            </w:pPr>
            <w:r w:rsidRPr="001D13B6">
              <w:rPr>
                <w:color w:val="000000" w:themeColor="text1"/>
              </w:rPr>
              <w:t>70.0</w:t>
            </w:r>
          </w:p>
        </w:tc>
        <w:tc>
          <w:tcPr>
            <w:tcW w:w="1080" w:type="dxa"/>
            <w:tcBorders>
              <w:top w:val="thinThickSmallGap" w:sz="24" w:space="0" w:color="auto"/>
              <w:left w:val="nil"/>
              <w:right w:val="nil"/>
            </w:tcBorders>
            <w:vAlign w:val="center"/>
          </w:tcPr>
          <w:p w14:paraId="68ADE6A5" w14:textId="77777777" w:rsidR="00E77DF0" w:rsidRPr="001D13B6" w:rsidRDefault="00E77DF0" w:rsidP="00013648">
            <w:pPr>
              <w:spacing w:line="240" w:lineRule="auto"/>
              <w:ind w:firstLine="39"/>
              <w:jc w:val="center"/>
              <w:rPr>
                <w:color w:val="000000" w:themeColor="text1"/>
              </w:rPr>
            </w:pPr>
            <w:r w:rsidRPr="001D13B6">
              <w:rPr>
                <w:color w:val="000000" w:themeColor="text1"/>
              </w:rPr>
              <w:t>71.6</w:t>
            </w:r>
          </w:p>
        </w:tc>
        <w:tc>
          <w:tcPr>
            <w:tcW w:w="1080" w:type="dxa"/>
            <w:tcBorders>
              <w:top w:val="thinThickSmallGap" w:sz="24" w:space="0" w:color="auto"/>
              <w:left w:val="nil"/>
              <w:right w:val="nil"/>
            </w:tcBorders>
            <w:vAlign w:val="center"/>
          </w:tcPr>
          <w:p w14:paraId="727642AC" w14:textId="77777777" w:rsidR="00E77DF0" w:rsidRPr="001D13B6" w:rsidRDefault="00E77DF0" w:rsidP="00013648">
            <w:pPr>
              <w:spacing w:line="240" w:lineRule="auto"/>
              <w:ind w:firstLine="39"/>
              <w:jc w:val="center"/>
              <w:rPr>
                <w:color w:val="000000" w:themeColor="text1"/>
              </w:rPr>
            </w:pPr>
            <w:r w:rsidRPr="001D13B6">
              <w:rPr>
                <w:color w:val="000000" w:themeColor="text1"/>
              </w:rPr>
              <w:t>72.7</w:t>
            </w:r>
          </w:p>
        </w:tc>
      </w:tr>
      <w:tr w:rsidR="00E77DF0" w:rsidRPr="001D13B6" w14:paraId="3EB54EDA" w14:textId="77777777" w:rsidTr="00013648">
        <w:trPr>
          <w:jc w:val="center"/>
        </w:trPr>
        <w:tc>
          <w:tcPr>
            <w:tcW w:w="1427" w:type="dxa"/>
            <w:tcBorders>
              <w:left w:val="nil"/>
              <w:right w:val="nil"/>
            </w:tcBorders>
            <w:vAlign w:val="center"/>
          </w:tcPr>
          <w:p w14:paraId="227D50FC" w14:textId="77777777" w:rsidR="00E77DF0" w:rsidRPr="001D13B6" w:rsidRDefault="00E77DF0" w:rsidP="00013648">
            <w:pPr>
              <w:spacing w:line="240" w:lineRule="auto"/>
              <w:ind w:firstLine="39"/>
              <w:jc w:val="center"/>
            </w:pPr>
            <w:r w:rsidRPr="001D13B6">
              <w:t>EUR</w:t>
            </w:r>
          </w:p>
        </w:tc>
        <w:tc>
          <w:tcPr>
            <w:tcW w:w="1104" w:type="dxa"/>
            <w:tcBorders>
              <w:left w:val="nil"/>
              <w:right w:val="nil"/>
            </w:tcBorders>
            <w:vAlign w:val="center"/>
          </w:tcPr>
          <w:p w14:paraId="3C988D64" w14:textId="77777777" w:rsidR="00E77DF0" w:rsidRPr="001D13B6" w:rsidRDefault="00E77DF0" w:rsidP="00013648">
            <w:pPr>
              <w:spacing w:line="240" w:lineRule="auto"/>
              <w:ind w:firstLine="39"/>
              <w:jc w:val="center"/>
              <w:rPr>
                <w:color w:val="000000" w:themeColor="text1"/>
              </w:rPr>
            </w:pPr>
            <w:r w:rsidRPr="001D13B6">
              <w:rPr>
                <w:color w:val="000000" w:themeColor="text1"/>
              </w:rPr>
              <w:t>24.3</w:t>
            </w:r>
          </w:p>
        </w:tc>
        <w:tc>
          <w:tcPr>
            <w:tcW w:w="1432" w:type="dxa"/>
            <w:tcBorders>
              <w:left w:val="nil"/>
              <w:right w:val="double" w:sz="4" w:space="0" w:color="auto"/>
            </w:tcBorders>
            <w:vAlign w:val="center"/>
          </w:tcPr>
          <w:p w14:paraId="437517DC" w14:textId="77777777" w:rsidR="00E77DF0" w:rsidRPr="001D13B6" w:rsidRDefault="00E77DF0" w:rsidP="00013648">
            <w:pPr>
              <w:spacing w:line="240" w:lineRule="auto"/>
              <w:ind w:firstLine="39"/>
              <w:jc w:val="center"/>
              <w:rPr>
                <w:color w:val="000000" w:themeColor="text1"/>
              </w:rPr>
            </w:pPr>
            <w:r w:rsidRPr="001D13B6">
              <w:rPr>
                <w:color w:val="000000" w:themeColor="text1"/>
              </w:rPr>
              <w:t>26.1</w:t>
            </w:r>
          </w:p>
        </w:tc>
        <w:tc>
          <w:tcPr>
            <w:tcW w:w="1080" w:type="dxa"/>
            <w:tcBorders>
              <w:left w:val="double" w:sz="4" w:space="0" w:color="auto"/>
              <w:right w:val="nil"/>
            </w:tcBorders>
            <w:vAlign w:val="center"/>
          </w:tcPr>
          <w:p w14:paraId="7E21274A" w14:textId="77777777" w:rsidR="00E77DF0" w:rsidRPr="001D13B6" w:rsidRDefault="00E77DF0" w:rsidP="00013648">
            <w:pPr>
              <w:spacing w:line="240" w:lineRule="auto"/>
              <w:ind w:firstLine="39"/>
              <w:jc w:val="center"/>
              <w:rPr>
                <w:color w:val="000000" w:themeColor="text1"/>
              </w:rPr>
            </w:pPr>
            <w:r w:rsidRPr="001D13B6">
              <w:rPr>
                <w:color w:val="000000" w:themeColor="text1"/>
              </w:rPr>
              <w:t>26.6</w:t>
            </w:r>
          </w:p>
        </w:tc>
        <w:tc>
          <w:tcPr>
            <w:tcW w:w="1080" w:type="dxa"/>
            <w:tcBorders>
              <w:left w:val="nil"/>
              <w:right w:val="nil"/>
            </w:tcBorders>
            <w:vAlign w:val="center"/>
          </w:tcPr>
          <w:p w14:paraId="58ED2FF4" w14:textId="77777777" w:rsidR="00E77DF0" w:rsidRPr="001D13B6" w:rsidRDefault="00E77DF0" w:rsidP="00013648">
            <w:pPr>
              <w:spacing w:line="240" w:lineRule="auto"/>
              <w:ind w:firstLine="39"/>
              <w:jc w:val="center"/>
              <w:rPr>
                <w:color w:val="000000" w:themeColor="text1"/>
              </w:rPr>
            </w:pPr>
            <w:r w:rsidRPr="001D13B6">
              <w:rPr>
                <w:color w:val="000000" w:themeColor="text1"/>
              </w:rPr>
              <w:t>24.8</w:t>
            </w:r>
          </w:p>
        </w:tc>
        <w:tc>
          <w:tcPr>
            <w:tcW w:w="1080" w:type="dxa"/>
            <w:tcBorders>
              <w:left w:val="nil"/>
              <w:right w:val="nil"/>
            </w:tcBorders>
            <w:vAlign w:val="center"/>
          </w:tcPr>
          <w:p w14:paraId="1E55770A" w14:textId="77777777" w:rsidR="00E77DF0" w:rsidRPr="001D13B6" w:rsidRDefault="00E77DF0" w:rsidP="00013648">
            <w:pPr>
              <w:spacing w:line="240" w:lineRule="auto"/>
              <w:ind w:firstLine="39"/>
              <w:jc w:val="center"/>
              <w:rPr>
                <w:color w:val="000000" w:themeColor="text1"/>
              </w:rPr>
            </w:pPr>
            <w:r w:rsidRPr="001D13B6">
              <w:rPr>
                <w:color w:val="000000" w:themeColor="text1"/>
              </w:rPr>
              <w:t>24.2</w:t>
            </w:r>
          </w:p>
        </w:tc>
        <w:tc>
          <w:tcPr>
            <w:tcW w:w="1080" w:type="dxa"/>
            <w:tcBorders>
              <w:left w:val="nil"/>
              <w:right w:val="nil"/>
            </w:tcBorders>
            <w:vAlign w:val="center"/>
          </w:tcPr>
          <w:p w14:paraId="4FC4747A" w14:textId="77777777" w:rsidR="00E77DF0" w:rsidRPr="001D13B6" w:rsidRDefault="00E77DF0" w:rsidP="00013648">
            <w:pPr>
              <w:spacing w:line="240" w:lineRule="auto"/>
              <w:ind w:firstLine="39"/>
              <w:jc w:val="center"/>
              <w:rPr>
                <w:color w:val="000000" w:themeColor="text1"/>
              </w:rPr>
            </w:pPr>
            <w:r w:rsidRPr="001D13B6">
              <w:rPr>
                <w:color w:val="000000" w:themeColor="text1"/>
              </w:rPr>
              <w:t>24.0</w:t>
            </w:r>
          </w:p>
        </w:tc>
      </w:tr>
      <w:tr w:rsidR="00E77DF0" w:rsidRPr="001D13B6" w14:paraId="282D36CC" w14:textId="77777777" w:rsidTr="00013648">
        <w:trPr>
          <w:jc w:val="center"/>
        </w:trPr>
        <w:tc>
          <w:tcPr>
            <w:tcW w:w="1427" w:type="dxa"/>
            <w:tcBorders>
              <w:left w:val="nil"/>
              <w:right w:val="nil"/>
            </w:tcBorders>
            <w:vAlign w:val="center"/>
          </w:tcPr>
          <w:p w14:paraId="4C9ED590" w14:textId="77777777" w:rsidR="00E77DF0" w:rsidRPr="001D13B6" w:rsidRDefault="00E77DF0" w:rsidP="00013648">
            <w:pPr>
              <w:spacing w:line="240" w:lineRule="auto"/>
              <w:ind w:firstLine="39"/>
              <w:jc w:val="center"/>
            </w:pPr>
            <w:r w:rsidRPr="001D13B6">
              <w:t>GBP</w:t>
            </w:r>
          </w:p>
        </w:tc>
        <w:tc>
          <w:tcPr>
            <w:tcW w:w="1104" w:type="dxa"/>
            <w:tcBorders>
              <w:left w:val="nil"/>
              <w:right w:val="nil"/>
            </w:tcBorders>
            <w:vAlign w:val="center"/>
          </w:tcPr>
          <w:p w14:paraId="0473E363" w14:textId="77777777" w:rsidR="00E77DF0" w:rsidRPr="001D13B6" w:rsidRDefault="00E77DF0" w:rsidP="00013648">
            <w:pPr>
              <w:spacing w:line="240" w:lineRule="auto"/>
              <w:ind w:firstLine="39"/>
              <w:jc w:val="center"/>
              <w:rPr>
                <w:color w:val="000000" w:themeColor="text1"/>
              </w:rPr>
            </w:pPr>
            <w:r w:rsidRPr="001D13B6">
              <w:rPr>
                <w:color w:val="000000" w:themeColor="text1"/>
              </w:rPr>
              <w:t>1.7</w:t>
            </w:r>
          </w:p>
        </w:tc>
        <w:tc>
          <w:tcPr>
            <w:tcW w:w="1432" w:type="dxa"/>
            <w:tcBorders>
              <w:left w:val="nil"/>
              <w:right w:val="double" w:sz="4" w:space="0" w:color="auto"/>
            </w:tcBorders>
            <w:vAlign w:val="center"/>
          </w:tcPr>
          <w:p w14:paraId="6CE6F9EB" w14:textId="77777777" w:rsidR="00E77DF0" w:rsidRPr="001D13B6" w:rsidRDefault="00E77DF0" w:rsidP="00013648">
            <w:pPr>
              <w:spacing w:line="240" w:lineRule="auto"/>
              <w:ind w:firstLine="39"/>
              <w:jc w:val="center"/>
              <w:rPr>
                <w:color w:val="000000" w:themeColor="text1"/>
              </w:rPr>
            </w:pPr>
            <w:r w:rsidRPr="001D13B6">
              <w:rPr>
                <w:color w:val="000000" w:themeColor="text1"/>
              </w:rPr>
              <w:t>1.3</w:t>
            </w:r>
          </w:p>
        </w:tc>
        <w:tc>
          <w:tcPr>
            <w:tcW w:w="1080" w:type="dxa"/>
            <w:tcBorders>
              <w:left w:val="double" w:sz="4" w:space="0" w:color="auto"/>
              <w:right w:val="nil"/>
            </w:tcBorders>
            <w:vAlign w:val="center"/>
          </w:tcPr>
          <w:p w14:paraId="740EABF9" w14:textId="77777777" w:rsidR="00E77DF0" w:rsidRPr="001D13B6" w:rsidRDefault="00E77DF0" w:rsidP="00013648">
            <w:pPr>
              <w:spacing w:line="240" w:lineRule="auto"/>
              <w:ind w:firstLine="39"/>
              <w:jc w:val="center"/>
              <w:rPr>
                <w:color w:val="000000" w:themeColor="text1"/>
              </w:rPr>
            </w:pPr>
            <w:r w:rsidRPr="001D13B6">
              <w:rPr>
                <w:color w:val="000000" w:themeColor="text1"/>
              </w:rPr>
              <w:t>1.3</w:t>
            </w:r>
          </w:p>
        </w:tc>
        <w:tc>
          <w:tcPr>
            <w:tcW w:w="1080" w:type="dxa"/>
            <w:tcBorders>
              <w:left w:val="nil"/>
              <w:right w:val="nil"/>
            </w:tcBorders>
            <w:vAlign w:val="center"/>
          </w:tcPr>
          <w:p w14:paraId="71E8562E" w14:textId="77777777" w:rsidR="00E77DF0" w:rsidRPr="001D13B6" w:rsidRDefault="00E77DF0" w:rsidP="00013648">
            <w:pPr>
              <w:spacing w:line="240" w:lineRule="auto"/>
              <w:ind w:firstLine="39"/>
              <w:jc w:val="center"/>
              <w:rPr>
                <w:color w:val="000000" w:themeColor="text1"/>
              </w:rPr>
            </w:pPr>
            <w:r w:rsidRPr="001D13B6">
              <w:rPr>
                <w:color w:val="000000" w:themeColor="text1"/>
              </w:rPr>
              <w:t>0.9</w:t>
            </w:r>
          </w:p>
        </w:tc>
        <w:tc>
          <w:tcPr>
            <w:tcW w:w="1080" w:type="dxa"/>
            <w:tcBorders>
              <w:left w:val="nil"/>
              <w:right w:val="nil"/>
            </w:tcBorders>
            <w:vAlign w:val="center"/>
          </w:tcPr>
          <w:p w14:paraId="793F241C" w14:textId="77777777" w:rsidR="00E77DF0" w:rsidRPr="001D13B6" w:rsidRDefault="00E77DF0" w:rsidP="00013648">
            <w:pPr>
              <w:spacing w:line="240" w:lineRule="auto"/>
              <w:ind w:firstLine="39"/>
              <w:jc w:val="center"/>
              <w:rPr>
                <w:color w:val="000000" w:themeColor="text1"/>
              </w:rPr>
            </w:pPr>
            <w:r w:rsidRPr="001D13B6">
              <w:rPr>
                <w:color w:val="000000" w:themeColor="text1"/>
              </w:rPr>
              <w:t>0.7</w:t>
            </w:r>
          </w:p>
        </w:tc>
        <w:tc>
          <w:tcPr>
            <w:tcW w:w="1080" w:type="dxa"/>
            <w:tcBorders>
              <w:left w:val="nil"/>
              <w:right w:val="nil"/>
            </w:tcBorders>
            <w:vAlign w:val="center"/>
          </w:tcPr>
          <w:p w14:paraId="06593AB0" w14:textId="77777777" w:rsidR="00E77DF0" w:rsidRPr="001D13B6" w:rsidRDefault="00E77DF0" w:rsidP="00013648">
            <w:pPr>
              <w:spacing w:line="240" w:lineRule="auto"/>
              <w:ind w:firstLine="39"/>
              <w:jc w:val="center"/>
              <w:rPr>
                <w:color w:val="000000" w:themeColor="text1"/>
              </w:rPr>
            </w:pPr>
            <w:r w:rsidRPr="001D13B6">
              <w:rPr>
                <w:color w:val="000000" w:themeColor="text1"/>
              </w:rPr>
              <w:t>0.6</w:t>
            </w:r>
          </w:p>
        </w:tc>
      </w:tr>
      <w:tr w:rsidR="00E77DF0" w:rsidRPr="001D13B6" w14:paraId="1297D0F8" w14:textId="77777777" w:rsidTr="00013648">
        <w:trPr>
          <w:jc w:val="center"/>
        </w:trPr>
        <w:tc>
          <w:tcPr>
            <w:tcW w:w="1427" w:type="dxa"/>
            <w:tcBorders>
              <w:left w:val="nil"/>
              <w:right w:val="nil"/>
            </w:tcBorders>
            <w:vAlign w:val="center"/>
          </w:tcPr>
          <w:p w14:paraId="699C072D" w14:textId="77777777" w:rsidR="00E77DF0" w:rsidRPr="001D13B6" w:rsidRDefault="00E77DF0" w:rsidP="00013648">
            <w:pPr>
              <w:spacing w:line="240" w:lineRule="auto"/>
              <w:ind w:firstLine="39"/>
              <w:jc w:val="center"/>
            </w:pPr>
            <w:r w:rsidRPr="001D13B6">
              <w:t>JPY</w:t>
            </w:r>
          </w:p>
        </w:tc>
        <w:tc>
          <w:tcPr>
            <w:tcW w:w="1104" w:type="dxa"/>
            <w:tcBorders>
              <w:left w:val="nil"/>
              <w:right w:val="nil"/>
            </w:tcBorders>
            <w:vAlign w:val="center"/>
          </w:tcPr>
          <w:p w14:paraId="21CC25BD" w14:textId="77777777" w:rsidR="00E77DF0" w:rsidRPr="001D13B6" w:rsidRDefault="00E77DF0" w:rsidP="00013648">
            <w:pPr>
              <w:spacing w:line="240" w:lineRule="auto"/>
              <w:ind w:firstLine="39"/>
              <w:jc w:val="center"/>
              <w:rPr>
                <w:color w:val="000000" w:themeColor="text1"/>
              </w:rPr>
            </w:pPr>
            <w:r w:rsidRPr="001D13B6">
              <w:rPr>
                <w:color w:val="000000" w:themeColor="text1"/>
              </w:rPr>
              <w:t>4.0</w:t>
            </w:r>
          </w:p>
        </w:tc>
        <w:tc>
          <w:tcPr>
            <w:tcW w:w="1432" w:type="dxa"/>
            <w:tcBorders>
              <w:left w:val="nil"/>
              <w:right w:val="double" w:sz="4" w:space="0" w:color="auto"/>
            </w:tcBorders>
            <w:vAlign w:val="center"/>
          </w:tcPr>
          <w:p w14:paraId="2FD075B7" w14:textId="77777777" w:rsidR="00E77DF0" w:rsidRPr="001D13B6" w:rsidRDefault="00E77DF0" w:rsidP="00013648">
            <w:pPr>
              <w:spacing w:line="240" w:lineRule="auto"/>
              <w:ind w:firstLine="39"/>
              <w:jc w:val="center"/>
              <w:rPr>
                <w:color w:val="000000" w:themeColor="text1"/>
              </w:rPr>
            </w:pPr>
            <w:r w:rsidRPr="001D13B6">
              <w:rPr>
                <w:color w:val="000000" w:themeColor="text1"/>
              </w:rPr>
              <w:t>3.3</w:t>
            </w:r>
          </w:p>
        </w:tc>
        <w:tc>
          <w:tcPr>
            <w:tcW w:w="1080" w:type="dxa"/>
            <w:tcBorders>
              <w:left w:val="double" w:sz="4" w:space="0" w:color="auto"/>
              <w:right w:val="nil"/>
            </w:tcBorders>
            <w:vAlign w:val="center"/>
          </w:tcPr>
          <w:p w14:paraId="6B40ADD7" w14:textId="77777777" w:rsidR="00E77DF0" w:rsidRPr="001D13B6" w:rsidRDefault="00E77DF0" w:rsidP="00013648">
            <w:pPr>
              <w:spacing w:line="240" w:lineRule="auto"/>
              <w:ind w:firstLine="39"/>
              <w:jc w:val="center"/>
              <w:rPr>
                <w:color w:val="000000" w:themeColor="text1"/>
              </w:rPr>
            </w:pPr>
            <w:r w:rsidRPr="001D13B6">
              <w:rPr>
                <w:color w:val="000000" w:themeColor="text1"/>
              </w:rPr>
              <w:t>3.3</w:t>
            </w:r>
          </w:p>
        </w:tc>
        <w:tc>
          <w:tcPr>
            <w:tcW w:w="1080" w:type="dxa"/>
            <w:tcBorders>
              <w:left w:val="nil"/>
              <w:right w:val="nil"/>
            </w:tcBorders>
            <w:vAlign w:val="center"/>
          </w:tcPr>
          <w:p w14:paraId="2B5A126F" w14:textId="77777777" w:rsidR="00E77DF0" w:rsidRPr="001D13B6" w:rsidRDefault="00E77DF0" w:rsidP="00013648">
            <w:pPr>
              <w:spacing w:line="240" w:lineRule="auto"/>
              <w:ind w:firstLine="39"/>
              <w:jc w:val="center"/>
              <w:rPr>
                <w:color w:val="000000" w:themeColor="text1"/>
              </w:rPr>
            </w:pPr>
            <w:r w:rsidRPr="001D13B6">
              <w:rPr>
                <w:color w:val="000000" w:themeColor="text1"/>
              </w:rPr>
              <w:t>2.6</w:t>
            </w:r>
          </w:p>
        </w:tc>
        <w:tc>
          <w:tcPr>
            <w:tcW w:w="1080" w:type="dxa"/>
            <w:tcBorders>
              <w:left w:val="nil"/>
              <w:right w:val="nil"/>
            </w:tcBorders>
            <w:vAlign w:val="center"/>
          </w:tcPr>
          <w:p w14:paraId="3981F395" w14:textId="77777777" w:rsidR="00E77DF0" w:rsidRPr="001D13B6" w:rsidRDefault="00E77DF0" w:rsidP="00013648">
            <w:pPr>
              <w:spacing w:line="240" w:lineRule="auto"/>
              <w:ind w:firstLine="39"/>
              <w:jc w:val="center"/>
              <w:rPr>
                <w:color w:val="000000" w:themeColor="text1"/>
              </w:rPr>
            </w:pPr>
            <w:r w:rsidRPr="001D13B6">
              <w:rPr>
                <w:color w:val="000000" w:themeColor="text1"/>
              </w:rPr>
              <w:t>2.1</w:t>
            </w:r>
          </w:p>
        </w:tc>
        <w:tc>
          <w:tcPr>
            <w:tcW w:w="1080" w:type="dxa"/>
            <w:tcBorders>
              <w:left w:val="nil"/>
              <w:right w:val="nil"/>
            </w:tcBorders>
            <w:vAlign w:val="center"/>
          </w:tcPr>
          <w:p w14:paraId="496A6B01" w14:textId="77777777" w:rsidR="00E77DF0" w:rsidRPr="001D13B6" w:rsidRDefault="00E77DF0" w:rsidP="00013648">
            <w:pPr>
              <w:spacing w:line="240" w:lineRule="auto"/>
              <w:ind w:firstLine="39"/>
              <w:jc w:val="center"/>
              <w:rPr>
                <w:color w:val="000000" w:themeColor="text1"/>
              </w:rPr>
            </w:pPr>
            <w:r w:rsidRPr="001D13B6">
              <w:rPr>
                <w:color w:val="000000" w:themeColor="text1"/>
              </w:rPr>
              <w:t>1.7</w:t>
            </w:r>
          </w:p>
        </w:tc>
      </w:tr>
      <w:tr w:rsidR="00E77DF0" w:rsidRPr="001D13B6" w14:paraId="140376B1" w14:textId="77777777" w:rsidTr="00013648">
        <w:trPr>
          <w:jc w:val="center"/>
        </w:trPr>
        <w:tc>
          <w:tcPr>
            <w:tcW w:w="1427" w:type="dxa"/>
            <w:tcBorders>
              <w:left w:val="nil"/>
              <w:right w:val="nil"/>
            </w:tcBorders>
            <w:vAlign w:val="center"/>
          </w:tcPr>
          <w:p w14:paraId="65387822" w14:textId="77777777" w:rsidR="00E77DF0" w:rsidRPr="001D13B6" w:rsidRDefault="00E77DF0" w:rsidP="00013648">
            <w:pPr>
              <w:spacing w:line="240" w:lineRule="auto"/>
              <w:ind w:firstLine="39"/>
              <w:jc w:val="center"/>
            </w:pPr>
            <w:r w:rsidRPr="001D13B6">
              <w:t>AED</w:t>
            </w:r>
          </w:p>
        </w:tc>
        <w:tc>
          <w:tcPr>
            <w:tcW w:w="1104" w:type="dxa"/>
            <w:tcBorders>
              <w:left w:val="nil"/>
              <w:right w:val="nil"/>
            </w:tcBorders>
            <w:vAlign w:val="center"/>
          </w:tcPr>
          <w:p w14:paraId="4265997A" w14:textId="77777777" w:rsidR="00E77DF0" w:rsidRPr="001D13B6" w:rsidRDefault="00E77DF0" w:rsidP="00013648">
            <w:pPr>
              <w:spacing w:line="240" w:lineRule="auto"/>
              <w:ind w:firstLine="39"/>
              <w:jc w:val="center"/>
              <w:rPr>
                <w:color w:val="000000" w:themeColor="text1"/>
              </w:rPr>
            </w:pPr>
            <w:r w:rsidRPr="001D13B6">
              <w:rPr>
                <w:color w:val="000000" w:themeColor="text1"/>
              </w:rPr>
              <w:t>0.0</w:t>
            </w:r>
          </w:p>
        </w:tc>
        <w:tc>
          <w:tcPr>
            <w:tcW w:w="1432" w:type="dxa"/>
            <w:tcBorders>
              <w:left w:val="nil"/>
              <w:right w:val="double" w:sz="4" w:space="0" w:color="auto"/>
            </w:tcBorders>
            <w:vAlign w:val="center"/>
          </w:tcPr>
          <w:p w14:paraId="4EBDB117" w14:textId="77777777" w:rsidR="00E77DF0" w:rsidRPr="001D13B6" w:rsidRDefault="00E77DF0" w:rsidP="00013648">
            <w:pPr>
              <w:spacing w:line="240" w:lineRule="auto"/>
              <w:ind w:firstLine="39"/>
              <w:jc w:val="center"/>
              <w:rPr>
                <w:color w:val="000000" w:themeColor="text1"/>
              </w:rPr>
            </w:pPr>
            <w:r w:rsidRPr="001D13B6">
              <w:rPr>
                <w:color w:val="000000" w:themeColor="text1"/>
              </w:rPr>
              <w:t>0.0</w:t>
            </w:r>
          </w:p>
        </w:tc>
        <w:tc>
          <w:tcPr>
            <w:tcW w:w="1080" w:type="dxa"/>
            <w:tcBorders>
              <w:left w:val="double" w:sz="4" w:space="0" w:color="auto"/>
              <w:right w:val="nil"/>
            </w:tcBorders>
            <w:vAlign w:val="center"/>
          </w:tcPr>
          <w:p w14:paraId="5E3F9C0A" w14:textId="77777777" w:rsidR="00E77DF0" w:rsidRPr="001D13B6" w:rsidRDefault="00E77DF0" w:rsidP="00013648">
            <w:pPr>
              <w:spacing w:line="240" w:lineRule="auto"/>
              <w:ind w:firstLine="39"/>
              <w:jc w:val="center"/>
              <w:rPr>
                <w:color w:val="000000" w:themeColor="text1"/>
              </w:rPr>
            </w:pPr>
            <w:r w:rsidRPr="001D13B6">
              <w:rPr>
                <w:color w:val="000000" w:themeColor="text1"/>
              </w:rPr>
              <w:t>0.0</w:t>
            </w:r>
          </w:p>
        </w:tc>
        <w:tc>
          <w:tcPr>
            <w:tcW w:w="1080" w:type="dxa"/>
            <w:tcBorders>
              <w:left w:val="nil"/>
              <w:right w:val="nil"/>
            </w:tcBorders>
            <w:vAlign w:val="center"/>
          </w:tcPr>
          <w:p w14:paraId="49521FEC" w14:textId="77777777" w:rsidR="00E77DF0" w:rsidRPr="001D13B6" w:rsidRDefault="00E77DF0" w:rsidP="00013648">
            <w:pPr>
              <w:spacing w:line="240" w:lineRule="auto"/>
              <w:ind w:firstLine="39"/>
              <w:jc w:val="center"/>
              <w:rPr>
                <w:color w:val="000000" w:themeColor="text1"/>
              </w:rPr>
            </w:pPr>
            <w:r w:rsidRPr="001D13B6">
              <w:rPr>
                <w:color w:val="000000" w:themeColor="text1"/>
              </w:rPr>
              <w:t>0.0</w:t>
            </w:r>
          </w:p>
        </w:tc>
        <w:tc>
          <w:tcPr>
            <w:tcW w:w="1080" w:type="dxa"/>
            <w:tcBorders>
              <w:left w:val="nil"/>
              <w:right w:val="nil"/>
            </w:tcBorders>
            <w:vAlign w:val="center"/>
          </w:tcPr>
          <w:p w14:paraId="6E9F76F9" w14:textId="77777777" w:rsidR="00E77DF0" w:rsidRPr="001D13B6" w:rsidRDefault="00E77DF0" w:rsidP="00013648">
            <w:pPr>
              <w:spacing w:line="240" w:lineRule="auto"/>
              <w:ind w:firstLine="39"/>
              <w:jc w:val="center"/>
              <w:rPr>
                <w:color w:val="000000" w:themeColor="text1"/>
              </w:rPr>
            </w:pPr>
            <w:r w:rsidRPr="001D13B6">
              <w:rPr>
                <w:color w:val="000000" w:themeColor="text1"/>
              </w:rPr>
              <w:t>0.0</w:t>
            </w:r>
          </w:p>
        </w:tc>
        <w:tc>
          <w:tcPr>
            <w:tcW w:w="1080" w:type="dxa"/>
            <w:tcBorders>
              <w:left w:val="nil"/>
              <w:right w:val="nil"/>
            </w:tcBorders>
            <w:vAlign w:val="center"/>
          </w:tcPr>
          <w:p w14:paraId="76A43147" w14:textId="77777777" w:rsidR="00E77DF0" w:rsidRPr="001D13B6" w:rsidRDefault="00E77DF0" w:rsidP="00013648">
            <w:pPr>
              <w:spacing w:line="240" w:lineRule="auto"/>
              <w:ind w:firstLine="39"/>
              <w:jc w:val="center"/>
              <w:rPr>
                <w:color w:val="000000" w:themeColor="text1"/>
              </w:rPr>
            </w:pPr>
            <w:r w:rsidRPr="001D13B6">
              <w:rPr>
                <w:color w:val="000000" w:themeColor="text1"/>
              </w:rPr>
              <w:t>-</w:t>
            </w:r>
          </w:p>
        </w:tc>
      </w:tr>
      <w:tr w:rsidR="00E77DF0" w:rsidRPr="001D13B6" w14:paraId="1BDCA219" w14:textId="77777777" w:rsidTr="00013648">
        <w:trPr>
          <w:jc w:val="center"/>
        </w:trPr>
        <w:tc>
          <w:tcPr>
            <w:tcW w:w="1427" w:type="dxa"/>
            <w:tcBorders>
              <w:left w:val="nil"/>
              <w:bottom w:val="thickThinSmallGap" w:sz="24" w:space="0" w:color="auto"/>
              <w:right w:val="nil"/>
            </w:tcBorders>
            <w:vAlign w:val="center"/>
          </w:tcPr>
          <w:p w14:paraId="63ED2E8E" w14:textId="77777777" w:rsidR="00E77DF0" w:rsidRPr="001D13B6" w:rsidRDefault="00E77DF0" w:rsidP="00013648">
            <w:pPr>
              <w:spacing w:line="240" w:lineRule="auto"/>
              <w:ind w:firstLine="39"/>
              <w:jc w:val="center"/>
            </w:pPr>
            <w:r w:rsidRPr="001D13B6">
              <w:t>CNY</w:t>
            </w:r>
          </w:p>
        </w:tc>
        <w:tc>
          <w:tcPr>
            <w:tcW w:w="1104" w:type="dxa"/>
            <w:tcBorders>
              <w:left w:val="nil"/>
              <w:bottom w:val="thickThinSmallGap" w:sz="24" w:space="0" w:color="auto"/>
              <w:right w:val="nil"/>
            </w:tcBorders>
            <w:vAlign w:val="center"/>
          </w:tcPr>
          <w:p w14:paraId="1D1FD7A7" w14:textId="77777777" w:rsidR="00E77DF0" w:rsidRPr="001D13B6" w:rsidRDefault="00E77DF0" w:rsidP="00013648">
            <w:pPr>
              <w:spacing w:line="240" w:lineRule="auto"/>
              <w:ind w:firstLine="39"/>
              <w:jc w:val="center"/>
              <w:rPr>
                <w:color w:val="000000" w:themeColor="text1"/>
              </w:rPr>
            </w:pPr>
            <w:r w:rsidRPr="001D13B6">
              <w:rPr>
                <w:color w:val="000000" w:themeColor="text1"/>
              </w:rPr>
              <w:t>3.0</w:t>
            </w:r>
          </w:p>
        </w:tc>
        <w:tc>
          <w:tcPr>
            <w:tcW w:w="1432" w:type="dxa"/>
            <w:tcBorders>
              <w:left w:val="nil"/>
              <w:bottom w:val="thickThinSmallGap" w:sz="24" w:space="0" w:color="auto"/>
              <w:right w:val="double" w:sz="4" w:space="0" w:color="auto"/>
            </w:tcBorders>
            <w:vAlign w:val="center"/>
          </w:tcPr>
          <w:p w14:paraId="69A0E1E1" w14:textId="77777777" w:rsidR="00E77DF0" w:rsidRPr="001D13B6" w:rsidRDefault="00E77DF0" w:rsidP="00013648">
            <w:pPr>
              <w:spacing w:line="240" w:lineRule="auto"/>
              <w:ind w:firstLine="39"/>
              <w:jc w:val="center"/>
              <w:rPr>
                <w:color w:val="000000" w:themeColor="text1"/>
              </w:rPr>
            </w:pPr>
            <w:r w:rsidRPr="001D13B6">
              <w:rPr>
                <w:color w:val="000000" w:themeColor="text1"/>
              </w:rPr>
              <w:t>2.4</w:t>
            </w:r>
          </w:p>
        </w:tc>
        <w:tc>
          <w:tcPr>
            <w:tcW w:w="1080" w:type="dxa"/>
            <w:tcBorders>
              <w:left w:val="double" w:sz="4" w:space="0" w:color="auto"/>
              <w:bottom w:val="thickThinSmallGap" w:sz="24" w:space="0" w:color="auto"/>
              <w:right w:val="nil"/>
            </w:tcBorders>
            <w:vAlign w:val="center"/>
          </w:tcPr>
          <w:p w14:paraId="5C066820" w14:textId="77777777" w:rsidR="00E77DF0" w:rsidRPr="001D13B6" w:rsidRDefault="00E77DF0" w:rsidP="00013648">
            <w:pPr>
              <w:spacing w:line="240" w:lineRule="auto"/>
              <w:ind w:firstLine="39"/>
              <w:jc w:val="center"/>
              <w:rPr>
                <w:color w:val="000000" w:themeColor="text1"/>
              </w:rPr>
            </w:pPr>
            <w:r w:rsidRPr="001D13B6">
              <w:rPr>
                <w:color w:val="000000" w:themeColor="text1"/>
              </w:rPr>
              <w:t>2.4</w:t>
            </w:r>
          </w:p>
        </w:tc>
        <w:tc>
          <w:tcPr>
            <w:tcW w:w="1080" w:type="dxa"/>
            <w:tcBorders>
              <w:left w:val="nil"/>
              <w:bottom w:val="thickThinSmallGap" w:sz="24" w:space="0" w:color="auto"/>
              <w:right w:val="nil"/>
            </w:tcBorders>
            <w:vAlign w:val="center"/>
          </w:tcPr>
          <w:p w14:paraId="7CD58955" w14:textId="77777777" w:rsidR="00E77DF0" w:rsidRPr="001D13B6" w:rsidRDefault="00E77DF0" w:rsidP="00013648">
            <w:pPr>
              <w:spacing w:line="240" w:lineRule="auto"/>
              <w:ind w:firstLine="39"/>
              <w:jc w:val="center"/>
              <w:rPr>
                <w:color w:val="000000" w:themeColor="text1"/>
              </w:rPr>
            </w:pPr>
            <w:r w:rsidRPr="001D13B6">
              <w:rPr>
                <w:color w:val="000000" w:themeColor="text1"/>
              </w:rPr>
              <w:t>1.7</w:t>
            </w:r>
          </w:p>
        </w:tc>
        <w:tc>
          <w:tcPr>
            <w:tcW w:w="1080" w:type="dxa"/>
            <w:tcBorders>
              <w:left w:val="nil"/>
              <w:bottom w:val="thickThinSmallGap" w:sz="24" w:space="0" w:color="auto"/>
              <w:right w:val="nil"/>
            </w:tcBorders>
            <w:vAlign w:val="center"/>
          </w:tcPr>
          <w:p w14:paraId="27028FCC" w14:textId="77777777" w:rsidR="00E77DF0" w:rsidRPr="001D13B6" w:rsidRDefault="00E77DF0" w:rsidP="00013648">
            <w:pPr>
              <w:spacing w:line="240" w:lineRule="auto"/>
              <w:ind w:firstLine="39"/>
              <w:jc w:val="center"/>
              <w:rPr>
                <w:color w:val="000000" w:themeColor="text1"/>
              </w:rPr>
            </w:pPr>
            <w:r w:rsidRPr="001D13B6">
              <w:rPr>
                <w:color w:val="000000" w:themeColor="text1"/>
              </w:rPr>
              <w:t>1.3</w:t>
            </w:r>
          </w:p>
        </w:tc>
        <w:tc>
          <w:tcPr>
            <w:tcW w:w="1080" w:type="dxa"/>
            <w:tcBorders>
              <w:left w:val="nil"/>
              <w:bottom w:val="thickThinSmallGap" w:sz="24" w:space="0" w:color="auto"/>
              <w:right w:val="nil"/>
            </w:tcBorders>
            <w:vAlign w:val="center"/>
          </w:tcPr>
          <w:p w14:paraId="285339C9" w14:textId="77777777" w:rsidR="00E77DF0" w:rsidRPr="001D13B6" w:rsidRDefault="00E77DF0" w:rsidP="00013648">
            <w:pPr>
              <w:spacing w:line="240" w:lineRule="auto"/>
              <w:ind w:firstLine="39"/>
              <w:jc w:val="center"/>
              <w:rPr>
                <w:color w:val="000000" w:themeColor="text1"/>
              </w:rPr>
            </w:pPr>
            <w:r w:rsidRPr="001D13B6">
              <w:rPr>
                <w:color w:val="000000" w:themeColor="text1"/>
              </w:rPr>
              <w:t>1.1</w:t>
            </w:r>
          </w:p>
        </w:tc>
      </w:tr>
    </w:tbl>
    <w:p w14:paraId="7A4356E5" w14:textId="77777777" w:rsidR="00E77DF0" w:rsidRPr="00E77DF0" w:rsidRDefault="00E77DF0" w:rsidP="00E77DF0">
      <w:pPr>
        <w:spacing w:before="120"/>
        <w:rPr>
          <w:sz w:val="16"/>
        </w:rPr>
      </w:pPr>
      <w:r w:rsidRPr="00E77DF0">
        <w:rPr>
          <w:sz w:val="16"/>
        </w:rPr>
        <w:t>Աղբյուրը՝ ՀՀ ՖՆ հաշվարկներ և կանխատեսումներ</w:t>
      </w:r>
    </w:p>
    <w:p w14:paraId="046989C7" w14:textId="77777777" w:rsidR="00E77DF0" w:rsidRPr="001D13B6" w:rsidRDefault="00E77DF0" w:rsidP="00E77DF0">
      <w:pPr>
        <w:rPr>
          <w:color w:val="FF0000"/>
        </w:rPr>
      </w:pPr>
    </w:p>
    <w:p w14:paraId="5FD75110" w14:textId="77777777" w:rsidR="00E77DF0" w:rsidRPr="001D13B6" w:rsidRDefault="00E77DF0" w:rsidP="00D037CF">
      <w:pPr>
        <w:spacing w:before="120" w:after="0" w:line="276" w:lineRule="auto"/>
        <w:ind w:firstLine="0"/>
      </w:pPr>
      <w:r w:rsidRPr="001D13B6">
        <w:t>Փոխարժեքի ռիսկի նվազեցման և արդյունավետ կառավարման նպատակով արտարժութային շուկայի զարգացմանը զուգահեռ կօգտագործվեն հեջավորման տարբեր մոտեցումներ (օրինակ` արտարժութային սվոփներ):</w:t>
      </w:r>
    </w:p>
    <w:p w14:paraId="624DAE60" w14:textId="77777777" w:rsidR="00E77DF0" w:rsidRPr="001D13B6" w:rsidRDefault="00E77DF0" w:rsidP="00D037CF">
      <w:pPr>
        <w:spacing w:before="120" w:after="0" w:line="276" w:lineRule="auto"/>
        <w:ind w:firstLine="0"/>
      </w:pPr>
      <w:r w:rsidRPr="001D13B6">
        <w:t>ՀՀ կառավարության արտարժութային պարտքի կառուցվածքում կանխատեսվող ժամանակահատվածի վերջում 2023 թվականի փաստացի ցուցանիշի նկատմամբ SDR–ի կշիռը նվազում է 14.8 տոկոսային կետով, քանի որ SDR–ով վարկերն աստիճանաբար մարվում են և նոր վարկեր չեն ներգրավվում, քանի որ միջազգային կազմակերպություններն այդ արժույթով վարկեր տրամադրում են եկամտի ցածր մակարդակ ունեցող երկրներին, իսկ հիմնական արժույթներից ԱՄՆ դոլարի և եվրոյի նույն ցուցանիշներն աճում են համապատասխանաբար 12.1 և 4.1 տոկոսային կետով:</w:t>
      </w:r>
    </w:p>
    <w:p w14:paraId="23762E80" w14:textId="77A8827C" w:rsidR="0049321C" w:rsidRPr="001D13B6" w:rsidRDefault="0049321C" w:rsidP="0049321C">
      <w:pPr>
        <w:pStyle w:val="afe"/>
        <w:jc w:val="both"/>
        <w:rPr>
          <w:b w:val="0"/>
          <w:sz w:val="22"/>
          <w:szCs w:val="22"/>
        </w:rPr>
      </w:pPr>
      <w:r w:rsidRPr="001D13B6">
        <w:rPr>
          <w:sz w:val="22"/>
          <w:szCs w:val="22"/>
        </w:rPr>
        <w:t xml:space="preserve">Գծապատկեր 8.   </w:t>
      </w:r>
      <w:r w:rsidRPr="001D13B6">
        <w:rPr>
          <w:b w:val="0"/>
          <w:sz w:val="22"/>
          <w:szCs w:val="22"/>
        </w:rPr>
        <w:t xml:space="preserve">ՀՀ կառավարության արտարժութային պարտքի մարումների և տոկոսավճարների կշիռը նախորդ տարվա վերջի դրությամբ ԿԲ արտաքին ակտիվներում 2023-2027 թվականներին </w:t>
      </w:r>
    </w:p>
    <w:p w14:paraId="07E2B8F3" w14:textId="77777777" w:rsidR="0049321C" w:rsidRPr="001D13B6" w:rsidRDefault="0049321C" w:rsidP="0049321C">
      <w:pPr>
        <w:pStyle w:val="afe"/>
        <w:jc w:val="center"/>
        <w:rPr>
          <w:sz w:val="22"/>
          <w:szCs w:val="22"/>
        </w:rPr>
      </w:pPr>
      <w:r w:rsidRPr="001D13B6">
        <w:rPr>
          <w:noProof/>
          <w:sz w:val="22"/>
          <w:szCs w:val="22"/>
          <w:lang w:val="en-US"/>
        </w:rPr>
        <w:drawing>
          <wp:inline distT="0" distB="0" distL="0" distR="0" wp14:anchorId="1FF40986" wp14:editId="701E27E7">
            <wp:extent cx="5781675" cy="2419350"/>
            <wp:effectExtent l="0" t="0" r="9525" b="0"/>
            <wp:docPr id="1545876458" name="Chart 15458764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FDDEA97" w14:textId="77777777" w:rsidR="0049321C" w:rsidRPr="00A71282" w:rsidRDefault="0049321C" w:rsidP="0049321C">
      <w:pPr>
        <w:spacing w:before="120"/>
        <w:rPr>
          <w:sz w:val="16"/>
          <w:lang w:val="hy-AM"/>
        </w:rPr>
      </w:pPr>
      <w:r w:rsidRPr="00A71282">
        <w:rPr>
          <w:sz w:val="16"/>
          <w:lang w:val="hy-AM"/>
        </w:rPr>
        <w:t>Աղբյուրը՝ ՀՀ ՖՆ հաշվարկներ և կանխատեսումներ, ԿԲ և ԱՄՀ</w:t>
      </w:r>
      <w:r w:rsidRPr="00A71282" w:rsidDel="001F100C">
        <w:rPr>
          <w:sz w:val="16"/>
          <w:lang w:val="hy-AM"/>
        </w:rPr>
        <w:t xml:space="preserve"> </w:t>
      </w:r>
    </w:p>
    <w:p w14:paraId="1F7D720F" w14:textId="77777777" w:rsidR="0049321C" w:rsidRPr="001D13B6" w:rsidRDefault="0049321C" w:rsidP="0049321C">
      <w:pPr>
        <w:pStyle w:val="NoSpacing"/>
        <w:rPr>
          <w:color w:val="FF0000"/>
          <w:lang w:val="hy-AM"/>
        </w:rPr>
      </w:pPr>
    </w:p>
    <w:p w14:paraId="2A8D5CB4" w14:textId="77777777" w:rsidR="0049321C" w:rsidRPr="0049321C" w:rsidRDefault="0049321C" w:rsidP="00D037CF">
      <w:pPr>
        <w:spacing w:before="120" w:after="0" w:line="276" w:lineRule="auto"/>
        <w:ind w:firstLine="0"/>
        <w:rPr>
          <w:lang w:val="hy-AM"/>
        </w:rPr>
      </w:pPr>
      <w:r w:rsidRPr="0049321C">
        <w:rPr>
          <w:lang w:val="hy-AM"/>
        </w:rPr>
        <w:t xml:space="preserve">ՀՀ կառավարության տվյալ տարվա արտարժութային պարտքի մարումների և տոկոսավճարների կշիռը նախորդ տարվա վերջի դրությամբ ՀՀ ԿԲ արտաքին ակտիվներում ցուցանիշը 2025 թվականին էապես կաճի և կկազմի 28.3%` պայմանավորված 2025 թվականին մարվող եվրապարտատոմսերի մարմամբ: Ընդ որում, 2023թ. իրականացված 2025 թվականին մարվող եվրապարտատոմսերի մասնակի մարման արդյունքում այդ ցուցանիշը նվազել է 2.2 տոկոսային կետով 2024-2026թթ. ՀՀ կառավարության պարտքի կառավարման ռազմավարությամբ գնահատված ցուցանիշի համեմատությամբ: Միաժամանակ, ԿԲ արտաքին ակտիվների ցուցանիշի գնահատականը նույնպես նվազել է նախորդ ռազմավարությամբ կանխատեսված մակարդակի համեմատությամբ: Եթե վերջինիս ազդեցությունը չեզոքացնենք, ՀՀ կառավարության արտարժութային պարտքի մարումների և տոկոսավճարների կշիռը նախորդ տարվա վերջի դրությամբ արտարժութային արտաքին ակտիվներում ցուցանիշը 2025 թվականին կկազմեր 27.2%, այսինքն, արտարժութային պարտատոմսերի հետգնման ազդեցությունը կկազմեր 3.3 տոկոսային կետ: 2026 թվականին այդ նույն ցուցանիշը կտրուկ կնվազի և կկազմի 23.1%: Դա նշանակում է, որ միջնաժամկետ հատվածում արտարժութային ակտիվների ավելի քան մեկ հինգերորդն ուղղվում է ՀՀ կառավարության արտարժութային պարտքի մարումներին և տոկոսավճարներին, ինչն էական գործոն է հանդիսացել ՀՀ կառավարության նոր պարտքի ներգրավման արժույթների սցենարը մշակելիս: </w:t>
      </w:r>
    </w:p>
    <w:p w14:paraId="0C2A2229" w14:textId="77777777" w:rsidR="0049321C" w:rsidRPr="001D13B6" w:rsidRDefault="0049321C" w:rsidP="00D037CF">
      <w:pPr>
        <w:pStyle w:val="aff"/>
        <w:keepNext w:val="0"/>
        <w:spacing w:before="120" w:after="0" w:line="276" w:lineRule="auto"/>
        <w:ind w:firstLine="0"/>
        <w:jc w:val="both"/>
      </w:pPr>
      <w:r w:rsidRPr="001D13B6">
        <w:t>Վերաֆինանսավորման ռիսկ</w:t>
      </w:r>
    </w:p>
    <w:p w14:paraId="476D3E49" w14:textId="77777777" w:rsidR="0049321C" w:rsidRPr="0049321C" w:rsidRDefault="0049321C" w:rsidP="00D037CF">
      <w:pPr>
        <w:spacing w:before="120" w:after="0" w:line="276" w:lineRule="auto"/>
        <w:ind w:firstLine="0"/>
        <w:rPr>
          <w:lang w:val="hy-AM"/>
        </w:rPr>
      </w:pPr>
      <w:r w:rsidRPr="0049321C">
        <w:rPr>
          <w:lang w:val="hy-AM"/>
        </w:rPr>
        <w:t>Վերաֆինանսավորման ռիսկը կարևորվում է՝ պայմանավորված առաջիկա տարիներին ՀՀ կառավա</w:t>
      </w:r>
      <w:r w:rsidRPr="0049321C">
        <w:rPr>
          <w:lang w:val="hy-AM"/>
        </w:rPr>
        <w:softHyphen/>
        <w:t>րության պարտքի մարումների ծավալներով և միջազգային ու ներքին ֆինանսական շուկաներում հնարավոր բացասական զարգացումներով: Նոր պարտքի ներգրավման ֆինանսական պայմանների բանակցման և որոշումների կայացման ժամանակ ՀՀ կառավարությունը ձգտում է հարթեցնել  պարտքի մարում</w:t>
      </w:r>
      <w:r w:rsidRPr="0049321C">
        <w:rPr>
          <w:lang w:val="hy-AM"/>
        </w:rPr>
        <w:softHyphen/>
        <w:t>ների գրաֆիկը՝ մեղմելով վերաֆինանսա</w:t>
      </w:r>
      <w:r w:rsidRPr="0049321C">
        <w:rPr>
          <w:lang w:val="hy-AM"/>
        </w:rPr>
        <w:softHyphen/>
        <w:t>վորման ռիսկը: Վերաֆինանսավորման ռիսկի նվազեց</w:t>
      </w:r>
      <w:r w:rsidRPr="0049321C">
        <w:rPr>
          <w:lang w:val="hy-AM"/>
        </w:rPr>
        <w:softHyphen/>
        <w:t xml:space="preserve">ման նպատակով կիրառվում են նաև հետգնումներ: </w:t>
      </w:r>
    </w:p>
    <w:p w14:paraId="44FB439F" w14:textId="77777777" w:rsidR="0049321C" w:rsidRPr="001D13B6" w:rsidRDefault="0049321C" w:rsidP="0049321C">
      <w:pPr>
        <w:pStyle w:val="afd"/>
        <w:numPr>
          <w:ilvl w:val="0"/>
          <w:numId w:val="21"/>
        </w:numPr>
        <w:ind w:left="1276" w:hanging="1276"/>
      </w:pPr>
      <w:r w:rsidRPr="001D13B6">
        <w:t xml:space="preserve">ՀՀ կառավարության պարտքի վերաֆինանսավորման ռիսկի ցուցանիշները 2023-2027 թվականներին </w:t>
      </w:r>
    </w:p>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9"/>
        <w:gridCol w:w="1079"/>
        <w:gridCol w:w="1079"/>
        <w:gridCol w:w="1100"/>
        <w:gridCol w:w="953"/>
        <w:gridCol w:w="946"/>
      </w:tblGrid>
      <w:tr w:rsidR="0049321C" w:rsidRPr="00D037CF" w14:paraId="289236E6" w14:textId="77777777" w:rsidTr="00D037CF">
        <w:trPr>
          <w:trHeight w:val="530"/>
          <w:tblHeader/>
          <w:jc w:val="center"/>
        </w:trPr>
        <w:tc>
          <w:tcPr>
            <w:tcW w:w="552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65E0113" w14:textId="77777777" w:rsidR="0049321C" w:rsidRPr="00D037CF" w:rsidRDefault="0049321C" w:rsidP="00013648">
            <w:pPr>
              <w:spacing w:line="240" w:lineRule="auto"/>
              <w:ind w:firstLine="44"/>
              <w:rPr>
                <w:sz w:val="20"/>
                <w:szCs w:val="20"/>
                <w:lang w:val="hy-AM"/>
              </w:rPr>
            </w:pPr>
          </w:p>
        </w:tc>
        <w:tc>
          <w:tcPr>
            <w:tcW w:w="1079" w:type="dxa"/>
            <w:tcBorders>
              <w:top w:val="thinThickThinSmallGap" w:sz="24" w:space="0" w:color="auto"/>
              <w:left w:val="nil"/>
              <w:bottom w:val="thinThickSmallGap" w:sz="24" w:space="0" w:color="auto"/>
              <w:right w:val="nil"/>
            </w:tcBorders>
            <w:shd w:val="clear" w:color="auto" w:fill="BDD6EE" w:themeFill="accent1" w:themeFillTint="66"/>
          </w:tcPr>
          <w:p w14:paraId="0F5C3FB3" w14:textId="77777777" w:rsidR="0049321C" w:rsidRPr="00D037CF" w:rsidRDefault="0049321C" w:rsidP="00013648">
            <w:pPr>
              <w:spacing w:line="240" w:lineRule="auto"/>
              <w:ind w:firstLine="44"/>
              <w:jc w:val="center"/>
              <w:rPr>
                <w:sz w:val="20"/>
                <w:szCs w:val="20"/>
              </w:rPr>
            </w:pPr>
            <w:r w:rsidRPr="00D037CF">
              <w:rPr>
                <w:sz w:val="20"/>
                <w:szCs w:val="20"/>
              </w:rPr>
              <w:t>2023 փաստ.</w:t>
            </w:r>
          </w:p>
        </w:tc>
        <w:tc>
          <w:tcPr>
            <w:tcW w:w="107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1046B00" w14:textId="77777777" w:rsidR="0049321C" w:rsidRPr="00D037CF" w:rsidRDefault="0049321C" w:rsidP="00013648">
            <w:pPr>
              <w:spacing w:line="240" w:lineRule="auto"/>
              <w:ind w:firstLine="44"/>
              <w:jc w:val="center"/>
              <w:rPr>
                <w:sz w:val="20"/>
                <w:szCs w:val="20"/>
              </w:rPr>
            </w:pPr>
            <w:r w:rsidRPr="00D037CF">
              <w:rPr>
                <w:sz w:val="20"/>
                <w:szCs w:val="20"/>
              </w:rPr>
              <w:t>2024 կանխ.</w:t>
            </w:r>
          </w:p>
        </w:tc>
        <w:tc>
          <w:tcPr>
            <w:tcW w:w="110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189C8F4" w14:textId="77777777" w:rsidR="0049321C" w:rsidRPr="00D037CF" w:rsidRDefault="0049321C" w:rsidP="00013648">
            <w:pPr>
              <w:spacing w:line="240" w:lineRule="auto"/>
              <w:ind w:firstLine="44"/>
              <w:jc w:val="center"/>
              <w:rPr>
                <w:sz w:val="20"/>
                <w:szCs w:val="20"/>
              </w:rPr>
            </w:pPr>
            <w:r w:rsidRPr="00D037CF">
              <w:rPr>
                <w:sz w:val="20"/>
                <w:szCs w:val="20"/>
              </w:rPr>
              <w:t>2025 կանխ.</w:t>
            </w:r>
          </w:p>
        </w:tc>
        <w:tc>
          <w:tcPr>
            <w:tcW w:w="95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DEEE5FA" w14:textId="77777777" w:rsidR="0049321C" w:rsidRPr="00D037CF" w:rsidRDefault="0049321C" w:rsidP="00013648">
            <w:pPr>
              <w:spacing w:line="240" w:lineRule="auto"/>
              <w:ind w:firstLine="44"/>
              <w:jc w:val="center"/>
              <w:rPr>
                <w:sz w:val="20"/>
                <w:szCs w:val="20"/>
              </w:rPr>
            </w:pPr>
            <w:r w:rsidRPr="00D037CF">
              <w:rPr>
                <w:sz w:val="20"/>
                <w:szCs w:val="20"/>
              </w:rPr>
              <w:t>2026 կանխ.</w:t>
            </w:r>
          </w:p>
        </w:tc>
        <w:tc>
          <w:tcPr>
            <w:tcW w:w="94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0F9572C" w14:textId="77777777" w:rsidR="0049321C" w:rsidRPr="00D037CF" w:rsidRDefault="0049321C" w:rsidP="00013648">
            <w:pPr>
              <w:spacing w:line="240" w:lineRule="auto"/>
              <w:ind w:firstLine="44"/>
              <w:jc w:val="center"/>
              <w:rPr>
                <w:sz w:val="20"/>
                <w:szCs w:val="20"/>
              </w:rPr>
            </w:pPr>
            <w:r w:rsidRPr="00D037CF">
              <w:rPr>
                <w:sz w:val="20"/>
                <w:szCs w:val="20"/>
              </w:rPr>
              <w:t>2027 կանխ.</w:t>
            </w:r>
          </w:p>
        </w:tc>
      </w:tr>
      <w:tr w:rsidR="0049321C" w:rsidRPr="00D037CF" w14:paraId="0FE14046" w14:textId="77777777" w:rsidTr="00013648">
        <w:trPr>
          <w:trHeight w:val="690"/>
          <w:jc w:val="center"/>
        </w:trPr>
        <w:tc>
          <w:tcPr>
            <w:tcW w:w="5529" w:type="dxa"/>
            <w:tcBorders>
              <w:top w:val="thinThickSmallGap" w:sz="24" w:space="0" w:color="auto"/>
              <w:left w:val="nil"/>
              <w:right w:val="nil"/>
            </w:tcBorders>
            <w:vAlign w:val="center"/>
          </w:tcPr>
          <w:p w14:paraId="0C50D3D3" w14:textId="77777777" w:rsidR="0049321C" w:rsidRPr="00D037CF" w:rsidRDefault="0049321C" w:rsidP="00013648">
            <w:pPr>
              <w:spacing w:line="240" w:lineRule="auto"/>
              <w:ind w:firstLine="44"/>
              <w:jc w:val="left"/>
              <w:rPr>
                <w:b/>
                <w:sz w:val="20"/>
                <w:szCs w:val="20"/>
              </w:rPr>
            </w:pPr>
            <w:r w:rsidRPr="00D037CF">
              <w:rPr>
                <w:b/>
                <w:sz w:val="20"/>
                <w:szCs w:val="20"/>
              </w:rPr>
              <w:t>ՀՀ կառավարության պարտքի մինչև մարում միջին ժամկետը, (տարի)</w:t>
            </w:r>
          </w:p>
        </w:tc>
        <w:tc>
          <w:tcPr>
            <w:tcW w:w="1079" w:type="dxa"/>
            <w:tcBorders>
              <w:top w:val="thinThickSmallGap" w:sz="24" w:space="0" w:color="auto"/>
              <w:left w:val="nil"/>
              <w:right w:val="nil"/>
            </w:tcBorders>
            <w:vAlign w:val="center"/>
          </w:tcPr>
          <w:p w14:paraId="13DAF6F5" w14:textId="77777777" w:rsidR="0049321C" w:rsidRPr="00D037CF" w:rsidRDefault="0049321C" w:rsidP="00013648">
            <w:pPr>
              <w:spacing w:line="240" w:lineRule="auto"/>
              <w:ind w:firstLine="44"/>
              <w:jc w:val="center"/>
              <w:rPr>
                <w:b/>
                <w:sz w:val="20"/>
                <w:szCs w:val="20"/>
              </w:rPr>
            </w:pPr>
            <w:r w:rsidRPr="00D037CF">
              <w:rPr>
                <w:b/>
                <w:sz w:val="20"/>
                <w:szCs w:val="20"/>
              </w:rPr>
              <w:t>7.4</w:t>
            </w:r>
          </w:p>
        </w:tc>
        <w:tc>
          <w:tcPr>
            <w:tcW w:w="1079" w:type="dxa"/>
            <w:tcBorders>
              <w:top w:val="thinThickSmallGap" w:sz="24" w:space="0" w:color="auto"/>
              <w:left w:val="nil"/>
              <w:right w:val="nil"/>
            </w:tcBorders>
            <w:vAlign w:val="center"/>
          </w:tcPr>
          <w:p w14:paraId="5240DC69" w14:textId="77777777" w:rsidR="0049321C" w:rsidRPr="00D037CF" w:rsidRDefault="0049321C" w:rsidP="00013648">
            <w:pPr>
              <w:spacing w:line="240" w:lineRule="auto"/>
              <w:ind w:firstLine="44"/>
              <w:jc w:val="center"/>
              <w:rPr>
                <w:b/>
                <w:sz w:val="20"/>
                <w:szCs w:val="20"/>
              </w:rPr>
            </w:pPr>
            <w:r w:rsidRPr="00D037CF">
              <w:rPr>
                <w:b/>
                <w:sz w:val="20"/>
                <w:szCs w:val="20"/>
              </w:rPr>
              <w:t>7.0</w:t>
            </w:r>
          </w:p>
        </w:tc>
        <w:tc>
          <w:tcPr>
            <w:tcW w:w="1100" w:type="dxa"/>
            <w:tcBorders>
              <w:top w:val="thinThickSmallGap" w:sz="24" w:space="0" w:color="auto"/>
              <w:left w:val="nil"/>
              <w:right w:val="nil"/>
            </w:tcBorders>
            <w:vAlign w:val="center"/>
          </w:tcPr>
          <w:p w14:paraId="1D5485F5" w14:textId="77777777" w:rsidR="0049321C" w:rsidRPr="00D037CF" w:rsidRDefault="0049321C" w:rsidP="00013648">
            <w:pPr>
              <w:spacing w:line="240" w:lineRule="auto"/>
              <w:ind w:firstLine="44"/>
              <w:jc w:val="center"/>
              <w:rPr>
                <w:b/>
                <w:sz w:val="20"/>
                <w:szCs w:val="20"/>
              </w:rPr>
            </w:pPr>
            <w:r w:rsidRPr="00D037CF">
              <w:rPr>
                <w:b/>
                <w:sz w:val="20"/>
                <w:szCs w:val="20"/>
              </w:rPr>
              <w:t>7.5</w:t>
            </w:r>
          </w:p>
        </w:tc>
        <w:tc>
          <w:tcPr>
            <w:tcW w:w="953" w:type="dxa"/>
            <w:tcBorders>
              <w:top w:val="thinThickSmallGap" w:sz="24" w:space="0" w:color="auto"/>
              <w:left w:val="nil"/>
              <w:right w:val="nil"/>
            </w:tcBorders>
            <w:vAlign w:val="center"/>
          </w:tcPr>
          <w:p w14:paraId="4EA3CB5D" w14:textId="77777777" w:rsidR="0049321C" w:rsidRPr="00D037CF" w:rsidRDefault="0049321C" w:rsidP="00013648">
            <w:pPr>
              <w:spacing w:line="240" w:lineRule="auto"/>
              <w:ind w:firstLine="44"/>
              <w:jc w:val="center"/>
              <w:rPr>
                <w:b/>
                <w:sz w:val="20"/>
                <w:szCs w:val="20"/>
              </w:rPr>
            </w:pPr>
            <w:r w:rsidRPr="00D037CF">
              <w:rPr>
                <w:b/>
                <w:sz w:val="20"/>
                <w:szCs w:val="20"/>
              </w:rPr>
              <w:t>7.5</w:t>
            </w:r>
          </w:p>
        </w:tc>
        <w:tc>
          <w:tcPr>
            <w:tcW w:w="946" w:type="dxa"/>
            <w:tcBorders>
              <w:top w:val="thinThickSmallGap" w:sz="24" w:space="0" w:color="auto"/>
              <w:left w:val="nil"/>
              <w:right w:val="nil"/>
            </w:tcBorders>
            <w:vAlign w:val="center"/>
          </w:tcPr>
          <w:p w14:paraId="7CBD93EF" w14:textId="77777777" w:rsidR="0049321C" w:rsidRPr="00D037CF" w:rsidRDefault="0049321C" w:rsidP="00013648">
            <w:pPr>
              <w:spacing w:line="240" w:lineRule="auto"/>
              <w:ind w:firstLine="44"/>
              <w:jc w:val="center"/>
              <w:rPr>
                <w:b/>
                <w:sz w:val="20"/>
                <w:szCs w:val="20"/>
              </w:rPr>
            </w:pPr>
            <w:r w:rsidRPr="00D037CF">
              <w:rPr>
                <w:b/>
                <w:sz w:val="20"/>
                <w:szCs w:val="20"/>
              </w:rPr>
              <w:t>7.4</w:t>
            </w:r>
          </w:p>
        </w:tc>
      </w:tr>
      <w:tr w:rsidR="0049321C" w:rsidRPr="00D037CF" w14:paraId="6291D09B" w14:textId="77777777" w:rsidTr="00013648">
        <w:trPr>
          <w:trHeight w:val="694"/>
          <w:jc w:val="center"/>
        </w:trPr>
        <w:tc>
          <w:tcPr>
            <w:tcW w:w="5529" w:type="dxa"/>
            <w:tcBorders>
              <w:left w:val="nil"/>
              <w:bottom w:val="single" w:sz="4" w:space="0" w:color="auto"/>
              <w:right w:val="nil"/>
            </w:tcBorders>
            <w:vAlign w:val="center"/>
          </w:tcPr>
          <w:p w14:paraId="4F6B6810" w14:textId="77777777" w:rsidR="0049321C" w:rsidRPr="00D037CF" w:rsidRDefault="0049321C" w:rsidP="00013648">
            <w:pPr>
              <w:spacing w:line="240" w:lineRule="auto"/>
              <w:ind w:left="327" w:firstLine="44"/>
              <w:jc w:val="left"/>
              <w:rPr>
                <w:sz w:val="20"/>
                <w:szCs w:val="20"/>
              </w:rPr>
            </w:pPr>
            <w:r w:rsidRPr="00D037CF">
              <w:rPr>
                <w:sz w:val="20"/>
                <w:szCs w:val="20"/>
              </w:rPr>
              <w:t>ՀՀ կառավարության արտարժութային պարտքի մինչև մարում միջին ժամկետը, (տարի)</w:t>
            </w:r>
          </w:p>
        </w:tc>
        <w:tc>
          <w:tcPr>
            <w:tcW w:w="1079" w:type="dxa"/>
            <w:tcBorders>
              <w:left w:val="nil"/>
              <w:bottom w:val="single" w:sz="4" w:space="0" w:color="auto"/>
              <w:right w:val="nil"/>
            </w:tcBorders>
            <w:vAlign w:val="center"/>
          </w:tcPr>
          <w:p w14:paraId="66841536" w14:textId="77777777" w:rsidR="0049321C" w:rsidRPr="00D037CF" w:rsidRDefault="0049321C" w:rsidP="00013648">
            <w:pPr>
              <w:spacing w:line="240" w:lineRule="auto"/>
              <w:ind w:firstLine="44"/>
              <w:jc w:val="center"/>
              <w:rPr>
                <w:sz w:val="20"/>
                <w:szCs w:val="20"/>
              </w:rPr>
            </w:pPr>
            <w:r w:rsidRPr="00D037CF">
              <w:rPr>
                <w:sz w:val="20"/>
                <w:szCs w:val="20"/>
              </w:rPr>
              <w:t>6.8</w:t>
            </w:r>
          </w:p>
        </w:tc>
        <w:tc>
          <w:tcPr>
            <w:tcW w:w="1079" w:type="dxa"/>
            <w:tcBorders>
              <w:left w:val="nil"/>
              <w:bottom w:val="single" w:sz="4" w:space="0" w:color="auto"/>
              <w:right w:val="nil"/>
            </w:tcBorders>
            <w:vAlign w:val="center"/>
          </w:tcPr>
          <w:p w14:paraId="742EABEE" w14:textId="77777777" w:rsidR="0049321C" w:rsidRPr="00D037CF" w:rsidRDefault="0049321C" w:rsidP="00013648">
            <w:pPr>
              <w:spacing w:line="240" w:lineRule="auto"/>
              <w:ind w:firstLine="44"/>
              <w:jc w:val="center"/>
              <w:rPr>
                <w:sz w:val="20"/>
                <w:szCs w:val="20"/>
              </w:rPr>
            </w:pPr>
            <w:r w:rsidRPr="00D037CF">
              <w:rPr>
                <w:sz w:val="20"/>
                <w:szCs w:val="20"/>
              </w:rPr>
              <w:t>6.8</w:t>
            </w:r>
          </w:p>
        </w:tc>
        <w:tc>
          <w:tcPr>
            <w:tcW w:w="1100" w:type="dxa"/>
            <w:tcBorders>
              <w:left w:val="nil"/>
              <w:bottom w:val="single" w:sz="4" w:space="0" w:color="auto"/>
              <w:right w:val="nil"/>
            </w:tcBorders>
            <w:vAlign w:val="center"/>
          </w:tcPr>
          <w:p w14:paraId="3D86B835" w14:textId="77777777" w:rsidR="0049321C" w:rsidRPr="00D037CF" w:rsidRDefault="0049321C" w:rsidP="00013648">
            <w:pPr>
              <w:spacing w:line="240" w:lineRule="auto"/>
              <w:ind w:firstLine="44"/>
              <w:jc w:val="center"/>
              <w:rPr>
                <w:sz w:val="20"/>
                <w:szCs w:val="20"/>
              </w:rPr>
            </w:pPr>
            <w:r w:rsidRPr="00D037CF">
              <w:rPr>
                <w:sz w:val="20"/>
                <w:szCs w:val="20"/>
              </w:rPr>
              <w:t>7.5</w:t>
            </w:r>
          </w:p>
        </w:tc>
        <w:tc>
          <w:tcPr>
            <w:tcW w:w="953" w:type="dxa"/>
            <w:tcBorders>
              <w:left w:val="nil"/>
              <w:bottom w:val="single" w:sz="4" w:space="0" w:color="auto"/>
              <w:right w:val="nil"/>
            </w:tcBorders>
            <w:vAlign w:val="center"/>
          </w:tcPr>
          <w:p w14:paraId="74558EB6" w14:textId="77777777" w:rsidR="0049321C" w:rsidRPr="00D037CF" w:rsidRDefault="0049321C" w:rsidP="00013648">
            <w:pPr>
              <w:spacing w:line="240" w:lineRule="auto"/>
              <w:ind w:firstLine="44"/>
              <w:jc w:val="center"/>
              <w:rPr>
                <w:sz w:val="20"/>
                <w:szCs w:val="20"/>
              </w:rPr>
            </w:pPr>
            <w:r w:rsidRPr="00D037CF">
              <w:rPr>
                <w:sz w:val="20"/>
                <w:szCs w:val="20"/>
              </w:rPr>
              <w:t>7.5</w:t>
            </w:r>
          </w:p>
        </w:tc>
        <w:tc>
          <w:tcPr>
            <w:tcW w:w="946" w:type="dxa"/>
            <w:tcBorders>
              <w:left w:val="nil"/>
              <w:bottom w:val="single" w:sz="4" w:space="0" w:color="auto"/>
              <w:right w:val="nil"/>
            </w:tcBorders>
            <w:vAlign w:val="center"/>
          </w:tcPr>
          <w:p w14:paraId="1150C492" w14:textId="77777777" w:rsidR="0049321C" w:rsidRPr="00D037CF" w:rsidRDefault="0049321C" w:rsidP="00013648">
            <w:pPr>
              <w:spacing w:line="240" w:lineRule="auto"/>
              <w:ind w:firstLine="44"/>
              <w:jc w:val="center"/>
              <w:rPr>
                <w:sz w:val="20"/>
                <w:szCs w:val="20"/>
              </w:rPr>
            </w:pPr>
            <w:r w:rsidRPr="00D037CF">
              <w:rPr>
                <w:sz w:val="20"/>
                <w:szCs w:val="20"/>
              </w:rPr>
              <w:t>7.3</w:t>
            </w:r>
          </w:p>
        </w:tc>
      </w:tr>
      <w:tr w:rsidR="0049321C" w:rsidRPr="00D037CF" w14:paraId="7F1B1C24" w14:textId="77777777" w:rsidTr="00013648">
        <w:trPr>
          <w:trHeight w:val="676"/>
          <w:jc w:val="center"/>
        </w:trPr>
        <w:tc>
          <w:tcPr>
            <w:tcW w:w="5529" w:type="dxa"/>
            <w:tcBorders>
              <w:left w:val="nil"/>
              <w:bottom w:val="single" w:sz="12" w:space="0" w:color="auto"/>
              <w:right w:val="nil"/>
            </w:tcBorders>
            <w:vAlign w:val="center"/>
          </w:tcPr>
          <w:p w14:paraId="0EFCB3A9" w14:textId="77777777" w:rsidR="0049321C" w:rsidRPr="00D037CF" w:rsidRDefault="0049321C" w:rsidP="00013648">
            <w:pPr>
              <w:spacing w:line="240" w:lineRule="auto"/>
              <w:ind w:left="327" w:firstLine="44"/>
              <w:jc w:val="left"/>
              <w:rPr>
                <w:sz w:val="20"/>
                <w:szCs w:val="20"/>
              </w:rPr>
            </w:pPr>
            <w:r w:rsidRPr="00D037CF">
              <w:rPr>
                <w:sz w:val="20"/>
                <w:szCs w:val="20"/>
              </w:rPr>
              <w:t>ՀՀ կառավարության դրամային պարտքի մինչև մարում միջին ժամկետը, (տարի)</w:t>
            </w:r>
          </w:p>
        </w:tc>
        <w:tc>
          <w:tcPr>
            <w:tcW w:w="1079" w:type="dxa"/>
            <w:tcBorders>
              <w:left w:val="nil"/>
              <w:bottom w:val="single" w:sz="12" w:space="0" w:color="auto"/>
              <w:right w:val="nil"/>
            </w:tcBorders>
            <w:vAlign w:val="center"/>
          </w:tcPr>
          <w:p w14:paraId="0F851CB6" w14:textId="77777777" w:rsidR="0049321C" w:rsidRPr="00D037CF" w:rsidRDefault="0049321C" w:rsidP="00013648">
            <w:pPr>
              <w:spacing w:line="240" w:lineRule="auto"/>
              <w:ind w:firstLine="44"/>
              <w:jc w:val="center"/>
              <w:rPr>
                <w:sz w:val="20"/>
                <w:szCs w:val="20"/>
              </w:rPr>
            </w:pPr>
            <w:r w:rsidRPr="00D037CF">
              <w:rPr>
                <w:sz w:val="20"/>
                <w:szCs w:val="20"/>
              </w:rPr>
              <w:t>8.0</w:t>
            </w:r>
          </w:p>
        </w:tc>
        <w:tc>
          <w:tcPr>
            <w:tcW w:w="1079" w:type="dxa"/>
            <w:tcBorders>
              <w:left w:val="nil"/>
              <w:bottom w:val="single" w:sz="12" w:space="0" w:color="auto"/>
              <w:right w:val="nil"/>
            </w:tcBorders>
            <w:vAlign w:val="center"/>
          </w:tcPr>
          <w:p w14:paraId="00AB1C15" w14:textId="77777777" w:rsidR="0049321C" w:rsidRPr="00D037CF" w:rsidRDefault="0049321C" w:rsidP="00013648">
            <w:pPr>
              <w:spacing w:line="240" w:lineRule="auto"/>
              <w:ind w:firstLine="44"/>
              <w:jc w:val="center"/>
              <w:rPr>
                <w:sz w:val="20"/>
                <w:szCs w:val="20"/>
              </w:rPr>
            </w:pPr>
            <w:r w:rsidRPr="00D037CF">
              <w:rPr>
                <w:sz w:val="20"/>
                <w:szCs w:val="20"/>
              </w:rPr>
              <w:t>7.3</w:t>
            </w:r>
          </w:p>
        </w:tc>
        <w:tc>
          <w:tcPr>
            <w:tcW w:w="1100" w:type="dxa"/>
            <w:tcBorders>
              <w:left w:val="nil"/>
              <w:bottom w:val="single" w:sz="12" w:space="0" w:color="auto"/>
              <w:right w:val="nil"/>
            </w:tcBorders>
            <w:vAlign w:val="center"/>
          </w:tcPr>
          <w:p w14:paraId="3F60FA51" w14:textId="77777777" w:rsidR="0049321C" w:rsidRPr="00D037CF" w:rsidRDefault="0049321C" w:rsidP="00013648">
            <w:pPr>
              <w:spacing w:line="240" w:lineRule="auto"/>
              <w:ind w:firstLine="44"/>
              <w:jc w:val="center"/>
              <w:rPr>
                <w:sz w:val="20"/>
                <w:szCs w:val="20"/>
              </w:rPr>
            </w:pPr>
            <w:r w:rsidRPr="00D037CF">
              <w:rPr>
                <w:sz w:val="20"/>
                <w:szCs w:val="20"/>
              </w:rPr>
              <w:t>7.4</w:t>
            </w:r>
          </w:p>
        </w:tc>
        <w:tc>
          <w:tcPr>
            <w:tcW w:w="953" w:type="dxa"/>
            <w:tcBorders>
              <w:left w:val="nil"/>
              <w:bottom w:val="single" w:sz="12" w:space="0" w:color="auto"/>
              <w:right w:val="nil"/>
            </w:tcBorders>
            <w:vAlign w:val="center"/>
          </w:tcPr>
          <w:p w14:paraId="066FC11C" w14:textId="77777777" w:rsidR="0049321C" w:rsidRPr="00D037CF" w:rsidRDefault="0049321C" w:rsidP="00013648">
            <w:pPr>
              <w:spacing w:line="240" w:lineRule="auto"/>
              <w:ind w:firstLine="44"/>
              <w:jc w:val="center"/>
              <w:rPr>
                <w:sz w:val="20"/>
                <w:szCs w:val="20"/>
              </w:rPr>
            </w:pPr>
            <w:r w:rsidRPr="00D037CF">
              <w:rPr>
                <w:sz w:val="20"/>
                <w:szCs w:val="20"/>
              </w:rPr>
              <w:t>7.5</w:t>
            </w:r>
          </w:p>
        </w:tc>
        <w:tc>
          <w:tcPr>
            <w:tcW w:w="946" w:type="dxa"/>
            <w:tcBorders>
              <w:left w:val="nil"/>
              <w:bottom w:val="single" w:sz="12" w:space="0" w:color="auto"/>
              <w:right w:val="nil"/>
            </w:tcBorders>
            <w:vAlign w:val="center"/>
          </w:tcPr>
          <w:p w14:paraId="084FF949" w14:textId="77777777" w:rsidR="0049321C" w:rsidRPr="00D037CF" w:rsidRDefault="0049321C" w:rsidP="00013648">
            <w:pPr>
              <w:spacing w:line="240" w:lineRule="auto"/>
              <w:ind w:firstLine="44"/>
              <w:jc w:val="center"/>
              <w:rPr>
                <w:sz w:val="20"/>
                <w:szCs w:val="20"/>
              </w:rPr>
            </w:pPr>
            <w:r w:rsidRPr="00D037CF">
              <w:rPr>
                <w:sz w:val="20"/>
                <w:szCs w:val="20"/>
              </w:rPr>
              <w:t>7.5</w:t>
            </w:r>
          </w:p>
        </w:tc>
      </w:tr>
      <w:tr w:rsidR="0049321C" w:rsidRPr="00D037CF" w14:paraId="4AF24A18" w14:textId="77777777" w:rsidTr="00013648">
        <w:trPr>
          <w:trHeight w:val="593"/>
          <w:jc w:val="center"/>
        </w:trPr>
        <w:tc>
          <w:tcPr>
            <w:tcW w:w="5529" w:type="dxa"/>
            <w:tcBorders>
              <w:top w:val="single" w:sz="12" w:space="0" w:color="auto"/>
              <w:left w:val="nil"/>
              <w:right w:val="nil"/>
            </w:tcBorders>
            <w:vAlign w:val="center"/>
          </w:tcPr>
          <w:p w14:paraId="4E137AE0" w14:textId="77777777" w:rsidR="0049321C" w:rsidRPr="00D037CF" w:rsidRDefault="0049321C" w:rsidP="00013648">
            <w:pPr>
              <w:spacing w:line="240" w:lineRule="auto"/>
              <w:ind w:firstLine="44"/>
              <w:jc w:val="left"/>
              <w:rPr>
                <w:b/>
                <w:sz w:val="20"/>
                <w:szCs w:val="20"/>
              </w:rPr>
            </w:pPr>
            <w:r w:rsidRPr="00D037CF">
              <w:rPr>
                <w:b/>
                <w:sz w:val="20"/>
                <w:szCs w:val="20"/>
              </w:rPr>
              <w:t xml:space="preserve">Առաջիկա երեք տարվա ընթացքում մարման ենթակա պարտքի տեսակարար կշիռ, </w:t>
            </w:r>
            <w:r w:rsidRPr="00D037CF">
              <w:rPr>
                <w:sz w:val="20"/>
                <w:szCs w:val="20"/>
              </w:rPr>
              <w:t>(%)</w:t>
            </w:r>
          </w:p>
        </w:tc>
        <w:tc>
          <w:tcPr>
            <w:tcW w:w="1079" w:type="dxa"/>
            <w:tcBorders>
              <w:top w:val="single" w:sz="12" w:space="0" w:color="auto"/>
              <w:left w:val="nil"/>
              <w:right w:val="nil"/>
            </w:tcBorders>
            <w:vAlign w:val="center"/>
          </w:tcPr>
          <w:p w14:paraId="5C5DCF7F" w14:textId="77777777" w:rsidR="0049321C" w:rsidRPr="00D037CF" w:rsidRDefault="0049321C" w:rsidP="00013648">
            <w:pPr>
              <w:spacing w:line="240" w:lineRule="auto"/>
              <w:ind w:firstLine="44"/>
              <w:jc w:val="center"/>
              <w:rPr>
                <w:b/>
                <w:sz w:val="20"/>
                <w:szCs w:val="20"/>
              </w:rPr>
            </w:pPr>
            <w:r w:rsidRPr="00D037CF">
              <w:rPr>
                <w:b/>
                <w:sz w:val="20"/>
                <w:szCs w:val="20"/>
              </w:rPr>
              <w:t>28.6</w:t>
            </w:r>
          </w:p>
        </w:tc>
        <w:tc>
          <w:tcPr>
            <w:tcW w:w="1079" w:type="dxa"/>
            <w:tcBorders>
              <w:top w:val="single" w:sz="12" w:space="0" w:color="auto"/>
              <w:left w:val="nil"/>
              <w:right w:val="nil"/>
            </w:tcBorders>
            <w:vAlign w:val="center"/>
          </w:tcPr>
          <w:p w14:paraId="15EE191A" w14:textId="77777777" w:rsidR="0049321C" w:rsidRPr="00D037CF" w:rsidRDefault="0049321C" w:rsidP="00013648">
            <w:pPr>
              <w:spacing w:line="240" w:lineRule="auto"/>
              <w:ind w:firstLine="44"/>
              <w:jc w:val="center"/>
              <w:rPr>
                <w:b/>
                <w:sz w:val="20"/>
                <w:szCs w:val="20"/>
              </w:rPr>
            </w:pPr>
            <w:r w:rsidRPr="00D037CF">
              <w:rPr>
                <w:b/>
                <w:sz w:val="20"/>
                <w:szCs w:val="20"/>
              </w:rPr>
              <w:t>29.2</w:t>
            </w:r>
          </w:p>
        </w:tc>
        <w:tc>
          <w:tcPr>
            <w:tcW w:w="1100" w:type="dxa"/>
            <w:tcBorders>
              <w:top w:val="single" w:sz="12" w:space="0" w:color="auto"/>
              <w:left w:val="nil"/>
              <w:right w:val="nil"/>
            </w:tcBorders>
            <w:vAlign w:val="center"/>
          </w:tcPr>
          <w:p w14:paraId="6A45A561" w14:textId="77777777" w:rsidR="0049321C" w:rsidRPr="00D037CF" w:rsidRDefault="0049321C" w:rsidP="00013648">
            <w:pPr>
              <w:spacing w:line="240" w:lineRule="auto"/>
              <w:ind w:firstLine="44"/>
              <w:jc w:val="center"/>
              <w:rPr>
                <w:b/>
                <w:sz w:val="20"/>
                <w:szCs w:val="20"/>
              </w:rPr>
            </w:pPr>
            <w:r w:rsidRPr="00D037CF">
              <w:rPr>
                <w:b/>
                <w:sz w:val="20"/>
                <w:szCs w:val="20"/>
              </w:rPr>
              <w:t>24.6</w:t>
            </w:r>
          </w:p>
        </w:tc>
        <w:tc>
          <w:tcPr>
            <w:tcW w:w="953" w:type="dxa"/>
            <w:tcBorders>
              <w:top w:val="single" w:sz="12" w:space="0" w:color="auto"/>
              <w:left w:val="nil"/>
              <w:right w:val="nil"/>
            </w:tcBorders>
            <w:vAlign w:val="center"/>
          </w:tcPr>
          <w:p w14:paraId="0CE65727" w14:textId="77777777" w:rsidR="0049321C" w:rsidRPr="00D037CF" w:rsidRDefault="0049321C" w:rsidP="00013648">
            <w:pPr>
              <w:spacing w:line="240" w:lineRule="auto"/>
              <w:ind w:firstLine="44"/>
              <w:jc w:val="center"/>
              <w:rPr>
                <w:b/>
                <w:sz w:val="20"/>
                <w:szCs w:val="20"/>
              </w:rPr>
            </w:pPr>
            <w:r w:rsidRPr="00D037CF">
              <w:rPr>
                <w:b/>
                <w:sz w:val="20"/>
                <w:szCs w:val="20"/>
              </w:rPr>
              <w:t>27.5</w:t>
            </w:r>
          </w:p>
        </w:tc>
        <w:tc>
          <w:tcPr>
            <w:tcW w:w="946" w:type="dxa"/>
            <w:tcBorders>
              <w:top w:val="single" w:sz="12" w:space="0" w:color="auto"/>
              <w:left w:val="nil"/>
              <w:right w:val="nil"/>
            </w:tcBorders>
            <w:vAlign w:val="center"/>
          </w:tcPr>
          <w:p w14:paraId="7BAA2FA2" w14:textId="77777777" w:rsidR="0049321C" w:rsidRPr="00D037CF" w:rsidRDefault="0049321C" w:rsidP="00013648">
            <w:pPr>
              <w:spacing w:line="240" w:lineRule="auto"/>
              <w:ind w:firstLine="44"/>
              <w:jc w:val="center"/>
              <w:rPr>
                <w:b/>
                <w:sz w:val="20"/>
                <w:szCs w:val="20"/>
              </w:rPr>
            </w:pPr>
            <w:r w:rsidRPr="00D037CF">
              <w:rPr>
                <w:b/>
                <w:sz w:val="20"/>
                <w:szCs w:val="20"/>
              </w:rPr>
              <w:t>26.2</w:t>
            </w:r>
          </w:p>
        </w:tc>
      </w:tr>
      <w:tr w:rsidR="0049321C" w:rsidRPr="00D037CF" w14:paraId="10BD621E" w14:textId="77777777" w:rsidTr="00013648">
        <w:trPr>
          <w:trHeight w:val="593"/>
          <w:jc w:val="center"/>
        </w:trPr>
        <w:tc>
          <w:tcPr>
            <w:tcW w:w="5529" w:type="dxa"/>
            <w:tcBorders>
              <w:top w:val="single" w:sz="12" w:space="0" w:color="auto"/>
              <w:left w:val="nil"/>
              <w:right w:val="nil"/>
            </w:tcBorders>
            <w:vAlign w:val="center"/>
          </w:tcPr>
          <w:p w14:paraId="4C115874" w14:textId="77777777" w:rsidR="0049321C" w:rsidRPr="00D037CF" w:rsidRDefault="0049321C" w:rsidP="00013648">
            <w:pPr>
              <w:spacing w:line="240" w:lineRule="auto"/>
              <w:ind w:left="315" w:firstLine="44"/>
              <w:jc w:val="left"/>
              <w:rPr>
                <w:b/>
                <w:sz w:val="20"/>
                <w:szCs w:val="20"/>
              </w:rPr>
            </w:pPr>
            <w:r w:rsidRPr="00D037CF">
              <w:rPr>
                <w:sz w:val="20"/>
                <w:szCs w:val="20"/>
              </w:rPr>
              <w:t>Առաջիկա երեք տարվա ընթացքում մարվող</w:t>
            </w:r>
            <w:r w:rsidRPr="00D037CF">
              <w:rPr>
                <w:b/>
                <w:sz w:val="20"/>
                <w:szCs w:val="20"/>
              </w:rPr>
              <w:t xml:space="preserve"> </w:t>
            </w:r>
            <w:r w:rsidRPr="00D037CF">
              <w:rPr>
                <w:sz w:val="20"/>
                <w:szCs w:val="20"/>
              </w:rPr>
              <w:t>ՀՀ կառավարության արտարժութային պարտքի կշիռը արտարժութային պարտքի մեջ</w:t>
            </w:r>
            <w:r w:rsidRPr="00D037CF">
              <w:rPr>
                <w:b/>
                <w:sz w:val="20"/>
                <w:szCs w:val="20"/>
              </w:rPr>
              <w:t xml:space="preserve">, </w:t>
            </w:r>
            <w:r w:rsidRPr="00D037CF">
              <w:rPr>
                <w:sz w:val="20"/>
                <w:szCs w:val="20"/>
              </w:rPr>
              <w:t>(%)</w:t>
            </w:r>
          </w:p>
        </w:tc>
        <w:tc>
          <w:tcPr>
            <w:tcW w:w="1079" w:type="dxa"/>
            <w:tcBorders>
              <w:top w:val="single" w:sz="12" w:space="0" w:color="auto"/>
              <w:left w:val="nil"/>
              <w:right w:val="nil"/>
            </w:tcBorders>
            <w:vAlign w:val="center"/>
          </w:tcPr>
          <w:p w14:paraId="507B3CE5" w14:textId="77777777" w:rsidR="0049321C" w:rsidRPr="00D037CF" w:rsidRDefault="0049321C" w:rsidP="00013648">
            <w:pPr>
              <w:spacing w:line="240" w:lineRule="auto"/>
              <w:ind w:firstLine="44"/>
              <w:jc w:val="center"/>
              <w:rPr>
                <w:sz w:val="20"/>
                <w:szCs w:val="20"/>
              </w:rPr>
            </w:pPr>
            <w:r w:rsidRPr="00D037CF">
              <w:rPr>
                <w:sz w:val="20"/>
                <w:szCs w:val="20"/>
              </w:rPr>
              <w:t>25.2</w:t>
            </w:r>
          </w:p>
        </w:tc>
        <w:tc>
          <w:tcPr>
            <w:tcW w:w="1079" w:type="dxa"/>
            <w:tcBorders>
              <w:top w:val="single" w:sz="12" w:space="0" w:color="auto"/>
              <w:left w:val="nil"/>
              <w:right w:val="nil"/>
            </w:tcBorders>
            <w:vAlign w:val="center"/>
          </w:tcPr>
          <w:p w14:paraId="22DC0678" w14:textId="77777777" w:rsidR="0049321C" w:rsidRPr="00D037CF" w:rsidRDefault="0049321C" w:rsidP="00013648">
            <w:pPr>
              <w:spacing w:line="240" w:lineRule="auto"/>
              <w:ind w:firstLine="44"/>
              <w:jc w:val="center"/>
              <w:rPr>
                <w:sz w:val="20"/>
                <w:szCs w:val="20"/>
              </w:rPr>
            </w:pPr>
            <w:r w:rsidRPr="00D037CF">
              <w:rPr>
                <w:sz w:val="20"/>
                <w:szCs w:val="20"/>
              </w:rPr>
              <w:t>24.2</w:t>
            </w:r>
          </w:p>
        </w:tc>
        <w:tc>
          <w:tcPr>
            <w:tcW w:w="1100" w:type="dxa"/>
            <w:tcBorders>
              <w:top w:val="single" w:sz="12" w:space="0" w:color="auto"/>
              <w:left w:val="nil"/>
              <w:right w:val="nil"/>
            </w:tcBorders>
            <w:vAlign w:val="center"/>
          </w:tcPr>
          <w:p w14:paraId="6DF0E4EF" w14:textId="77777777" w:rsidR="0049321C" w:rsidRPr="00D037CF" w:rsidRDefault="0049321C" w:rsidP="00013648">
            <w:pPr>
              <w:spacing w:line="240" w:lineRule="auto"/>
              <w:ind w:firstLine="44"/>
              <w:jc w:val="center"/>
              <w:rPr>
                <w:sz w:val="20"/>
                <w:szCs w:val="20"/>
              </w:rPr>
            </w:pPr>
            <w:r w:rsidRPr="00D037CF">
              <w:rPr>
                <w:sz w:val="20"/>
                <w:szCs w:val="20"/>
              </w:rPr>
              <w:t>18.3</w:t>
            </w:r>
          </w:p>
        </w:tc>
        <w:tc>
          <w:tcPr>
            <w:tcW w:w="953" w:type="dxa"/>
            <w:tcBorders>
              <w:top w:val="single" w:sz="12" w:space="0" w:color="auto"/>
              <w:left w:val="nil"/>
              <w:right w:val="nil"/>
            </w:tcBorders>
            <w:vAlign w:val="center"/>
          </w:tcPr>
          <w:p w14:paraId="4D8B9FA2" w14:textId="77777777" w:rsidR="0049321C" w:rsidRPr="00D037CF" w:rsidRDefault="0049321C" w:rsidP="00013648">
            <w:pPr>
              <w:spacing w:line="240" w:lineRule="auto"/>
              <w:ind w:firstLine="44"/>
              <w:jc w:val="center"/>
              <w:rPr>
                <w:sz w:val="20"/>
                <w:szCs w:val="20"/>
              </w:rPr>
            </w:pPr>
            <w:r w:rsidRPr="00D037CF">
              <w:rPr>
                <w:sz w:val="20"/>
                <w:szCs w:val="20"/>
              </w:rPr>
              <w:t>20.2</w:t>
            </w:r>
          </w:p>
        </w:tc>
        <w:tc>
          <w:tcPr>
            <w:tcW w:w="946" w:type="dxa"/>
            <w:tcBorders>
              <w:top w:val="single" w:sz="12" w:space="0" w:color="auto"/>
              <w:left w:val="nil"/>
              <w:right w:val="nil"/>
            </w:tcBorders>
            <w:vAlign w:val="center"/>
          </w:tcPr>
          <w:p w14:paraId="0077D89B" w14:textId="77777777" w:rsidR="0049321C" w:rsidRPr="00D037CF" w:rsidRDefault="0049321C" w:rsidP="00013648">
            <w:pPr>
              <w:spacing w:line="240" w:lineRule="auto"/>
              <w:ind w:firstLine="44"/>
              <w:jc w:val="center"/>
              <w:rPr>
                <w:sz w:val="20"/>
                <w:szCs w:val="20"/>
              </w:rPr>
            </w:pPr>
            <w:r w:rsidRPr="00D037CF">
              <w:rPr>
                <w:sz w:val="20"/>
                <w:szCs w:val="20"/>
              </w:rPr>
              <w:t>20.2</w:t>
            </w:r>
          </w:p>
        </w:tc>
      </w:tr>
      <w:tr w:rsidR="0049321C" w:rsidRPr="00D037CF" w14:paraId="4963271E" w14:textId="77777777" w:rsidTr="00013648">
        <w:trPr>
          <w:trHeight w:val="593"/>
          <w:jc w:val="center"/>
        </w:trPr>
        <w:tc>
          <w:tcPr>
            <w:tcW w:w="5529" w:type="dxa"/>
            <w:tcBorders>
              <w:top w:val="single" w:sz="12" w:space="0" w:color="auto"/>
              <w:left w:val="nil"/>
              <w:right w:val="nil"/>
            </w:tcBorders>
            <w:vAlign w:val="center"/>
          </w:tcPr>
          <w:p w14:paraId="4C69C807" w14:textId="77777777" w:rsidR="0049321C" w:rsidRPr="00D037CF" w:rsidRDefault="0049321C" w:rsidP="00013648">
            <w:pPr>
              <w:spacing w:line="240" w:lineRule="auto"/>
              <w:ind w:left="315" w:firstLine="44"/>
              <w:jc w:val="left"/>
              <w:rPr>
                <w:b/>
                <w:sz w:val="20"/>
                <w:szCs w:val="20"/>
              </w:rPr>
            </w:pPr>
            <w:r w:rsidRPr="00D037CF">
              <w:rPr>
                <w:sz w:val="20"/>
                <w:szCs w:val="20"/>
              </w:rPr>
              <w:t>Առաջիկա երեք տարվա ընթացքում մարվող</w:t>
            </w:r>
            <w:r w:rsidRPr="00D037CF">
              <w:rPr>
                <w:b/>
                <w:sz w:val="20"/>
                <w:szCs w:val="20"/>
              </w:rPr>
              <w:t xml:space="preserve"> </w:t>
            </w:r>
            <w:r w:rsidRPr="00D037CF">
              <w:rPr>
                <w:sz w:val="20"/>
                <w:szCs w:val="20"/>
              </w:rPr>
              <w:t>ՀՀ կառավարության դրամային պարտքի կշիռը դրամային պարտքի մեջ</w:t>
            </w:r>
            <w:r w:rsidRPr="00D037CF">
              <w:rPr>
                <w:b/>
                <w:sz w:val="20"/>
                <w:szCs w:val="20"/>
              </w:rPr>
              <w:t xml:space="preserve">, </w:t>
            </w:r>
            <w:r w:rsidRPr="00D037CF">
              <w:rPr>
                <w:sz w:val="20"/>
                <w:szCs w:val="20"/>
              </w:rPr>
              <w:t>(%)</w:t>
            </w:r>
          </w:p>
        </w:tc>
        <w:tc>
          <w:tcPr>
            <w:tcW w:w="1079" w:type="dxa"/>
            <w:tcBorders>
              <w:top w:val="single" w:sz="12" w:space="0" w:color="auto"/>
              <w:left w:val="nil"/>
              <w:right w:val="nil"/>
            </w:tcBorders>
            <w:vAlign w:val="center"/>
          </w:tcPr>
          <w:p w14:paraId="112BA38D" w14:textId="77777777" w:rsidR="0049321C" w:rsidRPr="00D037CF" w:rsidRDefault="0049321C" w:rsidP="00013648">
            <w:pPr>
              <w:spacing w:line="240" w:lineRule="auto"/>
              <w:ind w:firstLine="44"/>
              <w:jc w:val="center"/>
              <w:rPr>
                <w:sz w:val="20"/>
                <w:szCs w:val="20"/>
              </w:rPr>
            </w:pPr>
            <w:r w:rsidRPr="00D037CF">
              <w:rPr>
                <w:sz w:val="20"/>
                <w:szCs w:val="20"/>
              </w:rPr>
              <w:t>32.6</w:t>
            </w:r>
          </w:p>
        </w:tc>
        <w:tc>
          <w:tcPr>
            <w:tcW w:w="1079" w:type="dxa"/>
            <w:tcBorders>
              <w:top w:val="single" w:sz="12" w:space="0" w:color="auto"/>
              <w:left w:val="nil"/>
              <w:right w:val="nil"/>
            </w:tcBorders>
            <w:vAlign w:val="center"/>
          </w:tcPr>
          <w:p w14:paraId="522E22B3" w14:textId="77777777" w:rsidR="0049321C" w:rsidRPr="00D037CF" w:rsidRDefault="0049321C" w:rsidP="00013648">
            <w:pPr>
              <w:spacing w:line="240" w:lineRule="auto"/>
              <w:ind w:firstLine="44"/>
              <w:jc w:val="center"/>
              <w:rPr>
                <w:sz w:val="20"/>
                <w:szCs w:val="20"/>
              </w:rPr>
            </w:pPr>
            <w:r w:rsidRPr="00D037CF">
              <w:rPr>
                <w:sz w:val="20"/>
                <w:szCs w:val="20"/>
              </w:rPr>
              <w:t>34.2</w:t>
            </w:r>
          </w:p>
        </w:tc>
        <w:tc>
          <w:tcPr>
            <w:tcW w:w="1100" w:type="dxa"/>
            <w:tcBorders>
              <w:top w:val="single" w:sz="12" w:space="0" w:color="auto"/>
              <w:left w:val="nil"/>
              <w:right w:val="nil"/>
            </w:tcBorders>
            <w:vAlign w:val="center"/>
          </w:tcPr>
          <w:p w14:paraId="4EF61BFF" w14:textId="77777777" w:rsidR="0049321C" w:rsidRPr="00D037CF" w:rsidRDefault="0049321C" w:rsidP="00013648">
            <w:pPr>
              <w:spacing w:line="240" w:lineRule="auto"/>
              <w:ind w:firstLine="44"/>
              <w:jc w:val="center"/>
              <w:rPr>
                <w:sz w:val="20"/>
                <w:szCs w:val="20"/>
              </w:rPr>
            </w:pPr>
            <w:r w:rsidRPr="00D037CF">
              <w:rPr>
                <w:sz w:val="20"/>
                <w:szCs w:val="20"/>
              </w:rPr>
              <w:t>31.8</w:t>
            </w:r>
          </w:p>
        </w:tc>
        <w:tc>
          <w:tcPr>
            <w:tcW w:w="953" w:type="dxa"/>
            <w:tcBorders>
              <w:top w:val="single" w:sz="12" w:space="0" w:color="auto"/>
              <w:left w:val="nil"/>
              <w:right w:val="nil"/>
            </w:tcBorders>
            <w:vAlign w:val="center"/>
          </w:tcPr>
          <w:p w14:paraId="529CDFD9" w14:textId="77777777" w:rsidR="0049321C" w:rsidRPr="00D037CF" w:rsidRDefault="0049321C" w:rsidP="00013648">
            <w:pPr>
              <w:spacing w:line="240" w:lineRule="auto"/>
              <w:ind w:firstLine="44"/>
              <w:jc w:val="center"/>
              <w:rPr>
                <w:sz w:val="20"/>
                <w:szCs w:val="20"/>
              </w:rPr>
            </w:pPr>
            <w:r w:rsidRPr="00D037CF">
              <w:rPr>
                <w:sz w:val="20"/>
                <w:szCs w:val="20"/>
              </w:rPr>
              <w:t>36.3</w:t>
            </w:r>
          </w:p>
        </w:tc>
        <w:tc>
          <w:tcPr>
            <w:tcW w:w="946" w:type="dxa"/>
            <w:tcBorders>
              <w:top w:val="single" w:sz="12" w:space="0" w:color="auto"/>
              <w:left w:val="nil"/>
              <w:right w:val="nil"/>
            </w:tcBorders>
            <w:vAlign w:val="center"/>
          </w:tcPr>
          <w:p w14:paraId="67447C58" w14:textId="77777777" w:rsidR="0049321C" w:rsidRPr="00D037CF" w:rsidRDefault="0049321C" w:rsidP="00013648">
            <w:pPr>
              <w:spacing w:line="240" w:lineRule="auto"/>
              <w:ind w:firstLine="44"/>
              <w:jc w:val="center"/>
              <w:rPr>
                <w:sz w:val="20"/>
                <w:szCs w:val="20"/>
              </w:rPr>
            </w:pPr>
            <w:r w:rsidRPr="00D037CF">
              <w:rPr>
                <w:sz w:val="20"/>
                <w:szCs w:val="20"/>
              </w:rPr>
              <w:t>33.9</w:t>
            </w:r>
          </w:p>
        </w:tc>
      </w:tr>
      <w:tr w:rsidR="0049321C" w:rsidRPr="00D037CF" w14:paraId="3FC2F191" w14:textId="77777777" w:rsidTr="00013648">
        <w:trPr>
          <w:trHeight w:val="593"/>
          <w:jc w:val="center"/>
        </w:trPr>
        <w:tc>
          <w:tcPr>
            <w:tcW w:w="5529" w:type="dxa"/>
            <w:tcBorders>
              <w:top w:val="single" w:sz="12" w:space="0" w:color="auto"/>
              <w:left w:val="nil"/>
              <w:right w:val="nil"/>
            </w:tcBorders>
            <w:vAlign w:val="center"/>
          </w:tcPr>
          <w:p w14:paraId="7BE079FE" w14:textId="77777777" w:rsidR="0049321C" w:rsidRPr="00D037CF" w:rsidRDefault="0049321C" w:rsidP="00013648">
            <w:pPr>
              <w:spacing w:line="240" w:lineRule="auto"/>
              <w:ind w:firstLine="44"/>
              <w:jc w:val="left"/>
              <w:rPr>
                <w:b/>
                <w:sz w:val="20"/>
                <w:szCs w:val="20"/>
              </w:rPr>
            </w:pPr>
            <w:r w:rsidRPr="00D037CF">
              <w:rPr>
                <w:b/>
                <w:sz w:val="20"/>
                <w:szCs w:val="20"/>
              </w:rPr>
              <w:t>Մեկ տարվա ընթացքում մարվող ՀՀ կառավարության պարտքի կշիռը (%)</w:t>
            </w:r>
          </w:p>
        </w:tc>
        <w:tc>
          <w:tcPr>
            <w:tcW w:w="1079" w:type="dxa"/>
            <w:tcBorders>
              <w:top w:val="single" w:sz="12" w:space="0" w:color="auto"/>
              <w:left w:val="nil"/>
              <w:right w:val="nil"/>
            </w:tcBorders>
            <w:vAlign w:val="center"/>
          </w:tcPr>
          <w:p w14:paraId="6DB50C24" w14:textId="77777777" w:rsidR="0049321C" w:rsidRPr="00D037CF" w:rsidRDefault="0049321C" w:rsidP="00013648">
            <w:pPr>
              <w:spacing w:line="240" w:lineRule="auto"/>
              <w:ind w:firstLine="44"/>
              <w:jc w:val="center"/>
              <w:rPr>
                <w:b/>
                <w:sz w:val="20"/>
                <w:szCs w:val="20"/>
              </w:rPr>
            </w:pPr>
            <w:r w:rsidRPr="00D037CF">
              <w:rPr>
                <w:b/>
                <w:sz w:val="20"/>
                <w:szCs w:val="20"/>
              </w:rPr>
              <w:t>9.1</w:t>
            </w:r>
          </w:p>
        </w:tc>
        <w:tc>
          <w:tcPr>
            <w:tcW w:w="1079" w:type="dxa"/>
            <w:tcBorders>
              <w:top w:val="single" w:sz="12" w:space="0" w:color="auto"/>
              <w:left w:val="nil"/>
              <w:right w:val="nil"/>
            </w:tcBorders>
            <w:vAlign w:val="center"/>
          </w:tcPr>
          <w:p w14:paraId="559FBF7B" w14:textId="77777777" w:rsidR="0049321C" w:rsidRPr="00D037CF" w:rsidRDefault="0049321C" w:rsidP="00013648">
            <w:pPr>
              <w:spacing w:line="240" w:lineRule="auto"/>
              <w:ind w:firstLine="44"/>
              <w:jc w:val="center"/>
              <w:rPr>
                <w:b/>
                <w:sz w:val="20"/>
                <w:szCs w:val="20"/>
              </w:rPr>
            </w:pPr>
            <w:r w:rsidRPr="00D037CF">
              <w:rPr>
                <w:b/>
                <w:sz w:val="20"/>
                <w:szCs w:val="20"/>
              </w:rPr>
              <w:t>12.7</w:t>
            </w:r>
          </w:p>
        </w:tc>
        <w:tc>
          <w:tcPr>
            <w:tcW w:w="1100" w:type="dxa"/>
            <w:tcBorders>
              <w:top w:val="single" w:sz="12" w:space="0" w:color="auto"/>
              <w:left w:val="nil"/>
              <w:right w:val="nil"/>
            </w:tcBorders>
            <w:vAlign w:val="center"/>
          </w:tcPr>
          <w:p w14:paraId="6C81BC01" w14:textId="77777777" w:rsidR="0049321C" w:rsidRPr="00D037CF" w:rsidRDefault="0049321C" w:rsidP="00013648">
            <w:pPr>
              <w:spacing w:line="240" w:lineRule="auto"/>
              <w:ind w:firstLine="44"/>
              <w:jc w:val="center"/>
              <w:rPr>
                <w:b/>
                <w:sz w:val="20"/>
                <w:szCs w:val="20"/>
              </w:rPr>
            </w:pPr>
            <w:r w:rsidRPr="00D037CF">
              <w:rPr>
                <w:b/>
                <w:sz w:val="20"/>
                <w:szCs w:val="20"/>
              </w:rPr>
              <w:t>9.5</w:t>
            </w:r>
          </w:p>
        </w:tc>
        <w:tc>
          <w:tcPr>
            <w:tcW w:w="953" w:type="dxa"/>
            <w:tcBorders>
              <w:top w:val="single" w:sz="12" w:space="0" w:color="auto"/>
              <w:left w:val="nil"/>
              <w:right w:val="nil"/>
            </w:tcBorders>
            <w:vAlign w:val="center"/>
          </w:tcPr>
          <w:p w14:paraId="481668E6" w14:textId="77777777" w:rsidR="0049321C" w:rsidRPr="00D037CF" w:rsidRDefault="0049321C" w:rsidP="00013648">
            <w:pPr>
              <w:spacing w:line="240" w:lineRule="auto"/>
              <w:ind w:firstLine="44"/>
              <w:jc w:val="center"/>
              <w:rPr>
                <w:b/>
                <w:sz w:val="20"/>
                <w:szCs w:val="20"/>
              </w:rPr>
            </w:pPr>
            <w:r w:rsidRPr="00D037CF">
              <w:rPr>
                <w:b/>
                <w:sz w:val="20"/>
                <w:szCs w:val="20"/>
              </w:rPr>
              <w:t>8.5</w:t>
            </w:r>
          </w:p>
        </w:tc>
        <w:tc>
          <w:tcPr>
            <w:tcW w:w="946" w:type="dxa"/>
            <w:tcBorders>
              <w:top w:val="single" w:sz="12" w:space="0" w:color="auto"/>
              <w:left w:val="nil"/>
              <w:right w:val="nil"/>
            </w:tcBorders>
            <w:vAlign w:val="center"/>
          </w:tcPr>
          <w:p w14:paraId="1EC3272F" w14:textId="77777777" w:rsidR="0049321C" w:rsidRPr="00D037CF" w:rsidRDefault="0049321C" w:rsidP="00013648">
            <w:pPr>
              <w:spacing w:line="240" w:lineRule="auto"/>
              <w:ind w:firstLine="44"/>
              <w:jc w:val="center"/>
              <w:rPr>
                <w:b/>
                <w:sz w:val="20"/>
                <w:szCs w:val="20"/>
              </w:rPr>
            </w:pPr>
            <w:r w:rsidRPr="00D037CF">
              <w:rPr>
                <w:b/>
                <w:sz w:val="20"/>
                <w:szCs w:val="20"/>
              </w:rPr>
              <w:t>8.1</w:t>
            </w:r>
          </w:p>
        </w:tc>
      </w:tr>
      <w:tr w:rsidR="0049321C" w:rsidRPr="00D037CF" w14:paraId="760D1FBE" w14:textId="77777777" w:rsidTr="00013648">
        <w:trPr>
          <w:trHeight w:val="622"/>
          <w:jc w:val="center"/>
        </w:trPr>
        <w:tc>
          <w:tcPr>
            <w:tcW w:w="5529" w:type="dxa"/>
            <w:tcBorders>
              <w:left w:val="nil"/>
              <w:right w:val="nil"/>
            </w:tcBorders>
            <w:vAlign w:val="center"/>
          </w:tcPr>
          <w:p w14:paraId="34BA2A0F" w14:textId="77777777" w:rsidR="0049321C" w:rsidRPr="00D037CF" w:rsidRDefault="0049321C" w:rsidP="00013648">
            <w:pPr>
              <w:spacing w:line="240" w:lineRule="auto"/>
              <w:ind w:left="327" w:firstLine="44"/>
              <w:jc w:val="left"/>
              <w:rPr>
                <w:sz w:val="20"/>
                <w:szCs w:val="20"/>
              </w:rPr>
            </w:pPr>
            <w:r w:rsidRPr="00D037CF">
              <w:rPr>
                <w:sz w:val="20"/>
                <w:szCs w:val="20"/>
              </w:rPr>
              <w:t>Մեկ տարվա ընթացքում մարվող ՀՀ կառավարության արտարժութային պարտքի կշիռը արտարժութային պարտքի մեջ (%)</w:t>
            </w:r>
          </w:p>
        </w:tc>
        <w:tc>
          <w:tcPr>
            <w:tcW w:w="1079" w:type="dxa"/>
            <w:tcBorders>
              <w:left w:val="nil"/>
              <w:right w:val="nil"/>
            </w:tcBorders>
            <w:vAlign w:val="center"/>
          </w:tcPr>
          <w:p w14:paraId="64EC47E1" w14:textId="77777777" w:rsidR="0049321C" w:rsidRPr="00D037CF" w:rsidRDefault="0049321C" w:rsidP="00013648">
            <w:pPr>
              <w:spacing w:line="240" w:lineRule="auto"/>
              <w:ind w:firstLine="44"/>
              <w:jc w:val="center"/>
              <w:rPr>
                <w:sz w:val="20"/>
                <w:szCs w:val="20"/>
              </w:rPr>
            </w:pPr>
            <w:r w:rsidRPr="00D037CF">
              <w:rPr>
                <w:sz w:val="20"/>
                <w:szCs w:val="20"/>
              </w:rPr>
              <w:t>6.8</w:t>
            </w:r>
          </w:p>
        </w:tc>
        <w:tc>
          <w:tcPr>
            <w:tcW w:w="1079" w:type="dxa"/>
            <w:tcBorders>
              <w:left w:val="nil"/>
              <w:right w:val="nil"/>
            </w:tcBorders>
            <w:vAlign w:val="center"/>
          </w:tcPr>
          <w:p w14:paraId="578E790D" w14:textId="77777777" w:rsidR="0049321C" w:rsidRPr="00D037CF" w:rsidRDefault="0049321C" w:rsidP="00013648">
            <w:pPr>
              <w:spacing w:line="240" w:lineRule="auto"/>
              <w:ind w:firstLine="44"/>
              <w:jc w:val="center"/>
              <w:rPr>
                <w:sz w:val="20"/>
                <w:szCs w:val="20"/>
              </w:rPr>
            </w:pPr>
            <w:r w:rsidRPr="00D037CF">
              <w:rPr>
                <w:sz w:val="20"/>
                <w:szCs w:val="20"/>
              </w:rPr>
              <w:t>11.4</w:t>
            </w:r>
          </w:p>
        </w:tc>
        <w:tc>
          <w:tcPr>
            <w:tcW w:w="1100" w:type="dxa"/>
            <w:tcBorders>
              <w:left w:val="nil"/>
              <w:right w:val="nil"/>
            </w:tcBorders>
            <w:vAlign w:val="center"/>
          </w:tcPr>
          <w:p w14:paraId="0FC6BA4C" w14:textId="77777777" w:rsidR="0049321C" w:rsidRPr="00D037CF" w:rsidRDefault="0049321C" w:rsidP="00013648">
            <w:pPr>
              <w:spacing w:line="240" w:lineRule="auto"/>
              <w:ind w:firstLine="44"/>
              <w:jc w:val="center"/>
              <w:rPr>
                <w:sz w:val="20"/>
                <w:szCs w:val="20"/>
              </w:rPr>
            </w:pPr>
            <w:r w:rsidRPr="00D037CF">
              <w:rPr>
                <w:sz w:val="20"/>
                <w:szCs w:val="20"/>
              </w:rPr>
              <w:t>6.2</w:t>
            </w:r>
          </w:p>
        </w:tc>
        <w:tc>
          <w:tcPr>
            <w:tcW w:w="953" w:type="dxa"/>
            <w:tcBorders>
              <w:left w:val="nil"/>
              <w:right w:val="nil"/>
            </w:tcBorders>
            <w:vAlign w:val="center"/>
          </w:tcPr>
          <w:p w14:paraId="55E5AF87" w14:textId="77777777" w:rsidR="0049321C" w:rsidRPr="00D037CF" w:rsidRDefault="0049321C" w:rsidP="00013648">
            <w:pPr>
              <w:spacing w:line="240" w:lineRule="auto"/>
              <w:ind w:firstLine="44"/>
              <w:jc w:val="center"/>
              <w:rPr>
                <w:sz w:val="20"/>
                <w:szCs w:val="20"/>
              </w:rPr>
            </w:pPr>
            <w:r w:rsidRPr="00D037CF">
              <w:rPr>
                <w:sz w:val="20"/>
                <w:szCs w:val="20"/>
              </w:rPr>
              <w:t>4.6</w:t>
            </w:r>
          </w:p>
        </w:tc>
        <w:tc>
          <w:tcPr>
            <w:tcW w:w="946" w:type="dxa"/>
            <w:tcBorders>
              <w:left w:val="nil"/>
              <w:right w:val="nil"/>
            </w:tcBorders>
            <w:vAlign w:val="center"/>
          </w:tcPr>
          <w:p w14:paraId="678BB78A" w14:textId="77777777" w:rsidR="0049321C" w:rsidRPr="00D037CF" w:rsidRDefault="0049321C" w:rsidP="00013648">
            <w:pPr>
              <w:spacing w:line="240" w:lineRule="auto"/>
              <w:ind w:firstLine="44"/>
              <w:jc w:val="center"/>
              <w:rPr>
                <w:sz w:val="20"/>
                <w:szCs w:val="20"/>
              </w:rPr>
            </w:pPr>
            <w:r w:rsidRPr="00D037CF">
              <w:rPr>
                <w:sz w:val="20"/>
                <w:szCs w:val="20"/>
              </w:rPr>
              <w:t>4.2</w:t>
            </w:r>
          </w:p>
        </w:tc>
      </w:tr>
      <w:tr w:rsidR="0049321C" w:rsidRPr="00D037CF" w14:paraId="195D027D" w14:textId="77777777" w:rsidTr="00013648">
        <w:trPr>
          <w:trHeight w:val="649"/>
          <w:jc w:val="center"/>
        </w:trPr>
        <w:tc>
          <w:tcPr>
            <w:tcW w:w="5529" w:type="dxa"/>
            <w:tcBorders>
              <w:left w:val="nil"/>
              <w:bottom w:val="thickThinSmallGap" w:sz="24" w:space="0" w:color="auto"/>
              <w:right w:val="nil"/>
            </w:tcBorders>
            <w:vAlign w:val="center"/>
          </w:tcPr>
          <w:p w14:paraId="7087AA77" w14:textId="77777777" w:rsidR="0049321C" w:rsidRPr="00D037CF" w:rsidRDefault="0049321C" w:rsidP="00013648">
            <w:pPr>
              <w:spacing w:line="240" w:lineRule="auto"/>
              <w:ind w:left="327" w:firstLine="44"/>
              <w:jc w:val="left"/>
              <w:rPr>
                <w:sz w:val="20"/>
                <w:szCs w:val="20"/>
              </w:rPr>
            </w:pPr>
            <w:r w:rsidRPr="00D037CF">
              <w:rPr>
                <w:sz w:val="20"/>
                <w:szCs w:val="20"/>
              </w:rPr>
              <w:t>Մեկ տարվա ընթացքում մարվող ՀՀ կառավարության դրամային պարտքի կշիռը դրամային պարտքի մեջ (%)</w:t>
            </w:r>
          </w:p>
        </w:tc>
        <w:tc>
          <w:tcPr>
            <w:tcW w:w="1079" w:type="dxa"/>
            <w:tcBorders>
              <w:left w:val="nil"/>
              <w:bottom w:val="thickThinSmallGap" w:sz="24" w:space="0" w:color="auto"/>
              <w:right w:val="nil"/>
            </w:tcBorders>
            <w:vAlign w:val="center"/>
          </w:tcPr>
          <w:p w14:paraId="1FA38D8B" w14:textId="77777777" w:rsidR="0049321C" w:rsidRPr="00D037CF" w:rsidRDefault="0049321C" w:rsidP="00013648">
            <w:pPr>
              <w:spacing w:line="240" w:lineRule="auto"/>
              <w:ind w:firstLine="44"/>
              <w:jc w:val="center"/>
              <w:rPr>
                <w:sz w:val="20"/>
                <w:szCs w:val="20"/>
              </w:rPr>
            </w:pPr>
            <w:r w:rsidRPr="00D037CF">
              <w:rPr>
                <w:sz w:val="20"/>
                <w:szCs w:val="20"/>
              </w:rPr>
              <w:t>11.8</w:t>
            </w:r>
          </w:p>
        </w:tc>
        <w:tc>
          <w:tcPr>
            <w:tcW w:w="1079" w:type="dxa"/>
            <w:tcBorders>
              <w:left w:val="nil"/>
              <w:bottom w:val="thickThinSmallGap" w:sz="24" w:space="0" w:color="auto"/>
              <w:right w:val="nil"/>
            </w:tcBorders>
            <w:vAlign w:val="center"/>
          </w:tcPr>
          <w:p w14:paraId="6079E024" w14:textId="77777777" w:rsidR="0049321C" w:rsidRPr="00D037CF" w:rsidRDefault="0049321C" w:rsidP="00013648">
            <w:pPr>
              <w:spacing w:line="240" w:lineRule="auto"/>
              <w:ind w:firstLine="44"/>
              <w:jc w:val="center"/>
              <w:rPr>
                <w:sz w:val="20"/>
                <w:szCs w:val="20"/>
              </w:rPr>
            </w:pPr>
            <w:r w:rsidRPr="00D037CF">
              <w:rPr>
                <w:sz w:val="20"/>
                <w:szCs w:val="20"/>
              </w:rPr>
              <w:t>11.2</w:t>
            </w:r>
          </w:p>
        </w:tc>
        <w:tc>
          <w:tcPr>
            <w:tcW w:w="1100" w:type="dxa"/>
            <w:tcBorders>
              <w:left w:val="nil"/>
              <w:bottom w:val="thickThinSmallGap" w:sz="24" w:space="0" w:color="auto"/>
              <w:right w:val="nil"/>
            </w:tcBorders>
            <w:vAlign w:val="center"/>
          </w:tcPr>
          <w:p w14:paraId="3E98AC54" w14:textId="77777777" w:rsidR="0049321C" w:rsidRPr="00D037CF" w:rsidRDefault="0049321C" w:rsidP="00013648">
            <w:pPr>
              <w:spacing w:line="240" w:lineRule="auto"/>
              <w:ind w:firstLine="44"/>
              <w:jc w:val="center"/>
              <w:rPr>
                <w:sz w:val="20"/>
                <w:szCs w:val="20"/>
              </w:rPr>
            </w:pPr>
            <w:r w:rsidRPr="00D037CF">
              <w:rPr>
                <w:sz w:val="20"/>
                <w:szCs w:val="20"/>
              </w:rPr>
              <w:t>13.3</w:t>
            </w:r>
          </w:p>
        </w:tc>
        <w:tc>
          <w:tcPr>
            <w:tcW w:w="953" w:type="dxa"/>
            <w:tcBorders>
              <w:left w:val="nil"/>
              <w:bottom w:val="thickThinSmallGap" w:sz="24" w:space="0" w:color="auto"/>
              <w:right w:val="nil"/>
            </w:tcBorders>
            <w:vAlign w:val="center"/>
          </w:tcPr>
          <w:p w14:paraId="0217F7E6" w14:textId="77777777" w:rsidR="0049321C" w:rsidRPr="00D037CF" w:rsidRDefault="0049321C" w:rsidP="00013648">
            <w:pPr>
              <w:spacing w:line="240" w:lineRule="auto"/>
              <w:ind w:firstLine="44"/>
              <w:jc w:val="center"/>
              <w:rPr>
                <w:sz w:val="20"/>
                <w:szCs w:val="20"/>
              </w:rPr>
            </w:pPr>
            <w:r w:rsidRPr="00D037CF">
              <w:rPr>
                <w:sz w:val="20"/>
                <w:szCs w:val="20"/>
              </w:rPr>
              <w:t>13.4</w:t>
            </w:r>
          </w:p>
        </w:tc>
        <w:tc>
          <w:tcPr>
            <w:tcW w:w="946" w:type="dxa"/>
            <w:tcBorders>
              <w:left w:val="nil"/>
              <w:bottom w:val="thickThinSmallGap" w:sz="24" w:space="0" w:color="auto"/>
              <w:right w:val="nil"/>
            </w:tcBorders>
            <w:vAlign w:val="center"/>
          </w:tcPr>
          <w:p w14:paraId="6C8DDCD0" w14:textId="77777777" w:rsidR="0049321C" w:rsidRPr="00D037CF" w:rsidRDefault="0049321C" w:rsidP="00013648">
            <w:pPr>
              <w:spacing w:line="240" w:lineRule="auto"/>
              <w:ind w:firstLine="44"/>
              <w:jc w:val="center"/>
              <w:rPr>
                <w:sz w:val="20"/>
                <w:szCs w:val="20"/>
              </w:rPr>
            </w:pPr>
            <w:r w:rsidRPr="00D037CF">
              <w:rPr>
                <w:sz w:val="20"/>
                <w:szCs w:val="20"/>
              </w:rPr>
              <w:t>13.2</w:t>
            </w:r>
          </w:p>
        </w:tc>
      </w:tr>
    </w:tbl>
    <w:p w14:paraId="2035479C" w14:textId="77777777" w:rsidR="0049321C" w:rsidRPr="0049321C" w:rsidRDefault="0049321C" w:rsidP="0049321C">
      <w:pPr>
        <w:spacing w:before="120"/>
        <w:rPr>
          <w:sz w:val="16"/>
        </w:rPr>
      </w:pPr>
      <w:r w:rsidRPr="0049321C">
        <w:rPr>
          <w:sz w:val="16"/>
        </w:rPr>
        <w:t>Աղբյուրը՝ ՀՀ ՖՆ հաշվարկներ և կանխատեսումներ</w:t>
      </w:r>
    </w:p>
    <w:p w14:paraId="3708E91D" w14:textId="77777777" w:rsidR="0049321C" w:rsidRPr="001D13B6" w:rsidRDefault="0049321C" w:rsidP="0049321C">
      <w:pPr>
        <w:rPr>
          <w:color w:val="FF0000"/>
        </w:rPr>
      </w:pPr>
    </w:p>
    <w:p w14:paraId="6BE3D546" w14:textId="77777777" w:rsidR="0049321C" w:rsidRPr="00D037CF" w:rsidRDefault="0049321C" w:rsidP="00D037CF">
      <w:pPr>
        <w:spacing w:before="120" w:after="0" w:line="276" w:lineRule="auto"/>
        <w:ind w:firstLine="0"/>
        <w:rPr>
          <w:lang w:val="hy-AM"/>
        </w:rPr>
      </w:pPr>
      <w:r w:rsidRPr="001D13B6">
        <w:t xml:space="preserve">«ՀՀ կառավարության պարտքի պորտֆելի մինչև մարում միջին ժամկետի» ցուցանիշը 2027 </w:t>
      </w:r>
      <w:r w:rsidRPr="00D037CF">
        <w:rPr>
          <w:lang w:val="hy-AM"/>
        </w:rPr>
        <w:t>թվականի վերջին կկազմի 7.4 տարի և կմնա ուղենիշով սահմանված միջակայքում: «Արտարժութային պարտքի մինչև մարում միջին ժամկետի» ցուցանիշի աճը 2025 թվականին պայմանավորված է նախատեսվող մեծ ծավալով արտաքին վարկերի և փոխառությունների ներգրավմամբ: «Դրամային պարտքի մինչև մարում միջին ժամկետի» ցուցանիշն աճում է՝ պայմանավորված նվազող տոկոսադրույքների միջավայրում թողարկվող պարտատոմսեր կառուցվածքում երկարաժամկետ պարտատոմսերի ծավալների ավելացմամբ:</w:t>
      </w:r>
    </w:p>
    <w:p w14:paraId="1E79D32C" w14:textId="77777777" w:rsidR="0049321C" w:rsidRPr="00D037CF" w:rsidRDefault="0049321C" w:rsidP="00D037CF">
      <w:pPr>
        <w:spacing w:before="120" w:after="0" w:line="276" w:lineRule="auto"/>
        <w:ind w:firstLine="0"/>
        <w:rPr>
          <w:lang w:val="hy-AM"/>
        </w:rPr>
      </w:pPr>
      <w:r w:rsidRPr="00D037CF">
        <w:rPr>
          <w:lang w:val="hy-AM"/>
        </w:rPr>
        <w:t>«Երեք տարվա ընթացքում մարվող ՀՀ կառավարության պարտքի կշիռն ընդամենը պարտ</w:t>
      </w:r>
      <w:r w:rsidRPr="00D037CF">
        <w:rPr>
          <w:lang w:val="hy-AM"/>
        </w:rPr>
        <w:softHyphen/>
        <w:t>քի մեջ» ցուցանիշը 2027 թվականի տարեվերջին կկազմի 26.2%, ընդ որում, երեք տարվա ընթացքում մարվող ՀՀ կառավարության արտարժութային պարտքի կշիռը արտարժութային պարտքում կկազմի 20.2%, իսկ երեք տարվա ընթացքում մարվող ՀՀ կառավարության դրամային պարտքի կշիռը դրամային պարտքում՝ 33.9%: Երեք տարվա ընթացքում ՀՀ կառավարության արտարժութային պարտքի կշիռը արտարժութային պարտքում փոքր-ինչ ավելանում է կարճաժամկետ հատվածում՝ պայմանավորված արտաքին վարկերի որոշ մասի արտոնյալ ժամկետի ավարտմամբ: Առաջիկա երեք տարվա ընթացքում մարվող ՀՀ կառավարության դրամային պարտքի կշիռը դրամային պարտքի մեջ պայմանավորվում է նախկինում թողարկված ուղենշային պարտատոմսերի մարման տարիներով:</w:t>
      </w:r>
    </w:p>
    <w:p w14:paraId="42A6F276" w14:textId="77777777" w:rsidR="0049321C" w:rsidRPr="00D037CF" w:rsidRDefault="0049321C" w:rsidP="00D037CF">
      <w:pPr>
        <w:spacing w:before="120" w:after="0" w:line="276" w:lineRule="auto"/>
        <w:ind w:firstLine="0"/>
        <w:rPr>
          <w:lang w:val="hy-AM"/>
        </w:rPr>
      </w:pPr>
      <w:r w:rsidRPr="00D037CF">
        <w:rPr>
          <w:lang w:val="hy-AM"/>
        </w:rPr>
        <w:t>Վերաֆինանսավորման ռիսկի կառավարման շրջանակներում «Մեկ տարվա ընթացքում մարվող ՀՀ կառավարության պարտքի կշիռն ընդամենը պարտ</w:t>
      </w:r>
      <w:r w:rsidRPr="00D037CF">
        <w:rPr>
          <w:lang w:val="hy-AM"/>
        </w:rPr>
        <w:softHyphen/>
        <w:t xml:space="preserve">քի մեջ» ցուցանիշը աստիճանաբար կնվազի միջնաժամկետ հատվածում և 2027 թվականի տարեվերջին կկազմի 8.1%: Ընդ որում, մեկ տարվա ընթացքում մարվող ՀՀ կառավարության արտարժութային պարտքի կշիռը արտարժութային պարտքում կկազմի 4.2%, իսկ մեկ տարվա ընթացքում մարվող ՀՀ կառավարության դրամային պարտքի կշիռը դրամային պարտքում՝ 13.2%: </w:t>
      </w:r>
    </w:p>
    <w:p w14:paraId="19B06A8B" w14:textId="77777777" w:rsidR="0049321C" w:rsidRPr="00D037CF" w:rsidRDefault="0049321C" w:rsidP="00D037CF">
      <w:pPr>
        <w:spacing w:before="120" w:after="0" w:line="276" w:lineRule="auto"/>
        <w:ind w:firstLine="0"/>
        <w:rPr>
          <w:lang w:val="hy-AM"/>
        </w:rPr>
      </w:pPr>
      <w:r w:rsidRPr="00D037CF">
        <w:rPr>
          <w:lang w:val="hy-AM"/>
        </w:rPr>
        <w:t>Ստորև ներկայացվում է նաև ՀՀ կառավարության պարտքի գծով վճարումների կանխատեսումային ցուցանիշները, որոնք իրենցից ներկայացնում են տարվա ընթացքում մարումների և տոկոսավճարների հանրագումարը:</w:t>
      </w:r>
    </w:p>
    <w:p w14:paraId="72916BEE" w14:textId="77777777" w:rsidR="00D037CF" w:rsidRPr="001D13B6" w:rsidRDefault="00D037CF" w:rsidP="00D037CF">
      <w:pPr>
        <w:pStyle w:val="afe"/>
        <w:rPr>
          <w:sz w:val="22"/>
          <w:szCs w:val="22"/>
        </w:rPr>
      </w:pPr>
      <w:r w:rsidRPr="001D13B6">
        <w:rPr>
          <w:sz w:val="22"/>
          <w:szCs w:val="22"/>
        </w:rPr>
        <w:t>Գծապատկեր 9. ՀՀ կառավարության պարտքի գծով վճարումները 2022-2027 թվականների ընթացքում (մլրդ դրամ)</w:t>
      </w:r>
    </w:p>
    <w:p w14:paraId="4FE67D86" w14:textId="77777777" w:rsidR="00D037CF" w:rsidRPr="001D13B6" w:rsidRDefault="00D037CF" w:rsidP="00D037CF">
      <w:pPr>
        <w:pStyle w:val="NoSpacing1"/>
        <w:rPr>
          <w:noProof/>
          <w:color w:val="FF0000"/>
        </w:rPr>
      </w:pPr>
      <w:r w:rsidRPr="001D13B6">
        <w:rPr>
          <w:noProof/>
        </w:rPr>
        <w:drawing>
          <wp:inline distT="0" distB="0" distL="0" distR="0" wp14:anchorId="4818A593" wp14:editId="7494DFBA">
            <wp:extent cx="6143625" cy="3324225"/>
            <wp:effectExtent l="57150" t="57150" r="47625" b="47625"/>
            <wp:docPr id="1545876459" name="Chart 1545876459">
              <a:extLst xmlns:a="http://schemas.openxmlformats.org/drawingml/2006/main">
                <a:ext uri="{FF2B5EF4-FFF2-40B4-BE49-F238E27FC236}">
                  <a16:creationId xmlns:a16="http://schemas.microsoft.com/office/drawing/2014/main" id="{00000000-0008-0000-0900-0000611759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86A6574" w14:textId="77777777" w:rsidR="00D037CF" w:rsidRPr="00D037CF" w:rsidRDefault="00D037CF" w:rsidP="00D037CF">
      <w:pPr>
        <w:spacing w:before="120"/>
        <w:rPr>
          <w:sz w:val="16"/>
        </w:rPr>
      </w:pPr>
      <w:r w:rsidRPr="00D037CF">
        <w:rPr>
          <w:sz w:val="16"/>
        </w:rPr>
        <w:t>Աղբյուրը՝ ՀՀ ՖՆ հաշվարկներ և կանխատեսումներ</w:t>
      </w:r>
    </w:p>
    <w:p w14:paraId="04C302F0" w14:textId="77777777" w:rsidR="00D037CF" w:rsidRPr="001D13B6" w:rsidRDefault="00D037CF" w:rsidP="00D037CF">
      <w:pPr>
        <w:pStyle w:val="NoSpacing1"/>
        <w:spacing w:before="120" w:after="0" w:line="276" w:lineRule="auto"/>
        <w:rPr>
          <w:noProof/>
          <w:color w:val="FF0000"/>
        </w:rPr>
      </w:pPr>
    </w:p>
    <w:p w14:paraId="485464F6" w14:textId="77777777" w:rsidR="00D037CF" w:rsidRPr="001D13B6" w:rsidRDefault="00D037CF" w:rsidP="00D037CF">
      <w:pPr>
        <w:spacing w:before="120" w:after="0" w:line="276" w:lineRule="auto"/>
        <w:ind w:firstLine="0"/>
      </w:pPr>
      <w:r w:rsidRPr="001D13B6">
        <w:t xml:space="preserve">ՀՀ կառավարության պարտքի գծով վճարումների ցուցանիշը միջնաժամկետ հատվածում աճում է՝ 2027 թվականին կազմելով 1,119 մլրդ դրամ: 2025 թվականին ՀՀ կառավարության պարտքի գծով վճարումների կտրուկ աճը պայմանավորված է մարման ենթակա եվրապարտատոմսերով: </w:t>
      </w:r>
    </w:p>
    <w:p w14:paraId="68B21EE9" w14:textId="77777777" w:rsidR="00D037CF" w:rsidRPr="001D13B6" w:rsidRDefault="00D037CF" w:rsidP="00D037CF">
      <w:pPr>
        <w:pStyle w:val="afd"/>
        <w:numPr>
          <w:ilvl w:val="0"/>
          <w:numId w:val="21"/>
        </w:numPr>
        <w:ind w:left="1276" w:hanging="1276"/>
      </w:pPr>
      <w:r w:rsidRPr="001D13B6">
        <w:t>ՀՀ կառավարության պարտքի գծով վճարումներն ըստ գործիքակազմի (մլրդ դրամ)</w:t>
      </w:r>
    </w:p>
    <w:tbl>
      <w:tblPr>
        <w:tblW w:w="10136" w:type="dxa"/>
        <w:tblLayout w:type="fixed"/>
        <w:tblLook w:val="04A0" w:firstRow="1" w:lastRow="0" w:firstColumn="1" w:lastColumn="0" w:noHBand="0" w:noVBand="1"/>
      </w:tblPr>
      <w:tblGrid>
        <w:gridCol w:w="3330"/>
        <w:gridCol w:w="1083"/>
        <w:gridCol w:w="1530"/>
        <w:gridCol w:w="1034"/>
        <w:gridCol w:w="1046"/>
        <w:gridCol w:w="1067"/>
        <w:gridCol w:w="1046"/>
      </w:tblGrid>
      <w:tr w:rsidR="00D037CF" w:rsidRPr="001D13B6" w14:paraId="0A8B5697" w14:textId="77777777" w:rsidTr="007F635D">
        <w:trPr>
          <w:trHeight w:val="1035"/>
        </w:trPr>
        <w:tc>
          <w:tcPr>
            <w:tcW w:w="3330" w:type="dxa"/>
            <w:tcBorders>
              <w:top w:val="double" w:sz="6" w:space="0" w:color="auto"/>
              <w:left w:val="nil"/>
              <w:bottom w:val="double" w:sz="6" w:space="0" w:color="auto"/>
              <w:right w:val="nil"/>
            </w:tcBorders>
            <w:shd w:val="clear" w:color="auto" w:fill="BDD6EE" w:themeFill="accent1" w:themeFillTint="66"/>
            <w:vAlign w:val="center"/>
            <w:hideMark/>
          </w:tcPr>
          <w:p w14:paraId="1458BFEB" w14:textId="77777777" w:rsidR="00D037CF" w:rsidRPr="00D037CF" w:rsidRDefault="00D037CF" w:rsidP="00013648">
            <w:pPr>
              <w:spacing w:line="240" w:lineRule="auto"/>
              <w:ind w:firstLine="0"/>
              <w:jc w:val="center"/>
              <w:rPr>
                <w:rFonts w:cs="Times New Roman"/>
                <w:sz w:val="20"/>
                <w:szCs w:val="20"/>
              </w:rPr>
            </w:pPr>
            <w:r w:rsidRPr="00D037CF">
              <w:rPr>
                <w:rFonts w:ascii="Calibri" w:hAnsi="Calibri" w:cs="Calibri"/>
                <w:sz w:val="20"/>
                <w:szCs w:val="20"/>
              </w:rPr>
              <w:t> </w:t>
            </w:r>
          </w:p>
        </w:tc>
        <w:tc>
          <w:tcPr>
            <w:tcW w:w="1083" w:type="dxa"/>
            <w:tcBorders>
              <w:top w:val="double" w:sz="6" w:space="0" w:color="auto"/>
              <w:left w:val="nil"/>
              <w:bottom w:val="double" w:sz="6" w:space="0" w:color="auto"/>
              <w:right w:val="nil"/>
            </w:tcBorders>
            <w:shd w:val="clear" w:color="auto" w:fill="BDD6EE" w:themeFill="accent1" w:themeFillTint="66"/>
            <w:vAlign w:val="center"/>
            <w:hideMark/>
          </w:tcPr>
          <w:p w14:paraId="2BC743BC"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2023 փաստ.</w:t>
            </w:r>
          </w:p>
        </w:tc>
        <w:tc>
          <w:tcPr>
            <w:tcW w:w="1530" w:type="dxa"/>
            <w:tcBorders>
              <w:top w:val="double" w:sz="6" w:space="0" w:color="auto"/>
              <w:left w:val="nil"/>
              <w:bottom w:val="double" w:sz="6" w:space="0" w:color="auto"/>
              <w:right w:val="double" w:sz="6" w:space="0" w:color="auto"/>
            </w:tcBorders>
            <w:shd w:val="clear" w:color="auto" w:fill="BDD6EE" w:themeFill="accent1" w:themeFillTint="66"/>
            <w:vAlign w:val="center"/>
            <w:hideMark/>
          </w:tcPr>
          <w:p w14:paraId="167E40F7"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2024</w:t>
            </w:r>
          </w:p>
          <w:p w14:paraId="048F0A04" w14:textId="77777777" w:rsidR="00D037CF" w:rsidRPr="00D037CF" w:rsidRDefault="00D037CF" w:rsidP="00013648">
            <w:pPr>
              <w:spacing w:line="240" w:lineRule="auto"/>
              <w:ind w:hanging="90"/>
              <w:jc w:val="center"/>
              <w:rPr>
                <w:rFonts w:cs="Times New Roman"/>
                <w:sz w:val="20"/>
                <w:szCs w:val="20"/>
              </w:rPr>
            </w:pPr>
            <w:r w:rsidRPr="00D037CF">
              <w:rPr>
                <w:rFonts w:cs="Times New Roman"/>
                <w:sz w:val="20"/>
                <w:szCs w:val="20"/>
              </w:rPr>
              <w:t>պետբյուջեի ծրագիր</w:t>
            </w:r>
          </w:p>
        </w:tc>
        <w:tc>
          <w:tcPr>
            <w:tcW w:w="1034" w:type="dxa"/>
            <w:tcBorders>
              <w:top w:val="double" w:sz="6" w:space="0" w:color="auto"/>
              <w:left w:val="nil"/>
              <w:bottom w:val="double" w:sz="6" w:space="0" w:color="auto"/>
              <w:right w:val="nil"/>
            </w:tcBorders>
            <w:shd w:val="clear" w:color="auto" w:fill="BDD6EE" w:themeFill="accent1" w:themeFillTint="66"/>
            <w:vAlign w:val="center"/>
            <w:hideMark/>
          </w:tcPr>
          <w:p w14:paraId="7E7FFD76"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2024 կանխ.</w:t>
            </w:r>
          </w:p>
        </w:tc>
        <w:tc>
          <w:tcPr>
            <w:tcW w:w="1046" w:type="dxa"/>
            <w:tcBorders>
              <w:top w:val="double" w:sz="6" w:space="0" w:color="auto"/>
              <w:left w:val="nil"/>
              <w:bottom w:val="double" w:sz="6" w:space="0" w:color="auto"/>
              <w:right w:val="nil"/>
            </w:tcBorders>
            <w:shd w:val="clear" w:color="auto" w:fill="BDD6EE" w:themeFill="accent1" w:themeFillTint="66"/>
            <w:vAlign w:val="center"/>
            <w:hideMark/>
          </w:tcPr>
          <w:p w14:paraId="0F2B990C"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2025 կանխ.</w:t>
            </w:r>
          </w:p>
        </w:tc>
        <w:tc>
          <w:tcPr>
            <w:tcW w:w="1067" w:type="dxa"/>
            <w:tcBorders>
              <w:top w:val="double" w:sz="6" w:space="0" w:color="auto"/>
              <w:left w:val="nil"/>
              <w:bottom w:val="double" w:sz="6" w:space="0" w:color="auto"/>
              <w:right w:val="nil"/>
            </w:tcBorders>
            <w:shd w:val="clear" w:color="auto" w:fill="BDD6EE" w:themeFill="accent1" w:themeFillTint="66"/>
            <w:vAlign w:val="center"/>
            <w:hideMark/>
          </w:tcPr>
          <w:p w14:paraId="169B1A8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2026 կանխ.</w:t>
            </w:r>
          </w:p>
        </w:tc>
        <w:tc>
          <w:tcPr>
            <w:tcW w:w="1046" w:type="dxa"/>
            <w:tcBorders>
              <w:top w:val="double" w:sz="6" w:space="0" w:color="auto"/>
              <w:left w:val="nil"/>
              <w:bottom w:val="double" w:sz="6" w:space="0" w:color="auto"/>
              <w:right w:val="nil"/>
            </w:tcBorders>
            <w:shd w:val="clear" w:color="auto" w:fill="BDD6EE" w:themeFill="accent1" w:themeFillTint="66"/>
            <w:vAlign w:val="center"/>
            <w:hideMark/>
          </w:tcPr>
          <w:p w14:paraId="57559D96"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2027 կանխ.</w:t>
            </w:r>
          </w:p>
        </w:tc>
      </w:tr>
      <w:tr w:rsidR="00D037CF" w:rsidRPr="001D13B6" w14:paraId="53546513" w14:textId="77777777" w:rsidTr="00013648">
        <w:trPr>
          <w:trHeight w:val="1343"/>
        </w:trPr>
        <w:tc>
          <w:tcPr>
            <w:tcW w:w="3330" w:type="dxa"/>
            <w:tcBorders>
              <w:top w:val="double" w:sz="6" w:space="0" w:color="auto"/>
              <w:left w:val="nil"/>
              <w:bottom w:val="single" w:sz="8" w:space="0" w:color="auto"/>
              <w:right w:val="nil"/>
            </w:tcBorders>
            <w:shd w:val="clear" w:color="auto" w:fill="auto"/>
            <w:vAlign w:val="center"/>
            <w:hideMark/>
          </w:tcPr>
          <w:p w14:paraId="1E85A33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ՀՀ կառավարության պարտքի գծով վճարումներն ըստ գործիքակազմի, որից`</w:t>
            </w:r>
          </w:p>
        </w:tc>
        <w:tc>
          <w:tcPr>
            <w:tcW w:w="1083" w:type="dxa"/>
            <w:tcBorders>
              <w:top w:val="double" w:sz="6" w:space="0" w:color="auto"/>
              <w:left w:val="nil"/>
              <w:bottom w:val="single" w:sz="8" w:space="0" w:color="auto"/>
              <w:right w:val="nil"/>
            </w:tcBorders>
            <w:shd w:val="clear" w:color="auto" w:fill="auto"/>
            <w:vAlign w:val="center"/>
            <w:hideMark/>
          </w:tcPr>
          <w:p w14:paraId="07D25B7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675.1</w:t>
            </w:r>
          </w:p>
        </w:tc>
        <w:tc>
          <w:tcPr>
            <w:tcW w:w="1530" w:type="dxa"/>
            <w:tcBorders>
              <w:top w:val="double" w:sz="6" w:space="0" w:color="auto"/>
              <w:left w:val="nil"/>
              <w:bottom w:val="single" w:sz="8" w:space="0" w:color="auto"/>
              <w:right w:val="double" w:sz="6" w:space="0" w:color="auto"/>
            </w:tcBorders>
            <w:shd w:val="clear" w:color="auto" w:fill="auto"/>
            <w:vAlign w:val="center"/>
            <w:hideMark/>
          </w:tcPr>
          <w:p w14:paraId="2C0B4403"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803.2</w:t>
            </w:r>
          </w:p>
        </w:tc>
        <w:tc>
          <w:tcPr>
            <w:tcW w:w="1034" w:type="dxa"/>
            <w:tcBorders>
              <w:top w:val="double" w:sz="6" w:space="0" w:color="auto"/>
              <w:left w:val="nil"/>
              <w:bottom w:val="single" w:sz="8" w:space="0" w:color="auto"/>
              <w:right w:val="nil"/>
            </w:tcBorders>
            <w:shd w:val="clear" w:color="auto" w:fill="auto"/>
            <w:vAlign w:val="center"/>
            <w:hideMark/>
          </w:tcPr>
          <w:p w14:paraId="473CFCE2"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803.2</w:t>
            </w:r>
          </w:p>
        </w:tc>
        <w:tc>
          <w:tcPr>
            <w:tcW w:w="1046" w:type="dxa"/>
            <w:tcBorders>
              <w:top w:val="double" w:sz="6" w:space="0" w:color="auto"/>
              <w:left w:val="nil"/>
              <w:bottom w:val="single" w:sz="8" w:space="0" w:color="auto"/>
              <w:right w:val="nil"/>
            </w:tcBorders>
            <w:shd w:val="clear" w:color="auto" w:fill="auto"/>
            <w:vAlign w:val="center"/>
            <w:hideMark/>
          </w:tcPr>
          <w:p w14:paraId="09BE431F"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1,122.4</w:t>
            </w:r>
          </w:p>
        </w:tc>
        <w:tc>
          <w:tcPr>
            <w:tcW w:w="1067" w:type="dxa"/>
            <w:tcBorders>
              <w:top w:val="double" w:sz="6" w:space="0" w:color="auto"/>
              <w:left w:val="nil"/>
              <w:bottom w:val="single" w:sz="8" w:space="0" w:color="auto"/>
              <w:right w:val="nil"/>
            </w:tcBorders>
            <w:shd w:val="clear" w:color="auto" w:fill="auto"/>
            <w:vAlign w:val="center"/>
            <w:hideMark/>
          </w:tcPr>
          <w:p w14:paraId="6321A7A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1,060.5</w:t>
            </w:r>
          </w:p>
        </w:tc>
        <w:tc>
          <w:tcPr>
            <w:tcW w:w="1046" w:type="dxa"/>
            <w:tcBorders>
              <w:top w:val="double" w:sz="6" w:space="0" w:color="auto"/>
              <w:left w:val="nil"/>
              <w:bottom w:val="single" w:sz="8" w:space="0" w:color="auto"/>
              <w:right w:val="nil"/>
            </w:tcBorders>
            <w:shd w:val="clear" w:color="auto" w:fill="auto"/>
            <w:vAlign w:val="center"/>
            <w:hideMark/>
          </w:tcPr>
          <w:p w14:paraId="1D29454D"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1,118.5</w:t>
            </w:r>
          </w:p>
        </w:tc>
      </w:tr>
      <w:tr w:rsidR="00D037CF" w:rsidRPr="001D13B6" w14:paraId="68D339B1" w14:textId="77777777" w:rsidTr="00013648">
        <w:trPr>
          <w:trHeight w:val="671"/>
        </w:trPr>
        <w:tc>
          <w:tcPr>
            <w:tcW w:w="3330" w:type="dxa"/>
            <w:tcBorders>
              <w:top w:val="nil"/>
              <w:left w:val="nil"/>
              <w:bottom w:val="single" w:sz="8" w:space="0" w:color="auto"/>
              <w:right w:val="nil"/>
            </w:tcBorders>
            <w:shd w:val="clear" w:color="auto" w:fill="auto"/>
            <w:vAlign w:val="center"/>
            <w:hideMark/>
          </w:tcPr>
          <w:p w14:paraId="67B67C64" w14:textId="77777777" w:rsidR="00D037CF" w:rsidRPr="00D037CF" w:rsidRDefault="00D037CF" w:rsidP="00013648">
            <w:pPr>
              <w:spacing w:line="240" w:lineRule="auto"/>
              <w:ind w:firstLine="0"/>
              <w:jc w:val="left"/>
              <w:rPr>
                <w:rFonts w:cs="Times New Roman"/>
                <w:sz w:val="20"/>
                <w:szCs w:val="20"/>
              </w:rPr>
            </w:pPr>
            <w:r w:rsidRPr="00D037CF">
              <w:rPr>
                <w:rFonts w:cs="Times New Roman"/>
                <w:sz w:val="20"/>
                <w:szCs w:val="20"/>
              </w:rPr>
              <w:t>արտաքին վարկեր և փոխառություններ</w:t>
            </w:r>
          </w:p>
        </w:tc>
        <w:tc>
          <w:tcPr>
            <w:tcW w:w="1083" w:type="dxa"/>
            <w:tcBorders>
              <w:top w:val="nil"/>
              <w:left w:val="nil"/>
              <w:bottom w:val="single" w:sz="8" w:space="0" w:color="auto"/>
              <w:right w:val="nil"/>
            </w:tcBorders>
            <w:shd w:val="clear" w:color="auto" w:fill="auto"/>
            <w:vAlign w:val="center"/>
            <w:hideMark/>
          </w:tcPr>
          <w:p w14:paraId="5ECEF72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186.8</w:t>
            </w:r>
          </w:p>
        </w:tc>
        <w:tc>
          <w:tcPr>
            <w:tcW w:w="1530" w:type="dxa"/>
            <w:tcBorders>
              <w:top w:val="nil"/>
              <w:left w:val="nil"/>
              <w:bottom w:val="single" w:sz="8" w:space="0" w:color="auto"/>
              <w:right w:val="double" w:sz="6" w:space="0" w:color="auto"/>
            </w:tcBorders>
            <w:shd w:val="clear" w:color="auto" w:fill="auto"/>
            <w:vAlign w:val="center"/>
            <w:hideMark/>
          </w:tcPr>
          <w:p w14:paraId="44EC391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259.0</w:t>
            </w:r>
          </w:p>
        </w:tc>
        <w:tc>
          <w:tcPr>
            <w:tcW w:w="1034" w:type="dxa"/>
            <w:tcBorders>
              <w:top w:val="nil"/>
              <w:left w:val="nil"/>
              <w:bottom w:val="single" w:sz="8" w:space="0" w:color="auto"/>
              <w:right w:val="nil"/>
            </w:tcBorders>
            <w:shd w:val="clear" w:color="auto" w:fill="auto"/>
            <w:vAlign w:val="center"/>
            <w:hideMark/>
          </w:tcPr>
          <w:p w14:paraId="3556B106"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259.0</w:t>
            </w:r>
          </w:p>
        </w:tc>
        <w:tc>
          <w:tcPr>
            <w:tcW w:w="1046" w:type="dxa"/>
            <w:tcBorders>
              <w:top w:val="nil"/>
              <w:left w:val="nil"/>
              <w:bottom w:val="single" w:sz="8" w:space="0" w:color="auto"/>
              <w:right w:val="nil"/>
            </w:tcBorders>
            <w:shd w:val="clear" w:color="auto" w:fill="auto"/>
            <w:vAlign w:val="center"/>
            <w:hideMark/>
          </w:tcPr>
          <w:p w14:paraId="59D1F737"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290.6</w:t>
            </w:r>
          </w:p>
        </w:tc>
        <w:tc>
          <w:tcPr>
            <w:tcW w:w="1067" w:type="dxa"/>
            <w:tcBorders>
              <w:top w:val="nil"/>
              <w:left w:val="nil"/>
              <w:bottom w:val="single" w:sz="8" w:space="0" w:color="auto"/>
              <w:right w:val="nil"/>
            </w:tcBorders>
            <w:shd w:val="clear" w:color="auto" w:fill="auto"/>
            <w:vAlign w:val="center"/>
            <w:hideMark/>
          </w:tcPr>
          <w:p w14:paraId="6705D01F"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322.8</w:t>
            </w:r>
          </w:p>
        </w:tc>
        <w:tc>
          <w:tcPr>
            <w:tcW w:w="1046" w:type="dxa"/>
            <w:tcBorders>
              <w:top w:val="nil"/>
              <w:left w:val="nil"/>
              <w:bottom w:val="single" w:sz="8" w:space="0" w:color="auto"/>
              <w:right w:val="nil"/>
            </w:tcBorders>
            <w:shd w:val="clear" w:color="auto" w:fill="auto"/>
            <w:vAlign w:val="center"/>
            <w:hideMark/>
          </w:tcPr>
          <w:p w14:paraId="650E189D"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316.7</w:t>
            </w:r>
          </w:p>
        </w:tc>
      </w:tr>
      <w:tr w:rsidR="00D037CF" w:rsidRPr="001D13B6" w14:paraId="6FE7E506" w14:textId="77777777" w:rsidTr="00013648">
        <w:trPr>
          <w:trHeight w:val="343"/>
        </w:trPr>
        <w:tc>
          <w:tcPr>
            <w:tcW w:w="3330" w:type="dxa"/>
            <w:tcBorders>
              <w:top w:val="nil"/>
              <w:left w:val="nil"/>
              <w:bottom w:val="single" w:sz="8" w:space="0" w:color="auto"/>
              <w:right w:val="nil"/>
            </w:tcBorders>
            <w:shd w:val="clear" w:color="auto" w:fill="auto"/>
            <w:vAlign w:val="center"/>
            <w:hideMark/>
          </w:tcPr>
          <w:p w14:paraId="0A59226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տոկոսավճար</w:t>
            </w:r>
          </w:p>
        </w:tc>
        <w:tc>
          <w:tcPr>
            <w:tcW w:w="1083" w:type="dxa"/>
            <w:tcBorders>
              <w:top w:val="nil"/>
              <w:left w:val="nil"/>
              <w:bottom w:val="single" w:sz="8" w:space="0" w:color="auto"/>
              <w:right w:val="nil"/>
            </w:tcBorders>
            <w:shd w:val="clear" w:color="auto" w:fill="auto"/>
            <w:vAlign w:val="center"/>
            <w:hideMark/>
          </w:tcPr>
          <w:p w14:paraId="1889A0DD"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62.3</w:t>
            </w:r>
          </w:p>
        </w:tc>
        <w:tc>
          <w:tcPr>
            <w:tcW w:w="1530" w:type="dxa"/>
            <w:tcBorders>
              <w:top w:val="nil"/>
              <w:left w:val="nil"/>
              <w:bottom w:val="single" w:sz="8" w:space="0" w:color="auto"/>
              <w:right w:val="double" w:sz="6" w:space="0" w:color="auto"/>
            </w:tcBorders>
            <w:shd w:val="clear" w:color="auto" w:fill="auto"/>
            <w:vAlign w:val="center"/>
            <w:hideMark/>
          </w:tcPr>
          <w:p w14:paraId="72ECF0C9"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84.0</w:t>
            </w:r>
          </w:p>
        </w:tc>
        <w:tc>
          <w:tcPr>
            <w:tcW w:w="1034" w:type="dxa"/>
            <w:tcBorders>
              <w:top w:val="nil"/>
              <w:left w:val="nil"/>
              <w:bottom w:val="single" w:sz="8" w:space="0" w:color="auto"/>
              <w:right w:val="nil"/>
            </w:tcBorders>
            <w:shd w:val="clear" w:color="auto" w:fill="auto"/>
            <w:vAlign w:val="center"/>
            <w:hideMark/>
          </w:tcPr>
          <w:p w14:paraId="06DE3932"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84.0</w:t>
            </w:r>
          </w:p>
        </w:tc>
        <w:tc>
          <w:tcPr>
            <w:tcW w:w="1046" w:type="dxa"/>
            <w:tcBorders>
              <w:top w:val="nil"/>
              <w:left w:val="nil"/>
              <w:bottom w:val="single" w:sz="8" w:space="0" w:color="auto"/>
              <w:right w:val="nil"/>
            </w:tcBorders>
            <w:shd w:val="clear" w:color="auto" w:fill="auto"/>
            <w:vAlign w:val="center"/>
            <w:hideMark/>
          </w:tcPr>
          <w:p w14:paraId="1644F57A"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107.0</w:t>
            </w:r>
          </w:p>
        </w:tc>
        <w:tc>
          <w:tcPr>
            <w:tcW w:w="1067" w:type="dxa"/>
            <w:tcBorders>
              <w:top w:val="nil"/>
              <w:left w:val="nil"/>
              <w:bottom w:val="single" w:sz="8" w:space="0" w:color="auto"/>
              <w:right w:val="nil"/>
            </w:tcBorders>
            <w:shd w:val="clear" w:color="auto" w:fill="auto"/>
            <w:vAlign w:val="center"/>
            <w:hideMark/>
          </w:tcPr>
          <w:p w14:paraId="6E8A19A4"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126.8</w:t>
            </w:r>
          </w:p>
        </w:tc>
        <w:tc>
          <w:tcPr>
            <w:tcW w:w="1046" w:type="dxa"/>
            <w:tcBorders>
              <w:top w:val="nil"/>
              <w:left w:val="nil"/>
              <w:bottom w:val="single" w:sz="8" w:space="0" w:color="auto"/>
              <w:right w:val="nil"/>
            </w:tcBorders>
            <w:shd w:val="clear" w:color="auto" w:fill="auto"/>
            <w:vAlign w:val="center"/>
            <w:hideMark/>
          </w:tcPr>
          <w:p w14:paraId="43069DFE"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156.7</w:t>
            </w:r>
          </w:p>
        </w:tc>
      </w:tr>
      <w:tr w:rsidR="00D037CF" w:rsidRPr="001D13B6" w14:paraId="1E10DFFB" w14:textId="77777777" w:rsidTr="00013648">
        <w:trPr>
          <w:trHeight w:val="343"/>
        </w:trPr>
        <w:tc>
          <w:tcPr>
            <w:tcW w:w="3330" w:type="dxa"/>
            <w:tcBorders>
              <w:top w:val="nil"/>
              <w:left w:val="nil"/>
              <w:bottom w:val="single" w:sz="8" w:space="0" w:color="auto"/>
              <w:right w:val="nil"/>
            </w:tcBorders>
            <w:shd w:val="clear" w:color="auto" w:fill="auto"/>
            <w:vAlign w:val="center"/>
            <w:hideMark/>
          </w:tcPr>
          <w:p w14:paraId="2E4A0986" w14:textId="77777777" w:rsidR="00D037CF" w:rsidRPr="00D037CF" w:rsidRDefault="00D037CF" w:rsidP="00013648">
            <w:pPr>
              <w:spacing w:line="240" w:lineRule="auto"/>
              <w:ind w:hanging="645"/>
              <w:jc w:val="center"/>
              <w:rPr>
                <w:rFonts w:cs="Times New Roman"/>
                <w:sz w:val="20"/>
                <w:szCs w:val="20"/>
              </w:rPr>
            </w:pPr>
            <w:r w:rsidRPr="00D037CF">
              <w:rPr>
                <w:rFonts w:cs="Times New Roman"/>
                <w:sz w:val="20"/>
                <w:szCs w:val="20"/>
              </w:rPr>
              <w:t>մարում</w:t>
            </w:r>
          </w:p>
        </w:tc>
        <w:tc>
          <w:tcPr>
            <w:tcW w:w="1083" w:type="dxa"/>
            <w:tcBorders>
              <w:top w:val="nil"/>
              <w:left w:val="nil"/>
              <w:bottom w:val="single" w:sz="8" w:space="0" w:color="auto"/>
              <w:right w:val="nil"/>
            </w:tcBorders>
            <w:shd w:val="clear" w:color="auto" w:fill="auto"/>
            <w:vAlign w:val="center"/>
            <w:hideMark/>
          </w:tcPr>
          <w:p w14:paraId="695C1459"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124.5</w:t>
            </w:r>
          </w:p>
        </w:tc>
        <w:tc>
          <w:tcPr>
            <w:tcW w:w="1530" w:type="dxa"/>
            <w:tcBorders>
              <w:top w:val="nil"/>
              <w:left w:val="nil"/>
              <w:bottom w:val="single" w:sz="8" w:space="0" w:color="auto"/>
              <w:right w:val="double" w:sz="6" w:space="0" w:color="auto"/>
            </w:tcBorders>
            <w:shd w:val="clear" w:color="auto" w:fill="auto"/>
            <w:vAlign w:val="center"/>
            <w:hideMark/>
          </w:tcPr>
          <w:p w14:paraId="0C857CCB"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175.0</w:t>
            </w:r>
          </w:p>
        </w:tc>
        <w:tc>
          <w:tcPr>
            <w:tcW w:w="1034" w:type="dxa"/>
            <w:tcBorders>
              <w:top w:val="nil"/>
              <w:left w:val="nil"/>
              <w:bottom w:val="single" w:sz="8" w:space="0" w:color="auto"/>
              <w:right w:val="nil"/>
            </w:tcBorders>
            <w:shd w:val="clear" w:color="auto" w:fill="auto"/>
            <w:vAlign w:val="center"/>
            <w:hideMark/>
          </w:tcPr>
          <w:p w14:paraId="78111EC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175.0</w:t>
            </w:r>
          </w:p>
        </w:tc>
        <w:tc>
          <w:tcPr>
            <w:tcW w:w="1046" w:type="dxa"/>
            <w:tcBorders>
              <w:top w:val="nil"/>
              <w:left w:val="nil"/>
              <w:bottom w:val="single" w:sz="8" w:space="0" w:color="auto"/>
              <w:right w:val="nil"/>
            </w:tcBorders>
            <w:shd w:val="clear" w:color="auto" w:fill="auto"/>
            <w:vAlign w:val="center"/>
            <w:hideMark/>
          </w:tcPr>
          <w:p w14:paraId="43D6D0D9"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183.6</w:t>
            </w:r>
          </w:p>
        </w:tc>
        <w:tc>
          <w:tcPr>
            <w:tcW w:w="1067" w:type="dxa"/>
            <w:tcBorders>
              <w:top w:val="nil"/>
              <w:left w:val="nil"/>
              <w:bottom w:val="single" w:sz="8" w:space="0" w:color="auto"/>
              <w:right w:val="nil"/>
            </w:tcBorders>
            <w:shd w:val="clear" w:color="auto" w:fill="auto"/>
            <w:vAlign w:val="center"/>
            <w:hideMark/>
          </w:tcPr>
          <w:p w14:paraId="2316E7C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196.0</w:t>
            </w:r>
          </w:p>
        </w:tc>
        <w:tc>
          <w:tcPr>
            <w:tcW w:w="1046" w:type="dxa"/>
            <w:tcBorders>
              <w:top w:val="nil"/>
              <w:left w:val="nil"/>
              <w:bottom w:val="single" w:sz="8" w:space="0" w:color="auto"/>
              <w:right w:val="nil"/>
            </w:tcBorders>
            <w:shd w:val="clear" w:color="auto" w:fill="auto"/>
            <w:vAlign w:val="center"/>
            <w:hideMark/>
          </w:tcPr>
          <w:p w14:paraId="40C69A0E"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160.0</w:t>
            </w:r>
          </w:p>
        </w:tc>
      </w:tr>
      <w:tr w:rsidR="00D037CF" w:rsidRPr="001D13B6" w14:paraId="194476D2" w14:textId="77777777" w:rsidTr="00013648">
        <w:trPr>
          <w:trHeight w:val="999"/>
        </w:trPr>
        <w:tc>
          <w:tcPr>
            <w:tcW w:w="3330" w:type="dxa"/>
            <w:tcBorders>
              <w:top w:val="nil"/>
              <w:left w:val="nil"/>
              <w:bottom w:val="single" w:sz="8" w:space="0" w:color="auto"/>
              <w:right w:val="nil"/>
            </w:tcBorders>
            <w:shd w:val="clear" w:color="auto" w:fill="auto"/>
            <w:vAlign w:val="center"/>
            <w:hideMark/>
          </w:tcPr>
          <w:p w14:paraId="086D724F" w14:textId="77777777" w:rsidR="00D037CF" w:rsidRPr="00D037CF" w:rsidRDefault="00D037CF" w:rsidP="00013648">
            <w:pPr>
              <w:spacing w:line="240" w:lineRule="auto"/>
              <w:ind w:firstLine="0"/>
              <w:jc w:val="left"/>
              <w:rPr>
                <w:rFonts w:cs="Times New Roman"/>
                <w:sz w:val="20"/>
                <w:szCs w:val="20"/>
              </w:rPr>
            </w:pPr>
            <w:r w:rsidRPr="00D037CF">
              <w:rPr>
                <w:rFonts w:cs="Times New Roman"/>
                <w:sz w:val="20"/>
                <w:szCs w:val="20"/>
              </w:rPr>
              <w:t>պետական գանձապետական պարտատոմսեր</w:t>
            </w:r>
          </w:p>
        </w:tc>
        <w:tc>
          <w:tcPr>
            <w:tcW w:w="1083" w:type="dxa"/>
            <w:tcBorders>
              <w:top w:val="nil"/>
              <w:left w:val="nil"/>
              <w:bottom w:val="single" w:sz="8" w:space="0" w:color="auto"/>
              <w:right w:val="nil"/>
            </w:tcBorders>
            <w:shd w:val="clear" w:color="auto" w:fill="auto"/>
            <w:vAlign w:val="center"/>
            <w:hideMark/>
          </w:tcPr>
          <w:p w14:paraId="69C6F72B"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381.2</w:t>
            </w:r>
          </w:p>
        </w:tc>
        <w:tc>
          <w:tcPr>
            <w:tcW w:w="1530" w:type="dxa"/>
            <w:tcBorders>
              <w:top w:val="nil"/>
              <w:left w:val="nil"/>
              <w:bottom w:val="single" w:sz="8" w:space="0" w:color="auto"/>
              <w:right w:val="double" w:sz="6" w:space="0" w:color="auto"/>
            </w:tcBorders>
            <w:shd w:val="clear" w:color="auto" w:fill="auto"/>
            <w:vAlign w:val="center"/>
            <w:hideMark/>
          </w:tcPr>
          <w:p w14:paraId="11052EDA"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515.0</w:t>
            </w:r>
          </w:p>
        </w:tc>
        <w:tc>
          <w:tcPr>
            <w:tcW w:w="1034" w:type="dxa"/>
            <w:tcBorders>
              <w:top w:val="nil"/>
              <w:left w:val="nil"/>
              <w:bottom w:val="single" w:sz="8" w:space="0" w:color="auto"/>
              <w:right w:val="nil"/>
            </w:tcBorders>
            <w:shd w:val="clear" w:color="auto" w:fill="auto"/>
            <w:vAlign w:val="center"/>
            <w:hideMark/>
          </w:tcPr>
          <w:p w14:paraId="0EE308D6"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515.0</w:t>
            </w:r>
          </w:p>
        </w:tc>
        <w:tc>
          <w:tcPr>
            <w:tcW w:w="1046" w:type="dxa"/>
            <w:tcBorders>
              <w:top w:val="nil"/>
              <w:left w:val="nil"/>
              <w:bottom w:val="single" w:sz="8" w:space="0" w:color="auto"/>
              <w:right w:val="nil"/>
            </w:tcBorders>
            <w:shd w:val="clear" w:color="auto" w:fill="auto"/>
            <w:vAlign w:val="center"/>
            <w:hideMark/>
          </w:tcPr>
          <w:p w14:paraId="36D6B097"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661.7</w:t>
            </w:r>
          </w:p>
        </w:tc>
        <w:tc>
          <w:tcPr>
            <w:tcW w:w="1067" w:type="dxa"/>
            <w:tcBorders>
              <w:top w:val="nil"/>
              <w:left w:val="nil"/>
              <w:bottom w:val="single" w:sz="8" w:space="0" w:color="auto"/>
              <w:right w:val="nil"/>
            </w:tcBorders>
            <w:shd w:val="clear" w:color="auto" w:fill="auto"/>
            <w:vAlign w:val="center"/>
            <w:hideMark/>
          </w:tcPr>
          <w:p w14:paraId="65416932"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701.0</w:t>
            </w:r>
          </w:p>
        </w:tc>
        <w:tc>
          <w:tcPr>
            <w:tcW w:w="1046" w:type="dxa"/>
            <w:tcBorders>
              <w:top w:val="nil"/>
              <w:left w:val="nil"/>
              <w:bottom w:val="single" w:sz="8" w:space="0" w:color="auto"/>
              <w:right w:val="nil"/>
            </w:tcBorders>
            <w:shd w:val="clear" w:color="auto" w:fill="auto"/>
            <w:vAlign w:val="center"/>
            <w:hideMark/>
          </w:tcPr>
          <w:p w14:paraId="196D82ED"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765.1</w:t>
            </w:r>
          </w:p>
        </w:tc>
      </w:tr>
      <w:tr w:rsidR="00D037CF" w:rsidRPr="001D13B6" w14:paraId="537329FF" w14:textId="77777777" w:rsidTr="00013648">
        <w:trPr>
          <w:trHeight w:val="343"/>
        </w:trPr>
        <w:tc>
          <w:tcPr>
            <w:tcW w:w="3330" w:type="dxa"/>
            <w:tcBorders>
              <w:top w:val="nil"/>
              <w:left w:val="nil"/>
              <w:bottom w:val="single" w:sz="8" w:space="0" w:color="auto"/>
              <w:right w:val="nil"/>
            </w:tcBorders>
            <w:shd w:val="clear" w:color="auto" w:fill="auto"/>
            <w:vAlign w:val="center"/>
            <w:hideMark/>
          </w:tcPr>
          <w:p w14:paraId="728F1D05" w14:textId="77777777" w:rsidR="00D037CF" w:rsidRPr="00D037CF" w:rsidRDefault="00D037CF" w:rsidP="00013648">
            <w:pPr>
              <w:spacing w:line="240" w:lineRule="auto"/>
              <w:ind w:firstLineChars="75" w:firstLine="150"/>
              <w:jc w:val="center"/>
              <w:rPr>
                <w:rFonts w:cs="Times New Roman"/>
                <w:sz w:val="20"/>
                <w:szCs w:val="20"/>
              </w:rPr>
            </w:pPr>
            <w:r w:rsidRPr="00D037CF">
              <w:rPr>
                <w:rFonts w:cs="Times New Roman"/>
                <w:sz w:val="20"/>
                <w:szCs w:val="20"/>
              </w:rPr>
              <w:t>տոկոսավճար</w:t>
            </w:r>
          </w:p>
        </w:tc>
        <w:tc>
          <w:tcPr>
            <w:tcW w:w="1083" w:type="dxa"/>
            <w:tcBorders>
              <w:top w:val="nil"/>
              <w:left w:val="nil"/>
              <w:bottom w:val="single" w:sz="8" w:space="0" w:color="auto"/>
              <w:right w:val="nil"/>
            </w:tcBorders>
            <w:shd w:val="clear" w:color="auto" w:fill="auto"/>
            <w:vAlign w:val="center"/>
            <w:hideMark/>
          </w:tcPr>
          <w:p w14:paraId="775934A3"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157.4</w:t>
            </w:r>
          </w:p>
        </w:tc>
        <w:tc>
          <w:tcPr>
            <w:tcW w:w="1530" w:type="dxa"/>
            <w:tcBorders>
              <w:top w:val="nil"/>
              <w:left w:val="nil"/>
              <w:bottom w:val="single" w:sz="8" w:space="0" w:color="auto"/>
              <w:right w:val="double" w:sz="6" w:space="0" w:color="auto"/>
            </w:tcBorders>
            <w:shd w:val="clear" w:color="auto" w:fill="auto"/>
            <w:vAlign w:val="center"/>
            <w:hideMark/>
          </w:tcPr>
          <w:p w14:paraId="344539BE"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209.9</w:t>
            </w:r>
          </w:p>
        </w:tc>
        <w:tc>
          <w:tcPr>
            <w:tcW w:w="1034" w:type="dxa"/>
            <w:tcBorders>
              <w:top w:val="nil"/>
              <w:left w:val="nil"/>
              <w:bottom w:val="single" w:sz="8" w:space="0" w:color="auto"/>
              <w:right w:val="nil"/>
            </w:tcBorders>
            <w:shd w:val="clear" w:color="auto" w:fill="auto"/>
            <w:vAlign w:val="center"/>
            <w:hideMark/>
          </w:tcPr>
          <w:p w14:paraId="5EC4F07C"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209.9</w:t>
            </w:r>
          </w:p>
        </w:tc>
        <w:tc>
          <w:tcPr>
            <w:tcW w:w="1046" w:type="dxa"/>
            <w:tcBorders>
              <w:top w:val="nil"/>
              <w:left w:val="nil"/>
              <w:bottom w:val="single" w:sz="8" w:space="0" w:color="auto"/>
              <w:right w:val="nil"/>
            </w:tcBorders>
            <w:shd w:val="clear" w:color="auto" w:fill="auto"/>
            <w:vAlign w:val="center"/>
            <w:hideMark/>
          </w:tcPr>
          <w:p w14:paraId="444AA34F"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253.2</w:t>
            </w:r>
          </w:p>
        </w:tc>
        <w:tc>
          <w:tcPr>
            <w:tcW w:w="1067" w:type="dxa"/>
            <w:tcBorders>
              <w:top w:val="nil"/>
              <w:left w:val="nil"/>
              <w:bottom w:val="single" w:sz="8" w:space="0" w:color="auto"/>
              <w:right w:val="nil"/>
            </w:tcBorders>
            <w:shd w:val="clear" w:color="auto" w:fill="auto"/>
            <w:vAlign w:val="center"/>
            <w:hideMark/>
          </w:tcPr>
          <w:p w14:paraId="7E67D48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276.9</w:t>
            </w:r>
          </w:p>
        </w:tc>
        <w:tc>
          <w:tcPr>
            <w:tcW w:w="1046" w:type="dxa"/>
            <w:tcBorders>
              <w:top w:val="nil"/>
              <w:left w:val="nil"/>
              <w:bottom w:val="single" w:sz="8" w:space="0" w:color="auto"/>
              <w:right w:val="nil"/>
            </w:tcBorders>
            <w:shd w:val="clear" w:color="auto" w:fill="auto"/>
            <w:vAlign w:val="center"/>
            <w:hideMark/>
          </w:tcPr>
          <w:p w14:paraId="70504BA7"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300.6</w:t>
            </w:r>
          </w:p>
        </w:tc>
      </w:tr>
      <w:tr w:rsidR="00D037CF" w:rsidRPr="001D13B6" w14:paraId="5C169DCD" w14:textId="77777777" w:rsidTr="00013648">
        <w:trPr>
          <w:trHeight w:val="343"/>
        </w:trPr>
        <w:tc>
          <w:tcPr>
            <w:tcW w:w="3330" w:type="dxa"/>
            <w:tcBorders>
              <w:top w:val="nil"/>
              <w:left w:val="nil"/>
              <w:bottom w:val="single" w:sz="8" w:space="0" w:color="auto"/>
              <w:right w:val="nil"/>
            </w:tcBorders>
            <w:shd w:val="clear" w:color="auto" w:fill="auto"/>
            <w:vAlign w:val="center"/>
            <w:hideMark/>
          </w:tcPr>
          <w:p w14:paraId="041EFDDF" w14:textId="77777777" w:rsidR="00D037CF" w:rsidRPr="00D037CF" w:rsidRDefault="00D037CF" w:rsidP="00013648">
            <w:pPr>
              <w:spacing w:line="240" w:lineRule="auto"/>
              <w:ind w:leftChars="-170" w:left="-34" w:hangingChars="170" w:hanging="340"/>
              <w:jc w:val="center"/>
              <w:rPr>
                <w:rFonts w:cs="Times New Roman"/>
                <w:sz w:val="20"/>
                <w:szCs w:val="20"/>
              </w:rPr>
            </w:pPr>
            <w:r w:rsidRPr="00D037CF">
              <w:rPr>
                <w:rFonts w:cs="Times New Roman"/>
                <w:sz w:val="20"/>
                <w:szCs w:val="20"/>
              </w:rPr>
              <w:t>մարում</w:t>
            </w:r>
          </w:p>
        </w:tc>
        <w:tc>
          <w:tcPr>
            <w:tcW w:w="1083" w:type="dxa"/>
            <w:tcBorders>
              <w:top w:val="nil"/>
              <w:left w:val="nil"/>
              <w:bottom w:val="single" w:sz="8" w:space="0" w:color="auto"/>
              <w:right w:val="nil"/>
            </w:tcBorders>
            <w:shd w:val="clear" w:color="auto" w:fill="auto"/>
            <w:vAlign w:val="center"/>
            <w:hideMark/>
          </w:tcPr>
          <w:p w14:paraId="33FE0C82"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223.8</w:t>
            </w:r>
          </w:p>
        </w:tc>
        <w:tc>
          <w:tcPr>
            <w:tcW w:w="1530" w:type="dxa"/>
            <w:tcBorders>
              <w:top w:val="nil"/>
              <w:left w:val="nil"/>
              <w:bottom w:val="single" w:sz="8" w:space="0" w:color="auto"/>
              <w:right w:val="double" w:sz="6" w:space="0" w:color="auto"/>
            </w:tcBorders>
            <w:shd w:val="clear" w:color="auto" w:fill="auto"/>
            <w:vAlign w:val="center"/>
            <w:hideMark/>
          </w:tcPr>
          <w:p w14:paraId="3432AF6B"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305.1</w:t>
            </w:r>
          </w:p>
        </w:tc>
        <w:tc>
          <w:tcPr>
            <w:tcW w:w="1034" w:type="dxa"/>
            <w:tcBorders>
              <w:top w:val="nil"/>
              <w:left w:val="nil"/>
              <w:bottom w:val="single" w:sz="8" w:space="0" w:color="auto"/>
              <w:right w:val="nil"/>
            </w:tcBorders>
            <w:shd w:val="clear" w:color="auto" w:fill="auto"/>
            <w:vAlign w:val="center"/>
            <w:hideMark/>
          </w:tcPr>
          <w:p w14:paraId="17806DB2"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305.1</w:t>
            </w:r>
          </w:p>
        </w:tc>
        <w:tc>
          <w:tcPr>
            <w:tcW w:w="1046" w:type="dxa"/>
            <w:tcBorders>
              <w:top w:val="nil"/>
              <w:left w:val="nil"/>
              <w:bottom w:val="single" w:sz="8" w:space="0" w:color="auto"/>
              <w:right w:val="nil"/>
            </w:tcBorders>
            <w:shd w:val="clear" w:color="auto" w:fill="auto"/>
            <w:vAlign w:val="center"/>
            <w:hideMark/>
          </w:tcPr>
          <w:p w14:paraId="34FD06A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408.5</w:t>
            </w:r>
          </w:p>
        </w:tc>
        <w:tc>
          <w:tcPr>
            <w:tcW w:w="1067" w:type="dxa"/>
            <w:tcBorders>
              <w:top w:val="nil"/>
              <w:left w:val="nil"/>
              <w:bottom w:val="single" w:sz="8" w:space="0" w:color="auto"/>
              <w:right w:val="nil"/>
            </w:tcBorders>
            <w:shd w:val="clear" w:color="auto" w:fill="auto"/>
            <w:vAlign w:val="center"/>
            <w:hideMark/>
          </w:tcPr>
          <w:p w14:paraId="69F4147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424.1</w:t>
            </w:r>
          </w:p>
        </w:tc>
        <w:tc>
          <w:tcPr>
            <w:tcW w:w="1046" w:type="dxa"/>
            <w:tcBorders>
              <w:top w:val="nil"/>
              <w:left w:val="nil"/>
              <w:bottom w:val="single" w:sz="8" w:space="0" w:color="auto"/>
              <w:right w:val="nil"/>
            </w:tcBorders>
            <w:shd w:val="clear" w:color="auto" w:fill="auto"/>
            <w:vAlign w:val="center"/>
            <w:hideMark/>
          </w:tcPr>
          <w:p w14:paraId="53C2327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464.5</w:t>
            </w:r>
          </w:p>
        </w:tc>
      </w:tr>
      <w:tr w:rsidR="00D037CF" w:rsidRPr="001D13B6" w14:paraId="7DC86EA9" w14:textId="77777777" w:rsidTr="00013648">
        <w:trPr>
          <w:trHeight w:val="999"/>
        </w:trPr>
        <w:tc>
          <w:tcPr>
            <w:tcW w:w="3330" w:type="dxa"/>
            <w:tcBorders>
              <w:top w:val="nil"/>
              <w:left w:val="nil"/>
              <w:bottom w:val="single" w:sz="8" w:space="0" w:color="auto"/>
              <w:right w:val="nil"/>
            </w:tcBorders>
            <w:shd w:val="clear" w:color="auto" w:fill="auto"/>
            <w:vAlign w:val="center"/>
            <w:hideMark/>
          </w:tcPr>
          <w:p w14:paraId="6AB09F81" w14:textId="77777777" w:rsidR="00D037CF" w:rsidRPr="00D037CF" w:rsidRDefault="00D037CF" w:rsidP="00013648">
            <w:pPr>
              <w:spacing w:line="240" w:lineRule="auto"/>
              <w:ind w:firstLine="0"/>
              <w:jc w:val="left"/>
              <w:rPr>
                <w:rFonts w:cs="Times New Roman"/>
                <w:sz w:val="20"/>
                <w:szCs w:val="20"/>
              </w:rPr>
            </w:pPr>
            <w:r w:rsidRPr="00D037CF">
              <w:rPr>
                <w:rFonts w:cs="Times New Roman"/>
                <w:sz w:val="20"/>
                <w:szCs w:val="20"/>
              </w:rPr>
              <w:t>արտարժութային պետական պարտատոմսեր</w:t>
            </w:r>
          </w:p>
        </w:tc>
        <w:tc>
          <w:tcPr>
            <w:tcW w:w="1083" w:type="dxa"/>
            <w:tcBorders>
              <w:top w:val="nil"/>
              <w:left w:val="nil"/>
              <w:bottom w:val="single" w:sz="8" w:space="0" w:color="auto"/>
              <w:right w:val="nil"/>
            </w:tcBorders>
            <w:shd w:val="clear" w:color="auto" w:fill="auto"/>
            <w:vAlign w:val="center"/>
            <w:hideMark/>
          </w:tcPr>
          <w:p w14:paraId="14E4167F"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107.2</w:t>
            </w:r>
          </w:p>
        </w:tc>
        <w:tc>
          <w:tcPr>
            <w:tcW w:w="1530" w:type="dxa"/>
            <w:tcBorders>
              <w:top w:val="nil"/>
              <w:left w:val="nil"/>
              <w:bottom w:val="single" w:sz="8" w:space="0" w:color="auto"/>
              <w:right w:val="double" w:sz="6" w:space="0" w:color="auto"/>
            </w:tcBorders>
            <w:shd w:val="clear" w:color="auto" w:fill="auto"/>
            <w:vAlign w:val="center"/>
            <w:hideMark/>
          </w:tcPr>
          <w:p w14:paraId="0D3FB89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29.2</w:t>
            </w:r>
          </w:p>
        </w:tc>
        <w:tc>
          <w:tcPr>
            <w:tcW w:w="1034" w:type="dxa"/>
            <w:tcBorders>
              <w:top w:val="nil"/>
              <w:left w:val="nil"/>
              <w:bottom w:val="single" w:sz="8" w:space="0" w:color="auto"/>
              <w:right w:val="nil"/>
            </w:tcBorders>
            <w:shd w:val="clear" w:color="auto" w:fill="auto"/>
            <w:vAlign w:val="center"/>
            <w:hideMark/>
          </w:tcPr>
          <w:p w14:paraId="60984F84"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29.2</w:t>
            </w:r>
          </w:p>
        </w:tc>
        <w:tc>
          <w:tcPr>
            <w:tcW w:w="1046" w:type="dxa"/>
            <w:tcBorders>
              <w:top w:val="nil"/>
              <w:left w:val="nil"/>
              <w:bottom w:val="single" w:sz="8" w:space="0" w:color="auto"/>
              <w:right w:val="nil"/>
            </w:tcBorders>
            <w:shd w:val="clear" w:color="auto" w:fill="auto"/>
            <w:vAlign w:val="center"/>
            <w:hideMark/>
          </w:tcPr>
          <w:p w14:paraId="4E2F67AC"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170.1</w:t>
            </w:r>
          </w:p>
        </w:tc>
        <w:tc>
          <w:tcPr>
            <w:tcW w:w="1067" w:type="dxa"/>
            <w:tcBorders>
              <w:top w:val="nil"/>
              <w:left w:val="nil"/>
              <w:bottom w:val="single" w:sz="8" w:space="0" w:color="auto"/>
              <w:right w:val="nil"/>
            </w:tcBorders>
            <w:shd w:val="clear" w:color="auto" w:fill="auto"/>
            <w:vAlign w:val="center"/>
            <w:hideMark/>
          </w:tcPr>
          <w:p w14:paraId="0BA920D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36.7</w:t>
            </w:r>
          </w:p>
        </w:tc>
        <w:tc>
          <w:tcPr>
            <w:tcW w:w="1046" w:type="dxa"/>
            <w:tcBorders>
              <w:top w:val="nil"/>
              <w:left w:val="nil"/>
              <w:bottom w:val="single" w:sz="8" w:space="0" w:color="auto"/>
              <w:right w:val="nil"/>
            </w:tcBorders>
            <w:shd w:val="clear" w:color="auto" w:fill="auto"/>
            <w:vAlign w:val="center"/>
            <w:hideMark/>
          </w:tcPr>
          <w:p w14:paraId="725D3BB4"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36.7</w:t>
            </w:r>
          </w:p>
        </w:tc>
      </w:tr>
      <w:tr w:rsidR="00D037CF" w:rsidRPr="001D13B6" w14:paraId="23E7F089" w14:textId="77777777" w:rsidTr="00013648">
        <w:trPr>
          <w:trHeight w:val="343"/>
        </w:trPr>
        <w:tc>
          <w:tcPr>
            <w:tcW w:w="3330" w:type="dxa"/>
            <w:tcBorders>
              <w:top w:val="nil"/>
              <w:left w:val="nil"/>
              <w:bottom w:val="single" w:sz="8" w:space="0" w:color="auto"/>
              <w:right w:val="nil"/>
            </w:tcBorders>
            <w:shd w:val="clear" w:color="auto" w:fill="auto"/>
            <w:vAlign w:val="center"/>
            <w:hideMark/>
          </w:tcPr>
          <w:p w14:paraId="0D4A366B" w14:textId="77777777" w:rsidR="00D037CF" w:rsidRPr="00D037CF" w:rsidRDefault="00D037CF" w:rsidP="00013648">
            <w:pPr>
              <w:spacing w:line="240" w:lineRule="auto"/>
              <w:ind w:firstLineChars="238" w:firstLine="476"/>
              <w:jc w:val="center"/>
              <w:rPr>
                <w:rFonts w:cs="Times New Roman"/>
                <w:sz w:val="20"/>
                <w:szCs w:val="20"/>
              </w:rPr>
            </w:pPr>
            <w:r w:rsidRPr="00D037CF">
              <w:rPr>
                <w:rFonts w:cs="Times New Roman"/>
                <w:sz w:val="20"/>
                <w:szCs w:val="20"/>
              </w:rPr>
              <w:t>տոկոսավճար</w:t>
            </w:r>
          </w:p>
        </w:tc>
        <w:tc>
          <w:tcPr>
            <w:tcW w:w="1083" w:type="dxa"/>
            <w:tcBorders>
              <w:top w:val="nil"/>
              <w:left w:val="nil"/>
              <w:bottom w:val="single" w:sz="8" w:space="0" w:color="auto"/>
              <w:right w:val="nil"/>
            </w:tcBorders>
            <w:shd w:val="clear" w:color="auto" w:fill="auto"/>
            <w:vAlign w:val="center"/>
            <w:hideMark/>
          </w:tcPr>
          <w:p w14:paraId="7316656F"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33.8</w:t>
            </w:r>
          </w:p>
        </w:tc>
        <w:tc>
          <w:tcPr>
            <w:tcW w:w="1530" w:type="dxa"/>
            <w:tcBorders>
              <w:top w:val="nil"/>
              <w:left w:val="nil"/>
              <w:bottom w:val="single" w:sz="8" w:space="0" w:color="auto"/>
              <w:right w:val="double" w:sz="6" w:space="0" w:color="auto"/>
            </w:tcBorders>
            <w:shd w:val="clear" w:color="auto" w:fill="auto"/>
            <w:vAlign w:val="center"/>
            <w:hideMark/>
          </w:tcPr>
          <w:p w14:paraId="3D3E46DD"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29.2</w:t>
            </w:r>
          </w:p>
        </w:tc>
        <w:tc>
          <w:tcPr>
            <w:tcW w:w="1034" w:type="dxa"/>
            <w:tcBorders>
              <w:top w:val="nil"/>
              <w:left w:val="nil"/>
              <w:bottom w:val="single" w:sz="8" w:space="0" w:color="auto"/>
              <w:right w:val="nil"/>
            </w:tcBorders>
            <w:shd w:val="clear" w:color="auto" w:fill="auto"/>
            <w:vAlign w:val="center"/>
            <w:hideMark/>
          </w:tcPr>
          <w:p w14:paraId="193169B9"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29.2</w:t>
            </w:r>
          </w:p>
        </w:tc>
        <w:tc>
          <w:tcPr>
            <w:tcW w:w="1046" w:type="dxa"/>
            <w:tcBorders>
              <w:top w:val="nil"/>
              <w:left w:val="nil"/>
              <w:bottom w:val="single" w:sz="8" w:space="0" w:color="auto"/>
              <w:right w:val="nil"/>
            </w:tcBorders>
            <w:shd w:val="clear" w:color="auto" w:fill="auto"/>
            <w:vAlign w:val="center"/>
            <w:hideMark/>
          </w:tcPr>
          <w:p w14:paraId="17B1A51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33.5</w:t>
            </w:r>
          </w:p>
        </w:tc>
        <w:tc>
          <w:tcPr>
            <w:tcW w:w="1067" w:type="dxa"/>
            <w:tcBorders>
              <w:top w:val="nil"/>
              <w:left w:val="nil"/>
              <w:bottom w:val="single" w:sz="8" w:space="0" w:color="auto"/>
              <w:right w:val="nil"/>
            </w:tcBorders>
            <w:shd w:val="clear" w:color="auto" w:fill="auto"/>
            <w:vAlign w:val="center"/>
            <w:hideMark/>
          </w:tcPr>
          <w:p w14:paraId="151736C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36.7</w:t>
            </w:r>
          </w:p>
        </w:tc>
        <w:tc>
          <w:tcPr>
            <w:tcW w:w="1046" w:type="dxa"/>
            <w:tcBorders>
              <w:top w:val="nil"/>
              <w:left w:val="nil"/>
              <w:bottom w:val="single" w:sz="8" w:space="0" w:color="auto"/>
              <w:right w:val="nil"/>
            </w:tcBorders>
            <w:shd w:val="clear" w:color="auto" w:fill="auto"/>
            <w:vAlign w:val="center"/>
            <w:hideMark/>
          </w:tcPr>
          <w:p w14:paraId="369C43F5"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36.7</w:t>
            </w:r>
          </w:p>
        </w:tc>
      </w:tr>
      <w:tr w:rsidR="00D037CF" w:rsidRPr="001D13B6" w14:paraId="7DFE4417" w14:textId="77777777" w:rsidTr="00013648">
        <w:trPr>
          <w:trHeight w:val="343"/>
        </w:trPr>
        <w:tc>
          <w:tcPr>
            <w:tcW w:w="3330" w:type="dxa"/>
            <w:tcBorders>
              <w:top w:val="nil"/>
              <w:left w:val="nil"/>
              <w:bottom w:val="double" w:sz="6" w:space="0" w:color="auto"/>
              <w:right w:val="nil"/>
            </w:tcBorders>
            <w:shd w:val="clear" w:color="auto" w:fill="auto"/>
            <w:vAlign w:val="center"/>
            <w:hideMark/>
          </w:tcPr>
          <w:p w14:paraId="14038C24" w14:textId="77777777" w:rsidR="00D037CF" w:rsidRPr="00D037CF" w:rsidRDefault="00D037CF" w:rsidP="00013648">
            <w:pPr>
              <w:spacing w:line="240" w:lineRule="auto"/>
              <w:ind w:leftChars="-47" w:left="-9" w:hangingChars="47" w:hanging="94"/>
              <w:jc w:val="center"/>
              <w:rPr>
                <w:rFonts w:cs="Times New Roman"/>
                <w:sz w:val="20"/>
                <w:szCs w:val="20"/>
              </w:rPr>
            </w:pPr>
            <w:r w:rsidRPr="00D037CF">
              <w:rPr>
                <w:rFonts w:cs="Times New Roman"/>
                <w:sz w:val="20"/>
                <w:szCs w:val="20"/>
              </w:rPr>
              <w:t>մարում</w:t>
            </w:r>
          </w:p>
        </w:tc>
        <w:tc>
          <w:tcPr>
            <w:tcW w:w="1083" w:type="dxa"/>
            <w:tcBorders>
              <w:top w:val="nil"/>
              <w:left w:val="nil"/>
              <w:bottom w:val="double" w:sz="6" w:space="0" w:color="auto"/>
              <w:right w:val="nil"/>
            </w:tcBorders>
            <w:shd w:val="clear" w:color="auto" w:fill="auto"/>
            <w:vAlign w:val="center"/>
            <w:hideMark/>
          </w:tcPr>
          <w:p w14:paraId="672408C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73.4</w:t>
            </w:r>
          </w:p>
        </w:tc>
        <w:tc>
          <w:tcPr>
            <w:tcW w:w="1530" w:type="dxa"/>
            <w:tcBorders>
              <w:top w:val="nil"/>
              <w:left w:val="nil"/>
              <w:bottom w:val="double" w:sz="6" w:space="0" w:color="auto"/>
              <w:right w:val="double" w:sz="6" w:space="0" w:color="auto"/>
            </w:tcBorders>
            <w:shd w:val="clear" w:color="auto" w:fill="auto"/>
            <w:vAlign w:val="center"/>
            <w:hideMark/>
          </w:tcPr>
          <w:p w14:paraId="6C71DA56"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w:t>
            </w:r>
          </w:p>
        </w:tc>
        <w:tc>
          <w:tcPr>
            <w:tcW w:w="1034" w:type="dxa"/>
            <w:tcBorders>
              <w:top w:val="nil"/>
              <w:left w:val="nil"/>
              <w:bottom w:val="double" w:sz="6" w:space="0" w:color="auto"/>
              <w:right w:val="nil"/>
            </w:tcBorders>
            <w:shd w:val="clear" w:color="auto" w:fill="auto"/>
            <w:vAlign w:val="center"/>
            <w:hideMark/>
          </w:tcPr>
          <w:p w14:paraId="66D214D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w:t>
            </w:r>
          </w:p>
        </w:tc>
        <w:tc>
          <w:tcPr>
            <w:tcW w:w="1046" w:type="dxa"/>
            <w:tcBorders>
              <w:top w:val="nil"/>
              <w:left w:val="nil"/>
              <w:bottom w:val="double" w:sz="6" w:space="0" w:color="auto"/>
              <w:right w:val="nil"/>
            </w:tcBorders>
            <w:shd w:val="clear" w:color="auto" w:fill="auto"/>
            <w:vAlign w:val="center"/>
            <w:hideMark/>
          </w:tcPr>
          <w:p w14:paraId="24768933"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136.6</w:t>
            </w:r>
          </w:p>
        </w:tc>
        <w:tc>
          <w:tcPr>
            <w:tcW w:w="1067" w:type="dxa"/>
            <w:tcBorders>
              <w:top w:val="nil"/>
              <w:left w:val="nil"/>
              <w:bottom w:val="double" w:sz="6" w:space="0" w:color="auto"/>
              <w:right w:val="nil"/>
            </w:tcBorders>
            <w:shd w:val="clear" w:color="auto" w:fill="auto"/>
            <w:vAlign w:val="center"/>
            <w:hideMark/>
          </w:tcPr>
          <w:p w14:paraId="727A1E20"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w:t>
            </w:r>
          </w:p>
        </w:tc>
        <w:tc>
          <w:tcPr>
            <w:tcW w:w="1046" w:type="dxa"/>
            <w:tcBorders>
              <w:top w:val="nil"/>
              <w:left w:val="nil"/>
              <w:bottom w:val="double" w:sz="6" w:space="0" w:color="auto"/>
              <w:right w:val="nil"/>
            </w:tcBorders>
            <w:shd w:val="clear" w:color="auto" w:fill="auto"/>
            <w:vAlign w:val="center"/>
            <w:hideMark/>
          </w:tcPr>
          <w:p w14:paraId="51E29F1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w:t>
            </w:r>
          </w:p>
        </w:tc>
      </w:tr>
    </w:tbl>
    <w:p w14:paraId="1E872789" w14:textId="77777777" w:rsidR="00D037CF" w:rsidRPr="00D037CF" w:rsidRDefault="00D037CF" w:rsidP="00D037CF">
      <w:pPr>
        <w:spacing w:before="120"/>
        <w:rPr>
          <w:sz w:val="16"/>
        </w:rPr>
      </w:pPr>
      <w:r w:rsidRPr="00D037CF">
        <w:rPr>
          <w:sz w:val="16"/>
        </w:rPr>
        <w:t>Աղբյուրը՝ ՀՀ ՖՆ հաշվարկներ և կանխատեսումներ</w:t>
      </w:r>
    </w:p>
    <w:p w14:paraId="42046BF1" w14:textId="77777777" w:rsidR="00D037CF" w:rsidRPr="001D13B6" w:rsidRDefault="00D037CF" w:rsidP="00D037CF">
      <w:pPr>
        <w:tabs>
          <w:tab w:val="left" w:pos="2011"/>
        </w:tabs>
        <w:rPr>
          <w:color w:val="FF0000"/>
        </w:rPr>
      </w:pPr>
    </w:p>
    <w:p w14:paraId="3EADC6BB" w14:textId="77777777" w:rsidR="00D037CF" w:rsidRPr="001D13B6" w:rsidRDefault="00D037CF" w:rsidP="00D037CF">
      <w:pPr>
        <w:spacing w:before="120" w:after="0" w:line="276" w:lineRule="auto"/>
        <w:ind w:firstLine="0"/>
      </w:pPr>
      <w:r w:rsidRPr="001D13B6">
        <w:t>ՀՀ կառավարությունը պարտքի և կանխիկ հոսքերի կառավարման գործիքների (հետգնումներ, փոխանակումներ, ՀՀ կենտրոնական բանկում միջոցների ավանդադրում և այլն) կիրառմամբ վերահսկում է վերաֆինանսավորման հետ կապված ռիսկերը:</w:t>
      </w:r>
    </w:p>
    <w:p w14:paraId="2BADC708" w14:textId="77777777" w:rsidR="00D037CF" w:rsidRPr="001D13B6" w:rsidRDefault="00D037CF" w:rsidP="00D037CF">
      <w:pPr>
        <w:pStyle w:val="aff"/>
        <w:keepNext w:val="0"/>
        <w:spacing w:before="120" w:after="0" w:line="276" w:lineRule="auto"/>
        <w:ind w:firstLine="0"/>
      </w:pPr>
      <w:r w:rsidRPr="001D13B6">
        <w:t>Տոկոսադրույքի ռիսկ</w:t>
      </w:r>
    </w:p>
    <w:p w14:paraId="44B9423E" w14:textId="77777777" w:rsidR="00D037CF" w:rsidRPr="001D13B6" w:rsidRDefault="00D037CF" w:rsidP="00D037CF">
      <w:pPr>
        <w:spacing w:before="120" w:after="0" w:line="276" w:lineRule="auto"/>
        <w:ind w:firstLine="0"/>
      </w:pPr>
      <w:r w:rsidRPr="001D13B6">
        <w:t>Տոկոսադրույքի հետ կապված ռիսկերը արժանի են մեծ ուշադրության, քանի որ շուկայական պայմաններով ներգրավվող փոխառու միջոցների կշիռը գնալով աճում է: Տոկոսադրույքի ռիսկի կառավարման նպա</w:t>
      </w:r>
      <w:r w:rsidRPr="001D13B6">
        <w:softHyphen/>
        <w:t>տակն է ապահովել կառավարության պարտքի այն</w:t>
      </w:r>
      <w:r w:rsidRPr="001D13B6">
        <w:softHyphen/>
        <w:t>պիսի կառուցվածք, որի դեպքում ֆինան</w:t>
      </w:r>
      <w:r w:rsidRPr="001D13B6">
        <w:softHyphen/>
        <w:t>սական շուկա</w:t>
      </w:r>
      <w:r w:rsidRPr="001D13B6">
        <w:softHyphen/>
        <w:t>ներում տոկոսադրույքների փոփոխու</w:t>
      </w:r>
      <w:r w:rsidRPr="001D13B6">
        <w:softHyphen/>
        <w:t>թյունը հնարավորինս քիչ ազդեցություն կունենա կանխա</w:t>
      </w:r>
      <w:r w:rsidRPr="001D13B6">
        <w:softHyphen/>
        <w:t>տես</w:t>
      </w:r>
      <w:r w:rsidRPr="001D13B6">
        <w:softHyphen/>
        <w:t>վող տոկոսագումարների մակարդակի վրա: ՀՀ կառավարության պարտքի պորտֆելի տոկոսադրույքի ռիսկի ցուցանիշները կանխա</w:t>
      </w:r>
      <w:r w:rsidRPr="001D13B6">
        <w:softHyphen/>
        <w:t>տես</w:t>
      </w:r>
      <w:r w:rsidRPr="001D13B6">
        <w:softHyphen/>
      </w:r>
      <w:r w:rsidRPr="001D13B6">
        <w:softHyphen/>
        <w:t xml:space="preserve">վող ժամանակահատվածում մնում են կառավարելի: </w:t>
      </w:r>
    </w:p>
    <w:p w14:paraId="122F112E" w14:textId="77777777" w:rsidR="00D037CF" w:rsidRPr="001D13B6" w:rsidRDefault="00D037CF" w:rsidP="00D037CF">
      <w:pPr>
        <w:spacing w:before="120" w:after="0" w:line="276" w:lineRule="auto"/>
        <w:ind w:firstLine="0"/>
      </w:pPr>
      <w:r w:rsidRPr="001D13B6">
        <w:t>Ֆիքսված տոկոսադրույքով պարտքի կշիռը 2027 թվականի տարեվերջին, ըստ կանխատեսման, կկազմի 81.3%: Ֆիքսված տոկոսադրույքով պարտքի կշիռը ուղենշային միջակայքում պահպանելուն կնպաստեն ինչպես կանխատեսվող ժամանակահատվածում ՀՀ կառավարության կողմից տեղաբաշխվող ֆիքսված տոկոսադրույքով պետական գանձապետական պարտատոմսերը, այնպես էլ արտաքին ֆինանսական շուկաներում տոկոսադրույքների հնարավոր նվազմանը զուգահեռ՝ ֆիքսված տոկոսադրույքով արտաքին վարկերի ներգրավումը: Անհրաժեշտության դեպքում, տոկոսադրույքի ռիսկը կառավարելու նպատակով, արտաքին վարկատուների կողմից սահմանված ընթացա</w:t>
      </w:r>
      <w:r w:rsidRPr="001D13B6">
        <w:softHyphen/>
        <w:t>կարգերի համաձայն, կիրականացվի լողացող տոկոսադրույքով ներգրավված վարկերի տոկոսադրույքի ֆիքսում:</w:t>
      </w:r>
    </w:p>
    <w:p w14:paraId="32B2BE38" w14:textId="77777777" w:rsidR="00D037CF" w:rsidRPr="001D13B6" w:rsidRDefault="00D037CF" w:rsidP="00D037CF">
      <w:pPr>
        <w:rPr>
          <w:color w:val="FF0000"/>
        </w:rPr>
      </w:pPr>
    </w:p>
    <w:p w14:paraId="0E384024" w14:textId="77777777" w:rsidR="00D037CF" w:rsidRPr="001D13B6" w:rsidRDefault="00D037CF" w:rsidP="00D037CF"/>
    <w:p w14:paraId="1F0157BB" w14:textId="77777777" w:rsidR="00D037CF" w:rsidRPr="001D13B6" w:rsidRDefault="00D037CF" w:rsidP="00D037CF">
      <w:pPr>
        <w:pStyle w:val="afd"/>
        <w:numPr>
          <w:ilvl w:val="0"/>
          <w:numId w:val="21"/>
        </w:numPr>
        <w:spacing w:before="0" w:after="0"/>
        <w:ind w:left="1276" w:hanging="1276"/>
      </w:pPr>
      <w:r w:rsidRPr="001D13B6">
        <w:t xml:space="preserve">ՀՀ կառավարության պարտքի կառուցվածքում ֆիքսված և լողացող տոկոսադրույքով վարկերի տեսակարար կշիռը 2023-2027 թվականներին </w:t>
      </w:r>
    </w:p>
    <w:p w14:paraId="118F72AF" w14:textId="77777777" w:rsidR="00D037CF" w:rsidRPr="001D13B6" w:rsidRDefault="00D037CF" w:rsidP="00D037CF">
      <w:pPr>
        <w:pStyle w:val="afd"/>
        <w:spacing w:before="0" w:after="0"/>
      </w:pPr>
      <w:r w:rsidRPr="001D13B6">
        <w:t>(տոկոս)</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0"/>
        <w:gridCol w:w="1065"/>
        <w:gridCol w:w="1376"/>
        <w:gridCol w:w="1009"/>
        <w:gridCol w:w="1051"/>
        <w:gridCol w:w="986"/>
        <w:gridCol w:w="1009"/>
      </w:tblGrid>
      <w:tr w:rsidR="00D037CF" w:rsidRPr="001D13B6" w14:paraId="425A9416" w14:textId="77777777" w:rsidTr="00D037CF">
        <w:trPr>
          <w:trHeight w:val="664"/>
          <w:tblHeader/>
          <w:jc w:val="center"/>
        </w:trPr>
        <w:tc>
          <w:tcPr>
            <w:tcW w:w="411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72F5D92" w14:textId="77777777" w:rsidR="00D037CF" w:rsidRPr="00D037CF" w:rsidRDefault="00D037CF" w:rsidP="00013648">
            <w:pPr>
              <w:spacing w:line="240" w:lineRule="auto"/>
              <w:ind w:firstLine="0"/>
              <w:jc w:val="center"/>
              <w:rPr>
                <w:sz w:val="20"/>
                <w:szCs w:val="20"/>
              </w:rPr>
            </w:pPr>
          </w:p>
        </w:tc>
        <w:tc>
          <w:tcPr>
            <w:tcW w:w="106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F257424"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2023 փաստ.</w:t>
            </w:r>
          </w:p>
        </w:tc>
        <w:tc>
          <w:tcPr>
            <w:tcW w:w="1376"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5AE57B91"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2024</w:t>
            </w:r>
          </w:p>
          <w:p w14:paraId="30C2587F" w14:textId="77777777" w:rsidR="00D037CF" w:rsidRPr="00D037CF" w:rsidRDefault="00D037CF" w:rsidP="00013648">
            <w:pPr>
              <w:spacing w:line="240" w:lineRule="auto"/>
              <w:ind w:firstLine="0"/>
              <w:jc w:val="center"/>
              <w:rPr>
                <w:sz w:val="20"/>
                <w:szCs w:val="20"/>
              </w:rPr>
            </w:pPr>
            <w:r w:rsidRPr="00D037CF">
              <w:rPr>
                <w:rFonts w:cs="Times New Roman"/>
                <w:sz w:val="20"/>
                <w:szCs w:val="20"/>
              </w:rPr>
              <w:t>պետբյուջեի ծրագիր</w:t>
            </w:r>
          </w:p>
        </w:tc>
        <w:tc>
          <w:tcPr>
            <w:tcW w:w="1009"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2AC9CC6A"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2024 կանխ.</w:t>
            </w:r>
          </w:p>
        </w:tc>
        <w:tc>
          <w:tcPr>
            <w:tcW w:w="1051"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AB3D4E7"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2025 կանխ.</w:t>
            </w:r>
          </w:p>
        </w:tc>
        <w:tc>
          <w:tcPr>
            <w:tcW w:w="98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FFB65F3"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2026 կանխ.</w:t>
            </w:r>
          </w:p>
        </w:tc>
        <w:tc>
          <w:tcPr>
            <w:tcW w:w="100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A8318C8"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2027 կանխ.</w:t>
            </w:r>
          </w:p>
        </w:tc>
      </w:tr>
      <w:tr w:rsidR="00D037CF" w:rsidRPr="001D13B6" w14:paraId="46E364B7" w14:textId="77777777" w:rsidTr="00013648">
        <w:trPr>
          <w:trHeight w:val="399"/>
          <w:jc w:val="center"/>
        </w:trPr>
        <w:tc>
          <w:tcPr>
            <w:tcW w:w="4110" w:type="dxa"/>
            <w:tcBorders>
              <w:top w:val="thinThickSmallGap" w:sz="24" w:space="0" w:color="auto"/>
              <w:left w:val="nil"/>
              <w:right w:val="nil"/>
            </w:tcBorders>
            <w:vAlign w:val="center"/>
          </w:tcPr>
          <w:p w14:paraId="27EFEB42" w14:textId="77777777" w:rsidR="00D037CF" w:rsidRPr="00D037CF" w:rsidRDefault="00D037CF" w:rsidP="00013648">
            <w:pPr>
              <w:spacing w:line="240" w:lineRule="auto"/>
              <w:ind w:firstLine="0"/>
              <w:jc w:val="left"/>
              <w:rPr>
                <w:sz w:val="20"/>
                <w:szCs w:val="20"/>
              </w:rPr>
            </w:pPr>
            <w:r w:rsidRPr="00D037CF">
              <w:rPr>
                <w:sz w:val="20"/>
                <w:szCs w:val="20"/>
              </w:rPr>
              <w:t>ՀՀ կառավարության պարտք,</w:t>
            </w:r>
          </w:p>
        </w:tc>
        <w:tc>
          <w:tcPr>
            <w:tcW w:w="1065" w:type="dxa"/>
            <w:tcBorders>
              <w:top w:val="thinThickSmallGap" w:sz="24" w:space="0" w:color="auto"/>
              <w:left w:val="nil"/>
              <w:right w:val="nil"/>
            </w:tcBorders>
            <w:vAlign w:val="center"/>
          </w:tcPr>
          <w:p w14:paraId="3A20FF98"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376" w:type="dxa"/>
            <w:tcBorders>
              <w:top w:val="thinThickSmallGap" w:sz="24" w:space="0" w:color="auto"/>
              <w:left w:val="nil"/>
              <w:right w:val="double" w:sz="4" w:space="0" w:color="auto"/>
            </w:tcBorders>
            <w:vAlign w:val="center"/>
          </w:tcPr>
          <w:p w14:paraId="1EFA4209"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top w:val="thinThickSmallGap" w:sz="24" w:space="0" w:color="auto"/>
              <w:left w:val="double" w:sz="4" w:space="0" w:color="auto"/>
              <w:right w:val="nil"/>
            </w:tcBorders>
            <w:vAlign w:val="center"/>
          </w:tcPr>
          <w:p w14:paraId="01C4289E"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51" w:type="dxa"/>
            <w:tcBorders>
              <w:top w:val="thinThickSmallGap" w:sz="24" w:space="0" w:color="auto"/>
              <w:left w:val="nil"/>
              <w:right w:val="nil"/>
            </w:tcBorders>
            <w:vAlign w:val="center"/>
          </w:tcPr>
          <w:p w14:paraId="5D56E49A"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986" w:type="dxa"/>
            <w:tcBorders>
              <w:top w:val="thinThickSmallGap" w:sz="24" w:space="0" w:color="auto"/>
              <w:left w:val="nil"/>
              <w:right w:val="nil"/>
            </w:tcBorders>
            <w:vAlign w:val="center"/>
          </w:tcPr>
          <w:p w14:paraId="698CD26B"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top w:val="thinThickSmallGap" w:sz="24" w:space="0" w:color="auto"/>
              <w:left w:val="nil"/>
              <w:right w:val="nil"/>
            </w:tcBorders>
            <w:vAlign w:val="center"/>
          </w:tcPr>
          <w:p w14:paraId="5A7147FC" w14:textId="77777777" w:rsidR="00D037CF" w:rsidRPr="00D037CF" w:rsidRDefault="00D037CF" w:rsidP="00013648">
            <w:pPr>
              <w:spacing w:line="240" w:lineRule="auto"/>
              <w:ind w:firstLine="0"/>
              <w:jc w:val="center"/>
              <w:rPr>
                <w:sz w:val="20"/>
                <w:szCs w:val="20"/>
              </w:rPr>
            </w:pPr>
            <w:r w:rsidRPr="00D037CF">
              <w:rPr>
                <w:sz w:val="20"/>
                <w:szCs w:val="20"/>
              </w:rPr>
              <w:t>100.0</w:t>
            </w:r>
          </w:p>
        </w:tc>
      </w:tr>
      <w:tr w:rsidR="00D037CF" w:rsidRPr="001D13B6" w14:paraId="075E9714" w14:textId="77777777" w:rsidTr="00013648">
        <w:trPr>
          <w:trHeight w:val="306"/>
          <w:jc w:val="center"/>
        </w:trPr>
        <w:tc>
          <w:tcPr>
            <w:tcW w:w="4110" w:type="dxa"/>
            <w:tcBorders>
              <w:left w:val="nil"/>
              <w:right w:val="nil"/>
            </w:tcBorders>
            <w:vAlign w:val="center"/>
          </w:tcPr>
          <w:p w14:paraId="1C9B95FA" w14:textId="77777777" w:rsidR="00D037CF" w:rsidRPr="00D037CF" w:rsidRDefault="00D037CF" w:rsidP="00013648">
            <w:pPr>
              <w:spacing w:line="240" w:lineRule="auto"/>
              <w:ind w:firstLine="0"/>
              <w:jc w:val="center"/>
              <w:rPr>
                <w:sz w:val="20"/>
                <w:szCs w:val="20"/>
              </w:rPr>
            </w:pPr>
            <w:r w:rsidRPr="00D037CF">
              <w:rPr>
                <w:sz w:val="20"/>
                <w:szCs w:val="20"/>
              </w:rPr>
              <w:t>այդ թվում</w:t>
            </w:r>
          </w:p>
        </w:tc>
        <w:tc>
          <w:tcPr>
            <w:tcW w:w="1065" w:type="dxa"/>
            <w:tcBorders>
              <w:left w:val="nil"/>
              <w:right w:val="nil"/>
            </w:tcBorders>
          </w:tcPr>
          <w:p w14:paraId="17D554F7" w14:textId="77777777" w:rsidR="00D037CF" w:rsidRPr="00D037CF" w:rsidRDefault="00D037CF" w:rsidP="00013648">
            <w:pPr>
              <w:spacing w:line="240" w:lineRule="auto"/>
              <w:ind w:firstLine="0"/>
              <w:jc w:val="center"/>
              <w:rPr>
                <w:sz w:val="20"/>
                <w:szCs w:val="20"/>
              </w:rPr>
            </w:pPr>
          </w:p>
        </w:tc>
        <w:tc>
          <w:tcPr>
            <w:tcW w:w="1376" w:type="dxa"/>
            <w:tcBorders>
              <w:left w:val="nil"/>
              <w:right w:val="double" w:sz="4" w:space="0" w:color="auto"/>
            </w:tcBorders>
            <w:vAlign w:val="center"/>
          </w:tcPr>
          <w:p w14:paraId="6E294398" w14:textId="77777777" w:rsidR="00D037CF" w:rsidRPr="00D037CF" w:rsidRDefault="00D037CF" w:rsidP="00013648">
            <w:pPr>
              <w:spacing w:line="240" w:lineRule="auto"/>
              <w:ind w:firstLine="0"/>
              <w:jc w:val="center"/>
              <w:rPr>
                <w:sz w:val="20"/>
                <w:szCs w:val="20"/>
              </w:rPr>
            </w:pPr>
          </w:p>
        </w:tc>
        <w:tc>
          <w:tcPr>
            <w:tcW w:w="1009" w:type="dxa"/>
            <w:tcBorders>
              <w:left w:val="double" w:sz="4" w:space="0" w:color="auto"/>
              <w:right w:val="nil"/>
            </w:tcBorders>
            <w:vAlign w:val="center"/>
          </w:tcPr>
          <w:p w14:paraId="40132371" w14:textId="77777777" w:rsidR="00D037CF" w:rsidRPr="00D037CF" w:rsidRDefault="00D037CF" w:rsidP="00013648">
            <w:pPr>
              <w:spacing w:line="240" w:lineRule="auto"/>
              <w:ind w:firstLine="0"/>
              <w:jc w:val="center"/>
              <w:rPr>
                <w:sz w:val="20"/>
                <w:szCs w:val="20"/>
              </w:rPr>
            </w:pPr>
          </w:p>
        </w:tc>
        <w:tc>
          <w:tcPr>
            <w:tcW w:w="1051" w:type="dxa"/>
            <w:tcBorders>
              <w:left w:val="nil"/>
              <w:right w:val="nil"/>
            </w:tcBorders>
            <w:vAlign w:val="center"/>
          </w:tcPr>
          <w:p w14:paraId="39437E64" w14:textId="77777777" w:rsidR="00D037CF" w:rsidRPr="00D037CF" w:rsidRDefault="00D037CF" w:rsidP="00013648">
            <w:pPr>
              <w:spacing w:line="240" w:lineRule="auto"/>
              <w:ind w:firstLine="0"/>
              <w:jc w:val="center"/>
              <w:rPr>
                <w:sz w:val="20"/>
                <w:szCs w:val="20"/>
              </w:rPr>
            </w:pPr>
          </w:p>
        </w:tc>
        <w:tc>
          <w:tcPr>
            <w:tcW w:w="986" w:type="dxa"/>
            <w:tcBorders>
              <w:left w:val="nil"/>
              <w:right w:val="nil"/>
            </w:tcBorders>
            <w:vAlign w:val="center"/>
          </w:tcPr>
          <w:p w14:paraId="6D54A216" w14:textId="77777777" w:rsidR="00D037CF" w:rsidRPr="00D037CF" w:rsidRDefault="00D037CF" w:rsidP="00013648">
            <w:pPr>
              <w:spacing w:line="240" w:lineRule="auto"/>
              <w:ind w:firstLine="0"/>
              <w:jc w:val="center"/>
              <w:rPr>
                <w:sz w:val="20"/>
                <w:szCs w:val="20"/>
              </w:rPr>
            </w:pPr>
          </w:p>
        </w:tc>
        <w:tc>
          <w:tcPr>
            <w:tcW w:w="1009" w:type="dxa"/>
            <w:tcBorders>
              <w:left w:val="nil"/>
              <w:right w:val="nil"/>
            </w:tcBorders>
            <w:vAlign w:val="center"/>
          </w:tcPr>
          <w:p w14:paraId="62DB0513" w14:textId="77777777" w:rsidR="00D037CF" w:rsidRPr="00D037CF" w:rsidRDefault="00D037CF" w:rsidP="00013648">
            <w:pPr>
              <w:spacing w:line="240" w:lineRule="auto"/>
              <w:ind w:firstLine="0"/>
              <w:jc w:val="center"/>
              <w:rPr>
                <w:sz w:val="20"/>
                <w:szCs w:val="20"/>
              </w:rPr>
            </w:pPr>
          </w:p>
        </w:tc>
      </w:tr>
      <w:tr w:rsidR="00D037CF" w:rsidRPr="001D13B6" w14:paraId="2E796DED" w14:textId="77777777" w:rsidTr="00013648">
        <w:trPr>
          <w:trHeight w:val="306"/>
          <w:jc w:val="center"/>
        </w:trPr>
        <w:tc>
          <w:tcPr>
            <w:tcW w:w="4110" w:type="dxa"/>
            <w:tcBorders>
              <w:left w:val="nil"/>
              <w:right w:val="nil"/>
            </w:tcBorders>
            <w:vAlign w:val="center"/>
          </w:tcPr>
          <w:p w14:paraId="52D68054" w14:textId="77777777" w:rsidR="00D037CF" w:rsidRPr="00D037CF" w:rsidRDefault="00D037CF" w:rsidP="00013648">
            <w:pPr>
              <w:spacing w:line="240" w:lineRule="auto"/>
              <w:ind w:left="558" w:firstLine="0"/>
              <w:jc w:val="left"/>
              <w:rPr>
                <w:sz w:val="20"/>
                <w:szCs w:val="20"/>
              </w:rPr>
            </w:pPr>
            <w:r w:rsidRPr="00D037CF">
              <w:rPr>
                <w:sz w:val="20"/>
                <w:szCs w:val="20"/>
              </w:rPr>
              <w:t>Ֆիքսված տոկոսադրույքով</w:t>
            </w:r>
          </w:p>
        </w:tc>
        <w:tc>
          <w:tcPr>
            <w:tcW w:w="1065" w:type="dxa"/>
            <w:tcBorders>
              <w:left w:val="nil"/>
              <w:right w:val="nil"/>
            </w:tcBorders>
          </w:tcPr>
          <w:p w14:paraId="0A05FAD9" w14:textId="77777777" w:rsidR="00D037CF" w:rsidRPr="00D037CF" w:rsidRDefault="00D037CF" w:rsidP="00013648">
            <w:pPr>
              <w:spacing w:line="240" w:lineRule="auto"/>
              <w:ind w:firstLine="0"/>
              <w:jc w:val="center"/>
              <w:rPr>
                <w:sz w:val="20"/>
                <w:szCs w:val="20"/>
              </w:rPr>
            </w:pPr>
            <w:r w:rsidRPr="00D037CF">
              <w:rPr>
                <w:sz w:val="20"/>
                <w:szCs w:val="20"/>
              </w:rPr>
              <w:t>84.1</w:t>
            </w:r>
          </w:p>
        </w:tc>
        <w:tc>
          <w:tcPr>
            <w:tcW w:w="1376" w:type="dxa"/>
            <w:tcBorders>
              <w:left w:val="nil"/>
              <w:right w:val="double" w:sz="4" w:space="0" w:color="auto"/>
            </w:tcBorders>
          </w:tcPr>
          <w:p w14:paraId="227512A0" w14:textId="77777777" w:rsidR="00D037CF" w:rsidRPr="00D037CF" w:rsidRDefault="00D037CF" w:rsidP="00013648">
            <w:pPr>
              <w:spacing w:line="240" w:lineRule="auto"/>
              <w:ind w:firstLine="0"/>
              <w:jc w:val="center"/>
              <w:rPr>
                <w:sz w:val="20"/>
                <w:szCs w:val="20"/>
              </w:rPr>
            </w:pPr>
            <w:r w:rsidRPr="00D037CF">
              <w:rPr>
                <w:sz w:val="20"/>
                <w:szCs w:val="20"/>
              </w:rPr>
              <w:t>82.0</w:t>
            </w:r>
          </w:p>
        </w:tc>
        <w:tc>
          <w:tcPr>
            <w:tcW w:w="1009" w:type="dxa"/>
            <w:tcBorders>
              <w:left w:val="double" w:sz="4" w:space="0" w:color="auto"/>
              <w:right w:val="nil"/>
            </w:tcBorders>
          </w:tcPr>
          <w:p w14:paraId="00585C05" w14:textId="77777777" w:rsidR="00D037CF" w:rsidRPr="00D037CF" w:rsidRDefault="00D037CF" w:rsidP="00013648">
            <w:pPr>
              <w:spacing w:line="240" w:lineRule="auto"/>
              <w:ind w:firstLine="0"/>
              <w:jc w:val="center"/>
              <w:rPr>
                <w:sz w:val="20"/>
                <w:szCs w:val="20"/>
              </w:rPr>
            </w:pPr>
            <w:r w:rsidRPr="00D037CF">
              <w:rPr>
                <w:sz w:val="20"/>
                <w:szCs w:val="20"/>
              </w:rPr>
              <w:t>83.2</w:t>
            </w:r>
          </w:p>
        </w:tc>
        <w:tc>
          <w:tcPr>
            <w:tcW w:w="1051" w:type="dxa"/>
            <w:tcBorders>
              <w:left w:val="nil"/>
              <w:right w:val="nil"/>
            </w:tcBorders>
          </w:tcPr>
          <w:p w14:paraId="58CEE1C3" w14:textId="77777777" w:rsidR="00D037CF" w:rsidRPr="00D037CF" w:rsidRDefault="00D037CF" w:rsidP="00013648">
            <w:pPr>
              <w:spacing w:line="240" w:lineRule="auto"/>
              <w:ind w:firstLine="0"/>
              <w:jc w:val="center"/>
              <w:rPr>
                <w:sz w:val="20"/>
                <w:szCs w:val="20"/>
              </w:rPr>
            </w:pPr>
            <w:r w:rsidRPr="00D037CF">
              <w:rPr>
                <w:sz w:val="20"/>
                <w:szCs w:val="20"/>
              </w:rPr>
              <w:t>82.7</w:t>
            </w:r>
          </w:p>
        </w:tc>
        <w:tc>
          <w:tcPr>
            <w:tcW w:w="986" w:type="dxa"/>
            <w:tcBorders>
              <w:left w:val="nil"/>
              <w:right w:val="nil"/>
            </w:tcBorders>
          </w:tcPr>
          <w:p w14:paraId="13B7EDA8" w14:textId="77777777" w:rsidR="00D037CF" w:rsidRPr="00D037CF" w:rsidRDefault="00D037CF" w:rsidP="00013648">
            <w:pPr>
              <w:spacing w:line="240" w:lineRule="auto"/>
              <w:ind w:firstLine="0"/>
              <w:jc w:val="center"/>
              <w:rPr>
                <w:sz w:val="20"/>
                <w:szCs w:val="20"/>
              </w:rPr>
            </w:pPr>
            <w:r w:rsidRPr="00D037CF">
              <w:rPr>
                <w:sz w:val="20"/>
                <w:szCs w:val="20"/>
              </w:rPr>
              <w:t>81.0</w:t>
            </w:r>
          </w:p>
        </w:tc>
        <w:tc>
          <w:tcPr>
            <w:tcW w:w="1009" w:type="dxa"/>
            <w:tcBorders>
              <w:left w:val="nil"/>
              <w:right w:val="nil"/>
            </w:tcBorders>
          </w:tcPr>
          <w:p w14:paraId="1224F28B" w14:textId="77777777" w:rsidR="00D037CF" w:rsidRPr="00D037CF" w:rsidRDefault="00D037CF" w:rsidP="00013648">
            <w:pPr>
              <w:spacing w:line="240" w:lineRule="auto"/>
              <w:ind w:firstLine="0"/>
              <w:jc w:val="center"/>
              <w:rPr>
                <w:sz w:val="20"/>
                <w:szCs w:val="20"/>
              </w:rPr>
            </w:pPr>
            <w:r w:rsidRPr="00D037CF">
              <w:rPr>
                <w:sz w:val="20"/>
                <w:szCs w:val="20"/>
              </w:rPr>
              <w:t>81.3</w:t>
            </w:r>
          </w:p>
        </w:tc>
      </w:tr>
      <w:tr w:rsidR="00D037CF" w:rsidRPr="001D13B6" w14:paraId="4390F0CF" w14:textId="77777777" w:rsidTr="00013648">
        <w:trPr>
          <w:trHeight w:val="320"/>
          <w:jc w:val="center"/>
        </w:trPr>
        <w:tc>
          <w:tcPr>
            <w:tcW w:w="4110" w:type="dxa"/>
            <w:tcBorders>
              <w:left w:val="nil"/>
              <w:right w:val="nil"/>
            </w:tcBorders>
            <w:vAlign w:val="center"/>
          </w:tcPr>
          <w:p w14:paraId="037AF61E" w14:textId="77777777" w:rsidR="00D037CF" w:rsidRPr="00D037CF" w:rsidRDefault="00D037CF" w:rsidP="00013648">
            <w:pPr>
              <w:spacing w:line="240" w:lineRule="auto"/>
              <w:ind w:left="558" w:firstLine="0"/>
              <w:jc w:val="left"/>
              <w:rPr>
                <w:sz w:val="20"/>
                <w:szCs w:val="20"/>
              </w:rPr>
            </w:pPr>
            <w:r w:rsidRPr="00D037CF">
              <w:rPr>
                <w:sz w:val="20"/>
                <w:szCs w:val="20"/>
              </w:rPr>
              <w:t>Լողացող տոկոսադրույքով</w:t>
            </w:r>
          </w:p>
        </w:tc>
        <w:tc>
          <w:tcPr>
            <w:tcW w:w="1065" w:type="dxa"/>
            <w:tcBorders>
              <w:left w:val="nil"/>
              <w:right w:val="nil"/>
            </w:tcBorders>
          </w:tcPr>
          <w:p w14:paraId="1F408849" w14:textId="77777777" w:rsidR="00D037CF" w:rsidRPr="00D037CF" w:rsidRDefault="00D037CF" w:rsidP="00013648">
            <w:pPr>
              <w:spacing w:line="240" w:lineRule="auto"/>
              <w:ind w:firstLine="0"/>
              <w:jc w:val="center"/>
              <w:rPr>
                <w:sz w:val="20"/>
                <w:szCs w:val="20"/>
              </w:rPr>
            </w:pPr>
            <w:r w:rsidRPr="00D037CF">
              <w:rPr>
                <w:sz w:val="20"/>
                <w:szCs w:val="20"/>
              </w:rPr>
              <w:t>15.9</w:t>
            </w:r>
          </w:p>
        </w:tc>
        <w:tc>
          <w:tcPr>
            <w:tcW w:w="1376" w:type="dxa"/>
            <w:tcBorders>
              <w:left w:val="nil"/>
              <w:right w:val="double" w:sz="4" w:space="0" w:color="auto"/>
            </w:tcBorders>
          </w:tcPr>
          <w:p w14:paraId="09B91285" w14:textId="77777777" w:rsidR="00D037CF" w:rsidRPr="00D037CF" w:rsidRDefault="00D037CF" w:rsidP="00013648">
            <w:pPr>
              <w:spacing w:line="240" w:lineRule="auto"/>
              <w:ind w:firstLine="0"/>
              <w:jc w:val="center"/>
              <w:rPr>
                <w:sz w:val="20"/>
                <w:szCs w:val="20"/>
              </w:rPr>
            </w:pPr>
            <w:r w:rsidRPr="00D037CF">
              <w:rPr>
                <w:sz w:val="20"/>
                <w:szCs w:val="20"/>
              </w:rPr>
              <w:t>18.0</w:t>
            </w:r>
          </w:p>
        </w:tc>
        <w:tc>
          <w:tcPr>
            <w:tcW w:w="1009" w:type="dxa"/>
            <w:tcBorders>
              <w:left w:val="double" w:sz="4" w:space="0" w:color="auto"/>
              <w:right w:val="nil"/>
            </w:tcBorders>
          </w:tcPr>
          <w:p w14:paraId="1C081C0F" w14:textId="77777777" w:rsidR="00D037CF" w:rsidRPr="00D037CF" w:rsidRDefault="00D037CF" w:rsidP="00013648">
            <w:pPr>
              <w:spacing w:line="240" w:lineRule="auto"/>
              <w:ind w:firstLine="0"/>
              <w:jc w:val="center"/>
              <w:rPr>
                <w:sz w:val="20"/>
                <w:szCs w:val="20"/>
              </w:rPr>
            </w:pPr>
            <w:r w:rsidRPr="00D037CF">
              <w:rPr>
                <w:sz w:val="20"/>
                <w:szCs w:val="20"/>
              </w:rPr>
              <w:t>17.6</w:t>
            </w:r>
          </w:p>
        </w:tc>
        <w:tc>
          <w:tcPr>
            <w:tcW w:w="1051" w:type="dxa"/>
            <w:tcBorders>
              <w:left w:val="nil"/>
              <w:right w:val="nil"/>
            </w:tcBorders>
          </w:tcPr>
          <w:p w14:paraId="7E293793" w14:textId="77777777" w:rsidR="00D037CF" w:rsidRPr="00D037CF" w:rsidRDefault="00D037CF" w:rsidP="00013648">
            <w:pPr>
              <w:spacing w:line="240" w:lineRule="auto"/>
              <w:ind w:firstLine="0"/>
              <w:jc w:val="center"/>
              <w:rPr>
                <w:sz w:val="20"/>
                <w:szCs w:val="20"/>
              </w:rPr>
            </w:pPr>
            <w:r w:rsidRPr="00D037CF">
              <w:rPr>
                <w:sz w:val="20"/>
                <w:szCs w:val="20"/>
              </w:rPr>
              <w:t>18.6</w:t>
            </w:r>
          </w:p>
        </w:tc>
        <w:tc>
          <w:tcPr>
            <w:tcW w:w="986" w:type="dxa"/>
            <w:tcBorders>
              <w:left w:val="nil"/>
              <w:right w:val="nil"/>
            </w:tcBorders>
          </w:tcPr>
          <w:p w14:paraId="0E45F13A" w14:textId="77777777" w:rsidR="00D037CF" w:rsidRPr="00D037CF" w:rsidRDefault="00D037CF" w:rsidP="00013648">
            <w:pPr>
              <w:spacing w:line="240" w:lineRule="auto"/>
              <w:ind w:firstLine="0"/>
              <w:jc w:val="center"/>
              <w:rPr>
                <w:sz w:val="20"/>
                <w:szCs w:val="20"/>
              </w:rPr>
            </w:pPr>
            <w:r w:rsidRPr="00D037CF">
              <w:rPr>
                <w:sz w:val="20"/>
                <w:szCs w:val="20"/>
              </w:rPr>
              <w:t>19.4</w:t>
            </w:r>
          </w:p>
        </w:tc>
        <w:tc>
          <w:tcPr>
            <w:tcW w:w="1009" w:type="dxa"/>
            <w:tcBorders>
              <w:left w:val="nil"/>
              <w:right w:val="nil"/>
            </w:tcBorders>
          </w:tcPr>
          <w:p w14:paraId="2C43E40F" w14:textId="77777777" w:rsidR="00D037CF" w:rsidRPr="00D037CF" w:rsidRDefault="00D037CF" w:rsidP="00013648">
            <w:pPr>
              <w:spacing w:line="240" w:lineRule="auto"/>
              <w:ind w:firstLine="0"/>
              <w:jc w:val="center"/>
              <w:rPr>
                <w:sz w:val="20"/>
                <w:szCs w:val="20"/>
              </w:rPr>
            </w:pPr>
            <w:r w:rsidRPr="00D037CF">
              <w:rPr>
                <w:sz w:val="20"/>
                <w:szCs w:val="20"/>
              </w:rPr>
              <w:t>19.7</w:t>
            </w:r>
          </w:p>
        </w:tc>
      </w:tr>
      <w:tr w:rsidR="00D037CF" w:rsidRPr="001D13B6" w14:paraId="222EA077" w14:textId="77777777" w:rsidTr="00013648">
        <w:trPr>
          <w:trHeight w:val="375"/>
          <w:jc w:val="center"/>
        </w:trPr>
        <w:tc>
          <w:tcPr>
            <w:tcW w:w="4110" w:type="dxa"/>
            <w:tcBorders>
              <w:left w:val="nil"/>
              <w:right w:val="nil"/>
            </w:tcBorders>
            <w:vAlign w:val="center"/>
          </w:tcPr>
          <w:p w14:paraId="2A731B7A" w14:textId="77777777" w:rsidR="00D037CF" w:rsidRPr="00D037CF" w:rsidRDefault="00D037CF" w:rsidP="00013648">
            <w:pPr>
              <w:spacing w:line="240" w:lineRule="auto"/>
              <w:ind w:firstLine="0"/>
              <w:jc w:val="left"/>
              <w:rPr>
                <w:sz w:val="20"/>
                <w:szCs w:val="20"/>
              </w:rPr>
            </w:pPr>
            <w:r w:rsidRPr="00D037CF">
              <w:rPr>
                <w:sz w:val="20"/>
                <w:szCs w:val="20"/>
              </w:rPr>
              <w:t>ՀՀ կառավարության արտարժութային պարտք</w:t>
            </w:r>
          </w:p>
        </w:tc>
        <w:tc>
          <w:tcPr>
            <w:tcW w:w="1065" w:type="dxa"/>
            <w:tcBorders>
              <w:left w:val="nil"/>
              <w:right w:val="nil"/>
            </w:tcBorders>
            <w:vAlign w:val="center"/>
          </w:tcPr>
          <w:p w14:paraId="1CF1EED7"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376" w:type="dxa"/>
            <w:tcBorders>
              <w:left w:val="nil"/>
              <w:right w:val="double" w:sz="4" w:space="0" w:color="auto"/>
            </w:tcBorders>
            <w:vAlign w:val="center"/>
          </w:tcPr>
          <w:p w14:paraId="08646794"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double" w:sz="4" w:space="0" w:color="auto"/>
              <w:right w:val="nil"/>
            </w:tcBorders>
            <w:vAlign w:val="center"/>
          </w:tcPr>
          <w:p w14:paraId="0EE65875"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51" w:type="dxa"/>
            <w:tcBorders>
              <w:left w:val="nil"/>
              <w:right w:val="nil"/>
            </w:tcBorders>
            <w:vAlign w:val="center"/>
          </w:tcPr>
          <w:p w14:paraId="35DC431E"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986" w:type="dxa"/>
            <w:tcBorders>
              <w:left w:val="nil"/>
              <w:right w:val="nil"/>
            </w:tcBorders>
            <w:vAlign w:val="center"/>
          </w:tcPr>
          <w:p w14:paraId="5E079BBB"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nil"/>
              <w:right w:val="nil"/>
            </w:tcBorders>
            <w:vAlign w:val="center"/>
          </w:tcPr>
          <w:p w14:paraId="64EE39DC" w14:textId="77777777" w:rsidR="00D037CF" w:rsidRPr="00D037CF" w:rsidRDefault="00D037CF" w:rsidP="00013648">
            <w:pPr>
              <w:spacing w:line="240" w:lineRule="auto"/>
              <w:ind w:firstLine="0"/>
              <w:jc w:val="center"/>
              <w:rPr>
                <w:sz w:val="20"/>
                <w:szCs w:val="20"/>
              </w:rPr>
            </w:pPr>
            <w:r w:rsidRPr="00D037CF">
              <w:rPr>
                <w:sz w:val="20"/>
                <w:szCs w:val="20"/>
              </w:rPr>
              <w:t>100.0</w:t>
            </w:r>
          </w:p>
        </w:tc>
      </w:tr>
      <w:tr w:rsidR="00D037CF" w:rsidRPr="001D13B6" w14:paraId="50DD921F" w14:textId="77777777" w:rsidTr="00013648">
        <w:trPr>
          <w:trHeight w:val="306"/>
          <w:jc w:val="center"/>
        </w:trPr>
        <w:tc>
          <w:tcPr>
            <w:tcW w:w="4110" w:type="dxa"/>
            <w:tcBorders>
              <w:left w:val="nil"/>
              <w:right w:val="nil"/>
            </w:tcBorders>
            <w:vAlign w:val="center"/>
          </w:tcPr>
          <w:p w14:paraId="71CEAC26" w14:textId="77777777" w:rsidR="00D037CF" w:rsidRPr="00D037CF" w:rsidRDefault="00D037CF" w:rsidP="00013648">
            <w:pPr>
              <w:spacing w:line="240" w:lineRule="auto"/>
              <w:ind w:firstLine="0"/>
              <w:jc w:val="center"/>
              <w:rPr>
                <w:sz w:val="20"/>
                <w:szCs w:val="20"/>
              </w:rPr>
            </w:pPr>
            <w:r w:rsidRPr="00D037CF">
              <w:rPr>
                <w:sz w:val="20"/>
                <w:szCs w:val="20"/>
              </w:rPr>
              <w:t>այդ թվում</w:t>
            </w:r>
          </w:p>
        </w:tc>
        <w:tc>
          <w:tcPr>
            <w:tcW w:w="1065" w:type="dxa"/>
            <w:tcBorders>
              <w:left w:val="nil"/>
              <w:right w:val="nil"/>
            </w:tcBorders>
          </w:tcPr>
          <w:p w14:paraId="20AF337B" w14:textId="77777777" w:rsidR="00D037CF" w:rsidRPr="00D037CF" w:rsidRDefault="00D037CF" w:rsidP="00013648">
            <w:pPr>
              <w:spacing w:line="240" w:lineRule="auto"/>
              <w:ind w:firstLine="0"/>
              <w:jc w:val="center"/>
              <w:rPr>
                <w:sz w:val="20"/>
                <w:szCs w:val="20"/>
              </w:rPr>
            </w:pPr>
          </w:p>
        </w:tc>
        <w:tc>
          <w:tcPr>
            <w:tcW w:w="1376" w:type="dxa"/>
            <w:tcBorders>
              <w:left w:val="nil"/>
              <w:right w:val="double" w:sz="4" w:space="0" w:color="auto"/>
            </w:tcBorders>
            <w:vAlign w:val="center"/>
          </w:tcPr>
          <w:p w14:paraId="7C56AAF4" w14:textId="77777777" w:rsidR="00D037CF" w:rsidRPr="00D037CF" w:rsidRDefault="00D037CF" w:rsidP="00013648">
            <w:pPr>
              <w:spacing w:line="240" w:lineRule="auto"/>
              <w:ind w:firstLine="0"/>
              <w:jc w:val="center"/>
              <w:rPr>
                <w:sz w:val="20"/>
                <w:szCs w:val="20"/>
              </w:rPr>
            </w:pPr>
          </w:p>
        </w:tc>
        <w:tc>
          <w:tcPr>
            <w:tcW w:w="1009" w:type="dxa"/>
            <w:tcBorders>
              <w:left w:val="double" w:sz="4" w:space="0" w:color="auto"/>
              <w:right w:val="nil"/>
            </w:tcBorders>
            <w:vAlign w:val="center"/>
          </w:tcPr>
          <w:p w14:paraId="23E95877" w14:textId="77777777" w:rsidR="00D037CF" w:rsidRPr="00D037CF" w:rsidRDefault="00D037CF" w:rsidP="00013648">
            <w:pPr>
              <w:spacing w:line="240" w:lineRule="auto"/>
              <w:ind w:firstLine="0"/>
              <w:jc w:val="center"/>
              <w:rPr>
                <w:sz w:val="20"/>
                <w:szCs w:val="20"/>
              </w:rPr>
            </w:pPr>
          </w:p>
        </w:tc>
        <w:tc>
          <w:tcPr>
            <w:tcW w:w="1051" w:type="dxa"/>
            <w:tcBorders>
              <w:left w:val="nil"/>
              <w:right w:val="nil"/>
            </w:tcBorders>
            <w:vAlign w:val="center"/>
          </w:tcPr>
          <w:p w14:paraId="49F39097" w14:textId="77777777" w:rsidR="00D037CF" w:rsidRPr="00D037CF" w:rsidRDefault="00D037CF" w:rsidP="00013648">
            <w:pPr>
              <w:spacing w:line="240" w:lineRule="auto"/>
              <w:ind w:firstLine="0"/>
              <w:jc w:val="center"/>
              <w:rPr>
                <w:sz w:val="20"/>
                <w:szCs w:val="20"/>
              </w:rPr>
            </w:pPr>
          </w:p>
        </w:tc>
        <w:tc>
          <w:tcPr>
            <w:tcW w:w="986" w:type="dxa"/>
            <w:tcBorders>
              <w:left w:val="nil"/>
              <w:right w:val="nil"/>
            </w:tcBorders>
            <w:vAlign w:val="center"/>
          </w:tcPr>
          <w:p w14:paraId="1FFED603" w14:textId="77777777" w:rsidR="00D037CF" w:rsidRPr="00D037CF" w:rsidRDefault="00D037CF" w:rsidP="00013648">
            <w:pPr>
              <w:spacing w:line="240" w:lineRule="auto"/>
              <w:ind w:firstLine="0"/>
              <w:jc w:val="center"/>
              <w:rPr>
                <w:sz w:val="20"/>
                <w:szCs w:val="20"/>
              </w:rPr>
            </w:pPr>
          </w:p>
        </w:tc>
        <w:tc>
          <w:tcPr>
            <w:tcW w:w="1009" w:type="dxa"/>
            <w:tcBorders>
              <w:left w:val="nil"/>
              <w:right w:val="nil"/>
            </w:tcBorders>
            <w:vAlign w:val="center"/>
          </w:tcPr>
          <w:p w14:paraId="0E64ECD0" w14:textId="77777777" w:rsidR="00D037CF" w:rsidRPr="00D037CF" w:rsidRDefault="00D037CF" w:rsidP="00013648">
            <w:pPr>
              <w:spacing w:line="240" w:lineRule="auto"/>
              <w:ind w:firstLine="0"/>
              <w:jc w:val="center"/>
              <w:rPr>
                <w:sz w:val="20"/>
                <w:szCs w:val="20"/>
              </w:rPr>
            </w:pPr>
          </w:p>
        </w:tc>
      </w:tr>
      <w:tr w:rsidR="00D037CF" w:rsidRPr="001D13B6" w14:paraId="0D84E3DA" w14:textId="77777777" w:rsidTr="00013648">
        <w:trPr>
          <w:trHeight w:val="306"/>
          <w:jc w:val="center"/>
        </w:trPr>
        <w:tc>
          <w:tcPr>
            <w:tcW w:w="4110" w:type="dxa"/>
            <w:tcBorders>
              <w:left w:val="nil"/>
              <w:right w:val="nil"/>
            </w:tcBorders>
            <w:vAlign w:val="center"/>
          </w:tcPr>
          <w:p w14:paraId="5F3B8FB1" w14:textId="77777777" w:rsidR="00D037CF" w:rsidRPr="00D037CF" w:rsidRDefault="00D037CF" w:rsidP="00013648">
            <w:pPr>
              <w:spacing w:line="240" w:lineRule="auto"/>
              <w:ind w:left="558" w:firstLine="0"/>
              <w:jc w:val="left"/>
              <w:rPr>
                <w:sz w:val="20"/>
                <w:szCs w:val="20"/>
              </w:rPr>
            </w:pPr>
            <w:r w:rsidRPr="00D037CF">
              <w:rPr>
                <w:sz w:val="20"/>
                <w:szCs w:val="20"/>
              </w:rPr>
              <w:t>Ֆիքսված տոկոսադրույքով</w:t>
            </w:r>
          </w:p>
        </w:tc>
        <w:tc>
          <w:tcPr>
            <w:tcW w:w="1065" w:type="dxa"/>
            <w:tcBorders>
              <w:left w:val="nil"/>
              <w:right w:val="nil"/>
            </w:tcBorders>
          </w:tcPr>
          <w:p w14:paraId="0B0470BD" w14:textId="77777777" w:rsidR="00D037CF" w:rsidRPr="00D037CF" w:rsidRDefault="00D037CF" w:rsidP="00013648">
            <w:pPr>
              <w:spacing w:line="240" w:lineRule="auto"/>
              <w:ind w:firstLine="0"/>
              <w:jc w:val="center"/>
              <w:rPr>
                <w:sz w:val="20"/>
                <w:szCs w:val="20"/>
              </w:rPr>
            </w:pPr>
            <w:r w:rsidRPr="00D037CF">
              <w:rPr>
                <w:sz w:val="20"/>
                <w:szCs w:val="20"/>
              </w:rPr>
              <w:t>70.5</w:t>
            </w:r>
          </w:p>
        </w:tc>
        <w:tc>
          <w:tcPr>
            <w:tcW w:w="1376" w:type="dxa"/>
            <w:tcBorders>
              <w:left w:val="nil"/>
              <w:right w:val="double" w:sz="4" w:space="0" w:color="auto"/>
            </w:tcBorders>
            <w:vAlign w:val="center"/>
          </w:tcPr>
          <w:p w14:paraId="4465CAAB" w14:textId="77777777" w:rsidR="00D037CF" w:rsidRPr="00D037CF" w:rsidRDefault="00D037CF" w:rsidP="00013648">
            <w:pPr>
              <w:spacing w:line="240" w:lineRule="auto"/>
              <w:ind w:firstLine="0"/>
              <w:jc w:val="center"/>
              <w:rPr>
                <w:sz w:val="20"/>
                <w:szCs w:val="20"/>
              </w:rPr>
            </w:pPr>
            <w:r w:rsidRPr="00D037CF">
              <w:rPr>
                <w:sz w:val="20"/>
                <w:szCs w:val="20"/>
              </w:rPr>
              <w:t>67.7</w:t>
            </w:r>
          </w:p>
        </w:tc>
        <w:tc>
          <w:tcPr>
            <w:tcW w:w="1009" w:type="dxa"/>
            <w:tcBorders>
              <w:left w:val="double" w:sz="4" w:space="0" w:color="auto"/>
              <w:right w:val="nil"/>
            </w:tcBorders>
            <w:vAlign w:val="center"/>
          </w:tcPr>
          <w:p w14:paraId="101CCAF4" w14:textId="77777777" w:rsidR="00D037CF" w:rsidRPr="00D037CF" w:rsidRDefault="00D037CF" w:rsidP="00013648">
            <w:pPr>
              <w:spacing w:line="240" w:lineRule="auto"/>
              <w:ind w:firstLine="0"/>
              <w:jc w:val="center"/>
              <w:rPr>
                <w:sz w:val="20"/>
                <w:szCs w:val="20"/>
              </w:rPr>
            </w:pPr>
            <w:r w:rsidRPr="00D037CF">
              <w:rPr>
                <w:sz w:val="20"/>
                <w:szCs w:val="20"/>
              </w:rPr>
              <w:t>66.2</w:t>
            </w:r>
          </w:p>
        </w:tc>
        <w:tc>
          <w:tcPr>
            <w:tcW w:w="1051" w:type="dxa"/>
            <w:tcBorders>
              <w:left w:val="nil"/>
              <w:right w:val="nil"/>
            </w:tcBorders>
            <w:vAlign w:val="center"/>
          </w:tcPr>
          <w:p w14:paraId="3BA2BB66" w14:textId="77777777" w:rsidR="00D037CF" w:rsidRPr="00D037CF" w:rsidRDefault="00D037CF" w:rsidP="00013648">
            <w:pPr>
              <w:spacing w:line="240" w:lineRule="auto"/>
              <w:ind w:firstLine="0"/>
              <w:jc w:val="center"/>
              <w:rPr>
                <w:sz w:val="20"/>
                <w:szCs w:val="20"/>
              </w:rPr>
            </w:pPr>
            <w:r w:rsidRPr="00D037CF">
              <w:rPr>
                <w:sz w:val="20"/>
                <w:szCs w:val="20"/>
              </w:rPr>
              <w:t>67.6</w:t>
            </w:r>
          </w:p>
        </w:tc>
        <w:tc>
          <w:tcPr>
            <w:tcW w:w="986" w:type="dxa"/>
            <w:tcBorders>
              <w:left w:val="nil"/>
              <w:right w:val="nil"/>
            </w:tcBorders>
            <w:vAlign w:val="center"/>
          </w:tcPr>
          <w:p w14:paraId="6CFBF9D7" w14:textId="77777777" w:rsidR="00D037CF" w:rsidRPr="00D037CF" w:rsidRDefault="00D037CF" w:rsidP="00013648">
            <w:pPr>
              <w:spacing w:line="240" w:lineRule="auto"/>
              <w:ind w:firstLine="0"/>
              <w:jc w:val="center"/>
              <w:rPr>
                <w:sz w:val="20"/>
                <w:szCs w:val="20"/>
              </w:rPr>
            </w:pPr>
            <w:r w:rsidRPr="00D037CF">
              <w:rPr>
                <w:sz w:val="20"/>
                <w:szCs w:val="20"/>
              </w:rPr>
              <w:t>65.4</w:t>
            </w:r>
          </w:p>
        </w:tc>
        <w:tc>
          <w:tcPr>
            <w:tcW w:w="1009" w:type="dxa"/>
            <w:tcBorders>
              <w:left w:val="nil"/>
              <w:right w:val="nil"/>
            </w:tcBorders>
            <w:vAlign w:val="center"/>
          </w:tcPr>
          <w:p w14:paraId="19AC9961" w14:textId="77777777" w:rsidR="00D037CF" w:rsidRPr="00D037CF" w:rsidRDefault="00D037CF" w:rsidP="00013648">
            <w:pPr>
              <w:spacing w:line="240" w:lineRule="auto"/>
              <w:ind w:firstLine="0"/>
              <w:jc w:val="center"/>
              <w:rPr>
                <w:sz w:val="20"/>
                <w:szCs w:val="20"/>
              </w:rPr>
            </w:pPr>
            <w:r w:rsidRPr="00D037CF">
              <w:rPr>
                <w:sz w:val="20"/>
                <w:szCs w:val="20"/>
              </w:rPr>
              <w:t>66.8</w:t>
            </w:r>
          </w:p>
        </w:tc>
      </w:tr>
      <w:tr w:rsidR="00D037CF" w:rsidRPr="001D13B6" w14:paraId="18F54B97" w14:textId="77777777" w:rsidTr="00013648">
        <w:trPr>
          <w:trHeight w:val="308"/>
          <w:jc w:val="center"/>
        </w:trPr>
        <w:tc>
          <w:tcPr>
            <w:tcW w:w="4110" w:type="dxa"/>
            <w:tcBorders>
              <w:left w:val="nil"/>
              <w:right w:val="nil"/>
            </w:tcBorders>
            <w:vAlign w:val="center"/>
          </w:tcPr>
          <w:p w14:paraId="3E25CBDB" w14:textId="77777777" w:rsidR="00D037CF" w:rsidRPr="00D037CF" w:rsidRDefault="00D037CF" w:rsidP="00013648">
            <w:pPr>
              <w:spacing w:line="240" w:lineRule="auto"/>
              <w:ind w:left="558" w:firstLine="0"/>
              <w:jc w:val="left"/>
              <w:rPr>
                <w:sz w:val="20"/>
                <w:szCs w:val="20"/>
              </w:rPr>
            </w:pPr>
            <w:r w:rsidRPr="00D037CF">
              <w:rPr>
                <w:sz w:val="20"/>
                <w:szCs w:val="20"/>
              </w:rPr>
              <w:t>Լողացող տոկոսադրույքով</w:t>
            </w:r>
          </w:p>
        </w:tc>
        <w:tc>
          <w:tcPr>
            <w:tcW w:w="1065" w:type="dxa"/>
            <w:tcBorders>
              <w:left w:val="nil"/>
              <w:right w:val="nil"/>
            </w:tcBorders>
          </w:tcPr>
          <w:p w14:paraId="4B0A6A19" w14:textId="77777777" w:rsidR="00D037CF" w:rsidRPr="00D037CF" w:rsidRDefault="00D037CF" w:rsidP="00013648">
            <w:pPr>
              <w:spacing w:line="240" w:lineRule="auto"/>
              <w:ind w:firstLine="0"/>
              <w:jc w:val="center"/>
              <w:rPr>
                <w:sz w:val="20"/>
                <w:szCs w:val="20"/>
              </w:rPr>
            </w:pPr>
            <w:r w:rsidRPr="00D037CF">
              <w:rPr>
                <w:sz w:val="20"/>
                <w:szCs w:val="20"/>
              </w:rPr>
              <w:t>29.5</w:t>
            </w:r>
          </w:p>
        </w:tc>
        <w:tc>
          <w:tcPr>
            <w:tcW w:w="1376" w:type="dxa"/>
            <w:tcBorders>
              <w:left w:val="nil"/>
              <w:right w:val="double" w:sz="4" w:space="0" w:color="auto"/>
            </w:tcBorders>
            <w:vAlign w:val="center"/>
          </w:tcPr>
          <w:p w14:paraId="69951D3E" w14:textId="77777777" w:rsidR="00D037CF" w:rsidRPr="00D037CF" w:rsidRDefault="00D037CF" w:rsidP="00013648">
            <w:pPr>
              <w:spacing w:line="240" w:lineRule="auto"/>
              <w:ind w:firstLine="0"/>
              <w:jc w:val="center"/>
              <w:rPr>
                <w:sz w:val="20"/>
                <w:szCs w:val="20"/>
              </w:rPr>
            </w:pPr>
            <w:r w:rsidRPr="00D037CF">
              <w:rPr>
                <w:sz w:val="20"/>
                <w:szCs w:val="20"/>
              </w:rPr>
              <w:t>32.3</w:t>
            </w:r>
          </w:p>
        </w:tc>
        <w:tc>
          <w:tcPr>
            <w:tcW w:w="1009" w:type="dxa"/>
            <w:tcBorders>
              <w:left w:val="double" w:sz="4" w:space="0" w:color="auto"/>
              <w:right w:val="nil"/>
            </w:tcBorders>
            <w:vAlign w:val="center"/>
          </w:tcPr>
          <w:p w14:paraId="188FBD66" w14:textId="77777777" w:rsidR="00D037CF" w:rsidRPr="00D037CF" w:rsidRDefault="00D037CF" w:rsidP="00013648">
            <w:pPr>
              <w:spacing w:line="240" w:lineRule="auto"/>
              <w:ind w:firstLine="0"/>
              <w:jc w:val="center"/>
              <w:rPr>
                <w:sz w:val="20"/>
                <w:szCs w:val="20"/>
              </w:rPr>
            </w:pPr>
            <w:r w:rsidRPr="00D037CF">
              <w:rPr>
                <w:sz w:val="20"/>
                <w:szCs w:val="20"/>
              </w:rPr>
              <w:t>33.8</w:t>
            </w:r>
          </w:p>
        </w:tc>
        <w:tc>
          <w:tcPr>
            <w:tcW w:w="1051" w:type="dxa"/>
            <w:tcBorders>
              <w:left w:val="nil"/>
              <w:right w:val="nil"/>
            </w:tcBorders>
            <w:vAlign w:val="center"/>
          </w:tcPr>
          <w:p w14:paraId="5D61BEC8" w14:textId="77777777" w:rsidR="00D037CF" w:rsidRPr="00D037CF" w:rsidRDefault="00D037CF" w:rsidP="00013648">
            <w:pPr>
              <w:spacing w:line="240" w:lineRule="auto"/>
              <w:ind w:firstLine="0"/>
              <w:jc w:val="center"/>
              <w:rPr>
                <w:sz w:val="20"/>
                <w:szCs w:val="20"/>
              </w:rPr>
            </w:pPr>
            <w:r w:rsidRPr="00D037CF">
              <w:rPr>
                <w:sz w:val="20"/>
                <w:szCs w:val="20"/>
              </w:rPr>
              <w:t>32.4</w:t>
            </w:r>
          </w:p>
        </w:tc>
        <w:tc>
          <w:tcPr>
            <w:tcW w:w="986" w:type="dxa"/>
            <w:tcBorders>
              <w:left w:val="nil"/>
              <w:right w:val="nil"/>
            </w:tcBorders>
            <w:vAlign w:val="center"/>
          </w:tcPr>
          <w:p w14:paraId="09E0D880" w14:textId="77777777" w:rsidR="00D037CF" w:rsidRPr="00D037CF" w:rsidRDefault="00D037CF" w:rsidP="00013648">
            <w:pPr>
              <w:spacing w:line="240" w:lineRule="auto"/>
              <w:ind w:firstLine="0"/>
              <w:jc w:val="center"/>
              <w:rPr>
                <w:sz w:val="20"/>
                <w:szCs w:val="20"/>
              </w:rPr>
            </w:pPr>
            <w:r w:rsidRPr="00D037CF">
              <w:rPr>
                <w:sz w:val="20"/>
                <w:szCs w:val="20"/>
              </w:rPr>
              <w:t>34.6</w:t>
            </w:r>
          </w:p>
        </w:tc>
        <w:tc>
          <w:tcPr>
            <w:tcW w:w="1009" w:type="dxa"/>
            <w:tcBorders>
              <w:left w:val="nil"/>
              <w:right w:val="nil"/>
            </w:tcBorders>
            <w:vAlign w:val="center"/>
          </w:tcPr>
          <w:p w14:paraId="11DE51D0" w14:textId="77777777" w:rsidR="00D037CF" w:rsidRPr="00D037CF" w:rsidRDefault="00D037CF" w:rsidP="00013648">
            <w:pPr>
              <w:spacing w:line="240" w:lineRule="auto"/>
              <w:ind w:firstLine="0"/>
              <w:jc w:val="center"/>
              <w:rPr>
                <w:sz w:val="20"/>
                <w:szCs w:val="20"/>
              </w:rPr>
            </w:pPr>
            <w:r w:rsidRPr="00D037CF">
              <w:rPr>
                <w:sz w:val="20"/>
                <w:szCs w:val="20"/>
              </w:rPr>
              <w:t>33.2</w:t>
            </w:r>
          </w:p>
        </w:tc>
      </w:tr>
      <w:tr w:rsidR="00D037CF" w:rsidRPr="001D13B6" w14:paraId="2D7DE014" w14:textId="77777777" w:rsidTr="00013648">
        <w:trPr>
          <w:trHeight w:val="394"/>
          <w:jc w:val="center"/>
        </w:trPr>
        <w:tc>
          <w:tcPr>
            <w:tcW w:w="4110" w:type="dxa"/>
            <w:tcBorders>
              <w:left w:val="nil"/>
              <w:right w:val="nil"/>
            </w:tcBorders>
            <w:vAlign w:val="center"/>
          </w:tcPr>
          <w:p w14:paraId="1561AE15" w14:textId="77777777" w:rsidR="00D037CF" w:rsidRPr="00D037CF" w:rsidRDefault="00D037CF" w:rsidP="00013648">
            <w:pPr>
              <w:spacing w:line="240" w:lineRule="auto"/>
              <w:ind w:firstLine="0"/>
              <w:jc w:val="left"/>
              <w:rPr>
                <w:sz w:val="20"/>
                <w:szCs w:val="20"/>
              </w:rPr>
            </w:pPr>
            <w:r w:rsidRPr="00D037CF">
              <w:rPr>
                <w:sz w:val="20"/>
                <w:szCs w:val="20"/>
              </w:rPr>
              <w:t>ՀՀ կառավարության դրամային պարտք</w:t>
            </w:r>
          </w:p>
        </w:tc>
        <w:tc>
          <w:tcPr>
            <w:tcW w:w="1065" w:type="dxa"/>
            <w:tcBorders>
              <w:left w:val="nil"/>
              <w:right w:val="nil"/>
            </w:tcBorders>
            <w:vAlign w:val="center"/>
          </w:tcPr>
          <w:p w14:paraId="5F602761"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376" w:type="dxa"/>
            <w:tcBorders>
              <w:left w:val="nil"/>
              <w:right w:val="double" w:sz="4" w:space="0" w:color="auto"/>
            </w:tcBorders>
            <w:vAlign w:val="center"/>
          </w:tcPr>
          <w:p w14:paraId="06D3A695"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double" w:sz="4" w:space="0" w:color="auto"/>
              <w:right w:val="nil"/>
            </w:tcBorders>
            <w:vAlign w:val="center"/>
          </w:tcPr>
          <w:p w14:paraId="00AA5CA7"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51" w:type="dxa"/>
            <w:tcBorders>
              <w:left w:val="nil"/>
              <w:right w:val="nil"/>
            </w:tcBorders>
            <w:vAlign w:val="center"/>
          </w:tcPr>
          <w:p w14:paraId="22B120D3"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986" w:type="dxa"/>
            <w:tcBorders>
              <w:left w:val="nil"/>
              <w:right w:val="nil"/>
            </w:tcBorders>
            <w:vAlign w:val="center"/>
          </w:tcPr>
          <w:p w14:paraId="0045144D"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nil"/>
              <w:right w:val="nil"/>
            </w:tcBorders>
            <w:vAlign w:val="center"/>
          </w:tcPr>
          <w:p w14:paraId="75287E30" w14:textId="77777777" w:rsidR="00D037CF" w:rsidRPr="00D037CF" w:rsidRDefault="00D037CF" w:rsidP="00013648">
            <w:pPr>
              <w:spacing w:line="240" w:lineRule="auto"/>
              <w:ind w:firstLine="0"/>
              <w:jc w:val="center"/>
              <w:rPr>
                <w:sz w:val="20"/>
                <w:szCs w:val="20"/>
              </w:rPr>
            </w:pPr>
            <w:r w:rsidRPr="00D037CF">
              <w:rPr>
                <w:sz w:val="20"/>
                <w:szCs w:val="20"/>
              </w:rPr>
              <w:t>100.0</w:t>
            </w:r>
          </w:p>
        </w:tc>
      </w:tr>
      <w:tr w:rsidR="00D037CF" w:rsidRPr="001D13B6" w14:paraId="5572DEC5" w14:textId="77777777" w:rsidTr="00013648">
        <w:trPr>
          <w:trHeight w:val="306"/>
          <w:jc w:val="center"/>
        </w:trPr>
        <w:tc>
          <w:tcPr>
            <w:tcW w:w="4110" w:type="dxa"/>
            <w:tcBorders>
              <w:left w:val="nil"/>
              <w:right w:val="nil"/>
            </w:tcBorders>
            <w:vAlign w:val="center"/>
          </w:tcPr>
          <w:p w14:paraId="510A276C" w14:textId="77777777" w:rsidR="00D037CF" w:rsidRPr="00D037CF" w:rsidRDefault="00D037CF" w:rsidP="00013648">
            <w:pPr>
              <w:spacing w:line="240" w:lineRule="auto"/>
              <w:ind w:firstLine="0"/>
              <w:jc w:val="center"/>
              <w:rPr>
                <w:sz w:val="20"/>
                <w:szCs w:val="20"/>
              </w:rPr>
            </w:pPr>
            <w:r w:rsidRPr="00D037CF">
              <w:rPr>
                <w:sz w:val="20"/>
                <w:szCs w:val="20"/>
              </w:rPr>
              <w:t>այդ թվում</w:t>
            </w:r>
          </w:p>
        </w:tc>
        <w:tc>
          <w:tcPr>
            <w:tcW w:w="1065" w:type="dxa"/>
            <w:tcBorders>
              <w:left w:val="nil"/>
              <w:right w:val="nil"/>
            </w:tcBorders>
          </w:tcPr>
          <w:p w14:paraId="0D973101" w14:textId="77777777" w:rsidR="00D037CF" w:rsidRPr="00D037CF" w:rsidRDefault="00D037CF" w:rsidP="00013648">
            <w:pPr>
              <w:spacing w:line="240" w:lineRule="auto"/>
              <w:ind w:firstLine="0"/>
              <w:jc w:val="center"/>
              <w:rPr>
                <w:sz w:val="20"/>
                <w:szCs w:val="20"/>
              </w:rPr>
            </w:pPr>
          </w:p>
        </w:tc>
        <w:tc>
          <w:tcPr>
            <w:tcW w:w="1376" w:type="dxa"/>
            <w:tcBorders>
              <w:left w:val="nil"/>
              <w:right w:val="double" w:sz="4" w:space="0" w:color="auto"/>
            </w:tcBorders>
            <w:vAlign w:val="center"/>
          </w:tcPr>
          <w:p w14:paraId="7C3FB3E0" w14:textId="77777777" w:rsidR="00D037CF" w:rsidRPr="00D037CF" w:rsidRDefault="00D037CF" w:rsidP="00013648">
            <w:pPr>
              <w:spacing w:line="240" w:lineRule="auto"/>
              <w:ind w:firstLine="0"/>
              <w:jc w:val="center"/>
              <w:rPr>
                <w:sz w:val="20"/>
                <w:szCs w:val="20"/>
              </w:rPr>
            </w:pPr>
          </w:p>
        </w:tc>
        <w:tc>
          <w:tcPr>
            <w:tcW w:w="1009" w:type="dxa"/>
            <w:tcBorders>
              <w:left w:val="double" w:sz="4" w:space="0" w:color="auto"/>
              <w:right w:val="nil"/>
            </w:tcBorders>
            <w:vAlign w:val="center"/>
          </w:tcPr>
          <w:p w14:paraId="32E48147" w14:textId="77777777" w:rsidR="00D037CF" w:rsidRPr="00D037CF" w:rsidRDefault="00D037CF" w:rsidP="00013648">
            <w:pPr>
              <w:spacing w:line="240" w:lineRule="auto"/>
              <w:ind w:firstLine="0"/>
              <w:jc w:val="center"/>
              <w:rPr>
                <w:sz w:val="20"/>
                <w:szCs w:val="20"/>
              </w:rPr>
            </w:pPr>
          </w:p>
        </w:tc>
        <w:tc>
          <w:tcPr>
            <w:tcW w:w="1051" w:type="dxa"/>
            <w:tcBorders>
              <w:left w:val="nil"/>
              <w:right w:val="nil"/>
            </w:tcBorders>
            <w:vAlign w:val="center"/>
          </w:tcPr>
          <w:p w14:paraId="03403FA9" w14:textId="77777777" w:rsidR="00D037CF" w:rsidRPr="00D037CF" w:rsidRDefault="00D037CF" w:rsidP="00013648">
            <w:pPr>
              <w:spacing w:line="240" w:lineRule="auto"/>
              <w:ind w:firstLine="0"/>
              <w:jc w:val="center"/>
              <w:rPr>
                <w:sz w:val="20"/>
                <w:szCs w:val="20"/>
              </w:rPr>
            </w:pPr>
          </w:p>
        </w:tc>
        <w:tc>
          <w:tcPr>
            <w:tcW w:w="986" w:type="dxa"/>
            <w:tcBorders>
              <w:left w:val="nil"/>
              <w:right w:val="nil"/>
            </w:tcBorders>
            <w:vAlign w:val="center"/>
          </w:tcPr>
          <w:p w14:paraId="52D6F914" w14:textId="77777777" w:rsidR="00D037CF" w:rsidRPr="00D037CF" w:rsidRDefault="00D037CF" w:rsidP="00013648">
            <w:pPr>
              <w:spacing w:line="240" w:lineRule="auto"/>
              <w:ind w:firstLine="0"/>
              <w:jc w:val="center"/>
              <w:rPr>
                <w:sz w:val="20"/>
                <w:szCs w:val="20"/>
              </w:rPr>
            </w:pPr>
          </w:p>
        </w:tc>
        <w:tc>
          <w:tcPr>
            <w:tcW w:w="1009" w:type="dxa"/>
            <w:tcBorders>
              <w:left w:val="nil"/>
              <w:right w:val="nil"/>
            </w:tcBorders>
            <w:vAlign w:val="center"/>
          </w:tcPr>
          <w:p w14:paraId="1C1E676F" w14:textId="77777777" w:rsidR="00D037CF" w:rsidRPr="00D037CF" w:rsidRDefault="00D037CF" w:rsidP="00013648">
            <w:pPr>
              <w:spacing w:line="240" w:lineRule="auto"/>
              <w:ind w:firstLine="0"/>
              <w:jc w:val="center"/>
              <w:rPr>
                <w:sz w:val="20"/>
                <w:szCs w:val="20"/>
              </w:rPr>
            </w:pPr>
          </w:p>
        </w:tc>
      </w:tr>
      <w:tr w:rsidR="00D037CF" w:rsidRPr="001D13B6" w14:paraId="6951EC5A" w14:textId="77777777" w:rsidTr="00013648">
        <w:trPr>
          <w:trHeight w:val="187"/>
          <w:jc w:val="center"/>
        </w:trPr>
        <w:tc>
          <w:tcPr>
            <w:tcW w:w="4110" w:type="dxa"/>
            <w:tcBorders>
              <w:left w:val="nil"/>
              <w:right w:val="nil"/>
            </w:tcBorders>
            <w:vAlign w:val="center"/>
          </w:tcPr>
          <w:p w14:paraId="32D9166A" w14:textId="77777777" w:rsidR="00D037CF" w:rsidRPr="00D037CF" w:rsidRDefault="00D037CF" w:rsidP="00013648">
            <w:pPr>
              <w:spacing w:line="240" w:lineRule="auto"/>
              <w:ind w:left="558" w:firstLine="0"/>
              <w:jc w:val="left"/>
              <w:rPr>
                <w:sz w:val="20"/>
                <w:szCs w:val="20"/>
              </w:rPr>
            </w:pPr>
            <w:r w:rsidRPr="00D037CF">
              <w:rPr>
                <w:sz w:val="20"/>
                <w:szCs w:val="20"/>
              </w:rPr>
              <w:t>Ֆիքսված տոկոսադրույքով</w:t>
            </w:r>
          </w:p>
        </w:tc>
        <w:tc>
          <w:tcPr>
            <w:tcW w:w="1065" w:type="dxa"/>
            <w:tcBorders>
              <w:left w:val="nil"/>
              <w:right w:val="nil"/>
            </w:tcBorders>
            <w:vAlign w:val="center"/>
          </w:tcPr>
          <w:p w14:paraId="4D3DBB18"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376" w:type="dxa"/>
            <w:tcBorders>
              <w:left w:val="nil"/>
              <w:right w:val="double" w:sz="4" w:space="0" w:color="auto"/>
            </w:tcBorders>
            <w:vAlign w:val="center"/>
          </w:tcPr>
          <w:p w14:paraId="543F78B6"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double" w:sz="4" w:space="0" w:color="auto"/>
              <w:right w:val="nil"/>
            </w:tcBorders>
            <w:vAlign w:val="center"/>
          </w:tcPr>
          <w:p w14:paraId="2206B4A9"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51" w:type="dxa"/>
            <w:tcBorders>
              <w:left w:val="nil"/>
              <w:right w:val="nil"/>
            </w:tcBorders>
            <w:vAlign w:val="center"/>
          </w:tcPr>
          <w:p w14:paraId="764D895D"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986" w:type="dxa"/>
            <w:tcBorders>
              <w:left w:val="nil"/>
              <w:right w:val="nil"/>
            </w:tcBorders>
            <w:vAlign w:val="center"/>
          </w:tcPr>
          <w:p w14:paraId="179BAA0D" w14:textId="77777777" w:rsidR="00D037CF" w:rsidRPr="00D037CF" w:rsidRDefault="00D037CF" w:rsidP="00013648">
            <w:pPr>
              <w:spacing w:line="240" w:lineRule="auto"/>
              <w:ind w:firstLine="0"/>
              <w:jc w:val="center"/>
              <w:rPr>
                <w:sz w:val="20"/>
                <w:szCs w:val="20"/>
              </w:rPr>
            </w:pPr>
            <w:r w:rsidRPr="00D037CF">
              <w:rPr>
                <w:sz w:val="20"/>
                <w:szCs w:val="20"/>
              </w:rPr>
              <w:t>100.0</w:t>
            </w:r>
          </w:p>
        </w:tc>
        <w:tc>
          <w:tcPr>
            <w:tcW w:w="1009" w:type="dxa"/>
            <w:tcBorders>
              <w:left w:val="nil"/>
              <w:right w:val="nil"/>
            </w:tcBorders>
            <w:vAlign w:val="center"/>
          </w:tcPr>
          <w:p w14:paraId="49D7728A" w14:textId="77777777" w:rsidR="00D037CF" w:rsidRPr="00D037CF" w:rsidRDefault="00D037CF" w:rsidP="00013648">
            <w:pPr>
              <w:spacing w:line="240" w:lineRule="auto"/>
              <w:ind w:firstLine="0"/>
              <w:jc w:val="center"/>
              <w:rPr>
                <w:sz w:val="20"/>
                <w:szCs w:val="20"/>
              </w:rPr>
            </w:pPr>
            <w:r w:rsidRPr="00D037CF">
              <w:rPr>
                <w:sz w:val="20"/>
                <w:szCs w:val="20"/>
              </w:rPr>
              <w:t>100.0</w:t>
            </w:r>
          </w:p>
        </w:tc>
      </w:tr>
      <w:tr w:rsidR="00D037CF" w:rsidRPr="001D13B6" w14:paraId="7217B72F" w14:textId="77777777" w:rsidTr="00013648">
        <w:trPr>
          <w:trHeight w:val="320"/>
          <w:jc w:val="center"/>
        </w:trPr>
        <w:tc>
          <w:tcPr>
            <w:tcW w:w="4110" w:type="dxa"/>
            <w:tcBorders>
              <w:left w:val="nil"/>
              <w:bottom w:val="thickThinSmallGap" w:sz="24" w:space="0" w:color="auto"/>
              <w:right w:val="nil"/>
            </w:tcBorders>
            <w:vAlign w:val="center"/>
          </w:tcPr>
          <w:p w14:paraId="06E518D5" w14:textId="77777777" w:rsidR="00D037CF" w:rsidRPr="00D037CF" w:rsidRDefault="00D037CF" w:rsidP="00013648">
            <w:pPr>
              <w:spacing w:line="240" w:lineRule="auto"/>
              <w:ind w:left="558" w:firstLine="0"/>
              <w:jc w:val="left"/>
              <w:rPr>
                <w:sz w:val="20"/>
                <w:szCs w:val="20"/>
              </w:rPr>
            </w:pPr>
            <w:r w:rsidRPr="00D037CF">
              <w:rPr>
                <w:sz w:val="20"/>
                <w:szCs w:val="20"/>
              </w:rPr>
              <w:t>Լողացող տոկոսադրույքով</w:t>
            </w:r>
          </w:p>
        </w:tc>
        <w:tc>
          <w:tcPr>
            <w:tcW w:w="1065" w:type="dxa"/>
            <w:tcBorders>
              <w:left w:val="nil"/>
              <w:bottom w:val="thickThinSmallGap" w:sz="24" w:space="0" w:color="auto"/>
              <w:right w:val="nil"/>
            </w:tcBorders>
            <w:vAlign w:val="center"/>
          </w:tcPr>
          <w:p w14:paraId="1DF65895" w14:textId="77777777" w:rsidR="00D037CF" w:rsidRPr="00D037CF" w:rsidRDefault="00D037CF" w:rsidP="00013648">
            <w:pPr>
              <w:spacing w:line="240" w:lineRule="auto"/>
              <w:ind w:firstLine="0"/>
              <w:jc w:val="center"/>
              <w:rPr>
                <w:sz w:val="20"/>
                <w:szCs w:val="20"/>
              </w:rPr>
            </w:pPr>
            <w:r w:rsidRPr="00D037CF">
              <w:rPr>
                <w:sz w:val="20"/>
                <w:szCs w:val="20"/>
              </w:rPr>
              <w:t>0.0</w:t>
            </w:r>
          </w:p>
        </w:tc>
        <w:tc>
          <w:tcPr>
            <w:tcW w:w="1376" w:type="dxa"/>
            <w:tcBorders>
              <w:left w:val="nil"/>
              <w:bottom w:val="thickThinSmallGap" w:sz="24" w:space="0" w:color="auto"/>
              <w:right w:val="double" w:sz="4" w:space="0" w:color="auto"/>
            </w:tcBorders>
            <w:vAlign w:val="center"/>
          </w:tcPr>
          <w:p w14:paraId="0EB0FE42" w14:textId="77777777" w:rsidR="00D037CF" w:rsidRPr="00D037CF" w:rsidRDefault="00D037CF" w:rsidP="00013648">
            <w:pPr>
              <w:spacing w:line="240" w:lineRule="auto"/>
              <w:ind w:firstLine="0"/>
              <w:jc w:val="center"/>
              <w:rPr>
                <w:sz w:val="20"/>
                <w:szCs w:val="20"/>
              </w:rPr>
            </w:pPr>
            <w:r w:rsidRPr="00D037CF">
              <w:rPr>
                <w:sz w:val="20"/>
                <w:szCs w:val="20"/>
              </w:rPr>
              <w:t>0.0</w:t>
            </w:r>
          </w:p>
        </w:tc>
        <w:tc>
          <w:tcPr>
            <w:tcW w:w="1009" w:type="dxa"/>
            <w:tcBorders>
              <w:left w:val="double" w:sz="4" w:space="0" w:color="auto"/>
              <w:bottom w:val="thickThinSmallGap" w:sz="24" w:space="0" w:color="auto"/>
              <w:right w:val="nil"/>
            </w:tcBorders>
            <w:vAlign w:val="center"/>
          </w:tcPr>
          <w:p w14:paraId="3716F14F" w14:textId="77777777" w:rsidR="00D037CF" w:rsidRPr="00D037CF" w:rsidRDefault="00D037CF" w:rsidP="00013648">
            <w:pPr>
              <w:spacing w:line="240" w:lineRule="auto"/>
              <w:ind w:firstLine="0"/>
              <w:jc w:val="center"/>
              <w:rPr>
                <w:sz w:val="20"/>
                <w:szCs w:val="20"/>
              </w:rPr>
            </w:pPr>
            <w:r w:rsidRPr="00D037CF">
              <w:rPr>
                <w:sz w:val="20"/>
                <w:szCs w:val="20"/>
              </w:rPr>
              <w:t>0.0</w:t>
            </w:r>
          </w:p>
        </w:tc>
        <w:tc>
          <w:tcPr>
            <w:tcW w:w="1051" w:type="dxa"/>
            <w:tcBorders>
              <w:left w:val="nil"/>
              <w:bottom w:val="thickThinSmallGap" w:sz="24" w:space="0" w:color="auto"/>
              <w:right w:val="nil"/>
            </w:tcBorders>
            <w:vAlign w:val="center"/>
          </w:tcPr>
          <w:p w14:paraId="06343A8C" w14:textId="77777777" w:rsidR="00D037CF" w:rsidRPr="00D037CF" w:rsidRDefault="00D037CF" w:rsidP="00013648">
            <w:pPr>
              <w:spacing w:line="240" w:lineRule="auto"/>
              <w:ind w:firstLine="0"/>
              <w:jc w:val="center"/>
              <w:rPr>
                <w:sz w:val="20"/>
                <w:szCs w:val="20"/>
              </w:rPr>
            </w:pPr>
            <w:r w:rsidRPr="00D037CF">
              <w:rPr>
                <w:sz w:val="20"/>
                <w:szCs w:val="20"/>
              </w:rPr>
              <w:t>0.0</w:t>
            </w:r>
          </w:p>
        </w:tc>
        <w:tc>
          <w:tcPr>
            <w:tcW w:w="986" w:type="dxa"/>
            <w:tcBorders>
              <w:left w:val="nil"/>
              <w:bottom w:val="thickThinSmallGap" w:sz="24" w:space="0" w:color="auto"/>
              <w:right w:val="nil"/>
            </w:tcBorders>
            <w:vAlign w:val="center"/>
          </w:tcPr>
          <w:p w14:paraId="1CB6ADFB" w14:textId="77777777" w:rsidR="00D037CF" w:rsidRPr="00D037CF" w:rsidRDefault="00D037CF" w:rsidP="00013648">
            <w:pPr>
              <w:spacing w:line="240" w:lineRule="auto"/>
              <w:ind w:firstLine="0"/>
              <w:jc w:val="center"/>
              <w:rPr>
                <w:sz w:val="20"/>
                <w:szCs w:val="20"/>
              </w:rPr>
            </w:pPr>
            <w:r w:rsidRPr="00D037CF">
              <w:rPr>
                <w:sz w:val="20"/>
                <w:szCs w:val="20"/>
              </w:rPr>
              <w:t>0.0</w:t>
            </w:r>
          </w:p>
        </w:tc>
        <w:tc>
          <w:tcPr>
            <w:tcW w:w="1009" w:type="dxa"/>
            <w:tcBorders>
              <w:left w:val="nil"/>
              <w:bottom w:val="thickThinSmallGap" w:sz="24" w:space="0" w:color="auto"/>
              <w:right w:val="nil"/>
            </w:tcBorders>
            <w:vAlign w:val="center"/>
          </w:tcPr>
          <w:p w14:paraId="273D349A" w14:textId="77777777" w:rsidR="00D037CF" w:rsidRPr="00D037CF" w:rsidRDefault="00D037CF" w:rsidP="00013648">
            <w:pPr>
              <w:spacing w:line="240" w:lineRule="auto"/>
              <w:ind w:firstLine="0"/>
              <w:jc w:val="center"/>
              <w:rPr>
                <w:sz w:val="20"/>
                <w:szCs w:val="20"/>
              </w:rPr>
            </w:pPr>
            <w:r w:rsidRPr="00D037CF">
              <w:rPr>
                <w:sz w:val="20"/>
                <w:szCs w:val="20"/>
              </w:rPr>
              <w:t>0.0</w:t>
            </w:r>
          </w:p>
        </w:tc>
      </w:tr>
    </w:tbl>
    <w:p w14:paraId="12DB6B9B" w14:textId="77777777" w:rsidR="00D037CF" w:rsidRPr="00D037CF" w:rsidRDefault="00D037CF" w:rsidP="00D037CF">
      <w:pPr>
        <w:spacing w:before="120"/>
        <w:rPr>
          <w:sz w:val="16"/>
        </w:rPr>
      </w:pPr>
      <w:r w:rsidRPr="00D037CF">
        <w:rPr>
          <w:sz w:val="16"/>
        </w:rPr>
        <w:t>Աղբյուրը՝ ՀՀ ՖՆ հաշվարկներ և կանխատեսումներ</w:t>
      </w:r>
    </w:p>
    <w:p w14:paraId="06BBD195" w14:textId="77777777" w:rsidR="00D037CF" w:rsidRPr="001D13B6" w:rsidRDefault="00D037CF" w:rsidP="00D037CF">
      <w:pPr>
        <w:spacing w:before="120" w:after="0" w:line="276" w:lineRule="auto"/>
        <w:ind w:firstLine="0"/>
      </w:pPr>
      <w:r w:rsidRPr="001D13B6">
        <w:t>«ՀՀ կառավարության պարտքի մինչև վերաֆիքսում միջին ժամկետի» ցուցանիշը ժամանակահատվածի վերջում կկազմի 5.9 տարի, իսկ մեկ տարվա ընթացքում վերաֆիքսվող ՀՀ կառավարու</w:t>
      </w:r>
      <w:r w:rsidRPr="001D13B6">
        <w:softHyphen/>
        <w:t>թյան պարտքի մասնաբաժինը՝ 26.1%:</w:t>
      </w:r>
    </w:p>
    <w:p w14:paraId="6E640469" w14:textId="77777777" w:rsidR="00D037CF" w:rsidRPr="001D13B6" w:rsidRDefault="00D037CF" w:rsidP="00D037CF">
      <w:pPr>
        <w:pStyle w:val="afd"/>
        <w:numPr>
          <w:ilvl w:val="0"/>
          <w:numId w:val="21"/>
        </w:numPr>
        <w:ind w:left="1276" w:hanging="1276"/>
      </w:pPr>
      <w:r w:rsidRPr="001D13B6">
        <w:t xml:space="preserve">ՀՀ կառավարության պարտքի տոկոսադրույքի ռիսկի ցուցանիշները 2023-2027 թվականներին </w:t>
      </w:r>
    </w:p>
    <w:tbl>
      <w:tblPr>
        <w:tblpPr w:leftFromText="180" w:rightFromText="180" w:vertAnchor="text" w:horzAnchor="margin" w:tblpXSpec="center" w:tblpY="79"/>
        <w:tblW w:w="11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1059"/>
        <w:gridCol w:w="1128"/>
        <w:gridCol w:w="947"/>
        <w:gridCol w:w="895"/>
        <w:gridCol w:w="923"/>
        <w:gridCol w:w="923"/>
      </w:tblGrid>
      <w:tr w:rsidR="00D037CF" w:rsidRPr="001D13B6" w14:paraId="414B0198" w14:textId="77777777" w:rsidTr="00D037CF">
        <w:trPr>
          <w:trHeight w:val="578"/>
          <w:tblHeader/>
        </w:trPr>
        <w:tc>
          <w:tcPr>
            <w:tcW w:w="5211"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E0A34B2" w14:textId="77777777" w:rsidR="00D037CF" w:rsidRPr="00D037CF" w:rsidRDefault="00D037CF" w:rsidP="00013648">
            <w:pPr>
              <w:spacing w:line="240" w:lineRule="auto"/>
              <w:ind w:left="567" w:firstLine="0"/>
              <w:jc w:val="center"/>
              <w:rPr>
                <w:sz w:val="20"/>
                <w:szCs w:val="20"/>
              </w:rPr>
            </w:pPr>
          </w:p>
        </w:tc>
        <w:tc>
          <w:tcPr>
            <w:tcW w:w="105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8945094"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2023 փաստ.</w:t>
            </w:r>
          </w:p>
        </w:tc>
        <w:tc>
          <w:tcPr>
            <w:tcW w:w="1128"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CE41549"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2024</w:t>
            </w:r>
          </w:p>
          <w:p w14:paraId="45114AFD" w14:textId="77777777" w:rsidR="00D037CF" w:rsidRPr="00D037CF" w:rsidRDefault="00D037CF" w:rsidP="00013648">
            <w:pPr>
              <w:spacing w:line="240" w:lineRule="auto"/>
              <w:ind w:firstLine="0"/>
              <w:jc w:val="center"/>
              <w:rPr>
                <w:sz w:val="20"/>
                <w:szCs w:val="20"/>
              </w:rPr>
            </w:pPr>
            <w:r w:rsidRPr="00D037CF">
              <w:rPr>
                <w:rFonts w:cs="Times New Roman"/>
                <w:sz w:val="20"/>
                <w:szCs w:val="20"/>
              </w:rPr>
              <w:t>պետբյուջեի ծրագիր</w:t>
            </w:r>
          </w:p>
        </w:tc>
        <w:tc>
          <w:tcPr>
            <w:tcW w:w="94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376B1F6"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2024 կանխ.</w:t>
            </w:r>
          </w:p>
        </w:tc>
        <w:tc>
          <w:tcPr>
            <w:tcW w:w="89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B961358"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2025 կանխ.</w:t>
            </w:r>
          </w:p>
        </w:tc>
        <w:tc>
          <w:tcPr>
            <w:tcW w:w="92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770DCCE" w14:textId="77777777" w:rsidR="00D037CF" w:rsidRPr="00D037CF" w:rsidRDefault="00D037CF" w:rsidP="00013648">
            <w:pPr>
              <w:spacing w:line="240" w:lineRule="auto"/>
              <w:ind w:firstLine="0"/>
              <w:jc w:val="center"/>
              <w:rPr>
                <w:sz w:val="20"/>
                <w:szCs w:val="20"/>
              </w:rPr>
            </w:pPr>
            <w:r w:rsidRPr="00D037CF">
              <w:rPr>
                <w:rFonts w:cs="Times New Roman"/>
                <w:sz w:val="20"/>
                <w:szCs w:val="20"/>
              </w:rPr>
              <w:t>2026 կանխ.</w:t>
            </w:r>
          </w:p>
        </w:tc>
        <w:tc>
          <w:tcPr>
            <w:tcW w:w="92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FD38968" w14:textId="77777777" w:rsidR="00D037CF" w:rsidRPr="00D037CF" w:rsidRDefault="00D037CF" w:rsidP="00013648">
            <w:pPr>
              <w:spacing w:line="240" w:lineRule="auto"/>
              <w:ind w:firstLine="0"/>
              <w:jc w:val="center"/>
              <w:rPr>
                <w:rFonts w:cs="Times New Roman"/>
                <w:sz w:val="20"/>
                <w:szCs w:val="20"/>
              </w:rPr>
            </w:pPr>
            <w:r w:rsidRPr="00D037CF">
              <w:rPr>
                <w:rFonts w:cs="Times New Roman"/>
                <w:sz w:val="20"/>
                <w:szCs w:val="20"/>
              </w:rPr>
              <w:t>2027 կանխ.</w:t>
            </w:r>
          </w:p>
        </w:tc>
      </w:tr>
      <w:tr w:rsidR="00D037CF" w:rsidRPr="001D13B6" w14:paraId="367D5881" w14:textId="77777777" w:rsidTr="00013648">
        <w:trPr>
          <w:trHeight w:val="616"/>
        </w:trPr>
        <w:tc>
          <w:tcPr>
            <w:tcW w:w="5211" w:type="dxa"/>
            <w:tcBorders>
              <w:top w:val="thinThickSmallGap" w:sz="24" w:space="0" w:color="auto"/>
              <w:left w:val="nil"/>
              <w:right w:val="nil"/>
            </w:tcBorders>
            <w:vAlign w:val="center"/>
          </w:tcPr>
          <w:p w14:paraId="75890180" w14:textId="77777777" w:rsidR="00D037CF" w:rsidRPr="00D037CF" w:rsidRDefault="00D037CF" w:rsidP="00013648">
            <w:pPr>
              <w:spacing w:line="240" w:lineRule="auto"/>
              <w:ind w:firstLine="0"/>
              <w:jc w:val="left"/>
              <w:rPr>
                <w:sz w:val="20"/>
                <w:szCs w:val="20"/>
              </w:rPr>
            </w:pPr>
            <w:r w:rsidRPr="00D037CF">
              <w:rPr>
                <w:sz w:val="20"/>
                <w:szCs w:val="20"/>
              </w:rPr>
              <w:t>ՀՀ կառավարության պարտքի մինչև վերաֆիքսում միջին ժամկետը, (տարի)</w:t>
            </w:r>
          </w:p>
        </w:tc>
        <w:tc>
          <w:tcPr>
            <w:tcW w:w="1059" w:type="dxa"/>
            <w:tcBorders>
              <w:top w:val="thinThickSmallGap" w:sz="24" w:space="0" w:color="auto"/>
              <w:left w:val="nil"/>
              <w:right w:val="nil"/>
            </w:tcBorders>
            <w:vAlign w:val="center"/>
          </w:tcPr>
          <w:p w14:paraId="240B912D" w14:textId="77777777" w:rsidR="00D037CF" w:rsidRPr="00D037CF" w:rsidRDefault="00D037CF" w:rsidP="00013648">
            <w:pPr>
              <w:spacing w:line="240" w:lineRule="auto"/>
              <w:ind w:firstLine="0"/>
              <w:jc w:val="center"/>
              <w:rPr>
                <w:sz w:val="20"/>
                <w:szCs w:val="20"/>
              </w:rPr>
            </w:pPr>
            <w:r w:rsidRPr="00D037CF">
              <w:rPr>
                <w:sz w:val="20"/>
                <w:szCs w:val="20"/>
              </w:rPr>
              <w:t>6.4</w:t>
            </w:r>
          </w:p>
        </w:tc>
        <w:tc>
          <w:tcPr>
            <w:tcW w:w="1128" w:type="dxa"/>
            <w:tcBorders>
              <w:top w:val="thinThickSmallGap" w:sz="24" w:space="0" w:color="auto"/>
              <w:left w:val="nil"/>
              <w:right w:val="nil"/>
            </w:tcBorders>
            <w:vAlign w:val="center"/>
          </w:tcPr>
          <w:p w14:paraId="6ACD209F" w14:textId="77777777" w:rsidR="00D037CF" w:rsidRPr="00D037CF" w:rsidRDefault="00D037CF" w:rsidP="00013648">
            <w:pPr>
              <w:spacing w:line="240" w:lineRule="auto"/>
              <w:ind w:firstLine="0"/>
              <w:jc w:val="center"/>
              <w:rPr>
                <w:sz w:val="20"/>
                <w:szCs w:val="20"/>
              </w:rPr>
            </w:pPr>
            <w:r w:rsidRPr="00D037CF">
              <w:rPr>
                <w:sz w:val="20"/>
                <w:szCs w:val="20"/>
              </w:rPr>
              <w:t>5.9</w:t>
            </w:r>
          </w:p>
        </w:tc>
        <w:tc>
          <w:tcPr>
            <w:tcW w:w="947" w:type="dxa"/>
            <w:tcBorders>
              <w:top w:val="thinThickSmallGap" w:sz="24" w:space="0" w:color="auto"/>
              <w:left w:val="nil"/>
              <w:right w:val="nil"/>
            </w:tcBorders>
            <w:vAlign w:val="center"/>
          </w:tcPr>
          <w:p w14:paraId="5A695338" w14:textId="77777777" w:rsidR="00D037CF" w:rsidRPr="00D037CF" w:rsidRDefault="00D037CF" w:rsidP="00013648">
            <w:pPr>
              <w:spacing w:line="240" w:lineRule="auto"/>
              <w:ind w:firstLine="0"/>
              <w:jc w:val="center"/>
              <w:rPr>
                <w:sz w:val="20"/>
                <w:szCs w:val="20"/>
              </w:rPr>
            </w:pPr>
            <w:r w:rsidRPr="00D037CF">
              <w:rPr>
                <w:sz w:val="20"/>
                <w:szCs w:val="20"/>
              </w:rPr>
              <w:t>5.7</w:t>
            </w:r>
          </w:p>
        </w:tc>
        <w:tc>
          <w:tcPr>
            <w:tcW w:w="895" w:type="dxa"/>
            <w:tcBorders>
              <w:top w:val="thinThickSmallGap" w:sz="24" w:space="0" w:color="auto"/>
              <w:left w:val="nil"/>
              <w:right w:val="nil"/>
            </w:tcBorders>
            <w:vAlign w:val="center"/>
          </w:tcPr>
          <w:p w14:paraId="15AA7512" w14:textId="77777777" w:rsidR="00D037CF" w:rsidRPr="00D037CF" w:rsidRDefault="00D037CF" w:rsidP="00013648">
            <w:pPr>
              <w:spacing w:line="240" w:lineRule="auto"/>
              <w:ind w:firstLine="0"/>
              <w:jc w:val="center"/>
              <w:rPr>
                <w:sz w:val="20"/>
                <w:szCs w:val="20"/>
              </w:rPr>
            </w:pPr>
            <w:r w:rsidRPr="00D037CF">
              <w:rPr>
                <w:sz w:val="20"/>
                <w:szCs w:val="20"/>
              </w:rPr>
              <w:t>6.1</w:t>
            </w:r>
          </w:p>
        </w:tc>
        <w:tc>
          <w:tcPr>
            <w:tcW w:w="923" w:type="dxa"/>
            <w:tcBorders>
              <w:top w:val="thinThickSmallGap" w:sz="24" w:space="0" w:color="auto"/>
              <w:left w:val="nil"/>
              <w:right w:val="nil"/>
            </w:tcBorders>
            <w:vAlign w:val="center"/>
          </w:tcPr>
          <w:p w14:paraId="4759F254" w14:textId="77777777" w:rsidR="00D037CF" w:rsidRPr="00D037CF" w:rsidRDefault="00D037CF" w:rsidP="00013648">
            <w:pPr>
              <w:spacing w:line="240" w:lineRule="auto"/>
              <w:ind w:firstLine="0"/>
              <w:jc w:val="center"/>
              <w:rPr>
                <w:sz w:val="20"/>
                <w:szCs w:val="20"/>
              </w:rPr>
            </w:pPr>
            <w:r w:rsidRPr="00D037CF">
              <w:rPr>
                <w:sz w:val="20"/>
                <w:szCs w:val="20"/>
              </w:rPr>
              <w:t>5.9</w:t>
            </w:r>
          </w:p>
        </w:tc>
        <w:tc>
          <w:tcPr>
            <w:tcW w:w="923" w:type="dxa"/>
            <w:tcBorders>
              <w:top w:val="thinThickSmallGap" w:sz="24" w:space="0" w:color="auto"/>
              <w:left w:val="nil"/>
              <w:right w:val="nil"/>
            </w:tcBorders>
            <w:vAlign w:val="center"/>
          </w:tcPr>
          <w:p w14:paraId="60B26298" w14:textId="77777777" w:rsidR="00D037CF" w:rsidRPr="00D037CF" w:rsidRDefault="00D037CF" w:rsidP="00013648">
            <w:pPr>
              <w:spacing w:line="240" w:lineRule="auto"/>
              <w:ind w:firstLine="0"/>
              <w:jc w:val="center"/>
              <w:rPr>
                <w:sz w:val="20"/>
                <w:szCs w:val="20"/>
              </w:rPr>
            </w:pPr>
            <w:r w:rsidRPr="00D037CF">
              <w:rPr>
                <w:sz w:val="20"/>
                <w:szCs w:val="20"/>
              </w:rPr>
              <w:t>5.9</w:t>
            </w:r>
          </w:p>
        </w:tc>
      </w:tr>
      <w:tr w:rsidR="00D037CF" w:rsidRPr="001D13B6" w14:paraId="6BE47177" w14:textId="77777777" w:rsidTr="00013648">
        <w:trPr>
          <w:trHeight w:val="651"/>
        </w:trPr>
        <w:tc>
          <w:tcPr>
            <w:tcW w:w="5211" w:type="dxa"/>
            <w:tcBorders>
              <w:left w:val="nil"/>
              <w:bottom w:val="single" w:sz="4" w:space="0" w:color="auto"/>
              <w:right w:val="nil"/>
            </w:tcBorders>
            <w:vAlign w:val="center"/>
          </w:tcPr>
          <w:p w14:paraId="01B92D4D" w14:textId="77777777" w:rsidR="00D037CF" w:rsidRPr="00D037CF" w:rsidRDefault="00D037CF" w:rsidP="00013648">
            <w:pPr>
              <w:spacing w:line="240" w:lineRule="auto"/>
              <w:ind w:left="519" w:firstLine="0"/>
              <w:jc w:val="left"/>
              <w:rPr>
                <w:sz w:val="20"/>
                <w:szCs w:val="20"/>
              </w:rPr>
            </w:pPr>
            <w:r w:rsidRPr="00D037CF">
              <w:rPr>
                <w:sz w:val="20"/>
                <w:szCs w:val="20"/>
              </w:rPr>
              <w:t>ՀՀ կառավարության արտարժութային պարտքի մինչև վերաֆիքսում միջին ժամկետը, (տարի)</w:t>
            </w:r>
          </w:p>
        </w:tc>
        <w:tc>
          <w:tcPr>
            <w:tcW w:w="1059" w:type="dxa"/>
            <w:tcBorders>
              <w:left w:val="nil"/>
              <w:bottom w:val="single" w:sz="4" w:space="0" w:color="auto"/>
              <w:right w:val="nil"/>
            </w:tcBorders>
            <w:vAlign w:val="center"/>
          </w:tcPr>
          <w:p w14:paraId="380B8DAF" w14:textId="77777777" w:rsidR="00D037CF" w:rsidRPr="00D037CF" w:rsidRDefault="00D037CF" w:rsidP="00013648">
            <w:pPr>
              <w:spacing w:line="240" w:lineRule="auto"/>
              <w:ind w:firstLine="0"/>
              <w:jc w:val="center"/>
              <w:rPr>
                <w:sz w:val="20"/>
                <w:szCs w:val="20"/>
              </w:rPr>
            </w:pPr>
            <w:r w:rsidRPr="00D037CF">
              <w:rPr>
                <w:sz w:val="20"/>
                <w:szCs w:val="20"/>
              </w:rPr>
              <w:t>5.1</w:t>
            </w:r>
          </w:p>
        </w:tc>
        <w:tc>
          <w:tcPr>
            <w:tcW w:w="1128" w:type="dxa"/>
            <w:tcBorders>
              <w:left w:val="nil"/>
              <w:bottom w:val="single" w:sz="4" w:space="0" w:color="auto"/>
              <w:right w:val="nil"/>
            </w:tcBorders>
            <w:vAlign w:val="center"/>
          </w:tcPr>
          <w:p w14:paraId="2E473A96" w14:textId="77777777" w:rsidR="00D037CF" w:rsidRPr="00D037CF" w:rsidRDefault="00D037CF" w:rsidP="00013648">
            <w:pPr>
              <w:spacing w:line="240" w:lineRule="auto"/>
              <w:ind w:firstLine="0"/>
              <w:jc w:val="center"/>
              <w:rPr>
                <w:sz w:val="20"/>
                <w:szCs w:val="20"/>
              </w:rPr>
            </w:pPr>
            <w:r w:rsidRPr="00D037CF">
              <w:rPr>
                <w:sz w:val="20"/>
                <w:szCs w:val="20"/>
              </w:rPr>
              <w:t>4.2</w:t>
            </w:r>
          </w:p>
        </w:tc>
        <w:tc>
          <w:tcPr>
            <w:tcW w:w="947" w:type="dxa"/>
            <w:tcBorders>
              <w:left w:val="nil"/>
              <w:bottom w:val="single" w:sz="4" w:space="0" w:color="auto"/>
              <w:right w:val="nil"/>
            </w:tcBorders>
            <w:vAlign w:val="center"/>
          </w:tcPr>
          <w:p w14:paraId="7D9F45F5" w14:textId="77777777" w:rsidR="00D037CF" w:rsidRPr="00D037CF" w:rsidRDefault="00D037CF" w:rsidP="00013648">
            <w:pPr>
              <w:spacing w:line="240" w:lineRule="auto"/>
              <w:ind w:firstLine="0"/>
              <w:jc w:val="center"/>
              <w:rPr>
                <w:sz w:val="20"/>
                <w:szCs w:val="20"/>
              </w:rPr>
            </w:pPr>
            <w:r w:rsidRPr="00D037CF">
              <w:rPr>
                <w:sz w:val="20"/>
                <w:szCs w:val="20"/>
              </w:rPr>
              <w:t>4.4</w:t>
            </w:r>
          </w:p>
        </w:tc>
        <w:tc>
          <w:tcPr>
            <w:tcW w:w="895" w:type="dxa"/>
            <w:tcBorders>
              <w:left w:val="nil"/>
              <w:bottom w:val="single" w:sz="4" w:space="0" w:color="auto"/>
              <w:right w:val="nil"/>
            </w:tcBorders>
            <w:vAlign w:val="center"/>
          </w:tcPr>
          <w:p w14:paraId="624BD46B" w14:textId="77777777" w:rsidR="00D037CF" w:rsidRPr="00D037CF" w:rsidRDefault="00D037CF" w:rsidP="00013648">
            <w:pPr>
              <w:spacing w:line="240" w:lineRule="auto"/>
              <w:ind w:firstLine="0"/>
              <w:jc w:val="center"/>
              <w:rPr>
                <w:sz w:val="20"/>
                <w:szCs w:val="20"/>
              </w:rPr>
            </w:pPr>
            <w:r w:rsidRPr="00D037CF">
              <w:rPr>
                <w:sz w:val="20"/>
                <w:szCs w:val="20"/>
              </w:rPr>
              <w:t>5.0</w:t>
            </w:r>
          </w:p>
        </w:tc>
        <w:tc>
          <w:tcPr>
            <w:tcW w:w="923" w:type="dxa"/>
            <w:tcBorders>
              <w:left w:val="nil"/>
              <w:bottom w:val="single" w:sz="4" w:space="0" w:color="auto"/>
              <w:right w:val="nil"/>
            </w:tcBorders>
            <w:vAlign w:val="center"/>
          </w:tcPr>
          <w:p w14:paraId="1220F600" w14:textId="77777777" w:rsidR="00D037CF" w:rsidRPr="00D037CF" w:rsidRDefault="00D037CF" w:rsidP="00013648">
            <w:pPr>
              <w:spacing w:line="240" w:lineRule="auto"/>
              <w:ind w:firstLine="0"/>
              <w:jc w:val="center"/>
              <w:rPr>
                <w:sz w:val="20"/>
                <w:szCs w:val="20"/>
              </w:rPr>
            </w:pPr>
            <w:r w:rsidRPr="00D037CF">
              <w:rPr>
                <w:sz w:val="20"/>
                <w:szCs w:val="20"/>
              </w:rPr>
              <w:t>4.8</w:t>
            </w:r>
          </w:p>
        </w:tc>
        <w:tc>
          <w:tcPr>
            <w:tcW w:w="923" w:type="dxa"/>
            <w:tcBorders>
              <w:left w:val="nil"/>
              <w:bottom w:val="single" w:sz="4" w:space="0" w:color="auto"/>
              <w:right w:val="nil"/>
            </w:tcBorders>
            <w:vAlign w:val="center"/>
          </w:tcPr>
          <w:p w14:paraId="158A0B69" w14:textId="77777777" w:rsidR="00D037CF" w:rsidRPr="00D037CF" w:rsidRDefault="00D037CF" w:rsidP="00013648">
            <w:pPr>
              <w:spacing w:line="240" w:lineRule="auto"/>
              <w:ind w:firstLine="0"/>
              <w:jc w:val="center"/>
              <w:rPr>
                <w:sz w:val="20"/>
                <w:szCs w:val="20"/>
              </w:rPr>
            </w:pPr>
            <w:r w:rsidRPr="00D037CF">
              <w:rPr>
                <w:sz w:val="20"/>
                <w:szCs w:val="20"/>
              </w:rPr>
              <w:t>4.9</w:t>
            </w:r>
          </w:p>
        </w:tc>
      </w:tr>
      <w:tr w:rsidR="00D037CF" w:rsidRPr="001D13B6" w14:paraId="5A1B9ABD" w14:textId="77777777" w:rsidTr="00013648">
        <w:trPr>
          <w:trHeight w:val="718"/>
        </w:trPr>
        <w:tc>
          <w:tcPr>
            <w:tcW w:w="5211" w:type="dxa"/>
            <w:tcBorders>
              <w:left w:val="nil"/>
              <w:bottom w:val="single" w:sz="12" w:space="0" w:color="auto"/>
              <w:right w:val="nil"/>
            </w:tcBorders>
            <w:vAlign w:val="center"/>
          </w:tcPr>
          <w:p w14:paraId="35E1D685" w14:textId="77777777" w:rsidR="00D037CF" w:rsidRPr="00D037CF" w:rsidRDefault="00D037CF" w:rsidP="00013648">
            <w:pPr>
              <w:spacing w:line="240" w:lineRule="auto"/>
              <w:ind w:left="519" w:firstLine="0"/>
              <w:jc w:val="left"/>
              <w:rPr>
                <w:sz w:val="20"/>
                <w:szCs w:val="20"/>
              </w:rPr>
            </w:pPr>
            <w:r w:rsidRPr="00D037CF">
              <w:rPr>
                <w:sz w:val="20"/>
                <w:szCs w:val="20"/>
              </w:rPr>
              <w:t>ՀՀ կառավարության դրամային պարտքի մինչև վերաֆիքսում միջին ժամկետը, (տարի)</w:t>
            </w:r>
          </w:p>
        </w:tc>
        <w:tc>
          <w:tcPr>
            <w:tcW w:w="1059" w:type="dxa"/>
            <w:tcBorders>
              <w:left w:val="nil"/>
              <w:bottom w:val="single" w:sz="12" w:space="0" w:color="auto"/>
              <w:right w:val="nil"/>
            </w:tcBorders>
            <w:vAlign w:val="center"/>
          </w:tcPr>
          <w:p w14:paraId="33EF828F" w14:textId="77777777" w:rsidR="00D037CF" w:rsidRPr="00D037CF" w:rsidRDefault="00D037CF" w:rsidP="00013648">
            <w:pPr>
              <w:spacing w:line="240" w:lineRule="auto"/>
              <w:ind w:firstLine="0"/>
              <w:jc w:val="center"/>
              <w:rPr>
                <w:sz w:val="20"/>
                <w:szCs w:val="20"/>
              </w:rPr>
            </w:pPr>
            <w:r w:rsidRPr="00D037CF">
              <w:rPr>
                <w:sz w:val="20"/>
                <w:szCs w:val="20"/>
              </w:rPr>
              <w:t>8.0</w:t>
            </w:r>
          </w:p>
        </w:tc>
        <w:tc>
          <w:tcPr>
            <w:tcW w:w="1128" w:type="dxa"/>
            <w:tcBorders>
              <w:left w:val="nil"/>
              <w:bottom w:val="single" w:sz="12" w:space="0" w:color="auto"/>
              <w:right w:val="nil"/>
            </w:tcBorders>
            <w:vAlign w:val="center"/>
          </w:tcPr>
          <w:p w14:paraId="0670846A" w14:textId="77777777" w:rsidR="00D037CF" w:rsidRPr="00D037CF" w:rsidRDefault="00D037CF" w:rsidP="00013648">
            <w:pPr>
              <w:spacing w:line="240" w:lineRule="auto"/>
              <w:ind w:firstLine="0"/>
              <w:jc w:val="center"/>
              <w:rPr>
                <w:sz w:val="20"/>
                <w:szCs w:val="20"/>
              </w:rPr>
            </w:pPr>
            <w:r w:rsidRPr="00D037CF">
              <w:rPr>
                <w:sz w:val="20"/>
                <w:szCs w:val="20"/>
              </w:rPr>
              <w:t>7.3</w:t>
            </w:r>
          </w:p>
        </w:tc>
        <w:tc>
          <w:tcPr>
            <w:tcW w:w="947" w:type="dxa"/>
            <w:tcBorders>
              <w:left w:val="nil"/>
              <w:bottom w:val="single" w:sz="12" w:space="0" w:color="auto"/>
              <w:right w:val="nil"/>
            </w:tcBorders>
            <w:vAlign w:val="center"/>
          </w:tcPr>
          <w:p w14:paraId="25948F88" w14:textId="77777777" w:rsidR="00D037CF" w:rsidRPr="00D037CF" w:rsidRDefault="00D037CF" w:rsidP="00013648">
            <w:pPr>
              <w:spacing w:line="240" w:lineRule="auto"/>
              <w:ind w:firstLine="0"/>
              <w:jc w:val="center"/>
              <w:rPr>
                <w:sz w:val="20"/>
                <w:szCs w:val="20"/>
              </w:rPr>
            </w:pPr>
            <w:r w:rsidRPr="00D037CF">
              <w:rPr>
                <w:sz w:val="20"/>
                <w:szCs w:val="20"/>
              </w:rPr>
              <w:t>7.0</w:t>
            </w:r>
          </w:p>
        </w:tc>
        <w:tc>
          <w:tcPr>
            <w:tcW w:w="895" w:type="dxa"/>
            <w:tcBorders>
              <w:left w:val="nil"/>
              <w:bottom w:val="single" w:sz="12" w:space="0" w:color="auto"/>
              <w:right w:val="nil"/>
            </w:tcBorders>
            <w:vAlign w:val="center"/>
          </w:tcPr>
          <w:p w14:paraId="4F5310A6" w14:textId="77777777" w:rsidR="00D037CF" w:rsidRPr="00D037CF" w:rsidRDefault="00D037CF" w:rsidP="00013648">
            <w:pPr>
              <w:spacing w:line="240" w:lineRule="auto"/>
              <w:ind w:firstLine="0"/>
              <w:jc w:val="center"/>
              <w:rPr>
                <w:sz w:val="20"/>
                <w:szCs w:val="20"/>
              </w:rPr>
            </w:pPr>
            <w:r w:rsidRPr="00D037CF">
              <w:rPr>
                <w:sz w:val="20"/>
                <w:szCs w:val="20"/>
              </w:rPr>
              <w:t>7.3</w:t>
            </w:r>
          </w:p>
        </w:tc>
        <w:tc>
          <w:tcPr>
            <w:tcW w:w="923" w:type="dxa"/>
            <w:tcBorders>
              <w:left w:val="nil"/>
              <w:bottom w:val="single" w:sz="12" w:space="0" w:color="auto"/>
              <w:right w:val="nil"/>
            </w:tcBorders>
            <w:vAlign w:val="center"/>
          </w:tcPr>
          <w:p w14:paraId="40B28BA4" w14:textId="77777777" w:rsidR="00D037CF" w:rsidRPr="00D037CF" w:rsidRDefault="00D037CF" w:rsidP="00013648">
            <w:pPr>
              <w:spacing w:line="240" w:lineRule="auto"/>
              <w:ind w:firstLine="0"/>
              <w:jc w:val="center"/>
              <w:rPr>
                <w:sz w:val="20"/>
                <w:szCs w:val="20"/>
              </w:rPr>
            </w:pPr>
            <w:r w:rsidRPr="00D037CF">
              <w:rPr>
                <w:sz w:val="20"/>
                <w:szCs w:val="20"/>
              </w:rPr>
              <w:t>7.3</w:t>
            </w:r>
          </w:p>
        </w:tc>
        <w:tc>
          <w:tcPr>
            <w:tcW w:w="923" w:type="dxa"/>
            <w:tcBorders>
              <w:left w:val="nil"/>
              <w:bottom w:val="single" w:sz="12" w:space="0" w:color="auto"/>
              <w:right w:val="nil"/>
            </w:tcBorders>
            <w:vAlign w:val="center"/>
          </w:tcPr>
          <w:p w14:paraId="1CA3FC87" w14:textId="77777777" w:rsidR="00D037CF" w:rsidRPr="00D037CF" w:rsidRDefault="00D037CF" w:rsidP="00013648">
            <w:pPr>
              <w:spacing w:line="240" w:lineRule="auto"/>
              <w:ind w:firstLine="0"/>
              <w:jc w:val="center"/>
              <w:rPr>
                <w:sz w:val="20"/>
                <w:szCs w:val="20"/>
              </w:rPr>
            </w:pPr>
            <w:r w:rsidRPr="00D037CF">
              <w:rPr>
                <w:sz w:val="20"/>
                <w:szCs w:val="20"/>
              </w:rPr>
              <w:t>7.2</w:t>
            </w:r>
          </w:p>
        </w:tc>
      </w:tr>
      <w:tr w:rsidR="00D037CF" w:rsidRPr="001D13B6" w14:paraId="1EA6B3EF" w14:textId="77777777" w:rsidTr="00013648">
        <w:trPr>
          <w:trHeight w:val="565"/>
        </w:trPr>
        <w:tc>
          <w:tcPr>
            <w:tcW w:w="5211" w:type="dxa"/>
            <w:tcBorders>
              <w:top w:val="single" w:sz="12" w:space="0" w:color="auto"/>
              <w:left w:val="nil"/>
              <w:right w:val="nil"/>
            </w:tcBorders>
            <w:vAlign w:val="center"/>
          </w:tcPr>
          <w:p w14:paraId="700C1A60" w14:textId="77777777" w:rsidR="00D037CF" w:rsidRPr="00D037CF" w:rsidRDefault="00D037CF" w:rsidP="00013648">
            <w:pPr>
              <w:spacing w:line="240" w:lineRule="auto"/>
              <w:ind w:firstLine="0"/>
              <w:jc w:val="left"/>
              <w:rPr>
                <w:sz w:val="20"/>
                <w:szCs w:val="20"/>
              </w:rPr>
            </w:pPr>
            <w:r w:rsidRPr="00D037CF">
              <w:rPr>
                <w:sz w:val="20"/>
                <w:szCs w:val="20"/>
              </w:rPr>
              <w:t>Մեկ տարվա ընթացքում վերաֆիքսվող ՀՀ կառավարության պարտքի կշիռը (%)</w:t>
            </w:r>
          </w:p>
        </w:tc>
        <w:tc>
          <w:tcPr>
            <w:tcW w:w="1059" w:type="dxa"/>
            <w:tcBorders>
              <w:top w:val="single" w:sz="12" w:space="0" w:color="auto"/>
              <w:left w:val="nil"/>
              <w:right w:val="nil"/>
            </w:tcBorders>
            <w:vAlign w:val="center"/>
          </w:tcPr>
          <w:p w14:paraId="1B5CCD4A" w14:textId="77777777" w:rsidR="00D037CF" w:rsidRPr="00D037CF" w:rsidRDefault="00D037CF" w:rsidP="00013648">
            <w:pPr>
              <w:spacing w:line="240" w:lineRule="auto"/>
              <w:ind w:firstLine="0"/>
              <w:jc w:val="center"/>
              <w:rPr>
                <w:sz w:val="20"/>
                <w:szCs w:val="20"/>
              </w:rPr>
            </w:pPr>
            <w:r w:rsidRPr="00D037CF">
              <w:rPr>
                <w:sz w:val="20"/>
                <w:szCs w:val="20"/>
              </w:rPr>
              <w:t>21.6</w:t>
            </w:r>
          </w:p>
        </w:tc>
        <w:tc>
          <w:tcPr>
            <w:tcW w:w="1128" w:type="dxa"/>
            <w:tcBorders>
              <w:top w:val="single" w:sz="12" w:space="0" w:color="auto"/>
              <w:left w:val="nil"/>
              <w:right w:val="nil"/>
            </w:tcBorders>
            <w:vAlign w:val="center"/>
          </w:tcPr>
          <w:p w14:paraId="523C3F76" w14:textId="77777777" w:rsidR="00D037CF" w:rsidRPr="00D037CF" w:rsidRDefault="00D037CF" w:rsidP="00013648">
            <w:pPr>
              <w:spacing w:line="240" w:lineRule="auto"/>
              <w:ind w:firstLine="0"/>
              <w:jc w:val="center"/>
              <w:rPr>
                <w:sz w:val="20"/>
                <w:szCs w:val="20"/>
              </w:rPr>
            </w:pPr>
            <w:r w:rsidRPr="00D037CF">
              <w:rPr>
                <w:sz w:val="20"/>
                <w:szCs w:val="20"/>
              </w:rPr>
              <w:t>29.3</w:t>
            </w:r>
          </w:p>
        </w:tc>
        <w:tc>
          <w:tcPr>
            <w:tcW w:w="947" w:type="dxa"/>
            <w:tcBorders>
              <w:top w:val="single" w:sz="12" w:space="0" w:color="auto"/>
              <w:left w:val="nil"/>
              <w:right w:val="nil"/>
            </w:tcBorders>
            <w:vAlign w:val="center"/>
          </w:tcPr>
          <w:p w14:paraId="6C5B78D1" w14:textId="77777777" w:rsidR="00D037CF" w:rsidRPr="00D037CF" w:rsidRDefault="00D037CF" w:rsidP="00013648">
            <w:pPr>
              <w:spacing w:line="240" w:lineRule="auto"/>
              <w:ind w:firstLine="0"/>
              <w:jc w:val="center"/>
              <w:rPr>
                <w:sz w:val="20"/>
                <w:szCs w:val="20"/>
              </w:rPr>
            </w:pPr>
            <w:r w:rsidRPr="00D037CF">
              <w:rPr>
                <w:sz w:val="20"/>
                <w:szCs w:val="20"/>
              </w:rPr>
              <w:t>28.0</w:t>
            </w:r>
          </w:p>
        </w:tc>
        <w:tc>
          <w:tcPr>
            <w:tcW w:w="895" w:type="dxa"/>
            <w:tcBorders>
              <w:top w:val="single" w:sz="12" w:space="0" w:color="auto"/>
              <w:left w:val="nil"/>
              <w:right w:val="nil"/>
            </w:tcBorders>
            <w:vAlign w:val="center"/>
          </w:tcPr>
          <w:p w14:paraId="0C36D9CC" w14:textId="77777777" w:rsidR="00D037CF" w:rsidRPr="00D037CF" w:rsidRDefault="00D037CF" w:rsidP="00013648">
            <w:pPr>
              <w:spacing w:line="240" w:lineRule="auto"/>
              <w:ind w:firstLine="0"/>
              <w:jc w:val="center"/>
              <w:rPr>
                <w:sz w:val="20"/>
                <w:szCs w:val="20"/>
              </w:rPr>
            </w:pPr>
            <w:r w:rsidRPr="00D037CF">
              <w:rPr>
                <w:sz w:val="20"/>
                <w:szCs w:val="20"/>
              </w:rPr>
              <w:t>25.8</w:t>
            </w:r>
          </w:p>
        </w:tc>
        <w:tc>
          <w:tcPr>
            <w:tcW w:w="923" w:type="dxa"/>
            <w:tcBorders>
              <w:top w:val="single" w:sz="12" w:space="0" w:color="auto"/>
              <w:left w:val="nil"/>
              <w:right w:val="nil"/>
            </w:tcBorders>
            <w:vAlign w:val="center"/>
          </w:tcPr>
          <w:p w14:paraId="2F4E21EE" w14:textId="77777777" w:rsidR="00D037CF" w:rsidRPr="00D037CF" w:rsidRDefault="00D037CF" w:rsidP="00013648">
            <w:pPr>
              <w:spacing w:line="240" w:lineRule="auto"/>
              <w:ind w:firstLine="0"/>
              <w:jc w:val="center"/>
              <w:rPr>
                <w:sz w:val="20"/>
                <w:szCs w:val="20"/>
              </w:rPr>
            </w:pPr>
            <w:r w:rsidRPr="00D037CF">
              <w:rPr>
                <w:sz w:val="20"/>
                <w:szCs w:val="20"/>
              </w:rPr>
              <w:t>26.8</w:t>
            </w:r>
          </w:p>
        </w:tc>
        <w:tc>
          <w:tcPr>
            <w:tcW w:w="923" w:type="dxa"/>
            <w:tcBorders>
              <w:top w:val="single" w:sz="12" w:space="0" w:color="auto"/>
              <w:left w:val="nil"/>
              <w:right w:val="nil"/>
            </w:tcBorders>
            <w:vAlign w:val="center"/>
          </w:tcPr>
          <w:p w14:paraId="6378717D" w14:textId="77777777" w:rsidR="00D037CF" w:rsidRPr="00D037CF" w:rsidRDefault="00D037CF" w:rsidP="00013648">
            <w:pPr>
              <w:spacing w:line="240" w:lineRule="auto"/>
              <w:ind w:firstLine="0"/>
              <w:jc w:val="center"/>
              <w:rPr>
                <w:sz w:val="20"/>
                <w:szCs w:val="20"/>
              </w:rPr>
            </w:pPr>
            <w:r w:rsidRPr="00D037CF">
              <w:rPr>
                <w:sz w:val="20"/>
                <w:szCs w:val="20"/>
              </w:rPr>
              <w:t>26.1</w:t>
            </w:r>
          </w:p>
        </w:tc>
      </w:tr>
      <w:tr w:rsidR="00D037CF" w:rsidRPr="001D13B6" w14:paraId="3406E9DF" w14:textId="77777777" w:rsidTr="00013648">
        <w:trPr>
          <w:trHeight w:val="636"/>
        </w:trPr>
        <w:tc>
          <w:tcPr>
            <w:tcW w:w="5211" w:type="dxa"/>
            <w:tcBorders>
              <w:left w:val="nil"/>
              <w:right w:val="nil"/>
            </w:tcBorders>
            <w:vAlign w:val="center"/>
          </w:tcPr>
          <w:p w14:paraId="7C51A466" w14:textId="77777777" w:rsidR="00D037CF" w:rsidRPr="00D037CF" w:rsidRDefault="00D037CF" w:rsidP="00013648">
            <w:pPr>
              <w:spacing w:line="240" w:lineRule="auto"/>
              <w:ind w:left="519" w:firstLine="0"/>
              <w:jc w:val="left"/>
              <w:rPr>
                <w:sz w:val="20"/>
                <w:szCs w:val="20"/>
              </w:rPr>
            </w:pPr>
            <w:r w:rsidRPr="00D037CF">
              <w:rPr>
                <w:sz w:val="20"/>
                <w:szCs w:val="20"/>
              </w:rPr>
              <w:t>Մեկ տարվա ընթացքում վերաֆիքսվող ՀՀ կառավարության արտարժութային պարտքի կշիռը արտաքին պարտքի մեջ (%)</w:t>
            </w:r>
          </w:p>
        </w:tc>
        <w:tc>
          <w:tcPr>
            <w:tcW w:w="1059" w:type="dxa"/>
            <w:tcBorders>
              <w:left w:val="nil"/>
              <w:right w:val="nil"/>
            </w:tcBorders>
            <w:vAlign w:val="center"/>
          </w:tcPr>
          <w:p w14:paraId="631CCF52" w14:textId="77777777" w:rsidR="00D037CF" w:rsidRPr="00D037CF" w:rsidRDefault="00D037CF" w:rsidP="00013648">
            <w:pPr>
              <w:spacing w:line="240" w:lineRule="auto"/>
              <w:ind w:firstLine="0"/>
              <w:jc w:val="center"/>
              <w:rPr>
                <w:sz w:val="20"/>
                <w:szCs w:val="20"/>
              </w:rPr>
            </w:pPr>
            <w:r w:rsidRPr="00D037CF">
              <w:rPr>
                <w:sz w:val="20"/>
                <w:szCs w:val="20"/>
              </w:rPr>
              <w:t>29.9</w:t>
            </w:r>
          </w:p>
        </w:tc>
        <w:tc>
          <w:tcPr>
            <w:tcW w:w="1128" w:type="dxa"/>
            <w:tcBorders>
              <w:left w:val="nil"/>
              <w:right w:val="nil"/>
            </w:tcBorders>
            <w:vAlign w:val="center"/>
          </w:tcPr>
          <w:p w14:paraId="634A56C7" w14:textId="77777777" w:rsidR="00D037CF" w:rsidRPr="00D037CF" w:rsidRDefault="00D037CF" w:rsidP="00013648">
            <w:pPr>
              <w:spacing w:line="240" w:lineRule="auto"/>
              <w:ind w:firstLine="0"/>
              <w:jc w:val="center"/>
              <w:rPr>
                <w:sz w:val="20"/>
                <w:szCs w:val="20"/>
              </w:rPr>
            </w:pPr>
            <w:r w:rsidRPr="00D037CF">
              <w:rPr>
                <w:sz w:val="20"/>
                <w:szCs w:val="20"/>
              </w:rPr>
              <w:t>40.6</w:t>
            </w:r>
          </w:p>
        </w:tc>
        <w:tc>
          <w:tcPr>
            <w:tcW w:w="947" w:type="dxa"/>
            <w:tcBorders>
              <w:left w:val="nil"/>
              <w:right w:val="nil"/>
            </w:tcBorders>
            <w:vAlign w:val="center"/>
          </w:tcPr>
          <w:p w14:paraId="35EFEFE7" w14:textId="77777777" w:rsidR="00D037CF" w:rsidRPr="00D037CF" w:rsidRDefault="00D037CF" w:rsidP="00013648">
            <w:pPr>
              <w:spacing w:line="240" w:lineRule="auto"/>
              <w:ind w:firstLine="0"/>
              <w:jc w:val="center"/>
              <w:rPr>
                <w:sz w:val="20"/>
                <w:szCs w:val="20"/>
              </w:rPr>
            </w:pPr>
            <w:r w:rsidRPr="00D037CF">
              <w:rPr>
                <w:sz w:val="20"/>
                <w:szCs w:val="20"/>
              </w:rPr>
              <w:t>41.5</w:t>
            </w:r>
          </w:p>
        </w:tc>
        <w:tc>
          <w:tcPr>
            <w:tcW w:w="895" w:type="dxa"/>
            <w:tcBorders>
              <w:left w:val="nil"/>
              <w:right w:val="nil"/>
            </w:tcBorders>
            <w:vAlign w:val="center"/>
          </w:tcPr>
          <w:p w14:paraId="50D34211" w14:textId="77777777" w:rsidR="00D037CF" w:rsidRPr="00D037CF" w:rsidRDefault="00D037CF" w:rsidP="00013648">
            <w:pPr>
              <w:spacing w:line="240" w:lineRule="auto"/>
              <w:ind w:firstLine="0"/>
              <w:jc w:val="center"/>
              <w:rPr>
                <w:sz w:val="20"/>
                <w:szCs w:val="20"/>
              </w:rPr>
            </w:pPr>
            <w:r w:rsidRPr="00D037CF">
              <w:rPr>
                <w:sz w:val="20"/>
                <w:szCs w:val="20"/>
              </w:rPr>
              <w:t>37.9</w:t>
            </w:r>
          </w:p>
        </w:tc>
        <w:tc>
          <w:tcPr>
            <w:tcW w:w="923" w:type="dxa"/>
            <w:tcBorders>
              <w:left w:val="nil"/>
              <w:right w:val="nil"/>
            </w:tcBorders>
            <w:vAlign w:val="center"/>
          </w:tcPr>
          <w:p w14:paraId="539A5526" w14:textId="77777777" w:rsidR="00D037CF" w:rsidRPr="00D037CF" w:rsidRDefault="00D037CF" w:rsidP="00013648">
            <w:pPr>
              <w:spacing w:line="240" w:lineRule="auto"/>
              <w:ind w:firstLine="0"/>
              <w:jc w:val="center"/>
              <w:rPr>
                <w:sz w:val="20"/>
                <w:szCs w:val="20"/>
              </w:rPr>
            </w:pPr>
            <w:r w:rsidRPr="00D037CF">
              <w:rPr>
                <w:sz w:val="20"/>
                <w:szCs w:val="20"/>
              </w:rPr>
              <w:t>38.8</w:t>
            </w:r>
          </w:p>
        </w:tc>
        <w:tc>
          <w:tcPr>
            <w:tcW w:w="923" w:type="dxa"/>
            <w:tcBorders>
              <w:left w:val="nil"/>
              <w:right w:val="nil"/>
            </w:tcBorders>
            <w:vAlign w:val="center"/>
          </w:tcPr>
          <w:p w14:paraId="62C17DE0" w14:textId="77777777" w:rsidR="00D037CF" w:rsidRPr="00D037CF" w:rsidRDefault="00D037CF" w:rsidP="00013648">
            <w:pPr>
              <w:spacing w:line="240" w:lineRule="auto"/>
              <w:ind w:firstLine="0"/>
              <w:jc w:val="center"/>
              <w:rPr>
                <w:sz w:val="20"/>
                <w:szCs w:val="20"/>
              </w:rPr>
            </w:pPr>
            <w:r w:rsidRPr="00D037CF">
              <w:rPr>
                <w:sz w:val="20"/>
                <w:szCs w:val="20"/>
              </w:rPr>
              <w:t>36.9</w:t>
            </w:r>
          </w:p>
        </w:tc>
      </w:tr>
      <w:tr w:rsidR="00D037CF" w:rsidRPr="001D13B6" w14:paraId="5A68CE54" w14:textId="77777777" w:rsidTr="00013648">
        <w:trPr>
          <w:trHeight w:val="687"/>
        </w:trPr>
        <w:tc>
          <w:tcPr>
            <w:tcW w:w="5211" w:type="dxa"/>
            <w:tcBorders>
              <w:left w:val="nil"/>
              <w:bottom w:val="thickThinSmallGap" w:sz="24" w:space="0" w:color="auto"/>
              <w:right w:val="nil"/>
            </w:tcBorders>
            <w:vAlign w:val="center"/>
          </w:tcPr>
          <w:p w14:paraId="0846CE48" w14:textId="77777777" w:rsidR="00D037CF" w:rsidRPr="00D037CF" w:rsidRDefault="00D037CF" w:rsidP="00013648">
            <w:pPr>
              <w:spacing w:line="240" w:lineRule="auto"/>
              <w:ind w:left="519" w:firstLine="0"/>
              <w:jc w:val="left"/>
              <w:rPr>
                <w:sz w:val="20"/>
                <w:szCs w:val="20"/>
              </w:rPr>
            </w:pPr>
            <w:r w:rsidRPr="00D037CF">
              <w:rPr>
                <w:sz w:val="20"/>
                <w:szCs w:val="20"/>
              </w:rPr>
              <w:t>Մեկ տարվա ընթացքում վերաֆիքսվող ՀՀ կառավարության դրամային պարտքի կշիռը ներքին պարտքի մեջ (%)</w:t>
            </w:r>
          </w:p>
        </w:tc>
        <w:tc>
          <w:tcPr>
            <w:tcW w:w="1059" w:type="dxa"/>
            <w:tcBorders>
              <w:left w:val="nil"/>
              <w:bottom w:val="thickThinSmallGap" w:sz="24" w:space="0" w:color="auto"/>
              <w:right w:val="nil"/>
            </w:tcBorders>
            <w:vAlign w:val="center"/>
          </w:tcPr>
          <w:p w14:paraId="1F645176" w14:textId="77777777" w:rsidR="00D037CF" w:rsidRPr="00D037CF" w:rsidRDefault="00D037CF" w:rsidP="00013648">
            <w:pPr>
              <w:spacing w:line="240" w:lineRule="auto"/>
              <w:ind w:firstLine="0"/>
              <w:jc w:val="center"/>
              <w:rPr>
                <w:sz w:val="20"/>
                <w:szCs w:val="20"/>
              </w:rPr>
            </w:pPr>
            <w:r w:rsidRPr="00D037CF">
              <w:rPr>
                <w:sz w:val="20"/>
                <w:szCs w:val="20"/>
              </w:rPr>
              <w:t>11.8</w:t>
            </w:r>
          </w:p>
        </w:tc>
        <w:tc>
          <w:tcPr>
            <w:tcW w:w="1128" w:type="dxa"/>
            <w:tcBorders>
              <w:left w:val="nil"/>
              <w:bottom w:val="thickThinSmallGap" w:sz="24" w:space="0" w:color="auto"/>
              <w:right w:val="nil"/>
            </w:tcBorders>
            <w:vAlign w:val="center"/>
          </w:tcPr>
          <w:p w14:paraId="6695E346" w14:textId="77777777" w:rsidR="00D037CF" w:rsidRPr="00D037CF" w:rsidRDefault="00D037CF" w:rsidP="00013648">
            <w:pPr>
              <w:spacing w:line="240" w:lineRule="auto"/>
              <w:ind w:firstLine="0"/>
              <w:jc w:val="center"/>
              <w:rPr>
                <w:sz w:val="20"/>
                <w:szCs w:val="20"/>
              </w:rPr>
            </w:pPr>
            <w:r w:rsidRPr="00D037CF">
              <w:rPr>
                <w:sz w:val="20"/>
                <w:szCs w:val="20"/>
              </w:rPr>
              <w:t>15.0</w:t>
            </w:r>
          </w:p>
        </w:tc>
        <w:tc>
          <w:tcPr>
            <w:tcW w:w="947" w:type="dxa"/>
            <w:tcBorders>
              <w:left w:val="nil"/>
              <w:bottom w:val="thickThinSmallGap" w:sz="24" w:space="0" w:color="auto"/>
              <w:right w:val="nil"/>
            </w:tcBorders>
            <w:vAlign w:val="center"/>
          </w:tcPr>
          <w:p w14:paraId="1F3CD23E" w14:textId="77777777" w:rsidR="00D037CF" w:rsidRPr="00D037CF" w:rsidRDefault="00D037CF" w:rsidP="00013648">
            <w:pPr>
              <w:spacing w:line="240" w:lineRule="auto"/>
              <w:ind w:firstLine="0"/>
              <w:jc w:val="center"/>
              <w:rPr>
                <w:sz w:val="20"/>
                <w:szCs w:val="20"/>
              </w:rPr>
            </w:pPr>
            <w:r w:rsidRPr="00D037CF">
              <w:rPr>
                <w:sz w:val="20"/>
                <w:szCs w:val="20"/>
              </w:rPr>
              <w:t>14.7</w:t>
            </w:r>
          </w:p>
        </w:tc>
        <w:tc>
          <w:tcPr>
            <w:tcW w:w="895" w:type="dxa"/>
            <w:tcBorders>
              <w:left w:val="nil"/>
              <w:bottom w:val="thickThinSmallGap" w:sz="24" w:space="0" w:color="auto"/>
              <w:right w:val="nil"/>
            </w:tcBorders>
            <w:vAlign w:val="center"/>
          </w:tcPr>
          <w:p w14:paraId="7B5A57E1" w14:textId="77777777" w:rsidR="00D037CF" w:rsidRPr="00D037CF" w:rsidRDefault="00D037CF" w:rsidP="00013648">
            <w:pPr>
              <w:spacing w:line="240" w:lineRule="auto"/>
              <w:ind w:firstLine="0"/>
              <w:jc w:val="center"/>
              <w:rPr>
                <w:sz w:val="20"/>
                <w:szCs w:val="20"/>
              </w:rPr>
            </w:pPr>
            <w:r w:rsidRPr="00D037CF">
              <w:rPr>
                <w:sz w:val="20"/>
                <w:szCs w:val="20"/>
              </w:rPr>
              <w:t>12.1</w:t>
            </w:r>
          </w:p>
        </w:tc>
        <w:tc>
          <w:tcPr>
            <w:tcW w:w="923" w:type="dxa"/>
            <w:tcBorders>
              <w:left w:val="nil"/>
              <w:bottom w:val="thickThinSmallGap" w:sz="24" w:space="0" w:color="auto"/>
              <w:right w:val="nil"/>
            </w:tcBorders>
            <w:vAlign w:val="center"/>
          </w:tcPr>
          <w:p w14:paraId="53EA5E41" w14:textId="77777777" w:rsidR="00D037CF" w:rsidRPr="00D037CF" w:rsidRDefault="00D037CF" w:rsidP="00013648">
            <w:pPr>
              <w:spacing w:line="240" w:lineRule="auto"/>
              <w:ind w:firstLine="0"/>
              <w:jc w:val="center"/>
              <w:rPr>
                <w:sz w:val="20"/>
                <w:szCs w:val="20"/>
              </w:rPr>
            </w:pPr>
            <w:r w:rsidRPr="00D037CF">
              <w:rPr>
                <w:sz w:val="20"/>
                <w:szCs w:val="20"/>
              </w:rPr>
              <w:t>12.2</w:t>
            </w:r>
          </w:p>
        </w:tc>
        <w:tc>
          <w:tcPr>
            <w:tcW w:w="923" w:type="dxa"/>
            <w:tcBorders>
              <w:left w:val="nil"/>
              <w:bottom w:val="thickThinSmallGap" w:sz="24" w:space="0" w:color="auto"/>
              <w:right w:val="nil"/>
            </w:tcBorders>
            <w:vAlign w:val="center"/>
          </w:tcPr>
          <w:p w14:paraId="612EC5D8" w14:textId="77777777" w:rsidR="00D037CF" w:rsidRPr="00D037CF" w:rsidRDefault="00D037CF" w:rsidP="00013648">
            <w:pPr>
              <w:spacing w:line="240" w:lineRule="auto"/>
              <w:ind w:firstLine="0"/>
              <w:jc w:val="center"/>
              <w:rPr>
                <w:sz w:val="20"/>
                <w:szCs w:val="20"/>
              </w:rPr>
            </w:pPr>
            <w:r w:rsidRPr="00D037CF">
              <w:rPr>
                <w:sz w:val="20"/>
                <w:szCs w:val="20"/>
              </w:rPr>
              <w:t>12.1</w:t>
            </w:r>
          </w:p>
        </w:tc>
      </w:tr>
    </w:tbl>
    <w:p w14:paraId="01C044B6" w14:textId="77777777" w:rsidR="00D037CF" w:rsidRPr="00D037CF" w:rsidRDefault="00D037CF" w:rsidP="00D037CF">
      <w:pPr>
        <w:spacing w:before="120"/>
        <w:rPr>
          <w:sz w:val="16"/>
        </w:rPr>
      </w:pPr>
      <w:r w:rsidRPr="00D037CF">
        <w:rPr>
          <w:sz w:val="16"/>
        </w:rPr>
        <w:t>Աղբյուրը՝ ՀՀ ՖՆ հաշվարկներ և կանխատեսումներ</w:t>
      </w:r>
    </w:p>
    <w:p w14:paraId="1998D24C" w14:textId="2EA85F78" w:rsidR="00D037CF" w:rsidRPr="00461381" w:rsidRDefault="00D037CF" w:rsidP="00461381">
      <w:pPr>
        <w:tabs>
          <w:tab w:val="left" w:pos="0"/>
        </w:tabs>
        <w:spacing w:before="120" w:after="0" w:line="276" w:lineRule="auto"/>
        <w:ind w:firstLine="0"/>
        <w:rPr>
          <w:b/>
          <w:color w:val="44546A" w:themeColor="text2"/>
          <w:sz w:val="24"/>
          <w:szCs w:val="24"/>
          <w:lang w:val="hy-AM" w:eastAsia="ru-RU"/>
        </w:rPr>
      </w:pPr>
      <w:bookmarkStart w:id="263" w:name="_Toc138951004"/>
      <w:r w:rsidRPr="00461381">
        <w:rPr>
          <w:b/>
          <w:color w:val="44546A" w:themeColor="text2"/>
          <w:sz w:val="24"/>
          <w:szCs w:val="24"/>
          <w:lang w:val="hy-AM" w:eastAsia="ru-RU"/>
        </w:rPr>
        <w:t>1.4.5. Ուղենշային ցուցանիշները</w:t>
      </w:r>
      <w:bookmarkEnd w:id="263"/>
    </w:p>
    <w:p w14:paraId="16C8613D" w14:textId="77777777" w:rsidR="00D037CF" w:rsidRPr="00B76333" w:rsidRDefault="00D037CF" w:rsidP="00D037CF">
      <w:pPr>
        <w:spacing w:before="120" w:after="0" w:line="276" w:lineRule="auto"/>
        <w:ind w:firstLine="0"/>
      </w:pPr>
      <w:r w:rsidRPr="00B76333">
        <w:t>ՀՀ կառավարության պարտքի պորտֆելի արդյունավետ կառավարման նպատակով անհրաժեշտ է բացահայտել և գնահատել ՀՀ կառավարության պարտքի պորտֆելին բնորոշ ռիսկերը: Այդ պատճառով ՀՀ կառավարության պարտքի կառավարման ռազմավարությունը սահմանում է պարտքի պորտֆելի ռիսկերի ուղենշային ցուցանիշներ, որոնց նպատակն է որոշակի սահմանափակումների միջոցով պահպանել փոխարժեքի, տոկոսադրույքի և վերաֆինանսավորման ռիսկերը վերահսկելիության շրջանակներում: Ուղենշային ցուցանիշները սահմանվել են՝ հաշվի առնելով ՀՀ կառավարության պարտքի կառավարման միջավայրին բնորոշ առանձնահատկություններն ու սահմանափակումները:</w:t>
      </w:r>
    </w:p>
    <w:p w14:paraId="20471A68" w14:textId="77777777" w:rsidR="00D037CF" w:rsidRPr="00B76333" w:rsidRDefault="00D037CF" w:rsidP="00D037CF">
      <w:pPr>
        <w:pStyle w:val="afd"/>
        <w:numPr>
          <w:ilvl w:val="0"/>
          <w:numId w:val="21"/>
        </w:numPr>
        <w:ind w:left="1276" w:hanging="1276"/>
      </w:pPr>
      <w:r w:rsidRPr="00B76333">
        <w:t xml:space="preserve"> ՀՀ կառավարության պարտքի պորտֆելի 202</w:t>
      </w:r>
      <w:r>
        <w:t>4</w:t>
      </w:r>
      <w:r w:rsidRPr="00B76333">
        <w:t>-202</w:t>
      </w:r>
      <w:r>
        <w:t>7</w:t>
      </w:r>
      <w:r w:rsidRPr="00B76333">
        <w:t xml:space="preserve"> թվականների ուղենշային ցուցանիշները (տարեվերջին)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41"/>
        <w:gridCol w:w="2780"/>
      </w:tblGrid>
      <w:tr w:rsidR="00D037CF" w:rsidRPr="00B76333" w14:paraId="23FD1A66" w14:textId="77777777" w:rsidTr="00D037CF">
        <w:trPr>
          <w:tblHeader/>
          <w:jc w:val="center"/>
        </w:trPr>
        <w:tc>
          <w:tcPr>
            <w:tcW w:w="7241" w:type="dxa"/>
            <w:tcBorders>
              <w:top w:val="thinThickThinSmallGap" w:sz="24" w:space="0" w:color="auto"/>
              <w:left w:val="nil"/>
              <w:bottom w:val="thinThickSmallGap" w:sz="24" w:space="0" w:color="auto"/>
              <w:right w:val="nil"/>
            </w:tcBorders>
            <w:shd w:val="clear" w:color="auto" w:fill="BDD6EE" w:themeFill="accent1" w:themeFillTint="66"/>
          </w:tcPr>
          <w:p w14:paraId="62CCD8ED" w14:textId="77777777" w:rsidR="00D037CF" w:rsidRPr="00D037CF" w:rsidRDefault="00D037CF" w:rsidP="00013648">
            <w:pPr>
              <w:rPr>
                <w:sz w:val="20"/>
                <w:szCs w:val="20"/>
                <w:lang w:val="hy-AM"/>
              </w:rPr>
            </w:pPr>
          </w:p>
        </w:tc>
        <w:tc>
          <w:tcPr>
            <w:tcW w:w="27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7AAF16F" w14:textId="77777777" w:rsidR="00D037CF" w:rsidRPr="00D037CF" w:rsidRDefault="00D037CF" w:rsidP="00013648">
            <w:pPr>
              <w:spacing w:line="240" w:lineRule="auto"/>
              <w:ind w:hanging="69"/>
              <w:jc w:val="center"/>
              <w:rPr>
                <w:sz w:val="20"/>
                <w:szCs w:val="20"/>
              </w:rPr>
            </w:pPr>
            <w:r w:rsidRPr="00D037CF">
              <w:rPr>
                <w:sz w:val="20"/>
                <w:szCs w:val="20"/>
              </w:rPr>
              <w:t>Ուղենիշ</w:t>
            </w:r>
          </w:p>
        </w:tc>
      </w:tr>
      <w:tr w:rsidR="00D037CF" w:rsidRPr="00B76333" w14:paraId="3575480F" w14:textId="77777777" w:rsidTr="00013648">
        <w:trPr>
          <w:trHeight w:val="405"/>
          <w:jc w:val="center"/>
        </w:trPr>
        <w:tc>
          <w:tcPr>
            <w:tcW w:w="7241" w:type="dxa"/>
            <w:tcBorders>
              <w:top w:val="thinThickSmallGap" w:sz="24" w:space="0" w:color="auto"/>
              <w:left w:val="nil"/>
              <w:right w:val="nil"/>
            </w:tcBorders>
            <w:vAlign w:val="center"/>
          </w:tcPr>
          <w:p w14:paraId="3FEA842F" w14:textId="77777777" w:rsidR="00D037CF" w:rsidRPr="00D037CF" w:rsidRDefault="00D037CF" w:rsidP="00013648">
            <w:pPr>
              <w:spacing w:line="240" w:lineRule="auto"/>
              <w:ind w:firstLine="647"/>
              <w:jc w:val="left"/>
              <w:rPr>
                <w:b/>
                <w:sz w:val="20"/>
                <w:szCs w:val="20"/>
              </w:rPr>
            </w:pPr>
            <w:r w:rsidRPr="00D037CF">
              <w:rPr>
                <w:b/>
                <w:sz w:val="20"/>
                <w:szCs w:val="20"/>
              </w:rPr>
              <w:t>Վերաֆինանսավորման ռիսկ</w:t>
            </w:r>
          </w:p>
        </w:tc>
        <w:tc>
          <w:tcPr>
            <w:tcW w:w="2780" w:type="dxa"/>
            <w:tcBorders>
              <w:top w:val="thinThickSmallGap" w:sz="24" w:space="0" w:color="auto"/>
              <w:left w:val="nil"/>
              <w:right w:val="nil"/>
            </w:tcBorders>
            <w:vAlign w:val="center"/>
          </w:tcPr>
          <w:p w14:paraId="22DDE3B4" w14:textId="77777777" w:rsidR="00D037CF" w:rsidRPr="00D037CF" w:rsidRDefault="00D037CF" w:rsidP="00013648">
            <w:pPr>
              <w:spacing w:line="240" w:lineRule="auto"/>
              <w:ind w:firstLine="0"/>
              <w:jc w:val="center"/>
              <w:rPr>
                <w:b/>
                <w:sz w:val="20"/>
                <w:szCs w:val="20"/>
              </w:rPr>
            </w:pPr>
          </w:p>
        </w:tc>
      </w:tr>
      <w:tr w:rsidR="00D037CF" w:rsidRPr="002F6D8D" w14:paraId="1671B0E0" w14:textId="77777777" w:rsidTr="00013648">
        <w:trPr>
          <w:jc w:val="center"/>
        </w:trPr>
        <w:tc>
          <w:tcPr>
            <w:tcW w:w="7241" w:type="dxa"/>
            <w:tcBorders>
              <w:left w:val="nil"/>
              <w:right w:val="nil"/>
            </w:tcBorders>
            <w:vAlign w:val="center"/>
          </w:tcPr>
          <w:p w14:paraId="6F5A2EDA" w14:textId="77777777" w:rsidR="00D037CF" w:rsidRPr="00D037CF" w:rsidRDefault="00D037CF" w:rsidP="00013648">
            <w:pPr>
              <w:spacing w:line="240" w:lineRule="auto"/>
              <w:ind w:firstLine="0"/>
              <w:jc w:val="left"/>
              <w:rPr>
                <w:sz w:val="20"/>
                <w:szCs w:val="20"/>
              </w:rPr>
            </w:pPr>
            <w:r w:rsidRPr="00D037CF">
              <w:rPr>
                <w:sz w:val="20"/>
                <w:szCs w:val="20"/>
              </w:rPr>
              <w:t xml:space="preserve">Մինչև մարում միջին ժամկետը </w:t>
            </w:r>
          </w:p>
        </w:tc>
        <w:tc>
          <w:tcPr>
            <w:tcW w:w="2780" w:type="dxa"/>
            <w:tcBorders>
              <w:left w:val="nil"/>
              <w:right w:val="nil"/>
            </w:tcBorders>
            <w:vAlign w:val="center"/>
          </w:tcPr>
          <w:p w14:paraId="71C4655E" w14:textId="77777777" w:rsidR="00D037CF" w:rsidRPr="00D037CF" w:rsidRDefault="00D037CF" w:rsidP="00013648">
            <w:pPr>
              <w:spacing w:line="240" w:lineRule="auto"/>
              <w:ind w:firstLine="0"/>
              <w:jc w:val="center"/>
              <w:rPr>
                <w:sz w:val="20"/>
                <w:szCs w:val="20"/>
              </w:rPr>
            </w:pPr>
            <w:r w:rsidRPr="00D037CF">
              <w:rPr>
                <w:sz w:val="20"/>
                <w:szCs w:val="20"/>
              </w:rPr>
              <w:t>7– 10 տարի</w:t>
            </w:r>
          </w:p>
        </w:tc>
      </w:tr>
      <w:tr w:rsidR="00D037CF" w:rsidRPr="0070296A" w14:paraId="422ADD6B" w14:textId="77777777" w:rsidTr="00013648">
        <w:trPr>
          <w:jc w:val="center"/>
        </w:trPr>
        <w:tc>
          <w:tcPr>
            <w:tcW w:w="7241" w:type="dxa"/>
            <w:tcBorders>
              <w:left w:val="nil"/>
              <w:right w:val="nil"/>
            </w:tcBorders>
            <w:vAlign w:val="center"/>
          </w:tcPr>
          <w:p w14:paraId="229B403E" w14:textId="77777777" w:rsidR="00D037CF" w:rsidRPr="00D037CF" w:rsidRDefault="00D037CF" w:rsidP="00013648">
            <w:pPr>
              <w:spacing w:line="240" w:lineRule="auto"/>
              <w:ind w:firstLine="0"/>
              <w:jc w:val="left"/>
              <w:rPr>
                <w:sz w:val="20"/>
                <w:szCs w:val="20"/>
              </w:rPr>
            </w:pPr>
            <w:r w:rsidRPr="00D037CF">
              <w:rPr>
                <w:sz w:val="20"/>
                <w:szCs w:val="20"/>
              </w:rPr>
              <w:t>Առաջիկա երեք տարիների ընթացքում մարվող պարտքի կշիռը ընդամենը պարտքի մեջ</w:t>
            </w:r>
          </w:p>
        </w:tc>
        <w:tc>
          <w:tcPr>
            <w:tcW w:w="2780" w:type="dxa"/>
            <w:tcBorders>
              <w:left w:val="nil"/>
              <w:right w:val="nil"/>
            </w:tcBorders>
            <w:vAlign w:val="center"/>
          </w:tcPr>
          <w:p w14:paraId="38FC4D36" w14:textId="77777777" w:rsidR="00D037CF" w:rsidRPr="00D037CF" w:rsidRDefault="00D037CF" w:rsidP="00013648">
            <w:pPr>
              <w:spacing w:line="240" w:lineRule="auto"/>
              <w:ind w:firstLine="0"/>
              <w:jc w:val="center"/>
              <w:rPr>
                <w:sz w:val="20"/>
                <w:szCs w:val="20"/>
              </w:rPr>
            </w:pPr>
            <w:r w:rsidRPr="00D037CF">
              <w:rPr>
                <w:sz w:val="20"/>
                <w:szCs w:val="20"/>
              </w:rPr>
              <w:t>առավելագույնը 35%</w:t>
            </w:r>
          </w:p>
        </w:tc>
      </w:tr>
      <w:tr w:rsidR="00D037CF" w:rsidRPr="00B76333" w14:paraId="24BFB49B" w14:textId="77777777" w:rsidTr="00013648">
        <w:trPr>
          <w:jc w:val="center"/>
        </w:trPr>
        <w:tc>
          <w:tcPr>
            <w:tcW w:w="7241" w:type="dxa"/>
            <w:tcBorders>
              <w:left w:val="nil"/>
              <w:right w:val="nil"/>
            </w:tcBorders>
            <w:vAlign w:val="center"/>
          </w:tcPr>
          <w:p w14:paraId="017D32AF" w14:textId="77777777" w:rsidR="00D037CF" w:rsidRPr="00D037CF" w:rsidRDefault="00D037CF" w:rsidP="00013648">
            <w:pPr>
              <w:spacing w:line="240" w:lineRule="auto"/>
              <w:ind w:firstLine="0"/>
              <w:jc w:val="left"/>
              <w:rPr>
                <w:sz w:val="20"/>
                <w:szCs w:val="20"/>
              </w:rPr>
            </w:pPr>
            <w:r w:rsidRPr="00D037CF">
              <w:rPr>
                <w:sz w:val="20"/>
                <w:szCs w:val="20"/>
              </w:rPr>
              <w:t xml:space="preserve">Առաջիկա տարվա ընթացքում մարվող պետական գանձապետական պարտատոմսերի (ՊԳՊ) կշիռը ՊԳՊ-երի ծավալի մեջ </w:t>
            </w:r>
          </w:p>
        </w:tc>
        <w:tc>
          <w:tcPr>
            <w:tcW w:w="2780" w:type="dxa"/>
            <w:tcBorders>
              <w:left w:val="nil"/>
              <w:right w:val="nil"/>
            </w:tcBorders>
            <w:vAlign w:val="center"/>
          </w:tcPr>
          <w:p w14:paraId="3B0E0AC3" w14:textId="77777777" w:rsidR="00D037CF" w:rsidRPr="00D037CF" w:rsidRDefault="00D037CF" w:rsidP="00013648">
            <w:pPr>
              <w:spacing w:line="240" w:lineRule="auto"/>
              <w:ind w:firstLine="0"/>
              <w:jc w:val="center"/>
              <w:rPr>
                <w:sz w:val="20"/>
                <w:szCs w:val="20"/>
              </w:rPr>
            </w:pPr>
            <w:r w:rsidRPr="00D037CF">
              <w:rPr>
                <w:sz w:val="20"/>
                <w:szCs w:val="20"/>
              </w:rPr>
              <w:t>առավելագույնը 20%</w:t>
            </w:r>
          </w:p>
        </w:tc>
      </w:tr>
      <w:tr w:rsidR="00D037CF" w:rsidRPr="00B76333" w14:paraId="4B46AC11" w14:textId="77777777" w:rsidTr="00013648">
        <w:trPr>
          <w:trHeight w:val="417"/>
          <w:jc w:val="center"/>
        </w:trPr>
        <w:tc>
          <w:tcPr>
            <w:tcW w:w="7241" w:type="dxa"/>
            <w:tcBorders>
              <w:left w:val="nil"/>
              <w:right w:val="nil"/>
            </w:tcBorders>
            <w:vAlign w:val="center"/>
          </w:tcPr>
          <w:p w14:paraId="69807479" w14:textId="77777777" w:rsidR="00D037CF" w:rsidRPr="00D037CF" w:rsidRDefault="00D037CF" w:rsidP="00013648">
            <w:pPr>
              <w:spacing w:line="240" w:lineRule="auto"/>
              <w:ind w:firstLine="647"/>
              <w:jc w:val="left"/>
              <w:rPr>
                <w:b/>
                <w:sz w:val="20"/>
                <w:szCs w:val="20"/>
              </w:rPr>
            </w:pPr>
            <w:r w:rsidRPr="00D037CF">
              <w:rPr>
                <w:b/>
                <w:sz w:val="20"/>
                <w:szCs w:val="20"/>
              </w:rPr>
              <w:t>Տոկոսադրույքի ռիսկ</w:t>
            </w:r>
          </w:p>
        </w:tc>
        <w:tc>
          <w:tcPr>
            <w:tcW w:w="2780" w:type="dxa"/>
            <w:tcBorders>
              <w:left w:val="nil"/>
              <w:right w:val="nil"/>
            </w:tcBorders>
            <w:vAlign w:val="center"/>
          </w:tcPr>
          <w:p w14:paraId="000141D1" w14:textId="77777777" w:rsidR="00D037CF" w:rsidRPr="00D037CF" w:rsidRDefault="00D037CF" w:rsidP="00013648">
            <w:pPr>
              <w:spacing w:line="240" w:lineRule="auto"/>
              <w:ind w:firstLine="0"/>
              <w:jc w:val="center"/>
              <w:rPr>
                <w:b/>
                <w:sz w:val="20"/>
                <w:szCs w:val="20"/>
              </w:rPr>
            </w:pPr>
          </w:p>
        </w:tc>
      </w:tr>
      <w:tr w:rsidR="00D037CF" w:rsidRPr="00B76333" w14:paraId="57DC11EB" w14:textId="77777777" w:rsidTr="00013648">
        <w:trPr>
          <w:jc w:val="center"/>
        </w:trPr>
        <w:tc>
          <w:tcPr>
            <w:tcW w:w="7241" w:type="dxa"/>
            <w:tcBorders>
              <w:left w:val="nil"/>
              <w:right w:val="nil"/>
            </w:tcBorders>
            <w:vAlign w:val="center"/>
          </w:tcPr>
          <w:p w14:paraId="7143EA68" w14:textId="77777777" w:rsidR="00D037CF" w:rsidRPr="00D037CF" w:rsidRDefault="00D037CF" w:rsidP="00013648">
            <w:pPr>
              <w:spacing w:line="240" w:lineRule="auto"/>
              <w:ind w:firstLine="0"/>
              <w:jc w:val="left"/>
              <w:rPr>
                <w:sz w:val="20"/>
                <w:szCs w:val="20"/>
              </w:rPr>
            </w:pPr>
            <w:r w:rsidRPr="00D037CF">
              <w:rPr>
                <w:sz w:val="20"/>
                <w:szCs w:val="20"/>
              </w:rPr>
              <w:t>Ֆիքսված տոկոսադրույքով պարտքի կշիռն ընդամենը պարտքի մեջ</w:t>
            </w:r>
          </w:p>
        </w:tc>
        <w:tc>
          <w:tcPr>
            <w:tcW w:w="2780" w:type="dxa"/>
            <w:tcBorders>
              <w:left w:val="nil"/>
              <w:right w:val="nil"/>
            </w:tcBorders>
            <w:vAlign w:val="center"/>
          </w:tcPr>
          <w:p w14:paraId="55848480" w14:textId="77777777" w:rsidR="00D037CF" w:rsidRPr="00D037CF" w:rsidRDefault="00D037CF" w:rsidP="00013648">
            <w:pPr>
              <w:spacing w:line="240" w:lineRule="auto"/>
              <w:ind w:firstLine="0"/>
              <w:jc w:val="center"/>
              <w:rPr>
                <w:sz w:val="20"/>
                <w:szCs w:val="20"/>
              </w:rPr>
            </w:pPr>
            <w:r w:rsidRPr="00D037CF">
              <w:rPr>
                <w:sz w:val="20"/>
                <w:szCs w:val="20"/>
              </w:rPr>
              <w:t>առնվազն 80%</w:t>
            </w:r>
          </w:p>
        </w:tc>
      </w:tr>
      <w:tr w:rsidR="00D037CF" w:rsidRPr="00B76333" w14:paraId="302C5BB3" w14:textId="77777777" w:rsidTr="00013648">
        <w:trPr>
          <w:trHeight w:val="414"/>
          <w:jc w:val="center"/>
        </w:trPr>
        <w:tc>
          <w:tcPr>
            <w:tcW w:w="7241" w:type="dxa"/>
            <w:tcBorders>
              <w:left w:val="nil"/>
              <w:right w:val="nil"/>
            </w:tcBorders>
            <w:vAlign w:val="center"/>
          </w:tcPr>
          <w:p w14:paraId="30A84208" w14:textId="77777777" w:rsidR="00D037CF" w:rsidRPr="00D037CF" w:rsidRDefault="00D037CF" w:rsidP="00013648">
            <w:pPr>
              <w:spacing w:line="240" w:lineRule="auto"/>
              <w:ind w:firstLine="647"/>
              <w:jc w:val="left"/>
              <w:rPr>
                <w:b/>
                <w:sz w:val="20"/>
                <w:szCs w:val="20"/>
              </w:rPr>
            </w:pPr>
            <w:r w:rsidRPr="00D037CF">
              <w:rPr>
                <w:b/>
                <w:sz w:val="20"/>
                <w:szCs w:val="20"/>
              </w:rPr>
              <w:t>Փոխարժեքի ռիսկ</w:t>
            </w:r>
          </w:p>
        </w:tc>
        <w:tc>
          <w:tcPr>
            <w:tcW w:w="2780" w:type="dxa"/>
            <w:tcBorders>
              <w:left w:val="nil"/>
              <w:right w:val="nil"/>
            </w:tcBorders>
            <w:vAlign w:val="center"/>
          </w:tcPr>
          <w:p w14:paraId="41FA08B2" w14:textId="77777777" w:rsidR="00D037CF" w:rsidRPr="00D037CF" w:rsidRDefault="00D037CF" w:rsidP="00013648">
            <w:pPr>
              <w:spacing w:line="240" w:lineRule="auto"/>
              <w:ind w:firstLine="0"/>
              <w:jc w:val="center"/>
              <w:rPr>
                <w:b/>
                <w:sz w:val="20"/>
                <w:szCs w:val="20"/>
              </w:rPr>
            </w:pPr>
          </w:p>
        </w:tc>
      </w:tr>
      <w:tr w:rsidR="00D037CF" w:rsidRPr="00B76333" w14:paraId="61E08939" w14:textId="77777777" w:rsidTr="00013648">
        <w:trPr>
          <w:jc w:val="center"/>
        </w:trPr>
        <w:tc>
          <w:tcPr>
            <w:tcW w:w="7241" w:type="dxa"/>
            <w:tcBorders>
              <w:left w:val="nil"/>
              <w:right w:val="nil"/>
            </w:tcBorders>
            <w:vAlign w:val="center"/>
          </w:tcPr>
          <w:p w14:paraId="30C69CFF" w14:textId="77777777" w:rsidR="00D037CF" w:rsidRPr="00D037CF" w:rsidRDefault="00D037CF" w:rsidP="00013648">
            <w:pPr>
              <w:spacing w:line="240" w:lineRule="auto"/>
              <w:ind w:firstLine="0"/>
              <w:jc w:val="left"/>
              <w:rPr>
                <w:sz w:val="20"/>
                <w:szCs w:val="20"/>
              </w:rPr>
            </w:pPr>
            <w:r w:rsidRPr="00D037CF">
              <w:rPr>
                <w:sz w:val="20"/>
                <w:szCs w:val="20"/>
              </w:rPr>
              <w:t>Ներքին պարտքի կշիռն ընդամենը պարտքի մեջ</w:t>
            </w:r>
          </w:p>
        </w:tc>
        <w:tc>
          <w:tcPr>
            <w:tcW w:w="2780" w:type="dxa"/>
            <w:tcBorders>
              <w:left w:val="nil"/>
              <w:right w:val="nil"/>
            </w:tcBorders>
            <w:vAlign w:val="center"/>
          </w:tcPr>
          <w:p w14:paraId="4E81BA9A" w14:textId="77777777" w:rsidR="00D037CF" w:rsidRPr="00D037CF" w:rsidRDefault="00D037CF" w:rsidP="00013648">
            <w:pPr>
              <w:spacing w:line="240" w:lineRule="auto"/>
              <w:ind w:firstLine="0"/>
              <w:jc w:val="center"/>
              <w:rPr>
                <w:sz w:val="20"/>
                <w:szCs w:val="20"/>
              </w:rPr>
            </w:pPr>
            <w:r w:rsidRPr="00D037CF">
              <w:rPr>
                <w:sz w:val="20"/>
                <w:szCs w:val="20"/>
              </w:rPr>
              <w:t>առնվազն 40%</w:t>
            </w:r>
          </w:p>
        </w:tc>
      </w:tr>
      <w:tr w:rsidR="00D037CF" w:rsidRPr="00B76333" w14:paraId="019F3C27" w14:textId="77777777" w:rsidTr="00013648">
        <w:trPr>
          <w:jc w:val="center"/>
        </w:trPr>
        <w:tc>
          <w:tcPr>
            <w:tcW w:w="7241" w:type="dxa"/>
            <w:tcBorders>
              <w:left w:val="nil"/>
              <w:bottom w:val="thickThinSmallGap" w:sz="24" w:space="0" w:color="auto"/>
              <w:right w:val="nil"/>
            </w:tcBorders>
            <w:vAlign w:val="center"/>
          </w:tcPr>
          <w:p w14:paraId="7DFD4365" w14:textId="77777777" w:rsidR="00D037CF" w:rsidRPr="00D037CF" w:rsidRDefault="00D037CF" w:rsidP="00013648">
            <w:pPr>
              <w:spacing w:line="240" w:lineRule="auto"/>
              <w:ind w:firstLine="0"/>
              <w:jc w:val="left"/>
              <w:rPr>
                <w:strike/>
                <w:sz w:val="20"/>
                <w:szCs w:val="20"/>
              </w:rPr>
            </w:pPr>
            <w:r w:rsidRPr="00D037CF">
              <w:rPr>
                <w:sz w:val="20"/>
                <w:szCs w:val="20"/>
              </w:rPr>
              <w:t>ՀՀ դրամով ներգրավված պարտքի կշիռն ընդամենը պարտքի մեջ</w:t>
            </w:r>
          </w:p>
        </w:tc>
        <w:tc>
          <w:tcPr>
            <w:tcW w:w="2780" w:type="dxa"/>
            <w:tcBorders>
              <w:left w:val="nil"/>
              <w:bottom w:val="thickThinSmallGap" w:sz="24" w:space="0" w:color="auto"/>
              <w:right w:val="nil"/>
            </w:tcBorders>
            <w:vAlign w:val="center"/>
          </w:tcPr>
          <w:p w14:paraId="780F64E9" w14:textId="77777777" w:rsidR="00D037CF" w:rsidRPr="00D037CF" w:rsidRDefault="00D037CF" w:rsidP="00013648">
            <w:pPr>
              <w:spacing w:line="240" w:lineRule="auto"/>
              <w:ind w:firstLine="0"/>
              <w:jc w:val="center"/>
              <w:rPr>
                <w:strike/>
                <w:sz w:val="20"/>
                <w:szCs w:val="20"/>
              </w:rPr>
            </w:pPr>
            <w:r w:rsidRPr="00D037CF">
              <w:rPr>
                <w:sz w:val="20"/>
                <w:szCs w:val="20"/>
              </w:rPr>
              <w:t>առնվազն 40%</w:t>
            </w:r>
          </w:p>
        </w:tc>
      </w:tr>
    </w:tbl>
    <w:p w14:paraId="54D3613C" w14:textId="77777777" w:rsidR="00D037CF" w:rsidRDefault="00D037CF" w:rsidP="00D037CF">
      <w:pPr>
        <w:rPr>
          <w:sz w:val="18"/>
        </w:rPr>
      </w:pPr>
      <w:r w:rsidRPr="00E06CCC">
        <w:rPr>
          <w:color w:val="FF0000"/>
        </w:rPr>
        <w:t xml:space="preserve"> </w:t>
      </w:r>
      <w:r w:rsidRPr="000D4D8C">
        <w:rPr>
          <w:sz w:val="18"/>
        </w:rPr>
        <w:t>Աղբյուրը՝ ՀՀ ՖՆ հաշվարկներ</w:t>
      </w:r>
    </w:p>
    <w:p w14:paraId="4C46160F" w14:textId="77777777" w:rsidR="00D037CF" w:rsidRPr="00E06CCC" w:rsidRDefault="00D037CF" w:rsidP="00D037CF">
      <w:pPr>
        <w:rPr>
          <w:color w:val="FF0000"/>
        </w:rPr>
      </w:pPr>
    </w:p>
    <w:p w14:paraId="37C92BE5" w14:textId="77777777" w:rsidR="00D037CF" w:rsidRDefault="00D037CF" w:rsidP="00D037CF">
      <w:pPr>
        <w:spacing w:before="120" w:after="0" w:line="276" w:lineRule="auto"/>
        <w:ind w:firstLine="0"/>
      </w:pPr>
      <w:r w:rsidRPr="00B76333">
        <w:t>ՀՀ կառավարության պարտքի կառավարման 202</w:t>
      </w:r>
      <w:r>
        <w:t>4</w:t>
      </w:r>
      <w:r w:rsidRPr="00B76333">
        <w:t>-202</w:t>
      </w:r>
      <w:r>
        <w:t>6</w:t>
      </w:r>
      <w:r w:rsidRPr="00B76333">
        <w:t xml:space="preserve"> թվականների ռազմավարության համեմատությամբ պարտքի պորտֆելի ուղենշային ցուցանիշներ</w:t>
      </w:r>
      <w:r>
        <w:t>ում փոփոխություն չի նախատեսվել: Դա նշանակում է, որ ՀՀ կառավարության պարտքի կառավարման քաղաքականութայն մոտեցումներ</w:t>
      </w:r>
      <w:r w:rsidRPr="00B76333">
        <w:t>ը</w:t>
      </w:r>
      <w:r>
        <w:t xml:space="preserve"> և քանակական նպատակադրումները կայուն են միջնաժամկետ հատվածում</w:t>
      </w:r>
      <w:r w:rsidRPr="00B76333">
        <w:t xml:space="preserve">: </w:t>
      </w:r>
    </w:p>
    <w:p w14:paraId="3BA5BFFE" w14:textId="77777777" w:rsidR="00D037CF" w:rsidRDefault="00D037CF" w:rsidP="00D037CF">
      <w:pPr>
        <w:spacing w:before="120" w:after="0" w:line="276" w:lineRule="auto"/>
        <w:ind w:firstLine="0"/>
      </w:pPr>
    </w:p>
    <w:p w14:paraId="3C44A7CF" w14:textId="69EA5879" w:rsidR="00D037CF" w:rsidRPr="00461381" w:rsidRDefault="0075651F" w:rsidP="00461381">
      <w:pPr>
        <w:tabs>
          <w:tab w:val="left" w:pos="0"/>
        </w:tabs>
        <w:spacing w:before="120" w:after="0" w:line="276" w:lineRule="auto"/>
        <w:ind w:firstLine="0"/>
        <w:rPr>
          <w:b/>
          <w:color w:val="44546A" w:themeColor="text2"/>
          <w:sz w:val="24"/>
          <w:szCs w:val="24"/>
          <w:lang w:val="hy-AM" w:eastAsia="ru-RU"/>
        </w:rPr>
      </w:pPr>
      <w:bookmarkStart w:id="264" w:name="_Toc138951005"/>
      <w:r w:rsidRPr="00461381">
        <w:rPr>
          <w:b/>
          <w:color w:val="44546A" w:themeColor="text2"/>
          <w:sz w:val="24"/>
          <w:szCs w:val="24"/>
          <w:lang w:val="hy-AM" w:eastAsia="ru-RU"/>
        </w:rPr>
        <w:t xml:space="preserve">1.4.6. </w:t>
      </w:r>
      <w:r w:rsidR="00D037CF" w:rsidRPr="00461381">
        <w:rPr>
          <w:b/>
          <w:color w:val="44546A" w:themeColor="text2"/>
          <w:sz w:val="24"/>
          <w:szCs w:val="24"/>
          <w:lang w:val="hy-AM" w:eastAsia="ru-RU"/>
        </w:rPr>
        <w:t>Զգայունության վերլուծություններ</w:t>
      </w:r>
      <w:bookmarkEnd w:id="264"/>
    </w:p>
    <w:p w14:paraId="30E67296" w14:textId="77777777" w:rsidR="00D037CF" w:rsidRPr="0070296A" w:rsidRDefault="00D037CF" w:rsidP="0075651F">
      <w:pPr>
        <w:spacing w:before="120" w:after="0" w:line="276" w:lineRule="auto"/>
        <w:ind w:firstLine="0"/>
      </w:pPr>
      <w:r w:rsidRPr="0070296A">
        <w:t>Մինչ այժմ կատարված ծախսերի և ռիսկերի վերլուծությունը հիմնված է եղել կանխատես</w:t>
      </w:r>
      <w:r w:rsidRPr="0070296A">
        <w:softHyphen/>
        <w:t>ված մակրոտնտեսական և հարկաբյուջետային ցուցանիշների վրա և իրենից ներ</w:t>
      </w:r>
      <w:r w:rsidRPr="0070296A">
        <w:softHyphen/>
        <w:t>կա</w:t>
      </w:r>
      <w:r w:rsidRPr="0070296A">
        <w:softHyphen/>
        <w:t>յացնում է ՀՀ կառավարության պարտքի կառավարման ռազմավարության հիմնական սցե</w:t>
      </w:r>
      <w:r w:rsidRPr="0070296A">
        <w:softHyphen/>
        <w:t xml:space="preserve">նար: </w:t>
      </w:r>
      <w:r>
        <w:t>Ն</w:t>
      </w:r>
      <w:r w:rsidRPr="0070296A">
        <w:t>երկայացվում է շուկայական փոփոխականների նկատմամբ կիրառված տարբեր շոկերի արդյունքում ծախ</w:t>
      </w:r>
      <w:r w:rsidRPr="0070296A">
        <w:softHyphen/>
        <w:t xml:space="preserve">սերի և ռիսկերի ցուցանիշների շեղման չափը հիմնական սցենարի, այսինքն ընտրված ռազմավարության արդյունքներից: </w:t>
      </w:r>
    </w:p>
    <w:p w14:paraId="13C6BBC9" w14:textId="77777777" w:rsidR="00D037CF" w:rsidRDefault="00D037CF" w:rsidP="00D037CF">
      <w:pPr>
        <w:pStyle w:val="afe"/>
      </w:pPr>
      <w:r w:rsidRPr="0070296A">
        <w:t xml:space="preserve">Գծապատկեր </w:t>
      </w:r>
      <w:r>
        <w:t>10</w:t>
      </w:r>
      <w:r w:rsidRPr="0070296A">
        <w:t>. ՀՀ կառավարության պարտք/ՀՆԱ ցուցանիշը 202</w:t>
      </w:r>
      <w:r>
        <w:t>4</w:t>
      </w:r>
      <w:r w:rsidRPr="0070296A">
        <w:t>-202</w:t>
      </w:r>
      <w:r>
        <w:t>7</w:t>
      </w:r>
      <w:r w:rsidRPr="0070296A">
        <w:t xml:space="preserve"> թվականներին</w:t>
      </w:r>
    </w:p>
    <w:p w14:paraId="4A1ED8F3" w14:textId="77777777" w:rsidR="00D037CF" w:rsidRPr="0070296A" w:rsidRDefault="00D037CF" w:rsidP="00D037CF">
      <w:pPr>
        <w:pStyle w:val="afe"/>
        <w:jc w:val="center"/>
      </w:pPr>
      <w:r>
        <w:rPr>
          <w:noProof/>
          <w:lang w:val="en-US"/>
        </w:rPr>
        <w:drawing>
          <wp:inline distT="0" distB="0" distL="0" distR="0" wp14:anchorId="2A9019E9" wp14:editId="753ECF4A">
            <wp:extent cx="5562600" cy="3457575"/>
            <wp:effectExtent l="0" t="0" r="0" b="9525"/>
            <wp:docPr id="1545876460" name="Chart 1545876460">
              <a:extLst xmlns:a="http://schemas.openxmlformats.org/drawingml/2006/main">
                <a:ext uri="{FF2B5EF4-FFF2-40B4-BE49-F238E27FC236}">
                  <a16:creationId xmlns:a16="http://schemas.microsoft.com/office/drawing/2014/main" id="{00000000-0008-0000-0D00-00004640F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C75AE55" w14:textId="77777777" w:rsidR="00D037CF" w:rsidRDefault="00D037CF" w:rsidP="00D037CF">
      <w:pPr>
        <w:pStyle w:val="NoSpacing"/>
        <w:jc w:val="center"/>
        <w:rPr>
          <w:noProof/>
          <w:color w:val="FF0000"/>
        </w:rPr>
      </w:pPr>
    </w:p>
    <w:p w14:paraId="69ADB45D" w14:textId="77777777" w:rsidR="00D037CF" w:rsidRPr="00E06CCC" w:rsidRDefault="00D037CF" w:rsidP="00D037CF">
      <w:pPr>
        <w:pStyle w:val="NoSpacing"/>
        <w:spacing w:before="120"/>
        <w:rPr>
          <w:color w:val="FF0000"/>
        </w:rPr>
      </w:pPr>
      <w:r w:rsidRPr="00146A53">
        <w:rPr>
          <w:sz w:val="16"/>
        </w:rPr>
        <w:t>Աղբյուրը՝ ՀՀ ՖՆ հաշվարկներ և կանխատեսումներ</w:t>
      </w:r>
    </w:p>
    <w:p w14:paraId="47ED4A8C" w14:textId="77777777" w:rsidR="00D037CF" w:rsidRDefault="00D037CF" w:rsidP="00D037CF">
      <w:pPr>
        <w:pStyle w:val="NoSpacing"/>
        <w:rPr>
          <w:color w:val="FF0000"/>
        </w:rPr>
      </w:pPr>
    </w:p>
    <w:p w14:paraId="7551B2E0" w14:textId="77777777" w:rsidR="00D037CF" w:rsidRDefault="00D037CF" w:rsidP="00D037CF">
      <w:pPr>
        <w:pStyle w:val="NoSpacing"/>
        <w:rPr>
          <w:color w:val="FF0000"/>
        </w:rPr>
      </w:pPr>
    </w:p>
    <w:p w14:paraId="5A48294B" w14:textId="77777777" w:rsidR="00D037CF" w:rsidRDefault="00D037CF" w:rsidP="00D037CF">
      <w:pPr>
        <w:pStyle w:val="NoSpacing"/>
        <w:rPr>
          <w:color w:val="FF0000"/>
        </w:rPr>
      </w:pPr>
    </w:p>
    <w:p w14:paraId="1D650E12" w14:textId="77777777" w:rsidR="00D037CF" w:rsidRPr="00E06CCC" w:rsidRDefault="00D037CF" w:rsidP="00D037CF">
      <w:pPr>
        <w:pStyle w:val="NoSpacing"/>
        <w:rPr>
          <w:color w:val="FF0000"/>
        </w:rPr>
      </w:pPr>
    </w:p>
    <w:p w14:paraId="48D98AA0" w14:textId="77777777" w:rsidR="00D037CF" w:rsidRPr="0070296A" w:rsidRDefault="00D037CF" w:rsidP="00D037CF">
      <w:pPr>
        <w:pStyle w:val="afe"/>
        <w:spacing w:before="120"/>
      </w:pPr>
      <w:r w:rsidRPr="0070296A">
        <w:t xml:space="preserve">Գծապատկեր </w:t>
      </w:r>
      <w:r>
        <w:t>11</w:t>
      </w:r>
      <w:r w:rsidRPr="0070296A">
        <w:t>. Տոկոսավճար/ՀՆԱ ցուցանիշը 202</w:t>
      </w:r>
      <w:r>
        <w:t>4</w:t>
      </w:r>
      <w:r w:rsidRPr="0070296A">
        <w:t>-202</w:t>
      </w:r>
      <w:r>
        <w:t>7</w:t>
      </w:r>
      <w:r w:rsidRPr="0070296A">
        <w:t xml:space="preserve"> թվականներին</w:t>
      </w:r>
    </w:p>
    <w:p w14:paraId="5CA7FDE8" w14:textId="77777777" w:rsidR="00D037CF" w:rsidRDefault="00D037CF" w:rsidP="00D037CF">
      <w:pPr>
        <w:pStyle w:val="NoSpacing1"/>
        <w:rPr>
          <w:noProof/>
          <w:color w:val="FF0000"/>
        </w:rPr>
      </w:pPr>
    </w:p>
    <w:p w14:paraId="33C488B2" w14:textId="77777777" w:rsidR="00D037CF" w:rsidRDefault="00D037CF" w:rsidP="00D037CF">
      <w:pPr>
        <w:pStyle w:val="NoSpacing1"/>
        <w:jc w:val="center"/>
        <w:rPr>
          <w:noProof/>
          <w:color w:val="FF0000"/>
        </w:rPr>
      </w:pPr>
      <w:r>
        <w:rPr>
          <w:noProof/>
        </w:rPr>
        <w:drawing>
          <wp:inline distT="0" distB="0" distL="0" distR="0" wp14:anchorId="05A34D50" wp14:editId="64D99A40">
            <wp:extent cx="4848225" cy="3048000"/>
            <wp:effectExtent l="0" t="0" r="9525" b="0"/>
            <wp:docPr id="1545876461" name="Chart 1545876461">
              <a:extLst xmlns:a="http://schemas.openxmlformats.org/drawingml/2006/main">
                <a:ext uri="{FF2B5EF4-FFF2-40B4-BE49-F238E27FC236}">
                  <a16:creationId xmlns:a16="http://schemas.microsoft.com/office/drawing/2014/main" id="{00000000-0008-0000-0D00-00004740F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5BCDF38" w14:textId="77777777" w:rsidR="00D037CF" w:rsidRPr="0075651F" w:rsidRDefault="00D037CF" w:rsidP="0075651F">
      <w:pPr>
        <w:pStyle w:val="NoSpacing"/>
        <w:spacing w:before="120"/>
        <w:rPr>
          <w:sz w:val="16"/>
        </w:rPr>
      </w:pPr>
      <w:r w:rsidRPr="00146A53">
        <w:rPr>
          <w:sz w:val="16"/>
        </w:rPr>
        <w:t>Աղբյուրը՝ ՀՀ ՖՆ հաշվարկներ և կանխատեսումներ</w:t>
      </w:r>
    </w:p>
    <w:p w14:paraId="09CC36EC" w14:textId="77777777" w:rsidR="00D037CF" w:rsidRPr="0070296A" w:rsidRDefault="00D037CF" w:rsidP="0075651F">
      <w:pPr>
        <w:pStyle w:val="aff"/>
        <w:spacing w:before="120" w:after="0" w:line="276" w:lineRule="auto"/>
        <w:ind w:firstLine="562"/>
      </w:pPr>
      <w:r w:rsidRPr="0070296A">
        <w:t>Փոխարժեքի շոկ</w:t>
      </w:r>
    </w:p>
    <w:p w14:paraId="7A63AB76" w14:textId="77777777" w:rsidR="00D037CF" w:rsidRPr="0070296A" w:rsidRDefault="00D037CF" w:rsidP="0075651F">
      <w:pPr>
        <w:spacing w:before="120" w:after="0" w:line="276" w:lineRule="auto"/>
        <w:ind w:firstLine="0"/>
      </w:pPr>
      <w:r w:rsidRPr="0070296A">
        <w:t>ՀՀ կառավարության պարտքի պորտֆել</w:t>
      </w:r>
      <w:r>
        <w:t xml:space="preserve">ի </w:t>
      </w:r>
      <w:r w:rsidRPr="0070296A">
        <w:t>փոխարժեքի</w:t>
      </w:r>
      <w:r>
        <w:t xml:space="preserve"> </w:t>
      </w:r>
      <w:r w:rsidRPr="0070296A">
        <w:t>ռիսկ</w:t>
      </w:r>
      <w:r>
        <w:t>ը դեռևս զգալի է</w:t>
      </w:r>
      <w:r w:rsidRPr="0070296A">
        <w:t xml:space="preserve">: Կիրառելով </w:t>
      </w:r>
      <w:r w:rsidRPr="00CD7AE3">
        <w:t>ՀՀ դրամի արժեզրկմա</w:t>
      </w:r>
      <w:r>
        <w:t>ն պատմական առավելագույն մեծությա</w:t>
      </w:r>
      <w:r w:rsidRPr="00CD7AE3">
        <w:t>ն</w:t>
      </w:r>
      <w:r>
        <w:t>ը հավասար</w:t>
      </w:r>
      <w:r w:rsidRPr="00074649" w:rsidDel="0077465B">
        <w:t xml:space="preserve"> </w:t>
      </w:r>
      <w:r>
        <w:t>23</w:t>
      </w:r>
      <w:r w:rsidRPr="0070296A">
        <w:t xml:space="preserve">% շոկ՝ 2024 թվականին արժեզրկելով ՀՀ դրամը ԱՄՆ դոլարի, եվրոյի և SDR-ի նկատմամբ, </w:t>
      </w:r>
      <w:r>
        <w:t>«</w:t>
      </w:r>
      <w:r w:rsidRPr="0070296A">
        <w:t>ՀՀ կառա</w:t>
      </w:r>
      <w:r w:rsidRPr="0070296A">
        <w:softHyphen/>
        <w:t>վարության պարտք/ՀՆԱ</w:t>
      </w:r>
      <w:r>
        <w:t>»</w:t>
      </w:r>
      <w:r w:rsidRPr="0070296A">
        <w:t xml:space="preserve"> հարաբերակցությունը </w:t>
      </w:r>
      <w:r>
        <w:t>2027</w:t>
      </w:r>
      <w:r w:rsidRPr="0070296A">
        <w:t xml:space="preserve"> թվականի տարեվերջին հասնում է </w:t>
      </w:r>
      <w:r>
        <w:t>61.4</w:t>
      </w:r>
      <w:r w:rsidRPr="0070296A">
        <w:t xml:space="preserve">%-ի, որը </w:t>
      </w:r>
      <w:r>
        <w:t>հատում է «Պետական պարտքի մասին» ՀՀ օրենքով սահմանված սահմանային շեմը</w:t>
      </w:r>
      <w:r w:rsidRPr="0070296A">
        <w:t xml:space="preserve">: </w:t>
      </w:r>
    </w:p>
    <w:p w14:paraId="5CB5C2C1" w14:textId="77777777" w:rsidR="00D037CF" w:rsidRPr="00E06CCC" w:rsidRDefault="00D037CF" w:rsidP="0075651F">
      <w:pPr>
        <w:spacing w:before="120" w:after="0" w:line="276" w:lineRule="auto"/>
        <w:ind w:firstLine="0"/>
        <w:rPr>
          <w:color w:val="FF0000"/>
        </w:rPr>
      </w:pPr>
      <w:r w:rsidRPr="0070296A">
        <w:t xml:space="preserve">Եթե </w:t>
      </w:r>
      <w:r>
        <w:t>ՀՀ կառավարության պարտքի փոխարկման հիմքում ընկած ԱՄՆ դոլարի նկատմամբ բազային կանխատեսումները յուրաքանչյուր փոխարժեքի գծով ավելանան տարեկան 1</w:t>
      </w:r>
      <w:r w:rsidRPr="00B1068B">
        <w:t>%-</w:t>
      </w:r>
      <w:r>
        <w:t xml:space="preserve">ով, </w:t>
      </w:r>
      <w:r w:rsidRPr="0070296A">
        <w:t>ապա 202</w:t>
      </w:r>
      <w:r>
        <w:t>5</w:t>
      </w:r>
      <w:r w:rsidRPr="0070296A">
        <w:t>-202</w:t>
      </w:r>
      <w:r>
        <w:t>7</w:t>
      </w:r>
      <w:r w:rsidRPr="0070296A">
        <w:t xml:space="preserve"> թվականների ընթացքում ՀՀ կառա</w:t>
      </w:r>
      <w:r w:rsidRPr="0070296A">
        <w:softHyphen/>
        <w:t>վա</w:t>
      </w:r>
      <w:r w:rsidRPr="0070296A">
        <w:softHyphen/>
        <w:t xml:space="preserve">րության արտարժութային պարտքը </w:t>
      </w:r>
      <w:r>
        <w:t xml:space="preserve">կավելանա </w:t>
      </w:r>
      <w:r w:rsidRPr="0070296A">
        <w:t>ՀՆԱ-ի 0.3%-ով:</w:t>
      </w:r>
    </w:p>
    <w:p w14:paraId="43FD4DBD" w14:textId="77777777" w:rsidR="00D037CF" w:rsidRPr="0070296A" w:rsidRDefault="00D037CF" w:rsidP="0075651F">
      <w:pPr>
        <w:pStyle w:val="aff"/>
        <w:spacing w:before="120" w:after="0" w:line="276" w:lineRule="auto"/>
        <w:ind w:firstLine="0"/>
      </w:pPr>
      <w:r w:rsidRPr="0070296A">
        <w:t>Տոկոսադրույքի շոկ</w:t>
      </w:r>
    </w:p>
    <w:p w14:paraId="679C2D84" w14:textId="77777777" w:rsidR="00D037CF" w:rsidRPr="00D037CF" w:rsidRDefault="00D037CF" w:rsidP="0075651F">
      <w:pPr>
        <w:spacing w:before="120" w:after="0" w:line="276" w:lineRule="auto"/>
        <w:ind w:firstLine="0"/>
        <w:rPr>
          <w:color w:val="FF0000"/>
          <w:lang w:val="hy-AM"/>
        </w:rPr>
      </w:pPr>
      <w:r w:rsidRPr="00D037CF">
        <w:rPr>
          <w:lang w:val="hy-AM"/>
        </w:rPr>
        <w:t>Վերլուծելով արտաքին և ներքին աղբյուրներից ներգրավվող փոխառու միջոցների տոկո</w:t>
      </w:r>
      <w:r w:rsidRPr="00D037CF">
        <w:rPr>
          <w:lang w:val="hy-AM"/>
        </w:rPr>
        <w:softHyphen/>
        <w:t>սադրույք</w:t>
      </w:r>
      <w:r w:rsidRPr="00D037CF">
        <w:rPr>
          <w:lang w:val="hy-AM"/>
        </w:rPr>
        <w:softHyphen/>
        <w:t>ների 250 բազիսային կետի չափով աճի շոկային սցենարը (Տոկոսադրույքի շոկ 1), որը միջազգային ֆինանսական կառույցների կողմից պարտքի ռազմավարության վերլուծություններում կիրառվող ստանդարտ չափավոր շոկ է (այն մոտավորապես հավասար է նաև իրական տոկոսադրույքների պատմական տատանողականության մեկ ստանդարտ շեղմանը), պարզ է դառնում, որ տոկոսադրույքի շոկի ազդեցությունը ՀՀ կառավարության պարտքի պորտֆելի վրա նույնպես նշանակալի է: «ՀՀ կառա</w:t>
      </w:r>
      <w:r w:rsidRPr="00D037CF">
        <w:rPr>
          <w:lang w:val="hy-AM"/>
        </w:rPr>
        <w:softHyphen/>
        <w:t>վարության պարտք/ՀՆԱ» հարաբերակցությունը 2027 թվականի տարեվերջին հիմնական սցենարի նույն ցուցանիշի նկատմամբ ավելանալով 0.6 տոկոսային կետով՝ կազմում է 55.6%: Տոկոսավճար/ՀՆԱ հարաբերակցությունն այս պարագայում կարող է ավելանալ 0.3 տոկոսային կետով:</w:t>
      </w:r>
      <w:r w:rsidRPr="00D037CF">
        <w:rPr>
          <w:color w:val="FF0000"/>
          <w:lang w:val="hy-AM"/>
        </w:rPr>
        <w:t xml:space="preserve"> </w:t>
      </w:r>
    </w:p>
    <w:p w14:paraId="6D8B0355" w14:textId="77777777" w:rsidR="00D037CF" w:rsidRPr="00A71282" w:rsidRDefault="00D037CF" w:rsidP="0075651F">
      <w:pPr>
        <w:spacing w:before="120" w:after="0" w:line="276" w:lineRule="auto"/>
        <w:ind w:firstLine="0"/>
        <w:rPr>
          <w:color w:val="FF0000"/>
          <w:lang w:val="hy-AM"/>
        </w:rPr>
      </w:pPr>
      <w:r w:rsidRPr="00A71282">
        <w:rPr>
          <w:lang w:val="hy-AM"/>
        </w:rPr>
        <w:t>Զուգահեռաբար ենթադրվել է նաև էական՝ 500 բազիսային կետի չափով արտաքին և ներքին աղբյուրներից ներգրավվող փոխառու միջոցների նկատմամբ շոկային սցենար (Տոկոսադրույքի շոկ 2), որը միջազգային ֆինանսական կառույցների կողմից պարտքի ռազմավարության վերլուծություններում կիրառվող ստանդարտ ծայրահեղ շոկ է (այն մոտավորապես հավասար է իրական տոկոսադրույքների պատմական տատանողականության երկու ստանդարտ շեղմանը) և դրա տեղի ունենալու հավանականությունը բավականին ցածր է: Տոկոսադրույքների նման շոկը «ՀՀ կառավարության պարտք/ՀՆԱ» ցուցանիշը բազային սցենարի նկատմամբ կավելացնի 1.2 տոկոսային կետով՝ 2027 թվականի տարեվերջին հասցնելով 56.2%-ի: ՀՀ կառավարության պարտքի սպասարկման տեսա</w:t>
      </w:r>
      <w:r w:rsidRPr="00A71282">
        <w:rPr>
          <w:lang w:val="hy-AM"/>
        </w:rPr>
        <w:softHyphen/>
        <w:t>կետից այսպիսի էական շոկը 2027 թվականի տարեվերջին «Տոկոսավճար/ՀՆԱ» ցուցանիշը կարող է ավելացնել 0.5 տոկոսային կետով:</w:t>
      </w:r>
      <w:r w:rsidRPr="00A71282">
        <w:rPr>
          <w:color w:val="FF0000"/>
          <w:lang w:val="hy-AM"/>
        </w:rPr>
        <w:t xml:space="preserve"> </w:t>
      </w:r>
    </w:p>
    <w:p w14:paraId="090BC0AE" w14:textId="77777777" w:rsidR="00D037CF" w:rsidRPr="0070296A" w:rsidRDefault="00D037CF" w:rsidP="0075651F">
      <w:pPr>
        <w:pStyle w:val="aff"/>
        <w:spacing w:before="120" w:after="0" w:line="276" w:lineRule="auto"/>
        <w:ind w:firstLine="0"/>
      </w:pPr>
      <w:r w:rsidRPr="0070296A">
        <w:t>Փոխարժեքի և տոկոսադրույքի համակցված շոկ</w:t>
      </w:r>
    </w:p>
    <w:p w14:paraId="22EB7CCC" w14:textId="77777777" w:rsidR="00D037CF" w:rsidRPr="00A71282" w:rsidRDefault="00D037CF" w:rsidP="0075651F">
      <w:pPr>
        <w:spacing w:before="120" w:after="0" w:line="276" w:lineRule="auto"/>
        <w:ind w:firstLine="0"/>
        <w:rPr>
          <w:lang w:val="hy-AM"/>
        </w:rPr>
      </w:pPr>
      <w:r w:rsidRPr="00A71282">
        <w:rPr>
          <w:lang w:val="hy-AM"/>
        </w:rPr>
        <w:t>Կիրառելով 15% փոխարժեքի շոկը, որը միջազգային ֆինանսական կառույցների կողմից պարտքի ռազմավարության վերլուծություններում կիրառվող ստանդարտ չափավոր շոկ է (2024 թվականին ՀՀ դրամը արժեզրկվում է ԱՄՆ դոլարի, եվրոյի և SDR-ի նկատմամբ) և տոկոսադրույքի չափավոր շոկը (Տոկոսադրույքի շոկ 1) միասին՝ «ՀՀ կառա</w:t>
      </w:r>
      <w:r w:rsidRPr="00A71282">
        <w:rPr>
          <w:lang w:val="hy-AM"/>
        </w:rPr>
        <w:softHyphen/>
        <w:t>վարության պարտք/ՀՆԱ» հարաբերակցությունը 2027 թվականի տարեվերջին հասնում է 59.8%-ի, որը 4.8 տոկոսային կետով ավելի է հիմնական սցենարի նույն ցուցանիշից և բավականին մոտ է ՀՀ կառավարության պարտքի վերին շեմին: «Տոկոսավճար/ՀՆԱ» հարաբերակցությունն այս դեպքում կարող է ավելանալ 0.5 տոկոսային կետով:</w:t>
      </w:r>
    </w:p>
    <w:p w14:paraId="3F1F70AE" w14:textId="77777777" w:rsidR="00D037CF" w:rsidRPr="00A71282" w:rsidRDefault="00D037CF" w:rsidP="0075651F">
      <w:pPr>
        <w:spacing w:before="120" w:after="0" w:line="276" w:lineRule="auto"/>
        <w:ind w:firstLine="0"/>
        <w:rPr>
          <w:color w:val="FF0000"/>
          <w:lang w:val="hy-AM"/>
        </w:rPr>
      </w:pPr>
      <w:r w:rsidRPr="00A71282">
        <w:rPr>
          <w:lang w:val="hy-AM"/>
        </w:rPr>
        <w:t>Ստորև ներկայացվում է նաև լողացող տոկոսադրույքով պարտքի մեկ տոկոսային կետով աճի և ներքին տոկոսադրույքների մեկ տոկոսային կետով աճի ազդեցությունները:</w:t>
      </w:r>
      <w:r w:rsidRPr="00A71282">
        <w:rPr>
          <w:color w:val="FF0000"/>
          <w:lang w:val="hy-AM"/>
        </w:rPr>
        <w:t xml:space="preserve"> </w:t>
      </w:r>
    </w:p>
    <w:p w14:paraId="3432A37F" w14:textId="77777777" w:rsidR="00D037CF" w:rsidRPr="00A71282" w:rsidRDefault="00D037CF" w:rsidP="0075651F">
      <w:pPr>
        <w:spacing w:before="120" w:after="0" w:line="276" w:lineRule="auto"/>
        <w:ind w:firstLine="0"/>
        <w:rPr>
          <w:lang w:val="hy-AM"/>
        </w:rPr>
      </w:pPr>
      <w:r w:rsidRPr="00A71282">
        <w:rPr>
          <w:lang w:val="hy-AM"/>
        </w:rPr>
        <w:t>Լողացող տոկոսադրույքների՝ SOFR-ի և 6-ամսյա եվրիբորի մեկ տոկոսային կետի փոփոխության դեպքում 2025-2027 թվականներին ՀՀ կառավարության արտարժութային պարտ</w:t>
      </w:r>
      <w:r w:rsidRPr="00A71282">
        <w:rPr>
          <w:lang w:val="hy-AM"/>
        </w:rPr>
        <w:softHyphen/>
        <w:t>քի գծով տոկոսային ծախսերը միջին հաշվով կփոփոխվեն տարեկան 9.0 մլրդ դրամով:</w:t>
      </w:r>
      <w:r w:rsidRPr="00A71282">
        <w:rPr>
          <w:color w:val="FF0000"/>
          <w:lang w:val="hy-AM"/>
        </w:rPr>
        <w:t xml:space="preserve"> </w:t>
      </w:r>
    </w:p>
    <w:p w14:paraId="15B70246" w14:textId="77777777" w:rsidR="00D037CF" w:rsidRPr="0070296A" w:rsidRDefault="00D037CF" w:rsidP="00D037CF">
      <w:pPr>
        <w:pStyle w:val="afd"/>
        <w:numPr>
          <w:ilvl w:val="0"/>
          <w:numId w:val="21"/>
        </w:numPr>
        <w:ind w:left="1276" w:hanging="1276"/>
      </w:pPr>
      <w:r w:rsidRPr="0070296A">
        <w:t>Լողացող տոկոսադրույքների 1 տոկոսային կետի փոփոխության ազդեցությունը ՀՀ կառավարության արտարժութային պարտքի տոկոսավճարների վրա</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7"/>
        <w:gridCol w:w="1421"/>
        <w:gridCol w:w="1358"/>
        <w:gridCol w:w="1212"/>
      </w:tblGrid>
      <w:tr w:rsidR="00D037CF" w:rsidRPr="0070296A" w14:paraId="31187BCD" w14:textId="77777777" w:rsidTr="0075651F">
        <w:trPr>
          <w:trHeight w:val="294"/>
          <w:tblHeader/>
          <w:jc w:val="center"/>
        </w:trPr>
        <w:tc>
          <w:tcPr>
            <w:tcW w:w="5227" w:type="dxa"/>
            <w:tcBorders>
              <w:top w:val="thinThickSmallGap" w:sz="24" w:space="0" w:color="auto"/>
              <w:left w:val="nil"/>
              <w:bottom w:val="thinThickSmallGap" w:sz="24" w:space="0" w:color="auto"/>
              <w:right w:val="nil"/>
            </w:tcBorders>
            <w:shd w:val="clear" w:color="auto" w:fill="BDD6EE" w:themeFill="accent1" w:themeFillTint="66"/>
            <w:noWrap/>
            <w:vAlign w:val="center"/>
          </w:tcPr>
          <w:p w14:paraId="28DF07AE" w14:textId="77777777" w:rsidR="00D037CF" w:rsidRPr="00A71282" w:rsidRDefault="00D037CF" w:rsidP="00013648">
            <w:pPr>
              <w:spacing w:line="240" w:lineRule="auto"/>
              <w:ind w:firstLine="0"/>
              <w:jc w:val="center"/>
              <w:rPr>
                <w:sz w:val="20"/>
                <w:szCs w:val="20"/>
                <w:lang w:val="hy-AM"/>
              </w:rPr>
            </w:pPr>
          </w:p>
        </w:tc>
        <w:tc>
          <w:tcPr>
            <w:tcW w:w="1421" w:type="dxa"/>
            <w:tcBorders>
              <w:top w:val="thinThickSmallGap" w:sz="24" w:space="0" w:color="auto"/>
              <w:left w:val="nil"/>
              <w:bottom w:val="thinThickSmallGap" w:sz="24" w:space="0" w:color="auto"/>
              <w:right w:val="nil"/>
            </w:tcBorders>
            <w:shd w:val="clear" w:color="auto" w:fill="BDD6EE" w:themeFill="accent1" w:themeFillTint="66"/>
            <w:noWrap/>
            <w:vAlign w:val="center"/>
          </w:tcPr>
          <w:p w14:paraId="0F36664C" w14:textId="77777777" w:rsidR="00D037CF" w:rsidRPr="0075651F" w:rsidRDefault="00D037CF" w:rsidP="00013648">
            <w:pPr>
              <w:spacing w:line="240" w:lineRule="auto"/>
              <w:ind w:firstLine="0"/>
              <w:jc w:val="center"/>
              <w:rPr>
                <w:sz w:val="20"/>
                <w:szCs w:val="20"/>
              </w:rPr>
            </w:pPr>
            <w:r w:rsidRPr="0075651F">
              <w:rPr>
                <w:sz w:val="20"/>
                <w:szCs w:val="20"/>
              </w:rPr>
              <w:t>2025</w:t>
            </w:r>
          </w:p>
        </w:tc>
        <w:tc>
          <w:tcPr>
            <w:tcW w:w="1358" w:type="dxa"/>
            <w:tcBorders>
              <w:top w:val="thinThickSmallGap" w:sz="24" w:space="0" w:color="auto"/>
              <w:left w:val="nil"/>
              <w:bottom w:val="thinThickSmallGap" w:sz="24" w:space="0" w:color="auto"/>
              <w:right w:val="nil"/>
            </w:tcBorders>
            <w:shd w:val="clear" w:color="auto" w:fill="BDD6EE" w:themeFill="accent1" w:themeFillTint="66"/>
            <w:noWrap/>
            <w:vAlign w:val="center"/>
          </w:tcPr>
          <w:p w14:paraId="34FF1B0C" w14:textId="77777777" w:rsidR="00D037CF" w:rsidRPr="0075651F" w:rsidRDefault="00D037CF" w:rsidP="00013648">
            <w:pPr>
              <w:spacing w:line="240" w:lineRule="auto"/>
              <w:ind w:firstLine="0"/>
              <w:jc w:val="center"/>
              <w:rPr>
                <w:sz w:val="20"/>
                <w:szCs w:val="20"/>
              </w:rPr>
            </w:pPr>
            <w:r w:rsidRPr="0075651F">
              <w:rPr>
                <w:sz w:val="20"/>
                <w:szCs w:val="20"/>
              </w:rPr>
              <w:t>2026</w:t>
            </w:r>
          </w:p>
        </w:tc>
        <w:tc>
          <w:tcPr>
            <w:tcW w:w="1212" w:type="dxa"/>
            <w:tcBorders>
              <w:top w:val="thinThickSmallGap" w:sz="24" w:space="0" w:color="auto"/>
              <w:left w:val="nil"/>
              <w:bottom w:val="thinThickSmallGap" w:sz="24" w:space="0" w:color="auto"/>
              <w:right w:val="nil"/>
            </w:tcBorders>
            <w:shd w:val="clear" w:color="auto" w:fill="BDD6EE" w:themeFill="accent1" w:themeFillTint="66"/>
            <w:noWrap/>
            <w:vAlign w:val="center"/>
          </w:tcPr>
          <w:p w14:paraId="39BD5FFF" w14:textId="77777777" w:rsidR="00D037CF" w:rsidRPr="0075651F" w:rsidRDefault="00D037CF" w:rsidP="00013648">
            <w:pPr>
              <w:spacing w:line="240" w:lineRule="auto"/>
              <w:ind w:firstLine="0"/>
              <w:jc w:val="center"/>
              <w:rPr>
                <w:sz w:val="20"/>
                <w:szCs w:val="20"/>
              </w:rPr>
            </w:pPr>
            <w:r w:rsidRPr="0075651F">
              <w:rPr>
                <w:sz w:val="20"/>
                <w:szCs w:val="20"/>
              </w:rPr>
              <w:t>2027</w:t>
            </w:r>
          </w:p>
        </w:tc>
      </w:tr>
      <w:tr w:rsidR="00D037CF" w:rsidRPr="0070296A" w14:paraId="361B7E84" w14:textId="77777777" w:rsidTr="00013648">
        <w:trPr>
          <w:trHeight w:val="653"/>
          <w:jc w:val="center"/>
        </w:trPr>
        <w:tc>
          <w:tcPr>
            <w:tcW w:w="5227" w:type="dxa"/>
            <w:tcBorders>
              <w:left w:val="nil"/>
              <w:bottom w:val="single" w:sz="4" w:space="0" w:color="auto"/>
              <w:right w:val="nil"/>
            </w:tcBorders>
            <w:shd w:val="clear" w:color="auto" w:fill="auto"/>
            <w:noWrap/>
            <w:vAlign w:val="center"/>
          </w:tcPr>
          <w:p w14:paraId="135229DD" w14:textId="77777777" w:rsidR="00D037CF" w:rsidRPr="0075651F" w:rsidRDefault="00D037CF" w:rsidP="00013648">
            <w:pPr>
              <w:spacing w:line="240" w:lineRule="auto"/>
              <w:ind w:firstLine="0"/>
              <w:jc w:val="left"/>
              <w:rPr>
                <w:sz w:val="20"/>
                <w:szCs w:val="20"/>
              </w:rPr>
            </w:pPr>
            <w:r w:rsidRPr="0075651F">
              <w:rPr>
                <w:sz w:val="20"/>
                <w:szCs w:val="20"/>
              </w:rPr>
              <w:t>ՀՀ կառավարության արտարժութային պարտքի տոկոսավճարի փոփոխությունը (մլրդ դրամ)</w:t>
            </w:r>
          </w:p>
        </w:tc>
        <w:tc>
          <w:tcPr>
            <w:tcW w:w="1421" w:type="dxa"/>
            <w:tcBorders>
              <w:left w:val="nil"/>
              <w:bottom w:val="single" w:sz="4" w:space="0" w:color="auto"/>
              <w:right w:val="nil"/>
            </w:tcBorders>
            <w:shd w:val="clear" w:color="auto" w:fill="auto"/>
            <w:noWrap/>
            <w:vAlign w:val="center"/>
          </w:tcPr>
          <w:p w14:paraId="521CB436" w14:textId="77777777" w:rsidR="00D037CF" w:rsidRPr="0075651F" w:rsidRDefault="00D037CF" w:rsidP="00013648">
            <w:pPr>
              <w:spacing w:line="240" w:lineRule="auto"/>
              <w:ind w:firstLine="0"/>
              <w:jc w:val="center"/>
              <w:rPr>
                <w:sz w:val="20"/>
                <w:szCs w:val="20"/>
              </w:rPr>
            </w:pPr>
            <w:r w:rsidRPr="0075651F">
              <w:rPr>
                <w:sz w:val="20"/>
                <w:szCs w:val="20"/>
              </w:rPr>
              <w:t>8.6</w:t>
            </w:r>
          </w:p>
        </w:tc>
        <w:tc>
          <w:tcPr>
            <w:tcW w:w="1358" w:type="dxa"/>
            <w:tcBorders>
              <w:left w:val="nil"/>
              <w:bottom w:val="single" w:sz="4" w:space="0" w:color="auto"/>
              <w:right w:val="nil"/>
            </w:tcBorders>
            <w:shd w:val="clear" w:color="auto" w:fill="auto"/>
            <w:noWrap/>
            <w:vAlign w:val="center"/>
          </w:tcPr>
          <w:p w14:paraId="323A6CE9" w14:textId="77777777" w:rsidR="00D037CF" w:rsidRPr="0075651F" w:rsidRDefault="00D037CF" w:rsidP="00013648">
            <w:pPr>
              <w:spacing w:line="240" w:lineRule="auto"/>
              <w:ind w:firstLine="0"/>
              <w:jc w:val="center"/>
              <w:rPr>
                <w:sz w:val="20"/>
                <w:szCs w:val="20"/>
              </w:rPr>
            </w:pPr>
            <w:r w:rsidRPr="0075651F">
              <w:rPr>
                <w:sz w:val="20"/>
                <w:szCs w:val="20"/>
              </w:rPr>
              <w:t>10.3</w:t>
            </w:r>
          </w:p>
        </w:tc>
        <w:tc>
          <w:tcPr>
            <w:tcW w:w="1212" w:type="dxa"/>
            <w:tcBorders>
              <w:left w:val="nil"/>
              <w:bottom w:val="single" w:sz="4" w:space="0" w:color="auto"/>
              <w:right w:val="nil"/>
            </w:tcBorders>
            <w:shd w:val="clear" w:color="auto" w:fill="auto"/>
            <w:noWrap/>
            <w:vAlign w:val="center"/>
          </w:tcPr>
          <w:p w14:paraId="0670F2B3" w14:textId="77777777" w:rsidR="00D037CF" w:rsidRPr="0075651F" w:rsidRDefault="00D037CF" w:rsidP="00013648">
            <w:pPr>
              <w:spacing w:line="240" w:lineRule="auto"/>
              <w:ind w:firstLine="0"/>
              <w:jc w:val="center"/>
              <w:rPr>
                <w:sz w:val="20"/>
                <w:szCs w:val="20"/>
              </w:rPr>
            </w:pPr>
            <w:r w:rsidRPr="0075651F">
              <w:rPr>
                <w:sz w:val="20"/>
                <w:szCs w:val="20"/>
              </w:rPr>
              <w:t>12.2</w:t>
            </w:r>
          </w:p>
        </w:tc>
      </w:tr>
      <w:tr w:rsidR="00D037CF" w:rsidRPr="0070296A" w14:paraId="36C2B7F0" w14:textId="77777777" w:rsidTr="00013648">
        <w:trPr>
          <w:trHeight w:val="294"/>
          <w:jc w:val="center"/>
        </w:trPr>
        <w:tc>
          <w:tcPr>
            <w:tcW w:w="5227" w:type="dxa"/>
            <w:tcBorders>
              <w:left w:val="nil"/>
              <w:bottom w:val="single" w:sz="4" w:space="0" w:color="auto"/>
              <w:right w:val="nil"/>
            </w:tcBorders>
            <w:shd w:val="clear" w:color="auto" w:fill="auto"/>
            <w:noWrap/>
            <w:vAlign w:val="center"/>
          </w:tcPr>
          <w:p w14:paraId="57D15E5A" w14:textId="77777777" w:rsidR="00D037CF" w:rsidRPr="0075651F" w:rsidRDefault="00D037CF" w:rsidP="00013648">
            <w:pPr>
              <w:spacing w:line="240" w:lineRule="auto"/>
              <w:ind w:left="393" w:firstLine="708"/>
              <w:jc w:val="left"/>
              <w:rPr>
                <w:sz w:val="20"/>
                <w:szCs w:val="20"/>
              </w:rPr>
            </w:pPr>
            <w:r w:rsidRPr="0075651F">
              <w:rPr>
                <w:sz w:val="20"/>
                <w:szCs w:val="20"/>
              </w:rPr>
              <w:t>այդ թվում</w:t>
            </w:r>
          </w:p>
        </w:tc>
        <w:tc>
          <w:tcPr>
            <w:tcW w:w="1421" w:type="dxa"/>
            <w:tcBorders>
              <w:left w:val="nil"/>
              <w:bottom w:val="single" w:sz="4" w:space="0" w:color="auto"/>
              <w:right w:val="nil"/>
            </w:tcBorders>
            <w:shd w:val="clear" w:color="auto" w:fill="auto"/>
            <w:noWrap/>
            <w:vAlign w:val="center"/>
          </w:tcPr>
          <w:p w14:paraId="161D78B7" w14:textId="77777777" w:rsidR="00D037CF" w:rsidRPr="0075651F" w:rsidRDefault="00D037CF" w:rsidP="00013648">
            <w:pPr>
              <w:spacing w:line="240" w:lineRule="auto"/>
              <w:ind w:firstLine="0"/>
              <w:jc w:val="center"/>
              <w:rPr>
                <w:sz w:val="20"/>
                <w:szCs w:val="20"/>
              </w:rPr>
            </w:pPr>
          </w:p>
        </w:tc>
        <w:tc>
          <w:tcPr>
            <w:tcW w:w="1358" w:type="dxa"/>
            <w:tcBorders>
              <w:left w:val="nil"/>
              <w:bottom w:val="single" w:sz="4" w:space="0" w:color="auto"/>
              <w:right w:val="nil"/>
            </w:tcBorders>
            <w:shd w:val="clear" w:color="auto" w:fill="auto"/>
            <w:noWrap/>
            <w:vAlign w:val="center"/>
          </w:tcPr>
          <w:p w14:paraId="03ACCC0A" w14:textId="77777777" w:rsidR="00D037CF" w:rsidRPr="0075651F" w:rsidRDefault="00D037CF" w:rsidP="00013648">
            <w:pPr>
              <w:spacing w:line="240" w:lineRule="auto"/>
              <w:ind w:firstLine="0"/>
              <w:jc w:val="center"/>
              <w:rPr>
                <w:sz w:val="20"/>
                <w:szCs w:val="20"/>
              </w:rPr>
            </w:pPr>
          </w:p>
        </w:tc>
        <w:tc>
          <w:tcPr>
            <w:tcW w:w="1212" w:type="dxa"/>
            <w:tcBorders>
              <w:left w:val="nil"/>
              <w:bottom w:val="single" w:sz="4" w:space="0" w:color="auto"/>
              <w:right w:val="nil"/>
            </w:tcBorders>
            <w:shd w:val="clear" w:color="auto" w:fill="auto"/>
            <w:noWrap/>
            <w:vAlign w:val="center"/>
          </w:tcPr>
          <w:p w14:paraId="171C6105" w14:textId="77777777" w:rsidR="00D037CF" w:rsidRPr="0075651F" w:rsidRDefault="00D037CF" w:rsidP="00013648">
            <w:pPr>
              <w:spacing w:line="240" w:lineRule="auto"/>
              <w:ind w:firstLine="0"/>
              <w:jc w:val="center"/>
              <w:rPr>
                <w:sz w:val="20"/>
                <w:szCs w:val="20"/>
              </w:rPr>
            </w:pPr>
          </w:p>
        </w:tc>
      </w:tr>
      <w:tr w:rsidR="00D037CF" w:rsidRPr="0070296A" w14:paraId="3FCEA6A3" w14:textId="77777777" w:rsidTr="00013648">
        <w:trPr>
          <w:trHeight w:val="294"/>
          <w:jc w:val="center"/>
        </w:trPr>
        <w:tc>
          <w:tcPr>
            <w:tcW w:w="5227" w:type="dxa"/>
            <w:tcBorders>
              <w:left w:val="nil"/>
              <w:right w:val="nil"/>
            </w:tcBorders>
            <w:shd w:val="clear" w:color="auto" w:fill="auto"/>
            <w:noWrap/>
            <w:vAlign w:val="center"/>
          </w:tcPr>
          <w:p w14:paraId="671731BA" w14:textId="77777777" w:rsidR="00D037CF" w:rsidRPr="0075651F" w:rsidRDefault="00D037CF" w:rsidP="00013648">
            <w:pPr>
              <w:spacing w:line="240" w:lineRule="auto"/>
              <w:ind w:left="393" w:firstLine="0"/>
              <w:jc w:val="left"/>
              <w:rPr>
                <w:sz w:val="20"/>
                <w:szCs w:val="20"/>
              </w:rPr>
            </w:pPr>
            <w:r w:rsidRPr="0075651F">
              <w:rPr>
                <w:sz w:val="20"/>
                <w:szCs w:val="20"/>
              </w:rPr>
              <w:t>SOFR (մլրդ դրամ)</w:t>
            </w:r>
          </w:p>
        </w:tc>
        <w:tc>
          <w:tcPr>
            <w:tcW w:w="1421" w:type="dxa"/>
            <w:tcBorders>
              <w:left w:val="nil"/>
              <w:right w:val="nil"/>
            </w:tcBorders>
            <w:shd w:val="clear" w:color="auto" w:fill="auto"/>
            <w:noWrap/>
            <w:vAlign w:val="center"/>
          </w:tcPr>
          <w:p w14:paraId="7FDB879B" w14:textId="77777777" w:rsidR="00D037CF" w:rsidRPr="0075651F" w:rsidRDefault="00D037CF" w:rsidP="00013648">
            <w:pPr>
              <w:spacing w:line="240" w:lineRule="auto"/>
              <w:ind w:firstLine="0"/>
              <w:jc w:val="center"/>
              <w:rPr>
                <w:sz w:val="20"/>
                <w:szCs w:val="20"/>
              </w:rPr>
            </w:pPr>
            <w:r w:rsidRPr="0075651F">
              <w:rPr>
                <w:sz w:val="20"/>
                <w:szCs w:val="20"/>
              </w:rPr>
              <w:t>5.5</w:t>
            </w:r>
          </w:p>
        </w:tc>
        <w:tc>
          <w:tcPr>
            <w:tcW w:w="1358" w:type="dxa"/>
            <w:tcBorders>
              <w:left w:val="nil"/>
              <w:right w:val="nil"/>
            </w:tcBorders>
            <w:shd w:val="clear" w:color="auto" w:fill="auto"/>
            <w:noWrap/>
            <w:vAlign w:val="center"/>
          </w:tcPr>
          <w:p w14:paraId="23EE39C0" w14:textId="77777777" w:rsidR="00D037CF" w:rsidRPr="0075651F" w:rsidRDefault="00D037CF" w:rsidP="00013648">
            <w:pPr>
              <w:spacing w:line="240" w:lineRule="auto"/>
              <w:ind w:firstLine="0"/>
              <w:jc w:val="center"/>
              <w:rPr>
                <w:sz w:val="20"/>
                <w:szCs w:val="20"/>
              </w:rPr>
            </w:pPr>
            <w:r w:rsidRPr="0075651F">
              <w:rPr>
                <w:sz w:val="20"/>
                <w:szCs w:val="20"/>
              </w:rPr>
              <w:t>5.9</w:t>
            </w:r>
          </w:p>
        </w:tc>
        <w:tc>
          <w:tcPr>
            <w:tcW w:w="1212" w:type="dxa"/>
            <w:tcBorders>
              <w:left w:val="nil"/>
              <w:right w:val="nil"/>
            </w:tcBorders>
            <w:shd w:val="clear" w:color="auto" w:fill="auto"/>
            <w:noWrap/>
            <w:vAlign w:val="center"/>
          </w:tcPr>
          <w:p w14:paraId="052A38B8" w14:textId="77777777" w:rsidR="00D037CF" w:rsidRPr="0075651F" w:rsidRDefault="00D037CF" w:rsidP="00013648">
            <w:pPr>
              <w:spacing w:line="240" w:lineRule="auto"/>
              <w:ind w:firstLine="0"/>
              <w:jc w:val="center"/>
              <w:rPr>
                <w:sz w:val="20"/>
                <w:szCs w:val="20"/>
              </w:rPr>
            </w:pPr>
            <w:r w:rsidRPr="0075651F">
              <w:rPr>
                <w:sz w:val="20"/>
                <w:szCs w:val="20"/>
              </w:rPr>
              <w:t>6.2</w:t>
            </w:r>
          </w:p>
        </w:tc>
      </w:tr>
      <w:tr w:rsidR="00D037CF" w:rsidRPr="0070296A" w14:paraId="7DFBC188" w14:textId="77777777" w:rsidTr="00013648">
        <w:trPr>
          <w:trHeight w:val="294"/>
          <w:jc w:val="center"/>
        </w:trPr>
        <w:tc>
          <w:tcPr>
            <w:tcW w:w="5227" w:type="dxa"/>
            <w:tcBorders>
              <w:top w:val="single" w:sz="4" w:space="0" w:color="auto"/>
              <w:left w:val="nil"/>
              <w:bottom w:val="single" w:sz="4" w:space="0" w:color="auto"/>
              <w:right w:val="nil"/>
            </w:tcBorders>
            <w:shd w:val="clear" w:color="auto" w:fill="auto"/>
            <w:noWrap/>
            <w:vAlign w:val="center"/>
          </w:tcPr>
          <w:p w14:paraId="75DB931A" w14:textId="77777777" w:rsidR="00D037CF" w:rsidRPr="0075651F" w:rsidRDefault="00D037CF" w:rsidP="00013648">
            <w:pPr>
              <w:spacing w:line="240" w:lineRule="auto"/>
              <w:ind w:left="393" w:firstLine="0"/>
              <w:jc w:val="left"/>
              <w:rPr>
                <w:sz w:val="20"/>
                <w:szCs w:val="20"/>
              </w:rPr>
            </w:pPr>
            <w:r w:rsidRPr="0075651F">
              <w:rPr>
                <w:sz w:val="20"/>
                <w:szCs w:val="20"/>
              </w:rPr>
              <w:t>6-ամսյա Euribor (մլրդ դրամ)</w:t>
            </w:r>
          </w:p>
        </w:tc>
        <w:tc>
          <w:tcPr>
            <w:tcW w:w="1421" w:type="dxa"/>
            <w:tcBorders>
              <w:top w:val="single" w:sz="4" w:space="0" w:color="auto"/>
              <w:left w:val="nil"/>
              <w:bottom w:val="single" w:sz="4" w:space="0" w:color="auto"/>
              <w:right w:val="nil"/>
            </w:tcBorders>
            <w:shd w:val="clear" w:color="auto" w:fill="auto"/>
            <w:noWrap/>
            <w:vAlign w:val="center"/>
          </w:tcPr>
          <w:p w14:paraId="03A74F20" w14:textId="77777777" w:rsidR="00D037CF" w:rsidRPr="0075651F" w:rsidRDefault="00D037CF" w:rsidP="00013648">
            <w:pPr>
              <w:spacing w:line="240" w:lineRule="auto"/>
              <w:ind w:firstLine="0"/>
              <w:jc w:val="center"/>
              <w:rPr>
                <w:sz w:val="20"/>
                <w:szCs w:val="20"/>
              </w:rPr>
            </w:pPr>
            <w:r w:rsidRPr="0075651F">
              <w:rPr>
                <w:sz w:val="20"/>
                <w:szCs w:val="20"/>
              </w:rPr>
              <w:t>3.0</w:t>
            </w:r>
          </w:p>
        </w:tc>
        <w:tc>
          <w:tcPr>
            <w:tcW w:w="1358" w:type="dxa"/>
            <w:tcBorders>
              <w:top w:val="single" w:sz="4" w:space="0" w:color="auto"/>
              <w:left w:val="nil"/>
              <w:bottom w:val="single" w:sz="4" w:space="0" w:color="auto"/>
              <w:right w:val="nil"/>
            </w:tcBorders>
            <w:shd w:val="clear" w:color="auto" w:fill="auto"/>
            <w:noWrap/>
            <w:vAlign w:val="center"/>
          </w:tcPr>
          <w:p w14:paraId="449329B5" w14:textId="77777777" w:rsidR="00D037CF" w:rsidRPr="0075651F" w:rsidRDefault="00D037CF" w:rsidP="00013648">
            <w:pPr>
              <w:spacing w:line="240" w:lineRule="auto"/>
              <w:ind w:firstLine="0"/>
              <w:jc w:val="center"/>
              <w:rPr>
                <w:sz w:val="20"/>
                <w:szCs w:val="20"/>
              </w:rPr>
            </w:pPr>
            <w:r w:rsidRPr="0075651F">
              <w:rPr>
                <w:sz w:val="20"/>
                <w:szCs w:val="20"/>
              </w:rPr>
              <w:t>4.4</w:t>
            </w:r>
          </w:p>
        </w:tc>
        <w:tc>
          <w:tcPr>
            <w:tcW w:w="1212" w:type="dxa"/>
            <w:tcBorders>
              <w:top w:val="single" w:sz="4" w:space="0" w:color="auto"/>
              <w:left w:val="nil"/>
              <w:bottom w:val="single" w:sz="4" w:space="0" w:color="auto"/>
              <w:right w:val="nil"/>
            </w:tcBorders>
            <w:shd w:val="clear" w:color="auto" w:fill="auto"/>
            <w:noWrap/>
            <w:vAlign w:val="center"/>
          </w:tcPr>
          <w:p w14:paraId="5CB3EF9A" w14:textId="77777777" w:rsidR="00D037CF" w:rsidRPr="0075651F" w:rsidRDefault="00D037CF" w:rsidP="00013648">
            <w:pPr>
              <w:spacing w:line="240" w:lineRule="auto"/>
              <w:ind w:firstLine="0"/>
              <w:jc w:val="center"/>
              <w:rPr>
                <w:sz w:val="20"/>
                <w:szCs w:val="20"/>
              </w:rPr>
            </w:pPr>
            <w:r w:rsidRPr="0075651F">
              <w:rPr>
                <w:sz w:val="20"/>
                <w:szCs w:val="20"/>
              </w:rPr>
              <w:t>6.0</w:t>
            </w:r>
          </w:p>
        </w:tc>
      </w:tr>
      <w:tr w:rsidR="00D037CF" w:rsidRPr="0070296A" w14:paraId="469DA83A" w14:textId="77777777" w:rsidTr="00013648">
        <w:trPr>
          <w:trHeight w:val="612"/>
          <w:jc w:val="center"/>
        </w:trPr>
        <w:tc>
          <w:tcPr>
            <w:tcW w:w="5227" w:type="dxa"/>
            <w:tcBorders>
              <w:top w:val="single" w:sz="4" w:space="0" w:color="auto"/>
              <w:left w:val="nil"/>
              <w:bottom w:val="single" w:sz="4" w:space="0" w:color="auto"/>
              <w:right w:val="nil"/>
            </w:tcBorders>
            <w:shd w:val="clear" w:color="auto" w:fill="auto"/>
            <w:noWrap/>
            <w:vAlign w:val="center"/>
          </w:tcPr>
          <w:p w14:paraId="3E3C6F66" w14:textId="77777777" w:rsidR="00D037CF" w:rsidRPr="0075651F" w:rsidRDefault="00D037CF" w:rsidP="00013648">
            <w:pPr>
              <w:spacing w:line="240" w:lineRule="auto"/>
              <w:ind w:firstLine="0"/>
              <w:jc w:val="left"/>
              <w:rPr>
                <w:sz w:val="20"/>
                <w:szCs w:val="20"/>
              </w:rPr>
            </w:pPr>
            <w:r w:rsidRPr="0075651F">
              <w:rPr>
                <w:sz w:val="20"/>
                <w:szCs w:val="20"/>
              </w:rPr>
              <w:t>ՀՀ կառավարության արտարժութային պարտքի տոկոսավճարի փոփոխությունը (%)</w:t>
            </w:r>
          </w:p>
        </w:tc>
        <w:tc>
          <w:tcPr>
            <w:tcW w:w="1421" w:type="dxa"/>
            <w:tcBorders>
              <w:top w:val="single" w:sz="4" w:space="0" w:color="auto"/>
              <w:left w:val="nil"/>
              <w:bottom w:val="single" w:sz="4" w:space="0" w:color="auto"/>
              <w:right w:val="nil"/>
            </w:tcBorders>
            <w:shd w:val="clear" w:color="auto" w:fill="auto"/>
            <w:noWrap/>
            <w:vAlign w:val="center"/>
          </w:tcPr>
          <w:p w14:paraId="2F8A7299" w14:textId="77777777" w:rsidR="00D037CF" w:rsidRPr="0075651F" w:rsidRDefault="00D037CF" w:rsidP="00013648">
            <w:pPr>
              <w:spacing w:line="240" w:lineRule="auto"/>
              <w:ind w:firstLine="0"/>
              <w:jc w:val="center"/>
              <w:rPr>
                <w:sz w:val="20"/>
                <w:szCs w:val="20"/>
              </w:rPr>
            </w:pPr>
            <w:r w:rsidRPr="0075651F">
              <w:rPr>
                <w:sz w:val="20"/>
                <w:szCs w:val="20"/>
              </w:rPr>
              <w:t>8.0</w:t>
            </w:r>
          </w:p>
        </w:tc>
        <w:tc>
          <w:tcPr>
            <w:tcW w:w="1358" w:type="dxa"/>
            <w:tcBorders>
              <w:top w:val="single" w:sz="4" w:space="0" w:color="auto"/>
              <w:left w:val="nil"/>
              <w:bottom w:val="single" w:sz="4" w:space="0" w:color="auto"/>
              <w:right w:val="nil"/>
            </w:tcBorders>
            <w:shd w:val="clear" w:color="auto" w:fill="auto"/>
            <w:noWrap/>
            <w:vAlign w:val="center"/>
          </w:tcPr>
          <w:p w14:paraId="6D5B298D" w14:textId="77777777" w:rsidR="00D037CF" w:rsidRPr="0075651F" w:rsidRDefault="00D037CF" w:rsidP="00013648">
            <w:pPr>
              <w:spacing w:line="240" w:lineRule="auto"/>
              <w:ind w:firstLine="0"/>
              <w:jc w:val="center"/>
              <w:rPr>
                <w:sz w:val="20"/>
                <w:szCs w:val="20"/>
              </w:rPr>
            </w:pPr>
            <w:r w:rsidRPr="0075651F">
              <w:rPr>
                <w:sz w:val="20"/>
                <w:szCs w:val="20"/>
              </w:rPr>
              <w:t>8.1</w:t>
            </w:r>
          </w:p>
        </w:tc>
        <w:tc>
          <w:tcPr>
            <w:tcW w:w="1212" w:type="dxa"/>
            <w:tcBorders>
              <w:top w:val="single" w:sz="4" w:space="0" w:color="auto"/>
              <w:left w:val="nil"/>
              <w:bottom w:val="single" w:sz="4" w:space="0" w:color="auto"/>
              <w:right w:val="nil"/>
            </w:tcBorders>
            <w:shd w:val="clear" w:color="auto" w:fill="auto"/>
            <w:noWrap/>
            <w:vAlign w:val="center"/>
          </w:tcPr>
          <w:p w14:paraId="5D55FB7C" w14:textId="77777777" w:rsidR="00D037CF" w:rsidRPr="0075651F" w:rsidRDefault="00D037CF" w:rsidP="00013648">
            <w:pPr>
              <w:spacing w:line="240" w:lineRule="auto"/>
              <w:ind w:firstLine="0"/>
              <w:jc w:val="center"/>
              <w:rPr>
                <w:sz w:val="20"/>
                <w:szCs w:val="20"/>
              </w:rPr>
            </w:pPr>
            <w:r w:rsidRPr="0075651F">
              <w:rPr>
                <w:sz w:val="20"/>
                <w:szCs w:val="20"/>
              </w:rPr>
              <w:t>8.1</w:t>
            </w:r>
          </w:p>
        </w:tc>
      </w:tr>
      <w:tr w:rsidR="00D037CF" w:rsidRPr="0070296A" w14:paraId="77A3E53E" w14:textId="77777777" w:rsidTr="00013648">
        <w:trPr>
          <w:trHeight w:val="1028"/>
          <w:jc w:val="center"/>
        </w:trPr>
        <w:tc>
          <w:tcPr>
            <w:tcW w:w="5227" w:type="dxa"/>
            <w:tcBorders>
              <w:top w:val="single" w:sz="4" w:space="0" w:color="auto"/>
              <w:left w:val="nil"/>
              <w:bottom w:val="thinThickSmallGap" w:sz="24" w:space="0" w:color="auto"/>
              <w:right w:val="nil"/>
            </w:tcBorders>
            <w:shd w:val="clear" w:color="auto" w:fill="auto"/>
            <w:noWrap/>
            <w:vAlign w:val="center"/>
          </w:tcPr>
          <w:p w14:paraId="294B8D4B" w14:textId="77777777" w:rsidR="00D037CF" w:rsidRPr="0075651F" w:rsidRDefault="00D037CF" w:rsidP="00013648">
            <w:pPr>
              <w:spacing w:line="240" w:lineRule="auto"/>
              <w:ind w:firstLine="0"/>
              <w:jc w:val="left"/>
              <w:rPr>
                <w:sz w:val="20"/>
                <w:szCs w:val="20"/>
              </w:rPr>
            </w:pPr>
            <w:r w:rsidRPr="0075651F">
              <w:rPr>
                <w:sz w:val="20"/>
                <w:szCs w:val="20"/>
              </w:rPr>
              <w:t>ՀՀ կառավարության արտարժութային պարտքի տոկոսավճարի փոփոխության կշիռը պետբյուջեի սեփական եկամուտներում (առանց դրամաշնորհի) (%)</w:t>
            </w:r>
          </w:p>
        </w:tc>
        <w:tc>
          <w:tcPr>
            <w:tcW w:w="1421" w:type="dxa"/>
            <w:tcBorders>
              <w:top w:val="single" w:sz="4" w:space="0" w:color="auto"/>
              <w:left w:val="nil"/>
              <w:bottom w:val="thinThickSmallGap" w:sz="24" w:space="0" w:color="auto"/>
              <w:right w:val="nil"/>
            </w:tcBorders>
            <w:shd w:val="clear" w:color="auto" w:fill="auto"/>
            <w:noWrap/>
            <w:vAlign w:val="center"/>
          </w:tcPr>
          <w:p w14:paraId="52783004" w14:textId="77777777" w:rsidR="00D037CF" w:rsidRPr="0075651F" w:rsidRDefault="00D037CF" w:rsidP="00013648">
            <w:pPr>
              <w:spacing w:line="240" w:lineRule="auto"/>
              <w:ind w:firstLine="0"/>
              <w:jc w:val="center"/>
              <w:rPr>
                <w:sz w:val="20"/>
                <w:szCs w:val="20"/>
              </w:rPr>
            </w:pPr>
            <w:r w:rsidRPr="0075651F">
              <w:rPr>
                <w:sz w:val="20"/>
                <w:szCs w:val="20"/>
              </w:rPr>
              <w:t>0.3</w:t>
            </w:r>
          </w:p>
        </w:tc>
        <w:tc>
          <w:tcPr>
            <w:tcW w:w="1358" w:type="dxa"/>
            <w:tcBorders>
              <w:top w:val="single" w:sz="4" w:space="0" w:color="auto"/>
              <w:left w:val="nil"/>
              <w:bottom w:val="thinThickSmallGap" w:sz="24" w:space="0" w:color="auto"/>
              <w:right w:val="nil"/>
            </w:tcBorders>
            <w:shd w:val="clear" w:color="auto" w:fill="auto"/>
            <w:noWrap/>
            <w:vAlign w:val="center"/>
          </w:tcPr>
          <w:p w14:paraId="67D6E503" w14:textId="77777777" w:rsidR="00D037CF" w:rsidRPr="0075651F" w:rsidRDefault="00D037CF" w:rsidP="00013648">
            <w:pPr>
              <w:spacing w:line="240" w:lineRule="auto"/>
              <w:ind w:firstLine="0"/>
              <w:jc w:val="center"/>
              <w:rPr>
                <w:sz w:val="20"/>
                <w:szCs w:val="20"/>
              </w:rPr>
            </w:pPr>
            <w:r w:rsidRPr="0075651F">
              <w:rPr>
                <w:sz w:val="20"/>
                <w:szCs w:val="20"/>
              </w:rPr>
              <w:t>0.3</w:t>
            </w:r>
          </w:p>
        </w:tc>
        <w:tc>
          <w:tcPr>
            <w:tcW w:w="1212" w:type="dxa"/>
            <w:tcBorders>
              <w:top w:val="single" w:sz="4" w:space="0" w:color="auto"/>
              <w:left w:val="nil"/>
              <w:bottom w:val="thinThickSmallGap" w:sz="24" w:space="0" w:color="auto"/>
              <w:right w:val="nil"/>
            </w:tcBorders>
            <w:shd w:val="clear" w:color="auto" w:fill="auto"/>
            <w:noWrap/>
            <w:vAlign w:val="center"/>
          </w:tcPr>
          <w:p w14:paraId="3A1CA2F2" w14:textId="77777777" w:rsidR="00D037CF" w:rsidRPr="0075651F" w:rsidRDefault="00D037CF" w:rsidP="00013648">
            <w:pPr>
              <w:spacing w:line="240" w:lineRule="auto"/>
              <w:ind w:firstLine="0"/>
              <w:jc w:val="center"/>
              <w:rPr>
                <w:sz w:val="20"/>
                <w:szCs w:val="20"/>
              </w:rPr>
            </w:pPr>
            <w:r w:rsidRPr="0075651F">
              <w:rPr>
                <w:sz w:val="20"/>
                <w:szCs w:val="20"/>
              </w:rPr>
              <w:t>0.4</w:t>
            </w:r>
          </w:p>
        </w:tc>
      </w:tr>
    </w:tbl>
    <w:p w14:paraId="659E78BA" w14:textId="77777777" w:rsidR="00D037CF" w:rsidRDefault="00D037CF" w:rsidP="00D037CF">
      <w:pPr>
        <w:spacing w:before="120"/>
        <w:rPr>
          <w:sz w:val="18"/>
        </w:rPr>
      </w:pPr>
      <w:r w:rsidRPr="000D4D8C">
        <w:rPr>
          <w:sz w:val="18"/>
        </w:rPr>
        <w:t>Աղբյուրը՝ ՀՀ ՖՆ հաշվարկներ</w:t>
      </w:r>
    </w:p>
    <w:p w14:paraId="0B8A657E" w14:textId="77777777" w:rsidR="00D037CF" w:rsidRPr="00E06CCC" w:rsidRDefault="00D037CF" w:rsidP="00D037CF">
      <w:pPr>
        <w:rPr>
          <w:color w:val="FF0000"/>
        </w:rPr>
      </w:pPr>
    </w:p>
    <w:p w14:paraId="57645828" w14:textId="77777777" w:rsidR="00D037CF" w:rsidRPr="0070296A" w:rsidRDefault="00D037CF" w:rsidP="0075651F">
      <w:pPr>
        <w:spacing w:before="120" w:after="0" w:line="276" w:lineRule="auto"/>
        <w:ind w:firstLine="90"/>
      </w:pPr>
      <w:r w:rsidRPr="0070296A">
        <w:t xml:space="preserve">Ներքին պարտքի շուկայում, միջնաժամկետ հատվածի սկզբում, եկամտաբերության կորի մեկ տոկոսային կետով աճը </w:t>
      </w:r>
      <w:r>
        <w:t>2025</w:t>
      </w:r>
      <w:r w:rsidRPr="0070296A">
        <w:t>-202</w:t>
      </w:r>
      <w:r w:rsidRPr="00B1068B">
        <w:t>7</w:t>
      </w:r>
      <w:r w:rsidRPr="0070296A">
        <w:t xml:space="preserve"> թվականների ընթացքում կավելացնի պարտքի տոկոսավճարները տարեկան միջինը </w:t>
      </w:r>
      <w:r w:rsidRPr="00B1068B">
        <w:t>6.7</w:t>
      </w:r>
      <w:r w:rsidRPr="0070296A">
        <w:t xml:space="preserve"> մլրդ դրամով:</w:t>
      </w:r>
    </w:p>
    <w:p w14:paraId="3F96D803" w14:textId="77777777" w:rsidR="00D037CF" w:rsidRPr="0070296A" w:rsidRDefault="00D037CF" w:rsidP="00D037CF">
      <w:pPr>
        <w:pStyle w:val="afd"/>
        <w:numPr>
          <w:ilvl w:val="0"/>
          <w:numId w:val="21"/>
        </w:numPr>
        <w:ind w:left="1276" w:hanging="1276"/>
      </w:pPr>
      <w:r w:rsidRPr="0070296A">
        <w:t>Միջնաժամկետ հատվածի սկզբում ՀՀ կառավարության դրամային պարտքի տոկոսադրույքի մեկ տոկոսային կետի փոփոխության ազդեցությունը ՀՀ կառավարության ներքին պարտքի տոկոսավճարի վրա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7"/>
        <w:gridCol w:w="1170"/>
        <w:gridCol w:w="1040"/>
        <w:gridCol w:w="1107"/>
      </w:tblGrid>
      <w:tr w:rsidR="00D037CF" w:rsidRPr="0070296A" w14:paraId="1551496A" w14:textId="77777777" w:rsidTr="0075651F">
        <w:trPr>
          <w:trHeight w:val="612"/>
          <w:tblHeader/>
          <w:jc w:val="center"/>
        </w:trPr>
        <w:tc>
          <w:tcPr>
            <w:tcW w:w="562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8E9D0FF" w14:textId="77777777" w:rsidR="00D037CF" w:rsidRPr="0070296A" w:rsidRDefault="00D037CF" w:rsidP="00013648">
            <w:pPr>
              <w:spacing w:line="240" w:lineRule="auto"/>
              <w:ind w:firstLine="131"/>
              <w:jc w:val="center"/>
            </w:pPr>
          </w:p>
        </w:tc>
        <w:tc>
          <w:tcPr>
            <w:tcW w:w="1170"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5D037B4F" w14:textId="77777777" w:rsidR="00D037CF" w:rsidRPr="0070296A" w:rsidRDefault="00D037CF" w:rsidP="00013648">
            <w:pPr>
              <w:spacing w:line="240" w:lineRule="auto"/>
              <w:ind w:firstLine="131"/>
            </w:pPr>
            <w:r w:rsidRPr="0070296A">
              <w:t>202</w:t>
            </w:r>
            <w:r>
              <w:t>5</w:t>
            </w:r>
          </w:p>
        </w:tc>
        <w:tc>
          <w:tcPr>
            <w:tcW w:w="104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99E7A23" w14:textId="77777777" w:rsidR="00D037CF" w:rsidRPr="0070296A" w:rsidRDefault="00D037CF" w:rsidP="00013648">
            <w:pPr>
              <w:spacing w:line="240" w:lineRule="auto"/>
              <w:ind w:firstLine="131"/>
              <w:jc w:val="center"/>
            </w:pPr>
            <w:r w:rsidRPr="0070296A">
              <w:t>202</w:t>
            </w:r>
            <w:r>
              <w:t>6</w:t>
            </w:r>
          </w:p>
        </w:tc>
        <w:tc>
          <w:tcPr>
            <w:tcW w:w="110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FC074E4" w14:textId="77777777" w:rsidR="00D037CF" w:rsidRPr="0070296A" w:rsidRDefault="00D037CF" w:rsidP="00013648">
            <w:pPr>
              <w:spacing w:line="240" w:lineRule="auto"/>
              <w:ind w:firstLine="131"/>
              <w:jc w:val="center"/>
            </w:pPr>
            <w:r w:rsidRPr="0070296A">
              <w:t>202</w:t>
            </w:r>
            <w:r>
              <w:t>7</w:t>
            </w:r>
          </w:p>
        </w:tc>
      </w:tr>
      <w:tr w:rsidR="00D037CF" w:rsidRPr="0070296A" w14:paraId="5926656D" w14:textId="77777777" w:rsidTr="00013648">
        <w:trPr>
          <w:trHeight w:val="607"/>
          <w:jc w:val="center"/>
        </w:trPr>
        <w:tc>
          <w:tcPr>
            <w:tcW w:w="5627" w:type="dxa"/>
            <w:tcBorders>
              <w:left w:val="nil"/>
              <w:bottom w:val="single" w:sz="4" w:space="0" w:color="auto"/>
              <w:right w:val="nil"/>
            </w:tcBorders>
            <w:vAlign w:val="center"/>
          </w:tcPr>
          <w:p w14:paraId="6A7A2146" w14:textId="77777777" w:rsidR="00D037CF" w:rsidRPr="0070296A" w:rsidRDefault="00D037CF" w:rsidP="00013648">
            <w:pPr>
              <w:spacing w:line="240" w:lineRule="auto"/>
              <w:ind w:firstLine="131"/>
              <w:jc w:val="left"/>
            </w:pPr>
            <w:r w:rsidRPr="0070296A">
              <w:t>ՀՀ կառավարության դրամային պարտքի տոկոսավճարի փոփոխությունը (մլրդ դրամ)</w:t>
            </w:r>
          </w:p>
        </w:tc>
        <w:tc>
          <w:tcPr>
            <w:tcW w:w="1170" w:type="dxa"/>
            <w:tcBorders>
              <w:top w:val="thinThickSmallGap" w:sz="24" w:space="0" w:color="auto"/>
              <w:left w:val="nil"/>
              <w:bottom w:val="single" w:sz="4" w:space="0" w:color="auto"/>
              <w:right w:val="nil"/>
            </w:tcBorders>
            <w:shd w:val="clear" w:color="auto" w:fill="auto"/>
            <w:vAlign w:val="bottom"/>
          </w:tcPr>
          <w:p w14:paraId="6A5B7C5A" w14:textId="77777777" w:rsidR="00D037CF" w:rsidRPr="00BE0E3F" w:rsidRDefault="00D037CF" w:rsidP="00013648">
            <w:pPr>
              <w:spacing w:line="240" w:lineRule="auto"/>
              <w:ind w:firstLine="131"/>
              <w:jc w:val="center"/>
            </w:pPr>
            <w:r w:rsidRPr="00BE0E3F">
              <w:t xml:space="preserve">              2.6 </w:t>
            </w:r>
          </w:p>
        </w:tc>
        <w:tc>
          <w:tcPr>
            <w:tcW w:w="1040" w:type="dxa"/>
            <w:tcBorders>
              <w:top w:val="thinThickSmallGap" w:sz="24" w:space="0" w:color="auto"/>
              <w:left w:val="nil"/>
              <w:bottom w:val="single" w:sz="4" w:space="0" w:color="auto"/>
              <w:right w:val="nil"/>
            </w:tcBorders>
            <w:shd w:val="clear" w:color="auto" w:fill="auto"/>
            <w:vAlign w:val="bottom"/>
          </w:tcPr>
          <w:p w14:paraId="52BE878C" w14:textId="77777777" w:rsidR="00D037CF" w:rsidRPr="00BE0E3F" w:rsidRDefault="00D037CF" w:rsidP="00013648">
            <w:pPr>
              <w:spacing w:line="240" w:lineRule="auto"/>
              <w:ind w:firstLine="131"/>
              <w:jc w:val="center"/>
            </w:pPr>
            <w:r w:rsidRPr="00BE0E3F">
              <w:t xml:space="preserve">           8.4 </w:t>
            </w:r>
          </w:p>
        </w:tc>
        <w:tc>
          <w:tcPr>
            <w:tcW w:w="1107" w:type="dxa"/>
            <w:tcBorders>
              <w:top w:val="thinThickSmallGap" w:sz="24" w:space="0" w:color="auto"/>
              <w:left w:val="nil"/>
              <w:bottom w:val="single" w:sz="4" w:space="0" w:color="auto"/>
              <w:right w:val="nil"/>
            </w:tcBorders>
            <w:shd w:val="clear" w:color="auto" w:fill="auto"/>
            <w:vAlign w:val="bottom"/>
          </w:tcPr>
          <w:p w14:paraId="7262F38D" w14:textId="77777777" w:rsidR="00D037CF" w:rsidRPr="00BE0E3F" w:rsidRDefault="00D037CF" w:rsidP="00013648">
            <w:pPr>
              <w:spacing w:line="240" w:lineRule="auto"/>
              <w:ind w:firstLine="131"/>
              <w:jc w:val="center"/>
            </w:pPr>
            <w:r w:rsidRPr="00BE0E3F">
              <w:t xml:space="preserve">           9.1 </w:t>
            </w:r>
          </w:p>
        </w:tc>
      </w:tr>
      <w:tr w:rsidR="00D037CF" w:rsidRPr="0070296A" w14:paraId="7859F0E5" w14:textId="77777777" w:rsidTr="00013648">
        <w:trPr>
          <w:trHeight w:val="696"/>
          <w:jc w:val="center"/>
        </w:trPr>
        <w:tc>
          <w:tcPr>
            <w:tcW w:w="5627" w:type="dxa"/>
            <w:tcBorders>
              <w:left w:val="nil"/>
              <w:bottom w:val="single" w:sz="4" w:space="0" w:color="auto"/>
              <w:right w:val="nil"/>
            </w:tcBorders>
            <w:vAlign w:val="center"/>
          </w:tcPr>
          <w:p w14:paraId="310DF485" w14:textId="77777777" w:rsidR="00D037CF" w:rsidRPr="0070296A" w:rsidRDefault="00D037CF" w:rsidP="00013648">
            <w:pPr>
              <w:spacing w:line="240" w:lineRule="auto"/>
              <w:ind w:firstLine="131"/>
              <w:jc w:val="left"/>
            </w:pPr>
            <w:r w:rsidRPr="0070296A">
              <w:t>ՀՀ կառավարության դրամային պարտքի տոկոսավճարի փոփոխությունը (%)</w:t>
            </w:r>
          </w:p>
        </w:tc>
        <w:tc>
          <w:tcPr>
            <w:tcW w:w="1170" w:type="dxa"/>
            <w:tcBorders>
              <w:top w:val="single" w:sz="4" w:space="0" w:color="auto"/>
              <w:left w:val="nil"/>
              <w:bottom w:val="single" w:sz="4" w:space="0" w:color="auto"/>
              <w:right w:val="nil"/>
            </w:tcBorders>
            <w:shd w:val="clear" w:color="auto" w:fill="auto"/>
            <w:vAlign w:val="bottom"/>
          </w:tcPr>
          <w:p w14:paraId="7F6A57B2" w14:textId="77777777" w:rsidR="00D037CF" w:rsidRPr="00BE0E3F" w:rsidRDefault="00D037CF" w:rsidP="00013648">
            <w:pPr>
              <w:spacing w:line="240" w:lineRule="auto"/>
              <w:ind w:firstLine="131"/>
              <w:jc w:val="center"/>
            </w:pPr>
            <w:r w:rsidRPr="00BE0E3F">
              <w:t>1.0</w:t>
            </w:r>
          </w:p>
        </w:tc>
        <w:tc>
          <w:tcPr>
            <w:tcW w:w="1040" w:type="dxa"/>
            <w:tcBorders>
              <w:top w:val="single" w:sz="4" w:space="0" w:color="auto"/>
              <w:left w:val="nil"/>
              <w:bottom w:val="single" w:sz="4" w:space="0" w:color="auto"/>
              <w:right w:val="nil"/>
            </w:tcBorders>
            <w:shd w:val="clear" w:color="auto" w:fill="auto"/>
            <w:vAlign w:val="bottom"/>
          </w:tcPr>
          <w:p w14:paraId="2DB34F83" w14:textId="77777777" w:rsidR="00D037CF" w:rsidRPr="00BE0E3F" w:rsidRDefault="00D037CF" w:rsidP="00013648">
            <w:pPr>
              <w:spacing w:line="240" w:lineRule="auto"/>
              <w:ind w:firstLine="131"/>
              <w:jc w:val="center"/>
            </w:pPr>
            <w:r w:rsidRPr="00BE0E3F">
              <w:t>3.0</w:t>
            </w:r>
          </w:p>
        </w:tc>
        <w:tc>
          <w:tcPr>
            <w:tcW w:w="1107" w:type="dxa"/>
            <w:tcBorders>
              <w:top w:val="single" w:sz="4" w:space="0" w:color="auto"/>
              <w:left w:val="nil"/>
              <w:bottom w:val="single" w:sz="4" w:space="0" w:color="auto"/>
              <w:right w:val="nil"/>
            </w:tcBorders>
            <w:shd w:val="clear" w:color="auto" w:fill="auto"/>
            <w:vAlign w:val="bottom"/>
          </w:tcPr>
          <w:p w14:paraId="52FE1434" w14:textId="77777777" w:rsidR="00D037CF" w:rsidRPr="00BE0E3F" w:rsidRDefault="00D037CF" w:rsidP="00013648">
            <w:pPr>
              <w:spacing w:line="240" w:lineRule="auto"/>
              <w:ind w:firstLine="131"/>
              <w:jc w:val="center"/>
            </w:pPr>
            <w:r w:rsidRPr="00BE0E3F">
              <w:t>3.0</w:t>
            </w:r>
          </w:p>
        </w:tc>
      </w:tr>
      <w:tr w:rsidR="00D037CF" w:rsidRPr="0070296A" w14:paraId="50784AF2" w14:textId="77777777" w:rsidTr="00013648">
        <w:trPr>
          <w:trHeight w:val="944"/>
          <w:jc w:val="center"/>
        </w:trPr>
        <w:tc>
          <w:tcPr>
            <w:tcW w:w="5627" w:type="dxa"/>
            <w:tcBorders>
              <w:top w:val="single" w:sz="4" w:space="0" w:color="auto"/>
              <w:left w:val="nil"/>
              <w:bottom w:val="thickThinSmallGap" w:sz="24" w:space="0" w:color="auto"/>
              <w:right w:val="nil"/>
            </w:tcBorders>
            <w:vAlign w:val="center"/>
          </w:tcPr>
          <w:p w14:paraId="2D7B7183" w14:textId="77777777" w:rsidR="00D037CF" w:rsidRPr="0070296A" w:rsidRDefault="00D037CF" w:rsidP="00013648">
            <w:pPr>
              <w:spacing w:line="240" w:lineRule="auto"/>
              <w:ind w:firstLine="131"/>
              <w:jc w:val="left"/>
            </w:pPr>
            <w:r w:rsidRPr="0070296A">
              <w:t>ՀՀ կառավարության դրամային պարտքի տոկոսավճարի փոփոխության կշիռը պետբյուջեի սեփական եկամուտներում (առանց դրամաշնորհ) (%)</w:t>
            </w:r>
          </w:p>
        </w:tc>
        <w:tc>
          <w:tcPr>
            <w:tcW w:w="1170" w:type="dxa"/>
            <w:tcBorders>
              <w:top w:val="single" w:sz="4" w:space="0" w:color="auto"/>
              <w:left w:val="nil"/>
              <w:bottom w:val="thickThinSmallGap" w:sz="24" w:space="0" w:color="auto"/>
              <w:right w:val="nil"/>
            </w:tcBorders>
            <w:shd w:val="clear" w:color="auto" w:fill="auto"/>
            <w:vAlign w:val="bottom"/>
          </w:tcPr>
          <w:p w14:paraId="73BE6CDA" w14:textId="77777777" w:rsidR="00D037CF" w:rsidRPr="00BE0E3F" w:rsidRDefault="00D037CF" w:rsidP="00013648">
            <w:pPr>
              <w:spacing w:line="240" w:lineRule="auto"/>
              <w:ind w:firstLine="131"/>
              <w:jc w:val="center"/>
            </w:pPr>
            <w:r w:rsidRPr="00BE0E3F">
              <w:t>0.1</w:t>
            </w:r>
          </w:p>
        </w:tc>
        <w:tc>
          <w:tcPr>
            <w:tcW w:w="1040" w:type="dxa"/>
            <w:tcBorders>
              <w:top w:val="single" w:sz="4" w:space="0" w:color="auto"/>
              <w:left w:val="nil"/>
              <w:bottom w:val="thickThinSmallGap" w:sz="24" w:space="0" w:color="auto"/>
              <w:right w:val="nil"/>
            </w:tcBorders>
            <w:shd w:val="clear" w:color="auto" w:fill="auto"/>
            <w:vAlign w:val="bottom"/>
          </w:tcPr>
          <w:p w14:paraId="6B62E539" w14:textId="77777777" w:rsidR="00D037CF" w:rsidRPr="00BE0E3F" w:rsidRDefault="00D037CF" w:rsidP="00013648">
            <w:pPr>
              <w:spacing w:line="240" w:lineRule="auto"/>
              <w:ind w:firstLine="131"/>
              <w:jc w:val="center"/>
            </w:pPr>
            <w:r w:rsidRPr="00BE0E3F">
              <w:t>0.3</w:t>
            </w:r>
          </w:p>
        </w:tc>
        <w:tc>
          <w:tcPr>
            <w:tcW w:w="1107" w:type="dxa"/>
            <w:tcBorders>
              <w:top w:val="single" w:sz="4" w:space="0" w:color="auto"/>
              <w:left w:val="nil"/>
              <w:bottom w:val="thickThinSmallGap" w:sz="24" w:space="0" w:color="auto"/>
              <w:right w:val="nil"/>
            </w:tcBorders>
            <w:shd w:val="clear" w:color="auto" w:fill="auto"/>
            <w:vAlign w:val="bottom"/>
          </w:tcPr>
          <w:p w14:paraId="4C00A9A0" w14:textId="77777777" w:rsidR="00D037CF" w:rsidRPr="00BE0E3F" w:rsidRDefault="00D037CF" w:rsidP="00013648">
            <w:pPr>
              <w:spacing w:line="240" w:lineRule="auto"/>
              <w:ind w:firstLine="131"/>
              <w:jc w:val="center"/>
            </w:pPr>
            <w:r w:rsidRPr="00BE0E3F">
              <w:t>0.3</w:t>
            </w:r>
          </w:p>
        </w:tc>
      </w:tr>
    </w:tbl>
    <w:p w14:paraId="31E00E5E" w14:textId="77777777" w:rsidR="00D037CF" w:rsidRDefault="00D037CF" w:rsidP="00D037CF">
      <w:pPr>
        <w:spacing w:before="120"/>
        <w:rPr>
          <w:sz w:val="18"/>
        </w:rPr>
      </w:pPr>
      <w:r w:rsidRPr="000D4D8C">
        <w:rPr>
          <w:sz w:val="18"/>
        </w:rPr>
        <w:t>Աղբյուրը՝ ՀՀ ՖՆ հաշվարկներ և կանխատեսումներ</w:t>
      </w:r>
      <w:r w:rsidRPr="000D4D8C" w:rsidDel="001F100C">
        <w:rPr>
          <w:sz w:val="18"/>
        </w:rPr>
        <w:t xml:space="preserve"> </w:t>
      </w:r>
    </w:p>
    <w:p w14:paraId="7B93E790" w14:textId="77777777" w:rsidR="00D037CF" w:rsidRDefault="00D037CF" w:rsidP="00D037CF">
      <w:pPr>
        <w:rPr>
          <w:color w:val="FF0000"/>
        </w:rPr>
      </w:pPr>
    </w:p>
    <w:p w14:paraId="74278116" w14:textId="77777777" w:rsidR="00D037CF" w:rsidRDefault="00D037CF" w:rsidP="0075651F">
      <w:pPr>
        <w:spacing w:before="120" w:after="0" w:line="276" w:lineRule="auto"/>
        <w:ind w:firstLine="0"/>
      </w:pPr>
      <w:r w:rsidRPr="0070296A">
        <w:t xml:space="preserve">Իրականացված զգայունության վերլուծությունները թույլ են տալիս ենթադրել, որ ՀՀ կառավարության պարտքի պորտֆելի վրա </w:t>
      </w:r>
      <w:r>
        <w:t xml:space="preserve">դեռևս </w:t>
      </w:r>
      <w:r w:rsidRPr="0070296A">
        <w:t>փոխարժեքի շոկի ազդեցությունը շատ ավելի մեծ է, քան տոկո</w:t>
      </w:r>
      <w:r w:rsidRPr="0070296A">
        <w:softHyphen/>
      </w:r>
      <w:r>
        <w:t>սա</w:t>
      </w:r>
      <w:r>
        <w:softHyphen/>
        <w:t>դրույքի շոկի ազդեցությունը: Այնուամենայնիվ, տոկոսադրույքի շոկը նույնպես զգալի գործոն է, որը հաշվի է առնվել պարտքի կառավարման ռազմավարության մշակման ժամանակ</w:t>
      </w:r>
      <w:r w:rsidRPr="0070296A">
        <w:t>:</w:t>
      </w:r>
    </w:p>
    <w:p w14:paraId="1E1B6527" w14:textId="1C043BF9" w:rsidR="00795BB8" w:rsidRPr="00D037CF" w:rsidRDefault="00795BB8" w:rsidP="0075651F">
      <w:pPr>
        <w:spacing w:before="120" w:after="0" w:line="276" w:lineRule="auto"/>
        <w:ind w:firstLine="562"/>
        <w:rPr>
          <w:color w:val="FF0000"/>
        </w:rPr>
      </w:pPr>
    </w:p>
    <w:p w14:paraId="61D55D41" w14:textId="1FFE65A5" w:rsidR="0075651F" w:rsidRPr="00461381" w:rsidRDefault="0075651F" w:rsidP="00461381">
      <w:pPr>
        <w:tabs>
          <w:tab w:val="left" w:pos="0"/>
        </w:tabs>
        <w:spacing w:before="120" w:after="0" w:line="276" w:lineRule="auto"/>
        <w:ind w:firstLine="0"/>
        <w:rPr>
          <w:b/>
          <w:color w:val="44546A" w:themeColor="text2"/>
          <w:sz w:val="24"/>
          <w:szCs w:val="24"/>
          <w:lang w:val="hy-AM" w:eastAsia="ru-RU"/>
        </w:rPr>
      </w:pPr>
      <w:bookmarkStart w:id="265" w:name="_Toc138951006"/>
      <w:r w:rsidRPr="00461381">
        <w:rPr>
          <w:b/>
          <w:color w:val="44546A" w:themeColor="text2"/>
          <w:sz w:val="24"/>
          <w:szCs w:val="24"/>
          <w:lang w:val="hy-AM" w:eastAsia="ru-RU"/>
        </w:rPr>
        <w:t>1.4.7. Եզրակացություններ</w:t>
      </w:r>
      <w:bookmarkEnd w:id="265"/>
    </w:p>
    <w:p w14:paraId="51677D73" w14:textId="77777777" w:rsidR="0075651F" w:rsidRDefault="0075651F" w:rsidP="0075651F">
      <w:pPr>
        <w:spacing w:before="120" w:after="0" w:line="276" w:lineRule="auto"/>
        <w:ind w:firstLine="0"/>
      </w:pPr>
      <w:r w:rsidRPr="0070296A">
        <w:t>ՀՀ կառավարության պարտքի պորտֆելի ծախսերի և ռիսկերի վերլուծության արդյունք</w:t>
      </w:r>
      <w:r w:rsidRPr="0070296A">
        <w:softHyphen/>
        <w:t xml:space="preserve">ները ցույց են տալիս, որ </w:t>
      </w:r>
      <w:r>
        <w:t xml:space="preserve">թեև </w:t>
      </w:r>
      <w:r w:rsidRPr="0070296A">
        <w:t>պարտքի պորտֆելն ամենաշատը ենթակա է փոխարժեքի ռիսկի ազդե</w:t>
      </w:r>
      <w:r w:rsidRPr="0070296A">
        <w:softHyphen/>
        <w:t>ցության</w:t>
      </w:r>
      <w:r>
        <w:t>ը, սակայն տոկոսադրույքի ռիսկը նույնպես նշանակալի է</w:t>
      </w:r>
      <w:r w:rsidRPr="0070296A">
        <w:t xml:space="preserve">: </w:t>
      </w:r>
      <w:r>
        <w:t>Աճող ֆինանսական կարիքի պայմաններում, երբ վերջին տարիներին արտաքին և ներքին շուկաներում տոկոսադրույքների էական բարձրացման միտում էր նկատվում, պետական բյուջեի պակասուրդի ֆինանսավորման այնպիսի կառուցվածք է ընտրվել, որ միջնաժամկետում</w:t>
      </w:r>
      <w:r w:rsidRPr="00541BFC">
        <w:rPr>
          <w:lang w:val="af-ZA"/>
        </w:rPr>
        <w:t>,</w:t>
      </w:r>
      <w:r>
        <w:t xml:space="preserve"> կառավարելի պահելով փոխարժեքի և տոկոսադրույքի ռիսկի ցուցանիշները, միաժամանակ, սահմանափակվի պարտքի տոկոսավճարների բեռի հնարավոր աճը: </w:t>
      </w:r>
    </w:p>
    <w:p w14:paraId="0A4481C4" w14:textId="77777777" w:rsidR="0075651F" w:rsidRDefault="0075651F" w:rsidP="0075651F">
      <w:pPr>
        <w:spacing w:before="120" w:after="0" w:line="276" w:lineRule="auto"/>
        <w:ind w:firstLine="0"/>
      </w:pPr>
      <w:r w:rsidRPr="0070296A">
        <w:t>ՀՀ կառավարությունն առաջնային է համարում պետական գան</w:t>
      </w:r>
      <w:r w:rsidRPr="0070296A">
        <w:softHyphen/>
        <w:t>ձա</w:t>
      </w:r>
      <w:r w:rsidRPr="0070296A">
        <w:softHyphen/>
        <w:t>պե</w:t>
      </w:r>
      <w:r w:rsidRPr="0070296A">
        <w:softHyphen/>
        <w:t>տական պարտատոմսերի շուկայի շարունակական զարգացումը</w:t>
      </w:r>
      <w:r>
        <w:t>, սակայն պարտատոմսերի ծավալները այնպիսին պետք է լինեն, որ</w:t>
      </w:r>
      <w:r w:rsidRPr="0070296A">
        <w:t xml:space="preserve"> ներքին </w:t>
      </w:r>
      <w:r>
        <w:t>պարտք</w:t>
      </w:r>
      <w:r w:rsidRPr="00541BFC">
        <w:t>ի</w:t>
      </w:r>
      <w:r>
        <w:t xml:space="preserve"> </w:t>
      </w:r>
      <w:r w:rsidRPr="0070296A">
        <w:t>շուկայի</w:t>
      </w:r>
      <w:r>
        <w:t xml:space="preserve"> ակտիվությունը և պարտատոմսերի իրացվելիությունը չնվազի: Այդ պատճառով, ի թիվս այլ գործոնների պարտատոմսերի թողարկման զուտ ծավալների ծրագրավորման ժամանակ հաշվի են առնվել նաև հիմնական ներդրողների պահանջարկը և արձագանքները շուկայի զարգացումներին</w:t>
      </w:r>
      <w:r w:rsidRPr="0070296A">
        <w:t xml:space="preserve">: </w:t>
      </w:r>
    </w:p>
    <w:p w14:paraId="0132FFA5" w14:textId="77777777" w:rsidR="0075651F" w:rsidRPr="00D33024" w:rsidRDefault="0075651F" w:rsidP="0075651F">
      <w:pPr>
        <w:spacing w:before="120" w:after="0" w:line="276" w:lineRule="auto"/>
        <w:ind w:firstLine="0"/>
      </w:pPr>
      <w:r>
        <w:t xml:space="preserve">Միջնաժամկետ հատվածում </w:t>
      </w:r>
      <w:r w:rsidRPr="0070296A">
        <w:t>նախա</w:t>
      </w:r>
      <w:r w:rsidRPr="0070296A">
        <w:softHyphen/>
        <w:t>տես</w:t>
      </w:r>
      <w:r w:rsidRPr="0070296A">
        <w:softHyphen/>
        <w:t xml:space="preserve">վում է </w:t>
      </w:r>
      <w:r>
        <w:t xml:space="preserve">առավել մատչելի դարձնել ոչ ռեզիդենտների մուտքը </w:t>
      </w:r>
      <w:r w:rsidRPr="00D33024">
        <w:t>պետական գանձապետական պարտատոմսերի շուկա</w:t>
      </w:r>
      <w:r>
        <w:t xml:space="preserve"> </w:t>
      </w:r>
      <w:r w:rsidRPr="0070296A">
        <w:t xml:space="preserve">և </w:t>
      </w:r>
      <w:r w:rsidRPr="00581010">
        <w:t>ապահովել</w:t>
      </w:r>
      <w:r w:rsidRPr="0070296A">
        <w:rPr>
          <w:lang w:val="af-ZA"/>
        </w:rPr>
        <w:t xml:space="preserve"> ՀՀ կառավարության պարտքի կառուցվածքում </w:t>
      </w:r>
      <w:r>
        <w:t>դրամայ</w:t>
      </w:r>
      <w:r w:rsidRPr="0070296A">
        <w:rPr>
          <w:lang w:val="af-ZA"/>
        </w:rPr>
        <w:t xml:space="preserve">ին պարտքի առնվազն </w:t>
      </w:r>
      <w:r>
        <w:t>40</w:t>
      </w:r>
      <w:r w:rsidRPr="0070296A">
        <w:rPr>
          <w:lang w:val="af-ZA"/>
        </w:rPr>
        <w:t>% մասնաբաժին:</w:t>
      </w:r>
      <w:r>
        <w:t xml:space="preserve"> Նախատեսվում է նաև </w:t>
      </w:r>
      <w:r w:rsidRPr="00541BFC">
        <w:t>կիրառ</w:t>
      </w:r>
      <w:r>
        <w:t xml:space="preserve">ել </w:t>
      </w:r>
      <w:r w:rsidRPr="00D33024">
        <w:t>պետական գանձապետական պարտատոմսերի փոխանակման աճուրդների կազմակերպման էլեկտրոնային համակարգ</w:t>
      </w:r>
      <w:r w:rsidRPr="00541BFC">
        <w:t>ը</w:t>
      </w:r>
      <w:r>
        <w:t>, որը լրացուցի</w:t>
      </w:r>
      <w:r w:rsidRPr="00541BFC">
        <w:t>չ</w:t>
      </w:r>
      <w:r>
        <w:t xml:space="preserve"> խթան կհանդիսանա </w:t>
      </w:r>
      <w:r w:rsidRPr="00D33024">
        <w:t>պետական գանձապետական պարտատոմսերի իրացվելիության աճ</w:t>
      </w:r>
      <w:r>
        <w:t>ի համար։</w:t>
      </w:r>
      <w:r w:rsidRPr="00D33024">
        <w:t xml:space="preserve"> </w:t>
      </w:r>
    </w:p>
    <w:p w14:paraId="1C85FC57" w14:textId="77777777" w:rsidR="0075651F" w:rsidRDefault="0075651F" w:rsidP="0075651F">
      <w:pPr>
        <w:spacing w:before="120" w:after="0" w:line="276" w:lineRule="auto"/>
        <w:ind w:firstLine="0"/>
      </w:pPr>
      <w:r w:rsidRPr="0070296A">
        <w:t>Կարևոր է նշել, որ միայն ՀՀ կառավարության պարտքի կառավարման ոլորտում իրակա</w:t>
      </w:r>
      <w:r w:rsidRPr="0070296A">
        <w:softHyphen/>
        <w:t>նացվող միջոցառումները բավարար չեն ՀՀ կառավարության ներքին պարտքի շուկան էակա</w:t>
      </w:r>
      <w:r w:rsidRPr="0070296A">
        <w:softHyphen/>
        <w:t xml:space="preserve">նորեն զարգացնելու համար: Ներքին պարտքի շուկայի զարգացման և ներդրողների բազայի ընդլայնման նախապայմաններից է նաև ֆինանսական շուկայի </w:t>
      </w:r>
      <w:r>
        <w:t>ոչ բանկային հատվածի</w:t>
      </w:r>
      <w:r w:rsidRPr="0070296A">
        <w:t xml:space="preserve"> հետագա  զարգացումը: </w:t>
      </w:r>
    </w:p>
    <w:p w14:paraId="5B2E4D34" w14:textId="77777777" w:rsidR="0075651F" w:rsidRDefault="0075651F" w:rsidP="0075651F">
      <w:pPr>
        <w:spacing w:before="120" w:after="0" w:line="276" w:lineRule="auto"/>
        <w:ind w:firstLine="0"/>
      </w:pPr>
      <w:r>
        <w:t xml:space="preserve">ՀՀ պետական բյուջեի պակասուրդի ֆինանսավորման արտաքին աղբյուրները սահմանելիս բացի ՀՀ կառավարության պարտքի պորտֆելին բնորոշ ծախսերի և ռիսկերի ցուցանիշների համախմբի վերլուծություններից, ֆինանսավորման աղբյուրների տարբերակման անհրաժեշտությունից,  հաշվի են առվել նաև ՀՀ պետական բյուջեի հոսքերում արտարժութային մուտքերի և ելքերի դինամիկան: Վերջինիս արդյունքում, պակասուրդի ֆինանսավորման աղբյուրներում փոխառությունների զուտ ներգրավումը արտաքին աղբյուրների հաշվին միջնաժամկետ հատվածում կավելանա: </w:t>
      </w:r>
    </w:p>
    <w:p w14:paraId="1A54A0B1" w14:textId="77777777" w:rsidR="0075651F" w:rsidRPr="0070296A" w:rsidRDefault="0075651F" w:rsidP="0075651F">
      <w:pPr>
        <w:spacing w:before="120" w:after="0" w:line="276" w:lineRule="auto"/>
        <w:ind w:firstLine="0"/>
      </w:pPr>
      <w:r w:rsidRPr="00AA4334">
        <w:t xml:space="preserve">Համագործակցությունն արտաքին վարկատուների հետ </w:t>
      </w:r>
      <w:r>
        <w:t>կընդլայնվի</w:t>
      </w:r>
      <w:r w:rsidRPr="00AA4334">
        <w:t>,</w:t>
      </w:r>
      <w:r>
        <w:t xml:space="preserve"> իսկ ֆինանսավորման գործիքները կդիվերսիֆիկացվեն:</w:t>
      </w:r>
      <w:r w:rsidRPr="00AA4334">
        <w:t xml:space="preserve"> </w:t>
      </w:r>
      <w:r>
        <w:t>Այս համագործակցության շրջանակում</w:t>
      </w:r>
      <w:r w:rsidRPr="00AA4334">
        <w:t xml:space="preserve"> ծրագրային վարկերն ուղղվելու են կարևոր ենթակառուցվածքների ձևավորմանը, իսկ մյուս վարկերի մեջ աստիճանաբար ընդլայնվելու է արդյունքի վրա հիմնված գործիքների կիրառումը, որոնք խթանելու են տնտեսական աճը և</w:t>
      </w:r>
      <w:r>
        <w:t>,</w:t>
      </w:r>
      <w:r w:rsidRPr="00AA4334">
        <w:t xml:space="preserve"> հետևաբար</w:t>
      </w:r>
      <w:r>
        <w:t>,</w:t>
      </w:r>
      <w:r w:rsidRPr="00AA4334">
        <w:t xml:space="preserve"> գեներացնելու </w:t>
      </w:r>
      <w:r>
        <w:t xml:space="preserve">են </w:t>
      </w:r>
      <w:r w:rsidRPr="00AA4334">
        <w:t>եկամուտներ, որոնք էլ իրենց հերթին ապահովելու են պարտքի կայունություն</w:t>
      </w:r>
      <w:r>
        <w:t>ն ու</w:t>
      </w:r>
      <w:r w:rsidRPr="00AA4334">
        <w:t xml:space="preserve"> պարտքի բեռի ցուցանիշների կառավարելի մակարդակում պահպանում</w:t>
      </w:r>
      <w:r>
        <w:t>ը</w:t>
      </w:r>
      <w:r w:rsidRPr="00AA4334">
        <w:t>։</w:t>
      </w:r>
    </w:p>
    <w:p w14:paraId="3BA56B89" w14:textId="77777777" w:rsidR="0075651F" w:rsidRPr="0070296A" w:rsidRDefault="0075651F" w:rsidP="0075651F">
      <w:pPr>
        <w:spacing w:before="120" w:after="0" w:line="276" w:lineRule="auto"/>
        <w:ind w:firstLine="0"/>
      </w:pPr>
      <w:r w:rsidRPr="0070296A">
        <w:t>ՀՀ կառավա</w:t>
      </w:r>
      <w:r w:rsidRPr="0070296A">
        <w:softHyphen/>
        <w:t>րությունը միջնաժամկետ հատվածում շարունակելու է ՀՀ կառավարության պարտքի մարման գրաֆիկի հարթեցման և վերաֆինանսավորման ռիսկի նվազեց</w:t>
      </w:r>
      <w:r w:rsidRPr="0070296A">
        <w:softHyphen/>
        <w:t>մանն ուղղված գործողությունները՝ կիրառելով իրացվելիության կառավարման այնպիսի գործիքներ, ինչպիսիք են կանխիկի բուֆերի ձևավորումը, հետգնումների ու փոխանակումների իրականացումը:</w:t>
      </w:r>
      <w:r>
        <w:t xml:space="preserve"> Ըստ անհրաժեշտության և իրավիճակի՝ կիրականացվի նաև տոկոսադրույքի և փոխարժեքի ռիսկի ակտիվ կառավարում, ինչպես օգտվելով առկա վարկային պայմանագրերի հնարավորություններից և փոփոխելով գործող վարկերի պայմանները, այնպես էլ ածանցյալ գործիքների ներդրմամբ: </w:t>
      </w:r>
    </w:p>
    <w:p w14:paraId="40D485C3" w14:textId="77777777" w:rsidR="000503C8" w:rsidRPr="00461381" w:rsidRDefault="0075651F" w:rsidP="00461381">
      <w:pPr>
        <w:tabs>
          <w:tab w:val="left" w:pos="0"/>
        </w:tabs>
        <w:spacing w:before="120" w:after="0" w:line="276" w:lineRule="auto"/>
        <w:ind w:firstLine="0"/>
        <w:rPr>
          <w:b/>
          <w:color w:val="44546A" w:themeColor="text2"/>
          <w:sz w:val="24"/>
          <w:szCs w:val="24"/>
          <w:lang w:val="hy-AM" w:eastAsia="ru-RU"/>
        </w:rPr>
      </w:pPr>
      <w:r w:rsidRPr="00E06CCC">
        <w:rPr>
          <w:color w:val="FF0000"/>
        </w:rPr>
        <w:br w:type="page"/>
      </w:r>
      <w:bookmarkStart w:id="266" w:name="_Toc138951007"/>
      <w:r w:rsidR="000503C8" w:rsidRPr="00461381">
        <w:rPr>
          <w:b/>
          <w:color w:val="44546A" w:themeColor="text2"/>
          <w:sz w:val="24"/>
          <w:szCs w:val="24"/>
          <w:lang w:val="hy-AM" w:eastAsia="ru-RU"/>
        </w:rPr>
        <w:t>Հավելված</w:t>
      </w:r>
      <w:bookmarkEnd w:id="266"/>
      <w:r w:rsidR="000503C8" w:rsidRPr="00461381">
        <w:rPr>
          <w:b/>
          <w:color w:val="44546A" w:themeColor="text2"/>
          <w:sz w:val="24"/>
          <w:szCs w:val="24"/>
          <w:lang w:val="hy-AM" w:eastAsia="ru-RU"/>
        </w:rPr>
        <w:t xml:space="preserve"> </w:t>
      </w:r>
    </w:p>
    <w:p w14:paraId="341C4FC0" w14:textId="77777777" w:rsidR="000503C8" w:rsidRPr="002A311E" w:rsidRDefault="000503C8" w:rsidP="002A311E">
      <w:pPr>
        <w:spacing w:before="120" w:after="0" w:line="276" w:lineRule="auto"/>
        <w:ind w:firstLine="0"/>
      </w:pPr>
      <w:r w:rsidRPr="002A311E">
        <w:t>ՀՀ կառավարության պարտքը բնութագրող 2022-2023 թվականների փաստացի, 2024 թվականի պետական բյուջեի ծրագրային և 2025-2027 թվականների կանխատեսումային ցուցանիշները</w:t>
      </w:r>
    </w:p>
    <w:p w14:paraId="3D2C3E49" w14:textId="77777777" w:rsidR="000503C8" w:rsidRPr="0070296A" w:rsidRDefault="000503C8" w:rsidP="000503C8">
      <w:pPr>
        <w:pStyle w:val="afd"/>
        <w:numPr>
          <w:ilvl w:val="0"/>
          <w:numId w:val="21"/>
        </w:numPr>
        <w:spacing w:before="0"/>
        <w:ind w:left="1276" w:hanging="1276"/>
      </w:pPr>
      <w:r w:rsidRPr="0070296A">
        <w:t>ՀՀ կառավարության պարտքի հիմնական ցուցանիշները 202</w:t>
      </w:r>
      <w:r w:rsidRPr="00972FF3">
        <w:t>2</w:t>
      </w:r>
      <w:r w:rsidRPr="0070296A">
        <w:t>-202</w:t>
      </w:r>
      <w:r w:rsidRPr="00972FF3">
        <w:t>7</w:t>
      </w:r>
      <w:r w:rsidRPr="0070296A">
        <w:t xml:space="preserve"> թվականներին (մլրդ դրամ)</w:t>
      </w:r>
    </w:p>
    <w:tbl>
      <w:tblPr>
        <w:tblW w:w="10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1095"/>
        <w:gridCol w:w="1071"/>
        <w:gridCol w:w="1493"/>
        <w:gridCol w:w="1071"/>
        <w:gridCol w:w="1093"/>
        <w:gridCol w:w="1014"/>
        <w:gridCol w:w="1019"/>
      </w:tblGrid>
      <w:tr w:rsidR="000503C8" w:rsidRPr="0070296A" w14:paraId="4D421E7A" w14:textId="77777777" w:rsidTr="002A311E">
        <w:trPr>
          <w:trHeight w:val="616"/>
          <w:tblHeader/>
          <w:jc w:val="center"/>
        </w:trPr>
        <w:tc>
          <w:tcPr>
            <w:tcW w:w="2880"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55E3F93" w14:textId="77777777" w:rsidR="000503C8" w:rsidRPr="002A311E" w:rsidRDefault="000503C8" w:rsidP="00013648">
            <w:pPr>
              <w:spacing w:line="240" w:lineRule="auto"/>
              <w:ind w:hanging="5"/>
              <w:jc w:val="center"/>
              <w:rPr>
                <w:sz w:val="20"/>
                <w:szCs w:val="20"/>
              </w:rPr>
            </w:pPr>
          </w:p>
        </w:tc>
        <w:tc>
          <w:tcPr>
            <w:tcW w:w="109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BB9C80F" w14:textId="77777777" w:rsidR="000503C8" w:rsidRPr="002A311E" w:rsidRDefault="000503C8" w:rsidP="00013648">
            <w:pPr>
              <w:spacing w:line="240" w:lineRule="auto"/>
              <w:ind w:hanging="5"/>
              <w:jc w:val="center"/>
              <w:rPr>
                <w:sz w:val="20"/>
                <w:szCs w:val="20"/>
              </w:rPr>
            </w:pPr>
            <w:r w:rsidRPr="002A311E">
              <w:rPr>
                <w:sz w:val="20"/>
                <w:szCs w:val="20"/>
              </w:rPr>
              <w:t>2022 փաստ.</w:t>
            </w:r>
          </w:p>
        </w:tc>
        <w:tc>
          <w:tcPr>
            <w:tcW w:w="1071"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13CE999" w14:textId="77777777" w:rsidR="000503C8" w:rsidRPr="002A311E" w:rsidRDefault="000503C8" w:rsidP="00013648">
            <w:pPr>
              <w:spacing w:line="240" w:lineRule="auto"/>
              <w:ind w:hanging="5"/>
              <w:jc w:val="center"/>
              <w:rPr>
                <w:sz w:val="20"/>
                <w:szCs w:val="20"/>
              </w:rPr>
            </w:pPr>
            <w:r w:rsidRPr="002A311E">
              <w:rPr>
                <w:sz w:val="20"/>
                <w:szCs w:val="20"/>
              </w:rPr>
              <w:t>2023 փաստ.</w:t>
            </w:r>
          </w:p>
        </w:tc>
        <w:tc>
          <w:tcPr>
            <w:tcW w:w="1493"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28DA800E" w14:textId="77777777" w:rsidR="000503C8" w:rsidRPr="002A311E" w:rsidRDefault="000503C8" w:rsidP="00013648">
            <w:pPr>
              <w:spacing w:line="240" w:lineRule="auto"/>
              <w:ind w:hanging="5"/>
              <w:jc w:val="center"/>
              <w:rPr>
                <w:sz w:val="20"/>
                <w:szCs w:val="20"/>
              </w:rPr>
            </w:pPr>
            <w:r w:rsidRPr="002A311E">
              <w:rPr>
                <w:sz w:val="20"/>
                <w:szCs w:val="20"/>
              </w:rPr>
              <w:t>2024 պետբյուջեի ծրագիր</w:t>
            </w:r>
          </w:p>
        </w:tc>
        <w:tc>
          <w:tcPr>
            <w:tcW w:w="1071"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616F5B05" w14:textId="77777777" w:rsidR="000503C8" w:rsidRPr="002A311E" w:rsidRDefault="000503C8" w:rsidP="00013648">
            <w:pPr>
              <w:spacing w:line="240" w:lineRule="auto"/>
              <w:ind w:hanging="5"/>
              <w:jc w:val="center"/>
              <w:rPr>
                <w:sz w:val="20"/>
                <w:szCs w:val="20"/>
              </w:rPr>
            </w:pPr>
            <w:r w:rsidRPr="002A311E">
              <w:rPr>
                <w:sz w:val="20"/>
                <w:szCs w:val="20"/>
              </w:rPr>
              <w:t>2024 կանխ.</w:t>
            </w:r>
          </w:p>
        </w:tc>
        <w:tc>
          <w:tcPr>
            <w:tcW w:w="1093"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803C907" w14:textId="77777777" w:rsidR="000503C8" w:rsidRPr="002A311E" w:rsidRDefault="000503C8" w:rsidP="00013648">
            <w:pPr>
              <w:spacing w:line="240" w:lineRule="auto"/>
              <w:ind w:hanging="5"/>
              <w:jc w:val="center"/>
              <w:rPr>
                <w:sz w:val="20"/>
                <w:szCs w:val="20"/>
              </w:rPr>
            </w:pPr>
            <w:r w:rsidRPr="002A311E">
              <w:rPr>
                <w:sz w:val="20"/>
                <w:szCs w:val="20"/>
              </w:rPr>
              <w:t>2025 կանխ.</w:t>
            </w:r>
          </w:p>
        </w:tc>
        <w:tc>
          <w:tcPr>
            <w:tcW w:w="1014"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443CED6" w14:textId="77777777" w:rsidR="000503C8" w:rsidRPr="002A311E" w:rsidRDefault="000503C8" w:rsidP="00013648">
            <w:pPr>
              <w:spacing w:line="240" w:lineRule="auto"/>
              <w:ind w:hanging="5"/>
              <w:jc w:val="center"/>
              <w:rPr>
                <w:sz w:val="20"/>
                <w:szCs w:val="20"/>
              </w:rPr>
            </w:pPr>
            <w:r w:rsidRPr="002A311E">
              <w:rPr>
                <w:sz w:val="20"/>
                <w:szCs w:val="20"/>
              </w:rPr>
              <w:t>2026 կանխ.</w:t>
            </w:r>
          </w:p>
        </w:tc>
        <w:tc>
          <w:tcPr>
            <w:tcW w:w="1019"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0862B18D" w14:textId="77777777" w:rsidR="000503C8" w:rsidRPr="002A311E" w:rsidRDefault="000503C8" w:rsidP="00013648">
            <w:pPr>
              <w:spacing w:line="240" w:lineRule="auto"/>
              <w:ind w:hanging="5"/>
              <w:jc w:val="center"/>
              <w:rPr>
                <w:sz w:val="20"/>
                <w:szCs w:val="20"/>
              </w:rPr>
            </w:pPr>
            <w:r w:rsidRPr="002A311E">
              <w:rPr>
                <w:sz w:val="20"/>
                <w:szCs w:val="20"/>
              </w:rPr>
              <w:t>2027 կանխ.</w:t>
            </w:r>
          </w:p>
        </w:tc>
      </w:tr>
      <w:tr w:rsidR="000503C8" w:rsidRPr="0070296A" w14:paraId="7B72F425" w14:textId="77777777" w:rsidTr="00013648">
        <w:trPr>
          <w:trHeight w:val="256"/>
          <w:jc w:val="center"/>
        </w:trPr>
        <w:tc>
          <w:tcPr>
            <w:tcW w:w="2880" w:type="dxa"/>
            <w:tcBorders>
              <w:left w:val="nil"/>
              <w:bottom w:val="single" w:sz="4" w:space="0" w:color="auto"/>
              <w:right w:val="nil"/>
            </w:tcBorders>
            <w:vAlign w:val="center"/>
          </w:tcPr>
          <w:p w14:paraId="7C980742" w14:textId="77777777" w:rsidR="000503C8" w:rsidRPr="002A311E" w:rsidRDefault="000503C8" w:rsidP="00013648">
            <w:pPr>
              <w:spacing w:line="240" w:lineRule="auto"/>
              <w:ind w:hanging="5"/>
              <w:jc w:val="left"/>
              <w:rPr>
                <w:sz w:val="20"/>
                <w:szCs w:val="20"/>
              </w:rPr>
            </w:pPr>
            <w:r w:rsidRPr="002A311E">
              <w:rPr>
                <w:sz w:val="20"/>
                <w:szCs w:val="20"/>
              </w:rPr>
              <w:t>Կառավարության պարտք</w:t>
            </w:r>
          </w:p>
        </w:tc>
        <w:tc>
          <w:tcPr>
            <w:tcW w:w="1095" w:type="dxa"/>
            <w:tcBorders>
              <w:left w:val="nil"/>
              <w:bottom w:val="single" w:sz="4" w:space="0" w:color="auto"/>
              <w:right w:val="nil"/>
            </w:tcBorders>
            <w:vAlign w:val="center"/>
          </w:tcPr>
          <w:p w14:paraId="6F5B601E" w14:textId="77777777" w:rsidR="000503C8" w:rsidRPr="002A311E" w:rsidRDefault="000503C8" w:rsidP="00013648">
            <w:pPr>
              <w:spacing w:line="240" w:lineRule="auto"/>
              <w:ind w:hanging="5"/>
              <w:jc w:val="center"/>
              <w:rPr>
                <w:sz w:val="20"/>
                <w:szCs w:val="20"/>
              </w:rPr>
            </w:pPr>
            <w:r w:rsidRPr="002A311E">
              <w:rPr>
                <w:sz w:val="20"/>
                <w:szCs w:val="20"/>
              </w:rPr>
              <w:t>3,969.7</w:t>
            </w:r>
          </w:p>
        </w:tc>
        <w:tc>
          <w:tcPr>
            <w:tcW w:w="1071" w:type="dxa"/>
            <w:tcBorders>
              <w:left w:val="nil"/>
              <w:bottom w:val="single" w:sz="4" w:space="0" w:color="auto"/>
              <w:right w:val="nil"/>
            </w:tcBorders>
            <w:vAlign w:val="center"/>
          </w:tcPr>
          <w:p w14:paraId="1F834388" w14:textId="77777777" w:rsidR="000503C8" w:rsidRPr="002A311E" w:rsidRDefault="000503C8" w:rsidP="00013648">
            <w:pPr>
              <w:spacing w:line="240" w:lineRule="auto"/>
              <w:ind w:hanging="5"/>
              <w:jc w:val="center"/>
              <w:rPr>
                <w:sz w:val="20"/>
                <w:szCs w:val="20"/>
              </w:rPr>
            </w:pPr>
            <w:r w:rsidRPr="002A311E">
              <w:rPr>
                <w:sz w:val="20"/>
                <w:szCs w:val="20"/>
              </w:rPr>
              <w:t>4,571.9</w:t>
            </w:r>
          </w:p>
        </w:tc>
        <w:tc>
          <w:tcPr>
            <w:tcW w:w="1493" w:type="dxa"/>
            <w:tcBorders>
              <w:left w:val="nil"/>
              <w:bottom w:val="single" w:sz="4" w:space="0" w:color="auto"/>
              <w:right w:val="double" w:sz="4" w:space="0" w:color="auto"/>
            </w:tcBorders>
            <w:vAlign w:val="center"/>
          </w:tcPr>
          <w:p w14:paraId="09C269CA" w14:textId="77777777" w:rsidR="000503C8" w:rsidRPr="002A311E" w:rsidRDefault="000503C8" w:rsidP="00013648">
            <w:pPr>
              <w:spacing w:line="240" w:lineRule="auto"/>
              <w:ind w:hanging="5"/>
              <w:jc w:val="center"/>
              <w:rPr>
                <w:sz w:val="20"/>
                <w:szCs w:val="20"/>
              </w:rPr>
            </w:pPr>
            <w:r w:rsidRPr="002A311E">
              <w:rPr>
                <w:sz w:val="20"/>
                <w:szCs w:val="20"/>
              </w:rPr>
              <w:t>4,645.0</w:t>
            </w:r>
          </w:p>
        </w:tc>
        <w:tc>
          <w:tcPr>
            <w:tcW w:w="1071" w:type="dxa"/>
            <w:tcBorders>
              <w:left w:val="double" w:sz="4" w:space="0" w:color="auto"/>
              <w:bottom w:val="single" w:sz="4" w:space="0" w:color="auto"/>
              <w:right w:val="nil"/>
            </w:tcBorders>
            <w:vAlign w:val="center"/>
          </w:tcPr>
          <w:p w14:paraId="02611266" w14:textId="77777777" w:rsidR="000503C8" w:rsidRPr="002A311E" w:rsidRDefault="000503C8" w:rsidP="00013648">
            <w:pPr>
              <w:spacing w:line="240" w:lineRule="auto"/>
              <w:ind w:hanging="5"/>
              <w:jc w:val="center"/>
              <w:rPr>
                <w:sz w:val="20"/>
                <w:szCs w:val="20"/>
              </w:rPr>
            </w:pPr>
            <w:r w:rsidRPr="002A311E">
              <w:rPr>
                <w:sz w:val="20"/>
                <w:szCs w:val="20"/>
              </w:rPr>
              <w:t>5,172.9</w:t>
            </w:r>
          </w:p>
        </w:tc>
        <w:tc>
          <w:tcPr>
            <w:tcW w:w="1093" w:type="dxa"/>
            <w:tcBorders>
              <w:left w:val="nil"/>
              <w:bottom w:val="single" w:sz="4" w:space="0" w:color="auto"/>
              <w:right w:val="nil"/>
            </w:tcBorders>
            <w:vAlign w:val="center"/>
          </w:tcPr>
          <w:p w14:paraId="610B8661" w14:textId="77777777" w:rsidR="000503C8" w:rsidRPr="002A311E" w:rsidRDefault="000503C8" w:rsidP="00013648">
            <w:pPr>
              <w:spacing w:line="240" w:lineRule="auto"/>
              <w:ind w:hanging="5"/>
              <w:jc w:val="center"/>
              <w:rPr>
                <w:sz w:val="20"/>
                <w:szCs w:val="20"/>
              </w:rPr>
            </w:pPr>
            <w:r w:rsidRPr="002A311E">
              <w:rPr>
                <w:sz w:val="20"/>
                <w:szCs w:val="20"/>
              </w:rPr>
              <w:t>6,017.5</w:t>
            </w:r>
          </w:p>
        </w:tc>
        <w:tc>
          <w:tcPr>
            <w:tcW w:w="1014" w:type="dxa"/>
            <w:tcBorders>
              <w:left w:val="nil"/>
              <w:bottom w:val="single" w:sz="4" w:space="0" w:color="auto"/>
              <w:right w:val="nil"/>
            </w:tcBorders>
            <w:vAlign w:val="center"/>
          </w:tcPr>
          <w:p w14:paraId="122F2158" w14:textId="77777777" w:rsidR="000503C8" w:rsidRPr="002A311E" w:rsidRDefault="000503C8" w:rsidP="00013648">
            <w:pPr>
              <w:spacing w:line="240" w:lineRule="auto"/>
              <w:ind w:hanging="5"/>
              <w:jc w:val="center"/>
              <w:rPr>
                <w:sz w:val="20"/>
                <w:szCs w:val="20"/>
              </w:rPr>
            </w:pPr>
            <w:r w:rsidRPr="002A311E">
              <w:rPr>
                <w:sz w:val="20"/>
                <w:szCs w:val="20"/>
              </w:rPr>
              <w:t>6,774.8</w:t>
            </w:r>
          </w:p>
        </w:tc>
        <w:tc>
          <w:tcPr>
            <w:tcW w:w="1019" w:type="dxa"/>
            <w:tcBorders>
              <w:left w:val="nil"/>
              <w:bottom w:val="single" w:sz="4" w:space="0" w:color="auto"/>
              <w:right w:val="nil"/>
            </w:tcBorders>
            <w:vAlign w:val="center"/>
          </w:tcPr>
          <w:p w14:paraId="351ED8E1" w14:textId="77777777" w:rsidR="000503C8" w:rsidRPr="002A311E" w:rsidRDefault="000503C8" w:rsidP="00013648">
            <w:pPr>
              <w:spacing w:line="240" w:lineRule="auto"/>
              <w:ind w:hanging="5"/>
              <w:jc w:val="center"/>
              <w:rPr>
                <w:sz w:val="20"/>
                <w:szCs w:val="20"/>
              </w:rPr>
            </w:pPr>
            <w:r w:rsidRPr="002A311E">
              <w:rPr>
                <w:sz w:val="20"/>
                <w:szCs w:val="20"/>
              </w:rPr>
              <w:t>7,430.3</w:t>
            </w:r>
          </w:p>
        </w:tc>
      </w:tr>
      <w:tr w:rsidR="000503C8" w:rsidRPr="0070296A" w14:paraId="3FC771F9" w14:textId="77777777" w:rsidTr="00013648">
        <w:trPr>
          <w:trHeight w:val="328"/>
          <w:jc w:val="center"/>
        </w:trPr>
        <w:tc>
          <w:tcPr>
            <w:tcW w:w="2880" w:type="dxa"/>
            <w:tcBorders>
              <w:left w:val="nil"/>
              <w:bottom w:val="single" w:sz="12" w:space="0" w:color="auto"/>
              <w:right w:val="nil"/>
            </w:tcBorders>
            <w:vAlign w:val="center"/>
          </w:tcPr>
          <w:p w14:paraId="040D296E" w14:textId="77777777" w:rsidR="000503C8" w:rsidRPr="002A311E" w:rsidRDefault="000503C8" w:rsidP="00013648">
            <w:pPr>
              <w:spacing w:line="240" w:lineRule="auto"/>
              <w:ind w:hanging="5"/>
              <w:jc w:val="left"/>
              <w:rPr>
                <w:sz w:val="20"/>
                <w:szCs w:val="20"/>
              </w:rPr>
            </w:pPr>
            <w:r w:rsidRPr="002A311E">
              <w:rPr>
                <w:sz w:val="20"/>
                <w:szCs w:val="20"/>
              </w:rPr>
              <w:t>% ՀՆԱ-ի նկատմամբ</w:t>
            </w:r>
          </w:p>
        </w:tc>
        <w:tc>
          <w:tcPr>
            <w:tcW w:w="1095" w:type="dxa"/>
            <w:tcBorders>
              <w:left w:val="nil"/>
              <w:bottom w:val="single" w:sz="12" w:space="0" w:color="auto"/>
              <w:right w:val="nil"/>
            </w:tcBorders>
            <w:vAlign w:val="center"/>
          </w:tcPr>
          <w:p w14:paraId="07FB095A" w14:textId="77777777" w:rsidR="000503C8" w:rsidRPr="002A311E" w:rsidRDefault="000503C8" w:rsidP="00013648">
            <w:pPr>
              <w:spacing w:line="240" w:lineRule="auto"/>
              <w:ind w:hanging="5"/>
              <w:jc w:val="center"/>
              <w:rPr>
                <w:sz w:val="20"/>
                <w:szCs w:val="20"/>
              </w:rPr>
            </w:pPr>
            <w:r w:rsidRPr="002A311E">
              <w:rPr>
                <w:sz w:val="20"/>
                <w:szCs w:val="20"/>
              </w:rPr>
              <w:t>46.7</w:t>
            </w:r>
          </w:p>
        </w:tc>
        <w:tc>
          <w:tcPr>
            <w:tcW w:w="1071" w:type="dxa"/>
            <w:tcBorders>
              <w:left w:val="nil"/>
              <w:bottom w:val="single" w:sz="12" w:space="0" w:color="auto"/>
              <w:right w:val="nil"/>
            </w:tcBorders>
            <w:vAlign w:val="center"/>
          </w:tcPr>
          <w:p w14:paraId="44A27180" w14:textId="77777777" w:rsidR="000503C8" w:rsidRPr="002A311E" w:rsidRDefault="000503C8" w:rsidP="00013648">
            <w:pPr>
              <w:spacing w:line="240" w:lineRule="auto"/>
              <w:ind w:hanging="5"/>
              <w:jc w:val="center"/>
              <w:rPr>
                <w:sz w:val="20"/>
                <w:szCs w:val="20"/>
              </w:rPr>
            </w:pPr>
            <w:r w:rsidRPr="002A311E">
              <w:rPr>
                <w:sz w:val="20"/>
                <w:szCs w:val="20"/>
              </w:rPr>
              <w:t>48.1</w:t>
            </w:r>
          </w:p>
        </w:tc>
        <w:tc>
          <w:tcPr>
            <w:tcW w:w="1493" w:type="dxa"/>
            <w:tcBorders>
              <w:left w:val="nil"/>
              <w:bottom w:val="single" w:sz="12" w:space="0" w:color="auto"/>
              <w:right w:val="double" w:sz="4" w:space="0" w:color="auto"/>
            </w:tcBorders>
            <w:vAlign w:val="center"/>
          </w:tcPr>
          <w:p w14:paraId="26E910FF" w14:textId="77777777" w:rsidR="000503C8" w:rsidRPr="002A311E" w:rsidRDefault="000503C8" w:rsidP="00013648">
            <w:pPr>
              <w:spacing w:line="240" w:lineRule="auto"/>
              <w:ind w:hanging="5"/>
              <w:jc w:val="center"/>
              <w:rPr>
                <w:sz w:val="20"/>
                <w:szCs w:val="20"/>
              </w:rPr>
            </w:pPr>
            <w:r w:rsidRPr="002A311E">
              <w:rPr>
                <w:sz w:val="20"/>
                <w:szCs w:val="20"/>
              </w:rPr>
              <w:t>49.9</w:t>
            </w:r>
          </w:p>
        </w:tc>
        <w:tc>
          <w:tcPr>
            <w:tcW w:w="1071" w:type="dxa"/>
            <w:tcBorders>
              <w:left w:val="double" w:sz="4" w:space="0" w:color="auto"/>
              <w:bottom w:val="single" w:sz="12" w:space="0" w:color="auto"/>
              <w:right w:val="nil"/>
            </w:tcBorders>
            <w:vAlign w:val="center"/>
          </w:tcPr>
          <w:p w14:paraId="563DC3C7" w14:textId="77777777" w:rsidR="000503C8" w:rsidRPr="002A311E" w:rsidRDefault="000503C8" w:rsidP="00013648">
            <w:pPr>
              <w:spacing w:line="240" w:lineRule="auto"/>
              <w:ind w:hanging="5"/>
              <w:jc w:val="center"/>
              <w:rPr>
                <w:sz w:val="20"/>
                <w:szCs w:val="20"/>
              </w:rPr>
            </w:pPr>
            <w:r w:rsidRPr="002A311E">
              <w:rPr>
                <w:sz w:val="20"/>
                <w:szCs w:val="20"/>
              </w:rPr>
              <w:t>50.5</w:t>
            </w:r>
          </w:p>
        </w:tc>
        <w:tc>
          <w:tcPr>
            <w:tcW w:w="1093" w:type="dxa"/>
            <w:tcBorders>
              <w:left w:val="nil"/>
              <w:bottom w:val="single" w:sz="12" w:space="0" w:color="auto"/>
              <w:right w:val="nil"/>
            </w:tcBorders>
            <w:vAlign w:val="center"/>
          </w:tcPr>
          <w:p w14:paraId="1A8C8B87" w14:textId="77777777" w:rsidR="000503C8" w:rsidRPr="002A311E" w:rsidRDefault="000503C8" w:rsidP="00013648">
            <w:pPr>
              <w:spacing w:line="240" w:lineRule="auto"/>
              <w:ind w:hanging="5"/>
              <w:jc w:val="center"/>
              <w:rPr>
                <w:sz w:val="20"/>
                <w:szCs w:val="20"/>
              </w:rPr>
            </w:pPr>
            <w:r w:rsidRPr="002A311E">
              <w:rPr>
                <w:sz w:val="20"/>
                <w:szCs w:val="20"/>
              </w:rPr>
              <w:t>53.7</w:t>
            </w:r>
          </w:p>
        </w:tc>
        <w:tc>
          <w:tcPr>
            <w:tcW w:w="1014" w:type="dxa"/>
            <w:tcBorders>
              <w:left w:val="nil"/>
              <w:bottom w:val="single" w:sz="12" w:space="0" w:color="auto"/>
              <w:right w:val="nil"/>
            </w:tcBorders>
            <w:vAlign w:val="center"/>
          </w:tcPr>
          <w:p w14:paraId="1CD1728B" w14:textId="77777777" w:rsidR="000503C8" w:rsidRPr="002A311E" w:rsidRDefault="000503C8" w:rsidP="00013648">
            <w:pPr>
              <w:spacing w:line="240" w:lineRule="auto"/>
              <w:ind w:hanging="5"/>
              <w:jc w:val="center"/>
              <w:rPr>
                <w:sz w:val="20"/>
                <w:szCs w:val="20"/>
              </w:rPr>
            </w:pPr>
            <w:r w:rsidRPr="002A311E">
              <w:rPr>
                <w:sz w:val="20"/>
                <w:szCs w:val="20"/>
              </w:rPr>
              <w:t>55.0</w:t>
            </w:r>
          </w:p>
        </w:tc>
        <w:tc>
          <w:tcPr>
            <w:tcW w:w="1019" w:type="dxa"/>
            <w:tcBorders>
              <w:left w:val="nil"/>
              <w:bottom w:val="single" w:sz="12" w:space="0" w:color="auto"/>
              <w:right w:val="nil"/>
            </w:tcBorders>
            <w:vAlign w:val="center"/>
          </w:tcPr>
          <w:p w14:paraId="2A23F053" w14:textId="77777777" w:rsidR="000503C8" w:rsidRPr="002A311E" w:rsidRDefault="000503C8" w:rsidP="00013648">
            <w:pPr>
              <w:spacing w:line="240" w:lineRule="auto"/>
              <w:ind w:hanging="5"/>
              <w:jc w:val="center"/>
              <w:rPr>
                <w:sz w:val="20"/>
                <w:szCs w:val="20"/>
              </w:rPr>
            </w:pPr>
            <w:r w:rsidRPr="002A311E">
              <w:rPr>
                <w:sz w:val="20"/>
                <w:szCs w:val="20"/>
              </w:rPr>
              <w:t>55.0</w:t>
            </w:r>
          </w:p>
        </w:tc>
      </w:tr>
      <w:tr w:rsidR="000503C8" w:rsidRPr="0070296A" w14:paraId="107F3ED5" w14:textId="77777777" w:rsidTr="00013648">
        <w:trPr>
          <w:trHeight w:val="249"/>
          <w:jc w:val="center"/>
        </w:trPr>
        <w:tc>
          <w:tcPr>
            <w:tcW w:w="2880" w:type="dxa"/>
            <w:tcBorders>
              <w:top w:val="single" w:sz="12" w:space="0" w:color="auto"/>
              <w:left w:val="nil"/>
              <w:right w:val="nil"/>
            </w:tcBorders>
            <w:vAlign w:val="center"/>
          </w:tcPr>
          <w:p w14:paraId="616C44C8" w14:textId="77777777" w:rsidR="000503C8" w:rsidRPr="002A311E" w:rsidRDefault="000503C8" w:rsidP="00013648">
            <w:pPr>
              <w:spacing w:line="240" w:lineRule="auto"/>
              <w:ind w:hanging="5"/>
              <w:jc w:val="left"/>
              <w:rPr>
                <w:sz w:val="20"/>
                <w:szCs w:val="20"/>
              </w:rPr>
            </w:pPr>
            <w:r w:rsidRPr="002A311E">
              <w:rPr>
                <w:sz w:val="20"/>
                <w:szCs w:val="20"/>
              </w:rPr>
              <w:t>Ըստ գործիքակազմի</w:t>
            </w:r>
          </w:p>
        </w:tc>
        <w:tc>
          <w:tcPr>
            <w:tcW w:w="1095" w:type="dxa"/>
            <w:tcBorders>
              <w:top w:val="single" w:sz="12" w:space="0" w:color="auto"/>
              <w:left w:val="nil"/>
              <w:right w:val="nil"/>
            </w:tcBorders>
            <w:vAlign w:val="center"/>
          </w:tcPr>
          <w:p w14:paraId="11979901" w14:textId="77777777" w:rsidR="000503C8" w:rsidRPr="002A311E" w:rsidRDefault="000503C8" w:rsidP="00013648">
            <w:pPr>
              <w:spacing w:line="240" w:lineRule="auto"/>
              <w:ind w:hanging="5"/>
              <w:jc w:val="center"/>
              <w:rPr>
                <w:sz w:val="20"/>
                <w:szCs w:val="20"/>
              </w:rPr>
            </w:pPr>
          </w:p>
        </w:tc>
        <w:tc>
          <w:tcPr>
            <w:tcW w:w="1071" w:type="dxa"/>
            <w:tcBorders>
              <w:top w:val="single" w:sz="12" w:space="0" w:color="auto"/>
              <w:left w:val="nil"/>
              <w:right w:val="nil"/>
            </w:tcBorders>
            <w:vAlign w:val="center"/>
          </w:tcPr>
          <w:p w14:paraId="7FD587DD" w14:textId="77777777" w:rsidR="000503C8" w:rsidRPr="002A311E" w:rsidRDefault="000503C8" w:rsidP="00013648">
            <w:pPr>
              <w:spacing w:line="240" w:lineRule="auto"/>
              <w:ind w:hanging="5"/>
              <w:jc w:val="center"/>
              <w:rPr>
                <w:sz w:val="20"/>
                <w:szCs w:val="20"/>
              </w:rPr>
            </w:pPr>
          </w:p>
        </w:tc>
        <w:tc>
          <w:tcPr>
            <w:tcW w:w="1493" w:type="dxa"/>
            <w:tcBorders>
              <w:top w:val="single" w:sz="12" w:space="0" w:color="auto"/>
              <w:left w:val="nil"/>
              <w:right w:val="double" w:sz="4" w:space="0" w:color="auto"/>
            </w:tcBorders>
            <w:vAlign w:val="center"/>
          </w:tcPr>
          <w:p w14:paraId="3DCA1495" w14:textId="77777777" w:rsidR="000503C8" w:rsidRPr="002A311E" w:rsidRDefault="000503C8" w:rsidP="00013648">
            <w:pPr>
              <w:spacing w:line="240" w:lineRule="auto"/>
              <w:ind w:hanging="5"/>
              <w:jc w:val="center"/>
              <w:rPr>
                <w:sz w:val="20"/>
                <w:szCs w:val="20"/>
              </w:rPr>
            </w:pPr>
          </w:p>
        </w:tc>
        <w:tc>
          <w:tcPr>
            <w:tcW w:w="1071" w:type="dxa"/>
            <w:tcBorders>
              <w:top w:val="single" w:sz="12" w:space="0" w:color="auto"/>
              <w:left w:val="double" w:sz="4" w:space="0" w:color="auto"/>
              <w:right w:val="nil"/>
            </w:tcBorders>
            <w:vAlign w:val="center"/>
          </w:tcPr>
          <w:p w14:paraId="0C84762B" w14:textId="77777777" w:rsidR="000503C8" w:rsidRPr="002A311E" w:rsidRDefault="000503C8" w:rsidP="00013648">
            <w:pPr>
              <w:spacing w:line="240" w:lineRule="auto"/>
              <w:ind w:hanging="5"/>
              <w:jc w:val="center"/>
              <w:rPr>
                <w:sz w:val="20"/>
                <w:szCs w:val="20"/>
              </w:rPr>
            </w:pPr>
          </w:p>
        </w:tc>
        <w:tc>
          <w:tcPr>
            <w:tcW w:w="1093" w:type="dxa"/>
            <w:tcBorders>
              <w:top w:val="single" w:sz="12" w:space="0" w:color="auto"/>
              <w:left w:val="nil"/>
              <w:right w:val="nil"/>
            </w:tcBorders>
            <w:vAlign w:val="center"/>
          </w:tcPr>
          <w:p w14:paraId="50B60186" w14:textId="77777777" w:rsidR="000503C8" w:rsidRPr="002A311E" w:rsidRDefault="000503C8" w:rsidP="00013648">
            <w:pPr>
              <w:spacing w:line="240" w:lineRule="auto"/>
              <w:ind w:hanging="5"/>
              <w:jc w:val="center"/>
              <w:rPr>
                <w:sz w:val="20"/>
                <w:szCs w:val="20"/>
              </w:rPr>
            </w:pPr>
          </w:p>
        </w:tc>
        <w:tc>
          <w:tcPr>
            <w:tcW w:w="1014" w:type="dxa"/>
            <w:tcBorders>
              <w:top w:val="single" w:sz="12" w:space="0" w:color="auto"/>
              <w:left w:val="nil"/>
              <w:right w:val="nil"/>
            </w:tcBorders>
            <w:vAlign w:val="center"/>
          </w:tcPr>
          <w:p w14:paraId="71654A78" w14:textId="77777777" w:rsidR="000503C8" w:rsidRPr="002A311E" w:rsidRDefault="000503C8" w:rsidP="00013648">
            <w:pPr>
              <w:spacing w:line="240" w:lineRule="auto"/>
              <w:ind w:hanging="5"/>
              <w:jc w:val="center"/>
              <w:rPr>
                <w:sz w:val="20"/>
                <w:szCs w:val="20"/>
              </w:rPr>
            </w:pPr>
          </w:p>
        </w:tc>
        <w:tc>
          <w:tcPr>
            <w:tcW w:w="1019" w:type="dxa"/>
            <w:tcBorders>
              <w:top w:val="single" w:sz="12" w:space="0" w:color="auto"/>
              <w:left w:val="nil"/>
              <w:right w:val="nil"/>
            </w:tcBorders>
            <w:vAlign w:val="center"/>
          </w:tcPr>
          <w:p w14:paraId="55E6C0CC" w14:textId="77777777" w:rsidR="000503C8" w:rsidRPr="002A311E" w:rsidRDefault="000503C8" w:rsidP="00013648">
            <w:pPr>
              <w:spacing w:line="240" w:lineRule="auto"/>
              <w:ind w:hanging="5"/>
              <w:jc w:val="center"/>
              <w:rPr>
                <w:sz w:val="20"/>
                <w:szCs w:val="20"/>
              </w:rPr>
            </w:pPr>
          </w:p>
        </w:tc>
      </w:tr>
      <w:tr w:rsidR="000503C8" w:rsidRPr="0070296A" w14:paraId="42CDF85F" w14:textId="77777777" w:rsidTr="00013648">
        <w:trPr>
          <w:trHeight w:val="511"/>
          <w:jc w:val="center"/>
        </w:trPr>
        <w:tc>
          <w:tcPr>
            <w:tcW w:w="2880" w:type="dxa"/>
            <w:tcBorders>
              <w:left w:val="nil"/>
              <w:right w:val="nil"/>
            </w:tcBorders>
            <w:vAlign w:val="center"/>
          </w:tcPr>
          <w:p w14:paraId="7C9A3A5B" w14:textId="77777777" w:rsidR="000503C8" w:rsidRPr="002A311E" w:rsidRDefault="000503C8" w:rsidP="00013648">
            <w:pPr>
              <w:spacing w:line="240" w:lineRule="auto"/>
              <w:ind w:left="187" w:hanging="5"/>
              <w:jc w:val="left"/>
              <w:rPr>
                <w:sz w:val="20"/>
                <w:szCs w:val="20"/>
              </w:rPr>
            </w:pPr>
            <w:r w:rsidRPr="002A311E">
              <w:rPr>
                <w:sz w:val="20"/>
                <w:szCs w:val="20"/>
              </w:rPr>
              <w:t>արտաքին վարկեր և փոխառություններ</w:t>
            </w:r>
          </w:p>
        </w:tc>
        <w:tc>
          <w:tcPr>
            <w:tcW w:w="1095" w:type="dxa"/>
            <w:tcBorders>
              <w:left w:val="nil"/>
              <w:right w:val="nil"/>
            </w:tcBorders>
            <w:vAlign w:val="center"/>
          </w:tcPr>
          <w:p w14:paraId="43BDB21D" w14:textId="77777777" w:rsidR="000503C8" w:rsidRPr="002A311E" w:rsidRDefault="000503C8" w:rsidP="00013648">
            <w:pPr>
              <w:spacing w:line="240" w:lineRule="auto"/>
              <w:ind w:firstLine="0"/>
              <w:jc w:val="center"/>
              <w:rPr>
                <w:rFonts w:cs="Times New Roman"/>
                <w:sz w:val="20"/>
                <w:szCs w:val="20"/>
              </w:rPr>
            </w:pPr>
            <w:r w:rsidRPr="002A311E">
              <w:rPr>
                <w:sz w:val="20"/>
                <w:szCs w:val="20"/>
              </w:rPr>
              <w:t>1,772.6</w:t>
            </w:r>
          </w:p>
          <w:p w14:paraId="5F66E284" w14:textId="77777777" w:rsidR="000503C8" w:rsidRPr="002A311E" w:rsidRDefault="000503C8" w:rsidP="00013648">
            <w:pPr>
              <w:spacing w:line="240" w:lineRule="auto"/>
              <w:ind w:hanging="5"/>
              <w:jc w:val="center"/>
              <w:rPr>
                <w:sz w:val="20"/>
                <w:szCs w:val="20"/>
              </w:rPr>
            </w:pPr>
          </w:p>
        </w:tc>
        <w:tc>
          <w:tcPr>
            <w:tcW w:w="1071" w:type="dxa"/>
            <w:tcBorders>
              <w:left w:val="nil"/>
              <w:right w:val="nil"/>
            </w:tcBorders>
            <w:vAlign w:val="center"/>
          </w:tcPr>
          <w:p w14:paraId="090CD5F2" w14:textId="77777777" w:rsidR="000503C8" w:rsidRPr="002A311E" w:rsidRDefault="000503C8" w:rsidP="00013648">
            <w:pPr>
              <w:spacing w:line="240" w:lineRule="auto"/>
              <w:ind w:hanging="5"/>
              <w:jc w:val="center"/>
              <w:rPr>
                <w:rFonts w:cs="Times New Roman"/>
                <w:sz w:val="20"/>
                <w:szCs w:val="20"/>
              </w:rPr>
            </w:pPr>
            <w:r w:rsidRPr="002A311E">
              <w:rPr>
                <w:sz w:val="20"/>
                <w:szCs w:val="20"/>
              </w:rPr>
              <w:t>1,836.1</w:t>
            </w:r>
          </w:p>
          <w:p w14:paraId="4C785F48" w14:textId="77777777" w:rsidR="000503C8" w:rsidRPr="002A311E" w:rsidRDefault="000503C8" w:rsidP="00013648">
            <w:pPr>
              <w:spacing w:line="240" w:lineRule="auto"/>
              <w:ind w:hanging="5"/>
              <w:jc w:val="center"/>
              <w:rPr>
                <w:sz w:val="20"/>
                <w:szCs w:val="20"/>
              </w:rPr>
            </w:pPr>
          </w:p>
        </w:tc>
        <w:tc>
          <w:tcPr>
            <w:tcW w:w="1493" w:type="dxa"/>
            <w:tcBorders>
              <w:left w:val="nil"/>
              <w:right w:val="double" w:sz="4" w:space="0" w:color="auto"/>
            </w:tcBorders>
            <w:vAlign w:val="center"/>
          </w:tcPr>
          <w:p w14:paraId="40EC3A1A" w14:textId="77777777" w:rsidR="000503C8" w:rsidRPr="002A311E" w:rsidRDefault="000503C8" w:rsidP="00013648">
            <w:pPr>
              <w:spacing w:line="240" w:lineRule="auto"/>
              <w:ind w:hanging="5"/>
              <w:jc w:val="center"/>
              <w:rPr>
                <w:sz w:val="20"/>
                <w:szCs w:val="20"/>
              </w:rPr>
            </w:pPr>
            <w:r w:rsidRPr="002A311E">
              <w:rPr>
                <w:sz w:val="20"/>
                <w:szCs w:val="20"/>
              </w:rPr>
              <w:t>2,051.0</w:t>
            </w:r>
          </w:p>
        </w:tc>
        <w:tc>
          <w:tcPr>
            <w:tcW w:w="1071" w:type="dxa"/>
            <w:tcBorders>
              <w:left w:val="double" w:sz="4" w:space="0" w:color="auto"/>
              <w:right w:val="nil"/>
            </w:tcBorders>
            <w:vAlign w:val="center"/>
          </w:tcPr>
          <w:p w14:paraId="417DD555" w14:textId="77777777" w:rsidR="000503C8" w:rsidRPr="002A311E" w:rsidRDefault="000503C8" w:rsidP="00013648">
            <w:pPr>
              <w:spacing w:line="240" w:lineRule="auto"/>
              <w:ind w:hanging="5"/>
              <w:jc w:val="center"/>
              <w:rPr>
                <w:sz w:val="20"/>
                <w:szCs w:val="20"/>
              </w:rPr>
            </w:pPr>
            <w:r w:rsidRPr="002A311E">
              <w:rPr>
                <w:sz w:val="20"/>
                <w:szCs w:val="20"/>
              </w:rPr>
              <w:t>2,048.8</w:t>
            </w:r>
          </w:p>
        </w:tc>
        <w:tc>
          <w:tcPr>
            <w:tcW w:w="1093" w:type="dxa"/>
            <w:tcBorders>
              <w:left w:val="nil"/>
              <w:right w:val="nil"/>
            </w:tcBorders>
            <w:vAlign w:val="center"/>
          </w:tcPr>
          <w:p w14:paraId="136DE836" w14:textId="77777777" w:rsidR="000503C8" w:rsidRPr="002A311E" w:rsidRDefault="000503C8" w:rsidP="00013648">
            <w:pPr>
              <w:spacing w:line="240" w:lineRule="auto"/>
              <w:ind w:hanging="5"/>
              <w:jc w:val="center"/>
              <w:rPr>
                <w:sz w:val="20"/>
                <w:szCs w:val="20"/>
              </w:rPr>
            </w:pPr>
            <w:r w:rsidRPr="002A311E">
              <w:rPr>
                <w:sz w:val="20"/>
                <w:szCs w:val="20"/>
              </w:rPr>
              <w:t>2,490.5</w:t>
            </w:r>
          </w:p>
        </w:tc>
        <w:tc>
          <w:tcPr>
            <w:tcW w:w="1014" w:type="dxa"/>
            <w:tcBorders>
              <w:left w:val="nil"/>
              <w:right w:val="nil"/>
            </w:tcBorders>
            <w:vAlign w:val="center"/>
          </w:tcPr>
          <w:p w14:paraId="7A721A48" w14:textId="77777777" w:rsidR="000503C8" w:rsidRPr="002A311E" w:rsidRDefault="000503C8" w:rsidP="00013648">
            <w:pPr>
              <w:spacing w:line="240" w:lineRule="auto"/>
              <w:ind w:hanging="5"/>
              <w:jc w:val="center"/>
              <w:rPr>
                <w:sz w:val="20"/>
                <w:szCs w:val="20"/>
              </w:rPr>
            </w:pPr>
            <w:r w:rsidRPr="002A311E">
              <w:rPr>
                <w:sz w:val="20"/>
                <w:szCs w:val="20"/>
              </w:rPr>
              <w:t>2,946.9</w:t>
            </w:r>
          </w:p>
        </w:tc>
        <w:tc>
          <w:tcPr>
            <w:tcW w:w="1019" w:type="dxa"/>
            <w:tcBorders>
              <w:left w:val="nil"/>
              <w:right w:val="nil"/>
            </w:tcBorders>
            <w:vAlign w:val="center"/>
          </w:tcPr>
          <w:p w14:paraId="066744FB" w14:textId="77777777" w:rsidR="000503C8" w:rsidRPr="002A311E" w:rsidRDefault="000503C8" w:rsidP="00013648">
            <w:pPr>
              <w:spacing w:line="240" w:lineRule="auto"/>
              <w:ind w:hanging="5"/>
              <w:jc w:val="center"/>
              <w:rPr>
                <w:sz w:val="20"/>
                <w:szCs w:val="20"/>
              </w:rPr>
            </w:pPr>
            <w:r w:rsidRPr="002A311E">
              <w:rPr>
                <w:sz w:val="20"/>
                <w:szCs w:val="20"/>
              </w:rPr>
              <w:t>3,400.2</w:t>
            </w:r>
          </w:p>
        </w:tc>
      </w:tr>
      <w:tr w:rsidR="000503C8" w:rsidRPr="0070296A" w14:paraId="74C3B561" w14:textId="77777777" w:rsidTr="00013648">
        <w:trPr>
          <w:trHeight w:val="511"/>
          <w:jc w:val="center"/>
        </w:trPr>
        <w:tc>
          <w:tcPr>
            <w:tcW w:w="2880" w:type="dxa"/>
            <w:tcBorders>
              <w:left w:val="nil"/>
              <w:right w:val="nil"/>
            </w:tcBorders>
            <w:vAlign w:val="center"/>
          </w:tcPr>
          <w:p w14:paraId="72BE2E46" w14:textId="77777777" w:rsidR="000503C8" w:rsidRPr="002A311E" w:rsidRDefault="000503C8" w:rsidP="00013648">
            <w:pPr>
              <w:spacing w:line="240" w:lineRule="auto"/>
              <w:ind w:left="187" w:hanging="5"/>
              <w:jc w:val="left"/>
              <w:rPr>
                <w:sz w:val="20"/>
                <w:szCs w:val="20"/>
              </w:rPr>
            </w:pPr>
            <w:r w:rsidRPr="002A311E">
              <w:rPr>
                <w:sz w:val="20"/>
                <w:szCs w:val="20"/>
              </w:rPr>
              <w:t>պետական գանձապետական պարտատոմսեր</w:t>
            </w:r>
          </w:p>
        </w:tc>
        <w:tc>
          <w:tcPr>
            <w:tcW w:w="1095" w:type="dxa"/>
            <w:tcBorders>
              <w:left w:val="nil"/>
              <w:right w:val="nil"/>
            </w:tcBorders>
            <w:vAlign w:val="center"/>
          </w:tcPr>
          <w:p w14:paraId="05022480" w14:textId="77777777" w:rsidR="000503C8" w:rsidRPr="002A311E" w:rsidRDefault="000503C8" w:rsidP="00013648">
            <w:pPr>
              <w:spacing w:line="240" w:lineRule="auto"/>
              <w:ind w:hanging="5"/>
              <w:jc w:val="center"/>
              <w:rPr>
                <w:sz w:val="20"/>
                <w:szCs w:val="20"/>
              </w:rPr>
            </w:pPr>
            <w:r w:rsidRPr="002A311E">
              <w:rPr>
                <w:sz w:val="20"/>
                <w:szCs w:val="20"/>
              </w:rPr>
              <w:t>1,496.3</w:t>
            </w:r>
          </w:p>
        </w:tc>
        <w:tc>
          <w:tcPr>
            <w:tcW w:w="1071" w:type="dxa"/>
            <w:tcBorders>
              <w:left w:val="nil"/>
              <w:right w:val="nil"/>
            </w:tcBorders>
            <w:vAlign w:val="center"/>
          </w:tcPr>
          <w:p w14:paraId="3E3EF9B9" w14:textId="77777777" w:rsidR="000503C8" w:rsidRPr="002A311E" w:rsidRDefault="000503C8" w:rsidP="00013648">
            <w:pPr>
              <w:spacing w:line="240" w:lineRule="auto"/>
              <w:ind w:hanging="5"/>
              <w:jc w:val="center"/>
              <w:rPr>
                <w:sz w:val="20"/>
                <w:szCs w:val="20"/>
              </w:rPr>
            </w:pPr>
            <w:r w:rsidRPr="002A311E">
              <w:rPr>
                <w:sz w:val="20"/>
                <w:szCs w:val="20"/>
              </w:rPr>
              <w:t>2,092.9</w:t>
            </w:r>
          </w:p>
        </w:tc>
        <w:tc>
          <w:tcPr>
            <w:tcW w:w="1493" w:type="dxa"/>
            <w:tcBorders>
              <w:left w:val="nil"/>
              <w:right w:val="double" w:sz="4" w:space="0" w:color="auto"/>
            </w:tcBorders>
            <w:vAlign w:val="center"/>
          </w:tcPr>
          <w:p w14:paraId="10FF0307" w14:textId="77777777" w:rsidR="000503C8" w:rsidRPr="002A311E" w:rsidRDefault="000503C8" w:rsidP="00013648">
            <w:pPr>
              <w:spacing w:line="240" w:lineRule="auto"/>
              <w:ind w:hanging="5"/>
              <w:jc w:val="center"/>
              <w:rPr>
                <w:sz w:val="20"/>
                <w:szCs w:val="20"/>
              </w:rPr>
            </w:pPr>
            <w:r w:rsidRPr="002A311E">
              <w:rPr>
                <w:sz w:val="20"/>
                <w:szCs w:val="20"/>
              </w:rPr>
              <w:t>1,824.4</w:t>
            </w:r>
          </w:p>
        </w:tc>
        <w:tc>
          <w:tcPr>
            <w:tcW w:w="1071" w:type="dxa"/>
            <w:tcBorders>
              <w:left w:val="double" w:sz="4" w:space="0" w:color="auto"/>
              <w:right w:val="nil"/>
            </w:tcBorders>
            <w:vAlign w:val="center"/>
          </w:tcPr>
          <w:p w14:paraId="2223EEB3" w14:textId="77777777" w:rsidR="000503C8" w:rsidRPr="002A311E" w:rsidRDefault="000503C8" w:rsidP="00013648">
            <w:pPr>
              <w:spacing w:line="240" w:lineRule="auto"/>
              <w:ind w:hanging="5"/>
              <w:jc w:val="center"/>
              <w:rPr>
                <w:sz w:val="20"/>
                <w:szCs w:val="20"/>
              </w:rPr>
            </w:pPr>
            <w:r w:rsidRPr="002A311E">
              <w:rPr>
                <w:sz w:val="20"/>
                <w:szCs w:val="20"/>
              </w:rPr>
              <w:t>2,450.7</w:t>
            </w:r>
          </w:p>
        </w:tc>
        <w:tc>
          <w:tcPr>
            <w:tcW w:w="1093" w:type="dxa"/>
            <w:tcBorders>
              <w:left w:val="nil"/>
              <w:right w:val="nil"/>
            </w:tcBorders>
            <w:vAlign w:val="center"/>
          </w:tcPr>
          <w:p w14:paraId="5789039F" w14:textId="77777777" w:rsidR="000503C8" w:rsidRPr="002A311E" w:rsidRDefault="000503C8" w:rsidP="00013648">
            <w:pPr>
              <w:spacing w:line="240" w:lineRule="auto"/>
              <w:ind w:hanging="5"/>
              <w:jc w:val="center"/>
              <w:rPr>
                <w:sz w:val="20"/>
                <w:szCs w:val="20"/>
              </w:rPr>
            </w:pPr>
            <w:r w:rsidRPr="002A311E">
              <w:rPr>
                <w:sz w:val="20"/>
                <w:szCs w:val="20"/>
              </w:rPr>
              <w:t>2,744.7</w:t>
            </w:r>
          </w:p>
        </w:tc>
        <w:tc>
          <w:tcPr>
            <w:tcW w:w="1014" w:type="dxa"/>
            <w:tcBorders>
              <w:left w:val="nil"/>
              <w:right w:val="nil"/>
            </w:tcBorders>
            <w:vAlign w:val="center"/>
          </w:tcPr>
          <w:p w14:paraId="3E5CC640" w14:textId="77777777" w:rsidR="000503C8" w:rsidRPr="002A311E" w:rsidRDefault="000503C8" w:rsidP="00013648">
            <w:pPr>
              <w:spacing w:line="240" w:lineRule="auto"/>
              <w:ind w:hanging="5"/>
              <w:jc w:val="center"/>
              <w:rPr>
                <w:sz w:val="20"/>
                <w:szCs w:val="20"/>
              </w:rPr>
            </w:pPr>
            <w:r w:rsidRPr="002A311E">
              <w:rPr>
                <w:sz w:val="20"/>
                <w:szCs w:val="20"/>
              </w:rPr>
              <w:t>3,021.7</w:t>
            </w:r>
          </w:p>
        </w:tc>
        <w:tc>
          <w:tcPr>
            <w:tcW w:w="1019" w:type="dxa"/>
            <w:tcBorders>
              <w:left w:val="nil"/>
              <w:right w:val="nil"/>
            </w:tcBorders>
            <w:vAlign w:val="center"/>
          </w:tcPr>
          <w:p w14:paraId="082E56C7" w14:textId="77777777" w:rsidR="000503C8" w:rsidRPr="002A311E" w:rsidRDefault="000503C8" w:rsidP="00013648">
            <w:pPr>
              <w:spacing w:line="240" w:lineRule="auto"/>
              <w:ind w:hanging="5"/>
              <w:jc w:val="center"/>
              <w:rPr>
                <w:sz w:val="20"/>
                <w:szCs w:val="20"/>
              </w:rPr>
            </w:pPr>
            <w:r w:rsidRPr="002A311E">
              <w:rPr>
                <w:sz w:val="20"/>
                <w:szCs w:val="20"/>
              </w:rPr>
              <w:t>3,213.7</w:t>
            </w:r>
          </w:p>
        </w:tc>
      </w:tr>
      <w:tr w:rsidR="000503C8" w:rsidRPr="0070296A" w14:paraId="396EE26F" w14:textId="77777777" w:rsidTr="00013648">
        <w:trPr>
          <w:trHeight w:val="511"/>
          <w:jc w:val="center"/>
        </w:trPr>
        <w:tc>
          <w:tcPr>
            <w:tcW w:w="2880" w:type="dxa"/>
            <w:tcBorders>
              <w:left w:val="nil"/>
              <w:right w:val="nil"/>
            </w:tcBorders>
            <w:vAlign w:val="center"/>
          </w:tcPr>
          <w:p w14:paraId="13124712" w14:textId="77777777" w:rsidR="000503C8" w:rsidRPr="002A311E" w:rsidRDefault="000503C8" w:rsidP="00013648">
            <w:pPr>
              <w:spacing w:line="240" w:lineRule="auto"/>
              <w:ind w:left="187" w:hanging="5"/>
              <w:jc w:val="left"/>
              <w:rPr>
                <w:sz w:val="20"/>
                <w:szCs w:val="20"/>
              </w:rPr>
            </w:pPr>
            <w:r w:rsidRPr="002A311E">
              <w:rPr>
                <w:sz w:val="20"/>
                <w:szCs w:val="20"/>
              </w:rPr>
              <w:t>արտարժութային պետական պարտատոմսեր</w:t>
            </w:r>
          </w:p>
        </w:tc>
        <w:tc>
          <w:tcPr>
            <w:tcW w:w="1095" w:type="dxa"/>
            <w:tcBorders>
              <w:left w:val="nil"/>
              <w:right w:val="nil"/>
            </w:tcBorders>
            <w:vAlign w:val="center"/>
          </w:tcPr>
          <w:p w14:paraId="3F3D48B1" w14:textId="77777777" w:rsidR="000503C8" w:rsidRPr="002A311E" w:rsidRDefault="000503C8" w:rsidP="00013648">
            <w:pPr>
              <w:spacing w:line="240" w:lineRule="auto"/>
              <w:ind w:hanging="5"/>
              <w:jc w:val="center"/>
              <w:rPr>
                <w:sz w:val="20"/>
                <w:szCs w:val="20"/>
              </w:rPr>
            </w:pPr>
            <w:r w:rsidRPr="002A311E">
              <w:rPr>
                <w:sz w:val="20"/>
                <w:szCs w:val="20"/>
              </w:rPr>
              <w:t>688.7</w:t>
            </w:r>
          </w:p>
        </w:tc>
        <w:tc>
          <w:tcPr>
            <w:tcW w:w="1071" w:type="dxa"/>
            <w:tcBorders>
              <w:left w:val="nil"/>
              <w:right w:val="nil"/>
            </w:tcBorders>
            <w:vAlign w:val="center"/>
          </w:tcPr>
          <w:p w14:paraId="2D1A8F42" w14:textId="77777777" w:rsidR="000503C8" w:rsidRPr="002A311E" w:rsidRDefault="000503C8" w:rsidP="00013648">
            <w:pPr>
              <w:spacing w:line="240" w:lineRule="auto"/>
              <w:ind w:hanging="5"/>
              <w:jc w:val="center"/>
              <w:rPr>
                <w:sz w:val="20"/>
                <w:szCs w:val="20"/>
              </w:rPr>
            </w:pPr>
            <w:r w:rsidRPr="002A311E">
              <w:rPr>
                <w:sz w:val="20"/>
                <w:szCs w:val="20"/>
              </w:rPr>
              <w:t>632.8</w:t>
            </w:r>
          </w:p>
        </w:tc>
        <w:tc>
          <w:tcPr>
            <w:tcW w:w="1493" w:type="dxa"/>
            <w:tcBorders>
              <w:left w:val="nil"/>
              <w:right w:val="double" w:sz="4" w:space="0" w:color="auto"/>
            </w:tcBorders>
            <w:vAlign w:val="center"/>
          </w:tcPr>
          <w:p w14:paraId="6EF6B276" w14:textId="77777777" w:rsidR="000503C8" w:rsidRPr="002A311E" w:rsidRDefault="000503C8" w:rsidP="00013648">
            <w:pPr>
              <w:spacing w:line="240" w:lineRule="auto"/>
              <w:ind w:hanging="5"/>
              <w:jc w:val="center"/>
              <w:rPr>
                <w:sz w:val="20"/>
                <w:szCs w:val="20"/>
              </w:rPr>
            </w:pPr>
            <w:r w:rsidRPr="002A311E">
              <w:rPr>
                <w:sz w:val="20"/>
                <w:szCs w:val="20"/>
              </w:rPr>
              <w:t>763.9</w:t>
            </w:r>
          </w:p>
        </w:tc>
        <w:tc>
          <w:tcPr>
            <w:tcW w:w="1071" w:type="dxa"/>
            <w:tcBorders>
              <w:left w:val="double" w:sz="4" w:space="0" w:color="auto"/>
              <w:right w:val="nil"/>
            </w:tcBorders>
            <w:vAlign w:val="center"/>
          </w:tcPr>
          <w:p w14:paraId="092950C2" w14:textId="77777777" w:rsidR="000503C8" w:rsidRPr="002A311E" w:rsidRDefault="000503C8" w:rsidP="00013648">
            <w:pPr>
              <w:spacing w:line="240" w:lineRule="auto"/>
              <w:ind w:hanging="5"/>
              <w:jc w:val="center"/>
              <w:rPr>
                <w:sz w:val="20"/>
                <w:szCs w:val="20"/>
              </w:rPr>
            </w:pPr>
            <w:r w:rsidRPr="002A311E">
              <w:rPr>
                <w:sz w:val="20"/>
                <w:szCs w:val="20"/>
              </w:rPr>
              <w:t>664.3</w:t>
            </w:r>
          </w:p>
        </w:tc>
        <w:tc>
          <w:tcPr>
            <w:tcW w:w="1093" w:type="dxa"/>
            <w:tcBorders>
              <w:left w:val="nil"/>
              <w:right w:val="nil"/>
            </w:tcBorders>
            <w:vAlign w:val="center"/>
          </w:tcPr>
          <w:p w14:paraId="110BC792" w14:textId="77777777" w:rsidR="000503C8" w:rsidRPr="002A311E" w:rsidRDefault="000503C8" w:rsidP="00013648">
            <w:pPr>
              <w:spacing w:line="240" w:lineRule="auto"/>
              <w:ind w:hanging="5"/>
              <w:jc w:val="center"/>
              <w:rPr>
                <w:sz w:val="20"/>
                <w:szCs w:val="20"/>
              </w:rPr>
            </w:pPr>
            <w:r w:rsidRPr="002A311E">
              <w:rPr>
                <w:sz w:val="20"/>
                <w:szCs w:val="20"/>
              </w:rPr>
              <w:t>777.1</w:t>
            </w:r>
          </w:p>
        </w:tc>
        <w:tc>
          <w:tcPr>
            <w:tcW w:w="1014" w:type="dxa"/>
            <w:tcBorders>
              <w:left w:val="nil"/>
              <w:right w:val="nil"/>
            </w:tcBorders>
            <w:vAlign w:val="center"/>
          </w:tcPr>
          <w:p w14:paraId="0BF3DC26" w14:textId="77777777" w:rsidR="000503C8" w:rsidRPr="002A311E" w:rsidRDefault="000503C8" w:rsidP="00013648">
            <w:pPr>
              <w:spacing w:line="240" w:lineRule="auto"/>
              <w:ind w:hanging="5"/>
              <w:jc w:val="center"/>
              <w:rPr>
                <w:sz w:val="20"/>
                <w:szCs w:val="20"/>
              </w:rPr>
            </w:pPr>
            <w:r w:rsidRPr="002A311E">
              <w:rPr>
                <w:sz w:val="20"/>
                <w:szCs w:val="20"/>
              </w:rPr>
              <w:t>802.8</w:t>
            </w:r>
          </w:p>
        </w:tc>
        <w:tc>
          <w:tcPr>
            <w:tcW w:w="1019" w:type="dxa"/>
            <w:tcBorders>
              <w:left w:val="nil"/>
              <w:right w:val="nil"/>
            </w:tcBorders>
            <w:vAlign w:val="center"/>
          </w:tcPr>
          <w:p w14:paraId="25514272" w14:textId="77777777" w:rsidR="000503C8" w:rsidRPr="002A311E" w:rsidRDefault="000503C8" w:rsidP="00013648">
            <w:pPr>
              <w:spacing w:line="240" w:lineRule="auto"/>
              <w:ind w:hanging="5"/>
              <w:jc w:val="center"/>
              <w:rPr>
                <w:sz w:val="20"/>
                <w:szCs w:val="20"/>
              </w:rPr>
            </w:pPr>
            <w:r w:rsidRPr="002A311E">
              <w:rPr>
                <w:sz w:val="20"/>
                <w:szCs w:val="20"/>
              </w:rPr>
              <w:t>805.0</w:t>
            </w:r>
          </w:p>
        </w:tc>
      </w:tr>
      <w:tr w:rsidR="000503C8" w:rsidRPr="0070296A" w14:paraId="3A57A276" w14:textId="77777777" w:rsidTr="00013648">
        <w:trPr>
          <w:trHeight w:val="249"/>
          <w:jc w:val="center"/>
        </w:trPr>
        <w:tc>
          <w:tcPr>
            <w:tcW w:w="2880" w:type="dxa"/>
            <w:tcBorders>
              <w:left w:val="nil"/>
              <w:bottom w:val="single" w:sz="4" w:space="0" w:color="auto"/>
              <w:right w:val="nil"/>
            </w:tcBorders>
            <w:vAlign w:val="center"/>
          </w:tcPr>
          <w:p w14:paraId="6DF1A00D" w14:textId="77777777" w:rsidR="000503C8" w:rsidRPr="002A311E" w:rsidRDefault="000503C8" w:rsidP="00013648">
            <w:pPr>
              <w:spacing w:line="240" w:lineRule="auto"/>
              <w:ind w:left="187" w:hanging="5"/>
              <w:jc w:val="left"/>
              <w:rPr>
                <w:sz w:val="20"/>
                <w:szCs w:val="20"/>
              </w:rPr>
            </w:pPr>
            <w:r w:rsidRPr="002A311E">
              <w:rPr>
                <w:sz w:val="20"/>
                <w:szCs w:val="20"/>
              </w:rPr>
              <w:t>արտաքին երաշխիքներ</w:t>
            </w:r>
          </w:p>
        </w:tc>
        <w:tc>
          <w:tcPr>
            <w:tcW w:w="1095" w:type="dxa"/>
            <w:tcBorders>
              <w:left w:val="nil"/>
              <w:bottom w:val="single" w:sz="4" w:space="0" w:color="auto"/>
              <w:right w:val="nil"/>
            </w:tcBorders>
            <w:vAlign w:val="center"/>
          </w:tcPr>
          <w:p w14:paraId="699609DB" w14:textId="77777777" w:rsidR="000503C8" w:rsidRPr="002A311E" w:rsidRDefault="000503C8" w:rsidP="00013648">
            <w:pPr>
              <w:spacing w:line="240" w:lineRule="auto"/>
              <w:ind w:firstLine="0"/>
              <w:jc w:val="center"/>
              <w:rPr>
                <w:sz w:val="20"/>
                <w:szCs w:val="20"/>
              </w:rPr>
            </w:pPr>
            <w:r w:rsidRPr="002A311E">
              <w:rPr>
                <w:sz w:val="20"/>
                <w:szCs w:val="20"/>
              </w:rPr>
              <w:t>2.9</w:t>
            </w:r>
          </w:p>
        </w:tc>
        <w:tc>
          <w:tcPr>
            <w:tcW w:w="1071" w:type="dxa"/>
            <w:tcBorders>
              <w:left w:val="nil"/>
              <w:bottom w:val="single" w:sz="4" w:space="0" w:color="auto"/>
              <w:right w:val="nil"/>
            </w:tcBorders>
            <w:vAlign w:val="center"/>
          </w:tcPr>
          <w:p w14:paraId="3C050F91" w14:textId="77777777" w:rsidR="000503C8" w:rsidRPr="002A311E" w:rsidRDefault="000503C8" w:rsidP="00013648">
            <w:pPr>
              <w:spacing w:line="240" w:lineRule="auto"/>
              <w:ind w:hanging="5"/>
              <w:jc w:val="center"/>
              <w:rPr>
                <w:sz w:val="20"/>
                <w:szCs w:val="20"/>
              </w:rPr>
            </w:pPr>
            <w:r w:rsidRPr="002A311E">
              <w:rPr>
                <w:sz w:val="20"/>
                <w:szCs w:val="20"/>
              </w:rPr>
              <w:t>3.0</w:t>
            </w:r>
          </w:p>
        </w:tc>
        <w:tc>
          <w:tcPr>
            <w:tcW w:w="1493" w:type="dxa"/>
            <w:tcBorders>
              <w:left w:val="nil"/>
              <w:bottom w:val="single" w:sz="4" w:space="0" w:color="auto"/>
              <w:right w:val="double" w:sz="4" w:space="0" w:color="auto"/>
            </w:tcBorders>
            <w:vAlign w:val="center"/>
          </w:tcPr>
          <w:p w14:paraId="293314EE" w14:textId="77777777" w:rsidR="000503C8" w:rsidRPr="002A311E" w:rsidRDefault="000503C8" w:rsidP="00013648">
            <w:pPr>
              <w:spacing w:line="240" w:lineRule="auto"/>
              <w:ind w:hanging="5"/>
              <w:jc w:val="center"/>
              <w:rPr>
                <w:sz w:val="20"/>
                <w:szCs w:val="20"/>
              </w:rPr>
            </w:pPr>
            <w:r w:rsidRPr="002A311E">
              <w:rPr>
                <w:sz w:val="20"/>
                <w:szCs w:val="20"/>
              </w:rPr>
              <w:t>2.9</w:t>
            </w:r>
          </w:p>
        </w:tc>
        <w:tc>
          <w:tcPr>
            <w:tcW w:w="1071" w:type="dxa"/>
            <w:tcBorders>
              <w:left w:val="double" w:sz="4" w:space="0" w:color="auto"/>
              <w:bottom w:val="single" w:sz="4" w:space="0" w:color="auto"/>
              <w:right w:val="nil"/>
            </w:tcBorders>
            <w:vAlign w:val="center"/>
          </w:tcPr>
          <w:p w14:paraId="27B6AD7A" w14:textId="77777777" w:rsidR="000503C8" w:rsidRPr="002A311E" w:rsidRDefault="000503C8" w:rsidP="00013648">
            <w:pPr>
              <w:spacing w:line="240" w:lineRule="auto"/>
              <w:ind w:hanging="5"/>
              <w:jc w:val="center"/>
              <w:rPr>
                <w:sz w:val="20"/>
                <w:szCs w:val="20"/>
              </w:rPr>
            </w:pPr>
            <w:r w:rsidRPr="002A311E">
              <w:rPr>
                <w:sz w:val="20"/>
                <w:szCs w:val="20"/>
              </w:rPr>
              <w:t>2.8</w:t>
            </w:r>
          </w:p>
        </w:tc>
        <w:tc>
          <w:tcPr>
            <w:tcW w:w="1093" w:type="dxa"/>
            <w:tcBorders>
              <w:left w:val="nil"/>
              <w:bottom w:val="single" w:sz="4" w:space="0" w:color="auto"/>
              <w:right w:val="nil"/>
            </w:tcBorders>
            <w:vAlign w:val="center"/>
          </w:tcPr>
          <w:p w14:paraId="2629F1F2" w14:textId="77777777" w:rsidR="000503C8" w:rsidRPr="002A311E" w:rsidRDefault="000503C8" w:rsidP="00013648">
            <w:pPr>
              <w:spacing w:line="240" w:lineRule="auto"/>
              <w:ind w:hanging="5"/>
              <w:jc w:val="center"/>
              <w:rPr>
                <w:sz w:val="20"/>
                <w:szCs w:val="20"/>
              </w:rPr>
            </w:pPr>
            <w:r w:rsidRPr="002A311E">
              <w:rPr>
                <w:sz w:val="20"/>
                <w:szCs w:val="20"/>
              </w:rPr>
              <w:t>2.6</w:t>
            </w:r>
          </w:p>
        </w:tc>
        <w:tc>
          <w:tcPr>
            <w:tcW w:w="1014" w:type="dxa"/>
            <w:tcBorders>
              <w:left w:val="nil"/>
              <w:bottom w:val="single" w:sz="4" w:space="0" w:color="auto"/>
              <w:right w:val="nil"/>
            </w:tcBorders>
            <w:vAlign w:val="center"/>
          </w:tcPr>
          <w:p w14:paraId="3233957A" w14:textId="77777777" w:rsidR="000503C8" w:rsidRPr="002A311E" w:rsidRDefault="000503C8" w:rsidP="00013648">
            <w:pPr>
              <w:spacing w:line="240" w:lineRule="auto"/>
              <w:ind w:hanging="5"/>
              <w:jc w:val="center"/>
              <w:rPr>
                <w:sz w:val="20"/>
                <w:szCs w:val="20"/>
              </w:rPr>
            </w:pPr>
            <w:r w:rsidRPr="002A311E">
              <w:rPr>
                <w:sz w:val="20"/>
                <w:szCs w:val="20"/>
              </w:rPr>
              <w:t>2.5</w:t>
            </w:r>
          </w:p>
        </w:tc>
        <w:tc>
          <w:tcPr>
            <w:tcW w:w="1019" w:type="dxa"/>
            <w:tcBorders>
              <w:left w:val="nil"/>
              <w:bottom w:val="single" w:sz="4" w:space="0" w:color="auto"/>
              <w:right w:val="nil"/>
            </w:tcBorders>
            <w:vAlign w:val="center"/>
          </w:tcPr>
          <w:p w14:paraId="7FFA2483" w14:textId="77777777" w:rsidR="000503C8" w:rsidRPr="002A311E" w:rsidRDefault="000503C8" w:rsidP="00013648">
            <w:pPr>
              <w:spacing w:line="240" w:lineRule="auto"/>
              <w:ind w:hanging="5"/>
              <w:jc w:val="center"/>
              <w:rPr>
                <w:sz w:val="20"/>
                <w:szCs w:val="20"/>
              </w:rPr>
            </w:pPr>
            <w:r w:rsidRPr="002A311E">
              <w:rPr>
                <w:sz w:val="20"/>
                <w:szCs w:val="20"/>
              </w:rPr>
              <w:t>2.2</w:t>
            </w:r>
          </w:p>
        </w:tc>
      </w:tr>
      <w:tr w:rsidR="000503C8" w:rsidRPr="0070296A" w14:paraId="7882F674" w14:textId="77777777" w:rsidTr="00013648">
        <w:trPr>
          <w:trHeight w:val="256"/>
          <w:jc w:val="center"/>
        </w:trPr>
        <w:tc>
          <w:tcPr>
            <w:tcW w:w="2880" w:type="dxa"/>
            <w:tcBorders>
              <w:left w:val="nil"/>
              <w:bottom w:val="single" w:sz="12" w:space="0" w:color="auto"/>
              <w:right w:val="nil"/>
            </w:tcBorders>
            <w:vAlign w:val="center"/>
          </w:tcPr>
          <w:p w14:paraId="4F005FDC" w14:textId="77777777" w:rsidR="000503C8" w:rsidRPr="002A311E" w:rsidRDefault="000503C8" w:rsidP="00013648">
            <w:pPr>
              <w:spacing w:line="240" w:lineRule="auto"/>
              <w:ind w:left="187" w:hanging="5"/>
              <w:jc w:val="left"/>
              <w:rPr>
                <w:sz w:val="20"/>
                <w:szCs w:val="20"/>
              </w:rPr>
            </w:pPr>
            <w:r w:rsidRPr="002A311E">
              <w:rPr>
                <w:sz w:val="20"/>
                <w:szCs w:val="20"/>
              </w:rPr>
              <w:t>ներքին երաշխիքներ</w:t>
            </w:r>
          </w:p>
        </w:tc>
        <w:tc>
          <w:tcPr>
            <w:tcW w:w="1095" w:type="dxa"/>
            <w:tcBorders>
              <w:left w:val="nil"/>
              <w:bottom w:val="single" w:sz="12" w:space="0" w:color="auto"/>
              <w:right w:val="nil"/>
            </w:tcBorders>
            <w:vAlign w:val="center"/>
          </w:tcPr>
          <w:p w14:paraId="5C6A5057" w14:textId="77777777" w:rsidR="000503C8" w:rsidRPr="002A311E" w:rsidRDefault="000503C8" w:rsidP="00013648">
            <w:pPr>
              <w:spacing w:line="240" w:lineRule="auto"/>
              <w:ind w:firstLine="0"/>
              <w:jc w:val="center"/>
              <w:rPr>
                <w:sz w:val="20"/>
                <w:szCs w:val="20"/>
              </w:rPr>
            </w:pPr>
            <w:r w:rsidRPr="002A311E">
              <w:rPr>
                <w:sz w:val="20"/>
                <w:szCs w:val="20"/>
              </w:rPr>
              <w:t>9.2</w:t>
            </w:r>
          </w:p>
        </w:tc>
        <w:tc>
          <w:tcPr>
            <w:tcW w:w="1071" w:type="dxa"/>
            <w:tcBorders>
              <w:left w:val="nil"/>
              <w:bottom w:val="single" w:sz="12" w:space="0" w:color="auto"/>
              <w:right w:val="nil"/>
            </w:tcBorders>
            <w:vAlign w:val="center"/>
          </w:tcPr>
          <w:p w14:paraId="7598F624" w14:textId="77777777" w:rsidR="000503C8" w:rsidRPr="002A311E" w:rsidRDefault="000503C8" w:rsidP="00013648">
            <w:pPr>
              <w:spacing w:line="240" w:lineRule="auto"/>
              <w:ind w:hanging="5"/>
              <w:jc w:val="center"/>
              <w:rPr>
                <w:sz w:val="20"/>
                <w:szCs w:val="20"/>
              </w:rPr>
            </w:pPr>
            <w:r w:rsidRPr="002A311E">
              <w:rPr>
                <w:sz w:val="20"/>
                <w:szCs w:val="20"/>
              </w:rPr>
              <w:t>7.2</w:t>
            </w:r>
          </w:p>
        </w:tc>
        <w:tc>
          <w:tcPr>
            <w:tcW w:w="1493" w:type="dxa"/>
            <w:tcBorders>
              <w:left w:val="nil"/>
              <w:bottom w:val="single" w:sz="12" w:space="0" w:color="auto"/>
              <w:right w:val="double" w:sz="4" w:space="0" w:color="auto"/>
            </w:tcBorders>
            <w:vAlign w:val="center"/>
          </w:tcPr>
          <w:p w14:paraId="0827A96F" w14:textId="77777777" w:rsidR="000503C8" w:rsidRPr="002A311E" w:rsidRDefault="000503C8" w:rsidP="00013648">
            <w:pPr>
              <w:spacing w:line="240" w:lineRule="auto"/>
              <w:ind w:hanging="5"/>
              <w:jc w:val="center"/>
              <w:rPr>
                <w:sz w:val="20"/>
                <w:szCs w:val="20"/>
              </w:rPr>
            </w:pPr>
            <w:r w:rsidRPr="002A311E">
              <w:rPr>
                <w:sz w:val="20"/>
                <w:szCs w:val="20"/>
              </w:rPr>
              <w:t>2.8</w:t>
            </w:r>
          </w:p>
        </w:tc>
        <w:tc>
          <w:tcPr>
            <w:tcW w:w="1071" w:type="dxa"/>
            <w:tcBorders>
              <w:left w:val="double" w:sz="4" w:space="0" w:color="auto"/>
              <w:bottom w:val="single" w:sz="12" w:space="0" w:color="auto"/>
              <w:right w:val="nil"/>
            </w:tcBorders>
            <w:vAlign w:val="center"/>
          </w:tcPr>
          <w:p w14:paraId="749BBF98" w14:textId="77777777" w:rsidR="000503C8" w:rsidRPr="002A311E" w:rsidRDefault="000503C8" w:rsidP="00013648">
            <w:pPr>
              <w:spacing w:line="240" w:lineRule="auto"/>
              <w:ind w:hanging="5"/>
              <w:jc w:val="center"/>
              <w:rPr>
                <w:sz w:val="20"/>
                <w:szCs w:val="20"/>
              </w:rPr>
            </w:pPr>
            <w:r w:rsidRPr="002A311E">
              <w:rPr>
                <w:sz w:val="20"/>
                <w:szCs w:val="20"/>
              </w:rPr>
              <w:t>6.4</w:t>
            </w:r>
          </w:p>
        </w:tc>
        <w:tc>
          <w:tcPr>
            <w:tcW w:w="1093" w:type="dxa"/>
            <w:tcBorders>
              <w:left w:val="nil"/>
              <w:bottom w:val="single" w:sz="12" w:space="0" w:color="auto"/>
              <w:right w:val="nil"/>
            </w:tcBorders>
            <w:vAlign w:val="center"/>
          </w:tcPr>
          <w:p w14:paraId="161213DF" w14:textId="77777777" w:rsidR="000503C8" w:rsidRPr="002A311E" w:rsidRDefault="000503C8" w:rsidP="00013648">
            <w:pPr>
              <w:spacing w:line="240" w:lineRule="auto"/>
              <w:ind w:hanging="5"/>
              <w:jc w:val="center"/>
              <w:rPr>
                <w:sz w:val="20"/>
                <w:szCs w:val="20"/>
              </w:rPr>
            </w:pPr>
            <w:r w:rsidRPr="002A311E">
              <w:rPr>
                <w:sz w:val="20"/>
                <w:szCs w:val="20"/>
              </w:rPr>
              <w:t>2.6</w:t>
            </w:r>
          </w:p>
        </w:tc>
        <w:tc>
          <w:tcPr>
            <w:tcW w:w="1014" w:type="dxa"/>
            <w:tcBorders>
              <w:left w:val="nil"/>
              <w:bottom w:val="single" w:sz="12" w:space="0" w:color="auto"/>
              <w:right w:val="nil"/>
            </w:tcBorders>
            <w:vAlign w:val="center"/>
          </w:tcPr>
          <w:p w14:paraId="4E9109FC" w14:textId="77777777" w:rsidR="000503C8" w:rsidRPr="002A311E" w:rsidRDefault="000503C8" w:rsidP="00013648">
            <w:pPr>
              <w:spacing w:line="240" w:lineRule="auto"/>
              <w:ind w:hanging="5"/>
              <w:jc w:val="center"/>
              <w:rPr>
                <w:sz w:val="20"/>
                <w:szCs w:val="20"/>
              </w:rPr>
            </w:pPr>
            <w:r w:rsidRPr="002A311E">
              <w:rPr>
                <w:sz w:val="20"/>
                <w:szCs w:val="20"/>
              </w:rPr>
              <w:t>1.0</w:t>
            </w:r>
          </w:p>
        </w:tc>
        <w:tc>
          <w:tcPr>
            <w:tcW w:w="1019" w:type="dxa"/>
            <w:tcBorders>
              <w:left w:val="nil"/>
              <w:bottom w:val="single" w:sz="12" w:space="0" w:color="auto"/>
              <w:right w:val="nil"/>
            </w:tcBorders>
            <w:vAlign w:val="center"/>
          </w:tcPr>
          <w:p w14:paraId="2D38D653" w14:textId="77777777" w:rsidR="000503C8" w:rsidRPr="002A311E" w:rsidRDefault="000503C8" w:rsidP="00013648">
            <w:pPr>
              <w:spacing w:line="240" w:lineRule="auto"/>
              <w:ind w:hanging="5"/>
              <w:jc w:val="center"/>
              <w:rPr>
                <w:sz w:val="20"/>
                <w:szCs w:val="20"/>
              </w:rPr>
            </w:pPr>
            <w:r w:rsidRPr="002A311E">
              <w:rPr>
                <w:sz w:val="20"/>
                <w:szCs w:val="20"/>
              </w:rPr>
              <w:t>-</w:t>
            </w:r>
          </w:p>
        </w:tc>
      </w:tr>
      <w:tr w:rsidR="000503C8" w:rsidRPr="0070296A" w14:paraId="603954D4" w14:textId="77777777" w:rsidTr="00013648">
        <w:trPr>
          <w:trHeight w:val="511"/>
          <w:jc w:val="center"/>
        </w:trPr>
        <w:tc>
          <w:tcPr>
            <w:tcW w:w="2880" w:type="dxa"/>
            <w:tcBorders>
              <w:top w:val="single" w:sz="12" w:space="0" w:color="auto"/>
              <w:left w:val="nil"/>
              <w:right w:val="nil"/>
            </w:tcBorders>
            <w:vAlign w:val="center"/>
          </w:tcPr>
          <w:p w14:paraId="5335CB35" w14:textId="77777777" w:rsidR="000503C8" w:rsidRPr="002A311E" w:rsidRDefault="000503C8" w:rsidP="00013648">
            <w:pPr>
              <w:spacing w:line="240" w:lineRule="auto"/>
              <w:ind w:hanging="5"/>
              <w:jc w:val="left"/>
              <w:rPr>
                <w:sz w:val="20"/>
                <w:szCs w:val="20"/>
              </w:rPr>
            </w:pPr>
            <w:r w:rsidRPr="002A311E">
              <w:rPr>
                <w:sz w:val="20"/>
                <w:szCs w:val="20"/>
              </w:rPr>
              <w:t>Կառավարության պարտքի տոկոսավճար</w:t>
            </w:r>
          </w:p>
        </w:tc>
        <w:tc>
          <w:tcPr>
            <w:tcW w:w="1095" w:type="dxa"/>
            <w:tcBorders>
              <w:top w:val="single" w:sz="12" w:space="0" w:color="auto"/>
              <w:left w:val="nil"/>
              <w:right w:val="nil"/>
            </w:tcBorders>
            <w:vAlign w:val="center"/>
          </w:tcPr>
          <w:p w14:paraId="51C18EE3" w14:textId="77777777" w:rsidR="000503C8" w:rsidRPr="002A311E" w:rsidRDefault="000503C8" w:rsidP="00013648">
            <w:pPr>
              <w:spacing w:line="240" w:lineRule="auto"/>
              <w:ind w:hanging="5"/>
              <w:jc w:val="center"/>
              <w:rPr>
                <w:sz w:val="20"/>
                <w:szCs w:val="20"/>
              </w:rPr>
            </w:pPr>
            <w:r w:rsidRPr="002A311E">
              <w:rPr>
                <w:sz w:val="20"/>
                <w:szCs w:val="20"/>
              </w:rPr>
              <w:t>198.3</w:t>
            </w:r>
          </w:p>
        </w:tc>
        <w:tc>
          <w:tcPr>
            <w:tcW w:w="1071" w:type="dxa"/>
            <w:tcBorders>
              <w:top w:val="single" w:sz="12" w:space="0" w:color="auto"/>
              <w:left w:val="nil"/>
              <w:right w:val="nil"/>
            </w:tcBorders>
            <w:vAlign w:val="center"/>
          </w:tcPr>
          <w:p w14:paraId="0993841E" w14:textId="77777777" w:rsidR="000503C8" w:rsidRPr="002A311E" w:rsidRDefault="000503C8" w:rsidP="00013648">
            <w:pPr>
              <w:spacing w:line="240" w:lineRule="auto"/>
              <w:ind w:hanging="5"/>
              <w:jc w:val="center"/>
              <w:rPr>
                <w:sz w:val="20"/>
                <w:szCs w:val="20"/>
              </w:rPr>
            </w:pPr>
          </w:p>
          <w:p w14:paraId="7B402AB7" w14:textId="77777777" w:rsidR="000503C8" w:rsidRPr="002A311E" w:rsidRDefault="000503C8" w:rsidP="00013648">
            <w:pPr>
              <w:spacing w:line="240" w:lineRule="auto"/>
              <w:ind w:hanging="5"/>
              <w:jc w:val="center"/>
              <w:rPr>
                <w:rFonts w:cs="Times New Roman"/>
                <w:sz w:val="20"/>
                <w:szCs w:val="20"/>
              </w:rPr>
            </w:pPr>
            <w:r w:rsidRPr="002A311E">
              <w:rPr>
                <w:sz w:val="20"/>
                <w:szCs w:val="20"/>
              </w:rPr>
              <w:t>253.4</w:t>
            </w:r>
          </w:p>
          <w:p w14:paraId="67B3BB0B" w14:textId="77777777" w:rsidR="000503C8" w:rsidRPr="002A311E" w:rsidRDefault="000503C8" w:rsidP="00013648">
            <w:pPr>
              <w:spacing w:line="240" w:lineRule="auto"/>
              <w:ind w:hanging="5"/>
              <w:jc w:val="center"/>
              <w:rPr>
                <w:sz w:val="20"/>
                <w:szCs w:val="20"/>
              </w:rPr>
            </w:pPr>
          </w:p>
        </w:tc>
        <w:tc>
          <w:tcPr>
            <w:tcW w:w="1493" w:type="dxa"/>
            <w:tcBorders>
              <w:top w:val="single" w:sz="12" w:space="0" w:color="auto"/>
              <w:left w:val="nil"/>
              <w:right w:val="double" w:sz="4" w:space="0" w:color="auto"/>
            </w:tcBorders>
            <w:vAlign w:val="center"/>
          </w:tcPr>
          <w:p w14:paraId="751B8BE8" w14:textId="77777777" w:rsidR="000503C8" w:rsidRPr="002A311E" w:rsidRDefault="000503C8" w:rsidP="00013648">
            <w:pPr>
              <w:spacing w:line="240" w:lineRule="auto"/>
              <w:ind w:firstLine="0"/>
              <w:jc w:val="center"/>
              <w:rPr>
                <w:sz w:val="20"/>
                <w:szCs w:val="20"/>
              </w:rPr>
            </w:pPr>
          </w:p>
          <w:p w14:paraId="3CD3273C" w14:textId="77777777" w:rsidR="000503C8" w:rsidRPr="002A311E" w:rsidRDefault="000503C8" w:rsidP="00013648">
            <w:pPr>
              <w:spacing w:line="240" w:lineRule="auto"/>
              <w:ind w:firstLine="0"/>
              <w:jc w:val="center"/>
              <w:rPr>
                <w:rFonts w:cs="Times New Roman"/>
                <w:sz w:val="20"/>
                <w:szCs w:val="20"/>
              </w:rPr>
            </w:pPr>
            <w:r w:rsidRPr="002A311E">
              <w:rPr>
                <w:sz w:val="20"/>
                <w:szCs w:val="20"/>
              </w:rPr>
              <w:t>323.1</w:t>
            </w:r>
          </w:p>
          <w:p w14:paraId="0B950EA1" w14:textId="77777777" w:rsidR="000503C8" w:rsidRPr="002A311E" w:rsidRDefault="000503C8" w:rsidP="00013648">
            <w:pPr>
              <w:spacing w:line="240" w:lineRule="auto"/>
              <w:ind w:hanging="5"/>
              <w:jc w:val="center"/>
              <w:rPr>
                <w:sz w:val="20"/>
                <w:szCs w:val="20"/>
              </w:rPr>
            </w:pPr>
          </w:p>
        </w:tc>
        <w:tc>
          <w:tcPr>
            <w:tcW w:w="1071" w:type="dxa"/>
            <w:tcBorders>
              <w:top w:val="single" w:sz="12" w:space="0" w:color="auto"/>
              <w:left w:val="double" w:sz="4" w:space="0" w:color="auto"/>
              <w:right w:val="nil"/>
            </w:tcBorders>
            <w:vAlign w:val="center"/>
          </w:tcPr>
          <w:p w14:paraId="705EE431" w14:textId="77777777" w:rsidR="000503C8" w:rsidRPr="002A311E" w:rsidRDefault="000503C8" w:rsidP="00013648">
            <w:pPr>
              <w:spacing w:line="240" w:lineRule="auto"/>
              <w:ind w:firstLine="0"/>
              <w:jc w:val="center"/>
              <w:rPr>
                <w:sz w:val="20"/>
                <w:szCs w:val="20"/>
              </w:rPr>
            </w:pPr>
            <w:r w:rsidRPr="002A311E">
              <w:rPr>
                <w:sz w:val="20"/>
                <w:szCs w:val="20"/>
              </w:rPr>
              <w:t>323.1</w:t>
            </w:r>
          </w:p>
        </w:tc>
        <w:tc>
          <w:tcPr>
            <w:tcW w:w="1093" w:type="dxa"/>
            <w:tcBorders>
              <w:top w:val="single" w:sz="12" w:space="0" w:color="auto"/>
              <w:left w:val="nil"/>
              <w:right w:val="nil"/>
            </w:tcBorders>
            <w:vAlign w:val="center"/>
          </w:tcPr>
          <w:p w14:paraId="0365245D" w14:textId="77777777" w:rsidR="000503C8" w:rsidRPr="002A311E" w:rsidRDefault="000503C8" w:rsidP="00013648">
            <w:pPr>
              <w:spacing w:line="240" w:lineRule="auto"/>
              <w:ind w:hanging="5"/>
              <w:jc w:val="center"/>
              <w:rPr>
                <w:sz w:val="20"/>
                <w:szCs w:val="20"/>
              </w:rPr>
            </w:pPr>
            <w:r w:rsidRPr="002A311E">
              <w:rPr>
                <w:sz w:val="20"/>
                <w:szCs w:val="20"/>
              </w:rPr>
              <w:t>393.7</w:t>
            </w:r>
          </w:p>
        </w:tc>
        <w:tc>
          <w:tcPr>
            <w:tcW w:w="1014" w:type="dxa"/>
            <w:tcBorders>
              <w:top w:val="single" w:sz="12" w:space="0" w:color="auto"/>
              <w:left w:val="nil"/>
              <w:right w:val="nil"/>
            </w:tcBorders>
            <w:vAlign w:val="center"/>
          </w:tcPr>
          <w:p w14:paraId="5A30C14D" w14:textId="77777777" w:rsidR="000503C8" w:rsidRPr="002A311E" w:rsidRDefault="000503C8" w:rsidP="00013648">
            <w:pPr>
              <w:spacing w:line="240" w:lineRule="auto"/>
              <w:ind w:firstLine="0"/>
              <w:jc w:val="center"/>
              <w:rPr>
                <w:sz w:val="20"/>
                <w:szCs w:val="20"/>
              </w:rPr>
            </w:pPr>
            <w:r w:rsidRPr="002A311E">
              <w:rPr>
                <w:sz w:val="20"/>
                <w:szCs w:val="20"/>
              </w:rPr>
              <w:t>440.5</w:t>
            </w:r>
          </w:p>
        </w:tc>
        <w:tc>
          <w:tcPr>
            <w:tcW w:w="1019" w:type="dxa"/>
            <w:tcBorders>
              <w:top w:val="single" w:sz="12" w:space="0" w:color="auto"/>
              <w:left w:val="nil"/>
              <w:right w:val="nil"/>
            </w:tcBorders>
            <w:vAlign w:val="center"/>
          </w:tcPr>
          <w:p w14:paraId="1B7485AF" w14:textId="77777777" w:rsidR="000503C8" w:rsidRPr="002A311E" w:rsidRDefault="000503C8" w:rsidP="00013648">
            <w:pPr>
              <w:spacing w:line="240" w:lineRule="auto"/>
              <w:ind w:hanging="5"/>
              <w:jc w:val="center"/>
              <w:rPr>
                <w:sz w:val="20"/>
                <w:szCs w:val="20"/>
              </w:rPr>
            </w:pPr>
            <w:r w:rsidRPr="002A311E">
              <w:rPr>
                <w:sz w:val="20"/>
                <w:szCs w:val="20"/>
              </w:rPr>
              <w:t>489.6</w:t>
            </w:r>
          </w:p>
        </w:tc>
      </w:tr>
      <w:tr w:rsidR="000503C8" w:rsidRPr="0070296A" w14:paraId="43819370" w14:textId="77777777" w:rsidTr="00013648">
        <w:trPr>
          <w:trHeight w:val="511"/>
          <w:jc w:val="center"/>
        </w:trPr>
        <w:tc>
          <w:tcPr>
            <w:tcW w:w="2880" w:type="dxa"/>
            <w:tcBorders>
              <w:left w:val="nil"/>
              <w:right w:val="nil"/>
            </w:tcBorders>
            <w:vAlign w:val="center"/>
          </w:tcPr>
          <w:p w14:paraId="12782315" w14:textId="77777777" w:rsidR="000503C8" w:rsidRPr="002A311E" w:rsidRDefault="000503C8" w:rsidP="00013648">
            <w:pPr>
              <w:spacing w:line="240" w:lineRule="auto"/>
              <w:ind w:hanging="5"/>
              <w:jc w:val="left"/>
              <w:rPr>
                <w:sz w:val="20"/>
                <w:szCs w:val="20"/>
              </w:rPr>
            </w:pPr>
            <w:r w:rsidRPr="002A311E">
              <w:rPr>
                <w:sz w:val="20"/>
                <w:szCs w:val="20"/>
              </w:rPr>
              <w:t>Տոկոսավճար/պետական բյուջեի ծախսեր (%)</w:t>
            </w:r>
          </w:p>
        </w:tc>
        <w:tc>
          <w:tcPr>
            <w:tcW w:w="1095" w:type="dxa"/>
            <w:tcBorders>
              <w:left w:val="nil"/>
              <w:right w:val="nil"/>
            </w:tcBorders>
            <w:vAlign w:val="center"/>
          </w:tcPr>
          <w:p w14:paraId="25E69CD8" w14:textId="77777777" w:rsidR="000503C8" w:rsidRPr="002A311E" w:rsidRDefault="000503C8" w:rsidP="00013648">
            <w:pPr>
              <w:spacing w:line="240" w:lineRule="auto"/>
              <w:ind w:hanging="5"/>
              <w:jc w:val="center"/>
              <w:rPr>
                <w:sz w:val="20"/>
                <w:szCs w:val="20"/>
              </w:rPr>
            </w:pPr>
            <w:r w:rsidRPr="002A311E">
              <w:rPr>
                <w:sz w:val="20"/>
                <w:szCs w:val="20"/>
              </w:rPr>
              <w:t>8.8</w:t>
            </w:r>
          </w:p>
        </w:tc>
        <w:tc>
          <w:tcPr>
            <w:tcW w:w="1071" w:type="dxa"/>
            <w:tcBorders>
              <w:left w:val="nil"/>
              <w:right w:val="nil"/>
            </w:tcBorders>
            <w:vAlign w:val="center"/>
          </w:tcPr>
          <w:p w14:paraId="1B1BD77F" w14:textId="77777777" w:rsidR="000503C8" w:rsidRPr="002A311E" w:rsidRDefault="000503C8" w:rsidP="00013648">
            <w:pPr>
              <w:spacing w:line="240" w:lineRule="auto"/>
              <w:ind w:hanging="5"/>
              <w:jc w:val="center"/>
              <w:rPr>
                <w:sz w:val="20"/>
                <w:szCs w:val="20"/>
              </w:rPr>
            </w:pPr>
            <w:r w:rsidRPr="002A311E">
              <w:rPr>
                <w:sz w:val="20"/>
                <w:szCs w:val="20"/>
              </w:rPr>
              <w:t>9.9</w:t>
            </w:r>
          </w:p>
        </w:tc>
        <w:tc>
          <w:tcPr>
            <w:tcW w:w="1493" w:type="dxa"/>
            <w:tcBorders>
              <w:left w:val="nil"/>
              <w:right w:val="double" w:sz="4" w:space="0" w:color="auto"/>
            </w:tcBorders>
            <w:vAlign w:val="center"/>
          </w:tcPr>
          <w:p w14:paraId="1626F27D" w14:textId="77777777" w:rsidR="000503C8" w:rsidRPr="002A311E" w:rsidRDefault="000503C8" w:rsidP="00013648">
            <w:pPr>
              <w:spacing w:line="240" w:lineRule="auto"/>
              <w:ind w:hanging="5"/>
              <w:jc w:val="center"/>
              <w:rPr>
                <w:sz w:val="20"/>
                <w:szCs w:val="20"/>
              </w:rPr>
            </w:pPr>
            <w:r w:rsidRPr="002A311E">
              <w:rPr>
                <w:sz w:val="20"/>
                <w:szCs w:val="20"/>
              </w:rPr>
              <w:t>10.1</w:t>
            </w:r>
          </w:p>
        </w:tc>
        <w:tc>
          <w:tcPr>
            <w:tcW w:w="1071" w:type="dxa"/>
            <w:tcBorders>
              <w:left w:val="double" w:sz="4" w:space="0" w:color="auto"/>
              <w:right w:val="nil"/>
            </w:tcBorders>
            <w:vAlign w:val="center"/>
          </w:tcPr>
          <w:p w14:paraId="6F316698" w14:textId="77777777" w:rsidR="000503C8" w:rsidRPr="002A311E" w:rsidRDefault="000503C8" w:rsidP="00013648">
            <w:pPr>
              <w:spacing w:line="240" w:lineRule="auto"/>
              <w:ind w:firstLine="0"/>
              <w:jc w:val="center"/>
              <w:rPr>
                <w:sz w:val="20"/>
                <w:szCs w:val="20"/>
              </w:rPr>
            </w:pPr>
            <w:r w:rsidRPr="002A311E">
              <w:rPr>
                <w:sz w:val="20"/>
                <w:szCs w:val="20"/>
              </w:rPr>
              <w:t>10.4</w:t>
            </w:r>
          </w:p>
        </w:tc>
        <w:tc>
          <w:tcPr>
            <w:tcW w:w="1093" w:type="dxa"/>
            <w:tcBorders>
              <w:left w:val="nil"/>
              <w:right w:val="nil"/>
            </w:tcBorders>
            <w:vAlign w:val="center"/>
          </w:tcPr>
          <w:p w14:paraId="5539D678" w14:textId="77777777" w:rsidR="000503C8" w:rsidRPr="002A311E" w:rsidRDefault="000503C8" w:rsidP="00013648">
            <w:pPr>
              <w:spacing w:line="240" w:lineRule="auto"/>
              <w:ind w:hanging="5"/>
              <w:jc w:val="center"/>
              <w:rPr>
                <w:sz w:val="20"/>
                <w:szCs w:val="20"/>
              </w:rPr>
            </w:pPr>
            <w:r w:rsidRPr="002A311E">
              <w:rPr>
                <w:sz w:val="20"/>
                <w:szCs w:val="20"/>
              </w:rPr>
              <w:t>11.2</w:t>
            </w:r>
          </w:p>
        </w:tc>
        <w:tc>
          <w:tcPr>
            <w:tcW w:w="1014" w:type="dxa"/>
            <w:tcBorders>
              <w:left w:val="nil"/>
              <w:right w:val="nil"/>
            </w:tcBorders>
            <w:vAlign w:val="center"/>
          </w:tcPr>
          <w:p w14:paraId="26E5A02C" w14:textId="77777777" w:rsidR="000503C8" w:rsidRPr="002A311E" w:rsidRDefault="000503C8" w:rsidP="00013648">
            <w:pPr>
              <w:spacing w:line="240" w:lineRule="auto"/>
              <w:ind w:hanging="5"/>
              <w:jc w:val="center"/>
              <w:rPr>
                <w:sz w:val="20"/>
                <w:szCs w:val="20"/>
              </w:rPr>
            </w:pPr>
            <w:r w:rsidRPr="002A311E">
              <w:rPr>
                <w:sz w:val="20"/>
                <w:szCs w:val="20"/>
              </w:rPr>
              <w:t>11.6</w:t>
            </w:r>
          </w:p>
        </w:tc>
        <w:tc>
          <w:tcPr>
            <w:tcW w:w="1019" w:type="dxa"/>
            <w:tcBorders>
              <w:left w:val="nil"/>
              <w:right w:val="nil"/>
            </w:tcBorders>
            <w:vAlign w:val="center"/>
          </w:tcPr>
          <w:p w14:paraId="523E8503" w14:textId="77777777" w:rsidR="000503C8" w:rsidRPr="002A311E" w:rsidRDefault="000503C8" w:rsidP="00013648">
            <w:pPr>
              <w:spacing w:line="240" w:lineRule="auto"/>
              <w:ind w:hanging="5"/>
              <w:jc w:val="center"/>
              <w:rPr>
                <w:sz w:val="20"/>
                <w:szCs w:val="20"/>
              </w:rPr>
            </w:pPr>
            <w:r w:rsidRPr="002A311E">
              <w:rPr>
                <w:sz w:val="20"/>
                <w:szCs w:val="20"/>
              </w:rPr>
              <w:t>12.0</w:t>
            </w:r>
          </w:p>
        </w:tc>
      </w:tr>
      <w:tr w:rsidR="000503C8" w:rsidRPr="0070296A" w14:paraId="3E57A692" w14:textId="77777777" w:rsidTr="00013648">
        <w:trPr>
          <w:trHeight w:val="766"/>
          <w:jc w:val="center"/>
        </w:trPr>
        <w:tc>
          <w:tcPr>
            <w:tcW w:w="2880" w:type="dxa"/>
            <w:tcBorders>
              <w:left w:val="nil"/>
              <w:right w:val="nil"/>
            </w:tcBorders>
            <w:vAlign w:val="center"/>
          </w:tcPr>
          <w:p w14:paraId="5D02173D" w14:textId="77777777" w:rsidR="000503C8" w:rsidRPr="002A311E" w:rsidRDefault="000503C8" w:rsidP="00013648">
            <w:pPr>
              <w:spacing w:line="240" w:lineRule="auto"/>
              <w:ind w:hanging="5"/>
              <w:jc w:val="left"/>
              <w:rPr>
                <w:sz w:val="20"/>
                <w:szCs w:val="20"/>
              </w:rPr>
            </w:pPr>
            <w:r w:rsidRPr="002A311E">
              <w:rPr>
                <w:sz w:val="20"/>
                <w:szCs w:val="20"/>
              </w:rPr>
              <w:t>Տոկոսավճար/պետական բյուջեի սեփական (առանց դրամաշնորհներ) եկամուտներ (%)</w:t>
            </w:r>
          </w:p>
        </w:tc>
        <w:tc>
          <w:tcPr>
            <w:tcW w:w="1095" w:type="dxa"/>
            <w:tcBorders>
              <w:left w:val="nil"/>
              <w:right w:val="nil"/>
            </w:tcBorders>
            <w:vAlign w:val="center"/>
          </w:tcPr>
          <w:p w14:paraId="34425A0D" w14:textId="77777777" w:rsidR="000503C8" w:rsidRPr="002A311E" w:rsidRDefault="000503C8" w:rsidP="00013648">
            <w:pPr>
              <w:spacing w:line="240" w:lineRule="auto"/>
              <w:ind w:hanging="5"/>
              <w:jc w:val="center"/>
              <w:rPr>
                <w:sz w:val="20"/>
                <w:szCs w:val="20"/>
              </w:rPr>
            </w:pPr>
            <w:r w:rsidRPr="002A311E">
              <w:rPr>
                <w:sz w:val="20"/>
                <w:szCs w:val="20"/>
              </w:rPr>
              <w:t>9.7</w:t>
            </w:r>
          </w:p>
        </w:tc>
        <w:tc>
          <w:tcPr>
            <w:tcW w:w="1071" w:type="dxa"/>
            <w:tcBorders>
              <w:left w:val="nil"/>
              <w:right w:val="nil"/>
            </w:tcBorders>
            <w:vAlign w:val="center"/>
          </w:tcPr>
          <w:p w14:paraId="708564DC" w14:textId="77777777" w:rsidR="000503C8" w:rsidRPr="002A311E" w:rsidRDefault="000503C8" w:rsidP="00013648">
            <w:pPr>
              <w:spacing w:line="240" w:lineRule="auto"/>
              <w:ind w:hanging="5"/>
              <w:jc w:val="center"/>
              <w:rPr>
                <w:sz w:val="20"/>
                <w:szCs w:val="20"/>
              </w:rPr>
            </w:pPr>
            <w:r w:rsidRPr="002A311E">
              <w:rPr>
                <w:sz w:val="20"/>
                <w:szCs w:val="20"/>
              </w:rPr>
              <w:t>10.8</w:t>
            </w:r>
          </w:p>
        </w:tc>
        <w:tc>
          <w:tcPr>
            <w:tcW w:w="1493" w:type="dxa"/>
            <w:tcBorders>
              <w:left w:val="nil"/>
              <w:right w:val="double" w:sz="4" w:space="0" w:color="auto"/>
            </w:tcBorders>
            <w:vAlign w:val="center"/>
          </w:tcPr>
          <w:p w14:paraId="487B3858" w14:textId="77777777" w:rsidR="000503C8" w:rsidRPr="002A311E" w:rsidRDefault="000503C8" w:rsidP="00013648">
            <w:pPr>
              <w:spacing w:line="240" w:lineRule="auto"/>
              <w:ind w:hanging="5"/>
              <w:jc w:val="center"/>
              <w:rPr>
                <w:sz w:val="20"/>
                <w:szCs w:val="20"/>
              </w:rPr>
            </w:pPr>
            <w:r w:rsidRPr="002A311E">
              <w:rPr>
                <w:sz w:val="20"/>
                <w:szCs w:val="20"/>
              </w:rPr>
              <w:t>11.9</w:t>
            </w:r>
          </w:p>
        </w:tc>
        <w:tc>
          <w:tcPr>
            <w:tcW w:w="1071" w:type="dxa"/>
            <w:tcBorders>
              <w:left w:val="double" w:sz="4" w:space="0" w:color="auto"/>
              <w:right w:val="nil"/>
            </w:tcBorders>
            <w:vAlign w:val="center"/>
          </w:tcPr>
          <w:p w14:paraId="3A2D5B84" w14:textId="77777777" w:rsidR="000503C8" w:rsidRPr="002A311E" w:rsidRDefault="000503C8" w:rsidP="00013648">
            <w:pPr>
              <w:spacing w:line="240" w:lineRule="auto"/>
              <w:ind w:hanging="5"/>
              <w:jc w:val="center"/>
              <w:rPr>
                <w:sz w:val="20"/>
                <w:szCs w:val="20"/>
              </w:rPr>
            </w:pPr>
            <w:r w:rsidRPr="002A311E">
              <w:rPr>
                <w:sz w:val="20"/>
                <w:szCs w:val="20"/>
              </w:rPr>
              <w:t>12.4</w:t>
            </w:r>
          </w:p>
        </w:tc>
        <w:tc>
          <w:tcPr>
            <w:tcW w:w="1093" w:type="dxa"/>
            <w:tcBorders>
              <w:left w:val="nil"/>
              <w:right w:val="nil"/>
            </w:tcBorders>
            <w:vAlign w:val="center"/>
          </w:tcPr>
          <w:p w14:paraId="791C9EBB" w14:textId="77777777" w:rsidR="000503C8" w:rsidRPr="002A311E" w:rsidRDefault="000503C8" w:rsidP="00013648">
            <w:pPr>
              <w:spacing w:line="240" w:lineRule="auto"/>
              <w:ind w:hanging="5"/>
              <w:jc w:val="center"/>
              <w:rPr>
                <w:sz w:val="20"/>
                <w:szCs w:val="20"/>
              </w:rPr>
            </w:pPr>
            <w:r w:rsidRPr="002A311E">
              <w:rPr>
                <w:sz w:val="20"/>
                <w:szCs w:val="20"/>
              </w:rPr>
              <w:t>13.7</w:t>
            </w:r>
          </w:p>
        </w:tc>
        <w:tc>
          <w:tcPr>
            <w:tcW w:w="1014" w:type="dxa"/>
            <w:tcBorders>
              <w:left w:val="nil"/>
              <w:right w:val="nil"/>
            </w:tcBorders>
            <w:vAlign w:val="center"/>
          </w:tcPr>
          <w:p w14:paraId="5A026C96" w14:textId="77777777" w:rsidR="000503C8" w:rsidRPr="002A311E" w:rsidRDefault="000503C8" w:rsidP="00013648">
            <w:pPr>
              <w:spacing w:line="240" w:lineRule="auto"/>
              <w:ind w:hanging="5"/>
              <w:jc w:val="center"/>
              <w:rPr>
                <w:sz w:val="20"/>
                <w:szCs w:val="20"/>
              </w:rPr>
            </w:pPr>
            <w:r w:rsidRPr="002A311E">
              <w:rPr>
                <w:sz w:val="20"/>
                <w:szCs w:val="20"/>
              </w:rPr>
              <w:t>13.6</w:t>
            </w:r>
          </w:p>
        </w:tc>
        <w:tc>
          <w:tcPr>
            <w:tcW w:w="1019" w:type="dxa"/>
            <w:tcBorders>
              <w:left w:val="nil"/>
              <w:right w:val="nil"/>
            </w:tcBorders>
            <w:vAlign w:val="center"/>
          </w:tcPr>
          <w:p w14:paraId="2A0C8BB0" w14:textId="77777777" w:rsidR="000503C8" w:rsidRPr="002A311E" w:rsidRDefault="000503C8" w:rsidP="00013648">
            <w:pPr>
              <w:spacing w:line="240" w:lineRule="auto"/>
              <w:ind w:hanging="5"/>
              <w:jc w:val="center"/>
              <w:rPr>
                <w:sz w:val="20"/>
                <w:szCs w:val="20"/>
              </w:rPr>
            </w:pPr>
            <w:r w:rsidRPr="002A311E">
              <w:rPr>
                <w:sz w:val="20"/>
                <w:szCs w:val="20"/>
              </w:rPr>
              <w:t>13.6</w:t>
            </w:r>
          </w:p>
        </w:tc>
      </w:tr>
      <w:tr w:rsidR="000503C8" w:rsidRPr="0070296A" w14:paraId="7FD39E51" w14:textId="77777777" w:rsidTr="00013648">
        <w:trPr>
          <w:trHeight w:val="261"/>
          <w:jc w:val="center"/>
        </w:trPr>
        <w:tc>
          <w:tcPr>
            <w:tcW w:w="2880" w:type="dxa"/>
            <w:tcBorders>
              <w:left w:val="nil"/>
              <w:bottom w:val="thickThinSmallGap" w:sz="24" w:space="0" w:color="auto"/>
              <w:right w:val="nil"/>
            </w:tcBorders>
            <w:vAlign w:val="center"/>
          </w:tcPr>
          <w:p w14:paraId="439DFB64" w14:textId="77777777" w:rsidR="000503C8" w:rsidRPr="002A311E" w:rsidRDefault="000503C8" w:rsidP="00013648">
            <w:pPr>
              <w:spacing w:line="240" w:lineRule="auto"/>
              <w:ind w:hanging="5"/>
              <w:jc w:val="left"/>
              <w:rPr>
                <w:sz w:val="20"/>
                <w:szCs w:val="20"/>
              </w:rPr>
            </w:pPr>
            <w:r w:rsidRPr="002A311E">
              <w:rPr>
                <w:sz w:val="20"/>
                <w:szCs w:val="20"/>
              </w:rPr>
              <w:t>Տոկոսավճար/ՀՆԱ (%)</w:t>
            </w:r>
          </w:p>
        </w:tc>
        <w:tc>
          <w:tcPr>
            <w:tcW w:w="1095" w:type="dxa"/>
            <w:tcBorders>
              <w:left w:val="nil"/>
              <w:bottom w:val="thickThinSmallGap" w:sz="24" w:space="0" w:color="auto"/>
              <w:right w:val="nil"/>
            </w:tcBorders>
            <w:vAlign w:val="center"/>
          </w:tcPr>
          <w:p w14:paraId="1EC208B1" w14:textId="77777777" w:rsidR="000503C8" w:rsidRPr="002A311E" w:rsidRDefault="000503C8" w:rsidP="00013648">
            <w:pPr>
              <w:spacing w:line="240" w:lineRule="auto"/>
              <w:ind w:hanging="5"/>
              <w:jc w:val="center"/>
              <w:rPr>
                <w:sz w:val="20"/>
                <w:szCs w:val="20"/>
              </w:rPr>
            </w:pPr>
            <w:r w:rsidRPr="002A311E">
              <w:rPr>
                <w:sz w:val="20"/>
                <w:szCs w:val="20"/>
              </w:rPr>
              <w:t>2.3</w:t>
            </w:r>
          </w:p>
        </w:tc>
        <w:tc>
          <w:tcPr>
            <w:tcW w:w="1071" w:type="dxa"/>
            <w:tcBorders>
              <w:left w:val="nil"/>
              <w:bottom w:val="thickThinSmallGap" w:sz="24" w:space="0" w:color="auto"/>
              <w:right w:val="nil"/>
            </w:tcBorders>
            <w:vAlign w:val="center"/>
          </w:tcPr>
          <w:p w14:paraId="14D42E38" w14:textId="77777777" w:rsidR="000503C8" w:rsidRPr="002A311E" w:rsidRDefault="000503C8" w:rsidP="00013648">
            <w:pPr>
              <w:spacing w:line="240" w:lineRule="auto"/>
              <w:ind w:hanging="5"/>
              <w:jc w:val="center"/>
              <w:rPr>
                <w:sz w:val="20"/>
                <w:szCs w:val="20"/>
              </w:rPr>
            </w:pPr>
            <w:r w:rsidRPr="002A311E">
              <w:rPr>
                <w:sz w:val="20"/>
                <w:szCs w:val="20"/>
              </w:rPr>
              <w:t>2.7</w:t>
            </w:r>
          </w:p>
        </w:tc>
        <w:tc>
          <w:tcPr>
            <w:tcW w:w="1493" w:type="dxa"/>
            <w:tcBorders>
              <w:left w:val="nil"/>
              <w:bottom w:val="thickThinSmallGap" w:sz="24" w:space="0" w:color="auto"/>
              <w:right w:val="double" w:sz="4" w:space="0" w:color="auto"/>
            </w:tcBorders>
            <w:vAlign w:val="center"/>
          </w:tcPr>
          <w:p w14:paraId="2AFDCB80" w14:textId="77777777" w:rsidR="000503C8" w:rsidRPr="002A311E" w:rsidRDefault="000503C8" w:rsidP="00013648">
            <w:pPr>
              <w:spacing w:line="240" w:lineRule="auto"/>
              <w:ind w:hanging="5"/>
              <w:jc w:val="center"/>
              <w:rPr>
                <w:sz w:val="20"/>
                <w:szCs w:val="20"/>
              </w:rPr>
            </w:pPr>
            <w:r w:rsidRPr="002A311E">
              <w:rPr>
                <w:sz w:val="20"/>
                <w:szCs w:val="20"/>
              </w:rPr>
              <w:t>3.1</w:t>
            </w:r>
          </w:p>
        </w:tc>
        <w:tc>
          <w:tcPr>
            <w:tcW w:w="1071" w:type="dxa"/>
            <w:tcBorders>
              <w:left w:val="double" w:sz="4" w:space="0" w:color="auto"/>
              <w:bottom w:val="thickThinSmallGap" w:sz="24" w:space="0" w:color="auto"/>
              <w:right w:val="nil"/>
            </w:tcBorders>
            <w:vAlign w:val="center"/>
          </w:tcPr>
          <w:p w14:paraId="6574A6F8" w14:textId="77777777" w:rsidR="000503C8" w:rsidRPr="002A311E" w:rsidRDefault="000503C8" w:rsidP="00013648">
            <w:pPr>
              <w:spacing w:line="240" w:lineRule="auto"/>
              <w:ind w:hanging="5"/>
              <w:jc w:val="center"/>
              <w:rPr>
                <w:sz w:val="20"/>
                <w:szCs w:val="20"/>
              </w:rPr>
            </w:pPr>
            <w:r w:rsidRPr="002A311E">
              <w:rPr>
                <w:sz w:val="20"/>
                <w:szCs w:val="20"/>
              </w:rPr>
              <w:t>3.2</w:t>
            </w:r>
          </w:p>
        </w:tc>
        <w:tc>
          <w:tcPr>
            <w:tcW w:w="1093" w:type="dxa"/>
            <w:tcBorders>
              <w:left w:val="nil"/>
              <w:bottom w:val="thickThinSmallGap" w:sz="24" w:space="0" w:color="auto"/>
              <w:right w:val="nil"/>
            </w:tcBorders>
            <w:vAlign w:val="center"/>
          </w:tcPr>
          <w:p w14:paraId="47365E25" w14:textId="77777777" w:rsidR="000503C8" w:rsidRPr="002A311E" w:rsidRDefault="000503C8" w:rsidP="00013648">
            <w:pPr>
              <w:spacing w:line="240" w:lineRule="auto"/>
              <w:ind w:hanging="5"/>
              <w:jc w:val="center"/>
              <w:rPr>
                <w:sz w:val="20"/>
                <w:szCs w:val="20"/>
              </w:rPr>
            </w:pPr>
            <w:r w:rsidRPr="002A311E">
              <w:rPr>
                <w:sz w:val="20"/>
                <w:szCs w:val="20"/>
              </w:rPr>
              <w:t>3.5</w:t>
            </w:r>
          </w:p>
        </w:tc>
        <w:tc>
          <w:tcPr>
            <w:tcW w:w="1014" w:type="dxa"/>
            <w:tcBorders>
              <w:left w:val="nil"/>
              <w:bottom w:val="thickThinSmallGap" w:sz="24" w:space="0" w:color="auto"/>
              <w:right w:val="nil"/>
            </w:tcBorders>
            <w:vAlign w:val="center"/>
          </w:tcPr>
          <w:p w14:paraId="0BC69A6B" w14:textId="77777777" w:rsidR="000503C8" w:rsidRPr="002A311E" w:rsidRDefault="000503C8" w:rsidP="00013648">
            <w:pPr>
              <w:spacing w:line="240" w:lineRule="auto"/>
              <w:ind w:hanging="5"/>
              <w:jc w:val="center"/>
              <w:rPr>
                <w:sz w:val="20"/>
                <w:szCs w:val="20"/>
              </w:rPr>
            </w:pPr>
            <w:r w:rsidRPr="002A311E">
              <w:rPr>
                <w:sz w:val="20"/>
                <w:szCs w:val="20"/>
              </w:rPr>
              <w:t>3.6</w:t>
            </w:r>
          </w:p>
        </w:tc>
        <w:tc>
          <w:tcPr>
            <w:tcW w:w="1019" w:type="dxa"/>
            <w:tcBorders>
              <w:left w:val="nil"/>
              <w:bottom w:val="thickThinSmallGap" w:sz="24" w:space="0" w:color="auto"/>
              <w:right w:val="nil"/>
            </w:tcBorders>
            <w:vAlign w:val="center"/>
          </w:tcPr>
          <w:p w14:paraId="5D1EC0B4" w14:textId="77777777" w:rsidR="000503C8" w:rsidRPr="002A311E" w:rsidRDefault="000503C8" w:rsidP="00013648">
            <w:pPr>
              <w:spacing w:line="240" w:lineRule="auto"/>
              <w:ind w:hanging="5"/>
              <w:jc w:val="center"/>
              <w:rPr>
                <w:sz w:val="20"/>
                <w:szCs w:val="20"/>
              </w:rPr>
            </w:pPr>
            <w:r w:rsidRPr="002A311E">
              <w:rPr>
                <w:sz w:val="20"/>
                <w:szCs w:val="20"/>
              </w:rPr>
              <w:t>3.6</w:t>
            </w:r>
          </w:p>
        </w:tc>
      </w:tr>
    </w:tbl>
    <w:p w14:paraId="746D7CF6" w14:textId="77777777" w:rsidR="000503C8" w:rsidRPr="00E06CCC" w:rsidRDefault="000503C8" w:rsidP="000503C8">
      <w:pPr>
        <w:ind w:firstLine="0"/>
        <w:rPr>
          <w:color w:val="FF0000"/>
        </w:rPr>
      </w:pPr>
      <w:r w:rsidRPr="000D4D8C">
        <w:rPr>
          <w:sz w:val="18"/>
        </w:rPr>
        <w:t>Աղբյուրը՝ ՀՀ ՖՆ հաշվարկներ և կանխատեսումներ</w:t>
      </w:r>
    </w:p>
    <w:p w14:paraId="275FED2B" w14:textId="77777777" w:rsidR="000503C8" w:rsidRPr="0070296A" w:rsidRDefault="000503C8" w:rsidP="000503C8">
      <w:pPr>
        <w:pStyle w:val="afd"/>
        <w:numPr>
          <w:ilvl w:val="0"/>
          <w:numId w:val="21"/>
        </w:numPr>
        <w:spacing w:before="0" w:line="360" w:lineRule="auto"/>
        <w:ind w:left="1276" w:hanging="1276"/>
      </w:pPr>
      <w:r w:rsidRPr="0070296A">
        <w:t>Պետական պարտատոմսերի ցուցանիշները 202</w:t>
      </w:r>
      <w:r>
        <w:t>2</w:t>
      </w:r>
      <w:r w:rsidRPr="0070296A">
        <w:t>-202</w:t>
      </w:r>
      <w:r>
        <w:t>7</w:t>
      </w:r>
      <w:r w:rsidRPr="0070296A">
        <w:t xml:space="preserve"> թվականներին</w:t>
      </w:r>
    </w:p>
    <w:tbl>
      <w:tblPr>
        <w:tblW w:w="10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2"/>
        <w:gridCol w:w="1132"/>
        <w:gridCol w:w="1066"/>
        <w:gridCol w:w="1238"/>
        <w:gridCol w:w="1087"/>
        <w:gridCol w:w="1095"/>
        <w:gridCol w:w="1024"/>
        <w:gridCol w:w="1028"/>
      </w:tblGrid>
      <w:tr w:rsidR="000503C8" w:rsidRPr="0070296A" w14:paraId="64FE2D73" w14:textId="77777777" w:rsidTr="002A311E">
        <w:trPr>
          <w:trHeight w:val="642"/>
          <w:tblHeader/>
          <w:jc w:val="center"/>
        </w:trPr>
        <w:tc>
          <w:tcPr>
            <w:tcW w:w="3022"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261A5195" w14:textId="77777777" w:rsidR="000503C8" w:rsidRPr="0070296A" w:rsidRDefault="000503C8" w:rsidP="00013648">
            <w:pPr>
              <w:spacing w:line="240" w:lineRule="auto"/>
              <w:ind w:firstLine="0"/>
              <w:jc w:val="center"/>
            </w:pPr>
          </w:p>
        </w:tc>
        <w:tc>
          <w:tcPr>
            <w:tcW w:w="1132"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AB87521" w14:textId="77777777" w:rsidR="000503C8" w:rsidRPr="0070296A" w:rsidRDefault="000503C8" w:rsidP="00013648">
            <w:pPr>
              <w:spacing w:line="240" w:lineRule="auto"/>
              <w:ind w:firstLine="0"/>
              <w:jc w:val="center"/>
            </w:pPr>
            <w:r w:rsidRPr="0070296A">
              <w:t>202</w:t>
            </w:r>
            <w:r>
              <w:t>2</w:t>
            </w:r>
            <w:r w:rsidRPr="0070296A">
              <w:t xml:space="preserve"> փաստ.</w:t>
            </w:r>
          </w:p>
        </w:tc>
        <w:tc>
          <w:tcPr>
            <w:tcW w:w="106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1724F13" w14:textId="77777777" w:rsidR="000503C8" w:rsidRPr="0070296A" w:rsidRDefault="000503C8" w:rsidP="00013648">
            <w:pPr>
              <w:spacing w:line="240" w:lineRule="auto"/>
              <w:ind w:firstLine="0"/>
              <w:jc w:val="center"/>
            </w:pPr>
            <w:r w:rsidRPr="0070296A">
              <w:t>202</w:t>
            </w:r>
            <w:r>
              <w:t>3</w:t>
            </w:r>
            <w:r w:rsidRPr="0070296A">
              <w:t xml:space="preserve"> փաստ.</w:t>
            </w:r>
          </w:p>
        </w:tc>
        <w:tc>
          <w:tcPr>
            <w:tcW w:w="1238"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49506ECF" w14:textId="77777777" w:rsidR="000503C8" w:rsidRPr="0070296A" w:rsidRDefault="000503C8" w:rsidP="00013648">
            <w:pPr>
              <w:spacing w:line="240" w:lineRule="auto"/>
              <w:ind w:firstLine="0"/>
              <w:jc w:val="center"/>
            </w:pPr>
            <w:r w:rsidRPr="0070296A">
              <w:t>202</w:t>
            </w:r>
            <w:r>
              <w:t>4</w:t>
            </w:r>
            <w:r w:rsidRPr="0070296A">
              <w:t xml:space="preserve"> պետբյուջեի ծրագիր</w:t>
            </w:r>
          </w:p>
        </w:tc>
        <w:tc>
          <w:tcPr>
            <w:tcW w:w="1087"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2DB7CC0C" w14:textId="77777777" w:rsidR="000503C8" w:rsidRPr="0070296A" w:rsidRDefault="000503C8" w:rsidP="00013648">
            <w:pPr>
              <w:spacing w:line="240" w:lineRule="auto"/>
              <w:ind w:firstLine="0"/>
              <w:jc w:val="center"/>
            </w:pPr>
            <w:r w:rsidRPr="0070296A">
              <w:t>202</w:t>
            </w:r>
            <w:r>
              <w:t>4</w:t>
            </w:r>
            <w:r w:rsidRPr="0070296A">
              <w:t xml:space="preserve"> կանխ.</w:t>
            </w:r>
          </w:p>
        </w:tc>
        <w:tc>
          <w:tcPr>
            <w:tcW w:w="1095"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7F1BC1D2" w14:textId="77777777" w:rsidR="000503C8" w:rsidRPr="0070296A" w:rsidRDefault="000503C8" w:rsidP="00013648">
            <w:pPr>
              <w:spacing w:line="240" w:lineRule="auto"/>
              <w:ind w:firstLine="0"/>
              <w:jc w:val="center"/>
            </w:pPr>
            <w:r w:rsidRPr="0070296A">
              <w:t>202</w:t>
            </w:r>
            <w:r>
              <w:t>5</w:t>
            </w:r>
            <w:r w:rsidRPr="0070296A">
              <w:t xml:space="preserve"> կանխ.</w:t>
            </w:r>
          </w:p>
        </w:tc>
        <w:tc>
          <w:tcPr>
            <w:tcW w:w="1024"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66E790D8" w14:textId="77777777" w:rsidR="000503C8" w:rsidRPr="0070296A" w:rsidRDefault="000503C8" w:rsidP="00013648">
            <w:pPr>
              <w:spacing w:line="240" w:lineRule="auto"/>
              <w:ind w:firstLine="0"/>
              <w:jc w:val="center"/>
            </w:pPr>
            <w:r w:rsidRPr="0070296A">
              <w:t>202</w:t>
            </w:r>
            <w:r>
              <w:t>6</w:t>
            </w:r>
            <w:r w:rsidRPr="0070296A">
              <w:t xml:space="preserve"> կանխ.</w:t>
            </w:r>
          </w:p>
        </w:tc>
        <w:tc>
          <w:tcPr>
            <w:tcW w:w="1028"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CAC9C89" w14:textId="77777777" w:rsidR="000503C8" w:rsidRPr="0070296A" w:rsidRDefault="000503C8" w:rsidP="00013648">
            <w:pPr>
              <w:spacing w:line="240" w:lineRule="auto"/>
              <w:ind w:firstLine="0"/>
              <w:jc w:val="center"/>
            </w:pPr>
            <w:r w:rsidRPr="0070296A">
              <w:t>202</w:t>
            </w:r>
            <w:r>
              <w:t>7</w:t>
            </w:r>
            <w:r w:rsidRPr="0070296A">
              <w:t xml:space="preserve"> կանխ.</w:t>
            </w:r>
          </w:p>
        </w:tc>
      </w:tr>
      <w:tr w:rsidR="000503C8" w:rsidRPr="0070296A" w14:paraId="1B86BCD9" w14:textId="77777777" w:rsidTr="00013648">
        <w:trPr>
          <w:trHeight w:val="524"/>
          <w:jc w:val="center"/>
        </w:trPr>
        <w:tc>
          <w:tcPr>
            <w:tcW w:w="3022" w:type="dxa"/>
            <w:tcBorders>
              <w:left w:val="nil"/>
              <w:bottom w:val="single" w:sz="4" w:space="0" w:color="auto"/>
              <w:right w:val="nil"/>
            </w:tcBorders>
            <w:vAlign w:val="center"/>
          </w:tcPr>
          <w:p w14:paraId="06229462" w14:textId="77777777" w:rsidR="000503C8" w:rsidRPr="002A311E" w:rsidRDefault="000503C8" w:rsidP="00013648">
            <w:pPr>
              <w:spacing w:line="240" w:lineRule="auto"/>
              <w:ind w:firstLine="0"/>
              <w:jc w:val="left"/>
              <w:rPr>
                <w:sz w:val="20"/>
                <w:szCs w:val="20"/>
              </w:rPr>
            </w:pPr>
            <w:r w:rsidRPr="002A311E">
              <w:rPr>
                <w:sz w:val="20"/>
                <w:szCs w:val="20"/>
              </w:rPr>
              <w:t>Պետական գանձապետական պարտատոմսեր, մլրդ դրամ</w:t>
            </w:r>
          </w:p>
        </w:tc>
        <w:tc>
          <w:tcPr>
            <w:tcW w:w="1132" w:type="dxa"/>
            <w:tcBorders>
              <w:left w:val="nil"/>
              <w:bottom w:val="single" w:sz="4" w:space="0" w:color="auto"/>
              <w:right w:val="nil"/>
            </w:tcBorders>
            <w:vAlign w:val="center"/>
          </w:tcPr>
          <w:p w14:paraId="77A333E3" w14:textId="77777777" w:rsidR="000503C8" w:rsidRPr="002A311E" w:rsidRDefault="000503C8" w:rsidP="00013648">
            <w:pPr>
              <w:spacing w:line="240" w:lineRule="auto"/>
              <w:ind w:firstLine="0"/>
              <w:jc w:val="center"/>
              <w:rPr>
                <w:sz w:val="20"/>
                <w:szCs w:val="20"/>
              </w:rPr>
            </w:pPr>
            <w:r w:rsidRPr="002A311E">
              <w:rPr>
                <w:sz w:val="20"/>
                <w:szCs w:val="20"/>
              </w:rPr>
              <w:t>1,496.3</w:t>
            </w:r>
          </w:p>
        </w:tc>
        <w:tc>
          <w:tcPr>
            <w:tcW w:w="1066" w:type="dxa"/>
            <w:tcBorders>
              <w:left w:val="nil"/>
              <w:bottom w:val="single" w:sz="4" w:space="0" w:color="auto"/>
              <w:right w:val="nil"/>
            </w:tcBorders>
            <w:vAlign w:val="center"/>
          </w:tcPr>
          <w:p w14:paraId="4B0A85D3" w14:textId="77777777" w:rsidR="000503C8" w:rsidRPr="002A311E" w:rsidRDefault="000503C8" w:rsidP="00013648">
            <w:pPr>
              <w:spacing w:line="240" w:lineRule="auto"/>
              <w:ind w:firstLine="0"/>
              <w:jc w:val="center"/>
              <w:rPr>
                <w:sz w:val="20"/>
                <w:szCs w:val="20"/>
              </w:rPr>
            </w:pPr>
            <w:r w:rsidRPr="002A311E">
              <w:rPr>
                <w:sz w:val="20"/>
                <w:szCs w:val="20"/>
              </w:rPr>
              <w:t>2,092.9</w:t>
            </w:r>
          </w:p>
        </w:tc>
        <w:tc>
          <w:tcPr>
            <w:tcW w:w="1238" w:type="dxa"/>
            <w:tcBorders>
              <w:left w:val="nil"/>
              <w:bottom w:val="single" w:sz="4" w:space="0" w:color="auto"/>
              <w:right w:val="double" w:sz="4" w:space="0" w:color="auto"/>
            </w:tcBorders>
            <w:vAlign w:val="center"/>
          </w:tcPr>
          <w:p w14:paraId="6DBCBAF4" w14:textId="77777777" w:rsidR="000503C8" w:rsidRPr="002A311E" w:rsidRDefault="000503C8" w:rsidP="00013648">
            <w:pPr>
              <w:spacing w:line="240" w:lineRule="auto"/>
              <w:ind w:firstLine="0"/>
              <w:jc w:val="center"/>
              <w:rPr>
                <w:sz w:val="20"/>
                <w:szCs w:val="20"/>
              </w:rPr>
            </w:pPr>
            <w:r w:rsidRPr="002A311E">
              <w:rPr>
                <w:sz w:val="20"/>
                <w:szCs w:val="20"/>
              </w:rPr>
              <w:t>1,824.4</w:t>
            </w:r>
          </w:p>
        </w:tc>
        <w:tc>
          <w:tcPr>
            <w:tcW w:w="1087" w:type="dxa"/>
            <w:tcBorders>
              <w:left w:val="double" w:sz="4" w:space="0" w:color="auto"/>
              <w:bottom w:val="single" w:sz="4" w:space="0" w:color="auto"/>
              <w:right w:val="nil"/>
            </w:tcBorders>
            <w:vAlign w:val="center"/>
          </w:tcPr>
          <w:p w14:paraId="7C5D1188" w14:textId="77777777" w:rsidR="000503C8" w:rsidRPr="002A311E" w:rsidRDefault="000503C8" w:rsidP="00013648">
            <w:pPr>
              <w:spacing w:line="240" w:lineRule="auto"/>
              <w:ind w:firstLine="0"/>
              <w:jc w:val="center"/>
              <w:rPr>
                <w:sz w:val="20"/>
                <w:szCs w:val="20"/>
              </w:rPr>
            </w:pPr>
            <w:r w:rsidRPr="002A311E">
              <w:rPr>
                <w:sz w:val="20"/>
                <w:szCs w:val="20"/>
              </w:rPr>
              <w:t>1,894.6</w:t>
            </w:r>
          </w:p>
        </w:tc>
        <w:tc>
          <w:tcPr>
            <w:tcW w:w="1095" w:type="dxa"/>
            <w:tcBorders>
              <w:left w:val="nil"/>
              <w:bottom w:val="single" w:sz="4" w:space="0" w:color="auto"/>
              <w:right w:val="nil"/>
            </w:tcBorders>
            <w:vAlign w:val="center"/>
          </w:tcPr>
          <w:p w14:paraId="19768804" w14:textId="77777777" w:rsidR="000503C8" w:rsidRPr="002A311E" w:rsidRDefault="000503C8" w:rsidP="00013648">
            <w:pPr>
              <w:spacing w:line="240" w:lineRule="auto"/>
              <w:ind w:firstLine="0"/>
              <w:jc w:val="center"/>
              <w:rPr>
                <w:sz w:val="20"/>
                <w:szCs w:val="20"/>
              </w:rPr>
            </w:pPr>
            <w:r w:rsidRPr="002A311E">
              <w:rPr>
                <w:sz w:val="20"/>
                <w:szCs w:val="20"/>
              </w:rPr>
              <w:t>2,223.6</w:t>
            </w:r>
          </w:p>
        </w:tc>
        <w:tc>
          <w:tcPr>
            <w:tcW w:w="1024" w:type="dxa"/>
            <w:tcBorders>
              <w:left w:val="nil"/>
              <w:bottom w:val="single" w:sz="4" w:space="0" w:color="auto"/>
              <w:right w:val="nil"/>
            </w:tcBorders>
            <w:vAlign w:val="center"/>
          </w:tcPr>
          <w:p w14:paraId="734CD3CC" w14:textId="77777777" w:rsidR="000503C8" w:rsidRPr="002A311E" w:rsidRDefault="000503C8" w:rsidP="00013648">
            <w:pPr>
              <w:spacing w:line="240" w:lineRule="auto"/>
              <w:ind w:firstLine="0"/>
              <w:jc w:val="center"/>
              <w:rPr>
                <w:sz w:val="20"/>
                <w:szCs w:val="20"/>
              </w:rPr>
            </w:pPr>
            <w:r w:rsidRPr="002A311E">
              <w:rPr>
                <w:sz w:val="20"/>
                <w:szCs w:val="20"/>
              </w:rPr>
              <w:t>2,543.7</w:t>
            </w:r>
          </w:p>
        </w:tc>
        <w:tc>
          <w:tcPr>
            <w:tcW w:w="1028" w:type="dxa"/>
            <w:tcBorders>
              <w:left w:val="nil"/>
              <w:bottom w:val="single" w:sz="4" w:space="0" w:color="auto"/>
              <w:right w:val="nil"/>
            </w:tcBorders>
            <w:vAlign w:val="center"/>
          </w:tcPr>
          <w:p w14:paraId="65662AD9" w14:textId="77777777" w:rsidR="000503C8" w:rsidRPr="002A311E" w:rsidRDefault="000503C8" w:rsidP="00013648">
            <w:pPr>
              <w:spacing w:line="240" w:lineRule="auto"/>
              <w:ind w:firstLine="0"/>
              <w:jc w:val="center"/>
              <w:rPr>
                <w:sz w:val="20"/>
                <w:szCs w:val="20"/>
              </w:rPr>
            </w:pPr>
            <w:r w:rsidRPr="002A311E">
              <w:rPr>
                <w:sz w:val="20"/>
                <w:szCs w:val="20"/>
              </w:rPr>
              <w:t>2,863.7</w:t>
            </w:r>
          </w:p>
        </w:tc>
      </w:tr>
      <w:tr w:rsidR="000503C8" w:rsidRPr="0070296A" w14:paraId="5BBFA54E" w14:textId="77777777" w:rsidTr="00013648">
        <w:trPr>
          <w:trHeight w:val="263"/>
          <w:jc w:val="center"/>
        </w:trPr>
        <w:tc>
          <w:tcPr>
            <w:tcW w:w="3022" w:type="dxa"/>
            <w:tcBorders>
              <w:left w:val="nil"/>
              <w:bottom w:val="single" w:sz="12" w:space="0" w:color="auto"/>
              <w:right w:val="nil"/>
            </w:tcBorders>
            <w:vAlign w:val="center"/>
          </w:tcPr>
          <w:p w14:paraId="1B078788" w14:textId="77777777" w:rsidR="000503C8" w:rsidRPr="002A311E" w:rsidRDefault="000503C8" w:rsidP="00013648">
            <w:pPr>
              <w:spacing w:line="240" w:lineRule="auto"/>
              <w:ind w:firstLine="0"/>
              <w:jc w:val="left"/>
              <w:rPr>
                <w:sz w:val="20"/>
                <w:szCs w:val="20"/>
              </w:rPr>
            </w:pPr>
            <w:r w:rsidRPr="002A311E">
              <w:rPr>
                <w:sz w:val="20"/>
                <w:szCs w:val="20"/>
              </w:rPr>
              <w:t>% ՀՆԱ-ի նկատմամբ</w:t>
            </w:r>
          </w:p>
        </w:tc>
        <w:tc>
          <w:tcPr>
            <w:tcW w:w="1132" w:type="dxa"/>
            <w:tcBorders>
              <w:left w:val="nil"/>
              <w:bottom w:val="single" w:sz="12" w:space="0" w:color="auto"/>
              <w:right w:val="nil"/>
            </w:tcBorders>
            <w:vAlign w:val="center"/>
          </w:tcPr>
          <w:p w14:paraId="0AE736D0" w14:textId="77777777" w:rsidR="000503C8" w:rsidRPr="002A311E" w:rsidRDefault="000503C8" w:rsidP="00013648">
            <w:pPr>
              <w:spacing w:line="240" w:lineRule="auto"/>
              <w:ind w:firstLine="0"/>
              <w:jc w:val="center"/>
              <w:rPr>
                <w:sz w:val="20"/>
                <w:szCs w:val="20"/>
              </w:rPr>
            </w:pPr>
            <w:r w:rsidRPr="002A311E">
              <w:rPr>
                <w:sz w:val="20"/>
                <w:szCs w:val="20"/>
              </w:rPr>
              <w:t>17.6</w:t>
            </w:r>
          </w:p>
        </w:tc>
        <w:tc>
          <w:tcPr>
            <w:tcW w:w="1066" w:type="dxa"/>
            <w:tcBorders>
              <w:left w:val="nil"/>
              <w:bottom w:val="single" w:sz="12" w:space="0" w:color="auto"/>
              <w:right w:val="nil"/>
            </w:tcBorders>
            <w:vAlign w:val="center"/>
          </w:tcPr>
          <w:p w14:paraId="632E8B33" w14:textId="77777777" w:rsidR="000503C8" w:rsidRPr="002A311E" w:rsidRDefault="000503C8" w:rsidP="00013648">
            <w:pPr>
              <w:spacing w:line="240" w:lineRule="auto"/>
              <w:ind w:firstLine="0"/>
              <w:jc w:val="center"/>
              <w:rPr>
                <w:sz w:val="20"/>
                <w:szCs w:val="20"/>
              </w:rPr>
            </w:pPr>
            <w:r w:rsidRPr="002A311E">
              <w:rPr>
                <w:sz w:val="20"/>
                <w:szCs w:val="20"/>
              </w:rPr>
              <w:t>22.0</w:t>
            </w:r>
          </w:p>
        </w:tc>
        <w:tc>
          <w:tcPr>
            <w:tcW w:w="1238" w:type="dxa"/>
            <w:tcBorders>
              <w:left w:val="nil"/>
              <w:bottom w:val="single" w:sz="12" w:space="0" w:color="auto"/>
              <w:right w:val="double" w:sz="4" w:space="0" w:color="auto"/>
            </w:tcBorders>
            <w:vAlign w:val="center"/>
          </w:tcPr>
          <w:p w14:paraId="0B9F01DE" w14:textId="77777777" w:rsidR="000503C8" w:rsidRPr="002A311E" w:rsidRDefault="000503C8" w:rsidP="00013648">
            <w:pPr>
              <w:spacing w:line="240" w:lineRule="auto"/>
              <w:ind w:firstLine="0"/>
              <w:jc w:val="center"/>
              <w:rPr>
                <w:sz w:val="20"/>
                <w:szCs w:val="20"/>
              </w:rPr>
            </w:pPr>
            <w:r w:rsidRPr="002A311E">
              <w:rPr>
                <w:sz w:val="20"/>
                <w:szCs w:val="20"/>
              </w:rPr>
              <w:t>19.6</w:t>
            </w:r>
          </w:p>
        </w:tc>
        <w:tc>
          <w:tcPr>
            <w:tcW w:w="1087" w:type="dxa"/>
            <w:tcBorders>
              <w:left w:val="double" w:sz="4" w:space="0" w:color="auto"/>
              <w:bottom w:val="single" w:sz="12" w:space="0" w:color="auto"/>
              <w:right w:val="nil"/>
            </w:tcBorders>
            <w:vAlign w:val="center"/>
          </w:tcPr>
          <w:p w14:paraId="6E17490F" w14:textId="77777777" w:rsidR="000503C8" w:rsidRPr="002A311E" w:rsidRDefault="000503C8" w:rsidP="00013648">
            <w:pPr>
              <w:spacing w:line="240" w:lineRule="auto"/>
              <w:ind w:firstLine="0"/>
              <w:jc w:val="center"/>
              <w:rPr>
                <w:sz w:val="20"/>
                <w:szCs w:val="20"/>
              </w:rPr>
            </w:pPr>
            <w:r w:rsidRPr="002A311E">
              <w:rPr>
                <w:sz w:val="20"/>
                <w:szCs w:val="20"/>
              </w:rPr>
              <w:t>19.9</w:t>
            </w:r>
          </w:p>
        </w:tc>
        <w:tc>
          <w:tcPr>
            <w:tcW w:w="1095" w:type="dxa"/>
            <w:tcBorders>
              <w:left w:val="nil"/>
              <w:bottom w:val="single" w:sz="12" w:space="0" w:color="auto"/>
              <w:right w:val="nil"/>
            </w:tcBorders>
            <w:vAlign w:val="center"/>
          </w:tcPr>
          <w:p w14:paraId="0E5AB31F" w14:textId="77777777" w:rsidR="000503C8" w:rsidRPr="002A311E" w:rsidRDefault="000503C8" w:rsidP="00013648">
            <w:pPr>
              <w:spacing w:line="240" w:lineRule="auto"/>
              <w:ind w:firstLine="0"/>
              <w:jc w:val="center"/>
              <w:rPr>
                <w:sz w:val="20"/>
                <w:szCs w:val="20"/>
              </w:rPr>
            </w:pPr>
            <w:r w:rsidRPr="002A311E">
              <w:rPr>
                <w:sz w:val="20"/>
                <w:szCs w:val="20"/>
              </w:rPr>
              <w:t>21.0</w:t>
            </w:r>
          </w:p>
        </w:tc>
        <w:tc>
          <w:tcPr>
            <w:tcW w:w="1024" w:type="dxa"/>
            <w:tcBorders>
              <w:left w:val="nil"/>
              <w:bottom w:val="single" w:sz="12" w:space="0" w:color="auto"/>
              <w:right w:val="nil"/>
            </w:tcBorders>
            <w:vAlign w:val="center"/>
          </w:tcPr>
          <w:p w14:paraId="48966AAD" w14:textId="77777777" w:rsidR="000503C8" w:rsidRPr="002A311E" w:rsidRDefault="000503C8" w:rsidP="00013648">
            <w:pPr>
              <w:spacing w:line="240" w:lineRule="auto"/>
              <w:ind w:firstLine="0"/>
              <w:jc w:val="center"/>
              <w:rPr>
                <w:sz w:val="20"/>
                <w:szCs w:val="20"/>
              </w:rPr>
            </w:pPr>
            <w:r w:rsidRPr="002A311E">
              <w:rPr>
                <w:sz w:val="20"/>
                <w:szCs w:val="20"/>
              </w:rPr>
              <w:t>21.6</w:t>
            </w:r>
          </w:p>
        </w:tc>
        <w:tc>
          <w:tcPr>
            <w:tcW w:w="1028" w:type="dxa"/>
            <w:tcBorders>
              <w:left w:val="nil"/>
              <w:bottom w:val="single" w:sz="12" w:space="0" w:color="auto"/>
              <w:right w:val="nil"/>
            </w:tcBorders>
            <w:vAlign w:val="center"/>
          </w:tcPr>
          <w:p w14:paraId="4D875473" w14:textId="77777777" w:rsidR="000503C8" w:rsidRPr="002A311E" w:rsidRDefault="000503C8" w:rsidP="00013648">
            <w:pPr>
              <w:spacing w:line="240" w:lineRule="auto"/>
              <w:ind w:firstLine="0"/>
              <w:jc w:val="center"/>
              <w:rPr>
                <w:sz w:val="20"/>
                <w:szCs w:val="20"/>
              </w:rPr>
            </w:pPr>
            <w:r w:rsidRPr="002A311E">
              <w:rPr>
                <w:sz w:val="20"/>
                <w:szCs w:val="20"/>
              </w:rPr>
              <w:t>21.8</w:t>
            </w:r>
          </w:p>
        </w:tc>
      </w:tr>
      <w:tr w:rsidR="000503C8" w:rsidRPr="0070296A" w14:paraId="1CB56165" w14:textId="77777777" w:rsidTr="00013648">
        <w:trPr>
          <w:trHeight w:val="524"/>
          <w:jc w:val="center"/>
        </w:trPr>
        <w:tc>
          <w:tcPr>
            <w:tcW w:w="3022" w:type="dxa"/>
            <w:tcBorders>
              <w:top w:val="single" w:sz="12" w:space="0" w:color="auto"/>
              <w:left w:val="nil"/>
              <w:right w:val="nil"/>
            </w:tcBorders>
            <w:vAlign w:val="center"/>
          </w:tcPr>
          <w:p w14:paraId="62357FE5" w14:textId="77777777" w:rsidR="000503C8" w:rsidRPr="002A311E" w:rsidRDefault="000503C8" w:rsidP="00013648">
            <w:pPr>
              <w:spacing w:line="240" w:lineRule="auto"/>
              <w:ind w:firstLine="0"/>
              <w:jc w:val="left"/>
              <w:rPr>
                <w:sz w:val="20"/>
                <w:szCs w:val="20"/>
              </w:rPr>
            </w:pPr>
            <w:r w:rsidRPr="002A311E">
              <w:rPr>
                <w:sz w:val="20"/>
                <w:szCs w:val="20"/>
              </w:rPr>
              <w:t>Ըստ մարման մնացած օրերի</w:t>
            </w:r>
            <w:r w:rsidRPr="002A311E">
              <w:rPr>
                <w:bCs/>
                <w:sz w:val="20"/>
                <w:szCs w:val="20"/>
              </w:rPr>
              <w:t>, մլրդ դրամ</w:t>
            </w:r>
          </w:p>
        </w:tc>
        <w:tc>
          <w:tcPr>
            <w:tcW w:w="1132" w:type="dxa"/>
            <w:tcBorders>
              <w:top w:val="single" w:sz="12" w:space="0" w:color="auto"/>
              <w:left w:val="nil"/>
              <w:right w:val="nil"/>
            </w:tcBorders>
            <w:vAlign w:val="center"/>
          </w:tcPr>
          <w:p w14:paraId="397856DF" w14:textId="77777777" w:rsidR="000503C8" w:rsidRPr="002A311E" w:rsidRDefault="000503C8" w:rsidP="00013648">
            <w:pPr>
              <w:spacing w:line="240" w:lineRule="auto"/>
              <w:ind w:firstLine="0"/>
              <w:jc w:val="center"/>
              <w:rPr>
                <w:sz w:val="20"/>
                <w:szCs w:val="20"/>
              </w:rPr>
            </w:pPr>
          </w:p>
        </w:tc>
        <w:tc>
          <w:tcPr>
            <w:tcW w:w="1066" w:type="dxa"/>
            <w:tcBorders>
              <w:top w:val="single" w:sz="12" w:space="0" w:color="auto"/>
              <w:left w:val="nil"/>
              <w:right w:val="nil"/>
            </w:tcBorders>
            <w:vAlign w:val="center"/>
          </w:tcPr>
          <w:p w14:paraId="58A98B51" w14:textId="77777777" w:rsidR="000503C8" w:rsidRPr="002A311E" w:rsidRDefault="000503C8" w:rsidP="00013648">
            <w:pPr>
              <w:spacing w:line="240" w:lineRule="auto"/>
              <w:ind w:firstLine="0"/>
              <w:jc w:val="center"/>
              <w:rPr>
                <w:sz w:val="20"/>
                <w:szCs w:val="20"/>
              </w:rPr>
            </w:pPr>
          </w:p>
        </w:tc>
        <w:tc>
          <w:tcPr>
            <w:tcW w:w="1238" w:type="dxa"/>
            <w:tcBorders>
              <w:top w:val="single" w:sz="12" w:space="0" w:color="auto"/>
              <w:left w:val="nil"/>
              <w:right w:val="double" w:sz="4" w:space="0" w:color="auto"/>
            </w:tcBorders>
            <w:vAlign w:val="center"/>
          </w:tcPr>
          <w:p w14:paraId="7B528840" w14:textId="77777777" w:rsidR="000503C8" w:rsidRPr="002A311E" w:rsidRDefault="000503C8" w:rsidP="00013648">
            <w:pPr>
              <w:spacing w:line="240" w:lineRule="auto"/>
              <w:ind w:firstLine="0"/>
              <w:jc w:val="center"/>
              <w:rPr>
                <w:sz w:val="20"/>
                <w:szCs w:val="20"/>
              </w:rPr>
            </w:pPr>
          </w:p>
        </w:tc>
        <w:tc>
          <w:tcPr>
            <w:tcW w:w="1087" w:type="dxa"/>
            <w:tcBorders>
              <w:top w:val="single" w:sz="12" w:space="0" w:color="auto"/>
              <w:left w:val="double" w:sz="4" w:space="0" w:color="auto"/>
              <w:right w:val="nil"/>
            </w:tcBorders>
            <w:vAlign w:val="center"/>
          </w:tcPr>
          <w:p w14:paraId="2841F9AF" w14:textId="77777777" w:rsidR="000503C8" w:rsidRPr="002A311E" w:rsidRDefault="000503C8" w:rsidP="00013648">
            <w:pPr>
              <w:spacing w:line="240" w:lineRule="auto"/>
              <w:ind w:firstLine="0"/>
              <w:jc w:val="center"/>
              <w:rPr>
                <w:sz w:val="20"/>
                <w:szCs w:val="20"/>
              </w:rPr>
            </w:pPr>
          </w:p>
        </w:tc>
        <w:tc>
          <w:tcPr>
            <w:tcW w:w="1095" w:type="dxa"/>
            <w:tcBorders>
              <w:top w:val="single" w:sz="12" w:space="0" w:color="auto"/>
              <w:left w:val="nil"/>
              <w:right w:val="nil"/>
            </w:tcBorders>
            <w:vAlign w:val="center"/>
          </w:tcPr>
          <w:p w14:paraId="061480ED" w14:textId="77777777" w:rsidR="000503C8" w:rsidRPr="002A311E" w:rsidRDefault="000503C8" w:rsidP="00013648">
            <w:pPr>
              <w:spacing w:line="240" w:lineRule="auto"/>
              <w:ind w:firstLine="0"/>
              <w:jc w:val="center"/>
              <w:rPr>
                <w:sz w:val="20"/>
                <w:szCs w:val="20"/>
              </w:rPr>
            </w:pPr>
          </w:p>
        </w:tc>
        <w:tc>
          <w:tcPr>
            <w:tcW w:w="1024" w:type="dxa"/>
            <w:tcBorders>
              <w:top w:val="single" w:sz="12" w:space="0" w:color="auto"/>
              <w:left w:val="nil"/>
              <w:right w:val="nil"/>
            </w:tcBorders>
            <w:vAlign w:val="center"/>
          </w:tcPr>
          <w:p w14:paraId="5BA2A91C" w14:textId="77777777" w:rsidR="000503C8" w:rsidRPr="002A311E" w:rsidRDefault="000503C8" w:rsidP="00013648">
            <w:pPr>
              <w:spacing w:line="240" w:lineRule="auto"/>
              <w:ind w:firstLine="0"/>
              <w:jc w:val="center"/>
              <w:rPr>
                <w:sz w:val="20"/>
                <w:szCs w:val="20"/>
              </w:rPr>
            </w:pPr>
          </w:p>
        </w:tc>
        <w:tc>
          <w:tcPr>
            <w:tcW w:w="1028" w:type="dxa"/>
            <w:tcBorders>
              <w:top w:val="single" w:sz="12" w:space="0" w:color="auto"/>
              <w:left w:val="nil"/>
              <w:right w:val="nil"/>
            </w:tcBorders>
            <w:vAlign w:val="center"/>
          </w:tcPr>
          <w:p w14:paraId="0A3E8D0A" w14:textId="77777777" w:rsidR="000503C8" w:rsidRPr="002A311E" w:rsidRDefault="000503C8" w:rsidP="00013648">
            <w:pPr>
              <w:spacing w:line="240" w:lineRule="auto"/>
              <w:ind w:firstLine="0"/>
              <w:jc w:val="center"/>
              <w:rPr>
                <w:sz w:val="20"/>
                <w:szCs w:val="20"/>
              </w:rPr>
            </w:pPr>
          </w:p>
        </w:tc>
      </w:tr>
      <w:tr w:rsidR="000503C8" w:rsidRPr="0070296A" w14:paraId="17E14995" w14:textId="77777777" w:rsidTr="00013648">
        <w:trPr>
          <w:trHeight w:val="263"/>
          <w:jc w:val="center"/>
        </w:trPr>
        <w:tc>
          <w:tcPr>
            <w:tcW w:w="3022" w:type="dxa"/>
            <w:tcBorders>
              <w:left w:val="nil"/>
              <w:right w:val="nil"/>
            </w:tcBorders>
            <w:vAlign w:val="center"/>
          </w:tcPr>
          <w:p w14:paraId="75663256" w14:textId="77777777" w:rsidR="000503C8" w:rsidRPr="002A311E" w:rsidRDefault="000503C8" w:rsidP="00013648">
            <w:pPr>
              <w:spacing w:line="240" w:lineRule="auto"/>
              <w:ind w:left="157" w:firstLine="0"/>
              <w:jc w:val="left"/>
              <w:rPr>
                <w:bCs/>
                <w:sz w:val="20"/>
                <w:szCs w:val="20"/>
              </w:rPr>
            </w:pPr>
            <w:r w:rsidRPr="002A311E">
              <w:rPr>
                <w:sz w:val="20"/>
                <w:szCs w:val="20"/>
              </w:rPr>
              <w:t>Մինչև 1 տարի</w:t>
            </w:r>
          </w:p>
        </w:tc>
        <w:tc>
          <w:tcPr>
            <w:tcW w:w="1132" w:type="dxa"/>
            <w:tcBorders>
              <w:left w:val="nil"/>
              <w:right w:val="nil"/>
            </w:tcBorders>
            <w:vAlign w:val="center"/>
          </w:tcPr>
          <w:p w14:paraId="6CA5F47E" w14:textId="77777777" w:rsidR="000503C8" w:rsidRPr="002A311E" w:rsidRDefault="000503C8" w:rsidP="00013648">
            <w:pPr>
              <w:spacing w:line="240" w:lineRule="auto"/>
              <w:ind w:firstLine="0"/>
              <w:jc w:val="center"/>
              <w:rPr>
                <w:sz w:val="20"/>
                <w:szCs w:val="20"/>
              </w:rPr>
            </w:pPr>
            <w:r w:rsidRPr="002A311E">
              <w:rPr>
                <w:sz w:val="20"/>
                <w:szCs w:val="20"/>
              </w:rPr>
              <w:t>192.8</w:t>
            </w:r>
          </w:p>
        </w:tc>
        <w:tc>
          <w:tcPr>
            <w:tcW w:w="1066" w:type="dxa"/>
            <w:tcBorders>
              <w:left w:val="nil"/>
              <w:right w:val="nil"/>
            </w:tcBorders>
            <w:vAlign w:val="center"/>
          </w:tcPr>
          <w:p w14:paraId="35A16B4D" w14:textId="77777777" w:rsidR="000503C8" w:rsidRPr="002A311E" w:rsidRDefault="000503C8" w:rsidP="00013648">
            <w:pPr>
              <w:spacing w:line="240" w:lineRule="auto"/>
              <w:ind w:firstLine="0"/>
              <w:jc w:val="center"/>
              <w:rPr>
                <w:sz w:val="20"/>
                <w:szCs w:val="20"/>
              </w:rPr>
            </w:pPr>
            <w:r w:rsidRPr="002A311E">
              <w:rPr>
                <w:sz w:val="20"/>
                <w:szCs w:val="20"/>
              </w:rPr>
              <w:t>246.6</w:t>
            </w:r>
          </w:p>
        </w:tc>
        <w:tc>
          <w:tcPr>
            <w:tcW w:w="1238" w:type="dxa"/>
            <w:tcBorders>
              <w:left w:val="nil"/>
              <w:right w:val="double" w:sz="4" w:space="0" w:color="auto"/>
            </w:tcBorders>
            <w:vAlign w:val="center"/>
          </w:tcPr>
          <w:p w14:paraId="0C9E479C" w14:textId="77777777" w:rsidR="000503C8" w:rsidRPr="002A311E" w:rsidRDefault="000503C8" w:rsidP="00013648">
            <w:pPr>
              <w:spacing w:line="240" w:lineRule="auto"/>
              <w:ind w:firstLine="0"/>
              <w:jc w:val="center"/>
              <w:rPr>
                <w:sz w:val="20"/>
                <w:szCs w:val="20"/>
              </w:rPr>
            </w:pPr>
            <w:r w:rsidRPr="002A311E">
              <w:rPr>
                <w:sz w:val="20"/>
                <w:szCs w:val="20"/>
              </w:rPr>
              <w:t>350.1</w:t>
            </w:r>
          </w:p>
        </w:tc>
        <w:tc>
          <w:tcPr>
            <w:tcW w:w="1087" w:type="dxa"/>
            <w:tcBorders>
              <w:left w:val="double" w:sz="4" w:space="0" w:color="auto"/>
              <w:right w:val="nil"/>
            </w:tcBorders>
            <w:vAlign w:val="center"/>
          </w:tcPr>
          <w:p w14:paraId="2F2DEEF5" w14:textId="77777777" w:rsidR="000503C8" w:rsidRPr="002A311E" w:rsidRDefault="000503C8" w:rsidP="00013648">
            <w:pPr>
              <w:spacing w:line="240" w:lineRule="auto"/>
              <w:ind w:firstLine="0"/>
              <w:jc w:val="center"/>
              <w:rPr>
                <w:sz w:val="20"/>
                <w:szCs w:val="20"/>
              </w:rPr>
            </w:pPr>
            <w:r w:rsidRPr="002A311E">
              <w:rPr>
                <w:sz w:val="20"/>
                <w:szCs w:val="20"/>
              </w:rPr>
              <w:t>350.1</w:t>
            </w:r>
          </w:p>
        </w:tc>
        <w:tc>
          <w:tcPr>
            <w:tcW w:w="1095" w:type="dxa"/>
            <w:tcBorders>
              <w:left w:val="nil"/>
              <w:right w:val="nil"/>
            </w:tcBorders>
            <w:vAlign w:val="center"/>
          </w:tcPr>
          <w:p w14:paraId="10350B31" w14:textId="77777777" w:rsidR="000503C8" w:rsidRPr="002A311E" w:rsidRDefault="000503C8" w:rsidP="00013648">
            <w:pPr>
              <w:spacing w:line="240" w:lineRule="auto"/>
              <w:ind w:firstLine="0"/>
              <w:jc w:val="center"/>
              <w:rPr>
                <w:sz w:val="20"/>
                <w:szCs w:val="20"/>
              </w:rPr>
            </w:pPr>
            <w:r w:rsidRPr="002A311E">
              <w:rPr>
                <w:sz w:val="20"/>
                <w:szCs w:val="20"/>
              </w:rPr>
              <w:t>365.1</w:t>
            </w:r>
          </w:p>
        </w:tc>
        <w:tc>
          <w:tcPr>
            <w:tcW w:w="1024" w:type="dxa"/>
            <w:tcBorders>
              <w:left w:val="nil"/>
              <w:right w:val="nil"/>
            </w:tcBorders>
            <w:vAlign w:val="center"/>
          </w:tcPr>
          <w:p w14:paraId="5DFB16A3" w14:textId="77777777" w:rsidR="000503C8" w:rsidRPr="002A311E" w:rsidRDefault="000503C8" w:rsidP="00013648">
            <w:pPr>
              <w:spacing w:line="240" w:lineRule="auto"/>
              <w:ind w:firstLine="0"/>
              <w:jc w:val="center"/>
              <w:rPr>
                <w:sz w:val="20"/>
                <w:szCs w:val="20"/>
              </w:rPr>
            </w:pPr>
            <w:r w:rsidRPr="002A311E">
              <w:rPr>
                <w:sz w:val="20"/>
                <w:szCs w:val="20"/>
              </w:rPr>
              <w:t>405.5</w:t>
            </w:r>
          </w:p>
        </w:tc>
        <w:tc>
          <w:tcPr>
            <w:tcW w:w="1028" w:type="dxa"/>
            <w:tcBorders>
              <w:left w:val="nil"/>
              <w:right w:val="nil"/>
            </w:tcBorders>
            <w:vAlign w:val="center"/>
          </w:tcPr>
          <w:p w14:paraId="04A06221" w14:textId="77777777" w:rsidR="000503C8" w:rsidRPr="002A311E" w:rsidRDefault="000503C8" w:rsidP="00013648">
            <w:pPr>
              <w:spacing w:line="240" w:lineRule="auto"/>
              <w:ind w:firstLine="0"/>
              <w:jc w:val="center"/>
              <w:rPr>
                <w:sz w:val="20"/>
                <w:szCs w:val="20"/>
              </w:rPr>
            </w:pPr>
            <w:r w:rsidRPr="002A311E">
              <w:rPr>
                <w:sz w:val="20"/>
                <w:szCs w:val="20"/>
              </w:rPr>
              <w:t>426.2</w:t>
            </w:r>
          </w:p>
        </w:tc>
      </w:tr>
      <w:tr w:rsidR="000503C8" w:rsidRPr="0070296A" w14:paraId="500ECDF6" w14:textId="77777777" w:rsidTr="00013648">
        <w:trPr>
          <w:trHeight w:val="256"/>
          <w:jc w:val="center"/>
        </w:trPr>
        <w:tc>
          <w:tcPr>
            <w:tcW w:w="3022" w:type="dxa"/>
            <w:tcBorders>
              <w:left w:val="nil"/>
              <w:bottom w:val="single" w:sz="4" w:space="0" w:color="auto"/>
              <w:right w:val="nil"/>
            </w:tcBorders>
            <w:vAlign w:val="center"/>
          </w:tcPr>
          <w:p w14:paraId="38D09872" w14:textId="77777777" w:rsidR="000503C8" w:rsidRPr="002A311E" w:rsidRDefault="000503C8" w:rsidP="00013648">
            <w:pPr>
              <w:spacing w:line="240" w:lineRule="auto"/>
              <w:ind w:left="157" w:firstLine="0"/>
              <w:jc w:val="left"/>
              <w:rPr>
                <w:bCs/>
                <w:sz w:val="20"/>
                <w:szCs w:val="20"/>
              </w:rPr>
            </w:pPr>
            <w:r w:rsidRPr="002A311E">
              <w:rPr>
                <w:sz w:val="20"/>
                <w:szCs w:val="20"/>
              </w:rPr>
              <w:t>1-5 տարի</w:t>
            </w:r>
          </w:p>
        </w:tc>
        <w:tc>
          <w:tcPr>
            <w:tcW w:w="1132" w:type="dxa"/>
            <w:tcBorders>
              <w:left w:val="nil"/>
              <w:bottom w:val="single" w:sz="4" w:space="0" w:color="auto"/>
              <w:right w:val="nil"/>
            </w:tcBorders>
            <w:vAlign w:val="center"/>
          </w:tcPr>
          <w:p w14:paraId="3575138C" w14:textId="77777777" w:rsidR="000503C8" w:rsidRPr="002A311E" w:rsidRDefault="000503C8" w:rsidP="00013648">
            <w:pPr>
              <w:spacing w:line="240" w:lineRule="auto"/>
              <w:ind w:firstLine="0"/>
              <w:jc w:val="center"/>
              <w:rPr>
                <w:sz w:val="20"/>
                <w:szCs w:val="20"/>
              </w:rPr>
            </w:pPr>
            <w:r w:rsidRPr="002A311E">
              <w:rPr>
                <w:sz w:val="20"/>
                <w:szCs w:val="20"/>
              </w:rPr>
              <w:t>517.5</w:t>
            </w:r>
          </w:p>
        </w:tc>
        <w:tc>
          <w:tcPr>
            <w:tcW w:w="1066" w:type="dxa"/>
            <w:tcBorders>
              <w:left w:val="nil"/>
              <w:bottom w:val="single" w:sz="4" w:space="0" w:color="auto"/>
              <w:right w:val="nil"/>
            </w:tcBorders>
            <w:vAlign w:val="center"/>
          </w:tcPr>
          <w:p w14:paraId="677BBC4C" w14:textId="77777777" w:rsidR="000503C8" w:rsidRPr="002A311E" w:rsidRDefault="000503C8" w:rsidP="00013648">
            <w:pPr>
              <w:spacing w:line="240" w:lineRule="auto"/>
              <w:ind w:firstLine="0"/>
              <w:jc w:val="center"/>
              <w:rPr>
                <w:sz w:val="20"/>
                <w:szCs w:val="20"/>
              </w:rPr>
            </w:pPr>
            <w:r w:rsidRPr="002A311E">
              <w:rPr>
                <w:sz w:val="20"/>
                <w:szCs w:val="20"/>
              </w:rPr>
              <w:t>708.4</w:t>
            </w:r>
          </w:p>
        </w:tc>
        <w:tc>
          <w:tcPr>
            <w:tcW w:w="1238" w:type="dxa"/>
            <w:tcBorders>
              <w:left w:val="nil"/>
              <w:bottom w:val="single" w:sz="4" w:space="0" w:color="auto"/>
              <w:right w:val="double" w:sz="4" w:space="0" w:color="auto"/>
            </w:tcBorders>
            <w:vAlign w:val="center"/>
          </w:tcPr>
          <w:p w14:paraId="10F392AB" w14:textId="77777777" w:rsidR="000503C8" w:rsidRPr="002A311E" w:rsidRDefault="000503C8" w:rsidP="00013648">
            <w:pPr>
              <w:spacing w:line="240" w:lineRule="auto"/>
              <w:ind w:firstLine="0"/>
              <w:jc w:val="center"/>
              <w:rPr>
                <w:sz w:val="20"/>
                <w:szCs w:val="20"/>
              </w:rPr>
            </w:pPr>
            <w:r w:rsidRPr="002A311E">
              <w:rPr>
                <w:sz w:val="20"/>
                <w:szCs w:val="20"/>
              </w:rPr>
              <w:t>924.5</w:t>
            </w:r>
          </w:p>
        </w:tc>
        <w:tc>
          <w:tcPr>
            <w:tcW w:w="1087" w:type="dxa"/>
            <w:tcBorders>
              <w:left w:val="double" w:sz="4" w:space="0" w:color="auto"/>
              <w:bottom w:val="single" w:sz="4" w:space="0" w:color="auto"/>
              <w:right w:val="nil"/>
            </w:tcBorders>
            <w:vAlign w:val="center"/>
          </w:tcPr>
          <w:p w14:paraId="6B4E628A" w14:textId="77777777" w:rsidR="000503C8" w:rsidRPr="002A311E" w:rsidRDefault="000503C8" w:rsidP="00013648">
            <w:pPr>
              <w:spacing w:line="240" w:lineRule="auto"/>
              <w:ind w:firstLine="0"/>
              <w:jc w:val="center"/>
              <w:rPr>
                <w:sz w:val="20"/>
                <w:szCs w:val="20"/>
              </w:rPr>
            </w:pPr>
            <w:r w:rsidRPr="002A311E">
              <w:rPr>
                <w:sz w:val="20"/>
                <w:szCs w:val="20"/>
              </w:rPr>
              <w:t>924.5</w:t>
            </w:r>
          </w:p>
        </w:tc>
        <w:tc>
          <w:tcPr>
            <w:tcW w:w="1095" w:type="dxa"/>
            <w:tcBorders>
              <w:left w:val="nil"/>
              <w:bottom w:val="single" w:sz="4" w:space="0" w:color="auto"/>
              <w:right w:val="nil"/>
            </w:tcBorders>
            <w:vAlign w:val="center"/>
          </w:tcPr>
          <w:p w14:paraId="39273FB8" w14:textId="77777777" w:rsidR="000503C8" w:rsidRPr="002A311E" w:rsidRDefault="000503C8" w:rsidP="00013648">
            <w:pPr>
              <w:spacing w:line="240" w:lineRule="auto"/>
              <w:ind w:firstLine="0"/>
              <w:jc w:val="center"/>
              <w:rPr>
                <w:sz w:val="20"/>
                <w:szCs w:val="20"/>
              </w:rPr>
            </w:pPr>
            <w:r w:rsidRPr="002A311E">
              <w:rPr>
                <w:sz w:val="20"/>
                <w:szCs w:val="20"/>
              </w:rPr>
              <w:t>979.3</w:t>
            </w:r>
          </w:p>
        </w:tc>
        <w:tc>
          <w:tcPr>
            <w:tcW w:w="1024" w:type="dxa"/>
            <w:tcBorders>
              <w:left w:val="nil"/>
              <w:bottom w:val="single" w:sz="4" w:space="0" w:color="auto"/>
              <w:right w:val="nil"/>
            </w:tcBorders>
            <w:vAlign w:val="center"/>
          </w:tcPr>
          <w:p w14:paraId="31C44BCA" w14:textId="77777777" w:rsidR="000503C8" w:rsidRPr="002A311E" w:rsidRDefault="000503C8" w:rsidP="00013648">
            <w:pPr>
              <w:spacing w:line="240" w:lineRule="auto"/>
              <w:ind w:firstLine="0"/>
              <w:jc w:val="center"/>
              <w:rPr>
                <w:sz w:val="20"/>
                <w:szCs w:val="20"/>
              </w:rPr>
            </w:pPr>
            <w:r w:rsidRPr="002A311E">
              <w:rPr>
                <w:sz w:val="20"/>
                <w:szCs w:val="20"/>
              </w:rPr>
              <w:t>1,185.6</w:t>
            </w:r>
          </w:p>
        </w:tc>
        <w:tc>
          <w:tcPr>
            <w:tcW w:w="1028" w:type="dxa"/>
            <w:tcBorders>
              <w:left w:val="nil"/>
              <w:bottom w:val="single" w:sz="4" w:space="0" w:color="auto"/>
              <w:right w:val="nil"/>
            </w:tcBorders>
            <w:vAlign w:val="center"/>
          </w:tcPr>
          <w:p w14:paraId="529C44F8" w14:textId="77777777" w:rsidR="000503C8" w:rsidRPr="002A311E" w:rsidRDefault="000503C8" w:rsidP="00013648">
            <w:pPr>
              <w:spacing w:line="240" w:lineRule="auto"/>
              <w:ind w:firstLine="0"/>
              <w:jc w:val="center"/>
              <w:rPr>
                <w:sz w:val="20"/>
                <w:szCs w:val="20"/>
              </w:rPr>
            </w:pPr>
            <w:r w:rsidRPr="002A311E">
              <w:rPr>
                <w:sz w:val="20"/>
                <w:szCs w:val="20"/>
              </w:rPr>
              <w:t>1,167.4</w:t>
            </w:r>
          </w:p>
        </w:tc>
      </w:tr>
      <w:tr w:rsidR="000503C8" w:rsidRPr="0070296A" w14:paraId="4916B784" w14:textId="77777777" w:rsidTr="00013648">
        <w:trPr>
          <w:trHeight w:val="263"/>
          <w:jc w:val="center"/>
        </w:trPr>
        <w:tc>
          <w:tcPr>
            <w:tcW w:w="3022" w:type="dxa"/>
            <w:tcBorders>
              <w:left w:val="nil"/>
              <w:bottom w:val="single" w:sz="12" w:space="0" w:color="auto"/>
              <w:right w:val="nil"/>
            </w:tcBorders>
            <w:vAlign w:val="center"/>
          </w:tcPr>
          <w:p w14:paraId="63003779" w14:textId="77777777" w:rsidR="000503C8" w:rsidRPr="002A311E" w:rsidRDefault="000503C8" w:rsidP="00013648">
            <w:pPr>
              <w:spacing w:line="240" w:lineRule="auto"/>
              <w:ind w:left="157" w:firstLine="0"/>
              <w:jc w:val="left"/>
              <w:rPr>
                <w:bCs/>
                <w:sz w:val="20"/>
                <w:szCs w:val="20"/>
              </w:rPr>
            </w:pPr>
            <w:r w:rsidRPr="002A311E">
              <w:rPr>
                <w:sz w:val="20"/>
                <w:szCs w:val="20"/>
              </w:rPr>
              <w:t>5-ից ավելի տարի</w:t>
            </w:r>
          </w:p>
        </w:tc>
        <w:tc>
          <w:tcPr>
            <w:tcW w:w="1132" w:type="dxa"/>
            <w:tcBorders>
              <w:left w:val="nil"/>
              <w:bottom w:val="single" w:sz="12" w:space="0" w:color="auto"/>
              <w:right w:val="nil"/>
            </w:tcBorders>
            <w:vAlign w:val="center"/>
          </w:tcPr>
          <w:p w14:paraId="1A5D0662" w14:textId="77777777" w:rsidR="000503C8" w:rsidRPr="002A311E" w:rsidRDefault="000503C8" w:rsidP="00013648">
            <w:pPr>
              <w:spacing w:line="240" w:lineRule="auto"/>
              <w:ind w:firstLine="0"/>
              <w:jc w:val="center"/>
              <w:rPr>
                <w:sz w:val="20"/>
                <w:szCs w:val="20"/>
              </w:rPr>
            </w:pPr>
            <w:r w:rsidRPr="002A311E">
              <w:rPr>
                <w:sz w:val="20"/>
                <w:szCs w:val="20"/>
              </w:rPr>
              <w:t>785.9</w:t>
            </w:r>
          </w:p>
        </w:tc>
        <w:tc>
          <w:tcPr>
            <w:tcW w:w="1066" w:type="dxa"/>
            <w:tcBorders>
              <w:left w:val="nil"/>
              <w:bottom w:val="single" w:sz="12" w:space="0" w:color="auto"/>
              <w:right w:val="nil"/>
            </w:tcBorders>
            <w:vAlign w:val="center"/>
          </w:tcPr>
          <w:p w14:paraId="7DCAA6E1" w14:textId="77777777" w:rsidR="000503C8" w:rsidRPr="002A311E" w:rsidRDefault="000503C8" w:rsidP="00013648">
            <w:pPr>
              <w:spacing w:line="240" w:lineRule="auto"/>
              <w:ind w:firstLine="0"/>
              <w:jc w:val="center"/>
              <w:rPr>
                <w:sz w:val="20"/>
                <w:szCs w:val="20"/>
              </w:rPr>
            </w:pPr>
            <w:r w:rsidRPr="002A311E">
              <w:rPr>
                <w:sz w:val="20"/>
                <w:szCs w:val="20"/>
              </w:rPr>
              <w:t>1,137.8</w:t>
            </w:r>
          </w:p>
        </w:tc>
        <w:tc>
          <w:tcPr>
            <w:tcW w:w="1238" w:type="dxa"/>
            <w:tcBorders>
              <w:left w:val="nil"/>
              <w:bottom w:val="single" w:sz="12" w:space="0" w:color="auto"/>
              <w:right w:val="double" w:sz="4" w:space="0" w:color="auto"/>
            </w:tcBorders>
            <w:vAlign w:val="center"/>
          </w:tcPr>
          <w:p w14:paraId="6270F84D" w14:textId="77777777" w:rsidR="000503C8" w:rsidRPr="002A311E" w:rsidRDefault="000503C8" w:rsidP="00013648">
            <w:pPr>
              <w:spacing w:line="240" w:lineRule="auto"/>
              <w:ind w:firstLine="0"/>
              <w:jc w:val="center"/>
              <w:rPr>
                <w:sz w:val="20"/>
                <w:szCs w:val="20"/>
              </w:rPr>
            </w:pPr>
            <w:r w:rsidRPr="002A311E">
              <w:rPr>
                <w:sz w:val="20"/>
                <w:szCs w:val="20"/>
              </w:rPr>
              <w:t>1,176.1</w:t>
            </w:r>
          </w:p>
        </w:tc>
        <w:tc>
          <w:tcPr>
            <w:tcW w:w="1087" w:type="dxa"/>
            <w:tcBorders>
              <w:left w:val="double" w:sz="4" w:space="0" w:color="auto"/>
              <w:bottom w:val="single" w:sz="12" w:space="0" w:color="auto"/>
              <w:right w:val="nil"/>
            </w:tcBorders>
            <w:vAlign w:val="center"/>
          </w:tcPr>
          <w:p w14:paraId="22F297D6" w14:textId="77777777" w:rsidR="000503C8" w:rsidRPr="002A311E" w:rsidRDefault="000503C8" w:rsidP="00013648">
            <w:pPr>
              <w:spacing w:line="240" w:lineRule="auto"/>
              <w:ind w:firstLine="0"/>
              <w:jc w:val="center"/>
              <w:rPr>
                <w:sz w:val="20"/>
                <w:szCs w:val="20"/>
              </w:rPr>
            </w:pPr>
            <w:r w:rsidRPr="002A311E">
              <w:rPr>
                <w:sz w:val="20"/>
                <w:szCs w:val="20"/>
              </w:rPr>
              <w:t>1,176.1</w:t>
            </w:r>
          </w:p>
        </w:tc>
        <w:tc>
          <w:tcPr>
            <w:tcW w:w="1095" w:type="dxa"/>
            <w:tcBorders>
              <w:left w:val="nil"/>
              <w:bottom w:val="single" w:sz="12" w:space="0" w:color="auto"/>
              <w:right w:val="nil"/>
            </w:tcBorders>
            <w:vAlign w:val="center"/>
          </w:tcPr>
          <w:p w14:paraId="4FB7BBDE" w14:textId="77777777" w:rsidR="000503C8" w:rsidRPr="002A311E" w:rsidRDefault="000503C8" w:rsidP="00013648">
            <w:pPr>
              <w:spacing w:line="240" w:lineRule="auto"/>
              <w:ind w:firstLine="0"/>
              <w:jc w:val="center"/>
              <w:rPr>
                <w:sz w:val="20"/>
                <w:szCs w:val="20"/>
              </w:rPr>
            </w:pPr>
            <w:r w:rsidRPr="002A311E">
              <w:rPr>
                <w:sz w:val="20"/>
                <w:szCs w:val="20"/>
              </w:rPr>
              <w:t>1,400.3</w:t>
            </w:r>
          </w:p>
        </w:tc>
        <w:tc>
          <w:tcPr>
            <w:tcW w:w="1024" w:type="dxa"/>
            <w:tcBorders>
              <w:left w:val="nil"/>
              <w:bottom w:val="single" w:sz="12" w:space="0" w:color="auto"/>
              <w:right w:val="nil"/>
            </w:tcBorders>
            <w:vAlign w:val="center"/>
          </w:tcPr>
          <w:p w14:paraId="56AF064B" w14:textId="77777777" w:rsidR="000503C8" w:rsidRPr="002A311E" w:rsidRDefault="000503C8" w:rsidP="00013648">
            <w:pPr>
              <w:spacing w:line="240" w:lineRule="auto"/>
              <w:ind w:firstLine="0"/>
              <w:jc w:val="center"/>
              <w:rPr>
                <w:sz w:val="20"/>
                <w:szCs w:val="20"/>
              </w:rPr>
            </w:pPr>
            <w:r w:rsidRPr="002A311E">
              <w:rPr>
                <w:sz w:val="20"/>
                <w:szCs w:val="20"/>
              </w:rPr>
              <w:t>1,430.6</w:t>
            </w:r>
          </w:p>
        </w:tc>
        <w:tc>
          <w:tcPr>
            <w:tcW w:w="1028" w:type="dxa"/>
            <w:tcBorders>
              <w:left w:val="nil"/>
              <w:bottom w:val="single" w:sz="12" w:space="0" w:color="auto"/>
              <w:right w:val="nil"/>
            </w:tcBorders>
            <w:vAlign w:val="center"/>
          </w:tcPr>
          <w:p w14:paraId="13915280" w14:textId="77777777" w:rsidR="000503C8" w:rsidRPr="002A311E" w:rsidRDefault="000503C8" w:rsidP="00013648">
            <w:pPr>
              <w:spacing w:line="240" w:lineRule="auto"/>
              <w:ind w:firstLine="0"/>
              <w:jc w:val="center"/>
              <w:rPr>
                <w:sz w:val="20"/>
                <w:szCs w:val="20"/>
              </w:rPr>
            </w:pPr>
            <w:r w:rsidRPr="002A311E">
              <w:rPr>
                <w:sz w:val="20"/>
                <w:szCs w:val="20"/>
              </w:rPr>
              <w:t>1,620.1</w:t>
            </w:r>
          </w:p>
        </w:tc>
      </w:tr>
      <w:tr w:rsidR="000503C8" w:rsidRPr="0070296A" w14:paraId="07311C25" w14:textId="77777777" w:rsidTr="00013648">
        <w:trPr>
          <w:trHeight w:val="263"/>
          <w:jc w:val="center"/>
        </w:trPr>
        <w:tc>
          <w:tcPr>
            <w:tcW w:w="3022" w:type="dxa"/>
            <w:tcBorders>
              <w:top w:val="single" w:sz="12" w:space="0" w:color="auto"/>
              <w:left w:val="nil"/>
              <w:right w:val="nil"/>
            </w:tcBorders>
            <w:vAlign w:val="center"/>
          </w:tcPr>
          <w:p w14:paraId="078B1394" w14:textId="77777777" w:rsidR="000503C8" w:rsidRPr="002A311E" w:rsidRDefault="000503C8" w:rsidP="00013648">
            <w:pPr>
              <w:spacing w:line="240" w:lineRule="auto"/>
              <w:ind w:firstLine="0"/>
              <w:jc w:val="left"/>
              <w:rPr>
                <w:bCs/>
                <w:sz w:val="20"/>
                <w:szCs w:val="20"/>
              </w:rPr>
            </w:pPr>
            <w:r w:rsidRPr="002A311E">
              <w:rPr>
                <w:sz w:val="20"/>
                <w:szCs w:val="20"/>
              </w:rPr>
              <w:t>Ըստ մարման մնացած օրերի</w:t>
            </w:r>
            <w:r w:rsidRPr="002A311E">
              <w:rPr>
                <w:bCs/>
                <w:sz w:val="20"/>
                <w:szCs w:val="20"/>
              </w:rPr>
              <w:t xml:space="preserve"> կշիռը (%)</w:t>
            </w:r>
          </w:p>
        </w:tc>
        <w:tc>
          <w:tcPr>
            <w:tcW w:w="1132" w:type="dxa"/>
            <w:tcBorders>
              <w:top w:val="single" w:sz="12" w:space="0" w:color="auto"/>
              <w:left w:val="nil"/>
              <w:right w:val="nil"/>
            </w:tcBorders>
            <w:vAlign w:val="center"/>
          </w:tcPr>
          <w:p w14:paraId="7D7AD952" w14:textId="77777777" w:rsidR="000503C8" w:rsidRPr="002A311E" w:rsidRDefault="000503C8" w:rsidP="00013648">
            <w:pPr>
              <w:spacing w:line="240" w:lineRule="auto"/>
              <w:ind w:firstLine="0"/>
              <w:jc w:val="center"/>
              <w:rPr>
                <w:sz w:val="20"/>
                <w:szCs w:val="20"/>
              </w:rPr>
            </w:pPr>
          </w:p>
        </w:tc>
        <w:tc>
          <w:tcPr>
            <w:tcW w:w="1066" w:type="dxa"/>
            <w:tcBorders>
              <w:top w:val="single" w:sz="12" w:space="0" w:color="auto"/>
              <w:left w:val="nil"/>
              <w:right w:val="nil"/>
            </w:tcBorders>
            <w:vAlign w:val="center"/>
          </w:tcPr>
          <w:p w14:paraId="6CF026B5" w14:textId="77777777" w:rsidR="000503C8" w:rsidRPr="002A311E" w:rsidRDefault="000503C8" w:rsidP="00013648">
            <w:pPr>
              <w:spacing w:line="240" w:lineRule="auto"/>
              <w:ind w:firstLine="0"/>
              <w:jc w:val="center"/>
              <w:rPr>
                <w:sz w:val="20"/>
                <w:szCs w:val="20"/>
              </w:rPr>
            </w:pPr>
          </w:p>
        </w:tc>
        <w:tc>
          <w:tcPr>
            <w:tcW w:w="1238" w:type="dxa"/>
            <w:tcBorders>
              <w:top w:val="single" w:sz="12" w:space="0" w:color="auto"/>
              <w:left w:val="nil"/>
              <w:right w:val="double" w:sz="4" w:space="0" w:color="auto"/>
            </w:tcBorders>
            <w:vAlign w:val="center"/>
          </w:tcPr>
          <w:p w14:paraId="5409DAC6" w14:textId="77777777" w:rsidR="000503C8" w:rsidRPr="002A311E" w:rsidRDefault="000503C8" w:rsidP="00013648">
            <w:pPr>
              <w:spacing w:line="240" w:lineRule="auto"/>
              <w:ind w:firstLine="0"/>
              <w:jc w:val="center"/>
              <w:rPr>
                <w:sz w:val="20"/>
                <w:szCs w:val="20"/>
              </w:rPr>
            </w:pPr>
          </w:p>
        </w:tc>
        <w:tc>
          <w:tcPr>
            <w:tcW w:w="1087" w:type="dxa"/>
            <w:tcBorders>
              <w:top w:val="single" w:sz="12" w:space="0" w:color="auto"/>
              <w:left w:val="double" w:sz="4" w:space="0" w:color="auto"/>
              <w:right w:val="nil"/>
            </w:tcBorders>
            <w:vAlign w:val="center"/>
          </w:tcPr>
          <w:p w14:paraId="191AC2DC" w14:textId="77777777" w:rsidR="000503C8" w:rsidRPr="002A311E" w:rsidRDefault="000503C8" w:rsidP="00013648">
            <w:pPr>
              <w:spacing w:line="240" w:lineRule="auto"/>
              <w:ind w:firstLine="0"/>
              <w:jc w:val="center"/>
              <w:rPr>
                <w:sz w:val="20"/>
                <w:szCs w:val="20"/>
              </w:rPr>
            </w:pPr>
          </w:p>
        </w:tc>
        <w:tc>
          <w:tcPr>
            <w:tcW w:w="1095" w:type="dxa"/>
            <w:tcBorders>
              <w:top w:val="single" w:sz="12" w:space="0" w:color="auto"/>
              <w:left w:val="nil"/>
              <w:right w:val="nil"/>
            </w:tcBorders>
            <w:vAlign w:val="center"/>
          </w:tcPr>
          <w:p w14:paraId="32B23F19" w14:textId="77777777" w:rsidR="000503C8" w:rsidRPr="002A311E" w:rsidRDefault="000503C8" w:rsidP="00013648">
            <w:pPr>
              <w:spacing w:line="240" w:lineRule="auto"/>
              <w:ind w:firstLine="0"/>
              <w:jc w:val="center"/>
              <w:rPr>
                <w:sz w:val="20"/>
                <w:szCs w:val="20"/>
              </w:rPr>
            </w:pPr>
          </w:p>
        </w:tc>
        <w:tc>
          <w:tcPr>
            <w:tcW w:w="1024" w:type="dxa"/>
            <w:tcBorders>
              <w:top w:val="single" w:sz="12" w:space="0" w:color="auto"/>
              <w:left w:val="nil"/>
              <w:right w:val="nil"/>
            </w:tcBorders>
            <w:vAlign w:val="center"/>
          </w:tcPr>
          <w:p w14:paraId="7B2B7F5D" w14:textId="77777777" w:rsidR="000503C8" w:rsidRPr="002A311E" w:rsidRDefault="000503C8" w:rsidP="00013648">
            <w:pPr>
              <w:spacing w:line="240" w:lineRule="auto"/>
              <w:ind w:firstLine="0"/>
              <w:jc w:val="center"/>
              <w:rPr>
                <w:sz w:val="20"/>
                <w:szCs w:val="20"/>
              </w:rPr>
            </w:pPr>
          </w:p>
        </w:tc>
        <w:tc>
          <w:tcPr>
            <w:tcW w:w="1028" w:type="dxa"/>
            <w:tcBorders>
              <w:top w:val="single" w:sz="12" w:space="0" w:color="auto"/>
              <w:left w:val="nil"/>
              <w:right w:val="nil"/>
            </w:tcBorders>
            <w:vAlign w:val="center"/>
          </w:tcPr>
          <w:p w14:paraId="4EC21875" w14:textId="77777777" w:rsidR="000503C8" w:rsidRPr="002A311E" w:rsidRDefault="000503C8" w:rsidP="00013648">
            <w:pPr>
              <w:spacing w:line="240" w:lineRule="auto"/>
              <w:ind w:firstLine="0"/>
              <w:jc w:val="center"/>
              <w:rPr>
                <w:sz w:val="20"/>
                <w:szCs w:val="20"/>
              </w:rPr>
            </w:pPr>
          </w:p>
        </w:tc>
      </w:tr>
      <w:tr w:rsidR="000503C8" w:rsidRPr="0070296A" w14:paraId="52C8F39B" w14:textId="77777777" w:rsidTr="00013648">
        <w:trPr>
          <w:trHeight w:val="263"/>
          <w:jc w:val="center"/>
        </w:trPr>
        <w:tc>
          <w:tcPr>
            <w:tcW w:w="3022" w:type="dxa"/>
            <w:tcBorders>
              <w:left w:val="nil"/>
              <w:right w:val="nil"/>
            </w:tcBorders>
            <w:vAlign w:val="center"/>
          </w:tcPr>
          <w:p w14:paraId="0211708A" w14:textId="77777777" w:rsidR="000503C8" w:rsidRPr="002A311E" w:rsidRDefault="000503C8" w:rsidP="00013648">
            <w:pPr>
              <w:spacing w:line="240" w:lineRule="auto"/>
              <w:ind w:left="157" w:firstLine="0"/>
              <w:jc w:val="left"/>
              <w:rPr>
                <w:bCs/>
                <w:sz w:val="20"/>
                <w:szCs w:val="20"/>
              </w:rPr>
            </w:pPr>
            <w:r w:rsidRPr="002A311E">
              <w:rPr>
                <w:sz w:val="20"/>
                <w:szCs w:val="20"/>
              </w:rPr>
              <w:t>Մինչև 1 տարի</w:t>
            </w:r>
          </w:p>
        </w:tc>
        <w:tc>
          <w:tcPr>
            <w:tcW w:w="1132" w:type="dxa"/>
            <w:tcBorders>
              <w:left w:val="nil"/>
              <w:right w:val="nil"/>
            </w:tcBorders>
            <w:vAlign w:val="center"/>
          </w:tcPr>
          <w:p w14:paraId="72172157" w14:textId="77777777" w:rsidR="000503C8" w:rsidRPr="002A311E" w:rsidRDefault="000503C8" w:rsidP="00013648">
            <w:pPr>
              <w:spacing w:line="240" w:lineRule="auto"/>
              <w:ind w:firstLine="0"/>
              <w:jc w:val="center"/>
              <w:rPr>
                <w:sz w:val="20"/>
                <w:szCs w:val="20"/>
              </w:rPr>
            </w:pPr>
            <w:r w:rsidRPr="002A311E">
              <w:rPr>
                <w:sz w:val="20"/>
                <w:szCs w:val="20"/>
              </w:rPr>
              <w:t>12.9</w:t>
            </w:r>
          </w:p>
        </w:tc>
        <w:tc>
          <w:tcPr>
            <w:tcW w:w="1066" w:type="dxa"/>
            <w:tcBorders>
              <w:left w:val="nil"/>
              <w:right w:val="nil"/>
            </w:tcBorders>
            <w:vAlign w:val="center"/>
          </w:tcPr>
          <w:p w14:paraId="7C67042F" w14:textId="77777777" w:rsidR="000503C8" w:rsidRPr="002A311E" w:rsidRDefault="000503C8" w:rsidP="00013648">
            <w:pPr>
              <w:spacing w:line="240" w:lineRule="auto"/>
              <w:ind w:firstLine="0"/>
              <w:jc w:val="center"/>
              <w:rPr>
                <w:sz w:val="20"/>
                <w:szCs w:val="20"/>
              </w:rPr>
            </w:pPr>
            <w:r w:rsidRPr="002A311E">
              <w:rPr>
                <w:sz w:val="20"/>
                <w:szCs w:val="20"/>
              </w:rPr>
              <w:t>11.8</w:t>
            </w:r>
          </w:p>
        </w:tc>
        <w:tc>
          <w:tcPr>
            <w:tcW w:w="1238" w:type="dxa"/>
            <w:tcBorders>
              <w:left w:val="nil"/>
              <w:right w:val="double" w:sz="4" w:space="0" w:color="auto"/>
            </w:tcBorders>
            <w:vAlign w:val="center"/>
          </w:tcPr>
          <w:p w14:paraId="1718807A" w14:textId="77777777" w:rsidR="000503C8" w:rsidRPr="002A311E" w:rsidRDefault="000503C8" w:rsidP="00013648">
            <w:pPr>
              <w:spacing w:line="240" w:lineRule="auto"/>
              <w:ind w:firstLine="0"/>
              <w:jc w:val="center"/>
              <w:rPr>
                <w:sz w:val="20"/>
                <w:szCs w:val="20"/>
              </w:rPr>
            </w:pPr>
            <w:r w:rsidRPr="002A311E">
              <w:rPr>
                <w:sz w:val="20"/>
                <w:szCs w:val="20"/>
              </w:rPr>
              <w:t>14.3</w:t>
            </w:r>
          </w:p>
        </w:tc>
        <w:tc>
          <w:tcPr>
            <w:tcW w:w="1087" w:type="dxa"/>
            <w:tcBorders>
              <w:left w:val="double" w:sz="4" w:space="0" w:color="auto"/>
              <w:right w:val="nil"/>
            </w:tcBorders>
            <w:vAlign w:val="center"/>
          </w:tcPr>
          <w:p w14:paraId="22059679" w14:textId="77777777" w:rsidR="000503C8" w:rsidRPr="002A311E" w:rsidRDefault="000503C8" w:rsidP="00013648">
            <w:pPr>
              <w:spacing w:line="240" w:lineRule="auto"/>
              <w:ind w:firstLine="0"/>
              <w:jc w:val="center"/>
              <w:rPr>
                <w:sz w:val="20"/>
                <w:szCs w:val="20"/>
              </w:rPr>
            </w:pPr>
            <w:r w:rsidRPr="002A311E">
              <w:rPr>
                <w:sz w:val="20"/>
                <w:szCs w:val="20"/>
              </w:rPr>
              <w:t>13.3</w:t>
            </w:r>
          </w:p>
        </w:tc>
        <w:tc>
          <w:tcPr>
            <w:tcW w:w="1095" w:type="dxa"/>
            <w:tcBorders>
              <w:left w:val="nil"/>
              <w:right w:val="nil"/>
            </w:tcBorders>
            <w:vAlign w:val="center"/>
          </w:tcPr>
          <w:p w14:paraId="4B6A64BE" w14:textId="77777777" w:rsidR="000503C8" w:rsidRPr="002A311E" w:rsidRDefault="000503C8" w:rsidP="00013648">
            <w:pPr>
              <w:spacing w:line="240" w:lineRule="auto"/>
              <w:ind w:firstLine="0"/>
              <w:jc w:val="center"/>
              <w:rPr>
                <w:sz w:val="20"/>
                <w:szCs w:val="20"/>
              </w:rPr>
            </w:pPr>
            <w:r w:rsidRPr="002A311E">
              <w:rPr>
                <w:sz w:val="20"/>
                <w:szCs w:val="20"/>
              </w:rPr>
              <w:t>13.4</w:t>
            </w:r>
          </w:p>
        </w:tc>
        <w:tc>
          <w:tcPr>
            <w:tcW w:w="1024" w:type="dxa"/>
            <w:tcBorders>
              <w:left w:val="nil"/>
              <w:right w:val="nil"/>
            </w:tcBorders>
            <w:vAlign w:val="center"/>
          </w:tcPr>
          <w:p w14:paraId="4BA79D1F" w14:textId="77777777" w:rsidR="000503C8" w:rsidRPr="002A311E" w:rsidRDefault="000503C8" w:rsidP="00013648">
            <w:pPr>
              <w:spacing w:line="240" w:lineRule="auto"/>
              <w:ind w:firstLine="0"/>
              <w:jc w:val="center"/>
              <w:rPr>
                <w:sz w:val="20"/>
                <w:szCs w:val="20"/>
              </w:rPr>
            </w:pPr>
            <w:r w:rsidRPr="002A311E">
              <w:rPr>
                <w:sz w:val="20"/>
                <w:szCs w:val="20"/>
              </w:rPr>
              <w:t>13.3</w:t>
            </w:r>
          </w:p>
        </w:tc>
        <w:tc>
          <w:tcPr>
            <w:tcW w:w="1028" w:type="dxa"/>
            <w:tcBorders>
              <w:left w:val="nil"/>
              <w:right w:val="nil"/>
            </w:tcBorders>
            <w:vAlign w:val="center"/>
          </w:tcPr>
          <w:p w14:paraId="78438EC4" w14:textId="77777777" w:rsidR="000503C8" w:rsidRPr="002A311E" w:rsidRDefault="000503C8" w:rsidP="00013648">
            <w:pPr>
              <w:spacing w:line="240" w:lineRule="auto"/>
              <w:ind w:firstLine="0"/>
              <w:jc w:val="center"/>
              <w:rPr>
                <w:sz w:val="20"/>
                <w:szCs w:val="20"/>
              </w:rPr>
            </w:pPr>
            <w:r w:rsidRPr="002A311E">
              <w:rPr>
                <w:sz w:val="20"/>
                <w:szCs w:val="20"/>
              </w:rPr>
              <w:t>13.3</w:t>
            </w:r>
          </w:p>
        </w:tc>
      </w:tr>
      <w:tr w:rsidR="000503C8" w:rsidRPr="0070296A" w14:paraId="3BCFDF1F" w14:textId="77777777" w:rsidTr="00013648">
        <w:trPr>
          <w:trHeight w:val="263"/>
          <w:jc w:val="center"/>
        </w:trPr>
        <w:tc>
          <w:tcPr>
            <w:tcW w:w="3022" w:type="dxa"/>
            <w:tcBorders>
              <w:left w:val="nil"/>
              <w:bottom w:val="single" w:sz="4" w:space="0" w:color="auto"/>
              <w:right w:val="nil"/>
            </w:tcBorders>
            <w:vAlign w:val="center"/>
          </w:tcPr>
          <w:p w14:paraId="02366BA3" w14:textId="77777777" w:rsidR="000503C8" w:rsidRPr="002A311E" w:rsidRDefault="000503C8" w:rsidP="00013648">
            <w:pPr>
              <w:spacing w:line="240" w:lineRule="auto"/>
              <w:ind w:left="157" w:firstLine="0"/>
              <w:jc w:val="left"/>
              <w:rPr>
                <w:bCs/>
                <w:sz w:val="20"/>
                <w:szCs w:val="20"/>
              </w:rPr>
            </w:pPr>
            <w:r w:rsidRPr="002A311E">
              <w:rPr>
                <w:sz w:val="20"/>
                <w:szCs w:val="20"/>
              </w:rPr>
              <w:t>1-5 տարի</w:t>
            </w:r>
          </w:p>
        </w:tc>
        <w:tc>
          <w:tcPr>
            <w:tcW w:w="1132" w:type="dxa"/>
            <w:tcBorders>
              <w:left w:val="nil"/>
              <w:bottom w:val="single" w:sz="4" w:space="0" w:color="auto"/>
              <w:right w:val="nil"/>
            </w:tcBorders>
            <w:vAlign w:val="center"/>
          </w:tcPr>
          <w:p w14:paraId="7CCBF605" w14:textId="77777777" w:rsidR="000503C8" w:rsidRPr="002A311E" w:rsidRDefault="000503C8" w:rsidP="00013648">
            <w:pPr>
              <w:spacing w:line="240" w:lineRule="auto"/>
              <w:ind w:firstLine="0"/>
              <w:jc w:val="center"/>
              <w:rPr>
                <w:sz w:val="20"/>
                <w:szCs w:val="20"/>
              </w:rPr>
            </w:pPr>
            <w:r w:rsidRPr="002A311E">
              <w:rPr>
                <w:sz w:val="20"/>
                <w:szCs w:val="20"/>
              </w:rPr>
              <w:t>34.6</w:t>
            </w:r>
          </w:p>
        </w:tc>
        <w:tc>
          <w:tcPr>
            <w:tcW w:w="1066" w:type="dxa"/>
            <w:tcBorders>
              <w:left w:val="nil"/>
              <w:bottom w:val="single" w:sz="4" w:space="0" w:color="auto"/>
              <w:right w:val="nil"/>
            </w:tcBorders>
            <w:vAlign w:val="center"/>
          </w:tcPr>
          <w:p w14:paraId="37AA2BA9" w14:textId="77777777" w:rsidR="000503C8" w:rsidRPr="002A311E" w:rsidRDefault="000503C8" w:rsidP="00013648">
            <w:pPr>
              <w:spacing w:line="240" w:lineRule="auto"/>
              <w:ind w:firstLine="0"/>
              <w:jc w:val="center"/>
              <w:rPr>
                <w:sz w:val="20"/>
                <w:szCs w:val="20"/>
              </w:rPr>
            </w:pPr>
            <w:r w:rsidRPr="002A311E">
              <w:rPr>
                <w:sz w:val="20"/>
                <w:szCs w:val="20"/>
              </w:rPr>
              <w:t>33.8</w:t>
            </w:r>
          </w:p>
        </w:tc>
        <w:tc>
          <w:tcPr>
            <w:tcW w:w="1238" w:type="dxa"/>
            <w:tcBorders>
              <w:left w:val="nil"/>
              <w:bottom w:val="single" w:sz="4" w:space="0" w:color="auto"/>
              <w:right w:val="double" w:sz="4" w:space="0" w:color="auto"/>
            </w:tcBorders>
            <w:vAlign w:val="center"/>
          </w:tcPr>
          <w:p w14:paraId="1659B6F5" w14:textId="77777777" w:rsidR="000503C8" w:rsidRPr="002A311E" w:rsidRDefault="000503C8" w:rsidP="00013648">
            <w:pPr>
              <w:spacing w:line="240" w:lineRule="auto"/>
              <w:ind w:firstLine="0"/>
              <w:jc w:val="center"/>
              <w:rPr>
                <w:sz w:val="20"/>
                <w:szCs w:val="20"/>
              </w:rPr>
            </w:pPr>
            <w:r w:rsidRPr="002A311E">
              <w:rPr>
                <w:sz w:val="20"/>
                <w:szCs w:val="20"/>
              </w:rPr>
              <w:t>37.7</w:t>
            </w:r>
          </w:p>
        </w:tc>
        <w:tc>
          <w:tcPr>
            <w:tcW w:w="1087" w:type="dxa"/>
            <w:tcBorders>
              <w:left w:val="double" w:sz="4" w:space="0" w:color="auto"/>
              <w:bottom w:val="single" w:sz="4" w:space="0" w:color="auto"/>
              <w:right w:val="nil"/>
            </w:tcBorders>
            <w:vAlign w:val="center"/>
          </w:tcPr>
          <w:p w14:paraId="0ACC9033" w14:textId="77777777" w:rsidR="000503C8" w:rsidRPr="002A311E" w:rsidRDefault="000503C8" w:rsidP="00013648">
            <w:pPr>
              <w:spacing w:line="240" w:lineRule="auto"/>
              <w:ind w:firstLine="0"/>
              <w:jc w:val="center"/>
              <w:rPr>
                <w:sz w:val="20"/>
                <w:szCs w:val="20"/>
              </w:rPr>
            </w:pPr>
            <w:r w:rsidRPr="002A311E">
              <w:rPr>
                <w:sz w:val="20"/>
                <w:szCs w:val="20"/>
              </w:rPr>
              <w:t>35.7</w:t>
            </w:r>
          </w:p>
        </w:tc>
        <w:tc>
          <w:tcPr>
            <w:tcW w:w="1095" w:type="dxa"/>
            <w:tcBorders>
              <w:left w:val="nil"/>
              <w:bottom w:val="single" w:sz="4" w:space="0" w:color="auto"/>
              <w:right w:val="nil"/>
            </w:tcBorders>
            <w:vAlign w:val="center"/>
          </w:tcPr>
          <w:p w14:paraId="64C4BB08" w14:textId="77777777" w:rsidR="000503C8" w:rsidRPr="002A311E" w:rsidRDefault="000503C8" w:rsidP="00013648">
            <w:pPr>
              <w:spacing w:line="240" w:lineRule="auto"/>
              <w:ind w:firstLine="0"/>
              <w:jc w:val="center"/>
              <w:rPr>
                <w:sz w:val="20"/>
                <w:szCs w:val="20"/>
              </w:rPr>
            </w:pPr>
            <w:r w:rsidRPr="002A311E">
              <w:rPr>
                <w:sz w:val="20"/>
                <w:szCs w:val="20"/>
              </w:rPr>
              <w:t>39.2</w:t>
            </w:r>
          </w:p>
        </w:tc>
        <w:tc>
          <w:tcPr>
            <w:tcW w:w="1024" w:type="dxa"/>
            <w:tcBorders>
              <w:left w:val="nil"/>
              <w:bottom w:val="single" w:sz="4" w:space="0" w:color="auto"/>
              <w:right w:val="nil"/>
            </w:tcBorders>
            <w:vAlign w:val="center"/>
          </w:tcPr>
          <w:p w14:paraId="6A481F2F" w14:textId="77777777" w:rsidR="000503C8" w:rsidRPr="002A311E" w:rsidRDefault="000503C8" w:rsidP="00013648">
            <w:pPr>
              <w:spacing w:line="240" w:lineRule="auto"/>
              <w:ind w:firstLine="0"/>
              <w:jc w:val="center"/>
              <w:rPr>
                <w:sz w:val="20"/>
                <w:szCs w:val="20"/>
              </w:rPr>
            </w:pPr>
            <w:r w:rsidRPr="002A311E">
              <w:rPr>
                <w:sz w:val="20"/>
                <w:szCs w:val="20"/>
              </w:rPr>
              <w:t>36.3</w:t>
            </w:r>
          </w:p>
        </w:tc>
        <w:tc>
          <w:tcPr>
            <w:tcW w:w="1028" w:type="dxa"/>
            <w:tcBorders>
              <w:left w:val="nil"/>
              <w:bottom w:val="single" w:sz="4" w:space="0" w:color="auto"/>
              <w:right w:val="nil"/>
            </w:tcBorders>
            <w:vAlign w:val="center"/>
          </w:tcPr>
          <w:p w14:paraId="6BE142E3" w14:textId="77777777" w:rsidR="000503C8" w:rsidRPr="002A311E" w:rsidRDefault="000503C8" w:rsidP="00013648">
            <w:pPr>
              <w:spacing w:line="240" w:lineRule="auto"/>
              <w:ind w:firstLine="0"/>
              <w:jc w:val="center"/>
              <w:rPr>
                <w:sz w:val="20"/>
                <w:szCs w:val="20"/>
              </w:rPr>
            </w:pPr>
            <w:r w:rsidRPr="002A311E">
              <w:rPr>
                <w:sz w:val="20"/>
                <w:szCs w:val="20"/>
              </w:rPr>
              <w:t>36.3</w:t>
            </w:r>
          </w:p>
        </w:tc>
      </w:tr>
      <w:tr w:rsidR="000503C8" w:rsidRPr="0070296A" w14:paraId="105177B7" w14:textId="77777777" w:rsidTr="00013648">
        <w:trPr>
          <w:trHeight w:val="256"/>
          <w:jc w:val="center"/>
        </w:trPr>
        <w:tc>
          <w:tcPr>
            <w:tcW w:w="3022" w:type="dxa"/>
            <w:tcBorders>
              <w:left w:val="nil"/>
              <w:bottom w:val="single" w:sz="12" w:space="0" w:color="auto"/>
              <w:right w:val="nil"/>
            </w:tcBorders>
            <w:vAlign w:val="center"/>
          </w:tcPr>
          <w:p w14:paraId="30AF8E64" w14:textId="77777777" w:rsidR="000503C8" w:rsidRPr="002A311E" w:rsidRDefault="000503C8" w:rsidP="00013648">
            <w:pPr>
              <w:spacing w:line="240" w:lineRule="auto"/>
              <w:ind w:left="157" w:firstLine="0"/>
              <w:jc w:val="left"/>
              <w:rPr>
                <w:bCs/>
                <w:sz w:val="20"/>
                <w:szCs w:val="20"/>
              </w:rPr>
            </w:pPr>
            <w:r w:rsidRPr="002A311E">
              <w:rPr>
                <w:sz w:val="20"/>
                <w:szCs w:val="20"/>
              </w:rPr>
              <w:t>5-ից ավելի տարի</w:t>
            </w:r>
          </w:p>
        </w:tc>
        <w:tc>
          <w:tcPr>
            <w:tcW w:w="1132" w:type="dxa"/>
            <w:tcBorders>
              <w:left w:val="nil"/>
              <w:bottom w:val="single" w:sz="12" w:space="0" w:color="auto"/>
              <w:right w:val="nil"/>
            </w:tcBorders>
            <w:vAlign w:val="center"/>
          </w:tcPr>
          <w:p w14:paraId="59F65BE8" w14:textId="77777777" w:rsidR="000503C8" w:rsidRPr="002A311E" w:rsidRDefault="000503C8" w:rsidP="00013648">
            <w:pPr>
              <w:spacing w:line="240" w:lineRule="auto"/>
              <w:ind w:firstLine="0"/>
              <w:jc w:val="center"/>
              <w:rPr>
                <w:sz w:val="20"/>
                <w:szCs w:val="20"/>
              </w:rPr>
            </w:pPr>
            <w:r w:rsidRPr="002A311E">
              <w:rPr>
                <w:sz w:val="20"/>
                <w:szCs w:val="20"/>
              </w:rPr>
              <w:t>52.5</w:t>
            </w:r>
          </w:p>
        </w:tc>
        <w:tc>
          <w:tcPr>
            <w:tcW w:w="1066" w:type="dxa"/>
            <w:tcBorders>
              <w:left w:val="nil"/>
              <w:bottom w:val="single" w:sz="12" w:space="0" w:color="auto"/>
              <w:right w:val="nil"/>
            </w:tcBorders>
            <w:vAlign w:val="center"/>
          </w:tcPr>
          <w:p w14:paraId="5B30BB5B" w14:textId="77777777" w:rsidR="000503C8" w:rsidRPr="002A311E" w:rsidRDefault="000503C8" w:rsidP="00013648">
            <w:pPr>
              <w:spacing w:line="240" w:lineRule="auto"/>
              <w:ind w:firstLine="0"/>
              <w:jc w:val="center"/>
              <w:rPr>
                <w:sz w:val="20"/>
                <w:szCs w:val="20"/>
              </w:rPr>
            </w:pPr>
            <w:r w:rsidRPr="002A311E">
              <w:rPr>
                <w:sz w:val="20"/>
                <w:szCs w:val="20"/>
              </w:rPr>
              <w:t>54.4</w:t>
            </w:r>
          </w:p>
        </w:tc>
        <w:tc>
          <w:tcPr>
            <w:tcW w:w="1238" w:type="dxa"/>
            <w:tcBorders>
              <w:left w:val="nil"/>
              <w:bottom w:val="single" w:sz="12" w:space="0" w:color="auto"/>
              <w:right w:val="double" w:sz="4" w:space="0" w:color="auto"/>
            </w:tcBorders>
            <w:vAlign w:val="center"/>
          </w:tcPr>
          <w:p w14:paraId="7790775C" w14:textId="77777777" w:rsidR="000503C8" w:rsidRPr="002A311E" w:rsidRDefault="000503C8" w:rsidP="00013648">
            <w:pPr>
              <w:spacing w:line="240" w:lineRule="auto"/>
              <w:ind w:firstLine="0"/>
              <w:jc w:val="center"/>
              <w:rPr>
                <w:sz w:val="20"/>
                <w:szCs w:val="20"/>
              </w:rPr>
            </w:pPr>
            <w:r w:rsidRPr="002A311E">
              <w:rPr>
                <w:sz w:val="20"/>
                <w:szCs w:val="20"/>
              </w:rPr>
              <w:t>48.0</w:t>
            </w:r>
          </w:p>
        </w:tc>
        <w:tc>
          <w:tcPr>
            <w:tcW w:w="1087" w:type="dxa"/>
            <w:tcBorders>
              <w:left w:val="double" w:sz="4" w:space="0" w:color="auto"/>
              <w:bottom w:val="single" w:sz="12" w:space="0" w:color="auto"/>
              <w:right w:val="nil"/>
            </w:tcBorders>
            <w:vAlign w:val="center"/>
          </w:tcPr>
          <w:p w14:paraId="7C3FF470" w14:textId="77777777" w:rsidR="000503C8" w:rsidRPr="002A311E" w:rsidRDefault="000503C8" w:rsidP="00013648">
            <w:pPr>
              <w:spacing w:line="240" w:lineRule="auto"/>
              <w:ind w:firstLine="0"/>
              <w:jc w:val="center"/>
              <w:rPr>
                <w:sz w:val="20"/>
                <w:szCs w:val="20"/>
              </w:rPr>
            </w:pPr>
            <w:r w:rsidRPr="002A311E">
              <w:rPr>
                <w:sz w:val="20"/>
                <w:szCs w:val="20"/>
              </w:rPr>
              <w:t>51.0</w:t>
            </w:r>
          </w:p>
        </w:tc>
        <w:tc>
          <w:tcPr>
            <w:tcW w:w="1095" w:type="dxa"/>
            <w:tcBorders>
              <w:left w:val="nil"/>
              <w:bottom w:val="single" w:sz="12" w:space="0" w:color="auto"/>
              <w:right w:val="nil"/>
            </w:tcBorders>
            <w:vAlign w:val="center"/>
          </w:tcPr>
          <w:p w14:paraId="3C915BCF" w14:textId="77777777" w:rsidR="000503C8" w:rsidRPr="002A311E" w:rsidRDefault="000503C8" w:rsidP="00013648">
            <w:pPr>
              <w:spacing w:line="240" w:lineRule="auto"/>
              <w:ind w:firstLine="0"/>
              <w:jc w:val="center"/>
              <w:rPr>
                <w:sz w:val="20"/>
                <w:szCs w:val="20"/>
              </w:rPr>
            </w:pPr>
            <w:r w:rsidRPr="002A311E">
              <w:rPr>
                <w:sz w:val="20"/>
                <w:szCs w:val="20"/>
              </w:rPr>
              <w:t>47.3</w:t>
            </w:r>
          </w:p>
        </w:tc>
        <w:tc>
          <w:tcPr>
            <w:tcW w:w="1024" w:type="dxa"/>
            <w:tcBorders>
              <w:left w:val="nil"/>
              <w:bottom w:val="single" w:sz="12" w:space="0" w:color="auto"/>
              <w:right w:val="nil"/>
            </w:tcBorders>
            <w:vAlign w:val="center"/>
          </w:tcPr>
          <w:p w14:paraId="2F7BD610" w14:textId="77777777" w:rsidR="000503C8" w:rsidRPr="002A311E" w:rsidRDefault="000503C8" w:rsidP="00013648">
            <w:pPr>
              <w:spacing w:line="240" w:lineRule="auto"/>
              <w:ind w:firstLine="0"/>
              <w:jc w:val="center"/>
              <w:rPr>
                <w:sz w:val="20"/>
                <w:szCs w:val="20"/>
              </w:rPr>
            </w:pPr>
            <w:r w:rsidRPr="002A311E">
              <w:rPr>
                <w:sz w:val="20"/>
                <w:szCs w:val="20"/>
              </w:rPr>
              <w:t>50.4</w:t>
            </w:r>
          </w:p>
        </w:tc>
        <w:tc>
          <w:tcPr>
            <w:tcW w:w="1028" w:type="dxa"/>
            <w:tcBorders>
              <w:left w:val="nil"/>
              <w:bottom w:val="single" w:sz="12" w:space="0" w:color="auto"/>
              <w:right w:val="nil"/>
            </w:tcBorders>
            <w:vAlign w:val="center"/>
          </w:tcPr>
          <w:p w14:paraId="3CCFF0B0" w14:textId="77777777" w:rsidR="000503C8" w:rsidRPr="002A311E" w:rsidRDefault="000503C8" w:rsidP="00013648">
            <w:pPr>
              <w:spacing w:line="240" w:lineRule="auto"/>
              <w:ind w:firstLine="0"/>
              <w:jc w:val="center"/>
              <w:rPr>
                <w:sz w:val="20"/>
                <w:szCs w:val="20"/>
              </w:rPr>
            </w:pPr>
            <w:r w:rsidRPr="002A311E">
              <w:rPr>
                <w:sz w:val="20"/>
                <w:szCs w:val="20"/>
              </w:rPr>
              <w:t>50.4</w:t>
            </w:r>
          </w:p>
        </w:tc>
      </w:tr>
      <w:tr w:rsidR="000503C8" w:rsidRPr="0070296A" w14:paraId="3A2CB345" w14:textId="77777777" w:rsidTr="00013648">
        <w:trPr>
          <w:trHeight w:val="263"/>
          <w:jc w:val="center"/>
        </w:trPr>
        <w:tc>
          <w:tcPr>
            <w:tcW w:w="3022" w:type="dxa"/>
            <w:tcBorders>
              <w:top w:val="single" w:sz="12" w:space="0" w:color="auto"/>
              <w:left w:val="nil"/>
              <w:bottom w:val="single" w:sz="4" w:space="0" w:color="auto"/>
              <w:right w:val="nil"/>
            </w:tcBorders>
            <w:vAlign w:val="center"/>
          </w:tcPr>
          <w:p w14:paraId="206A70EA" w14:textId="77777777" w:rsidR="000503C8" w:rsidRPr="002A311E" w:rsidRDefault="000503C8" w:rsidP="00013648">
            <w:pPr>
              <w:spacing w:line="240" w:lineRule="auto"/>
              <w:ind w:firstLine="0"/>
              <w:jc w:val="left"/>
              <w:rPr>
                <w:sz w:val="20"/>
                <w:szCs w:val="20"/>
              </w:rPr>
            </w:pPr>
            <w:r w:rsidRPr="002A311E">
              <w:rPr>
                <w:sz w:val="20"/>
                <w:szCs w:val="20"/>
              </w:rPr>
              <w:t>Միջին տոկոսադրույք (%)</w:t>
            </w:r>
          </w:p>
        </w:tc>
        <w:tc>
          <w:tcPr>
            <w:tcW w:w="1132" w:type="dxa"/>
            <w:tcBorders>
              <w:top w:val="single" w:sz="12" w:space="0" w:color="auto"/>
              <w:left w:val="nil"/>
              <w:bottom w:val="single" w:sz="4" w:space="0" w:color="auto"/>
              <w:right w:val="nil"/>
            </w:tcBorders>
            <w:vAlign w:val="center"/>
          </w:tcPr>
          <w:p w14:paraId="2E7A74C9" w14:textId="77777777" w:rsidR="000503C8" w:rsidRPr="002A311E" w:rsidRDefault="000503C8" w:rsidP="00013648">
            <w:pPr>
              <w:spacing w:line="240" w:lineRule="auto"/>
              <w:ind w:firstLine="0"/>
              <w:jc w:val="center"/>
              <w:rPr>
                <w:sz w:val="20"/>
                <w:szCs w:val="20"/>
              </w:rPr>
            </w:pPr>
            <w:r w:rsidRPr="002A311E">
              <w:rPr>
                <w:sz w:val="20"/>
                <w:szCs w:val="20"/>
              </w:rPr>
              <w:t>10.5</w:t>
            </w:r>
          </w:p>
        </w:tc>
        <w:tc>
          <w:tcPr>
            <w:tcW w:w="1066" w:type="dxa"/>
            <w:tcBorders>
              <w:top w:val="single" w:sz="12" w:space="0" w:color="auto"/>
              <w:left w:val="nil"/>
              <w:bottom w:val="single" w:sz="4" w:space="0" w:color="auto"/>
              <w:right w:val="nil"/>
            </w:tcBorders>
            <w:vAlign w:val="center"/>
          </w:tcPr>
          <w:p w14:paraId="2ADF0A34" w14:textId="77777777" w:rsidR="000503C8" w:rsidRPr="002A311E" w:rsidRDefault="000503C8" w:rsidP="00013648">
            <w:pPr>
              <w:spacing w:line="240" w:lineRule="auto"/>
              <w:ind w:firstLine="0"/>
              <w:jc w:val="center"/>
              <w:rPr>
                <w:sz w:val="20"/>
                <w:szCs w:val="20"/>
              </w:rPr>
            </w:pPr>
            <w:r w:rsidRPr="002A311E">
              <w:rPr>
                <w:sz w:val="20"/>
                <w:szCs w:val="20"/>
              </w:rPr>
              <w:t>10.7</w:t>
            </w:r>
          </w:p>
        </w:tc>
        <w:tc>
          <w:tcPr>
            <w:tcW w:w="1238" w:type="dxa"/>
            <w:tcBorders>
              <w:top w:val="single" w:sz="12" w:space="0" w:color="auto"/>
              <w:left w:val="nil"/>
              <w:bottom w:val="single" w:sz="4" w:space="0" w:color="auto"/>
              <w:right w:val="double" w:sz="4" w:space="0" w:color="auto"/>
            </w:tcBorders>
            <w:vAlign w:val="center"/>
          </w:tcPr>
          <w:p w14:paraId="499735CC" w14:textId="77777777" w:rsidR="000503C8" w:rsidRPr="002A311E" w:rsidRDefault="000503C8" w:rsidP="00013648">
            <w:pPr>
              <w:spacing w:line="240" w:lineRule="auto"/>
              <w:ind w:firstLine="0"/>
              <w:jc w:val="center"/>
              <w:rPr>
                <w:sz w:val="20"/>
                <w:szCs w:val="20"/>
              </w:rPr>
            </w:pPr>
            <w:r w:rsidRPr="002A311E">
              <w:rPr>
                <w:sz w:val="20"/>
                <w:szCs w:val="20"/>
              </w:rPr>
              <w:t>10.7</w:t>
            </w:r>
          </w:p>
        </w:tc>
        <w:tc>
          <w:tcPr>
            <w:tcW w:w="1087" w:type="dxa"/>
            <w:tcBorders>
              <w:top w:val="single" w:sz="12" w:space="0" w:color="auto"/>
              <w:left w:val="double" w:sz="4" w:space="0" w:color="auto"/>
              <w:bottom w:val="single" w:sz="4" w:space="0" w:color="auto"/>
              <w:right w:val="nil"/>
            </w:tcBorders>
            <w:vAlign w:val="center"/>
          </w:tcPr>
          <w:p w14:paraId="48F7A2D5" w14:textId="77777777" w:rsidR="000503C8" w:rsidRPr="002A311E" w:rsidRDefault="000503C8" w:rsidP="00013648">
            <w:pPr>
              <w:spacing w:line="240" w:lineRule="auto"/>
              <w:ind w:firstLine="0"/>
              <w:jc w:val="center"/>
              <w:rPr>
                <w:sz w:val="20"/>
                <w:szCs w:val="20"/>
              </w:rPr>
            </w:pPr>
            <w:r w:rsidRPr="002A311E">
              <w:rPr>
                <w:sz w:val="20"/>
                <w:szCs w:val="20"/>
              </w:rPr>
              <w:t>10.7</w:t>
            </w:r>
          </w:p>
        </w:tc>
        <w:tc>
          <w:tcPr>
            <w:tcW w:w="1095" w:type="dxa"/>
            <w:tcBorders>
              <w:top w:val="single" w:sz="12" w:space="0" w:color="auto"/>
              <w:left w:val="nil"/>
              <w:bottom w:val="single" w:sz="4" w:space="0" w:color="auto"/>
              <w:right w:val="nil"/>
            </w:tcBorders>
            <w:vAlign w:val="center"/>
          </w:tcPr>
          <w:p w14:paraId="5F2EA968" w14:textId="77777777" w:rsidR="000503C8" w:rsidRPr="002A311E" w:rsidRDefault="000503C8" w:rsidP="00013648">
            <w:pPr>
              <w:spacing w:line="240" w:lineRule="auto"/>
              <w:ind w:firstLine="0"/>
              <w:jc w:val="center"/>
              <w:rPr>
                <w:sz w:val="20"/>
                <w:szCs w:val="20"/>
              </w:rPr>
            </w:pPr>
            <w:r w:rsidRPr="002A311E">
              <w:rPr>
                <w:sz w:val="20"/>
                <w:szCs w:val="20"/>
              </w:rPr>
              <w:t>10.4</w:t>
            </w:r>
          </w:p>
        </w:tc>
        <w:tc>
          <w:tcPr>
            <w:tcW w:w="1024" w:type="dxa"/>
            <w:tcBorders>
              <w:top w:val="single" w:sz="12" w:space="0" w:color="auto"/>
              <w:left w:val="nil"/>
              <w:bottom w:val="single" w:sz="4" w:space="0" w:color="auto"/>
              <w:right w:val="nil"/>
            </w:tcBorders>
            <w:vAlign w:val="center"/>
          </w:tcPr>
          <w:p w14:paraId="1C25E76E" w14:textId="77777777" w:rsidR="000503C8" w:rsidRPr="002A311E" w:rsidRDefault="000503C8" w:rsidP="00013648">
            <w:pPr>
              <w:spacing w:line="240" w:lineRule="auto"/>
              <w:ind w:firstLine="0"/>
              <w:jc w:val="center"/>
              <w:rPr>
                <w:sz w:val="20"/>
                <w:szCs w:val="20"/>
              </w:rPr>
            </w:pPr>
            <w:r w:rsidRPr="002A311E">
              <w:rPr>
                <w:sz w:val="20"/>
                <w:szCs w:val="20"/>
              </w:rPr>
              <w:t>10.2</w:t>
            </w:r>
          </w:p>
        </w:tc>
        <w:tc>
          <w:tcPr>
            <w:tcW w:w="1028" w:type="dxa"/>
            <w:tcBorders>
              <w:top w:val="single" w:sz="12" w:space="0" w:color="auto"/>
              <w:left w:val="nil"/>
              <w:bottom w:val="single" w:sz="4" w:space="0" w:color="auto"/>
              <w:right w:val="nil"/>
            </w:tcBorders>
            <w:vAlign w:val="center"/>
          </w:tcPr>
          <w:p w14:paraId="752C28F8" w14:textId="77777777" w:rsidR="000503C8" w:rsidRPr="002A311E" w:rsidRDefault="000503C8" w:rsidP="00013648">
            <w:pPr>
              <w:spacing w:line="240" w:lineRule="auto"/>
              <w:ind w:firstLine="0"/>
              <w:jc w:val="center"/>
              <w:rPr>
                <w:sz w:val="20"/>
                <w:szCs w:val="20"/>
              </w:rPr>
            </w:pPr>
            <w:r w:rsidRPr="002A311E">
              <w:rPr>
                <w:sz w:val="20"/>
                <w:szCs w:val="20"/>
              </w:rPr>
              <w:t>10.1</w:t>
            </w:r>
          </w:p>
        </w:tc>
      </w:tr>
      <w:tr w:rsidR="000503C8" w:rsidRPr="0070296A" w14:paraId="750B50F8" w14:textId="77777777" w:rsidTr="00013648">
        <w:trPr>
          <w:trHeight w:val="263"/>
          <w:jc w:val="center"/>
        </w:trPr>
        <w:tc>
          <w:tcPr>
            <w:tcW w:w="3022" w:type="dxa"/>
            <w:tcBorders>
              <w:left w:val="nil"/>
              <w:bottom w:val="single" w:sz="36" w:space="0" w:color="auto"/>
              <w:right w:val="nil"/>
            </w:tcBorders>
            <w:vAlign w:val="center"/>
          </w:tcPr>
          <w:p w14:paraId="5FE63D99" w14:textId="77777777" w:rsidR="000503C8" w:rsidRPr="002A311E" w:rsidRDefault="000503C8" w:rsidP="00013648">
            <w:pPr>
              <w:spacing w:line="240" w:lineRule="auto"/>
              <w:ind w:firstLine="0"/>
              <w:jc w:val="left"/>
              <w:rPr>
                <w:sz w:val="20"/>
                <w:szCs w:val="20"/>
              </w:rPr>
            </w:pPr>
            <w:r w:rsidRPr="002A311E">
              <w:rPr>
                <w:sz w:val="20"/>
                <w:szCs w:val="20"/>
              </w:rPr>
              <w:t>Միջին ժամկետայնություն (տարի)</w:t>
            </w:r>
          </w:p>
        </w:tc>
        <w:tc>
          <w:tcPr>
            <w:tcW w:w="1132" w:type="dxa"/>
            <w:tcBorders>
              <w:left w:val="nil"/>
              <w:bottom w:val="single" w:sz="36" w:space="0" w:color="auto"/>
              <w:right w:val="nil"/>
            </w:tcBorders>
            <w:vAlign w:val="center"/>
          </w:tcPr>
          <w:p w14:paraId="1ED60720" w14:textId="77777777" w:rsidR="000503C8" w:rsidRPr="002A311E" w:rsidRDefault="000503C8" w:rsidP="00013648">
            <w:pPr>
              <w:spacing w:line="240" w:lineRule="auto"/>
              <w:ind w:firstLine="0"/>
              <w:jc w:val="center"/>
              <w:rPr>
                <w:sz w:val="20"/>
                <w:szCs w:val="20"/>
              </w:rPr>
            </w:pPr>
            <w:r w:rsidRPr="002A311E">
              <w:rPr>
                <w:sz w:val="20"/>
                <w:szCs w:val="20"/>
              </w:rPr>
              <w:t>8.8</w:t>
            </w:r>
          </w:p>
        </w:tc>
        <w:tc>
          <w:tcPr>
            <w:tcW w:w="1066" w:type="dxa"/>
            <w:tcBorders>
              <w:left w:val="nil"/>
              <w:bottom w:val="single" w:sz="36" w:space="0" w:color="auto"/>
              <w:right w:val="nil"/>
            </w:tcBorders>
            <w:vAlign w:val="center"/>
          </w:tcPr>
          <w:p w14:paraId="13DC29B9" w14:textId="77777777" w:rsidR="000503C8" w:rsidRPr="002A311E" w:rsidRDefault="000503C8" w:rsidP="00013648">
            <w:pPr>
              <w:spacing w:line="240" w:lineRule="auto"/>
              <w:ind w:firstLine="0"/>
              <w:jc w:val="center"/>
              <w:rPr>
                <w:sz w:val="20"/>
                <w:szCs w:val="20"/>
              </w:rPr>
            </w:pPr>
            <w:r w:rsidRPr="002A311E">
              <w:rPr>
                <w:sz w:val="20"/>
                <w:szCs w:val="20"/>
              </w:rPr>
              <w:t>8.0</w:t>
            </w:r>
          </w:p>
        </w:tc>
        <w:tc>
          <w:tcPr>
            <w:tcW w:w="1238" w:type="dxa"/>
            <w:tcBorders>
              <w:left w:val="nil"/>
              <w:bottom w:val="single" w:sz="36" w:space="0" w:color="auto"/>
              <w:right w:val="double" w:sz="4" w:space="0" w:color="auto"/>
            </w:tcBorders>
            <w:vAlign w:val="center"/>
          </w:tcPr>
          <w:p w14:paraId="0039628C" w14:textId="77777777" w:rsidR="000503C8" w:rsidRPr="002A311E" w:rsidRDefault="000503C8" w:rsidP="00013648">
            <w:pPr>
              <w:spacing w:line="240" w:lineRule="auto"/>
              <w:ind w:firstLine="0"/>
              <w:jc w:val="center"/>
              <w:rPr>
                <w:sz w:val="20"/>
                <w:szCs w:val="20"/>
              </w:rPr>
            </w:pPr>
            <w:r w:rsidRPr="002A311E">
              <w:rPr>
                <w:sz w:val="20"/>
                <w:szCs w:val="20"/>
              </w:rPr>
              <w:t>8.0</w:t>
            </w:r>
          </w:p>
        </w:tc>
        <w:tc>
          <w:tcPr>
            <w:tcW w:w="1087" w:type="dxa"/>
            <w:tcBorders>
              <w:left w:val="double" w:sz="4" w:space="0" w:color="auto"/>
              <w:bottom w:val="single" w:sz="36" w:space="0" w:color="auto"/>
              <w:right w:val="nil"/>
            </w:tcBorders>
            <w:vAlign w:val="center"/>
          </w:tcPr>
          <w:p w14:paraId="34863B26" w14:textId="77777777" w:rsidR="000503C8" w:rsidRPr="002A311E" w:rsidRDefault="000503C8" w:rsidP="00013648">
            <w:pPr>
              <w:spacing w:line="240" w:lineRule="auto"/>
              <w:ind w:firstLine="0"/>
              <w:jc w:val="center"/>
              <w:rPr>
                <w:sz w:val="20"/>
                <w:szCs w:val="20"/>
              </w:rPr>
            </w:pPr>
            <w:r w:rsidRPr="002A311E">
              <w:rPr>
                <w:sz w:val="20"/>
                <w:szCs w:val="20"/>
              </w:rPr>
              <w:t>7.3</w:t>
            </w:r>
          </w:p>
        </w:tc>
        <w:tc>
          <w:tcPr>
            <w:tcW w:w="1095" w:type="dxa"/>
            <w:tcBorders>
              <w:left w:val="nil"/>
              <w:bottom w:val="single" w:sz="36" w:space="0" w:color="auto"/>
              <w:right w:val="nil"/>
            </w:tcBorders>
            <w:vAlign w:val="center"/>
          </w:tcPr>
          <w:p w14:paraId="1C97F3AE" w14:textId="77777777" w:rsidR="000503C8" w:rsidRPr="002A311E" w:rsidRDefault="000503C8" w:rsidP="00013648">
            <w:pPr>
              <w:spacing w:line="240" w:lineRule="auto"/>
              <w:ind w:firstLine="0"/>
              <w:jc w:val="center"/>
              <w:rPr>
                <w:sz w:val="20"/>
                <w:szCs w:val="20"/>
              </w:rPr>
            </w:pPr>
            <w:r w:rsidRPr="002A311E">
              <w:rPr>
                <w:sz w:val="20"/>
                <w:szCs w:val="20"/>
              </w:rPr>
              <w:t>7.5</w:t>
            </w:r>
          </w:p>
        </w:tc>
        <w:tc>
          <w:tcPr>
            <w:tcW w:w="1024" w:type="dxa"/>
            <w:tcBorders>
              <w:left w:val="nil"/>
              <w:bottom w:val="single" w:sz="36" w:space="0" w:color="auto"/>
              <w:right w:val="nil"/>
            </w:tcBorders>
            <w:vAlign w:val="center"/>
          </w:tcPr>
          <w:p w14:paraId="0C6C1808" w14:textId="77777777" w:rsidR="000503C8" w:rsidRPr="002A311E" w:rsidRDefault="000503C8" w:rsidP="00013648">
            <w:pPr>
              <w:spacing w:line="240" w:lineRule="auto"/>
              <w:ind w:firstLine="0"/>
              <w:jc w:val="center"/>
              <w:rPr>
                <w:sz w:val="20"/>
                <w:szCs w:val="20"/>
              </w:rPr>
            </w:pPr>
            <w:r w:rsidRPr="002A311E">
              <w:rPr>
                <w:sz w:val="20"/>
                <w:szCs w:val="20"/>
              </w:rPr>
              <w:t>7.6</w:t>
            </w:r>
          </w:p>
        </w:tc>
        <w:tc>
          <w:tcPr>
            <w:tcW w:w="1028" w:type="dxa"/>
            <w:tcBorders>
              <w:left w:val="nil"/>
              <w:bottom w:val="single" w:sz="36" w:space="0" w:color="auto"/>
              <w:right w:val="nil"/>
            </w:tcBorders>
            <w:vAlign w:val="center"/>
          </w:tcPr>
          <w:p w14:paraId="29E298C4" w14:textId="77777777" w:rsidR="000503C8" w:rsidRPr="002A311E" w:rsidRDefault="000503C8" w:rsidP="00013648">
            <w:pPr>
              <w:spacing w:line="240" w:lineRule="auto"/>
              <w:ind w:firstLine="0"/>
              <w:jc w:val="center"/>
              <w:rPr>
                <w:sz w:val="20"/>
                <w:szCs w:val="20"/>
              </w:rPr>
            </w:pPr>
            <w:r w:rsidRPr="002A311E">
              <w:rPr>
                <w:sz w:val="20"/>
                <w:szCs w:val="20"/>
              </w:rPr>
              <w:t>7.6</w:t>
            </w:r>
          </w:p>
        </w:tc>
      </w:tr>
      <w:tr w:rsidR="000503C8" w:rsidRPr="0070296A" w14:paraId="59318D6B" w14:textId="77777777" w:rsidTr="00013648">
        <w:trPr>
          <w:trHeight w:val="268"/>
          <w:jc w:val="center"/>
        </w:trPr>
        <w:tc>
          <w:tcPr>
            <w:tcW w:w="3022" w:type="dxa"/>
            <w:tcBorders>
              <w:top w:val="single" w:sz="36" w:space="0" w:color="auto"/>
              <w:left w:val="nil"/>
              <w:bottom w:val="single" w:sz="4" w:space="0" w:color="auto"/>
              <w:right w:val="nil"/>
            </w:tcBorders>
            <w:vAlign w:val="center"/>
          </w:tcPr>
          <w:p w14:paraId="4E2E3C05" w14:textId="77777777" w:rsidR="000503C8" w:rsidRPr="002A311E" w:rsidRDefault="000503C8" w:rsidP="00013648">
            <w:pPr>
              <w:spacing w:line="240" w:lineRule="auto"/>
              <w:ind w:firstLine="0"/>
              <w:jc w:val="left"/>
              <w:rPr>
                <w:sz w:val="20"/>
                <w:szCs w:val="20"/>
              </w:rPr>
            </w:pPr>
            <w:r w:rsidRPr="002A311E">
              <w:rPr>
                <w:sz w:val="20"/>
                <w:szCs w:val="20"/>
              </w:rPr>
              <w:t>Արտարժութային պետական պարտատոմսեր, մլն ԱՄՆ դոլար</w:t>
            </w:r>
          </w:p>
        </w:tc>
        <w:tc>
          <w:tcPr>
            <w:tcW w:w="1132" w:type="dxa"/>
            <w:tcBorders>
              <w:top w:val="single" w:sz="36" w:space="0" w:color="auto"/>
              <w:left w:val="nil"/>
              <w:bottom w:val="single" w:sz="4" w:space="0" w:color="auto"/>
              <w:right w:val="nil"/>
            </w:tcBorders>
            <w:vAlign w:val="center"/>
          </w:tcPr>
          <w:p w14:paraId="5EC16474" w14:textId="77777777" w:rsidR="000503C8" w:rsidRPr="002A311E" w:rsidRDefault="000503C8" w:rsidP="00013648">
            <w:pPr>
              <w:spacing w:line="240" w:lineRule="auto"/>
              <w:ind w:firstLine="0"/>
              <w:jc w:val="center"/>
              <w:rPr>
                <w:sz w:val="20"/>
                <w:szCs w:val="20"/>
              </w:rPr>
            </w:pPr>
            <w:r w:rsidRPr="002A311E">
              <w:rPr>
                <w:sz w:val="20"/>
                <w:szCs w:val="20"/>
              </w:rPr>
              <w:t>1,750.0</w:t>
            </w:r>
          </w:p>
        </w:tc>
        <w:tc>
          <w:tcPr>
            <w:tcW w:w="1066" w:type="dxa"/>
            <w:tcBorders>
              <w:top w:val="single" w:sz="36" w:space="0" w:color="auto"/>
              <w:left w:val="nil"/>
              <w:bottom w:val="single" w:sz="4" w:space="0" w:color="auto"/>
              <w:right w:val="nil"/>
            </w:tcBorders>
            <w:vAlign w:val="center"/>
          </w:tcPr>
          <w:p w14:paraId="3C37B1C6" w14:textId="77777777" w:rsidR="000503C8" w:rsidRPr="002A311E" w:rsidRDefault="000503C8" w:rsidP="00013648">
            <w:pPr>
              <w:spacing w:line="240" w:lineRule="auto"/>
              <w:ind w:firstLine="0"/>
              <w:jc w:val="center"/>
              <w:rPr>
                <w:sz w:val="20"/>
                <w:szCs w:val="20"/>
              </w:rPr>
            </w:pPr>
            <w:r w:rsidRPr="002A311E">
              <w:rPr>
                <w:sz w:val="20"/>
                <w:szCs w:val="20"/>
              </w:rPr>
              <w:t>1,563.2</w:t>
            </w:r>
          </w:p>
        </w:tc>
        <w:tc>
          <w:tcPr>
            <w:tcW w:w="1238" w:type="dxa"/>
            <w:tcBorders>
              <w:top w:val="single" w:sz="36" w:space="0" w:color="auto"/>
              <w:left w:val="nil"/>
              <w:bottom w:val="single" w:sz="4" w:space="0" w:color="auto"/>
              <w:right w:val="double" w:sz="4" w:space="0" w:color="auto"/>
            </w:tcBorders>
            <w:vAlign w:val="center"/>
          </w:tcPr>
          <w:p w14:paraId="3FABC788" w14:textId="77777777" w:rsidR="000503C8" w:rsidRPr="002A311E" w:rsidRDefault="000503C8" w:rsidP="00013648">
            <w:pPr>
              <w:spacing w:line="240" w:lineRule="auto"/>
              <w:ind w:firstLine="0"/>
              <w:jc w:val="center"/>
              <w:rPr>
                <w:sz w:val="20"/>
                <w:szCs w:val="20"/>
              </w:rPr>
            </w:pPr>
            <w:r w:rsidRPr="002A311E">
              <w:rPr>
                <w:sz w:val="20"/>
                <w:szCs w:val="20"/>
              </w:rPr>
              <w:t>1,563.2</w:t>
            </w:r>
          </w:p>
        </w:tc>
        <w:tc>
          <w:tcPr>
            <w:tcW w:w="1087" w:type="dxa"/>
            <w:tcBorders>
              <w:top w:val="single" w:sz="36" w:space="0" w:color="auto"/>
              <w:left w:val="double" w:sz="4" w:space="0" w:color="auto"/>
              <w:bottom w:val="single" w:sz="4" w:space="0" w:color="auto"/>
              <w:right w:val="nil"/>
            </w:tcBorders>
            <w:vAlign w:val="center"/>
          </w:tcPr>
          <w:p w14:paraId="3C1274A3" w14:textId="77777777" w:rsidR="000503C8" w:rsidRPr="002A311E" w:rsidRDefault="000503C8" w:rsidP="00013648">
            <w:pPr>
              <w:spacing w:line="240" w:lineRule="auto"/>
              <w:ind w:firstLine="0"/>
              <w:jc w:val="center"/>
              <w:rPr>
                <w:sz w:val="20"/>
                <w:szCs w:val="20"/>
              </w:rPr>
            </w:pPr>
            <w:r w:rsidRPr="002A311E">
              <w:rPr>
                <w:sz w:val="20"/>
                <w:szCs w:val="20"/>
              </w:rPr>
              <w:t>1,563.2</w:t>
            </w:r>
          </w:p>
        </w:tc>
        <w:tc>
          <w:tcPr>
            <w:tcW w:w="1095" w:type="dxa"/>
            <w:tcBorders>
              <w:top w:val="single" w:sz="36" w:space="0" w:color="auto"/>
              <w:left w:val="nil"/>
              <w:bottom w:val="single" w:sz="4" w:space="0" w:color="auto"/>
              <w:right w:val="nil"/>
            </w:tcBorders>
            <w:vAlign w:val="center"/>
          </w:tcPr>
          <w:p w14:paraId="2B116EF4" w14:textId="77777777" w:rsidR="000503C8" w:rsidRPr="002A311E" w:rsidRDefault="000503C8" w:rsidP="00013648">
            <w:pPr>
              <w:spacing w:line="240" w:lineRule="auto"/>
              <w:ind w:firstLine="0"/>
              <w:jc w:val="center"/>
              <w:rPr>
                <w:sz w:val="20"/>
                <w:szCs w:val="20"/>
              </w:rPr>
            </w:pPr>
            <w:r w:rsidRPr="002A311E">
              <w:rPr>
                <w:sz w:val="20"/>
                <w:szCs w:val="20"/>
              </w:rPr>
              <w:t>1,750.0</w:t>
            </w:r>
          </w:p>
        </w:tc>
        <w:tc>
          <w:tcPr>
            <w:tcW w:w="1024" w:type="dxa"/>
            <w:tcBorders>
              <w:top w:val="single" w:sz="36" w:space="0" w:color="auto"/>
              <w:left w:val="nil"/>
              <w:bottom w:val="single" w:sz="4" w:space="0" w:color="auto"/>
              <w:right w:val="nil"/>
            </w:tcBorders>
            <w:vAlign w:val="center"/>
          </w:tcPr>
          <w:p w14:paraId="56DA4308" w14:textId="77777777" w:rsidR="000503C8" w:rsidRPr="002A311E" w:rsidRDefault="000503C8" w:rsidP="00013648">
            <w:pPr>
              <w:spacing w:line="240" w:lineRule="auto"/>
              <w:ind w:firstLine="0"/>
              <w:jc w:val="center"/>
              <w:rPr>
                <w:sz w:val="20"/>
                <w:szCs w:val="20"/>
              </w:rPr>
            </w:pPr>
            <w:r w:rsidRPr="002A311E">
              <w:rPr>
                <w:sz w:val="20"/>
                <w:szCs w:val="20"/>
              </w:rPr>
              <w:t>1,750.0</w:t>
            </w:r>
          </w:p>
        </w:tc>
        <w:tc>
          <w:tcPr>
            <w:tcW w:w="1028" w:type="dxa"/>
            <w:tcBorders>
              <w:top w:val="single" w:sz="36" w:space="0" w:color="auto"/>
              <w:left w:val="nil"/>
              <w:bottom w:val="single" w:sz="4" w:space="0" w:color="auto"/>
              <w:right w:val="nil"/>
            </w:tcBorders>
            <w:vAlign w:val="center"/>
          </w:tcPr>
          <w:p w14:paraId="0E4A732F" w14:textId="77777777" w:rsidR="000503C8" w:rsidRPr="002A311E" w:rsidRDefault="000503C8" w:rsidP="00013648">
            <w:pPr>
              <w:spacing w:line="240" w:lineRule="auto"/>
              <w:ind w:firstLine="0"/>
              <w:jc w:val="center"/>
              <w:rPr>
                <w:sz w:val="20"/>
                <w:szCs w:val="20"/>
              </w:rPr>
            </w:pPr>
            <w:r w:rsidRPr="002A311E">
              <w:rPr>
                <w:sz w:val="20"/>
                <w:szCs w:val="20"/>
              </w:rPr>
              <w:t>1,750.0</w:t>
            </w:r>
          </w:p>
        </w:tc>
      </w:tr>
      <w:tr w:rsidR="000503C8" w:rsidRPr="0070296A" w14:paraId="238E2072" w14:textId="77777777" w:rsidTr="00013648">
        <w:trPr>
          <w:trHeight w:val="142"/>
          <w:jc w:val="center"/>
        </w:trPr>
        <w:tc>
          <w:tcPr>
            <w:tcW w:w="3022" w:type="dxa"/>
            <w:tcBorders>
              <w:left w:val="nil"/>
              <w:bottom w:val="single" w:sz="12" w:space="0" w:color="auto"/>
              <w:right w:val="nil"/>
            </w:tcBorders>
            <w:vAlign w:val="center"/>
          </w:tcPr>
          <w:p w14:paraId="5D0B1650" w14:textId="77777777" w:rsidR="000503C8" w:rsidRPr="002A311E" w:rsidRDefault="000503C8" w:rsidP="00013648">
            <w:pPr>
              <w:spacing w:line="240" w:lineRule="auto"/>
              <w:ind w:firstLine="0"/>
              <w:jc w:val="left"/>
              <w:rPr>
                <w:sz w:val="20"/>
                <w:szCs w:val="20"/>
              </w:rPr>
            </w:pPr>
            <w:r w:rsidRPr="002A311E">
              <w:rPr>
                <w:sz w:val="20"/>
                <w:szCs w:val="20"/>
              </w:rPr>
              <w:t>% ՀՆԱ-ի նկատմամբ</w:t>
            </w:r>
          </w:p>
        </w:tc>
        <w:tc>
          <w:tcPr>
            <w:tcW w:w="1132" w:type="dxa"/>
            <w:tcBorders>
              <w:left w:val="nil"/>
              <w:bottom w:val="single" w:sz="12" w:space="0" w:color="auto"/>
              <w:right w:val="nil"/>
            </w:tcBorders>
            <w:vAlign w:val="center"/>
          </w:tcPr>
          <w:p w14:paraId="0D63F01B" w14:textId="77777777" w:rsidR="000503C8" w:rsidRPr="002A311E" w:rsidRDefault="000503C8" w:rsidP="00013648">
            <w:pPr>
              <w:spacing w:line="240" w:lineRule="auto"/>
              <w:ind w:firstLine="0"/>
              <w:jc w:val="center"/>
              <w:rPr>
                <w:sz w:val="20"/>
                <w:szCs w:val="20"/>
              </w:rPr>
            </w:pPr>
            <w:r w:rsidRPr="002A311E">
              <w:rPr>
                <w:sz w:val="20"/>
                <w:szCs w:val="20"/>
              </w:rPr>
              <w:t>8.1</w:t>
            </w:r>
          </w:p>
        </w:tc>
        <w:tc>
          <w:tcPr>
            <w:tcW w:w="1066" w:type="dxa"/>
            <w:tcBorders>
              <w:left w:val="nil"/>
              <w:bottom w:val="single" w:sz="12" w:space="0" w:color="auto"/>
              <w:right w:val="nil"/>
            </w:tcBorders>
            <w:vAlign w:val="center"/>
          </w:tcPr>
          <w:p w14:paraId="4DFEE4A5" w14:textId="77777777" w:rsidR="000503C8" w:rsidRPr="002A311E" w:rsidRDefault="000503C8" w:rsidP="00013648">
            <w:pPr>
              <w:spacing w:line="240" w:lineRule="auto"/>
              <w:ind w:firstLine="0"/>
              <w:jc w:val="center"/>
              <w:rPr>
                <w:sz w:val="20"/>
                <w:szCs w:val="20"/>
              </w:rPr>
            </w:pPr>
            <w:r w:rsidRPr="002A311E">
              <w:rPr>
                <w:sz w:val="20"/>
                <w:szCs w:val="20"/>
              </w:rPr>
              <w:t>6.7</w:t>
            </w:r>
          </w:p>
        </w:tc>
        <w:tc>
          <w:tcPr>
            <w:tcW w:w="1238" w:type="dxa"/>
            <w:tcBorders>
              <w:left w:val="nil"/>
              <w:bottom w:val="single" w:sz="12" w:space="0" w:color="auto"/>
              <w:right w:val="double" w:sz="4" w:space="0" w:color="auto"/>
            </w:tcBorders>
            <w:vAlign w:val="center"/>
          </w:tcPr>
          <w:p w14:paraId="4696678E" w14:textId="77777777" w:rsidR="000503C8" w:rsidRPr="002A311E" w:rsidRDefault="000503C8" w:rsidP="00013648">
            <w:pPr>
              <w:spacing w:line="240" w:lineRule="auto"/>
              <w:ind w:firstLine="0"/>
              <w:jc w:val="center"/>
              <w:rPr>
                <w:sz w:val="20"/>
                <w:szCs w:val="20"/>
              </w:rPr>
            </w:pPr>
            <w:r w:rsidRPr="002A311E">
              <w:rPr>
                <w:sz w:val="20"/>
                <w:szCs w:val="20"/>
              </w:rPr>
              <w:t>6.4</w:t>
            </w:r>
          </w:p>
        </w:tc>
        <w:tc>
          <w:tcPr>
            <w:tcW w:w="1087" w:type="dxa"/>
            <w:tcBorders>
              <w:left w:val="double" w:sz="4" w:space="0" w:color="auto"/>
              <w:bottom w:val="single" w:sz="12" w:space="0" w:color="auto"/>
              <w:right w:val="nil"/>
            </w:tcBorders>
            <w:vAlign w:val="center"/>
          </w:tcPr>
          <w:p w14:paraId="130F95B8" w14:textId="77777777" w:rsidR="000503C8" w:rsidRPr="002A311E" w:rsidRDefault="000503C8" w:rsidP="00013648">
            <w:pPr>
              <w:spacing w:line="240" w:lineRule="auto"/>
              <w:ind w:firstLine="0"/>
              <w:jc w:val="center"/>
              <w:rPr>
                <w:sz w:val="20"/>
                <w:szCs w:val="20"/>
              </w:rPr>
            </w:pPr>
            <w:r w:rsidRPr="002A311E">
              <w:rPr>
                <w:sz w:val="20"/>
                <w:szCs w:val="20"/>
              </w:rPr>
              <w:t>6.5</w:t>
            </w:r>
          </w:p>
        </w:tc>
        <w:tc>
          <w:tcPr>
            <w:tcW w:w="1095" w:type="dxa"/>
            <w:tcBorders>
              <w:left w:val="nil"/>
              <w:bottom w:val="single" w:sz="12" w:space="0" w:color="auto"/>
              <w:right w:val="nil"/>
            </w:tcBorders>
            <w:vAlign w:val="center"/>
          </w:tcPr>
          <w:p w14:paraId="57EF733B" w14:textId="77777777" w:rsidR="000503C8" w:rsidRPr="002A311E" w:rsidRDefault="000503C8" w:rsidP="00013648">
            <w:pPr>
              <w:spacing w:line="240" w:lineRule="auto"/>
              <w:ind w:firstLine="0"/>
              <w:jc w:val="center"/>
              <w:rPr>
                <w:sz w:val="20"/>
                <w:szCs w:val="20"/>
              </w:rPr>
            </w:pPr>
            <w:r w:rsidRPr="002A311E">
              <w:rPr>
                <w:sz w:val="20"/>
                <w:szCs w:val="20"/>
              </w:rPr>
              <w:t>6.9</w:t>
            </w:r>
          </w:p>
        </w:tc>
        <w:tc>
          <w:tcPr>
            <w:tcW w:w="1024" w:type="dxa"/>
            <w:tcBorders>
              <w:left w:val="nil"/>
              <w:bottom w:val="single" w:sz="12" w:space="0" w:color="auto"/>
              <w:right w:val="nil"/>
            </w:tcBorders>
            <w:vAlign w:val="center"/>
          </w:tcPr>
          <w:p w14:paraId="182491E7" w14:textId="77777777" w:rsidR="000503C8" w:rsidRPr="002A311E" w:rsidRDefault="000503C8" w:rsidP="00013648">
            <w:pPr>
              <w:spacing w:line="240" w:lineRule="auto"/>
              <w:ind w:firstLine="0"/>
              <w:jc w:val="center"/>
              <w:rPr>
                <w:sz w:val="20"/>
                <w:szCs w:val="20"/>
              </w:rPr>
            </w:pPr>
            <w:r w:rsidRPr="002A311E">
              <w:rPr>
                <w:sz w:val="20"/>
                <w:szCs w:val="20"/>
              </w:rPr>
              <w:t>6.5</w:t>
            </w:r>
          </w:p>
        </w:tc>
        <w:tc>
          <w:tcPr>
            <w:tcW w:w="1028" w:type="dxa"/>
            <w:tcBorders>
              <w:left w:val="nil"/>
              <w:bottom w:val="single" w:sz="12" w:space="0" w:color="auto"/>
              <w:right w:val="nil"/>
            </w:tcBorders>
            <w:vAlign w:val="center"/>
          </w:tcPr>
          <w:p w14:paraId="4DFDFADF" w14:textId="77777777" w:rsidR="000503C8" w:rsidRPr="002A311E" w:rsidRDefault="000503C8" w:rsidP="00013648">
            <w:pPr>
              <w:spacing w:line="240" w:lineRule="auto"/>
              <w:ind w:firstLine="0"/>
              <w:jc w:val="center"/>
              <w:rPr>
                <w:sz w:val="20"/>
                <w:szCs w:val="20"/>
              </w:rPr>
            </w:pPr>
            <w:r w:rsidRPr="002A311E">
              <w:rPr>
                <w:sz w:val="20"/>
                <w:szCs w:val="20"/>
              </w:rPr>
              <w:t>6.0</w:t>
            </w:r>
          </w:p>
        </w:tc>
      </w:tr>
      <w:tr w:rsidR="000503C8" w:rsidRPr="0070296A" w14:paraId="7ED52A0C" w14:textId="77777777" w:rsidTr="00013648">
        <w:trPr>
          <w:trHeight w:val="142"/>
          <w:jc w:val="center"/>
        </w:trPr>
        <w:tc>
          <w:tcPr>
            <w:tcW w:w="3022" w:type="dxa"/>
            <w:tcBorders>
              <w:top w:val="single" w:sz="12" w:space="0" w:color="auto"/>
              <w:left w:val="nil"/>
              <w:right w:val="nil"/>
            </w:tcBorders>
            <w:vAlign w:val="center"/>
          </w:tcPr>
          <w:p w14:paraId="1E7F6A51" w14:textId="77777777" w:rsidR="000503C8" w:rsidRPr="002A311E" w:rsidRDefault="000503C8" w:rsidP="00013648">
            <w:pPr>
              <w:spacing w:line="240" w:lineRule="auto"/>
              <w:ind w:firstLine="0"/>
              <w:jc w:val="left"/>
              <w:rPr>
                <w:sz w:val="20"/>
                <w:szCs w:val="20"/>
              </w:rPr>
            </w:pPr>
            <w:r w:rsidRPr="002A311E">
              <w:rPr>
                <w:sz w:val="20"/>
                <w:szCs w:val="20"/>
              </w:rPr>
              <w:t>Միջին տոկոսադրույք (%)</w:t>
            </w:r>
          </w:p>
        </w:tc>
        <w:tc>
          <w:tcPr>
            <w:tcW w:w="1132" w:type="dxa"/>
            <w:tcBorders>
              <w:top w:val="single" w:sz="12" w:space="0" w:color="auto"/>
              <w:left w:val="nil"/>
              <w:right w:val="nil"/>
            </w:tcBorders>
            <w:vAlign w:val="center"/>
          </w:tcPr>
          <w:p w14:paraId="191E620C" w14:textId="77777777" w:rsidR="000503C8" w:rsidRPr="002A311E" w:rsidRDefault="000503C8" w:rsidP="00013648">
            <w:pPr>
              <w:spacing w:line="240" w:lineRule="auto"/>
              <w:ind w:firstLine="0"/>
              <w:jc w:val="center"/>
              <w:rPr>
                <w:sz w:val="20"/>
                <w:szCs w:val="20"/>
              </w:rPr>
            </w:pPr>
            <w:r w:rsidRPr="002A311E">
              <w:rPr>
                <w:sz w:val="20"/>
                <w:szCs w:val="20"/>
              </w:rPr>
              <w:t>5.0</w:t>
            </w:r>
          </w:p>
        </w:tc>
        <w:tc>
          <w:tcPr>
            <w:tcW w:w="1066" w:type="dxa"/>
            <w:tcBorders>
              <w:top w:val="single" w:sz="12" w:space="0" w:color="auto"/>
              <w:left w:val="nil"/>
              <w:right w:val="nil"/>
            </w:tcBorders>
            <w:vAlign w:val="center"/>
          </w:tcPr>
          <w:p w14:paraId="3DA417D0" w14:textId="77777777" w:rsidR="000503C8" w:rsidRPr="002A311E" w:rsidRDefault="000503C8" w:rsidP="00013648">
            <w:pPr>
              <w:spacing w:line="240" w:lineRule="auto"/>
              <w:ind w:firstLine="0"/>
              <w:jc w:val="center"/>
              <w:rPr>
                <w:sz w:val="20"/>
                <w:szCs w:val="20"/>
              </w:rPr>
            </w:pPr>
            <w:r w:rsidRPr="002A311E">
              <w:rPr>
                <w:sz w:val="20"/>
                <w:szCs w:val="20"/>
              </w:rPr>
              <w:t>4.7</w:t>
            </w:r>
          </w:p>
        </w:tc>
        <w:tc>
          <w:tcPr>
            <w:tcW w:w="1238" w:type="dxa"/>
            <w:tcBorders>
              <w:top w:val="single" w:sz="12" w:space="0" w:color="auto"/>
              <w:left w:val="nil"/>
              <w:right w:val="double" w:sz="4" w:space="0" w:color="auto"/>
            </w:tcBorders>
            <w:vAlign w:val="center"/>
          </w:tcPr>
          <w:p w14:paraId="5B325BE8" w14:textId="77777777" w:rsidR="000503C8" w:rsidRPr="002A311E" w:rsidRDefault="000503C8" w:rsidP="00013648">
            <w:pPr>
              <w:spacing w:line="240" w:lineRule="auto"/>
              <w:ind w:firstLine="0"/>
              <w:jc w:val="center"/>
              <w:rPr>
                <w:sz w:val="20"/>
                <w:szCs w:val="20"/>
              </w:rPr>
            </w:pPr>
            <w:r w:rsidRPr="002A311E">
              <w:rPr>
                <w:sz w:val="20"/>
                <w:szCs w:val="20"/>
              </w:rPr>
              <w:t>4.7</w:t>
            </w:r>
          </w:p>
        </w:tc>
        <w:tc>
          <w:tcPr>
            <w:tcW w:w="1087" w:type="dxa"/>
            <w:tcBorders>
              <w:top w:val="single" w:sz="12" w:space="0" w:color="auto"/>
              <w:left w:val="double" w:sz="4" w:space="0" w:color="auto"/>
              <w:right w:val="nil"/>
            </w:tcBorders>
            <w:vAlign w:val="center"/>
          </w:tcPr>
          <w:p w14:paraId="35FCA8DA" w14:textId="77777777" w:rsidR="000503C8" w:rsidRPr="002A311E" w:rsidRDefault="000503C8" w:rsidP="00013648">
            <w:pPr>
              <w:spacing w:line="240" w:lineRule="auto"/>
              <w:ind w:firstLine="0"/>
              <w:jc w:val="center"/>
              <w:rPr>
                <w:sz w:val="20"/>
                <w:szCs w:val="20"/>
              </w:rPr>
            </w:pPr>
            <w:r w:rsidRPr="002A311E">
              <w:rPr>
                <w:sz w:val="20"/>
                <w:szCs w:val="20"/>
              </w:rPr>
              <w:t>4.7</w:t>
            </w:r>
          </w:p>
        </w:tc>
        <w:tc>
          <w:tcPr>
            <w:tcW w:w="1095" w:type="dxa"/>
            <w:tcBorders>
              <w:top w:val="single" w:sz="12" w:space="0" w:color="auto"/>
              <w:left w:val="nil"/>
              <w:right w:val="nil"/>
            </w:tcBorders>
            <w:vAlign w:val="center"/>
          </w:tcPr>
          <w:p w14:paraId="38E6774E" w14:textId="77777777" w:rsidR="000503C8" w:rsidRPr="002A311E" w:rsidRDefault="000503C8" w:rsidP="00013648">
            <w:pPr>
              <w:spacing w:line="240" w:lineRule="auto"/>
              <w:ind w:firstLine="0"/>
              <w:jc w:val="center"/>
              <w:rPr>
                <w:sz w:val="20"/>
                <w:szCs w:val="20"/>
              </w:rPr>
            </w:pPr>
            <w:r w:rsidRPr="002A311E">
              <w:rPr>
                <w:sz w:val="20"/>
                <w:szCs w:val="20"/>
              </w:rPr>
              <w:t>5.0</w:t>
            </w:r>
          </w:p>
        </w:tc>
        <w:tc>
          <w:tcPr>
            <w:tcW w:w="1024" w:type="dxa"/>
            <w:tcBorders>
              <w:top w:val="single" w:sz="12" w:space="0" w:color="auto"/>
              <w:left w:val="nil"/>
              <w:right w:val="nil"/>
            </w:tcBorders>
            <w:vAlign w:val="center"/>
          </w:tcPr>
          <w:p w14:paraId="7C7BC971" w14:textId="77777777" w:rsidR="000503C8" w:rsidRPr="002A311E" w:rsidRDefault="000503C8" w:rsidP="00013648">
            <w:pPr>
              <w:spacing w:line="240" w:lineRule="auto"/>
              <w:ind w:firstLine="0"/>
              <w:jc w:val="center"/>
              <w:rPr>
                <w:sz w:val="20"/>
                <w:szCs w:val="20"/>
              </w:rPr>
            </w:pPr>
            <w:r w:rsidRPr="002A311E">
              <w:rPr>
                <w:sz w:val="20"/>
                <w:szCs w:val="20"/>
              </w:rPr>
              <w:t>5.0</w:t>
            </w:r>
          </w:p>
        </w:tc>
        <w:tc>
          <w:tcPr>
            <w:tcW w:w="1028" w:type="dxa"/>
            <w:tcBorders>
              <w:top w:val="single" w:sz="12" w:space="0" w:color="auto"/>
              <w:left w:val="nil"/>
              <w:right w:val="nil"/>
            </w:tcBorders>
            <w:vAlign w:val="center"/>
          </w:tcPr>
          <w:p w14:paraId="33EBF9A6" w14:textId="77777777" w:rsidR="000503C8" w:rsidRPr="002A311E" w:rsidRDefault="000503C8" w:rsidP="00013648">
            <w:pPr>
              <w:spacing w:line="240" w:lineRule="auto"/>
              <w:ind w:firstLine="0"/>
              <w:jc w:val="center"/>
              <w:rPr>
                <w:sz w:val="20"/>
                <w:szCs w:val="20"/>
              </w:rPr>
            </w:pPr>
            <w:r w:rsidRPr="002A311E">
              <w:rPr>
                <w:sz w:val="20"/>
                <w:szCs w:val="20"/>
              </w:rPr>
              <w:t>5.0</w:t>
            </w:r>
          </w:p>
        </w:tc>
      </w:tr>
      <w:tr w:rsidR="000503C8" w:rsidRPr="0070296A" w14:paraId="5F485B42" w14:textId="77777777" w:rsidTr="00013648">
        <w:trPr>
          <w:trHeight w:val="36"/>
          <w:jc w:val="center"/>
        </w:trPr>
        <w:tc>
          <w:tcPr>
            <w:tcW w:w="3022" w:type="dxa"/>
            <w:tcBorders>
              <w:left w:val="nil"/>
              <w:bottom w:val="thickThinSmallGap" w:sz="24" w:space="0" w:color="auto"/>
              <w:right w:val="nil"/>
            </w:tcBorders>
            <w:vAlign w:val="center"/>
          </w:tcPr>
          <w:p w14:paraId="52BAF8E8" w14:textId="77777777" w:rsidR="000503C8" w:rsidRPr="002A311E" w:rsidRDefault="000503C8" w:rsidP="00013648">
            <w:pPr>
              <w:spacing w:line="240" w:lineRule="auto"/>
              <w:ind w:firstLine="0"/>
              <w:jc w:val="left"/>
              <w:rPr>
                <w:sz w:val="20"/>
                <w:szCs w:val="20"/>
              </w:rPr>
            </w:pPr>
            <w:r w:rsidRPr="002A311E">
              <w:rPr>
                <w:sz w:val="20"/>
                <w:szCs w:val="20"/>
              </w:rPr>
              <w:t>Միջին ժամկետայնություն (տարի)</w:t>
            </w:r>
          </w:p>
        </w:tc>
        <w:tc>
          <w:tcPr>
            <w:tcW w:w="1132" w:type="dxa"/>
            <w:tcBorders>
              <w:left w:val="nil"/>
              <w:bottom w:val="thickThinSmallGap" w:sz="24" w:space="0" w:color="auto"/>
              <w:right w:val="nil"/>
            </w:tcBorders>
            <w:vAlign w:val="center"/>
          </w:tcPr>
          <w:p w14:paraId="69EBC182" w14:textId="77777777" w:rsidR="000503C8" w:rsidRPr="002A311E" w:rsidRDefault="000503C8" w:rsidP="00013648">
            <w:pPr>
              <w:spacing w:line="240" w:lineRule="auto"/>
              <w:ind w:firstLine="0"/>
              <w:jc w:val="center"/>
              <w:rPr>
                <w:sz w:val="20"/>
                <w:szCs w:val="20"/>
              </w:rPr>
            </w:pPr>
            <w:r w:rsidRPr="002A311E">
              <w:rPr>
                <w:sz w:val="20"/>
                <w:szCs w:val="20"/>
              </w:rPr>
              <w:t>6.0</w:t>
            </w:r>
          </w:p>
        </w:tc>
        <w:tc>
          <w:tcPr>
            <w:tcW w:w="1066" w:type="dxa"/>
            <w:tcBorders>
              <w:left w:val="nil"/>
              <w:bottom w:val="thickThinSmallGap" w:sz="24" w:space="0" w:color="auto"/>
              <w:right w:val="nil"/>
            </w:tcBorders>
            <w:vAlign w:val="center"/>
          </w:tcPr>
          <w:p w14:paraId="146B8147" w14:textId="77777777" w:rsidR="000503C8" w:rsidRPr="002A311E" w:rsidRDefault="000503C8" w:rsidP="00013648">
            <w:pPr>
              <w:spacing w:line="240" w:lineRule="auto"/>
              <w:ind w:firstLine="0"/>
              <w:jc w:val="center"/>
              <w:rPr>
                <w:sz w:val="20"/>
                <w:szCs w:val="20"/>
              </w:rPr>
            </w:pPr>
            <w:r w:rsidRPr="002A311E">
              <w:rPr>
                <w:sz w:val="20"/>
                <w:szCs w:val="20"/>
              </w:rPr>
              <w:t>5.5</w:t>
            </w:r>
          </w:p>
        </w:tc>
        <w:tc>
          <w:tcPr>
            <w:tcW w:w="1238" w:type="dxa"/>
            <w:tcBorders>
              <w:left w:val="nil"/>
              <w:bottom w:val="thickThinSmallGap" w:sz="24" w:space="0" w:color="auto"/>
              <w:right w:val="double" w:sz="4" w:space="0" w:color="auto"/>
            </w:tcBorders>
            <w:vAlign w:val="center"/>
          </w:tcPr>
          <w:p w14:paraId="7B4B4D97" w14:textId="77777777" w:rsidR="000503C8" w:rsidRPr="002A311E" w:rsidRDefault="000503C8" w:rsidP="00013648">
            <w:pPr>
              <w:spacing w:line="240" w:lineRule="auto"/>
              <w:ind w:firstLine="0"/>
              <w:jc w:val="center"/>
              <w:rPr>
                <w:sz w:val="20"/>
                <w:szCs w:val="20"/>
              </w:rPr>
            </w:pPr>
            <w:r w:rsidRPr="002A311E">
              <w:rPr>
                <w:sz w:val="20"/>
                <w:szCs w:val="20"/>
              </w:rPr>
              <w:t>5.5</w:t>
            </w:r>
          </w:p>
        </w:tc>
        <w:tc>
          <w:tcPr>
            <w:tcW w:w="1087" w:type="dxa"/>
            <w:tcBorders>
              <w:left w:val="double" w:sz="4" w:space="0" w:color="auto"/>
              <w:bottom w:val="thickThinSmallGap" w:sz="24" w:space="0" w:color="auto"/>
              <w:right w:val="nil"/>
            </w:tcBorders>
            <w:vAlign w:val="center"/>
          </w:tcPr>
          <w:p w14:paraId="12ECA107" w14:textId="77777777" w:rsidR="000503C8" w:rsidRPr="002A311E" w:rsidRDefault="000503C8" w:rsidP="00013648">
            <w:pPr>
              <w:spacing w:line="240" w:lineRule="auto"/>
              <w:ind w:firstLine="0"/>
              <w:jc w:val="center"/>
              <w:rPr>
                <w:sz w:val="20"/>
                <w:szCs w:val="20"/>
              </w:rPr>
            </w:pPr>
            <w:r w:rsidRPr="002A311E">
              <w:rPr>
                <w:sz w:val="20"/>
                <w:szCs w:val="20"/>
              </w:rPr>
              <w:t>4.5</w:t>
            </w:r>
          </w:p>
        </w:tc>
        <w:tc>
          <w:tcPr>
            <w:tcW w:w="1095" w:type="dxa"/>
            <w:tcBorders>
              <w:left w:val="nil"/>
              <w:bottom w:val="thickThinSmallGap" w:sz="24" w:space="0" w:color="auto"/>
              <w:right w:val="nil"/>
            </w:tcBorders>
            <w:vAlign w:val="center"/>
          </w:tcPr>
          <w:p w14:paraId="1AEA5719" w14:textId="77777777" w:rsidR="000503C8" w:rsidRPr="002A311E" w:rsidRDefault="000503C8" w:rsidP="00013648">
            <w:pPr>
              <w:spacing w:line="240" w:lineRule="auto"/>
              <w:ind w:firstLine="0"/>
              <w:jc w:val="center"/>
              <w:rPr>
                <w:sz w:val="20"/>
                <w:szCs w:val="20"/>
              </w:rPr>
            </w:pPr>
            <w:r w:rsidRPr="002A311E">
              <w:rPr>
                <w:sz w:val="20"/>
                <w:szCs w:val="20"/>
              </w:rPr>
              <w:t>5.9</w:t>
            </w:r>
          </w:p>
        </w:tc>
        <w:tc>
          <w:tcPr>
            <w:tcW w:w="1024" w:type="dxa"/>
            <w:tcBorders>
              <w:left w:val="nil"/>
              <w:bottom w:val="thickThinSmallGap" w:sz="24" w:space="0" w:color="auto"/>
              <w:right w:val="nil"/>
            </w:tcBorders>
            <w:vAlign w:val="center"/>
          </w:tcPr>
          <w:p w14:paraId="2B1C0D7C" w14:textId="77777777" w:rsidR="000503C8" w:rsidRPr="002A311E" w:rsidRDefault="000503C8" w:rsidP="00013648">
            <w:pPr>
              <w:spacing w:line="240" w:lineRule="auto"/>
              <w:ind w:firstLine="0"/>
              <w:jc w:val="center"/>
              <w:rPr>
                <w:sz w:val="20"/>
                <w:szCs w:val="20"/>
              </w:rPr>
            </w:pPr>
            <w:r w:rsidRPr="002A311E">
              <w:rPr>
                <w:sz w:val="20"/>
                <w:szCs w:val="20"/>
              </w:rPr>
              <w:t>4.9</w:t>
            </w:r>
          </w:p>
        </w:tc>
        <w:tc>
          <w:tcPr>
            <w:tcW w:w="1028" w:type="dxa"/>
            <w:tcBorders>
              <w:left w:val="nil"/>
              <w:bottom w:val="thickThinSmallGap" w:sz="24" w:space="0" w:color="auto"/>
              <w:right w:val="nil"/>
            </w:tcBorders>
            <w:vAlign w:val="center"/>
          </w:tcPr>
          <w:p w14:paraId="6E3E18BF" w14:textId="77777777" w:rsidR="000503C8" w:rsidRPr="002A311E" w:rsidRDefault="000503C8" w:rsidP="00013648">
            <w:pPr>
              <w:spacing w:line="240" w:lineRule="auto"/>
              <w:ind w:firstLine="0"/>
              <w:jc w:val="center"/>
              <w:rPr>
                <w:sz w:val="20"/>
                <w:szCs w:val="20"/>
              </w:rPr>
            </w:pPr>
            <w:r w:rsidRPr="002A311E">
              <w:rPr>
                <w:sz w:val="20"/>
                <w:szCs w:val="20"/>
              </w:rPr>
              <w:t>3.9</w:t>
            </w:r>
          </w:p>
        </w:tc>
      </w:tr>
    </w:tbl>
    <w:p w14:paraId="75E1E730" w14:textId="77777777" w:rsidR="000503C8" w:rsidRDefault="000503C8" w:rsidP="000503C8">
      <w:pPr>
        <w:pStyle w:val="afd"/>
        <w:spacing w:before="120" w:after="0"/>
      </w:pPr>
      <w:r w:rsidRPr="000D4D8C">
        <w:rPr>
          <w:sz w:val="18"/>
        </w:rPr>
        <w:t>Աղբյուրը՝ ՀՀ ՖՆ հաշվարկներ և կանխատեսումներ</w:t>
      </w:r>
    </w:p>
    <w:p w14:paraId="766F1212" w14:textId="77777777" w:rsidR="000503C8" w:rsidRPr="0070296A" w:rsidRDefault="000503C8" w:rsidP="000503C8">
      <w:pPr>
        <w:pStyle w:val="afd"/>
        <w:numPr>
          <w:ilvl w:val="0"/>
          <w:numId w:val="21"/>
        </w:numPr>
        <w:spacing w:before="360" w:after="0"/>
        <w:ind w:left="1276" w:hanging="1276"/>
      </w:pPr>
      <w:r w:rsidRPr="0070296A">
        <w:t>ՀՀ կառավարության վարկերի և փոխառությունների ցուցանիշները 202</w:t>
      </w:r>
      <w:r>
        <w:t>2</w:t>
      </w:r>
      <w:r w:rsidRPr="0070296A">
        <w:t>-202</w:t>
      </w:r>
      <w:r>
        <w:t>7</w:t>
      </w:r>
      <w:r w:rsidRPr="0070296A">
        <w:t xml:space="preserve"> թվականներին</w:t>
      </w:r>
    </w:p>
    <w:p w14:paraId="1E1543A3" w14:textId="77777777" w:rsidR="000503C8" w:rsidRPr="0070296A" w:rsidRDefault="000503C8" w:rsidP="000503C8">
      <w:pPr>
        <w:pStyle w:val="afd"/>
        <w:spacing w:before="120"/>
      </w:pPr>
      <w:r w:rsidRPr="0070296A">
        <w:t>(մլն ԱՄՆ դոլար)</w:t>
      </w:r>
    </w:p>
    <w:tbl>
      <w:tblPr>
        <w:tblW w:w="10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7"/>
        <w:gridCol w:w="1196"/>
        <w:gridCol w:w="1071"/>
        <w:gridCol w:w="1193"/>
        <w:gridCol w:w="1127"/>
        <w:gridCol w:w="1016"/>
        <w:gridCol w:w="1055"/>
        <w:gridCol w:w="185"/>
        <w:gridCol w:w="990"/>
        <w:gridCol w:w="28"/>
      </w:tblGrid>
      <w:tr w:rsidR="000503C8" w:rsidRPr="0070296A" w14:paraId="6E922EFB" w14:textId="77777777" w:rsidTr="002A311E">
        <w:trPr>
          <w:trHeight w:val="708"/>
          <w:tblHeader/>
          <w:jc w:val="center"/>
        </w:trPr>
        <w:tc>
          <w:tcPr>
            <w:tcW w:w="2877"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30D08AE0" w14:textId="77777777" w:rsidR="000503C8" w:rsidRPr="002A311E" w:rsidRDefault="000503C8" w:rsidP="00013648">
            <w:pPr>
              <w:spacing w:line="240" w:lineRule="auto"/>
              <w:ind w:firstLine="0"/>
              <w:jc w:val="center"/>
              <w:rPr>
                <w:sz w:val="20"/>
                <w:szCs w:val="20"/>
              </w:rPr>
            </w:pPr>
          </w:p>
        </w:tc>
        <w:tc>
          <w:tcPr>
            <w:tcW w:w="119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4B6C71DD" w14:textId="77777777" w:rsidR="000503C8" w:rsidRPr="002A311E" w:rsidRDefault="000503C8" w:rsidP="00013648">
            <w:pPr>
              <w:spacing w:line="240" w:lineRule="auto"/>
              <w:ind w:firstLine="0"/>
              <w:jc w:val="center"/>
              <w:rPr>
                <w:sz w:val="20"/>
                <w:szCs w:val="20"/>
              </w:rPr>
            </w:pPr>
            <w:r w:rsidRPr="002A311E">
              <w:rPr>
                <w:sz w:val="20"/>
                <w:szCs w:val="20"/>
              </w:rPr>
              <w:t>2022 փաստ.</w:t>
            </w:r>
          </w:p>
        </w:tc>
        <w:tc>
          <w:tcPr>
            <w:tcW w:w="1071"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1A5917DC" w14:textId="77777777" w:rsidR="000503C8" w:rsidRPr="002A311E" w:rsidRDefault="000503C8" w:rsidP="00013648">
            <w:pPr>
              <w:spacing w:line="240" w:lineRule="auto"/>
              <w:ind w:firstLine="0"/>
              <w:jc w:val="center"/>
              <w:rPr>
                <w:sz w:val="20"/>
                <w:szCs w:val="20"/>
              </w:rPr>
            </w:pPr>
            <w:r w:rsidRPr="002A311E">
              <w:rPr>
                <w:sz w:val="20"/>
                <w:szCs w:val="20"/>
              </w:rPr>
              <w:t>2023 փաստ.</w:t>
            </w:r>
          </w:p>
        </w:tc>
        <w:tc>
          <w:tcPr>
            <w:tcW w:w="1193" w:type="dxa"/>
            <w:tcBorders>
              <w:top w:val="thinThickThinSmallGap" w:sz="24" w:space="0" w:color="auto"/>
              <w:left w:val="nil"/>
              <w:bottom w:val="thinThickSmallGap" w:sz="24" w:space="0" w:color="auto"/>
              <w:right w:val="double" w:sz="4" w:space="0" w:color="auto"/>
            </w:tcBorders>
            <w:shd w:val="clear" w:color="auto" w:fill="BDD6EE" w:themeFill="accent1" w:themeFillTint="66"/>
            <w:vAlign w:val="center"/>
          </w:tcPr>
          <w:p w14:paraId="66F50DF7" w14:textId="77777777" w:rsidR="000503C8" w:rsidRPr="002A311E" w:rsidRDefault="000503C8" w:rsidP="00013648">
            <w:pPr>
              <w:spacing w:line="240" w:lineRule="auto"/>
              <w:ind w:firstLine="0"/>
              <w:jc w:val="center"/>
              <w:rPr>
                <w:sz w:val="20"/>
                <w:szCs w:val="20"/>
              </w:rPr>
            </w:pPr>
            <w:r w:rsidRPr="002A311E">
              <w:rPr>
                <w:sz w:val="20"/>
                <w:szCs w:val="20"/>
              </w:rPr>
              <w:t>2024 պետբյուջեի ծրագիր</w:t>
            </w:r>
          </w:p>
        </w:tc>
        <w:tc>
          <w:tcPr>
            <w:tcW w:w="1127" w:type="dxa"/>
            <w:tcBorders>
              <w:top w:val="thinThickThinSmallGap" w:sz="24" w:space="0" w:color="auto"/>
              <w:left w:val="double" w:sz="4" w:space="0" w:color="auto"/>
              <w:bottom w:val="thinThickSmallGap" w:sz="24" w:space="0" w:color="auto"/>
              <w:right w:val="nil"/>
            </w:tcBorders>
            <w:shd w:val="clear" w:color="auto" w:fill="BDD6EE" w:themeFill="accent1" w:themeFillTint="66"/>
            <w:vAlign w:val="center"/>
          </w:tcPr>
          <w:p w14:paraId="62259BAA" w14:textId="77777777" w:rsidR="000503C8" w:rsidRPr="002A311E" w:rsidRDefault="000503C8" w:rsidP="00013648">
            <w:pPr>
              <w:spacing w:line="240" w:lineRule="auto"/>
              <w:ind w:firstLine="0"/>
              <w:jc w:val="center"/>
              <w:rPr>
                <w:sz w:val="20"/>
                <w:szCs w:val="20"/>
              </w:rPr>
            </w:pPr>
            <w:r w:rsidRPr="002A311E">
              <w:rPr>
                <w:sz w:val="20"/>
                <w:szCs w:val="20"/>
              </w:rPr>
              <w:t>2024 կանխ.</w:t>
            </w:r>
          </w:p>
        </w:tc>
        <w:tc>
          <w:tcPr>
            <w:tcW w:w="1016" w:type="dxa"/>
            <w:tcBorders>
              <w:top w:val="thinThickThinSmallGap" w:sz="24" w:space="0" w:color="auto"/>
              <w:left w:val="nil"/>
              <w:bottom w:val="thinThickSmallGap" w:sz="24" w:space="0" w:color="auto"/>
              <w:right w:val="nil"/>
            </w:tcBorders>
            <w:shd w:val="clear" w:color="auto" w:fill="BDD6EE" w:themeFill="accent1" w:themeFillTint="66"/>
            <w:vAlign w:val="center"/>
          </w:tcPr>
          <w:p w14:paraId="57D1A7EA" w14:textId="77777777" w:rsidR="000503C8" w:rsidRPr="002A311E" w:rsidRDefault="000503C8" w:rsidP="00013648">
            <w:pPr>
              <w:spacing w:line="240" w:lineRule="auto"/>
              <w:ind w:firstLine="0"/>
              <w:jc w:val="center"/>
              <w:rPr>
                <w:sz w:val="20"/>
                <w:szCs w:val="20"/>
              </w:rPr>
            </w:pPr>
            <w:r w:rsidRPr="002A311E">
              <w:rPr>
                <w:sz w:val="20"/>
                <w:szCs w:val="20"/>
              </w:rPr>
              <w:t>2025 կանխ.</w:t>
            </w:r>
          </w:p>
        </w:tc>
        <w:tc>
          <w:tcPr>
            <w:tcW w:w="1240" w:type="dxa"/>
            <w:gridSpan w:val="2"/>
            <w:tcBorders>
              <w:top w:val="thinThickThinSmallGap" w:sz="24" w:space="0" w:color="auto"/>
              <w:left w:val="nil"/>
              <w:bottom w:val="thinThickSmallGap" w:sz="24" w:space="0" w:color="auto"/>
              <w:right w:val="nil"/>
            </w:tcBorders>
            <w:shd w:val="clear" w:color="auto" w:fill="BDD6EE" w:themeFill="accent1" w:themeFillTint="66"/>
            <w:vAlign w:val="center"/>
          </w:tcPr>
          <w:p w14:paraId="2123B013" w14:textId="77777777" w:rsidR="000503C8" w:rsidRPr="002A311E" w:rsidRDefault="000503C8" w:rsidP="00013648">
            <w:pPr>
              <w:spacing w:line="240" w:lineRule="auto"/>
              <w:ind w:firstLine="0"/>
              <w:jc w:val="center"/>
              <w:rPr>
                <w:sz w:val="20"/>
                <w:szCs w:val="20"/>
              </w:rPr>
            </w:pPr>
            <w:r w:rsidRPr="002A311E">
              <w:rPr>
                <w:sz w:val="20"/>
                <w:szCs w:val="20"/>
              </w:rPr>
              <w:t>2026 կանխ.</w:t>
            </w:r>
          </w:p>
        </w:tc>
        <w:tc>
          <w:tcPr>
            <w:tcW w:w="1018" w:type="dxa"/>
            <w:gridSpan w:val="2"/>
            <w:tcBorders>
              <w:top w:val="thinThickThinSmallGap" w:sz="24" w:space="0" w:color="auto"/>
              <w:left w:val="nil"/>
              <w:bottom w:val="thinThickSmallGap" w:sz="24" w:space="0" w:color="auto"/>
              <w:right w:val="nil"/>
            </w:tcBorders>
            <w:shd w:val="clear" w:color="auto" w:fill="BDD6EE" w:themeFill="accent1" w:themeFillTint="66"/>
            <w:vAlign w:val="center"/>
          </w:tcPr>
          <w:p w14:paraId="71268A3D" w14:textId="77777777" w:rsidR="000503C8" w:rsidRPr="002A311E" w:rsidRDefault="000503C8" w:rsidP="00013648">
            <w:pPr>
              <w:spacing w:line="240" w:lineRule="auto"/>
              <w:ind w:firstLine="0"/>
              <w:jc w:val="center"/>
              <w:rPr>
                <w:sz w:val="20"/>
                <w:szCs w:val="20"/>
              </w:rPr>
            </w:pPr>
            <w:r w:rsidRPr="002A311E">
              <w:rPr>
                <w:sz w:val="20"/>
                <w:szCs w:val="20"/>
              </w:rPr>
              <w:t>2027 կանխ.</w:t>
            </w:r>
          </w:p>
        </w:tc>
      </w:tr>
      <w:tr w:rsidR="000503C8" w:rsidRPr="0070296A" w14:paraId="30B106C9" w14:textId="77777777" w:rsidTr="00013648">
        <w:trPr>
          <w:gridAfter w:val="1"/>
          <w:wAfter w:w="28" w:type="dxa"/>
          <w:trHeight w:val="510"/>
          <w:jc w:val="center"/>
        </w:trPr>
        <w:tc>
          <w:tcPr>
            <w:tcW w:w="2877" w:type="dxa"/>
            <w:tcBorders>
              <w:left w:val="nil"/>
              <w:bottom w:val="single" w:sz="4" w:space="0" w:color="auto"/>
              <w:right w:val="nil"/>
            </w:tcBorders>
            <w:vAlign w:val="center"/>
          </w:tcPr>
          <w:p w14:paraId="792157E1" w14:textId="77777777" w:rsidR="000503C8" w:rsidRPr="002A311E" w:rsidRDefault="000503C8" w:rsidP="00013648">
            <w:pPr>
              <w:spacing w:line="240" w:lineRule="auto"/>
              <w:ind w:firstLine="0"/>
              <w:jc w:val="left"/>
              <w:rPr>
                <w:sz w:val="20"/>
                <w:szCs w:val="20"/>
              </w:rPr>
            </w:pPr>
            <w:r w:rsidRPr="002A311E">
              <w:rPr>
                <w:sz w:val="20"/>
                <w:szCs w:val="20"/>
              </w:rPr>
              <w:t>Կառավարության վարկեր և փոխառություններ</w:t>
            </w:r>
          </w:p>
        </w:tc>
        <w:tc>
          <w:tcPr>
            <w:tcW w:w="1196" w:type="dxa"/>
            <w:tcBorders>
              <w:left w:val="nil"/>
              <w:bottom w:val="single" w:sz="4" w:space="0" w:color="auto"/>
              <w:right w:val="nil"/>
            </w:tcBorders>
            <w:vAlign w:val="center"/>
          </w:tcPr>
          <w:p w14:paraId="0F3546F5"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4,503.9</w:t>
            </w:r>
          </w:p>
        </w:tc>
        <w:tc>
          <w:tcPr>
            <w:tcW w:w="1071" w:type="dxa"/>
            <w:tcBorders>
              <w:left w:val="nil"/>
              <w:bottom w:val="single" w:sz="4" w:space="0" w:color="auto"/>
              <w:right w:val="nil"/>
            </w:tcBorders>
            <w:vAlign w:val="center"/>
          </w:tcPr>
          <w:p w14:paraId="09EFCDFE"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4,503.9</w:t>
            </w:r>
          </w:p>
        </w:tc>
        <w:tc>
          <w:tcPr>
            <w:tcW w:w="1193" w:type="dxa"/>
            <w:tcBorders>
              <w:left w:val="nil"/>
              <w:bottom w:val="single" w:sz="4" w:space="0" w:color="auto"/>
              <w:right w:val="double" w:sz="4" w:space="0" w:color="auto"/>
            </w:tcBorders>
            <w:vAlign w:val="center"/>
          </w:tcPr>
          <w:p w14:paraId="4FBE4A76"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4,536.0</w:t>
            </w:r>
          </w:p>
        </w:tc>
        <w:tc>
          <w:tcPr>
            <w:tcW w:w="1127" w:type="dxa"/>
            <w:tcBorders>
              <w:left w:val="double" w:sz="4" w:space="0" w:color="auto"/>
              <w:bottom w:val="single" w:sz="4" w:space="0" w:color="auto"/>
              <w:right w:val="nil"/>
            </w:tcBorders>
            <w:vAlign w:val="center"/>
          </w:tcPr>
          <w:p w14:paraId="523B6BC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5,056.8</w:t>
            </w:r>
          </w:p>
        </w:tc>
        <w:tc>
          <w:tcPr>
            <w:tcW w:w="1016" w:type="dxa"/>
            <w:tcBorders>
              <w:left w:val="nil"/>
              <w:bottom w:val="single" w:sz="4" w:space="0" w:color="auto"/>
              <w:right w:val="nil"/>
            </w:tcBorders>
            <w:vAlign w:val="center"/>
          </w:tcPr>
          <w:p w14:paraId="4CA1B19D"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4,821.0</w:t>
            </w:r>
          </w:p>
        </w:tc>
        <w:tc>
          <w:tcPr>
            <w:tcW w:w="1055" w:type="dxa"/>
            <w:tcBorders>
              <w:left w:val="nil"/>
              <w:bottom w:val="single" w:sz="4" w:space="0" w:color="auto"/>
              <w:right w:val="nil"/>
            </w:tcBorders>
            <w:vAlign w:val="center"/>
          </w:tcPr>
          <w:p w14:paraId="7227C074"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5,608.6</w:t>
            </w:r>
          </w:p>
        </w:tc>
        <w:tc>
          <w:tcPr>
            <w:tcW w:w="1175" w:type="dxa"/>
            <w:gridSpan w:val="2"/>
            <w:tcBorders>
              <w:left w:val="nil"/>
              <w:bottom w:val="single" w:sz="4" w:space="0" w:color="auto"/>
              <w:right w:val="nil"/>
            </w:tcBorders>
            <w:vAlign w:val="center"/>
          </w:tcPr>
          <w:p w14:paraId="7A0F1BF9"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6,423.6</w:t>
            </w:r>
          </w:p>
        </w:tc>
      </w:tr>
      <w:tr w:rsidR="000503C8" w:rsidRPr="0070296A" w14:paraId="72B9DA27" w14:textId="77777777" w:rsidTr="00013648">
        <w:trPr>
          <w:gridAfter w:val="1"/>
          <w:wAfter w:w="28" w:type="dxa"/>
          <w:trHeight w:val="255"/>
          <w:jc w:val="center"/>
        </w:trPr>
        <w:tc>
          <w:tcPr>
            <w:tcW w:w="2877" w:type="dxa"/>
            <w:tcBorders>
              <w:left w:val="nil"/>
              <w:bottom w:val="single" w:sz="12" w:space="0" w:color="auto"/>
              <w:right w:val="nil"/>
            </w:tcBorders>
            <w:vAlign w:val="center"/>
          </w:tcPr>
          <w:p w14:paraId="125E1315" w14:textId="77777777" w:rsidR="000503C8" w:rsidRPr="002A311E" w:rsidRDefault="000503C8" w:rsidP="00013648">
            <w:pPr>
              <w:spacing w:line="240" w:lineRule="auto"/>
              <w:ind w:firstLine="0"/>
              <w:jc w:val="left"/>
              <w:rPr>
                <w:sz w:val="20"/>
                <w:szCs w:val="20"/>
              </w:rPr>
            </w:pPr>
            <w:r w:rsidRPr="002A311E">
              <w:rPr>
                <w:sz w:val="20"/>
                <w:szCs w:val="20"/>
              </w:rPr>
              <w:t>% ՀՆԱ-ի նկատմամբ</w:t>
            </w:r>
          </w:p>
        </w:tc>
        <w:tc>
          <w:tcPr>
            <w:tcW w:w="1196" w:type="dxa"/>
            <w:tcBorders>
              <w:left w:val="nil"/>
              <w:bottom w:val="single" w:sz="12" w:space="0" w:color="auto"/>
              <w:right w:val="nil"/>
            </w:tcBorders>
            <w:vAlign w:val="center"/>
          </w:tcPr>
          <w:p w14:paraId="3E0EB9BC"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20.9</w:t>
            </w:r>
          </w:p>
        </w:tc>
        <w:tc>
          <w:tcPr>
            <w:tcW w:w="1071" w:type="dxa"/>
            <w:tcBorders>
              <w:left w:val="nil"/>
              <w:bottom w:val="single" w:sz="12" w:space="0" w:color="auto"/>
              <w:right w:val="nil"/>
            </w:tcBorders>
            <w:vAlign w:val="center"/>
          </w:tcPr>
          <w:p w14:paraId="55F84879"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20.9</w:t>
            </w:r>
          </w:p>
        </w:tc>
        <w:tc>
          <w:tcPr>
            <w:tcW w:w="1193" w:type="dxa"/>
            <w:tcBorders>
              <w:left w:val="nil"/>
              <w:bottom w:val="single" w:sz="12" w:space="0" w:color="auto"/>
              <w:right w:val="double" w:sz="4" w:space="0" w:color="auto"/>
            </w:tcBorders>
            <w:vAlign w:val="center"/>
          </w:tcPr>
          <w:p w14:paraId="3101285E"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19.3</w:t>
            </w:r>
          </w:p>
        </w:tc>
        <w:tc>
          <w:tcPr>
            <w:tcW w:w="1127" w:type="dxa"/>
            <w:tcBorders>
              <w:left w:val="double" w:sz="4" w:space="0" w:color="auto"/>
              <w:bottom w:val="single" w:sz="12" w:space="0" w:color="auto"/>
              <w:right w:val="nil"/>
            </w:tcBorders>
            <w:vAlign w:val="center"/>
          </w:tcPr>
          <w:p w14:paraId="147672E5"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20.6</w:t>
            </w:r>
          </w:p>
        </w:tc>
        <w:tc>
          <w:tcPr>
            <w:tcW w:w="1016" w:type="dxa"/>
            <w:tcBorders>
              <w:left w:val="nil"/>
              <w:bottom w:val="single" w:sz="12" w:space="0" w:color="auto"/>
              <w:right w:val="nil"/>
            </w:tcBorders>
            <w:vAlign w:val="center"/>
          </w:tcPr>
          <w:p w14:paraId="1F227F6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20.0</w:t>
            </w:r>
          </w:p>
        </w:tc>
        <w:tc>
          <w:tcPr>
            <w:tcW w:w="1055" w:type="dxa"/>
            <w:tcBorders>
              <w:left w:val="nil"/>
              <w:bottom w:val="single" w:sz="12" w:space="0" w:color="auto"/>
              <w:right w:val="nil"/>
            </w:tcBorders>
            <w:vAlign w:val="center"/>
          </w:tcPr>
          <w:p w14:paraId="097D6AF5"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22.2</w:t>
            </w:r>
          </w:p>
        </w:tc>
        <w:tc>
          <w:tcPr>
            <w:tcW w:w="1175" w:type="dxa"/>
            <w:gridSpan w:val="2"/>
            <w:tcBorders>
              <w:left w:val="nil"/>
              <w:bottom w:val="single" w:sz="12" w:space="0" w:color="auto"/>
              <w:right w:val="nil"/>
            </w:tcBorders>
            <w:vAlign w:val="center"/>
          </w:tcPr>
          <w:p w14:paraId="2B7CEDC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23.9</w:t>
            </w:r>
          </w:p>
        </w:tc>
      </w:tr>
      <w:tr w:rsidR="000503C8" w:rsidRPr="0070296A" w14:paraId="3C329713" w14:textId="77777777" w:rsidTr="00013648">
        <w:trPr>
          <w:gridAfter w:val="1"/>
          <w:wAfter w:w="28" w:type="dxa"/>
          <w:trHeight w:val="255"/>
          <w:jc w:val="center"/>
        </w:trPr>
        <w:tc>
          <w:tcPr>
            <w:tcW w:w="2877" w:type="dxa"/>
            <w:tcBorders>
              <w:top w:val="single" w:sz="12" w:space="0" w:color="auto"/>
              <w:left w:val="nil"/>
              <w:right w:val="nil"/>
            </w:tcBorders>
            <w:vAlign w:val="center"/>
          </w:tcPr>
          <w:p w14:paraId="5EF31096" w14:textId="77777777" w:rsidR="000503C8" w:rsidRPr="002A311E" w:rsidRDefault="000503C8" w:rsidP="00013648">
            <w:pPr>
              <w:spacing w:line="240" w:lineRule="auto"/>
              <w:ind w:firstLine="0"/>
              <w:jc w:val="left"/>
              <w:rPr>
                <w:sz w:val="20"/>
                <w:szCs w:val="20"/>
              </w:rPr>
            </w:pPr>
            <w:r w:rsidRPr="002A311E">
              <w:rPr>
                <w:sz w:val="20"/>
                <w:szCs w:val="20"/>
              </w:rPr>
              <w:t>Ըստ վարկատուի</w:t>
            </w:r>
          </w:p>
        </w:tc>
        <w:tc>
          <w:tcPr>
            <w:tcW w:w="1196" w:type="dxa"/>
            <w:tcBorders>
              <w:top w:val="single" w:sz="12" w:space="0" w:color="auto"/>
              <w:left w:val="nil"/>
              <w:right w:val="nil"/>
            </w:tcBorders>
            <w:vAlign w:val="center"/>
          </w:tcPr>
          <w:p w14:paraId="2DD0459A" w14:textId="77777777" w:rsidR="000503C8" w:rsidRPr="002A311E" w:rsidRDefault="000503C8" w:rsidP="00013648">
            <w:pPr>
              <w:spacing w:line="240" w:lineRule="auto"/>
              <w:ind w:firstLine="0"/>
              <w:jc w:val="center"/>
              <w:rPr>
                <w:color w:val="000000" w:themeColor="text1"/>
                <w:sz w:val="20"/>
                <w:szCs w:val="20"/>
              </w:rPr>
            </w:pPr>
          </w:p>
        </w:tc>
        <w:tc>
          <w:tcPr>
            <w:tcW w:w="1071" w:type="dxa"/>
            <w:tcBorders>
              <w:top w:val="single" w:sz="12" w:space="0" w:color="auto"/>
              <w:left w:val="nil"/>
              <w:right w:val="nil"/>
            </w:tcBorders>
            <w:vAlign w:val="center"/>
          </w:tcPr>
          <w:p w14:paraId="2A0AE922" w14:textId="77777777" w:rsidR="000503C8" w:rsidRPr="002A311E" w:rsidRDefault="000503C8" w:rsidP="00013648">
            <w:pPr>
              <w:spacing w:line="240" w:lineRule="auto"/>
              <w:ind w:firstLine="0"/>
              <w:jc w:val="center"/>
              <w:rPr>
                <w:color w:val="000000" w:themeColor="text1"/>
                <w:sz w:val="20"/>
                <w:szCs w:val="20"/>
              </w:rPr>
            </w:pPr>
          </w:p>
        </w:tc>
        <w:tc>
          <w:tcPr>
            <w:tcW w:w="1193" w:type="dxa"/>
            <w:tcBorders>
              <w:top w:val="single" w:sz="12" w:space="0" w:color="auto"/>
              <w:left w:val="nil"/>
              <w:right w:val="double" w:sz="4" w:space="0" w:color="auto"/>
            </w:tcBorders>
            <w:vAlign w:val="center"/>
          </w:tcPr>
          <w:p w14:paraId="7F9E7C10" w14:textId="77777777" w:rsidR="000503C8" w:rsidRPr="002A311E" w:rsidRDefault="000503C8" w:rsidP="00013648">
            <w:pPr>
              <w:spacing w:line="240" w:lineRule="auto"/>
              <w:ind w:firstLine="0"/>
              <w:jc w:val="center"/>
              <w:rPr>
                <w:color w:val="000000" w:themeColor="text1"/>
                <w:sz w:val="20"/>
                <w:szCs w:val="20"/>
              </w:rPr>
            </w:pPr>
          </w:p>
        </w:tc>
        <w:tc>
          <w:tcPr>
            <w:tcW w:w="1127" w:type="dxa"/>
            <w:tcBorders>
              <w:top w:val="single" w:sz="12" w:space="0" w:color="auto"/>
              <w:left w:val="double" w:sz="4" w:space="0" w:color="auto"/>
              <w:right w:val="nil"/>
            </w:tcBorders>
            <w:vAlign w:val="center"/>
          </w:tcPr>
          <w:p w14:paraId="7E0A7349" w14:textId="77777777" w:rsidR="000503C8" w:rsidRPr="002A311E" w:rsidRDefault="000503C8" w:rsidP="00013648">
            <w:pPr>
              <w:spacing w:line="240" w:lineRule="auto"/>
              <w:ind w:firstLine="0"/>
              <w:jc w:val="center"/>
              <w:rPr>
                <w:color w:val="000000" w:themeColor="text1"/>
                <w:sz w:val="20"/>
                <w:szCs w:val="20"/>
              </w:rPr>
            </w:pPr>
          </w:p>
        </w:tc>
        <w:tc>
          <w:tcPr>
            <w:tcW w:w="1016" w:type="dxa"/>
            <w:tcBorders>
              <w:top w:val="single" w:sz="12" w:space="0" w:color="auto"/>
              <w:left w:val="nil"/>
              <w:right w:val="nil"/>
            </w:tcBorders>
            <w:vAlign w:val="center"/>
          </w:tcPr>
          <w:p w14:paraId="71F5B2EC" w14:textId="77777777" w:rsidR="000503C8" w:rsidRPr="002A311E" w:rsidRDefault="000503C8" w:rsidP="00013648">
            <w:pPr>
              <w:spacing w:line="240" w:lineRule="auto"/>
              <w:ind w:firstLine="0"/>
              <w:jc w:val="center"/>
              <w:rPr>
                <w:color w:val="000000" w:themeColor="text1"/>
                <w:sz w:val="20"/>
                <w:szCs w:val="20"/>
              </w:rPr>
            </w:pPr>
          </w:p>
        </w:tc>
        <w:tc>
          <w:tcPr>
            <w:tcW w:w="1055" w:type="dxa"/>
            <w:tcBorders>
              <w:top w:val="single" w:sz="12" w:space="0" w:color="auto"/>
              <w:left w:val="nil"/>
              <w:right w:val="nil"/>
            </w:tcBorders>
            <w:vAlign w:val="center"/>
          </w:tcPr>
          <w:p w14:paraId="79DE0E3A" w14:textId="77777777" w:rsidR="000503C8" w:rsidRPr="002A311E" w:rsidRDefault="000503C8" w:rsidP="00013648">
            <w:pPr>
              <w:spacing w:line="240" w:lineRule="auto"/>
              <w:ind w:firstLine="0"/>
              <w:jc w:val="center"/>
              <w:rPr>
                <w:color w:val="000000" w:themeColor="text1"/>
                <w:sz w:val="20"/>
                <w:szCs w:val="20"/>
              </w:rPr>
            </w:pPr>
          </w:p>
        </w:tc>
        <w:tc>
          <w:tcPr>
            <w:tcW w:w="1175" w:type="dxa"/>
            <w:gridSpan w:val="2"/>
            <w:tcBorders>
              <w:top w:val="single" w:sz="12" w:space="0" w:color="auto"/>
              <w:left w:val="nil"/>
              <w:right w:val="nil"/>
            </w:tcBorders>
            <w:vAlign w:val="center"/>
          </w:tcPr>
          <w:p w14:paraId="56D4C912" w14:textId="77777777" w:rsidR="000503C8" w:rsidRPr="002A311E" w:rsidRDefault="000503C8" w:rsidP="00013648">
            <w:pPr>
              <w:spacing w:line="240" w:lineRule="auto"/>
              <w:ind w:firstLine="0"/>
              <w:jc w:val="center"/>
              <w:rPr>
                <w:color w:val="000000" w:themeColor="text1"/>
                <w:sz w:val="20"/>
                <w:szCs w:val="20"/>
              </w:rPr>
            </w:pPr>
          </w:p>
        </w:tc>
      </w:tr>
      <w:tr w:rsidR="000503C8" w:rsidRPr="0070296A" w14:paraId="1A615D54" w14:textId="77777777" w:rsidTr="00013648">
        <w:trPr>
          <w:gridAfter w:val="1"/>
          <w:wAfter w:w="28" w:type="dxa"/>
          <w:trHeight w:val="510"/>
          <w:jc w:val="center"/>
        </w:trPr>
        <w:tc>
          <w:tcPr>
            <w:tcW w:w="2877" w:type="dxa"/>
            <w:tcBorders>
              <w:left w:val="nil"/>
              <w:right w:val="nil"/>
            </w:tcBorders>
            <w:vAlign w:val="center"/>
          </w:tcPr>
          <w:p w14:paraId="7BDA7E14" w14:textId="77777777" w:rsidR="000503C8" w:rsidRPr="002A311E" w:rsidRDefault="000503C8" w:rsidP="00013648">
            <w:pPr>
              <w:spacing w:line="240" w:lineRule="auto"/>
              <w:ind w:left="202" w:firstLine="0"/>
              <w:jc w:val="left"/>
              <w:rPr>
                <w:sz w:val="20"/>
                <w:szCs w:val="20"/>
              </w:rPr>
            </w:pPr>
            <w:r w:rsidRPr="002A311E">
              <w:rPr>
                <w:sz w:val="20"/>
                <w:szCs w:val="20"/>
              </w:rPr>
              <w:t>միջազգային ֆինանսական կառույցներից</w:t>
            </w:r>
          </w:p>
        </w:tc>
        <w:tc>
          <w:tcPr>
            <w:tcW w:w="1196" w:type="dxa"/>
            <w:tcBorders>
              <w:left w:val="nil"/>
              <w:right w:val="nil"/>
            </w:tcBorders>
            <w:vAlign w:val="center"/>
          </w:tcPr>
          <w:p w14:paraId="0823BEBA"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3,495.9</w:t>
            </w:r>
          </w:p>
        </w:tc>
        <w:tc>
          <w:tcPr>
            <w:tcW w:w="1071" w:type="dxa"/>
            <w:tcBorders>
              <w:left w:val="nil"/>
              <w:right w:val="nil"/>
            </w:tcBorders>
            <w:vAlign w:val="center"/>
          </w:tcPr>
          <w:p w14:paraId="5E58A9FA"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3,590.1</w:t>
            </w:r>
          </w:p>
        </w:tc>
        <w:tc>
          <w:tcPr>
            <w:tcW w:w="1193" w:type="dxa"/>
            <w:tcBorders>
              <w:left w:val="nil"/>
              <w:right w:val="double" w:sz="4" w:space="0" w:color="auto"/>
            </w:tcBorders>
            <w:vAlign w:val="center"/>
          </w:tcPr>
          <w:p w14:paraId="0A7DD5CF"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4,049.9</w:t>
            </w:r>
          </w:p>
        </w:tc>
        <w:tc>
          <w:tcPr>
            <w:tcW w:w="1127" w:type="dxa"/>
            <w:tcBorders>
              <w:left w:val="double" w:sz="4" w:space="0" w:color="auto"/>
              <w:right w:val="nil"/>
            </w:tcBorders>
            <w:vAlign w:val="center"/>
          </w:tcPr>
          <w:p w14:paraId="18800E97"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3,737.2</w:t>
            </w:r>
          </w:p>
        </w:tc>
        <w:tc>
          <w:tcPr>
            <w:tcW w:w="1016" w:type="dxa"/>
            <w:tcBorders>
              <w:left w:val="nil"/>
              <w:right w:val="nil"/>
            </w:tcBorders>
            <w:vAlign w:val="center"/>
          </w:tcPr>
          <w:p w14:paraId="03BC66AA"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3,667.3</w:t>
            </w:r>
          </w:p>
        </w:tc>
        <w:tc>
          <w:tcPr>
            <w:tcW w:w="1055" w:type="dxa"/>
            <w:tcBorders>
              <w:left w:val="nil"/>
              <w:right w:val="nil"/>
            </w:tcBorders>
            <w:vAlign w:val="center"/>
          </w:tcPr>
          <w:p w14:paraId="6DBB36E3"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3,636.7</w:t>
            </w:r>
          </w:p>
        </w:tc>
        <w:tc>
          <w:tcPr>
            <w:tcW w:w="1175" w:type="dxa"/>
            <w:gridSpan w:val="2"/>
            <w:tcBorders>
              <w:left w:val="nil"/>
              <w:right w:val="nil"/>
            </w:tcBorders>
            <w:vAlign w:val="center"/>
          </w:tcPr>
          <w:p w14:paraId="423585F8"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3,992.1</w:t>
            </w:r>
          </w:p>
        </w:tc>
      </w:tr>
      <w:tr w:rsidR="000503C8" w:rsidRPr="0070296A" w14:paraId="1AC12AA0" w14:textId="77777777" w:rsidTr="00013648">
        <w:trPr>
          <w:gridAfter w:val="1"/>
          <w:wAfter w:w="28" w:type="dxa"/>
          <w:trHeight w:val="248"/>
          <w:jc w:val="center"/>
        </w:trPr>
        <w:tc>
          <w:tcPr>
            <w:tcW w:w="2877" w:type="dxa"/>
            <w:tcBorders>
              <w:left w:val="nil"/>
              <w:bottom w:val="single" w:sz="4" w:space="0" w:color="auto"/>
              <w:right w:val="nil"/>
            </w:tcBorders>
            <w:vAlign w:val="center"/>
          </w:tcPr>
          <w:p w14:paraId="24461803" w14:textId="77777777" w:rsidR="000503C8" w:rsidRPr="002A311E" w:rsidRDefault="000503C8" w:rsidP="00013648">
            <w:pPr>
              <w:spacing w:line="240" w:lineRule="auto"/>
              <w:ind w:left="202" w:firstLine="0"/>
              <w:jc w:val="left"/>
              <w:rPr>
                <w:sz w:val="20"/>
                <w:szCs w:val="20"/>
              </w:rPr>
            </w:pPr>
            <w:r w:rsidRPr="002A311E">
              <w:rPr>
                <w:sz w:val="20"/>
                <w:szCs w:val="20"/>
              </w:rPr>
              <w:t>օտարերկրյա պետություններից</w:t>
            </w:r>
          </w:p>
        </w:tc>
        <w:tc>
          <w:tcPr>
            <w:tcW w:w="1196" w:type="dxa"/>
            <w:tcBorders>
              <w:left w:val="nil"/>
              <w:bottom w:val="single" w:sz="4" w:space="0" w:color="auto"/>
              <w:right w:val="nil"/>
            </w:tcBorders>
            <w:vAlign w:val="center"/>
          </w:tcPr>
          <w:p w14:paraId="30140348"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994.2</w:t>
            </w:r>
          </w:p>
        </w:tc>
        <w:tc>
          <w:tcPr>
            <w:tcW w:w="1071" w:type="dxa"/>
            <w:tcBorders>
              <w:left w:val="nil"/>
              <w:bottom w:val="single" w:sz="4" w:space="0" w:color="auto"/>
              <w:right w:val="nil"/>
            </w:tcBorders>
            <w:vAlign w:val="center"/>
          </w:tcPr>
          <w:p w14:paraId="0ACEB2FB"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933.9</w:t>
            </w:r>
          </w:p>
        </w:tc>
        <w:tc>
          <w:tcPr>
            <w:tcW w:w="1193" w:type="dxa"/>
            <w:tcBorders>
              <w:left w:val="nil"/>
              <w:bottom w:val="single" w:sz="4" w:space="0" w:color="auto"/>
              <w:right w:val="double" w:sz="4" w:space="0" w:color="auto"/>
            </w:tcBorders>
            <w:vAlign w:val="center"/>
          </w:tcPr>
          <w:p w14:paraId="36B50826"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997.6</w:t>
            </w:r>
          </w:p>
        </w:tc>
        <w:tc>
          <w:tcPr>
            <w:tcW w:w="1127" w:type="dxa"/>
            <w:tcBorders>
              <w:left w:val="double" w:sz="4" w:space="0" w:color="auto"/>
              <w:bottom w:val="single" w:sz="4" w:space="0" w:color="auto"/>
              <w:right w:val="nil"/>
            </w:tcBorders>
            <w:vAlign w:val="center"/>
          </w:tcPr>
          <w:p w14:paraId="5A065FC9"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1,074.2</w:t>
            </w:r>
          </w:p>
        </w:tc>
        <w:tc>
          <w:tcPr>
            <w:tcW w:w="1016" w:type="dxa"/>
            <w:tcBorders>
              <w:left w:val="nil"/>
              <w:bottom w:val="single" w:sz="4" w:space="0" w:color="auto"/>
              <w:right w:val="nil"/>
            </w:tcBorders>
            <w:vAlign w:val="center"/>
          </w:tcPr>
          <w:p w14:paraId="419594E3"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1,933.9</w:t>
            </w:r>
          </w:p>
        </w:tc>
        <w:tc>
          <w:tcPr>
            <w:tcW w:w="1055" w:type="dxa"/>
            <w:tcBorders>
              <w:left w:val="nil"/>
              <w:bottom w:val="single" w:sz="4" w:space="0" w:color="auto"/>
              <w:right w:val="nil"/>
            </w:tcBorders>
            <w:vAlign w:val="center"/>
          </w:tcPr>
          <w:p w14:paraId="227D8D67"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2,780.8</w:t>
            </w:r>
          </w:p>
        </w:tc>
        <w:tc>
          <w:tcPr>
            <w:tcW w:w="1175" w:type="dxa"/>
            <w:gridSpan w:val="2"/>
            <w:tcBorders>
              <w:left w:val="nil"/>
              <w:bottom w:val="single" w:sz="4" w:space="0" w:color="auto"/>
              <w:right w:val="nil"/>
            </w:tcBorders>
            <w:vAlign w:val="center"/>
          </w:tcPr>
          <w:p w14:paraId="45A66017"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3,394.9</w:t>
            </w:r>
          </w:p>
        </w:tc>
      </w:tr>
      <w:tr w:rsidR="000503C8" w:rsidRPr="0070296A" w14:paraId="3099234F" w14:textId="77777777" w:rsidTr="00013648">
        <w:trPr>
          <w:gridAfter w:val="1"/>
          <w:wAfter w:w="28" w:type="dxa"/>
          <w:trHeight w:val="255"/>
          <w:jc w:val="center"/>
        </w:trPr>
        <w:tc>
          <w:tcPr>
            <w:tcW w:w="2877" w:type="dxa"/>
            <w:tcBorders>
              <w:left w:val="nil"/>
              <w:bottom w:val="single" w:sz="12" w:space="0" w:color="auto"/>
              <w:right w:val="nil"/>
            </w:tcBorders>
            <w:vAlign w:val="center"/>
          </w:tcPr>
          <w:p w14:paraId="7F8CEE8C" w14:textId="77777777" w:rsidR="000503C8" w:rsidRPr="002A311E" w:rsidRDefault="000503C8" w:rsidP="00013648">
            <w:pPr>
              <w:spacing w:line="240" w:lineRule="auto"/>
              <w:ind w:left="202" w:firstLine="0"/>
              <w:jc w:val="left"/>
              <w:rPr>
                <w:sz w:val="20"/>
                <w:szCs w:val="20"/>
              </w:rPr>
            </w:pPr>
            <w:r w:rsidRPr="002A311E">
              <w:rPr>
                <w:sz w:val="20"/>
                <w:szCs w:val="20"/>
              </w:rPr>
              <w:t>առևտրային բանկերից</w:t>
            </w:r>
          </w:p>
        </w:tc>
        <w:tc>
          <w:tcPr>
            <w:tcW w:w="1196" w:type="dxa"/>
            <w:tcBorders>
              <w:left w:val="nil"/>
              <w:bottom w:val="single" w:sz="12" w:space="0" w:color="auto"/>
              <w:right w:val="nil"/>
            </w:tcBorders>
            <w:vAlign w:val="center"/>
          </w:tcPr>
          <w:p w14:paraId="5CA87A6D"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13.7</w:t>
            </w:r>
          </w:p>
        </w:tc>
        <w:tc>
          <w:tcPr>
            <w:tcW w:w="1071" w:type="dxa"/>
            <w:tcBorders>
              <w:left w:val="nil"/>
              <w:bottom w:val="single" w:sz="12" w:space="0" w:color="auto"/>
              <w:right w:val="nil"/>
            </w:tcBorders>
            <w:vAlign w:val="center"/>
          </w:tcPr>
          <w:p w14:paraId="466D9452"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12.1</w:t>
            </w:r>
          </w:p>
        </w:tc>
        <w:tc>
          <w:tcPr>
            <w:tcW w:w="1193" w:type="dxa"/>
            <w:tcBorders>
              <w:left w:val="nil"/>
              <w:bottom w:val="single" w:sz="12" w:space="0" w:color="auto"/>
              <w:right w:val="double" w:sz="4" w:space="0" w:color="auto"/>
            </w:tcBorders>
            <w:vAlign w:val="center"/>
          </w:tcPr>
          <w:p w14:paraId="74DFD6C4"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9.3</w:t>
            </w:r>
          </w:p>
        </w:tc>
        <w:tc>
          <w:tcPr>
            <w:tcW w:w="1127" w:type="dxa"/>
            <w:tcBorders>
              <w:left w:val="double" w:sz="4" w:space="0" w:color="auto"/>
              <w:bottom w:val="single" w:sz="12" w:space="0" w:color="auto"/>
              <w:right w:val="nil"/>
            </w:tcBorders>
            <w:vAlign w:val="center"/>
          </w:tcPr>
          <w:p w14:paraId="4A3F1A42"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9.5</w:t>
            </w:r>
          </w:p>
        </w:tc>
        <w:tc>
          <w:tcPr>
            <w:tcW w:w="1016" w:type="dxa"/>
            <w:tcBorders>
              <w:left w:val="nil"/>
              <w:bottom w:val="single" w:sz="12" w:space="0" w:color="auto"/>
              <w:right w:val="nil"/>
            </w:tcBorders>
            <w:vAlign w:val="center"/>
          </w:tcPr>
          <w:p w14:paraId="71DF35F5"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7.4</w:t>
            </w:r>
          </w:p>
        </w:tc>
        <w:tc>
          <w:tcPr>
            <w:tcW w:w="1055" w:type="dxa"/>
            <w:tcBorders>
              <w:left w:val="nil"/>
              <w:bottom w:val="single" w:sz="12" w:space="0" w:color="auto"/>
              <w:right w:val="nil"/>
            </w:tcBorders>
            <w:vAlign w:val="center"/>
          </w:tcPr>
          <w:p w14:paraId="1B25EBFF"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6.1</w:t>
            </w:r>
          </w:p>
        </w:tc>
        <w:tc>
          <w:tcPr>
            <w:tcW w:w="1175" w:type="dxa"/>
            <w:gridSpan w:val="2"/>
            <w:tcBorders>
              <w:left w:val="nil"/>
              <w:bottom w:val="single" w:sz="12" w:space="0" w:color="auto"/>
              <w:right w:val="nil"/>
            </w:tcBorders>
            <w:vAlign w:val="center"/>
          </w:tcPr>
          <w:p w14:paraId="18DB5002"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4.8</w:t>
            </w:r>
          </w:p>
        </w:tc>
      </w:tr>
      <w:tr w:rsidR="000503C8" w:rsidRPr="0070296A" w14:paraId="41FA35C6" w14:textId="77777777" w:rsidTr="00013648">
        <w:trPr>
          <w:gridAfter w:val="1"/>
          <w:wAfter w:w="28" w:type="dxa"/>
          <w:trHeight w:val="255"/>
          <w:jc w:val="center"/>
        </w:trPr>
        <w:tc>
          <w:tcPr>
            <w:tcW w:w="2877" w:type="dxa"/>
            <w:tcBorders>
              <w:top w:val="single" w:sz="12" w:space="0" w:color="auto"/>
              <w:left w:val="nil"/>
              <w:right w:val="nil"/>
            </w:tcBorders>
            <w:vAlign w:val="center"/>
          </w:tcPr>
          <w:p w14:paraId="7DEC6B95" w14:textId="77777777" w:rsidR="000503C8" w:rsidRPr="002A311E" w:rsidRDefault="000503C8" w:rsidP="00013648">
            <w:pPr>
              <w:spacing w:line="240" w:lineRule="auto"/>
              <w:ind w:firstLine="0"/>
              <w:jc w:val="left"/>
              <w:rPr>
                <w:sz w:val="20"/>
                <w:szCs w:val="20"/>
              </w:rPr>
            </w:pPr>
            <w:r w:rsidRPr="002A311E">
              <w:rPr>
                <w:sz w:val="20"/>
                <w:szCs w:val="20"/>
              </w:rPr>
              <w:t>Միջին տոկոսադրույք (%)</w:t>
            </w:r>
          </w:p>
        </w:tc>
        <w:tc>
          <w:tcPr>
            <w:tcW w:w="1196" w:type="dxa"/>
            <w:tcBorders>
              <w:top w:val="single" w:sz="12" w:space="0" w:color="auto"/>
              <w:left w:val="nil"/>
              <w:right w:val="nil"/>
            </w:tcBorders>
            <w:vAlign w:val="center"/>
          </w:tcPr>
          <w:p w14:paraId="71E823D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3.2</w:t>
            </w:r>
          </w:p>
        </w:tc>
        <w:tc>
          <w:tcPr>
            <w:tcW w:w="1071" w:type="dxa"/>
            <w:tcBorders>
              <w:top w:val="single" w:sz="12" w:space="0" w:color="auto"/>
              <w:left w:val="nil"/>
              <w:right w:val="nil"/>
            </w:tcBorders>
            <w:vAlign w:val="center"/>
          </w:tcPr>
          <w:p w14:paraId="71B31052"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3.6</w:t>
            </w:r>
          </w:p>
        </w:tc>
        <w:tc>
          <w:tcPr>
            <w:tcW w:w="1193" w:type="dxa"/>
            <w:tcBorders>
              <w:top w:val="single" w:sz="12" w:space="0" w:color="auto"/>
              <w:left w:val="nil"/>
              <w:right w:val="double" w:sz="4" w:space="0" w:color="auto"/>
            </w:tcBorders>
            <w:vAlign w:val="center"/>
          </w:tcPr>
          <w:p w14:paraId="7D85FC5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4.4</w:t>
            </w:r>
          </w:p>
        </w:tc>
        <w:tc>
          <w:tcPr>
            <w:tcW w:w="1127" w:type="dxa"/>
            <w:tcBorders>
              <w:top w:val="single" w:sz="12" w:space="0" w:color="auto"/>
              <w:left w:val="double" w:sz="4" w:space="0" w:color="auto"/>
              <w:right w:val="nil"/>
            </w:tcBorders>
            <w:vAlign w:val="center"/>
          </w:tcPr>
          <w:p w14:paraId="182DAA3C"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4.5</w:t>
            </w:r>
          </w:p>
        </w:tc>
        <w:tc>
          <w:tcPr>
            <w:tcW w:w="1016" w:type="dxa"/>
            <w:tcBorders>
              <w:top w:val="single" w:sz="12" w:space="0" w:color="auto"/>
              <w:left w:val="nil"/>
              <w:right w:val="nil"/>
            </w:tcBorders>
            <w:vAlign w:val="center"/>
          </w:tcPr>
          <w:p w14:paraId="2AE88E8C"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5.2</w:t>
            </w:r>
          </w:p>
        </w:tc>
        <w:tc>
          <w:tcPr>
            <w:tcW w:w="1055" w:type="dxa"/>
            <w:tcBorders>
              <w:top w:val="single" w:sz="12" w:space="0" w:color="auto"/>
              <w:left w:val="nil"/>
              <w:right w:val="nil"/>
            </w:tcBorders>
            <w:vAlign w:val="center"/>
          </w:tcPr>
          <w:p w14:paraId="36B16707"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5.1</w:t>
            </w:r>
          </w:p>
        </w:tc>
        <w:tc>
          <w:tcPr>
            <w:tcW w:w="1175" w:type="dxa"/>
            <w:gridSpan w:val="2"/>
            <w:tcBorders>
              <w:top w:val="single" w:sz="12" w:space="0" w:color="auto"/>
              <w:left w:val="nil"/>
              <w:right w:val="nil"/>
            </w:tcBorders>
            <w:vAlign w:val="center"/>
          </w:tcPr>
          <w:p w14:paraId="4ECA4D09"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5.2</w:t>
            </w:r>
          </w:p>
        </w:tc>
      </w:tr>
      <w:tr w:rsidR="000503C8" w:rsidRPr="0070296A" w14:paraId="376C87AD" w14:textId="77777777" w:rsidTr="00013648">
        <w:trPr>
          <w:gridAfter w:val="1"/>
          <w:wAfter w:w="28" w:type="dxa"/>
          <w:trHeight w:val="255"/>
          <w:jc w:val="center"/>
        </w:trPr>
        <w:tc>
          <w:tcPr>
            <w:tcW w:w="2877" w:type="dxa"/>
            <w:tcBorders>
              <w:left w:val="nil"/>
              <w:bottom w:val="thickThinSmallGap" w:sz="24" w:space="0" w:color="auto"/>
              <w:right w:val="nil"/>
            </w:tcBorders>
            <w:vAlign w:val="center"/>
          </w:tcPr>
          <w:p w14:paraId="36EDCF29" w14:textId="77777777" w:rsidR="000503C8" w:rsidRPr="002A311E" w:rsidRDefault="000503C8" w:rsidP="00013648">
            <w:pPr>
              <w:spacing w:line="240" w:lineRule="auto"/>
              <w:ind w:firstLine="0"/>
              <w:jc w:val="left"/>
              <w:rPr>
                <w:sz w:val="20"/>
                <w:szCs w:val="20"/>
              </w:rPr>
            </w:pPr>
            <w:r w:rsidRPr="002A311E">
              <w:rPr>
                <w:sz w:val="20"/>
                <w:szCs w:val="20"/>
              </w:rPr>
              <w:t>Միջին ժամկետայնություն (տարի)</w:t>
            </w:r>
          </w:p>
        </w:tc>
        <w:tc>
          <w:tcPr>
            <w:tcW w:w="1196" w:type="dxa"/>
            <w:tcBorders>
              <w:left w:val="nil"/>
              <w:bottom w:val="thickThinSmallGap" w:sz="24" w:space="0" w:color="auto"/>
              <w:right w:val="nil"/>
            </w:tcBorders>
            <w:vAlign w:val="center"/>
          </w:tcPr>
          <w:p w14:paraId="5C3136C1"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7.5</w:t>
            </w:r>
          </w:p>
        </w:tc>
        <w:tc>
          <w:tcPr>
            <w:tcW w:w="1071" w:type="dxa"/>
            <w:tcBorders>
              <w:left w:val="nil"/>
              <w:bottom w:val="thickThinSmallGap" w:sz="24" w:space="0" w:color="auto"/>
              <w:right w:val="nil"/>
            </w:tcBorders>
            <w:vAlign w:val="center"/>
          </w:tcPr>
          <w:p w14:paraId="670E624D"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7.3</w:t>
            </w:r>
          </w:p>
        </w:tc>
        <w:tc>
          <w:tcPr>
            <w:tcW w:w="1193" w:type="dxa"/>
            <w:tcBorders>
              <w:left w:val="nil"/>
              <w:bottom w:val="thickThinSmallGap" w:sz="24" w:space="0" w:color="auto"/>
              <w:right w:val="double" w:sz="4" w:space="0" w:color="auto"/>
            </w:tcBorders>
            <w:vAlign w:val="center"/>
          </w:tcPr>
          <w:p w14:paraId="2DDE1C29"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7.2</w:t>
            </w:r>
          </w:p>
        </w:tc>
        <w:tc>
          <w:tcPr>
            <w:tcW w:w="1127" w:type="dxa"/>
            <w:tcBorders>
              <w:left w:val="double" w:sz="4" w:space="0" w:color="auto"/>
              <w:bottom w:val="thickThinSmallGap" w:sz="24" w:space="0" w:color="auto"/>
              <w:right w:val="nil"/>
            </w:tcBorders>
            <w:vAlign w:val="center"/>
          </w:tcPr>
          <w:p w14:paraId="3CEB11DC"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7.5</w:t>
            </w:r>
          </w:p>
        </w:tc>
        <w:tc>
          <w:tcPr>
            <w:tcW w:w="1016" w:type="dxa"/>
            <w:tcBorders>
              <w:left w:val="nil"/>
              <w:bottom w:val="thickThinSmallGap" w:sz="24" w:space="0" w:color="auto"/>
              <w:right w:val="nil"/>
            </w:tcBorders>
            <w:vAlign w:val="center"/>
          </w:tcPr>
          <w:p w14:paraId="2118EAE8"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8.0</w:t>
            </w:r>
          </w:p>
        </w:tc>
        <w:tc>
          <w:tcPr>
            <w:tcW w:w="1055" w:type="dxa"/>
            <w:tcBorders>
              <w:left w:val="nil"/>
              <w:bottom w:val="thickThinSmallGap" w:sz="24" w:space="0" w:color="auto"/>
              <w:right w:val="nil"/>
            </w:tcBorders>
            <w:vAlign w:val="center"/>
          </w:tcPr>
          <w:p w14:paraId="53F892C8"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8.2</w:t>
            </w:r>
          </w:p>
        </w:tc>
        <w:tc>
          <w:tcPr>
            <w:tcW w:w="1175" w:type="dxa"/>
            <w:gridSpan w:val="2"/>
            <w:tcBorders>
              <w:left w:val="nil"/>
              <w:bottom w:val="thickThinSmallGap" w:sz="24" w:space="0" w:color="auto"/>
              <w:right w:val="nil"/>
            </w:tcBorders>
            <w:vAlign w:val="center"/>
          </w:tcPr>
          <w:p w14:paraId="0223EDF5" w14:textId="77777777" w:rsidR="000503C8" w:rsidRPr="002A311E" w:rsidRDefault="000503C8" w:rsidP="00013648">
            <w:pPr>
              <w:spacing w:line="240" w:lineRule="auto"/>
              <w:ind w:firstLine="0"/>
              <w:jc w:val="center"/>
              <w:rPr>
                <w:color w:val="000000" w:themeColor="text1"/>
                <w:sz w:val="20"/>
                <w:szCs w:val="20"/>
              </w:rPr>
            </w:pPr>
            <w:r w:rsidRPr="002A311E">
              <w:rPr>
                <w:color w:val="000000" w:themeColor="text1"/>
                <w:sz w:val="20"/>
                <w:szCs w:val="20"/>
              </w:rPr>
              <w:t>8.0</w:t>
            </w:r>
          </w:p>
        </w:tc>
      </w:tr>
    </w:tbl>
    <w:p w14:paraId="599DD01D" w14:textId="77777777" w:rsidR="000503C8" w:rsidRPr="00B1068B" w:rsidRDefault="000503C8" w:rsidP="000503C8">
      <w:pPr>
        <w:ind w:firstLine="0"/>
      </w:pPr>
      <w:r w:rsidRPr="0083483E">
        <w:t xml:space="preserve"> </w:t>
      </w:r>
      <w:r w:rsidRPr="000D4D8C">
        <w:rPr>
          <w:sz w:val="18"/>
        </w:rPr>
        <w:t>Աղբյուրը՝ ՀՀ ՖՆ հաշվարկներ և կանխատեսումներ</w:t>
      </w:r>
    </w:p>
    <w:p w14:paraId="697D78C6" w14:textId="1645D855" w:rsidR="00795BB8" w:rsidRPr="00795BB8" w:rsidRDefault="00795BB8" w:rsidP="0075651F">
      <w:pPr>
        <w:spacing w:before="120" w:after="0" w:line="276" w:lineRule="auto"/>
        <w:ind w:firstLine="0"/>
        <w:rPr>
          <w:color w:val="FF0000"/>
        </w:rPr>
      </w:pPr>
    </w:p>
    <w:p w14:paraId="42DBC785" w14:textId="77777777" w:rsidR="007C4132" w:rsidRPr="006E0836" w:rsidRDefault="007C4132" w:rsidP="007C4132">
      <w:pPr>
        <w:keepNext/>
        <w:keepLines/>
        <w:tabs>
          <w:tab w:val="left" w:pos="0"/>
        </w:tabs>
        <w:spacing w:before="120" w:after="0" w:line="276" w:lineRule="auto"/>
        <w:ind w:firstLine="0"/>
        <w:contextualSpacing/>
        <w:jc w:val="left"/>
        <w:outlineLvl w:val="2"/>
        <w:rPr>
          <w:rFonts w:eastAsia="Times New Roman" w:cs="Times Unicode"/>
          <w:lang w:val="hy-AM"/>
        </w:rPr>
      </w:pPr>
    </w:p>
    <w:p w14:paraId="1B00DDBA" w14:textId="77777777" w:rsidR="00080175" w:rsidRPr="00E02C17" w:rsidRDefault="00E02C17" w:rsidP="00E02C17">
      <w:pPr>
        <w:keepNext/>
        <w:keepLines/>
        <w:tabs>
          <w:tab w:val="left" w:pos="0"/>
        </w:tabs>
        <w:spacing w:before="120" w:after="0" w:line="276" w:lineRule="auto"/>
        <w:ind w:firstLine="0"/>
        <w:jc w:val="left"/>
        <w:outlineLvl w:val="2"/>
        <w:rPr>
          <w:rFonts w:eastAsia="Times New Roman" w:cs="Times New Roman"/>
          <w:b/>
          <w:color w:val="44546A" w:themeColor="text2"/>
          <w:sz w:val="24"/>
          <w:szCs w:val="24"/>
          <w:lang w:val="hy-AM"/>
        </w:rPr>
      </w:pPr>
      <w:bookmarkStart w:id="267" w:name="_Toc170926362"/>
      <w:r w:rsidRPr="002E77C2">
        <w:rPr>
          <w:rFonts w:eastAsia="Times New Roman" w:cs="Times New Roman"/>
          <w:b/>
          <w:color w:val="44546A" w:themeColor="text2"/>
          <w:sz w:val="24"/>
          <w:szCs w:val="24"/>
          <w:lang w:val="hy-AM"/>
        </w:rPr>
        <w:t xml:space="preserve">2. </w:t>
      </w:r>
      <w:r w:rsidR="00080175" w:rsidRPr="002E77C2">
        <w:rPr>
          <w:rFonts w:eastAsia="Times New Roman" w:cs="Times New Roman"/>
          <w:b/>
          <w:color w:val="44546A" w:themeColor="text2"/>
          <w:sz w:val="24"/>
          <w:szCs w:val="24"/>
          <w:lang w:val="hy-AM"/>
        </w:rPr>
        <w:t>ԱՅԼ ԿԱՌՈՒՅՑՆԵՐԻ ԿՈՂՄԻՑ ՀՀ ՏՆՏԵՍԱԿԱՆ ԱՃԻ ԿԱՆԽԱՏԵՍՈՒՄՆԵՐԻ ՀԵՏ ՀԱՄԵՄԱՏԱԿԱՆ</w:t>
      </w:r>
      <w:bookmarkEnd w:id="252"/>
      <w:bookmarkEnd w:id="267"/>
    </w:p>
    <w:p w14:paraId="0B46F779" w14:textId="77777777" w:rsidR="00080175" w:rsidRPr="004E1AF9" w:rsidRDefault="00080175" w:rsidP="00E02C17">
      <w:pPr>
        <w:keepNext/>
        <w:keepLines/>
        <w:tabs>
          <w:tab w:val="left" w:pos="0"/>
        </w:tabs>
        <w:spacing w:before="120" w:after="0" w:line="276" w:lineRule="auto"/>
        <w:ind w:firstLine="0"/>
        <w:contextualSpacing/>
        <w:jc w:val="left"/>
        <w:outlineLvl w:val="2"/>
        <w:rPr>
          <w:rFonts w:eastAsia="Times New Roman" w:cs="Times New Roman"/>
          <w:b/>
          <w:color w:val="44546A" w:themeColor="text2"/>
          <w:sz w:val="24"/>
          <w:szCs w:val="24"/>
          <w:lang w:val="hy-AM"/>
        </w:rPr>
      </w:pPr>
    </w:p>
    <w:p w14:paraId="19155004" w14:textId="77777777" w:rsidR="002E77C2" w:rsidRPr="002E77C2" w:rsidRDefault="002E77C2" w:rsidP="008D3B30">
      <w:pPr>
        <w:spacing w:line="276" w:lineRule="auto"/>
        <w:ind w:firstLine="0"/>
        <w:rPr>
          <w:rFonts w:eastAsia="Times New Roman" w:cs="Sylfaen"/>
          <w:highlight w:val="yellow"/>
          <w:lang w:val="hy-AM"/>
        </w:rPr>
      </w:pPr>
      <w:bookmarkStart w:id="268" w:name="_Hlk45793805"/>
      <w:bookmarkStart w:id="269" w:name="_Toc14684188"/>
      <w:bookmarkStart w:id="270" w:name="_Toc13837390"/>
      <w:bookmarkStart w:id="271" w:name="_Toc500177756"/>
      <w:bookmarkStart w:id="272" w:name="_Toc45838559"/>
      <w:bookmarkStart w:id="273" w:name="_Toc45838561"/>
      <w:bookmarkEnd w:id="268"/>
      <w:r w:rsidRPr="002E77C2">
        <w:rPr>
          <w:rFonts w:eastAsia="Times New Roman" w:cs="Sylfaen"/>
          <w:b/>
          <w:bCs/>
          <w:u w:val="single"/>
          <w:lang w:val="hy-AM"/>
        </w:rPr>
        <w:t>Կանխատեսումներ։</w:t>
      </w:r>
      <w:r w:rsidRPr="002E77C2">
        <w:rPr>
          <w:rFonts w:eastAsia="Times New Roman" w:cs="Sylfaen"/>
          <w:lang w:val="hy-AM"/>
        </w:rPr>
        <w:t xml:space="preserve"> Աղյուսակում ներկայացված է ՀՀ ֆինանսների նախարարության և այլ կառույցների կողմից ՀՀ տնտեսական աճի կարճաժամկետ և միջնաժամկետ կանխատեսումների համեմատականը: Արժույթի միջազգային հիմնադրամի կանխատեսումներով 2024 թվականին սպասվում է 6.0% աճ, Համաշխարհային բանկի կանխատեսումներով՝ 5.5% աճ, իսկ ՀՀ կենտրոնական բանկի կանխատեսումներով՝ 6.1-6.8% աճ։ Ֆիթչի հունվար և Մուդիսի փետրվար ամիսների կանխատեսումներով սպասվում են համապատասխանաբար 6.0% և 5.5% աճեր։</w:t>
      </w:r>
    </w:p>
    <w:p w14:paraId="61AB6F49" w14:textId="77777777" w:rsidR="002E77C2" w:rsidRPr="002E77C2" w:rsidRDefault="002E77C2" w:rsidP="002E77C2">
      <w:pPr>
        <w:spacing w:line="276" w:lineRule="auto"/>
        <w:rPr>
          <w:rFonts w:eastAsia="Times New Roman" w:cs="Sylfaen"/>
          <w:b/>
          <w:bCs/>
          <w:i/>
          <w:u w:val="single"/>
          <w:lang w:val="hy-AM"/>
        </w:rPr>
      </w:pPr>
      <w:r w:rsidRPr="002E77C2">
        <w:rPr>
          <w:rFonts w:eastAsia="Times New Roman" w:cs="Sylfaen"/>
          <w:b/>
          <w:bCs/>
          <w:lang w:val="hy-AM"/>
        </w:rPr>
        <w:t xml:space="preserve">Աղյուսակ 2.1 </w:t>
      </w:r>
      <w:r w:rsidRPr="002E77C2">
        <w:rPr>
          <w:rFonts w:eastAsia="Times New Roman" w:cs="Sylfaen"/>
          <w:bCs/>
          <w:i/>
          <w:lang w:val="hy-AM"/>
        </w:rPr>
        <w:t>Այլ կառույցների կողմից ՀՀ տնտեսական աճի կանխատեսումները, (%)</w:t>
      </w:r>
    </w:p>
    <w:tbl>
      <w:tblPr>
        <w:tblStyle w:val="GridTable4-Accent11111"/>
        <w:tblW w:w="10002" w:type="dxa"/>
        <w:tblLook w:val="04A0" w:firstRow="1" w:lastRow="0" w:firstColumn="1" w:lastColumn="0" w:noHBand="0" w:noVBand="1"/>
      </w:tblPr>
      <w:tblGrid>
        <w:gridCol w:w="5688"/>
        <w:gridCol w:w="1170"/>
        <w:gridCol w:w="1170"/>
        <w:gridCol w:w="923"/>
        <w:gridCol w:w="1051"/>
      </w:tblGrid>
      <w:tr w:rsidR="002E77C2" w:rsidRPr="002E77C2" w14:paraId="2B926155" w14:textId="77777777" w:rsidTr="00644DF6">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5688" w:type="dxa"/>
            <w:noWrap/>
          </w:tcPr>
          <w:p w14:paraId="08D92874" w14:textId="77777777" w:rsidR="002E77C2" w:rsidRPr="007C4132" w:rsidRDefault="002E77C2" w:rsidP="002E77C2">
            <w:pPr>
              <w:spacing w:line="276" w:lineRule="auto"/>
              <w:rPr>
                <w:rFonts w:eastAsia="Times New Roman" w:cs="Calibri"/>
                <w:sz w:val="22"/>
                <w:szCs w:val="22"/>
                <w:highlight w:val="yellow"/>
                <w:lang w:val="it-IT"/>
              </w:rPr>
            </w:pPr>
          </w:p>
        </w:tc>
        <w:tc>
          <w:tcPr>
            <w:tcW w:w="1170" w:type="dxa"/>
            <w:noWrap/>
            <w:hideMark/>
          </w:tcPr>
          <w:p w14:paraId="0DF190F5" w14:textId="77777777" w:rsidR="002E77C2" w:rsidRPr="007C4132" w:rsidRDefault="002E77C2" w:rsidP="002E77C2">
            <w:pPr>
              <w:spacing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rPr>
              <w:t>20</w:t>
            </w:r>
            <w:r w:rsidRPr="007C4132">
              <w:rPr>
                <w:rFonts w:eastAsia="Times New Roman" w:cs="Calibri"/>
                <w:sz w:val="22"/>
                <w:szCs w:val="22"/>
                <w:lang w:val="hy-AM"/>
              </w:rPr>
              <w:t>2</w:t>
            </w:r>
            <w:r w:rsidRPr="007C4132">
              <w:rPr>
                <w:rFonts w:eastAsia="Times New Roman" w:cs="Calibri"/>
                <w:sz w:val="22"/>
                <w:szCs w:val="22"/>
              </w:rPr>
              <w:t>4</w:t>
            </w:r>
          </w:p>
        </w:tc>
        <w:tc>
          <w:tcPr>
            <w:tcW w:w="1170" w:type="dxa"/>
            <w:noWrap/>
            <w:hideMark/>
          </w:tcPr>
          <w:p w14:paraId="0752BDEE" w14:textId="77777777" w:rsidR="002E77C2" w:rsidRPr="007C4132" w:rsidRDefault="002E77C2" w:rsidP="002E77C2">
            <w:pPr>
              <w:spacing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rPr>
              <w:t>2025</w:t>
            </w:r>
          </w:p>
        </w:tc>
        <w:tc>
          <w:tcPr>
            <w:tcW w:w="923" w:type="dxa"/>
          </w:tcPr>
          <w:p w14:paraId="0C4D0C69" w14:textId="77777777" w:rsidR="002E77C2" w:rsidRPr="007C4132" w:rsidRDefault="002E77C2" w:rsidP="002E77C2">
            <w:pPr>
              <w:spacing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rPr>
              <w:t>2026</w:t>
            </w:r>
          </w:p>
        </w:tc>
        <w:tc>
          <w:tcPr>
            <w:tcW w:w="1051" w:type="dxa"/>
          </w:tcPr>
          <w:p w14:paraId="02E1CD6C" w14:textId="77777777" w:rsidR="002E77C2" w:rsidRPr="007C4132" w:rsidRDefault="002E77C2" w:rsidP="002E77C2">
            <w:pPr>
              <w:spacing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rPr>
              <w:t>2027</w:t>
            </w:r>
          </w:p>
        </w:tc>
      </w:tr>
      <w:tr w:rsidR="002E77C2" w:rsidRPr="002E77C2" w14:paraId="07266EE4" w14:textId="77777777" w:rsidTr="00644DF6">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688" w:type="dxa"/>
            <w:shd w:val="clear" w:color="auto" w:fill="FFFFFF"/>
          </w:tcPr>
          <w:p w14:paraId="29ACBD18" w14:textId="77777777" w:rsidR="002E77C2" w:rsidRPr="007C4132" w:rsidRDefault="002E77C2" w:rsidP="002E77C2">
            <w:pPr>
              <w:spacing w:line="276" w:lineRule="auto"/>
              <w:ind w:firstLine="0"/>
              <w:rPr>
                <w:rFonts w:eastAsia="Times New Roman" w:cs="Calibri"/>
                <w:sz w:val="22"/>
                <w:szCs w:val="22"/>
                <w:lang w:val="hy-AM"/>
              </w:rPr>
            </w:pPr>
            <w:r w:rsidRPr="007C4132">
              <w:rPr>
                <w:rFonts w:eastAsia="Times New Roman" w:cs="Calibri"/>
                <w:sz w:val="22"/>
                <w:szCs w:val="22"/>
                <w:lang w:val="hy-AM"/>
              </w:rPr>
              <w:t>ՀՀ ֆինանսների նախարարություն</w:t>
            </w:r>
            <w:r w:rsidRPr="007C4132">
              <w:rPr>
                <w:rFonts w:eastAsia="Times New Roman" w:cs="Calibri"/>
                <w:sz w:val="22"/>
                <w:szCs w:val="22"/>
              </w:rPr>
              <w:t xml:space="preserve">, </w:t>
            </w:r>
            <w:r w:rsidRPr="007C4132">
              <w:rPr>
                <w:rFonts w:eastAsia="Times New Roman" w:cs="Calibri"/>
                <w:sz w:val="22"/>
                <w:szCs w:val="22"/>
                <w:lang w:val="hy-AM"/>
              </w:rPr>
              <w:t>բազային սցենար</w:t>
            </w:r>
            <w:r w:rsidRPr="007C4132">
              <w:rPr>
                <w:rFonts w:eastAsia="Times New Roman" w:cs="Calibri"/>
                <w:sz w:val="22"/>
                <w:szCs w:val="22"/>
              </w:rPr>
              <w:t xml:space="preserve"> (2024</w:t>
            </w:r>
            <w:r w:rsidRPr="007C4132">
              <w:rPr>
                <w:rFonts w:eastAsia="Times New Roman" w:cs="Calibri"/>
                <w:sz w:val="22"/>
                <w:szCs w:val="22"/>
                <w:lang w:val="hy-AM"/>
              </w:rPr>
              <w:t>թ.</w:t>
            </w:r>
            <w:r w:rsidRPr="007C4132">
              <w:rPr>
                <w:rFonts w:eastAsia="Times New Roman" w:cs="Calibri"/>
                <w:sz w:val="22"/>
                <w:szCs w:val="22"/>
              </w:rPr>
              <w:t xml:space="preserve"> </w:t>
            </w:r>
            <w:r w:rsidRPr="007C4132">
              <w:rPr>
                <w:rFonts w:eastAsia="Times New Roman" w:cs="Calibri"/>
                <w:sz w:val="22"/>
                <w:szCs w:val="22"/>
                <w:lang w:val="hy-AM"/>
              </w:rPr>
              <w:t>հունիս</w:t>
            </w:r>
            <w:r w:rsidRPr="007C4132">
              <w:rPr>
                <w:rFonts w:eastAsia="Times New Roman" w:cs="Calibri"/>
                <w:sz w:val="22"/>
                <w:szCs w:val="22"/>
              </w:rPr>
              <w:t>)</w:t>
            </w:r>
          </w:p>
        </w:tc>
        <w:tc>
          <w:tcPr>
            <w:tcW w:w="1170" w:type="dxa"/>
            <w:shd w:val="clear" w:color="auto" w:fill="FFFFFF"/>
            <w:noWrap/>
            <w:vAlign w:val="center"/>
          </w:tcPr>
          <w:p w14:paraId="62DF0993"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rPr>
            </w:pPr>
            <w:r w:rsidRPr="007C4132">
              <w:rPr>
                <w:rFonts w:eastAsia="Times New Roman" w:cs="Calibri"/>
                <w:sz w:val="22"/>
                <w:szCs w:val="22"/>
                <w:lang w:val="hy-AM"/>
              </w:rPr>
              <w:t>6</w:t>
            </w:r>
            <w:r w:rsidRPr="007C4132">
              <w:rPr>
                <w:rFonts w:eastAsia="Times New Roman" w:cs="Calibri"/>
                <w:sz w:val="22"/>
                <w:szCs w:val="22"/>
              </w:rPr>
              <w:t>.3</w:t>
            </w:r>
          </w:p>
        </w:tc>
        <w:tc>
          <w:tcPr>
            <w:tcW w:w="1170" w:type="dxa"/>
            <w:shd w:val="clear" w:color="auto" w:fill="FFFFFF"/>
            <w:noWrap/>
            <w:vAlign w:val="center"/>
          </w:tcPr>
          <w:p w14:paraId="217F2DA9"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lang w:val="hy-AM"/>
              </w:rPr>
              <w:t>5.8</w:t>
            </w:r>
          </w:p>
        </w:tc>
        <w:tc>
          <w:tcPr>
            <w:tcW w:w="923" w:type="dxa"/>
            <w:shd w:val="clear" w:color="auto" w:fill="FFFFFF"/>
            <w:vAlign w:val="center"/>
          </w:tcPr>
          <w:p w14:paraId="27077D65"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lang w:val="hy-AM"/>
              </w:rPr>
              <w:t>5</w:t>
            </w:r>
            <w:r w:rsidRPr="007C4132">
              <w:rPr>
                <w:rFonts w:eastAsia="Times New Roman" w:cs="Calibri"/>
                <w:sz w:val="22"/>
                <w:szCs w:val="22"/>
              </w:rPr>
              <w:t>.</w:t>
            </w:r>
            <w:r w:rsidRPr="007C4132">
              <w:rPr>
                <w:rFonts w:eastAsia="Times New Roman" w:cs="Calibri"/>
                <w:sz w:val="22"/>
                <w:szCs w:val="22"/>
                <w:lang w:val="hy-AM"/>
              </w:rPr>
              <w:t>7</w:t>
            </w:r>
          </w:p>
        </w:tc>
        <w:tc>
          <w:tcPr>
            <w:tcW w:w="1051" w:type="dxa"/>
            <w:shd w:val="clear" w:color="auto" w:fill="FFFFFF"/>
            <w:vAlign w:val="center"/>
          </w:tcPr>
          <w:p w14:paraId="65624CBA"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lang w:val="hy-AM"/>
              </w:rPr>
              <w:t>5</w:t>
            </w:r>
            <w:r w:rsidRPr="007C4132">
              <w:rPr>
                <w:rFonts w:eastAsia="Times New Roman" w:cs="Calibri"/>
                <w:sz w:val="22"/>
                <w:szCs w:val="22"/>
              </w:rPr>
              <w:t>.</w:t>
            </w:r>
            <w:r w:rsidRPr="007C4132">
              <w:rPr>
                <w:rFonts w:eastAsia="Times New Roman" w:cs="Calibri"/>
                <w:sz w:val="22"/>
                <w:szCs w:val="22"/>
                <w:lang w:val="hy-AM"/>
              </w:rPr>
              <w:t>5</w:t>
            </w:r>
          </w:p>
        </w:tc>
      </w:tr>
      <w:tr w:rsidR="002E77C2" w:rsidRPr="002E77C2" w14:paraId="0712E405" w14:textId="77777777" w:rsidTr="00644DF6">
        <w:trPr>
          <w:trHeight w:val="351"/>
        </w:trPr>
        <w:tc>
          <w:tcPr>
            <w:cnfStyle w:val="001000000000" w:firstRow="0" w:lastRow="0" w:firstColumn="1" w:lastColumn="0" w:oddVBand="0" w:evenVBand="0" w:oddHBand="0" w:evenHBand="0" w:firstRowFirstColumn="0" w:firstRowLastColumn="0" w:lastRowFirstColumn="0" w:lastRowLastColumn="0"/>
            <w:tcW w:w="5688" w:type="dxa"/>
          </w:tcPr>
          <w:p w14:paraId="6878C2D8" w14:textId="77777777" w:rsidR="002E77C2" w:rsidRPr="007C4132" w:rsidRDefault="002E77C2" w:rsidP="002E77C2">
            <w:pPr>
              <w:spacing w:line="276" w:lineRule="auto"/>
              <w:ind w:firstLine="0"/>
              <w:rPr>
                <w:rFonts w:eastAsia="Times New Roman" w:cs="Calibri"/>
                <w:color w:val="FF0000"/>
                <w:sz w:val="22"/>
                <w:szCs w:val="22"/>
                <w:highlight w:val="yellow"/>
                <w:lang w:val="hy-AM"/>
              </w:rPr>
            </w:pPr>
            <w:r w:rsidRPr="007C4132">
              <w:rPr>
                <w:rFonts w:eastAsia="Times New Roman" w:cs="Calibri"/>
                <w:sz w:val="22"/>
                <w:szCs w:val="22"/>
                <w:lang w:val="hy-AM"/>
              </w:rPr>
              <w:t>Արժույթի միջազգային հիմնադրամ (202</w:t>
            </w:r>
            <w:r w:rsidRPr="007C4132">
              <w:rPr>
                <w:rFonts w:eastAsia="Times New Roman" w:cs="Calibri"/>
                <w:sz w:val="22"/>
                <w:szCs w:val="22"/>
              </w:rPr>
              <w:t>4</w:t>
            </w:r>
            <w:r w:rsidRPr="007C4132">
              <w:rPr>
                <w:rFonts w:eastAsia="Times New Roman" w:cs="Calibri"/>
                <w:sz w:val="22"/>
                <w:szCs w:val="22"/>
                <w:lang w:val="hy-AM"/>
              </w:rPr>
              <w:t>թ. հունիս)</w:t>
            </w:r>
          </w:p>
        </w:tc>
        <w:tc>
          <w:tcPr>
            <w:tcW w:w="1170" w:type="dxa"/>
            <w:noWrap/>
            <w:vAlign w:val="center"/>
          </w:tcPr>
          <w:p w14:paraId="7BD7C423"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highlight w:val="yellow"/>
                <w:lang w:eastAsia="ru-RU"/>
              </w:rPr>
            </w:pPr>
            <w:r w:rsidRPr="007C4132">
              <w:rPr>
                <w:rFonts w:eastAsia="Times New Roman" w:cs="Calibri"/>
                <w:sz w:val="22"/>
                <w:szCs w:val="22"/>
                <w:lang w:val="hy-AM"/>
              </w:rPr>
              <w:t>6.0</w:t>
            </w:r>
          </w:p>
        </w:tc>
        <w:tc>
          <w:tcPr>
            <w:tcW w:w="1170" w:type="dxa"/>
            <w:noWrap/>
            <w:vAlign w:val="center"/>
          </w:tcPr>
          <w:p w14:paraId="1F8C7398"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highlight w:val="yellow"/>
                <w:lang w:val="hy-AM" w:eastAsia="ru-RU"/>
              </w:rPr>
            </w:pPr>
            <w:r w:rsidRPr="007C4132">
              <w:rPr>
                <w:rFonts w:eastAsia="Times New Roman" w:cs="Calibri"/>
                <w:sz w:val="22"/>
                <w:szCs w:val="22"/>
              </w:rPr>
              <w:t>5.3</w:t>
            </w:r>
          </w:p>
        </w:tc>
        <w:tc>
          <w:tcPr>
            <w:tcW w:w="923" w:type="dxa"/>
            <w:vAlign w:val="center"/>
          </w:tcPr>
          <w:p w14:paraId="6A3B51E0"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4.5</w:t>
            </w:r>
          </w:p>
        </w:tc>
        <w:tc>
          <w:tcPr>
            <w:tcW w:w="1051" w:type="dxa"/>
            <w:vAlign w:val="center"/>
          </w:tcPr>
          <w:p w14:paraId="00C0FF68"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4.5</w:t>
            </w:r>
          </w:p>
        </w:tc>
      </w:tr>
      <w:tr w:rsidR="002E77C2" w:rsidRPr="002E77C2" w14:paraId="6E64C525" w14:textId="77777777" w:rsidTr="00644DF6">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688" w:type="dxa"/>
          </w:tcPr>
          <w:p w14:paraId="7AC23FDF" w14:textId="77777777" w:rsidR="002E77C2" w:rsidRPr="007C4132" w:rsidRDefault="002E77C2" w:rsidP="002E77C2">
            <w:pPr>
              <w:spacing w:line="276" w:lineRule="auto"/>
              <w:ind w:firstLine="0"/>
              <w:rPr>
                <w:rFonts w:eastAsia="Times New Roman" w:cs="Calibri"/>
                <w:sz w:val="22"/>
                <w:szCs w:val="22"/>
                <w:highlight w:val="yellow"/>
                <w:lang w:val="hy-AM"/>
              </w:rPr>
            </w:pPr>
            <w:r w:rsidRPr="007C4132">
              <w:rPr>
                <w:rFonts w:eastAsia="Times New Roman" w:cs="Calibri"/>
                <w:sz w:val="22"/>
                <w:szCs w:val="22"/>
                <w:lang w:val="hy-AM"/>
              </w:rPr>
              <w:t>Համաշխարհային բանկ (202</w:t>
            </w:r>
            <w:r w:rsidRPr="007C4132">
              <w:rPr>
                <w:rFonts w:eastAsia="Times New Roman" w:cs="Calibri"/>
                <w:sz w:val="22"/>
                <w:szCs w:val="22"/>
                <w:lang w:val="en-GB"/>
              </w:rPr>
              <w:t>4</w:t>
            </w:r>
            <w:r w:rsidRPr="007C4132">
              <w:rPr>
                <w:rFonts w:eastAsia="Times New Roman" w:cs="Calibri"/>
                <w:sz w:val="22"/>
                <w:szCs w:val="22"/>
                <w:lang w:val="hy-AM"/>
              </w:rPr>
              <w:t>թ. հունիս)</w:t>
            </w:r>
          </w:p>
        </w:tc>
        <w:tc>
          <w:tcPr>
            <w:tcW w:w="1170" w:type="dxa"/>
            <w:noWrap/>
            <w:vAlign w:val="center"/>
          </w:tcPr>
          <w:p w14:paraId="0919523A" w14:textId="77777777" w:rsidR="002E77C2" w:rsidRPr="007C4132" w:rsidDel="007214CE"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rPr>
            </w:pPr>
            <w:r w:rsidRPr="007C4132">
              <w:rPr>
                <w:rFonts w:eastAsia="Times New Roman" w:cs="Calibri"/>
                <w:sz w:val="22"/>
                <w:szCs w:val="22"/>
                <w:lang w:val="hy-AM"/>
              </w:rPr>
              <w:t>5.5</w:t>
            </w:r>
          </w:p>
        </w:tc>
        <w:tc>
          <w:tcPr>
            <w:tcW w:w="1170" w:type="dxa"/>
            <w:noWrap/>
            <w:vAlign w:val="center"/>
          </w:tcPr>
          <w:p w14:paraId="2B742ED9"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eastAsia="ru-RU"/>
              </w:rPr>
              <w:t>4.9</w:t>
            </w:r>
          </w:p>
        </w:tc>
        <w:tc>
          <w:tcPr>
            <w:tcW w:w="923" w:type="dxa"/>
            <w:vAlign w:val="center"/>
          </w:tcPr>
          <w:p w14:paraId="23360204"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4.5</w:t>
            </w:r>
          </w:p>
        </w:tc>
        <w:tc>
          <w:tcPr>
            <w:tcW w:w="1051" w:type="dxa"/>
            <w:vAlign w:val="center"/>
          </w:tcPr>
          <w:p w14:paraId="69F81C5B"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w:t>
            </w:r>
          </w:p>
        </w:tc>
      </w:tr>
      <w:tr w:rsidR="002E77C2" w:rsidRPr="002E77C2" w14:paraId="0C93182E" w14:textId="77777777" w:rsidTr="00644DF6">
        <w:trPr>
          <w:trHeight w:val="351"/>
        </w:trPr>
        <w:tc>
          <w:tcPr>
            <w:cnfStyle w:val="001000000000" w:firstRow="0" w:lastRow="0" w:firstColumn="1" w:lastColumn="0" w:oddVBand="0" w:evenVBand="0" w:oddHBand="0" w:evenHBand="0" w:firstRowFirstColumn="0" w:firstRowLastColumn="0" w:lastRowFirstColumn="0" w:lastRowLastColumn="0"/>
            <w:tcW w:w="5688" w:type="dxa"/>
          </w:tcPr>
          <w:p w14:paraId="2AEC0079" w14:textId="77777777" w:rsidR="002E77C2" w:rsidRPr="007C4132" w:rsidRDefault="002E77C2" w:rsidP="002E77C2">
            <w:pPr>
              <w:spacing w:line="276" w:lineRule="auto"/>
              <w:ind w:firstLine="0"/>
              <w:rPr>
                <w:rFonts w:eastAsia="Times New Roman" w:cs="Calibri"/>
                <w:sz w:val="22"/>
                <w:szCs w:val="22"/>
                <w:highlight w:val="yellow"/>
              </w:rPr>
            </w:pPr>
            <w:r w:rsidRPr="007C4132">
              <w:rPr>
                <w:rFonts w:eastAsia="Times New Roman" w:cs="Calibri"/>
                <w:sz w:val="22"/>
                <w:szCs w:val="22"/>
                <w:lang w:val="hy-AM"/>
              </w:rPr>
              <w:t>ՀՀ կենտրոնական բանկ (2023թ.  հունիս)</w:t>
            </w:r>
          </w:p>
        </w:tc>
        <w:tc>
          <w:tcPr>
            <w:tcW w:w="1170" w:type="dxa"/>
            <w:noWrap/>
            <w:vAlign w:val="center"/>
          </w:tcPr>
          <w:p w14:paraId="3ADAE851" w14:textId="77777777" w:rsidR="002E77C2" w:rsidRPr="007C4132" w:rsidDel="007214CE"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rPr>
            </w:pPr>
            <w:r w:rsidRPr="007C4132">
              <w:rPr>
                <w:rFonts w:eastAsia="Times New Roman" w:cs="Calibri"/>
                <w:sz w:val="22"/>
                <w:szCs w:val="22"/>
              </w:rPr>
              <w:t>6.1-6.8</w:t>
            </w:r>
          </w:p>
        </w:tc>
        <w:tc>
          <w:tcPr>
            <w:tcW w:w="1170" w:type="dxa"/>
            <w:noWrap/>
            <w:vAlign w:val="center"/>
          </w:tcPr>
          <w:p w14:paraId="7B0F3467"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3.</w:t>
            </w:r>
            <w:r w:rsidRPr="007C4132">
              <w:rPr>
                <w:rFonts w:eastAsia="Times New Roman" w:cs="Calibri"/>
                <w:sz w:val="22"/>
                <w:szCs w:val="22"/>
                <w:lang w:val="hy-AM"/>
              </w:rPr>
              <w:t>8</w:t>
            </w:r>
            <w:r w:rsidRPr="007C4132">
              <w:rPr>
                <w:rFonts w:eastAsia="Times New Roman" w:cs="Calibri"/>
                <w:sz w:val="22"/>
                <w:szCs w:val="22"/>
              </w:rPr>
              <w:t>-6.1</w:t>
            </w:r>
          </w:p>
        </w:tc>
        <w:tc>
          <w:tcPr>
            <w:tcW w:w="923" w:type="dxa"/>
            <w:vAlign w:val="center"/>
          </w:tcPr>
          <w:p w14:paraId="115A507A"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4.1-5.5</w:t>
            </w:r>
          </w:p>
        </w:tc>
        <w:tc>
          <w:tcPr>
            <w:tcW w:w="1051" w:type="dxa"/>
            <w:vAlign w:val="center"/>
          </w:tcPr>
          <w:p w14:paraId="50CE11F1"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rPr>
              <w:t>-</w:t>
            </w:r>
          </w:p>
        </w:tc>
      </w:tr>
      <w:tr w:rsidR="002E77C2" w:rsidRPr="002E77C2" w14:paraId="6BF1796A" w14:textId="77777777" w:rsidTr="00644DF6">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5688" w:type="dxa"/>
            <w:noWrap/>
          </w:tcPr>
          <w:p w14:paraId="02135716" w14:textId="77777777" w:rsidR="002E77C2" w:rsidRPr="007C4132" w:rsidRDefault="002E77C2" w:rsidP="002E77C2">
            <w:pPr>
              <w:spacing w:line="276" w:lineRule="auto"/>
              <w:ind w:firstLine="0"/>
              <w:rPr>
                <w:rFonts w:eastAsia="Times New Roman" w:cs="Calibri"/>
                <w:color w:val="FF0000"/>
                <w:sz w:val="22"/>
                <w:szCs w:val="22"/>
                <w:lang w:eastAsia="ru-RU"/>
              </w:rPr>
            </w:pPr>
            <w:r w:rsidRPr="007C4132">
              <w:rPr>
                <w:rFonts w:eastAsia="Times New Roman" w:cs="Calibri"/>
                <w:sz w:val="22"/>
                <w:szCs w:val="22"/>
                <w:lang w:val="hy-AM"/>
              </w:rPr>
              <w:t>Մուդիս (20</w:t>
            </w:r>
            <w:r w:rsidRPr="007C4132">
              <w:rPr>
                <w:rFonts w:eastAsia="Times New Roman" w:cs="Calibri"/>
                <w:sz w:val="22"/>
                <w:szCs w:val="22"/>
              </w:rPr>
              <w:t>24</w:t>
            </w:r>
            <w:r w:rsidRPr="007C4132">
              <w:rPr>
                <w:rFonts w:eastAsia="Times New Roman" w:cs="Calibri"/>
                <w:sz w:val="22"/>
                <w:szCs w:val="22"/>
                <w:lang w:val="hy-AM"/>
              </w:rPr>
              <w:t>թ. հունիս)</w:t>
            </w:r>
          </w:p>
        </w:tc>
        <w:tc>
          <w:tcPr>
            <w:tcW w:w="1170" w:type="dxa"/>
            <w:noWrap/>
            <w:vAlign w:val="center"/>
          </w:tcPr>
          <w:p w14:paraId="3B008736"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rPr>
              <w:t>5.5</w:t>
            </w:r>
          </w:p>
        </w:tc>
        <w:tc>
          <w:tcPr>
            <w:tcW w:w="1170" w:type="dxa"/>
            <w:noWrap/>
            <w:vAlign w:val="center"/>
          </w:tcPr>
          <w:p w14:paraId="1E500082"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eastAsia="ru-RU"/>
              </w:rPr>
              <w:t>4.5</w:t>
            </w:r>
          </w:p>
        </w:tc>
        <w:tc>
          <w:tcPr>
            <w:tcW w:w="923" w:type="dxa"/>
            <w:vAlign w:val="center"/>
          </w:tcPr>
          <w:p w14:paraId="7E303631"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eastAsia="ru-RU"/>
              </w:rPr>
              <w:t>-</w:t>
            </w:r>
          </w:p>
        </w:tc>
        <w:tc>
          <w:tcPr>
            <w:tcW w:w="1051" w:type="dxa"/>
            <w:vAlign w:val="center"/>
          </w:tcPr>
          <w:p w14:paraId="1A9BF422" w14:textId="77777777" w:rsidR="002E77C2" w:rsidRPr="007C4132" w:rsidRDefault="002E77C2" w:rsidP="002E77C2">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eastAsia="ru-RU"/>
              </w:rPr>
              <w:t>-</w:t>
            </w:r>
          </w:p>
        </w:tc>
      </w:tr>
      <w:tr w:rsidR="002E77C2" w:rsidRPr="002E77C2" w14:paraId="0208F676" w14:textId="77777777" w:rsidTr="00644DF6">
        <w:trPr>
          <w:trHeight w:val="260"/>
        </w:trPr>
        <w:tc>
          <w:tcPr>
            <w:cnfStyle w:val="001000000000" w:firstRow="0" w:lastRow="0" w:firstColumn="1" w:lastColumn="0" w:oddVBand="0" w:evenVBand="0" w:oddHBand="0" w:evenHBand="0" w:firstRowFirstColumn="0" w:firstRowLastColumn="0" w:lastRowFirstColumn="0" w:lastRowLastColumn="0"/>
            <w:tcW w:w="5688" w:type="dxa"/>
            <w:noWrap/>
          </w:tcPr>
          <w:p w14:paraId="29CBD923" w14:textId="77777777" w:rsidR="002E77C2" w:rsidRPr="007C4132" w:rsidRDefault="002E77C2" w:rsidP="002E77C2">
            <w:pPr>
              <w:spacing w:line="276" w:lineRule="auto"/>
              <w:ind w:firstLine="0"/>
              <w:rPr>
                <w:rFonts w:eastAsia="Times New Roman" w:cs="Calibri"/>
                <w:color w:val="FF0000"/>
                <w:sz w:val="22"/>
                <w:szCs w:val="22"/>
                <w:highlight w:val="yellow"/>
                <w:lang w:val="hy-AM"/>
              </w:rPr>
            </w:pPr>
            <w:r w:rsidRPr="007C4132">
              <w:rPr>
                <w:rFonts w:eastAsia="Times New Roman" w:cs="Calibri"/>
                <w:sz w:val="22"/>
                <w:szCs w:val="22"/>
                <w:lang w:val="hy-AM"/>
              </w:rPr>
              <w:t>Ֆիթչ</w:t>
            </w:r>
            <w:r w:rsidRPr="007C4132">
              <w:rPr>
                <w:rFonts w:eastAsia="Times New Roman" w:cs="Calibri"/>
                <w:color w:val="FF0000"/>
                <w:sz w:val="22"/>
                <w:szCs w:val="22"/>
                <w:lang w:val="hy-AM"/>
              </w:rPr>
              <w:t xml:space="preserve"> </w:t>
            </w:r>
            <w:r w:rsidRPr="007C4132">
              <w:rPr>
                <w:rFonts w:eastAsia="Times New Roman" w:cs="Calibri"/>
                <w:sz w:val="22"/>
                <w:szCs w:val="22"/>
                <w:lang w:val="hy-AM"/>
              </w:rPr>
              <w:t>(202</w:t>
            </w:r>
            <w:r w:rsidRPr="007C4132">
              <w:rPr>
                <w:rFonts w:eastAsia="Times New Roman" w:cs="Calibri"/>
                <w:sz w:val="22"/>
                <w:szCs w:val="22"/>
              </w:rPr>
              <w:t>4</w:t>
            </w:r>
            <w:r w:rsidRPr="007C4132">
              <w:rPr>
                <w:rFonts w:eastAsia="Times New Roman" w:cs="Calibri"/>
                <w:sz w:val="22"/>
                <w:szCs w:val="22"/>
                <w:lang w:val="hy-AM"/>
              </w:rPr>
              <w:t xml:space="preserve">թ. </w:t>
            </w:r>
            <w:r w:rsidRPr="007C4132">
              <w:rPr>
                <w:rFonts w:eastAsia="Times New Roman" w:cs="Calibri"/>
                <w:sz w:val="22"/>
                <w:szCs w:val="22"/>
                <w:lang w:val="en-GB"/>
              </w:rPr>
              <w:t xml:space="preserve"> </w:t>
            </w:r>
            <w:r w:rsidRPr="007C4132">
              <w:rPr>
                <w:rFonts w:eastAsia="Times New Roman" w:cs="Calibri"/>
                <w:sz w:val="22"/>
                <w:szCs w:val="22"/>
                <w:lang w:val="hy-AM"/>
              </w:rPr>
              <w:t>հուն</w:t>
            </w:r>
            <w:r w:rsidRPr="007C4132">
              <w:rPr>
                <w:rFonts w:eastAsia="Times New Roman" w:cs="Calibri"/>
                <w:sz w:val="22"/>
                <w:szCs w:val="22"/>
                <w:lang w:val="en-GB"/>
              </w:rPr>
              <w:t>վար</w:t>
            </w:r>
            <w:r w:rsidRPr="007C4132">
              <w:rPr>
                <w:rFonts w:eastAsia="Times New Roman" w:cs="Calibri"/>
                <w:sz w:val="22"/>
                <w:szCs w:val="22"/>
                <w:lang w:val="hy-AM"/>
              </w:rPr>
              <w:t>)</w:t>
            </w:r>
          </w:p>
        </w:tc>
        <w:tc>
          <w:tcPr>
            <w:tcW w:w="1170" w:type="dxa"/>
            <w:noWrap/>
            <w:vAlign w:val="center"/>
          </w:tcPr>
          <w:p w14:paraId="0C55D07C"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lang w:val="hy-AM"/>
              </w:rPr>
              <w:t>6.0</w:t>
            </w:r>
          </w:p>
        </w:tc>
        <w:tc>
          <w:tcPr>
            <w:tcW w:w="1170" w:type="dxa"/>
            <w:noWrap/>
            <w:vAlign w:val="center"/>
          </w:tcPr>
          <w:p w14:paraId="532BE46F"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eastAsia="ru-RU"/>
              </w:rPr>
            </w:pPr>
            <w:r w:rsidRPr="007C4132">
              <w:rPr>
                <w:rFonts w:eastAsia="Times New Roman" w:cs="Calibri"/>
                <w:sz w:val="22"/>
                <w:szCs w:val="22"/>
                <w:lang w:eastAsia="ru-RU"/>
              </w:rPr>
              <w:t>4.9</w:t>
            </w:r>
          </w:p>
        </w:tc>
        <w:tc>
          <w:tcPr>
            <w:tcW w:w="923" w:type="dxa"/>
            <w:vAlign w:val="center"/>
          </w:tcPr>
          <w:p w14:paraId="55E769CA"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rPr>
              <w:t>4.8</w:t>
            </w:r>
          </w:p>
        </w:tc>
        <w:tc>
          <w:tcPr>
            <w:tcW w:w="1051" w:type="dxa"/>
            <w:vAlign w:val="center"/>
          </w:tcPr>
          <w:p w14:paraId="29D240B4" w14:textId="77777777" w:rsidR="002E77C2" w:rsidRPr="007C4132" w:rsidRDefault="002E77C2" w:rsidP="002E77C2">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22"/>
                <w:szCs w:val="22"/>
                <w:lang w:val="hy-AM" w:eastAsia="ru-RU"/>
              </w:rPr>
            </w:pPr>
            <w:r w:rsidRPr="007C4132">
              <w:rPr>
                <w:rFonts w:eastAsia="Times New Roman" w:cs="Calibri"/>
                <w:sz w:val="22"/>
                <w:szCs w:val="22"/>
                <w:lang w:val="hy-AM"/>
              </w:rPr>
              <w:t>4.8</w:t>
            </w:r>
          </w:p>
        </w:tc>
      </w:tr>
    </w:tbl>
    <w:p w14:paraId="2CE3C1C5" w14:textId="77777777" w:rsidR="002E77C2" w:rsidRPr="002E77C2" w:rsidRDefault="002E77C2" w:rsidP="002E77C2">
      <w:pPr>
        <w:spacing w:after="160" w:line="276" w:lineRule="auto"/>
        <w:ind w:firstLine="0"/>
        <w:contextualSpacing/>
        <w:jc w:val="left"/>
        <w:rPr>
          <w:rFonts w:eastAsia="Calibri" w:cs="Times New Roman"/>
          <w:i/>
          <w:sz w:val="18"/>
          <w:szCs w:val="16"/>
        </w:rPr>
      </w:pPr>
      <w:r w:rsidRPr="002E77C2">
        <w:rPr>
          <w:rFonts w:eastAsia="Calibri" w:cs="Times New Roman"/>
          <w:i/>
          <w:sz w:val="18"/>
          <w:szCs w:val="16"/>
          <w:lang w:val="hy-AM"/>
        </w:rPr>
        <w:t>Աղբյուրը՝ համապատասխան կառույցների հրապարակումներ</w:t>
      </w:r>
    </w:p>
    <w:p w14:paraId="388D5F30" w14:textId="77777777" w:rsidR="002E77C2" w:rsidRPr="002E77C2" w:rsidRDefault="002E77C2" w:rsidP="002E77C2">
      <w:pPr>
        <w:spacing w:after="160" w:line="276" w:lineRule="auto"/>
        <w:ind w:firstLine="0"/>
        <w:contextualSpacing/>
        <w:jc w:val="left"/>
        <w:rPr>
          <w:rFonts w:eastAsia="Calibri" w:cs="Times New Roman"/>
          <w:i/>
          <w:sz w:val="18"/>
          <w:szCs w:val="16"/>
          <w:lang w:val="hy-AM"/>
        </w:rPr>
      </w:pPr>
      <w:r w:rsidRPr="002E77C2">
        <w:rPr>
          <w:rFonts w:eastAsia="Calibri" w:cs="Times New Roman"/>
          <w:i/>
          <w:sz w:val="18"/>
          <w:szCs w:val="16"/>
          <w:lang w:val="hy-AM"/>
        </w:rPr>
        <w:t xml:space="preserve"> </w:t>
      </w:r>
      <w:r w:rsidRPr="002E77C2">
        <w:rPr>
          <w:rFonts w:eastAsia="Calibri" w:cs="Times New Roman"/>
          <w:i/>
          <w:sz w:val="18"/>
          <w:szCs w:val="16"/>
          <w:lang w:val="hy-AM"/>
        </w:rPr>
        <w:tab/>
        <w:t>«-» տվյալները հասանելի չեն</w:t>
      </w:r>
    </w:p>
    <w:p w14:paraId="3D9A78C1" w14:textId="77777777" w:rsidR="00080175" w:rsidRPr="0036010B" w:rsidRDefault="00080175" w:rsidP="00C30825">
      <w:pPr>
        <w:tabs>
          <w:tab w:val="left" w:pos="0"/>
        </w:tabs>
        <w:spacing w:before="120" w:after="0" w:line="276" w:lineRule="auto"/>
        <w:ind w:left="734" w:firstLine="0"/>
        <w:rPr>
          <w:rFonts w:eastAsia="Times New Roman" w:cs="Times New Roman"/>
          <w:sz w:val="20"/>
          <w:szCs w:val="20"/>
          <w:lang w:val="hy-AM"/>
        </w:rPr>
      </w:pPr>
    </w:p>
    <w:p w14:paraId="6B167A02" w14:textId="77777777" w:rsidR="0006115A" w:rsidRDefault="0006115A" w:rsidP="00C30825">
      <w:pPr>
        <w:tabs>
          <w:tab w:val="left" w:pos="0"/>
        </w:tabs>
        <w:spacing w:before="120" w:after="0" w:line="276" w:lineRule="auto"/>
        <w:ind w:firstLine="0"/>
        <w:jc w:val="left"/>
        <w:rPr>
          <w:rFonts w:eastAsia="Times New Roman" w:cs="Times New Roman"/>
          <w:caps/>
          <w:color w:val="44546A" w:themeColor="text2"/>
          <w:sz w:val="28"/>
          <w:szCs w:val="28"/>
          <w:lang w:val="hy-AM"/>
        </w:rPr>
      </w:pPr>
    </w:p>
    <w:p w14:paraId="3530D0BF" w14:textId="77777777" w:rsidR="0006115A" w:rsidRDefault="0006115A" w:rsidP="00C30825">
      <w:pPr>
        <w:tabs>
          <w:tab w:val="left" w:pos="0"/>
        </w:tabs>
        <w:spacing w:before="120" w:after="0" w:line="276" w:lineRule="auto"/>
        <w:ind w:firstLine="0"/>
        <w:jc w:val="left"/>
        <w:rPr>
          <w:rFonts w:eastAsia="Times New Roman" w:cs="Times New Roman"/>
          <w:caps/>
          <w:color w:val="44546A" w:themeColor="text2"/>
          <w:sz w:val="28"/>
          <w:szCs w:val="28"/>
          <w:lang w:val="hy-AM"/>
        </w:rPr>
      </w:pPr>
    </w:p>
    <w:p w14:paraId="798DA2B2" w14:textId="77777777" w:rsidR="0006115A" w:rsidRDefault="0006115A" w:rsidP="00C30825">
      <w:pPr>
        <w:tabs>
          <w:tab w:val="left" w:pos="0"/>
        </w:tabs>
        <w:spacing w:before="120" w:after="0" w:line="276" w:lineRule="auto"/>
        <w:ind w:firstLine="0"/>
        <w:jc w:val="left"/>
        <w:rPr>
          <w:rFonts w:eastAsia="Times New Roman" w:cs="Times New Roman"/>
          <w:caps/>
          <w:color w:val="44546A" w:themeColor="text2"/>
          <w:sz w:val="28"/>
          <w:szCs w:val="28"/>
          <w:lang w:val="hy-AM"/>
        </w:rPr>
      </w:pPr>
    </w:p>
    <w:p w14:paraId="1D0779FF" w14:textId="77777777" w:rsidR="0006115A" w:rsidRDefault="0006115A" w:rsidP="00C30825">
      <w:pPr>
        <w:tabs>
          <w:tab w:val="left" w:pos="0"/>
        </w:tabs>
        <w:spacing w:before="120" w:after="0" w:line="276" w:lineRule="auto"/>
        <w:ind w:firstLine="0"/>
        <w:jc w:val="left"/>
        <w:rPr>
          <w:rFonts w:eastAsia="Times New Roman" w:cs="Times New Roman"/>
          <w:caps/>
          <w:color w:val="44546A" w:themeColor="text2"/>
          <w:sz w:val="28"/>
          <w:szCs w:val="28"/>
          <w:lang w:val="hy-AM"/>
        </w:rPr>
      </w:pPr>
    </w:p>
    <w:p w14:paraId="57C9DE5B" w14:textId="77777777" w:rsidR="0006115A" w:rsidRDefault="0006115A" w:rsidP="00C30825">
      <w:pPr>
        <w:tabs>
          <w:tab w:val="left" w:pos="0"/>
        </w:tabs>
        <w:spacing w:before="120" w:after="0" w:line="276" w:lineRule="auto"/>
        <w:ind w:firstLine="0"/>
        <w:jc w:val="left"/>
        <w:rPr>
          <w:rFonts w:eastAsia="Times New Roman" w:cs="Times New Roman"/>
          <w:caps/>
          <w:color w:val="44546A" w:themeColor="text2"/>
          <w:sz w:val="28"/>
          <w:szCs w:val="28"/>
          <w:lang w:val="hy-AM"/>
        </w:rPr>
      </w:pPr>
    </w:p>
    <w:p w14:paraId="3993A4DA" w14:textId="26443FA2" w:rsidR="0006115A" w:rsidRDefault="00E02C17" w:rsidP="0006115A">
      <w:pPr>
        <w:keepNext/>
        <w:widowControl w:val="0"/>
        <w:tabs>
          <w:tab w:val="left" w:pos="0"/>
          <w:tab w:val="left" w:pos="993"/>
          <w:tab w:val="right" w:pos="10208"/>
        </w:tabs>
        <w:spacing w:before="120" w:after="0" w:line="276" w:lineRule="auto"/>
        <w:ind w:firstLine="0"/>
        <w:jc w:val="left"/>
        <w:outlineLvl w:val="1"/>
        <w:rPr>
          <w:rFonts w:eastAsia="Times New Roman" w:cs="Times New Roman"/>
          <w:b/>
          <w:color w:val="44546A" w:themeColor="text2"/>
          <w:sz w:val="24"/>
          <w:szCs w:val="24"/>
          <w:lang w:val="hy-AM"/>
        </w:rPr>
      </w:pPr>
      <w:bookmarkStart w:id="274" w:name="_Toc14687615"/>
      <w:bookmarkStart w:id="275" w:name="_Toc13837279"/>
      <w:bookmarkStart w:id="276" w:name="_Toc45838560"/>
      <w:bookmarkStart w:id="277" w:name="_Toc46154385"/>
      <w:bookmarkStart w:id="278" w:name="_Toc106822903"/>
      <w:bookmarkStart w:id="279" w:name="_Toc14687616"/>
      <w:bookmarkStart w:id="280" w:name="_Toc13837280"/>
      <w:bookmarkStart w:id="281" w:name="_Toc170926363"/>
      <w:bookmarkStart w:id="282" w:name="_Toc45838554"/>
      <w:bookmarkEnd w:id="269"/>
      <w:bookmarkEnd w:id="270"/>
      <w:bookmarkEnd w:id="271"/>
      <w:bookmarkEnd w:id="272"/>
      <w:bookmarkEnd w:id="273"/>
      <w:r w:rsidRPr="00E02C17">
        <w:rPr>
          <w:rFonts w:eastAsia="Times New Roman" w:cs="Times New Roman"/>
          <w:b/>
          <w:color w:val="44546A" w:themeColor="text2"/>
          <w:sz w:val="24"/>
          <w:szCs w:val="24"/>
          <w:lang w:val="hy-AM"/>
        </w:rPr>
        <w:t xml:space="preserve">3. </w:t>
      </w:r>
      <w:bookmarkStart w:id="283" w:name="_Toc138956242"/>
      <w:bookmarkStart w:id="284" w:name="_Toc77837912"/>
      <w:bookmarkEnd w:id="274"/>
      <w:bookmarkEnd w:id="275"/>
      <w:bookmarkEnd w:id="276"/>
      <w:bookmarkEnd w:id="277"/>
      <w:bookmarkEnd w:id="278"/>
      <w:bookmarkEnd w:id="279"/>
      <w:bookmarkEnd w:id="280"/>
      <w:r w:rsidR="0006115A">
        <w:rPr>
          <w:rFonts w:eastAsia="Times New Roman" w:cs="Times New Roman"/>
          <w:b/>
          <w:color w:val="44546A" w:themeColor="text2"/>
          <w:sz w:val="24"/>
          <w:szCs w:val="24"/>
          <w:lang w:val="hy-AM"/>
        </w:rPr>
        <w:t>ՀԱՐԿԱԲՅՈՒՋԵՏԱՅԻՆ ՌԻՍԿԵՐ</w:t>
      </w:r>
      <w:r w:rsidR="006D6989">
        <w:rPr>
          <w:rFonts w:eastAsia="Times New Roman" w:cs="Times New Roman"/>
          <w:b/>
          <w:color w:val="44546A" w:themeColor="text2"/>
          <w:sz w:val="24"/>
          <w:szCs w:val="24"/>
          <w:lang w:val="hy-AM"/>
        </w:rPr>
        <w:t>Ի ԳՆԱՀԱՏՈՒՄ</w:t>
      </w:r>
      <w:bookmarkEnd w:id="281"/>
    </w:p>
    <w:p w14:paraId="4F4F424E" w14:textId="7593B9A5" w:rsidR="0006115A" w:rsidRPr="00461381" w:rsidRDefault="0006115A" w:rsidP="00461381">
      <w:pPr>
        <w:tabs>
          <w:tab w:val="left" w:pos="0"/>
        </w:tabs>
        <w:spacing w:before="120" w:after="0" w:line="276" w:lineRule="auto"/>
        <w:ind w:firstLine="0"/>
        <w:rPr>
          <w:b/>
          <w:color w:val="44546A" w:themeColor="text2"/>
          <w:sz w:val="24"/>
          <w:szCs w:val="24"/>
          <w:lang w:val="hy-AM" w:eastAsia="ru-RU"/>
        </w:rPr>
      </w:pPr>
      <w:r w:rsidRPr="00461381">
        <w:rPr>
          <w:b/>
          <w:color w:val="44546A" w:themeColor="text2"/>
          <w:sz w:val="24"/>
          <w:szCs w:val="24"/>
          <w:lang w:val="hy-AM" w:eastAsia="ru-RU"/>
        </w:rPr>
        <w:t>3.1. ՊԵՏԱԿԱՆ ԲՅՈՒՋԵԻ ՎՐԱ ՄԱԿՐՈՏՆՏԵՍԱԿԱՆ ԿԱՆԽԱՏԵՍՎԱԾ ՑՈՒՑԱՆԻՇՆԵՐԻՑ ՇԵՂՄԱՆ ՌԻՍԿԵՐԻ ԱԶԴԵՑՈՒԹՅԱՆ ՔԱՆԱԿԱԿԱՆ ԳՆԱՀԱՏՈՒՄ</w:t>
      </w:r>
      <w:bookmarkEnd w:id="283"/>
    </w:p>
    <w:p w14:paraId="73509AD3" w14:textId="77777777" w:rsidR="00A26555" w:rsidRPr="00461381" w:rsidRDefault="00A26555" w:rsidP="00461381">
      <w:pPr>
        <w:tabs>
          <w:tab w:val="left" w:pos="0"/>
        </w:tabs>
        <w:spacing w:before="120" w:after="0" w:line="276" w:lineRule="auto"/>
        <w:ind w:firstLine="0"/>
        <w:rPr>
          <w:b/>
          <w:color w:val="44546A" w:themeColor="text2"/>
          <w:sz w:val="24"/>
          <w:szCs w:val="24"/>
          <w:lang w:val="hy-AM" w:eastAsia="ru-RU"/>
        </w:rPr>
      </w:pPr>
      <w:bookmarkStart w:id="285" w:name="_5._ՖԻՍԿԱԼ_ՌԻՍԿԵՐԻ"/>
      <w:bookmarkStart w:id="286" w:name="_Toc170750603"/>
      <w:bookmarkEnd w:id="285"/>
      <w:r w:rsidRPr="00461381">
        <w:rPr>
          <w:b/>
          <w:color w:val="44546A" w:themeColor="text2"/>
          <w:sz w:val="24"/>
          <w:szCs w:val="24"/>
          <w:lang w:val="hy-AM" w:eastAsia="ru-RU"/>
        </w:rPr>
        <w:t>3.1.1.2025-2027 թվականներին ՄԺԾԾ հարկային եկամուտների վրա մակրոտնտեսական ցուցանիշների կանխատեսվածից շեղման ռիսկերի ազդեցության քանակական գնահատումը</w:t>
      </w:r>
      <w:bookmarkEnd w:id="286"/>
    </w:p>
    <w:p w14:paraId="7650932D"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Միջնաժամկետ հատվածում հարկային եկամուտների կանխատեսվող հոսքերի վրա մակրոտնտեսական բնույթի ռիսկերի ազդեցության քանակական գնահատումը հիմնվել է ստորև նկարագրված </w:t>
      </w:r>
      <w:r w:rsidRPr="0006115A">
        <w:rPr>
          <w:rFonts w:eastAsia="Times New Roman" w:cs="Sylfaen"/>
          <w:b/>
          <w:lang w:val="hy-AM"/>
        </w:rPr>
        <w:t xml:space="preserve">ՀՆԱ կանխատեսումներից շեղումների ռիսկի </w:t>
      </w:r>
      <w:r w:rsidRPr="0006115A">
        <w:rPr>
          <w:rFonts w:eastAsia="Times New Roman" w:cs="Sylfaen"/>
          <w:lang w:val="hy-AM"/>
        </w:rPr>
        <w:t>և</w:t>
      </w:r>
      <w:r w:rsidRPr="0006115A">
        <w:rPr>
          <w:rFonts w:eastAsia="Times New Roman" w:cs="Sylfaen"/>
          <w:b/>
          <w:lang w:val="hy-AM"/>
        </w:rPr>
        <w:t xml:space="preserve"> ենթադրություններից շեղումների ռիսկի </w:t>
      </w:r>
      <w:r w:rsidRPr="0006115A">
        <w:rPr>
          <w:rFonts w:eastAsia="Times New Roman" w:cs="Sylfaen"/>
          <w:lang w:val="hy-AM"/>
        </w:rPr>
        <w:t>վրա: Ռիսկերի առարակայացման գնահատումն իրականացվել է Բայեսյան Վեկտոր ավտոռեգրեսիոն մոդելով, որի նախնական արժեքները նշանակվել են հիմք ընդունելով ՀՀ ՖՆ «AFSM DSGE» կառուցվածքային մոդելով</w:t>
      </w:r>
      <w:r w:rsidRPr="0006115A">
        <w:rPr>
          <w:rFonts w:eastAsia="Times New Roman" w:cs="Sylfaen"/>
          <w:vertAlign w:val="superscript"/>
          <w:lang w:val="hy-AM"/>
        </w:rPr>
        <w:footnoteReference w:id="27"/>
      </w:r>
      <w:r w:rsidRPr="0006115A">
        <w:rPr>
          <w:rFonts w:eastAsia="Times New Roman" w:cs="Sylfaen"/>
          <w:lang w:val="hy-AM"/>
        </w:rPr>
        <w:t xml:space="preserve"> գնահատված զգայունության գործակիցները։  </w:t>
      </w:r>
    </w:p>
    <w:p w14:paraId="0C2B0F60" w14:textId="77777777" w:rsidR="00A26555" w:rsidRPr="0006115A" w:rsidRDefault="00A26555" w:rsidP="00A26555">
      <w:pPr>
        <w:tabs>
          <w:tab w:val="left" w:pos="0"/>
          <w:tab w:val="left" w:pos="284"/>
        </w:tabs>
        <w:spacing w:before="120" w:after="0" w:line="276" w:lineRule="auto"/>
        <w:ind w:firstLine="0"/>
        <w:rPr>
          <w:rFonts w:eastAsia="Times New Roman" w:cs="Sylfaen"/>
          <w:b/>
          <w:lang w:val="hy-AM"/>
        </w:rPr>
      </w:pPr>
      <w:r w:rsidRPr="0006115A">
        <w:rPr>
          <w:rFonts w:eastAsia="Times New Roman" w:cs="Sylfaen"/>
          <w:b/>
          <w:lang w:val="hy-AM"/>
        </w:rPr>
        <w:t>1. ՀՆԱ կանխատեսումներից շեղումների ռիսկ</w:t>
      </w:r>
    </w:p>
    <w:p w14:paraId="6AF98A3F"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ՀՆԱ-ի կանխատեսումների ռիսկը գնահատվել է 2010-2023 թվականներին միջնաժամկետ ծախսերի ծրագրերի հիմքում դրվող ՀՆԱ-ի կանխատեսված ցուցա</w:t>
      </w:r>
      <w:r w:rsidRPr="0006115A">
        <w:rPr>
          <w:rFonts w:eastAsia="Times New Roman" w:cs="Sylfaen"/>
          <w:lang w:val="hy-AM"/>
        </w:rPr>
        <w:softHyphen/>
        <w:t>նիշների և ՀՆԱ-ի փաստացի ցուցանիշների միջև շեղման հիման վրա, որոնք վերջին տարիների համար եղել են 3.3-ից 4.1 տոկոսային կետ: Ընդ որում, պետք է նշել, որ այս գնահատականներն ամփոփում են կանխատեսումներից ինչպես դրական, այնպես էլ բացասական շեղումները՝ ըստ էության արտացոլելով ՀՆԱ պատմական տատանողականության և ՀՆԱ կանխատեսումների շուրջ ձևավորվող անորոշության ազդեցությունը։ Այս պարագայում որպես ռիսկ է դիտարկվել ՀՆԱ-ի իրական աճի կանխատեսվածից 3.3 տոկոսային կետով ավելի ցածր ցուցանիշի ձևավորումը 2025 թվականին, 4.1 տոկոսային կետով ցածր՝ 2026 թվականին և 4.1 տոկոսային կետով ցածր՝ 2027 թվականին:</w:t>
      </w:r>
    </w:p>
    <w:p w14:paraId="023991D2"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Արդյունքում, ՀՆԱ նվազման ռիսկի ազդեցությունը հարկային եկամուտների վրա 2025, 2026 և 2027 թվականների համար գնահատվում է համապատասխանաբար 53.1, 77.6 և 84.3 մլրդ ՀՀ դրամ ֆինանսական պահանջի ավելացման ուղղությամբ:</w:t>
      </w:r>
    </w:p>
    <w:p w14:paraId="759BCD5F" w14:textId="77777777" w:rsidR="00A26555" w:rsidRPr="0006115A" w:rsidRDefault="00A26555" w:rsidP="00A26555">
      <w:pPr>
        <w:tabs>
          <w:tab w:val="left" w:pos="0"/>
          <w:tab w:val="left" w:pos="284"/>
        </w:tabs>
        <w:spacing w:before="120" w:after="0" w:line="276" w:lineRule="auto"/>
        <w:ind w:firstLine="0"/>
        <w:rPr>
          <w:rFonts w:eastAsia="Times New Roman" w:cs="Sylfaen"/>
          <w:b/>
          <w:lang w:val="hy-AM"/>
        </w:rPr>
      </w:pPr>
      <w:r w:rsidRPr="0006115A">
        <w:rPr>
          <w:rFonts w:eastAsia="Times New Roman" w:cs="Sylfaen"/>
          <w:b/>
          <w:lang w:val="hy-AM"/>
        </w:rPr>
        <w:t>2. Ենթադրություններից շեղումների ռիսկ</w:t>
      </w:r>
    </w:p>
    <w:p w14:paraId="7522BC88"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ՄԺԾԾ հիմքում դրվող կանխատեսումները կառուցվում են որոշակի ենթադրու</w:t>
      </w:r>
      <w:r w:rsidRPr="0006115A">
        <w:rPr>
          <w:rFonts w:eastAsia="Times New Roman" w:cs="Sylfaen"/>
          <w:lang w:val="hy-AM"/>
        </w:rPr>
        <w:softHyphen/>
        <w:t>թյու</w:t>
      </w:r>
      <w:r w:rsidRPr="0006115A">
        <w:rPr>
          <w:rFonts w:eastAsia="Times New Roman" w:cs="Sylfaen"/>
          <w:lang w:val="hy-AM"/>
        </w:rPr>
        <w:softHyphen/>
        <w:t xml:space="preserve">նների հիման վրա, որոնք էլ իրենց հերթին կախված են արտաքին կամ  ներքին գործոններից։ Սակայն միշտ չէ, որ այդ ենթադրությունները կանխատեսվող հորիզոնում իրականություն են դառնում՝ կապված ՀՀ կառավարության և ՀՀ ԿԲ-ի կառավարման դաշտից դուրս ի հայտ եկող երևույթների հետ: </w:t>
      </w:r>
    </w:p>
    <w:p w14:paraId="50A7AA76"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 xml:space="preserve">Բացի արտաքին կամ ներքին գործոններից, ենթադրությունների ռիսկ է հարկեր/ՀՆԱ թիրախավորված բարելավման չապահովումը՝ հարկային վարչարարության կատարելագործման ոչ բավարար տեմպ ապահովելու դեպքում։ </w:t>
      </w:r>
    </w:p>
    <w:p w14:paraId="4B4350DA"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Ենթադրություններից շեղումների ռիսկ է նաև ԵԱՏՄ անդամ պետությունների տնտեսական զարգացումները: Միաժամանակ, ՀՀ պետական բյուջեի հարկային եկամուտներում մաքսա</w:t>
      </w:r>
      <w:r w:rsidRPr="0006115A">
        <w:rPr>
          <w:rFonts w:eastAsia="Times New Roman" w:cs="Sylfaen"/>
          <w:lang w:val="hy-AM"/>
        </w:rPr>
        <w:softHyphen/>
        <w:t>տուր</w:t>
      </w:r>
      <w:r w:rsidRPr="0006115A">
        <w:rPr>
          <w:rFonts w:eastAsia="Times New Roman" w:cs="Sylfaen"/>
          <w:lang w:val="hy-AM"/>
        </w:rPr>
        <w:softHyphen/>
        <w:t>քերի մասնաբաժինը կարող է փոփոխվել նոր պետությունների ԵԱՏՄ-ին անդամակ</w:t>
      </w:r>
      <w:r w:rsidRPr="0006115A">
        <w:rPr>
          <w:rFonts w:eastAsia="Times New Roman" w:cs="Sylfaen"/>
          <w:lang w:val="hy-AM"/>
        </w:rPr>
        <w:softHyphen/>
        <w:t xml:space="preserve">ցությունից: </w:t>
      </w:r>
    </w:p>
    <w:p w14:paraId="708188D2" w14:textId="77777777" w:rsidR="00A26555" w:rsidRPr="0006115A" w:rsidRDefault="00A26555" w:rsidP="00A26555">
      <w:pPr>
        <w:tabs>
          <w:tab w:val="left" w:pos="0"/>
          <w:tab w:val="left" w:pos="284"/>
        </w:tabs>
        <w:spacing w:before="120" w:after="0" w:line="276" w:lineRule="auto"/>
        <w:ind w:firstLine="0"/>
        <w:rPr>
          <w:rFonts w:eastAsia="Times New Roman" w:cs="Sylfaen"/>
          <w:b/>
          <w:lang w:val="hy-AM"/>
        </w:rPr>
      </w:pPr>
      <w:r w:rsidRPr="0006115A">
        <w:rPr>
          <w:rFonts w:eastAsia="Times New Roman" w:cs="Sylfaen"/>
          <w:b/>
          <w:lang w:val="hy-AM"/>
        </w:rPr>
        <w:t>2.1. Գնաճի շեղման հնարավոր չափը</w:t>
      </w:r>
    </w:p>
    <w:p w14:paraId="346AC106"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 xml:space="preserve">Գնաճի ցուցանիշի շեղման հնարավոր չափ է դիտարկվում է վերջին տասնամյակում միջնաժամկետ ծախսերի ծրագրերի հիմքում դրվող գնաճի կանխատեսումներից փաստացի շեղումների միջին չափը: </w:t>
      </w:r>
    </w:p>
    <w:p w14:paraId="7E7BC9D5"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 xml:space="preserve">Կանխատեսված ցուցանիշից գնաճի շեղման ռիսկերը միջնաժամկետ հորիզոնում գնահատվում են միջինում </w:t>
      </w:r>
      <w:r w:rsidRPr="0006115A">
        <w:rPr>
          <w:rFonts w:eastAsia="Times New Roman" w:cs="Sylfaen"/>
          <w:b/>
          <w:lang w:val="hy-AM"/>
        </w:rPr>
        <w:t>դեպի</w:t>
      </w:r>
      <w:r w:rsidRPr="0006115A">
        <w:rPr>
          <w:rFonts w:eastAsia="Times New Roman" w:cs="Sylfaen"/>
          <w:lang w:val="hy-AM"/>
        </w:rPr>
        <w:t xml:space="preserve"> </w:t>
      </w:r>
      <w:r w:rsidRPr="0006115A">
        <w:rPr>
          <w:rFonts w:eastAsia="Times New Roman" w:cs="Sylfaen"/>
          <w:b/>
          <w:lang w:val="hy-AM"/>
        </w:rPr>
        <w:t>ներքև`</w:t>
      </w:r>
      <w:r w:rsidRPr="0006115A">
        <w:rPr>
          <w:rFonts w:eastAsia="Times New Roman" w:cs="Sylfaen"/>
          <w:lang w:val="hy-AM"/>
        </w:rPr>
        <w:t xml:space="preserve"> </w:t>
      </w:r>
      <w:r w:rsidRPr="0006115A">
        <w:rPr>
          <w:rFonts w:eastAsia="Times New Roman" w:cs="Sylfaen"/>
          <w:b/>
          <w:lang w:val="hy-AM"/>
        </w:rPr>
        <w:t>2.6 տոկոսային կետի չափով</w:t>
      </w:r>
      <w:r w:rsidRPr="0006115A">
        <w:rPr>
          <w:rFonts w:eastAsia="Times New Roman" w:cs="Sylfaen"/>
          <w:lang w:val="hy-AM"/>
        </w:rPr>
        <w:t xml:space="preserve">: </w:t>
      </w:r>
    </w:p>
    <w:p w14:paraId="6DFAFB98"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 xml:space="preserve">Գնաճի շեղման ռիսկը կարող է ազդեցություն ունենալ ՀՀ պետական բյուջեի և՛ եկամտային, և՛ ծախսային կատարողականների վրա` անուղղակի հարկերի, ինչպես նաև ապրանքների և ծառայությունների գծով ծախսերի ուղղությամբ: Գնանկումային պայմաններում հարկերից մուտքերը կկրճատվեն և ընդհակառակը: </w:t>
      </w:r>
    </w:p>
    <w:p w14:paraId="5092E2F0"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Արդյունքում, գնաճի դանդաղման ռիսկի ազդեցությունը հարկային եկամուտների վրա 2025, 2026 և 2027 թվականների համար գնահատվում է համապատասխանաբար 25.6, 27.8 և 30.0 մլրդ ՀՀ դրամ ֆինանսական պահանջի ավելացման ուղղությամբ:</w:t>
      </w:r>
    </w:p>
    <w:p w14:paraId="2E19009B" w14:textId="77777777" w:rsidR="00A26555" w:rsidRPr="0006115A" w:rsidRDefault="00A26555" w:rsidP="00A26555">
      <w:pPr>
        <w:tabs>
          <w:tab w:val="left" w:pos="0"/>
          <w:tab w:val="left" w:pos="284"/>
        </w:tabs>
        <w:spacing w:before="120" w:after="0" w:line="276" w:lineRule="auto"/>
        <w:ind w:firstLine="0"/>
        <w:rPr>
          <w:rFonts w:eastAsia="Times New Roman" w:cs="Sylfaen"/>
          <w:b/>
          <w:lang w:val="hy-AM"/>
        </w:rPr>
      </w:pPr>
      <w:r w:rsidRPr="0006115A">
        <w:rPr>
          <w:rFonts w:eastAsia="Times New Roman" w:cs="Sylfaen"/>
          <w:b/>
          <w:lang w:val="hy-AM"/>
        </w:rPr>
        <w:t>2.2. Փոխարժեքի շեղման հնարավոր չափը</w:t>
      </w:r>
    </w:p>
    <w:p w14:paraId="103917F9"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Չնայած ՀՀ ԿԲ-ն և ՀՀ ՖՆ-ն մշակում են փոխարժեքի վերաբերյալ սցենարներ, որոնք արտացոլում են փոխարժեքի վարքագիծը տարբեր մակրոտնտեսական հիմնարարների ներքո, ՀՀ-ում իրականացվում է լողացող փոխարժեքի քաղաքականություն, իսկ յուրաքանչյուր տարվա պետական բյուջեի ցուցանիշների կանխատեսումների հիմքում դրվում է փոխարժեքի անփոփոխ (որոշակի պահի դրությամբ) մակարդակ: Սակայն փոխարժեքի տատա</w:t>
      </w:r>
      <w:r w:rsidRPr="0006115A">
        <w:rPr>
          <w:rFonts w:eastAsia="Times New Roman" w:cs="Sylfaen"/>
          <w:lang w:val="hy-AM"/>
        </w:rPr>
        <w:softHyphen/>
        <w:t>նում</w:t>
      </w:r>
      <w:r w:rsidRPr="0006115A">
        <w:rPr>
          <w:rFonts w:eastAsia="Times New Roman" w:cs="Sylfaen"/>
          <w:lang w:val="hy-AM"/>
        </w:rPr>
        <w:softHyphen/>
        <w:t>ները կազդեն ներմուծումից ՀՀ պետական բյուջե մուտքագրվող հարկային եկամուտների վրա:</w:t>
      </w:r>
    </w:p>
    <w:p w14:paraId="795960E1"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Հաշվի առնելով այն հանգամանքը, որ վերջին տարիների համար և՛ արժևորման, և՛ արժեզրկման ուղղությամբ փոխար</w:t>
      </w:r>
      <w:r w:rsidRPr="0006115A">
        <w:rPr>
          <w:rFonts w:eastAsia="Times New Roman" w:cs="Sylfaen"/>
          <w:lang w:val="hy-AM"/>
        </w:rPr>
        <w:softHyphen/>
        <w:t xml:space="preserve">ժեքի տատանումների բացարձակ շեղման միջին չափը չի գերազանցել 6.3 տոկոսը` որպես ռիսկ է դիտարկվել ԱՄՆ դոլարի նկատմամբ ՀՀ դրամի առավելագույնը 6.3 տոկոս արժեզրկումը: </w:t>
      </w:r>
    </w:p>
    <w:p w14:paraId="74E68521" w14:textId="77777777" w:rsidR="00A26555" w:rsidRPr="0006115A" w:rsidRDefault="00A26555" w:rsidP="00A26555">
      <w:pPr>
        <w:tabs>
          <w:tab w:val="left" w:pos="0"/>
          <w:tab w:val="left" w:pos="567"/>
        </w:tabs>
        <w:spacing w:before="120" w:after="0" w:line="276" w:lineRule="auto"/>
        <w:ind w:firstLine="0"/>
        <w:rPr>
          <w:rFonts w:eastAsia="Times New Roman" w:cs="Sylfaen"/>
          <w:lang w:val="hy-AM"/>
        </w:rPr>
      </w:pPr>
      <w:r w:rsidRPr="0006115A">
        <w:rPr>
          <w:rFonts w:eastAsia="Times New Roman" w:cs="Sylfaen"/>
          <w:lang w:val="hy-AM"/>
        </w:rPr>
        <w:t>Արդյունքում, փոխարժեքի 6.3 տոկոսով արժեզրկման ռիսկի դրսևորման դեպքում, այլ հավասար պայմաններում, 2025, 2026 և 2027 թվականներին կարելի է ապահովել հարկային եկամուտների համապատասխանաբար 17.7, 19.3 և 21.8 մլրդ ՀՀ դրամ լրացուցիչ մուտք:</w:t>
      </w:r>
    </w:p>
    <w:p w14:paraId="4A8E4AAF" w14:textId="77777777" w:rsidR="00A26555" w:rsidRPr="0006115A" w:rsidRDefault="00A26555" w:rsidP="00A26555">
      <w:pPr>
        <w:tabs>
          <w:tab w:val="left" w:pos="0"/>
          <w:tab w:val="left" w:pos="284"/>
        </w:tabs>
        <w:spacing w:before="120" w:after="0" w:line="276" w:lineRule="auto"/>
        <w:ind w:firstLine="0"/>
        <w:rPr>
          <w:rFonts w:eastAsia="Times New Roman" w:cs="Sylfaen"/>
          <w:b/>
          <w:lang w:val="hy-AM"/>
        </w:rPr>
      </w:pPr>
      <w:r w:rsidRPr="0006115A">
        <w:rPr>
          <w:rFonts w:eastAsia="Times New Roman" w:cs="Sylfaen"/>
          <w:b/>
          <w:lang w:val="hy-AM"/>
        </w:rPr>
        <w:t>2.3. Ներմուծման գծով ռիսկի հնարավոր չափը</w:t>
      </w:r>
    </w:p>
    <w:p w14:paraId="4FD3F39D"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Քանի որ մաքսային սահմանին ներմուծումից գանձվող անուղղակի հարկերը էական կշիռ ունեն պետական բյուջեի ընդհանուր հարկային եկամուտներում, անհրաժեշտ է գնահատել նաև ներմուծման հնարավոր նվազման պարագայում հարկային եկամուտների նվազման ռիսկի չափը: 2010-2023 թվականների ընթացքում ՄԺԾԾ-ում ներմուծման գծով կանխատեսումների շեղման միջին բացարձակ չափը գտնվում է 7.3-14.3%-ի միջակայքում, ինչն էլ հաշվի է առնվել այս գործոնի ազդեցությունը գնահատելու համար: 2022-2024 թթ. գնահատականներում ներմուծման ցուցանիշները դիտարկվել են առանց վերաարտահանման  ծավալների: 2025, 2026 և 2027 թվականների համար ծրագրվածից համապատասխանաբար 7.3, 12.3 և 14.3% պակաս ներմուծման ռիսկի դրսևորման պայմաններում հարկային եկամուտների վրա ազդեցությունը գնահատվել է համապատասխանաբար՝ 25.7, 47.5 և 62.2 մլրդ ՀՀ դրամ` ֆինանսական պահանջի ավելացման ուղղությամբ:</w:t>
      </w:r>
    </w:p>
    <w:p w14:paraId="1135B849" w14:textId="77777777" w:rsidR="00A26555" w:rsidRPr="0006115A" w:rsidRDefault="00A26555" w:rsidP="00A26555">
      <w:pPr>
        <w:tabs>
          <w:tab w:val="left" w:pos="0"/>
          <w:tab w:val="left" w:pos="284"/>
        </w:tabs>
        <w:spacing w:before="120" w:after="0" w:line="276" w:lineRule="auto"/>
        <w:ind w:firstLine="0"/>
        <w:rPr>
          <w:rFonts w:eastAsia="Times New Roman" w:cs="Sylfaen"/>
          <w:b/>
          <w:bCs/>
          <w:lang w:val="hy-AM"/>
        </w:rPr>
      </w:pPr>
      <w:r w:rsidRPr="0006115A">
        <w:rPr>
          <w:rFonts w:eastAsia="Times New Roman" w:cs="Sylfaen"/>
          <w:b/>
          <w:bCs/>
          <w:lang w:val="hy-AM"/>
        </w:rPr>
        <w:t>2</w:t>
      </w:r>
      <w:r w:rsidRPr="0006115A">
        <w:rPr>
          <w:rFonts w:ascii="Cambria Math" w:eastAsia="Times New Roman" w:hAnsi="Cambria Math" w:cs="Cambria Math"/>
          <w:b/>
          <w:bCs/>
          <w:lang w:val="hy-AM"/>
        </w:rPr>
        <w:t>․</w:t>
      </w:r>
      <w:r w:rsidRPr="0006115A">
        <w:rPr>
          <w:rFonts w:eastAsia="Times New Roman" w:cs="Sylfaen"/>
          <w:b/>
          <w:bCs/>
          <w:lang w:val="hy-AM"/>
        </w:rPr>
        <w:t>4. Հարկեր/ՀՆԱ թիրախավորված բարելավումը չապահովելու ռիսկի չափը</w:t>
      </w:r>
    </w:p>
    <w:p w14:paraId="54EB91B9" w14:textId="77777777" w:rsidR="00A26555" w:rsidRPr="0006115A" w:rsidRDefault="00A26555" w:rsidP="00A26555">
      <w:pPr>
        <w:tabs>
          <w:tab w:val="left" w:pos="0"/>
          <w:tab w:val="left" w:pos="284"/>
        </w:tabs>
        <w:spacing w:before="120" w:after="0" w:line="276" w:lineRule="auto"/>
        <w:ind w:firstLine="0"/>
        <w:rPr>
          <w:rFonts w:eastAsia="Times New Roman" w:cs="Sylfaen"/>
          <w:lang w:val="hy-AM"/>
        </w:rPr>
      </w:pPr>
      <w:r w:rsidRPr="0006115A">
        <w:rPr>
          <w:rFonts w:eastAsia="Times New Roman" w:cs="Sylfaen"/>
          <w:lang w:val="hy-AM"/>
        </w:rPr>
        <w:t>ՀՀ հարկեր/ՀՆԱ ցուցանիշը վերջին տասնամյակում միջինում բարելավվել է շուրջ 0.2 տոկոսային կետով, որին նպաստել են ինչպես տնտեսության կառուցվածքային փոփոխությունները (հարկունակ ճյուղերի մասնաբաժնի ավելացում), այնպես էլ հարկային օրենսդրական բարեփոխումները և վարչարարության արդյունավետության բարձրացումը՝ ստվերի դեմ պայքարի և հարկային վարչարարության ճեղքի աստիճանական կրճատման ճանապարհով։ Այնուամենայնիվ, վերջին տարիներին հարկային վարչարարության ճեղքի կրճատման ավելի բարձր արագության հաշվին հարկեր/ՀՆԱ բարելավումների տեմպը արագացել է (2021-2022թթ</w:t>
      </w:r>
      <w:r w:rsidRPr="0006115A">
        <w:rPr>
          <w:rFonts w:ascii="Cambria Math" w:eastAsia="Times New Roman" w:hAnsi="Cambria Math" w:cs="Cambria Math"/>
          <w:lang w:val="hy-AM"/>
        </w:rPr>
        <w:t>․</w:t>
      </w:r>
      <w:r w:rsidRPr="0006115A">
        <w:rPr>
          <w:rFonts w:eastAsia="Times New Roman" w:cs="Sylfaen"/>
          <w:lang w:val="hy-AM"/>
        </w:rPr>
        <w:t xml:space="preserve"> հարկային ճեղքը միջինում կրճատվել է 0</w:t>
      </w:r>
      <w:r w:rsidRPr="0006115A">
        <w:rPr>
          <w:rFonts w:ascii="Cambria Math" w:eastAsia="Times New Roman" w:hAnsi="Cambria Math" w:cs="Cambria Math"/>
          <w:lang w:val="hy-AM"/>
        </w:rPr>
        <w:t>․</w:t>
      </w:r>
      <w:r w:rsidRPr="0006115A">
        <w:rPr>
          <w:rFonts w:eastAsia="Times New Roman" w:cs="Sylfaen"/>
          <w:lang w:val="hy-AM"/>
        </w:rPr>
        <w:t>6%-ային կետով)։ Ըստ այդմ, համահունչ նաև  ՀՀ կառավարության ծրագրով մինչև 2026 թ</w:t>
      </w:r>
      <w:r w:rsidRPr="0006115A">
        <w:rPr>
          <w:rFonts w:ascii="Cambria Math" w:eastAsia="Times New Roman" w:hAnsi="Cambria Math" w:cs="Cambria Math"/>
          <w:lang w:val="hy-AM"/>
        </w:rPr>
        <w:t>․</w:t>
      </w:r>
      <w:r w:rsidRPr="0006115A">
        <w:rPr>
          <w:rFonts w:eastAsia="Times New Roman" w:cs="Sylfaen"/>
          <w:lang w:val="hy-AM"/>
        </w:rPr>
        <w:t xml:space="preserve"> թիրախավորված առնվազն 25% հարկեր/ՀՆԱ ցուցանիշ գրանցելու թիրախկին, միջնաժամկետ հատվածում ծրագրվել է տարեկան 0.6 տոկոսային կետով բարելավման տեմպ, որում հարկային վարչարության ազդեցությունը 0</w:t>
      </w:r>
      <w:r w:rsidRPr="0006115A">
        <w:rPr>
          <w:rFonts w:ascii="Cambria Math" w:eastAsia="Times New Roman" w:hAnsi="Cambria Math" w:cs="Cambria Math"/>
          <w:lang w:val="hy-AM"/>
        </w:rPr>
        <w:t>․</w:t>
      </w:r>
      <w:r w:rsidRPr="0006115A">
        <w:rPr>
          <w:rFonts w:eastAsia="Times New Roman" w:cs="Sylfaen"/>
          <w:lang w:val="hy-AM"/>
        </w:rPr>
        <w:t>5%-ային կետ է։ Այնուամենայնիվ, հարկային վարչարարության ազդեցությունը ճեղքի կրճատման վրա ոչ գծային է, և կարող է թուլանալ ճեղքի ավելի ցածր մակարդակներում։ Ըստ այդմ, ռիսկի չափ է դիտարկվել ծրագրվածից ավելի դանդաղ հարկեր/ՀՆԱ բարելավման սցենարը 0</w:t>
      </w:r>
      <w:r w:rsidRPr="0006115A">
        <w:rPr>
          <w:rFonts w:ascii="Cambria Math" w:eastAsia="Times New Roman" w:hAnsi="Cambria Math" w:cs="Cambria Math"/>
          <w:lang w:val="hy-AM"/>
        </w:rPr>
        <w:t>․</w:t>
      </w:r>
      <w:r w:rsidRPr="0006115A">
        <w:rPr>
          <w:rFonts w:eastAsia="Times New Roman" w:cs="Sylfaen"/>
          <w:lang w:val="hy-AM"/>
        </w:rPr>
        <w:t xml:space="preserve">3%-ային կետի չափով, որը ենթադրում է ցուցանիշի բարելավում վերջին տասնամյակի միտումներին համահունչ։ </w:t>
      </w:r>
    </w:p>
    <w:p w14:paraId="6C4251CD" w14:textId="77777777" w:rsidR="00A26555" w:rsidRPr="0006115A" w:rsidRDefault="00A26555" w:rsidP="00A26555">
      <w:pPr>
        <w:tabs>
          <w:tab w:val="left" w:pos="0"/>
        </w:tabs>
        <w:spacing w:before="120" w:after="0" w:line="276" w:lineRule="auto"/>
        <w:ind w:firstLine="0"/>
        <w:rPr>
          <w:rFonts w:ascii="Cambria Math" w:eastAsia="Times New Roman" w:hAnsi="Cambria Math" w:cs="Sylfaen"/>
          <w:lang w:val="hy-AM"/>
        </w:rPr>
      </w:pPr>
      <w:r w:rsidRPr="0006115A">
        <w:rPr>
          <w:rFonts w:eastAsia="Times New Roman" w:cs="Sylfaen"/>
          <w:lang w:val="hy-AM"/>
        </w:rPr>
        <w:t xml:space="preserve">Վերը նկարագրված ռիսկի առարկայացման դեպքում 2025, 2026 և 2027 թվականներին հարկային եկամուտները առավել ցածր կձևավորվեն համապատասխանաբար 33.6, 36.9, 40.5 մլրդ դրամով։  </w:t>
      </w:r>
    </w:p>
    <w:p w14:paraId="47491F62"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Ամփոփելով վերը նկարագրված </w:t>
      </w:r>
      <w:r w:rsidRPr="0006115A">
        <w:rPr>
          <w:rFonts w:eastAsia="Times New Roman" w:cs="Sylfaen"/>
          <w:b/>
          <w:lang w:val="hy-AM"/>
        </w:rPr>
        <w:t>կանխատեսումների ռիսկի,</w:t>
      </w:r>
      <w:r w:rsidRPr="0006115A">
        <w:rPr>
          <w:rFonts w:eastAsia="Times New Roman" w:cs="Sylfaen"/>
          <w:lang w:val="hy-AM"/>
        </w:rPr>
        <w:t xml:space="preserve"> </w:t>
      </w:r>
      <w:r w:rsidRPr="0006115A">
        <w:rPr>
          <w:rFonts w:eastAsia="Times New Roman" w:cs="Sylfaen"/>
          <w:b/>
          <w:lang w:val="hy-AM"/>
        </w:rPr>
        <w:t>ենթադրություններից շեղումների և հարկեր/ՀՆԱ թիրախավորված բարելավումը չապահովելու ռիսկի</w:t>
      </w:r>
      <w:r w:rsidRPr="0006115A">
        <w:rPr>
          <w:rFonts w:eastAsia="Times New Roman" w:cs="Sylfaen"/>
          <w:lang w:val="hy-AM"/>
        </w:rPr>
        <w:t xml:space="preserve"> գնահատականները, միջնաժամկետ հորիզոնում ՀՀ պետական բյուջեի հարկային եկամուտների վրա մակրոտնտեսական ցուցանիշների` իրական ՀՆԱ-ի աճի, գնաճի, փոխարժեքի տատանողականության և ներմուծման, ինչպես նաև հարկային վարչաչարության լրացուցիչ ջանքի չապահովման ռիսկերի ազդեցության քանակական ամփոփ գնահատականները ներկայացվում են ստորև.</w:t>
      </w:r>
    </w:p>
    <w:p w14:paraId="57AA393E" w14:textId="77777777" w:rsidR="006B767E" w:rsidRDefault="006B767E" w:rsidP="00A26555">
      <w:pPr>
        <w:tabs>
          <w:tab w:val="left" w:pos="0"/>
        </w:tabs>
        <w:spacing w:before="120" w:after="0" w:line="276" w:lineRule="auto"/>
        <w:ind w:firstLine="0"/>
        <w:jc w:val="left"/>
        <w:rPr>
          <w:rFonts w:eastAsia="Calibri" w:cs="Sylfaen"/>
          <w:b/>
          <w:bCs/>
          <w:lang w:val="hy-AM"/>
        </w:rPr>
      </w:pPr>
    </w:p>
    <w:p w14:paraId="1D0EFBC3" w14:textId="5388AD3F" w:rsidR="00A26555" w:rsidRPr="0006115A" w:rsidRDefault="00A26555" w:rsidP="00A26555">
      <w:pPr>
        <w:tabs>
          <w:tab w:val="left" w:pos="0"/>
        </w:tabs>
        <w:spacing w:before="120" w:after="0" w:line="276" w:lineRule="auto"/>
        <w:ind w:firstLine="0"/>
        <w:jc w:val="left"/>
        <w:rPr>
          <w:rFonts w:eastAsia="Calibri" w:cs="Sylfaen"/>
          <w:b/>
          <w:bCs/>
          <w:lang w:val="hy-AM"/>
        </w:rPr>
      </w:pPr>
      <w:r w:rsidRPr="0006115A">
        <w:rPr>
          <w:rFonts w:eastAsia="Calibri" w:cs="Sylfaen"/>
          <w:b/>
          <w:bCs/>
          <w:lang w:val="hy-AM"/>
        </w:rPr>
        <w:t xml:space="preserve">Աղյուսակ 3.1.1 </w:t>
      </w:r>
      <w:r w:rsidRPr="0006115A">
        <w:rPr>
          <w:rFonts w:eastAsia="Calibri" w:cs="Sylfaen"/>
          <w:bCs/>
          <w:lang w:val="hy-AM"/>
        </w:rPr>
        <w:t>Հարկային եկամուտների վրա մակրոտնտեսական կանխատեսումների և ենթադրությունների ռիսկերի ազդեցություն, մլրդ դրամ</w:t>
      </w:r>
      <w:r w:rsidRPr="0006115A">
        <w:rPr>
          <w:rFonts w:eastAsia="Calibri" w:cs="Sylfaen"/>
          <w:bCs/>
          <w:vertAlign w:val="superscript"/>
          <w:lang w:val="hy-AM"/>
        </w:rPr>
        <w:t xml:space="preserve"> </w:t>
      </w:r>
      <w:r w:rsidRPr="0006115A">
        <w:rPr>
          <w:rFonts w:eastAsia="Calibri" w:cs="Sylfaen"/>
          <w:bCs/>
          <w:vertAlign w:val="superscript"/>
          <w:lang w:val="hy-AM"/>
        </w:rPr>
        <w:footnoteReference w:id="28"/>
      </w:r>
    </w:p>
    <w:tbl>
      <w:tblPr>
        <w:tblW w:w="9541" w:type="dxa"/>
        <w:tblLook w:val="04A0" w:firstRow="1" w:lastRow="0" w:firstColumn="1" w:lastColumn="0" w:noHBand="0" w:noVBand="1"/>
      </w:tblPr>
      <w:tblGrid>
        <w:gridCol w:w="5432"/>
        <w:gridCol w:w="1418"/>
        <w:gridCol w:w="1418"/>
        <w:gridCol w:w="1256"/>
        <w:gridCol w:w="17"/>
      </w:tblGrid>
      <w:tr w:rsidR="00A26555" w:rsidRPr="0006115A" w14:paraId="6167C564" w14:textId="77777777" w:rsidTr="00CB5460">
        <w:trPr>
          <w:gridAfter w:val="1"/>
          <w:wAfter w:w="16" w:type="dxa"/>
          <w:trHeight w:val="645"/>
        </w:trPr>
        <w:tc>
          <w:tcPr>
            <w:tcW w:w="5433" w:type="dxa"/>
            <w:vMerge w:val="restart"/>
            <w:tcBorders>
              <w:top w:val="single" w:sz="4" w:space="0" w:color="4F81BD"/>
              <w:left w:val="single" w:sz="4" w:space="0" w:color="4F81BD"/>
              <w:bottom w:val="single" w:sz="4" w:space="0" w:color="4F81BD"/>
              <w:right w:val="single" w:sz="4" w:space="0" w:color="4F81BD"/>
            </w:tcBorders>
            <w:shd w:val="clear" w:color="000000" w:fill="95B3D7"/>
            <w:vAlign w:val="center"/>
            <w:hideMark/>
          </w:tcPr>
          <w:p w14:paraId="62DD38D6"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Ռիսկի տեսակը</w:t>
            </w:r>
          </w:p>
        </w:tc>
        <w:tc>
          <w:tcPr>
            <w:tcW w:w="4092" w:type="dxa"/>
            <w:gridSpan w:val="3"/>
            <w:vMerge w:val="restart"/>
            <w:tcBorders>
              <w:top w:val="single" w:sz="4" w:space="0" w:color="4F81BD"/>
              <w:left w:val="single" w:sz="4" w:space="0" w:color="4F81BD"/>
              <w:bottom w:val="single" w:sz="4" w:space="0" w:color="4F81BD"/>
              <w:right w:val="single" w:sz="4" w:space="0" w:color="4F81BD"/>
            </w:tcBorders>
            <w:shd w:val="clear" w:color="000000" w:fill="95B3D7"/>
            <w:vAlign w:val="center"/>
            <w:hideMark/>
          </w:tcPr>
          <w:p w14:paraId="5BDA5124"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Ազդեցության գնահատականը, մլրդ ՀՀ դրամ</w:t>
            </w:r>
          </w:p>
        </w:tc>
      </w:tr>
      <w:tr w:rsidR="00A26555" w:rsidRPr="0006115A" w14:paraId="538EB421" w14:textId="77777777" w:rsidTr="00CB5460">
        <w:trPr>
          <w:gridAfter w:val="1"/>
          <w:wAfter w:w="16" w:type="dxa"/>
          <w:trHeight w:val="486"/>
        </w:trPr>
        <w:tc>
          <w:tcPr>
            <w:tcW w:w="5433" w:type="dxa"/>
            <w:vMerge/>
            <w:tcBorders>
              <w:top w:val="single" w:sz="4" w:space="0" w:color="4F81BD"/>
              <w:left w:val="single" w:sz="4" w:space="0" w:color="4F81BD"/>
              <w:bottom w:val="single" w:sz="4" w:space="0" w:color="4F81BD"/>
              <w:right w:val="single" w:sz="4" w:space="0" w:color="4F81BD"/>
            </w:tcBorders>
            <w:vAlign w:val="center"/>
            <w:hideMark/>
          </w:tcPr>
          <w:p w14:paraId="650C7C12" w14:textId="77777777" w:rsidR="00A26555" w:rsidRPr="0006115A" w:rsidRDefault="00A26555" w:rsidP="008931FF">
            <w:pPr>
              <w:spacing w:before="0" w:after="0" w:line="240" w:lineRule="auto"/>
              <w:ind w:firstLine="0"/>
              <w:jc w:val="left"/>
              <w:rPr>
                <w:rFonts w:eastAsia="Times New Roman" w:cs="Times New Roman"/>
                <w:b/>
                <w:bCs/>
                <w:color w:val="FFFFFF"/>
              </w:rPr>
            </w:pPr>
          </w:p>
        </w:tc>
        <w:tc>
          <w:tcPr>
            <w:tcW w:w="4092" w:type="dxa"/>
            <w:gridSpan w:val="3"/>
            <w:vMerge/>
            <w:tcBorders>
              <w:top w:val="single" w:sz="4" w:space="0" w:color="4F81BD"/>
              <w:left w:val="single" w:sz="4" w:space="0" w:color="4F81BD"/>
              <w:bottom w:val="single" w:sz="4" w:space="0" w:color="4F81BD"/>
              <w:right w:val="single" w:sz="4" w:space="0" w:color="4F81BD"/>
            </w:tcBorders>
            <w:vAlign w:val="center"/>
            <w:hideMark/>
          </w:tcPr>
          <w:p w14:paraId="2B00AA36" w14:textId="77777777" w:rsidR="00A26555" w:rsidRPr="0006115A" w:rsidRDefault="00A26555" w:rsidP="008931FF">
            <w:pPr>
              <w:spacing w:before="0" w:after="0" w:line="240" w:lineRule="auto"/>
              <w:ind w:firstLine="0"/>
              <w:jc w:val="left"/>
              <w:rPr>
                <w:rFonts w:eastAsia="Times New Roman" w:cs="Times New Roman"/>
                <w:b/>
                <w:bCs/>
                <w:color w:val="FFFFFF"/>
              </w:rPr>
            </w:pPr>
          </w:p>
        </w:tc>
      </w:tr>
      <w:tr w:rsidR="00A26555" w:rsidRPr="0006115A" w14:paraId="3E605E7B" w14:textId="77777777" w:rsidTr="00CB5460">
        <w:trPr>
          <w:gridAfter w:val="1"/>
          <w:wAfter w:w="17" w:type="dxa"/>
          <w:trHeight w:val="315"/>
        </w:trPr>
        <w:tc>
          <w:tcPr>
            <w:tcW w:w="5433" w:type="dxa"/>
            <w:tcBorders>
              <w:top w:val="nil"/>
              <w:left w:val="single" w:sz="4" w:space="0" w:color="4F81BD"/>
              <w:bottom w:val="single" w:sz="4" w:space="0" w:color="4F81BD"/>
              <w:right w:val="single" w:sz="4" w:space="0" w:color="4F81BD"/>
            </w:tcBorders>
            <w:shd w:val="clear" w:color="000000" w:fill="95B3D7"/>
            <w:vAlign w:val="center"/>
            <w:hideMark/>
          </w:tcPr>
          <w:p w14:paraId="24A14004" w14:textId="77777777" w:rsidR="00A26555" w:rsidRPr="0006115A" w:rsidRDefault="00A26555" w:rsidP="008931FF">
            <w:pPr>
              <w:spacing w:before="0" w:after="0" w:line="240" w:lineRule="auto"/>
              <w:ind w:firstLine="0"/>
              <w:jc w:val="center"/>
              <w:rPr>
                <w:rFonts w:ascii="Calibri" w:eastAsia="Times New Roman" w:hAnsi="Calibri" w:cs="Times New Roman"/>
                <w:b/>
                <w:bCs/>
                <w:color w:val="FFFFFF"/>
              </w:rPr>
            </w:pPr>
            <w:r w:rsidRPr="0006115A">
              <w:rPr>
                <w:rFonts w:ascii="Calibri" w:eastAsia="Times New Roman" w:hAnsi="Calibri" w:cs="Times New Roman"/>
                <w:b/>
                <w:bCs/>
                <w:color w:val="FFFFFF"/>
              </w:rPr>
              <w:t> </w:t>
            </w:r>
          </w:p>
        </w:tc>
        <w:tc>
          <w:tcPr>
            <w:tcW w:w="1418" w:type="dxa"/>
            <w:tcBorders>
              <w:top w:val="nil"/>
              <w:left w:val="nil"/>
              <w:bottom w:val="single" w:sz="4" w:space="0" w:color="4F81BD"/>
              <w:right w:val="single" w:sz="4" w:space="0" w:color="4F81BD"/>
            </w:tcBorders>
            <w:shd w:val="clear" w:color="000000" w:fill="95B3D7"/>
            <w:vAlign w:val="center"/>
            <w:hideMark/>
          </w:tcPr>
          <w:p w14:paraId="59218DC0"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2025</w:t>
            </w:r>
          </w:p>
        </w:tc>
        <w:tc>
          <w:tcPr>
            <w:tcW w:w="1418" w:type="dxa"/>
            <w:tcBorders>
              <w:top w:val="nil"/>
              <w:left w:val="nil"/>
              <w:bottom w:val="single" w:sz="4" w:space="0" w:color="4F81BD"/>
              <w:right w:val="single" w:sz="4" w:space="0" w:color="4F81BD"/>
            </w:tcBorders>
            <w:shd w:val="clear" w:color="000000" w:fill="95B3D7"/>
            <w:vAlign w:val="center"/>
            <w:hideMark/>
          </w:tcPr>
          <w:p w14:paraId="7747F6B5"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2026</w:t>
            </w:r>
          </w:p>
        </w:tc>
        <w:tc>
          <w:tcPr>
            <w:tcW w:w="1255" w:type="dxa"/>
            <w:tcBorders>
              <w:top w:val="nil"/>
              <w:left w:val="nil"/>
              <w:bottom w:val="single" w:sz="4" w:space="0" w:color="4F81BD"/>
              <w:right w:val="single" w:sz="4" w:space="0" w:color="4F81BD"/>
            </w:tcBorders>
            <w:shd w:val="clear" w:color="000000" w:fill="95B3D7"/>
            <w:vAlign w:val="center"/>
            <w:hideMark/>
          </w:tcPr>
          <w:p w14:paraId="1ED0768A"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2027</w:t>
            </w:r>
          </w:p>
        </w:tc>
      </w:tr>
      <w:tr w:rsidR="00A26555" w:rsidRPr="0006115A" w14:paraId="5913154F" w14:textId="77777777" w:rsidTr="00CB5460">
        <w:trPr>
          <w:trHeight w:val="315"/>
        </w:trPr>
        <w:tc>
          <w:tcPr>
            <w:tcW w:w="9541" w:type="dxa"/>
            <w:gridSpan w:val="5"/>
            <w:tcBorders>
              <w:top w:val="single" w:sz="4" w:space="0" w:color="4F81BD"/>
              <w:left w:val="single" w:sz="4" w:space="0" w:color="4F81BD"/>
              <w:bottom w:val="single" w:sz="4" w:space="0" w:color="4F81BD"/>
              <w:right w:val="single" w:sz="4" w:space="0" w:color="4F81BD"/>
            </w:tcBorders>
            <w:shd w:val="clear" w:color="auto" w:fill="auto"/>
            <w:vAlign w:val="center"/>
            <w:hideMark/>
          </w:tcPr>
          <w:p w14:paraId="12156011" w14:textId="77777777" w:rsidR="00A26555" w:rsidRPr="0006115A" w:rsidRDefault="00A26555" w:rsidP="008931FF">
            <w:pPr>
              <w:spacing w:before="0" w:after="0" w:line="240" w:lineRule="auto"/>
              <w:ind w:firstLine="0"/>
              <w:jc w:val="left"/>
              <w:rPr>
                <w:rFonts w:eastAsia="Times New Roman" w:cs="Times New Roman"/>
                <w:b/>
                <w:bCs/>
                <w:color w:val="000000"/>
              </w:rPr>
            </w:pPr>
            <w:r w:rsidRPr="0006115A">
              <w:rPr>
                <w:rFonts w:eastAsia="Times New Roman" w:cs="Times New Roman"/>
                <w:b/>
                <w:bCs/>
                <w:color w:val="000000"/>
              </w:rPr>
              <w:t>Ռիսկերի առանձին հանդես գալու պայմաններում</w:t>
            </w:r>
          </w:p>
        </w:tc>
      </w:tr>
      <w:tr w:rsidR="00A26555" w:rsidRPr="0006115A" w14:paraId="42B0D585" w14:textId="77777777" w:rsidTr="00CB5460">
        <w:trPr>
          <w:gridAfter w:val="1"/>
          <w:wAfter w:w="17" w:type="dxa"/>
          <w:trHeight w:val="946"/>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4C256D30"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1. Կանխատեսվածից ավելի ցածր իրական ՀՆԱ-ի աճ, 3.3-4.1 տոկոսային կետ</w:t>
            </w:r>
          </w:p>
        </w:tc>
        <w:tc>
          <w:tcPr>
            <w:tcW w:w="1418" w:type="dxa"/>
            <w:tcBorders>
              <w:top w:val="nil"/>
              <w:left w:val="nil"/>
              <w:bottom w:val="single" w:sz="4" w:space="0" w:color="4F81BD"/>
              <w:right w:val="single" w:sz="4" w:space="0" w:color="4F81BD"/>
            </w:tcBorders>
            <w:shd w:val="clear" w:color="auto" w:fill="auto"/>
            <w:vAlign w:val="center"/>
            <w:hideMark/>
          </w:tcPr>
          <w:p w14:paraId="52DA9D15"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-53.1</w:t>
            </w:r>
          </w:p>
        </w:tc>
        <w:tc>
          <w:tcPr>
            <w:tcW w:w="1418" w:type="dxa"/>
            <w:tcBorders>
              <w:top w:val="nil"/>
              <w:left w:val="nil"/>
              <w:bottom w:val="single" w:sz="4" w:space="0" w:color="4F81BD"/>
              <w:right w:val="single" w:sz="4" w:space="0" w:color="4F81BD"/>
            </w:tcBorders>
            <w:shd w:val="clear" w:color="auto" w:fill="auto"/>
            <w:vAlign w:val="center"/>
            <w:hideMark/>
          </w:tcPr>
          <w:p w14:paraId="27C915E2"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-77.6</w:t>
            </w:r>
          </w:p>
        </w:tc>
        <w:tc>
          <w:tcPr>
            <w:tcW w:w="1255" w:type="dxa"/>
            <w:tcBorders>
              <w:top w:val="nil"/>
              <w:left w:val="nil"/>
              <w:bottom w:val="single" w:sz="4" w:space="0" w:color="4F81BD"/>
              <w:right w:val="single" w:sz="4" w:space="0" w:color="4F81BD"/>
            </w:tcBorders>
            <w:shd w:val="clear" w:color="auto" w:fill="auto"/>
            <w:vAlign w:val="center"/>
            <w:hideMark/>
          </w:tcPr>
          <w:p w14:paraId="68593E1D"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-84.3</w:t>
            </w:r>
          </w:p>
        </w:tc>
      </w:tr>
      <w:tr w:rsidR="00A26555" w:rsidRPr="0006115A" w14:paraId="1700D07D" w14:textId="77777777" w:rsidTr="00CB5460">
        <w:trPr>
          <w:gridAfter w:val="1"/>
          <w:wAfter w:w="17" w:type="dxa"/>
          <w:trHeight w:val="631"/>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14FC3A3E"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 xml:space="preserve">2. Ավելի ցածր գնաճի ռիսկ, 2.6 տոկոսային կետ </w:t>
            </w:r>
          </w:p>
        </w:tc>
        <w:tc>
          <w:tcPr>
            <w:tcW w:w="1418" w:type="dxa"/>
            <w:tcBorders>
              <w:top w:val="nil"/>
              <w:left w:val="nil"/>
              <w:bottom w:val="single" w:sz="4" w:space="0" w:color="4F81BD"/>
              <w:right w:val="single" w:sz="4" w:space="0" w:color="4F81BD"/>
            </w:tcBorders>
            <w:shd w:val="clear" w:color="auto" w:fill="auto"/>
            <w:vAlign w:val="center"/>
            <w:hideMark/>
          </w:tcPr>
          <w:p w14:paraId="2B5317B8"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-25.6</w:t>
            </w:r>
          </w:p>
        </w:tc>
        <w:tc>
          <w:tcPr>
            <w:tcW w:w="1418" w:type="dxa"/>
            <w:tcBorders>
              <w:top w:val="nil"/>
              <w:left w:val="nil"/>
              <w:bottom w:val="single" w:sz="4" w:space="0" w:color="4F81BD"/>
              <w:right w:val="single" w:sz="4" w:space="0" w:color="4F81BD"/>
            </w:tcBorders>
            <w:shd w:val="clear" w:color="auto" w:fill="auto"/>
            <w:vAlign w:val="center"/>
            <w:hideMark/>
          </w:tcPr>
          <w:p w14:paraId="2DC1B45A"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-27.8</w:t>
            </w:r>
          </w:p>
        </w:tc>
        <w:tc>
          <w:tcPr>
            <w:tcW w:w="1255" w:type="dxa"/>
            <w:tcBorders>
              <w:top w:val="nil"/>
              <w:left w:val="nil"/>
              <w:bottom w:val="single" w:sz="4" w:space="0" w:color="4F81BD"/>
              <w:right w:val="single" w:sz="4" w:space="0" w:color="4F81BD"/>
            </w:tcBorders>
            <w:shd w:val="clear" w:color="auto" w:fill="auto"/>
            <w:vAlign w:val="center"/>
            <w:hideMark/>
          </w:tcPr>
          <w:p w14:paraId="7B30B79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-30.0</w:t>
            </w:r>
          </w:p>
        </w:tc>
      </w:tr>
      <w:tr w:rsidR="00A26555" w:rsidRPr="0006115A" w14:paraId="26CC00D8" w14:textId="77777777" w:rsidTr="00CB5460">
        <w:trPr>
          <w:gridAfter w:val="1"/>
          <w:wAfter w:w="17" w:type="dxa"/>
          <w:trHeight w:val="631"/>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154B05C8"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3. Փոխարժեքի 6.3 տոկոս արժեզրկման ռիսկ</w:t>
            </w:r>
          </w:p>
        </w:tc>
        <w:tc>
          <w:tcPr>
            <w:tcW w:w="1418" w:type="dxa"/>
            <w:tcBorders>
              <w:top w:val="nil"/>
              <w:left w:val="nil"/>
              <w:bottom w:val="single" w:sz="4" w:space="0" w:color="4F81BD"/>
              <w:right w:val="single" w:sz="4" w:space="0" w:color="4F81BD"/>
            </w:tcBorders>
            <w:shd w:val="clear" w:color="auto" w:fill="auto"/>
            <w:vAlign w:val="center"/>
            <w:hideMark/>
          </w:tcPr>
          <w:p w14:paraId="7A29903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17.7</w:t>
            </w:r>
          </w:p>
        </w:tc>
        <w:tc>
          <w:tcPr>
            <w:tcW w:w="1418" w:type="dxa"/>
            <w:tcBorders>
              <w:top w:val="nil"/>
              <w:left w:val="nil"/>
              <w:bottom w:val="single" w:sz="4" w:space="0" w:color="4F81BD"/>
              <w:right w:val="single" w:sz="4" w:space="0" w:color="4F81BD"/>
            </w:tcBorders>
            <w:shd w:val="clear" w:color="auto" w:fill="auto"/>
            <w:vAlign w:val="center"/>
            <w:hideMark/>
          </w:tcPr>
          <w:p w14:paraId="278F520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19.3</w:t>
            </w:r>
          </w:p>
        </w:tc>
        <w:tc>
          <w:tcPr>
            <w:tcW w:w="1255" w:type="dxa"/>
            <w:tcBorders>
              <w:top w:val="nil"/>
              <w:left w:val="nil"/>
              <w:bottom w:val="single" w:sz="4" w:space="0" w:color="4F81BD"/>
              <w:right w:val="single" w:sz="4" w:space="0" w:color="4F81BD"/>
            </w:tcBorders>
            <w:shd w:val="clear" w:color="auto" w:fill="auto"/>
            <w:vAlign w:val="center"/>
            <w:hideMark/>
          </w:tcPr>
          <w:p w14:paraId="404B60C3"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21.8</w:t>
            </w:r>
          </w:p>
        </w:tc>
      </w:tr>
      <w:tr w:rsidR="00A26555" w:rsidRPr="0006115A" w14:paraId="7EB3A130" w14:textId="77777777" w:rsidTr="00CB5460">
        <w:trPr>
          <w:gridAfter w:val="1"/>
          <w:wAfter w:w="17" w:type="dxa"/>
          <w:trHeight w:val="631"/>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7B491670"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4. Ներմուծման  նվազման ռիսկ, 7.3-14.3 տոկոսային կետ</w:t>
            </w:r>
          </w:p>
        </w:tc>
        <w:tc>
          <w:tcPr>
            <w:tcW w:w="1418" w:type="dxa"/>
            <w:tcBorders>
              <w:top w:val="nil"/>
              <w:left w:val="nil"/>
              <w:bottom w:val="single" w:sz="4" w:space="0" w:color="4F81BD"/>
              <w:right w:val="single" w:sz="4" w:space="0" w:color="4F81BD"/>
            </w:tcBorders>
            <w:shd w:val="clear" w:color="auto" w:fill="auto"/>
            <w:vAlign w:val="center"/>
            <w:hideMark/>
          </w:tcPr>
          <w:p w14:paraId="3DEEBAD4"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-25.7</w:t>
            </w:r>
          </w:p>
        </w:tc>
        <w:tc>
          <w:tcPr>
            <w:tcW w:w="1418" w:type="dxa"/>
            <w:tcBorders>
              <w:top w:val="nil"/>
              <w:left w:val="nil"/>
              <w:bottom w:val="single" w:sz="4" w:space="0" w:color="4F81BD"/>
              <w:right w:val="single" w:sz="4" w:space="0" w:color="4F81BD"/>
            </w:tcBorders>
            <w:shd w:val="clear" w:color="auto" w:fill="auto"/>
            <w:vAlign w:val="center"/>
            <w:hideMark/>
          </w:tcPr>
          <w:p w14:paraId="0A821F7A"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-47.5</w:t>
            </w:r>
          </w:p>
        </w:tc>
        <w:tc>
          <w:tcPr>
            <w:tcW w:w="1255" w:type="dxa"/>
            <w:tcBorders>
              <w:top w:val="nil"/>
              <w:left w:val="nil"/>
              <w:bottom w:val="single" w:sz="4" w:space="0" w:color="4F81BD"/>
              <w:right w:val="single" w:sz="4" w:space="0" w:color="4F81BD"/>
            </w:tcBorders>
            <w:shd w:val="clear" w:color="auto" w:fill="auto"/>
            <w:vAlign w:val="center"/>
            <w:hideMark/>
          </w:tcPr>
          <w:p w14:paraId="3CFE313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-62.2</w:t>
            </w:r>
          </w:p>
        </w:tc>
      </w:tr>
      <w:tr w:rsidR="00A26555" w:rsidRPr="0006115A" w14:paraId="5DFD0E36" w14:textId="77777777" w:rsidTr="00CB5460">
        <w:trPr>
          <w:gridAfter w:val="1"/>
          <w:wAfter w:w="17" w:type="dxa"/>
          <w:trHeight w:val="946"/>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4C3B98D6" w14:textId="77777777" w:rsidR="00A26555" w:rsidRPr="0006115A" w:rsidRDefault="00A26555" w:rsidP="008931FF">
            <w:pPr>
              <w:spacing w:before="0" w:after="0" w:line="240" w:lineRule="auto"/>
              <w:ind w:firstLine="0"/>
              <w:jc w:val="left"/>
              <w:rPr>
                <w:rFonts w:eastAsia="Times New Roman" w:cs="Times New Roman"/>
                <w:b/>
                <w:bCs/>
                <w:color w:val="000000"/>
              </w:rPr>
            </w:pPr>
            <w:r w:rsidRPr="0006115A">
              <w:rPr>
                <w:rFonts w:eastAsia="Times New Roman" w:cs="Times New Roman"/>
                <w:b/>
                <w:bCs/>
                <w:color w:val="000000"/>
              </w:rPr>
              <w:t>Վերոնշյալ ռիսկերի միաժամանակյա հանդես գալու պայմաններում</w:t>
            </w:r>
          </w:p>
        </w:tc>
        <w:tc>
          <w:tcPr>
            <w:tcW w:w="1418" w:type="dxa"/>
            <w:tcBorders>
              <w:top w:val="nil"/>
              <w:left w:val="nil"/>
              <w:bottom w:val="single" w:sz="4" w:space="0" w:color="4F81BD"/>
              <w:right w:val="single" w:sz="4" w:space="0" w:color="4F81BD"/>
            </w:tcBorders>
            <w:shd w:val="clear" w:color="auto" w:fill="auto"/>
            <w:vAlign w:val="center"/>
            <w:hideMark/>
          </w:tcPr>
          <w:p w14:paraId="256320E3"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-82.2</w:t>
            </w:r>
          </w:p>
        </w:tc>
        <w:tc>
          <w:tcPr>
            <w:tcW w:w="1418" w:type="dxa"/>
            <w:tcBorders>
              <w:top w:val="nil"/>
              <w:left w:val="nil"/>
              <w:bottom w:val="single" w:sz="4" w:space="0" w:color="4F81BD"/>
              <w:right w:val="single" w:sz="4" w:space="0" w:color="4F81BD"/>
            </w:tcBorders>
            <w:shd w:val="clear" w:color="auto" w:fill="auto"/>
            <w:vAlign w:val="center"/>
            <w:hideMark/>
          </w:tcPr>
          <w:p w14:paraId="66F16174"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-123.0</w:t>
            </w:r>
          </w:p>
        </w:tc>
        <w:tc>
          <w:tcPr>
            <w:tcW w:w="1255" w:type="dxa"/>
            <w:tcBorders>
              <w:top w:val="nil"/>
              <w:left w:val="nil"/>
              <w:bottom w:val="single" w:sz="4" w:space="0" w:color="4F81BD"/>
              <w:right w:val="single" w:sz="4" w:space="0" w:color="4F81BD"/>
            </w:tcBorders>
            <w:shd w:val="clear" w:color="auto" w:fill="auto"/>
            <w:vAlign w:val="center"/>
            <w:hideMark/>
          </w:tcPr>
          <w:p w14:paraId="553499CC"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-141.9</w:t>
            </w:r>
          </w:p>
        </w:tc>
      </w:tr>
      <w:tr w:rsidR="00A26555" w:rsidRPr="0006115A" w14:paraId="14268C6A" w14:textId="77777777" w:rsidTr="00CB5460">
        <w:trPr>
          <w:gridAfter w:val="1"/>
          <w:wAfter w:w="17" w:type="dxa"/>
          <w:trHeight w:val="946"/>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5017050F" w14:textId="77777777" w:rsidR="00A26555" w:rsidRPr="0006115A" w:rsidRDefault="00A26555" w:rsidP="008931FF">
            <w:pPr>
              <w:spacing w:before="0" w:after="0" w:line="240" w:lineRule="auto"/>
              <w:ind w:firstLine="0"/>
              <w:jc w:val="left"/>
              <w:rPr>
                <w:rFonts w:eastAsia="Times New Roman" w:cs="Times New Roman"/>
                <w:color w:val="000000"/>
                <w:lang w:val="hy-AM"/>
              </w:rPr>
            </w:pPr>
            <w:r w:rsidRPr="0006115A">
              <w:rPr>
                <w:rFonts w:eastAsia="Times New Roman" w:cs="Times New Roman"/>
                <w:color w:val="000000"/>
              </w:rPr>
              <w:t>Հարկային եկամուտների վարչարարության ռիսկ, 0.3 տոկոսային կետ</w:t>
            </w:r>
            <w:r w:rsidRPr="0006115A">
              <w:rPr>
                <w:rFonts w:eastAsia="Times New Roman" w:cs="Times New Roman"/>
                <w:color w:val="000000"/>
                <w:lang w:val="hy-AM"/>
              </w:rPr>
              <w:t xml:space="preserve">ով ավելի ցածր հարկեր/ՀՆԱ բարելավման տեմպ </w:t>
            </w:r>
          </w:p>
        </w:tc>
        <w:tc>
          <w:tcPr>
            <w:tcW w:w="1418" w:type="dxa"/>
            <w:tcBorders>
              <w:top w:val="nil"/>
              <w:left w:val="nil"/>
              <w:bottom w:val="single" w:sz="4" w:space="0" w:color="4F81BD"/>
              <w:right w:val="single" w:sz="4" w:space="0" w:color="4F81BD"/>
            </w:tcBorders>
            <w:shd w:val="clear" w:color="auto" w:fill="auto"/>
            <w:vAlign w:val="center"/>
            <w:hideMark/>
          </w:tcPr>
          <w:p w14:paraId="1E29E951"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-33.6</w:t>
            </w:r>
          </w:p>
        </w:tc>
        <w:tc>
          <w:tcPr>
            <w:tcW w:w="1418" w:type="dxa"/>
            <w:tcBorders>
              <w:top w:val="nil"/>
              <w:left w:val="nil"/>
              <w:bottom w:val="single" w:sz="4" w:space="0" w:color="4F81BD"/>
              <w:right w:val="single" w:sz="4" w:space="0" w:color="4F81BD"/>
            </w:tcBorders>
            <w:shd w:val="clear" w:color="auto" w:fill="auto"/>
            <w:vAlign w:val="center"/>
            <w:hideMark/>
          </w:tcPr>
          <w:p w14:paraId="48E88C3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-36.9</w:t>
            </w:r>
          </w:p>
        </w:tc>
        <w:tc>
          <w:tcPr>
            <w:tcW w:w="1255" w:type="dxa"/>
            <w:tcBorders>
              <w:top w:val="nil"/>
              <w:left w:val="nil"/>
              <w:bottom w:val="single" w:sz="4" w:space="0" w:color="4F81BD"/>
              <w:right w:val="single" w:sz="4" w:space="0" w:color="4F81BD"/>
            </w:tcBorders>
            <w:shd w:val="clear" w:color="auto" w:fill="auto"/>
            <w:vAlign w:val="center"/>
            <w:hideMark/>
          </w:tcPr>
          <w:p w14:paraId="1C58C266"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-40.5</w:t>
            </w:r>
          </w:p>
        </w:tc>
      </w:tr>
      <w:tr w:rsidR="00A26555" w:rsidRPr="0006115A" w14:paraId="7117E197" w14:textId="77777777" w:rsidTr="00CB5460">
        <w:trPr>
          <w:gridAfter w:val="1"/>
          <w:wAfter w:w="17" w:type="dxa"/>
          <w:trHeight w:val="315"/>
        </w:trPr>
        <w:tc>
          <w:tcPr>
            <w:tcW w:w="5433" w:type="dxa"/>
            <w:tcBorders>
              <w:top w:val="nil"/>
              <w:left w:val="single" w:sz="4" w:space="0" w:color="4F81BD"/>
              <w:bottom w:val="single" w:sz="4" w:space="0" w:color="4F81BD"/>
              <w:right w:val="single" w:sz="4" w:space="0" w:color="4F81BD"/>
            </w:tcBorders>
            <w:shd w:val="clear" w:color="auto" w:fill="auto"/>
            <w:vAlign w:val="center"/>
            <w:hideMark/>
          </w:tcPr>
          <w:p w14:paraId="25E56B51" w14:textId="77777777" w:rsidR="00A26555" w:rsidRPr="0006115A" w:rsidRDefault="00A26555" w:rsidP="008931FF">
            <w:pPr>
              <w:spacing w:before="0" w:after="0" w:line="240" w:lineRule="auto"/>
              <w:ind w:firstLine="0"/>
              <w:jc w:val="left"/>
              <w:rPr>
                <w:rFonts w:eastAsia="Times New Roman" w:cs="Times New Roman"/>
                <w:b/>
                <w:bCs/>
                <w:color w:val="000000"/>
              </w:rPr>
            </w:pPr>
            <w:r w:rsidRPr="0006115A">
              <w:rPr>
                <w:rFonts w:eastAsia="Times New Roman" w:cs="Times New Roman"/>
                <w:b/>
                <w:bCs/>
                <w:color w:val="000000"/>
              </w:rPr>
              <w:t>ԸՆԴԱՄԵՆԸ</w:t>
            </w:r>
          </w:p>
        </w:tc>
        <w:tc>
          <w:tcPr>
            <w:tcW w:w="1418" w:type="dxa"/>
            <w:tcBorders>
              <w:top w:val="nil"/>
              <w:left w:val="nil"/>
              <w:bottom w:val="single" w:sz="4" w:space="0" w:color="4F81BD"/>
              <w:right w:val="single" w:sz="4" w:space="0" w:color="4F81BD"/>
            </w:tcBorders>
            <w:shd w:val="clear" w:color="auto" w:fill="auto"/>
            <w:vAlign w:val="center"/>
            <w:hideMark/>
          </w:tcPr>
          <w:p w14:paraId="6D52CDBA"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-115.8</w:t>
            </w:r>
          </w:p>
        </w:tc>
        <w:tc>
          <w:tcPr>
            <w:tcW w:w="1418" w:type="dxa"/>
            <w:tcBorders>
              <w:top w:val="nil"/>
              <w:left w:val="nil"/>
              <w:bottom w:val="single" w:sz="4" w:space="0" w:color="4F81BD"/>
              <w:right w:val="single" w:sz="4" w:space="0" w:color="4F81BD"/>
            </w:tcBorders>
            <w:shd w:val="clear" w:color="auto" w:fill="auto"/>
            <w:vAlign w:val="center"/>
            <w:hideMark/>
          </w:tcPr>
          <w:p w14:paraId="1CAB4777"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-160.0</w:t>
            </w:r>
          </w:p>
        </w:tc>
        <w:tc>
          <w:tcPr>
            <w:tcW w:w="1255" w:type="dxa"/>
            <w:tcBorders>
              <w:top w:val="nil"/>
              <w:left w:val="nil"/>
              <w:bottom w:val="single" w:sz="4" w:space="0" w:color="4F81BD"/>
              <w:right w:val="single" w:sz="4" w:space="0" w:color="4F81BD"/>
            </w:tcBorders>
            <w:shd w:val="clear" w:color="auto" w:fill="auto"/>
            <w:vAlign w:val="center"/>
            <w:hideMark/>
          </w:tcPr>
          <w:p w14:paraId="71E17379"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rFonts w:eastAsia="Times New Roman" w:cs="Times New Roman"/>
                <w:b/>
                <w:bCs/>
                <w:color w:val="000000"/>
              </w:rPr>
              <w:t>-182.4</w:t>
            </w:r>
          </w:p>
        </w:tc>
      </w:tr>
    </w:tbl>
    <w:p w14:paraId="3C3648C7" w14:textId="77777777" w:rsidR="00A26555" w:rsidRPr="0006115A" w:rsidRDefault="00A26555" w:rsidP="00A26555">
      <w:pPr>
        <w:tabs>
          <w:tab w:val="left" w:pos="0"/>
        </w:tabs>
        <w:spacing w:before="120" w:after="0" w:line="276" w:lineRule="auto"/>
        <w:ind w:firstLine="0"/>
        <w:rPr>
          <w:rFonts w:eastAsia="Times New Roman" w:cs="Sylfaen"/>
          <w:lang w:val="hy-AM"/>
        </w:rPr>
      </w:pPr>
    </w:p>
    <w:p w14:paraId="0992DBEE"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Այսպիսով, գնահատվում է, որ հարկային եկամուտների վրա ազդող վերոնշյալ ռիսկերի միաժամանակյա ի հայտ գալու պարագայում հարկային եկամուտների ծրագրված մակարդակից շեղումը կկազմի շուրջ 115.8 մլրդ ՀՀ դրամ 2025 թվականին, 160.0 մլրդ ՀՀ դրամ 2026 թվականին և 182.4 մլրդ ՀՀ դրամ 2027 թվականին: </w:t>
      </w:r>
    </w:p>
    <w:p w14:paraId="620BE092"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Հարկային եկամուտների վրա առանձին ռիսկերի ազդեցության չափի վերաբերյալ պատկերացում են տալիս նաև ստորև ներկայացվող զգայունության գնահատականները, սակայն այս դեպքում դիտարկվում է հարկային եկամուտների աճի վրա ազդող գործոնների աճերի 1% փոփոխության ազդեցությունը, ինչը ներկայացված է հարկային եկամուտների զգայունության աղյուսակում:</w:t>
      </w:r>
    </w:p>
    <w:p w14:paraId="7CB33A32" w14:textId="77777777" w:rsidR="00A26555" w:rsidRPr="0006115A" w:rsidRDefault="00A26555" w:rsidP="00A26555">
      <w:pPr>
        <w:tabs>
          <w:tab w:val="left" w:pos="0"/>
        </w:tabs>
        <w:spacing w:before="120" w:after="0" w:line="276" w:lineRule="auto"/>
        <w:ind w:firstLine="0"/>
        <w:jc w:val="left"/>
        <w:rPr>
          <w:rFonts w:eastAsia="Calibri" w:cs="Sylfaen"/>
          <w:bCs/>
          <w:lang w:val="hy-AM"/>
        </w:rPr>
      </w:pPr>
      <w:r w:rsidRPr="0006115A">
        <w:rPr>
          <w:rFonts w:eastAsia="Calibri" w:cs="Sylfaen"/>
          <w:b/>
          <w:bCs/>
          <w:lang w:val="hy-AM"/>
        </w:rPr>
        <w:t xml:space="preserve">Աղյուսակ 3.1.2 </w:t>
      </w:r>
      <w:r w:rsidRPr="0006115A">
        <w:rPr>
          <w:rFonts w:eastAsia="Calibri" w:cs="Sylfaen"/>
          <w:bCs/>
          <w:lang w:val="hy-AM"/>
        </w:rPr>
        <w:t>Հարկային եկամուտների զգայունությունը հիմնական տնտեսական գործոնների նկատմամբ, %</w:t>
      </w:r>
    </w:p>
    <w:tbl>
      <w:tblPr>
        <w:tblW w:w="9357" w:type="dxa"/>
        <w:tblLook w:val="04A0" w:firstRow="1" w:lastRow="0" w:firstColumn="1" w:lastColumn="0" w:noHBand="0" w:noVBand="1"/>
      </w:tblPr>
      <w:tblGrid>
        <w:gridCol w:w="3931"/>
        <w:gridCol w:w="1208"/>
        <w:gridCol w:w="1220"/>
        <w:gridCol w:w="1492"/>
        <w:gridCol w:w="1506"/>
      </w:tblGrid>
      <w:tr w:rsidR="00A26555" w:rsidRPr="0006115A" w14:paraId="46A59F1B" w14:textId="77777777" w:rsidTr="00BC2B6D">
        <w:trPr>
          <w:trHeight w:val="753"/>
        </w:trPr>
        <w:tc>
          <w:tcPr>
            <w:tcW w:w="3931" w:type="dxa"/>
            <w:tcBorders>
              <w:top w:val="single" w:sz="4" w:space="0" w:color="4F81BD"/>
              <w:left w:val="single" w:sz="4" w:space="0" w:color="4F81BD"/>
              <w:bottom w:val="single" w:sz="4" w:space="0" w:color="4F81BD"/>
              <w:right w:val="single" w:sz="4" w:space="0" w:color="4F81BD"/>
            </w:tcBorders>
            <w:shd w:val="clear" w:color="000000" w:fill="95B3D7"/>
            <w:vAlign w:val="center"/>
            <w:hideMark/>
          </w:tcPr>
          <w:p w14:paraId="02CC855B" w14:textId="77777777" w:rsidR="00A26555" w:rsidRPr="0006115A" w:rsidRDefault="00A26555" w:rsidP="008931FF">
            <w:pPr>
              <w:spacing w:before="0" w:after="0" w:line="240" w:lineRule="auto"/>
              <w:ind w:firstLine="0"/>
              <w:jc w:val="center"/>
              <w:rPr>
                <w:rFonts w:eastAsia="Times New Roman" w:cs="Times New Roman"/>
                <w:b/>
                <w:bCs/>
                <w:color w:val="FFFFFF"/>
                <w:lang w:val="hy-AM"/>
              </w:rPr>
            </w:pPr>
            <w:r w:rsidRPr="0006115A">
              <w:rPr>
                <w:rFonts w:ascii="Calibri" w:eastAsia="Times New Roman" w:hAnsi="Calibri" w:cs="Calibri"/>
                <w:b/>
                <w:bCs/>
                <w:color w:val="FFFFFF"/>
                <w:lang w:val="hy-AM"/>
              </w:rPr>
              <w:t> </w:t>
            </w:r>
          </w:p>
        </w:tc>
        <w:tc>
          <w:tcPr>
            <w:tcW w:w="1208" w:type="dxa"/>
            <w:tcBorders>
              <w:top w:val="single" w:sz="4" w:space="0" w:color="4F81BD"/>
              <w:left w:val="nil"/>
              <w:bottom w:val="single" w:sz="4" w:space="0" w:color="4F81BD"/>
              <w:right w:val="single" w:sz="4" w:space="0" w:color="4F81BD"/>
            </w:tcBorders>
            <w:shd w:val="clear" w:color="000000" w:fill="95B3D7"/>
            <w:vAlign w:val="center"/>
            <w:hideMark/>
          </w:tcPr>
          <w:p w14:paraId="7B24AAD4"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ՀՆԱ</w:t>
            </w:r>
          </w:p>
        </w:tc>
        <w:tc>
          <w:tcPr>
            <w:tcW w:w="1220" w:type="dxa"/>
            <w:tcBorders>
              <w:top w:val="single" w:sz="4" w:space="0" w:color="4F81BD"/>
              <w:left w:val="nil"/>
              <w:bottom w:val="single" w:sz="4" w:space="0" w:color="4F81BD"/>
              <w:right w:val="single" w:sz="4" w:space="0" w:color="4F81BD"/>
            </w:tcBorders>
            <w:shd w:val="clear" w:color="000000" w:fill="95B3D7"/>
            <w:vAlign w:val="center"/>
            <w:hideMark/>
          </w:tcPr>
          <w:p w14:paraId="48BA7EC1"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Գնաճ</w:t>
            </w:r>
          </w:p>
        </w:tc>
        <w:tc>
          <w:tcPr>
            <w:tcW w:w="1492" w:type="dxa"/>
            <w:tcBorders>
              <w:top w:val="single" w:sz="4" w:space="0" w:color="4F81BD"/>
              <w:left w:val="nil"/>
              <w:bottom w:val="single" w:sz="4" w:space="0" w:color="4F81BD"/>
              <w:right w:val="single" w:sz="4" w:space="0" w:color="4F81BD"/>
            </w:tcBorders>
            <w:shd w:val="clear" w:color="000000" w:fill="95B3D7"/>
            <w:vAlign w:val="center"/>
            <w:hideMark/>
          </w:tcPr>
          <w:p w14:paraId="359D86B5"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Փոխարժեք</w:t>
            </w:r>
          </w:p>
        </w:tc>
        <w:tc>
          <w:tcPr>
            <w:tcW w:w="1506" w:type="dxa"/>
            <w:tcBorders>
              <w:top w:val="single" w:sz="4" w:space="0" w:color="4F81BD"/>
              <w:left w:val="nil"/>
              <w:bottom w:val="single" w:sz="4" w:space="0" w:color="4F81BD"/>
              <w:right w:val="single" w:sz="4" w:space="0" w:color="4F81BD"/>
            </w:tcBorders>
            <w:shd w:val="clear" w:color="000000" w:fill="95B3D7"/>
            <w:vAlign w:val="center"/>
            <w:hideMark/>
          </w:tcPr>
          <w:p w14:paraId="7745AA5D"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Ներմուծում</w:t>
            </w:r>
          </w:p>
        </w:tc>
      </w:tr>
      <w:tr w:rsidR="00A26555" w:rsidRPr="0006115A" w14:paraId="67091602" w14:textId="77777777" w:rsidTr="00BC2B6D">
        <w:trPr>
          <w:trHeight w:val="376"/>
        </w:trPr>
        <w:tc>
          <w:tcPr>
            <w:tcW w:w="3931" w:type="dxa"/>
            <w:tcBorders>
              <w:top w:val="nil"/>
              <w:left w:val="single" w:sz="4" w:space="0" w:color="4F81BD"/>
              <w:bottom w:val="single" w:sz="4" w:space="0" w:color="4F81BD"/>
              <w:right w:val="single" w:sz="4" w:space="0" w:color="4F81BD"/>
            </w:tcBorders>
            <w:shd w:val="clear" w:color="auto" w:fill="auto"/>
            <w:vAlign w:val="center"/>
            <w:hideMark/>
          </w:tcPr>
          <w:p w14:paraId="5AD5A93F" w14:textId="77777777" w:rsidR="00A26555" w:rsidRPr="0006115A" w:rsidRDefault="00A26555" w:rsidP="008931FF">
            <w:pPr>
              <w:spacing w:before="0" w:after="0" w:line="240" w:lineRule="auto"/>
              <w:ind w:firstLine="0"/>
              <w:jc w:val="left"/>
              <w:rPr>
                <w:rFonts w:eastAsia="Times New Roman" w:cs="Times New Roman"/>
                <w:b/>
                <w:bCs/>
                <w:color w:val="000000"/>
              </w:rPr>
            </w:pPr>
            <w:r w:rsidRPr="0006115A">
              <w:rPr>
                <w:rFonts w:eastAsia="Times New Roman" w:cs="Times New Roman"/>
                <w:b/>
                <w:bCs/>
                <w:color w:val="000000"/>
                <w:lang w:val="hy-AM"/>
              </w:rPr>
              <w:t>Տ</w:t>
            </w:r>
            <w:r w:rsidRPr="0006115A">
              <w:rPr>
                <w:rFonts w:eastAsia="Times New Roman" w:cs="Times New Roman"/>
                <w:b/>
                <w:bCs/>
                <w:color w:val="000000"/>
              </w:rPr>
              <w:t>արեկան (</w:t>
            </w:r>
            <w:r w:rsidRPr="0006115A">
              <w:rPr>
                <w:rFonts w:eastAsia="Times New Roman" w:cs="Times New Roman"/>
                <w:b/>
                <w:bCs/>
                <w:color w:val="000000"/>
                <w:lang w:val="hy-AM"/>
              </w:rPr>
              <w:t xml:space="preserve">շոկին հաջորդող </w:t>
            </w:r>
            <w:r w:rsidRPr="0006115A">
              <w:rPr>
                <w:rFonts w:eastAsia="Times New Roman" w:cs="Times New Roman"/>
                <w:b/>
                <w:bCs/>
                <w:color w:val="000000"/>
              </w:rPr>
              <w:t xml:space="preserve">4 </w:t>
            </w:r>
            <w:r w:rsidRPr="0006115A">
              <w:rPr>
                <w:rFonts w:eastAsia="Times New Roman" w:cs="Times New Roman"/>
                <w:b/>
                <w:bCs/>
                <w:color w:val="000000"/>
                <w:lang w:val="hy-AM"/>
              </w:rPr>
              <w:t>եռամսյակների</w:t>
            </w:r>
            <w:r w:rsidRPr="0006115A">
              <w:rPr>
                <w:rFonts w:eastAsia="Times New Roman" w:cs="Times New Roman"/>
                <w:b/>
                <w:bCs/>
                <w:color w:val="000000"/>
              </w:rPr>
              <w:t>) ազդեցություն</w:t>
            </w:r>
          </w:p>
        </w:tc>
        <w:tc>
          <w:tcPr>
            <w:tcW w:w="1208" w:type="dxa"/>
            <w:tcBorders>
              <w:top w:val="nil"/>
              <w:left w:val="nil"/>
              <w:bottom w:val="single" w:sz="4" w:space="0" w:color="4F81BD"/>
              <w:right w:val="single" w:sz="4" w:space="0" w:color="4F81BD"/>
            </w:tcBorders>
            <w:shd w:val="clear" w:color="auto" w:fill="auto"/>
            <w:vAlign w:val="bottom"/>
            <w:hideMark/>
          </w:tcPr>
          <w:p w14:paraId="51CAB8F1" w14:textId="77777777" w:rsidR="00A26555" w:rsidRPr="0006115A" w:rsidRDefault="00A26555" w:rsidP="008931FF">
            <w:pPr>
              <w:spacing w:before="0" w:after="0" w:line="240" w:lineRule="auto"/>
              <w:ind w:firstLine="0"/>
              <w:jc w:val="right"/>
              <w:rPr>
                <w:rFonts w:eastAsia="Times New Roman" w:cs="Times New Roman"/>
                <w:color w:val="000000"/>
              </w:rPr>
            </w:pPr>
            <w:r w:rsidRPr="0006115A">
              <w:rPr>
                <w:rFonts w:cs="Calibri"/>
                <w:color w:val="000000"/>
              </w:rPr>
              <w:t>0.99</w:t>
            </w:r>
          </w:p>
        </w:tc>
        <w:tc>
          <w:tcPr>
            <w:tcW w:w="1220" w:type="dxa"/>
            <w:tcBorders>
              <w:top w:val="nil"/>
              <w:left w:val="nil"/>
              <w:bottom w:val="single" w:sz="4" w:space="0" w:color="4F81BD"/>
              <w:right w:val="single" w:sz="4" w:space="0" w:color="4F81BD"/>
            </w:tcBorders>
            <w:shd w:val="clear" w:color="auto" w:fill="auto"/>
            <w:vAlign w:val="bottom"/>
            <w:hideMark/>
          </w:tcPr>
          <w:p w14:paraId="6925D455" w14:textId="77777777" w:rsidR="00A26555" w:rsidRPr="0006115A" w:rsidRDefault="00A26555" w:rsidP="008931FF">
            <w:pPr>
              <w:spacing w:before="0" w:after="0" w:line="240" w:lineRule="auto"/>
              <w:ind w:firstLine="0"/>
              <w:jc w:val="right"/>
              <w:rPr>
                <w:rFonts w:eastAsia="Times New Roman" w:cs="Times New Roman"/>
                <w:color w:val="000000"/>
              </w:rPr>
            </w:pPr>
            <w:r w:rsidRPr="0006115A">
              <w:rPr>
                <w:rFonts w:cs="Calibri"/>
                <w:color w:val="000000"/>
              </w:rPr>
              <w:t>0.66</w:t>
            </w:r>
          </w:p>
        </w:tc>
        <w:tc>
          <w:tcPr>
            <w:tcW w:w="1492" w:type="dxa"/>
            <w:tcBorders>
              <w:top w:val="nil"/>
              <w:left w:val="nil"/>
              <w:bottom w:val="single" w:sz="4" w:space="0" w:color="4F81BD"/>
              <w:right w:val="single" w:sz="4" w:space="0" w:color="4F81BD"/>
            </w:tcBorders>
            <w:shd w:val="clear" w:color="auto" w:fill="auto"/>
            <w:vAlign w:val="bottom"/>
            <w:hideMark/>
          </w:tcPr>
          <w:p w14:paraId="6B4FB876" w14:textId="77777777" w:rsidR="00A26555" w:rsidRPr="0006115A" w:rsidRDefault="00A26555" w:rsidP="008931FF">
            <w:pPr>
              <w:spacing w:before="0" w:after="0" w:line="240" w:lineRule="auto"/>
              <w:ind w:firstLine="0"/>
              <w:jc w:val="right"/>
              <w:rPr>
                <w:rFonts w:eastAsia="Times New Roman" w:cs="Times New Roman"/>
                <w:color w:val="000000"/>
              </w:rPr>
            </w:pPr>
            <w:r w:rsidRPr="0006115A">
              <w:rPr>
                <w:rFonts w:cs="Calibri"/>
                <w:color w:val="000000"/>
              </w:rPr>
              <w:t>0.26</w:t>
            </w:r>
          </w:p>
        </w:tc>
        <w:tc>
          <w:tcPr>
            <w:tcW w:w="1506" w:type="dxa"/>
            <w:tcBorders>
              <w:top w:val="nil"/>
              <w:left w:val="nil"/>
              <w:bottom w:val="single" w:sz="4" w:space="0" w:color="4F81BD"/>
              <w:right w:val="single" w:sz="4" w:space="0" w:color="4F81BD"/>
            </w:tcBorders>
            <w:shd w:val="clear" w:color="auto" w:fill="auto"/>
            <w:vAlign w:val="bottom"/>
            <w:hideMark/>
          </w:tcPr>
          <w:p w14:paraId="6C64832C" w14:textId="77777777" w:rsidR="00A26555" w:rsidRPr="0006115A" w:rsidRDefault="00A26555" w:rsidP="008931FF">
            <w:pPr>
              <w:spacing w:before="0" w:after="0" w:line="240" w:lineRule="auto"/>
              <w:ind w:firstLine="0"/>
              <w:jc w:val="right"/>
              <w:rPr>
                <w:rFonts w:eastAsia="Times New Roman" w:cs="Times New Roman"/>
                <w:color w:val="000000"/>
              </w:rPr>
            </w:pPr>
            <w:r w:rsidRPr="0006115A">
              <w:rPr>
                <w:rFonts w:cs="Calibri"/>
                <w:color w:val="000000"/>
              </w:rPr>
              <w:t>0.13</w:t>
            </w:r>
          </w:p>
        </w:tc>
      </w:tr>
    </w:tbl>
    <w:p w14:paraId="629E41A3" w14:textId="77777777" w:rsidR="00A26555" w:rsidRPr="0006115A" w:rsidRDefault="00A26555" w:rsidP="00A26555">
      <w:pPr>
        <w:tabs>
          <w:tab w:val="left" w:pos="0"/>
        </w:tabs>
        <w:spacing w:before="120" w:after="0" w:line="276" w:lineRule="auto"/>
        <w:ind w:firstLine="0"/>
        <w:rPr>
          <w:rFonts w:eastAsia="Times New Roman" w:cs="Sylfaen"/>
          <w:lang w:val="hy-AM"/>
        </w:rPr>
      </w:pPr>
    </w:p>
    <w:p w14:paraId="6C48EE2B"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Ինչպես երևում է աղյուսակից, հարկերի հավաքագրման առումով առավել էական գործոններ են հանդիսանում ՀՆԱ-ի և գնաճի փոփոխությունները:</w:t>
      </w:r>
    </w:p>
    <w:p w14:paraId="44E5CD4C"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Հարկային եկամուտների կանխատեսումների հետ կապված անորոշությունների և ռիսկերի հաշվեկշռի վերաբերյալ գնահատականներն իրենց արտացոլումն են գտել ստորև ներկայացվող հարկային եկամուտների հավանականային բաշխման գծապատկերում և համապատասխան աղյուսակում (տես` Գծապատկեր 3.1 և Աղյուսակ 3.1.3): Հավանականային բաշխման գրաֆիկի կառուցման ժամանակ օգտագործվել է աղյուսակ 3.1.1-ում գնահատված ամբողջական ռիսկերի միաժամանակյա հանդես գալու պայմաններում ի հայտ եկող բացասական ռիսկերը:</w:t>
      </w:r>
    </w:p>
    <w:p w14:paraId="3F01C92E"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Cs/>
          <w:iCs/>
          <w:lang w:val="hy-AM"/>
        </w:rPr>
      </w:pPr>
      <w:r w:rsidRPr="0006115A">
        <w:rPr>
          <w:rFonts w:eastAsia="Times New Roman" w:cs="Times Unicode"/>
          <w:b/>
          <w:bCs/>
          <w:iCs/>
          <w:lang w:val="hy-AM"/>
        </w:rPr>
        <w:t xml:space="preserve">Գծապատկեր 3.1. </w:t>
      </w:r>
      <w:r w:rsidRPr="0006115A">
        <w:rPr>
          <w:rFonts w:eastAsia="Times New Roman" w:cs="Times Unicode"/>
          <w:bCs/>
          <w:iCs/>
          <w:lang w:val="hy-AM"/>
        </w:rPr>
        <w:t>Հարկային եկամուտների տարեկան աճի տեմպերի կանխատեսումների հավանականային բաշխումը, %</w:t>
      </w:r>
    </w:p>
    <w:p w14:paraId="428FCB1E"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
          <w:bCs/>
          <w:iCs/>
          <w:lang w:val="hy-AM"/>
        </w:rPr>
      </w:pPr>
      <w:r w:rsidRPr="0006115A">
        <w:rPr>
          <w:noProof/>
        </w:rPr>
        <w:drawing>
          <wp:inline distT="0" distB="0" distL="0" distR="0" wp14:anchorId="39C96F2E" wp14:editId="7FBAFF57">
            <wp:extent cx="5857875" cy="2800350"/>
            <wp:effectExtent l="0" t="0" r="9525" b="0"/>
            <wp:docPr id="16120843" name="Chart 16120843">
              <a:extLst xmlns:a="http://schemas.openxmlformats.org/drawingml/2006/main">
                <a:ext uri="{FF2B5EF4-FFF2-40B4-BE49-F238E27FC236}">
                  <a16:creationId xmlns:a16="http://schemas.microsoft.com/office/drawing/2014/main" id="{60EF238E-80B4-462E-ACC4-C261A5A779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1701CD6" w14:textId="77777777" w:rsidR="00A26555" w:rsidRPr="0006115A" w:rsidRDefault="00A26555" w:rsidP="00A26555">
      <w:pPr>
        <w:tabs>
          <w:tab w:val="left" w:pos="0"/>
        </w:tabs>
        <w:spacing w:before="120" w:after="0" w:line="276" w:lineRule="auto"/>
        <w:ind w:firstLine="0"/>
        <w:rPr>
          <w:rFonts w:eastAsia="Times New Roman" w:cs="Times New Roman"/>
          <w:b/>
          <w:lang w:val="hy-AM"/>
        </w:rPr>
      </w:pPr>
      <w:r w:rsidRPr="0006115A">
        <w:rPr>
          <w:rFonts w:eastAsia="Times New Roman" w:cs="Sylfaen"/>
          <w:lang w:val="hy-AM"/>
        </w:rPr>
        <w:t xml:space="preserve">Կանխատեսումների բաշխման հավանականություններն առավել պարզորոշ երևում են ստորև բերվող աղյուսակում: </w:t>
      </w:r>
    </w:p>
    <w:p w14:paraId="650EF689" w14:textId="77777777" w:rsidR="00A26555" w:rsidRPr="0006115A" w:rsidRDefault="00A26555" w:rsidP="00A26555">
      <w:pPr>
        <w:spacing w:before="120" w:after="0" w:line="276" w:lineRule="auto"/>
        <w:ind w:firstLine="0"/>
        <w:jc w:val="left"/>
        <w:rPr>
          <w:rFonts w:eastAsia="Calibri" w:cs="Sylfaen"/>
          <w:bCs/>
          <w:lang w:val="hy-AM"/>
        </w:rPr>
      </w:pPr>
      <w:r w:rsidRPr="0006115A">
        <w:rPr>
          <w:rFonts w:eastAsia="Calibri" w:cs="Sylfaen"/>
          <w:b/>
          <w:bCs/>
          <w:lang w:val="hy-AM"/>
        </w:rPr>
        <w:t xml:space="preserve">Աղյուսակ 3.1.3 </w:t>
      </w:r>
      <w:r w:rsidRPr="0006115A">
        <w:rPr>
          <w:rFonts w:eastAsia="Calibri" w:cs="Sylfaen"/>
          <w:bCs/>
          <w:lang w:val="hy-AM"/>
        </w:rPr>
        <w:t xml:space="preserve">Հարկային եկամուտների կանխատեսումների հավանականային բաշխումը  </w:t>
      </w:r>
    </w:p>
    <w:p w14:paraId="0A14D9D6" w14:textId="77777777" w:rsidR="00A26555" w:rsidRPr="0006115A" w:rsidRDefault="00A26555" w:rsidP="00A26555">
      <w:pPr>
        <w:tabs>
          <w:tab w:val="left" w:pos="0"/>
          <w:tab w:val="left" w:pos="795"/>
        </w:tabs>
        <w:spacing w:before="120" w:after="0" w:line="276" w:lineRule="auto"/>
        <w:ind w:firstLine="0"/>
        <w:rPr>
          <w:rFonts w:eastAsia="Calibri" w:cs="Sylfaen"/>
          <w:bCs/>
          <w:sz w:val="18"/>
          <w:szCs w:val="18"/>
          <w:lang w:val="hy-AM"/>
        </w:rPr>
      </w:pPr>
      <w:r w:rsidRPr="0006115A">
        <w:rPr>
          <w:rFonts w:eastAsia="Calibri" w:cs="Sylfaen"/>
          <w:bCs/>
          <w:sz w:val="18"/>
          <w:szCs w:val="18"/>
          <w:lang w:val="hy-AM"/>
        </w:rPr>
        <w:t xml:space="preserve">  </w:t>
      </w:r>
      <w:r w:rsidRPr="0006115A">
        <w:rPr>
          <w:rFonts w:eastAsia="Calibri" w:cs="Sylfaen"/>
          <w:bCs/>
          <w:sz w:val="18"/>
          <w:szCs w:val="18"/>
          <w:lang w:val="hy-AM"/>
        </w:rPr>
        <w:tab/>
      </w:r>
    </w:p>
    <w:tbl>
      <w:tblPr>
        <w:tblW w:w="9166" w:type="dxa"/>
        <w:tblInd w:w="-10" w:type="dxa"/>
        <w:tblLayout w:type="fixed"/>
        <w:tblLook w:val="04A0" w:firstRow="1" w:lastRow="0" w:firstColumn="1" w:lastColumn="0" w:noHBand="0" w:noVBand="1"/>
      </w:tblPr>
      <w:tblGrid>
        <w:gridCol w:w="2702"/>
        <w:gridCol w:w="1757"/>
        <w:gridCol w:w="2674"/>
        <w:gridCol w:w="2033"/>
      </w:tblGrid>
      <w:tr w:rsidR="00A26555" w:rsidRPr="0006115A" w14:paraId="7E30809D" w14:textId="77777777" w:rsidTr="008931FF">
        <w:trPr>
          <w:trHeight w:val="493"/>
        </w:trPr>
        <w:tc>
          <w:tcPr>
            <w:tcW w:w="2702" w:type="dxa"/>
            <w:vMerge w:val="restart"/>
            <w:tcBorders>
              <w:top w:val="single" w:sz="8" w:space="0" w:color="4F81BD"/>
              <w:left w:val="single" w:sz="8" w:space="0" w:color="4F81BD"/>
              <w:bottom w:val="single" w:sz="8" w:space="0" w:color="4F81BD"/>
              <w:right w:val="single" w:sz="8" w:space="0" w:color="4F81BD"/>
            </w:tcBorders>
            <w:shd w:val="clear" w:color="000000" w:fill="95B3D7"/>
            <w:vAlign w:val="center"/>
            <w:hideMark/>
          </w:tcPr>
          <w:p w14:paraId="5CF5A814" w14:textId="77777777" w:rsidR="00A26555" w:rsidRPr="0006115A" w:rsidRDefault="00A26555" w:rsidP="008931FF">
            <w:pPr>
              <w:spacing w:before="0" w:after="0" w:line="240" w:lineRule="auto"/>
              <w:ind w:firstLine="0"/>
              <w:jc w:val="center"/>
              <w:rPr>
                <w:rFonts w:eastAsia="Times New Roman" w:cs="Calibri"/>
                <w:b/>
                <w:bCs/>
                <w:color w:val="FFFFFF"/>
              </w:rPr>
            </w:pPr>
            <w:r w:rsidRPr="0006115A">
              <w:rPr>
                <w:rFonts w:eastAsia="Times New Roman" w:cs="Calibri"/>
                <w:b/>
                <w:bCs/>
                <w:color w:val="FFFFFF"/>
                <w:lang w:val="hy-AM"/>
              </w:rPr>
              <w:t>Հարկային եկամուտների աճի միջակայքը</w:t>
            </w:r>
          </w:p>
        </w:tc>
        <w:tc>
          <w:tcPr>
            <w:tcW w:w="6464" w:type="dxa"/>
            <w:gridSpan w:val="3"/>
            <w:tcBorders>
              <w:top w:val="single" w:sz="8" w:space="0" w:color="4F81BD"/>
              <w:left w:val="nil"/>
              <w:bottom w:val="single" w:sz="8" w:space="0" w:color="4F81BD"/>
              <w:right w:val="single" w:sz="8" w:space="0" w:color="4F81BD"/>
            </w:tcBorders>
            <w:shd w:val="clear" w:color="000000" w:fill="95B3D7"/>
            <w:vAlign w:val="center"/>
            <w:hideMark/>
          </w:tcPr>
          <w:p w14:paraId="573DF017" w14:textId="77777777" w:rsidR="00A26555" w:rsidRPr="0006115A" w:rsidRDefault="00A26555" w:rsidP="008931FF">
            <w:pPr>
              <w:spacing w:before="0" w:after="0" w:line="240" w:lineRule="auto"/>
              <w:ind w:firstLine="0"/>
              <w:jc w:val="center"/>
              <w:rPr>
                <w:rFonts w:eastAsia="Times New Roman" w:cs="Calibri"/>
                <w:b/>
                <w:bCs/>
                <w:color w:val="FFFFFF"/>
              </w:rPr>
            </w:pPr>
            <w:r w:rsidRPr="0006115A">
              <w:rPr>
                <w:rFonts w:eastAsia="Times New Roman" w:cs="Calibri"/>
                <w:b/>
                <w:bCs/>
                <w:color w:val="FFFFFF"/>
                <w:lang w:val="hy-AM"/>
              </w:rPr>
              <w:t>Հարկային եկամուտների աճի՝ տվյալ միջակայքում ձևավորվելու հավանականությունը</w:t>
            </w:r>
          </w:p>
        </w:tc>
      </w:tr>
      <w:tr w:rsidR="00A26555" w:rsidRPr="0006115A" w14:paraId="1A4D62FB" w14:textId="77777777" w:rsidTr="008931FF">
        <w:trPr>
          <w:trHeight w:val="359"/>
        </w:trPr>
        <w:tc>
          <w:tcPr>
            <w:tcW w:w="2702" w:type="dxa"/>
            <w:vMerge/>
            <w:tcBorders>
              <w:top w:val="single" w:sz="8" w:space="0" w:color="4F81BD"/>
              <w:left w:val="single" w:sz="8" w:space="0" w:color="4F81BD"/>
              <w:bottom w:val="single" w:sz="8" w:space="0" w:color="4F81BD"/>
              <w:right w:val="single" w:sz="8" w:space="0" w:color="4F81BD"/>
            </w:tcBorders>
            <w:vAlign w:val="center"/>
            <w:hideMark/>
          </w:tcPr>
          <w:p w14:paraId="25C2F435" w14:textId="77777777" w:rsidR="00A26555" w:rsidRPr="0006115A" w:rsidRDefault="00A26555" w:rsidP="008931FF">
            <w:pPr>
              <w:spacing w:before="0" w:after="0" w:line="240" w:lineRule="auto"/>
              <w:ind w:firstLine="0"/>
              <w:jc w:val="left"/>
              <w:rPr>
                <w:rFonts w:eastAsia="Times New Roman" w:cs="Calibri"/>
                <w:b/>
                <w:bCs/>
                <w:color w:val="FFFFFF"/>
              </w:rPr>
            </w:pPr>
          </w:p>
        </w:tc>
        <w:tc>
          <w:tcPr>
            <w:tcW w:w="1757" w:type="dxa"/>
            <w:tcBorders>
              <w:top w:val="nil"/>
              <w:left w:val="nil"/>
              <w:bottom w:val="single" w:sz="8" w:space="0" w:color="4F81BD"/>
              <w:right w:val="single" w:sz="8" w:space="0" w:color="4F81BD"/>
            </w:tcBorders>
            <w:shd w:val="clear" w:color="000000" w:fill="95B3D7"/>
            <w:vAlign w:val="center"/>
            <w:hideMark/>
          </w:tcPr>
          <w:p w14:paraId="431F61C1" w14:textId="77777777" w:rsidR="00A26555" w:rsidRPr="0006115A" w:rsidRDefault="00A26555" w:rsidP="008931FF">
            <w:pPr>
              <w:spacing w:before="0" w:after="0" w:line="240" w:lineRule="auto"/>
              <w:ind w:firstLine="0"/>
              <w:jc w:val="center"/>
              <w:rPr>
                <w:rFonts w:eastAsia="Times New Roman" w:cs="Calibri"/>
                <w:b/>
                <w:bCs/>
                <w:color w:val="FFFFFF"/>
              </w:rPr>
            </w:pPr>
            <w:r w:rsidRPr="0006115A">
              <w:rPr>
                <w:rFonts w:eastAsia="Times New Roman" w:cs="Calibri"/>
                <w:b/>
                <w:bCs/>
                <w:color w:val="FFFFFF"/>
                <w:lang w:val="hy-AM"/>
              </w:rPr>
              <w:t>2024</w:t>
            </w:r>
          </w:p>
        </w:tc>
        <w:tc>
          <w:tcPr>
            <w:tcW w:w="2674" w:type="dxa"/>
            <w:tcBorders>
              <w:top w:val="nil"/>
              <w:left w:val="nil"/>
              <w:bottom w:val="single" w:sz="8" w:space="0" w:color="4F81BD"/>
              <w:right w:val="single" w:sz="8" w:space="0" w:color="4F81BD"/>
            </w:tcBorders>
            <w:shd w:val="clear" w:color="000000" w:fill="95B3D7"/>
            <w:vAlign w:val="center"/>
            <w:hideMark/>
          </w:tcPr>
          <w:p w14:paraId="25F6146A" w14:textId="77777777" w:rsidR="00A26555" w:rsidRPr="0006115A" w:rsidRDefault="00A26555" w:rsidP="008931FF">
            <w:pPr>
              <w:spacing w:before="0" w:after="0" w:line="240" w:lineRule="auto"/>
              <w:ind w:firstLine="0"/>
              <w:jc w:val="center"/>
              <w:rPr>
                <w:rFonts w:eastAsia="Times New Roman" w:cs="Calibri"/>
                <w:b/>
                <w:bCs/>
                <w:color w:val="FFFFFF"/>
              </w:rPr>
            </w:pPr>
            <w:r w:rsidRPr="0006115A">
              <w:rPr>
                <w:rFonts w:eastAsia="Times New Roman" w:cs="Calibri"/>
                <w:b/>
                <w:bCs/>
                <w:color w:val="FFFFFF"/>
                <w:lang w:val="hy-AM"/>
              </w:rPr>
              <w:t>2025</w:t>
            </w:r>
          </w:p>
        </w:tc>
        <w:tc>
          <w:tcPr>
            <w:tcW w:w="2032" w:type="dxa"/>
            <w:tcBorders>
              <w:top w:val="nil"/>
              <w:left w:val="nil"/>
              <w:bottom w:val="single" w:sz="8" w:space="0" w:color="4F81BD"/>
              <w:right w:val="single" w:sz="8" w:space="0" w:color="4F81BD"/>
            </w:tcBorders>
            <w:shd w:val="clear" w:color="000000" w:fill="95B3D7"/>
            <w:vAlign w:val="center"/>
            <w:hideMark/>
          </w:tcPr>
          <w:p w14:paraId="6C79DE2D" w14:textId="77777777" w:rsidR="00A26555" w:rsidRPr="0006115A" w:rsidRDefault="00A26555" w:rsidP="008931FF">
            <w:pPr>
              <w:spacing w:before="0" w:after="0" w:line="240" w:lineRule="auto"/>
              <w:ind w:firstLine="0"/>
              <w:jc w:val="center"/>
              <w:rPr>
                <w:rFonts w:eastAsia="Times New Roman" w:cs="Calibri"/>
                <w:b/>
                <w:bCs/>
                <w:color w:val="FFFFFF"/>
              </w:rPr>
            </w:pPr>
            <w:r w:rsidRPr="0006115A">
              <w:rPr>
                <w:rFonts w:eastAsia="Times New Roman" w:cs="Calibri"/>
                <w:b/>
                <w:bCs/>
                <w:color w:val="FFFFFF"/>
                <w:lang w:val="hy-AM"/>
              </w:rPr>
              <w:t>2026</w:t>
            </w:r>
          </w:p>
        </w:tc>
      </w:tr>
      <w:tr w:rsidR="00A26555" w:rsidRPr="0006115A" w14:paraId="4E8DC93E" w14:textId="77777777" w:rsidTr="008931FF">
        <w:trPr>
          <w:trHeight w:val="179"/>
        </w:trPr>
        <w:tc>
          <w:tcPr>
            <w:tcW w:w="2702" w:type="dxa"/>
            <w:tcBorders>
              <w:top w:val="nil"/>
              <w:left w:val="single" w:sz="8" w:space="0" w:color="4F81BD"/>
              <w:bottom w:val="single" w:sz="8" w:space="0" w:color="4F81BD"/>
              <w:right w:val="single" w:sz="8" w:space="0" w:color="4F81BD"/>
            </w:tcBorders>
            <w:shd w:val="clear" w:color="auto" w:fill="auto"/>
            <w:vAlign w:val="center"/>
            <w:hideMark/>
          </w:tcPr>
          <w:p w14:paraId="25DAE9C3"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lang w:val="hy-AM"/>
              </w:rPr>
              <w:t>3-8 տոկոս</w:t>
            </w:r>
          </w:p>
        </w:tc>
        <w:tc>
          <w:tcPr>
            <w:tcW w:w="1757" w:type="dxa"/>
            <w:tcBorders>
              <w:top w:val="nil"/>
              <w:left w:val="nil"/>
              <w:bottom w:val="single" w:sz="8" w:space="0" w:color="4F81BD"/>
              <w:right w:val="single" w:sz="8" w:space="0" w:color="4F81BD"/>
            </w:tcBorders>
            <w:shd w:val="clear" w:color="auto" w:fill="auto"/>
            <w:vAlign w:val="center"/>
            <w:hideMark/>
          </w:tcPr>
          <w:p w14:paraId="5A46A89E"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0.27</w:t>
            </w:r>
          </w:p>
        </w:tc>
        <w:tc>
          <w:tcPr>
            <w:tcW w:w="2674" w:type="dxa"/>
            <w:tcBorders>
              <w:top w:val="nil"/>
              <w:left w:val="nil"/>
              <w:bottom w:val="single" w:sz="8" w:space="0" w:color="4F81BD"/>
              <w:right w:val="single" w:sz="8" w:space="0" w:color="4F81BD"/>
            </w:tcBorders>
            <w:shd w:val="clear" w:color="auto" w:fill="auto"/>
            <w:vAlign w:val="center"/>
            <w:hideMark/>
          </w:tcPr>
          <w:p w14:paraId="63BF99E0"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0.26</w:t>
            </w:r>
          </w:p>
        </w:tc>
        <w:tc>
          <w:tcPr>
            <w:tcW w:w="2032" w:type="dxa"/>
            <w:tcBorders>
              <w:top w:val="nil"/>
              <w:left w:val="nil"/>
              <w:bottom w:val="single" w:sz="8" w:space="0" w:color="4F81BD"/>
              <w:right w:val="single" w:sz="8" w:space="0" w:color="4F81BD"/>
            </w:tcBorders>
            <w:shd w:val="clear" w:color="auto" w:fill="auto"/>
            <w:vAlign w:val="center"/>
            <w:hideMark/>
          </w:tcPr>
          <w:p w14:paraId="487F1678"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0.31</w:t>
            </w:r>
          </w:p>
        </w:tc>
      </w:tr>
      <w:tr w:rsidR="00A26555" w:rsidRPr="0006115A" w14:paraId="2C0CAB7E" w14:textId="77777777" w:rsidTr="008931FF">
        <w:trPr>
          <w:trHeight w:val="179"/>
        </w:trPr>
        <w:tc>
          <w:tcPr>
            <w:tcW w:w="2702" w:type="dxa"/>
            <w:tcBorders>
              <w:top w:val="nil"/>
              <w:left w:val="single" w:sz="8" w:space="0" w:color="4F81BD"/>
              <w:bottom w:val="single" w:sz="8" w:space="0" w:color="4F81BD"/>
              <w:right w:val="single" w:sz="8" w:space="0" w:color="4F81BD"/>
            </w:tcBorders>
            <w:shd w:val="clear" w:color="auto" w:fill="auto"/>
            <w:vAlign w:val="center"/>
            <w:hideMark/>
          </w:tcPr>
          <w:p w14:paraId="306E2C96"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lang w:val="hy-AM"/>
              </w:rPr>
              <w:t>8-13 տոկոս</w:t>
            </w:r>
          </w:p>
        </w:tc>
        <w:tc>
          <w:tcPr>
            <w:tcW w:w="1757" w:type="dxa"/>
            <w:tcBorders>
              <w:top w:val="nil"/>
              <w:left w:val="nil"/>
              <w:bottom w:val="single" w:sz="8" w:space="0" w:color="4F81BD"/>
              <w:right w:val="single" w:sz="8" w:space="0" w:color="4F81BD"/>
            </w:tcBorders>
            <w:shd w:val="clear" w:color="auto" w:fill="auto"/>
            <w:vAlign w:val="center"/>
            <w:hideMark/>
          </w:tcPr>
          <w:p w14:paraId="0DB140E6" w14:textId="77777777" w:rsidR="00A26555" w:rsidRPr="0006115A" w:rsidRDefault="00A26555" w:rsidP="008931FF">
            <w:pPr>
              <w:spacing w:before="0" w:after="0" w:line="240" w:lineRule="auto"/>
              <w:ind w:firstLine="0"/>
              <w:jc w:val="center"/>
              <w:rPr>
                <w:rFonts w:eastAsia="Times New Roman" w:cs="Calibri"/>
                <w:b/>
                <w:bCs/>
                <w:i/>
                <w:iCs/>
                <w:color w:val="000000"/>
                <w:u w:val="single"/>
              </w:rPr>
            </w:pPr>
            <w:r w:rsidRPr="0006115A">
              <w:rPr>
                <w:rFonts w:eastAsia="Times New Roman" w:cs="Calibri"/>
                <w:b/>
                <w:bCs/>
                <w:i/>
                <w:iCs/>
                <w:color w:val="000000"/>
                <w:u w:val="single"/>
              </w:rPr>
              <w:t>0.43</w:t>
            </w:r>
          </w:p>
        </w:tc>
        <w:tc>
          <w:tcPr>
            <w:tcW w:w="2674" w:type="dxa"/>
            <w:tcBorders>
              <w:top w:val="nil"/>
              <w:left w:val="nil"/>
              <w:bottom w:val="single" w:sz="8" w:space="0" w:color="4F81BD"/>
              <w:right w:val="single" w:sz="8" w:space="0" w:color="4F81BD"/>
            </w:tcBorders>
            <w:shd w:val="clear" w:color="auto" w:fill="auto"/>
            <w:vAlign w:val="center"/>
            <w:hideMark/>
          </w:tcPr>
          <w:p w14:paraId="64137931" w14:textId="77777777" w:rsidR="00A26555" w:rsidRPr="0006115A" w:rsidRDefault="00A26555" w:rsidP="008931FF">
            <w:pPr>
              <w:spacing w:before="0" w:after="0" w:line="240" w:lineRule="auto"/>
              <w:ind w:firstLine="0"/>
              <w:jc w:val="center"/>
              <w:rPr>
                <w:rFonts w:eastAsia="Times New Roman" w:cs="Calibri"/>
                <w:b/>
                <w:bCs/>
                <w:i/>
                <w:iCs/>
                <w:color w:val="000000"/>
                <w:u w:val="single"/>
              </w:rPr>
            </w:pPr>
            <w:r w:rsidRPr="0006115A">
              <w:rPr>
                <w:rFonts w:eastAsia="Times New Roman" w:cs="Calibri"/>
                <w:b/>
                <w:bCs/>
                <w:i/>
                <w:iCs/>
                <w:color w:val="000000"/>
                <w:u w:val="single"/>
              </w:rPr>
              <w:t>0.38</w:t>
            </w:r>
          </w:p>
        </w:tc>
        <w:tc>
          <w:tcPr>
            <w:tcW w:w="2032" w:type="dxa"/>
            <w:tcBorders>
              <w:top w:val="nil"/>
              <w:left w:val="nil"/>
              <w:bottom w:val="single" w:sz="8" w:space="0" w:color="4F81BD"/>
              <w:right w:val="single" w:sz="8" w:space="0" w:color="4F81BD"/>
            </w:tcBorders>
            <w:shd w:val="clear" w:color="auto" w:fill="auto"/>
            <w:vAlign w:val="center"/>
            <w:hideMark/>
          </w:tcPr>
          <w:p w14:paraId="5A1D2B22" w14:textId="77777777" w:rsidR="00A26555" w:rsidRPr="0006115A" w:rsidRDefault="00A26555" w:rsidP="008931FF">
            <w:pPr>
              <w:spacing w:before="0" w:after="0" w:line="240" w:lineRule="auto"/>
              <w:ind w:firstLine="0"/>
              <w:jc w:val="center"/>
              <w:rPr>
                <w:rFonts w:eastAsia="Times New Roman" w:cs="Calibri"/>
                <w:b/>
                <w:bCs/>
                <w:i/>
                <w:iCs/>
                <w:color w:val="000000"/>
                <w:u w:val="single"/>
              </w:rPr>
            </w:pPr>
            <w:r w:rsidRPr="0006115A">
              <w:rPr>
                <w:rFonts w:eastAsia="Times New Roman" w:cs="Calibri"/>
                <w:b/>
                <w:bCs/>
                <w:i/>
                <w:iCs/>
                <w:color w:val="000000"/>
                <w:u w:val="single"/>
              </w:rPr>
              <w:t>0.37</w:t>
            </w:r>
          </w:p>
        </w:tc>
      </w:tr>
      <w:tr w:rsidR="00A26555" w:rsidRPr="0006115A" w14:paraId="44221788" w14:textId="77777777" w:rsidTr="008931FF">
        <w:trPr>
          <w:trHeight w:val="179"/>
        </w:trPr>
        <w:tc>
          <w:tcPr>
            <w:tcW w:w="2702" w:type="dxa"/>
            <w:tcBorders>
              <w:top w:val="nil"/>
              <w:left w:val="single" w:sz="8" w:space="0" w:color="4F81BD"/>
              <w:bottom w:val="single" w:sz="8" w:space="0" w:color="4F81BD"/>
              <w:right w:val="single" w:sz="8" w:space="0" w:color="4F81BD"/>
            </w:tcBorders>
            <w:shd w:val="clear" w:color="auto" w:fill="auto"/>
            <w:vAlign w:val="center"/>
            <w:hideMark/>
          </w:tcPr>
          <w:p w14:paraId="7D1BC913"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lang w:val="hy-AM"/>
              </w:rPr>
              <w:t>13-18 տոկոս</w:t>
            </w:r>
          </w:p>
        </w:tc>
        <w:tc>
          <w:tcPr>
            <w:tcW w:w="1757" w:type="dxa"/>
            <w:tcBorders>
              <w:top w:val="nil"/>
              <w:left w:val="nil"/>
              <w:bottom w:val="single" w:sz="8" w:space="0" w:color="4F81BD"/>
              <w:right w:val="single" w:sz="8" w:space="0" w:color="4F81BD"/>
            </w:tcBorders>
            <w:shd w:val="clear" w:color="auto" w:fill="auto"/>
            <w:vAlign w:val="center"/>
            <w:hideMark/>
          </w:tcPr>
          <w:p w14:paraId="2DFDE8F8"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0.17</w:t>
            </w:r>
          </w:p>
        </w:tc>
        <w:tc>
          <w:tcPr>
            <w:tcW w:w="2674" w:type="dxa"/>
            <w:tcBorders>
              <w:top w:val="nil"/>
              <w:left w:val="nil"/>
              <w:bottom w:val="single" w:sz="8" w:space="0" w:color="4F81BD"/>
              <w:right w:val="single" w:sz="8" w:space="0" w:color="4F81BD"/>
            </w:tcBorders>
            <w:shd w:val="clear" w:color="auto" w:fill="auto"/>
            <w:vAlign w:val="center"/>
            <w:hideMark/>
          </w:tcPr>
          <w:p w14:paraId="00DF50BB"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0.19</w:t>
            </w:r>
          </w:p>
        </w:tc>
        <w:tc>
          <w:tcPr>
            <w:tcW w:w="2032" w:type="dxa"/>
            <w:tcBorders>
              <w:top w:val="nil"/>
              <w:left w:val="nil"/>
              <w:bottom w:val="single" w:sz="8" w:space="0" w:color="4F81BD"/>
              <w:right w:val="single" w:sz="8" w:space="0" w:color="4F81BD"/>
            </w:tcBorders>
            <w:shd w:val="clear" w:color="auto" w:fill="auto"/>
            <w:vAlign w:val="center"/>
            <w:hideMark/>
          </w:tcPr>
          <w:p w14:paraId="1228D939" w14:textId="77777777" w:rsidR="00A26555" w:rsidRPr="0006115A" w:rsidRDefault="00A26555" w:rsidP="008931FF">
            <w:pPr>
              <w:spacing w:before="0" w:after="0" w:line="240" w:lineRule="auto"/>
              <w:ind w:firstLine="0"/>
              <w:jc w:val="center"/>
              <w:rPr>
                <w:rFonts w:eastAsia="Times New Roman" w:cs="Calibri"/>
                <w:color w:val="000000"/>
              </w:rPr>
            </w:pPr>
            <w:r w:rsidRPr="0006115A">
              <w:rPr>
                <w:rFonts w:eastAsia="Times New Roman" w:cs="Calibri"/>
                <w:color w:val="000000"/>
              </w:rPr>
              <w:t>0.06</w:t>
            </w:r>
          </w:p>
        </w:tc>
      </w:tr>
    </w:tbl>
    <w:p w14:paraId="6AED87BF" w14:textId="77777777" w:rsidR="00A26555" w:rsidRPr="0006115A" w:rsidRDefault="00A26555" w:rsidP="00A26555">
      <w:pPr>
        <w:tabs>
          <w:tab w:val="left" w:pos="0"/>
          <w:tab w:val="left" w:pos="795"/>
        </w:tabs>
        <w:spacing w:before="120" w:after="0" w:line="276" w:lineRule="auto"/>
        <w:ind w:firstLine="0"/>
        <w:rPr>
          <w:rFonts w:eastAsia="Calibri" w:cs="Sylfaen"/>
          <w:bCs/>
          <w:sz w:val="18"/>
          <w:szCs w:val="18"/>
          <w:lang w:val="hy-AM"/>
        </w:rPr>
      </w:pPr>
    </w:p>
    <w:p w14:paraId="357D898C" w14:textId="77777777" w:rsidR="00A26555" w:rsidRPr="0006115A" w:rsidRDefault="00A26555" w:rsidP="00A26555">
      <w:pPr>
        <w:tabs>
          <w:tab w:val="left" w:pos="142"/>
        </w:tabs>
        <w:spacing w:before="120" w:after="0" w:line="276" w:lineRule="auto"/>
        <w:ind w:left="567" w:hanging="567"/>
        <w:rPr>
          <w:rFonts w:eastAsia="Calibri" w:cs="Sylfaen"/>
          <w:bCs/>
          <w:sz w:val="18"/>
          <w:szCs w:val="18"/>
          <w:lang w:val="hy-AM"/>
        </w:rPr>
      </w:pPr>
      <w:r w:rsidRPr="0006115A">
        <w:rPr>
          <w:rFonts w:eastAsia="Calibri" w:cs="Sylfaen"/>
          <w:bCs/>
          <w:sz w:val="18"/>
          <w:szCs w:val="18"/>
          <w:lang w:val="hy-AM"/>
        </w:rPr>
        <w:t xml:space="preserve"> </w:t>
      </w:r>
    </w:p>
    <w:p w14:paraId="2C128DB6"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Աղյուսակ 3.1.3-ի առաջին սյունը ներկայացնում է հարկային եկամուտների աճի միջակայքերը, իսկ 2-ից 4-րդ սյուները` նշված միջակայքերից յուրաքանչյուրում այդ աճի ձևավորվելու հավանականությունները` ըստ միջնաժամկետ կանխատեսումների: Համաձայն գնահատականների, 2025-2027 թվականներին հարկային եկամուտների աճի տեմպի՝ 8-13% միջակայքում գտնվելու հավանականությունն ամենաբարձրն է (Գծապատկեր 3.1-ում այն մուգ կարմիր է, իսկ Աղյուսակ 3.1.3-ում՝ հոծ նշումով): </w:t>
      </w:r>
    </w:p>
    <w:p w14:paraId="6B7332E9" w14:textId="77777777" w:rsidR="00A26555" w:rsidRPr="0006115A" w:rsidRDefault="00A26555" w:rsidP="00A26555">
      <w:pPr>
        <w:tabs>
          <w:tab w:val="left" w:pos="0"/>
        </w:tabs>
        <w:spacing w:before="120" w:after="0" w:line="276" w:lineRule="auto"/>
        <w:ind w:firstLine="0"/>
        <w:rPr>
          <w:rFonts w:eastAsia="Times New Roman" w:cs="Times New Roman"/>
          <w:b/>
          <w:color w:val="44546A"/>
          <w:sz w:val="24"/>
          <w:szCs w:val="24"/>
          <w:lang w:val="hy-AM" w:eastAsia="ru-RU"/>
        </w:rPr>
      </w:pPr>
    </w:p>
    <w:p w14:paraId="3D74F3A7" w14:textId="77777777" w:rsidR="00A26555" w:rsidRPr="00461381" w:rsidRDefault="00A26555" w:rsidP="00461381">
      <w:pPr>
        <w:tabs>
          <w:tab w:val="left" w:pos="0"/>
        </w:tabs>
        <w:spacing w:before="120" w:after="0" w:line="276" w:lineRule="auto"/>
        <w:ind w:firstLine="0"/>
        <w:rPr>
          <w:b/>
          <w:color w:val="44546A" w:themeColor="text2"/>
          <w:sz w:val="24"/>
          <w:szCs w:val="24"/>
          <w:lang w:val="hy-AM" w:eastAsia="ru-RU"/>
        </w:rPr>
      </w:pPr>
      <w:bookmarkStart w:id="287" w:name="_Toc170750604"/>
      <w:r w:rsidRPr="00461381">
        <w:rPr>
          <w:b/>
          <w:color w:val="44546A" w:themeColor="text2"/>
          <w:sz w:val="24"/>
          <w:szCs w:val="24"/>
          <w:lang w:val="hy-AM" w:eastAsia="ru-RU"/>
        </w:rPr>
        <w:t>3.1.2. 2025-2027 թվականներին ՄԺԾԾ մակրոտնտեսական ցուցանիշների կանխատեսվածից շեղման ռիսկերի ազդեցության ընդհանուր գնահատականը եվ դրանց մեղմման հնարավորությունները</w:t>
      </w:r>
      <w:bookmarkEnd w:id="287"/>
    </w:p>
    <w:p w14:paraId="4AB433CB"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Կանխատեսումներում մեծ ուշադրություն է դարձվում նաև պետական բյուջեի ծախսերի պլանավորված մակարդակների ապահովումը խաթարող ռիսկերին, որոնք կարող են հանգեցնել լրացուցիչ ֆինանսավորման պահանջի առաջացման:</w:t>
      </w:r>
    </w:p>
    <w:p w14:paraId="7E33E2AF" w14:textId="77777777" w:rsidR="00A26555" w:rsidRPr="0006115A" w:rsidRDefault="00A26555" w:rsidP="00A26555">
      <w:pPr>
        <w:tabs>
          <w:tab w:val="left" w:pos="0"/>
        </w:tabs>
        <w:spacing w:before="120" w:after="0" w:line="276" w:lineRule="auto"/>
        <w:ind w:firstLine="0"/>
        <w:rPr>
          <w:rFonts w:eastAsia="Times New Roman" w:cs="Sylfaen"/>
          <w:lang w:val="hy-AM"/>
        </w:rPr>
      </w:pPr>
    </w:p>
    <w:p w14:paraId="278C6204" w14:textId="77777777" w:rsidR="00A26555" w:rsidRPr="0006115A" w:rsidRDefault="00A26555" w:rsidP="00A26555">
      <w:pPr>
        <w:tabs>
          <w:tab w:val="left" w:pos="0"/>
        </w:tabs>
        <w:spacing w:before="120" w:after="0" w:line="276" w:lineRule="auto"/>
        <w:ind w:firstLine="0"/>
        <w:rPr>
          <w:rFonts w:eastAsia="Calibri" w:cs="Sylfaen"/>
          <w:b/>
          <w:bCs/>
          <w:lang w:val="hy-AM"/>
        </w:rPr>
      </w:pPr>
      <w:r w:rsidRPr="0006115A">
        <w:rPr>
          <w:rFonts w:eastAsia="Calibri" w:cs="Sylfaen"/>
          <w:b/>
          <w:bCs/>
          <w:lang w:val="hy-AM"/>
        </w:rPr>
        <w:t xml:space="preserve">Աղյուսակ 3.2.1 </w:t>
      </w:r>
      <w:r w:rsidRPr="0006115A">
        <w:rPr>
          <w:rFonts w:eastAsia="Calibri" w:cs="Sylfaen"/>
          <w:bCs/>
          <w:lang w:val="hy-AM"/>
        </w:rPr>
        <w:t>ՀՀ պետական բյուջեի հարկային եկամուտների և ծախսերի, ինչպես նաև այլ հոսքերի գծով ռիսկերի ընդհանուր ազդեցությունը</w:t>
      </w:r>
      <w:r w:rsidRPr="0006115A">
        <w:rPr>
          <w:rFonts w:eastAsia="Calibri" w:cs="Sylfaen"/>
          <w:bCs/>
          <w:vertAlign w:val="superscript"/>
          <w:lang w:val="hy-AM"/>
        </w:rPr>
        <w:footnoteReference w:id="29"/>
      </w:r>
      <w:r w:rsidRPr="0006115A">
        <w:rPr>
          <w:rFonts w:eastAsia="Calibri" w:cs="Sylfaen"/>
          <w:bCs/>
          <w:lang w:val="hy-AM"/>
        </w:rPr>
        <w:t>. (ֆինանսավորման պահանջ` - պահանջի մեծացում, + պահանջի նվազում), մլրդ ՀՀ դրամ</w:t>
      </w:r>
      <w:r w:rsidRPr="0006115A">
        <w:rPr>
          <w:rFonts w:eastAsia="Calibri" w:cs="Sylfaen"/>
          <w:b/>
          <w:bCs/>
          <w:lang w:val="hy-AM"/>
        </w:rPr>
        <w:t xml:space="preserve"> </w:t>
      </w:r>
    </w:p>
    <w:p w14:paraId="4F98F278" w14:textId="77777777" w:rsidR="00A26555" w:rsidRPr="0006115A" w:rsidRDefault="00A26555" w:rsidP="00A26555">
      <w:pPr>
        <w:tabs>
          <w:tab w:val="left" w:pos="0"/>
        </w:tabs>
        <w:spacing w:before="120" w:after="0" w:line="276" w:lineRule="auto"/>
        <w:ind w:firstLine="0"/>
        <w:rPr>
          <w:rFonts w:eastAsia="Calibri" w:cs="Sylfaen"/>
          <w:b/>
          <w:bCs/>
          <w:sz w:val="20"/>
          <w:szCs w:val="20"/>
          <w:lang w:val="hy-AM"/>
        </w:rPr>
      </w:pPr>
    </w:p>
    <w:tbl>
      <w:tblPr>
        <w:tblW w:w="9721" w:type="dxa"/>
        <w:tblInd w:w="-5" w:type="dxa"/>
        <w:tblLook w:val="04A0" w:firstRow="1" w:lastRow="0" w:firstColumn="1" w:lastColumn="0" w:noHBand="0" w:noVBand="1"/>
      </w:tblPr>
      <w:tblGrid>
        <w:gridCol w:w="4810"/>
        <w:gridCol w:w="1446"/>
        <w:gridCol w:w="1529"/>
        <w:gridCol w:w="1936"/>
      </w:tblGrid>
      <w:tr w:rsidR="00A26555" w:rsidRPr="0006115A" w14:paraId="48CE86AC" w14:textId="77777777" w:rsidTr="008931FF">
        <w:trPr>
          <w:trHeight w:val="705"/>
        </w:trPr>
        <w:tc>
          <w:tcPr>
            <w:tcW w:w="4810" w:type="dxa"/>
            <w:vMerge w:val="restart"/>
            <w:tcBorders>
              <w:top w:val="single" w:sz="4" w:space="0" w:color="4F81BD"/>
              <w:left w:val="single" w:sz="4" w:space="0" w:color="4F81BD"/>
              <w:bottom w:val="nil"/>
              <w:right w:val="single" w:sz="4" w:space="0" w:color="4F81BD"/>
            </w:tcBorders>
            <w:shd w:val="clear" w:color="000000" w:fill="95B3D7"/>
            <w:vAlign w:val="center"/>
            <w:hideMark/>
          </w:tcPr>
          <w:p w14:paraId="399AB638"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Մակրոտնտեսական ցուցանիշների կանխատեսվող ռիսկեր</w:t>
            </w:r>
          </w:p>
        </w:tc>
        <w:tc>
          <w:tcPr>
            <w:tcW w:w="1446" w:type="dxa"/>
            <w:vMerge w:val="restart"/>
            <w:tcBorders>
              <w:top w:val="single" w:sz="4" w:space="0" w:color="4F81BD"/>
              <w:left w:val="single" w:sz="4" w:space="0" w:color="4F81BD"/>
              <w:bottom w:val="single" w:sz="4" w:space="0" w:color="333399"/>
              <w:right w:val="single" w:sz="4" w:space="0" w:color="4F81BD"/>
            </w:tcBorders>
            <w:shd w:val="clear" w:color="000000" w:fill="95B3D7"/>
            <w:vAlign w:val="center"/>
            <w:hideMark/>
          </w:tcPr>
          <w:p w14:paraId="7F4D46E6"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2025</w:t>
            </w:r>
          </w:p>
        </w:tc>
        <w:tc>
          <w:tcPr>
            <w:tcW w:w="1529" w:type="dxa"/>
            <w:vMerge w:val="restart"/>
            <w:tcBorders>
              <w:top w:val="single" w:sz="4" w:space="0" w:color="4F81BD"/>
              <w:left w:val="single" w:sz="4" w:space="0" w:color="4F81BD"/>
              <w:bottom w:val="single" w:sz="4" w:space="0" w:color="333399"/>
              <w:right w:val="single" w:sz="4" w:space="0" w:color="4F81BD"/>
            </w:tcBorders>
            <w:shd w:val="clear" w:color="000000" w:fill="95B3D7"/>
            <w:vAlign w:val="center"/>
            <w:hideMark/>
          </w:tcPr>
          <w:p w14:paraId="52A5ED79"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2026</w:t>
            </w:r>
          </w:p>
        </w:tc>
        <w:tc>
          <w:tcPr>
            <w:tcW w:w="1936" w:type="dxa"/>
            <w:vMerge w:val="restart"/>
            <w:tcBorders>
              <w:top w:val="single" w:sz="4" w:space="0" w:color="4F81BD"/>
              <w:left w:val="single" w:sz="4" w:space="0" w:color="4F81BD"/>
              <w:bottom w:val="single" w:sz="4" w:space="0" w:color="333399"/>
              <w:right w:val="single" w:sz="4" w:space="0" w:color="4F81BD"/>
            </w:tcBorders>
            <w:shd w:val="clear" w:color="000000" w:fill="95B3D7"/>
            <w:vAlign w:val="center"/>
            <w:hideMark/>
          </w:tcPr>
          <w:p w14:paraId="429427FA" w14:textId="77777777" w:rsidR="00A26555" w:rsidRPr="0006115A" w:rsidRDefault="00A26555" w:rsidP="008931FF">
            <w:pPr>
              <w:spacing w:before="0" w:after="0" w:line="240" w:lineRule="auto"/>
              <w:ind w:firstLine="0"/>
              <w:jc w:val="center"/>
              <w:rPr>
                <w:rFonts w:eastAsia="Times New Roman" w:cs="Times New Roman"/>
                <w:b/>
                <w:bCs/>
                <w:color w:val="FFFFFF"/>
              </w:rPr>
            </w:pPr>
            <w:r w:rsidRPr="0006115A">
              <w:rPr>
                <w:rFonts w:eastAsia="Times New Roman" w:cs="Times New Roman"/>
                <w:b/>
                <w:bCs/>
                <w:color w:val="FFFFFF"/>
              </w:rPr>
              <w:t>2027</w:t>
            </w:r>
          </w:p>
        </w:tc>
      </w:tr>
      <w:tr w:rsidR="00A26555" w:rsidRPr="0006115A" w14:paraId="6FEAF7B5" w14:textId="77777777" w:rsidTr="008931FF">
        <w:trPr>
          <w:trHeight w:val="479"/>
        </w:trPr>
        <w:tc>
          <w:tcPr>
            <w:tcW w:w="4810" w:type="dxa"/>
            <w:vMerge/>
            <w:tcBorders>
              <w:top w:val="single" w:sz="4" w:space="0" w:color="4F81BD"/>
              <w:left w:val="single" w:sz="4" w:space="0" w:color="4F81BD"/>
              <w:bottom w:val="nil"/>
              <w:right w:val="single" w:sz="4" w:space="0" w:color="4F81BD"/>
            </w:tcBorders>
            <w:vAlign w:val="center"/>
            <w:hideMark/>
          </w:tcPr>
          <w:p w14:paraId="3611610E" w14:textId="77777777" w:rsidR="00A26555" w:rsidRPr="0006115A" w:rsidRDefault="00A26555" w:rsidP="008931FF">
            <w:pPr>
              <w:spacing w:before="0" w:after="0" w:line="240" w:lineRule="auto"/>
              <w:ind w:firstLine="0"/>
              <w:jc w:val="left"/>
              <w:rPr>
                <w:rFonts w:eastAsia="Times New Roman" w:cs="Times New Roman"/>
                <w:b/>
                <w:bCs/>
                <w:color w:val="FFFFFF"/>
              </w:rPr>
            </w:pPr>
          </w:p>
        </w:tc>
        <w:tc>
          <w:tcPr>
            <w:tcW w:w="1446" w:type="dxa"/>
            <w:vMerge/>
            <w:tcBorders>
              <w:top w:val="single" w:sz="4" w:space="0" w:color="4F81BD"/>
              <w:left w:val="single" w:sz="4" w:space="0" w:color="4F81BD"/>
              <w:bottom w:val="single" w:sz="4" w:space="0" w:color="333399"/>
              <w:right w:val="single" w:sz="4" w:space="0" w:color="4F81BD"/>
            </w:tcBorders>
            <w:vAlign w:val="center"/>
            <w:hideMark/>
          </w:tcPr>
          <w:p w14:paraId="53C5377E" w14:textId="77777777" w:rsidR="00A26555" w:rsidRPr="0006115A" w:rsidRDefault="00A26555" w:rsidP="008931FF">
            <w:pPr>
              <w:spacing w:before="0" w:after="0" w:line="240" w:lineRule="auto"/>
              <w:ind w:firstLine="0"/>
              <w:jc w:val="left"/>
              <w:rPr>
                <w:rFonts w:eastAsia="Times New Roman" w:cs="Times New Roman"/>
                <w:b/>
                <w:bCs/>
                <w:color w:val="FFFFFF"/>
              </w:rPr>
            </w:pPr>
          </w:p>
        </w:tc>
        <w:tc>
          <w:tcPr>
            <w:tcW w:w="1529" w:type="dxa"/>
            <w:vMerge/>
            <w:tcBorders>
              <w:top w:val="single" w:sz="4" w:space="0" w:color="4F81BD"/>
              <w:left w:val="single" w:sz="4" w:space="0" w:color="4F81BD"/>
              <w:bottom w:val="single" w:sz="4" w:space="0" w:color="333399"/>
              <w:right w:val="single" w:sz="4" w:space="0" w:color="4F81BD"/>
            </w:tcBorders>
            <w:vAlign w:val="center"/>
            <w:hideMark/>
          </w:tcPr>
          <w:p w14:paraId="4FEEBBB5" w14:textId="77777777" w:rsidR="00A26555" w:rsidRPr="0006115A" w:rsidRDefault="00A26555" w:rsidP="008931FF">
            <w:pPr>
              <w:spacing w:before="0" w:after="0" w:line="240" w:lineRule="auto"/>
              <w:ind w:firstLine="0"/>
              <w:jc w:val="left"/>
              <w:rPr>
                <w:rFonts w:eastAsia="Times New Roman" w:cs="Times New Roman"/>
                <w:b/>
                <w:bCs/>
                <w:color w:val="FFFFFF"/>
              </w:rPr>
            </w:pPr>
          </w:p>
        </w:tc>
        <w:tc>
          <w:tcPr>
            <w:tcW w:w="1936" w:type="dxa"/>
            <w:vMerge/>
            <w:tcBorders>
              <w:top w:val="single" w:sz="4" w:space="0" w:color="4F81BD"/>
              <w:left w:val="single" w:sz="4" w:space="0" w:color="4F81BD"/>
              <w:bottom w:val="single" w:sz="4" w:space="0" w:color="333399"/>
              <w:right w:val="single" w:sz="4" w:space="0" w:color="4F81BD"/>
            </w:tcBorders>
            <w:vAlign w:val="center"/>
            <w:hideMark/>
          </w:tcPr>
          <w:p w14:paraId="14A3EDEA" w14:textId="77777777" w:rsidR="00A26555" w:rsidRPr="0006115A" w:rsidRDefault="00A26555" w:rsidP="008931FF">
            <w:pPr>
              <w:spacing w:before="0" w:after="0" w:line="240" w:lineRule="auto"/>
              <w:ind w:firstLine="0"/>
              <w:jc w:val="left"/>
              <w:rPr>
                <w:rFonts w:eastAsia="Times New Roman" w:cs="Times New Roman"/>
                <w:b/>
                <w:bCs/>
                <w:color w:val="FFFFFF"/>
              </w:rPr>
            </w:pPr>
          </w:p>
        </w:tc>
      </w:tr>
      <w:tr w:rsidR="00A26555" w:rsidRPr="0006115A" w14:paraId="76898A0E" w14:textId="77777777" w:rsidTr="008931FF">
        <w:trPr>
          <w:trHeight w:val="660"/>
        </w:trPr>
        <w:tc>
          <w:tcPr>
            <w:tcW w:w="4810" w:type="dxa"/>
            <w:tcBorders>
              <w:top w:val="single" w:sz="4" w:space="0" w:color="333399"/>
              <w:left w:val="single" w:sz="4" w:space="0" w:color="333399"/>
              <w:bottom w:val="single" w:sz="4" w:space="0" w:color="333399"/>
              <w:right w:val="single" w:sz="4" w:space="0" w:color="333399"/>
            </w:tcBorders>
            <w:shd w:val="clear" w:color="auto" w:fill="auto"/>
            <w:vAlign w:val="center"/>
            <w:hideMark/>
          </w:tcPr>
          <w:p w14:paraId="242DC275"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1. Կանխատեսվածից ավելի ցածր իրական ՀՆԱ-ի աճ, 3.3-4.1 տոկոսային կետ</w:t>
            </w:r>
          </w:p>
        </w:tc>
        <w:tc>
          <w:tcPr>
            <w:tcW w:w="1446" w:type="dxa"/>
            <w:tcBorders>
              <w:top w:val="nil"/>
              <w:left w:val="nil"/>
              <w:bottom w:val="single" w:sz="4" w:space="0" w:color="333399"/>
              <w:right w:val="single" w:sz="4" w:space="0" w:color="333399"/>
            </w:tcBorders>
            <w:shd w:val="clear" w:color="auto" w:fill="auto"/>
            <w:vAlign w:val="center"/>
            <w:hideMark/>
          </w:tcPr>
          <w:p w14:paraId="0A89C4F8"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-53.1</w:t>
            </w:r>
          </w:p>
        </w:tc>
        <w:tc>
          <w:tcPr>
            <w:tcW w:w="1529" w:type="dxa"/>
            <w:tcBorders>
              <w:top w:val="nil"/>
              <w:left w:val="nil"/>
              <w:bottom w:val="single" w:sz="4" w:space="0" w:color="333399"/>
              <w:right w:val="single" w:sz="4" w:space="0" w:color="333399"/>
            </w:tcBorders>
            <w:shd w:val="clear" w:color="auto" w:fill="auto"/>
            <w:vAlign w:val="center"/>
            <w:hideMark/>
          </w:tcPr>
          <w:p w14:paraId="625615FD"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-77.6</w:t>
            </w:r>
          </w:p>
        </w:tc>
        <w:tc>
          <w:tcPr>
            <w:tcW w:w="1936" w:type="dxa"/>
            <w:tcBorders>
              <w:top w:val="nil"/>
              <w:left w:val="nil"/>
              <w:bottom w:val="single" w:sz="4" w:space="0" w:color="333399"/>
              <w:right w:val="single" w:sz="4" w:space="0" w:color="333399"/>
            </w:tcBorders>
            <w:shd w:val="clear" w:color="auto" w:fill="auto"/>
            <w:vAlign w:val="center"/>
            <w:hideMark/>
          </w:tcPr>
          <w:p w14:paraId="1B967815"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-84.3</w:t>
            </w:r>
          </w:p>
        </w:tc>
      </w:tr>
      <w:tr w:rsidR="00A26555" w:rsidRPr="0006115A" w14:paraId="7554D70C" w14:textId="77777777" w:rsidTr="008931FF">
        <w:trPr>
          <w:trHeight w:val="660"/>
        </w:trPr>
        <w:tc>
          <w:tcPr>
            <w:tcW w:w="4810" w:type="dxa"/>
            <w:tcBorders>
              <w:top w:val="nil"/>
              <w:left w:val="single" w:sz="4" w:space="0" w:color="333399"/>
              <w:bottom w:val="single" w:sz="4" w:space="0" w:color="333399"/>
              <w:right w:val="single" w:sz="4" w:space="0" w:color="333399"/>
            </w:tcBorders>
            <w:shd w:val="clear" w:color="auto" w:fill="auto"/>
            <w:vAlign w:val="center"/>
            <w:hideMark/>
          </w:tcPr>
          <w:p w14:paraId="15821F6B"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 xml:space="preserve">2. Ավելի ցածր գնաճի ռիսկ, 2.6 տոկոսային կետ </w:t>
            </w:r>
          </w:p>
        </w:tc>
        <w:tc>
          <w:tcPr>
            <w:tcW w:w="1446" w:type="dxa"/>
            <w:tcBorders>
              <w:top w:val="nil"/>
              <w:left w:val="nil"/>
              <w:bottom w:val="single" w:sz="4" w:space="0" w:color="333399"/>
              <w:right w:val="single" w:sz="4" w:space="0" w:color="333399"/>
            </w:tcBorders>
            <w:shd w:val="clear" w:color="auto" w:fill="auto"/>
            <w:vAlign w:val="center"/>
            <w:hideMark/>
          </w:tcPr>
          <w:p w14:paraId="3BFC07BD"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color w:val="000000"/>
              </w:rPr>
              <w:t>-19.5</w:t>
            </w:r>
          </w:p>
        </w:tc>
        <w:tc>
          <w:tcPr>
            <w:tcW w:w="1529" w:type="dxa"/>
            <w:tcBorders>
              <w:top w:val="nil"/>
              <w:left w:val="nil"/>
              <w:bottom w:val="single" w:sz="4" w:space="0" w:color="333399"/>
              <w:right w:val="single" w:sz="4" w:space="0" w:color="333399"/>
            </w:tcBorders>
            <w:shd w:val="clear" w:color="auto" w:fill="auto"/>
            <w:vAlign w:val="center"/>
            <w:hideMark/>
          </w:tcPr>
          <w:p w14:paraId="4EC1BC85"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color w:val="000000"/>
              </w:rPr>
              <w:t>-20.0</w:t>
            </w:r>
          </w:p>
        </w:tc>
        <w:tc>
          <w:tcPr>
            <w:tcW w:w="1936" w:type="dxa"/>
            <w:tcBorders>
              <w:top w:val="nil"/>
              <w:left w:val="nil"/>
              <w:bottom w:val="single" w:sz="4" w:space="0" w:color="333399"/>
              <w:right w:val="single" w:sz="4" w:space="0" w:color="333399"/>
            </w:tcBorders>
            <w:shd w:val="clear" w:color="auto" w:fill="auto"/>
            <w:vAlign w:val="center"/>
            <w:hideMark/>
          </w:tcPr>
          <w:p w14:paraId="796A1281"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color w:val="000000"/>
              </w:rPr>
              <w:t>-21.8</w:t>
            </w:r>
          </w:p>
        </w:tc>
      </w:tr>
      <w:tr w:rsidR="00A26555" w:rsidRPr="0006115A" w14:paraId="7FDB4CF4" w14:textId="77777777" w:rsidTr="008931FF">
        <w:trPr>
          <w:trHeight w:val="330"/>
        </w:trPr>
        <w:tc>
          <w:tcPr>
            <w:tcW w:w="4810" w:type="dxa"/>
            <w:tcBorders>
              <w:top w:val="nil"/>
              <w:left w:val="single" w:sz="4" w:space="0" w:color="333399"/>
              <w:bottom w:val="single" w:sz="4" w:space="0" w:color="333399"/>
              <w:right w:val="single" w:sz="4" w:space="0" w:color="333399"/>
            </w:tcBorders>
            <w:shd w:val="clear" w:color="auto" w:fill="auto"/>
            <w:vAlign w:val="center"/>
            <w:hideMark/>
          </w:tcPr>
          <w:p w14:paraId="52CACEAF"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3. Փոխարժեքի 6.3 տոկոս արժեզրկման ռիսկ</w:t>
            </w:r>
          </w:p>
        </w:tc>
        <w:tc>
          <w:tcPr>
            <w:tcW w:w="1446" w:type="dxa"/>
            <w:tcBorders>
              <w:top w:val="nil"/>
              <w:left w:val="nil"/>
              <w:bottom w:val="single" w:sz="4" w:space="0" w:color="333399"/>
              <w:right w:val="single" w:sz="4" w:space="0" w:color="333399"/>
            </w:tcBorders>
            <w:shd w:val="clear" w:color="auto" w:fill="auto"/>
            <w:vAlign w:val="center"/>
            <w:hideMark/>
          </w:tcPr>
          <w:p w14:paraId="4967FBFF"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7.5</w:t>
            </w:r>
          </w:p>
        </w:tc>
        <w:tc>
          <w:tcPr>
            <w:tcW w:w="1529" w:type="dxa"/>
            <w:tcBorders>
              <w:top w:val="nil"/>
              <w:left w:val="nil"/>
              <w:bottom w:val="single" w:sz="4" w:space="0" w:color="333399"/>
              <w:right w:val="single" w:sz="4" w:space="0" w:color="333399"/>
            </w:tcBorders>
            <w:shd w:val="clear" w:color="auto" w:fill="auto"/>
            <w:vAlign w:val="center"/>
            <w:hideMark/>
          </w:tcPr>
          <w:p w14:paraId="353B391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8.2</w:t>
            </w:r>
          </w:p>
        </w:tc>
        <w:tc>
          <w:tcPr>
            <w:tcW w:w="1936" w:type="dxa"/>
            <w:tcBorders>
              <w:top w:val="nil"/>
              <w:left w:val="nil"/>
              <w:bottom w:val="single" w:sz="4" w:space="0" w:color="333399"/>
              <w:right w:val="single" w:sz="4" w:space="0" w:color="333399"/>
            </w:tcBorders>
            <w:shd w:val="clear" w:color="auto" w:fill="auto"/>
            <w:vAlign w:val="center"/>
            <w:hideMark/>
          </w:tcPr>
          <w:p w14:paraId="3C0AA7F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7.8</w:t>
            </w:r>
          </w:p>
        </w:tc>
      </w:tr>
      <w:tr w:rsidR="00A26555" w:rsidRPr="0006115A" w14:paraId="5E7AEE27" w14:textId="77777777" w:rsidTr="008931FF">
        <w:trPr>
          <w:trHeight w:val="660"/>
        </w:trPr>
        <w:tc>
          <w:tcPr>
            <w:tcW w:w="4810" w:type="dxa"/>
            <w:tcBorders>
              <w:top w:val="nil"/>
              <w:left w:val="single" w:sz="4" w:space="0" w:color="333399"/>
              <w:bottom w:val="single" w:sz="4" w:space="0" w:color="333399"/>
              <w:right w:val="single" w:sz="4" w:space="0" w:color="333399"/>
            </w:tcBorders>
            <w:shd w:val="clear" w:color="auto" w:fill="auto"/>
            <w:vAlign w:val="center"/>
            <w:hideMark/>
          </w:tcPr>
          <w:p w14:paraId="1B2427C0"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4. Ներմուծման  նվազման ռիսկ, 7.3-14.3 տոկոսային կետ</w:t>
            </w:r>
          </w:p>
        </w:tc>
        <w:tc>
          <w:tcPr>
            <w:tcW w:w="1446" w:type="dxa"/>
            <w:tcBorders>
              <w:top w:val="nil"/>
              <w:left w:val="nil"/>
              <w:bottom w:val="single" w:sz="4" w:space="0" w:color="333399"/>
              <w:right w:val="single" w:sz="4" w:space="0" w:color="333399"/>
            </w:tcBorders>
            <w:shd w:val="clear" w:color="auto" w:fill="auto"/>
            <w:vAlign w:val="center"/>
            <w:hideMark/>
          </w:tcPr>
          <w:p w14:paraId="5515B502"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-25.7</w:t>
            </w:r>
          </w:p>
        </w:tc>
        <w:tc>
          <w:tcPr>
            <w:tcW w:w="1529" w:type="dxa"/>
            <w:tcBorders>
              <w:top w:val="nil"/>
              <w:left w:val="nil"/>
              <w:bottom w:val="single" w:sz="4" w:space="0" w:color="333399"/>
              <w:right w:val="single" w:sz="4" w:space="0" w:color="333399"/>
            </w:tcBorders>
            <w:shd w:val="clear" w:color="auto" w:fill="auto"/>
            <w:vAlign w:val="center"/>
            <w:hideMark/>
          </w:tcPr>
          <w:p w14:paraId="3CCDF9C6"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-47.5</w:t>
            </w:r>
          </w:p>
        </w:tc>
        <w:tc>
          <w:tcPr>
            <w:tcW w:w="1936" w:type="dxa"/>
            <w:tcBorders>
              <w:top w:val="nil"/>
              <w:left w:val="nil"/>
              <w:bottom w:val="single" w:sz="4" w:space="0" w:color="333399"/>
              <w:right w:val="single" w:sz="4" w:space="0" w:color="333399"/>
            </w:tcBorders>
            <w:shd w:val="clear" w:color="auto" w:fill="auto"/>
            <w:vAlign w:val="center"/>
            <w:hideMark/>
          </w:tcPr>
          <w:p w14:paraId="44F3F7EC"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-62.2</w:t>
            </w:r>
          </w:p>
        </w:tc>
      </w:tr>
      <w:tr w:rsidR="00A26555" w:rsidRPr="0006115A" w14:paraId="22AB0F9E" w14:textId="77777777" w:rsidTr="008931FF">
        <w:trPr>
          <w:trHeight w:val="660"/>
        </w:trPr>
        <w:tc>
          <w:tcPr>
            <w:tcW w:w="4810" w:type="dxa"/>
            <w:tcBorders>
              <w:top w:val="nil"/>
              <w:left w:val="single" w:sz="4" w:space="0" w:color="333399"/>
              <w:bottom w:val="single" w:sz="4" w:space="0" w:color="333399"/>
              <w:right w:val="single" w:sz="4" w:space="0" w:color="333399"/>
            </w:tcBorders>
            <w:shd w:val="clear" w:color="auto" w:fill="auto"/>
            <w:vAlign w:val="center"/>
            <w:hideMark/>
          </w:tcPr>
          <w:p w14:paraId="2D0F2AB5" w14:textId="77777777" w:rsidR="00A26555" w:rsidRPr="0006115A" w:rsidRDefault="00A26555" w:rsidP="008931FF">
            <w:pPr>
              <w:spacing w:before="0" w:after="0" w:line="240" w:lineRule="auto"/>
              <w:ind w:firstLine="0"/>
              <w:jc w:val="left"/>
              <w:rPr>
                <w:rFonts w:eastAsia="Times New Roman" w:cs="Times New Roman"/>
                <w:color w:val="000000"/>
              </w:rPr>
            </w:pPr>
            <w:r w:rsidRPr="0006115A">
              <w:rPr>
                <w:rFonts w:eastAsia="Times New Roman" w:cs="Times New Roman"/>
                <w:color w:val="000000"/>
              </w:rPr>
              <w:t>Հարկային եկամուտների վարչարարության ռիսկ, 0.3 տոկոսային կետ</w:t>
            </w:r>
          </w:p>
        </w:tc>
        <w:tc>
          <w:tcPr>
            <w:tcW w:w="1446" w:type="dxa"/>
            <w:tcBorders>
              <w:top w:val="single" w:sz="4" w:space="0" w:color="4F81BD"/>
              <w:left w:val="nil"/>
              <w:bottom w:val="single" w:sz="4" w:space="0" w:color="4F81BD"/>
              <w:right w:val="single" w:sz="4" w:space="0" w:color="4F81BD"/>
            </w:tcBorders>
            <w:shd w:val="clear" w:color="auto" w:fill="auto"/>
            <w:vAlign w:val="center"/>
            <w:hideMark/>
          </w:tcPr>
          <w:p w14:paraId="39E621BE"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-33.6</w:t>
            </w:r>
          </w:p>
        </w:tc>
        <w:tc>
          <w:tcPr>
            <w:tcW w:w="1529" w:type="dxa"/>
            <w:tcBorders>
              <w:top w:val="single" w:sz="4" w:space="0" w:color="4F81BD"/>
              <w:left w:val="nil"/>
              <w:bottom w:val="single" w:sz="4" w:space="0" w:color="4F81BD"/>
              <w:right w:val="single" w:sz="4" w:space="0" w:color="4F81BD"/>
            </w:tcBorders>
            <w:shd w:val="clear" w:color="auto" w:fill="auto"/>
            <w:vAlign w:val="center"/>
            <w:hideMark/>
          </w:tcPr>
          <w:p w14:paraId="4CA95482"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-36.9</w:t>
            </w:r>
          </w:p>
        </w:tc>
        <w:tc>
          <w:tcPr>
            <w:tcW w:w="1936" w:type="dxa"/>
            <w:tcBorders>
              <w:top w:val="single" w:sz="4" w:space="0" w:color="4F81BD"/>
              <w:left w:val="nil"/>
              <w:bottom w:val="single" w:sz="4" w:space="0" w:color="4F81BD"/>
              <w:right w:val="single" w:sz="4" w:space="0" w:color="4F81BD"/>
            </w:tcBorders>
            <w:shd w:val="clear" w:color="auto" w:fill="auto"/>
            <w:vAlign w:val="center"/>
            <w:hideMark/>
          </w:tcPr>
          <w:p w14:paraId="171BDAF1" w14:textId="77777777" w:rsidR="00A26555" w:rsidRPr="0006115A" w:rsidRDefault="00A26555" w:rsidP="008931FF">
            <w:pPr>
              <w:spacing w:before="0" w:after="0" w:line="240" w:lineRule="auto"/>
              <w:ind w:firstLine="0"/>
              <w:jc w:val="center"/>
              <w:rPr>
                <w:rFonts w:eastAsia="Times New Roman" w:cs="Times New Roman"/>
                <w:color w:val="000000"/>
              </w:rPr>
            </w:pPr>
            <w:r w:rsidRPr="0006115A">
              <w:rPr>
                <w:rFonts w:eastAsia="Times New Roman" w:cs="Times New Roman"/>
                <w:color w:val="000000"/>
              </w:rPr>
              <w:t>-40.5</w:t>
            </w:r>
          </w:p>
        </w:tc>
      </w:tr>
      <w:tr w:rsidR="00A26555" w:rsidRPr="0006115A" w14:paraId="64C4CEC4" w14:textId="77777777" w:rsidTr="008931FF">
        <w:trPr>
          <w:trHeight w:val="330"/>
        </w:trPr>
        <w:tc>
          <w:tcPr>
            <w:tcW w:w="4810" w:type="dxa"/>
            <w:tcBorders>
              <w:top w:val="nil"/>
              <w:left w:val="single" w:sz="4" w:space="0" w:color="333399"/>
              <w:bottom w:val="single" w:sz="4" w:space="0" w:color="333399"/>
              <w:right w:val="single" w:sz="4" w:space="0" w:color="333399"/>
            </w:tcBorders>
            <w:shd w:val="clear" w:color="auto" w:fill="auto"/>
            <w:vAlign w:val="center"/>
            <w:hideMark/>
          </w:tcPr>
          <w:p w14:paraId="1782DF7E" w14:textId="77777777" w:rsidR="00A26555" w:rsidRPr="0006115A" w:rsidRDefault="00A26555" w:rsidP="008931FF">
            <w:pPr>
              <w:spacing w:before="0" w:after="0" w:line="240" w:lineRule="auto"/>
              <w:ind w:firstLine="0"/>
              <w:jc w:val="left"/>
              <w:rPr>
                <w:rFonts w:eastAsia="Times New Roman" w:cs="Times New Roman"/>
                <w:b/>
                <w:bCs/>
                <w:color w:val="000000"/>
              </w:rPr>
            </w:pPr>
            <w:r w:rsidRPr="0006115A">
              <w:rPr>
                <w:rFonts w:eastAsia="Times New Roman" w:cs="Times New Roman"/>
                <w:b/>
                <w:bCs/>
                <w:color w:val="000000"/>
              </w:rPr>
              <w:t>Ընդամենը</w:t>
            </w:r>
          </w:p>
        </w:tc>
        <w:tc>
          <w:tcPr>
            <w:tcW w:w="1446" w:type="dxa"/>
            <w:tcBorders>
              <w:top w:val="nil"/>
              <w:left w:val="nil"/>
              <w:bottom w:val="single" w:sz="4" w:space="0" w:color="333399"/>
              <w:right w:val="single" w:sz="4" w:space="0" w:color="333399"/>
            </w:tcBorders>
            <w:shd w:val="clear" w:color="auto" w:fill="auto"/>
            <w:vAlign w:val="center"/>
            <w:hideMark/>
          </w:tcPr>
          <w:p w14:paraId="12C49601"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b/>
                <w:bCs/>
                <w:color w:val="000000"/>
              </w:rPr>
              <w:t>-124.5</w:t>
            </w:r>
          </w:p>
        </w:tc>
        <w:tc>
          <w:tcPr>
            <w:tcW w:w="1529" w:type="dxa"/>
            <w:tcBorders>
              <w:top w:val="nil"/>
              <w:left w:val="nil"/>
              <w:bottom w:val="single" w:sz="4" w:space="0" w:color="333399"/>
              <w:right w:val="single" w:sz="4" w:space="0" w:color="333399"/>
            </w:tcBorders>
            <w:shd w:val="clear" w:color="auto" w:fill="auto"/>
            <w:vAlign w:val="center"/>
            <w:hideMark/>
          </w:tcPr>
          <w:p w14:paraId="1ABB64CE"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b/>
                <w:bCs/>
                <w:color w:val="000000"/>
              </w:rPr>
              <w:t>-173.8</w:t>
            </w:r>
          </w:p>
        </w:tc>
        <w:tc>
          <w:tcPr>
            <w:tcW w:w="1936" w:type="dxa"/>
            <w:tcBorders>
              <w:top w:val="nil"/>
              <w:left w:val="nil"/>
              <w:bottom w:val="single" w:sz="4" w:space="0" w:color="333399"/>
              <w:right w:val="single" w:sz="4" w:space="0" w:color="333399"/>
            </w:tcBorders>
            <w:shd w:val="clear" w:color="auto" w:fill="auto"/>
            <w:vAlign w:val="center"/>
            <w:hideMark/>
          </w:tcPr>
          <w:p w14:paraId="2216EE68" w14:textId="77777777" w:rsidR="00A26555" w:rsidRPr="0006115A" w:rsidRDefault="00A26555" w:rsidP="008931FF">
            <w:pPr>
              <w:spacing w:before="0" w:after="0" w:line="240" w:lineRule="auto"/>
              <w:ind w:firstLine="0"/>
              <w:jc w:val="center"/>
              <w:rPr>
                <w:rFonts w:eastAsia="Times New Roman" w:cs="Times New Roman"/>
                <w:b/>
                <w:bCs/>
                <w:color w:val="000000"/>
              </w:rPr>
            </w:pPr>
            <w:r w:rsidRPr="0006115A">
              <w:rPr>
                <w:b/>
                <w:bCs/>
                <w:color w:val="000000"/>
              </w:rPr>
              <w:t>-201.0</w:t>
            </w:r>
          </w:p>
        </w:tc>
      </w:tr>
    </w:tbl>
    <w:p w14:paraId="6D3D1DE0"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Աղյուսակ 3.2.1-ում ցույց են տրված գնահատված լրացուցիչ ռիսկերը, որոնք կհանգեցնեն լրացուցիչ ֆինանսավորման պահանջի առաջացման: Ակնհայտորեն երևում է, որ գնաճի տատանումների հետևանքով կնվազի նախատեսված ֆինանսավորման պահանջը և համապատասխանաբար կփոփոխվեն նաև պետական բյուջեի ծախսերը` նվազման ուղղությամբ: </w:t>
      </w:r>
    </w:p>
    <w:p w14:paraId="5CB0110F" w14:textId="77777777" w:rsidR="00A26555" w:rsidRPr="0006115A" w:rsidRDefault="00A26555" w:rsidP="00A26555">
      <w:pPr>
        <w:tabs>
          <w:tab w:val="left" w:pos="0"/>
        </w:tabs>
        <w:spacing w:before="120" w:after="0" w:line="276" w:lineRule="auto"/>
        <w:ind w:firstLine="0"/>
        <w:rPr>
          <w:rFonts w:eastAsia="Times New Roman" w:cs="Sylfaen"/>
          <w:lang w:val="hy-AM"/>
        </w:rPr>
      </w:pPr>
      <w:r w:rsidRPr="0006115A">
        <w:rPr>
          <w:rFonts w:eastAsia="Times New Roman" w:cs="Sylfaen"/>
          <w:lang w:val="hy-AM"/>
        </w:rPr>
        <w:t xml:space="preserve">Հաշվի առնելով մակրոտնտեսական ցուցանիշների կանխատեսվող մակարդակից վերոնշյալ հնարավոր շեղումների ռիսկերի գնահատականները` ՀՀ պետական բյուջեի եկամուտների հավաքագրման և ծախսերի կատարման տեսանկյունից 2025-2027 թվականներին ՀՀ պետական բյուջեի պակասուրդի լրացուցիչ ֆինանսավորման պահանջը կկազմի շուրջ 124.5–201.0 մլրդ ՀՀ դրամ կամ ՀՆԱ-ի 1.1-1.5%-ը: Պետք է նշել, որ գնահատված ռիսկի չափը, առարկայացման դեպքում ամբողջությամբ կարող է կլանվել ՀՀ կառավարության կողմից ապահովվող՝ նվազագույնը ՀՆԱ 1%-ի չափով իրացվելիության «բարձիկի» միջոցով։ </w:t>
      </w:r>
    </w:p>
    <w:p w14:paraId="698B61DC" w14:textId="77777777" w:rsidR="00A26555" w:rsidRPr="0006115A" w:rsidRDefault="00A26555" w:rsidP="00A26555">
      <w:pPr>
        <w:tabs>
          <w:tab w:val="left" w:pos="0"/>
        </w:tabs>
        <w:spacing w:before="120" w:after="0" w:line="276" w:lineRule="auto"/>
        <w:ind w:firstLine="0"/>
        <w:rPr>
          <w:rFonts w:eastAsia="Times New Roman" w:cs="Times New Roman"/>
          <w:color w:val="44546A"/>
          <w:sz w:val="28"/>
          <w:szCs w:val="28"/>
          <w:lang w:val="hy-AM"/>
        </w:rPr>
      </w:pPr>
      <w:r w:rsidRPr="0006115A">
        <w:rPr>
          <w:rFonts w:eastAsia="Times New Roman" w:cs="Sylfaen"/>
          <w:lang w:val="hy-AM"/>
        </w:rPr>
        <w:t xml:space="preserve"> </w:t>
      </w:r>
    </w:p>
    <w:p w14:paraId="233626F7" w14:textId="2769CD9D" w:rsidR="00A26555" w:rsidRPr="00461381" w:rsidRDefault="00A26555" w:rsidP="00461381">
      <w:pPr>
        <w:tabs>
          <w:tab w:val="left" w:pos="0"/>
        </w:tabs>
        <w:spacing w:before="120" w:after="0" w:line="276" w:lineRule="auto"/>
        <w:ind w:firstLine="0"/>
        <w:rPr>
          <w:b/>
          <w:color w:val="44546A" w:themeColor="text2"/>
          <w:sz w:val="24"/>
          <w:szCs w:val="24"/>
          <w:lang w:val="hy-AM" w:eastAsia="ru-RU"/>
        </w:rPr>
      </w:pPr>
      <w:bookmarkStart w:id="288" w:name="_Toc138956243"/>
      <w:bookmarkStart w:id="289" w:name="_Toc170750605"/>
      <w:r w:rsidRPr="00461381">
        <w:rPr>
          <w:b/>
          <w:color w:val="44546A" w:themeColor="text2"/>
          <w:sz w:val="24"/>
          <w:szCs w:val="24"/>
          <w:lang w:val="hy-AM" w:eastAsia="ru-RU"/>
        </w:rPr>
        <w:t xml:space="preserve">3.2. </w:t>
      </w:r>
      <w:bookmarkStart w:id="290" w:name="_Toc77837911"/>
      <w:r w:rsidRPr="00461381">
        <w:rPr>
          <w:b/>
          <w:color w:val="44546A" w:themeColor="text2"/>
          <w:sz w:val="24"/>
          <w:szCs w:val="24"/>
          <w:lang w:val="hy-AM" w:eastAsia="ru-RU"/>
        </w:rPr>
        <w:t>ՀՀ ԿԱՌԱՎԱՐՈՒԹՅԱՆ ՊԱՐՏՔԻ ԿԱՅՈՒՆՈՒԹՅԱՆ ՎԵՐԼՈՒԾՈՒԹՅՈՒՆ</w:t>
      </w:r>
      <w:bookmarkEnd w:id="288"/>
      <w:bookmarkEnd w:id="289"/>
      <w:bookmarkEnd w:id="290"/>
    </w:p>
    <w:p w14:paraId="6F8196BD" w14:textId="77777777" w:rsidR="00A26555" w:rsidRPr="0006115A" w:rsidRDefault="00A26555" w:rsidP="00A26555">
      <w:pPr>
        <w:tabs>
          <w:tab w:val="left" w:pos="0"/>
        </w:tabs>
        <w:spacing w:before="120" w:after="0" w:line="276" w:lineRule="auto"/>
        <w:ind w:firstLine="0"/>
        <w:rPr>
          <w:rFonts w:eastAsia="Times New Roman" w:cs="Times New Roman"/>
          <w:lang w:val="hy-AM"/>
        </w:rPr>
      </w:pPr>
      <w:r w:rsidRPr="0006115A">
        <w:rPr>
          <w:rFonts w:eastAsia="Times New Roman" w:cs="Times New Roman"/>
          <w:lang w:val="hy-AM"/>
        </w:rPr>
        <w:t>Միջնաժամկետ հատվածում ՀՀ կառավարության պարտքը գնահատվում է կայուն և կառավարելի, ինչը խարսխված է 2020 թ</w:t>
      </w:r>
      <w:r w:rsidRPr="0006115A">
        <w:rPr>
          <w:rFonts w:ascii="Cambria Math" w:eastAsia="Times New Roman" w:hAnsi="Cambria Math" w:cs="Cambria Math"/>
          <w:lang w:val="hy-AM"/>
        </w:rPr>
        <w:t>․</w:t>
      </w:r>
      <w:r w:rsidRPr="0006115A">
        <w:rPr>
          <w:rFonts w:eastAsia="Times New Roman" w:cs="Times New Roman"/>
          <w:lang w:val="hy-AM"/>
        </w:rPr>
        <w:t xml:space="preserve"> երկակի շոկերի պայմաներում պարտքի բեռի բարձր մակարդակի գրանցումից հետո 2021-2022 թթ</w:t>
      </w:r>
      <w:r w:rsidRPr="0006115A">
        <w:rPr>
          <w:rFonts w:ascii="Cambria Math" w:eastAsia="Times New Roman" w:hAnsi="Cambria Math" w:cs="Cambria Math"/>
          <w:lang w:val="hy-AM"/>
        </w:rPr>
        <w:t>․</w:t>
      </w:r>
      <w:r w:rsidRPr="0006115A">
        <w:rPr>
          <w:rFonts w:eastAsia="Times New Roman" w:cs="Times New Roman"/>
          <w:lang w:val="hy-AM"/>
        </w:rPr>
        <w:t xml:space="preserve"> մինչև հարկաբյուջետային կանոններով ընդունելի մակարդակի նվազման և 2023թ</w:t>
      </w:r>
      <w:r w:rsidRPr="0006115A">
        <w:rPr>
          <w:rFonts w:ascii="Cambria Math" w:eastAsia="Times New Roman" w:hAnsi="Cambria Math" w:cs="Cambria Math"/>
          <w:lang w:val="hy-AM"/>
        </w:rPr>
        <w:t>․</w:t>
      </w:r>
      <w:r w:rsidRPr="0006115A">
        <w:rPr>
          <w:rFonts w:eastAsia="Times New Roman" w:cs="Times New Roman"/>
          <w:lang w:val="hy-AM"/>
        </w:rPr>
        <w:t>-</w:t>
      </w:r>
      <w:r w:rsidRPr="0006115A">
        <w:rPr>
          <w:rFonts w:eastAsia="Times New Roman" w:cs="GHEA Grapalat"/>
          <w:lang w:val="hy-AM"/>
        </w:rPr>
        <w:t>ին</w:t>
      </w:r>
      <w:r w:rsidRPr="0006115A">
        <w:rPr>
          <w:rFonts w:eastAsia="Times New Roman" w:cs="Times New Roman"/>
          <w:lang w:val="hy-AM"/>
        </w:rPr>
        <w:t xml:space="preserve"> </w:t>
      </w:r>
      <w:r w:rsidRPr="0006115A">
        <w:rPr>
          <w:rFonts w:eastAsia="Times New Roman" w:cs="GHEA Grapalat"/>
          <w:lang w:val="hy-AM"/>
        </w:rPr>
        <w:t>այդ</w:t>
      </w:r>
      <w:r w:rsidRPr="0006115A">
        <w:rPr>
          <w:rFonts w:eastAsia="Times New Roman" w:cs="Times New Roman"/>
          <w:lang w:val="hy-AM"/>
        </w:rPr>
        <w:t xml:space="preserve"> </w:t>
      </w:r>
      <w:r w:rsidRPr="0006115A">
        <w:rPr>
          <w:rFonts w:eastAsia="Times New Roman" w:cs="GHEA Grapalat"/>
          <w:lang w:val="hy-AM"/>
        </w:rPr>
        <w:t>մակարդակում</w:t>
      </w:r>
      <w:r w:rsidRPr="0006115A">
        <w:rPr>
          <w:rFonts w:eastAsia="Times New Roman" w:cs="Times New Roman"/>
          <w:lang w:val="hy-AM"/>
        </w:rPr>
        <w:t xml:space="preserve"> </w:t>
      </w:r>
      <w:r w:rsidRPr="0006115A">
        <w:rPr>
          <w:rFonts w:eastAsia="Times New Roman" w:cs="GHEA Grapalat"/>
          <w:lang w:val="hy-AM"/>
        </w:rPr>
        <w:t>պահպանման</w:t>
      </w:r>
      <w:r w:rsidRPr="0006115A">
        <w:rPr>
          <w:rFonts w:eastAsia="Times New Roman" w:cs="Times New Roman"/>
          <w:lang w:val="hy-AM"/>
        </w:rPr>
        <w:t>, պարտքի կառուցվածքի զգալի բարելավման, ինչպես նաև միջնաժամկետ հատվածում պարտքի բեռի չափավոր կայուն մակարդակ ապահովելու հանձնառության վրա։ Այնուամենայնիվ, պարտքը շարունակում է զգայուն մնալ հատկապես տնտեսական աճի ցնցումների նկատմամբ, պարտքի կառուցվածքը գնահատվում է միջին կամ բարձր խոցելի, իսկ պատմությանը և ապագային նայող գնահատումները ուրվագծում են էական անորոշություններ։ Այս առումով, կարևոր է առկա անորոշությունների պայմաններում պարտքի բեռի պահպանումը կառավարելի մակարդակում, հարկաբյուջետային «բարձիկների» պահպանումը անհրաժեշտ մակարդակում, ինչպես նաև, պարտքի կառավարման 2025-2027 թթ</w:t>
      </w:r>
      <w:r w:rsidRPr="0006115A">
        <w:rPr>
          <w:rFonts w:ascii="Cambria Math" w:eastAsia="Times New Roman" w:hAnsi="Cambria Math" w:cs="Times New Roman"/>
          <w:lang w:val="hy-AM"/>
        </w:rPr>
        <w:t>․</w:t>
      </w:r>
      <w:r w:rsidRPr="0006115A">
        <w:rPr>
          <w:rFonts w:eastAsia="Times New Roman" w:cs="Times New Roman"/>
          <w:lang w:val="hy-AM"/>
        </w:rPr>
        <w:t xml:space="preserve"> ռազմավարությանը համահունչ,  պարտքի կառուցվածքի շարունակական, միաժամանակ՝ լրացուցիչ ռիսկեր չստեղծող բարելավումը։  </w:t>
      </w:r>
    </w:p>
    <w:p w14:paraId="5980B5AA" w14:textId="77777777" w:rsidR="00A26555" w:rsidRPr="0006115A" w:rsidRDefault="00A26555" w:rsidP="00A26555">
      <w:pPr>
        <w:tabs>
          <w:tab w:val="left" w:pos="0"/>
        </w:tabs>
        <w:spacing w:before="120" w:after="0" w:line="276" w:lineRule="auto"/>
        <w:ind w:firstLine="0"/>
        <w:rPr>
          <w:rFonts w:eastAsia="Times New Roman" w:cs="Times New Roman"/>
          <w:szCs w:val="24"/>
          <w:lang w:val="hy-AM"/>
        </w:rPr>
      </w:pPr>
      <w:r w:rsidRPr="0006115A">
        <w:rPr>
          <w:rFonts w:eastAsia="Times New Roman" w:cs="Times New Roman"/>
          <w:b/>
          <w:szCs w:val="24"/>
          <w:lang w:val="hy-AM"/>
        </w:rPr>
        <w:t>2021-2022 թթ</w:t>
      </w:r>
      <w:r w:rsidRPr="0006115A">
        <w:rPr>
          <w:rFonts w:ascii="Cambria Math" w:eastAsia="Times New Roman" w:hAnsi="Cambria Math" w:cs="Cambria Math"/>
          <w:b/>
          <w:szCs w:val="24"/>
          <w:lang w:val="hy-AM"/>
        </w:rPr>
        <w:t>․</w:t>
      </w:r>
      <w:r w:rsidRPr="0006115A">
        <w:rPr>
          <w:rFonts w:eastAsia="Times New Roman" w:cs="Times New Roman"/>
          <w:b/>
          <w:szCs w:val="24"/>
          <w:lang w:val="hy-AM"/>
        </w:rPr>
        <w:t xml:space="preserve"> ՀՀ կառավարության պարտք/ՀՆԱ հարաբերակցությունը էապես նվազել  է 2020 թ</w:t>
      </w:r>
      <w:r w:rsidRPr="0006115A">
        <w:rPr>
          <w:rFonts w:ascii="Cambria Math" w:eastAsia="Times New Roman" w:hAnsi="Cambria Math" w:cs="Cambria Math"/>
          <w:b/>
          <w:szCs w:val="24"/>
          <w:lang w:val="hy-AM"/>
        </w:rPr>
        <w:t>․</w:t>
      </w:r>
      <w:r w:rsidRPr="0006115A">
        <w:rPr>
          <w:rFonts w:eastAsia="Times New Roman" w:cs="Times New Roman"/>
          <w:b/>
          <w:szCs w:val="24"/>
          <w:lang w:val="hy-AM"/>
        </w:rPr>
        <w:t xml:space="preserve"> գրանցված 60%-ը գերազանցող մակարդակից և կայունացել այդ մակարդակում 2023-24 թվականներին՝ առաջանցիկ կերպով ապահովելով հարկաբյուջետային կանոններով պահանջված պարտքի բեռի նվազեցումը և հնարավորություն տալով ստեղծել բարձիկ ապագա հնարավոր շոկերին դիմակայելու համար ու բարձրացնել հարկաբյուջետային քաղաքականության ճկունության աստիճանը</w:t>
      </w:r>
      <w:r w:rsidRPr="0006115A">
        <w:rPr>
          <w:rFonts w:eastAsia="Times New Roman" w:cs="Times New Roman"/>
          <w:b/>
          <w:sz w:val="24"/>
          <w:szCs w:val="24"/>
          <w:lang w:val="hy-AM"/>
        </w:rPr>
        <w:t xml:space="preserve">։ </w:t>
      </w:r>
      <w:r w:rsidRPr="0006115A">
        <w:rPr>
          <w:rFonts w:eastAsia="Times New Roman" w:cs="Times New Roman"/>
          <w:szCs w:val="24"/>
          <w:lang w:val="hy-AM"/>
        </w:rPr>
        <w:t>2020 թվականին տնտեսական շոկի և պատերազմական իրավիճակի գործոններով պայմանավորված, հարկաբյուջետային կանոնի՝ «բացառիկ դեպքի» կարգավորումների շրջանակում գրանցված պարտքի բեռը աճել էր մինչև ՀՆԱ 63.5%-ը, ինչը զուգորդվել է պարտքի սպասարկման բեռի բարձրացմամբ։ Սակայն «բացառիկ դեպքի» ճանաչման գործոնների չեզոքացման հետ ՀՀ կառավարությունը պետք է հարկաբյուջետային քաղաքականությունը վերադարձներ բնականոն իրավիճակների համար սահմանված կանոնների համապատասխանության տիրույթ, և, ի թիվս կանոնների համակարգով պահանջվող այլ միջոցառումների, առաջիկա 5 տարվա ընթացքում ապահովեր պարտքի բեռի նվազեցում 60%-ից ներքև, որի հանձնառությունը սահմանվել էր ՀՀ կառավարության պարտքի բեռի նվազեցման 2022-2026 թթ</w:t>
      </w:r>
      <w:r w:rsidRPr="0006115A">
        <w:rPr>
          <w:rFonts w:ascii="Cambria Math" w:eastAsia="Times New Roman" w:hAnsi="Cambria Math" w:cs="Cambria Math"/>
          <w:szCs w:val="24"/>
          <w:lang w:val="hy-AM"/>
        </w:rPr>
        <w:t>․</w:t>
      </w:r>
      <w:r w:rsidRPr="0006115A">
        <w:rPr>
          <w:rFonts w:eastAsia="Times New Roman" w:cs="Times New Roman"/>
          <w:szCs w:val="24"/>
          <w:lang w:val="hy-AM"/>
        </w:rPr>
        <w:t xml:space="preserve"> ծրագրով։ Սակայն, պայմանավորված իրականացվող հարկաբյուջետային կոնսոլիդացիայի քաղաքականությամբ, սպասվածից ավելի դրական տնտեսական զարգացումներով և ՀՀ դրամի փոխարժեքի արժևորմամբ, հարկաբյուջետային կոնսոլիդացիայի ընթացքը առաջանցիկ եղավ նախանշված ուղեգծից, և ՀՀ կառավարությունը նախ 2021 թ</w:t>
      </w:r>
      <w:r w:rsidRPr="0006115A">
        <w:rPr>
          <w:rFonts w:ascii="Cambria Math" w:eastAsia="Times New Roman" w:hAnsi="Cambria Math" w:cs="Cambria Math"/>
          <w:szCs w:val="24"/>
          <w:lang w:val="hy-AM"/>
        </w:rPr>
        <w:t>․</w:t>
      </w:r>
      <w:r w:rsidRPr="0006115A">
        <w:rPr>
          <w:rFonts w:eastAsia="Times New Roman" w:cs="Times New Roman"/>
          <w:szCs w:val="24"/>
          <w:lang w:val="hy-AM"/>
        </w:rPr>
        <w:t xml:space="preserve"> գրանցեց 60.3%, ապա 2022թ</w:t>
      </w:r>
      <w:r w:rsidRPr="0006115A">
        <w:rPr>
          <w:rFonts w:ascii="Cambria Math" w:eastAsia="Times New Roman" w:hAnsi="Cambria Math" w:cs="Cambria Math"/>
          <w:szCs w:val="24"/>
          <w:lang w:val="hy-AM"/>
        </w:rPr>
        <w:t>․</w:t>
      </w:r>
      <w:r w:rsidRPr="0006115A">
        <w:rPr>
          <w:rFonts w:eastAsia="Times New Roman" w:cs="Times New Roman"/>
          <w:szCs w:val="24"/>
          <w:lang w:val="hy-AM"/>
        </w:rPr>
        <w:t>-ին՝ 50%-ից ցածր՝ 46.7% ՀՀ կառավարության պարտք/ՀՆԱ ցուցանիշ, իսկ 2023 թ</w:t>
      </w:r>
      <w:r w:rsidRPr="0006115A">
        <w:rPr>
          <w:rFonts w:ascii="Cambria Math" w:eastAsia="Times New Roman" w:hAnsi="Cambria Math" w:cs="Cambria Math"/>
          <w:szCs w:val="24"/>
          <w:lang w:val="hy-AM"/>
        </w:rPr>
        <w:t>․</w:t>
      </w:r>
      <w:r w:rsidRPr="0006115A">
        <w:rPr>
          <w:rFonts w:eastAsia="Times New Roman" w:cs="Times New Roman"/>
          <w:szCs w:val="24"/>
          <w:lang w:val="hy-AM"/>
        </w:rPr>
        <w:t>-ին այն պահպանվեց 50%-ից ցածր մակարդակում՝ փոքր-ինչ աճելով և կազմելով 48</w:t>
      </w:r>
      <w:r w:rsidRPr="0006115A">
        <w:rPr>
          <w:rFonts w:ascii="Cambria Math" w:eastAsia="Times New Roman" w:hAnsi="Cambria Math" w:cs="Cambria Math"/>
          <w:szCs w:val="24"/>
          <w:lang w:val="hy-AM"/>
        </w:rPr>
        <w:t>․</w:t>
      </w:r>
      <w:r w:rsidRPr="0006115A">
        <w:rPr>
          <w:rFonts w:eastAsia="Times New Roman" w:cs="Times New Roman"/>
          <w:szCs w:val="24"/>
          <w:lang w:val="hy-AM"/>
        </w:rPr>
        <w:t xml:space="preserve">1%։ Պարտքի բեռի պահպանումը ընդունելի ցածր մակարդակում հնարավորություն է տալիս կառավարելիության տիրույթում պահել պարտքի բեռից բխող ռիսկերը և տոկոսավճարների աճը, ինչպես նաև քաղաքականության «բարձիկ» ստեղծել հետագա հնարավոր ցնցումներին դիմակայելու համար։ </w:t>
      </w:r>
    </w:p>
    <w:p w14:paraId="39C60EE7" w14:textId="77777777" w:rsidR="00A26555" w:rsidRPr="0006115A" w:rsidRDefault="00A26555" w:rsidP="00A26555">
      <w:pPr>
        <w:tabs>
          <w:tab w:val="left" w:pos="0"/>
        </w:tabs>
        <w:spacing w:before="120" w:after="0" w:line="276" w:lineRule="auto"/>
        <w:ind w:firstLine="0"/>
        <w:rPr>
          <w:rFonts w:eastAsia="Times New Roman" w:cs="Times New Roman"/>
          <w:lang w:val="hy-AM"/>
        </w:rPr>
      </w:pPr>
      <w:r w:rsidRPr="0006115A">
        <w:rPr>
          <w:rFonts w:eastAsia="Times New Roman" w:cs="Times New Roman"/>
          <w:b/>
          <w:lang w:val="hy-AM"/>
        </w:rPr>
        <w:t xml:space="preserve">Միջնաժամկետ հատվածի համար նախանշած՝ պարտքի հիմնականսցենարի վրա հիմնված պարտքի ռիսկերի գնահատումը ցույց է տվել, որ ինչպես ՀՀ կառավարության պարտքի, այնպես էլ պարտքի </w:t>
      </w:r>
      <w:r w:rsidRPr="0006115A">
        <w:rPr>
          <w:rFonts w:eastAsia="Times New Roman" w:cs="Times New Roman"/>
          <w:b/>
          <w:szCs w:val="24"/>
          <w:lang w:val="hy-AM"/>
        </w:rPr>
        <w:t xml:space="preserve">սպասարկման ռիսկերը գնահատվում են ցածր, թեպետ նաև տեսանելի է, որ նոր հնարավոր շոկերը </w:t>
      </w:r>
      <w:r w:rsidRPr="0006115A">
        <w:rPr>
          <w:rFonts w:eastAsia="Times New Roman" w:cs="Times New Roman"/>
          <w:b/>
          <w:lang w:val="hy-AM"/>
        </w:rPr>
        <w:t xml:space="preserve">(հատկապես՝ մի քանի շոկերի համադրությունը) կարող են վտանգել պարտքի կայունությունը։ </w:t>
      </w:r>
      <w:r w:rsidRPr="0006115A">
        <w:rPr>
          <w:rFonts w:eastAsia="Times New Roman" w:cs="Times New Roman"/>
          <w:lang w:val="hy-AM"/>
        </w:rPr>
        <w:t>Սթրես</w:t>
      </w:r>
      <w:r w:rsidRPr="0006115A">
        <w:rPr>
          <w:rFonts w:eastAsia="Times New Roman" w:cs="Times New Roman"/>
          <w:sz w:val="20"/>
          <w:lang w:val="hy-AM"/>
        </w:rPr>
        <w:t xml:space="preserve"> </w:t>
      </w:r>
      <w:r w:rsidRPr="0006115A">
        <w:rPr>
          <w:rFonts w:eastAsia="Times New Roman" w:cs="Times New Roman"/>
          <w:lang w:val="hy-AM"/>
        </w:rPr>
        <w:t>թեստերի շրջանակներում ՀՀ կառավարության պարտքը ամենաշատը զգայուն է տնտեսական աճի, և համեմատաբար զգայույն է՝  փոխարժեքի շոկի նկատմամբ։ Տնտեսական աճի շոկի ի հայտ գալու պարագայում 2025թ</w:t>
      </w:r>
      <w:r w:rsidRPr="0006115A">
        <w:rPr>
          <w:rFonts w:ascii="Cambria Math" w:eastAsia="Times New Roman" w:hAnsi="Cambria Math" w:cs="Cambria Math"/>
          <w:lang w:val="hy-AM"/>
        </w:rPr>
        <w:t>․</w:t>
      </w:r>
      <w:r w:rsidRPr="0006115A">
        <w:rPr>
          <w:rFonts w:eastAsia="Times New Roman" w:cs="Times New Roman"/>
          <w:lang w:val="hy-AM"/>
        </w:rPr>
        <w:t xml:space="preserve"> ՀՀ կառավարության պարտք/ՀՆԱ հարաբերակցությունը հասնում է 67</w:t>
      </w:r>
      <w:r w:rsidRPr="0006115A">
        <w:rPr>
          <w:rFonts w:ascii="Cambria Math" w:eastAsia="Times New Roman" w:hAnsi="Cambria Math" w:cs="Cambria Math"/>
          <w:lang w:val="hy-AM"/>
        </w:rPr>
        <w:t>․</w:t>
      </w:r>
      <w:r w:rsidRPr="0006115A">
        <w:rPr>
          <w:rFonts w:eastAsia="Times New Roman" w:cs="Times New Roman"/>
          <w:lang w:val="hy-AM"/>
        </w:rPr>
        <w:t xml:space="preserve">4% մակարդակին, և պահպանվում 60%-ը գերազանցող մակարդակում ամբողջ կանխատեսման հորիզոնում։ Փոխարժեքի շոկի ազդեցությունն անհամեմատ ավելի մեղմ է, և դրա ազդեցության ներքո պարտք/ՀՆԱ հարաբերակցությունը ցածր է մնում 60% մակարդակից։  ՀՀ պետական բյուջեի համախառն ֆինանսավորման կարիքը կանխատեսվող ժամակահատվածում իրականացված սթրես թեստերից ոչ մեկի, և անգամ՝ դրանց համակցման դեպքում չի գերազանցում զարգացող երկրների համար ռիսկայնության համար ընդունված 15% սահմանաչափը։ </w:t>
      </w:r>
    </w:p>
    <w:p w14:paraId="7E368D14" w14:textId="77777777" w:rsidR="00A26555" w:rsidRPr="0006115A" w:rsidRDefault="00A26555" w:rsidP="00A26555">
      <w:pPr>
        <w:tabs>
          <w:tab w:val="left" w:pos="0"/>
        </w:tabs>
        <w:spacing w:before="120" w:after="0" w:line="276" w:lineRule="auto"/>
        <w:ind w:firstLine="0"/>
        <w:rPr>
          <w:rFonts w:eastAsia="Times New Roman" w:cs="Times New Roman"/>
          <w:b/>
          <w:sz w:val="20"/>
          <w:lang w:val="hy-AM"/>
        </w:rPr>
      </w:pPr>
      <w:r w:rsidRPr="0006115A">
        <w:rPr>
          <w:rFonts w:eastAsia="Times New Roman" w:cs="Times New Roman"/>
          <w:b/>
          <w:szCs w:val="24"/>
          <w:lang w:val="hy-AM"/>
        </w:rPr>
        <w:t>ՀՀ կառավարության պարտքի պորտֆելից բխող ռիսկերը զգալիորեն մեղմվել են</w:t>
      </w:r>
      <w:r w:rsidRPr="0006115A">
        <w:rPr>
          <w:rFonts w:eastAsia="Times New Roman" w:cs="Times New Roman"/>
          <w:bCs/>
          <w:szCs w:val="24"/>
          <w:lang w:val="hy-AM"/>
        </w:rPr>
        <w:t>։ ՀՀ երկրի ռիսկի հավելավճարը,</w:t>
      </w:r>
      <w:r w:rsidRPr="0006115A">
        <w:rPr>
          <w:rFonts w:eastAsia="Times New Roman" w:cs="Times New Roman"/>
          <w:b/>
          <w:szCs w:val="24"/>
          <w:lang w:val="hy-AM"/>
        </w:rPr>
        <w:t xml:space="preserve"> </w:t>
      </w:r>
      <w:r w:rsidRPr="0006115A">
        <w:rPr>
          <w:rFonts w:eastAsia="Times New Roman" w:cs="Times New Roman"/>
          <w:bCs/>
          <w:szCs w:val="24"/>
          <w:lang w:val="hy-AM"/>
        </w:rPr>
        <w:t>պայմանավորված</w:t>
      </w:r>
      <w:r w:rsidRPr="0006115A">
        <w:rPr>
          <w:rFonts w:eastAsia="Times New Roman" w:cs="Times New Roman"/>
          <w:b/>
          <w:szCs w:val="24"/>
          <w:lang w:val="hy-AM"/>
        </w:rPr>
        <w:t xml:space="preserve"> </w:t>
      </w:r>
      <w:r w:rsidRPr="0006115A">
        <w:rPr>
          <w:rFonts w:eastAsia="Times New Roman" w:cs="Times New Roman"/>
          <w:szCs w:val="24"/>
          <w:lang w:val="hy-AM"/>
        </w:rPr>
        <w:t>ռուս-ուկրաինական հակամարտության ազդեցությունների ներքո տարածաշրջանի երկրների ռիսկի հավելավճարների բարձրացմամբ, ինչպես նաև ԱՄՆ-ում և եվրոգոտում տոկոսադրույքների բարձրացմամբ և զարգացող երկրներից ավելի շարժուն կապիտալի արտահոսքով դեպի այս երկրներ, որոշակիորեն բարձրացել էր, սակայն 2023 թ</w:t>
      </w:r>
      <w:r w:rsidRPr="0006115A">
        <w:rPr>
          <w:rFonts w:ascii="Cambria Math" w:eastAsia="Times New Roman" w:hAnsi="Cambria Math" w:cs="Cambria Math"/>
          <w:szCs w:val="24"/>
          <w:lang w:val="hy-AM"/>
        </w:rPr>
        <w:t>․</w:t>
      </w:r>
      <w:r w:rsidRPr="0006115A">
        <w:rPr>
          <w:rFonts w:eastAsia="Times New Roman" w:cs="Times New Roman"/>
          <w:szCs w:val="24"/>
          <w:lang w:val="hy-AM"/>
        </w:rPr>
        <w:t>-ի ընթացքում և 2024թ</w:t>
      </w:r>
      <w:r w:rsidRPr="0006115A">
        <w:rPr>
          <w:rFonts w:ascii="Cambria Math" w:eastAsia="Times New Roman" w:hAnsi="Cambria Math" w:cs="Cambria Math"/>
          <w:szCs w:val="24"/>
          <w:lang w:val="hy-AM"/>
        </w:rPr>
        <w:t>․</w:t>
      </w:r>
      <w:r w:rsidRPr="0006115A">
        <w:rPr>
          <w:rFonts w:eastAsia="Times New Roman" w:cs="Times New Roman"/>
          <w:szCs w:val="24"/>
          <w:lang w:val="hy-AM"/>
        </w:rPr>
        <w:t>-ի ընթացիկ ամիսներին զգալիորեն նվազել է և մայիսին կազմել 271 բազիսային կետ, ինչը միջին ռիսկայնության միջակայքի ստորին հատվածում է գտնվում։ Այս գործընթացին  նպաստել է ՀՀ ֆինանսական համակարգում կուտակված լրացուցիչ իրացվելիությունը, որը նպաստել է ՀՀ եվրոբոնդերի շուկայի իրացվելիությանը ևս։ Միաժամանակ, ներքին և դրամային պարտքի կշիռների զգալի բարելավմամբ, դրամային պարտքի կշիռը ներկայումս գնահատվում է միջին ռիսկային, իսկ արտաքին պարտքի կշիռը կտրուկ մոտեցել է միջին ռիսկայնության շեմին։  Ներքին ու դրամային պարտքի մասնաբաժնի բարելավման քաղաքականության շարունակումը առաջիկա հեռանկարում կարող է ապահովել պարտքի պորտֆելի էլ ավելի չափավոր ռիսկերի մակարդակ։</w:t>
      </w:r>
    </w:p>
    <w:p w14:paraId="0DCF3E51" w14:textId="77777777" w:rsidR="00A26555" w:rsidRPr="0006115A" w:rsidRDefault="00A26555" w:rsidP="00A26555">
      <w:pPr>
        <w:tabs>
          <w:tab w:val="left" w:pos="0"/>
        </w:tabs>
        <w:spacing w:before="120" w:after="0" w:line="276" w:lineRule="auto"/>
        <w:ind w:firstLine="0"/>
        <w:rPr>
          <w:rFonts w:eastAsia="Times New Roman" w:cs="Times New Roman"/>
          <w:szCs w:val="24"/>
          <w:lang w:val="hy-AM"/>
        </w:rPr>
      </w:pPr>
      <w:r w:rsidRPr="0006115A">
        <w:rPr>
          <w:rFonts w:eastAsia="Times New Roman" w:cs="Times New Roman"/>
          <w:b/>
          <w:szCs w:val="24"/>
          <w:lang w:val="hy-AM"/>
        </w:rPr>
        <w:t xml:space="preserve">Չնայած նրան, որ ՀՀ կառավարության պարտքի  ռիսկերը ստանդարտ սթրես սցենարների շրջանակում ազդանշում են ցածր ռիսկեր, գնահատվող անորոշությունների մակարդակը բարձր է։ </w:t>
      </w:r>
      <w:r w:rsidRPr="0006115A">
        <w:rPr>
          <w:rFonts w:eastAsia="Times New Roman" w:cs="Times New Roman"/>
          <w:szCs w:val="24"/>
          <w:lang w:val="hy-AM"/>
        </w:rPr>
        <w:t xml:space="preserve">Հավանականությունների բաշխման գրաֆիկի վրա հիմնվող (այսինքն, ըստ էության, </w:t>
      </w:r>
      <w:r w:rsidRPr="0006115A">
        <w:rPr>
          <w:rFonts w:eastAsia="Times New Roman" w:cs="Times New Roman"/>
          <w:bCs/>
          <w:szCs w:val="24"/>
          <w:lang w:val="hy-AM"/>
        </w:rPr>
        <w:t xml:space="preserve">«պատմությանը նայող») գնահատումը ցույց է տալիս, որ պարտքի կանխատեսումները ընդհանրապես անորոշության էական աստիճան են պարունակում, քանի որ պարտք ձևավորող գործոնները պատմականորեն բարձր տատանողականություն են ունեցել։  Այս նկարագիրը բացահայտվում է Գծապատկեր 6-ում </w:t>
      </w:r>
      <w:r w:rsidRPr="0006115A">
        <w:rPr>
          <w:rFonts w:eastAsia="Times New Roman" w:cs="Times New Roman"/>
          <w:szCs w:val="24"/>
          <w:lang w:val="hy-AM"/>
        </w:rPr>
        <w:t>ներկայացված հավանականությունների բաշխման գրաֆիկում, ըստ որի՝ 2026 թ</w:t>
      </w:r>
      <w:r w:rsidRPr="0006115A">
        <w:rPr>
          <w:rFonts w:ascii="Cambria Math" w:eastAsia="Times New Roman" w:hAnsi="Cambria Math" w:cs="Cambria Math"/>
          <w:szCs w:val="24"/>
          <w:lang w:val="hy-AM"/>
        </w:rPr>
        <w:t>․</w:t>
      </w:r>
      <w:r w:rsidRPr="0006115A">
        <w:rPr>
          <w:rFonts w:eastAsia="Times New Roman" w:cs="Times New Roman"/>
          <w:szCs w:val="24"/>
          <w:lang w:val="hy-AM"/>
        </w:rPr>
        <w:t xml:space="preserve"> համար 10-ից 90% հավանականային միջակայքում ուրվագծում է ՀՆԱ-ում 44</w:t>
      </w:r>
      <w:r w:rsidRPr="0006115A">
        <w:rPr>
          <w:rFonts w:ascii="Cambria Math" w:eastAsia="Times New Roman" w:hAnsi="Cambria Math" w:cs="Times New Roman"/>
          <w:szCs w:val="24"/>
          <w:lang w:val="hy-AM"/>
        </w:rPr>
        <w:t>․</w:t>
      </w:r>
      <w:r w:rsidRPr="0006115A">
        <w:rPr>
          <w:rFonts w:eastAsia="Times New Roman" w:cs="Times New Roman"/>
          <w:szCs w:val="24"/>
          <w:lang w:val="hy-AM"/>
        </w:rPr>
        <w:t xml:space="preserve">5%-ից 64.7% միջակայք։   </w:t>
      </w:r>
    </w:p>
    <w:p w14:paraId="62965B40" w14:textId="77777777" w:rsidR="00A26555" w:rsidRPr="0006115A" w:rsidRDefault="00A26555" w:rsidP="008D3B30">
      <w:pPr>
        <w:spacing w:before="120" w:after="0" w:line="276" w:lineRule="auto"/>
        <w:ind w:firstLine="0"/>
        <w:rPr>
          <w:rFonts w:eastAsia="Calibri" w:cs="Sylfaen"/>
          <w:iCs/>
          <w:szCs w:val="24"/>
          <w:lang w:val="hy-AM"/>
        </w:rPr>
      </w:pPr>
      <w:r w:rsidRPr="0006115A">
        <w:rPr>
          <w:rFonts w:eastAsia="Calibri" w:cs="Sylfaen"/>
          <w:iCs/>
          <w:szCs w:val="24"/>
          <w:lang w:val="hy-AM"/>
        </w:rPr>
        <w:t xml:space="preserve">Ոչ թե պատմությանը, այլ՝ ապագային նայող ռիսկերի գնահատման նպատակով փորձագիտական դատողությունների հիման վրա կառուցվել են այլընտրանքային զարգացումների սցենարներ, որոնք արտահայտում են ինչպես վերջին տարիներին ՀՀ տնտեսությունում կուտակված ռիսկերի համաժամանակյա նյութականացման, այնպես էլ արտաքին հատվածում անբարենպաստ զարգացումների փոխանցման հնարավորությունը։ Այլընտրանքային զարգացումների սցենարները և դրանց ենթադրությունները հետևյալն են։ </w:t>
      </w:r>
    </w:p>
    <w:p w14:paraId="3D379E6F" w14:textId="77777777" w:rsidR="00A26555" w:rsidRPr="0006115A" w:rsidRDefault="00A26555" w:rsidP="008D3B30">
      <w:pPr>
        <w:numPr>
          <w:ilvl w:val="0"/>
          <w:numId w:val="22"/>
        </w:numPr>
        <w:tabs>
          <w:tab w:val="left" w:pos="284"/>
        </w:tabs>
        <w:spacing w:before="120" w:after="0" w:line="276" w:lineRule="auto"/>
        <w:ind w:left="0" w:firstLine="0"/>
        <w:rPr>
          <w:rFonts w:eastAsia="Calibri" w:cs="Sylfaen"/>
          <w:iCs/>
          <w:szCs w:val="24"/>
          <w:lang w:val="hy-AM"/>
        </w:rPr>
      </w:pPr>
      <w:r w:rsidRPr="0006115A">
        <w:rPr>
          <w:rFonts w:eastAsia="Calibri" w:cs="Sylfaen"/>
          <w:b/>
          <w:bCs/>
          <w:iCs/>
          <w:szCs w:val="24"/>
          <w:lang w:val="hy-AM"/>
        </w:rPr>
        <w:t xml:space="preserve">Տնտեսական աճի ռիսկերի նյութականացման սցենար։ </w:t>
      </w:r>
      <w:r w:rsidRPr="0006115A">
        <w:rPr>
          <w:rFonts w:eastAsia="Calibri" w:cs="Sylfaen"/>
          <w:bCs/>
          <w:iCs/>
          <w:szCs w:val="24"/>
          <w:lang w:val="hy-AM"/>
        </w:rPr>
        <w:t>Այս սցենարը ենթադրում է 2022-2023թթ. ռուս-ուկրաինական պատերազմի արդյունքում առաջացած դրական շոկի (ՌԴ-ից տուրիստական հոսքեր, արտահանման շուկայի ընդլայնում, դրամական փոխանցումներ, ՏՏ ընկերությունների և աշխատակիցների տեղափոխում դեպի ՀՀ, վերաարտահանման հնարավորություններ) աստիճանական շրջադարձ, որի արդյունքում տնտեսական աճի տեմպերը դանդաղում են 2024թ</w:t>
      </w:r>
      <w:r w:rsidRPr="0006115A">
        <w:rPr>
          <w:rFonts w:ascii="Cambria Math" w:eastAsia="Calibri" w:hAnsi="Cambria Math" w:cs="Cambria Math"/>
          <w:bCs/>
          <w:iCs/>
          <w:szCs w:val="24"/>
          <w:lang w:val="hy-AM"/>
        </w:rPr>
        <w:t>․</w:t>
      </w:r>
      <w:r w:rsidRPr="0006115A">
        <w:rPr>
          <w:rFonts w:eastAsia="Calibri" w:cs="Sylfaen"/>
          <w:bCs/>
          <w:iCs/>
          <w:szCs w:val="24"/>
          <w:lang w:val="hy-AM"/>
        </w:rPr>
        <w:t>-ին մինչև 3</w:t>
      </w:r>
      <w:r w:rsidRPr="0006115A">
        <w:rPr>
          <w:rFonts w:ascii="Cambria Math" w:eastAsia="Calibri" w:hAnsi="Cambria Math" w:cs="Cambria Math"/>
          <w:bCs/>
          <w:iCs/>
          <w:szCs w:val="24"/>
          <w:lang w:val="hy-AM"/>
        </w:rPr>
        <w:t>․</w:t>
      </w:r>
      <w:r w:rsidRPr="0006115A">
        <w:rPr>
          <w:rFonts w:eastAsia="Calibri" w:cs="Sylfaen"/>
          <w:bCs/>
          <w:iCs/>
          <w:szCs w:val="24"/>
          <w:lang w:val="hy-AM"/>
        </w:rPr>
        <w:t>5, իսկ 2025թ</w:t>
      </w:r>
      <w:r w:rsidRPr="0006115A">
        <w:rPr>
          <w:rFonts w:ascii="Cambria Math" w:eastAsia="Calibri" w:hAnsi="Cambria Math" w:cs="Cambria Math"/>
          <w:bCs/>
          <w:iCs/>
          <w:szCs w:val="24"/>
          <w:lang w:val="hy-AM"/>
        </w:rPr>
        <w:t>․</w:t>
      </w:r>
      <w:r w:rsidRPr="0006115A">
        <w:rPr>
          <w:rFonts w:eastAsia="Calibri" w:cs="Sylfaen"/>
          <w:bCs/>
          <w:iCs/>
          <w:szCs w:val="24"/>
          <w:lang w:val="hy-AM"/>
        </w:rPr>
        <w:t>-ին՝ 2</w:t>
      </w:r>
      <w:r w:rsidRPr="0006115A">
        <w:rPr>
          <w:rFonts w:ascii="Cambria Math" w:eastAsia="Calibri" w:hAnsi="Cambria Math" w:cs="Cambria Math"/>
          <w:bCs/>
          <w:iCs/>
          <w:szCs w:val="24"/>
          <w:lang w:val="hy-AM"/>
        </w:rPr>
        <w:t>․</w:t>
      </w:r>
      <w:r w:rsidRPr="0006115A">
        <w:rPr>
          <w:rFonts w:eastAsia="Calibri" w:cs="Sylfaen"/>
          <w:bCs/>
          <w:iCs/>
          <w:szCs w:val="24"/>
          <w:lang w:val="hy-AM"/>
        </w:rPr>
        <w:t>4 տոկոսի, որից հետո սկսում աստիճանաբար արագանալ՝ 2026 թ</w:t>
      </w:r>
      <w:r w:rsidRPr="0006115A">
        <w:rPr>
          <w:rFonts w:ascii="Cambria Math" w:eastAsia="Calibri" w:hAnsi="Cambria Math" w:cs="Cambria Math"/>
          <w:bCs/>
          <w:iCs/>
          <w:szCs w:val="24"/>
          <w:lang w:val="hy-AM"/>
        </w:rPr>
        <w:t>․</w:t>
      </w:r>
      <w:r w:rsidRPr="0006115A">
        <w:rPr>
          <w:rFonts w:eastAsia="Calibri" w:cs="Sylfaen"/>
          <w:bCs/>
          <w:iCs/>
          <w:szCs w:val="24"/>
          <w:lang w:val="hy-AM"/>
        </w:rPr>
        <w:t>-ին կազմելով 3</w:t>
      </w:r>
      <w:r w:rsidRPr="0006115A">
        <w:rPr>
          <w:rFonts w:ascii="Cambria Math" w:eastAsia="Calibri" w:hAnsi="Cambria Math" w:cs="Cambria Math"/>
          <w:bCs/>
          <w:iCs/>
          <w:szCs w:val="24"/>
          <w:lang w:val="hy-AM"/>
        </w:rPr>
        <w:t>․</w:t>
      </w:r>
      <w:r w:rsidRPr="0006115A">
        <w:rPr>
          <w:rFonts w:eastAsia="Calibri" w:cs="Sylfaen"/>
          <w:bCs/>
          <w:iCs/>
          <w:szCs w:val="24"/>
          <w:lang w:val="hy-AM"/>
        </w:rPr>
        <w:t>3%, իսկ 2027թ</w:t>
      </w:r>
      <w:r w:rsidRPr="0006115A">
        <w:rPr>
          <w:rFonts w:ascii="Cambria Math" w:eastAsia="Calibri" w:hAnsi="Cambria Math" w:cs="Cambria Math"/>
          <w:bCs/>
          <w:iCs/>
          <w:szCs w:val="24"/>
          <w:lang w:val="hy-AM"/>
        </w:rPr>
        <w:t>․</w:t>
      </w:r>
      <w:r w:rsidRPr="0006115A">
        <w:rPr>
          <w:rFonts w:eastAsia="Calibri" w:cs="Sylfaen"/>
          <w:bCs/>
          <w:iCs/>
          <w:szCs w:val="24"/>
          <w:lang w:val="hy-AM"/>
        </w:rPr>
        <w:t xml:space="preserve">-ին՝ 3.9 տոկոս։ </w:t>
      </w:r>
      <w:r w:rsidRPr="0006115A">
        <w:rPr>
          <w:rFonts w:ascii="Cambria Math" w:eastAsia="Calibri" w:hAnsi="Cambria Math" w:cs="Sylfaen"/>
          <w:bCs/>
          <w:iCs/>
          <w:szCs w:val="24"/>
          <w:lang w:val="hy-AM"/>
        </w:rPr>
        <w:t xml:space="preserve">  </w:t>
      </w:r>
      <w:r w:rsidRPr="0006115A">
        <w:rPr>
          <w:rFonts w:eastAsia="Calibri" w:cs="Sylfaen"/>
          <w:bCs/>
          <w:iCs/>
          <w:szCs w:val="24"/>
          <w:lang w:val="hy-AM"/>
        </w:rPr>
        <w:t xml:space="preserve"> </w:t>
      </w:r>
    </w:p>
    <w:p w14:paraId="19C5EFA7" w14:textId="77777777" w:rsidR="00A26555" w:rsidRPr="0006115A" w:rsidRDefault="00A26555" w:rsidP="008D3B30">
      <w:pPr>
        <w:numPr>
          <w:ilvl w:val="0"/>
          <w:numId w:val="22"/>
        </w:numPr>
        <w:tabs>
          <w:tab w:val="left" w:pos="284"/>
        </w:tabs>
        <w:spacing w:before="120" w:after="0" w:line="276" w:lineRule="auto"/>
        <w:ind w:left="0" w:firstLine="0"/>
        <w:rPr>
          <w:rFonts w:eastAsia="Calibri" w:cs="Sylfaen"/>
          <w:iCs/>
          <w:szCs w:val="24"/>
          <w:lang w:val="hy-AM"/>
        </w:rPr>
      </w:pPr>
      <w:r w:rsidRPr="0006115A">
        <w:rPr>
          <w:rFonts w:eastAsia="Calibri" w:cs="Sylfaen"/>
          <w:b/>
          <w:bCs/>
          <w:iCs/>
          <w:szCs w:val="24"/>
          <w:lang w:val="hy-AM"/>
        </w:rPr>
        <w:t xml:space="preserve">Փոխարժեքի՝ դեպի նախկին մակարդակներ վերադարձի սցենար։ </w:t>
      </w:r>
      <w:r w:rsidRPr="0006115A">
        <w:rPr>
          <w:rFonts w:eastAsia="Calibri" w:cs="Sylfaen"/>
          <w:iCs/>
          <w:szCs w:val="24"/>
          <w:lang w:val="hy-AM"/>
        </w:rPr>
        <w:t>Ե</w:t>
      </w:r>
      <w:r w:rsidRPr="0006115A">
        <w:rPr>
          <w:rFonts w:eastAsia="Calibri" w:cs="Sylfaen"/>
          <w:bCs/>
          <w:iCs/>
          <w:szCs w:val="24"/>
          <w:lang w:val="hy-AM"/>
        </w:rPr>
        <w:t>նթադրվում է, որ 2022 թ</w:t>
      </w:r>
      <w:r w:rsidRPr="0006115A">
        <w:rPr>
          <w:rFonts w:ascii="Cambria Math" w:eastAsia="Calibri" w:hAnsi="Cambria Math" w:cs="Cambria Math"/>
          <w:bCs/>
          <w:iCs/>
          <w:szCs w:val="24"/>
          <w:lang w:val="hy-AM"/>
        </w:rPr>
        <w:t>․</w:t>
      </w:r>
      <w:r w:rsidRPr="0006115A">
        <w:rPr>
          <w:rFonts w:eastAsia="Calibri" w:cs="Sylfaen"/>
          <w:bCs/>
          <w:iCs/>
          <w:szCs w:val="24"/>
          <w:lang w:val="hy-AM"/>
        </w:rPr>
        <w:t xml:space="preserve"> ընթացքում դեպի ՀՀ մարդկանց և կապիտալի ներհոսքի արագացման պայմաններում արժևորված փոխարժեքը հետ կգնա նախկին մակարդակին, և</w:t>
      </w:r>
      <w:r w:rsidRPr="0006115A">
        <w:rPr>
          <w:rFonts w:eastAsia="Calibri" w:cs="Sylfaen"/>
          <w:iCs/>
          <w:szCs w:val="24"/>
          <w:lang w:val="hy-AM"/>
        </w:rPr>
        <w:t xml:space="preserve"> 2024 թ</w:t>
      </w:r>
      <w:r w:rsidRPr="0006115A">
        <w:rPr>
          <w:rFonts w:ascii="Cambria Math" w:eastAsia="Calibri" w:hAnsi="Cambria Math" w:cs="Cambria Math"/>
          <w:iCs/>
          <w:szCs w:val="24"/>
          <w:lang w:val="hy-AM"/>
        </w:rPr>
        <w:t>․</w:t>
      </w:r>
      <w:r w:rsidRPr="0006115A">
        <w:rPr>
          <w:rFonts w:eastAsia="Calibri" w:cs="Sylfaen"/>
          <w:iCs/>
          <w:szCs w:val="24"/>
          <w:lang w:val="hy-AM"/>
        </w:rPr>
        <w:t xml:space="preserve"> վերջի դրությամբ դոլար/դրամ փոխարժեքը կկազմի 480 դրամ՝ 2021թ</w:t>
      </w:r>
      <w:r w:rsidRPr="0006115A">
        <w:rPr>
          <w:rFonts w:ascii="Cambria Math" w:eastAsia="Calibri" w:hAnsi="Cambria Math" w:cs="Cambria Math"/>
          <w:iCs/>
          <w:szCs w:val="24"/>
          <w:lang w:val="hy-AM"/>
        </w:rPr>
        <w:t>․</w:t>
      </w:r>
      <w:r w:rsidRPr="0006115A">
        <w:rPr>
          <w:rFonts w:eastAsia="Calibri" w:cs="Sylfaen"/>
          <w:iCs/>
          <w:szCs w:val="24"/>
          <w:lang w:val="hy-AM"/>
        </w:rPr>
        <w:t>-ի վերջի մակարդակին համապատախան, իսկ հաջորդ տարիներին կթուլանա տարեկան 1.6% տեմպով, պայմանավորված գնային մրցունակության պահպանման անհրաժեշտությամբ (հիմք ընդունելով ՀՀ և զարգացած երկրներում գնաճերի տեմպերի տարբերությունը՝ «PPP կանոն»), ինչպես նաև ֆինանսական շուկայի սպասումներով (ՀՀ դրամային պարտատոմսերի և եվրոբոնդերի տոկոսադրույքների տարբերություն` «UIP» կանոն)։</w:t>
      </w:r>
    </w:p>
    <w:p w14:paraId="59879FA6" w14:textId="77777777" w:rsidR="00A26555" w:rsidRPr="0006115A" w:rsidRDefault="00A26555" w:rsidP="008D3B30">
      <w:pPr>
        <w:numPr>
          <w:ilvl w:val="0"/>
          <w:numId w:val="22"/>
        </w:numPr>
        <w:tabs>
          <w:tab w:val="left" w:pos="284"/>
        </w:tabs>
        <w:spacing w:before="120" w:after="0" w:line="276" w:lineRule="auto"/>
        <w:ind w:left="0" w:firstLine="0"/>
        <w:rPr>
          <w:rFonts w:eastAsia="Calibri" w:cs="Sylfaen"/>
          <w:iCs/>
          <w:szCs w:val="24"/>
          <w:lang w:val="hy-AM"/>
        </w:rPr>
      </w:pPr>
      <w:r w:rsidRPr="0006115A">
        <w:rPr>
          <w:rFonts w:eastAsia="Calibri" w:cs="Sylfaen"/>
          <w:b/>
          <w:iCs/>
          <w:szCs w:val="24"/>
          <w:lang w:val="hy-AM"/>
        </w:rPr>
        <w:t xml:space="preserve">Բյուջեի պակասուրդի ռիսկերի սցենար հարկեր/ՀՆԱ ցուցանիշի ավելի դանդաղ բարելավման ազդեցությամբ։ </w:t>
      </w:r>
      <w:r w:rsidRPr="0006115A">
        <w:rPr>
          <w:rFonts w:eastAsia="Calibri" w:cs="Sylfaen"/>
          <w:bCs/>
          <w:iCs/>
          <w:szCs w:val="24"/>
          <w:lang w:val="hy-AM"/>
        </w:rPr>
        <w:t>Այս սցենարում</w:t>
      </w:r>
      <w:r w:rsidRPr="0006115A">
        <w:rPr>
          <w:rFonts w:eastAsia="Calibri" w:cs="Sylfaen"/>
          <w:b/>
          <w:bCs/>
          <w:iCs/>
          <w:szCs w:val="24"/>
          <w:lang w:val="hy-AM"/>
        </w:rPr>
        <w:t xml:space="preserve"> </w:t>
      </w:r>
      <w:r w:rsidRPr="0006115A">
        <w:rPr>
          <w:rFonts w:eastAsia="Calibri" w:cs="Sylfaen"/>
          <w:bCs/>
          <w:iCs/>
          <w:szCs w:val="24"/>
          <w:lang w:val="hy-AM"/>
        </w:rPr>
        <w:t>ենթադրվում է, որ միջնաժամկետ հատվածի համար թիրախավորված՝ միջինում տարեկան 0.6% հարկեր/ՀՆԱ ցուցանիշի բարելավումը կապահովվի միայն մասնակի, և հարկեր/ՀՆԱ ցուցանիշը կբարելավվի տարեկան 0</w:t>
      </w:r>
      <w:r w:rsidRPr="0006115A">
        <w:rPr>
          <w:rFonts w:ascii="Cambria Math" w:eastAsia="Calibri" w:hAnsi="Cambria Math" w:cs="Cambria Math"/>
          <w:bCs/>
          <w:iCs/>
          <w:szCs w:val="24"/>
          <w:lang w:val="hy-AM"/>
        </w:rPr>
        <w:t>․</w:t>
      </w:r>
      <w:r w:rsidRPr="0006115A">
        <w:rPr>
          <w:rFonts w:eastAsia="Calibri" w:cs="Sylfaen"/>
          <w:bCs/>
          <w:iCs/>
          <w:szCs w:val="24"/>
          <w:lang w:val="hy-AM"/>
        </w:rPr>
        <w:t>3%-ային կետով (հարկային վարչարարության 0</w:t>
      </w:r>
      <w:r w:rsidRPr="0006115A">
        <w:rPr>
          <w:rFonts w:ascii="Cambria Math" w:eastAsia="Calibri" w:hAnsi="Cambria Math" w:cs="Cambria Math"/>
          <w:bCs/>
          <w:iCs/>
          <w:szCs w:val="24"/>
          <w:lang w:val="hy-AM"/>
        </w:rPr>
        <w:t>․</w:t>
      </w:r>
      <w:r w:rsidRPr="0006115A">
        <w:rPr>
          <w:rFonts w:eastAsia="Calibri" w:cs="Sylfaen"/>
          <w:bCs/>
          <w:iCs/>
          <w:szCs w:val="24"/>
          <w:lang w:val="hy-AM"/>
        </w:rPr>
        <w:t xml:space="preserve">3% ազդեցության ռիսկի նյութականացում)։ </w:t>
      </w:r>
    </w:p>
    <w:p w14:paraId="4304962B" w14:textId="77777777" w:rsidR="00A26555" w:rsidRPr="0006115A" w:rsidRDefault="00A26555" w:rsidP="008D3B30">
      <w:pPr>
        <w:tabs>
          <w:tab w:val="left" w:pos="284"/>
        </w:tabs>
        <w:spacing w:before="120" w:after="0" w:line="276" w:lineRule="auto"/>
        <w:ind w:firstLine="0"/>
        <w:rPr>
          <w:rFonts w:eastAsia="Calibri" w:cs="Sylfaen"/>
          <w:iCs/>
          <w:szCs w:val="24"/>
          <w:lang w:val="hy-AM"/>
        </w:rPr>
      </w:pPr>
      <w:r w:rsidRPr="0006115A">
        <w:rPr>
          <w:rFonts w:eastAsia="Calibri" w:cs="Sylfaen"/>
          <w:iCs/>
          <w:szCs w:val="24"/>
          <w:lang w:val="hy-AM"/>
        </w:rPr>
        <w:t xml:space="preserve">Նախ, մինչ վերջնական սցենարը կառուցելը, առանձին սցենարները ու դրանց բաղադրիչների ազդեցությունները գնահատվում են առանձին-առանձին։ Սցենարներից ամենաբարձր ազդեցությունը, ինչպես և պարտքի կայունության վերլուծության ստանդարտացված սթրես թեստերի դեպքում, տնտեսական աճի ռիսկերի նյութականացման սցենարն է, որի դեպքում ՀՀ կառավարության պարտք/ՀՆԱ ցուցանիշը 2027 թվականին հասնում է 60.1%-ի։ Պակասուրդի ռիսկի նյութականացման դեպքում կառավարության պարտք/ՀՆԱ ցուցանիշը հասնում է 57.9%-ի, իսկ փոխարժեքի ռիսկի դեպքում՝ 56.8%-ի։ </w:t>
      </w:r>
    </w:p>
    <w:p w14:paraId="2201DAEC" w14:textId="77777777" w:rsidR="00A26555" w:rsidRPr="0006115A" w:rsidRDefault="00A26555" w:rsidP="008D3B30">
      <w:pPr>
        <w:tabs>
          <w:tab w:val="left" w:pos="567"/>
        </w:tabs>
        <w:spacing w:before="120" w:after="0" w:line="276" w:lineRule="auto"/>
        <w:ind w:firstLine="0"/>
        <w:rPr>
          <w:rFonts w:eastAsia="Calibri" w:cs="Sylfaen"/>
          <w:iCs/>
          <w:szCs w:val="24"/>
          <w:lang w:val="hy-AM"/>
        </w:rPr>
      </w:pPr>
      <w:r w:rsidRPr="0006115A">
        <w:rPr>
          <w:rFonts w:eastAsia="Calibri" w:cs="Sylfaen"/>
          <w:iCs/>
          <w:szCs w:val="24"/>
          <w:lang w:val="hy-AM"/>
        </w:rPr>
        <w:t>3 սցենարների համակցման, այսինքն՝ բոլոր ռիսկերի նյութականացման դեպքում պարտքի բեռը արդեն 2025թ</w:t>
      </w:r>
      <w:r w:rsidRPr="0006115A">
        <w:rPr>
          <w:rFonts w:ascii="Cambria Math" w:eastAsia="Calibri" w:hAnsi="Cambria Math" w:cs="Cambria Math"/>
          <w:iCs/>
          <w:szCs w:val="24"/>
          <w:lang w:val="hy-AM"/>
        </w:rPr>
        <w:t>․</w:t>
      </w:r>
      <w:r w:rsidRPr="0006115A">
        <w:rPr>
          <w:rFonts w:eastAsia="Calibri" w:cs="Sylfaen"/>
          <w:iCs/>
          <w:szCs w:val="24"/>
          <w:lang w:val="hy-AM"/>
        </w:rPr>
        <w:t>-ին գերազանցում է հարկաբյուջետային կանոնի 60% շեմից, և 2027թ</w:t>
      </w:r>
      <w:r w:rsidRPr="0006115A">
        <w:rPr>
          <w:rFonts w:ascii="Cambria Math" w:eastAsia="Calibri" w:hAnsi="Cambria Math" w:cs="Cambria Math"/>
          <w:iCs/>
          <w:szCs w:val="24"/>
          <w:lang w:val="hy-AM"/>
        </w:rPr>
        <w:t>․</w:t>
      </w:r>
      <w:r w:rsidRPr="0006115A">
        <w:rPr>
          <w:rFonts w:eastAsia="Calibri" w:cs="Sylfaen"/>
          <w:iCs/>
          <w:szCs w:val="24"/>
          <w:lang w:val="hy-AM"/>
        </w:rPr>
        <w:t>-ին հասնում 65.1%-ի։  Այս սցենարներում, ընդհանուր առմամբ, պարտքի հետագիծը անկայուն է, որը ՀՀ կառավարության համար հղի է հեղինակության ռիսկերով և ֆինանսական շուկաների ռիսկի ընկալումների էական վատթարացմամբ, որի դեպքում պարտքի կայունությունը բարձր խոցելի կարող է դառնալ:</w:t>
      </w:r>
    </w:p>
    <w:p w14:paraId="3C384768" w14:textId="77777777" w:rsidR="00A26555" w:rsidRPr="0006115A" w:rsidRDefault="00A26555" w:rsidP="008D3B30">
      <w:pPr>
        <w:tabs>
          <w:tab w:val="left" w:pos="567"/>
        </w:tabs>
        <w:spacing w:before="120" w:after="0" w:line="276" w:lineRule="auto"/>
        <w:ind w:firstLine="0"/>
        <w:rPr>
          <w:rFonts w:eastAsia="Calibri" w:cs="Sylfaen"/>
          <w:iCs/>
          <w:szCs w:val="24"/>
          <w:lang w:val="hy-AM"/>
        </w:rPr>
      </w:pPr>
      <w:r w:rsidRPr="0006115A">
        <w:rPr>
          <w:rFonts w:eastAsia="Calibri" w:cs="Sylfaen"/>
          <w:iCs/>
          <w:szCs w:val="24"/>
          <w:lang w:val="hy-AM"/>
        </w:rPr>
        <w:t>Կատարված փորձագիտական սցենարային վերլուծության արդյունքները, ընդհանուր առմամբ, համահունչ են և լրացնում են ԱՄՀ և ՀԲ մեթոդաբանությամբ իրականացված պարտքի սթրես թեստերի արդյունքներին և ազդանշում են պարտքի կայունության համար առկա վտանգների վերաբերյալ։ Վերլուծությունը արտացոլում է պարտքի բեռը կառավարելի մակարդակում պահպանելու, ինչպես նաև պարտքի կառուցվածքի հետագա հաշվեկշռված (ֆինանսական շուկայի վրա էական ճնշում չգործադրող և պարտքի սպասարկման ծախսերը կառավարելի մակարդակում պահպանող) բարելավման անհրաժեշտությունը, ինչը ուղենիշ ընդունելով կառուցվել է ՀՀ կառավարության պարտքի կառավարման 2025-2027 թթ</w:t>
      </w:r>
      <w:r w:rsidRPr="0006115A">
        <w:rPr>
          <w:rFonts w:ascii="Cambria Math" w:eastAsia="Calibri" w:hAnsi="Cambria Math" w:cs="Cambria Math"/>
          <w:iCs/>
          <w:szCs w:val="24"/>
          <w:lang w:val="hy-AM"/>
        </w:rPr>
        <w:t xml:space="preserve">․ </w:t>
      </w:r>
      <w:r w:rsidRPr="0006115A">
        <w:rPr>
          <w:rFonts w:eastAsia="Calibri" w:cs="Sylfaen"/>
          <w:iCs/>
          <w:szCs w:val="24"/>
          <w:lang w:val="hy-AM"/>
        </w:rPr>
        <w:t>ռազմավարությունը։</w:t>
      </w:r>
    </w:p>
    <w:p w14:paraId="5618390C"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Cs/>
          <w:iCs/>
          <w:lang w:val="hy-AM"/>
        </w:rPr>
      </w:pPr>
      <w:r w:rsidRPr="0006115A">
        <w:rPr>
          <w:rFonts w:eastAsia="Times New Roman" w:cs="Times Unicode"/>
          <w:b/>
          <w:bCs/>
          <w:iCs/>
          <w:lang w:val="hy-AM"/>
        </w:rPr>
        <w:t xml:space="preserve">Գծապատկեր 4.1. </w:t>
      </w:r>
      <w:r w:rsidRPr="0006115A">
        <w:rPr>
          <w:rFonts w:eastAsia="Times New Roman" w:cs="Times Unicode"/>
          <w:bCs/>
          <w:iCs/>
          <w:lang w:val="hy-AM"/>
        </w:rPr>
        <w:t>ՀՀ Կառավարության պարտքի կանխատեսումների հավանականությունների բաշխման գծապատկերը</w:t>
      </w:r>
    </w:p>
    <w:p w14:paraId="7A515A25"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
          <w:bCs/>
          <w:iCs/>
          <w:lang w:val="hy-AM"/>
        </w:rPr>
      </w:pPr>
      <w:r w:rsidRPr="0006115A">
        <w:rPr>
          <w:noProof/>
        </w:rPr>
        <w:drawing>
          <wp:inline distT="0" distB="0" distL="0" distR="0" wp14:anchorId="43E29F52" wp14:editId="6806EA39">
            <wp:extent cx="6105525" cy="2647950"/>
            <wp:effectExtent l="0" t="0" r="9525" b="0"/>
            <wp:docPr id="16120844" name="Chart 16120844">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DFC4703"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
          <w:bCs/>
          <w:i/>
          <w:iCs/>
          <w:sz w:val="24"/>
          <w:szCs w:val="26"/>
          <w:lang w:val="hy-AM"/>
        </w:rPr>
      </w:pPr>
    </w:p>
    <w:p w14:paraId="723D0472" w14:textId="77777777" w:rsidR="00A26555" w:rsidRPr="0006115A" w:rsidRDefault="00A26555" w:rsidP="00A26555">
      <w:pPr>
        <w:keepNext/>
        <w:tabs>
          <w:tab w:val="left" w:pos="0"/>
        </w:tabs>
        <w:spacing w:before="120" w:after="0" w:line="276" w:lineRule="auto"/>
        <w:ind w:firstLine="0"/>
        <w:jc w:val="left"/>
        <w:outlineLvl w:val="4"/>
        <w:rPr>
          <w:rFonts w:eastAsia="Times New Roman" w:cs="Times Unicode"/>
          <w:b/>
          <w:bCs/>
          <w:iCs/>
          <w:lang w:val="hy-AM"/>
        </w:rPr>
      </w:pPr>
      <w:r w:rsidRPr="0006115A">
        <w:rPr>
          <w:rFonts w:eastAsia="Times New Roman" w:cs="Times Unicode"/>
          <w:b/>
          <w:bCs/>
          <w:iCs/>
          <w:lang w:val="hy-AM"/>
        </w:rPr>
        <w:t xml:space="preserve">Գծապատկեր 4.2. </w:t>
      </w:r>
      <w:r w:rsidRPr="0006115A">
        <w:rPr>
          <w:rFonts w:eastAsia="Times New Roman" w:cs="Times Unicode"/>
          <w:bCs/>
          <w:iCs/>
          <w:lang w:val="hy-AM"/>
        </w:rPr>
        <w:t>ՀՀ Կառավարության պարտքի և համախառն ֆինանսավորման կարիքի սթրես թեստեր*</w:t>
      </w:r>
    </w:p>
    <w:p w14:paraId="29E078C2" w14:textId="77777777" w:rsidR="00A26555" w:rsidRPr="0006115A" w:rsidRDefault="00A26555" w:rsidP="00A26555">
      <w:pPr>
        <w:tabs>
          <w:tab w:val="left" w:pos="0"/>
        </w:tabs>
        <w:spacing w:before="120" w:after="0" w:line="276" w:lineRule="auto"/>
        <w:ind w:firstLine="0"/>
        <w:rPr>
          <w:rFonts w:eastAsia="Times New Roman" w:cs="Times New Roman"/>
        </w:rPr>
      </w:pPr>
      <w:r w:rsidRPr="0006115A">
        <w:rPr>
          <w:rFonts w:eastAsia="Times New Roman" w:cs="Times New Roman"/>
          <w:b/>
          <w:noProof/>
        </w:rPr>
        <mc:AlternateContent>
          <mc:Choice Requires="wps">
            <w:drawing>
              <wp:anchor distT="0" distB="0" distL="114300" distR="114300" simplePos="0" relativeHeight="251723776" behindDoc="0" locked="0" layoutInCell="1" allowOverlap="1" wp14:anchorId="6C5479F3" wp14:editId="7FD75908">
                <wp:simplePos x="0" y="0"/>
                <wp:positionH relativeFrom="column">
                  <wp:posOffset>62865</wp:posOffset>
                </wp:positionH>
                <wp:positionV relativeFrom="paragraph">
                  <wp:posOffset>915035</wp:posOffset>
                </wp:positionV>
                <wp:extent cx="1495425" cy="31432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1495425" cy="314325"/>
                        </a:xfrm>
                        <a:prstGeom prst="rect">
                          <a:avLst/>
                        </a:prstGeom>
                        <a:solidFill>
                          <a:sysClr val="window" lastClr="FFFFFF">
                            <a:alpha val="0"/>
                          </a:sysClr>
                        </a:solidFill>
                        <a:ln w="6350">
                          <a:noFill/>
                        </a:ln>
                      </wps:spPr>
                      <wps:txbx>
                        <w:txbxContent>
                          <w:p w14:paraId="56BEDDD2" w14:textId="77777777" w:rsidR="00A26555" w:rsidRPr="00E908CF" w:rsidRDefault="00A26555" w:rsidP="00A26555">
                            <w:pPr>
                              <w:jc w:val="left"/>
                              <w:rPr>
                                <w:sz w:val="18"/>
                                <w:lang w:val="hy-AM"/>
                              </w:rPr>
                            </w:pPr>
                            <w:r>
                              <w:rPr>
                                <w:sz w:val="18"/>
                                <w:lang w:val="hy-AM"/>
                              </w:rPr>
                              <w:t>«</w:t>
                            </w:r>
                            <w:r w:rsidRPr="00E908CF">
                              <w:rPr>
                                <w:sz w:val="18"/>
                              </w:rPr>
                              <w:t>MAC DSA</w:t>
                            </w:r>
                            <w:r>
                              <w:rPr>
                                <w:sz w:val="18"/>
                                <w:lang w:val="hy-AM"/>
                              </w:rPr>
                              <w:t>»</w:t>
                            </w:r>
                            <w:r w:rsidRPr="00E908CF">
                              <w:rPr>
                                <w:sz w:val="18"/>
                              </w:rPr>
                              <w:t xml:space="preserve"> </w:t>
                            </w:r>
                            <w:r w:rsidRPr="00E908CF">
                              <w:rPr>
                                <w:sz w:val="18"/>
                                <w:lang w:val="hy-AM"/>
                              </w:rPr>
                              <w:t>շեմ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C5479F3" id="Text Box 38" o:spid="_x0000_s1029" type="#_x0000_t202" style="position:absolute;left:0;text-align:left;margin-left:4.95pt;margin-top:72.05pt;width:117.75pt;height:24.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" fillcolor="window" stroked="f" strokeweight=".5pt">
                <v:fill opacity="0"/>
                <v:textbox>
                  <w:txbxContent>
                    <w:p w14:paraId="56BEDDD2" w14:textId="77777777" w:rsidR="00A26555" w:rsidRPr="00E908CF" w:rsidRDefault="00A26555" w:rsidP="00A26555">
                      <w:pPr>
                        <w:jc w:val="left"/>
                        <w:rPr>
                          <w:sz w:val="18"/>
                          <w:lang w:val="hy-AM"/>
                        </w:rPr>
                      </w:pPr>
                      <w:r>
                        <w:rPr>
                          <w:sz w:val="18"/>
                          <w:lang w:val="hy-AM"/>
                        </w:rPr>
                        <w:t>«</w:t>
                      </w:r>
                      <w:r w:rsidRPr="00E908CF">
                        <w:rPr>
                          <w:sz w:val="18"/>
                        </w:rPr>
                        <w:t>MAC DSA</w:t>
                      </w:r>
                      <w:r>
                        <w:rPr>
                          <w:sz w:val="18"/>
                          <w:lang w:val="hy-AM"/>
                        </w:rPr>
                        <w:t>»</w:t>
                      </w:r>
                      <w:r w:rsidRPr="00E908CF">
                        <w:rPr>
                          <w:sz w:val="18"/>
                        </w:rPr>
                        <w:t xml:space="preserve"> </w:t>
                      </w:r>
                      <w:r w:rsidRPr="00E908CF">
                        <w:rPr>
                          <w:sz w:val="18"/>
                          <w:lang w:val="hy-AM"/>
                        </w:rPr>
                        <w:t>շեմ</w:t>
                      </w:r>
                    </w:p>
                  </w:txbxContent>
                </v:textbox>
              </v:shape>
            </w:pict>
          </mc:Fallback>
        </mc:AlternateContent>
      </w:r>
      <w:r w:rsidRPr="0006115A">
        <w:rPr>
          <w:rFonts w:eastAsia="Times New Roman" w:cs="Times New Roman"/>
          <w:b/>
          <w:noProof/>
        </w:rPr>
        <w:drawing>
          <wp:inline distT="0" distB="0" distL="0" distR="0" wp14:anchorId="037F8E8E" wp14:editId="4F8CA0CC">
            <wp:extent cx="2914650" cy="3076575"/>
            <wp:effectExtent l="0" t="0" r="0" b="9525"/>
            <wp:docPr id="16120845" name="Chart 161208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06115A">
        <w:rPr>
          <w:rFonts w:eastAsia="Times New Roman" w:cs="Times New Roman"/>
          <w:b/>
          <w:noProof/>
        </w:rPr>
        <w:drawing>
          <wp:inline distT="0" distB="0" distL="0" distR="0" wp14:anchorId="61018953" wp14:editId="12FE1F7B">
            <wp:extent cx="3009900" cy="3095625"/>
            <wp:effectExtent l="0" t="0" r="0" b="9525"/>
            <wp:docPr id="16120849" name="Chart 161208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06115A">
        <w:rPr>
          <w:rFonts w:eastAsia="Times New Roman" w:cs="Times New Roman"/>
          <w:b/>
          <w:noProof/>
        </w:rPr>
        <w:drawing>
          <wp:inline distT="0" distB="0" distL="0" distR="0" wp14:anchorId="3A0A5B7F" wp14:editId="3A64D840">
            <wp:extent cx="5924550" cy="657225"/>
            <wp:effectExtent l="0" t="0" r="0" b="9525"/>
            <wp:docPr id="16120850" name="Chart 161208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3858152" w14:textId="77777777" w:rsidR="00A26555" w:rsidRPr="0006115A" w:rsidRDefault="00A26555" w:rsidP="00A26555">
      <w:pPr>
        <w:tabs>
          <w:tab w:val="left" w:pos="0"/>
        </w:tabs>
        <w:spacing w:before="120" w:after="0" w:line="276" w:lineRule="auto"/>
        <w:ind w:firstLine="0"/>
        <w:contextualSpacing/>
        <w:jc w:val="left"/>
        <w:rPr>
          <w:rFonts w:eastAsia="Calibri" w:cs="Times New Roman"/>
          <w:i/>
          <w:sz w:val="18"/>
          <w:szCs w:val="16"/>
          <w:lang w:val="hy-AM"/>
        </w:rPr>
      </w:pPr>
      <w:r w:rsidRPr="0006115A">
        <w:rPr>
          <w:rFonts w:eastAsia="Calibri" w:cs="Times New Roman"/>
          <w:i/>
          <w:sz w:val="18"/>
          <w:szCs w:val="16"/>
          <w:lang w:val="hy-AM"/>
        </w:rPr>
        <w:t>* 202</w:t>
      </w:r>
      <w:r w:rsidRPr="0006115A">
        <w:rPr>
          <w:rFonts w:eastAsia="Calibri" w:cs="Times New Roman"/>
          <w:i/>
          <w:sz w:val="18"/>
          <w:szCs w:val="16"/>
        </w:rPr>
        <w:t>8</w:t>
      </w:r>
      <w:r w:rsidRPr="0006115A">
        <w:rPr>
          <w:rFonts w:eastAsia="Calibri" w:cs="Times New Roman"/>
          <w:i/>
          <w:sz w:val="18"/>
          <w:szCs w:val="16"/>
          <w:lang w:val="hy-AM"/>
        </w:rPr>
        <w:t>-202</w:t>
      </w:r>
      <w:r w:rsidRPr="0006115A">
        <w:rPr>
          <w:rFonts w:eastAsia="Calibri" w:cs="Times New Roman"/>
          <w:i/>
          <w:sz w:val="18"/>
          <w:szCs w:val="16"/>
        </w:rPr>
        <w:t>9</w:t>
      </w:r>
      <w:r w:rsidRPr="0006115A">
        <w:rPr>
          <w:rFonts w:eastAsia="Calibri" w:cs="Times New Roman"/>
          <w:i/>
          <w:sz w:val="18"/>
          <w:szCs w:val="16"/>
          <w:lang w:val="hy-AM"/>
        </w:rPr>
        <w:t xml:space="preserve"> թվականների համար բերված ցուցանիշները ՀՀ ՖՆ կանխատեսումն են՝ ՄԺԾԾ մշակման համար կիրառված հիմնական դատողությունների անփոփոխության ենթադրությամբ։</w:t>
      </w:r>
    </w:p>
    <w:p w14:paraId="53BEEE45" w14:textId="77777777" w:rsidR="00A26555" w:rsidRPr="0006115A" w:rsidRDefault="00A26555" w:rsidP="00A26555">
      <w:pPr>
        <w:tabs>
          <w:tab w:val="left" w:pos="0"/>
        </w:tabs>
        <w:spacing w:before="120" w:after="0" w:line="276" w:lineRule="auto"/>
        <w:ind w:firstLine="0"/>
        <w:rPr>
          <w:rFonts w:eastAsia="Calibri" w:cs="Sylfaen"/>
          <w:b/>
          <w:bCs/>
          <w:i/>
          <w:lang w:val="hy-AM"/>
        </w:rPr>
      </w:pPr>
    </w:p>
    <w:p w14:paraId="5EC7B1D8" w14:textId="41E58B6C" w:rsidR="00A26555" w:rsidRDefault="00A26555" w:rsidP="00A26555">
      <w:pPr>
        <w:tabs>
          <w:tab w:val="left" w:pos="0"/>
        </w:tabs>
        <w:spacing w:before="120" w:after="0" w:line="276" w:lineRule="auto"/>
        <w:ind w:firstLine="0"/>
        <w:rPr>
          <w:rFonts w:eastAsia="Calibri" w:cs="Sylfaen"/>
          <w:b/>
          <w:bCs/>
          <w:i/>
          <w:lang w:val="hy-AM"/>
        </w:rPr>
      </w:pPr>
    </w:p>
    <w:p w14:paraId="1E2285AE" w14:textId="5CDF84EF" w:rsidR="00190D88" w:rsidRDefault="00190D88" w:rsidP="00A26555">
      <w:pPr>
        <w:tabs>
          <w:tab w:val="left" w:pos="0"/>
        </w:tabs>
        <w:spacing w:before="120" w:after="0" w:line="276" w:lineRule="auto"/>
        <w:ind w:firstLine="0"/>
        <w:rPr>
          <w:rFonts w:eastAsia="Calibri" w:cs="Sylfaen"/>
          <w:b/>
          <w:bCs/>
          <w:i/>
          <w:lang w:val="hy-AM"/>
        </w:rPr>
      </w:pPr>
    </w:p>
    <w:p w14:paraId="05FBBA64" w14:textId="77777777" w:rsidR="00190D88" w:rsidRPr="0006115A" w:rsidRDefault="00190D88" w:rsidP="00A26555">
      <w:pPr>
        <w:tabs>
          <w:tab w:val="left" w:pos="0"/>
        </w:tabs>
        <w:spacing w:before="120" w:after="0" w:line="276" w:lineRule="auto"/>
        <w:ind w:firstLine="0"/>
        <w:rPr>
          <w:rFonts w:eastAsia="Calibri" w:cs="Sylfaen"/>
          <w:b/>
          <w:bCs/>
          <w:i/>
          <w:lang w:val="hy-AM"/>
        </w:rPr>
      </w:pPr>
    </w:p>
    <w:p w14:paraId="2DFE9113" w14:textId="77777777" w:rsidR="00A26555" w:rsidRPr="0006115A" w:rsidRDefault="00A26555" w:rsidP="00A26555">
      <w:pPr>
        <w:tabs>
          <w:tab w:val="left" w:pos="0"/>
        </w:tabs>
        <w:spacing w:before="120" w:after="0" w:line="276" w:lineRule="auto"/>
        <w:ind w:firstLine="0"/>
        <w:rPr>
          <w:rFonts w:eastAsia="Calibri" w:cs="Sylfaen"/>
          <w:b/>
          <w:bCs/>
          <w:i/>
          <w:lang w:val="hy-AM"/>
        </w:rPr>
      </w:pPr>
      <w:r w:rsidRPr="0006115A">
        <w:rPr>
          <w:rFonts w:eastAsia="Calibri" w:cs="Sylfaen"/>
          <w:b/>
          <w:bCs/>
          <w:i/>
          <w:lang w:val="hy-AM"/>
        </w:rPr>
        <w:t xml:space="preserve">Աղյուսակ 4.1. </w:t>
      </w:r>
      <w:r w:rsidRPr="0006115A">
        <w:rPr>
          <w:rFonts w:eastAsia="Calibri" w:cs="Sylfaen"/>
          <w:bCs/>
          <w:lang w:val="hy-AM"/>
        </w:rPr>
        <w:t>ՀՀ կառավարության պարտքի պորտֆելի ռիսկայնության ցուցանիշներ</w:t>
      </w:r>
    </w:p>
    <w:tbl>
      <w:tblPr>
        <w:tblStyle w:val="GridTable1Light-Accent115"/>
        <w:tblW w:w="92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6"/>
        <w:gridCol w:w="1541"/>
        <w:gridCol w:w="963"/>
        <w:gridCol w:w="1170"/>
        <w:gridCol w:w="1232"/>
        <w:gridCol w:w="1233"/>
      </w:tblGrid>
      <w:tr w:rsidR="00A26555" w:rsidRPr="0006115A" w14:paraId="5EC60233" w14:textId="77777777" w:rsidTr="008931FF">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3076" w:type="dxa"/>
            <w:vMerge w:val="restart"/>
            <w:tcBorders>
              <w:bottom w:val="none" w:sz="0" w:space="0" w:color="auto"/>
            </w:tcBorders>
            <w:shd w:val="clear" w:color="auto" w:fill="auto"/>
            <w:noWrap/>
            <w:hideMark/>
          </w:tcPr>
          <w:p w14:paraId="1A104512" w14:textId="77777777" w:rsidR="00A26555" w:rsidRPr="0006115A" w:rsidRDefault="00A26555" w:rsidP="008931FF">
            <w:pPr>
              <w:tabs>
                <w:tab w:val="left" w:pos="0"/>
              </w:tabs>
              <w:spacing w:before="120" w:after="0" w:line="240" w:lineRule="auto"/>
              <w:ind w:firstLine="0"/>
              <w:rPr>
                <w:rFonts w:eastAsia="Times New Roman" w:cs="Calibri"/>
                <w:bCs w:val="0"/>
                <w:color w:val="000000" w:themeColor="text1"/>
                <w:sz w:val="18"/>
                <w:szCs w:val="18"/>
                <w:lang w:val="hy-AM"/>
              </w:rPr>
            </w:pPr>
            <w:r w:rsidRPr="0006115A">
              <w:rPr>
                <w:rFonts w:ascii="Calibri" w:eastAsia="Times New Roman" w:hAnsi="Calibri" w:cs="Calibri"/>
                <w:b w:val="0"/>
                <w:bCs w:val="0"/>
                <w:color w:val="000000" w:themeColor="text1"/>
                <w:sz w:val="18"/>
                <w:szCs w:val="18"/>
                <w:lang w:val="hy-AM"/>
              </w:rPr>
              <w:t> </w:t>
            </w:r>
          </w:p>
        </w:tc>
        <w:tc>
          <w:tcPr>
            <w:tcW w:w="3674" w:type="dxa"/>
            <w:gridSpan w:val="3"/>
            <w:tcBorders>
              <w:bottom w:val="single" w:sz="4" w:space="0" w:color="auto"/>
            </w:tcBorders>
            <w:shd w:val="clear" w:color="auto" w:fill="auto"/>
            <w:noWrap/>
            <w:vAlign w:val="center"/>
            <w:hideMark/>
          </w:tcPr>
          <w:p w14:paraId="7D367BBB" w14:textId="77777777" w:rsidR="00A26555" w:rsidRPr="0006115A" w:rsidRDefault="00A26555" w:rsidP="008931FF">
            <w:pPr>
              <w:tabs>
                <w:tab w:val="left" w:pos="0"/>
              </w:tabs>
              <w:spacing w:before="12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000000" w:themeColor="text1"/>
                <w:sz w:val="18"/>
                <w:szCs w:val="18"/>
              </w:rPr>
            </w:pPr>
            <w:r w:rsidRPr="0006115A">
              <w:rPr>
                <w:rFonts w:eastAsia="Times New Roman" w:cs="Calibri"/>
                <w:b w:val="0"/>
                <w:bCs w:val="0"/>
                <w:color w:val="000000" w:themeColor="text1"/>
                <w:sz w:val="18"/>
                <w:szCs w:val="18"/>
              </w:rPr>
              <w:t>Շեմեր</w:t>
            </w:r>
          </w:p>
        </w:tc>
        <w:tc>
          <w:tcPr>
            <w:tcW w:w="2465" w:type="dxa"/>
            <w:gridSpan w:val="2"/>
            <w:tcBorders>
              <w:bottom w:val="single" w:sz="4" w:space="0" w:color="auto"/>
            </w:tcBorders>
            <w:shd w:val="clear" w:color="auto" w:fill="auto"/>
          </w:tcPr>
          <w:p w14:paraId="2E35BDFB" w14:textId="77777777" w:rsidR="00A26555" w:rsidRPr="0006115A" w:rsidRDefault="00A26555" w:rsidP="008931FF">
            <w:pPr>
              <w:tabs>
                <w:tab w:val="left" w:pos="0"/>
              </w:tabs>
              <w:spacing w:before="12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000000" w:themeColor="text1"/>
                <w:sz w:val="18"/>
                <w:szCs w:val="18"/>
                <w:lang w:val="hy-AM"/>
              </w:rPr>
            </w:pPr>
            <w:r w:rsidRPr="0006115A">
              <w:rPr>
                <w:rFonts w:eastAsia="Times New Roman" w:cs="Calibri"/>
                <w:b w:val="0"/>
                <w:bCs w:val="0"/>
                <w:color w:val="000000" w:themeColor="text1"/>
                <w:sz w:val="18"/>
                <w:szCs w:val="18"/>
                <w:lang w:val="hy-AM"/>
              </w:rPr>
              <w:t>ՀՀ ցուցանիշ</w:t>
            </w:r>
          </w:p>
        </w:tc>
      </w:tr>
      <w:tr w:rsidR="00A26555" w:rsidRPr="0006115A" w14:paraId="115787BF" w14:textId="77777777" w:rsidTr="008931FF">
        <w:trPr>
          <w:trHeight w:val="322"/>
        </w:trPr>
        <w:tc>
          <w:tcPr>
            <w:cnfStyle w:val="001000000000" w:firstRow="0" w:lastRow="0" w:firstColumn="1" w:lastColumn="0" w:oddVBand="0" w:evenVBand="0" w:oddHBand="0" w:evenHBand="0" w:firstRowFirstColumn="0" w:firstRowLastColumn="0" w:lastRowFirstColumn="0" w:lastRowLastColumn="0"/>
            <w:tcW w:w="3076" w:type="dxa"/>
            <w:vMerge/>
            <w:shd w:val="clear" w:color="auto" w:fill="auto"/>
            <w:hideMark/>
          </w:tcPr>
          <w:p w14:paraId="6D4F4B52" w14:textId="77777777" w:rsidR="00A26555" w:rsidRPr="0006115A" w:rsidRDefault="00A26555" w:rsidP="008931FF">
            <w:pPr>
              <w:tabs>
                <w:tab w:val="left" w:pos="0"/>
              </w:tabs>
              <w:spacing w:before="120" w:after="0" w:line="240" w:lineRule="auto"/>
              <w:ind w:firstLine="0"/>
              <w:rPr>
                <w:rFonts w:eastAsia="Times New Roman" w:cs="Calibri"/>
                <w:bCs w:val="0"/>
                <w:color w:val="000000" w:themeColor="text1"/>
                <w:sz w:val="18"/>
                <w:szCs w:val="18"/>
              </w:rPr>
            </w:pPr>
          </w:p>
        </w:tc>
        <w:tc>
          <w:tcPr>
            <w:tcW w:w="1541" w:type="dxa"/>
            <w:tcBorders>
              <w:top w:val="single" w:sz="4" w:space="0" w:color="auto"/>
              <w:bottom w:val="single" w:sz="4" w:space="0" w:color="auto"/>
            </w:tcBorders>
            <w:shd w:val="clear" w:color="auto" w:fill="auto"/>
            <w:noWrap/>
            <w:vAlign w:val="center"/>
            <w:hideMark/>
          </w:tcPr>
          <w:p w14:paraId="16097F1B"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sz w:val="18"/>
                <w:szCs w:val="18"/>
              </w:rPr>
            </w:pPr>
            <w:r w:rsidRPr="0006115A">
              <w:rPr>
                <w:rFonts w:eastAsia="Times New Roman" w:cs="Calibri"/>
                <w:color w:val="000000" w:themeColor="text1"/>
                <w:sz w:val="18"/>
                <w:szCs w:val="18"/>
              </w:rPr>
              <w:t>Ցածր</w:t>
            </w:r>
          </w:p>
        </w:tc>
        <w:tc>
          <w:tcPr>
            <w:tcW w:w="963" w:type="dxa"/>
            <w:tcBorders>
              <w:top w:val="single" w:sz="4" w:space="0" w:color="auto"/>
              <w:bottom w:val="single" w:sz="4" w:space="0" w:color="auto"/>
            </w:tcBorders>
            <w:shd w:val="clear" w:color="auto" w:fill="auto"/>
            <w:noWrap/>
            <w:vAlign w:val="center"/>
            <w:hideMark/>
          </w:tcPr>
          <w:p w14:paraId="055DDB18"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sz w:val="18"/>
                <w:szCs w:val="18"/>
              </w:rPr>
            </w:pPr>
            <w:r w:rsidRPr="0006115A">
              <w:rPr>
                <w:rFonts w:eastAsia="Times New Roman" w:cs="Calibri"/>
                <w:color w:val="000000" w:themeColor="text1"/>
                <w:sz w:val="18"/>
                <w:szCs w:val="18"/>
              </w:rPr>
              <w:t>Միջին</w:t>
            </w:r>
          </w:p>
        </w:tc>
        <w:tc>
          <w:tcPr>
            <w:tcW w:w="1170" w:type="dxa"/>
            <w:tcBorders>
              <w:top w:val="single" w:sz="4" w:space="0" w:color="auto"/>
              <w:bottom w:val="single" w:sz="4" w:space="0" w:color="auto"/>
            </w:tcBorders>
            <w:shd w:val="clear" w:color="auto" w:fill="auto"/>
            <w:noWrap/>
            <w:vAlign w:val="center"/>
            <w:hideMark/>
          </w:tcPr>
          <w:p w14:paraId="7CAAE89A"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sz w:val="18"/>
                <w:szCs w:val="18"/>
              </w:rPr>
            </w:pPr>
            <w:r w:rsidRPr="0006115A">
              <w:rPr>
                <w:rFonts w:eastAsia="Times New Roman" w:cs="Calibri"/>
                <w:color w:val="000000" w:themeColor="text1"/>
                <w:sz w:val="18"/>
                <w:szCs w:val="18"/>
              </w:rPr>
              <w:t>Բարձր</w:t>
            </w:r>
          </w:p>
        </w:tc>
        <w:tc>
          <w:tcPr>
            <w:tcW w:w="1232" w:type="dxa"/>
            <w:tcBorders>
              <w:top w:val="single" w:sz="4" w:space="0" w:color="auto"/>
              <w:left w:val="nil"/>
              <w:bottom w:val="single" w:sz="4" w:space="0" w:color="auto"/>
            </w:tcBorders>
            <w:shd w:val="clear" w:color="auto" w:fill="auto"/>
          </w:tcPr>
          <w:p w14:paraId="43AA67B0"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sz w:val="18"/>
                <w:szCs w:val="18"/>
                <w:lang w:val="hy-AM"/>
              </w:rPr>
            </w:pPr>
            <w:r w:rsidRPr="0006115A">
              <w:rPr>
                <w:rFonts w:eastAsia="Times New Roman" w:cs="Calibri"/>
                <w:color w:val="000000" w:themeColor="text1"/>
                <w:sz w:val="18"/>
                <w:szCs w:val="18"/>
                <w:lang w:val="hy-AM"/>
              </w:rPr>
              <w:t>2023թ</w:t>
            </w:r>
            <w:r w:rsidRPr="0006115A">
              <w:rPr>
                <w:rFonts w:ascii="Cambria Math" w:eastAsia="Times New Roman" w:hAnsi="Cambria Math" w:cs="Cambria Math"/>
                <w:color w:val="000000" w:themeColor="text1"/>
                <w:sz w:val="18"/>
                <w:szCs w:val="18"/>
                <w:lang w:val="hy-AM"/>
              </w:rPr>
              <w:t>․</w:t>
            </w:r>
            <w:r w:rsidRPr="0006115A">
              <w:rPr>
                <w:rFonts w:eastAsia="Times New Roman" w:cs="Calibri"/>
                <w:color w:val="000000" w:themeColor="text1"/>
                <w:sz w:val="18"/>
                <w:szCs w:val="18"/>
                <w:lang w:val="hy-AM"/>
              </w:rPr>
              <w:t xml:space="preserve"> </w:t>
            </w:r>
            <w:r w:rsidRPr="0006115A">
              <w:rPr>
                <w:rFonts w:eastAsia="Times New Roman" w:cs="GHEA Grapalat"/>
                <w:color w:val="000000" w:themeColor="text1"/>
                <w:sz w:val="18"/>
                <w:szCs w:val="18"/>
                <w:lang w:val="hy-AM"/>
              </w:rPr>
              <w:t>մայիս</w:t>
            </w:r>
          </w:p>
        </w:tc>
        <w:tc>
          <w:tcPr>
            <w:tcW w:w="1233" w:type="dxa"/>
            <w:tcBorders>
              <w:top w:val="single" w:sz="4" w:space="0" w:color="auto"/>
              <w:bottom w:val="single" w:sz="4" w:space="0" w:color="auto"/>
            </w:tcBorders>
            <w:shd w:val="clear" w:color="auto" w:fill="auto"/>
          </w:tcPr>
          <w:p w14:paraId="7B589BA2"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sz w:val="18"/>
                <w:szCs w:val="18"/>
              </w:rPr>
            </w:pPr>
            <w:r w:rsidRPr="0006115A">
              <w:rPr>
                <w:rFonts w:eastAsia="Times New Roman" w:cs="Calibri"/>
                <w:color w:val="000000" w:themeColor="text1"/>
                <w:sz w:val="18"/>
                <w:szCs w:val="18"/>
                <w:lang w:val="hy-AM"/>
              </w:rPr>
              <w:t>2024թ</w:t>
            </w:r>
            <w:r w:rsidRPr="0006115A">
              <w:rPr>
                <w:rFonts w:ascii="Cambria Math" w:eastAsia="Times New Roman" w:hAnsi="Cambria Math" w:cs="Cambria Math"/>
                <w:color w:val="000000" w:themeColor="text1"/>
                <w:sz w:val="18"/>
                <w:szCs w:val="18"/>
                <w:lang w:val="hy-AM"/>
              </w:rPr>
              <w:t>․</w:t>
            </w:r>
            <w:r w:rsidRPr="0006115A">
              <w:rPr>
                <w:rFonts w:eastAsia="Times New Roman" w:cs="Calibri"/>
                <w:color w:val="000000" w:themeColor="text1"/>
                <w:sz w:val="18"/>
                <w:szCs w:val="18"/>
                <w:lang w:val="hy-AM"/>
              </w:rPr>
              <w:t xml:space="preserve"> </w:t>
            </w:r>
            <w:r w:rsidRPr="0006115A">
              <w:rPr>
                <w:rFonts w:eastAsia="Times New Roman" w:cs="GHEA Grapalat"/>
                <w:color w:val="000000" w:themeColor="text1"/>
                <w:sz w:val="18"/>
                <w:szCs w:val="18"/>
                <w:lang w:val="hy-AM"/>
              </w:rPr>
              <w:t>մայիս</w:t>
            </w:r>
          </w:p>
        </w:tc>
      </w:tr>
      <w:tr w:rsidR="00A26555" w:rsidRPr="0006115A" w14:paraId="11BBCA3F" w14:textId="77777777" w:rsidTr="008931FF">
        <w:trPr>
          <w:trHeight w:val="578"/>
        </w:trPr>
        <w:tc>
          <w:tcPr>
            <w:cnfStyle w:val="001000000000" w:firstRow="0" w:lastRow="0" w:firstColumn="1" w:lastColumn="0" w:oddVBand="0" w:evenVBand="0" w:oddHBand="0" w:evenHBand="0" w:firstRowFirstColumn="0" w:firstRowLastColumn="0" w:lastRowFirstColumn="0" w:lastRowLastColumn="0"/>
            <w:tcW w:w="3076" w:type="dxa"/>
            <w:tcBorders>
              <w:bottom w:val="single" w:sz="4" w:space="0" w:color="auto"/>
            </w:tcBorders>
            <w:hideMark/>
          </w:tcPr>
          <w:p w14:paraId="65FF6175" w14:textId="77777777" w:rsidR="00A26555" w:rsidRPr="0006115A" w:rsidRDefault="00A26555" w:rsidP="008931FF">
            <w:pPr>
              <w:tabs>
                <w:tab w:val="left" w:pos="0"/>
              </w:tabs>
              <w:spacing w:before="120" w:after="0" w:line="240" w:lineRule="auto"/>
              <w:ind w:firstLine="0"/>
              <w:rPr>
                <w:rFonts w:eastAsia="Times New Roman" w:cs="Calibri"/>
                <w:bCs w:val="0"/>
                <w:color w:val="000000"/>
                <w:sz w:val="18"/>
                <w:szCs w:val="18"/>
              </w:rPr>
            </w:pPr>
            <w:r w:rsidRPr="0006115A">
              <w:rPr>
                <w:rFonts w:eastAsia="Times New Roman" w:cs="Calibri"/>
                <w:b w:val="0"/>
                <w:bCs w:val="0"/>
                <w:color w:val="000000"/>
                <w:sz w:val="18"/>
                <w:szCs w:val="18"/>
              </w:rPr>
              <w:t>ՀՀ երկրի ռիսկի հավելավճար, բազիսային կետ</w:t>
            </w:r>
          </w:p>
        </w:tc>
        <w:tc>
          <w:tcPr>
            <w:tcW w:w="1541" w:type="dxa"/>
            <w:tcBorders>
              <w:top w:val="single" w:sz="4" w:space="0" w:color="auto"/>
              <w:bottom w:val="single" w:sz="4" w:space="0" w:color="auto"/>
            </w:tcBorders>
            <w:noWrap/>
            <w:vAlign w:val="center"/>
            <w:hideMark/>
          </w:tcPr>
          <w:p w14:paraId="114AB2C1"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&lt;200</w:t>
            </w:r>
          </w:p>
        </w:tc>
        <w:tc>
          <w:tcPr>
            <w:tcW w:w="963" w:type="dxa"/>
            <w:tcBorders>
              <w:top w:val="single" w:sz="4" w:space="0" w:color="auto"/>
              <w:bottom w:val="single" w:sz="4" w:space="0" w:color="auto"/>
            </w:tcBorders>
            <w:noWrap/>
            <w:vAlign w:val="center"/>
            <w:hideMark/>
          </w:tcPr>
          <w:p w14:paraId="79B84324"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200-600</w:t>
            </w:r>
          </w:p>
        </w:tc>
        <w:tc>
          <w:tcPr>
            <w:tcW w:w="1170" w:type="dxa"/>
            <w:tcBorders>
              <w:top w:val="single" w:sz="4" w:space="0" w:color="auto"/>
              <w:bottom w:val="single" w:sz="4" w:space="0" w:color="auto"/>
            </w:tcBorders>
            <w:noWrap/>
            <w:vAlign w:val="center"/>
            <w:hideMark/>
          </w:tcPr>
          <w:p w14:paraId="2CF4C2A7"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&gt;600</w:t>
            </w:r>
          </w:p>
        </w:tc>
        <w:tc>
          <w:tcPr>
            <w:tcW w:w="1232" w:type="dxa"/>
            <w:tcBorders>
              <w:top w:val="single" w:sz="4" w:space="0" w:color="auto"/>
              <w:bottom w:val="single" w:sz="4" w:space="0" w:color="auto"/>
            </w:tcBorders>
            <w:vAlign w:val="center"/>
          </w:tcPr>
          <w:p w14:paraId="44DC3CD6" w14:textId="77777777" w:rsidR="00A26555" w:rsidRPr="0006115A" w:rsidRDefault="00A26555" w:rsidP="008931FF">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ascii="Calibri" w:hAnsi="Calibri"/>
                <w:color w:val="000000"/>
                <w:sz w:val="22"/>
                <w:szCs w:val="22"/>
              </w:rPr>
              <w:t>371.4</w:t>
            </w:r>
          </w:p>
        </w:tc>
        <w:tc>
          <w:tcPr>
            <w:tcW w:w="1233" w:type="dxa"/>
            <w:tcBorders>
              <w:top w:val="single" w:sz="4" w:space="0" w:color="auto"/>
              <w:bottom w:val="single" w:sz="4" w:space="0" w:color="auto"/>
            </w:tcBorders>
            <w:vAlign w:val="center"/>
          </w:tcPr>
          <w:p w14:paraId="5016B21C"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271.0</w:t>
            </w:r>
          </w:p>
        </w:tc>
      </w:tr>
      <w:tr w:rsidR="00A26555" w:rsidRPr="0006115A" w14:paraId="3F85F46C" w14:textId="77777777" w:rsidTr="008931FF">
        <w:trPr>
          <w:trHeight w:val="835"/>
        </w:trPr>
        <w:tc>
          <w:tcPr>
            <w:cnfStyle w:val="001000000000" w:firstRow="0" w:lastRow="0" w:firstColumn="1" w:lastColumn="0" w:oddVBand="0" w:evenVBand="0" w:oddHBand="0" w:evenHBand="0" w:firstRowFirstColumn="0" w:firstRowLastColumn="0" w:lastRowFirstColumn="0" w:lastRowLastColumn="0"/>
            <w:tcW w:w="3076" w:type="dxa"/>
            <w:tcBorders>
              <w:top w:val="single" w:sz="4" w:space="0" w:color="auto"/>
              <w:bottom w:val="single" w:sz="4" w:space="0" w:color="auto"/>
            </w:tcBorders>
            <w:hideMark/>
          </w:tcPr>
          <w:p w14:paraId="6C4A7FD7" w14:textId="77777777" w:rsidR="00A26555" w:rsidRPr="0006115A" w:rsidRDefault="00A26555" w:rsidP="008931FF">
            <w:pPr>
              <w:tabs>
                <w:tab w:val="left" w:pos="0"/>
              </w:tabs>
              <w:spacing w:before="120" w:after="0" w:line="240" w:lineRule="auto"/>
              <w:ind w:firstLine="0"/>
              <w:rPr>
                <w:rFonts w:eastAsia="Times New Roman" w:cs="Calibri"/>
                <w:bCs w:val="0"/>
                <w:color w:val="000000"/>
                <w:sz w:val="18"/>
                <w:szCs w:val="18"/>
              </w:rPr>
            </w:pPr>
            <w:r w:rsidRPr="0006115A">
              <w:rPr>
                <w:rFonts w:eastAsia="Times New Roman" w:cs="Calibri"/>
                <w:b w:val="0"/>
                <w:bCs w:val="0"/>
                <w:color w:val="000000"/>
                <w:sz w:val="18"/>
                <w:szCs w:val="18"/>
              </w:rPr>
              <w:t>Ոչ ռեզիդենտների նկատմամբ պարտքի կշիռ, % ընդհանուր պարտքում</w:t>
            </w:r>
          </w:p>
        </w:tc>
        <w:tc>
          <w:tcPr>
            <w:tcW w:w="1541" w:type="dxa"/>
            <w:tcBorders>
              <w:top w:val="single" w:sz="4" w:space="0" w:color="auto"/>
              <w:bottom w:val="single" w:sz="4" w:space="0" w:color="auto"/>
            </w:tcBorders>
            <w:noWrap/>
            <w:vAlign w:val="center"/>
            <w:hideMark/>
          </w:tcPr>
          <w:p w14:paraId="01175AB6"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&lt;15</w:t>
            </w:r>
          </w:p>
        </w:tc>
        <w:tc>
          <w:tcPr>
            <w:tcW w:w="963" w:type="dxa"/>
            <w:tcBorders>
              <w:top w:val="single" w:sz="4" w:space="0" w:color="auto"/>
              <w:bottom w:val="single" w:sz="4" w:space="0" w:color="auto"/>
            </w:tcBorders>
            <w:noWrap/>
            <w:vAlign w:val="center"/>
            <w:hideMark/>
          </w:tcPr>
          <w:p w14:paraId="77FFB87A"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15-45</w:t>
            </w:r>
          </w:p>
        </w:tc>
        <w:tc>
          <w:tcPr>
            <w:tcW w:w="1170" w:type="dxa"/>
            <w:tcBorders>
              <w:top w:val="single" w:sz="4" w:space="0" w:color="auto"/>
              <w:bottom w:val="single" w:sz="4" w:space="0" w:color="auto"/>
            </w:tcBorders>
            <w:noWrap/>
            <w:vAlign w:val="center"/>
            <w:hideMark/>
          </w:tcPr>
          <w:p w14:paraId="285521A6"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&gt;45</w:t>
            </w:r>
          </w:p>
        </w:tc>
        <w:tc>
          <w:tcPr>
            <w:tcW w:w="1232" w:type="dxa"/>
            <w:tcBorders>
              <w:top w:val="single" w:sz="4" w:space="0" w:color="auto"/>
              <w:bottom w:val="single" w:sz="4" w:space="0" w:color="auto"/>
            </w:tcBorders>
            <w:vAlign w:val="center"/>
          </w:tcPr>
          <w:p w14:paraId="64F8AFF3"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55.9</w:t>
            </w:r>
          </w:p>
        </w:tc>
        <w:tc>
          <w:tcPr>
            <w:tcW w:w="1233" w:type="dxa"/>
            <w:tcBorders>
              <w:top w:val="single" w:sz="4" w:space="0" w:color="auto"/>
              <w:bottom w:val="single" w:sz="4" w:space="0" w:color="auto"/>
            </w:tcBorders>
            <w:vAlign w:val="center"/>
          </w:tcPr>
          <w:p w14:paraId="3382E488"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49.8</w:t>
            </w:r>
          </w:p>
        </w:tc>
      </w:tr>
      <w:tr w:rsidR="00A26555" w:rsidRPr="0006115A" w14:paraId="2D380C1B" w14:textId="77777777" w:rsidTr="008931FF">
        <w:trPr>
          <w:trHeight w:val="681"/>
        </w:trPr>
        <w:tc>
          <w:tcPr>
            <w:cnfStyle w:val="001000000000" w:firstRow="0" w:lastRow="0" w:firstColumn="1" w:lastColumn="0" w:oddVBand="0" w:evenVBand="0" w:oddHBand="0" w:evenHBand="0" w:firstRowFirstColumn="0" w:firstRowLastColumn="0" w:lastRowFirstColumn="0" w:lastRowLastColumn="0"/>
            <w:tcW w:w="3076" w:type="dxa"/>
            <w:tcBorders>
              <w:top w:val="single" w:sz="4" w:space="0" w:color="auto"/>
              <w:bottom w:val="single" w:sz="4" w:space="0" w:color="auto"/>
            </w:tcBorders>
            <w:hideMark/>
          </w:tcPr>
          <w:p w14:paraId="10FEA3DC" w14:textId="77777777" w:rsidR="00A26555" w:rsidRPr="0006115A" w:rsidRDefault="00A26555" w:rsidP="008931FF">
            <w:pPr>
              <w:tabs>
                <w:tab w:val="left" w:pos="0"/>
              </w:tabs>
              <w:spacing w:before="120" w:after="0" w:line="240" w:lineRule="auto"/>
              <w:ind w:firstLine="0"/>
              <w:rPr>
                <w:rFonts w:eastAsia="Times New Roman" w:cs="Calibri"/>
                <w:bCs w:val="0"/>
                <w:color w:val="000000"/>
                <w:sz w:val="18"/>
                <w:szCs w:val="18"/>
              </w:rPr>
            </w:pPr>
            <w:r w:rsidRPr="0006115A">
              <w:rPr>
                <w:rFonts w:eastAsia="Times New Roman" w:cs="Calibri"/>
                <w:b w:val="0"/>
                <w:bCs w:val="0"/>
                <w:color w:val="000000"/>
                <w:sz w:val="18"/>
                <w:szCs w:val="18"/>
              </w:rPr>
              <w:t>Արտարժութային պարտքի կշիռ, % ընդհանուր պարտքում</w:t>
            </w:r>
          </w:p>
        </w:tc>
        <w:tc>
          <w:tcPr>
            <w:tcW w:w="1541" w:type="dxa"/>
            <w:tcBorders>
              <w:top w:val="single" w:sz="4" w:space="0" w:color="auto"/>
              <w:bottom w:val="single" w:sz="4" w:space="0" w:color="auto"/>
            </w:tcBorders>
            <w:noWrap/>
            <w:vAlign w:val="center"/>
            <w:hideMark/>
          </w:tcPr>
          <w:p w14:paraId="13E0F37C"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&lt;20</w:t>
            </w:r>
          </w:p>
        </w:tc>
        <w:tc>
          <w:tcPr>
            <w:tcW w:w="963" w:type="dxa"/>
            <w:tcBorders>
              <w:top w:val="single" w:sz="4" w:space="0" w:color="auto"/>
              <w:bottom w:val="single" w:sz="4" w:space="0" w:color="auto"/>
            </w:tcBorders>
            <w:noWrap/>
            <w:vAlign w:val="center"/>
            <w:hideMark/>
          </w:tcPr>
          <w:p w14:paraId="37E9973E"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20-60</w:t>
            </w:r>
          </w:p>
        </w:tc>
        <w:tc>
          <w:tcPr>
            <w:tcW w:w="1170" w:type="dxa"/>
            <w:tcBorders>
              <w:top w:val="single" w:sz="4" w:space="0" w:color="auto"/>
              <w:bottom w:val="single" w:sz="4" w:space="0" w:color="auto"/>
            </w:tcBorders>
            <w:noWrap/>
            <w:vAlign w:val="center"/>
            <w:hideMark/>
          </w:tcPr>
          <w:p w14:paraId="175BEC09"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06115A">
              <w:rPr>
                <w:rFonts w:eastAsia="Times New Roman" w:cs="Calibri"/>
                <w:color w:val="000000"/>
                <w:sz w:val="18"/>
                <w:szCs w:val="18"/>
              </w:rPr>
              <w:t>&gt;60</w:t>
            </w:r>
          </w:p>
        </w:tc>
        <w:tc>
          <w:tcPr>
            <w:tcW w:w="1232" w:type="dxa"/>
            <w:tcBorders>
              <w:top w:val="single" w:sz="4" w:space="0" w:color="auto"/>
              <w:bottom w:val="single" w:sz="4" w:space="0" w:color="auto"/>
            </w:tcBorders>
            <w:vAlign w:val="center"/>
          </w:tcPr>
          <w:p w14:paraId="3C7AC5D3"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59.2</w:t>
            </w:r>
          </w:p>
        </w:tc>
        <w:tc>
          <w:tcPr>
            <w:tcW w:w="1233" w:type="dxa"/>
            <w:tcBorders>
              <w:top w:val="single" w:sz="4" w:space="0" w:color="auto"/>
              <w:bottom w:val="single" w:sz="4" w:space="0" w:color="auto"/>
            </w:tcBorders>
            <w:vAlign w:val="center"/>
          </w:tcPr>
          <w:p w14:paraId="4D03FE1A" w14:textId="77777777" w:rsidR="00A26555" w:rsidRPr="0006115A" w:rsidRDefault="00A26555" w:rsidP="008931FF">
            <w:pPr>
              <w:tabs>
                <w:tab w:val="left" w:pos="0"/>
              </w:tabs>
              <w:spacing w:before="12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rPr>
            </w:pPr>
            <w:r w:rsidRPr="0006115A">
              <w:rPr>
                <w:rFonts w:eastAsia="Times New Roman" w:cs="Calibri"/>
                <w:sz w:val="18"/>
                <w:szCs w:val="18"/>
              </w:rPr>
              <w:t>51.0</w:t>
            </w:r>
          </w:p>
        </w:tc>
      </w:tr>
    </w:tbl>
    <w:p w14:paraId="5A35276C" w14:textId="77777777" w:rsidR="00A26555" w:rsidRPr="0006115A" w:rsidRDefault="00A26555" w:rsidP="00A26555">
      <w:pPr>
        <w:tabs>
          <w:tab w:val="left" w:pos="0"/>
        </w:tabs>
        <w:spacing w:before="120" w:after="0" w:line="276" w:lineRule="auto"/>
        <w:ind w:firstLine="0"/>
        <w:rPr>
          <w:rFonts w:eastAsia="Times New Roman" w:cs="Times New Roman"/>
          <w:lang w:val="hy-AM"/>
        </w:rPr>
      </w:pPr>
    </w:p>
    <w:p w14:paraId="44363C3E" w14:textId="77777777" w:rsidR="00A26555" w:rsidRPr="0006115A" w:rsidRDefault="00A26555" w:rsidP="00A26555">
      <w:pPr>
        <w:tabs>
          <w:tab w:val="left" w:pos="0"/>
        </w:tabs>
        <w:spacing w:before="120" w:after="0" w:line="276" w:lineRule="auto"/>
        <w:ind w:firstLine="0"/>
        <w:rPr>
          <w:rFonts w:eastAsia="Times New Roman" w:cs="Times New Roman"/>
          <w:lang w:val="hy-AM"/>
        </w:rPr>
      </w:pPr>
      <w:r w:rsidRPr="0006115A">
        <w:rPr>
          <w:rFonts w:cs="Sylfaen"/>
          <w:b/>
          <w:bCs/>
          <w:i/>
          <w:lang w:val="hy-AM"/>
        </w:rPr>
        <w:t xml:space="preserve">Գծապատկեր 4.3. </w:t>
      </w:r>
      <w:r w:rsidRPr="0006115A">
        <w:rPr>
          <w:rFonts w:cs="Sylfaen"/>
          <w:bCs/>
          <w:i/>
          <w:lang w:val="hy-AM"/>
        </w:rPr>
        <w:t>ՀՀ կառավարության պարտքը տարբեր սցենարների դեպքում</w:t>
      </w:r>
    </w:p>
    <w:p w14:paraId="6FB1E07A" w14:textId="77777777" w:rsidR="00A26555" w:rsidRPr="0006115A" w:rsidRDefault="00A26555" w:rsidP="00A26555">
      <w:pPr>
        <w:tabs>
          <w:tab w:val="left" w:pos="0"/>
        </w:tabs>
        <w:spacing w:before="120" w:after="0" w:line="276" w:lineRule="auto"/>
        <w:ind w:firstLine="0"/>
        <w:rPr>
          <w:rFonts w:eastAsia="Times New Roman" w:cs="Times New Roman"/>
          <w:lang w:val="hy-AM"/>
        </w:rPr>
      </w:pPr>
      <w:r w:rsidRPr="0006115A">
        <w:rPr>
          <w:rFonts w:eastAsia="Times New Roman" w:cs="Times New Roman"/>
          <w:noProof/>
        </w:rPr>
        <w:drawing>
          <wp:inline distT="0" distB="0" distL="0" distR="0" wp14:anchorId="49C8E32B" wp14:editId="3ABFD33F">
            <wp:extent cx="6067425" cy="2924175"/>
            <wp:effectExtent l="0" t="0" r="9525" b="9525"/>
            <wp:docPr id="16120851" name="Chart 161208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5FD8CE1" w14:textId="77777777" w:rsidR="00A26555" w:rsidRPr="0006115A" w:rsidRDefault="00A26555" w:rsidP="00A26555">
      <w:pPr>
        <w:tabs>
          <w:tab w:val="left" w:pos="0"/>
        </w:tabs>
        <w:spacing w:before="120" w:after="0" w:line="276" w:lineRule="auto"/>
        <w:ind w:firstLine="0"/>
        <w:contextualSpacing/>
        <w:jc w:val="left"/>
        <w:rPr>
          <w:rFonts w:eastAsia="Calibri" w:cs="Times New Roman"/>
          <w:i/>
          <w:sz w:val="18"/>
          <w:szCs w:val="16"/>
          <w:lang w:val="hy-AM"/>
        </w:rPr>
      </w:pPr>
    </w:p>
    <w:p w14:paraId="6B1631B0" w14:textId="290E1AF4" w:rsidR="00545EC8" w:rsidRDefault="00545EC8">
      <w:pPr>
        <w:spacing w:before="0" w:after="160" w:line="259" w:lineRule="auto"/>
        <w:ind w:firstLine="0"/>
        <w:jc w:val="left"/>
        <w:rPr>
          <w:rFonts w:eastAsia="Calibri" w:cs="Times New Roman"/>
          <w:i/>
          <w:sz w:val="18"/>
          <w:szCs w:val="16"/>
          <w:lang w:val="hy-AM"/>
        </w:rPr>
      </w:pPr>
      <w:r>
        <w:rPr>
          <w:rFonts w:eastAsia="Calibri" w:cs="Times New Roman"/>
          <w:i/>
          <w:sz w:val="18"/>
          <w:szCs w:val="16"/>
          <w:lang w:val="hy-AM"/>
        </w:rPr>
        <w:br w:type="page"/>
      </w:r>
    </w:p>
    <w:p w14:paraId="3022D58C"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291" w:name="_Toc170906565"/>
      <w:bookmarkEnd w:id="284"/>
      <w:r w:rsidRPr="00461381">
        <w:rPr>
          <w:b/>
          <w:color w:val="44546A" w:themeColor="text2"/>
          <w:sz w:val="24"/>
          <w:szCs w:val="24"/>
          <w:lang w:val="hy-AM" w:eastAsia="ru-RU"/>
        </w:rPr>
        <w:t>3.3. ՀԱՏՈՒԿ ՀԱՐԿԱԲՅՈՒՋԵՏԱՅԻՆ ՌԻՍԿԵՐԻ ՎԵՐԼՈՒԾՈՒԹՅՈՒՆ</w:t>
      </w:r>
      <w:bookmarkEnd w:id="291"/>
    </w:p>
    <w:p w14:paraId="4367218B" w14:textId="77777777" w:rsidR="00545EC8" w:rsidRPr="000A3812" w:rsidRDefault="00545EC8" w:rsidP="008D3B30">
      <w:pPr>
        <w:spacing w:after="0" w:line="276" w:lineRule="auto"/>
        <w:ind w:firstLine="0"/>
        <w:rPr>
          <w:lang w:val="hy-AM"/>
        </w:rPr>
      </w:pPr>
      <w:r>
        <w:rPr>
          <w:lang w:val="hy-AM"/>
        </w:rPr>
        <w:t>Հարկաբյուջետային</w:t>
      </w:r>
      <w:r w:rsidRPr="000A3812">
        <w:rPr>
          <w:lang w:val="hy-AM"/>
        </w:rPr>
        <w:t xml:space="preserve"> ռիսկերն այն կառուցվածքային և </w:t>
      </w:r>
      <w:r>
        <w:rPr>
          <w:lang w:val="hy-AM"/>
        </w:rPr>
        <w:t>հատուկ</w:t>
      </w:r>
      <w:r w:rsidRPr="000A3812">
        <w:rPr>
          <w:lang w:val="hy-AM"/>
        </w:rPr>
        <w:t xml:space="preserve"> գործոններն են, որոնք կարող են հանգեցնել </w:t>
      </w:r>
      <w:r>
        <w:rPr>
          <w:lang w:val="hy-AM"/>
        </w:rPr>
        <w:t>հարկաբյուջետային</w:t>
      </w:r>
      <w:r w:rsidRPr="000A3812">
        <w:rPr>
          <w:lang w:val="hy-AM"/>
        </w:rPr>
        <w:t xml:space="preserve"> արդյունքների շեղմանը` նախապես սպասված կամ կանխատեսված ցուցանիշներից: </w:t>
      </w:r>
      <w:r>
        <w:rPr>
          <w:lang w:val="hy-AM"/>
        </w:rPr>
        <w:t>Հարկաբյուջետային</w:t>
      </w:r>
      <w:r w:rsidRPr="000A3812">
        <w:rPr>
          <w:lang w:val="hy-AM"/>
        </w:rPr>
        <w:t xml:space="preserve"> արդյունքների շեղումը առավել հաճախ արտահայտվում է պետության ստանձնած պարտավորությունների նյութականացմամբ: Այ</w:t>
      </w:r>
      <w:r>
        <w:rPr>
          <w:lang w:val="hy-AM"/>
        </w:rPr>
        <w:t>դ</w:t>
      </w:r>
      <w:r w:rsidRPr="000A3812">
        <w:rPr>
          <w:lang w:val="hy-AM"/>
        </w:rPr>
        <w:t xml:space="preserve">  պարտավորությունները կարող են լինել բացահայտ, երբ առկա է իրավական պարտավորություն (օրինակ՝ պետական </w:t>
      </w:r>
      <w:r w:rsidRPr="000A3812">
        <w:rPr>
          <w:rFonts w:ascii="Cambria Math" w:hAnsi="Cambria Math" w:cs="Cambria Math"/>
          <w:lang w:val="hy-AM"/>
        </w:rPr>
        <w:t>​​</w:t>
      </w:r>
      <w:r w:rsidRPr="000A3812">
        <w:rPr>
          <w:lang w:val="hy-AM"/>
        </w:rPr>
        <w:t>վարկի երաշխիքներ), կամ թաքնված, երբ կա պետության պատասխանատվության հանրային ակնկալիք, որը սահմանված չէ օրենքով (օրինակ՝ բնական կամ մարդածին աղետներից առաջացող վնասների փոխհատուցումը):</w:t>
      </w:r>
      <w:r w:rsidRPr="000A3812">
        <w:rPr>
          <w:rFonts w:ascii="Cambria Math" w:hAnsi="Cambria Math" w:cs="Cambria Math"/>
          <w:lang w:val="hy-AM"/>
        </w:rPr>
        <w:t>​</w:t>
      </w:r>
    </w:p>
    <w:p w14:paraId="667EA87C" w14:textId="77777777" w:rsidR="00545EC8" w:rsidRPr="000A3812" w:rsidRDefault="00545EC8" w:rsidP="008D3B30">
      <w:pPr>
        <w:spacing w:after="0" w:line="276" w:lineRule="auto"/>
        <w:ind w:firstLine="0"/>
        <w:rPr>
          <w:lang w:val="hy-AM"/>
        </w:rPr>
      </w:pPr>
      <w:r>
        <w:rPr>
          <w:lang w:val="hy-AM"/>
        </w:rPr>
        <w:t>Հարկաբյուջետային</w:t>
      </w:r>
      <w:r w:rsidRPr="000A3812">
        <w:rPr>
          <w:lang w:val="hy-AM"/>
        </w:rPr>
        <w:t xml:space="preserve"> ռիսկերի կառավարումը կարևոր է, քանի որ այդ ռիսկերը չբացահայտելը և դրանց չնախապատրաստվելը կարող է հանգեցնել զգալի բացասական հետևանքների, ինչպիսիք են լրացուցիչ պետական պարտավորությունները, պետական պարտքի ավելացումը ու ճգնաժամերը: </w:t>
      </w:r>
      <w:r>
        <w:rPr>
          <w:lang w:val="hy-AM"/>
        </w:rPr>
        <w:t>Հարկաբյուջետային</w:t>
      </w:r>
      <w:r w:rsidRPr="000A3812">
        <w:rPr>
          <w:lang w:val="hy-AM"/>
        </w:rPr>
        <w:t xml:space="preserve"> ռիսկերի արդյունավետ բացահայտումը, ազդեցության չափի գնահատումը և կառավարումը նպաստում է </w:t>
      </w:r>
      <w:r>
        <w:rPr>
          <w:lang w:val="hy-AM"/>
        </w:rPr>
        <w:t>հարկաբյուջետային</w:t>
      </w:r>
      <w:r w:rsidRPr="000A3812">
        <w:rPr>
          <w:lang w:val="hy-AM"/>
        </w:rPr>
        <w:t xml:space="preserve"> կայունության բարձրացմանը, փոխառությունների ծախսերի և հարկաբյուջետային ճգնաժամերի հավանականության նվազեցմանը, ինչպես նաև արդյունավետ հարկաբյուջետային քաղաքականության իրականացմանը:</w:t>
      </w:r>
    </w:p>
    <w:p w14:paraId="241298D5" w14:textId="77777777" w:rsidR="00545EC8" w:rsidRDefault="00545EC8" w:rsidP="008D3B30">
      <w:pPr>
        <w:spacing w:after="0" w:line="276" w:lineRule="auto"/>
        <w:ind w:firstLine="0"/>
        <w:rPr>
          <w:lang w:val="hy-AM"/>
        </w:rPr>
      </w:pPr>
      <w:r w:rsidRPr="000A3812">
        <w:rPr>
          <w:lang w:val="hy-AM"/>
        </w:rPr>
        <w:t xml:space="preserve">Ստորև նկարագրված են </w:t>
      </w:r>
      <w:r>
        <w:rPr>
          <w:lang w:val="hy-AM"/>
        </w:rPr>
        <w:t>հարկաբյուջետային</w:t>
      </w:r>
      <w:r w:rsidRPr="000A3812">
        <w:rPr>
          <w:lang w:val="hy-AM"/>
        </w:rPr>
        <w:t xml:space="preserve"> ռիսկերի այն աղբյուրները, որոնք պետական բյուջեի կայունության տեսանկյունից համարվում են էական, և դրանց ազդեցության գնահատումն ու կառավարմանն ուղղված քայլերը նշանակալի են ֆիսկալ կայունության տեսանկյունից։ </w:t>
      </w:r>
      <w:r>
        <w:rPr>
          <w:lang w:val="hy-AM"/>
        </w:rPr>
        <w:t>Հատուկ</w:t>
      </w:r>
      <w:r w:rsidRPr="000A3812">
        <w:rPr>
          <w:lang w:val="hy-AM"/>
        </w:rPr>
        <w:t xml:space="preserve"> ռիսկերի տեսանկյունից դիտարկվել են այնպիսի ռիսկեր, որոնք բխում են պետական մասնակցությամբ ընկերություններից, պետություն-մասնավոր գործընկերության պայմանագրերից, բյուջետային վարկերից և երաշխիքներից, բնական և մարդածին աղետներից, բնապահպանական պարտավորություններից, շրջակա միջավայրի դեգրադացիայից, ինչպես նաև պետության դեմ դատական վարույթներից։</w:t>
      </w:r>
    </w:p>
    <w:p w14:paraId="787DD98D" w14:textId="77777777" w:rsidR="00545EC8" w:rsidRDefault="00545EC8" w:rsidP="008D3B30">
      <w:pPr>
        <w:pStyle w:val="Heading3"/>
        <w:rPr>
          <w:rFonts w:eastAsia="Times New Roman" w:cs="Times New Roman"/>
          <w:caps w:val="0"/>
          <w:color w:val="44546A" w:themeColor="text2"/>
          <w:sz w:val="24"/>
          <w:szCs w:val="24"/>
        </w:rPr>
      </w:pPr>
    </w:p>
    <w:p w14:paraId="0F0FDC94"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292" w:name="_Toc170906566"/>
      <w:r w:rsidRPr="00461381">
        <w:rPr>
          <w:b/>
          <w:color w:val="44546A" w:themeColor="text2"/>
          <w:sz w:val="24"/>
          <w:szCs w:val="24"/>
          <w:lang w:val="hy-AM" w:eastAsia="ru-RU"/>
        </w:rPr>
        <w:t>3</w:t>
      </w:r>
      <w:r w:rsidRPr="00461381">
        <w:rPr>
          <w:rFonts w:ascii="Cambria Math" w:hAnsi="Cambria Math" w:cs="Cambria Math"/>
          <w:b/>
          <w:color w:val="44546A" w:themeColor="text2"/>
          <w:sz w:val="24"/>
          <w:szCs w:val="24"/>
          <w:lang w:val="hy-AM" w:eastAsia="ru-RU"/>
        </w:rPr>
        <w:t>․</w:t>
      </w:r>
      <w:r w:rsidRPr="00461381">
        <w:rPr>
          <w:b/>
          <w:color w:val="44546A" w:themeColor="text2"/>
          <w:sz w:val="24"/>
          <w:szCs w:val="24"/>
          <w:lang w:val="hy-AM" w:eastAsia="ru-RU"/>
        </w:rPr>
        <w:t>3</w:t>
      </w:r>
      <w:r w:rsidRPr="00461381">
        <w:rPr>
          <w:rFonts w:ascii="Cambria Math" w:hAnsi="Cambria Math" w:cs="Cambria Math"/>
          <w:b/>
          <w:color w:val="44546A" w:themeColor="text2"/>
          <w:sz w:val="24"/>
          <w:szCs w:val="24"/>
          <w:lang w:val="hy-AM" w:eastAsia="ru-RU"/>
        </w:rPr>
        <w:t>․</w:t>
      </w:r>
      <w:r w:rsidRPr="00461381">
        <w:rPr>
          <w:b/>
          <w:color w:val="44546A" w:themeColor="text2"/>
          <w:sz w:val="24"/>
          <w:szCs w:val="24"/>
          <w:lang w:val="hy-AM" w:eastAsia="ru-RU"/>
        </w:rPr>
        <w:t>1 ՊԵՏԱԿԱՆ ՄԱՍՆԱԿՑՈՒԹՅԱՄԲ ԸՆԿԵՐՈՒԹՅՈՒՆՆԵՐԻՑ ԾԱԳՈՂ ՀԱՐԿԱԲՅՈՒՋԵՏԱՅԻՆ ՌԻՍԿԵՐ</w:t>
      </w:r>
      <w:bookmarkEnd w:id="292"/>
    </w:p>
    <w:p w14:paraId="6E8DD209" w14:textId="77777777" w:rsidR="00545EC8" w:rsidRPr="004C0846" w:rsidRDefault="00545EC8" w:rsidP="008D3B30">
      <w:pPr>
        <w:spacing w:after="0" w:line="276" w:lineRule="auto"/>
        <w:ind w:firstLine="0"/>
        <w:rPr>
          <w:lang w:val="hy-AM"/>
        </w:rPr>
      </w:pPr>
      <w:r w:rsidRPr="004C0846">
        <w:rPr>
          <w:lang w:val="hy-AM"/>
        </w:rPr>
        <w:t>Այս բաժինը վերլուծում է պետական մասնակցությամբ ընկերությունների (այսուհետ՝ ՊՄԸ) առկա վիճակից և գործունեությունւց բխող ֆիսկալ ռիսկերի մակարդակը:</w:t>
      </w:r>
    </w:p>
    <w:p w14:paraId="51BF8CEB" w14:textId="77777777" w:rsidR="00545EC8" w:rsidRDefault="00545EC8" w:rsidP="008D3B30">
      <w:pPr>
        <w:spacing w:after="0" w:line="276" w:lineRule="auto"/>
        <w:ind w:firstLine="0"/>
        <w:rPr>
          <w:lang w:val="hy-AM"/>
        </w:rPr>
      </w:pPr>
      <w:r w:rsidRPr="004C0846">
        <w:rPr>
          <w:lang w:val="hy-AM"/>
        </w:rPr>
        <w:t>Ֆիսկալ ռիսկը կարող է ի հայտ գալ այն ժամանակ, երբ ՊՄԸ-ների գործունեությունը կամ ֆինանսական վիճակը հանգեցնում է լրացուցիչ փոխառությունների, սուբսիդիաների, սեփական կապիտալի ներարկումների կամ պետական բյուջեից այլ վճարումների անհրաժեշտության: Բացի այդ, ֆինանսական դժվարություններ ունեցող ՊՄԸ-ներից ակնկալվո</w:t>
      </w:r>
      <w:r>
        <w:rPr>
          <w:lang w:val="hy-AM"/>
        </w:rPr>
        <w:t>ղ</w:t>
      </w:r>
      <w:r w:rsidRPr="004C0846">
        <w:rPr>
          <w:lang w:val="hy-AM"/>
        </w:rPr>
        <w:t xml:space="preserve"> շահութաբաժինների կամ փոխառությունների սպասարկման վճարումների չկատարումը կարող է բացասաբար անդրադառնալ պետական եկամուտների վրա:</w:t>
      </w:r>
    </w:p>
    <w:p w14:paraId="3C8DF1B5" w14:textId="77777777" w:rsidR="00545EC8" w:rsidRDefault="00545EC8" w:rsidP="008D3B30">
      <w:pPr>
        <w:spacing w:after="0" w:line="276" w:lineRule="auto"/>
        <w:ind w:firstLine="0"/>
        <w:rPr>
          <w:lang w:val="hy-AM"/>
        </w:rPr>
      </w:pPr>
    </w:p>
    <w:p w14:paraId="2C7E7A88" w14:textId="448564B3" w:rsidR="00545EC8" w:rsidRDefault="00545EC8" w:rsidP="008D3B30">
      <w:pPr>
        <w:spacing w:after="0" w:line="276" w:lineRule="auto"/>
        <w:ind w:firstLine="0"/>
        <w:rPr>
          <w:lang w:val="hy-AM"/>
        </w:rPr>
      </w:pPr>
    </w:p>
    <w:p w14:paraId="4C74FDDE" w14:textId="77777777" w:rsidR="00B219E6" w:rsidRDefault="00B219E6" w:rsidP="008D3B30">
      <w:pPr>
        <w:spacing w:after="0" w:line="276" w:lineRule="auto"/>
        <w:ind w:firstLine="0"/>
        <w:rPr>
          <w:lang w:val="hy-AM"/>
        </w:rPr>
      </w:pPr>
    </w:p>
    <w:p w14:paraId="0B2F7BB7" w14:textId="77777777" w:rsidR="00545EC8" w:rsidRDefault="00545EC8" w:rsidP="008D3B30">
      <w:pPr>
        <w:spacing w:after="0" w:line="276" w:lineRule="auto"/>
        <w:ind w:firstLine="0"/>
        <w:rPr>
          <w:lang w:val="hy-AM"/>
        </w:rPr>
      </w:pPr>
    </w:p>
    <w:p w14:paraId="37A9D9D2" w14:textId="77777777" w:rsidR="00545EC8" w:rsidRDefault="00545EC8" w:rsidP="008D3B30">
      <w:pPr>
        <w:spacing w:after="0" w:line="276" w:lineRule="auto"/>
        <w:ind w:firstLine="0"/>
        <w:rPr>
          <w:lang w:val="hy-AM"/>
        </w:rPr>
      </w:pPr>
    </w:p>
    <w:p w14:paraId="0A162BED" w14:textId="77777777" w:rsidR="00545EC8" w:rsidRPr="004C0846" w:rsidRDefault="00545EC8" w:rsidP="008D3B30">
      <w:pPr>
        <w:spacing w:line="276" w:lineRule="auto"/>
        <w:ind w:firstLine="0"/>
        <w:rPr>
          <w:b/>
          <w:bCs/>
          <w:lang w:val="hy-AM"/>
        </w:rPr>
      </w:pPr>
      <w:r w:rsidRPr="004C0846">
        <w:rPr>
          <w:b/>
          <w:bCs/>
          <w:lang w:val="hy-AM"/>
        </w:rPr>
        <w:t>ՊՄԸ-ների պորտֆելի վերլուծություն</w:t>
      </w:r>
    </w:p>
    <w:p w14:paraId="0F9FE663" w14:textId="77777777" w:rsidR="00545EC8" w:rsidRPr="004C0846" w:rsidRDefault="00545EC8" w:rsidP="008D3B30">
      <w:pPr>
        <w:spacing w:after="0" w:line="276" w:lineRule="auto"/>
        <w:ind w:firstLine="0"/>
        <w:rPr>
          <w:lang w:val="hy-AM"/>
        </w:rPr>
      </w:pPr>
      <w:r w:rsidRPr="004C0846">
        <w:rPr>
          <w:lang w:val="hy-AM"/>
        </w:rPr>
        <w:t>ՊՄԸ է համարվում այն ընկերությունը, որի բաժնետոմսերի 50 կամ ավելի տոկոսը պետության կամ համայնքի սեփականությունն է</w:t>
      </w:r>
      <w:r>
        <w:rPr>
          <w:rStyle w:val="FootnoteReference"/>
        </w:rPr>
        <w:footnoteReference w:id="30"/>
      </w:r>
      <w:r w:rsidRPr="004C0846">
        <w:rPr>
          <w:lang w:val="hy-AM"/>
        </w:rPr>
        <w:t>:</w:t>
      </w:r>
    </w:p>
    <w:p w14:paraId="04561BCA" w14:textId="77777777" w:rsidR="00545EC8" w:rsidRDefault="00545EC8" w:rsidP="008D3B30">
      <w:pPr>
        <w:spacing w:after="0" w:line="276" w:lineRule="auto"/>
        <w:ind w:firstLine="0"/>
        <w:rPr>
          <w:rFonts w:eastAsia="Tahoma" w:cs="Tahoma"/>
          <w:lang w:val="hy-AM"/>
        </w:rPr>
      </w:pPr>
      <w:r w:rsidRPr="004C0846">
        <w:rPr>
          <w:rFonts w:eastAsia="Tahoma" w:cs="Tahoma"/>
          <w:lang w:val="hy-AM"/>
        </w:rPr>
        <w:t>Ըստ դիտարկված տեղեկությունների՝ 2022 թվականի տվյալներով ՀՀ-ում գործում է 188 շահույթ հետապնդող պետական մասնակցությամբ և համայնքային մասնակցությամբ ընկերություն, որոնցից 36-ը գտնվում է Երևանի քաղաքապետարանի կառավարման ներքո: Առկա է նաև 15 ընկերություն, որտեղ պետությունն ունի մինչև 50 տոկոս բաժնեմաս (</w:t>
      </w:r>
      <w:r>
        <w:rPr>
          <w:rFonts w:eastAsia="Tahoma" w:cs="Tahoma"/>
          <w:lang w:val="hy-AM"/>
        </w:rPr>
        <w:t>տե</w:t>
      </w:r>
      <w:r w:rsidRPr="00B35A3C">
        <w:rPr>
          <w:lang w:val="hy-AM"/>
        </w:rPr>
        <w:t>΄</w:t>
      </w:r>
      <w:r>
        <w:rPr>
          <w:rFonts w:eastAsia="Tahoma" w:cs="Tahoma"/>
          <w:lang w:val="hy-AM"/>
        </w:rPr>
        <w:t>ս ա</w:t>
      </w:r>
      <w:r w:rsidRPr="004C0846">
        <w:rPr>
          <w:rFonts w:eastAsia="Tahoma" w:cs="Tahoma"/>
          <w:lang w:val="hy-AM"/>
        </w:rPr>
        <w:t xml:space="preserve">ղյուսակ </w:t>
      </w:r>
      <w:r>
        <w:rPr>
          <w:rFonts w:eastAsia="Tahoma" w:cs="Tahoma"/>
          <w:lang w:val="hy-AM"/>
        </w:rPr>
        <w:t>1</w:t>
      </w:r>
      <w:r w:rsidRPr="004C0846">
        <w:rPr>
          <w:rFonts w:eastAsia="Tahoma" w:cs="Tahoma"/>
          <w:lang w:val="hy-AM"/>
        </w:rPr>
        <w:t>):</w:t>
      </w:r>
    </w:p>
    <w:p w14:paraId="7674D438" w14:textId="77777777" w:rsidR="00545EC8" w:rsidRDefault="00545EC8" w:rsidP="00545EC8">
      <w:pPr>
        <w:spacing w:line="276" w:lineRule="auto"/>
        <w:ind w:firstLine="0"/>
        <w:rPr>
          <w:rFonts w:eastAsia="Tahoma" w:cs="Tahoma"/>
          <w:lang w:val="hy-AM"/>
        </w:rPr>
      </w:pPr>
    </w:p>
    <w:p w14:paraId="7AFE5F40" w14:textId="77777777" w:rsidR="00545EC8" w:rsidRPr="00C05AC0" w:rsidRDefault="00545EC8" w:rsidP="00545EC8">
      <w:pPr>
        <w:spacing w:line="276" w:lineRule="auto"/>
        <w:ind w:firstLine="0"/>
        <w:rPr>
          <w:rFonts w:eastAsia="Tahoma" w:cs="Tahoma"/>
          <w:i/>
          <w:lang w:val="hy-AM"/>
        </w:rPr>
      </w:pPr>
      <w:r w:rsidRPr="00C05AC0">
        <w:rPr>
          <w:rFonts w:eastAsia="Tahoma" w:cs="Tahoma"/>
          <w:b/>
          <w:i/>
          <w:lang w:val="hy-AM"/>
        </w:rPr>
        <w:t xml:space="preserve">Աղյուսակ 1. </w:t>
      </w:r>
      <w:r w:rsidRPr="00C05AC0">
        <w:rPr>
          <w:rFonts w:eastAsia="Tahoma" w:cs="Tahoma"/>
          <w:i/>
          <w:lang w:val="hy-AM"/>
        </w:rPr>
        <w:t>Պետական և համայնքային մասնակցությամբ ընկերությունների դասակարգումն՝ ըստ բաժնեմասնակցության</w:t>
      </w:r>
    </w:p>
    <w:tbl>
      <w:tblPr>
        <w:tblW w:w="9391" w:type="dxa"/>
        <w:tblInd w:w="717"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00" w:firstRow="0" w:lastRow="0" w:firstColumn="0" w:lastColumn="0" w:noHBand="0" w:noVBand="1"/>
      </w:tblPr>
      <w:tblGrid>
        <w:gridCol w:w="2347"/>
        <w:gridCol w:w="2486"/>
        <w:gridCol w:w="2210"/>
        <w:gridCol w:w="2348"/>
      </w:tblGrid>
      <w:tr w:rsidR="00545EC8" w:rsidRPr="004C0846" w14:paraId="23364DCA" w14:textId="77777777" w:rsidTr="00D262EA">
        <w:trPr>
          <w:trHeight w:val="529"/>
        </w:trPr>
        <w:tc>
          <w:tcPr>
            <w:tcW w:w="2347" w:type="dxa"/>
            <w:shd w:val="clear" w:color="auto" w:fill="DEEAF6" w:themeFill="accent1" w:themeFillTint="33"/>
            <w:vAlign w:val="center"/>
          </w:tcPr>
          <w:p w14:paraId="0B9924A5" w14:textId="77777777" w:rsidR="00545EC8" w:rsidRPr="004C0846" w:rsidRDefault="00545EC8" w:rsidP="00D262EA">
            <w:pPr>
              <w:spacing w:after="0" w:line="276" w:lineRule="auto"/>
              <w:jc w:val="center"/>
              <w:rPr>
                <w:rFonts w:eastAsia="Arial" w:cs="Arial"/>
                <w:lang w:val="hy-AM"/>
              </w:rPr>
            </w:pPr>
            <w:r w:rsidRPr="004C0846">
              <w:rPr>
                <w:rFonts w:eastAsia="Tahoma" w:cs="Tahoma"/>
                <w:lang w:val="hy-AM"/>
              </w:rPr>
              <w:t>50 տոկոս և ավել</w:t>
            </w:r>
          </w:p>
        </w:tc>
        <w:tc>
          <w:tcPr>
            <w:tcW w:w="2486" w:type="dxa"/>
            <w:shd w:val="clear" w:color="auto" w:fill="DEEAF6" w:themeFill="accent1" w:themeFillTint="33"/>
            <w:vAlign w:val="center"/>
          </w:tcPr>
          <w:p w14:paraId="0D1F944D" w14:textId="77777777" w:rsidR="00545EC8" w:rsidRPr="004C0846" w:rsidRDefault="00545EC8" w:rsidP="00D262EA">
            <w:pPr>
              <w:spacing w:after="0" w:line="276" w:lineRule="auto"/>
              <w:jc w:val="center"/>
              <w:rPr>
                <w:rFonts w:eastAsia="Arial" w:cs="Arial"/>
                <w:lang w:val="hy-AM"/>
              </w:rPr>
            </w:pPr>
            <w:r w:rsidRPr="004C0846">
              <w:rPr>
                <w:rFonts w:eastAsia="Tahoma" w:cs="Tahoma"/>
                <w:lang w:val="hy-AM"/>
              </w:rPr>
              <w:t>Երևանի Քաղաքապետարան</w:t>
            </w:r>
          </w:p>
        </w:tc>
        <w:tc>
          <w:tcPr>
            <w:tcW w:w="2210" w:type="dxa"/>
            <w:shd w:val="clear" w:color="auto" w:fill="DEEAF6" w:themeFill="accent1" w:themeFillTint="33"/>
            <w:vAlign w:val="center"/>
          </w:tcPr>
          <w:p w14:paraId="0F8916F5" w14:textId="77777777" w:rsidR="00545EC8" w:rsidRPr="004C0846" w:rsidRDefault="00545EC8" w:rsidP="00D262EA">
            <w:pPr>
              <w:spacing w:after="0" w:line="276" w:lineRule="auto"/>
              <w:jc w:val="center"/>
              <w:rPr>
                <w:rFonts w:eastAsia="Arial" w:cs="Arial"/>
                <w:lang w:val="hy-AM"/>
              </w:rPr>
            </w:pPr>
            <w:r w:rsidRPr="004C0846">
              <w:rPr>
                <w:rFonts w:eastAsia="Tahoma" w:cs="Tahoma"/>
                <w:lang w:val="hy-AM"/>
              </w:rPr>
              <w:t>Մինչև 50 տոկոս</w:t>
            </w:r>
          </w:p>
        </w:tc>
        <w:tc>
          <w:tcPr>
            <w:tcW w:w="2348" w:type="dxa"/>
            <w:shd w:val="clear" w:color="auto" w:fill="DEEAF6" w:themeFill="accent1" w:themeFillTint="33"/>
            <w:vAlign w:val="center"/>
          </w:tcPr>
          <w:p w14:paraId="19426556" w14:textId="77777777" w:rsidR="00545EC8" w:rsidRPr="004C0846" w:rsidRDefault="00545EC8" w:rsidP="00D262EA">
            <w:pPr>
              <w:spacing w:after="0" w:line="276" w:lineRule="auto"/>
              <w:jc w:val="center"/>
              <w:rPr>
                <w:rFonts w:eastAsia="Arial" w:cs="Arial"/>
                <w:lang w:val="hy-AM"/>
              </w:rPr>
            </w:pPr>
            <w:r w:rsidRPr="004C0846">
              <w:rPr>
                <w:rFonts w:eastAsia="Tahoma" w:cs="Tahoma"/>
                <w:lang w:val="hy-AM"/>
              </w:rPr>
              <w:t>Ընդհանուր</w:t>
            </w:r>
          </w:p>
        </w:tc>
      </w:tr>
      <w:tr w:rsidR="00545EC8" w:rsidRPr="004C0846" w14:paraId="0F3F798E" w14:textId="77777777" w:rsidTr="00D262EA">
        <w:trPr>
          <w:trHeight w:val="269"/>
        </w:trPr>
        <w:tc>
          <w:tcPr>
            <w:tcW w:w="2347" w:type="dxa"/>
            <w:vAlign w:val="center"/>
          </w:tcPr>
          <w:p w14:paraId="7553050A" w14:textId="77777777" w:rsidR="00545EC8" w:rsidRPr="004C0846" w:rsidRDefault="00545EC8" w:rsidP="00D262EA">
            <w:pPr>
              <w:spacing w:after="0" w:line="276" w:lineRule="auto"/>
              <w:jc w:val="center"/>
              <w:rPr>
                <w:rFonts w:eastAsia="Arial" w:cs="Arial"/>
                <w:lang w:val="hy-AM"/>
              </w:rPr>
            </w:pPr>
            <w:r w:rsidRPr="004C0846">
              <w:rPr>
                <w:rFonts w:eastAsia="Arial" w:cs="Arial"/>
                <w:lang w:val="hy-AM"/>
              </w:rPr>
              <w:t>152</w:t>
            </w:r>
          </w:p>
        </w:tc>
        <w:tc>
          <w:tcPr>
            <w:tcW w:w="2486" w:type="dxa"/>
            <w:vAlign w:val="center"/>
          </w:tcPr>
          <w:p w14:paraId="0CF5357D" w14:textId="77777777" w:rsidR="00545EC8" w:rsidRPr="004C0846" w:rsidRDefault="00545EC8" w:rsidP="00D262EA">
            <w:pPr>
              <w:spacing w:after="0" w:line="276" w:lineRule="auto"/>
              <w:jc w:val="center"/>
              <w:rPr>
                <w:rFonts w:eastAsia="Arial" w:cs="Arial"/>
                <w:lang w:val="hy-AM"/>
              </w:rPr>
            </w:pPr>
            <w:r w:rsidRPr="004C0846">
              <w:rPr>
                <w:rFonts w:eastAsia="Arial" w:cs="Arial"/>
                <w:lang w:val="hy-AM"/>
              </w:rPr>
              <w:t>36</w:t>
            </w:r>
          </w:p>
        </w:tc>
        <w:tc>
          <w:tcPr>
            <w:tcW w:w="2210" w:type="dxa"/>
            <w:vAlign w:val="center"/>
          </w:tcPr>
          <w:p w14:paraId="3611C2C5" w14:textId="77777777" w:rsidR="00545EC8" w:rsidRPr="004C0846" w:rsidRDefault="00545EC8" w:rsidP="00D262EA">
            <w:pPr>
              <w:spacing w:after="0" w:line="276" w:lineRule="auto"/>
              <w:jc w:val="center"/>
              <w:rPr>
                <w:rFonts w:eastAsia="Arial" w:cs="Arial"/>
                <w:lang w:val="hy-AM"/>
              </w:rPr>
            </w:pPr>
            <w:r w:rsidRPr="004C0846">
              <w:rPr>
                <w:rFonts w:eastAsia="Arial" w:cs="Arial"/>
                <w:lang w:val="hy-AM"/>
              </w:rPr>
              <w:t>15</w:t>
            </w:r>
          </w:p>
        </w:tc>
        <w:tc>
          <w:tcPr>
            <w:tcW w:w="2348" w:type="dxa"/>
            <w:vAlign w:val="center"/>
          </w:tcPr>
          <w:p w14:paraId="6269C88B" w14:textId="77777777" w:rsidR="00545EC8" w:rsidRPr="004C0846" w:rsidRDefault="00545EC8" w:rsidP="00D262EA">
            <w:pPr>
              <w:spacing w:after="0" w:line="276" w:lineRule="auto"/>
              <w:jc w:val="center"/>
              <w:rPr>
                <w:rFonts w:eastAsia="Arial" w:cs="Arial"/>
                <w:lang w:val="hy-AM"/>
              </w:rPr>
            </w:pPr>
            <w:r w:rsidRPr="004C0846">
              <w:rPr>
                <w:rFonts w:eastAsia="Arial" w:cs="Arial"/>
                <w:lang w:val="hy-AM"/>
              </w:rPr>
              <w:t>203</w:t>
            </w:r>
          </w:p>
        </w:tc>
      </w:tr>
    </w:tbl>
    <w:p w14:paraId="1126F622" w14:textId="77777777" w:rsidR="00545EC8" w:rsidRDefault="00545EC8" w:rsidP="00545EC8">
      <w:pPr>
        <w:spacing w:line="276" w:lineRule="auto"/>
        <w:rPr>
          <w:rFonts w:eastAsia="Tahoma" w:cs="Tahoma"/>
          <w:lang w:val="hy-AM"/>
        </w:rPr>
      </w:pPr>
    </w:p>
    <w:p w14:paraId="1EBD3D03" w14:textId="77777777" w:rsidR="00545EC8" w:rsidRDefault="00545EC8" w:rsidP="00B219E6">
      <w:pPr>
        <w:spacing w:line="276" w:lineRule="auto"/>
        <w:ind w:firstLine="0"/>
        <w:rPr>
          <w:lang w:val="hy-AM"/>
        </w:rPr>
      </w:pPr>
      <w:r w:rsidRPr="00563D6A">
        <w:rPr>
          <w:rFonts w:eastAsia="Tahoma" w:cs="Tahoma"/>
          <w:lang w:val="hy-AM"/>
        </w:rPr>
        <w:t xml:space="preserve">ՊՄԸ-ները հիմնականում գործում են այնպիսի ռազմավարական ոլորտներում, ինչպիսիք են էներգետիկան, առողջապահությունը, ջրային տնտեսությունը և այլն։ Ընկերությունների </w:t>
      </w:r>
      <w:r w:rsidRPr="00563D6A">
        <w:rPr>
          <w:lang w:val="hy-AM"/>
        </w:rPr>
        <w:t>ակտիվների և պարտավորությունների մեծ մասը կենտրոնացված է էներգետիկ ոլորտում՝ կազմելով ՊՄԸ-ների ընդհանուր պորտֆելի, համապատասխանաբար, 55%-ը և 70%-ը (</w:t>
      </w:r>
      <w:r>
        <w:rPr>
          <w:lang w:val="hy-AM"/>
        </w:rPr>
        <w:t>տե΄ս</w:t>
      </w:r>
      <w:r w:rsidRPr="00563D6A">
        <w:rPr>
          <w:lang w:val="hy-AM"/>
        </w:rPr>
        <w:t xml:space="preserve"> գծապատկեր 1</w:t>
      </w:r>
      <w:r>
        <w:rPr>
          <w:lang w:val="hy-AM"/>
        </w:rPr>
        <w:t>):</w:t>
      </w:r>
    </w:p>
    <w:p w14:paraId="5CDA5A94" w14:textId="77777777" w:rsidR="00545EC8" w:rsidRDefault="00545EC8" w:rsidP="00545EC8">
      <w:pPr>
        <w:spacing w:line="276" w:lineRule="auto"/>
        <w:ind w:firstLine="0"/>
        <w:rPr>
          <w:rFonts w:eastAsia="Tahoma" w:cs="Times New Roman"/>
          <w:b/>
          <w:bCs/>
          <w:i/>
          <w:iCs/>
          <w:lang w:val="hy-AM"/>
        </w:rPr>
      </w:pPr>
    </w:p>
    <w:p w14:paraId="3FD1CC56" w14:textId="77777777" w:rsidR="00545EC8" w:rsidRPr="00C05AC0" w:rsidRDefault="00545EC8" w:rsidP="00545EC8">
      <w:pPr>
        <w:spacing w:line="276" w:lineRule="auto"/>
        <w:ind w:firstLine="0"/>
        <w:rPr>
          <w:rFonts w:eastAsia="Tahoma" w:cs="Times New Roman"/>
          <w:bCs/>
          <w:i/>
          <w:iCs/>
          <w:lang w:val="hy-AM"/>
        </w:rPr>
      </w:pPr>
      <w:r w:rsidRPr="00696307">
        <w:rPr>
          <w:noProof/>
          <w:sz w:val="24"/>
          <w:szCs w:val="24"/>
        </w:rPr>
        <w:drawing>
          <wp:anchor distT="0" distB="0" distL="114300" distR="114300" simplePos="0" relativeHeight="251730944" behindDoc="0" locked="0" layoutInCell="1" allowOverlap="1" wp14:anchorId="20B63B10" wp14:editId="0A048AC4">
            <wp:simplePos x="0" y="0"/>
            <wp:positionH relativeFrom="column">
              <wp:posOffset>19050</wp:posOffset>
            </wp:positionH>
            <wp:positionV relativeFrom="paragraph">
              <wp:posOffset>508635</wp:posOffset>
            </wp:positionV>
            <wp:extent cx="3048000" cy="2143125"/>
            <wp:effectExtent l="0" t="0" r="0" b="9525"/>
            <wp:wrapTopAndBottom/>
            <wp:docPr id="1545876443" name="Chart 1">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margin">
              <wp14:pctWidth>0</wp14:pctWidth>
            </wp14:sizeRelH>
            <wp14:sizeRelV relativeFrom="margin">
              <wp14:pctHeight>0</wp14:pctHeight>
            </wp14:sizeRelV>
          </wp:anchor>
        </w:drawing>
      </w:r>
      <w:r w:rsidRPr="00696307">
        <w:rPr>
          <w:noProof/>
          <w:sz w:val="24"/>
          <w:szCs w:val="24"/>
        </w:rPr>
        <w:drawing>
          <wp:anchor distT="0" distB="0" distL="114300" distR="114300" simplePos="0" relativeHeight="251731968" behindDoc="0" locked="0" layoutInCell="1" allowOverlap="1" wp14:anchorId="6B4C2C49" wp14:editId="644BD75E">
            <wp:simplePos x="0" y="0"/>
            <wp:positionH relativeFrom="column">
              <wp:posOffset>3067050</wp:posOffset>
            </wp:positionH>
            <wp:positionV relativeFrom="paragraph">
              <wp:posOffset>508853</wp:posOffset>
            </wp:positionV>
            <wp:extent cx="2900045" cy="2143125"/>
            <wp:effectExtent l="0" t="0" r="14605" b="9525"/>
            <wp:wrapTopAndBottom/>
            <wp:docPr id="145223491" name="Chart 1">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14:sizeRelV relativeFrom="margin">
              <wp14:pctHeight>0</wp14:pctHeight>
            </wp14:sizeRelV>
          </wp:anchor>
        </w:drawing>
      </w:r>
      <w:r w:rsidRPr="00C05AC0">
        <w:rPr>
          <w:rFonts w:eastAsia="Tahoma" w:cs="Times New Roman"/>
          <w:b/>
          <w:bCs/>
          <w:i/>
          <w:iCs/>
          <w:lang w:val="hy-AM"/>
        </w:rPr>
        <w:t>Գծապատկեր 1</w:t>
      </w:r>
      <w:r w:rsidRPr="00C05AC0">
        <w:rPr>
          <w:rFonts w:ascii="Cambria Math" w:eastAsia="Tahoma" w:hAnsi="Cambria Math" w:cs="Cambria Math"/>
          <w:b/>
          <w:bCs/>
          <w:i/>
          <w:iCs/>
          <w:lang w:val="hy-AM"/>
        </w:rPr>
        <w:t>․</w:t>
      </w:r>
      <w:r w:rsidRPr="00C05AC0">
        <w:rPr>
          <w:rFonts w:eastAsia="Tahoma" w:cs="Times New Roman"/>
          <w:b/>
          <w:bCs/>
          <w:i/>
          <w:iCs/>
          <w:lang w:val="hy-AM"/>
        </w:rPr>
        <w:t xml:space="preserve"> </w:t>
      </w:r>
      <w:r w:rsidRPr="00C05AC0">
        <w:rPr>
          <w:rFonts w:eastAsia="Tahoma" w:cs="Times New Roman"/>
          <w:bCs/>
          <w:i/>
          <w:iCs/>
          <w:lang w:val="hy-AM"/>
        </w:rPr>
        <w:t>Պետական մասնակցությամբ ընկերությունների ակտիվները և պարտավորություններն՝ ըստ ոլորտների</w:t>
      </w:r>
    </w:p>
    <w:p w14:paraId="6E98E0A5" w14:textId="77777777" w:rsidR="00545EC8" w:rsidRPr="00696307" w:rsidRDefault="00545EC8" w:rsidP="00545EC8">
      <w:pPr>
        <w:spacing w:line="276" w:lineRule="auto"/>
        <w:ind w:left="540" w:right="540"/>
        <w:jc w:val="right"/>
        <w:rPr>
          <w:noProof/>
          <w:sz w:val="24"/>
          <w:szCs w:val="24"/>
          <w:lang w:val="hy-AM"/>
        </w:rPr>
      </w:pPr>
      <w:r w:rsidRPr="00696307">
        <w:rPr>
          <w:noProof/>
          <w:sz w:val="24"/>
          <w:szCs w:val="24"/>
          <w:lang w:val="hy-AM"/>
        </w:rPr>
        <w:t xml:space="preserve"> </w:t>
      </w:r>
    </w:p>
    <w:p w14:paraId="79EF1F3C" w14:textId="77777777" w:rsidR="00545EC8" w:rsidRPr="00315E20" w:rsidRDefault="00545EC8" w:rsidP="00B219E6">
      <w:pPr>
        <w:spacing w:after="0" w:line="276" w:lineRule="auto"/>
        <w:ind w:firstLine="0"/>
        <w:rPr>
          <w:lang w:val="hy-AM"/>
        </w:rPr>
      </w:pPr>
      <w:r w:rsidRPr="00315E20">
        <w:rPr>
          <w:lang w:val="hy-AM"/>
        </w:rPr>
        <w:t>Հարկ է նշել, որ ՀՀ-ում ՊՄԸ-ների եկամտաբերությունը ՀՆԱ-ի նկատմամբ ցածր է համաշխարհային միջին մակարդակից: Մասնավորապես, ՀՀ-ում ՊՄԸ-ների եկամուտ/ՀՆԱ հարաբերակցությունը 2022թ.-ին կազմել է շուրջ</w:t>
      </w:r>
      <w:r>
        <w:rPr>
          <w:lang w:val="hy-AM"/>
        </w:rPr>
        <w:t xml:space="preserve"> </w:t>
      </w:r>
      <w:r w:rsidRPr="00C64533">
        <w:rPr>
          <w:lang w:val="hy-AM"/>
        </w:rPr>
        <w:t>7</w:t>
      </w:r>
      <w:r w:rsidRPr="00315E20">
        <w:rPr>
          <w:lang w:val="hy-AM"/>
        </w:rPr>
        <w:t>%</w:t>
      </w:r>
      <w:r>
        <w:rPr>
          <w:rStyle w:val="FootnoteReference"/>
        </w:rPr>
        <w:footnoteReference w:id="31"/>
      </w:r>
      <w:r w:rsidRPr="00315E20">
        <w:rPr>
          <w:lang w:val="hy-AM"/>
        </w:rPr>
        <w:t>, մինչդեռ, Համաշխարհային բանկի զեկույցի համաձայն, որտեղ 91 երկրում ուսումնասիր</w:t>
      </w:r>
      <w:r>
        <w:rPr>
          <w:lang w:val="hy-AM"/>
        </w:rPr>
        <w:t>վ</w:t>
      </w:r>
      <w:r w:rsidRPr="00315E20">
        <w:rPr>
          <w:lang w:val="hy-AM"/>
        </w:rPr>
        <w:t>ել է առնվազն 10% պետական մասնաբաժին ունեցող 76,000 ընկերություն, միջին եկամուտը կազմել է ՀՆԱ-ի 17%-ը</w:t>
      </w:r>
      <w:r w:rsidRPr="00315E20">
        <w:rPr>
          <w:rStyle w:val="FootnoteReference"/>
        </w:rPr>
        <w:footnoteReference w:id="32"/>
      </w:r>
      <w:r w:rsidRPr="00315E20">
        <w:rPr>
          <w:lang w:val="hy-AM"/>
        </w:rPr>
        <w:t>:</w:t>
      </w:r>
    </w:p>
    <w:p w14:paraId="658E4664" w14:textId="77777777" w:rsidR="00545EC8" w:rsidRDefault="00545EC8" w:rsidP="00B219E6">
      <w:pPr>
        <w:spacing w:after="0" w:line="276" w:lineRule="auto"/>
        <w:ind w:firstLine="0"/>
        <w:rPr>
          <w:noProof/>
          <w:lang w:val="hy-AM"/>
        </w:rPr>
      </w:pPr>
      <w:r w:rsidRPr="00315E20">
        <w:rPr>
          <w:rFonts w:eastAsia="Tahoma" w:cs="Tahoma"/>
          <w:lang w:val="hy-AM"/>
        </w:rPr>
        <w:t xml:space="preserve">2022թ.-ին ՊՄԸ-ների </w:t>
      </w:r>
      <w:r w:rsidRPr="00315E20">
        <w:rPr>
          <w:noProof/>
          <w:lang w:val="hy-AM"/>
        </w:rPr>
        <w:t>ակտիվների ծավալը կազմել է 830 մլրդ ՀՀ դրամ՝ աճելով 2020թ.-ի նկատմամբ 4%-ով, իսկ պարտավորությունների ծավալը կազմել է 453 մլրդ ՀՀ դրամ՝ 2021թ.-ի նկատմամբ նվազելով 11%-ով, իսկ 2020թ.-ի նկատմամբ՝ 17%-ով (</w:t>
      </w:r>
      <w:r>
        <w:rPr>
          <w:noProof/>
          <w:lang w:val="hy-AM"/>
        </w:rPr>
        <w:t>տե΄ս</w:t>
      </w:r>
      <w:r w:rsidRPr="00315E20">
        <w:rPr>
          <w:noProof/>
          <w:lang w:val="hy-AM"/>
        </w:rPr>
        <w:t xml:space="preserve"> գծապատկեր 2): </w:t>
      </w:r>
    </w:p>
    <w:p w14:paraId="1E2F6570" w14:textId="77777777" w:rsidR="00545EC8" w:rsidRPr="00563D6A" w:rsidRDefault="00545EC8" w:rsidP="00545EC8">
      <w:pPr>
        <w:spacing w:after="0" w:line="276" w:lineRule="auto"/>
        <w:rPr>
          <w:rFonts w:eastAsia="Tahoma" w:cs="Times New Roman"/>
          <w:b/>
          <w:bCs/>
          <w:i/>
          <w:iCs/>
          <w:lang w:val="hy-AM"/>
        </w:rPr>
      </w:pPr>
    </w:p>
    <w:p w14:paraId="1B533DE0" w14:textId="77777777" w:rsidR="00545EC8" w:rsidRPr="00C05AC0" w:rsidRDefault="00545EC8" w:rsidP="00545EC8">
      <w:pPr>
        <w:spacing w:line="276" w:lineRule="auto"/>
        <w:ind w:firstLine="0"/>
        <w:rPr>
          <w:rFonts w:eastAsia="Tahoma"/>
          <w:b/>
          <w:bCs/>
          <w:i/>
          <w:iCs/>
          <w:lang w:val="hy-AM"/>
        </w:rPr>
      </w:pPr>
      <w:r w:rsidRPr="00C05AC0">
        <w:rPr>
          <w:rFonts w:eastAsia="Tahoma" w:cs="Times New Roman"/>
          <w:b/>
          <w:bCs/>
          <w:i/>
          <w:iCs/>
          <w:lang w:val="hy-AM"/>
        </w:rPr>
        <w:t>Գծապատկեր 2</w:t>
      </w:r>
      <w:r w:rsidRPr="00C05AC0">
        <w:rPr>
          <w:rFonts w:ascii="Times New Roman" w:eastAsia="Tahoma" w:hAnsi="Times New Roman" w:cs="Times New Roman"/>
          <w:b/>
          <w:bCs/>
          <w:i/>
          <w:iCs/>
          <w:lang w:val="hy-AM"/>
        </w:rPr>
        <w:t>․</w:t>
      </w:r>
      <w:r w:rsidRPr="00C05AC0">
        <w:rPr>
          <w:rFonts w:eastAsia="Tahoma" w:cs="Times New Roman"/>
          <w:b/>
          <w:bCs/>
          <w:i/>
          <w:iCs/>
          <w:lang w:val="hy-AM"/>
        </w:rPr>
        <w:t xml:space="preserve"> </w:t>
      </w:r>
      <w:r w:rsidRPr="00C05AC0">
        <w:rPr>
          <w:rFonts w:eastAsia="Tahoma" w:cs="Times New Roman"/>
          <w:bCs/>
          <w:i/>
          <w:iCs/>
          <w:lang w:val="hy-AM"/>
        </w:rPr>
        <w:t>ՊՄԸ-ների ա</w:t>
      </w:r>
      <w:r w:rsidRPr="00C05AC0">
        <w:rPr>
          <w:rFonts w:eastAsia="Tahoma"/>
          <w:bCs/>
          <w:i/>
          <w:iCs/>
          <w:lang w:val="hy-AM"/>
        </w:rPr>
        <w:t>կտիվների և պարտավորությունների ծավալը 2020-2023թթ</w:t>
      </w:r>
      <w:r w:rsidRPr="00C05AC0">
        <w:rPr>
          <w:rFonts w:ascii="Times New Roman" w:eastAsia="Tahoma" w:hAnsi="Times New Roman" w:cs="Times New Roman"/>
          <w:bCs/>
          <w:i/>
          <w:iCs/>
          <w:lang w:val="hy-AM"/>
        </w:rPr>
        <w:t>.</w:t>
      </w:r>
      <w:r w:rsidRPr="00C05AC0">
        <w:rPr>
          <w:rStyle w:val="FootnoteReference"/>
          <w:rFonts w:eastAsia="Tahoma"/>
          <w:bCs/>
          <w:i/>
          <w:iCs/>
        </w:rPr>
        <w:footnoteReference w:id="33"/>
      </w:r>
    </w:p>
    <w:p w14:paraId="63797917" w14:textId="77777777" w:rsidR="00545EC8" w:rsidRPr="00696307" w:rsidRDefault="00545EC8" w:rsidP="00545EC8">
      <w:pPr>
        <w:spacing w:line="276" w:lineRule="auto"/>
        <w:jc w:val="center"/>
        <w:rPr>
          <w:noProof/>
          <w:sz w:val="24"/>
          <w:szCs w:val="24"/>
          <w:lang w:val="hy-AM"/>
        </w:rPr>
      </w:pPr>
      <w:r w:rsidRPr="00696307">
        <w:rPr>
          <w:noProof/>
        </w:rPr>
        <w:drawing>
          <wp:inline distT="0" distB="0" distL="0" distR="0" wp14:anchorId="4C920BE3" wp14:editId="19DEDC08">
            <wp:extent cx="5253355" cy="2857500"/>
            <wp:effectExtent l="0" t="0" r="4445" b="0"/>
            <wp:docPr id="31" name="Chart 31">
              <a:extLst xmlns:a="http://schemas.openxmlformats.org/drawingml/2006/main">
                <a:ext uri="{FF2B5EF4-FFF2-40B4-BE49-F238E27FC236}">
                  <a16:creationId xmlns:a16="http://schemas.microsoft.com/office/drawing/2014/main" id="{A1EE11AB-8E0C-9A8F-2435-CE9FDF3406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6274278" w14:textId="77777777" w:rsidR="00545EC8" w:rsidRPr="009D1E9B" w:rsidRDefault="00545EC8" w:rsidP="00B219E6">
      <w:pPr>
        <w:spacing w:after="0" w:line="276" w:lineRule="auto"/>
        <w:ind w:firstLine="0"/>
        <w:rPr>
          <w:rFonts w:eastAsia="Tahoma" w:cs="Tahoma"/>
          <w:lang w:val="hy-AM"/>
        </w:rPr>
      </w:pPr>
      <w:r w:rsidRPr="0078732E">
        <w:rPr>
          <w:noProof/>
          <w:lang w:val="hy-AM"/>
        </w:rPr>
        <w:t>9 ընկերության ակտիվների ծավալը կազմում է ընդհանուր ակտիվների պորտֆելի 62%-ը, մինչդեռ նրանց պարտավորությունները կազմում են ընդհանուր պարտավորությունների պորտֆելի 77%-ը: Այդ ըներություններն են՝ «Երևանի Ջերմաէլեկտրակենտրոն» ՓԲԸ-ն, «Հայկական ատոմային էլեկտրակայան» ՓԲԸ-ն, «Բարձրավոլտ էլեկտրացանցեր» ՓԲԸ-ն, «Կարեն Դեմիրճյանի անվան Երևանի մետրոպոլիտեն» ՓԲԸ-ն, «Հայփոստ» ՓԲԸ, «ԷլեկտրաԷներգետիկական Համակարգի Օպերատոր» ՓԲԸ, «Վ</w:t>
      </w:r>
      <w:r w:rsidRPr="0078732E">
        <w:rPr>
          <w:rFonts w:ascii="Cambria Math" w:hAnsi="Cambria Math" w:cs="Cambria Math"/>
          <w:noProof/>
          <w:lang w:val="hy-AM"/>
        </w:rPr>
        <w:t>․</w:t>
      </w:r>
      <w:r w:rsidRPr="0078732E">
        <w:rPr>
          <w:noProof/>
          <w:lang w:val="hy-AM"/>
        </w:rPr>
        <w:t xml:space="preserve"> Ա</w:t>
      </w:r>
      <w:r w:rsidRPr="0078732E">
        <w:rPr>
          <w:rFonts w:ascii="Cambria Math" w:hAnsi="Cambria Math" w:cs="Cambria Math"/>
          <w:noProof/>
          <w:lang w:val="hy-AM"/>
        </w:rPr>
        <w:t>․</w:t>
      </w:r>
      <w:r w:rsidRPr="0078732E">
        <w:rPr>
          <w:noProof/>
          <w:lang w:val="hy-AM"/>
        </w:rPr>
        <w:t xml:space="preserve"> Ֆանարջյանի անվան ուռուցքաբանության ազգային կենտրոն» ՓԲԸ, «Երևանի ավտոբուս» ՓԲԸ, «Հաշվարկային կենտրոն» ՓԲԸ: Հաշվի առնելով վերջիններիս ակտիվների գերակշռող մակարդակը՝ հետևա</w:t>
      </w:r>
      <w:r w:rsidRPr="009D1E9B">
        <w:rPr>
          <w:noProof/>
          <w:lang w:val="hy-AM"/>
        </w:rPr>
        <w:t>բար դրանց նշանակությունը թե՛ հանրային շահի, թե՛ ֆինանսական կայունության տեսանկյունից՝ ստորև վերլուծվել են 9 ՊՄԸ-ի ֆինանսական առողջության մակարդակը։ Ներկայացվել է նաև այդ ընկերությունների շարքում ք</w:t>
      </w:r>
      <w:r w:rsidRPr="009D1E9B">
        <w:rPr>
          <w:rFonts w:eastAsia="Tahoma" w:cs="Tahoma"/>
          <w:lang w:val="hy-AM"/>
        </w:rPr>
        <w:t xml:space="preserve">վազի-ֆիսկալ գործունեության օրինակներ։ </w:t>
      </w:r>
    </w:p>
    <w:p w14:paraId="6B2DCAA3" w14:textId="77777777" w:rsidR="00545EC8" w:rsidRPr="009D1E9B" w:rsidRDefault="00545EC8" w:rsidP="00B219E6">
      <w:pPr>
        <w:spacing w:after="0" w:line="276" w:lineRule="auto"/>
        <w:ind w:firstLine="0"/>
        <w:rPr>
          <w:rFonts w:eastAsia="Tahoma" w:cs="Tahoma"/>
          <w:b/>
          <w:lang w:val="hy-AM"/>
        </w:rPr>
      </w:pPr>
      <w:r w:rsidRPr="009D1E9B">
        <w:rPr>
          <w:rFonts w:eastAsia="Tahoma" w:cs="Tahoma"/>
          <w:lang w:val="hy-AM"/>
        </w:rPr>
        <w:t>Քվազի-ֆիսկալ են համարվում գործունեության այն տեսակները, որոնք, չնայած վատթարացնում են հանրային ընկերությունների ֆինանսական վիճակը՝ համեմատած զուտ առևտրային առավելագույն շահույթի մակարդակի հետ, սակայն  ուղղված են հանրային քաղաքականության նպատակներին: Քվազի-ֆիսկալ  գործունեությունը կարող է դրսևորվել տարբեր ձևերով՝ ներառյալ իրենց առևտրային արժեքից ցածր գնով ապրանքների և ծառայությունների վաճառքը կամ ընտրված մատակարարներին առևտրային արժեքից բարձր գնով վճարումները</w:t>
      </w:r>
      <w:r w:rsidRPr="009D1E9B">
        <w:rPr>
          <w:rStyle w:val="FootnoteReference"/>
          <w:rFonts w:eastAsia="Tahoma" w:cs="Tahoma"/>
        </w:rPr>
        <w:footnoteReference w:id="34"/>
      </w:r>
      <w:r w:rsidRPr="009D1E9B">
        <w:rPr>
          <w:rFonts w:eastAsia="Tahoma" w:cs="Tahoma"/>
          <w:lang w:val="hy-AM"/>
        </w:rPr>
        <w:t>:</w:t>
      </w:r>
      <w:r w:rsidRPr="009D1E9B">
        <w:rPr>
          <w:rFonts w:eastAsia="Tahoma" w:cs="Tahoma"/>
          <w:b/>
          <w:lang w:val="hy-AM"/>
        </w:rPr>
        <w:t xml:space="preserve"> </w:t>
      </w:r>
    </w:p>
    <w:p w14:paraId="56C3AF46" w14:textId="77777777" w:rsidR="00545EC8" w:rsidRPr="009D1E9B" w:rsidRDefault="00545EC8" w:rsidP="00B219E6">
      <w:pPr>
        <w:spacing w:after="0" w:line="276" w:lineRule="auto"/>
        <w:ind w:firstLine="0"/>
        <w:rPr>
          <w:rFonts w:eastAsia="Tahoma" w:cs="Tahoma"/>
          <w:lang w:val="hy-AM"/>
        </w:rPr>
      </w:pPr>
      <w:r w:rsidRPr="009D1E9B">
        <w:rPr>
          <w:rFonts w:eastAsia="Tahoma" w:cs="Tahoma"/>
          <w:lang w:val="hy-AM"/>
        </w:rPr>
        <w:t xml:space="preserve">Հաշվի առնելով, որ «Կարեն Դեմիրճյանի անվան Երևանի մետրոպոլիտեն» ՓԲԸ-ի կողմից մատուցվող ծառայությունների արժեքը ցածր է շուկայականից, պետությունն աջակցում է ընկերությանը՝ գործառնական գործունեության արդյունքում առաջացող ֆինանսական ճեղքվածքի չափով: Մասնավորապես,  2024թ-ին ֆինանսական ճեղքվածքի ծածկմանն ուղղվելու է շուրջ 1.9 մլրդ ՀՀ դրամ: </w:t>
      </w:r>
      <w:r w:rsidRPr="009D1E9B">
        <w:rPr>
          <w:lang w:val="hy-AM"/>
        </w:rPr>
        <w:t xml:space="preserve">«Ջրառ» ՓԲԸ-ին </w:t>
      </w:r>
      <w:r w:rsidRPr="009D1E9B">
        <w:rPr>
          <w:rFonts w:eastAsia="Tahoma" w:cs="Tahoma"/>
          <w:lang w:val="hy-AM"/>
        </w:rPr>
        <w:t xml:space="preserve">ուղղվելու է շուրջ 1.3 մլրդ ՀՀ դրամ՝ </w:t>
      </w:r>
      <w:r w:rsidRPr="009D1E9B">
        <w:rPr>
          <w:lang w:val="hy-AM"/>
        </w:rPr>
        <w:t>ոռոգման ջրի սակագնի և նվազագույն շահավետ գնի տարբերության չափով</w:t>
      </w:r>
      <w:r w:rsidRPr="009D1E9B">
        <w:rPr>
          <w:rStyle w:val="FootnoteReference"/>
          <w:rFonts w:eastAsia="Tahoma" w:cs="Tahoma"/>
        </w:rPr>
        <w:footnoteReference w:id="35"/>
      </w:r>
      <w:r w:rsidRPr="009D1E9B">
        <w:rPr>
          <w:rFonts w:eastAsia="Tahoma" w:cs="Tahoma"/>
          <w:lang w:val="hy-AM"/>
        </w:rPr>
        <w:t xml:space="preserve">: </w:t>
      </w:r>
    </w:p>
    <w:p w14:paraId="2C27E52D" w14:textId="77777777" w:rsidR="00545EC8" w:rsidRDefault="00545EC8" w:rsidP="00545EC8">
      <w:pPr>
        <w:spacing w:after="0" w:line="276" w:lineRule="auto"/>
        <w:rPr>
          <w:noProof/>
          <w:lang w:val="hy-AM"/>
        </w:rPr>
      </w:pPr>
    </w:p>
    <w:p w14:paraId="118FB389" w14:textId="77777777" w:rsidR="00545EC8" w:rsidRDefault="00545EC8" w:rsidP="00545EC8">
      <w:pPr>
        <w:spacing w:line="276" w:lineRule="auto"/>
        <w:rPr>
          <w:b/>
          <w:lang w:val="hy-AM"/>
        </w:rPr>
      </w:pPr>
      <w:r w:rsidRPr="0078732E">
        <w:rPr>
          <w:b/>
          <w:lang w:val="hy-AM"/>
        </w:rPr>
        <w:t>ՊՄԸ-ների ֆինանսական առողջության վերլուծություն</w:t>
      </w:r>
      <w:r w:rsidRPr="0078732E">
        <w:rPr>
          <w:rStyle w:val="FootnoteReference"/>
        </w:rPr>
        <w:footnoteReference w:id="36"/>
      </w:r>
    </w:p>
    <w:p w14:paraId="50E74D7C" w14:textId="77777777" w:rsidR="00545EC8" w:rsidRDefault="00545EC8" w:rsidP="00B219E6">
      <w:pPr>
        <w:spacing w:after="0" w:line="276" w:lineRule="auto"/>
        <w:ind w:firstLine="0"/>
        <w:rPr>
          <w:lang w:val="hy-AM"/>
        </w:rPr>
      </w:pPr>
      <w:r w:rsidRPr="0078732E">
        <w:rPr>
          <w:lang w:val="hy-AM"/>
        </w:rPr>
        <w:t>Վերլուծությունը կատարվել է շահութաբերության, իրացվելիության և վճարունակության ցուցանիշների գնահատումների հիման վրա, որոնց արդյունքում ռիսկայնության մակարդակը դասակարգվել է ըստ կատեգորիանների: Ընդ որում, 1-ին կատեգորիան նշում է ռիսկի ցածր մակարդակ, իսկ 5-րդը՝ ռիսկի բարձր մակարդակ (տե</w:t>
      </w:r>
      <w:r w:rsidRPr="00B35A3C">
        <w:rPr>
          <w:lang w:val="hy-AM"/>
        </w:rPr>
        <w:t>΄</w:t>
      </w:r>
      <w:r w:rsidRPr="0078732E">
        <w:rPr>
          <w:lang w:val="hy-AM"/>
        </w:rPr>
        <w:t>ս աղյուսակ 2): Վերլուծության համաձայն՝ ՊՄԸ-ների ռիսկի միջին կշռված մակարդակը 2022 թվականի դրությամբ 3-րդ կատեգորիայում է (տե</w:t>
      </w:r>
      <w:r w:rsidRPr="00B35A3C">
        <w:rPr>
          <w:lang w:val="hy-AM"/>
        </w:rPr>
        <w:t>΄</w:t>
      </w:r>
      <w:r w:rsidRPr="0078732E">
        <w:rPr>
          <w:lang w:val="hy-AM"/>
        </w:rPr>
        <w:t xml:space="preserve">ս աղյուսակ 3): Ի </w:t>
      </w:r>
      <w:r w:rsidRPr="00E95586">
        <w:rPr>
          <w:lang w:val="hy-AM"/>
        </w:rPr>
        <w:t>թիվս այլ ֆինանսական ցուցանիշների՝ ընկերությունների պարտքի մակարդակը</w:t>
      </w:r>
      <w:r w:rsidRPr="00E95586">
        <w:rPr>
          <w:rStyle w:val="FootnoteReference"/>
        </w:rPr>
        <w:footnoteReference w:id="37"/>
      </w:r>
      <w:r w:rsidRPr="00E95586">
        <w:rPr>
          <w:lang w:val="hy-AM"/>
        </w:rPr>
        <w:t xml:space="preserve"> շարունակում է մնալ բարձր։ Պարտքի բարձր մակարդակը կարող է հանգեցնել պետության կողմից աջակցության կարիքի առաջացման հավանականության</w:t>
      </w:r>
      <w:r>
        <w:rPr>
          <w:lang w:val="hy-AM"/>
        </w:rPr>
        <w:t>՝</w:t>
      </w:r>
      <w:r w:rsidRPr="00E95586">
        <w:rPr>
          <w:lang w:val="hy-AM"/>
        </w:rPr>
        <w:t xml:space="preserve"> բարձրացմանը ֆինանսական անկայունության պայմաններում: ՊՄԸ-</w:t>
      </w:r>
      <w:r w:rsidRPr="0078732E">
        <w:rPr>
          <w:lang w:val="hy-AM"/>
        </w:rPr>
        <w:t>ների ֆինանսական առողջությունը հատկապես վատթարացել է 2020 և 2021 թվականներին, ինչը պայմանավորված է COVID-19-ի համաճարակի ազդեցությամբ: 2022թ.-ին, չնայած պարտքի մակարդակի իջեցմանը, այն դեռևս մնում է էական:</w:t>
      </w:r>
    </w:p>
    <w:p w14:paraId="54946929" w14:textId="77777777" w:rsidR="00545EC8" w:rsidRDefault="00545EC8" w:rsidP="00545EC8">
      <w:pPr>
        <w:spacing w:line="276" w:lineRule="auto"/>
        <w:jc w:val="center"/>
        <w:rPr>
          <w:b/>
          <w:lang w:val="hy-AM"/>
        </w:rPr>
      </w:pPr>
    </w:p>
    <w:p w14:paraId="5C931EF0" w14:textId="77777777" w:rsidR="00545EC8" w:rsidRPr="00C05AC0" w:rsidRDefault="00545EC8" w:rsidP="00545EC8">
      <w:pPr>
        <w:spacing w:line="276" w:lineRule="auto"/>
        <w:jc w:val="center"/>
        <w:rPr>
          <w:i/>
          <w:lang w:val="hy-AM"/>
        </w:rPr>
      </w:pPr>
      <w:r w:rsidRPr="00C05AC0">
        <w:rPr>
          <w:b/>
          <w:i/>
          <w:lang w:val="hy-AM"/>
        </w:rPr>
        <w:t xml:space="preserve">Աղյուսակ 2. </w:t>
      </w:r>
      <w:r w:rsidRPr="00C05AC0">
        <w:rPr>
          <w:i/>
          <w:lang w:val="hy-AM"/>
        </w:rPr>
        <w:t>Ռիսկի դասակարգում</w:t>
      </w:r>
    </w:p>
    <w:p w14:paraId="1316BD40" w14:textId="77777777" w:rsidR="00545EC8" w:rsidRDefault="00545EC8" w:rsidP="00545EC8">
      <w:pPr>
        <w:spacing w:line="276" w:lineRule="auto"/>
        <w:jc w:val="center"/>
        <w:rPr>
          <w:sz w:val="24"/>
          <w:szCs w:val="24"/>
          <w:lang w:val="hy-AM"/>
        </w:rPr>
      </w:pPr>
      <w:r w:rsidRPr="00696307">
        <w:rPr>
          <w:noProof/>
        </w:rPr>
        <w:drawing>
          <wp:inline distT="0" distB="0" distL="0" distR="0" wp14:anchorId="15ABED36" wp14:editId="7FB7DCF9">
            <wp:extent cx="2406273" cy="97377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426671" cy="982032"/>
                    </a:xfrm>
                    <a:prstGeom prst="rect">
                      <a:avLst/>
                    </a:prstGeom>
                  </pic:spPr>
                </pic:pic>
              </a:graphicData>
            </a:graphic>
          </wp:inline>
        </w:drawing>
      </w:r>
    </w:p>
    <w:p w14:paraId="6A66EE7A" w14:textId="77777777" w:rsidR="00545EC8" w:rsidRDefault="00545EC8" w:rsidP="00B219E6">
      <w:pPr>
        <w:spacing w:after="0" w:line="276" w:lineRule="auto"/>
        <w:ind w:firstLine="0"/>
        <w:rPr>
          <w:lang w:val="hy-AM"/>
        </w:rPr>
      </w:pPr>
      <w:r w:rsidRPr="00563D6A">
        <w:rPr>
          <w:lang w:val="hy-AM"/>
        </w:rPr>
        <w:t>2022թ</w:t>
      </w:r>
      <w:r w:rsidRPr="00563D6A">
        <w:rPr>
          <w:rFonts w:ascii="Cambria Math" w:hAnsi="Cambria Math" w:cs="Cambria Math"/>
          <w:lang w:val="hy-AM"/>
        </w:rPr>
        <w:t>․</w:t>
      </w:r>
      <w:r w:rsidRPr="00563D6A">
        <w:rPr>
          <w:rFonts w:cs="Times New Roman"/>
          <w:lang w:val="hy-AM"/>
        </w:rPr>
        <w:t>-ին</w:t>
      </w:r>
      <w:r w:rsidRPr="00563D6A">
        <w:rPr>
          <w:lang w:val="hy-AM"/>
        </w:rPr>
        <w:t xml:space="preserve"> դիտարկված ընկերություններից 6-ը շահութաբեր են եղել, իսկ 3-ը՝ աշխատել են վնասով: 2022թ.-ին զուտ շահույթի մարժան</w:t>
      </w:r>
      <w:r w:rsidRPr="00563D6A">
        <w:rPr>
          <w:rStyle w:val="FootnoteReference"/>
        </w:rPr>
        <w:footnoteReference w:id="38"/>
      </w:r>
      <w:r w:rsidRPr="00563D6A">
        <w:rPr>
          <w:lang w:val="hy-AM"/>
        </w:rPr>
        <w:t xml:space="preserve"> կազմել է 46%, իսկ գործառնական շահույթի մարժան</w:t>
      </w:r>
      <w:r w:rsidRPr="00563D6A">
        <w:rPr>
          <w:rStyle w:val="FootnoteReference"/>
        </w:rPr>
        <w:footnoteReference w:id="39"/>
      </w:r>
      <w:r w:rsidRPr="00563D6A">
        <w:rPr>
          <w:lang w:val="hy-AM"/>
        </w:rPr>
        <w:t>՝ 7% (</w:t>
      </w:r>
      <w:r>
        <w:rPr>
          <w:lang w:val="hy-AM"/>
        </w:rPr>
        <w:t>տե΄ս գ</w:t>
      </w:r>
      <w:r w:rsidRPr="00563D6A">
        <w:rPr>
          <w:lang w:val="hy-AM"/>
        </w:rPr>
        <w:t xml:space="preserve">ծապատկեր </w:t>
      </w:r>
      <w:r w:rsidRPr="0078732E">
        <w:rPr>
          <w:lang w:val="hy-AM"/>
        </w:rPr>
        <w:t>3</w:t>
      </w:r>
      <w:r w:rsidRPr="00563D6A">
        <w:rPr>
          <w:lang w:val="hy-AM"/>
        </w:rPr>
        <w:t>):</w:t>
      </w:r>
    </w:p>
    <w:p w14:paraId="09D7C14C" w14:textId="77777777" w:rsidR="00545EC8" w:rsidRDefault="00545EC8" w:rsidP="00545EC8">
      <w:pPr>
        <w:spacing w:after="0" w:line="276" w:lineRule="auto"/>
        <w:rPr>
          <w:lang w:val="hy-AM"/>
        </w:rPr>
      </w:pPr>
      <w:r w:rsidRPr="00563D6A">
        <w:rPr>
          <w:lang w:val="hy-AM"/>
        </w:rPr>
        <w:t xml:space="preserve"> </w:t>
      </w:r>
    </w:p>
    <w:p w14:paraId="351F4791" w14:textId="77777777" w:rsidR="00545EC8" w:rsidRDefault="00545EC8" w:rsidP="00545EC8">
      <w:pPr>
        <w:spacing w:after="0" w:line="276" w:lineRule="auto"/>
        <w:rPr>
          <w:lang w:val="hy-AM"/>
        </w:rPr>
      </w:pPr>
    </w:p>
    <w:p w14:paraId="0C09600B" w14:textId="77777777" w:rsidR="00545EC8" w:rsidRDefault="00545EC8" w:rsidP="00545EC8">
      <w:pPr>
        <w:spacing w:after="0" w:line="276" w:lineRule="auto"/>
        <w:rPr>
          <w:lang w:val="hy-AM"/>
        </w:rPr>
      </w:pPr>
    </w:p>
    <w:p w14:paraId="5EB63BB8" w14:textId="77777777" w:rsidR="00545EC8" w:rsidRDefault="00545EC8" w:rsidP="00545EC8">
      <w:pPr>
        <w:spacing w:line="276" w:lineRule="auto"/>
        <w:ind w:firstLine="0"/>
        <w:rPr>
          <w:lang w:val="hy-AM"/>
        </w:rPr>
      </w:pPr>
    </w:p>
    <w:p w14:paraId="101DE4C1" w14:textId="77777777" w:rsidR="00545EC8" w:rsidRDefault="00545EC8" w:rsidP="00545EC8">
      <w:pPr>
        <w:spacing w:line="276" w:lineRule="auto"/>
        <w:ind w:firstLine="0"/>
        <w:rPr>
          <w:i/>
          <w:lang w:val="hy-AM"/>
        </w:rPr>
      </w:pPr>
      <w:r w:rsidRPr="00C05AC0">
        <w:rPr>
          <w:b/>
          <w:i/>
          <w:lang w:val="hy-AM"/>
        </w:rPr>
        <w:t xml:space="preserve">Աղյուսակ 3. </w:t>
      </w:r>
      <w:r w:rsidRPr="00C05AC0">
        <w:rPr>
          <w:i/>
          <w:lang w:val="hy-AM"/>
        </w:rPr>
        <w:t>ՊՄԸ-ների ռիսկայնության մակարդակը</w:t>
      </w:r>
    </w:p>
    <w:tbl>
      <w:tblPr>
        <w:tblW w:w="10297" w:type="dxa"/>
        <w:tblInd w:w="-289" w:type="dxa"/>
        <w:tblLook w:val="04A0" w:firstRow="1" w:lastRow="0" w:firstColumn="1" w:lastColumn="0" w:noHBand="0" w:noVBand="1"/>
      </w:tblPr>
      <w:tblGrid>
        <w:gridCol w:w="4745"/>
        <w:gridCol w:w="1388"/>
        <w:gridCol w:w="1388"/>
        <w:gridCol w:w="1388"/>
        <w:gridCol w:w="1388"/>
      </w:tblGrid>
      <w:tr w:rsidR="00545EC8" w:rsidRPr="0078732E" w14:paraId="323BE8EB" w14:textId="77777777" w:rsidTr="00D262EA">
        <w:trPr>
          <w:trHeight w:val="235"/>
        </w:trPr>
        <w:tc>
          <w:tcPr>
            <w:tcW w:w="4745" w:type="dxa"/>
            <w:tcBorders>
              <w:top w:val="single" w:sz="4" w:space="0" w:color="ED7D31"/>
              <w:left w:val="single" w:sz="4" w:space="0" w:color="ED7D31"/>
              <w:bottom w:val="single" w:sz="8" w:space="0" w:color="ED7D31"/>
              <w:right w:val="single" w:sz="4" w:space="0" w:color="ED7D31"/>
            </w:tcBorders>
            <w:shd w:val="clear" w:color="auto" w:fill="auto"/>
            <w:noWrap/>
            <w:vAlign w:val="bottom"/>
            <w:hideMark/>
          </w:tcPr>
          <w:p w14:paraId="65DD6A98" w14:textId="77777777" w:rsidR="00545EC8" w:rsidRPr="0078732E" w:rsidRDefault="00545EC8" w:rsidP="00D262EA">
            <w:pPr>
              <w:spacing w:after="0" w:line="276" w:lineRule="auto"/>
              <w:rPr>
                <w:rFonts w:eastAsia="Times New Roman" w:cs="Calibri"/>
                <w:b/>
                <w:bCs/>
                <w:color w:val="000000"/>
                <w:sz w:val="20"/>
                <w:szCs w:val="20"/>
                <w:lang w:val="hy-AM"/>
              </w:rPr>
            </w:pPr>
            <w:r w:rsidRPr="0078732E">
              <w:rPr>
                <w:rFonts w:eastAsia="Times New Roman" w:cs="Calibri"/>
                <w:b/>
                <w:bCs/>
                <w:color w:val="000000"/>
                <w:sz w:val="20"/>
                <w:szCs w:val="20"/>
                <w:lang w:val="hy-AM"/>
              </w:rPr>
              <w:t>Կազմակերպության անվանում</w:t>
            </w:r>
          </w:p>
        </w:tc>
        <w:tc>
          <w:tcPr>
            <w:tcW w:w="1388" w:type="dxa"/>
            <w:tcBorders>
              <w:top w:val="nil"/>
              <w:left w:val="nil"/>
              <w:bottom w:val="nil"/>
              <w:right w:val="nil"/>
            </w:tcBorders>
            <w:shd w:val="clear" w:color="auto" w:fill="auto"/>
            <w:noWrap/>
            <w:vAlign w:val="bottom"/>
            <w:hideMark/>
          </w:tcPr>
          <w:p w14:paraId="7A4F490B" w14:textId="77777777" w:rsidR="00545EC8" w:rsidRPr="0078732E" w:rsidRDefault="00545EC8" w:rsidP="00D262EA">
            <w:pPr>
              <w:spacing w:after="0" w:line="276" w:lineRule="auto"/>
              <w:jc w:val="center"/>
              <w:rPr>
                <w:rFonts w:eastAsia="Times New Roman" w:cs="Calibri"/>
                <w:b/>
                <w:bCs/>
                <w:color w:val="000000"/>
                <w:lang w:val="hy-AM"/>
              </w:rPr>
            </w:pPr>
            <w:r w:rsidRPr="0078732E">
              <w:rPr>
                <w:rFonts w:eastAsia="Times New Roman" w:cs="Calibri"/>
                <w:b/>
                <w:bCs/>
                <w:color w:val="000000"/>
                <w:lang w:val="hy-AM"/>
              </w:rPr>
              <w:t>2019</w:t>
            </w:r>
          </w:p>
        </w:tc>
        <w:tc>
          <w:tcPr>
            <w:tcW w:w="1388" w:type="dxa"/>
            <w:tcBorders>
              <w:top w:val="nil"/>
              <w:left w:val="nil"/>
              <w:bottom w:val="nil"/>
              <w:right w:val="nil"/>
            </w:tcBorders>
            <w:shd w:val="clear" w:color="auto" w:fill="auto"/>
            <w:noWrap/>
            <w:vAlign w:val="bottom"/>
            <w:hideMark/>
          </w:tcPr>
          <w:p w14:paraId="4EB2268D" w14:textId="77777777" w:rsidR="00545EC8" w:rsidRPr="0078732E" w:rsidRDefault="00545EC8" w:rsidP="00D262EA">
            <w:pPr>
              <w:spacing w:after="0" w:line="276" w:lineRule="auto"/>
              <w:jc w:val="center"/>
              <w:rPr>
                <w:rFonts w:eastAsia="Times New Roman" w:cs="Calibri"/>
                <w:b/>
                <w:bCs/>
                <w:color w:val="000000"/>
                <w:lang w:val="hy-AM"/>
              </w:rPr>
            </w:pPr>
            <w:r w:rsidRPr="0078732E">
              <w:rPr>
                <w:rFonts w:eastAsia="Times New Roman" w:cs="Calibri"/>
                <w:b/>
                <w:bCs/>
                <w:color w:val="000000"/>
                <w:lang w:val="hy-AM"/>
              </w:rPr>
              <w:t>2020</w:t>
            </w:r>
          </w:p>
        </w:tc>
        <w:tc>
          <w:tcPr>
            <w:tcW w:w="1388" w:type="dxa"/>
            <w:tcBorders>
              <w:top w:val="nil"/>
              <w:left w:val="nil"/>
              <w:bottom w:val="nil"/>
              <w:right w:val="nil"/>
            </w:tcBorders>
            <w:shd w:val="clear" w:color="auto" w:fill="auto"/>
            <w:noWrap/>
            <w:vAlign w:val="bottom"/>
            <w:hideMark/>
          </w:tcPr>
          <w:p w14:paraId="237DDD4B" w14:textId="77777777" w:rsidR="00545EC8" w:rsidRPr="0078732E" w:rsidRDefault="00545EC8" w:rsidP="00D262EA">
            <w:pPr>
              <w:spacing w:after="0" w:line="276" w:lineRule="auto"/>
              <w:jc w:val="center"/>
              <w:rPr>
                <w:rFonts w:eastAsia="Times New Roman" w:cs="Calibri"/>
                <w:b/>
                <w:bCs/>
                <w:color w:val="000000"/>
                <w:lang w:val="hy-AM"/>
              </w:rPr>
            </w:pPr>
            <w:r w:rsidRPr="0078732E">
              <w:rPr>
                <w:rFonts w:eastAsia="Times New Roman" w:cs="Calibri"/>
                <w:b/>
                <w:bCs/>
                <w:color w:val="000000"/>
                <w:lang w:val="hy-AM"/>
              </w:rPr>
              <w:t>2021</w:t>
            </w:r>
          </w:p>
        </w:tc>
        <w:tc>
          <w:tcPr>
            <w:tcW w:w="1388" w:type="dxa"/>
            <w:tcBorders>
              <w:top w:val="nil"/>
              <w:left w:val="nil"/>
              <w:bottom w:val="nil"/>
              <w:right w:val="nil"/>
            </w:tcBorders>
            <w:shd w:val="clear" w:color="auto" w:fill="auto"/>
            <w:noWrap/>
            <w:vAlign w:val="bottom"/>
            <w:hideMark/>
          </w:tcPr>
          <w:p w14:paraId="2E9F5991" w14:textId="77777777" w:rsidR="00545EC8" w:rsidRPr="0078732E" w:rsidRDefault="00545EC8" w:rsidP="00D262EA">
            <w:pPr>
              <w:spacing w:after="0" w:line="276" w:lineRule="auto"/>
              <w:jc w:val="center"/>
              <w:rPr>
                <w:rFonts w:eastAsia="Times New Roman" w:cs="Calibri"/>
                <w:b/>
                <w:bCs/>
                <w:color w:val="000000"/>
                <w:lang w:val="hy-AM"/>
              </w:rPr>
            </w:pPr>
            <w:r w:rsidRPr="0078732E">
              <w:rPr>
                <w:rFonts w:eastAsia="Times New Roman" w:cs="Calibri"/>
                <w:b/>
                <w:bCs/>
                <w:color w:val="000000"/>
                <w:lang w:val="hy-AM"/>
              </w:rPr>
              <w:t>2022</w:t>
            </w:r>
          </w:p>
        </w:tc>
      </w:tr>
      <w:tr w:rsidR="00545EC8" w:rsidRPr="00696307" w14:paraId="6A5614E6"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FCE4D6" w:fill="FCE4D6"/>
            <w:noWrap/>
            <w:vAlign w:val="center"/>
            <w:hideMark/>
          </w:tcPr>
          <w:p w14:paraId="3F633FA9" w14:textId="77777777" w:rsidR="00545EC8" w:rsidRPr="0078732E" w:rsidRDefault="00545EC8" w:rsidP="00D262EA">
            <w:pPr>
              <w:spacing w:after="0" w:line="276" w:lineRule="auto"/>
              <w:rPr>
                <w:rFonts w:eastAsia="Times New Roman" w:cs="Calibri"/>
                <w:color w:val="000000"/>
                <w:sz w:val="20"/>
                <w:szCs w:val="20"/>
                <w:lang w:val="hy-AM"/>
              </w:rPr>
            </w:pPr>
            <w:r w:rsidRPr="0078732E">
              <w:rPr>
                <w:rFonts w:eastAsia="Times New Roman" w:cs="Calibri"/>
                <w:color w:val="000000"/>
                <w:sz w:val="20"/>
                <w:szCs w:val="20"/>
                <w:lang w:val="hy-AM"/>
              </w:rPr>
              <w:t>«Երևանի Ջերմաէլեկտրակենտրոն» ՓԲԸ</w:t>
            </w:r>
          </w:p>
        </w:tc>
        <w:tc>
          <w:tcPr>
            <w:tcW w:w="1388" w:type="dxa"/>
            <w:tcBorders>
              <w:top w:val="nil"/>
              <w:left w:val="nil"/>
              <w:bottom w:val="nil"/>
              <w:right w:val="nil"/>
            </w:tcBorders>
            <w:shd w:val="clear" w:color="000000" w:fill="ED7D31"/>
            <w:noWrap/>
            <w:vAlign w:val="center"/>
            <w:hideMark/>
          </w:tcPr>
          <w:p w14:paraId="5D8E0A63" w14:textId="77777777" w:rsidR="00545EC8" w:rsidRPr="0078732E" w:rsidRDefault="00545EC8" w:rsidP="00D262EA">
            <w:pPr>
              <w:spacing w:after="0" w:line="276" w:lineRule="auto"/>
              <w:jc w:val="center"/>
              <w:rPr>
                <w:rFonts w:eastAsia="Times New Roman" w:cs="Calibri"/>
                <w:color w:val="000000"/>
                <w:sz w:val="20"/>
                <w:szCs w:val="20"/>
                <w:lang w:val="hy-AM"/>
              </w:rPr>
            </w:pPr>
            <w:r w:rsidRPr="0078732E">
              <w:rPr>
                <w:rFonts w:eastAsia="Times New Roman" w:cs="Calibri"/>
                <w:color w:val="000000"/>
                <w:sz w:val="20"/>
                <w:szCs w:val="20"/>
                <w:lang w:val="hy-AM"/>
              </w:rPr>
              <w:t>3-րդ կատեգորիա</w:t>
            </w:r>
          </w:p>
        </w:tc>
        <w:tc>
          <w:tcPr>
            <w:tcW w:w="1388" w:type="dxa"/>
            <w:tcBorders>
              <w:top w:val="nil"/>
              <w:left w:val="nil"/>
              <w:bottom w:val="nil"/>
              <w:right w:val="nil"/>
            </w:tcBorders>
            <w:shd w:val="clear" w:color="000000" w:fill="FF0000"/>
            <w:noWrap/>
            <w:vAlign w:val="center"/>
            <w:hideMark/>
          </w:tcPr>
          <w:p w14:paraId="2D31698F" w14:textId="77777777" w:rsidR="00545EC8" w:rsidRPr="0078732E" w:rsidRDefault="00545EC8" w:rsidP="00D262EA">
            <w:pPr>
              <w:spacing w:after="0" w:line="276" w:lineRule="auto"/>
              <w:jc w:val="center"/>
              <w:rPr>
                <w:rFonts w:eastAsia="Times New Roman" w:cs="Calibri"/>
                <w:color w:val="FFFFFF"/>
                <w:sz w:val="20"/>
                <w:szCs w:val="20"/>
                <w:lang w:val="hy-AM"/>
              </w:rPr>
            </w:pPr>
            <w:r w:rsidRPr="0078732E">
              <w:rPr>
                <w:rFonts w:eastAsia="Times New Roman" w:cs="Calibri"/>
                <w:color w:val="FFFFFF"/>
                <w:sz w:val="20"/>
                <w:szCs w:val="20"/>
                <w:lang w:val="hy-AM"/>
              </w:rPr>
              <w:t>4-րդ կատեգորիա</w:t>
            </w:r>
          </w:p>
        </w:tc>
        <w:tc>
          <w:tcPr>
            <w:tcW w:w="1388" w:type="dxa"/>
            <w:tcBorders>
              <w:top w:val="nil"/>
              <w:left w:val="nil"/>
              <w:bottom w:val="nil"/>
              <w:right w:val="nil"/>
            </w:tcBorders>
            <w:shd w:val="clear" w:color="000000" w:fill="FF0000"/>
            <w:vAlign w:val="center"/>
            <w:hideMark/>
          </w:tcPr>
          <w:p w14:paraId="5BAB5483" w14:textId="77777777" w:rsidR="00545EC8" w:rsidRPr="0078732E" w:rsidRDefault="00545EC8" w:rsidP="00D262EA">
            <w:pPr>
              <w:spacing w:after="0" w:line="276" w:lineRule="auto"/>
              <w:jc w:val="center"/>
              <w:rPr>
                <w:rFonts w:eastAsia="Times New Roman" w:cs="Calibri"/>
                <w:color w:val="FFFFFF"/>
                <w:sz w:val="20"/>
                <w:szCs w:val="20"/>
                <w:lang w:val="hy-AM"/>
              </w:rPr>
            </w:pPr>
            <w:r w:rsidRPr="0078732E">
              <w:rPr>
                <w:rFonts w:eastAsia="Times New Roman" w:cs="Calibri"/>
                <w:color w:val="FFFFFF"/>
                <w:sz w:val="20"/>
                <w:szCs w:val="20"/>
                <w:lang w:val="hy-AM"/>
              </w:rPr>
              <w:t>4-րդ կատեգորիա</w:t>
            </w:r>
          </w:p>
        </w:tc>
        <w:tc>
          <w:tcPr>
            <w:tcW w:w="1388" w:type="dxa"/>
            <w:tcBorders>
              <w:top w:val="nil"/>
              <w:left w:val="nil"/>
              <w:bottom w:val="nil"/>
              <w:right w:val="nil"/>
            </w:tcBorders>
            <w:shd w:val="clear" w:color="000000" w:fill="FFC000"/>
            <w:noWrap/>
            <w:vAlign w:val="center"/>
            <w:hideMark/>
          </w:tcPr>
          <w:p w14:paraId="56D5FCF5"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lang w:val="hy-AM"/>
              </w:rPr>
              <w:t>2-րդ կ</w:t>
            </w:r>
            <w:r w:rsidRPr="0078732E">
              <w:rPr>
                <w:rFonts w:eastAsia="Times New Roman" w:cs="Calibri"/>
                <w:color w:val="000000"/>
                <w:sz w:val="20"/>
                <w:szCs w:val="20"/>
              </w:rPr>
              <w:t>ատեգորիա</w:t>
            </w:r>
          </w:p>
        </w:tc>
      </w:tr>
      <w:tr w:rsidR="00545EC8" w:rsidRPr="00696307" w14:paraId="07D89CC0"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auto" w:fill="auto"/>
            <w:noWrap/>
            <w:vAlign w:val="center"/>
            <w:hideMark/>
          </w:tcPr>
          <w:p w14:paraId="036CA9DA"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Հայկական ատոմային էլեկտրակայան</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FF0000"/>
            <w:noWrap/>
            <w:vAlign w:val="center"/>
            <w:hideMark/>
          </w:tcPr>
          <w:p w14:paraId="7ABCD20E"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noWrap/>
            <w:vAlign w:val="center"/>
            <w:hideMark/>
          </w:tcPr>
          <w:p w14:paraId="38D35654"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vAlign w:val="center"/>
            <w:hideMark/>
          </w:tcPr>
          <w:p w14:paraId="1EA39615"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ED7D31"/>
            <w:noWrap/>
            <w:vAlign w:val="center"/>
            <w:hideMark/>
          </w:tcPr>
          <w:p w14:paraId="04C154A3"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r w:rsidR="00545EC8" w:rsidRPr="00696307" w14:paraId="1B285D29"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FCE4D6" w:fill="FCE4D6"/>
            <w:noWrap/>
            <w:vAlign w:val="center"/>
            <w:hideMark/>
          </w:tcPr>
          <w:p w14:paraId="1C0239AF"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Բարձրավոլտ էլեկտրացանցեր</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ED7D31"/>
            <w:noWrap/>
            <w:vAlign w:val="center"/>
            <w:hideMark/>
          </w:tcPr>
          <w:p w14:paraId="1C6BB070"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FF0000"/>
            <w:noWrap/>
            <w:vAlign w:val="center"/>
            <w:hideMark/>
          </w:tcPr>
          <w:p w14:paraId="6A5C8590"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ED7D31"/>
            <w:noWrap/>
            <w:vAlign w:val="center"/>
            <w:hideMark/>
          </w:tcPr>
          <w:p w14:paraId="7A7CCD16"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20D4B4CA"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r w:rsidR="00545EC8" w:rsidRPr="00696307" w14:paraId="1C222A8E"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auto" w:fill="auto"/>
            <w:noWrap/>
            <w:vAlign w:val="center"/>
            <w:hideMark/>
          </w:tcPr>
          <w:p w14:paraId="768AB513"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 xml:space="preserve">Կարեն Դեմիրճյանի անվան Երևանի </w:t>
            </w:r>
            <w:r w:rsidRPr="0078732E">
              <w:rPr>
                <w:rFonts w:eastAsia="Times New Roman" w:cs="Calibri"/>
                <w:color w:val="000000"/>
                <w:sz w:val="20"/>
                <w:szCs w:val="20"/>
                <w:lang w:val="hy-AM"/>
              </w:rPr>
              <w:t>մ</w:t>
            </w:r>
            <w:r w:rsidRPr="0078732E">
              <w:rPr>
                <w:rFonts w:eastAsia="Times New Roman" w:cs="Calibri"/>
                <w:color w:val="000000"/>
                <w:sz w:val="20"/>
                <w:szCs w:val="20"/>
              </w:rPr>
              <w:t>ետրոպոլիտեն</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ED7D31"/>
            <w:noWrap/>
            <w:vAlign w:val="center"/>
            <w:hideMark/>
          </w:tcPr>
          <w:p w14:paraId="4251892C"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FF0000"/>
            <w:noWrap/>
            <w:vAlign w:val="center"/>
            <w:hideMark/>
          </w:tcPr>
          <w:p w14:paraId="4D082CC8"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CC00"/>
            <w:vAlign w:val="center"/>
            <w:hideMark/>
          </w:tcPr>
          <w:p w14:paraId="4DAADFA7"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2-րդ կատեգորիա</w:t>
            </w:r>
          </w:p>
        </w:tc>
        <w:tc>
          <w:tcPr>
            <w:tcW w:w="1388" w:type="dxa"/>
            <w:tcBorders>
              <w:top w:val="nil"/>
              <w:left w:val="nil"/>
              <w:bottom w:val="nil"/>
              <w:right w:val="nil"/>
            </w:tcBorders>
            <w:shd w:val="clear" w:color="000000" w:fill="FFC000"/>
            <w:noWrap/>
            <w:vAlign w:val="center"/>
            <w:hideMark/>
          </w:tcPr>
          <w:p w14:paraId="2F52F232"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2-րդ կատեգորիա</w:t>
            </w:r>
          </w:p>
        </w:tc>
      </w:tr>
      <w:tr w:rsidR="00545EC8" w:rsidRPr="00696307" w14:paraId="5AF259FF"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FCE4D6" w:fill="FCE4D6"/>
            <w:noWrap/>
            <w:vAlign w:val="center"/>
            <w:hideMark/>
          </w:tcPr>
          <w:p w14:paraId="65C73A83"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Հայփոստ</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r>
              <w:rPr>
                <w:rStyle w:val="FootnoteReference"/>
                <w:rFonts w:eastAsia="Times New Roman" w:cs="Calibri"/>
                <w:color w:val="000000"/>
                <w:sz w:val="20"/>
                <w:szCs w:val="20"/>
              </w:rPr>
              <w:footnoteReference w:id="40"/>
            </w:r>
          </w:p>
        </w:tc>
        <w:tc>
          <w:tcPr>
            <w:tcW w:w="1388" w:type="dxa"/>
            <w:tcBorders>
              <w:top w:val="nil"/>
              <w:left w:val="nil"/>
              <w:bottom w:val="nil"/>
              <w:right w:val="nil"/>
            </w:tcBorders>
            <w:shd w:val="clear" w:color="000000" w:fill="ED7D31"/>
            <w:noWrap/>
            <w:vAlign w:val="center"/>
            <w:hideMark/>
          </w:tcPr>
          <w:p w14:paraId="271CA4E2"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FF0000"/>
            <w:noWrap/>
            <w:vAlign w:val="center"/>
            <w:hideMark/>
          </w:tcPr>
          <w:p w14:paraId="10EE3E28"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vAlign w:val="center"/>
            <w:hideMark/>
          </w:tcPr>
          <w:p w14:paraId="1ED34605"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noWrap/>
            <w:vAlign w:val="center"/>
            <w:hideMark/>
          </w:tcPr>
          <w:p w14:paraId="2A31FE37"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r>
      <w:tr w:rsidR="00545EC8" w:rsidRPr="00696307" w14:paraId="0AB089E1"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auto" w:fill="auto"/>
            <w:noWrap/>
            <w:vAlign w:val="center"/>
            <w:hideMark/>
          </w:tcPr>
          <w:p w14:paraId="1E73798F"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ԷլեկտրաԷներգետիկական Համակարգի Օպերատոր</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FF0000"/>
            <w:noWrap/>
            <w:vAlign w:val="center"/>
            <w:hideMark/>
          </w:tcPr>
          <w:p w14:paraId="4F0B2855"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ED7D31"/>
            <w:noWrap/>
            <w:vAlign w:val="center"/>
            <w:hideMark/>
          </w:tcPr>
          <w:p w14:paraId="7A17265B"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65277D53"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36FFB431"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r w:rsidR="00545EC8" w:rsidRPr="00696307" w14:paraId="2321187A"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FCE4D6" w:fill="FCE4D6"/>
            <w:noWrap/>
            <w:vAlign w:val="center"/>
            <w:hideMark/>
          </w:tcPr>
          <w:p w14:paraId="31A63A8E"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Վ</w:t>
            </w:r>
            <w:r w:rsidRPr="0078732E">
              <w:rPr>
                <w:rFonts w:ascii="Cambria Math" w:eastAsia="Times New Roman" w:hAnsi="Cambria Math" w:cs="Cambria Math"/>
                <w:color w:val="000000"/>
                <w:sz w:val="20"/>
                <w:szCs w:val="20"/>
              </w:rPr>
              <w:t>․</w:t>
            </w:r>
            <w:r w:rsidRPr="0078732E">
              <w:rPr>
                <w:rFonts w:eastAsia="Times New Roman" w:cs="Calibri"/>
                <w:color w:val="000000"/>
                <w:sz w:val="20"/>
                <w:szCs w:val="20"/>
              </w:rPr>
              <w:t xml:space="preserve"> </w:t>
            </w:r>
            <w:r w:rsidRPr="0078732E">
              <w:rPr>
                <w:rFonts w:eastAsia="Times New Roman" w:cs="GHEA Grapalat"/>
                <w:color w:val="000000"/>
                <w:sz w:val="20"/>
                <w:szCs w:val="20"/>
              </w:rPr>
              <w:t>Ա</w:t>
            </w:r>
            <w:r w:rsidRPr="0078732E">
              <w:rPr>
                <w:rFonts w:ascii="Cambria Math" w:eastAsia="Times New Roman" w:hAnsi="Cambria Math" w:cs="Cambria Math"/>
                <w:color w:val="000000"/>
                <w:sz w:val="20"/>
                <w:szCs w:val="20"/>
              </w:rPr>
              <w:t>․</w:t>
            </w:r>
            <w:r w:rsidRPr="0078732E">
              <w:rPr>
                <w:rFonts w:eastAsia="Times New Roman" w:cs="Calibri"/>
                <w:color w:val="000000"/>
                <w:sz w:val="20"/>
                <w:szCs w:val="20"/>
              </w:rPr>
              <w:t xml:space="preserve"> </w:t>
            </w:r>
            <w:r w:rsidRPr="0078732E">
              <w:rPr>
                <w:rFonts w:eastAsia="Times New Roman" w:cs="GHEA Grapalat"/>
                <w:color w:val="000000"/>
                <w:sz w:val="20"/>
                <w:szCs w:val="20"/>
              </w:rPr>
              <w:t>Ֆանարջյանի</w:t>
            </w:r>
            <w:r w:rsidRPr="0078732E">
              <w:rPr>
                <w:rFonts w:eastAsia="Times New Roman" w:cs="Calibri"/>
                <w:color w:val="000000"/>
                <w:sz w:val="20"/>
                <w:szCs w:val="20"/>
              </w:rPr>
              <w:t xml:space="preserve"> </w:t>
            </w:r>
            <w:r w:rsidRPr="0078732E">
              <w:rPr>
                <w:rFonts w:eastAsia="Times New Roman" w:cs="GHEA Grapalat"/>
                <w:color w:val="000000"/>
                <w:sz w:val="20"/>
                <w:szCs w:val="20"/>
              </w:rPr>
              <w:t>անվան</w:t>
            </w:r>
            <w:r w:rsidRPr="0078732E">
              <w:rPr>
                <w:rFonts w:eastAsia="Times New Roman" w:cs="Calibri"/>
                <w:color w:val="000000"/>
                <w:sz w:val="20"/>
                <w:szCs w:val="20"/>
              </w:rPr>
              <w:t xml:space="preserve"> </w:t>
            </w:r>
            <w:r w:rsidRPr="0078732E">
              <w:rPr>
                <w:rFonts w:eastAsia="Times New Roman" w:cs="GHEA Grapalat"/>
                <w:color w:val="000000"/>
                <w:sz w:val="20"/>
                <w:szCs w:val="20"/>
              </w:rPr>
              <w:t>ուռուցքաբանության</w:t>
            </w:r>
            <w:r w:rsidRPr="0078732E">
              <w:rPr>
                <w:rFonts w:eastAsia="Times New Roman" w:cs="Calibri"/>
                <w:color w:val="000000"/>
                <w:sz w:val="20"/>
                <w:szCs w:val="20"/>
              </w:rPr>
              <w:t xml:space="preserve"> </w:t>
            </w:r>
            <w:r w:rsidRPr="0078732E">
              <w:rPr>
                <w:rFonts w:eastAsia="Times New Roman" w:cs="GHEA Grapalat"/>
                <w:color w:val="000000"/>
                <w:sz w:val="20"/>
                <w:szCs w:val="20"/>
              </w:rPr>
              <w:t>ազգային</w:t>
            </w:r>
            <w:r w:rsidRPr="0078732E">
              <w:rPr>
                <w:rFonts w:eastAsia="Times New Roman" w:cs="Calibri"/>
                <w:color w:val="000000"/>
                <w:sz w:val="20"/>
                <w:szCs w:val="20"/>
              </w:rPr>
              <w:t xml:space="preserve"> կենտրոն</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ED7D31"/>
            <w:noWrap/>
            <w:vAlign w:val="center"/>
            <w:hideMark/>
          </w:tcPr>
          <w:p w14:paraId="51212DCE"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00E717F9"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3C8F60A8"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c>
          <w:tcPr>
            <w:tcW w:w="1388" w:type="dxa"/>
            <w:tcBorders>
              <w:top w:val="nil"/>
              <w:left w:val="nil"/>
              <w:bottom w:val="nil"/>
              <w:right w:val="nil"/>
            </w:tcBorders>
            <w:shd w:val="clear" w:color="000000" w:fill="ED7D31"/>
            <w:noWrap/>
            <w:vAlign w:val="center"/>
            <w:hideMark/>
          </w:tcPr>
          <w:p w14:paraId="637BE585"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r w:rsidR="00545EC8" w:rsidRPr="00696307" w14:paraId="0AB27180"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auto" w:fill="auto"/>
            <w:noWrap/>
            <w:vAlign w:val="center"/>
            <w:hideMark/>
          </w:tcPr>
          <w:p w14:paraId="47B4CF25"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Երևանի ավտոբուս</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FF0000"/>
            <w:noWrap/>
            <w:vAlign w:val="center"/>
            <w:hideMark/>
          </w:tcPr>
          <w:p w14:paraId="7E7B9B93"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noWrap/>
            <w:vAlign w:val="center"/>
            <w:hideMark/>
          </w:tcPr>
          <w:p w14:paraId="670C4E23"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vAlign w:val="center"/>
            <w:hideMark/>
          </w:tcPr>
          <w:p w14:paraId="5E1E78BE"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noWrap/>
            <w:vAlign w:val="center"/>
            <w:hideMark/>
          </w:tcPr>
          <w:p w14:paraId="520AFDAB"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r>
      <w:tr w:rsidR="00545EC8" w:rsidRPr="00696307" w14:paraId="627A8BF0"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FCE4D6" w:fill="FCE4D6"/>
            <w:noWrap/>
            <w:vAlign w:val="center"/>
            <w:hideMark/>
          </w:tcPr>
          <w:p w14:paraId="7AB8EFF2" w14:textId="77777777" w:rsidR="00545EC8" w:rsidRPr="0078732E" w:rsidRDefault="00545EC8" w:rsidP="00D262EA">
            <w:pPr>
              <w:spacing w:after="0" w:line="276" w:lineRule="auto"/>
              <w:rPr>
                <w:rFonts w:eastAsia="Times New Roman" w:cs="Calibri"/>
                <w:color w:val="000000"/>
                <w:sz w:val="20"/>
                <w:szCs w:val="20"/>
              </w:rPr>
            </w:pPr>
            <w:r w:rsidRPr="0078732E">
              <w:rPr>
                <w:rFonts w:eastAsia="Times New Roman" w:cs="Calibri"/>
                <w:color w:val="000000"/>
                <w:sz w:val="20"/>
                <w:szCs w:val="20"/>
                <w:lang w:val="hy-AM"/>
              </w:rPr>
              <w:t>«</w:t>
            </w:r>
            <w:r w:rsidRPr="0078732E">
              <w:rPr>
                <w:rFonts w:eastAsia="Times New Roman" w:cs="Calibri"/>
                <w:color w:val="000000"/>
                <w:sz w:val="20"/>
                <w:szCs w:val="20"/>
              </w:rPr>
              <w:t>Հաշվարկային կենտրոն</w:t>
            </w:r>
            <w:r w:rsidRPr="0078732E">
              <w:rPr>
                <w:rFonts w:eastAsia="Times New Roman" w:cs="Calibri"/>
                <w:color w:val="000000"/>
                <w:sz w:val="20"/>
                <w:szCs w:val="20"/>
                <w:lang w:val="hy-AM"/>
              </w:rPr>
              <w:t>»</w:t>
            </w:r>
            <w:r w:rsidRPr="0078732E">
              <w:rPr>
                <w:rFonts w:eastAsia="Times New Roman" w:cs="Calibri"/>
                <w:color w:val="000000"/>
                <w:sz w:val="20"/>
                <w:szCs w:val="20"/>
              </w:rPr>
              <w:t xml:space="preserve"> ՓԲԸ</w:t>
            </w:r>
          </w:p>
        </w:tc>
        <w:tc>
          <w:tcPr>
            <w:tcW w:w="1388" w:type="dxa"/>
            <w:tcBorders>
              <w:top w:val="nil"/>
              <w:left w:val="nil"/>
              <w:bottom w:val="nil"/>
              <w:right w:val="nil"/>
            </w:tcBorders>
            <w:shd w:val="clear" w:color="000000" w:fill="FFC000"/>
            <w:noWrap/>
            <w:vAlign w:val="center"/>
            <w:hideMark/>
          </w:tcPr>
          <w:p w14:paraId="23DA1CD0"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2-րդ կատեգորիա</w:t>
            </w:r>
          </w:p>
        </w:tc>
        <w:tc>
          <w:tcPr>
            <w:tcW w:w="1388" w:type="dxa"/>
            <w:tcBorders>
              <w:top w:val="nil"/>
              <w:left w:val="nil"/>
              <w:bottom w:val="nil"/>
              <w:right w:val="nil"/>
            </w:tcBorders>
            <w:shd w:val="clear" w:color="000000" w:fill="00823B"/>
            <w:noWrap/>
            <w:vAlign w:val="center"/>
            <w:hideMark/>
          </w:tcPr>
          <w:p w14:paraId="019021D2" w14:textId="77777777" w:rsidR="00545EC8" w:rsidRPr="0078732E" w:rsidRDefault="00545EC8" w:rsidP="00D262EA">
            <w:pPr>
              <w:spacing w:after="0" w:line="276" w:lineRule="auto"/>
              <w:jc w:val="center"/>
              <w:rPr>
                <w:rFonts w:eastAsia="Times New Roman" w:cs="Calibri"/>
                <w:color w:val="000000"/>
                <w:sz w:val="20"/>
                <w:szCs w:val="20"/>
              </w:rPr>
            </w:pPr>
            <w:r>
              <w:rPr>
                <w:rFonts w:eastAsia="Times New Roman" w:cs="Calibri"/>
                <w:color w:val="000000"/>
                <w:sz w:val="20"/>
                <w:szCs w:val="20"/>
              </w:rPr>
              <w:t>1-ին</w:t>
            </w:r>
            <w:r w:rsidRPr="0078732E">
              <w:rPr>
                <w:rFonts w:eastAsia="Times New Roman" w:cs="Calibri"/>
                <w:color w:val="000000"/>
                <w:sz w:val="20"/>
                <w:szCs w:val="20"/>
              </w:rPr>
              <w:t xml:space="preserve"> կատեգորիա</w:t>
            </w:r>
          </w:p>
        </w:tc>
        <w:tc>
          <w:tcPr>
            <w:tcW w:w="1388" w:type="dxa"/>
            <w:tcBorders>
              <w:top w:val="nil"/>
              <w:left w:val="nil"/>
              <w:bottom w:val="nil"/>
              <w:right w:val="nil"/>
            </w:tcBorders>
            <w:shd w:val="clear" w:color="000000" w:fill="FFCC00"/>
            <w:vAlign w:val="center"/>
            <w:hideMark/>
          </w:tcPr>
          <w:p w14:paraId="116E28FE"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2-րդ կատեգորիա</w:t>
            </w:r>
          </w:p>
        </w:tc>
        <w:tc>
          <w:tcPr>
            <w:tcW w:w="1388" w:type="dxa"/>
            <w:tcBorders>
              <w:top w:val="nil"/>
              <w:left w:val="nil"/>
              <w:bottom w:val="nil"/>
              <w:right w:val="nil"/>
            </w:tcBorders>
            <w:shd w:val="clear" w:color="000000" w:fill="ED7D31"/>
            <w:noWrap/>
            <w:vAlign w:val="center"/>
            <w:hideMark/>
          </w:tcPr>
          <w:p w14:paraId="4A27587D"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r w:rsidR="00545EC8" w:rsidRPr="00696307" w14:paraId="30B08F57" w14:textId="77777777" w:rsidTr="00D262EA">
        <w:trPr>
          <w:trHeight w:val="235"/>
        </w:trPr>
        <w:tc>
          <w:tcPr>
            <w:tcW w:w="4745" w:type="dxa"/>
            <w:tcBorders>
              <w:top w:val="single" w:sz="4" w:space="0" w:color="ED7D31"/>
              <w:left w:val="single" w:sz="4" w:space="0" w:color="ED7D31"/>
              <w:bottom w:val="single" w:sz="4" w:space="0" w:color="ED7D31"/>
              <w:right w:val="single" w:sz="4" w:space="0" w:color="ED7D31"/>
            </w:tcBorders>
            <w:shd w:val="clear" w:color="auto" w:fill="auto"/>
            <w:noWrap/>
            <w:vAlign w:val="center"/>
            <w:hideMark/>
          </w:tcPr>
          <w:p w14:paraId="12575427" w14:textId="77777777" w:rsidR="00545EC8" w:rsidRPr="0078732E" w:rsidRDefault="00545EC8" w:rsidP="00D262EA">
            <w:pPr>
              <w:spacing w:after="0" w:line="276" w:lineRule="auto"/>
              <w:rPr>
                <w:rFonts w:eastAsia="Times New Roman" w:cs="Calibri"/>
                <w:b/>
                <w:bCs/>
                <w:color w:val="000000"/>
                <w:sz w:val="20"/>
                <w:szCs w:val="20"/>
              </w:rPr>
            </w:pPr>
            <w:r w:rsidRPr="0078732E">
              <w:rPr>
                <w:rFonts w:eastAsia="Times New Roman" w:cs="Calibri"/>
                <w:b/>
                <w:bCs/>
                <w:color w:val="000000"/>
                <w:sz w:val="20"/>
                <w:szCs w:val="20"/>
              </w:rPr>
              <w:t xml:space="preserve">Միջին ռիսկայնության մակարդակ </w:t>
            </w:r>
          </w:p>
        </w:tc>
        <w:tc>
          <w:tcPr>
            <w:tcW w:w="1388" w:type="dxa"/>
            <w:tcBorders>
              <w:top w:val="nil"/>
              <w:left w:val="nil"/>
              <w:bottom w:val="nil"/>
              <w:right w:val="nil"/>
            </w:tcBorders>
            <w:shd w:val="clear" w:color="000000" w:fill="FF0000"/>
            <w:noWrap/>
            <w:vAlign w:val="center"/>
            <w:hideMark/>
          </w:tcPr>
          <w:p w14:paraId="3B44071A"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noWrap/>
            <w:vAlign w:val="center"/>
            <w:hideMark/>
          </w:tcPr>
          <w:p w14:paraId="3BD14D5B"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FF0000"/>
            <w:vAlign w:val="center"/>
            <w:hideMark/>
          </w:tcPr>
          <w:p w14:paraId="67917EE3" w14:textId="77777777" w:rsidR="00545EC8" w:rsidRPr="0078732E" w:rsidRDefault="00545EC8" w:rsidP="00D262EA">
            <w:pPr>
              <w:spacing w:after="0" w:line="276" w:lineRule="auto"/>
              <w:jc w:val="center"/>
              <w:rPr>
                <w:rFonts w:eastAsia="Times New Roman" w:cs="Calibri"/>
                <w:color w:val="FFFFFF"/>
                <w:sz w:val="20"/>
                <w:szCs w:val="20"/>
              </w:rPr>
            </w:pPr>
            <w:r w:rsidRPr="0078732E">
              <w:rPr>
                <w:rFonts w:eastAsia="Times New Roman" w:cs="Calibri"/>
                <w:color w:val="FFFFFF"/>
                <w:sz w:val="20"/>
                <w:szCs w:val="20"/>
              </w:rPr>
              <w:t>4-րդ կատեգորիա</w:t>
            </w:r>
          </w:p>
        </w:tc>
        <w:tc>
          <w:tcPr>
            <w:tcW w:w="1388" w:type="dxa"/>
            <w:tcBorders>
              <w:top w:val="nil"/>
              <w:left w:val="nil"/>
              <w:bottom w:val="nil"/>
              <w:right w:val="nil"/>
            </w:tcBorders>
            <w:shd w:val="clear" w:color="000000" w:fill="ED7D31"/>
            <w:noWrap/>
            <w:vAlign w:val="center"/>
            <w:hideMark/>
          </w:tcPr>
          <w:p w14:paraId="53BDBAB5" w14:textId="77777777" w:rsidR="00545EC8" w:rsidRPr="0078732E" w:rsidRDefault="00545EC8" w:rsidP="00D262EA">
            <w:pPr>
              <w:spacing w:after="0" w:line="276" w:lineRule="auto"/>
              <w:jc w:val="center"/>
              <w:rPr>
                <w:rFonts w:eastAsia="Times New Roman" w:cs="Calibri"/>
                <w:color w:val="000000"/>
                <w:sz w:val="20"/>
                <w:szCs w:val="20"/>
              </w:rPr>
            </w:pPr>
            <w:r w:rsidRPr="0078732E">
              <w:rPr>
                <w:rFonts w:eastAsia="Times New Roman" w:cs="Calibri"/>
                <w:color w:val="000000"/>
                <w:sz w:val="20"/>
                <w:szCs w:val="20"/>
              </w:rPr>
              <w:t>3-րդ կատեգորիա</w:t>
            </w:r>
          </w:p>
        </w:tc>
      </w:tr>
    </w:tbl>
    <w:p w14:paraId="0077D16E" w14:textId="77777777" w:rsidR="00545EC8" w:rsidRDefault="00545EC8" w:rsidP="00545EC8">
      <w:pPr>
        <w:ind w:firstLine="0"/>
        <w:rPr>
          <w:lang w:val="hy-AM"/>
        </w:rPr>
      </w:pPr>
    </w:p>
    <w:p w14:paraId="0FAA0DC1" w14:textId="77777777" w:rsidR="00545EC8" w:rsidRPr="000A60F8" w:rsidRDefault="00545EC8" w:rsidP="00545EC8">
      <w:pPr>
        <w:ind w:firstLine="0"/>
        <w:rPr>
          <w:rFonts w:cs="Times New Roman"/>
          <w:b/>
          <w:bCs/>
          <w:i/>
          <w:iCs/>
          <w:lang w:val="hy-AM"/>
        </w:rPr>
      </w:pPr>
      <w:r w:rsidRPr="000A60F8">
        <w:rPr>
          <w:b/>
          <w:bCs/>
          <w:i/>
          <w:iCs/>
          <w:lang w:val="hy-AM"/>
        </w:rPr>
        <w:t>Գծապատկեր 3</w:t>
      </w:r>
      <w:r w:rsidRPr="000A60F8">
        <w:rPr>
          <w:rFonts w:ascii="Cambria Math" w:hAnsi="Cambria Math" w:cs="Cambria Math"/>
          <w:b/>
          <w:bCs/>
          <w:i/>
          <w:iCs/>
          <w:lang w:val="hy-AM"/>
        </w:rPr>
        <w:t>․</w:t>
      </w:r>
      <w:r w:rsidRPr="000A60F8">
        <w:rPr>
          <w:rFonts w:cs="Times New Roman"/>
          <w:b/>
          <w:bCs/>
          <w:i/>
          <w:iCs/>
          <w:lang w:val="hy-AM"/>
        </w:rPr>
        <w:t xml:space="preserve"> </w:t>
      </w:r>
      <w:r w:rsidRPr="000A60F8">
        <w:rPr>
          <w:rFonts w:cs="Times New Roman"/>
          <w:bCs/>
          <w:i/>
          <w:iCs/>
          <w:lang w:val="hy-AM"/>
        </w:rPr>
        <w:t>ՊՄԸ-ների պոտֆելի ընդհանուր շահութաբերությունը</w:t>
      </w:r>
    </w:p>
    <w:p w14:paraId="09DE5FB6" w14:textId="77777777" w:rsidR="00545EC8" w:rsidRPr="00696307" w:rsidRDefault="00545EC8" w:rsidP="00545EC8">
      <w:pPr>
        <w:spacing w:line="276" w:lineRule="auto"/>
        <w:jc w:val="center"/>
        <w:rPr>
          <w:rFonts w:cs="Times New Roman"/>
          <w:b/>
          <w:bCs/>
          <w:i/>
          <w:iCs/>
          <w:sz w:val="20"/>
          <w:szCs w:val="20"/>
          <w:lang w:val="hy-AM"/>
        </w:rPr>
      </w:pPr>
      <w:r>
        <w:rPr>
          <w:noProof/>
        </w:rPr>
        <w:drawing>
          <wp:inline distT="0" distB="0" distL="0" distR="0" wp14:anchorId="4BA52AAD" wp14:editId="1A63102F">
            <wp:extent cx="4263242" cy="2268187"/>
            <wp:effectExtent l="0" t="0" r="4445" b="18415"/>
            <wp:docPr id="60" name="Chart 60">
              <a:extLst xmlns:a="http://schemas.openxmlformats.org/drawingml/2006/main">
                <a:ext uri="{FF2B5EF4-FFF2-40B4-BE49-F238E27FC236}">
                  <a16:creationId xmlns:a16="http://schemas.microsoft.com/office/drawing/2014/main" id="{00000000-0008-0000-10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30A89BE" w14:textId="77777777" w:rsidR="00545EC8" w:rsidRDefault="00545EC8" w:rsidP="00B219E6">
      <w:pPr>
        <w:spacing w:after="0" w:line="276" w:lineRule="auto"/>
        <w:ind w:firstLine="0"/>
        <w:rPr>
          <w:rFonts w:eastAsia="Tahoma" w:cs="Tahoma"/>
          <w:lang w:val="hy-AM"/>
        </w:rPr>
      </w:pPr>
      <w:r w:rsidRPr="00184F9E">
        <w:rPr>
          <w:rFonts w:eastAsia="Tahoma" w:cs="Tahoma"/>
          <w:lang w:val="hy-AM"/>
        </w:rPr>
        <w:t>2022 թ-ին ընդհանուր ՊՄԸ-ների կողմից փաստացի վճարված  շահութաբաժինների գումարը ՀՀ պետական բյուջե կազմել է 2.3 մլրդ ՀՀ դրամ։ Գծապատկեր 4-ում ներկայացված են փաստացի վճարված շահութաբաժինների չափերը՝ 2017-2022թթ</w:t>
      </w:r>
      <w:r w:rsidRPr="00184F9E">
        <w:rPr>
          <w:rFonts w:ascii="Cambria Math" w:eastAsia="Tahoma" w:hAnsi="Cambria Math" w:cs="Cambria Math"/>
          <w:lang w:val="hy-AM"/>
        </w:rPr>
        <w:t>․</w:t>
      </w:r>
      <w:r w:rsidRPr="00184F9E">
        <w:rPr>
          <w:rFonts w:eastAsia="Tahoma" w:cs="Tahoma"/>
          <w:lang w:val="hy-AM"/>
        </w:rPr>
        <w:t>-ին</w:t>
      </w:r>
      <w:r w:rsidRPr="00184F9E">
        <w:rPr>
          <w:rStyle w:val="FootnoteReference"/>
          <w:rFonts w:eastAsia="Tahoma" w:cs="Tahoma"/>
        </w:rPr>
        <w:footnoteReference w:id="41"/>
      </w:r>
      <w:r w:rsidRPr="00184F9E">
        <w:rPr>
          <w:rFonts w:eastAsia="Tahoma" w:cs="Tahoma"/>
          <w:lang w:val="hy-AM"/>
        </w:rPr>
        <w:t>։</w:t>
      </w:r>
    </w:p>
    <w:p w14:paraId="36531E32" w14:textId="5562A46B" w:rsidR="00545EC8" w:rsidRDefault="00545EC8" w:rsidP="00545EC8">
      <w:pPr>
        <w:spacing w:line="276" w:lineRule="auto"/>
        <w:ind w:firstLine="0"/>
        <w:rPr>
          <w:b/>
          <w:i/>
          <w:lang w:val="hy-AM"/>
        </w:rPr>
      </w:pPr>
    </w:p>
    <w:p w14:paraId="444A7FA0" w14:textId="790F0665" w:rsidR="006B767E" w:rsidRDefault="006B767E" w:rsidP="00545EC8">
      <w:pPr>
        <w:spacing w:line="276" w:lineRule="auto"/>
        <w:ind w:firstLine="0"/>
        <w:rPr>
          <w:b/>
          <w:i/>
          <w:lang w:val="hy-AM"/>
        </w:rPr>
      </w:pPr>
    </w:p>
    <w:p w14:paraId="507558C3" w14:textId="40DB0549" w:rsidR="006B767E" w:rsidRDefault="006B767E" w:rsidP="00545EC8">
      <w:pPr>
        <w:spacing w:line="276" w:lineRule="auto"/>
        <w:ind w:firstLine="0"/>
        <w:rPr>
          <w:b/>
          <w:i/>
          <w:lang w:val="hy-AM"/>
        </w:rPr>
      </w:pPr>
    </w:p>
    <w:p w14:paraId="2D669032" w14:textId="52B69D5D" w:rsidR="006B767E" w:rsidRDefault="006B767E" w:rsidP="00545EC8">
      <w:pPr>
        <w:spacing w:line="276" w:lineRule="auto"/>
        <w:ind w:firstLine="0"/>
        <w:rPr>
          <w:b/>
          <w:i/>
          <w:lang w:val="hy-AM"/>
        </w:rPr>
      </w:pPr>
    </w:p>
    <w:p w14:paraId="42BFD266" w14:textId="77777777" w:rsidR="006B767E" w:rsidRPr="00A71282" w:rsidRDefault="006B767E" w:rsidP="00545EC8">
      <w:pPr>
        <w:spacing w:line="276" w:lineRule="auto"/>
        <w:ind w:firstLine="0"/>
        <w:rPr>
          <w:b/>
          <w:i/>
          <w:lang w:val="hy-AM"/>
        </w:rPr>
      </w:pPr>
    </w:p>
    <w:p w14:paraId="2DBA3008" w14:textId="77777777" w:rsidR="00545EC8" w:rsidRPr="00CC2AAC" w:rsidRDefault="00545EC8" w:rsidP="00545EC8">
      <w:pPr>
        <w:spacing w:line="276" w:lineRule="auto"/>
        <w:ind w:firstLine="0"/>
        <w:rPr>
          <w:i/>
          <w:lang w:val="hy-AM"/>
        </w:rPr>
      </w:pPr>
      <w:r w:rsidRPr="000A60F8">
        <w:rPr>
          <w:b/>
          <w:i/>
          <w:lang w:val="hy-AM"/>
        </w:rPr>
        <w:t>Գծապատկեր 4</w:t>
      </w:r>
      <w:r w:rsidRPr="000A60F8">
        <w:rPr>
          <w:rFonts w:ascii="Cambria Math" w:hAnsi="Cambria Math" w:cs="Cambria Math"/>
          <w:b/>
          <w:i/>
          <w:lang w:val="hy-AM"/>
        </w:rPr>
        <w:t>․</w:t>
      </w:r>
      <w:r w:rsidRPr="000A60F8">
        <w:rPr>
          <w:b/>
          <w:i/>
          <w:lang w:val="hy-AM"/>
        </w:rPr>
        <w:t xml:space="preserve"> </w:t>
      </w:r>
      <w:r w:rsidRPr="000A60F8">
        <w:rPr>
          <w:i/>
          <w:lang w:val="hy-AM"/>
        </w:rPr>
        <w:t>Շահութաբաժինների գծով փաստացի բյուջետային մուտքեր</w:t>
      </w:r>
      <w:r w:rsidRPr="00CC2AAC">
        <w:rPr>
          <w:i/>
          <w:lang w:val="hy-AM"/>
        </w:rPr>
        <w:t xml:space="preserve">  (</w:t>
      </w:r>
      <w:r w:rsidRPr="000A60F8">
        <w:rPr>
          <w:i/>
          <w:lang w:val="hy-AM"/>
        </w:rPr>
        <w:t>հազար ՀՀ դրամ</w:t>
      </w:r>
      <w:r w:rsidRPr="00CC2AAC">
        <w:rPr>
          <w:i/>
          <w:lang w:val="hy-AM"/>
        </w:rPr>
        <w:t>)</w:t>
      </w:r>
    </w:p>
    <w:p w14:paraId="5AD16631" w14:textId="77777777" w:rsidR="00545EC8" w:rsidRPr="00696307" w:rsidRDefault="00545EC8" w:rsidP="00545EC8">
      <w:pPr>
        <w:spacing w:line="276" w:lineRule="auto"/>
        <w:jc w:val="center"/>
        <w:rPr>
          <w:sz w:val="24"/>
          <w:szCs w:val="24"/>
          <w:lang w:val="hy-AM"/>
        </w:rPr>
      </w:pPr>
      <w:r w:rsidRPr="00696307">
        <w:rPr>
          <w:noProof/>
          <w:sz w:val="24"/>
          <w:szCs w:val="24"/>
        </w:rPr>
        <w:drawing>
          <wp:inline distT="0" distB="0" distL="0" distR="0" wp14:anchorId="65708CAD" wp14:editId="29D1AC21">
            <wp:extent cx="4286885" cy="2257425"/>
            <wp:effectExtent l="0" t="0" r="18415" b="9525"/>
            <wp:docPr id="5" name="Chart 5">
              <a:extLst xmlns:a="http://schemas.openxmlformats.org/drawingml/2006/main">
                <a:ext uri="{FF2B5EF4-FFF2-40B4-BE49-F238E27FC236}">
                  <a16:creationId xmlns:a16="http://schemas.microsoft.com/office/drawing/2014/main" id="{1426F558-2B00-DDD2-38B0-4FED9C8024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E4A43FD" w14:textId="77777777" w:rsidR="00545EC8" w:rsidRDefault="00545EC8" w:rsidP="00B219E6">
      <w:pPr>
        <w:spacing w:after="0" w:line="276" w:lineRule="auto"/>
        <w:ind w:firstLine="0"/>
        <w:rPr>
          <w:lang w:val="hy-AM"/>
        </w:rPr>
      </w:pPr>
      <w:r w:rsidRPr="0078732E">
        <w:rPr>
          <w:lang w:val="hy-AM"/>
        </w:rPr>
        <w:t>Չնայած նրան, որ ընկերությունների վճարունակությունը բարելավման միտումներ ունի, այնուամենայնիվ, պարտք/ակտիվներ հարաբերակցությունը (աջ առանցք)</w:t>
      </w:r>
      <w:r w:rsidRPr="0078732E">
        <w:rPr>
          <w:rStyle w:val="FootnoteReference"/>
        </w:rPr>
        <w:footnoteReference w:id="42"/>
      </w:r>
      <w:r w:rsidRPr="0078732E">
        <w:rPr>
          <w:lang w:val="hy-AM"/>
        </w:rPr>
        <w:t>, և պարտք/սեփական կապիտալ հարաբերակցությունը (ձախ առանցք)</w:t>
      </w:r>
      <w:r w:rsidRPr="0078732E">
        <w:rPr>
          <w:rStyle w:val="FootnoteReference"/>
        </w:rPr>
        <w:footnoteReference w:id="43"/>
      </w:r>
      <w:r w:rsidRPr="0078732E">
        <w:rPr>
          <w:lang w:val="hy-AM"/>
        </w:rPr>
        <w:t xml:space="preserve"> շարունակում են մնալ բարձր (</w:t>
      </w:r>
      <w:r>
        <w:rPr>
          <w:lang w:val="hy-AM"/>
        </w:rPr>
        <w:t>տե΄ս</w:t>
      </w:r>
      <w:r w:rsidRPr="0078732E">
        <w:rPr>
          <w:lang w:val="hy-AM"/>
        </w:rPr>
        <w:t xml:space="preserve"> գծապատկեր 5): </w:t>
      </w:r>
    </w:p>
    <w:p w14:paraId="721F00BF" w14:textId="77777777" w:rsidR="00545EC8" w:rsidRPr="0078732E" w:rsidRDefault="00545EC8" w:rsidP="00545EC8">
      <w:pPr>
        <w:spacing w:after="0" w:line="276" w:lineRule="auto"/>
        <w:rPr>
          <w:lang w:val="hy-AM"/>
        </w:rPr>
      </w:pPr>
    </w:p>
    <w:p w14:paraId="2A6C964D" w14:textId="77777777" w:rsidR="00545EC8" w:rsidRPr="000A60F8" w:rsidRDefault="00545EC8" w:rsidP="00545EC8">
      <w:pPr>
        <w:spacing w:line="276" w:lineRule="auto"/>
        <w:ind w:left="900" w:right="2160" w:hanging="900"/>
        <w:rPr>
          <w:b/>
          <w:i/>
          <w:lang w:val="hy-AM"/>
        </w:rPr>
      </w:pPr>
      <w:r w:rsidRPr="000A60F8">
        <w:rPr>
          <w:b/>
          <w:i/>
          <w:lang w:val="hy-AM"/>
        </w:rPr>
        <w:t xml:space="preserve">Գծապատկեր 5. </w:t>
      </w:r>
      <w:r w:rsidRPr="000A60F8">
        <w:rPr>
          <w:i/>
          <w:lang w:val="hy-AM"/>
        </w:rPr>
        <w:t>ՊՄԸ-ների վճարունակություն</w:t>
      </w:r>
    </w:p>
    <w:p w14:paraId="22CEC5A4" w14:textId="77777777" w:rsidR="00545EC8" w:rsidRDefault="00545EC8" w:rsidP="00545EC8">
      <w:pPr>
        <w:spacing w:after="0" w:line="276" w:lineRule="auto"/>
        <w:jc w:val="center"/>
        <w:rPr>
          <w:rFonts w:ascii="Sylfaen" w:hAnsi="Sylfaen"/>
          <w:noProof/>
        </w:rPr>
      </w:pPr>
      <w:r>
        <w:rPr>
          <w:noProof/>
        </w:rPr>
        <w:drawing>
          <wp:inline distT="0" distB="0" distL="0" distR="0" wp14:anchorId="6BC53B50" wp14:editId="0881574A">
            <wp:extent cx="4370070" cy="2495550"/>
            <wp:effectExtent l="0" t="0" r="11430" b="0"/>
            <wp:docPr id="61" name="Chart 61">
              <a:extLst xmlns:a="http://schemas.openxmlformats.org/drawingml/2006/main">
                <a:ext uri="{FF2B5EF4-FFF2-40B4-BE49-F238E27FC236}">
                  <a16:creationId xmlns:a16="http://schemas.microsoft.com/office/drawing/2014/main" id="{00000000-0008-0000-10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7180EADC" w14:textId="77777777" w:rsidR="00545EC8" w:rsidRDefault="00545EC8" w:rsidP="00B219E6">
      <w:pPr>
        <w:spacing w:after="0" w:line="276" w:lineRule="auto"/>
        <w:ind w:firstLine="0"/>
        <w:rPr>
          <w:rFonts w:eastAsia="Tahoma" w:cs="Tahoma"/>
          <w:lang w:val="hy-AM"/>
        </w:rPr>
      </w:pPr>
      <w:r w:rsidRPr="0078732E">
        <w:rPr>
          <w:rFonts w:eastAsia="Tahoma" w:cs="Tahoma"/>
          <w:bCs/>
          <w:lang w:val="hy-AM"/>
        </w:rPr>
        <w:t>Ըստ առանձին ՊՄԸ-ների պարտավորությունների չափի և ընդհանուր ռիսկի փախկապվածությունը ներկայացված է Գծապատկեր 6-ում:</w:t>
      </w:r>
      <w:r w:rsidRPr="0078732E">
        <w:rPr>
          <w:rFonts w:eastAsia="Tahoma" w:cs="Tahoma"/>
          <w:lang w:val="hy-AM"/>
        </w:rPr>
        <w:t xml:space="preserve"> Վերջինից երևում է, որ չնայած ընկերությունների պարտավորությունների բարձր չափի, նրանք գտնվում են ռիսկայնության ավելի ցածր մակարդակում, քան այն ընկերությունները, որոնց պարավորությունները ավելի ցածր են: Այս հանգամանքը հիմնավորվում է նրանով, որ մոդելի յուրաքանչյուր ցուցանիշին տրված է հավասար կշիռ և մեկ ցուցանիշի բարձր ռիսկային արդյունքը կարող է փոխհատուցվել մեկ այլ ցուցանիշի ցածր ռիսկային արդյունքով:</w:t>
      </w:r>
    </w:p>
    <w:p w14:paraId="79BEE24B" w14:textId="77777777" w:rsidR="00545EC8" w:rsidRDefault="00545EC8" w:rsidP="00545EC8">
      <w:pPr>
        <w:spacing w:after="0" w:line="276" w:lineRule="auto"/>
        <w:ind w:firstLine="0"/>
        <w:jc w:val="left"/>
        <w:rPr>
          <w:i/>
          <w:lang w:val="hy-AM"/>
        </w:rPr>
      </w:pPr>
      <w:r w:rsidRPr="00750B32">
        <w:rPr>
          <w:b/>
          <w:i/>
          <w:lang w:val="hy-AM"/>
        </w:rPr>
        <w:t xml:space="preserve">Գծապատկեր 6. </w:t>
      </w:r>
      <w:r w:rsidRPr="00750B32">
        <w:rPr>
          <w:i/>
          <w:lang w:val="hy-AM"/>
        </w:rPr>
        <w:t>ՊՄԸ-ների պարտավորությունների չափի և ընդհանուր ռիսկի փախկապվածությունը 2022 թ.</w:t>
      </w:r>
      <w:r w:rsidRPr="00CC2AAC">
        <w:rPr>
          <w:i/>
          <w:lang w:val="hy-AM"/>
        </w:rPr>
        <w:t xml:space="preserve"> (</w:t>
      </w:r>
      <w:r w:rsidRPr="00750B32">
        <w:rPr>
          <w:i/>
          <w:lang w:val="hy-AM"/>
        </w:rPr>
        <w:t>հազար ՀՀ դրամ</w:t>
      </w:r>
      <w:r w:rsidRPr="00CC2AAC">
        <w:rPr>
          <w:i/>
          <w:lang w:val="hy-AM"/>
        </w:rPr>
        <w:t>)</w:t>
      </w:r>
    </w:p>
    <w:p w14:paraId="2DDBE6B7" w14:textId="77777777" w:rsidR="00545EC8" w:rsidRPr="0078732E" w:rsidRDefault="00545EC8" w:rsidP="00545EC8">
      <w:pPr>
        <w:spacing w:after="0" w:line="276" w:lineRule="auto"/>
        <w:jc w:val="center"/>
        <w:rPr>
          <w:b/>
          <w:i/>
          <w:lang w:val="hy-AM"/>
        </w:rPr>
      </w:pPr>
    </w:p>
    <w:p w14:paraId="682EC781" w14:textId="77777777" w:rsidR="00545EC8" w:rsidRPr="00ED5334" w:rsidRDefault="00545EC8" w:rsidP="00545EC8">
      <w:pPr>
        <w:spacing w:line="276" w:lineRule="auto"/>
        <w:jc w:val="center"/>
        <w:rPr>
          <w:sz w:val="24"/>
          <w:szCs w:val="24"/>
          <w:lang w:val="hy-AM"/>
        </w:rPr>
      </w:pPr>
      <w:r w:rsidRPr="004F761E">
        <w:rPr>
          <w:noProof/>
          <w:lang w:val="hy-AM"/>
        </w:rPr>
        <w:t xml:space="preserve"> </w:t>
      </w:r>
      <w:r w:rsidRPr="00ED5334">
        <w:rPr>
          <w:noProof/>
        </w:rPr>
        <w:drawing>
          <wp:inline distT="0" distB="0" distL="0" distR="0" wp14:anchorId="64FE62A9" wp14:editId="0E1BD0C1">
            <wp:extent cx="5684293" cy="3650776"/>
            <wp:effectExtent l="0" t="0" r="12065" b="6985"/>
            <wp:docPr id="62" name="Chart 62">
              <a:extLst xmlns:a="http://schemas.openxmlformats.org/drawingml/2006/main">
                <a:ext uri="{FF2B5EF4-FFF2-40B4-BE49-F238E27FC236}">
                  <a16:creationId xmlns:a16="http://schemas.microsoft.com/office/drawing/2014/main" id="{00000000-0008-0000-1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5A89593" w14:textId="77777777" w:rsidR="00545EC8" w:rsidRPr="00ED5334" w:rsidRDefault="00545EC8" w:rsidP="00545EC8">
      <w:pPr>
        <w:pStyle w:val="ListParagraph"/>
        <w:numPr>
          <w:ilvl w:val="0"/>
          <w:numId w:val="36"/>
        </w:numPr>
        <w:spacing w:before="0" w:after="0" w:line="276" w:lineRule="auto"/>
        <w:jc w:val="left"/>
        <w:rPr>
          <w:lang w:val="hy-AM"/>
        </w:rPr>
      </w:pPr>
      <w:r w:rsidRPr="00ED5334">
        <w:rPr>
          <w:rFonts w:eastAsia="Calibri" w:cs="Times New Roman"/>
          <w:noProof/>
          <w:kern w:val="2"/>
          <w:lang w:val="hy-AM"/>
          <w14:ligatures w14:val="standardContextual"/>
        </w:rPr>
        <w:t>«Կարեն Դեմիրճյանի անվան Երևանի մետրոպոլիտեն» ՓԲԸ</w:t>
      </w:r>
    </w:p>
    <w:p w14:paraId="0F7F0FF5"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 xml:space="preserve">«Երևանի Ջերմաէլեկտրակենտրոն» ՓԲԸ </w:t>
      </w:r>
    </w:p>
    <w:p w14:paraId="1893DE88"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«ԷլեկտրաԷներգետիկական Համակարգի Օպերատոր» ՓԲԸ</w:t>
      </w:r>
    </w:p>
    <w:p w14:paraId="7BCCC78B"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«Վ</w:t>
      </w:r>
      <w:r w:rsidRPr="00ED5334">
        <w:rPr>
          <w:rFonts w:ascii="Cambria Math" w:hAnsi="Cambria Math" w:cs="Cambria Math"/>
          <w:noProof/>
          <w:lang w:val="hy-AM"/>
        </w:rPr>
        <w:t>․</w:t>
      </w:r>
      <w:r w:rsidRPr="00ED5334">
        <w:rPr>
          <w:noProof/>
          <w:lang w:val="hy-AM"/>
        </w:rPr>
        <w:t xml:space="preserve"> Ա</w:t>
      </w:r>
      <w:r w:rsidRPr="00ED5334">
        <w:rPr>
          <w:rFonts w:ascii="Cambria Math" w:hAnsi="Cambria Math" w:cs="Cambria Math"/>
          <w:noProof/>
          <w:lang w:val="hy-AM"/>
        </w:rPr>
        <w:t>․</w:t>
      </w:r>
      <w:r w:rsidRPr="00ED5334">
        <w:rPr>
          <w:noProof/>
          <w:lang w:val="hy-AM"/>
        </w:rPr>
        <w:t xml:space="preserve"> Ֆանարջյանի անվան ուռուցքաբանության ազգային կենտրոն» ՓԲԸ</w:t>
      </w:r>
    </w:p>
    <w:p w14:paraId="7A100BEA"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«Բարձրավոլտ էլեկտրացանցեր» ՓԲԸ</w:t>
      </w:r>
    </w:p>
    <w:p w14:paraId="54A609EA"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«Հաշվարկային կենտրոն» ՓԲԸ</w:t>
      </w:r>
    </w:p>
    <w:p w14:paraId="00D7443B"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«Հայկական ատոմային էլեկտրակայան» ՓԲԸ</w:t>
      </w:r>
    </w:p>
    <w:p w14:paraId="5D614653"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«Երևանի ավտոբուս» ՓԲԸ</w:t>
      </w:r>
    </w:p>
    <w:p w14:paraId="77D3D583" w14:textId="77777777" w:rsidR="00545EC8" w:rsidRPr="00ED5334" w:rsidRDefault="00545EC8" w:rsidP="00545EC8">
      <w:pPr>
        <w:pStyle w:val="ListParagraph"/>
        <w:numPr>
          <w:ilvl w:val="0"/>
          <w:numId w:val="36"/>
        </w:numPr>
        <w:spacing w:before="0" w:after="0" w:line="276" w:lineRule="auto"/>
        <w:jc w:val="left"/>
        <w:rPr>
          <w:lang w:val="hy-AM"/>
        </w:rPr>
      </w:pPr>
      <w:r w:rsidRPr="00ED5334">
        <w:rPr>
          <w:noProof/>
          <w:lang w:val="hy-AM"/>
        </w:rPr>
        <w:t>«Հայփոստ» ՓԲԸ</w:t>
      </w:r>
    </w:p>
    <w:p w14:paraId="14B2F575" w14:textId="77777777" w:rsidR="00545EC8" w:rsidRPr="00ED5334" w:rsidRDefault="00545EC8" w:rsidP="00545EC8">
      <w:pPr>
        <w:spacing w:line="276" w:lineRule="auto"/>
        <w:rPr>
          <w:rFonts w:eastAsia="Tahoma" w:cs="Tahoma"/>
          <w:sz w:val="24"/>
          <w:szCs w:val="24"/>
          <w:lang w:val="hy-AM"/>
        </w:rPr>
      </w:pPr>
    </w:p>
    <w:p w14:paraId="307F4E84" w14:textId="77777777" w:rsidR="00545EC8" w:rsidRPr="00ED5334" w:rsidRDefault="00545EC8" w:rsidP="00B219E6">
      <w:pPr>
        <w:spacing w:line="276" w:lineRule="auto"/>
        <w:ind w:firstLine="0"/>
        <w:rPr>
          <w:rFonts w:eastAsia="Tahoma" w:cs="Tahoma"/>
          <w:lang w:val="hy-AM"/>
        </w:rPr>
      </w:pPr>
      <w:r w:rsidRPr="00ED5334">
        <w:rPr>
          <w:b/>
          <w:lang w:val="hy-AM"/>
        </w:rPr>
        <w:t>ՊՄԸ-ների տրամադրված բյուջետային վարկերի և երաշխիքների վերլուծություն</w:t>
      </w:r>
    </w:p>
    <w:p w14:paraId="1EF3DC98" w14:textId="77777777" w:rsidR="00545EC8" w:rsidRPr="00ED5334" w:rsidRDefault="00545EC8" w:rsidP="00B219E6">
      <w:pPr>
        <w:spacing w:after="0" w:line="276" w:lineRule="auto"/>
        <w:ind w:firstLine="0"/>
        <w:rPr>
          <w:bCs/>
          <w:lang w:val="hy-AM"/>
        </w:rPr>
      </w:pPr>
      <w:r w:rsidRPr="00ED5334">
        <w:rPr>
          <w:lang w:val="hy-AM"/>
        </w:rPr>
        <w:t xml:space="preserve">ՊՄԸ-ների ռիսկը </w:t>
      </w:r>
      <w:r w:rsidRPr="00ED5334">
        <w:rPr>
          <w:bCs/>
          <w:lang w:val="hy-AM"/>
        </w:rPr>
        <w:t>բյուջետային վարկերից (ենթավարկերից) և երաշխիքներից բխում է նրանից, որ դրանք արտահայտված են հիմնականում արտարժույթով: Արժույթի տատանումները կարող են բացասաբար ազդել պարտքի սպասարկման ծախսերի վրա և մեծացնել ՊՄԸ-ների վճարման ընդհանուր ֆինանսական բեռը: Վարկերի և ենթավարկերի հիմնական մասը կենտրոնացված է էներգետիկ ոլոտում (</w:t>
      </w:r>
      <w:r w:rsidRPr="00ED5334">
        <w:rPr>
          <w:rFonts w:eastAsia="Times New Roman" w:cs="Calibri"/>
          <w:bCs/>
          <w:color w:val="000000"/>
          <w:lang w:val="hy-AM"/>
        </w:rPr>
        <w:t>«Հայկական ատոմային էլեկտրակայան» ՓԲԸ, «Երևան ՋԷԿ» ՓԲԸ, «Բարձրավոլտ էլեկտրական ցանցեր» ՓԲԸ, «ԷլեկտրաԷներգետիկական Համակարգի Օպերատոր» ՓԲԸ</w:t>
      </w:r>
      <w:r w:rsidRPr="00ED5334">
        <w:rPr>
          <w:bCs/>
          <w:lang w:val="hy-AM"/>
        </w:rPr>
        <w:t xml:space="preserve">): Աղյուսակ 4-ում նշված ՊՄԸ-ներին տրամադրված վարկերը և ենթավարկերը կազմում են ընդհանուր վարկային պորտֆելի 71%: </w:t>
      </w:r>
    </w:p>
    <w:p w14:paraId="0C62875E" w14:textId="0988EA8C" w:rsidR="00545EC8" w:rsidRDefault="00545EC8" w:rsidP="00545EC8">
      <w:pPr>
        <w:spacing w:after="0" w:line="276" w:lineRule="auto"/>
        <w:rPr>
          <w:rFonts w:eastAsia="Times New Roman" w:cs="Calibri"/>
          <w:b/>
          <w:bCs/>
          <w:color w:val="000000"/>
          <w:lang w:val="hy-AM"/>
        </w:rPr>
      </w:pPr>
    </w:p>
    <w:p w14:paraId="649ABBA6" w14:textId="1F1DB163" w:rsidR="00B219E6" w:rsidRDefault="00B219E6" w:rsidP="00545EC8">
      <w:pPr>
        <w:spacing w:after="0" w:line="276" w:lineRule="auto"/>
        <w:rPr>
          <w:rFonts w:eastAsia="Times New Roman" w:cs="Calibri"/>
          <w:b/>
          <w:bCs/>
          <w:color w:val="000000"/>
          <w:lang w:val="hy-AM"/>
        </w:rPr>
      </w:pPr>
    </w:p>
    <w:p w14:paraId="512AF3E3" w14:textId="77777777" w:rsidR="00B219E6" w:rsidRPr="00ED5334" w:rsidRDefault="00B219E6" w:rsidP="00545EC8">
      <w:pPr>
        <w:spacing w:after="0" w:line="276" w:lineRule="auto"/>
        <w:rPr>
          <w:rFonts w:eastAsia="Times New Roman" w:cs="Calibri"/>
          <w:b/>
          <w:bCs/>
          <w:color w:val="000000"/>
          <w:lang w:val="hy-AM"/>
        </w:rPr>
      </w:pPr>
    </w:p>
    <w:p w14:paraId="3AEFD3F3" w14:textId="77777777" w:rsidR="00545EC8" w:rsidRPr="00750B32" w:rsidRDefault="00545EC8" w:rsidP="00545EC8">
      <w:pPr>
        <w:spacing w:line="276" w:lineRule="auto"/>
        <w:ind w:firstLine="0"/>
        <w:rPr>
          <w:bCs/>
          <w:i/>
          <w:lang w:val="hy-AM"/>
        </w:rPr>
      </w:pPr>
      <w:r w:rsidRPr="00750B32">
        <w:rPr>
          <w:b/>
          <w:bCs/>
          <w:i/>
          <w:lang w:val="hy-AM"/>
        </w:rPr>
        <w:t>Աղյուսակ 4.</w:t>
      </w:r>
      <w:r w:rsidRPr="00750B32">
        <w:rPr>
          <w:bCs/>
          <w:i/>
          <w:lang w:val="hy-AM"/>
        </w:rPr>
        <w:t xml:space="preserve"> Բյուջետային վարկեր և երաշխիքներ, ինչպես նաև պետական օժանդակություն ունեցող ՊՄԸ-ների վերլուծություն</w:t>
      </w:r>
      <w:r w:rsidRPr="00CC2AAC">
        <w:rPr>
          <w:bCs/>
          <w:i/>
          <w:lang w:val="hy-AM"/>
        </w:rPr>
        <w:t xml:space="preserve"> (</w:t>
      </w:r>
      <w:r w:rsidRPr="00750B32">
        <w:rPr>
          <w:bCs/>
          <w:i/>
          <w:lang w:val="hy-AM"/>
        </w:rPr>
        <w:t>մլն ՀՀ դրամ</w:t>
      </w:r>
      <w:r w:rsidRPr="00CC2AAC">
        <w:rPr>
          <w:bCs/>
          <w:i/>
          <w:lang w:val="hy-AM"/>
        </w:rPr>
        <w:t>)</w:t>
      </w:r>
      <w:r w:rsidRPr="00750B32">
        <w:rPr>
          <w:rStyle w:val="FootnoteReference"/>
          <w:bCs/>
          <w:i/>
        </w:rPr>
        <w:footnoteReference w:id="44"/>
      </w:r>
    </w:p>
    <w:tbl>
      <w:tblPr>
        <w:tblW w:w="10300" w:type="dxa"/>
        <w:tblInd w:w="-436" w:type="dxa"/>
        <w:tblLook w:val="04A0" w:firstRow="1" w:lastRow="0" w:firstColumn="1" w:lastColumn="0" w:noHBand="0" w:noVBand="1"/>
      </w:tblPr>
      <w:tblGrid>
        <w:gridCol w:w="4286"/>
        <w:gridCol w:w="1160"/>
        <w:gridCol w:w="1160"/>
        <w:gridCol w:w="1160"/>
        <w:gridCol w:w="1160"/>
        <w:gridCol w:w="1374"/>
      </w:tblGrid>
      <w:tr w:rsidR="00545EC8" w:rsidRPr="00A7635A" w14:paraId="5B39BE01" w14:textId="77777777" w:rsidTr="00D262EA">
        <w:trPr>
          <w:trHeight w:val="345"/>
        </w:trPr>
        <w:tc>
          <w:tcPr>
            <w:tcW w:w="4286" w:type="dxa"/>
            <w:tcBorders>
              <w:top w:val="single" w:sz="8" w:space="0" w:color="auto"/>
              <w:left w:val="single" w:sz="8" w:space="0" w:color="auto"/>
              <w:bottom w:val="single" w:sz="8" w:space="0" w:color="auto"/>
              <w:right w:val="single" w:sz="8" w:space="0" w:color="auto"/>
            </w:tcBorders>
            <w:shd w:val="clear" w:color="000000" w:fill="4472C4"/>
            <w:vAlign w:val="center"/>
            <w:hideMark/>
          </w:tcPr>
          <w:p w14:paraId="1DA2F0F7" w14:textId="77777777" w:rsidR="00545EC8" w:rsidRPr="00A7635A" w:rsidRDefault="00545EC8" w:rsidP="00D262EA">
            <w:pPr>
              <w:spacing w:before="0" w:after="0" w:line="240" w:lineRule="auto"/>
              <w:ind w:firstLine="0"/>
              <w:jc w:val="left"/>
              <w:rPr>
                <w:rFonts w:eastAsia="Times New Roman" w:cs="Calibri"/>
                <w:b/>
                <w:bCs/>
                <w:color w:val="FFFFFF"/>
              </w:rPr>
            </w:pPr>
            <w:r w:rsidRPr="00A7635A">
              <w:rPr>
                <w:rFonts w:eastAsia="Times New Roman" w:cs="Calibri"/>
                <w:b/>
                <w:bCs/>
                <w:color w:val="FFFFFF"/>
                <w:lang w:val="hy-AM"/>
              </w:rPr>
              <w:t>ՀՀ մլն դրամ</w:t>
            </w:r>
          </w:p>
        </w:tc>
        <w:tc>
          <w:tcPr>
            <w:tcW w:w="1160" w:type="dxa"/>
            <w:tcBorders>
              <w:top w:val="single" w:sz="8" w:space="0" w:color="auto"/>
              <w:left w:val="nil"/>
              <w:bottom w:val="single" w:sz="8" w:space="0" w:color="auto"/>
              <w:right w:val="single" w:sz="8" w:space="0" w:color="auto"/>
            </w:tcBorders>
            <w:shd w:val="clear" w:color="000000" w:fill="4472C4"/>
            <w:noWrap/>
            <w:vAlign w:val="center"/>
            <w:hideMark/>
          </w:tcPr>
          <w:p w14:paraId="0F02E57C" w14:textId="77777777" w:rsidR="00545EC8" w:rsidRPr="00A7635A" w:rsidRDefault="00545EC8" w:rsidP="00D262EA">
            <w:pPr>
              <w:spacing w:before="0" w:after="0" w:line="240" w:lineRule="auto"/>
              <w:ind w:firstLine="0"/>
              <w:jc w:val="center"/>
              <w:rPr>
                <w:rFonts w:eastAsia="Times New Roman" w:cs="Calibri"/>
                <w:b/>
                <w:bCs/>
                <w:color w:val="FFFFFF"/>
              </w:rPr>
            </w:pPr>
            <w:r w:rsidRPr="00A7635A">
              <w:rPr>
                <w:rFonts w:eastAsia="Times New Roman" w:cs="Calibri"/>
                <w:b/>
                <w:bCs/>
                <w:color w:val="FFFFFF"/>
                <w:lang w:val="hy-AM"/>
              </w:rPr>
              <w:t>2020</w:t>
            </w:r>
          </w:p>
        </w:tc>
        <w:tc>
          <w:tcPr>
            <w:tcW w:w="1160" w:type="dxa"/>
            <w:tcBorders>
              <w:top w:val="single" w:sz="8" w:space="0" w:color="auto"/>
              <w:left w:val="nil"/>
              <w:bottom w:val="single" w:sz="8" w:space="0" w:color="auto"/>
              <w:right w:val="single" w:sz="8" w:space="0" w:color="auto"/>
            </w:tcBorders>
            <w:shd w:val="clear" w:color="000000" w:fill="4472C4"/>
            <w:noWrap/>
            <w:vAlign w:val="center"/>
            <w:hideMark/>
          </w:tcPr>
          <w:p w14:paraId="7D2A90E6" w14:textId="77777777" w:rsidR="00545EC8" w:rsidRPr="00A7635A" w:rsidRDefault="00545EC8" w:rsidP="00D262EA">
            <w:pPr>
              <w:spacing w:before="0" w:after="0" w:line="240" w:lineRule="auto"/>
              <w:ind w:firstLine="0"/>
              <w:jc w:val="center"/>
              <w:rPr>
                <w:rFonts w:eastAsia="Times New Roman" w:cs="Calibri"/>
                <w:b/>
                <w:bCs/>
                <w:color w:val="FFFFFF"/>
              </w:rPr>
            </w:pPr>
            <w:r w:rsidRPr="00A7635A">
              <w:rPr>
                <w:rFonts w:eastAsia="Times New Roman" w:cs="Calibri"/>
                <w:b/>
                <w:bCs/>
                <w:color w:val="FFFFFF"/>
                <w:lang w:val="hy-AM"/>
              </w:rPr>
              <w:t>2021</w:t>
            </w:r>
          </w:p>
        </w:tc>
        <w:tc>
          <w:tcPr>
            <w:tcW w:w="1160" w:type="dxa"/>
            <w:tcBorders>
              <w:top w:val="single" w:sz="8" w:space="0" w:color="auto"/>
              <w:left w:val="nil"/>
              <w:bottom w:val="single" w:sz="8" w:space="0" w:color="auto"/>
              <w:right w:val="single" w:sz="8" w:space="0" w:color="auto"/>
            </w:tcBorders>
            <w:shd w:val="clear" w:color="000000" w:fill="4472C4"/>
            <w:noWrap/>
            <w:vAlign w:val="center"/>
            <w:hideMark/>
          </w:tcPr>
          <w:p w14:paraId="6505B300" w14:textId="77777777" w:rsidR="00545EC8" w:rsidRPr="00A7635A" w:rsidRDefault="00545EC8" w:rsidP="00D262EA">
            <w:pPr>
              <w:spacing w:before="0" w:after="0" w:line="240" w:lineRule="auto"/>
              <w:ind w:firstLine="0"/>
              <w:jc w:val="center"/>
              <w:rPr>
                <w:rFonts w:eastAsia="Times New Roman" w:cs="Calibri"/>
                <w:b/>
                <w:bCs/>
                <w:color w:val="FFFFFF"/>
              </w:rPr>
            </w:pPr>
            <w:r w:rsidRPr="00A7635A">
              <w:rPr>
                <w:rFonts w:eastAsia="Times New Roman" w:cs="Calibri"/>
                <w:b/>
                <w:bCs/>
                <w:color w:val="FFFFFF"/>
                <w:lang w:val="hy-AM"/>
              </w:rPr>
              <w:t>2022</w:t>
            </w:r>
          </w:p>
        </w:tc>
        <w:tc>
          <w:tcPr>
            <w:tcW w:w="1160" w:type="dxa"/>
            <w:tcBorders>
              <w:top w:val="single" w:sz="8" w:space="0" w:color="4472C4"/>
              <w:left w:val="nil"/>
              <w:bottom w:val="nil"/>
              <w:right w:val="single" w:sz="8" w:space="0" w:color="auto"/>
            </w:tcBorders>
            <w:shd w:val="clear" w:color="000000" w:fill="4472C4"/>
            <w:noWrap/>
            <w:vAlign w:val="center"/>
            <w:hideMark/>
          </w:tcPr>
          <w:p w14:paraId="26B0F320" w14:textId="77777777" w:rsidR="00545EC8" w:rsidRPr="00A7635A" w:rsidRDefault="00545EC8" w:rsidP="00D262EA">
            <w:pPr>
              <w:spacing w:before="0" w:after="0" w:line="240" w:lineRule="auto"/>
              <w:ind w:firstLine="0"/>
              <w:jc w:val="center"/>
              <w:rPr>
                <w:rFonts w:eastAsia="Times New Roman" w:cs="Calibri"/>
                <w:b/>
                <w:bCs/>
                <w:color w:val="FFFFFF"/>
              </w:rPr>
            </w:pPr>
            <w:r w:rsidRPr="00A7635A">
              <w:rPr>
                <w:rFonts w:eastAsia="Times New Roman" w:cs="Calibri"/>
                <w:b/>
                <w:bCs/>
                <w:color w:val="FFFFFF"/>
                <w:lang w:val="hy-AM"/>
              </w:rPr>
              <w:t>2023</w:t>
            </w:r>
          </w:p>
        </w:tc>
        <w:tc>
          <w:tcPr>
            <w:tcW w:w="1374" w:type="dxa"/>
            <w:tcBorders>
              <w:top w:val="single" w:sz="8" w:space="0" w:color="4472C4"/>
              <w:left w:val="nil"/>
              <w:bottom w:val="nil"/>
              <w:right w:val="single" w:sz="8" w:space="0" w:color="auto"/>
            </w:tcBorders>
            <w:shd w:val="clear" w:color="000000" w:fill="4472C4"/>
            <w:noWrap/>
            <w:vAlign w:val="center"/>
            <w:hideMark/>
          </w:tcPr>
          <w:p w14:paraId="6D6BCA38" w14:textId="77777777" w:rsidR="00545EC8" w:rsidRPr="00A7635A" w:rsidRDefault="00545EC8" w:rsidP="00D262EA">
            <w:pPr>
              <w:spacing w:before="0" w:after="0" w:line="240" w:lineRule="auto"/>
              <w:ind w:firstLine="0"/>
              <w:jc w:val="center"/>
              <w:rPr>
                <w:rFonts w:eastAsia="Times New Roman" w:cs="Calibri"/>
                <w:b/>
                <w:bCs/>
                <w:color w:val="FFFFFF"/>
              </w:rPr>
            </w:pPr>
            <w:r w:rsidRPr="00A7635A">
              <w:rPr>
                <w:rFonts w:eastAsia="Times New Roman" w:cs="Calibri"/>
                <w:b/>
                <w:bCs/>
                <w:color w:val="FFFFFF"/>
                <w:lang w:val="hy-AM"/>
              </w:rPr>
              <w:t>29.02.2024</w:t>
            </w:r>
          </w:p>
        </w:tc>
      </w:tr>
      <w:tr w:rsidR="00545EC8" w:rsidRPr="00A7635A" w14:paraId="6D1A2F1B" w14:textId="77777777" w:rsidTr="00D262EA">
        <w:trPr>
          <w:trHeight w:val="58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513B0959"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lang w:val="hy-AM"/>
              </w:rPr>
              <w:t>«Հայկական ատոմային էլեկտրակայան» ՓԲԸ</w:t>
            </w:r>
          </w:p>
        </w:tc>
        <w:tc>
          <w:tcPr>
            <w:tcW w:w="6014" w:type="dxa"/>
            <w:gridSpan w:val="5"/>
            <w:tcBorders>
              <w:top w:val="nil"/>
              <w:left w:val="nil"/>
              <w:bottom w:val="single" w:sz="8" w:space="0" w:color="auto"/>
              <w:right w:val="single" w:sz="8" w:space="0" w:color="000000"/>
            </w:tcBorders>
            <w:shd w:val="clear" w:color="000000" w:fill="FFFFFF"/>
            <w:noWrap/>
            <w:vAlign w:val="center"/>
            <w:hideMark/>
          </w:tcPr>
          <w:p w14:paraId="60E28521"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55B74DEC"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208E2322"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lang w:val="hy-AM"/>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07E6A0C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w:t>
            </w:r>
          </w:p>
        </w:tc>
        <w:tc>
          <w:tcPr>
            <w:tcW w:w="1160" w:type="dxa"/>
            <w:tcBorders>
              <w:top w:val="nil"/>
              <w:left w:val="nil"/>
              <w:bottom w:val="single" w:sz="8" w:space="0" w:color="auto"/>
              <w:right w:val="single" w:sz="8" w:space="0" w:color="auto"/>
            </w:tcBorders>
            <w:shd w:val="clear" w:color="auto" w:fill="auto"/>
            <w:noWrap/>
            <w:vAlign w:val="center"/>
            <w:hideMark/>
          </w:tcPr>
          <w:p w14:paraId="35B39CF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w:t>
            </w:r>
          </w:p>
        </w:tc>
        <w:tc>
          <w:tcPr>
            <w:tcW w:w="1160" w:type="dxa"/>
            <w:tcBorders>
              <w:top w:val="nil"/>
              <w:left w:val="nil"/>
              <w:bottom w:val="single" w:sz="8" w:space="0" w:color="auto"/>
              <w:right w:val="single" w:sz="8" w:space="0" w:color="auto"/>
            </w:tcBorders>
            <w:shd w:val="clear" w:color="auto" w:fill="auto"/>
            <w:noWrap/>
            <w:vAlign w:val="center"/>
            <w:hideMark/>
          </w:tcPr>
          <w:p w14:paraId="46993D9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w:t>
            </w:r>
          </w:p>
        </w:tc>
        <w:tc>
          <w:tcPr>
            <w:tcW w:w="1160" w:type="dxa"/>
            <w:tcBorders>
              <w:top w:val="nil"/>
              <w:left w:val="nil"/>
              <w:bottom w:val="nil"/>
              <w:right w:val="single" w:sz="8" w:space="0" w:color="auto"/>
            </w:tcBorders>
            <w:shd w:val="clear" w:color="auto" w:fill="auto"/>
            <w:noWrap/>
            <w:vAlign w:val="center"/>
            <w:hideMark/>
          </w:tcPr>
          <w:p w14:paraId="7FDCBAD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w:t>
            </w:r>
          </w:p>
        </w:tc>
        <w:tc>
          <w:tcPr>
            <w:tcW w:w="1374" w:type="dxa"/>
            <w:tcBorders>
              <w:top w:val="nil"/>
              <w:left w:val="nil"/>
              <w:bottom w:val="nil"/>
              <w:right w:val="single" w:sz="8" w:space="0" w:color="auto"/>
            </w:tcBorders>
            <w:shd w:val="clear" w:color="auto" w:fill="auto"/>
            <w:noWrap/>
            <w:vAlign w:val="center"/>
            <w:hideMark/>
          </w:tcPr>
          <w:p w14:paraId="51F8ED6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283045C9"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74352C99"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36FCEFE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114,244</w:t>
            </w:r>
          </w:p>
        </w:tc>
        <w:tc>
          <w:tcPr>
            <w:tcW w:w="1160" w:type="dxa"/>
            <w:tcBorders>
              <w:top w:val="nil"/>
              <w:left w:val="nil"/>
              <w:bottom w:val="single" w:sz="8" w:space="0" w:color="auto"/>
              <w:right w:val="single" w:sz="8" w:space="0" w:color="auto"/>
            </w:tcBorders>
            <w:shd w:val="clear" w:color="000000" w:fill="FFFFFF"/>
            <w:noWrap/>
            <w:vAlign w:val="center"/>
            <w:hideMark/>
          </w:tcPr>
          <w:p w14:paraId="208D4B2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125,534</w:t>
            </w:r>
          </w:p>
        </w:tc>
        <w:tc>
          <w:tcPr>
            <w:tcW w:w="1160" w:type="dxa"/>
            <w:tcBorders>
              <w:top w:val="nil"/>
              <w:left w:val="nil"/>
              <w:bottom w:val="single" w:sz="8" w:space="0" w:color="auto"/>
              <w:right w:val="single" w:sz="8" w:space="0" w:color="auto"/>
            </w:tcBorders>
            <w:shd w:val="clear" w:color="000000" w:fill="FFFFFF"/>
            <w:noWrap/>
            <w:vAlign w:val="center"/>
            <w:hideMark/>
          </w:tcPr>
          <w:p w14:paraId="67894B9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103,468</w:t>
            </w:r>
          </w:p>
        </w:tc>
        <w:tc>
          <w:tcPr>
            <w:tcW w:w="1160" w:type="dxa"/>
            <w:tcBorders>
              <w:top w:val="single" w:sz="8" w:space="0" w:color="4472C4"/>
              <w:left w:val="nil"/>
              <w:bottom w:val="nil"/>
              <w:right w:val="single" w:sz="8" w:space="0" w:color="auto"/>
            </w:tcBorders>
            <w:shd w:val="clear" w:color="auto" w:fill="auto"/>
            <w:noWrap/>
            <w:vAlign w:val="center"/>
            <w:hideMark/>
          </w:tcPr>
          <w:p w14:paraId="1925EF0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90,537</w:t>
            </w:r>
          </w:p>
        </w:tc>
        <w:tc>
          <w:tcPr>
            <w:tcW w:w="1374" w:type="dxa"/>
            <w:tcBorders>
              <w:top w:val="single" w:sz="8" w:space="0" w:color="4472C4"/>
              <w:left w:val="nil"/>
              <w:bottom w:val="nil"/>
              <w:right w:val="single" w:sz="8" w:space="0" w:color="auto"/>
            </w:tcBorders>
            <w:shd w:val="clear" w:color="auto" w:fill="auto"/>
            <w:noWrap/>
            <w:vAlign w:val="center"/>
            <w:hideMark/>
          </w:tcPr>
          <w:p w14:paraId="5F50574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86,534</w:t>
            </w:r>
          </w:p>
        </w:tc>
      </w:tr>
      <w:tr w:rsidR="00545EC8" w:rsidRPr="00A7635A" w14:paraId="79426314"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5EF1FC72"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046E85B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000000" w:fill="FFFFFF"/>
            <w:noWrap/>
            <w:vAlign w:val="center"/>
            <w:hideMark/>
          </w:tcPr>
          <w:p w14:paraId="1F0DAC2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000000" w:fill="FFFFFF"/>
            <w:noWrap/>
            <w:vAlign w:val="center"/>
            <w:hideMark/>
          </w:tcPr>
          <w:p w14:paraId="6A93389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single" w:sz="8" w:space="0" w:color="4472C4"/>
              <w:left w:val="nil"/>
              <w:bottom w:val="single" w:sz="8" w:space="0" w:color="auto"/>
              <w:right w:val="single" w:sz="8" w:space="0" w:color="auto"/>
            </w:tcBorders>
            <w:shd w:val="clear" w:color="auto" w:fill="auto"/>
            <w:noWrap/>
            <w:vAlign w:val="center"/>
            <w:hideMark/>
          </w:tcPr>
          <w:p w14:paraId="2CEF484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single" w:sz="8" w:space="0" w:color="4472C4"/>
              <w:left w:val="nil"/>
              <w:bottom w:val="single" w:sz="8" w:space="0" w:color="auto"/>
              <w:right w:val="single" w:sz="8" w:space="0" w:color="auto"/>
            </w:tcBorders>
            <w:shd w:val="clear" w:color="auto" w:fill="auto"/>
            <w:noWrap/>
            <w:vAlign w:val="center"/>
            <w:hideMark/>
          </w:tcPr>
          <w:p w14:paraId="72B3DD6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4,994</w:t>
            </w:r>
          </w:p>
        </w:tc>
      </w:tr>
      <w:tr w:rsidR="00545EC8" w:rsidRPr="00A7635A" w14:paraId="1A2F0CFA"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02DFF75F"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auto"/>
              <w:right w:val="single" w:sz="8" w:space="0" w:color="auto"/>
            </w:tcBorders>
            <w:shd w:val="clear" w:color="000000" w:fill="FFFFFF"/>
            <w:noWrap/>
            <w:vAlign w:val="center"/>
            <w:hideMark/>
          </w:tcPr>
          <w:p w14:paraId="6521A9C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22.45%</w:t>
            </w:r>
          </w:p>
        </w:tc>
        <w:tc>
          <w:tcPr>
            <w:tcW w:w="1160" w:type="dxa"/>
            <w:tcBorders>
              <w:top w:val="nil"/>
              <w:left w:val="nil"/>
              <w:bottom w:val="single" w:sz="8" w:space="0" w:color="auto"/>
              <w:right w:val="single" w:sz="8" w:space="0" w:color="auto"/>
            </w:tcBorders>
            <w:shd w:val="clear" w:color="000000" w:fill="FFFFFF"/>
            <w:noWrap/>
            <w:vAlign w:val="center"/>
            <w:hideMark/>
          </w:tcPr>
          <w:p w14:paraId="577B7FA7"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30.52%</w:t>
            </w:r>
          </w:p>
        </w:tc>
        <w:tc>
          <w:tcPr>
            <w:tcW w:w="1160" w:type="dxa"/>
            <w:tcBorders>
              <w:top w:val="nil"/>
              <w:left w:val="nil"/>
              <w:bottom w:val="single" w:sz="8" w:space="0" w:color="auto"/>
              <w:right w:val="single" w:sz="8" w:space="0" w:color="auto"/>
            </w:tcBorders>
            <w:shd w:val="clear" w:color="000000" w:fill="FFFFFF"/>
            <w:noWrap/>
            <w:vAlign w:val="center"/>
            <w:hideMark/>
          </w:tcPr>
          <w:p w14:paraId="37DD0F4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32.23%</w:t>
            </w:r>
          </w:p>
        </w:tc>
        <w:tc>
          <w:tcPr>
            <w:tcW w:w="1160" w:type="dxa"/>
            <w:tcBorders>
              <w:top w:val="nil"/>
              <w:left w:val="nil"/>
              <w:bottom w:val="single" w:sz="8" w:space="0" w:color="auto"/>
              <w:right w:val="single" w:sz="8" w:space="0" w:color="auto"/>
            </w:tcBorders>
            <w:shd w:val="clear" w:color="000000" w:fill="FFFFFF"/>
            <w:noWrap/>
            <w:vAlign w:val="center"/>
            <w:hideMark/>
          </w:tcPr>
          <w:p w14:paraId="369FAF9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29.46%</w:t>
            </w:r>
          </w:p>
        </w:tc>
        <w:tc>
          <w:tcPr>
            <w:tcW w:w="1374" w:type="dxa"/>
            <w:tcBorders>
              <w:top w:val="nil"/>
              <w:left w:val="nil"/>
              <w:bottom w:val="single" w:sz="8" w:space="0" w:color="auto"/>
              <w:right w:val="single" w:sz="8" w:space="0" w:color="auto"/>
            </w:tcBorders>
            <w:shd w:val="clear" w:color="000000" w:fill="FFFFFF"/>
            <w:noWrap/>
            <w:vAlign w:val="center"/>
            <w:hideMark/>
          </w:tcPr>
          <w:p w14:paraId="272038C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28.55%</w:t>
            </w:r>
          </w:p>
        </w:tc>
      </w:tr>
      <w:tr w:rsidR="00545EC8" w:rsidRPr="00A7635A" w14:paraId="1985D831" w14:textId="77777777" w:rsidTr="00D262EA">
        <w:trPr>
          <w:trHeight w:val="31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1A118EC4"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«Երևան ՋԷԿ» ՓԲԸ</w:t>
            </w:r>
          </w:p>
        </w:tc>
        <w:tc>
          <w:tcPr>
            <w:tcW w:w="6014" w:type="dxa"/>
            <w:gridSpan w:val="5"/>
            <w:tcBorders>
              <w:top w:val="single" w:sz="8" w:space="0" w:color="auto"/>
              <w:left w:val="nil"/>
              <w:bottom w:val="single" w:sz="8" w:space="0" w:color="auto"/>
              <w:right w:val="single" w:sz="8" w:space="0" w:color="000000"/>
            </w:tcBorders>
            <w:shd w:val="clear" w:color="000000" w:fill="FFFFFF"/>
            <w:noWrap/>
            <w:vAlign w:val="center"/>
            <w:hideMark/>
          </w:tcPr>
          <w:p w14:paraId="2E9EB4AB"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11FF99B6"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3EC3A1FF"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722A977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000000" w:fill="FFFFFF"/>
            <w:noWrap/>
            <w:vAlign w:val="center"/>
            <w:hideMark/>
          </w:tcPr>
          <w:p w14:paraId="6700A1C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000000" w:fill="FFFFFF"/>
            <w:noWrap/>
            <w:vAlign w:val="center"/>
            <w:hideMark/>
          </w:tcPr>
          <w:p w14:paraId="1E4BB73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nil"/>
              <w:right w:val="single" w:sz="8" w:space="0" w:color="auto"/>
            </w:tcBorders>
            <w:shd w:val="clear" w:color="auto" w:fill="auto"/>
            <w:noWrap/>
            <w:vAlign w:val="center"/>
            <w:hideMark/>
          </w:tcPr>
          <w:p w14:paraId="59BFD9D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nil"/>
              <w:right w:val="single" w:sz="8" w:space="0" w:color="auto"/>
            </w:tcBorders>
            <w:shd w:val="clear" w:color="auto" w:fill="auto"/>
            <w:noWrap/>
            <w:vAlign w:val="center"/>
            <w:hideMark/>
          </w:tcPr>
          <w:p w14:paraId="3014334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3000834C"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5B8A513"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67A18817"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128,802</w:t>
            </w:r>
          </w:p>
        </w:tc>
        <w:tc>
          <w:tcPr>
            <w:tcW w:w="1160" w:type="dxa"/>
            <w:tcBorders>
              <w:top w:val="nil"/>
              <w:left w:val="nil"/>
              <w:bottom w:val="single" w:sz="8" w:space="0" w:color="auto"/>
              <w:right w:val="single" w:sz="8" w:space="0" w:color="auto"/>
            </w:tcBorders>
            <w:shd w:val="clear" w:color="000000" w:fill="FFFFFF"/>
            <w:noWrap/>
            <w:vAlign w:val="center"/>
            <w:hideMark/>
          </w:tcPr>
          <w:p w14:paraId="3AEED16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104,952</w:t>
            </w:r>
          </w:p>
        </w:tc>
        <w:tc>
          <w:tcPr>
            <w:tcW w:w="1160" w:type="dxa"/>
            <w:tcBorders>
              <w:top w:val="nil"/>
              <w:left w:val="nil"/>
              <w:bottom w:val="single" w:sz="8" w:space="0" w:color="auto"/>
              <w:right w:val="single" w:sz="8" w:space="0" w:color="auto"/>
            </w:tcBorders>
            <w:shd w:val="clear" w:color="000000" w:fill="FFFFFF"/>
            <w:noWrap/>
            <w:vAlign w:val="center"/>
            <w:hideMark/>
          </w:tcPr>
          <w:p w14:paraId="76E4C16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74,994</w:t>
            </w:r>
          </w:p>
        </w:tc>
        <w:tc>
          <w:tcPr>
            <w:tcW w:w="1160" w:type="dxa"/>
            <w:tcBorders>
              <w:top w:val="single" w:sz="8" w:space="0" w:color="4472C4"/>
              <w:left w:val="nil"/>
              <w:bottom w:val="nil"/>
              <w:right w:val="single" w:sz="8" w:space="0" w:color="auto"/>
            </w:tcBorders>
            <w:shd w:val="clear" w:color="auto" w:fill="auto"/>
            <w:noWrap/>
            <w:vAlign w:val="center"/>
            <w:hideMark/>
          </w:tcPr>
          <w:p w14:paraId="40DC437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68,449</w:t>
            </w:r>
          </w:p>
        </w:tc>
        <w:tc>
          <w:tcPr>
            <w:tcW w:w="1374" w:type="dxa"/>
            <w:tcBorders>
              <w:top w:val="single" w:sz="8" w:space="0" w:color="4472C4"/>
              <w:left w:val="nil"/>
              <w:bottom w:val="nil"/>
              <w:right w:val="single" w:sz="8" w:space="0" w:color="auto"/>
            </w:tcBorders>
            <w:shd w:val="clear" w:color="auto" w:fill="auto"/>
            <w:noWrap/>
            <w:vAlign w:val="center"/>
            <w:hideMark/>
          </w:tcPr>
          <w:p w14:paraId="5D15FFB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65,374</w:t>
            </w:r>
          </w:p>
        </w:tc>
      </w:tr>
      <w:tr w:rsidR="00545EC8" w:rsidRPr="00A7635A" w14:paraId="18C69BFC"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EB9D6B3"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5A6E4D9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54A2AAE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7F829FE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single" w:sz="8" w:space="0" w:color="4472C4"/>
              <w:left w:val="nil"/>
              <w:bottom w:val="single" w:sz="8" w:space="0" w:color="auto"/>
              <w:right w:val="single" w:sz="8" w:space="0" w:color="auto"/>
            </w:tcBorders>
            <w:shd w:val="clear" w:color="auto" w:fill="auto"/>
            <w:noWrap/>
            <w:vAlign w:val="center"/>
            <w:hideMark/>
          </w:tcPr>
          <w:p w14:paraId="513E42A7"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single" w:sz="8" w:space="0" w:color="4472C4"/>
              <w:left w:val="nil"/>
              <w:bottom w:val="single" w:sz="8" w:space="0" w:color="auto"/>
              <w:right w:val="single" w:sz="8" w:space="0" w:color="auto"/>
            </w:tcBorders>
            <w:shd w:val="clear" w:color="auto" w:fill="auto"/>
            <w:noWrap/>
            <w:vAlign w:val="center"/>
            <w:hideMark/>
          </w:tcPr>
          <w:p w14:paraId="5C8FEEB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21,785</w:t>
            </w:r>
          </w:p>
        </w:tc>
      </w:tr>
      <w:tr w:rsidR="00545EC8" w:rsidRPr="00A7635A" w14:paraId="6C0D3D98"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65AC56D"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auto"/>
              <w:right w:val="single" w:sz="8" w:space="0" w:color="auto"/>
            </w:tcBorders>
            <w:shd w:val="clear" w:color="000000" w:fill="FFFFFF"/>
            <w:noWrap/>
            <w:vAlign w:val="center"/>
            <w:hideMark/>
          </w:tcPr>
          <w:p w14:paraId="3354A6E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25.31%</w:t>
            </w:r>
          </w:p>
        </w:tc>
        <w:tc>
          <w:tcPr>
            <w:tcW w:w="1160" w:type="dxa"/>
            <w:tcBorders>
              <w:top w:val="nil"/>
              <w:left w:val="nil"/>
              <w:bottom w:val="single" w:sz="8" w:space="0" w:color="auto"/>
              <w:right w:val="single" w:sz="8" w:space="0" w:color="auto"/>
            </w:tcBorders>
            <w:shd w:val="clear" w:color="000000" w:fill="FFFFFF"/>
            <w:noWrap/>
            <w:vAlign w:val="center"/>
            <w:hideMark/>
          </w:tcPr>
          <w:p w14:paraId="5193267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25.52%</w:t>
            </w:r>
          </w:p>
        </w:tc>
        <w:tc>
          <w:tcPr>
            <w:tcW w:w="1160" w:type="dxa"/>
            <w:tcBorders>
              <w:top w:val="nil"/>
              <w:left w:val="nil"/>
              <w:bottom w:val="single" w:sz="8" w:space="0" w:color="auto"/>
              <w:right w:val="single" w:sz="8" w:space="0" w:color="auto"/>
            </w:tcBorders>
            <w:shd w:val="clear" w:color="000000" w:fill="FFFFFF"/>
            <w:noWrap/>
            <w:vAlign w:val="center"/>
            <w:hideMark/>
          </w:tcPr>
          <w:p w14:paraId="1537481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23.36%</w:t>
            </w:r>
          </w:p>
        </w:tc>
        <w:tc>
          <w:tcPr>
            <w:tcW w:w="1160" w:type="dxa"/>
            <w:tcBorders>
              <w:top w:val="nil"/>
              <w:left w:val="nil"/>
              <w:bottom w:val="single" w:sz="8" w:space="0" w:color="auto"/>
              <w:right w:val="single" w:sz="8" w:space="0" w:color="auto"/>
            </w:tcBorders>
            <w:shd w:val="clear" w:color="000000" w:fill="FFFFFF"/>
            <w:noWrap/>
            <w:vAlign w:val="center"/>
            <w:hideMark/>
          </w:tcPr>
          <w:p w14:paraId="04D5A8A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22.27%</w:t>
            </w:r>
          </w:p>
        </w:tc>
        <w:tc>
          <w:tcPr>
            <w:tcW w:w="1374" w:type="dxa"/>
            <w:tcBorders>
              <w:top w:val="nil"/>
              <w:left w:val="nil"/>
              <w:bottom w:val="single" w:sz="8" w:space="0" w:color="auto"/>
              <w:right w:val="single" w:sz="8" w:space="0" w:color="auto"/>
            </w:tcBorders>
            <w:shd w:val="clear" w:color="000000" w:fill="FFFFFF"/>
            <w:noWrap/>
            <w:vAlign w:val="center"/>
            <w:hideMark/>
          </w:tcPr>
          <w:p w14:paraId="13B3995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22.23%</w:t>
            </w:r>
          </w:p>
        </w:tc>
      </w:tr>
      <w:tr w:rsidR="00545EC8" w:rsidRPr="00A7635A" w14:paraId="3BE831CE" w14:textId="77777777" w:rsidTr="00D262EA">
        <w:trPr>
          <w:trHeight w:val="31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5300DE83"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«Բարձրավոլտ էլեկտրական ցանցեր» ՓԲԸ</w:t>
            </w:r>
          </w:p>
        </w:tc>
        <w:tc>
          <w:tcPr>
            <w:tcW w:w="6014" w:type="dxa"/>
            <w:gridSpan w:val="5"/>
            <w:tcBorders>
              <w:top w:val="single" w:sz="8" w:space="0" w:color="auto"/>
              <w:left w:val="nil"/>
              <w:bottom w:val="single" w:sz="8" w:space="0" w:color="auto"/>
              <w:right w:val="single" w:sz="8" w:space="0" w:color="000000"/>
            </w:tcBorders>
            <w:shd w:val="clear" w:color="000000" w:fill="FFFFFF"/>
            <w:noWrap/>
            <w:vAlign w:val="center"/>
            <w:hideMark/>
          </w:tcPr>
          <w:p w14:paraId="63652FD0"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7F1043FC"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55CB6D3F"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782AF9A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3B9625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19FEDDF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nil"/>
              <w:right w:val="single" w:sz="8" w:space="0" w:color="auto"/>
            </w:tcBorders>
            <w:shd w:val="clear" w:color="auto" w:fill="auto"/>
            <w:noWrap/>
            <w:vAlign w:val="center"/>
            <w:hideMark/>
          </w:tcPr>
          <w:p w14:paraId="6195A98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nil"/>
              <w:right w:val="single" w:sz="8" w:space="0" w:color="auto"/>
            </w:tcBorders>
            <w:shd w:val="clear" w:color="auto" w:fill="auto"/>
            <w:noWrap/>
            <w:vAlign w:val="center"/>
            <w:hideMark/>
          </w:tcPr>
          <w:p w14:paraId="4594F88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1386076B"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2E0D2A09"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4A126F1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61,540</w:t>
            </w:r>
          </w:p>
        </w:tc>
        <w:tc>
          <w:tcPr>
            <w:tcW w:w="1160" w:type="dxa"/>
            <w:tcBorders>
              <w:top w:val="nil"/>
              <w:left w:val="nil"/>
              <w:bottom w:val="single" w:sz="8" w:space="0" w:color="auto"/>
              <w:right w:val="single" w:sz="8" w:space="0" w:color="auto"/>
            </w:tcBorders>
            <w:shd w:val="clear" w:color="000000" w:fill="FFFFFF"/>
            <w:noWrap/>
            <w:vAlign w:val="center"/>
            <w:hideMark/>
          </w:tcPr>
          <w:p w14:paraId="403D8F3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58,931</w:t>
            </w:r>
          </w:p>
        </w:tc>
        <w:tc>
          <w:tcPr>
            <w:tcW w:w="1160" w:type="dxa"/>
            <w:tcBorders>
              <w:top w:val="nil"/>
              <w:left w:val="nil"/>
              <w:bottom w:val="single" w:sz="8" w:space="0" w:color="auto"/>
              <w:right w:val="single" w:sz="8" w:space="0" w:color="auto"/>
            </w:tcBorders>
            <w:shd w:val="clear" w:color="000000" w:fill="FFFFFF"/>
            <w:noWrap/>
            <w:vAlign w:val="center"/>
            <w:hideMark/>
          </w:tcPr>
          <w:p w14:paraId="14AB149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46,154</w:t>
            </w:r>
          </w:p>
        </w:tc>
        <w:tc>
          <w:tcPr>
            <w:tcW w:w="1160" w:type="dxa"/>
            <w:tcBorders>
              <w:top w:val="single" w:sz="8" w:space="0" w:color="4472C4"/>
              <w:left w:val="nil"/>
              <w:bottom w:val="nil"/>
              <w:right w:val="single" w:sz="8" w:space="0" w:color="auto"/>
            </w:tcBorders>
            <w:shd w:val="clear" w:color="auto" w:fill="auto"/>
            <w:noWrap/>
            <w:vAlign w:val="center"/>
            <w:hideMark/>
          </w:tcPr>
          <w:p w14:paraId="024254E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47,368</w:t>
            </w:r>
          </w:p>
        </w:tc>
        <w:tc>
          <w:tcPr>
            <w:tcW w:w="1374" w:type="dxa"/>
            <w:tcBorders>
              <w:top w:val="single" w:sz="8" w:space="0" w:color="4472C4"/>
              <w:left w:val="nil"/>
              <w:bottom w:val="nil"/>
              <w:right w:val="single" w:sz="8" w:space="0" w:color="auto"/>
            </w:tcBorders>
            <w:shd w:val="clear" w:color="auto" w:fill="auto"/>
            <w:noWrap/>
            <w:vAlign w:val="center"/>
            <w:hideMark/>
          </w:tcPr>
          <w:p w14:paraId="45C0E10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47,361</w:t>
            </w:r>
          </w:p>
        </w:tc>
      </w:tr>
      <w:tr w:rsidR="00545EC8" w:rsidRPr="00A7635A" w14:paraId="1CF30636"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7D742A1"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3823DB27"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529B37A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7B26B9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single" w:sz="8" w:space="0" w:color="4472C4"/>
              <w:left w:val="nil"/>
              <w:bottom w:val="single" w:sz="8" w:space="0" w:color="auto"/>
              <w:right w:val="single" w:sz="8" w:space="0" w:color="auto"/>
            </w:tcBorders>
            <w:shd w:val="clear" w:color="auto" w:fill="auto"/>
            <w:noWrap/>
            <w:vAlign w:val="center"/>
            <w:hideMark/>
          </w:tcPr>
          <w:p w14:paraId="02D55D1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single" w:sz="8" w:space="0" w:color="4472C4"/>
              <w:left w:val="nil"/>
              <w:bottom w:val="single" w:sz="8" w:space="0" w:color="auto"/>
              <w:right w:val="single" w:sz="8" w:space="0" w:color="auto"/>
            </w:tcBorders>
            <w:shd w:val="clear" w:color="auto" w:fill="auto"/>
            <w:noWrap/>
            <w:vAlign w:val="center"/>
            <w:hideMark/>
          </w:tcPr>
          <w:p w14:paraId="4E61E74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lang w:val="hy-AM"/>
              </w:rPr>
              <w:t>16,344</w:t>
            </w:r>
          </w:p>
        </w:tc>
      </w:tr>
      <w:tr w:rsidR="00545EC8" w:rsidRPr="00A7635A" w14:paraId="710B234A"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3242078E"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auto"/>
              <w:right w:val="single" w:sz="8" w:space="0" w:color="auto"/>
            </w:tcBorders>
            <w:shd w:val="clear" w:color="000000" w:fill="FFFFFF"/>
            <w:noWrap/>
            <w:vAlign w:val="center"/>
            <w:hideMark/>
          </w:tcPr>
          <w:p w14:paraId="2A28A66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12.09%</w:t>
            </w:r>
          </w:p>
        </w:tc>
        <w:tc>
          <w:tcPr>
            <w:tcW w:w="1160" w:type="dxa"/>
            <w:tcBorders>
              <w:top w:val="nil"/>
              <w:left w:val="nil"/>
              <w:bottom w:val="single" w:sz="8" w:space="0" w:color="auto"/>
              <w:right w:val="single" w:sz="8" w:space="0" w:color="auto"/>
            </w:tcBorders>
            <w:shd w:val="clear" w:color="000000" w:fill="FFFFFF"/>
            <w:noWrap/>
            <w:vAlign w:val="center"/>
            <w:hideMark/>
          </w:tcPr>
          <w:p w14:paraId="7485AD9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14.33%</w:t>
            </w:r>
          </w:p>
        </w:tc>
        <w:tc>
          <w:tcPr>
            <w:tcW w:w="1160" w:type="dxa"/>
            <w:tcBorders>
              <w:top w:val="nil"/>
              <w:left w:val="nil"/>
              <w:bottom w:val="single" w:sz="8" w:space="0" w:color="auto"/>
              <w:right w:val="single" w:sz="8" w:space="0" w:color="auto"/>
            </w:tcBorders>
            <w:shd w:val="clear" w:color="000000" w:fill="FFFFFF"/>
            <w:noWrap/>
            <w:vAlign w:val="center"/>
            <w:hideMark/>
          </w:tcPr>
          <w:p w14:paraId="4762503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14.38%</w:t>
            </w:r>
          </w:p>
        </w:tc>
        <w:tc>
          <w:tcPr>
            <w:tcW w:w="1160" w:type="dxa"/>
            <w:tcBorders>
              <w:top w:val="nil"/>
              <w:left w:val="nil"/>
              <w:bottom w:val="single" w:sz="8" w:space="0" w:color="auto"/>
              <w:right w:val="single" w:sz="8" w:space="0" w:color="auto"/>
            </w:tcBorders>
            <w:shd w:val="clear" w:color="000000" w:fill="FFFFFF"/>
            <w:noWrap/>
            <w:vAlign w:val="center"/>
            <w:hideMark/>
          </w:tcPr>
          <w:p w14:paraId="21ABB19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15.41%</w:t>
            </w:r>
          </w:p>
        </w:tc>
        <w:tc>
          <w:tcPr>
            <w:tcW w:w="1374" w:type="dxa"/>
            <w:tcBorders>
              <w:top w:val="nil"/>
              <w:left w:val="nil"/>
              <w:bottom w:val="single" w:sz="8" w:space="0" w:color="auto"/>
              <w:right w:val="single" w:sz="8" w:space="0" w:color="auto"/>
            </w:tcBorders>
            <w:shd w:val="clear" w:color="000000" w:fill="FFFFFF"/>
            <w:noWrap/>
            <w:vAlign w:val="center"/>
            <w:hideMark/>
          </w:tcPr>
          <w:p w14:paraId="52C8810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15.61%</w:t>
            </w:r>
          </w:p>
        </w:tc>
      </w:tr>
      <w:tr w:rsidR="00545EC8" w:rsidRPr="00A7635A" w14:paraId="13645FCD" w14:textId="77777777" w:rsidTr="00D262EA">
        <w:trPr>
          <w:trHeight w:val="31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5355B2BC"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«Երևան Ավտոբուս» ՓԲԸ</w:t>
            </w:r>
          </w:p>
        </w:tc>
        <w:tc>
          <w:tcPr>
            <w:tcW w:w="6014" w:type="dxa"/>
            <w:gridSpan w:val="5"/>
            <w:tcBorders>
              <w:top w:val="single" w:sz="8" w:space="0" w:color="auto"/>
              <w:left w:val="nil"/>
              <w:bottom w:val="single" w:sz="8" w:space="0" w:color="auto"/>
              <w:right w:val="single" w:sz="8" w:space="0" w:color="000000"/>
            </w:tcBorders>
            <w:shd w:val="clear" w:color="000000" w:fill="FFFFFF"/>
            <w:noWrap/>
            <w:vAlign w:val="center"/>
            <w:hideMark/>
          </w:tcPr>
          <w:p w14:paraId="19B6C305"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332A477D"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0CBBEBCE"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2051F76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038C314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344A95D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nil"/>
              <w:right w:val="single" w:sz="8" w:space="0" w:color="auto"/>
            </w:tcBorders>
            <w:shd w:val="clear" w:color="auto" w:fill="auto"/>
            <w:noWrap/>
            <w:vAlign w:val="center"/>
            <w:hideMark/>
          </w:tcPr>
          <w:p w14:paraId="2C62D297"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nil"/>
              <w:right w:val="single" w:sz="8" w:space="0" w:color="auto"/>
            </w:tcBorders>
            <w:shd w:val="clear" w:color="auto" w:fill="auto"/>
            <w:noWrap/>
            <w:vAlign w:val="center"/>
            <w:hideMark/>
          </w:tcPr>
          <w:p w14:paraId="6635A5E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2BA08D44"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78056591"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02165FB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F63BD7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0673B1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1,764</w:t>
            </w:r>
          </w:p>
        </w:tc>
        <w:tc>
          <w:tcPr>
            <w:tcW w:w="1160" w:type="dxa"/>
            <w:tcBorders>
              <w:top w:val="single" w:sz="8" w:space="0" w:color="4472C4"/>
              <w:left w:val="nil"/>
              <w:bottom w:val="nil"/>
              <w:right w:val="single" w:sz="8" w:space="0" w:color="auto"/>
            </w:tcBorders>
            <w:shd w:val="clear" w:color="auto" w:fill="auto"/>
            <w:noWrap/>
            <w:vAlign w:val="center"/>
            <w:hideMark/>
          </w:tcPr>
          <w:p w14:paraId="3353DF0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8,958</w:t>
            </w:r>
          </w:p>
        </w:tc>
        <w:tc>
          <w:tcPr>
            <w:tcW w:w="1374" w:type="dxa"/>
            <w:tcBorders>
              <w:top w:val="single" w:sz="8" w:space="0" w:color="4472C4"/>
              <w:left w:val="nil"/>
              <w:bottom w:val="nil"/>
              <w:right w:val="single" w:sz="8" w:space="0" w:color="auto"/>
            </w:tcBorders>
            <w:shd w:val="clear" w:color="auto" w:fill="auto"/>
            <w:noWrap/>
            <w:vAlign w:val="center"/>
            <w:hideMark/>
          </w:tcPr>
          <w:p w14:paraId="33A0671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8,760</w:t>
            </w:r>
          </w:p>
        </w:tc>
      </w:tr>
      <w:tr w:rsidR="00545EC8" w:rsidRPr="00A7635A" w14:paraId="04837BD1"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4958395A"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589D0EC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357</w:t>
            </w:r>
          </w:p>
        </w:tc>
        <w:tc>
          <w:tcPr>
            <w:tcW w:w="1160" w:type="dxa"/>
            <w:tcBorders>
              <w:top w:val="nil"/>
              <w:left w:val="nil"/>
              <w:bottom w:val="single" w:sz="8" w:space="0" w:color="auto"/>
              <w:right w:val="single" w:sz="8" w:space="0" w:color="auto"/>
            </w:tcBorders>
            <w:shd w:val="clear" w:color="auto" w:fill="auto"/>
            <w:noWrap/>
            <w:vAlign w:val="center"/>
            <w:hideMark/>
          </w:tcPr>
          <w:p w14:paraId="1C4BF2E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510</w:t>
            </w:r>
          </w:p>
        </w:tc>
        <w:tc>
          <w:tcPr>
            <w:tcW w:w="1160" w:type="dxa"/>
            <w:tcBorders>
              <w:top w:val="nil"/>
              <w:left w:val="nil"/>
              <w:bottom w:val="single" w:sz="8" w:space="0" w:color="auto"/>
              <w:right w:val="single" w:sz="8" w:space="0" w:color="auto"/>
            </w:tcBorders>
            <w:shd w:val="clear" w:color="auto" w:fill="auto"/>
            <w:noWrap/>
            <w:vAlign w:val="center"/>
            <w:hideMark/>
          </w:tcPr>
          <w:p w14:paraId="28B189B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1,654</w:t>
            </w:r>
          </w:p>
        </w:tc>
        <w:tc>
          <w:tcPr>
            <w:tcW w:w="1160" w:type="dxa"/>
            <w:tcBorders>
              <w:top w:val="single" w:sz="8" w:space="0" w:color="4472C4"/>
              <w:left w:val="nil"/>
              <w:bottom w:val="single" w:sz="8" w:space="0" w:color="auto"/>
              <w:right w:val="single" w:sz="8" w:space="0" w:color="auto"/>
            </w:tcBorders>
            <w:shd w:val="clear" w:color="auto" w:fill="auto"/>
            <w:noWrap/>
            <w:vAlign w:val="center"/>
            <w:hideMark/>
          </w:tcPr>
          <w:p w14:paraId="3DFDF5F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single" w:sz="8" w:space="0" w:color="4472C4"/>
              <w:left w:val="nil"/>
              <w:bottom w:val="single" w:sz="8" w:space="0" w:color="auto"/>
              <w:right w:val="single" w:sz="8" w:space="0" w:color="auto"/>
            </w:tcBorders>
            <w:shd w:val="clear" w:color="auto" w:fill="auto"/>
            <w:noWrap/>
            <w:vAlign w:val="center"/>
            <w:hideMark/>
          </w:tcPr>
          <w:p w14:paraId="52D3056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22852CB4"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4331BF44"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4472C4"/>
              <w:right w:val="single" w:sz="8" w:space="0" w:color="auto"/>
            </w:tcBorders>
            <w:shd w:val="clear" w:color="000000" w:fill="FFFFFF"/>
            <w:noWrap/>
            <w:vAlign w:val="center"/>
            <w:hideMark/>
          </w:tcPr>
          <w:p w14:paraId="6683725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4472C4"/>
              <w:right w:val="single" w:sz="8" w:space="0" w:color="auto"/>
            </w:tcBorders>
            <w:shd w:val="clear" w:color="000000" w:fill="FFFFFF"/>
            <w:noWrap/>
            <w:vAlign w:val="center"/>
            <w:hideMark/>
          </w:tcPr>
          <w:p w14:paraId="5BC636E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4472C4"/>
              <w:right w:val="nil"/>
            </w:tcBorders>
            <w:shd w:val="clear" w:color="000000" w:fill="FFFFFF"/>
            <w:noWrap/>
            <w:vAlign w:val="center"/>
            <w:hideMark/>
          </w:tcPr>
          <w:p w14:paraId="5E34A70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0.55%</w:t>
            </w:r>
          </w:p>
        </w:tc>
        <w:tc>
          <w:tcPr>
            <w:tcW w:w="1160" w:type="dxa"/>
            <w:tcBorders>
              <w:top w:val="nil"/>
              <w:left w:val="single" w:sz="8" w:space="0" w:color="auto"/>
              <w:bottom w:val="single" w:sz="8" w:space="0" w:color="4472C4"/>
              <w:right w:val="nil"/>
            </w:tcBorders>
            <w:shd w:val="clear" w:color="000000" w:fill="FFFFFF"/>
            <w:noWrap/>
            <w:vAlign w:val="center"/>
            <w:hideMark/>
          </w:tcPr>
          <w:p w14:paraId="24F8044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2.91%</w:t>
            </w:r>
          </w:p>
        </w:tc>
        <w:tc>
          <w:tcPr>
            <w:tcW w:w="1374" w:type="dxa"/>
            <w:tcBorders>
              <w:top w:val="nil"/>
              <w:left w:val="single" w:sz="8" w:space="0" w:color="auto"/>
              <w:bottom w:val="single" w:sz="8" w:space="0" w:color="4472C4"/>
              <w:right w:val="single" w:sz="8" w:space="0" w:color="4472C4"/>
            </w:tcBorders>
            <w:shd w:val="clear" w:color="000000" w:fill="FFFFFF"/>
            <w:noWrap/>
            <w:vAlign w:val="center"/>
            <w:hideMark/>
          </w:tcPr>
          <w:p w14:paraId="59C981C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2.89%</w:t>
            </w:r>
          </w:p>
        </w:tc>
      </w:tr>
      <w:tr w:rsidR="00545EC8" w:rsidRPr="00A7635A" w14:paraId="4CAC63E7" w14:textId="77777777" w:rsidTr="00D262EA">
        <w:trPr>
          <w:trHeight w:val="31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6A10B4B4"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«Հայփոստ» ՓԲԸ</w:t>
            </w:r>
          </w:p>
        </w:tc>
        <w:tc>
          <w:tcPr>
            <w:tcW w:w="6014" w:type="dxa"/>
            <w:gridSpan w:val="5"/>
            <w:tcBorders>
              <w:top w:val="single" w:sz="8" w:space="0" w:color="4472C4"/>
              <w:left w:val="nil"/>
              <w:bottom w:val="single" w:sz="8" w:space="0" w:color="auto"/>
              <w:right w:val="single" w:sz="8" w:space="0" w:color="000000"/>
            </w:tcBorders>
            <w:shd w:val="clear" w:color="auto" w:fill="auto"/>
            <w:noWrap/>
            <w:vAlign w:val="center"/>
            <w:hideMark/>
          </w:tcPr>
          <w:p w14:paraId="1DF149E4"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5436CC31" w14:textId="77777777" w:rsidTr="00D262EA">
        <w:trPr>
          <w:trHeight w:val="67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0C8177FA"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5DE46A3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ECC9DC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2ACC7E5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0217437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51841C1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76061DB9"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55444DDD"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386BFDD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21F6D45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53BD06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32B733B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39470E8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5572EEA1"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63AF2EA0"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E7E6E6"/>
            <w:noWrap/>
            <w:vAlign w:val="center"/>
            <w:hideMark/>
          </w:tcPr>
          <w:p w14:paraId="529CAA0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F33E30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649A440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0D2FFC3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04EB644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0A0B1724"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3539737A"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«Հայփոստ»/Վարկային պորտֆել</w:t>
            </w:r>
          </w:p>
        </w:tc>
        <w:tc>
          <w:tcPr>
            <w:tcW w:w="1160" w:type="dxa"/>
            <w:tcBorders>
              <w:top w:val="nil"/>
              <w:left w:val="nil"/>
              <w:bottom w:val="single" w:sz="8" w:space="0" w:color="auto"/>
              <w:right w:val="single" w:sz="8" w:space="0" w:color="auto"/>
            </w:tcBorders>
            <w:shd w:val="clear" w:color="000000" w:fill="E7E6E6"/>
            <w:noWrap/>
            <w:vAlign w:val="center"/>
            <w:hideMark/>
          </w:tcPr>
          <w:p w14:paraId="780FD2C1"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215223D"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4FCF35D5"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B5104A5"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4E2C06BB"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699C59D0" w14:textId="77777777" w:rsidTr="00D262EA">
        <w:trPr>
          <w:trHeight w:val="58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6683866F"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«Կարեն Դեմիրճյանի անվան Երևանի մետրոպոլիտեն» ՓԲԸ</w:t>
            </w:r>
          </w:p>
        </w:tc>
        <w:tc>
          <w:tcPr>
            <w:tcW w:w="6014" w:type="dxa"/>
            <w:gridSpan w:val="5"/>
            <w:tcBorders>
              <w:top w:val="single" w:sz="8" w:space="0" w:color="auto"/>
              <w:left w:val="nil"/>
              <w:bottom w:val="single" w:sz="8" w:space="0" w:color="auto"/>
              <w:right w:val="single" w:sz="8" w:space="0" w:color="000000"/>
            </w:tcBorders>
            <w:shd w:val="clear" w:color="000000" w:fill="FFFFFF"/>
            <w:noWrap/>
            <w:vAlign w:val="center"/>
            <w:hideMark/>
          </w:tcPr>
          <w:p w14:paraId="5EC93FAB"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54E158D0"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2E2E6079"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4437C89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B1813E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55BFD80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3BCFB2A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single" w:sz="8" w:space="0" w:color="auto"/>
              <w:right w:val="single" w:sz="8" w:space="0" w:color="auto"/>
            </w:tcBorders>
            <w:shd w:val="clear" w:color="auto" w:fill="auto"/>
            <w:noWrap/>
            <w:vAlign w:val="center"/>
            <w:hideMark/>
          </w:tcPr>
          <w:p w14:paraId="2A0675C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41094471"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641917A0"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31AC3CD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5,355</w:t>
            </w:r>
          </w:p>
        </w:tc>
        <w:tc>
          <w:tcPr>
            <w:tcW w:w="1160" w:type="dxa"/>
            <w:tcBorders>
              <w:top w:val="nil"/>
              <w:left w:val="nil"/>
              <w:bottom w:val="single" w:sz="8" w:space="0" w:color="auto"/>
              <w:right w:val="single" w:sz="8" w:space="0" w:color="auto"/>
            </w:tcBorders>
            <w:shd w:val="clear" w:color="000000" w:fill="FFFFFF"/>
            <w:noWrap/>
            <w:vAlign w:val="center"/>
            <w:hideMark/>
          </w:tcPr>
          <w:p w14:paraId="37A6537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4,361</w:t>
            </w:r>
          </w:p>
        </w:tc>
        <w:tc>
          <w:tcPr>
            <w:tcW w:w="1160" w:type="dxa"/>
            <w:tcBorders>
              <w:top w:val="nil"/>
              <w:left w:val="nil"/>
              <w:bottom w:val="single" w:sz="8" w:space="0" w:color="auto"/>
              <w:right w:val="single" w:sz="8" w:space="0" w:color="auto"/>
            </w:tcBorders>
            <w:shd w:val="clear" w:color="000000" w:fill="FFFFFF"/>
            <w:noWrap/>
            <w:vAlign w:val="center"/>
            <w:hideMark/>
          </w:tcPr>
          <w:p w14:paraId="02DD4D9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3,026</w:t>
            </w:r>
          </w:p>
        </w:tc>
        <w:tc>
          <w:tcPr>
            <w:tcW w:w="1160" w:type="dxa"/>
            <w:tcBorders>
              <w:top w:val="nil"/>
              <w:left w:val="nil"/>
              <w:bottom w:val="single" w:sz="8" w:space="0" w:color="auto"/>
              <w:right w:val="single" w:sz="8" w:space="0" w:color="auto"/>
            </w:tcBorders>
            <w:shd w:val="clear" w:color="auto" w:fill="auto"/>
            <w:noWrap/>
            <w:vAlign w:val="center"/>
            <w:hideMark/>
          </w:tcPr>
          <w:p w14:paraId="7EF613EF"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2,524</w:t>
            </w:r>
          </w:p>
        </w:tc>
        <w:tc>
          <w:tcPr>
            <w:tcW w:w="1374" w:type="dxa"/>
            <w:tcBorders>
              <w:top w:val="nil"/>
              <w:left w:val="nil"/>
              <w:bottom w:val="single" w:sz="8" w:space="0" w:color="auto"/>
              <w:right w:val="single" w:sz="8" w:space="0" w:color="auto"/>
            </w:tcBorders>
            <w:shd w:val="clear" w:color="auto" w:fill="auto"/>
            <w:noWrap/>
            <w:vAlign w:val="center"/>
            <w:hideMark/>
          </w:tcPr>
          <w:p w14:paraId="4167AA9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2,470</w:t>
            </w:r>
          </w:p>
        </w:tc>
      </w:tr>
      <w:tr w:rsidR="00545EC8" w:rsidRPr="00A7635A" w14:paraId="2CE1C755"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B93831D"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05199DC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2,799.80</w:t>
            </w:r>
          </w:p>
        </w:tc>
        <w:tc>
          <w:tcPr>
            <w:tcW w:w="1160" w:type="dxa"/>
            <w:tcBorders>
              <w:top w:val="nil"/>
              <w:left w:val="nil"/>
              <w:bottom w:val="single" w:sz="8" w:space="0" w:color="auto"/>
              <w:right w:val="single" w:sz="8" w:space="0" w:color="auto"/>
            </w:tcBorders>
            <w:shd w:val="clear" w:color="000000" w:fill="FFFFFF"/>
            <w:noWrap/>
            <w:vAlign w:val="center"/>
            <w:hideMark/>
          </w:tcPr>
          <w:p w14:paraId="42C644D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2,855</w:t>
            </w:r>
          </w:p>
        </w:tc>
        <w:tc>
          <w:tcPr>
            <w:tcW w:w="1160" w:type="dxa"/>
            <w:tcBorders>
              <w:top w:val="nil"/>
              <w:left w:val="nil"/>
              <w:bottom w:val="single" w:sz="8" w:space="0" w:color="auto"/>
              <w:right w:val="single" w:sz="8" w:space="0" w:color="auto"/>
            </w:tcBorders>
            <w:shd w:val="clear" w:color="000000" w:fill="FFFFFF"/>
            <w:noWrap/>
            <w:vAlign w:val="center"/>
            <w:hideMark/>
          </w:tcPr>
          <w:p w14:paraId="4B4ACCE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2,720.50</w:t>
            </w:r>
          </w:p>
        </w:tc>
        <w:tc>
          <w:tcPr>
            <w:tcW w:w="1160" w:type="dxa"/>
            <w:tcBorders>
              <w:top w:val="nil"/>
              <w:left w:val="nil"/>
              <w:bottom w:val="single" w:sz="8" w:space="0" w:color="auto"/>
              <w:right w:val="single" w:sz="8" w:space="0" w:color="auto"/>
            </w:tcBorders>
            <w:shd w:val="clear" w:color="auto" w:fill="auto"/>
            <w:noWrap/>
            <w:vAlign w:val="center"/>
            <w:hideMark/>
          </w:tcPr>
          <w:p w14:paraId="0FA2D47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2,712.50</w:t>
            </w:r>
          </w:p>
        </w:tc>
        <w:tc>
          <w:tcPr>
            <w:tcW w:w="1374" w:type="dxa"/>
            <w:tcBorders>
              <w:top w:val="nil"/>
              <w:left w:val="nil"/>
              <w:bottom w:val="single" w:sz="8" w:space="0" w:color="auto"/>
              <w:right w:val="single" w:sz="8" w:space="0" w:color="auto"/>
            </w:tcBorders>
            <w:shd w:val="clear" w:color="auto" w:fill="auto"/>
            <w:noWrap/>
            <w:vAlign w:val="center"/>
            <w:hideMark/>
          </w:tcPr>
          <w:p w14:paraId="74BDB55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2,641.80</w:t>
            </w:r>
          </w:p>
        </w:tc>
      </w:tr>
      <w:tr w:rsidR="00545EC8" w:rsidRPr="00A7635A" w14:paraId="3FD62F6B"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6CA8D8B9"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auto"/>
              <w:right w:val="single" w:sz="8" w:space="0" w:color="auto"/>
            </w:tcBorders>
            <w:shd w:val="clear" w:color="000000" w:fill="FFFFFF"/>
            <w:noWrap/>
            <w:vAlign w:val="center"/>
            <w:hideMark/>
          </w:tcPr>
          <w:p w14:paraId="248F310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1.05%</w:t>
            </w:r>
          </w:p>
        </w:tc>
        <w:tc>
          <w:tcPr>
            <w:tcW w:w="1160" w:type="dxa"/>
            <w:tcBorders>
              <w:top w:val="nil"/>
              <w:left w:val="nil"/>
              <w:bottom w:val="single" w:sz="8" w:space="0" w:color="auto"/>
              <w:right w:val="single" w:sz="8" w:space="0" w:color="auto"/>
            </w:tcBorders>
            <w:shd w:val="clear" w:color="000000" w:fill="FFFFFF"/>
            <w:noWrap/>
            <w:vAlign w:val="center"/>
            <w:hideMark/>
          </w:tcPr>
          <w:p w14:paraId="2458FB9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1.06%</w:t>
            </w:r>
          </w:p>
        </w:tc>
        <w:tc>
          <w:tcPr>
            <w:tcW w:w="1160" w:type="dxa"/>
            <w:tcBorders>
              <w:top w:val="nil"/>
              <w:left w:val="nil"/>
              <w:bottom w:val="single" w:sz="8" w:space="0" w:color="auto"/>
              <w:right w:val="single" w:sz="8" w:space="0" w:color="auto"/>
            </w:tcBorders>
            <w:shd w:val="clear" w:color="000000" w:fill="FFFFFF"/>
            <w:noWrap/>
            <w:vAlign w:val="center"/>
            <w:hideMark/>
          </w:tcPr>
          <w:p w14:paraId="04B98B9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0.94%</w:t>
            </w:r>
          </w:p>
        </w:tc>
        <w:tc>
          <w:tcPr>
            <w:tcW w:w="1160" w:type="dxa"/>
            <w:tcBorders>
              <w:top w:val="nil"/>
              <w:left w:val="nil"/>
              <w:bottom w:val="single" w:sz="8" w:space="0" w:color="auto"/>
              <w:right w:val="single" w:sz="8" w:space="0" w:color="auto"/>
            </w:tcBorders>
            <w:shd w:val="clear" w:color="000000" w:fill="FFFFFF"/>
            <w:noWrap/>
            <w:vAlign w:val="center"/>
            <w:hideMark/>
          </w:tcPr>
          <w:p w14:paraId="5D2D7D6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0.82%</w:t>
            </w:r>
          </w:p>
        </w:tc>
        <w:tc>
          <w:tcPr>
            <w:tcW w:w="1374" w:type="dxa"/>
            <w:tcBorders>
              <w:top w:val="nil"/>
              <w:left w:val="nil"/>
              <w:bottom w:val="single" w:sz="8" w:space="0" w:color="auto"/>
              <w:right w:val="single" w:sz="8" w:space="0" w:color="auto"/>
            </w:tcBorders>
            <w:shd w:val="clear" w:color="000000" w:fill="FFFFFF"/>
            <w:noWrap/>
            <w:vAlign w:val="center"/>
            <w:hideMark/>
          </w:tcPr>
          <w:p w14:paraId="35314FF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0.81%</w:t>
            </w:r>
          </w:p>
        </w:tc>
      </w:tr>
      <w:tr w:rsidR="00545EC8" w:rsidRPr="00A7635A" w14:paraId="3E994C51" w14:textId="77777777" w:rsidTr="00D262EA">
        <w:trPr>
          <w:trHeight w:val="585"/>
        </w:trPr>
        <w:tc>
          <w:tcPr>
            <w:tcW w:w="4286" w:type="dxa"/>
            <w:tcBorders>
              <w:top w:val="nil"/>
              <w:left w:val="single" w:sz="8" w:space="0" w:color="auto"/>
              <w:bottom w:val="single" w:sz="8" w:space="0" w:color="auto"/>
              <w:right w:val="nil"/>
            </w:tcBorders>
            <w:shd w:val="clear" w:color="000000" w:fill="FFFFFF"/>
            <w:vAlign w:val="center"/>
            <w:hideMark/>
          </w:tcPr>
          <w:p w14:paraId="16E5F08B"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«ԷլեկտրաԷներգետիկական Համակարգի Օպերատոր» ՓԲԸ</w:t>
            </w:r>
          </w:p>
        </w:tc>
        <w:tc>
          <w:tcPr>
            <w:tcW w:w="6014" w:type="dxa"/>
            <w:gridSpan w:val="5"/>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E49C1B7"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195F41E4" w14:textId="77777777" w:rsidTr="00D262EA">
        <w:trPr>
          <w:trHeight w:val="67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A119A2B"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305415D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24D60DF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42E21C5D"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7766E3A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single" w:sz="8" w:space="0" w:color="auto"/>
              <w:right w:val="single" w:sz="8" w:space="0" w:color="auto"/>
            </w:tcBorders>
            <w:shd w:val="clear" w:color="auto" w:fill="auto"/>
            <w:noWrap/>
            <w:vAlign w:val="center"/>
            <w:hideMark/>
          </w:tcPr>
          <w:p w14:paraId="4137EBD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r>
      <w:tr w:rsidR="00545EC8" w:rsidRPr="00A7635A" w14:paraId="01CBC312"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766F96CD"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FFFFFF"/>
            <w:noWrap/>
            <w:vAlign w:val="center"/>
            <w:hideMark/>
          </w:tcPr>
          <w:p w14:paraId="31F9218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10,341</w:t>
            </w:r>
          </w:p>
        </w:tc>
        <w:tc>
          <w:tcPr>
            <w:tcW w:w="1160" w:type="dxa"/>
            <w:tcBorders>
              <w:top w:val="nil"/>
              <w:left w:val="nil"/>
              <w:bottom w:val="single" w:sz="8" w:space="0" w:color="auto"/>
              <w:right w:val="single" w:sz="8" w:space="0" w:color="auto"/>
            </w:tcBorders>
            <w:shd w:val="clear" w:color="000000" w:fill="FFFFFF"/>
            <w:noWrap/>
            <w:vAlign w:val="center"/>
            <w:hideMark/>
          </w:tcPr>
          <w:p w14:paraId="3D88C11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8,947</w:t>
            </w:r>
          </w:p>
        </w:tc>
        <w:tc>
          <w:tcPr>
            <w:tcW w:w="1160" w:type="dxa"/>
            <w:tcBorders>
              <w:top w:val="nil"/>
              <w:left w:val="nil"/>
              <w:bottom w:val="single" w:sz="8" w:space="0" w:color="auto"/>
              <w:right w:val="single" w:sz="8" w:space="0" w:color="auto"/>
            </w:tcBorders>
            <w:shd w:val="clear" w:color="000000" w:fill="FFFFFF"/>
            <w:noWrap/>
            <w:vAlign w:val="center"/>
            <w:hideMark/>
          </w:tcPr>
          <w:p w14:paraId="42636E6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6,714</w:t>
            </w:r>
          </w:p>
        </w:tc>
        <w:tc>
          <w:tcPr>
            <w:tcW w:w="1160" w:type="dxa"/>
            <w:tcBorders>
              <w:top w:val="nil"/>
              <w:left w:val="nil"/>
              <w:bottom w:val="single" w:sz="8" w:space="0" w:color="auto"/>
              <w:right w:val="single" w:sz="8" w:space="0" w:color="auto"/>
            </w:tcBorders>
            <w:shd w:val="clear" w:color="auto" w:fill="auto"/>
            <w:noWrap/>
            <w:vAlign w:val="center"/>
            <w:hideMark/>
          </w:tcPr>
          <w:p w14:paraId="7B8F85B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6,407</w:t>
            </w:r>
          </w:p>
        </w:tc>
        <w:tc>
          <w:tcPr>
            <w:tcW w:w="1374" w:type="dxa"/>
            <w:tcBorders>
              <w:top w:val="nil"/>
              <w:left w:val="nil"/>
              <w:bottom w:val="single" w:sz="8" w:space="0" w:color="auto"/>
              <w:right w:val="single" w:sz="8" w:space="0" w:color="auto"/>
            </w:tcBorders>
            <w:shd w:val="clear" w:color="auto" w:fill="auto"/>
            <w:noWrap/>
            <w:vAlign w:val="center"/>
            <w:hideMark/>
          </w:tcPr>
          <w:p w14:paraId="4C089F1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6,161</w:t>
            </w:r>
          </w:p>
        </w:tc>
      </w:tr>
      <w:tr w:rsidR="00545EC8" w:rsidRPr="00A7635A" w14:paraId="1D92775D" w14:textId="77777777" w:rsidTr="00D262EA">
        <w:trPr>
          <w:trHeight w:val="34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0107463C"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FFFFFF"/>
            <w:noWrap/>
            <w:vAlign w:val="center"/>
            <w:hideMark/>
          </w:tcPr>
          <w:p w14:paraId="0F1E243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1260609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1665546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160" w:type="dxa"/>
            <w:tcBorders>
              <w:top w:val="nil"/>
              <w:left w:val="nil"/>
              <w:bottom w:val="single" w:sz="8" w:space="0" w:color="auto"/>
              <w:right w:val="single" w:sz="8" w:space="0" w:color="auto"/>
            </w:tcBorders>
            <w:shd w:val="clear" w:color="auto" w:fill="auto"/>
            <w:noWrap/>
            <w:vAlign w:val="center"/>
            <w:hideMark/>
          </w:tcPr>
          <w:p w14:paraId="4864BD0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w:t>
            </w:r>
          </w:p>
        </w:tc>
        <w:tc>
          <w:tcPr>
            <w:tcW w:w="1374" w:type="dxa"/>
            <w:tcBorders>
              <w:top w:val="nil"/>
              <w:left w:val="nil"/>
              <w:bottom w:val="single" w:sz="8" w:space="0" w:color="auto"/>
              <w:right w:val="single" w:sz="8" w:space="0" w:color="auto"/>
            </w:tcBorders>
            <w:shd w:val="clear" w:color="auto" w:fill="auto"/>
            <w:noWrap/>
            <w:vAlign w:val="center"/>
            <w:hideMark/>
          </w:tcPr>
          <w:p w14:paraId="5BB3D8D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934.2</w:t>
            </w:r>
          </w:p>
        </w:tc>
      </w:tr>
      <w:tr w:rsidR="00545EC8" w:rsidRPr="00A7635A" w14:paraId="0357A768" w14:textId="77777777" w:rsidTr="00D262EA">
        <w:trPr>
          <w:trHeight w:val="1005"/>
        </w:trPr>
        <w:tc>
          <w:tcPr>
            <w:tcW w:w="4286" w:type="dxa"/>
            <w:tcBorders>
              <w:top w:val="nil"/>
              <w:left w:val="single" w:sz="8" w:space="0" w:color="auto"/>
              <w:bottom w:val="single" w:sz="8" w:space="0" w:color="auto"/>
              <w:right w:val="single" w:sz="8" w:space="0" w:color="auto"/>
            </w:tcBorders>
            <w:shd w:val="clear" w:color="auto" w:fill="auto"/>
            <w:vAlign w:val="center"/>
            <w:hideMark/>
          </w:tcPr>
          <w:p w14:paraId="16F9FAA9"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Տոկոսային հարաբերակցություն ընդհանուր վարկային պորտֆելի նկատմամբ</w:t>
            </w:r>
          </w:p>
        </w:tc>
        <w:tc>
          <w:tcPr>
            <w:tcW w:w="1160" w:type="dxa"/>
            <w:tcBorders>
              <w:top w:val="nil"/>
              <w:left w:val="nil"/>
              <w:bottom w:val="single" w:sz="8" w:space="0" w:color="auto"/>
              <w:right w:val="single" w:sz="8" w:space="0" w:color="auto"/>
            </w:tcBorders>
            <w:shd w:val="clear" w:color="000000" w:fill="FFFFFF"/>
            <w:noWrap/>
            <w:vAlign w:val="center"/>
            <w:hideMark/>
          </w:tcPr>
          <w:p w14:paraId="0F11F10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2.03%</w:t>
            </w:r>
          </w:p>
        </w:tc>
        <w:tc>
          <w:tcPr>
            <w:tcW w:w="1160" w:type="dxa"/>
            <w:tcBorders>
              <w:top w:val="nil"/>
              <w:left w:val="nil"/>
              <w:bottom w:val="single" w:sz="8" w:space="0" w:color="auto"/>
              <w:right w:val="single" w:sz="8" w:space="0" w:color="auto"/>
            </w:tcBorders>
            <w:shd w:val="clear" w:color="000000" w:fill="FFFFFF"/>
            <w:noWrap/>
            <w:vAlign w:val="center"/>
            <w:hideMark/>
          </w:tcPr>
          <w:p w14:paraId="3E574B0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2.18%</w:t>
            </w:r>
          </w:p>
        </w:tc>
        <w:tc>
          <w:tcPr>
            <w:tcW w:w="1160" w:type="dxa"/>
            <w:tcBorders>
              <w:top w:val="nil"/>
              <w:left w:val="nil"/>
              <w:bottom w:val="single" w:sz="8" w:space="0" w:color="auto"/>
              <w:right w:val="single" w:sz="8" w:space="0" w:color="auto"/>
            </w:tcBorders>
            <w:shd w:val="clear" w:color="000000" w:fill="FFFFFF"/>
            <w:noWrap/>
            <w:vAlign w:val="center"/>
            <w:hideMark/>
          </w:tcPr>
          <w:p w14:paraId="35E6A7C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2.09%</w:t>
            </w:r>
          </w:p>
        </w:tc>
        <w:tc>
          <w:tcPr>
            <w:tcW w:w="1160" w:type="dxa"/>
            <w:tcBorders>
              <w:top w:val="nil"/>
              <w:left w:val="nil"/>
              <w:bottom w:val="single" w:sz="8" w:space="0" w:color="auto"/>
              <w:right w:val="single" w:sz="8" w:space="0" w:color="auto"/>
            </w:tcBorders>
            <w:shd w:val="clear" w:color="000000" w:fill="FFFFFF"/>
            <w:noWrap/>
            <w:vAlign w:val="center"/>
            <w:hideMark/>
          </w:tcPr>
          <w:p w14:paraId="6CBE913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2.08%</w:t>
            </w:r>
          </w:p>
        </w:tc>
        <w:tc>
          <w:tcPr>
            <w:tcW w:w="1374" w:type="dxa"/>
            <w:tcBorders>
              <w:top w:val="nil"/>
              <w:left w:val="nil"/>
              <w:bottom w:val="single" w:sz="8" w:space="0" w:color="auto"/>
              <w:right w:val="single" w:sz="8" w:space="0" w:color="auto"/>
            </w:tcBorders>
            <w:shd w:val="clear" w:color="000000" w:fill="FFFFFF"/>
            <w:noWrap/>
            <w:vAlign w:val="center"/>
            <w:hideMark/>
          </w:tcPr>
          <w:p w14:paraId="65D6FA9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eastAsia="Times New Roman" w:cs="Calibri"/>
                <w:color w:val="000000"/>
                <w:sz w:val="20"/>
                <w:szCs w:val="20"/>
              </w:rPr>
              <w:t>2.03%</w:t>
            </w:r>
          </w:p>
        </w:tc>
      </w:tr>
      <w:tr w:rsidR="00545EC8" w:rsidRPr="00A7635A" w14:paraId="05ECABC7" w14:textId="77777777" w:rsidTr="00D262EA">
        <w:trPr>
          <w:trHeight w:val="315"/>
        </w:trPr>
        <w:tc>
          <w:tcPr>
            <w:tcW w:w="4286" w:type="dxa"/>
            <w:tcBorders>
              <w:top w:val="nil"/>
              <w:left w:val="single" w:sz="8" w:space="0" w:color="auto"/>
              <w:bottom w:val="single" w:sz="8" w:space="0" w:color="auto"/>
              <w:right w:val="nil"/>
            </w:tcBorders>
            <w:shd w:val="clear" w:color="000000" w:fill="FFFFFF"/>
            <w:vAlign w:val="center"/>
            <w:hideMark/>
          </w:tcPr>
          <w:p w14:paraId="54BDF7A1"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«Հաշվարկային կենտրոն» ՓԲԸ</w:t>
            </w:r>
          </w:p>
        </w:tc>
        <w:tc>
          <w:tcPr>
            <w:tcW w:w="6014" w:type="dxa"/>
            <w:gridSpan w:val="5"/>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16D1B3D5"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07DEBA4D" w14:textId="77777777" w:rsidTr="00D262EA">
        <w:trPr>
          <w:trHeight w:val="67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6386AA03"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40352230"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16D50E5"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69C549A4"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0A6FA5C"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30DF76D6" w14:textId="77777777" w:rsidR="00545EC8" w:rsidRPr="00A7635A" w:rsidRDefault="00545EC8" w:rsidP="00D262EA">
            <w:pPr>
              <w:spacing w:before="0" w:after="0" w:line="240" w:lineRule="auto"/>
              <w:ind w:firstLine="0"/>
              <w:jc w:val="left"/>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166DE551"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069DC530"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6DA2722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0C02AA2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D46351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696EAF0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563DA849"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2D5AB880"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11032461"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E7E6E6"/>
            <w:noWrap/>
            <w:vAlign w:val="center"/>
            <w:hideMark/>
          </w:tcPr>
          <w:p w14:paraId="4097497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06E97AB3"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4614E82A"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2B1B638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54C53A4E"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36BADD20" w14:textId="77777777" w:rsidTr="00D262EA">
        <w:trPr>
          <w:trHeight w:val="870"/>
        </w:trPr>
        <w:tc>
          <w:tcPr>
            <w:tcW w:w="4286" w:type="dxa"/>
            <w:tcBorders>
              <w:top w:val="nil"/>
              <w:left w:val="single" w:sz="8" w:space="0" w:color="auto"/>
              <w:bottom w:val="single" w:sz="8" w:space="0" w:color="auto"/>
              <w:right w:val="nil"/>
            </w:tcBorders>
            <w:shd w:val="clear" w:color="000000" w:fill="FFFFFF"/>
            <w:vAlign w:val="center"/>
            <w:hideMark/>
          </w:tcPr>
          <w:p w14:paraId="0C64CB23" w14:textId="77777777" w:rsidR="00545EC8" w:rsidRPr="00A7635A" w:rsidRDefault="00545EC8" w:rsidP="00D262EA">
            <w:pPr>
              <w:spacing w:before="0" w:after="0" w:line="240" w:lineRule="auto"/>
              <w:ind w:firstLine="0"/>
              <w:jc w:val="center"/>
              <w:rPr>
                <w:rFonts w:eastAsia="Times New Roman" w:cs="Calibri"/>
                <w:b/>
                <w:bCs/>
                <w:color w:val="000000"/>
                <w:sz w:val="20"/>
                <w:szCs w:val="20"/>
              </w:rPr>
            </w:pPr>
            <w:r w:rsidRPr="00A7635A">
              <w:rPr>
                <w:rFonts w:eastAsia="Times New Roman" w:cs="Calibri"/>
                <w:b/>
                <w:bCs/>
                <w:color w:val="000000"/>
                <w:sz w:val="20"/>
                <w:szCs w:val="20"/>
              </w:rPr>
              <w:t>«Վ</w:t>
            </w:r>
            <w:r w:rsidRPr="00A7635A">
              <w:rPr>
                <w:rFonts w:ascii="Cambria Math" w:eastAsia="Times New Roman" w:hAnsi="Cambria Math" w:cs="Cambria Math"/>
                <w:b/>
                <w:bCs/>
                <w:color w:val="000000"/>
                <w:sz w:val="20"/>
                <w:szCs w:val="20"/>
              </w:rPr>
              <w:t>․</w:t>
            </w:r>
            <w:r w:rsidRPr="00A7635A">
              <w:rPr>
                <w:rFonts w:eastAsia="Times New Roman" w:cs="Calibri"/>
                <w:b/>
                <w:bCs/>
                <w:color w:val="000000"/>
                <w:sz w:val="20"/>
                <w:szCs w:val="20"/>
              </w:rPr>
              <w:t xml:space="preserve"> </w:t>
            </w:r>
            <w:r w:rsidRPr="00A7635A">
              <w:rPr>
                <w:rFonts w:eastAsia="Times New Roman" w:cs="GHEA Grapalat"/>
                <w:b/>
                <w:bCs/>
                <w:color w:val="000000"/>
                <w:sz w:val="20"/>
                <w:szCs w:val="20"/>
              </w:rPr>
              <w:t>Ա</w:t>
            </w:r>
            <w:r w:rsidRPr="00A7635A">
              <w:rPr>
                <w:rFonts w:ascii="Cambria Math" w:eastAsia="Times New Roman" w:hAnsi="Cambria Math" w:cs="Cambria Math"/>
                <w:b/>
                <w:bCs/>
                <w:color w:val="000000"/>
                <w:sz w:val="20"/>
                <w:szCs w:val="20"/>
              </w:rPr>
              <w:t>․</w:t>
            </w:r>
            <w:r w:rsidRPr="00A7635A">
              <w:rPr>
                <w:rFonts w:eastAsia="Times New Roman" w:cs="Calibri"/>
                <w:b/>
                <w:bCs/>
                <w:color w:val="000000"/>
                <w:sz w:val="20"/>
                <w:szCs w:val="20"/>
              </w:rPr>
              <w:t xml:space="preserve"> Ֆանարջյանի անվան ուռուցքաբանության ազգային կենտրոն» ՓԲԸ</w:t>
            </w:r>
          </w:p>
        </w:tc>
        <w:tc>
          <w:tcPr>
            <w:tcW w:w="6014" w:type="dxa"/>
            <w:gridSpan w:val="5"/>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11D1BFE1"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1D225066" w14:textId="77777777" w:rsidTr="00D262EA">
        <w:trPr>
          <w:trHeight w:val="67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39C1EBEB"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Պետության կողմից տրամադրված 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5F84614C"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7495930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2936350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F9D4475"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6F57FA18"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4E296824"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48731F43"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Բյուջետային վարկեր և ենթավարկեր</w:t>
            </w:r>
          </w:p>
        </w:tc>
        <w:tc>
          <w:tcPr>
            <w:tcW w:w="1160" w:type="dxa"/>
            <w:tcBorders>
              <w:top w:val="nil"/>
              <w:left w:val="nil"/>
              <w:bottom w:val="single" w:sz="8" w:space="0" w:color="auto"/>
              <w:right w:val="single" w:sz="8" w:space="0" w:color="auto"/>
            </w:tcBorders>
            <w:shd w:val="clear" w:color="000000" w:fill="E7E6E6"/>
            <w:noWrap/>
            <w:vAlign w:val="center"/>
            <w:hideMark/>
          </w:tcPr>
          <w:p w14:paraId="03832EC0"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5AA53452"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0ED50CF4"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E5E93FB"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2D5FC586" w14:textId="77777777" w:rsidR="00545EC8" w:rsidRPr="00A7635A" w:rsidRDefault="00545EC8" w:rsidP="00D262EA">
            <w:pPr>
              <w:spacing w:before="0" w:after="0" w:line="240" w:lineRule="auto"/>
              <w:ind w:firstLine="0"/>
              <w:jc w:val="center"/>
              <w:rPr>
                <w:rFonts w:eastAsia="Times New Roman" w:cs="Calibri"/>
                <w:color w:val="000000"/>
                <w:sz w:val="20"/>
                <w:szCs w:val="20"/>
              </w:rPr>
            </w:pPr>
            <w:r w:rsidRPr="00A7635A">
              <w:rPr>
                <w:rFonts w:ascii="Calibri" w:eastAsia="Times New Roman" w:hAnsi="Calibri" w:cs="Calibri"/>
                <w:color w:val="000000"/>
                <w:sz w:val="20"/>
                <w:szCs w:val="20"/>
              </w:rPr>
              <w:t> </w:t>
            </w:r>
          </w:p>
        </w:tc>
      </w:tr>
      <w:tr w:rsidR="00545EC8" w:rsidRPr="00A7635A" w14:paraId="2616EE4F" w14:textId="77777777" w:rsidTr="00D262EA">
        <w:trPr>
          <w:trHeight w:val="345"/>
        </w:trPr>
        <w:tc>
          <w:tcPr>
            <w:tcW w:w="4286" w:type="dxa"/>
            <w:tcBorders>
              <w:top w:val="nil"/>
              <w:left w:val="single" w:sz="8" w:space="0" w:color="auto"/>
              <w:bottom w:val="single" w:sz="8" w:space="0" w:color="auto"/>
              <w:right w:val="single" w:sz="8" w:space="0" w:color="auto"/>
            </w:tcBorders>
            <w:shd w:val="clear" w:color="000000" w:fill="FFFFFF"/>
            <w:vAlign w:val="center"/>
            <w:hideMark/>
          </w:tcPr>
          <w:p w14:paraId="258D0B57" w14:textId="77777777" w:rsidR="00545EC8" w:rsidRPr="00A7635A" w:rsidRDefault="00545EC8" w:rsidP="00D262EA">
            <w:pPr>
              <w:spacing w:before="0" w:after="0" w:line="240" w:lineRule="auto"/>
              <w:ind w:firstLine="0"/>
              <w:jc w:val="left"/>
              <w:rPr>
                <w:rFonts w:eastAsia="Times New Roman" w:cs="Calibri"/>
                <w:color w:val="000000"/>
              </w:rPr>
            </w:pPr>
            <w:r w:rsidRPr="00A7635A">
              <w:rPr>
                <w:rFonts w:eastAsia="Times New Roman" w:cs="Calibri"/>
                <w:color w:val="000000"/>
              </w:rPr>
              <w:t>Պետական աջակցություն</w:t>
            </w:r>
          </w:p>
        </w:tc>
        <w:tc>
          <w:tcPr>
            <w:tcW w:w="1160" w:type="dxa"/>
            <w:tcBorders>
              <w:top w:val="nil"/>
              <w:left w:val="nil"/>
              <w:bottom w:val="single" w:sz="8" w:space="0" w:color="auto"/>
              <w:right w:val="single" w:sz="8" w:space="0" w:color="auto"/>
            </w:tcBorders>
            <w:shd w:val="clear" w:color="000000" w:fill="E7E6E6"/>
            <w:noWrap/>
            <w:vAlign w:val="center"/>
            <w:hideMark/>
          </w:tcPr>
          <w:p w14:paraId="2EF8CF6A" w14:textId="77777777" w:rsidR="00545EC8" w:rsidRPr="00A7635A" w:rsidRDefault="00545EC8" w:rsidP="00D262EA">
            <w:pPr>
              <w:spacing w:before="0" w:after="0" w:line="240" w:lineRule="auto"/>
              <w:ind w:firstLine="0"/>
              <w:jc w:val="left"/>
              <w:rPr>
                <w:rFonts w:ascii="Calibri" w:eastAsia="Times New Roman" w:hAnsi="Calibri" w:cs="Calibri"/>
                <w:color w:val="000000"/>
              </w:rPr>
            </w:pPr>
            <w:r w:rsidRPr="00A7635A">
              <w:rPr>
                <w:rFonts w:ascii="Calibri" w:eastAsia="Times New Roman" w:hAnsi="Calibri" w:cs="Calibri"/>
                <w:color w:val="00000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1A39E1F0" w14:textId="77777777" w:rsidR="00545EC8" w:rsidRPr="00A7635A" w:rsidRDefault="00545EC8" w:rsidP="00D262EA">
            <w:pPr>
              <w:spacing w:before="0" w:after="0" w:line="240" w:lineRule="auto"/>
              <w:ind w:firstLine="0"/>
              <w:jc w:val="left"/>
              <w:rPr>
                <w:rFonts w:ascii="Calibri" w:eastAsia="Times New Roman" w:hAnsi="Calibri" w:cs="Calibri"/>
                <w:color w:val="000000"/>
              </w:rPr>
            </w:pPr>
            <w:r w:rsidRPr="00A7635A">
              <w:rPr>
                <w:rFonts w:ascii="Calibri" w:eastAsia="Times New Roman" w:hAnsi="Calibri" w:cs="Calibri"/>
                <w:color w:val="00000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399D7227" w14:textId="77777777" w:rsidR="00545EC8" w:rsidRPr="00A7635A" w:rsidRDefault="00545EC8" w:rsidP="00D262EA">
            <w:pPr>
              <w:spacing w:before="0" w:after="0" w:line="240" w:lineRule="auto"/>
              <w:ind w:firstLine="0"/>
              <w:jc w:val="left"/>
              <w:rPr>
                <w:rFonts w:ascii="Calibri" w:eastAsia="Times New Roman" w:hAnsi="Calibri" w:cs="Calibri"/>
                <w:color w:val="000000"/>
              </w:rPr>
            </w:pPr>
            <w:r w:rsidRPr="00A7635A">
              <w:rPr>
                <w:rFonts w:ascii="Calibri" w:eastAsia="Times New Roman" w:hAnsi="Calibri" w:cs="Calibri"/>
                <w:color w:val="000000"/>
              </w:rPr>
              <w:t> </w:t>
            </w:r>
          </w:p>
        </w:tc>
        <w:tc>
          <w:tcPr>
            <w:tcW w:w="1160" w:type="dxa"/>
            <w:tcBorders>
              <w:top w:val="nil"/>
              <w:left w:val="nil"/>
              <w:bottom w:val="single" w:sz="8" w:space="0" w:color="auto"/>
              <w:right w:val="single" w:sz="8" w:space="0" w:color="auto"/>
            </w:tcBorders>
            <w:shd w:val="clear" w:color="000000" w:fill="E7E6E6"/>
            <w:noWrap/>
            <w:vAlign w:val="center"/>
            <w:hideMark/>
          </w:tcPr>
          <w:p w14:paraId="68312452" w14:textId="77777777" w:rsidR="00545EC8" w:rsidRPr="00A7635A" w:rsidRDefault="00545EC8" w:rsidP="00D262EA">
            <w:pPr>
              <w:spacing w:before="0" w:after="0" w:line="240" w:lineRule="auto"/>
              <w:ind w:firstLine="0"/>
              <w:jc w:val="left"/>
              <w:rPr>
                <w:rFonts w:ascii="Calibri" w:eastAsia="Times New Roman" w:hAnsi="Calibri" w:cs="Calibri"/>
                <w:color w:val="000000"/>
              </w:rPr>
            </w:pPr>
            <w:r w:rsidRPr="00A7635A">
              <w:rPr>
                <w:rFonts w:ascii="Calibri" w:eastAsia="Times New Roman" w:hAnsi="Calibri" w:cs="Calibri"/>
                <w:color w:val="000000"/>
              </w:rPr>
              <w:t> </w:t>
            </w:r>
          </w:p>
        </w:tc>
        <w:tc>
          <w:tcPr>
            <w:tcW w:w="1374" w:type="dxa"/>
            <w:tcBorders>
              <w:top w:val="nil"/>
              <w:left w:val="nil"/>
              <w:bottom w:val="single" w:sz="8" w:space="0" w:color="auto"/>
              <w:right w:val="single" w:sz="8" w:space="0" w:color="auto"/>
            </w:tcBorders>
            <w:shd w:val="clear" w:color="000000" w:fill="E7E6E6"/>
            <w:noWrap/>
            <w:vAlign w:val="center"/>
            <w:hideMark/>
          </w:tcPr>
          <w:p w14:paraId="404B5C0B" w14:textId="77777777" w:rsidR="00545EC8" w:rsidRPr="00A7635A" w:rsidRDefault="00545EC8" w:rsidP="00D262EA">
            <w:pPr>
              <w:spacing w:before="0" w:after="0" w:line="240" w:lineRule="auto"/>
              <w:ind w:firstLine="0"/>
              <w:jc w:val="left"/>
              <w:rPr>
                <w:rFonts w:ascii="Calibri" w:eastAsia="Times New Roman" w:hAnsi="Calibri" w:cs="Calibri"/>
                <w:color w:val="000000"/>
              </w:rPr>
            </w:pPr>
            <w:r w:rsidRPr="00A7635A">
              <w:rPr>
                <w:rFonts w:ascii="Calibri" w:eastAsia="Times New Roman" w:hAnsi="Calibri" w:cs="Calibri"/>
                <w:color w:val="000000"/>
              </w:rPr>
              <w:t> </w:t>
            </w:r>
          </w:p>
        </w:tc>
      </w:tr>
    </w:tbl>
    <w:p w14:paraId="58C11E25" w14:textId="77777777" w:rsidR="00545EC8" w:rsidRDefault="00545EC8" w:rsidP="00545EC8">
      <w:pPr>
        <w:spacing w:after="0" w:line="276" w:lineRule="auto"/>
        <w:rPr>
          <w:lang w:val="hy-AM"/>
        </w:rPr>
      </w:pPr>
    </w:p>
    <w:p w14:paraId="03AE5C4B" w14:textId="77777777" w:rsidR="00545EC8" w:rsidRDefault="00545EC8" w:rsidP="00B219E6">
      <w:pPr>
        <w:spacing w:after="0" w:line="276" w:lineRule="auto"/>
        <w:ind w:firstLine="0"/>
        <w:rPr>
          <w:color w:val="FF0000"/>
          <w:lang w:val="hy-AM"/>
        </w:rPr>
      </w:pPr>
      <w:r w:rsidRPr="00036D4F">
        <w:rPr>
          <w:lang w:val="hy-AM"/>
        </w:rPr>
        <w:t xml:space="preserve">Հանրային միջոցների արդյունավետ կառավարման, թափանցիկության, հաշվետվողականության և մրցակցային հավասար դաշտի երաշխավորման նպատակով, միջազգային լավագույն փորձի ուսումնասիրության և Արժույթի Միջազգային Հիմնադրամի կողմից 2024 թվականի «Պետական մասնակցությամբ ընկերությունների   սեփականության քաղաքականության մշակում» տեխնիկական աջակցության արդյունքների, ինչպես նաև Տնտեսական համագործակցության և զարգացման կազմակերպության՝ ՊՄԸ-ների կորպորատիվ կառավարման վերաբերյալ ուղեցույցների հիման վրա՝ մշակվել և շրջանատվել են ՊՄԸ-ներին ուղղված քաղաքականության հայեցակարգային մոտեցումները: Հայեցակարգային մոտեցումների հիման վրա առաջիկայում նախատեսվում է ՊՄԸ-ներին ուղղված սեփականության քաղաքականության մշակում։ </w:t>
      </w:r>
      <w:r w:rsidRPr="00036D4F">
        <w:rPr>
          <w:color w:val="FF0000"/>
          <w:lang w:val="hy-AM"/>
        </w:rPr>
        <w:t xml:space="preserve"> </w:t>
      </w:r>
    </w:p>
    <w:p w14:paraId="53175D78" w14:textId="5D112ABD" w:rsidR="00545EC8" w:rsidRDefault="00545EC8" w:rsidP="00545EC8">
      <w:pPr>
        <w:spacing w:line="276" w:lineRule="auto"/>
        <w:rPr>
          <w:rFonts w:cs="Arial"/>
          <w:lang w:val="hy-AM"/>
        </w:rPr>
      </w:pPr>
    </w:p>
    <w:p w14:paraId="76A17CA9" w14:textId="77777777" w:rsidR="00B219E6" w:rsidRDefault="00B219E6" w:rsidP="00545EC8">
      <w:pPr>
        <w:spacing w:line="276" w:lineRule="auto"/>
        <w:rPr>
          <w:rFonts w:cs="Arial"/>
          <w:lang w:val="hy-AM"/>
        </w:rPr>
      </w:pPr>
    </w:p>
    <w:p w14:paraId="4269B596" w14:textId="77777777" w:rsidR="00545EC8" w:rsidRPr="00586C02" w:rsidRDefault="00545EC8" w:rsidP="00B219E6">
      <w:pPr>
        <w:spacing w:line="276" w:lineRule="auto"/>
        <w:ind w:firstLine="0"/>
        <w:rPr>
          <w:rFonts w:ascii="Cambria Math" w:hAnsi="Cambria Math" w:cs="Cambria Math"/>
          <w:u w:val="single"/>
          <w:lang w:val="hy-AM"/>
        </w:rPr>
      </w:pPr>
      <w:r w:rsidRPr="00036D4F">
        <w:rPr>
          <w:rFonts w:cs="Arial"/>
          <w:lang w:val="hy-AM"/>
        </w:rPr>
        <w:t xml:space="preserve">ՊՄԸ սեփականության </w:t>
      </w:r>
      <w:r w:rsidRPr="00036D4F">
        <w:rPr>
          <w:rFonts w:cs="Arial"/>
          <w:u w:val="single"/>
          <w:lang w:val="hy-AM"/>
        </w:rPr>
        <w:t>նպատակներն են</w:t>
      </w:r>
      <w:r w:rsidRPr="00036D4F">
        <w:rPr>
          <w:rFonts w:ascii="Cambria Math" w:hAnsi="Cambria Math" w:cs="Cambria Math"/>
          <w:u w:val="single"/>
          <w:lang w:val="hy-AM"/>
        </w:rPr>
        <w:t>․</w:t>
      </w:r>
    </w:p>
    <w:p w14:paraId="6C681208" w14:textId="77777777" w:rsidR="00545EC8" w:rsidRPr="00036D4F" w:rsidRDefault="00545EC8" w:rsidP="00B219E6">
      <w:pPr>
        <w:spacing w:after="0" w:line="276" w:lineRule="auto"/>
        <w:ind w:firstLine="0"/>
        <w:rPr>
          <w:rFonts w:cs="Arial"/>
          <w:lang w:val="hy-AM"/>
        </w:rPr>
      </w:pPr>
      <w:r w:rsidRPr="00036D4F">
        <w:rPr>
          <w:rFonts w:cs="Arial"/>
          <w:i/>
          <w:lang w:val="hy-AM"/>
        </w:rPr>
        <w:t>Հանրային քաղաքականության նպատակներ</w:t>
      </w:r>
      <w:r w:rsidRPr="00036D4F">
        <w:rPr>
          <w:rFonts w:cs="Arial"/>
          <w:lang w:val="hy-AM"/>
        </w:rPr>
        <w:t>՝</w:t>
      </w:r>
    </w:p>
    <w:p w14:paraId="6F88B53D" w14:textId="77777777" w:rsidR="00545EC8" w:rsidRPr="00036D4F" w:rsidRDefault="00545EC8" w:rsidP="00B219E6">
      <w:pPr>
        <w:pStyle w:val="ListParagraph"/>
        <w:numPr>
          <w:ilvl w:val="0"/>
          <w:numId w:val="37"/>
        </w:numPr>
        <w:spacing w:before="0" w:after="0" w:line="276" w:lineRule="auto"/>
        <w:ind w:left="0" w:firstLine="0"/>
        <w:rPr>
          <w:lang w:val="hy-AM"/>
        </w:rPr>
      </w:pPr>
      <w:r w:rsidRPr="00036D4F">
        <w:rPr>
          <w:lang w:val="hy-AM"/>
        </w:rPr>
        <w:t>Աջակցել ազգային անվտանգության նպատակների կամ ազգային շահերի ռազմավարական նպատակների իրագործմանը, որոնք նախանշված են Կառավարության ծրագրով։</w:t>
      </w:r>
    </w:p>
    <w:p w14:paraId="6A9DDA92" w14:textId="77777777" w:rsidR="00545EC8" w:rsidRPr="00036D4F" w:rsidRDefault="00545EC8" w:rsidP="00B219E6">
      <w:pPr>
        <w:pStyle w:val="ListParagraph"/>
        <w:numPr>
          <w:ilvl w:val="0"/>
          <w:numId w:val="37"/>
        </w:numPr>
        <w:spacing w:before="0" w:after="0" w:line="276" w:lineRule="auto"/>
        <w:ind w:left="0" w:firstLine="0"/>
        <w:rPr>
          <w:lang w:val="hy-AM"/>
        </w:rPr>
      </w:pPr>
      <w:r w:rsidRPr="00036D4F">
        <w:rPr>
          <w:rFonts w:cs="Arial"/>
          <w:lang w:val="hy-AM"/>
        </w:rPr>
        <w:t>Պ</w:t>
      </w:r>
      <w:r w:rsidRPr="00036D4F">
        <w:rPr>
          <w:lang w:val="hy-AM"/>
        </w:rPr>
        <w:t>ահպանել բնական մենաշնորհների արդյունավետ գործունեությունը, երբ շուկայի կարգավորումը համարվում է անիրագործելի կամ անարդյունավետ</w:t>
      </w:r>
      <w:r w:rsidRPr="00036D4F">
        <w:rPr>
          <w:rFonts w:cs="Arial"/>
          <w:lang w:val="hy-AM"/>
        </w:rPr>
        <w:t>։</w:t>
      </w:r>
    </w:p>
    <w:p w14:paraId="44D70528" w14:textId="77777777" w:rsidR="00545EC8" w:rsidRPr="00036D4F" w:rsidRDefault="00545EC8" w:rsidP="00B219E6">
      <w:pPr>
        <w:pStyle w:val="ListParagraph"/>
        <w:numPr>
          <w:ilvl w:val="0"/>
          <w:numId w:val="37"/>
        </w:numPr>
        <w:spacing w:before="0" w:after="0" w:line="276" w:lineRule="auto"/>
        <w:ind w:left="0" w:firstLine="0"/>
        <w:rPr>
          <w:lang w:val="hy-AM"/>
        </w:rPr>
      </w:pPr>
      <w:r w:rsidRPr="00036D4F">
        <w:rPr>
          <w:rFonts w:cs="Arial"/>
          <w:lang w:val="hy-AM"/>
        </w:rPr>
        <w:t>Ա</w:t>
      </w:r>
      <w:r w:rsidRPr="00036D4F">
        <w:rPr>
          <w:lang w:val="hy-AM"/>
        </w:rPr>
        <w:t>պահովել կարևոր հանրային ծառայությունների մատուցումը, երբ շուկայի մասնակիցները, հաշվի առնելով իրենց առևտրային շահերը, չեն ստանձնի այդ ծառայությունների մատուցումը։</w:t>
      </w:r>
    </w:p>
    <w:p w14:paraId="07ED9B83" w14:textId="77777777" w:rsidR="00545EC8" w:rsidRDefault="00545EC8" w:rsidP="00B219E6">
      <w:pPr>
        <w:spacing w:after="0" w:line="276" w:lineRule="auto"/>
        <w:ind w:firstLine="0"/>
        <w:rPr>
          <w:i/>
          <w:lang w:val="hy-AM"/>
        </w:rPr>
      </w:pPr>
    </w:p>
    <w:p w14:paraId="4173AB1C" w14:textId="77777777" w:rsidR="00545EC8" w:rsidRDefault="00545EC8" w:rsidP="00B219E6">
      <w:pPr>
        <w:spacing w:after="0" w:line="276" w:lineRule="auto"/>
        <w:ind w:firstLine="0"/>
        <w:rPr>
          <w:i/>
          <w:lang w:val="hy-AM"/>
        </w:rPr>
      </w:pPr>
    </w:p>
    <w:p w14:paraId="0D7825B2" w14:textId="77777777" w:rsidR="00545EC8" w:rsidRPr="00036D4F" w:rsidRDefault="00545EC8" w:rsidP="00B219E6">
      <w:pPr>
        <w:spacing w:after="0" w:line="276" w:lineRule="auto"/>
        <w:ind w:firstLine="0"/>
        <w:rPr>
          <w:lang w:val="hy-AM"/>
        </w:rPr>
      </w:pPr>
      <w:r w:rsidRPr="00036D4F">
        <w:rPr>
          <w:i/>
          <w:lang w:val="hy-AM"/>
        </w:rPr>
        <w:t>Առևտրային նպատակ</w:t>
      </w:r>
      <w:r w:rsidRPr="00036D4F">
        <w:rPr>
          <w:lang w:val="hy-AM"/>
        </w:rPr>
        <w:t>՝</w:t>
      </w:r>
    </w:p>
    <w:p w14:paraId="554ACCF1" w14:textId="77777777" w:rsidR="00545EC8" w:rsidRPr="00CE2A3B" w:rsidRDefault="00545EC8" w:rsidP="00B219E6">
      <w:pPr>
        <w:pStyle w:val="ListParagraph"/>
        <w:numPr>
          <w:ilvl w:val="0"/>
          <w:numId w:val="37"/>
        </w:numPr>
        <w:spacing w:before="0" w:after="0" w:line="276" w:lineRule="auto"/>
        <w:ind w:left="0" w:firstLine="0"/>
        <w:rPr>
          <w:lang w:val="hy-AM"/>
        </w:rPr>
      </w:pPr>
      <w:r w:rsidRPr="00CE2A3B">
        <w:rPr>
          <w:rFonts w:cs="Arial"/>
          <w:lang w:val="hy-AM"/>
        </w:rPr>
        <w:t>Բ</w:t>
      </w:r>
      <w:r w:rsidRPr="00CE2A3B">
        <w:rPr>
          <w:lang w:val="hy-AM"/>
        </w:rPr>
        <w:t xml:space="preserve">ացառապես առևտրային (շահույթի) նպատակով, ընդ որում, </w:t>
      </w:r>
      <w:r w:rsidRPr="00CE2A3B">
        <w:rPr>
          <w:rFonts w:cs="Arial"/>
          <w:lang w:val="hy-AM"/>
        </w:rPr>
        <w:t>առևտրային նպատակ հետապնդող ընկերությունները պետք է թիրախավորեն արտաքին շուկաները, այդ թվում՝ հնարավորինս ձգտելով տնտեսապես բարդ ապրանքների արտադրությանը կամ հիմնվելով բացառիկ և սահմանափակ ռեսուրսների վրա:</w:t>
      </w:r>
    </w:p>
    <w:p w14:paraId="31A52AFE" w14:textId="77777777" w:rsidR="00545EC8" w:rsidRPr="00036D4F" w:rsidRDefault="00545EC8" w:rsidP="00B219E6">
      <w:pPr>
        <w:spacing w:after="0" w:line="276" w:lineRule="auto"/>
        <w:ind w:firstLine="0"/>
        <w:rPr>
          <w:lang w:val="hy-AM"/>
        </w:rPr>
      </w:pPr>
    </w:p>
    <w:p w14:paraId="286F2C44" w14:textId="77777777" w:rsidR="00545EC8" w:rsidRPr="00036D4F" w:rsidRDefault="00545EC8" w:rsidP="00545EC8">
      <w:pPr>
        <w:spacing w:line="276" w:lineRule="auto"/>
        <w:rPr>
          <w:b/>
          <w:i/>
          <w:lang w:val="hy-AM"/>
        </w:rPr>
      </w:pPr>
      <w:r w:rsidRPr="00036D4F">
        <w:rPr>
          <w:b/>
          <w:noProof/>
        </w:rPr>
        <w:drawing>
          <wp:anchor distT="0" distB="0" distL="114300" distR="114300" simplePos="0" relativeHeight="251726848" behindDoc="0" locked="0" layoutInCell="1" allowOverlap="1" wp14:anchorId="5C242A0B" wp14:editId="726DCF18">
            <wp:simplePos x="0" y="0"/>
            <wp:positionH relativeFrom="column">
              <wp:posOffset>1200150</wp:posOffset>
            </wp:positionH>
            <wp:positionV relativeFrom="paragraph">
              <wp:posOffset>447675</wp:posOffset>
            </wp:positionV>
            <wp:extent cx="4547870" cy="3114675"/>
            <wp:effectExtent l="0" t="0" r="0" b="0"/>
            <wp:wrapTopAndBottom/>
            <wp:docPr id="15458764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547870" cy="3114675"/>
                    </a:xfrm>
                    <a:prstGeom prst="rect">
                      <a:avLst/>
                    </a:prstGeom>
                  </pic:spPr>
                </pic:pic>
              </a:graphicData>
            </a:graphic>
            <wp14:sizeRelH relativeFrom="margin">
              <wp14:pctWidth>0</wp14:pctWidth>
            </wp14:sizeRelH>
            <wp14:sizeRelV relativeFrom="margin">
              <wp14:pctHeight>0</wp14:pctHeight>
            </wp14:sizeRelV>
          </wp:anchor>
        </w:drawing>
      </w:r>
      <w:r w:rsidRPr="00036D4F">
        <w:rPr>
          <w:b/>
          <w:lang w:val="hy-AM"/>
        </w:rPr>
        <w:t xml:space="preserve">Գծապատկեր </w:t>
      </w:r>
      <w:r w:rsidRPr="0063686E">
        <w:rPr>
          <w:b/>
          <w:lang w:val="hy-AM"/>
        </w:rPr>
        <w:t>7</w:t>
      </w:r>
      <w:r w:rsidRPr="00036D4F">
        <w:rPr>
          <w:b/>
          <w:lang w:val="hy-AM"/>
        </w:rPr>
        <w:t xml:space="preserve">. </w:t>
      </w:r>
      <w:r w:rsidRPr="00036D4F">
        <w:rPr>
          <w:lang w:val="hy-AM"/>
        </w:rPr>
        <w:t>Պետական սեփականության հիմնավորումը և դրա բաղադրիչները</w:t>
      </w:r>
    </w:p>
    <w:p w14:paraId="4C01E5F3" w14:textId="77777777" w:rsidR="00545EC8" w:rsidRDefault="00545EC8" w:rsidP="00545EC8">
      <w:pPr>
        <w:spacing w:after="0" w:line="276" w:lineRule="auto"/>
        <w:rPr>
          <w:lang w:val="hy-AM"/>
        </w:rPr>
      </w:pPr>
    </w:p>
    <w:p w14:paraId="7FDF6C6C" w14:textId="77777777" w:rsidR="00545EC8" w:rsidRDefault="00545EC8" w:rsidP="00B219E6">
      <w:pPr>
        <w:spacing w:after="0" w:line="276" w:lineRule="auto"/>
        <w:ind w:firstLine="0"/>
        <w:rPr>
          <w:lang w:val="hy-AM"/>
        </w:rPr>
      </w:pPr>
      <w:r w:rsidRPr="002000AC">
        <w:rPr>
          <w:lang w:val="hy-AM"/>
        </w:rPr>
        <w:t>Նշենք, որ ընթացքում է «Հայաստանի պետական հետաքրքրությունների ֆոնդ» ՓԲԸ-ի գործունեությունը դադարեցնելու գործընթացը</w:t>
      </w:r>
      <w:r w:rsidRPr="002000AC">
        <w:rPr>
          <w:rFonts w:ascii="Cambria Math" w:hAnsi="Cambria Math"/>
          <w:lang w:val="hy-AM"/>
        </w:rPr>
        <w:t xml:space="preserve">․ </w:t>
      </w:r>
      <w:r w:rsidRPr="002000AC">
        <w:rPr>
          <w:lang w:val="hy-AM"/>
        </w:rPr>
        <w:t xml:space="preserve">համաձայն ՀՀ կառավարության 23.05.2024թ. N 734-Ն որոշման՝ ընկերության կառավարումը վերապահվում է ՀՀ տարածքային կառավարման և ենթակառուցվածքների նախարարության Պետական գույքի կառավարման կոմիտեին: Գործընթացը կարող է ժամանակատար լինել և պահանջել հավելյալ վերլուծություններ, համապատասխանաբար, ՀՀ ֆինանսների </w:t>
      </w:r>
      <w:r>
        <w:rPr>
          <w:lang w:val="hy-AM"/>
        </w:rPr>
        <w:t>նախարարությունն</w:t>
      </w:r>
      <w:r w:rsidRPr="002000AC">
        <w:rPr>
          <w:lang w:val="hy-AM"/>
        </w:rPr>
        <w:t xml:space="preserve"> ընթացքում կապահովի անհրաժեշտ աջակցություն</w:t>
      </w:r>
      <w:r>
        <w:rPr>
          <w:lang w:val="hy-AM"/>
        </w:rPr>
        <w:t>՝</w:t>
      </w:r>
      <w:r w:rsidRPr="002000AC">
        <w:rPr>
          <w:lang w:val="hy-AM"/>
        </w:rPr>
        <w:t xml:space="preserve"> ֆիսկալ ռիսկերը նվազեցնելու ուղղությամբ:</w:t>
      </w:r>
      <w:r w:rsidRPr="00036D4F">
        <w:rPr>
          <w:lang w:val="hy-AM"/>
        </w:rPr>
        <w:t xml:space="preserve"> </w:t>
      </w:r>
    </w:p>
    <w:p w14:paraId="394F6093" w14:textId="77777777" w:rsidR="00545EC8" w:rsidRDefault="00545EC8" w:rsidP="00545EC8">
      <w:pPr>
        <w:spacing w:after="0" w:line="276" w:lineRule="auto"/>
        <w:ind w:firstLine="0"/>
        <w:jc w:val="center"/>
        <w:rPr>
          <w:lang w:val="hy-AM"/>
        </w:rPr>
      </w:pPr>
    </w:p>
    <w:p w14:paraId="3538AC43"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293" w:name="_Toc170906567"/>
      <w:r w:rsidRPr="00461381">
        <w:rPr>
          <w:b/>
          <w:color w:val="44546A" w:themeColor="text2"/>
          <w:sz w:val="24"/>
          <w:szCs w:val="24"/>
          <w:lang w:val="hy-AM" w:eastAsia="ru-RU"/>
        </w:rPr>
        <w:t>3</w:t>
      </w:r>
      <w:r w:rsidRPr="00461381">
        <w:rPr>
          <w:rFonts w:ascii="Cambria Math" w:hAnsi="Cambria Math" w:cs="Cambria Math"/>
          <w:b/>
          <w:color w:val="44546A" w:themeColor="text2"/>
          <w:sz w:val="24"/>
          <w:szCs w:val="24"/>
          <w:lang w:val="hy-AM" w:eastAsia="ru-RU"/>
        </w:rPr>
        <w:t>․</w:t>
      </w:r>
      <w:r w:rsidRPr="00461381">
        <w:rPr>
          <w:b/>
          <w:color w:val="44546A" w:themeColor="text2"/>
          <w:sz w:val="24"/>
          <w:szCs w:val="24"/>
          <w:lang w:val="hy-AM" w:eastAsia="ru-RU"/>
        </w:rPr>
        <w:t>3</w:t>
      </w:r>
      <w:r w:rsidRPr="00461381">
        <w:rPr>
          <w:rFonts w:ascii="Cambria Math" w:hAnsi="Cambria Math" w:cs="Cambria Math"/>
          <w:b/>
          <w:color w:val="44546A" w:themeColor="text2"/>
          <w:sz w:val="24"/>
          <w:szCs w:val="24"/>
          <w:lang w:val="hy-AM" w:eastAsia="ru-RU"/>
        </w:rPr>
        <w:t>․</w:t>
      </w:r>
      <w:r w:rsidRPr="00461381">
        <w:rPr>
          <w:b/>
          <w:color w:val="44546A" w:themeColor="text2"/>
          <w:sz w:val="24"/>
          <w:szCs w:val="24"/>
          <w:lang w:val="hy-AM" w:eastAsia="ru-RU"/>
        </w:rPr>
        <w:t>2 ԲՅՈՒՋԵՏԱՅԻՆ ՎԱՐԿԵՐԻՑ ԾԱԳՈՂ ՀԱՐԿԱԲՅՈՒՋԵՏԱՅԻՆ ՌԻՍԿԵՐ</w:t>
      </w:r>
      <w:bookmarkEnd w:id="293"/>
    </w:p>
    <w:p w14:paraId="5A355D68" w14:textId="77777777" w:rsidR="00545EC8" w:rsidRPr="00036D4F" w:rsidRDefault="00545EC8" w:rsidP="0086137E">
      <w:pPr>
        <w:spacing w:after="0" w:line="276" w:lineRule="auto"/>
        <w:ind w:firstLine="0"/>
        <w:rPr>
          <w:lang w:val="hy-AM"/>
        </w:rPr>
      </w:pPr>
      <w:r w:rsidRPr="00036D4F">
        <w:rPr>
          <w:lang w:val="hy-AM"/>
        </w:rPr>
        <w:t xml:space="preserve">Այս բաժնում վերլուծվում են տրամադրված բյուջետային վարկերից և երաշխիքներից </w:t>
      </w:r>
      <w:r>
        <w:rPr>
          <w:lang w:val="hy-AM"/>
        </w:rPr>
        <w:t>ծագող</w:t>
      </w:r>
      <w:r w:rsidRPr="00036D4F">
        <w:rPr>
          <w:lang w:val="hy-AM"/>
        </w:rPr>
        <w:t xml:space="preserve"> ուղղակի ու ածանցված ֆիսկալ ռիսկերի մակարդակը, ներկայացվում՝ բյուջետային վարկերի և երաշխիքների պորտֆելների վերլուծական պատկերը:</w:t>
      </w:r>
    </w:p>
    <w:p w14:paraId="4C4D3B2B" w14:textId="77777777" w:rsidR="00545EC8" w:rsidRPr="00036D4F" w:rsidRDefault="00545EC8" w:rsidP="0086137E">
      <w:pPr>
        <w:spacing w:after="0" w:line="276" w:lineRule="auto"/>
        <w:ind w:firstLine="0"/>
        <w:rPr>
          <w:lang w:val="hy-AM"/>
        </w:rPr>
      </w:pPr>
      <w:r w:rsidRPr="00036D4F">
        <w:rPr>
          <w:lang w:val="hy-AM"/>
        </w:rPr>
        <w:t>Բյուջետային վարկերից և երաշխիքներից բխող ֆիսկալ ռիսկերն այն ռիսկերն են, որոնց ի հայտ գալը կհանգեցնի տարեկան բյուջեում և ՄԺԾԾ-ում իրականացված կանախատեսումների շեղումների՝ կապված վերոնշյալ վարկերի սպասարկման և մարման, ինչպես նաև վարկավորմամբ կամ երաշխիքի տրամադրմամբ պետության կողմից փաստացի փոխհատուցում տրամադրելու հնարավոր անհրաժեշտության հետ:</w:t>
      </w:r>
    </w:p>
    <w:p w14:paraId="49E3B909" w14:textId="77777777" w:rsidR="00545EC8" w:rsidRPr="00036D4F" w:rsidRDefault="00545EC8" w:rsidP="0086137E">
      <w:pPr>
        <w:spacing w:after="0" w:line="276" w:lineRule="auto"/>
        <w:ind w:firstLine="0"/>
        <w:rPr>
          <w:lang w:val="hy-AM"/>
        </w:rPr>
      </w:pPr>
      <w:r w:rsidRPr="00036D4F">
        <w:rPr>
          <w:lang w:val="hy-AM"/>
        </w:rPr>
        <w:t>Վարկային պորտֆելի իրականացվելիք վերլուծության հիմնական նպատակը պորտֆելի` տարբեր ռիսկերի ենթարկավածության աստիճանի գնահատումն է</w:t>
      </w:r>
      <w:r>
        <w:rPr>
          <w:lang w:val="hy-AM"/>
        </w:rPr>
        <w:t>՝</w:t>
      </w:r>
      <w:r w:rsidRPr="00036D4F">
        <w:rPr>
          <w:lang w:val="hy-AM"/>
        </w:rPr>
        <w:t xml:space="preserve"> հնարավոր ֆիսկալ ռիսկերի բացահայտման ճանապարհին:</w:t>
      </w:r>
    </w:p>
    <w:p w14:paraId="403E74FF" w14:textId="77777777" w:rsidR="00545EC8" w:rsidRPr="00036D4F" w:rsidRDefault="00545EC8" w:rsidP="0086137E">
      <w:pPr>
        <w:spacing w:after="0" w:line="276" w:lineRule="auto"/>
        <w:ind w:firstLine="0"/>
        <w:rPr>
          <w:lang w:val="hy-AM"/>
        </w:rPr>
      </w:pPr>
      <w:r w:rsidRPr="00036D4F">
        <w:rPr>
          <w:lang w:val="hy-AM"/>
        </w:rPr>
        <w:t>2024 թվականի փետրվարի 29-ի դրությամբ վարկային պորտֆելի չմարված մասի ընդհանուր գումարը կազմել է 303.1 մլրդ, որը նախորդ նույն ժամանակահատվածի համեմատ նվազել է մոտ 2.7%-ով, ինչը պայմանավորած է տրամադրված վարկերի մարմամբ: Հարկ է նշել, որ զուգահեռաբար նախորդ տարվա նույն ժամանակահատվածի համեմատ պորտֆելը համալրվել է նոր վարկերով՝ միաժամանակ կրելով փոխարժեքի տատանումները (նախորդ տարվա նույն ժամանակահատվածի նկատմամբ դրամի փոքր-ինչ արժեզրկում):  Նույն ամսաթվի դրությամբ չաշխատող վարկերի տեսակարար կշիռը վարկային պորտֆելում կազմել է 2.23% (</w:t>
      </w:r>
      <w:r>
        <w:rPr>
          <w:lang w:val="hy-AM"/>
        </w:rPr>
        <w:t>տե΄ս</w:t>
      </w:r>
      <w:r w:rsidRPr="00036D4F">
        <w:rPr>
          <w:lang w:val="hy-AM"/>
        </w:rPr>
        <w:t xml:space="preserve"> գծապատկեր 8):</w:t>
      </w:r>
    </w:p>
    <w:p w14:paraId="371B359A" w14:textId="77777777" w:rsidR="00545EC8" w:rsidRPr="00036D4F" w:rsidRDefault="00545EC8" w:rsidP="00545EC8">
      <w:pPr>
        <w:spacing w:after="0" w:line="276" w:lineRule="auto"/>
        <w:ind w:firstLine="720"/>
        <w:rPr>
          <w:lang w:val="hy-AM"/>
        </w:rPr>
      </w:pPr>
    </w:p>
    <w:p w14:paraId="29E41C0E" w14:textId="77777777" w:rsidR="00545EC8" w:rsidRPr="0088034D" w:rsidRDefault="00545EC8" w:rsidP="00545EC8">
      <w:pPr>
        <w:spacing w:after="200" w:line="276" w:lineRule="auto"/>
        <w:ind w:firstLine="0"/>
        <w:rPr>
          <w:i/>
          <w:sz w:val="20"/>
          <w:szCs w:val="20"/>
          <w:lang w:val="hy-AM"/>
        </w:rPr>
      </w:pPr>
      <w:r w:rsidRPr="0088034D">
        <w:rPr>
          <w:b/>
          <w:i/>
          <w:lang w:val="hy-AM"/>
        </w:rPr>
        <w:t xml:space="preserve">Գծապատկեր 8. </w:t>
      </w:r>
      <w:r w:rsidRPr="0088034D">
        <w:rPr>
          <w:i/>
          <w:lang w:val="hy-AM"/>
        </w:rPr>
        <w:t>Չաշխատող վարկերի տեսակարար կշիռը վարկային պորտֆելում</w:t>
      </w:r>
    </w:p>
    <w:p w14:paraId="2F150706" w14:textId="77777777" w:rsidR="00545EC8" w:rsidRDefault="00545EC8" w:rsidP="00545EC8">
      <w:pPr>
        <w:spacing w:after="0" w:line="240" w:lineRule="auto"/>
        <w:ind w:firstLine="720"/>
        <w:jc w:val="center"/>
        <w:rPr>
          <w:sz w:val="24"/>
          <w:szCs w:val="24"/>
          <w:highlight w:val="yellow"/>
          <w:lang w:val="hy-AM"/>
        </w:rPr>
      </w:pPr>
      <w:r>
        <w:rPr>
          <w:noProof/>
        </w:rPr>
        <w:drawing>
          <wp:inline distT="0" distB="0" distL="0" distR="0" wp14:anchorId="79AEC985" wp14:editId="4175F29F">
            <wp:extent cx="3534770" cy="2251880"/>
            <wp:effectExtent l="0" t="0" r="8890" b="15240"/>
            <wp:docPr id="1545876434" name="Chart 15458764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4BB4506" w14:textId="77777777" w:rsidR="00545EC8" w:rsidRPr="00A3643C" w:rsidRDefault="00545EC8" w:rsidP="00545EC8">
      <w:pPr>
        <w:spacing w:after="0" w:line="240" w:lineRule="auto"/>
        <w:ind w:firstLine="720"/>
        <w:jc w:val="center"/>
        <w:rPr>
          <w:sz w:val="24"/>
          <w:szCs w:val="24"/>
          <w:highlight w:val="yellow"/>
          <w:lang w:val="hy-AM"/>
        </w:rPr>
      </w:pPr>
    </w:p>
    <w:p w14:paraId="2F53DAD6" w14:textId="77777777" w:rsidR="00545EC8" w:rsidRPr="00036D4F" w:rsidRDefault="00545EC8" w:rsidP="0086137E">
      <w:pPr>
        <w:spacing w:after="0" w:line="276" w:lineRule="auto"/>
        <w:ind w:firstLine="0"/>
        <w:rPr>
          <w:lang w:val="hy-AM"/>
        </w:rPr>
      </w:pPr>
      <w:r w:rsidRPr="00036D4F">
        <w:rPr>
          <w:lang w:val="hy-AM"/>
        </w:rPr>
        <w:t>2024 թվականի փետրվարի 29-ի դրությամբ վարկային պորտֆելի գերակշիռ մասը բաժին է ընկել էներգետիակայի ոլորտին՝ կազմելով մոտ 77%, իսկ հանրագումարային 233.95 մլրդ ՀՀ դրամ:</w:t>
      </w:r>
    </w:p>
    <w:p w14:paraId="3EFF0D8C" w14:textId="77777777" w:rsidR="00545EC8" w:rsidRPr="00036D4F" w:rsidRDefault="00545EC8" w:rsidP="0086137E">
      <w:pPr>
        <w:spacing w:after="0" w:line="276" w:lineRule="auto"/>
        <w:ind w:firstLine="0"/>
        <w:rPr>
          <w:lang w:val="hy-AM"/>
        </w:rPr>
      </w:pPr>
      <w:r w:rsidRPr="00036D4F">
        <w:rPr>
          <w:lang w:val="hy-AM"/>
        </w:rPr>
        <w:t>2024 թվականի փետրվարի 29-ի դրությամբ ենթավարկային պայմանագրերով տրամադրված վարկերը կազմել են ընդհանուր պորտֆելի 71.9%-ը, իսկ բյուջետային վարկերը՝ 28.1%-ը (</w:t>
      </w:r>
      <w:r>
        <w:rPr>
          <w:lang w:val="hy-AM"/>
        </w:rPr>
        <w:t>տե΄ս</w:t>
      </w:r>
      <w:r w:rsidRPr="00036D4F">
        <w:rPr>
          <w:lang w:val="hy-AM"/>
        </w:rPr>
        <w:t xml:space="preserve"> գծապատկեր </w:t>
      </w:r>
      <w:r>
        <w:rPr>
          <w:lang w:val="hy-AM"/>
        </w:rPr>
        <w:t>9</w:t>
      </w:r>
      <w:r w:rsidRPr="00036D4F">
        <w:rPr>
          <w:lang w:val="hy-AM"/>
        </w:rPr>
        <w:t>):</w:t>
      </w:r>
      <w:r>
        <w:rPr>
          <w:lang w:val="hy-AM"/>
        </w:rPr>
        <w:t xml:space="preserve"> </w:t>
      </w:r>
      <w:r w:rsidRPr="00036D4F">
        <w:rPr>
          <w:lang w:val="hy-AM"/>
        </w:rPr>
        <w:t>Հատկանշական է, որ ՊՄԸ-ների մասնաբաժինը վարկային պորտֆելում կազմել է 73.8%:</w:t>
      </w:r>
    </w:p>
    <w:p w14:paraId="59B78A7A" w14:textId="77777777" w:rsidR="00545EC8" w:rsidRDefault="00545EC8" w:rsidP="00545EC8">
      <w:pPr>
        <w:spacing w:after="0" w:line="240" w:lineRule="auto"/>
        <w:rPr>
          <w:b/>
          <w:sz w:val="20"/>
          <w:szCs w:val="24"/>
          <w:lang w:val="hy-AM"/>
        </w:rPr>
      </w:pPr>
    </w:p>
    <w:p w14:paraId="71484342" w14:textId="77777777" w:rsidR="00545EC8" w:rsidRDefault="00545EC8" w:rsidP="00545EC8">
      <w:pPr>
        <w:spacing w:after="0" w:line="240" w:lineRule="auto"/>
        <w:ind w:firstLine="720"/>
        <w:rPr>
          <w:b/>
          <w:sz w:val="20"/>
          <w:szCs w:val="24"/>
          <w:lang w:val="hy-AM"/>
        </w:rPr>
      </w:pPr>
    </w:p>
    <w:p w14:paraId="7C492C1D" w14:textId="77777777" w:rsidR="00545EC8" w:rsidRPr="0088034D" w:rsidRDefault="00545EC8" w:rsidP="00545EC8">
      <w:pPr>
        <w:spacing w:after="200" w:line="276" w:lineRule="auto"/>
        <w:ind w:firstLine="0"/>
        <w:rPr>
          <w:b/>
          <w:i/>
          <w:lang w:val="hy-AM"/>
        </w:rPr>
      </w:pPr>
      <w:r w:rsidRPr="0088034D">
        <w:rPr>
          <w:b/>
          <w:i/>
          <w:lang w:val="hy-AM"/>
        </w:rPr>
        <w:t xml:space="preserve">Գծապատկեր 9. </w:t>
      </w:r>
      <w:r w:rsidRPr="0088034D">
        <w:rPr>
          <w:i/>
          <w:lang w:val="hy-AM"/>
        </w:rPr>
        <w:t>Վարկային պորտֆելի տարանջատում</w:t>
      </w:r>
      <w:r>
        <w:rPr>
          <w:i/>
          <w:lang w:val="hy-AM"/>
        </w:rPr>
        <w:t>ն՝</w:t>
      </w:r>
      <w:r w:rsidRPr="0088034D">
        <w:rPr>
          <w:i/>
          <w:lang w:val="hy-AM"/>
        </w:rPr>
        <w:t xml:space="preserve"> ըստ բյուջետային վարկերի և ենթավարկերի</w:t>
      </w:r>
    </w:p>
    <w:p w14:paraId="1E2E5F88" w14:textId="77777777" w:rsidR="00545EC8" w:rsidRDefault="00545EC8" w:rsidP="00545EC8">
      <w:pPr>
        <w:spacing w:line="240" w:lineRule="auto"/>
        <w:ind w:firstLine="720"/>
        <w:jc w:val="center"/>
        <w:rPr>
          <w:sz w:val="24"/>
          <w:szCs w:val="24"/>
          <w:lang w:val="hy-AM"/>
        </w:rPr>
      </w:pPr>
      <w:r>
        <w:rPr>
          <w:noProof/>
        </w:rPr>
        <w:drawing>
          <wp:inline distT="0" distB="0" distL="0" distR="0" wp14:anchorId="64E9889D" wp14:editId="6E2ADA7B">
            <wp:extent cx="3975156" cy="2281583"/>
            <wp:effectExtent l="0" t="0" r="6350" b="4445"/>
            <wp:docPr id="1545876435" name="Chart 15458764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41395C8" w14:textId="77777777" w:rsidR="00545EC8" w:rsidRPr="00036D4F" w:rsidRDefault="00545EC8" w:rsidP="0086137E">
      <w:pPr>
        <w:spacing w:after="0" w:line="276" w:lineRule="auto"/>
        <w:ind w:firstLine="0"/>
        <w:rPr>
          <w:lang w:val="hy-AM"/>
        </w:rPr>
      </w:pPr>
      <w:r w:rsidRPr="00036D4F">
        <w:rPr>
          <w:lang w:val="hy-AM"/>
        </w:rPr>
        <w:t>Վարկային պորտֆելի դինամիկայի վերաբերյալ պատկերացում կազմելու համար ստորև՝ Գծապատկեր 10–ում, ներկայացնենք վերջինիս տեսակարար կշիռը ՀՆԱ-ում</w:t>
      </w:r>
      <w:r>
        <w:rPr>
          <w:lang w:val="hy-AM"/>
        </w:rPr>
        <w:t>՝</w:t>
      </w:r>
      <w:r w:rsidRPr="00036D4F">
        <w:rPr>
          <w:lang w:val="hy-AM"/>
        </w:rPr>
        <w:t xml:space="preserve"> վերջին տարիների կտրվածքով:</w:t>
      </w:r>
    </w:p>
    <w:p w14:paraId="2E660E65" w14:textId="77777777" w:rsidR="00545EC8" w:rsidRDefault="00545EC8" w:rsidP="00545EC8">
      <w:pPr>
        <w:spacing w:line="240" w:lineRule="auto"/>
        <w:ind w:right="-630"/>
        <w:jc w:val="center"/>
        <w:rPr>
          <w:b/>
          <w:lang w:val="hy-AM"/>
        </w:rPr>
      </w:pPr>
    </w:p>
    <w:p w14:paraId="1C431288" w14:textId="77777777" w:rsidR="00545EC8" w:rsidRPr="0089793F" w:rsidRDefault="00545EC8" w:rsidP="00545EC8">
      <w:pPr>
        <w:spacing w:line="240" w:lineRule="auto"/>
        <w:ind w:right="-630" w:firstLine="0"/>
        <w:rPr>
          <w:i/>
          <w:lang w:val="hy-AM"/>
        </w:rPr>
      </w:pPr>
      <w:r w:rsidRPr="0089793F">
        <w:rPr>
          <w:b/>
          <w:i/>
          <w:lang w:val="hy-AM"/>
        </w:rPr>
        <w:t xml:space="preserve">Գծապատկեր 10. </w:t>
      </w:r>
      <w:r w:rsidRPr="0089793F">
        <w:rPr>
          <w:i/>
          <w:lang w:val="hy-AM"/>
        </w:rPr>
        <w:t>Վարկային պորտֆելը և վերջինիս կշիռը ՀՆԱ-ում (մլրդ</w:t>
      </w:r>
      <w:r w:rsidRPr="00CC2AAC">
        <w:rPr>
          <w:i/>
          <w:lang w:val="hy-AM"/>
        </w:rPr>
        <w:t xml:space="preserve"> </w:t>
      </w:r>
      <w:r>
        <w:rPr>
          <w:i/>
          <w:lang w:val="hy-AM"/>
        </w:rPr>
        <w:t>ՀՀ դրամ</w:t>
      </w:r>
      <w:r w:rsidRPr="0089793F">
        <w:rPr>
          <w:i/>
          <w:lang w:val="hy-AM"/>
        </w:rPr>
        <w:t>, %)</w:t>
      </w:r>
    </w:p>
    <w:p w14:paraId="542ABD14" w14:textId="77777777" w:rsidR="00545EC8" w:rsidRDefault="00545EC8" w:rsidP="00545EC8">
      <w:pPr>
        <w:spacing w:line="240" w:lineRule="auto"/>
        <w:ind w:firstLine="720"/>
        <w:jc w:val="center"/>
        <w:rPr>
          <w:sz w:val="24"/>
          <w:szCs w:val="24"/>
          <w:lang w:val="hy-AM"/>
        </w:rPr>
      </w:pPr>
      <w:r>
        <w:rPr>
          <w:noProof/>
        </w:rPr>
        <w:drawing>
          <wp:inline distT="0" distB="0" distL="0" distR="0" wp14:anchorId="7D0C8CA7" wp14:editId="657CD921">
            <wp:extent cx="4492487" cy="2775006"/>
            <wp:effectExtent l="0" t="0" r="3810" b="635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6A481A9" w14:textId="77777777" w:rsidR="00545EC8" w:rsidRPr="00B35A3C" w:rsidRDefault="00545EC8" w:rsidP="0086137E">
      <w:pPr>
        <w:spacing w:after="0" w:line="276" w:lineRule="auto"/>
        <w:ind w:firstLine="0"/>
        <w:rPr>
          <w:lang w:val="hy-AM"/>
        </w:rPr>
      </w:pPr>
      <w:r w:rsidRPr="00B35A3C">
        <w:rPr>
          <w:lang w:val="hy-AM"/>
        </w:rPr>
        <w:t>Ինչպես տեսանելի է գծապատկերից, դիտարկվող տարիներին առավելագույն վարկային պորտֆելի չափն ու կշիռը ՀՆԱ-ում արձանագրվել է 2020 թվականին, որը հետևանք է համավարակի ֆոնին տնտեսական ծրագրերի իրականացման նպատակով տրամադրված նոր վարկերի, ինչպես նաև տվյալ տարում արտարժույթի փոխարժեքի դեպի վեր տատանման: Հարկ է նշել, որ վերջին տարիների վարկային պորտֆելի նվազումը մեծամասամբ պայմանավորված է դրամի արժևորմամբ:</w:t>
      </w:r>
    </w:p>
    <w:p w14:paraId="700ED841" w14:textId="77777777" w:rsidR="00545EC8" w:rsidRPr="00B35A3C" w:rsidRDefault="00545EC8" w:rsidP="0086137E">
      <w:pPr>
        <w:spacing w:after="0" w:line="276" w:lineRule="auto"/>
        <w:ind w:firstLine="0"/>
        <w:rPr>
          <w:lang w:val="hy-AM"/>
        </w:rPr>
      </w:pPr>
      <w:r w:rsidRPr="00B35A3C">
        <w:rPr>
          <w:lang w:val="hy-AM"/>
        </w:rPr>
        <w:t xml:space="preserve">2024 թվականի փետրվարի 29-ի դրությամբ ընդհանուր վարկային պորտֆելում ՀՀ դրամով տրամադրված վարկերը կազմել են 33.4% կամ 101.2 մլրդ ՀՀ դրամ, ԱՄՆ դոլարով` 99.5 մլրդ ՀՀ դրամ կամ 32.9%, Եվրոյով` 13.3% կամ 40.3 մլրդ ՀՀ դրամ, ճապոնական իենով` 17.9% կամ 54.1 մլրդ ՀՀ դրամ, հատուկ փոխառության իրավունքով (ՀՓԻ) տրամադրված վարկերը՝ 2.5% կամ 7.7 մլրդ ՀՀ դրամ (տե΄ս գծապատկերը </w:t>
      </w:r>
      <w:r>
        <w:rPr>
          <w:lang w:val="hy-AM"/>
        </w:rPr>
        <w:t>11</w:t>
      </w:r>
      <w:r w:rsidRPr="00B35A3C">
        <w:rPr>
          <w:lang w:val="hy-AM"/>
        </w:rPr>
        <w:t>):</w:t>
      </w:r>
    </w:p>
    <w:p w14:paraId="048B27BC" w14:textId="77777777" w:rsidR="00545EC8" w:rsidRPr="00B35A3C" w:rsidRDefault="00545EC8" w:rsidP="00545EC8">
      <w:pPr>
        <w:spacing w:after="0" w:line="276" w:lineRule="auto"/>
        <w:ind w:firstLine="720"/>
        <w:rPr>
          <w:lang w:val="hy-AM"/>
        </w:rPr>
      </w:pPr>
    </w:p>
    <w:p w14:paraId="697FFCFC" w14:textId="77777777" w:rsidR="00545EC8" w:rsidRPr="0089793F" w:rsidRDefault="00545EC8" w:rsidP="00545EC8">
      <w:pPr>
        <w:spacing w:line="276" w:lineRule="auto"/>
        <w:ind w:firstLine="0"/>
        <w:rPr>
          <w:i/>
          <w:lang w:val="hy-AM"/>
        </w:rPr>
      </w:pPr>
      <w:r w:rsidRPr="0089793F">
        <w:rPr>
          <w:b/>
          <w:i/>
          <w:lang w:val="hy-AM"/>
        </w:rPr>
        <w:t xml:space="preserve">Գծապատկեր 11. </w:t>
      </w:r>
      <w:r w:rsidRPr="0089793F">
        <w:rPr>
          <w:i/>
          <w:lang w:val="hy-AM"/>
        </w:rPr>
        <w:t>Վարկային պորտֆելի արժութային կազմը</w:t>
      </w:r>
    </w:p>
    <w:p w14:paraId="6E193765" w14:textId="77777777" w:rsidR="00545EC8" w:rsidRDefault="00545EC8" w:rsidP="00545EC8">
      <w:pPr>
        <w:spacing w:line="240" w:lineRule="auto"/>
        <w:ind w:firstLine="720"/>
        <w:jc w:val="center"/>
        <w:rPr>
          <w:sz w:val="24"/>
          <w:szCs w:val="24"/>
          <w:lang w:val="hy-AM"/>
        </w:rPr>
      </w:pPr>
      <w:r>
        <w:rPr>
          <w:noProof/>
        </w:rPr>
        <w:drawing>
          <wp:inline distT="0" distB="0" distL="0" distR="0" wp14:anchorId="01A2A793" wp14:editId="58036B0C">
            <wp:extent cx="4298867" cy="3016332"/>
            <wp:effectExtent l="0" t="0" r="6985" b="12700"/>
            <wp:docPr id="1545876436" name="Chart 15458764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86F1474" w14:textId="77777777" w:rsidR="00545EC8" w:rsidRDefault="00545EC8" w:rsidP="00545EC8">
      <w:pPr>
        <w:spacing w:after="0" w:line="276" w:lineRule="auto"/>
        <w:rPr>
          <w:lang w:val="hy-AM"/>
        </w:rPr>
      </w:pPr>
    </w:p>
    <w:p w14:paraId="38707C3C" w14:textId="77777777" w:rsidR="00545EC8" w:rsidRPr="00B35A3C" w:rsidRDefault="00545EC8" w:rsidP="0086137E">
      <w:pPr>
        <w:spacing w:after="0" w:line="276" w:lineRule="auto"/>
        <w:ind w:firstLine="0"/>
        <w:rPr>
          <w:lang w:val="hy-AM"/>
        </w:rPr>
      </w:pPr>
      <w:r w:rsidRPr="00B35A3C">
        <w:rPr>
          <w:lang w:val="hy-AM"/>
        </w:rPr>
        <w:t>Վարկային պորտֆելի՝ արժութային ռիսկին ենթարկվածության աստիճանը գնահատվում է բավականին բարձր, քանի որ տրամադրված վարկերի գերակշիռ մասը՝ 66.6%-ը, արտարժույթով են, իսկ վարկառուների եկամուտները՝ հիմնականում ՀՀ դրամով:</w:t>
      </w:r>
    </w:p>
    <w:p w14:paraId="4E5AD852" w14:textId="77777777" w:rsidR="00545EC8" w:rsidRPr="00B35A3C" w:rsidRDefault="00545EC8" w:rsidP="0086137E">
      <w:pPr>
        <w:spacing w:after="120" w:line="276" w:lineRule="auto"/>
        <w:ind w:firstLine="0"/>
        <w:rPr>
          <w:lang w:val="hy-AM"/>
        </w:rPr>
      </w:pPr>
      <w:r w:rsidRPr="00B35A3C">
        <w:rPr>
          <w:lang w:val="hy-AM"/>
        </w:rPr>
        <w:t>Վարկային պորտֆելի՝ տոկոսադրույքի ռիսկին ենթարկվածության աստիճանը գնահատելու համար ներկայացնենք փոփոխվող տոկոսադրույքով վարկերի տեսակարար կշիռը վարկային պորտֆելում, վերջին տարիների կտրվածքով (</w:t>
      </w:r>
      <w:r>
        <w:rPr>
          <w:lang w:val="hy-AM"/>
        </w:rPr>
        <w:t>տե΄ս</w:t>
      </w:r>
      <w:r w:rsidRPr="00B35A3C">
        <w:rPr>
          <w:lang w:val="hy-AM"/>
        </w:rPr>
        <w:t xml:space="preserve"> Գծապատկեր 12):</w:t>
      </w:r>
    </w:p>
    <w:p w14:paraId="243AF595" w14:textId="77777777" w:rsidR="0086137E" w:rsidRDefault="0086137E" w:rsidP="00545EC8">
      <w:pPr>
        <w:spacing w:after="0" w:line="276" w:lineRule="auto"/>
        <w:rPr>
          <w:b/>
          <w:i/>
          <w:lang w:val="hy-AM"/>
        </w:rPr>
      </w:pPr>
    </w:p>
    <w:p w14:paraId="0E29A96B" w14:textId="0C4A94CB" w:rsidR="00545EC8" w:rsidRPr="00C96C98" w:rsidRDefault="00545EC8" w:rsidP="00545EC8">
      <w:pPr>
        <w:spacing w:after="0" w:line="276" w:lineRule="auto"/>
        <w:rPr>
          <w:i/>
          <w:lang w:val="hy-AM"/>
        </w:rPr>
      </w:pPr>
      <w:r w:rsidRPr="00CC2AAC">
        <w:rPr>
          <w:b/>
          <w:i/>
          <w:lang w:val="hy-AM"/>
        </w:rPr>
        <w:t>Գծապատկեր 12</w:t>
      </w:r>
      <w:r w:rsidRPr="00CC2AAC">
        <w:rPr>
          <w:i/>
          <w:lang w:val="hy-AM"/>
        </w:rPr>
        <w:t>. Փոփոխվող տոկոսադրույքով վարկերը և վերջիններիս տեսակարար կշիռը վարկային պորտֆելում (մլրդ ՀՀ դրամ, %)</w:t>
      </w:r>
    </w:p>
    <w:p w14:paraId="6F55295D" w14:textId="77777777" w:rsidR="00545EC8" w:rsidRDefault="00545EC8" w:rsidP="00545EC8">
      <w:pPr>
        <w:spacing w:line="240" w:lineRule="auto"/>
        <w:ind w:firstLine="720"/>
        <w:jc w:val="center"/>
        <w:rPr>
          <w:sz w:val="24"/>
          <w:szCs w:val="24"/>
          <w:lang w:val="hy-AM"/>
        </w:rPr>
      </w:pPr>
      <w:r>
        <w:rPr>
          <w:noProof/>
        </w:rPr>
        <w:drawing>
          <wp:inline distT="0" distB="0" distL="0" distR="0" wp14:anchorId="162E917E" wp14:editId="13903D75">
            <wp:extent cx="5795158" cy="2719449"/>
            <wp:effectExtent l="0" t="0" r="15240" b="5080"/>
            <wp:docPr id="1545876437" name="Chart 154587643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3120B72B" w14:textId="77777777" w:rsidR="00545EC8" w:rsidRDefault="00545EC8" w:rsidP="00545EC8">
      <w:pPr>
        <w:spacing w:after="0" w:line="276" w:lineRule="auto"/>
        <w:rPr>
          <w:lang w:val="hy-AM"/>
        </w:rPr>
      </w:pPr>
    </w:p>
    <w:p w14:paraId="4F1FB321" w14:textId="77777777" w:rsidR="00545EC8" w:rsidRPr="00B35A3C" w:rsidRDefault="00545EC8" w:rsidP="0086137E">
      <w:pPr>
        <w:spacing w:after="0" w:line="276" w:lineRule="auto"/>
        <w:ind w:firstLine="0"/>
        <w:rPr>
          <w:lang w:val="hy-AM"/>
        </w:rPr>
      </w:pPr>
      <w:r w:rsidRPr="00B35A3C">
        <w:rPr>
          <w:lang w:val="hy-AM"/>
        </w:rPr>
        <w:t>Գծապատկերից նկատելի է, որ վարկային պորտֆելի՝ տոկոսադրույքի ռիսկին ենթարկավածության աստիճանը ցածր է: 2020թ. փոփոխվող տոկոսադրույքով վարկերի բացարձակ մեծությունը արձանագրվել է առավելագույնը դիտարկվող ժամանակահատվածում, սակայն ի հակադրություն դրան, տեսակարար կշիռը նվազել է, ինչը հետևանք է վարկային պորտֆելի ավելի առաջանցիկ աճի տեմպի, որի հիմնական պատճառներ են հանդիսացել թե՛ համավարակի ֆոնին տրամադրված վարկերը, թե՛ արտարժույթի զգալի տատանումները: 2022-2023թթ. ցուցանիշի աճը պայմանավորված է վարկային պորտֆելի նվազմամբ (վարկերի մայր գումարի մարում), միևնույն ժամանակ փոփոխվող տոկոսադրույքով վարկերի աճով (փոփոխվող տոկոսադրույքով վարկերի աճ, արտարժույթի արժևորում):</w:t>
      </w:r>
    </w:p>
    <w:p w14:paraId="0E27CFE9" w14:textId="6508DE6D" w:rsidR="00545EC8" w:rsidRDefault="00545EC8" w:rsidP="0086137E">
      <w:pPr>
        <w:spacing w:after="0" w:line="276" w:lineRule="auto"/>
        <w:ind w:firstLine="0"/>
        <w:rPr>
          <w:lang w:val="hy-AM"/>
        </w:rPr>
      </w:pPr>
      <w:r w:rsidRPr="00B35A3C">
        <w:rPr>
          <w:lang w:val="hy-AM"/>
        </w:rPr>
        <w:t>Հաշվի առնելով, որ բյուջետային վարկերը տրամադրվել են փոփոխվող և ֆիքսված տոկոսադրույքներով, ստորև ներկայացնենք ֆիքսված տոկոսադրույքով տրամադրված բյուջետային վարկերի միջին տոկոսադրույքների (ՀՀ դրամ, ԱՄՆ դոլար) դինամիկան՝ բանկային վարկերի միջին տոկոսադրույքների (ՀՀ դրամ, ԱՄՆ դոլար)</w:t>
      </w:r>
      <w:r w:rsidRPr="00B35A3C">
        <w:rPr>
          <w:rStyle w:val="FootnoteReference"/>
        </w:rPr>
        <w:footnoteReference w:id="45"/>
      </w:r>
      <w:r w:rsidRPr="00B35A3C">
        <w:rPr>
          <w:lang w:val="hy-AM"/>
        </w:rPr>
        <w:t xml:space="preserve"> համեմատությամբ և վերաֆինանսավորման տոկոսադրույքի համադրությամբ</w:t>
      </w:r>
      <w:r>
        <w:rPr>
          <w:lang w:val="hy-AM"/>
        </w:rPr>
        <w:t>:</w:t>
      </w:r>
    </w:p>
    <w:p w14:paraId="2049E8EC" w14:textId="131B3390" w:rsidR="00545EC8" w:rsidRDefault="00545EC8" w:rsidP="00545EC8">
      <w:pPr>
        <w:spacing w:after="0" w:line="276" w:lineRule="auto"/>
        <w:rPr>
          <w:lang w:val="hy-AM"/>
        </w:rPr>
      </w:pPr>
    </w:p>
    <w:p w14:paraId="7D317796" w14:textId="77777777" w:rsidR="00545EC8" w:rsidRPr="0090059A" w:rsidRDefault="00545EC8" w:rsidP="00545EC8">
      <w:pPr>
        <w:spacing w:line="276" w:lineRule="auto"/>
        <w:ind w:firstLine="0"/>
        <w:rPr>
          <w:i/>
          <w:lang w:val="hy-AM"/>
        </w:rPr>
      </w:pPr>
      <w:r w:rsidRPr="0090059A">
        <w:rPr>
          <w:b/>
          <w:i/>
          <w:lang w:val="hy-AM"/>
        </w:rPr>
        <w:t xml:space="preserve">Գծապատկեր 13. </w:t>
      </w:r>
      <w:r w:rsidRPr="0090059A">
        <w:rPr>
          <w:i/>
          <w:lang w:val="hy-AM"/>
        </w:rPr>
        <w:t>Ֆիքսված տոկոսադրույքով տրամադրված վարկերի ընդհանուր պորտֆելի միջին տոկոսադրույքների դինամիկան՝ ֆինանսական համակարգի տոկոսադրույքների համադրությամբ</w:t>
      </w:r>
    </w:p>
    <w:p w14:paraId="6DC5C1D5" w14:textId="77777777" w:rsidR="00545EC8" w:rsidRPr="00C30621" w:rsidRDefault="00545EC8" w:rsidP="00545EC8">
      <w:pPr>
        <w:spacing w:line="240" w:lineRule="auto"/>
        <w:ind w:firstLine="270"/>
        <w:jc w:val="center"/>
        <w:rPr>
          <w:sz w:val="24"/>
          <w:szCs w:val="24"/>
          <w:lang w:val="hy-AM"/>
        </w:rPr>
      </w:pPr>
      <w:r>
        <w:rPr>
          <w:noProof/>
        </w:rPr>
        <w:drawing>
          <wp:inline distT="0" distB="0" distL="0" distR="0" wp14:anchorId="1F926B33" wp14:editId="4F27581F">
            <wp:extent cx="5795158" cy="2933205"/>
            <wp:effectExtent l="0" t="0" r="15240" b="635"/>
            <wp:docPr id="1545876438" name="Chart 15458764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6A9EA76" w14:textId="77777777" w:rsidR="00545EC8" w:rsidRPr="00B35A3C" w:rsidRDefault="00545EC8" w:rsidP="0086137E">
      <w:pPr>
        <w:spacing w:after="0" w:line="276" w:lineRule="auto"/>
        <w:ind w:firstLine="0"/>
        <w:rPr>
          <w:lang w:val="hy-AM"/>
        </w:rPr>
      </w:pPr>
      <w:r w:rsidRPr="00B35A3C">
        <w:rPr>
          <w:lang w:val="hy-AM"/>
        </w:rPr>
        <w:t xml:space="preserve">Գծապատկերից նկատելի է, որ վերջին տարիներին վերաֆինանսավորման տոկոսադրույքի դեպի վեր փոփոխությանը համընթաց փոփոխվել են նաև ֆինանսական շուկայի միջին տոկոսադրույքները, իսկ բյուջետային վարկերի միջին տոկոսադրույքները դիտարկվող ժամանակահատվածում էական փոփոխությունների չեն ենթարկվել: </w:t>
      </w:r>
    </w:p>
    <w:p w14:paraId="4F9481DD" w14:textId="77777777" w:rsidR="00545EC8" w:rsidRPr="00B35A3C" w:rsidRDefault="00545EC8" w:rsidP="0086137E">
      <w:pPr>
        <w:spacing w:after="0" w:line="276" w:lineRule="auto"/>
        <w:ind w:firstLine="0"/>
        <w:rPr>
          <w:lang w:val="hy-AM"/>
        </w:rPr>
      </w:pPr>
      <w:r w:rsidRPr="00B35A3C">
        <w:rPr>
          <w:lang w:val="hy-AM"/>
        </w:rPr>
        <w:t>2024 թվականի փետրվարի 29-ի դրությամբ պետության կողմից տրամադրված վարկերի 73.6%-ն ապահովված են գրավով (անշարժ և շարժական գույք, հասարակ մուրհակներ, ակտիվներ և այլն), իսկ 26.4%-ը կազմում են գրավով չապահովված վարկերը: Չապահովված վարկերի մոտ 52%-ը բաժին է ընկնում ՊՄԸ-ներին:</w:t>
      </w:r>
    </w:p>
    <w:p w14:paraId="0F46E2B1" w14:textId="77777777" w:rsidR="00545EC8" w:rsidRPr="0090059A" w:rsidRDefault="00545EC8" w:rsidP="00545EC8">
      <w:pPr>
        <w:spacing w:line="240" w:lineRule="auto"/>
        <w:ind w:firstLine="0"/>
        <w:rPr>
          <w:i/>
          <w:lang w:val="hy-AM"/>
        </w:rPr>
      </w:pPr>
      <w:r>
        <w:rPr>
          <w:b/>
          <w:sz w:val="20"/>
          <w:szCs w:val="24"/>
          <w:lang w:val="hy-AM"/>
        </w:rPr>
        <w:br w:type="page"/>
      </w:r>
      <w:r w:rsidRPr="0090059A">
        <w:rPr>
          <w:b/>
          <w:i/>
          <w:lang w:val="hy-AM"/>
        </w:rPr>
        <w:t xml:space="preserve">Գծապատկեր 14. </w:t>
      </w:r>
      <w:r w:rsidRPr="0090059A">
        <w:rPr>
          <w:i/>
          <w:lang w:val="hy-AM"/>
        </w:rPr>
        <w:t>Բյուջետային վարկերի տարանջատումն՝ ըստ ապահովվածության</w:t>
      </w:r>
    </w:p>
    <w:p w14:paraId="2D7346E4" w14:textId="77777777" w:rsidR="00545EC8" w:rsidRDefault="00545EC8" w:rsidP="00545EC8">
      <w:pPr>
        <w:spacing w:line="240" w:lineRule="auto"/>
        <w:ind w:firstLine="720"/>
        <w:jc w:val="center"/>
        <w:rPr>
          <w:sz w:val="24"/>
          <w:szCs w:val="24"/>
          <w:lang w:val="hy-AM"/>
        </w:rPr>
      </w:pPr>
      <w:r>
        <w:rPr>
          <w:noProof/>
        </w:rPr>
        <w:drawing>
          <wp:inline distT="0" distB="0" distL="0" distR="0" wp14:anchorId="336C79E0" wp14:editId="638C4D55">
            <wp:extent cx="5534025" cy="2438400"/>
            <wp:effectExtent l="0" t="0" r="9525" b="0"/>
            <wp:docPr id="1545876439" name="Chart 15458764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3A736136" w14:textId="77777777" w:rsidR="00545EC8" w:rsidRPr="00C84801" w:rsidRDefault="00545EC8" w:rsidP="0086137E">
      <w:pPr>
        <w:spacing w:after="0" w:line="276" w:lineRule="auto"/>
        <w:ind w:firstLine="0"/>
        <w:rPr>
          <w:lang w:val="hy-AM"/>
        </w:rPr>
      </w:pPr>
      <w:r w:rsidRPr="00C84801">
        <w:rPr>
          <w:lang w:val="hy-AM"/>
        </w:rPr>
        <w:t>2024 թվականի փետրվարի 29-ի դրությամբ վարկային պորտֆելի կենտրոնացվածության մասին պատկերացում կազմելու նպատակով թվով 53 վարկառուներից առանձնացվել են 10 խոշոր վարկառուները (տե</w:t>
      </w:r>
      <w:r w:rsidRPr="00B35A3C">
        <w:rPr>
          <w:lang w:val="hy-AM"/>
        </w:rPr>
        <w:t>΄</w:t>
      </w:r>
      <w:r w:rsidRPr="00C84801">
        <w:rPr>
          <w:lang w:val="hy-AM"/>
        </w:rPr>
        <w:t xml:space="preserve">ս </w:t>
      </w:r>
      <w:r>
        <w:rPr>
          <w:lang w:val="hy-AM"/>
        </w:rPr>
        <w:t>ա</w:t>
      </w:r>
      <w:r w:rsidRPr="00C84801">
        <w:rPr>
          <w:lang w:val="hy-AM"/>
        </w:rPr>
        <w:t>ղյուսակ</w:t>
      </w:r>
      <w:r>
        <w:rPr>
          <w:lang w:val="hy-AM"/>
        </w:rPr>
        <w:t xml:space="preserve"> 5</w:t>
      </w:r>
      <w:r w:rsidRPr="00C84801">
        <w:rPr>
          <w:lang w:val="hy-AM"/>
        </w:rPr>
        <w:t>), որոնց տրամադրված վարկերի կշիռը վարակային պորտֆելում կազմում է 88.4%, ընդ որում վերջիններիս 73.81%-ը ՊՄԸ-ներ են՝ թվով 5 վարկառու:</w:t>
      </w:r>
    </w:p>
    <w:p w14:paraId="776519EC" w14:textId="77777777" w:rsidR="00545EC8" w:rsidRDefault="00545EC8" w:rsidP="00545EC8">
      <w:pPr>
        <w:spacing w:after="0" w:line="240" w:lineRule="auto"/>
        <w:ind w:firstLine="720"/>
        <w:rPr>
          <w:sz w:val="24"/>
          <w:szCs w:val="24"/>
          <w:lang w:val="hy-AM"/>
        </w:rPr>
      </w:pPr>
    </w:p>
    <w:tbl>
      <w:tblPr>
        <w:tblpPr w:leftFromText="180" w:rightFromText="180" w:vertAnchor="text" w:horzAnchor="margin" w:tblpXSpec="center" w:tblpY="942"/>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1271"/>
        <w:gridCol w:w="1843"/>
        <w:gridCol w:w="2126"/>
      </w:tblGrid>
      <w:tr w:rsidR="00545EC8" w:rsidRPr="00130784" w14:paraId="6D7EB0FF" w14:textId="77777777" w:rsidTr="00D262EA">
        <w:trPr>
          <w:trHeight w:val="354"/>
        </w:trPr>
        <w:tc>
          <w:tcPr>
            <w:tcW w:w="4678" w:type="dxa"/>
            <w:shd w:val="clear" w:color="auto" w:fill="B4C6E7" w:themeFill="accent5" w:themeFillTint="66"/>
            <w:noWrap/>
            <w:vAlign w:val="center"/>
            <w:hideMark/>
          </w:tcPr>
          <w:p w14:paraId="7CA0739C" w14:textId="77777777" w:rsidR="00545EC8" w:rsidRPr="00130784" w:rsidRDefault="00545EC8" w:rsidP="00D262EA">
            <w:pPr>
              <w:spacing w:after="0" w:line="240" w:lineRule="auto"/>
              <w:jc w:val="center"/>
              <w:rPr>
                <w:rFonts w:eastAsia="Times New Roman" w:cs="Calibri"/>
                <w:b/>
                <w:bCs/>
                <w:color w:val="000000"/>
                <w:sz w:val="20"/>
                <w:szCs w:val="20"/>
              </w:rPr>
            </w:pPr>
            <w:r w:rsidRPr="00130784">
              <w:rPr>
                <w:rFonts w:eastAsia="Times New Roman" w:cs="Calibri"/>
                <w:b/>
                <w:bCs/>
                <w:color w:val="000000"/>
                <w:sz w:val="20"/>
                <w:szCs w:val="20"/>
              </w:rPr>
              <w:t>Վարկառու</w:t>
            </w:r>
          </w:p>
        </w:tc>
        <w:tc>
          <w:tcPr>
            <w:tcW w:w="1271" w:type="dxa"/>
            <w:shd w:val="clear" w:color="auto" w:fill="B4C6E7" w:themeFill="accent5" w:themeFillTint="66"/>
            <w:noWrap/>
            <w:vAlign w:val="center"/>
            <w:hideMark/>
          </w:tcPr>
          <w:p w14:paraId="328011B2" w14:textId="77777777" w:rsidR="00545EC8" w:rsidRPr="00130784" w:rsidRDefault="00545EC8" w:rsidP="00D262EA">
            <w:pPr>
              <w:spacing w:after="0" w:line="240" w:lineRule="auto"/>
              <w:jc w:val="center"/>
              <w:rPr>
                <w:rFonts w:eastAsia="Times New Roman" w:cs="Calibri"/>
                <w:b/>
                <w:bCs/>
                <w:color w:val="000000"/>
                <w:sz w:val="20"/>
                <w:szCs w:val="20"/>
              </w:rPr>
            </w:pPr>
          </w:p>
        </w:tc>
        <w:tc>
          <w:tcPr>
            <w:tcW w:w="1843" w:type="dxa"/>
            <w:shd w:val="clear" w:color="auto" w:fill="B4C6E7" w:themeFill="accent5" w:themeFillTint="66"/>
            <w:noWrap/>
            <w:vAlign w:val="center"/>
            <w:hideMark/>
          </w:tcPr>
          <w:p w14:paraId="7633B466" w14:textId="77777777" w:rsidR="00545EC8" w:rsidRPr="00130784" w:rsidRDefault="00545EC8" w:rsidP="00D262EA">
            <w:pPr>
              <w:spacing w:after="0" w:line="240" w:lineRule="auto"/>
              <w:ind w:firstLine="0"/>
              <w:jc w:val="center"/>
              <w:rPr>
                <w:rFonts w:eastAsia="Times New Roman" w:cs="Calibri"/>
                <w:b/>
                <w:bCs/>
                <w:color w:val="000000"/>
                <w:sz w:val="20"/>
                <w:szCs w:val="20"/>
              </w:rPr>
            </w:pPr>
            <w:r w:rsidRPr="00130784">
              <w:rPr>
                <w:rFonts w:eastAsia="Times New Roman" w:cs="Calibri"/>
                <w:b/>
                <w:bCs/>
                <w:color w:val="000000"/>
                <w:sz w:val="20"/>
                <w:szCs w:val="20"/>
              </w:rPr>
              <w:t>Վարկի չափ</w:t>
            </w:r>
          </w:p>
        </w:tc>
        <w:tc>
          <w:tcPr>
            <w:tcW w:w="2126" w:type="dxa"/>
            <w:shd w:val="clear" w:color="auto" w:fill="B4C6E7" w:themeFill="accent5" w:themeFillTint="66"/>
            <w:noWrap/>
            <w:vAlign w:val="center"/>
            <w:hideMark/>
          </w:tcPr>
          <w:p w14:paraId="389CABFC" w14:textId="77777777" w:rsidR="00545EC8" w:rsidRPr="00130784" w:rsidRDefault="00545EC8" w:rsidP="00D262EA">
            <w:pPr>
              <w:spacing w:after="0" w:line="240" w:lineRule="auto"/>
              <w:ind w:firstLine="0"/>
              <w:jc w:val="center"/>
              <w:rPr>
                <w:rFonts w:eastAsia="Times New Roman" w:cs="Calibri"/>
                <w:b/>
                <w:bCs/>
                <w:color w:val="000000"/>
                <w:sz w:val="20"/>
                <w:szCs w:val="20"/>
              </w:rPr>
            </w:pPr>
            <w:r w:rsidRPr="00130784">
              <w:rPr>
                <w:rFonts w:eastAsia="Times New Roman" w:cs="Calibri"/>
                <w:b/>
                <w:bCs/>
                <w:color w:val="000000"/>
                <w:sz w:val="20"/>
                <w:szCs w:val="20"/>
              </w:rPr>
              <w:t>Կշիռը պորտֆելում</w:t>
            </w:r>
          </w:p>
        </w:tc>
      </w:tr>
      <w:tr w:rsidR="00545EC8" w:rsidRPr="00130784" w14:paraId="0633F75D" w14:textId="77777777" w:rsidTr="00D262EA">
        <w:trPr>
          <w:trHeight w:val="354"/>
        </w:trPr>
        <w:tc>
          <w:tcPr>
            <w:tcW w:w="4678" w:type="dxa"/>
            <w:shd w:val="clear" w:color="000000" w:fill="D9E2F3"/>
            <w:vAlign w:val="center"/>
            <w:hideMark/>
          </w:tcPr>
          <w:p w14:paraId="3059074C"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1. «Հայկական ատոմային էլեկտրոկայան» ՓԲԸ</w:t>
            </w:r>
          </w:p>
        </w:tc>
        <w:tc>
          <w:tcPr>
            <w:tcW w:w="1271" w:type="dxa"/>
            <w:shd w:val="clear" w:color="000000" w:fill="D9E2F3"/>
            <w:vAlign w:val="center"/>
            <w:hideMark/>
          </w:tcPr>
          <w:p w14:paraId="6279AE5F"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ՊՄԸ</w:t>
            </w:r>
          </w:p>
        </w:tc>
        <w:tc>
          <w:tcPr>
            <w:tcW w:w="1843" w:type="dxa"/>
            <w:shd w:val="clear" w:color="000000" w:fill="D9E2F3"/>
            <w:noWrap/>
            <w:vAlign w:val="center"/>
            <w:hideMark/>
          </w:tcPr>
          <w:p w14:paraId="71236274"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86,534,351,017</w:t>
            </w:r>
          </w:p>
        </w:tc>
        <w:tc>
          <w:tcPr>
            <w:tcW w:w="2126" w:type="dxa"/>
            <w:shd w:val="clear" w:color="000000" w:fill="D9E2F3"/>
            <w:noWrap/>
            <w:vAlign w:val="center"/>
            <w:hideMark/>
          </w:tcPr>
          <w:p w14:paraId="7584E437"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28.55%</w:t>
            </w:r>
          </w:p>
        </w:tc>
      </w:tr>
      <w:tr w:rsidR="00545EC8" w:rsidRPr="00130784" w14:paraId="6B7F753F" w14:textId="77777777" w:rsidTr="00D262EA">
        <w:trPr>
          <w:trHeight w:val="354"/>
        </w:trPr>
        <w:tc>
          <w:tcPr>
            <w:tcW w:w="4678" w:type="dxa"/>
            <w:shd w:val="clear" w:color="auto" w:fill="auto"/>
            <w:vAlign w:val="center"/>
            <w:hideMark/>
          </w:tcPr>
          <w:p w14:paraId="12A5551F"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2. «Երևան Ջերմաէլեկտրակենտրոն» ՓԲԸ</w:t>
            </w:r>
          </w:p>
        </w:tc>
        <w:tc>
          <w:tcPr>
            <w:tcW w:w="1271" w:type="dxa"/>
            <w:shd w:val="clear" w:color="auto" w:fill="auto"/>
            <w:vAlign w:val="center"/>
            <w:hideMark/>
          </w:tcPr>
          <w:p w14:paraId="6BBF51C9"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ՊՄԸ</w:t>
            </w:r>
          </w:p>
        </w:tc>
        <w:tc>
          <w:tcPr>
            <w:tcW w:w="1843" w:type="dxa"/>
            <w:shd w:val="clear" w:color="auto" w:fill="auto"/>
            <w:noWrap/>
            <w:vAlign w:val="center"/>
            <w:hideMark/>
          </w:tcPr>
          <w:p w14:paraId="25B18FD2"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67,376,793,429</w:t>
            </w:r>
          </w:p>
        </w:tc>
        <w:tc>
          <w:tcPr>
            <w:tcW w:w="2126" w:type="dxa"/>
            <w:shd w:val="clear" w:color="auto" w:fill="auto"/>
            <w:noWrap/>
            <w:vAlign w:val="center"/>
            <w:hideMark/>
          </w:tcPr>
          <w:p w14:paraId="27E7323F"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22.23%</w:t>
            </w:r>
          </w:p>
        </w:tc>
      </w:tr>
      <w:tr w:rsidR="00545EC8" w:rsidRPr="00130784" w14:paraId="0A97C1C0" w14:textId="77777777" w:rsidTr="00D262EA">
        <w:trPr>
          <w:trHeight w:val="354"/>
        </w:trPr>
        <w:tc>
          <w:tcPr>
            <w:tcW w:w="4678" w:type="dxa"/>
            <w:shd w:val="clear" w:color="000000" w:fill="D9E2F3"/>
            <w:vAlign w:val="center"/>
            <w:hideMark/>
          </w:tcPr>
          <w:p w14:paraId="13C1F457"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3. «Բարձրավոլտ էլեկտրացանցեր» ՓԲԸ</w:t>
            </w:r>
          </w:p>
        </w:tc>
        <w:tc>
          <w:tcPr>
            <w:tcW w:w="1271" w:type="dxa"/>
            <w:shd w:val="clear" w:color="000000" w:fill="D9E2F3"/>
            <w:vAlign w:val="center"/>
            <w:hideMark/>
          </w:tcPr>
          <w:p w14:paraId="12C76A3A"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ՊՄԸ</w:t>
            </w:r>
          </w:p>
        </w:tc>
        <w:tc>
          <w:tcPr>
            <w:tcW w:w="1843" w:type="dxa"/>
            <w:shd w:val="clear" w:color="000000" w:fill="D9E2F3"/>
            <w:noWrap/>
            <w:vAlign w:val="center"/>
            <w:hideMark/>
          </w:tcPr>
          <w:p w14:paraId="0742E487"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47,316,461,712</w:t>
            </w:r>
          </w:p>
        </w:tc>
        <w:tc>
          <w:tcPr>
            <w:tcW w:w="2126" w:type="dxa"/>
            <w:shd w:val="clear" w:color="000000" w:fill="D9E2F3"/>
            <w:noWrap/>
            <w:vAlign w:val="center"/>
            <w:hideMark/>
          </w:tcPr>
          <w:p w14:paraId="2C45BE06"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15.61%</w:t>
            </w:r>
          </w:p>
        </w:tc>
      </w:tr>
      <w:tr w:rsidR="00545EC8" w:rsidRPr="00130784" w14:paraId="5EEDEDD6" w14:textId="77777777" w:rsidTr="00D262EA">
        <w:trPr>
          <w:trHeight w:val="354"/>
        </w:trPr>
        <w:tc>
          <w:tcPr>
            <w:tcW w:w="4678" w:type="dxa"/>
            <w:shd w:val="clear" w:color="auto" w:fill="auto"/>
            <w:vAlign w:val="center"/>
            <w:hideMark/>
          </w:tcPr>
          <w:p w14:paraId="7AF0A6DB"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4. «ՔոնթուրԳլոբալ  Հիդրո Կասկադ» ՓԲԸ</w:t>
            </w:r>
          </w:p>
        </w:tc>
        <w:tc>
          <w:tcPr>
            <w:tcW w:w="1271" w:type="dxa"/>
            <w:shd w:val="clear" w:color="auto" w:fill="auto"/>
            <w:vAlign w:val="center"/>
            <w:hideMark/>
          </w:tcPr>
          <w:p w14:paraId="7D3E2407" w14:textId="77777777" w:rsidR="00545EC8" w:rsidRPr="00130784" w:rsidRDefault="00545EC8" w:rsidP="00D262EA">
            <w:pPr>
              <w:spacing w:after="0" w:line="240" w:lineRule="auto"/>
              <w:ind w:firstLine="0"/>
              <w:jc w:val="center"/>
              <w:rPr>
                <w:rFonts w:eastAsia="Times New Roman" w:cs="Calibri"/>
                <w:color w:val="000000"/>
                <w:sz w:val="20"/>
                <w:szCs w:val="20"/>
              </w:rPr>
            </w:pPr>
          </w:p>
        </w:tc>
        <w:tc>
          <w:tcPr>
            <w:tcW w:w="1843" w:type="dxa"/>
            <w:shd w:val="clear" w:color="auto" w:fill="auto"/>
            <w:noWrap/>
            <w:vAlign w:val="center"/>
            <w:hideMark/>
          </w:tcPr>
          <w:p w14:paraId="53F92624"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16,458,539,395</w:t>
            </w:r>
          </w:p>
        </w:tc>
        <w:tc>
          <w:tcPr>
            <w:tcW w:w="2126" w:type="dxa"/>
            <w:shd w:val="clear" w:color="auto" w:fill="auto"/>
            <w:noWrap/>
            <w:vAlign w:val="center"/>
            <w:hideMark/>
          </w:tcPr>
          <w:p w14:paraId="183907D3"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5.43%</w:t>
            </w:r>
          </w:p>
        </w:tc>
      </w:tr>
      <w:tr w:rsidR="00545EC8" w:rsidRPr="00130784" w14:paraId="2C7830B1" w14:textId="77777777" w:rsidTr="00D262EA">
        <w:trPr>
          <w:trHeight w:val="354"/>
        </w:trPr>
        <w:tc>
          <w:tcPr>
            <w:tcW w:w="4678" w:type="dxa"/>
            <w:shd w:val="clear" w:color="000000" w:fill="D9E2F3"/>
            <w:vAlign w:val="center"/>
            <w:hideMark/>
          </w:tcPr>
          <w:p w14:paraId="68CA0FD1"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5. «Դի Էնդ Էյջ Գրուպ»  ՍՊԸ</w:t>
            </w:r>
          </w:p>
        </w:tc>
        <w:tc>
          <w:tcPr>
            <w:tcW w:w="1271" w:type="dxa"/>
            <w:shd w:val="clear" w:color="000000" w:fill="D9E2F3"/>
            <w:vAlign w:val="center"/>
            <w:hideMark/>
          </w:tcPr>
          <w:p w14:paraId="2ACDC667" w14:textId="77777777" w:rsidR="00545EC8" w:rsidRPr="00130784" w:rsidRDefault="00545EC8" w:rsidP="00D262EA">
            <w:pPr>
              <w:spacing w:after="0" w:line="240" w:lineRule="auto"/>
              <w:ind w:firstLine="0"/>
              <w:jc w:val="center"/>
              <w:rPr>
                <w:rFonts w:eastAsia="Times New Roman" w:cs="Calibri"/>
                <w:color w:val="000000"/>
                <w:sz w:val="20"/>
                <w:szCs w:val="20"/>
              </w:rPr>
            </w:pPr>
          </w:p>
        </w:tc>
        <w:tc>
          <w:tcPr>
            <w:tcW w:w="1843" w:type="dxa"/>
            <w:shd w:val="clear" w:color="000000" w:fill="D9E2F3"/>
            <w:noWrap/>
            <w:vAlign w:val="center"/>
            <w:hideMark/>
          </w:tcPr>
          <w:p w14:paraId="33413276"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11,009,505,960</w:t>
            </w:r>
          </w:p>
        </w:tc>
        <w:tc>
          <w:tcPr>
            <w:tcW w:w="2126" w:type="dxa"/>
            <w:shd w:val="clear" w:color="000000" w:fill="D9E2F3"/>
            <w:noWrap/>
            <w:vAlign w:val="center"/>
            <w:hideMark/>
          </w:tcPr>
          <w:p w14:paraId="6739B8EC"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3.63%</w:t>
            </w:r>
          </w:p>
        </w:tc>
      </w:tr>
      <w:tr w:rsidR="00545EC8" w:rsidRPr="00130784" w14:paraId="1D6BD8D2" w14:textId="77777777" w:rsidTr="00D262EA">
        <w:trPr>
          <w:trHeight w:val="354"/>
        </w:trPr>
        <w:tc>
          <w:tcPr>
            <w:tcW w:w="4678" w:type="dxa"/>
            <w:shd w:val="clear" w:color="auto" w:fill="auto"/>
            <w:vAlign w:val="center"/>
            <w:hideMark/>
          </w:tcPr>
          <w:p w14:paraId="19F0D2EA"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6. ՀՀ կենտրոնական բանկ</w:t>
            </w:r>
          </w:p>
        </w:tc>
        <w:tc>
          <w:tcPr>
            <w:tcW w:w="1271" w:type="dxa"/>
            <w:shd w:val="clear" w:color="auto" w:fill="auto"/>
            <w:vAlign w:val="center"/>
            <w:hideMark/>
          </w:tcPr>
          <w:p w14:paraId="46D821F7" w14:textId="77777777" w:rsidR="00545EC8" w:rsidRPr="00130784" w:rsidRDefault="00545EC8" w:rsidP="00D262EA">
            <w:pPr>
              <w:spacing w:after="0" w:line="240" w:lineRule="auto"/>
              <w:ind w:firstLine="0"/>
              <w:jc w:val="center"/>
              <w:rPr>
                <w:rFonts w:eastAsia="Times New Roman" w:cs="Calibri"/>
                <w:color w:val="000000"/>
                <w:sz w:val="20"/>
                <w:szCs w:val="20"/>
              </w:rPr>
            </w:pPr>
          </w:p>
        </w:tc>
        <w:tc>
          <w:tcPr>
            <w:tcW w:w="1843" w:type="dxa"/>
            <w:shd w:val="clear" w:color="auto" w:fill="auto"/>
            <w:noWrap/>
            <w:vAlign w:val="center"/>
            <w:hideMark/>
          </w:tcPr>
          <w:p w14:paraId="6C9BDB17"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10,845,414,109</w:t>
            </w:r>
          </w:p>
        </w:tc>
        <w:tc>
          <w:tcPr>
            <w:tcW w:w="2126" w:type="dxa"/>
            <w:shd w:val="clear" w:color="auto" w:fill="auto"/>
            <w:noWrap/>
            <w:vAlign w:val="center"/>
            <w:hideMark/>
          </w:tcPr>
          <w:p w14:paraId="323103CF"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3.58%</w:t>
            </w:r>
          </w:p>
        </w:tc>
      </w:tr>
      <w:tr w:rsidR="00545EC8" w:rsidRPr="00130784" w14:paraId="5C0026D3" w14:textId="77777777" w:rsidTr="00D262EA">
        <w:trPr>
          <w:trHeight w:val="694"/>
        </w:trPr>
        <w:tc>
          <w:tcPr>
            <w:tcW w:w="4678" w:type="dxa"/>
            <w:shd w:val="clear" w:color="000000" w:fill="D9E2F3"/>
            <w:vAlign w:val="center"/>
            <w:hideMark/>
          </w:tcPr>
          <w:p w14:paraId="4D69A1BE"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7. ՀՀ ԿԲ գերմանահայկական հիմնադրամին վարկավորում</w:t>
            </w:r>
          </w:p>
        </w:tc>
        <w:tc>
          <w:tcPr>
            <w:tcW w:w="1271" w:type="dxa"/>
            <w:shd w:val="clear" w:color="000000" w:fill="D9E2F3"/>
            <w:vAlign w:val="center"/>
            <w:hideMark/>
          </w:tcPr>
          <w:p w14:paraId="686ECB5D" w14:textId="77777777" w:rsidR="00545EC8" w:rsidRPr="00130784" w:rsidRDefault="00545EC8" w:rsidP="00D262EA">
            <w:pPr>
              <w:spacing w:after="0" w:line="240" w:lineRule="auto"/>
              <w:ind w:firstLine="0"/>
              <w:jc w:val="center"/>
              <w:rPr>
                <w:rFonts w:eastAsia="Times New Roman" w:cs="Calibri"/>
                <w:color w:val="000000"/>
                <w:sz w:val="20"/>
                <w:szCs w:val="20"/>
              </w:rPr>
            </w:pPr>
          </w:p>
        </w:tc>
        <w:tc>
          <w:tcPr>
            <w:tcW w:w="1843" w:type="dxa"/>
            <w:shd w:val="clear" w:color="000000" w:fill="D9E2F3"/>
            <w:noWrap/>
            <w:vAlign w:val="center"/>
            <w:hideMark/>
          </w:tcPr>
          <w:p w14:paraId="7D7CAAB7"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9,004,380,471</w:t>
            </w:r>
          </w:p>
        </w:tc>
        <w:tc>
          <w:tcPr>
            <w:tcW w:w="2126" w:type="dxa"/>
            <w:shd w:val="clear" w:color="000000" w:fill="D9E2F3"/>
            <w:noWrap/>
            <w:vAlign w:val="center"/>
            <w:hideMark/>
          </w:tcPr>
          <w:p w14:paraId="32AE18F4"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2.97%</w:t>
            </w:r>
          </w:p>
        </w:tc>
      </w:tr>
      <w:tr w:rsidR="00545EC8" w:rsidRPr="00130784" w14:paraId="34935D73" w14:textId="77777777" w:rsidTr="00D262EA">
        <w:trPr>
          <w:trHeight w:val="354"/>
        </w:trPr>
        <w:tc>
          <w:tcPr>
            <w:tcW w:w="4678" w:type="dxa"/>
            <w:shd w:val="clear" w:color="auto" w:fill="auto"/>
            <w:vAlign w:val="center"/>
            <w:hideMark/>
          </w:tcPr>
          <w:p w14:paraId="0CDE52DC"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8. «Երևանի  ավտոբուս» ՓԲԸ</w:t>
            </w:r>
          </w:p>
        </w:tc>
        <w:tc>
          <w:tcPr>
            <w:tcW w:w="1271" w:type="dxa"/>
            <w:shd w:val="clear" w:color="auto" w:fill="auto"/>
            <w:vAlign w:val="center"/>
            <w:hideMark/>
          </w:tcPr>
          <w:p w14:paraId="481D6C1B"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ՊՄԸ</w:t>
            </w:r>
          </w:p>
        </w:tc>
        <w:tc>
          <w:tcPr>
            <w:tcW w:w="1843" w:type="dxa"/>
            <w:shd w:val="clear" w:color="auto" w:fill="auto"/>
            <w:noWrap/>
            <w:vAlign w:val="center"/>
            <w:hideMark/>
          </w:tcPr>
          <w:p w14:paraId="2BC92BC4"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8,760,600,000</w:t>
            </w:r>
          </w:p>
        </w:tc>
        <w:tc>
          <w:tcPr>
            <w:tcW w:w="2126" w:type="dxa"/>
            <w:shd w:val="clear" w:color="auto" w:fill="auto"/>
            <w:noWrap/>
            <w:vAlign w:val="center"/>
            <w:hideMark/>
          </w:tcPr>
          <w:p w14:paraId="5FA0BD84"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2.89%</w:t>
            </w:r>
          </w:p>
        </w:tc>
      </w:tr>
      <w:tr w:rsidR="00545EC8" w:rsidRPr="00130784" w14:paraId="01165AA5" w14:textId="77777777" w:rsidTr="00D262EA">
        <w:trPr>
          <w:trHeight w:val="694"/>
        </w:trPr>
        <w:tc>
          <w:tcPr>
            <w:tcW w:w="4678" w:type="dxa"/>
            <w:shd w:val="clear" w:color="000000" w:fill="D9E2F3"/>
            <w:vAlign w:val="center"/>
            <w:hideMark/>
          </w:tcPr>
          <w:p w14:paraId="1474DF38"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9. «Էլեկտրաէներգետիկական համակարգի օպերատոր» ՓԲԸ</w:t>
            </w:r>
          </w:p>
        </w:tc>
        <w:tc>
          <w:tcPr>
            <w:tcW w:w="1271" w:type="dxa"/>
            <w:shd w:val="clear" w:color="000000" w:fill="D9E2F3"/>
            <w:vAlign w:val="center"/>
            <w:hideMark/>
          </w:tcPr>
          <w:p w14:paraId="62A42409"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ՊՄԸ</w:t>
            </w:r>
          </w:p>
        </w:tc>
        <w:tc>
          <w:tcPr>
            <w:tcW w:w="1843" w:type="dxa"/>
            <w:shd w:val="clear" w:color="000000" w:fill="D9E2F3"/>
            <w:noWrap/>
            <w:vAlign w:val="center"/>
            <w:hideMark/>
          </w:tcPr>
          <w:p w14:paraId="4E074C0E"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6,160,655,639</w:t>
            </w:r>
          </w:p>
        </w:tc>
        <w:tc>
          <w:tcPr>
            <w:tcW w:w="2126" w:type="dxa"/>
            <w:shd w:val="clear" w:color="000000" w:fill="D9E2F3"/>
            <w:noWrap/>
            <w:vAlign w:val="center"/>
            <w:hideMark/>
          </w:tcPr>
          <w:p w14:paraId="08FD8650"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2.03%</w:t>
            </w:r>
          </w:p>
        </w:tc>
      </w:tr>
      <w:tr w:rsidR="00545EC8" w:rsidRPr="00130784" w14:paraId="4B9A84E6" w14:textId="77777777" w:rsidTr="00D262EA">
        <w:trPr>
          <w:trHeight w:val="680"/>
        </w:trPr>
        <w:tc>
          <w:tcPr>
            <w:tcW w:w="4678" w:type="dxa"/>
            <w:shd w:val="clear" w:color="auto" w:fill="auto"/>
            <w:vAlign w:val="center"/>
            <w:hideMark/>
          </w:tcPr>
          <w:p w14:paraId="51A02C87" w14:textId="77777777" w:rsidR="00545EC8" w:rsidRPr="00130784" w:rsidRDefault="00545EC8" w:rsidP="00D262EA">
            <w:pPr>
              <w:spacing w:after="0" w:line="240" w:lineRule="auto"/>
              <w:ind w:firstLine="22"/>
              <w:jc w:val="left"/>
              <w:rPr>
                <w:rFonts w:eastAsia="Times New Roman" w:cs="Calibri"/>
                <w:color w:val="000000"/>
                <w:sz w:val="20"/>
                <w:szCs w:val="20"/>
              </w:rPr>
            </w:pPr>
            <w:r w:rsidRPr="00130784">
              <w:rPr>
                <w:rFonts w:eastAsia="Times New Roman" w:cs="Calibri"/>
                <w:color w:val="000000"/>
                <w:sz w:val="20"/>
                <w:szCs w:val="20"/>
              </w:rPr>
              <w:t xml:space="preserve">10. ԳՖԿ ԾԻԳ (Գյուղատնտեսական տարածքների տնտեսական զարգացում ԳՏՏԶ)                                       </w:t>
            </w:r>
          </w:p>
        </w:tc>
        <w:tc>
          <w:tcPr>
            <w:tcW w:w="1271" w:type="dxa"/>
            <w:shd w:val="clear" w:color="auto" w:fill="auto"/>
            <w:vAlign w:val="center"/>
            <w:hideMark/>
          </w:tcPr>
          <w:p w14:paraId="08D926EA" w14:textId="77777777" w:rsidR="00545EC8" w:rsidRPr="00130784" w:rsidRDefault="00545EC8" w:rsidP="00D262EA">
            <w:pPr>
              <w:spacing w:after="0" w:line="240" w:lineRule="auto"/>
              <w:ind w:firstLine="0"/>
              <w:jc w:val="center"/>
              <w:rPr>
                <w:rFonts w:eastAsia="Times New Roman" w:cs="Calibri"/>
                <w:color w:val="000000"/>
                <w:sz w:val="20"/>
                <w:szCs w:val="20"/>
              </w:rPr>
            </w:pPr>
          </w:p>
        </w:tc>
        <w:tc>
          <w:tcPr>
            <w:tcW w:w="1843" w:type="dxa"/>
            <w:shd w:val="clear" w:color="auto" w:fill="auto"/>
            <w:noWrap/>
            <w:vAlign w:val="center"/>
            <w:hideMark/>
          </w:tcPr>
          <w:p w14:paraId="0DB6A538"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4,339,772,252</w:t>
            </w:r>
          </w:p>
        </w:tc>
        <w:tc>
          <w:tcPr>
            <w:tcW w:w="2126" w:type="dxa"/>
            <w:shd w:val="clear" w:color="auto" w:fill="auto"/>
            <w:noWrap/>
            <w:vAlign w:val="center"/>
            <w:hideMark/>
          </w:tcPr>
          <w:p w14:paraId="32ED1063" w14:textId="77777777" w:rsidR="00545EC8" w:rsidRPr="00130784" w:rsidRDefault="00545EC8" w:rsidP="00D262EA">
            <w:pPr>
              <w:spacing w:after="0" w:line="240" w:lineRule="auto"/>
              <w:ind w:firstLine="0"/>
              <w:jc w:val="center"/>
              <w:rPr>
                <w:rFonts w:eastAsia="Times New Roman" w:cs="Calibri"/>
                <w:color w:val="000000"/>
                <w:sz w:val="20"/>
                <w:szCs w:val="20"/>
              </w:rPr>
            </w:pPr>
            <w:r w:rsidRPr="00130784">
              <w:rPr>
                <w:rFonts w:eastAsia="Times New Roman" w:cs="Calibri"/>
                <w:color w:val="000000"/>
                <w:sz w:val="20"/>
                <w:szCs w:val="20"/>
              </w:rPr>
              <w:t>1.43%</w:t>
            </w:r>
          </w:p>
        </w:tc>
      </w:tr>
    </w:tbl>
    <w:p w14:paraId="01E94AB8" w14:textId="77777777" w:rsidR="00545EC8" w:rsidRPr="00A7635A" w:rsidRDefault="00545EC8" w:rsidP="00545EC8">
      <w:pPr>
        <w:spacing w:line="240" w:lineRule="auto"/>
        <w:ind w:firstLine="0"/>
        <w:rPr>
          <w:lang w:val="hy-AM"/>
        </w:rPr>
      </w:pPr>
      <w:r w:rsidRPr="00B53424">
        <w:rPr>
          <w:b/>
          <w:lang w:val="hy-AM"/>
        </w:rPr>
        <w:t xml:space="preserve">Աղյուսակ </w:t>
      </w:r>
      <w:r w:rsidRPr="00B53424">
        <w:rPr>
          <w:b/>
        </w:rPr>
        <w:t>5.</w:t>
      </w:r>
      <w:r w:rsidRPr="00B53424">
        <w:rPr>
          <w:b/>
          <w:lang w:val="hy-AM"/>
        </w:rPr>
        <w:t xml:space="preserve"> </w:t>
      </w:r>
      <w:r w:rsidRPr="00B53424">
        <w:rPr>
          <w:lang w:val="hy-AM"/>
        </w:rPr>
        <w:t>Վարկային պորտֆելի 10 խոշոր վարկառուները, ՀՀ դրամ</w:t>
      </w:r>
    </w:p>
    <w:p w14:paraId="6DE41C2E" w14:textId="77777777" w:rsidR="00545EC8" w:rsidRDefault="00545EC8" w:rsidP="00545EC8">
      <w:pPr>
        <w:rPr>
          <w:lang w:val="hy-AM"/>
        </w:rPr>
      </w:pPr>
      <w:r>
        <w:rPr>
          <w:lang w:val="hy-AM"/>
        </w:rPr>
        <w:br w:type="page"/>
      </w:r>
    </w:p>
    <w:p w14:paraId="6319F86A"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294" w:name="_Toc170906568"/>
      <w:r w:rsidRPr="00461381">
        <w:rPr>
          <w:b/>
          <w:color w:val="44546A" w:themeColor="text2"/>
          <w:sz w:val="24"/>
          <w:szCs w:val="24"/>
          <w:lang w:val="hy-AM" w:eastAsia="ru-RU"/>
        </w:rPr>
        <w:t>3.3.3 ՊԵՏԱԿԱՆ ԵՐԱՇԽԻՔՆԵՐԻՑ ԾԱԳՈՂ ՀԱՐԿԱԲՅՈՒՋԵՏԱՅԻՆ ՌԻՍԿԵՐ</w:t>
      </w:r>
      <w:bookmarkEnd w:id="294"/>
    </w:p>
    <w:p w14:paraId="765BD40B" w14:textId="77777777" w:rsidR="00545EC8" w:rsidRPr="00C84801" w:rsidRDefault="00545EC8" w:rsidP="0086137E">
      <w:pPr>
        <w:spacing w:after="0" w:line="276" w:lineRule="auto"/>
        <w:ind w:firstLine="0"/>
        <w:rPr>
          <w:lang w:val="hy-AM"/>
        </w:rPr>
      </w:pPr>
      <w:r w:rsidRPr="00C84801">
        <w:rPr>
          <w:lang w:val="hy-AM"/>
        </w:rPr>
        <w:t xml:space="preserve">Բյուջետային վարկերից բացի պետության կողմից տրամադրվում են նաև պետական երաշխիքներ, որոնք հանդիսանում են պետական պարտքի բաղադրիչ՝ ներքին և արտաքին պետական պարտքի հետ միաժամանակ և ըստ տեսակների լինում են՝ </w:t>
      </w:r>
      <w:r w:rsidRPr="00C84801">
        <w:rPr>
          <w:i/>
          <w:lang w:val="hy-AM"/>
        </w:rPr>
        <w:t>ներքին և արտաքին</w:t>
      </w:r>
      <w:r w:rsidRPr="00C84801">
        <w:rPr>
          <w:lang w:val="hy-AM"/>
        </w:rPr>
        <w:t>:</w:t>
      </w:r>
    </w:p>
    <w:p w14:paraId="3BE2AC86" w14:textId="77777777" w:rsidR="00545EC8" w:rsidRPr="00C84801" w:rsidRDefault="00545EC8" w:rsidP="0086137E">
      <w:pPr>
        <w:spacing w:after="0" w:line="276" w:lineRule="auto"/>
        <w:ind w:firstLine="0"/>
        <w:rPr>
          <w:lang w:val="hy-AM"/>
        </w:rPr>
      </w:pPr>
      <w:r w:rsidRPr="00C84801">
        <w:rPr>
          <w:lang w:val="hy-AM"/>
        </w:rPr>
        <w:t>2023 թվականի դեկտեմբերի 31-ի դրությամբ տրամադրված երաշխիքները կազմել են հանրագումարային 41.4 մլրդ ՀՀ դրամ կամ նույն տարվա ՀՆԱ-ի 0.44%-ը:</w:t>
      </w:r>
    </w:p>
    <w:p w14:paraId="02015458" w14:textId="77777777" w:rsidR="00545EC8" w:rsidRPr="00C84801" w:rsidRDefault="00545EC8" w:rsidP="0086137E">
      <w:pPr>
        <w:spacing w:after="0" w:line="276" w:lineRule="auto"/>
        <w:ind w:firstLine="0"/>
        <w:rPr>
          <w:lang w:val="hy-AM"/>
        </w:rPr>
      </w:pPr>
      <w:r w:rsidRPr="00C84801">
        <w:rPr>
          <w:lang w:val="hy-AM"/>
        </w:rPr>
        <w:t>Վերոնշյալ երաշխիքների փաթեթում արտարժույթով տրամադրված երաշխիքները կազմել են հանրագումարային 84.6 մլն ԱՄՆ դոլար, իսկ ազգային արժույթով՝ 7.2 մլրդ ՀՀ դրամ:</w:t>
      </w:r>
    </w:p>
    <w:p w14:paraId="080D6846" w14:textId="77777777" w:rsidR="00545EC8" w:rsidRPr="00C84801" w:rsidRDefault="00545EC8" w:rsidP="0086137E">
      <w:pPr>
        <w:spacing w:after="0" w:line="276" w:lineRule="auto"/>
        <w:ind w:firstLine="0"/>
        <w:rPr>
          <w:lang w:val="hy-AM"/>
        </w:rPr>
      </w:pPr>
      <w:r w:rsidRPr="00C84801">
        <w:rPr>
          <w:lang w:val="hy-AM"/>
        </w:rPr>
        <w:t>Ստորև ներկայացնենք տրամադրված պետական երաշխիքների դինամիկան</w:t>
      </w:r>
      <w:r w:rsidRPr="002A7D7E">
        <w:rPr>
          <w:lang w:val="hy-AM"/>
        </w:rPr>
        <w:t xml:space="preserve"> </w:t>
      </w:r>
      <w:r>
        <w:rPr>
          <w:lang w:val="hy-AM"/>
        </w:rPr>
        <w:t>և վերջիններիս տեսակարար կշիռը Կառավարության պարտքում</w:t>
      </w:r>
      <w:r w:rsidRPr="00C84801">
        <w:rPr>
          <w:lang w:val="hy-AM"/>
        </w:rPr>
        <w:t>՝ ըստ տարիների:</w:t>
      </w:r>
    </w:p>
    <w:p w14:paraId="0565F0AB" w14:textId="77777777" w:rsidR="00545EC8" w:rsidRPr="00C84801" w:rsidRDefault="00545EC8" w:rsidP="00545EC8">
      <w:pPr>
        <w:spacing w:after="0" w:line="276" w:lineRule="auto"/>
        <w:ind w:firstLine="720"/>
        <w:rPr>
          <w:lang w:val="hy-AM"/>
        </w:rPr>
      </w:pPr>
    </w:p>
    <w:p w14:paraId="32CE932C" w14:textId="77777777" w:rsidR="00545EC8" w:rsidRPr="00E169C9" w:rsidRDefault="00545EC8" w:rsidP="00545EC8">
      <w:pPr>
        <w:spacing w:after="0" w:line="276" w:lineRule="auto"/>
        <w:ind w:firstLine="0"/>
        <w:rPr>
          <w:b/>
          <w:i/>
          <w:lang w:val="hy-AM"/>
        </w:rPr>
      </w:pPr>
      <w:r w:rsidRPr="00E169C9">
        <w:rPr>
          <w:b/>
          <w:i/>
          <w:lang w:val="hy-AM"/>
        </w:rPr>
        <w:t xml:space="preserve">Գծապատկեր 15. </w:t>
      </w:r>
      <w:r w:rsidRPr="00E169C9">
        <w:rPr>
          <w:i/>
          <w:lang w:val="hy-AM"/>
        </w:rPr>
        <w:t xml:space="preserve">Տրամադրված պետական երաշխիքների դինամիկան և վերջիններիս տեսակարար կշիռը Կառավարության պարտքում՝ 2016-2023 թթ. (մլրդ ՀՀ դրամ, </w:t>
      </w:r>
      <w:r w:rsidRPr="00E169C9">
        <w:rPr>
          <w:i/>
        </w:rPr>
        <w:t>%</w:t>
      </w:r>
      <w:r w:rsidRPr="00E169C9">
        <w:rPr>
          <w:i/>
          <w:lang w:val="hy-AM"/>
        </w:rPr>
        <w:t>)</w:t>
      </w:r>
    </w:p>
    <w:p w14:paraId="39F0DF5F" w14:textId="77777777" w:rsidR="00545EC8" w:rsidRPr="00E95586" w:rsidRDefault="00545EC8" w:rsidP="00545EC8">
      <w:pPr>
        <w:spacing w:line="240" w:lineRule="auto"/>
        <w:ind w:firstLine="720"/>
        <w:jc w:val="center"/>
        <w:rPr>
          <w:sz w:val="24"/>
          <w:szCs w:val="24"/>
          <w:lang w:val="hy-AM"/>
        </w:rPr>
      </w:pPr>
      <w:r w:rsidRPr="00E95586">
        <w:rPr>
          <w:noProof/>
        </w:rPr>
        <w:drawing>
          <wp:inline distT="0" distB="0" distL="0" distR="0" wp14:anchorId="187F903F" wp14:editId="70CD769C">
            <wp:extent cx="4795838" cy="2743200"/>
            <wp:effectExtent l="0" t="0" r="5080" b="0"/>
            <wp:docPr id="1545876440" name="Chart 15458764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8B61108" w14:textId="77777777" w:rsidR="00545EC8" w:rsidRDefault="00545EC8" w:rsidP="00545EC8">
      <w:pPr>
        <w:spacing w:line="276" w:lineRule="auto"/>
        <w:rPr>
          <w:lang w:val="hy-AM"/>
        </w:rPr>
      </w:pPr>
    </w:p>
    <w:p w14:paraId="2BB851B9" w14:textId="77777777" w:rsidR="00545EC8" w:rsidRPr="007F261E" w:rsidRDefault="00545EC8" w:rsidP="0086137E">
      <w:pPr>
        <w:spacing w:line="276" w:lineRule="auto"/>
        <w:ind w:firstLine="0"/>
        <w:rPr>
          <w:lang w:val="hy-AM"/>
        </w:rPr>
      </w:pPr>
      <w:r w:rsidRPr="00E95586">
        <w:rPr>
          <w:lang w:val="hy-AM"/>
        </w:rPr>
        <w:t>Ինչպես նկատելի է գծապատկերից վերջին տարիներին Երաշխիքներ/Կառավարության պարտք ցուցանիշը ցուցաբերել է մոնոտոն նվազման միտում՝ պայմանավորված մի կողմից տրամադրված երաշխիքների նվազմամբ, մյուս կողմից</w:t>
      </w:r>
      <w:r w:rsidRPr="00EC7E3E">
        <w:rPr>
          <w:lang w:val="hy-AM"/>
        </w:rPr>
        <w:t>`</w:t>
      </w:r>
      <w:r w:rsidRPr="00E95586">
        <w:rPr>
          <w:lang w:val="hy-AM"/>
        </w:rPr>
        <w:t xml:space="preserve"> Կառավարության պարտքի ավելացմամբ:</w:t>
      </w:r>
    </w:p>
    <w:p w14:paraId="5923FCAC" w14:textId="77777777" w:rsidR="00545EC8" w:rsidRPr="00C84801" w:rsidRDefault="00545EC8" w:rsidP="0086137E">
      <w:pPr>
        <w:spacing w:after="0" w:line="276" w:lineRule="auto"/>
        <w:ind w:firstLine="0"/>
        <w:rPr>
          <w:lang w:val="hy-AM"/>
        </w:rPr>
      </w:pPr>
      <w:r w:rsidRPr="00C84801">
        <w:rPr>
          <w:lang w:val="hy-AM"/>
        </w:rPr>
        <w:t>Ներքին պետական երաշխիքները ՀՀ ռեզիդենտներին տրամադրված բյուջետային երաշխիքներն են, իսկ արտաքին պետական երաշխիքները ոչ ռեզիդենտներին և օտարերկրյա պետություններին Հայաստանի Հանրապետության և Կենտրոնական բանկի կողմից տրամադրված պետական երաշխիքներն են:</w:t>
      </w:r>
    </w:p>
    <w:p w14:paraId="54A143DA" w14:textId="77777777" w:rsidR="00545EC8" w:rsidRPr="00C84801" w:rsidRDefault="00545EC8" w:rsidP="0086137E">
      <w:pPr>
        <w:spacing w:after="0" w:line="276" w:lineRule="auto"/>
        <w:ind w:firstLine="0"/>
        <w:rPr>
          <w:lang w:val="hy-AM"/>
        </w:rPr>
      </w:pPr>
      <w:r w:rsidRPr="00C84801">
        <w:rPr>
          <w:lang w:val="hy-AM"/>
        </w:rPr>
        <w:t>Ստորև ներկայացնենք պետական երաշխիքների տարանջատումը՝ արտաքինի և ներքինի, ըստ տարիների:</w:t>
      </w:r>
    </w:p>
    <w:p w14:paraId="49B4D537" w14:textId="77777777" w:rsidR="00545EC8" w:rsidRDefault="00545EC8" w:rsidP="00545EC8">
      <w:pPr>
        <w:rPr>
          <w:lang w:val="hy-AM"/>
        </w:rPr>
      </w:pPr>
      <w:r>
        <w:rPr>
          <w:lang w:val="hy-AM"/>
        </w:rPr>
        <w:br w:type="page"/>
      </w:r>
    </w:p>
    <w:p w14:paraId="396482B6" w14:textId="77777777" w:rsidR="00545EC8" w:rsidRPr="00EC7E3E" w:rsidRDefault="00545EC8" w:rsidP="00545EC8">
      <w:pPr>
        <w:spacing w:after="0" w:line="276" w:lineRule="auto"/>
        <w:ind w:firstLine="0"/>
        <w:rPr>
          <w:i/>
          <w:lang w:val="hy-AM"/>
        </w:rPr>
      </w:pPr>
      <w:r w:rsidRPr="00EC7E3E">
        <w:rPr>
          <w:b/>
          <w:i/>
          <w:lang w:val="hy-AM"/>
        </w:rPr>
        <w:t xml:space="preserve">Գծապատկեր 16. </w:t>
      </w:r>
      <w:r w:rsidRPr="00EC7E3E">
        <w:rPr>
          <w:i/>
          <w:lang w:val="hy-AM"/>
        </w:rPr>
        <w:t>Պետական երաշխիքների տարանջատումը՝ արտաքինի և ներքինի 2016-2023թթ.</w:t>
      </w:r>
    </w:p>
    <w:p w14:paraId="5FF750E3" w14:textId="77777777" w:rsidR="00545EC8" w:rsidRPr="00C84801" w:rsidRDefault="00545EC8" w:rsidP="00545EC8">
      <w:pPr>
        <w:spacing w:line="240" w:lineRule="auto"/>
        <w:ind w:firstLine="990"/>
        <w:jc w:val="center"/>
        <w:rPr>
          <w:sz w:val="24"/>
          <w:szCs w:val="24"/>
          <w:lang w:val="hy-AM"/>
        </w:rPr>
      </w:pPr>
      <w:r>
        <w:rPr>
          <w:noProof/>
        </w:rPr>
        <w:drawing>
          <wp:inline distT="0" distB="0" distL="0" distR="0" wp14:anchorId="154C2195" wp14:editId="24B0FB9E">
            <wp:extent cx="5351228" cy="3148716"/>
            <wp:effectExtent l="0" t="0" r="1905" b="13970"/>
            <wp:docPr id="1545876441" name="Chart 15458764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2DE70D53" w14:textId="77777777" w:rsidR="00545EC8" w:rsidRDefault="00545EC8" w:rsidP="00545EC8">
      <w:pPr>
        <w:spacing w:after="0" w:line="276" w:lineRule="auto"/>
        <w:rPr>
          <w:lang w:val="hy-AM"/>
        </w:rPr>
      </w:pPr>
    </w:p>
    <w:p w14:paraId="13F70278" w14:textId="77777777" w:rsidR="00545EC8" w:rsidRPr="00C84801" w:rsidRDefault="00545EC8" w:rsidP="0086137E">
      <w:pPr>
        <w:spacing w:after="0" w:line="276" w:lineRule="auto"/>
        <w:ind w:firstLine="0"/>
        <w:rPr>
          <w:lang w:val="hy-AM"/>
        </w:rPr>
      </w:pPr>
      <w:r w:rsidRPr="00C84801">
        <w:rPr>
          <w:lang w:val="hy-AM"/>
        </w:rPr>
        <w:t xml:space="preserve">Գծապատկերից նկատելի է, որ բյուջետային երաշխիքները մեծամասամբ տրամադրվել են արտարժույթով, ինչն էլ փաստում է փաթեթի՝ արտարժութային ռիսկի ենթարկվածության բարձր մակարդակի մասին: </w:t>
      </w:r>
    </w:p>
    <w:p w14:paraId="06267CDB" w14:textId="77777777" w:rsidR="00545EC8" w:rsidRPr="00C84801" w:rsidRDefault="00545EC8" w:rsidP="0086137E">
      <w:pPr>
        <w:spacing w:after="0" w:line="276" w:lineRule="auto"/>
        <w:ind w:firstLine="0"/>
        <w:rPr>
          <w:lang w:val="hy-AM"/>
        </w:rPr>
      </w:pPr>
      <w:r w:rsidRPr="00C84801">
        <w:rPr>
          <w:lang w:val="hy-AM"/>
        </w:rPr>
        <w:t>Ներկայացնենք երաշխավորվող կազմակերպությունների ցանկը, տրամադրված երաշխիքի չափը ՀՀ դրամով և կշիռը համապատասխան պորտֆելում 2023թ.-ի դեկտեմբերի 31-ի դրությամբ (տե</w:t>
      </w:r>
      <w:r w:rsidRPr="00B35A3C">
        <w:rPr>
          <w:lang w:val="hy-AM"/>
        </w:rPr>
        <w:t>΄</w:t>
      </w:r>
      <w:r w:rsidRPr="00C84801">
        <w:rPr>
          <w:lang w:val="hy-AM"/>
        </w:rPr>
        <w:t>ս աղյուսակ 6):</w:t>
      </w:r>
    </w:p>
    <w:p w14:paraId="0D908713" w14:textId="77777777" w:rsidR="00545EC8" w:rsidRDefault="00545EC8" w:rsidP="00545EC8">
      <w:pPr>
        <w:spacing w:line="276" w:lineRule="auto"/>
        <w:ind w:firstLine="0"/>
        <w:rPr>
          <w:b/>
          <w:lang w:val="hy-AM"/>
        </w:rPr>
      </w:pPr>
    </w:p>
    <w:p w14:paraId="7C9A8923" w14:textId="77777777" w:rsidR="00545EC8" w:rsidRPr="00EC7E3E" w:rsidRDefault="00545EC8" w:rsidP="00545EC8">
      <w:pPr>
        <w:spacing w:line="276" w:lineRule="auto"/>
        <w:ind w:firstLine="0"/>
        <w:rPr>
          <w:i/>
          <w:lang w:val="hy-AM"/>
        </w:rPr>
      </w:pPr>
      <w:r w:rsidRPr="00EC7E3E">
        <w:rPr>
          <w:b/>
          <w:i/>
          <w:lang w:val="hy-AM"/>
        </w:rPr>
        <w:t xml:space="preserve">Աղյուսակ 6. </w:t>
      </w:r>
      <w:r w:rsidRPr="00EC7E3E">
        <w:rPr>
          <w:i/>
          <w:lang w:val="hy-AM"/>
        </w:rPr>
        <w:t>Երաշխավորվող կազմակերպությունների ցանկ</w:t>
      </w:r>
    </w:p>
    <w:tbl>
      <w:tblPr>
        <w:tblW w:w="10348" w:type="dxa"/>
        <w:tblInd w:w="-431" w:type="dxa"/>
        <w:tblLook w:val="04A0" w:firstRow="1" w:lastRow="0" w:firstColumn="1" w:lastColumn="0" w:noHBand="0" w:noVBand="1"/>
      </w:tblPr>
      <w:tblGrid>
        <w:gridCol w:w="2977"/>
        <w:gridCol w:w="3143"/>
        <w:gridCol w:w="1915"/>
        <w:gridCol w:w="2313"/>
      </w:tblGrid>
      <w:tr w:rsidR="00545EC8" w:rsidRPr="00022D9C" w14:paraId="08ADAD96" w14:textId="77777777" w:rsidTr="00D262EA">
        <w:trPr>
          <w:trHeight w:val="282"/>
        </w:trPr>
        <w:tc>
          <w:tcPr>
            <w:tcW w:w="2977" w:type="dxa"/>
            <w:tcBorders>
              <w:top w:val="single" w:sz="8" w:space="0" w:color="8EAADB"/>
              <w:left w:val="single" w:sz="4" w:space="0" w:color="9BC2E6"/>
              <w:bottom w:val="single" w:sz="8" w:space="0" w:color="8EAADB"/>
              <w:right w:val="nil"/>
            </w:tcBorders>
            <w:shd w:val="clear" w:color="000000" w:fill="B4C6E7"/>
            <w:noWrap/>
            <w:vAlign w:val="center"/>
            <w:hideMark/>
          </w:tcPr>
          <w:p w14:paraId="4F8C0E7B" w14:textId="77777777" w:rsidR="00545EC8" w:rsidRPr="00022D9C" w:rsidRDefault="00545EC8" w:rsidP="00D262EA">
            <w:pPr>
              <w:spacing w:after="0" w:line="240" w:lineRule="auto"/>
              <w:ind w:firstLine="22"/>
              <w:jc w:val="left"/>
              <w:rPr>
                <w:rFonts w:eastAsia="Times New Roman" w:cs="Calibri"/>
                <w:b/>
                <w:bCs/>
                <w:i/>
                <w:iCs/>
                <w:color w:val="000000"/>
                <w:sz w:val="20"/>
                <w:szCs w:val="20"/>
              </w:rPr>
            </w:pPr>
            <w:r w:rsidRPr="00022D9C">
              <w:rPr>
                <w:rFonts w:eastAsia="Times New Roman" w:cs="Calibri"/>
                <w:b/>
                <w:bCs/>
                <w:i/>
                <w:iCs/>
                <w:color w:val="000000"/>
                <w:sz w:val="20"/>
                <w:szCs w:val="20"/>
              </w:rPr>
              <w:t>ԱՐՏԱՔԻՆ  ԵՐԱՇԽԻՔՆԵՐ</w:t>
            </w:r>
          </w:p>
        </w:tc>
        <w:tc>
          <w:tcPr>
            <w:tcW w:w="3143" w:type="dxa"/>
            <w:tcBorders>
              <w:top w:val="single" w:sz="4" w:space="0" w:color="9BC2E6"/>
              <w:left w:val="nil"/>
              <w:bottom w:val="single" w:sz="4" w:space="0" w:color="9BC2E6"/>
              <w:right w:val="nil"/>
            </w:tcBorders>
            <w:shd w:val="clear" w:color="000000" w:fill="B4C6E7"/>
            <w:noWrap/>
            <w:vAlign w:val="center"/>
            <w:hideMark/>
          </w:tcPr>
          <w:p w14:paraId="4B146DCF" w14:textId="77777777" w:rsidR="00545EC8" w:rsidRPr="00022D9C" w:rsidRDefault="00545EC8" w:rsidP="00D262EA">
            <w:pPr>
              <w:spacing w:after="0" w:line="240" w:lineRule="auto"/>
              <w:ind w:firstLine="6"/>
              <w:jc w:val="left"/>
              <w:rPr>
                <w:rFonts w:eastAsia="Times New Roman" w:cs="Calibri"/>
                <w:b/>
                <w:bCs/>
                <w:i/>
                <w:iCs/>
                <w:color w:val="000000"/>
                <w:sz w:val="20"/>
                <w:szCs w:val="20"/>
              </w:rPr>
            </w:pPr>
          </w:p>
        </w:tc>
        <w:tc>
          <w:tcPr>
            <w:tcW w:w="1915" w:type="dxa"/>
            <w:tcBorders>
              <w:top w:val="single" w:sz="4" w:space="0" w:color="9BC2E6"/>
              <w:left w:val="nil"/>
              <w:bottom w:val="single" w:sz="4" w:space="0" w:color="9BC2E6"/>
              <w:right w:val="nil"/>
            </w:tcBorders>
            <w:shd w:val="clear" w:color="000000" w:fill="B4C6E7"/>
            <w:noWrap/>
            <w:vAlign w:val="bottom"/>
            <w:hideMark/>
          </w:tcPr>
          <w:p w14:paraId="69C571F8" w14:textId="77777777" w:rsidR="00545EC8" w:rsidRPr="00022D9C" w:rsidRDefault="00545EC8" w:rsidP="00D262EA">
            <w:pPr>
              <w:spacing w:after="0" w:line="240" w:lineRule="auto"/>
              <w:ind w:firstLine="0"/>
              <w:jc w:val="left"/>
              <w:rPr>
                <w:rFonts w:ascii="Calibri" w:eastAsia="Times New Roman" w:hAnsi="Calibri" w:cs="Calibri"/>
                <w:b/>
                <w:bCs/>
                <w:color w:val="FFFFFF"/>
                <w:sz w:val="20"/>
                <w:szCs w:val="20"/>
              </w:rPr>
            </w:pPr>
          </w:p>
        </w:tc>
        <w:tc>
          <w:tcPr>
            <w:tcW w:w="2313" w:type="dxa"/>
            <w:tcBorders>
              <w:top w:val="single" w:sz="4" w:space="0" w:color="9BC2E6"/>
              <w:left w:val="nil"/>
              <w:bottom w:val="single" w:sz="4" w:space="0" w:color="9BC2E6"/>
              <w:right w:val="single" w:sz="4" w:space="0" w:color="9BC2E6"/>
            </w:tcBorders>
            <w:shd w:val="clear" w:color="000000" w:fill="B4C6E7"/>
            <w:noWrap/>
            <w:vAlign w:val="bottom"/>
            <w:hideMark/>
          </w:tcPr>
          <w:p w14:paraId="56B213C7" w14:textId="77777777" w:rsidR="00545EC8" w:rsidRPr="00022D9C" w:rsidRDefault="00545EC8" w:rsidP="00D262EA">
            <w:pPr>
              <w:spacing w:after="0" w:line="240" w:lineRule="auto"/>
              <w:ind w:firstLine="0"/>
              <w:jc w:val="left"/>
              <w:rPr>
                <w:rFonts w:ascii="Calibri" w:eastAsia="Times New Roman" w:hAnsi="Calibri" w:cs="Calibri"/>
                <w:b/>
                <w:bCs/>
                <w:color w:val="FFFFFF"/>
                <w:sz w:val="20"/>
                <w:szCs w:val="20"/>
              </w:rPr>
            </w:pPr>
          </w:p>
        </w:tc>
      </w:tr>
      <w:tr w:rsidR="00545EC8" w:rsidRPr="00022D9C" w14:paraId="56386574" w14:textId="77777777" w:rsidTr="00D262EA">
        <w:trPr>
          <w:trHeight w:val="282"/>
        </w:trPr>
        <w:tc>
          <w:tcPr>
            <w:tcW w:w="2977" w:type="dxa"/>
            <w:tcBorders>
              <w:top w:val="single" w:sz="8" w:space="0" w:color="8EAADB"/>
              <w:left w:val="single" w:sz="4" w:space="0" w:color="9BC2E6"/>
              <w:bottom w:val="single" w:sz="8" w:space="0" w:color="8EAADB"/>
              <w:right w:val="nil"/>
            </w:tcBorders>
            <w:shd w:val="clear" w:color="DDEBF7" w:fill="DDEBF7"/>
            <w:noWrap/>
            <w:vAlign w:val="center"/>
            <w:hideMark/>
          </w:tcPr>
          <w:p w14:paraId="09E90360" w14:textId="77777777" w:rsidR="00545EC8" w:rsidRPr="00022D9C" w:rsidRDefault="00545EC8" w:rsidP="00D262EA">
            <w:pPr>
              <w:spacing w:after="0" w:line="240" w:lineRule="auto"/>
              <w:ind w:firstLine="22"/>
              <w:jc w:val="center"/>
              <w:rPr>
                <w:rFonts w:eastAsia="Times New Roman" w:cs="Calibri"/>
                <w:b/>
                <w:bCs/>
                <w:color w:val="000000"/>
                <w:sz w:val="20"/>
                <w:szCs w:val="20"/>
              </w:rPr>
            </w:pPr>
            <w:r w:rsidRPr="00022D9C">
              <w:rPr>
                <w:rFonts w:eastAsia="Times New Roman" w:cs="Calibri"/>
                <w:b/>
                <w:bCs/>
                <w:color w:val="000000"/>
                <w:sz w:val="20"/>
                <w:szCs w:val="20"/>
              </w:rPr>
              <w:t>Պրինցիպալ</w:t>
            </w:r>
            <w:r>
              <w:rPr>
                <w:rStyle w:val="FootnoteReference"/>
                <w:rFonts w:eastAsia="Times New Roman" w:cs="Calibri"/>
                <w:bCs/>
                <w:color w:val="000000"/>
                <w:sz w:val="20"/>
                <w:szCs w:val="20"/>
              </w:rPr>
              <w:footnoteReference w:id="46"/>
            </w:r>
          </w:p>
        </w:tc>
        <w:tc>
          <w:tcPr>
            <w:tcW w:w="3143" w:type="dxa"/>
            <w:tcBorders>
              <w:top w:val="single" w:sz="8" w:space="0" w:color="8EAADB"/>
              <w:left w:val="nil"/>
              <w:bottom w:val="single" w:sz="8" w:space="0" w:color="8EAADB"/>
              <w:right w:val="nil"/>
            </w:tcBorders>
            <w:shd w:val="clear" w:color="DDEBF7" w:fill="DDEBF7"/>
            <w:noWrap/>
            <w:vAlign w:val="center"/>
            <w:hideMark/>
          </w:tcPr>
          <w:p w14:paraId="4B332FF9" w14:textId="77777777" w:rsidR="00545EC8" w:rsidRPr="00022D9C" w:rsidRDefault="00545EC8" w:rsidP="00D262EA">
            <w:pPr>
              <w:spacing w:after="0" w:line="240" w:lineRule="auto"/>
              <w:ind w:firstLine="6"/>
              <w:jc w:val="center"/>
              <w:rPr>
                <w:rFonts w:eastAsia="Times New Roman" w:cs="Calibri"/>
                <w:b/>
                <w:bCs/>
                <w:color w:val="000000"/>
                <w:sz w:val="20"/>
                <w:szCs w:val="20"/>
              </w:rPr>
            </w:pPr>
            <w:r w:rsidRPr="00022D9C">
              <w:rPr>
                <w:rFonts w:eastAsia="Times New Roman" w:cs="Calibri"/>
                <w:b/>
                <w:bCs/>
                <w:color w:val="000000"/>
                <w:sz w:val="20"/>
                <w:szCs w:val="20"/>
              </w:rPr>
              <w:t>Բենեֆիցիար</w:t>
            </w:r>
            <w:r>
              <w:rPr>
                <w:rStyle w:val="FootnoteReference"/>
                <w:rFonts w:eastAsia="Times New Roman" w:cs="Calibri"/>
                <w:bCs/>
                <w:color w:val="000000"/>
                <w:sz w:val="20"/>
                <w:szCs w:val="20"/>
              </w:rPr>
              <w:footnoteReference w:id="47"/>
            </w:r>
          </w:p>
        </w:tc>
        <w:tc>
          <w:tcPr>
            <w:tcW w:w="1915" w:type="dxa"/>
            <w:tcBorders>
              <w:top w:val="single" w:sz="8" w:space="0" w:color="8EAADB"/>
              <w:left w:val="nil"/>
              <w:bottom w:val="single" w:sz="8" w:space="0" w:color="8EAADB"/>
              <w:right w:val="nil"/>
            </w:tcBorders>
            <w:shd w:val="clear" w:color="DDEBF7" w:fill="DDEBF7"/>
            <w:noWrap/>
            <w:vAlign w:val="center"/>
            <w:hideMark/>
          </w:tcPr>
          <w:p w14:paraId="05C442D8" w14:textId="77777777" w:rsidR="00545EC8" w:rsidRPr="00022D9C" w:rsidRDefault="00545EC8" w:rsidP="00D262EA">
            <w:pPr>
              <w:spacing w:after="0" w:line="240" w:lineRule="auto"/>
              <w:ind w:firstLine="0"/>
              <w:jc w:val="center"/>
              <w:rPr>
                <w:rFonts w:eastAsia="Times New Roman" w:cs="Calibri"/>
                <w:b/>
                <w:bCs/>
                <w:color w:val="000000"/>
                <w:sz w:val="20"/>
                <w:szCs w:val="20"/>
              </w:rPr>
            </w:pPr>
            <w:r w:rsidRPr="00022D9C">
              <w:rPr>
                <w:rFonts w:eastAsia="Times New Roman" w:cs="Calibri"/>
                <w:b/>
                <w:bCs/>
                <w:color w:val="000000"/>
                <w:sz w:val="20"/>
                <w:szCs w:val="20"/>
              </w:rPr>
              <w:t>Երաշխիքի չափ (ՀՀ դրամ)</w:t>
            </w:r>
          </w:p>
        </w:tc>
        <w:tc>
          <w:tcPr>
            <w:tcW w:w="2313" w:type="dxa"/>
            <w:tcBorders>
              <w:top w:val="single" w:sz="8" w:space="0" w:color="8EAADB"/>
              <w:left w:val="nil"/>
              <w:bottom w:val="single" w:sz="8" w:space="0" w:color="8EAADB"/>
              <w:right w:val="single" w:sz="4" w:space="0" w:color="9BC2E6"/>
            </w:tcBorders>
            <w:shd w:val="clear" w:color="DDEBF7" w:fill="DDEBF7"/>
            <w:noWrap/>
            <w:vAlign w:val="center"/>
            <w:hideMark/>
          </w:tcPr>
          <w:p w14:paraId="554514B6" w14:textId="77777777" w:rsidR="00545EC8" w:rsidRPr="00022D9C" w:rsidRDefault="00545EC8" w:rsidP="00D262EA">
            <w:pPr>
              <w:spacing w:after="0" w:line="240" w:lineRule="auto"/>
              <w:ind w:firstLine="0"/>
              <w:jc w:val="center"/>
              <w:rPr>
                <w:rFonts w:eastAsia="Times New Roman" w:cs="Calibri"/>
                <w:b/>
                <w:bCs/>
                <w:color w:val="000000"/>
                <w:sz w:val="20"/>
                <w:szCs w:val="20"/>
              </w:rPr>
            </w:pPr>
            <w:r w:rsidRPr="00022D9C">
              <w:rPr>
                <w:rFonts w:eastAsia="Times New Roman" w:cs="Calibri"/>
                <w:b/>
                <w:bCs/>
                <w:color w:val="000000"/>
                <w:sz w:val="20"/>
                <w:szCs w:val="20"/>
              </w:rPr>
              <w:t>Կշիռը արտաքին երաշխիքների պորտֆելում</w:t>
            </w:r>
          </w:p>
        </w:tc>
      </w:tr>
      <w:tr w:rsidR="00545EC8" w:rsidRPr="00022D9C" w14:paraId="667BA4F3"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auto" w:fill="auto"/>
            <w:noWrap/>
            <w:vAlign w:val="center"/>
            <w:hideMark/>
          </w:tcPr>
          <w:p w14:paraId="4C98FD17"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1. ՀՀ կենտրոնական բանկ</w:t>
            </w:r>
          </w:p>
        </w:tc>
        <w:tc>
          <w:tcPr>
            <w:tcW w:w="3143" w:type="dxa"/>
            <w:tcBorders>
              <w:top w:val="single" w:sz="4" w:space="0" w:color="9BC2E6"/>
              <w:left w:val="nil"/>
              <w:bottom w:val="single" w:sz="8" w:space="0" w:color="8EAADB"/>
              <w:right w:val="nil"/>
            </w:tcBorders>
            <w:shd w:val="clear" w:color="auto" w:fill="auto"/>
            <w:noWrap/>
            <w:vAlign w:val="center"/>
            <w:hideMark/>
          </w:tcPr>
          <w:p w14:paraId="24322F0D" w14:textId="77777777" w:rsidR="00545EC8" w:rsidRPr="00022D9C" w:rsidRDefault="00545EC8" w:rsidP="00D262EA">
            <w:pPr>
              <w:spacing w:after="0" w:line="240" w:lineRule="auto"/>
              <w:ind w:firstLine="6"/>
              <w:jc w:val="left"/>
              <w:rPr>
                <w:rFonts w:eastAsia="Times New Roman" w:cs="Calibri"/>
                <w:color w:val="000000"/>
                <w:sz w:val="20"/>
                <w:szCs w:val="20"/>
              </w:rPr>
            </w:pPr>
            <w:r>
              <w:rPr>
                <w:rFonts w:eastAsia="Times New Roman" w:cs="Calibri"/>
                <w:color w:val="000000"/>
                <w:sz w:val="20"/>
                <w:szCs w:val="20"/>
              </w:rPr>
              <w:t>ՎԶ</w:t>
            </w:r>
            <w:r>
              <w:rPr>
                <w:rFonts w:eastAsia="Times New Roman" w:cs="Calibri"/>
                <w:color w:val="000000"/>
                <w:sz w:val="20"/>
                <w:szCs w:val="20"/>
                <w:lang w:val="hy-AM"/>
              </w:rPr>
              <w:t>Մ</w:t>
            </w:r>
            <w:r w:rsidRPr="00022D9C">
              <w:rPr>
                <w:rFonts w:eastAsia="Times New Roman" w:cs="Calibri"/>
                <w:color w:val="000000"/>
                <w:sz w:val="20"/>
                <w:szCs w:val="20"/>
              </w:rPr>
              <w:t>Բ</w:t>
            </w:r>
            <w:r>
              <w:rPr>
                <w:rStyle w:val="FootnoteReference"/>
                <w:rFonts w:eastAsia="Times New Roman" w:cs="Calibri"/>
                <w:color w:val="000000"/>
                <w:sz w:val="20"/>
                <w:szCs w:val="20"/>
              </w:rPr>
              <w:footnoteReference w:id="48"/>
            </w:r>
            <w:r w:rsidRPr="00022D9C">
              <w:rPr>
                <w:rFonts w:eastAsia="Times New Roman" w:cs="Calibri"/>
                <w:color w:val="000000"/>
                <w:sz w:val="20"/>
                <w:szCs w:val="20"/>
              </w:rPr>
              <w:t>, ԱԶԲ</w:t>
            </w:r>
            <w:r>
              <w:rPr>
                <w:rStyle w:val="FootnoteReference"/>
                <w:rFonts w:eastAsia="Times New Roman" w:cs="Calibri"/>
                <w:color w:val="000000"/>
                <w:sz w:val="20"/>
                <w:szCs w:val="20"/>
              </w:rPr>
              <w:footnoteReference w:id="49"/>
            </w:r>
            <w:r w:rsidRPr="00022D9C">
              <w:rPr>
                <w:rFonts w:eastAsia="Times New Roman" w:cs="Calibri"/>
                <w:color w:val="000000"/>
                <w:sz w:val="20"/>
                <w:szCs w:val="20"/>
              </w:rPr>
              <w:t>, Գերմանիա (ՎՎԲ</w:t>
            </w:r>
            <w:r>
              <w:rPr>
                <w:rStyle w:val="FootnoteReference"/>
                <w:rFonts w:eastAsia="Times New Roman" w:cs="Calibri"/>
                <w:color w:val="000000"/>
                <w:sz w:val="20"/>
                <w:szCs w:val="20"/>
              </w:rPr>
              <w:footnoteReference w:id="50"/>
            </w:r>
            <w:r w:rsidRPr="00022D9C">
              <w:rPr>
                <w:rFonts w:eastAsia="Times New Roman" w:cs="Calibri"/>
                <w:color w:val="000000"/>
                <w:sz w:val="20"/>
                <w:szCs w:val="20"/>
              </w:rPr>
              <w:t>)</w:t>
            </w:r>
          </w:p>
        </w:tc>
        <w:tc>
          <w:tcPr>
            <w:tcW w:w="1915" w:type="dxa"/>
            <w:tcBorders>
              <w:top w:val="single" w:sz="4" w:space="0" w:color="9BC2E6"/>
              <w:left w:val="nil"/>
              <w:bottom w:val="single" w:sz="8" w:space="0" w:color="8EAADB"/>
              <w:right w:val="nil"/>
            </w:tcBorders>
            <w:shd w:val="clear" w:color="auto" w:fill="auto"/>
            <w:noWrap/>
            <w:vAlign w:val="center"/>
            <w:hideMark/>
          </w:tcPr>
          <w:p w14:paraId="3443DB71"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31,231,750,763</w:t>
            </w:r>
          </w:p>
        </w:tc>
        <w:tc>
          <w:tcPr>
            <w:tcW w:w="2313" w:type="dxa"/>
            <w:tcBorders>
              <w:top w:val="single" w:sz="4" w:space="0" w:color="9BC2E6"/>
              <w:left w:val="nil"/>
              <w:bottom w:val="single" w:sz="8" w:space="0" w:color="8EAADB"/>
              <w:right w:val="single" w:sz="4" w:space="0" w:color="9BC2E6"/>
            </w:tcBorders>
            <w:shd w:val="clear" w:color="auto" w:fill="auto"/>
            <w:noWrap/>
            <w:vAlign w:val="center"/>
            <w:hideMark/>
          </w:tcPr>
          <w:p w14:paraId="2A465019"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91.20%</w:t>
            </w:r>
          </w:p>
        </w:tc>
      </w:tr>
      <w:tr w:rsidR="00545EC8" w:rsidRPr="00022D9C" w14:paraId="4D20CD72" w14:textId="77777777" w:rsidTr="00D262EA">
        <w:trPr>
          <w:trHeight w:val="322"/>
        </w:trPr>
        <w:tc>
          <w:tcPr>
            <w:tcW w:w="2977" w:type="dxa"/>
            <w:tcBorders>
              <w:top w:val="single" w:sz="4" w:space="0" w:color="9BC2E6"/>
              <w:left w:val="single" w:sz="4" w:space="0" w:color="9BC2E6"/>
              <w:bottom w:val="single" w:sz="8" w:space="0" w:color="8EAADB"/>
              <w:right w:val="nil"/>
            </w:tcBorders>
            <w:shd w:val="clear" w:color="DDEBF7" w:fill="DDEBF7"/>
            <w:noWrap/>
            <w:vAlign w:val="center"/>
            <w:hideMark/>
          </w:tcPr>
          <w:p w14:paraId="3073DE43" w14:textId="77777777" w:rsidR="00545EC8" w:rsidRPr="00022D9C" w:rsidRDefault="00545EC8" w:rsidP="00D262EA">
            <w:pPr>
              <w:spacing w:after="0" w:line="240" w:lineRule="auto"/>
              <w:ind w:firstLine="22"/>
              <w:jc w:val="left"/>
              <w:rPr>
                <w:rFonts w:eastAsia="Times New Roman" w:cs="Calibri"/>
                <w:color w:val="000000"/>
                <w:sz w:val="20"/>
                <w:szCs w:val="20"/>
              </w:rPr>
            </w:pPr>
            <w:r>
              <w:rPr>
                <w:rFonts w:eastAsia="Times New Roman" w:cs="Calibri"/>
                <w:color w:val="000000"/>
                <w:sz w:val="20"/>
                <w:szCs w:val="20"/>
              </w:rPr>
              <w:t>2.</w:t>
            </w:r>
            <w:r w:rsidRPr="00022D9C">
              <w:rPr>
                <w:rFonts w:eastAsia="Times New Roman" w:cs="Calibri"/>
                <w:color w:val="000000"/>
                <w:sz w:val="20"/>
                <w:szCs w:val="20"/>
              </w:rPr>
              <w:t>«ՆՈՐՔ-ՄԱՐԱՇ» Բժշկական Կենտրոն ՓԲԸ</w:t>
            </w:r>
          </w:p>
        </w:tc>
        <w:tc>
          <w:tcPr>
            <w:tcW w:w="3143" w:type="dxa"/>
            <w:tcBorders>
              <w:top w:val="single" w:sz="4" w:space="0" w:color="9BC2E6"/>
              <w:left w:val="nil"/>
              <w:bottom w:val="single" w:sz="8" w:space="0" w:color="8EAADB"/>
              <w:right w:val="nil"/>
            </w:tcBorders>
            <w:shd w:val="clear" w:color="DDEBF7" w:fill="DDEBF7"/>
            <w:noWrap/>
            <w:vAlign w:val="center"/>
            <w:hideMark/>
          </w:tcPr>
          <w:p w14:paraId="68227DF7"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Էռստե Բանկ (Ավստրիա)</w:t>
            </w:r>
          </w:p>
        </w:tc>
        <w:tc>
          <w:tcPr>
            <w:tcW w:w="1915" w:type="dxa"/>
            <w:tcBorders>
              <w:top w:val="single" w:sz="4" w:space="0" w:color="9BC2E6"/>
              <w:left w:val="nil"/>
              <w:bottom w:val="single" w:sz="8" w:space="0" w:color="8EAADB"/>
              <w:right w:val="nil"/>
            </w:tcBorders>
            <w:shd w:val="clear" w:color="DDEBF7" w:fill="DDEBF7"/>
            <w:noWrap/>
            <w:vAlign w:val="center"/>
            <w:hideMark/>
          </w:tcPr>
          <w:p w14:paraId="0E474D77"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3,014,711,538</w:t>
            </w:r>
          </w:p>
        </w:tc>
        <w:tc>
          <w:tcPr>
            <w:tcW w:w="2313" w:type="dxa"/>
            <w:tcBorders>
              <w:top w:val="single" w:sz="4" w:space="0" w:color="9BC2E6"/>
              <w:left w:val="nil"/>
              <w:bottom w:val="single" w:sz="8" w:space="0" w:color="8EAADB"/>
              <w:right w:val="single" w:sz="4" w:space="0" w:color="9BC2E6"/>
            </w:tcBorders>
            <w:shd w:val="clear" w:color="DDEBF7" w:fill="DDEBF7"/>
            <w:noWrap/>
            <w:vAlign w:val="center"/>
            <w:hideMark/>
          </w:tcPr>
          <w:p w14:paraId="607394D0"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8.80%</w:t>
            </w:r>
          </w:p>
        </w:tc>
      </w:tr>
      <w:tr w:rsidR="00545EC8" w:rsidRPr="00022D9C" w14:paraId="1778945A" w14:textId="77777777" w:rsidTr="00D262EA">
        <w:trPr>
          <w:trHeight w:val="282"/>
        </w:trPr>
        <w:tc>
          <w:tcPr>
            <w:tcW w:w="2977" w:type="dxa"/>
            <w:tcBorders>
              <w:top w:val="single" w:sz="8" w:space="0" w:color="8EAADB"/>
              <w:left w:val="single" w:sz="4" w:space="0" w:color="9BC2E6"/>
              <w:bottom w:val="single" w:sz="8" w:space="0" w:color="8EAADB"/>
              <w:right w:val="nil"/>
            </w:tcBorders>
            <w:shd w:val="clear" w:color="000000" w:fill="B4C6E7"/>
            <w:noWrap/>
            <w:vAlign w:val="center"/>
            <w:hideMark/>
          </w:tcPr>
          <w:p w14:paraId="7E767F1A" w14:textId="77777777" w:rsidR="00545EC8" w:rsidRPr="00022D9C" w:rsidRDefault="00545EC8" w:rsidP="00D262EA">
            <w:pPr>
              <w:spacing w:after="0" w:line="240" w:lineRule="auto"/>
              <w:ind w:firstLine="22"/>
              <w:jc w:val="left"/>
              <w:rPr>
                <w:rFonts w:eastAsia="Times New Roman" w:cs="Calibri"/>
                <w:b/>
                <w:bCs/>
                <w:i/>
                <w:iCs/>
                <w:color w:val="000000"/>
                <w:sz w:val="20"/>
                <w:szCs w:val="20"/>
              </w:rPr>
            </w:pPr>
            <w:r w:rsidRPr="00022D9C">
              <w:rPr>
                <w:rFonts w:eastAsia="Times New Roman" w:cs="Calibri"/>
                <w:b/>
                <w:bCs/>
                <w:i/>
                <w:iCs/>
                <w:color w:val="000000"/>
                <w:sz w:val="20"/>
                <w:szCs w:val="20"/>
              </w:rPr>
              <w:t>ՆԵՐՔԻՆ  ԵՐԱՇԽԻՔՆԵՐ</w:t>
            </w:r>
          </w:p>
        </w:tc>
        <w:tc>
          <w:tcPr>
            <w:tcW w:w="3143" w:type="dxa"/>
            <w:tcBorders>
              <w:top w:val="single" w:sz="4" w:space="0" w:color="9BC2E6"/>
              <w:left w:val="nil"/>
              <w:bottom w:val="single" w:sz="8" w:space="0" w:color="8EAADB"/>
              <w:right w:val="nil"/>
            </w:tcBorders>
            <w:shd w:val="clear" w:color="000000" w:fill="B4C6E7"/>
            <w:noWrap/>
            <w:vAlign w:val="center"/>
            <w:hideMark/>
          </w:tcPr>
          <w:p w14:paraId="22F70FD8" w14:textId="77777777" w:rsidR="00545EC8" w:rsidRPr="00022D9C" w:rsidRDefault="00545EC8" w:rsidP="00D262EA">
            <w:pPr>
              <w:spacing w:after="0" w:line="240" w:lineRule="auto"/>
              <w:ind w:firstLine="6"/>
              <w:jc w:val="left"/>
              <w:rPr>
                <w:rFonts w:eastAsia="Times New Roman" w:cs="Calibri"/>
                <w:b/>
                <w:bCs/>
                <w:i/>
                <w:iCs/>
                <w:color w:val="000000"/>
                <w:sz w:val="20"/>
                <w:szCs w:val="20"/>
              </w:rPr>
            </w:pPr>
            <w:r w:rsidRPr="00022D9C">
              <w:rPr>
                <w:rFonts w:ascii="Calibri" w:eastAsia="Times New Roman" w:hAnsi="Calibri" w:cs="Calibri"/>
                <w:b/>
                <w:bCs/>
                <w:i/>
                <w:iCs/>
                <w:color w:val="000000"/>
                <w:sz w:val="20"/>
                <w:szCs w:val="20"/>
              </w:rPr>
              <w:t> </w:t>
            </w:r>
          </w:p>
        </w:tc>
        <w:tc>
          <w:tcPr>
            <w:tcW w:w="1915" w:type="dxa"/>
            <w:tcBorders>
              <w:top w:val="single" w:sz="4" w:space="0" w:color="9BC2E6"/>
              <w:left w:val="nil"/>
              <w:bottom w:val="single" w:sz="8" w:space="0" w:color="8EAADB"/>
              <w:right w:val="nil"/>
            </w:tcBorders>
            <w:shd w:val="clear" w:color="000000" w:fill="B4C6E7"/>
            <w:noWrap/>
            <w:vAlign w:val="center"/>
            <w:hideMark/>
          </w:tcPr>
          <w:p w14:paraId="7B278DA2"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ascii="Calibri" w:eastAsia="Times New Roman" w:hAnsi="Calibri" w:cs="Calibri"/>
                <w:color w:val="000000"/>
                <w:sz w:val="20"/>
                <w:szCs w:val="20"/>
              </w:rPr>
              <w:t> </w:t>
            </w:r>
          </w:p>
        </w:tc>
        <w:tc>
          <w:tcPr>
            <w:tcW w:w="2313" w:type="dxa"/>
            <w:tcBorders>
              <w:top w:val="single" w:sz="4" w:space="0" w:color="9BC2E6"/>
              <w:left w:val="nil"/>
              <w:bottom w:val="single" w:sz="8" w:space="0" w:color="8EAADB"/>
              <w:right w:val="single" w:sz="4" w:space="0" w:color="9BC2E6"/>
            </w:tcBorders>
            <w:shd w:val="clear" w:color="000000" w:fill="B4C6E7"/>
            <w:noWrap/>
            <w:vAlign w:val="center"/>
            <w:hideMark/>
          </w:tcPr>
          <w:p w14:paraId="37717A96"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ascii="Calibri" w:eastAsia="Times New Roman" w:hAnsi="Calibri" w:cs="Calibri"/>
                <w:color w:val="000000"/>
                <w:sz w:val="20"/>
                <w:szCs w:val="20"/>
              </w:rPr>
              <w:t> </w:t>
            </w:r>
          </w:p>
        </w:tc>
      </w:tr>
      <w:tr w:rsidR="00545EC8" w:rsidRPr="00022D9C" w14:paraId="751BA426" w14:textId="77777777" w:rsidTr="00D262EA">
        <w:trPr>
          <w:trHeight w:val="282"/>
        </w:trPr>
        <w:tc>
          <w:tcPr>
            <w:tcW w:w="2977" w:type="dxa"/>
            <w:tcBorders>
              <w:top w:val="single" w:sz="8" w:space="0" w:color="8EAADB"/>
              <w:left w:val="single" w:sz="4" w:space="0" w:color="9BC2E6"/>
              <w:bottom w:val="single" w:sz="8" w:space="0" w:color="8EAADB"/>
              <w:right w:val="nil"/>
            </w:tcBorders>
            <w:shd w:val="clear" w:color="DDEBF7" w:fill="DDEBF7"/>
            <w:noWrap/>
            <w:vAlign w:val="center"/>
            <w:hideMark/>
          </w:tcPr>
          <w:p w14:paraId="07DFFB98" w14:textId="77777777" w:rsidR="00545EC8" w:rsidRPr="00022D9C" w:rsidRDefault="00545EC8" w:rsidP="00D262EA">
            <w:pPr>
              <w:spacing w:after="0" w:line="240" w:lineRule="auto"/>
              <w:ind w:firstLine="22"/>
              <w:jc w:val="center"/>
              <w:rPr>
                <w:rFonts w:eastAsia="Times New Roman" w:cs="Calibri"/>
                <w:b/>
                <w:bCs/>
                <w:color w:val="000000"/>
                <w:sz w:val="20"/>
                <w:szCs w:val="20"/>
              </w:rPr>
            </w:pPr>
            <w:r w:rsidRPr="00022D9C">
              <w:rPr>
                <w:rFonts w:eastAsia="Times New Roman" w:cs="Calibri"/>
                <w:b/>
                <w:bCs/>
                <w:color w:val="000000"/>
                <w:sz w:val="20"/>
                <w:szCs w:val="20"/>
              </w:rPr>
              <w:t>Պրինցիպալ</w:t>
            </w:r>
          </w:p>
        </w:tc>
        <w:tc>
          <w:tcPr>
            <w:tcW w:w="3143" w:type="dxa"/>
            <w:tcBorders>
              <w:top w:val="single" w:sz="8" w:space="0" w:color="8EAADB"/>
              <w:left w:val="nil"/>
              <w:bottom w:val="single" w:sz="8" w:space="0" w:color="8EAADB"/>
              <w:right w:val="nil"/>
            </w:tcBorders>
            <w:shd w:val="clear" w:color="DDEBF7" w:fill="DDEBF7"/>
            <w:noWrap/>
            <w:vAlign w:val="center"/>
            <w:hideMark/>
          </w:tcPr>
          <w:p w14:paraId="36C3A0DB" w14:textId="77777777" w:rsidR="00545EC8" w:rsidRPr="00022D9C" w:rsidRDefault="00545EC8" w:rsidP="00D262EA">
            <w:pPr>
              <w:spacing w:after="0" w:line="240" w:lineRule="auto"/>
              <w:ind w:firstLine="6"/>
              <w:jc w:val="center"/>
              <w:rPr>
                <w:rFonts w:eastAsia="Times New Roman" w:cs="Calibri"/>
                <w:b/>
                <w:bCs/>
                <w:color w:val="000000"/>
                <w:sz w:val="20"/>
                <w:szCs w:val="20"/>
              </w:rPr>
            </w:pPr>
            <w:r w:rsidRPr="00022D9C">
              <w:rPr>
                <w:rFonts w:eastAsia="Times New Roman" w:cs="Calibri"/>
                <w:b/>
                <w:bCs/>
                <w:color w:val="000000"/>
                <w:sz w:val="20"/>
                <w:szCs w:val="20"/>
              </w:rPr>
              <w:t>Բենեֆիցիար</w:t>
            </w:r>
          </w:p>
        </w:tc>
        <w:tc>
          <w:tcPr>
            <w:tcW w:w="1915" w:type="dxa"/>
            <w:tcBorders>
              <w:top w:val="single" w:sz="8" w:space="0" w:color="8EAADB"/>
              <w:left w:val="nil"/>
              <w:bottom w:val="single" w:sz="8" w:space="0" w:color="8EAADB"/>
              <w:right w:val="nil"/>
            </w:tcBorders>
            <w:shd w:val="clear" w:color="DDEBF7" w:fill="DDEBF7"/>
            <w:noWrap/>
            <w:vAlign w:val="center"/>
            <w:hideMark/>
          </w:tcPr>
          <w:p w14:paraId="09FEB29A" w14:textId="77777777" w:rsidR="00545EC8" w:rsidRPr="00022D9C" w:rsidRDefault="00545EC8" w:rsidP="00D262EA">
            <w:pPr>
              <w:spacing w:after="0" w:line="240" w:lineRule="auto"/>
              <w:ind w:firstLine="0"/>
              <w:jc w:val="center"/>
              <w:rPr>
                <w:rFonts w:eastAsia="Times New Roman" w:cs="Calibri"/>
                <w:b/>
                <w:bCs/>
                <w:color w:val="000000"/>
                <w:sz w:val="20"/>
                <w:szCs w:val="20"/>
              </w:rPr>
            </w:pPr>
            <w:r w:rsidRPr="00022D9C">
              <w:rPr>
                <w:rFonts w:eastAsia="Times New Roman" w:cs="Calibri"/>
                <w:b/>
                <w:bCs/>
                <w:color w:val="000000"/>
                <w:sz w:val="20"/>
                <w:szCs w:val="20"/>
              </w:rPr>
              <w:t>Երաշխիքի չափ (ՀՀ դրամ)</w:t>
            </w:r>
          </w:p>
        </w:tc>
        <w:tc>
          <w:tcPr>
            <w:tcW w:w="2313" w:type="dxa"/>
            <w:tcBorders>
              <w:top w:val="single" w:sz="8" w:space="0" w:color="8EAADB"/>
              <w:left w:val="nil"/>
              <w:bottom w:val="single" w:sz="8" w:space="0" w:color="8EAADB"/>
              <w:right w:val="single" w:sz="4" w:space="0" w:color="9BC2E6"/>
            </w:tcBorders>
            <w:shd w:val="clear" w:color="DDEBF7" w:fill="DDEBF7"/>
            <w:noWrap/>
            <w:vAlign w:val="center"/>
            <w:hideMark/>
          </w:tcPr>
          <w:p w14:paraId="0B166489" w14:textId="77777777" w:rsidR="00545EC8" w:rsidRPr="00022D9C" w:rsidRDefault="00545EC8" w:rsidP="00D262EA">
            <w:pPr>
              <w:spacing w:after="0" w:line="240" w:lineRule="auto"/>
              <w:ind w:firstLine="0"/>
              <w:jc w:val="center"/>
              <w:rPr>
                <w:rFonts w:eastAsia="Times New Roman" w:cs="Calibri"/>
                <w:b/>
                <w:bCs/>
                <w:color w:val="000000"/>
                <w:sz w:val="20"/>
                <w:szCs w:val="20"/>
              </w:rPr>
            </w:pPr>
            <w:r w:rsidRPr="00022D9C">
              <w:rPr>
                <w:rFonts w:eastAsia="Times New Roman" w:cs="Calibri"/>
                <w:b/>
                <w:bCs/>
                <w:color w:val="000000"/>
                <w:sz w:val="20"/>
                <w:szCs w:val="20"/>
              </w:rPr>
              <w:t>Կշիռը ներքին երաշխիքների պորտֆելում</w:t>
            </w:r>
          </w:p>
        </w:tc>
      </w:tr>
      <w:tr w:rsidR="00545EC8" w:rsidRPr="00022D9C" w14:paraId="4BA3116E"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auto" w:fill="auto"/>
            <w:noWrap/>
            <w:vAlign w:val="center"/>
            <w:hideMark/>
          </w:tcPr>
          <w:p w14:paraId="4075317A"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1.«Վեդի Ալկո» ՓԲԸ</w:t>
            </w:r>
          </w:p>
        </w:tc>
        <w:tc>
          <w:tcPr>
            <w:tcW w:w="3143" w:type="dxa"/>
            <w:tcBorders>
              <w:top w:val="single" w:sz="4" w:space="0" w:color="9BC2E6"/>
              <w:left w:val="nil"/>
              <w:bottom w:val="single" w:sz="8" w:space="0" w:color="8EAADB"/>
              <w:right w:val="nil"/>
            </w:tcBorders>
            <w:shd w:val="clear" w:color="auto" w:fill="auto"/>
            <w:noWrap/>
            <w:vAlign w:val="center"/>
            <w:hideMark/>
          </w:tcPr>
          <w:p w14:paraId="6AF7EFE8"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«ԱՐՄՍՎԻՍԲԱՆԿ» ՓԲԸ</w:t>
            </w:r>
          </w:p>
        </w:tc>
        <w:tc>
          <w:tcPr>
            <w:tcW w:w="1915" w:type="dxa"/>
            <w:tcBorders>
              <w:top w:val="single" w:sz="4" w:space="0" w:color="9BC2E6"/>
              <w:left w:val="nil"/>
              <w:bottom w:val="single" w:sz="8" w:space="0" w:color="8EAADB"/>
              <w:right w:val="nil"/>
            </w:tcBorders>
            <w:shd w:val="clear" w:color="auto" w:fill="auto"/>
            <w:noWrap/>
            <w:vAlign w:val="center"/>
            <w:hideMark/>
          </w:tcPr>
          <w:p w14:paraId="44BB8846"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1,958,100,000</w:t>
            </w:r>
          </w:p>
        </w:tc>
        <w:tc>
          <w:tcPr>
            <w:tcW w:w="2313" w:type="dxa"/>
            <w:tcBorders>
              <w:top w:val="single" w:sz="4" w:space="0" w:color="9BC2E6"/>
              <w:left w:val="nil"/>
              <w:bottom w:val="single" w:sz="8" w:space="0" w:color="8EAADB"/>
              <w:right w:val="single" w:sz="4" w:space="0" w:color="9BC2E6"/>
            </w:tcBorders>
            <w:shd w:val="clear" w:color="auto" w:fill="auto"/>
            <w:noWrap/>
            <w:vAlign w:val="center"/>
            <w:hideMark/>
          </w:tcPr>
          <w:p w14:paraId="6967BBF8"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27.3%</w:t>
            </w:r>
          </w:p>
        </w:tc>
      </w:tr>
      <w:tr w:rsidR="00545EC8" w:rsidRPr="00022D9C" w14:paraId="75A4BF2F"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DDEBF7" w:fill="DDEBF7"/>
            <w:noWrap/>
            <w:vAlign w:val="center"/>
            <w:hideMark/>
          </w:tcPr>
          <w:p w14:paraId="49E077DC"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2. «Պռոշյանի կոնյակի գործարան» ՍՊԸ</w:t>
            </w:r>
          </w:p>
        </w:tc>
        <w:tc>
          <w:tcPr>
            <w:tcW w:w="3143" w:type="dxa"/>
            <w:tcBorders>
              <w:top w:val="single" w:sz="4" w:space="0" w:color="9BC2E6"/>
              <w:left w:val="nil"/>
              <w:bottom w:val="single" w:sz="8" w:space="0" w:color="8EAADB"/>
              <w:right w:val="nil"/>
            </w:tcBorders>
            <w:shd w:val="clear" w:color="DDEBF7" w:fill="DDEBF7"/>
            <w:noWrap/>
            <w:vAlign w:val="center"/>
            <w:hideMark/>
          </w:tcPr>
          <w:p w14:paraId="43631707"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«ԱՐՄՍՎԻՍԲԱՆԿ» ՓԲԸ, «ԻՆԵԿՈԲԱՆԿ» ՓԲԸ</w:t>
            </w:r>
          </w:p>
        </w:tc>
        <w:tc>
          <w:tcPr>
            <w:tcW w:w="1915" w:type="dxa"/>
            <w:tcBorders>
              <w:top w:val="single" w:sz="4" w:space="0" w:color="9BC2E6"/>
              <w:left w:val="nil"/>
              <w:bottom w:val="single" w:sz="8" w:space="0" w:color="8EAADB"/>
              <w:right w:val="nil"/>
            </w:tcBorders>
            <w:shd w:val="clear" w:color="DDEBF7" w:fill="DDEBF7"/>
            <w:noWrap/>
            <w:vAlign w:val="center"/>
            <w:hideMark/>
          </w:tcPr>
          <w:p w14:paraId="4B7734CB"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1,748,200,000</w:t>
            </w:r>
          </w:p>
        </w:tc>
        <w:tc>
          <w:tcPr>
            <w:tcW w:w="2313" w:type="dxa"/>
            <w:tcBorders>
              <w:top w:val="single" w:sz="4" w:space="0" w:color="9BC2E6"/>
              <w:left w:val="nil"/>
              <w:bottom w:val="single" w:sz="8" w:space="0" w:color="8EAADB"/>
              <w:right w:val="single" w:sz="4" w:space="0" w:color="9BC2E6"/>
            </w:tcBorders>
            <w:shd w:val="clear" w:color="DDEBF7" w:fill="DDEBF7"/>
            <w:noWrap/>
            <w:vAlign w:val="center"/>
            <w:hideMark/>
          </w:tcPr>
          <w:p w14:paraId="37313400"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24.4%</w:t>
            </w:r>
          </w:p>
        </w:tc>
      </w:tr>
      <w:tr w:rsidR="00545EC8" w:rsidRPr="00022D9C" w14:paraId="78A20D1A" w14:textId="77777777" w:rsidTr="00D262EA">
        <w:trPr>
          <w:trHeight w:val="497"/>
        </w:trPr>
        <w:tc>
          <w:tcPr>
            <w:tcW w:w="2977" w:type="dxa"/>
            <w:tcBorders>
              <w:top w:val="single" w:sz="4" w:space="0" w:color="9BC2E6"/>
              <w:left w:val="single" w:sz="4" w:space="0" w:color="9BC2E6"/>
              <w:bottom w:val="single" w:sz="8" w:space="0" w:color="8EAADB"/>
              <w:right w:val="nil"/>
            </w:tcBorders>
            <w:shd w:val="clear" w:color="auto" w:fill="auto"/>
            <w:noWrap/>
            <w:vAlign w:val="center"/>
            <w:hideMark/>
          </w:tcPr>
          <w:p w14:paraId="4C477073"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3. «Իջևանի գինու, կոնյակի գործարան» ՓԲԸ</w:t>
            </w:r>
          </w:p>
        </w:tc>
        <w:tc>
          <w:tcPr>
            <w:tcW w:w="3143" w:type="dxa"/>
            <w:tcBorders>
              <w:top w:val="single" w:sz="4" w:space="0" w:color="9BC2E6"/>
              <w:left w:val="nil"/>
              <w:bottom w:val="single" w:sz="8" w:space="0" w:color="8EAADB"/>
              <w:right w:val="nil"/>
            </w:tcBorders>
            <w:shd w:val="clear" w:color="auto" w:fill="auto"/>
            <w:vAlign w:val="center"/>
            <w:hideMark/>
          </w:tcPr>
          <w:p w14:paraId="6BB1C7B6"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«ԻՆԵԿՈԲԱՆԿ» ՓԲԸ, «Հայաստանի զարգացման և ներդրումների Կորպորացիա» ՈՒՎԿ ՓԲԸ</w:t>
            </w:r>
          </w:p>
        </w:tc>
        <w:tc>
          <w:tcPr>
            <w:tcW w:w="1915" w:type="dxa"/>
            <w:tcBorders>
              <w:top w:val="single" w:sz="4" w:space="0" w:color="9BC2E6"/>
              <w:left w:val="nil"/>
              <w:bottom w:val="single" w:sz="8" w:space="0" w:color="8EAADB"/>
              <w:right w:val="nil"/>
            </w:tcBorders>
            <w:shd w:val="clear" w:color="auto" w:fill="auto"/>
            <w:noWrap/>
            <w:vAlign w:val="center"/>
            <w:hideMark/>
          </w:tcPr>
          <w:p w14:paraId="1E478C74"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1,273,400,000</w:t>
            </w:r>
          </w:p>
        </w:tc>
        <w:tc>
          <w:tcPr>
            <w:tcW w:w="2313" w:type="dxa"/>
            <w:tcBorders>
              <w:top w:val="single" w:sz="4" w:space="0" w:color="9BC2E6"/>
              <w:left w:val="nil"/>
              <w:bottom w:val="single" w:sz="8" w:space="0" w:color="8EAADB"/>
              <w:right w:val="single" w:sz="4" w:space="0" w:color="9BC2E6"/>
            </w:tcBorders>
            <w:shd w:val="clear" w:color="auto" w:fill="auto"/>
            <w:noWrap/>
            <w:vAlign w:val="center"/>
            <w:hideMark/>
          </w:tcPr>
          <w:p w14:paraId="39E3F105"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17.7%</w:t>
            </w:r>
          </w:p>
        </w:tc>
      </w:tr>
      <w:tr w:rsidR="00545EC8" w:rsidRPr="00022D9C" w14:paraId="0F6B9968"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DDEBF7" w:fill="DDEBF7"/>
            <w:noWrap/>
            <w:vAlign w:val="center"/>
            <w:hideMark/>
          </w:tcPr>
          <w:p w14:paraId="7BDD98CD"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4. «ՄԱՊ» ՓԲԸ</w:t>
            </w:r>
          </w:p>
        </w:tc>
        <w:tc>
          <w:tcPr>
            <w:tcW w:w="3143" w:type="dxa"/>
            <w:tcBorders>
              <w:top w:val="single" w:sz="4" w:space="0" w:color="9BC2E6"/>
              <w:left w:val="nil"/>
              <w:bottom w:val="single" w:sz="8" w:space="0" w:color="8EAADB"/>
              <w:right w:val="nil"/>
            </w:tcBorders>
            <w:shd w:val="clear" w:color="DDEBF7" w:fill="DDEBF7"/>
            <w:noWrap/>
            <w:vAlign w:val="center"/>
            <w:hideMark/>
          </w:tcPr>
          <w:p w14:paraId="7F3BE223"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«ԷՎՈԿԱԲԱՆԿ» ՓԲԸ</w:t>
            </w:r>
          </w:p>
        </w:tc>
        <w:tc>
          <w:tcPr>
            <w:tcW w:w="1915" w:type="dxa"/>
            <w:tcBorders>
              <w:top w:val="single" w:sz="4" w:space="0" w:color="9BC2E6"/>
              <w:left w:val="nil"/>
              <w:bottom w:val="single" w:sz="8" w:space="0" w:color="8EAADB"/>
              <w:right w:val="nil"/>
            </w:tcBorders>
            <w:shd w:val="clear" w:color="DDEBF7" w:fill="DDEBF7"/>
            <w:noWrap/>
            <w:vAlign w:val="center"/>
            <w:hideMark/>
          </w:tcPr>
          <w:p w14:paraId="375F47AF"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900,000,000</w:t>
            </w:r>
          </w:p>
        </w:tc>
        <w:tc>
          <w:tcPr>
            <w:tcW w:w="2313" w:type="dxa"/>
            <w:tcBorders>
              <w:top w:val="single" w:sz="4" w:space="0" w:color="9BC2E6"/>
              <w:left w:val="nil"/>
              <w:bottom w:val="single" w:sz="8" w:space="0" w:color="8EAADB"/>
              <w:right w:val="single" w:sz="4" w:space="0" w:color="9BC2E6"/>
            </w:tcBorders>
            <w:shd w:val="clear" w:color="DDEBF7" w:fill="DDEBF7"/>
            <w:noWrap/>
            <w:vAlign w:val="center"/>
            <w:hideMark/>
          </w:tcPr>
          <w:p w14:paraId="5D4DDEDD"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12.5%</w:t>
            </w:r>
          </w:p>
        </w:tc>
      </w:tr>
      <w:tr w:rsidR="00545EC8" w:rsidRPr="00022D9C" w14:paraId="74B26185"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auto" w:fill="auto"/>
            <w:noWrap/>
            <w:vAlign w:val="center"/>
            <w:hideMark/>
          </w:tcPr>
          <w:p w14:paraId="2DE8EB72"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5. «Արտաշատ-Վինկոն» ՓԲԸ</w:t>
            </w:r>
          </w:p>
        </w:tc>
        <w:tc>
          <w:tcPr>
            <w:tcW w:w="3143" w:type="dxa"/>
            <w:tcBorders>
              <w:top w:val="single" w:sz="4" w:space="0" w:color="9BC2E6"/>
              <w:left w:val="nil"/>
              <w:bottom w:val="single" w:sz="8" w:space="0" w:color="8EAADB"/>
              <w:right w:val="nil"/>
            </w:tcBorders>
            <w:shd w:val="clear" w:color="auto" w:fill="auto"/>
            <w:noWrap/>
            <w:vAlign w:val="center"/>
            <w:hideMark/>
          </w:tcPr>
          <w:p w14:paraId="5B9D44E3"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«ԱՐՄՍՎԻՍԲԱՆԿ» ՓԲԸ</w:t>
            </w:r>
          </w:p>
        </w:tc>
        <w:tc>
          <w:tcPr>
            <w:tcW w:w="1915" w:type="dxa"/>
            <w:tcBorders>
              <w:top w:val="single" w:sz="4" w:space="0" w:color="9BC2E6"/>
              <w:left w:val="nil"/>
              <w:bottom w:val="single" w:sz="8" w:space="0" w:color="8EAADB"/>
              <w:right w:val="nil"/>
            </w:tcBorders>
            <w:shd w:val="clear" w:color="auto" w:fill="auto"/>
            <w:noWrap/>
            <w:vAlign w:val="center"/>
            <w:hideMark/>
          </w:tcPr>
          <w:p w14:paraId="3B689574"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693,000,000</w:t>
            </w:r>
          </w:p>
        </w:tc>
        <w:tc>
          <w:tcPr>
            <w:tcW w:w="2313" w:type="dxa"/>
            <w:tcBorders>
              <w:top w:val="single" w:sz="4" w:space="0" w:color="9BC2E6"/>
              <w:left w:val="nil"/>
              <w:bottom w:val="single" w:sz="8" w:space="0" w:color="8EAADB"/>
              <w:right w:val="single" w:sz="4" w:space="0" w:color="9BC2E6"/>
            </w:tcBorders>
            <w:shd w:val="clear" w:color="auto" w:fill="auto"/>
            <w:noWrap/>
            <w:vAlign w:val="center"/>
            <w:hideMark/>
          </w:tcPr>
          <w:p w14:paraId="363A4694"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9.6%</w:t>
            </w:r>
          </w:p>
        </w:tc>
      </w:tr>
      <w:tr w:rsidR="00545EC8" w:rsidRPr="00022D9C" w14:paraId="691BA8DE"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DDEBF7" w:fill="DDEBF7"/>
            <w:noWrap/>
            <w:vAlign w:val="center"/>
            <w:hideMark/>
          </w:tcPr>
          <w:p w14:paraId="7A542FA3"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6.«Արարատի գինու գործարան» ՍՊԸ</w:t>
            </w:r>
          </w:p>
        </w:tc>
        <w:tc>
          <w:tcPr>
            <w:tcW w:w="3143" w:type="dxa"/>
            <w:tcBorders>
              <w:top w:val="single" w:sz="4" w:space="0" w:color="9BC2E6"/>
              <w:left w:val="nil"/>
              <w:bottom w:val="single" w:sz="8" w:space="0" w:color="8EAADB"/>
              <w:right w:val="nil"/>
            </w:tcBorders>
            <w:shd w:val="clear" w:color="DDEBF7" w:fill="DDEBF7"/>
            <w:noWrap/>
            <w:vAlign w:val="center"/>
            <w:hideMark/>
          </w:tcPr>
          <w:p w14:paraId="0AB47807"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«ԱՐԴՇԻՆԲԱՆԿ» ՓԲԸ</w:t>
            </w:r>
          </w:p>
        </w:tc>
        <w:tc>
          <w:tcPr>
            <w:tcW w:w="1915" w:type="dxa"/>
            <w:tcBorders>
              <w:top w:val="single" w:sz="4" w:space="0" w:color="9BC2E6"/>
              <w:left w:val="nil"/>
              <w:bottom w:val="single" w:sz="8" w:space="0" w:color="8EAADB"/>
              <w:right w:val="nil"/>
            </w:tcBorders>
            <w:shd w:val="clear" w:color="DDEBF7" w:fill="DDEBF7"/>
            <w:noWrap/>
            <w:vAlign w:val="center"/>
            <w:hideMark/>
          </w:tcPr>
          <w:p w14:paraId="486D691A"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250,000,000</w:t>
            </w:r>
          </w:p>
        </w:tc>
        <w:tc>
          <w:tcPr>
            <w:tcW w:w="2313" w:type="dxa"/>
            <w:tcBorders>
              <w:top w:val="single" w:sz="4" w:space="0" w:color="9BC2E6"/>
              <w:left w:val="nil"/>
              <w:bottom w:val="single" w:sz="8" w:space="0" w:color="8EAADB"/>
              <w:right w:val="single" w:sz="4" w:space="0" w:color="9BC2E6"/>
            </w:tcBorders>
            <w:shd w:val="clear" w:color="DDEBF7" w:fill="DDEBF7"/>
            <w:noWrap/>
            <w:vAlign w:val="center"/>
            <w:hideMark/>
          </w:tcPr>
          <w:p w14:paraId="2865EC01"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3.5%</w:t>
            </w:r>
          </w:p>
        </w:tc>
      </w:tr>
      <w:tr w:rsidR="00545EC8" w:rsidRPr="00022D9C" w14:paraId="3287F349"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auto" w:fill="auto"/>
            <w:noWrap/>
            <w:vAlign w:val="center"/>
            <w:hideMark/>
          </w:tcPr>
          <w:p w14:paraId="652A49ED"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7. «Գետափի գինու, կոնյակի գործարան» ՍՊԸ</w:t>
            </w:r>
          </w:p>
        </w:tc>
        <w:tc>
          <w:tcPr>
            <w:tcW w:w="3143" w:type="dxa"/>
            <w:tcBorders>
              <w:top w:val="single" w:sz="4" w:space="0" w:color="9BC2E6"/>
              <w:left w:val="nil"/>
              <w:bottom w:val="single" w:sz="8" w:space="0" w:color="8EAADB"/>
              <w:right w:val="nil"/>
            </w:tcBorders>
            <w:shd w:val="clear" w:color="auto" w:fill="auto"/>
            <w:noWrap/>
            <w:vAlign w:val="center"/>
            <w:hideMark/>
          </w:tcPr>
          <w:p w14:paraId="2262FDEA"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«ԱՐՄՍՎԻՍԲԱՆԿ» ՓԲԸ</w:t>
            </w:r>
          </w:p>
        </w:tc>
        <w:tc>
          <w:tcPr>
            <w:tcW w:w="1915" w:type="dxa"/>
            <w:tcBorders>
              <w:top w:val="single" w:sz="4" w:space="0" w:color="9BC2E6"/>
              <w:left w:val="nil"/>
              <w:bottom w:val="single" w:sz="8" w:space="0" w:color="8EAADB"/>
              <w:right w:val="nil"/>
            </w:tcBorders>
            <w:shd w:val="clear" w:color="auto" w:fill="auto"/>
            <w:noWrap/>
            <w:vAlign w:val="center"/>
            <w:hideMark/>
          </w:tcPr>
          <w:p w14:paraId="4AB3B44D"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218,100,000</w:t>
            </w:r>
          </w:p>
        </w:tc>
        <w:tc>
          <w:tcPr>
            <w:tcW w:w="2313" w:type="dxa"/>
            <w:tcBorders>
              <w:top w:val="single" w:sz="4" w:space="0" w:color="9BC2E6"/>
              <w:left w:val="nil"/>
              <w:bottom w:val="single" w:sz="8" w:space="0" w:color="8EAADB"/>
              <w:right w:val="single" w:sz="4" w:space="0" w:color="9BC2E6"/>
            </w:tcBorders>
            <w:shd w:val="clear" w:color="auto" w:fill="auto"/>
            <w:noWrap/>
            <w:vAlign w:val="center"/>
            <w:hideMark/>
          </w:tcPr>
          <w:p w14:paraId="6B18D3F3"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3.1%</w:t>
            </w:r>
          </w:p>
        </w:tc>
      </w:tr>
      <w:tr w:rsidR="00545EC8" w:rsidRPr="00022D9C" w14:paraId="35C92495" w14:textId="77777777" w:rsidTr="00D262EA">
        <w:trPr>
          <w:trHeight w:val="282"/>
        </w:trPr>
        <w:tc>
          <w:tcPr>
            <w:tcW w:w="2977" w:type="dxa"/>
            <w:tcBorders>
              <w:top w:val="single" w:sz="4" w:space="0" w:color="9BC2E6"/>
              <w:left w:val="single" w:sz="4" w:space="0" w:color="9BC2E6"/>
              <w:bottom w:val="single" w:sz="8" w:space="0" w:color="8EAADB"/>
              <w:right w:val="nil"/>
            </w:tcBorders>
            <w:shd w:val="clear" w:color="DDEBF7" w:fill="DDEBF7"/>
            <w:noWrap/>
            <w:vAlign w:val="center"/>
            <w:hideMark/>
          </w:tcPr>
          <w:p w14:paraId="248D017A" w14:textId="77777777" w:rsidR="00545EC8" w:rsidRPr="00022D9C" w:rsidRDefault="00545EC8" w:rsidP="00D262EA">
            <w:pPr>
              <w:spacing w:after="0" w:line="240" w:lineRule="auto"/>
              <w:ind w:firstLine="22"/>
              <w:jc w:val="left"/>
              <w:rPr>
                <w:rFonts w:eastAsia="Times New Roman" w:cs="Calibri"/>
                <w:color w:val="000000"/>
                <w:sz w:val="20"/>
                <w:szCs w:val="20"/>
              </w:rPr>
            </w:pPr>
            <w:r w:rsidRPr="00022D9C">
              <w:rPr>
                <w:rFonts w:eastAsia="Times New Roman" w:cs="Calibri"/>
                <w:color w:val="000000"/>
                <w:sz w:val="20"/>
                <w:szCs w:val="20"/>
              </w:rPr>
              <w:t>8. «Երասխի գինու գործարան» ՍՊԸ</w:t>
            </w:r>
          </w:p>
        </w:tc>
        <w:tc>
          <w:tcPr>
            <w:tcW w:w="3143" w:type="dxa"/>
            <w:tcBorders>
              <w:top w:val="single" w:sz="4" w:space="0" w:color="9BC2E6"/>
              <w:left w:val="nil"/>
              <w:bottom w:val="single" w:sz="8" w:space="0" w:color="8EAADB"/>
              <w:right w:val="nil"/>
            </w:tcBorders>
            <w:shd w:val="clear" w:color="DDEBF7" w:fill="DDEBF7"/>
            <w:noWrap/>
            <w:vAlign w:val="center"/>
            <w:hideMark/>
          </w:tcPr>
          <w:p w14:paraId="507E6383" w14:textId="77777777" w:rsidR="00545EC8" w:rsidRPr="00022D9C" w:rsidRDefault="00545EC8" w:rsidP="00D262EA">
            <w:pPr>
              <w:spacing w:after="0" w:line="240" w:lineRule="auto"/>
              <w:ind w:firstLine="6"/>
              <w:jc w:val="left"/>
              <w:rPr>
                <w:rFonts w:eastAsia="Times New Roman" w:cs="Calibri"/>
                <w:color w:val="000000"/>
                <w:sz w:val="20"/>
                <w:szCs w:val="20"/>
              </w:rPr>
            </w:pPr>
            <w:r w:rsidRPr="00022D9C">
              <w:rPr>
                <w:rFonts w:eastAsia="Times New Roman" w:cs="Calibri"/>
                <w:color w:val="000000"/>
                <w:sz w:val="20"/>
                <w:szCs w:val="20"/>
              </w:rPr>
              <w:t>«ԱՐՄՍՎԻՍԲԱՆԿ» ՓԲԸ</w:t>
            </w:r>
          </w:p>
        </w:tc>
        <w:tc>
          <w:tcPr>
            <w:tcW w:w="1915" w:type="dxa"/>
            <w:tcBorders>
              <w:top w:val="single" w:sz="4" w:space="0" w:color="9BC2E6"/>
              <w:left w:val="nil"/>
              <w:bottom w:val="single" w:sz="8" w:space="0" w:color="8EAADB"/>
              <w:right w:val="nil"/>
            </w:tcBorders>
            <w:shd w:val="clear" w:color="DDEBF7" w:fill="DDEBF7"/>
            <w:noWrap/>
            <w:vAlign w:val="center"/>
            <w:hideMark/>
          </w:tcPr>
          <w:p w14:paraId="1BBC694A"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139,400,000</w:t>
            </w:r>
          </w:p>
        </w:tc>
        <w:tc>
          <w:tcPr>
            <w:tcW w:w="2313" w:type="dxa"/>
            <w:tcBorders>
              <w:top w:val="single" w:sz="4" w:space="0" w:color="9BC2E6"/>
              <w:left w:val="nil"/>
              <w:bottom w:val="single" w:sz="8" w:space="0" w:color="8EAADB"/>
              <w:right w:val="single" w:sz="4" w:space="0" w:color="9BC2E6"/>
            </w:tcBorders>
            <w:shd w:val="clear" w:color="DDEBF7" w:fill="DDEBF7"/>
            <w:noWrap/>
            <w:vAlign w:val="center"/>
            <w:hideMark/>
          </w:tcPr>
          <w:p w14:paraId="2620076A" w14:textId="77777777" w:rsidR="00545EC8" w:rsidRPr="00022D9C" w:rsidRDefault="00545EC8" w:rsidP="00D262EA">
            <w:pPr>
              <w:spacing w:after="0" w:line="240" w:lineRule="auto"/>
              <w:ind w:firstLine="0"/>
              <w:jc w:val="left"/>
              <w:rPr>
                <w:rFonts w:eastAsia="Times New Roman" w:cs="Calibri"/>
                <w:color w:val="000000"/>
                <w:sz w:val="20"/>
                <w:szCs w:val="20"/>
              </w:rPr>
            </w:pPr>
            <w:r w:rsidRPr="00022D9C">
              <w:rPr>
                <w:rFonts w:eastAsia="Times New Roman" w:cs="Calibri"/>
                <w:color w:val="000000"/>
                <w:sz w:val="20"/>
                <w:szCs w:val="20"/>
              </w:rPr>
              <w:t>1.9%</w:t>
            </w:r>
          </w:p>
        </w:tc>
      </w:tr>
    </w:tbl>
    <w:p w14:paraId="008D2F04" w14:textId="77777777" w:rsidR="00545EC8" w:rsidRPr="00C84801" w:rsidRDefault="00545EC8" w:rsidP="00545EC8">
      <w:pPr>
        <w:spacing w:line="276" w:lineRule="auto"/>
        <w:ind w:firstLine="270"/>
        <w:rPr>
          <w:b/>
          <w:lang w:val="hy-AM"/>
        </w:rPr>
      </w:pPr>
    </w:p>
    <w:p w14:paraId="4351597C" w14:textId="77777777" w:rsidR="00545EC8" w:rsidRPr="00F17C66" w:rsidRDefault="00545EC8" w:rsidP="0086137E">
      <w:pPr>
        <w:spacing w:after="0" w:line="276" w:lineRule="auto"/>
        <w:ind w:firstLine="0"/>
        <w:rPr>
          <w:lang w:val="hy-AM"/>
        </w:rPr>
      </w:pPr>
      <w:r w:rsidRPr="00F17C66">
        <w:rPr>
          <w:lang w:val="hy-AM"/>
        </w:rPr>
        <w:t>Համաձայն «Բյուջետային համակարգի մասին» ՀՀ օրենքի 11-րդ հոդվածի 4-րդ կետի՝ տվյալ բյուջետային տարում երաշխավորվող պարտավորությունների ընդհանուր գումարը (բացառությամբ Հայաստանի Հանրապետության անունից կնքված միջազգային պայմանագրերով նախատեսված երաշխիքների) չի կարող գերազանցել նախորդ բյուջետային տարվա պետական բյուջեի հարկային եկամուտների 10 տոկոսը:</w:t>
      </w:r>
    </w:p>
    <w:p w14:paraId="22E2CA42" w14:textId="77777777" w:rsidR="00545EC8" w:rsidRDefault="00545EC8" w:rsidP="0086137E">
      <w:pPr>
        <w:spacing w:after="0" w:line="276" w:lineRule="auto"/>
        <w:ind w:firstLine="0"/>
        <w:rPr>
          <w:lang w:val="hy-AM"/>
        </w:rPr>
      </w:pPr>
      <w:r w:rsidRPr="00F17C66">
        <w:rPr>
          <w:lang w:val="hy-AM"/>
        </w:rPr>
        <w:t xml:space="preserve">Հաշվի առնելով օրենսդրորեն սահմանված վերոնշյալ ֆիսկալ կանոնը ստորև ներկայացնենք տվյալ բյուջետային տարում երաշխավորվող պարտավորությունների կշիռը նախորդ բյուջետային տարվա պետական բյուջեի հարկային եկամուտներում՝ համեմատելով սահմանային շեմի հետ:  </w:t>
      </w:r>
    </w:p>
    <w:p w14:paraId="71760D9B" w14:textId="77777777" w:rsidR="00545EC8" w:rsidRDefault="00545EC8" w:rsidP="00545EC8">
      <w:pPr>
        <w:spacing w:line="276" w:lineRule="auto"/>
        <w:ind w:firstLine="0"/>
        <w:rPr>
          <w:lang w:val="hy-AM"/>
        </w:rPr>
      </w:pPr>
    </w:p>
    <w:p w14:paraId="58F4E606" w14:textId="77777777" w:rsidR="00545EC8" w:rsidRPr="00013BFB" w:rsidRDefault="00545EC8" w:rsidP="00545EC8">
      <w:pPr>
        <w:spacing w:line="276" w:lineRule="auto"/>
        <w:ind w:firstLine="0"/>
        <w:rPr>
          <w:i/>
          <w:lang w:val="hy-AM"/>
        </w:rPr>
      </w:pPr>
      <w:r w:rsidRPr="00013BFB">
        <w:rPr>
          <w:b/>
          <w:i/>
          <w:lang w:val="hy-AM"/>
        </w:rPr>
        <w:t xml:space="preserve">Գծապատկեր 17. </w:t>
      </w:r>
      <w:r w:rsidRPr="00013BFB">
        <w:rPr>
          <w:i/>
          <w:lang w:val="hy-AM"/>
        </w:rPr>
        <w:t>Տվյալ բյուջետային տարում երաշխավորվող պարտավորությունների կշիռը նախորդ բյուջետային տարվա պետական բյուջեի հարկային եկամուտներում՝ 2016-2023թթ.</w:t>
      </w:r>
    </w:p>
    <w:p w14:paraId="4629519D" w14:textId="77777777" w:rsidR="00545EC8" w:rsidRPr="004469E0" w:rsidRDefault="00545EC8" w:rsidP="00545EC8">
      <w:pPr>
        <w:spacing w:line="240" w:lineRule="auto"/>
        <w:ind w:right="270" w:firstLine="360"/>
        <w:jc w:val="center"/>
        <w:rPr>
          <w:sz w:val="24"/>
          <w:szCs w:val="24"/>
          <w:lang w:val="hy-AM"/>
        </w:rPr>
      </w:pPr>
      <w:r>
        <w:rPr>
          <w:noProof/>
        </w:rPr>
        <w:drawing>
          <wp:inline distT="0" distB="0" distL="0" distR="0" wp14:anchorId="34B18F80" wp14:editId="1ADAF6B2">
            <wp:extent cx="5296395" cy="3040083"/>
            <wp:effectExtent l="0" t="0" r="0" b="8255"/>
            <wp:docPr id="1545876442" name="Chart 15458764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A2CE148" w14:textId="77777777" w:rsidR="00545EC8" w:rsidRPr="00916288" w:rsidRDefault="00545EC8" w:rsidP="0086137E">
      <w:pPr>
        <w:spacing w:after="0" w:line="276" w:lineRule="auto"/>
        <w:ind w:firstLine="0"/>
        <w:rPr>
          <w:lang w:val="hy-AM"/>
        </w:rPr>
      </w:pPr>
      <w:r w:rsidRPr="00916288">
        <w:rPr>
          <w:lang w:val="hy-AM"/>
        </w:rPr>
        <w:t>Ինչպես նկատելի է գծապատկերից դիտարկվող ժամանակահատվածում ցուցանիշը չի հատել սահմանային շեմը՝ վերջին տարիներին դրսևորելով նվազման միտում, որը պայմանավորված է ինչպես հարկային եկամուտների աճով, այնպես էլ երաշխավորվող պարտավորությունների նվազմամբ:</w:t>
      </w:r>
    </w:p>
    <w:p w14:paraId="66CB5A8D" w14:textId="77777777" w:rsidR="00545EC8" w:rsidRPr="00916288" w:rsidRDefault="00545EC8" w:rsidP="0086137E">
      <w:pPr>
        <w:spacing w:after="0" w:line="276" w:lineRule="auto"/>
        <w:ind w:firstLine="0"/>
        <w:rPr>
          <w:lang w:val="hy-AM"/>
        </w:rPr>
      </w:pPr>
      <w:r w:rsidRPr="00916288">
        <w:rPr>
          <w:lang w:val="hy-AM"/>
        </w:rPr>
        <w:t>«Հայաստանի Հանրապետության պետական բյուջեից վարկերի տրամադրման դեպքում իրականացվող վերլուծությունների արդյունքում տրամադրվող եզրակացության բովանդակության և կառուցվածքի  վերաբերյալ» ՀՀ ֆինանսների նախարարի հրամանի համաձայն՝ ՀՀ պետական բյուջեից հատկացվող բյուջետային վարկերից բխող ֆիսկալ ռիսկերի բացահայտման, գնահատման և զսպանն ուղղված առաջարկների ներկայացման</w:t>
      </w:r>
      <w:r w:rsidRPr="00013BFB">
        <w:rPr>
          <w:lang w:val="hy-AM"/>
        </w:rPr>
        <w:t xml:space="preserve"> </w:t>
      </w:r>
      <w:r w:rsidRPr="00916288">
        <w:rPr>
          <w:lang w:val="hy-AM"/>
        </w:rPr>
        <w:t>նպատակով Ֆիսկալ ռիսկերի կառավարման վարչության կողմից իրականացվում է հայտատուի՝ բյուջետային վարկի տրամադրման փուլում նպատակայնության և հիմնավորվածության համապատասխանության ուսումնասիրություն (վարկի տրամադրման նպատակը և հիմնավորումը պետք է բխեն հանրային քաղաքականության նպատակներից), ինչպես նաև ֆինանսական վիճակի և վարկունակության գնահատման համապարփակ վերլուծություններ։ Ուսումնասիրությունների և իրականացված վերլուծությունների արդյունքների հիման վրա ներկայացված բյուջետային հայտի վերաբերյալ տրամադրվում է եզրակացություն՝ նշելով պոտենցիալ ռիսկերը և դրանց զսպման մեխանիզմների վերաբերյալ առաջարկները:</w:t>
      </w:r>
    </w:p>
    <w:p w14:paraId="225DB36F" w14:textId="77777777" w:rsidR="00545EC8" w:rsidRPr="00916288" w:rsidRDefault="00545EC8" w:rsidP="0086137E">
      <w:pPr>
        <w:spacing w:after="0" w:line="276" w:lineRule="auto"/>
        <w:ind w:firstLine="0"/>
        <w:rPr>
          <w:lang w:val="hy-AM"/>
        </w:rPr>
      </w:pPr>
      <w:r w:rsidRPr="00916288">
        <w:rPr>
          <w:lang w:val="hy-AM"/>
        </w:rPr>
        <w:t>Պետական երաշխիքներից բխող ֆիսկալ ռիսկերի զսպման առումով օրենսդրորեն սահմանված են հետևյալ ֆիսկալ կանոնները</w:t>
      </w:r>
      <w:r w:rsidRPr="00916288">
        <w:rPr>
          <w:rFonts w:ascii="Cambria Math" w:hAnsi="Cambria Math" w:cs="Cambria Math"/>
          <w:lang w:val="hy-AM"/>
        </w:rPr>
        <w:t>․</w:t>
      </w:r>
    </w:p>
    <w:p w14:paraId="7FB9657D" w14:textId="77777777" w:rsidR="00545EC8" w:rsidRPr="00916288" w:rsidRDefault="00545EC8" w:rsidP="0086137E">
      <w:pPr>
        <w:pStyle w:val="ListParagraph"/>
        <w:numPr>
          <w:ilvl w:val="0"/>
          <w:numId w:val="38"/>
        </w:numPr>
        <w:spacing w:before="0" w:after="0" w:line="276" w:lineRule="auto"/>
        <w:ind w:left="0" w:firstLine="0"/>
        <w:rPr>
          <w:lang w:val="hy-AM"/>
        </w:rPr>
      </w:pPr>
      <w:r w:rsidRPr="00916288">
        <w:rPr>
          <w:lang w:val="hy-AM"/>
        </w:rPr>
        <w:t xml:space="preserve">«Պետական պարտքի մասին» ՀՀ օրենքի 23-րդ հոդվածի 4-րդ կետի համաձայն` պետական երաշխիքի գումարը երաշխիքի ստացման համար դիմելու պահին չպետք է գերազանցի երաշխիք ստացողի ակտիվների </w:t>
      </w:r>
      <w:r w:rsidRPr="00916288">
        <w:rPr>
          <w:b/>
          <w:i/>
          <w:lang w:val="hy-AM"/>
        </w:rPr>
        <w:t>20 տոկոսը</w:t>
      </w:r>
      <w:r w:rsidRPr="00916288">
        <w:rPr>
          <w:b/>
          <w:lang w:val="hy-AM"/>
        </w:rPr>
        <w:t>:</w:t>
      </w:r>
    </w:p>
    <w:p w14:paraId="06776726" w14:textId="77777777" w:rsidR="00545EC8" w:rsidRPr="00916288" w:rsidRDefault="00545EC8" w:rsidP="0086137E">
      <w:pPr>
        <w:pStyle w:val="ListParagraph"/>
        <w:numPr>
          <w:ilvl w:val="0"/>
          <w:numId w:val="38"/>
        </w:numPr>
        <w:spacing w:before="0" w:after="0" w:line="276" w:lineRule="auto"/>
        <w:ind w:left="0" w:firstLine="0"/>
        <w:rPr>
          <w:b/>
          <w:i/>
          <w:lang w:val="hy-AM"/>
        </w:rPr>
      </w:pPr>
      <w:r w:rsidRPr="00916288">
        <w:rPr>
          <w:lang w:val="hy-AM"/>
        </w:rPr>
        <w:t xml:space="preserve">«Պետական պարտքի մասին» ՀՀ օրենքի 23-րդ հոդվածի 9-րդ կետի համաձայն` որոշակի պահի դրությամբ տրամադրված և չմարված պետական երաշխիքների հանրագումարը չպետք է գերազանցի նախորդ տարվա համախառն ներքին արդյունքի </w:t>
      </w:r>
      <w:r w:rsidRPr="00916288">
        <w:rPr>
          <w:b/>
          <w:i/>
          <w:lang w:val="hy-AM"/>
        </w:rPr>
        <w:t>20 տոկոսը:</w:t>
      </w:r>
    </w:p>
    <w:p w14:paraId="2DBCBE4D" w14:textId="77777777" w:rsidR="00545EC8" w:rsidRPr="00916288" w:rsidRDefault="00545EC8" w:rsidP="0086137E">
      <w:pPr>
        <w:pStyle w:val="ListParagraph"/>
        <w:numPr>
          <w:ilvl w:val="0"/>
          <w:numId w:val="38"/>
        </w:numPr>
        <w:spacing w:before="0" w:after="0" w:line="276" w:lineRule="auto"/>
        <w:ind w:left="0" w:firstLine="0"/>
        <w:rPr>
          <w:lang w:val="hy-AM"/>
        </w:rPr>
      </w:pPr>
      <w:r w:rsidRPr="00916288">
        <w:rPr>
          <w:lang w:val="hy-AM"/>
        </w:rPr>
        <w:t>«Բյուջետային համակարգի մասին» ՀՀ օրենքի 11-րդ հոդվածի 4-րդ կետի համաձայն՝ տվյալ բյուջետային տարում երաշխավորվող պարտավորությունների ընդհանուր գումարը (բացառությամբ Հայաստանի Հանրապետության անունից կնքված միջազգային պայմանագրերով նախատեսված երաշխիքների) չի կարող գերազանցել նախորդ բյուջետային տարվա պետական բյուջեի հարկային եկամուտների 10 տոկոսը: Համաձայն նույն հոդվածի 5-րդ կետի՝ երաշխիքների վճարմամբ Հայաստանի Հանրապետության մոտ ծագում է հետադարձ պահանջի իրավունք:Միաժամանակ վերոնշյալ օրենքի իմաստով բյուջետային երաշխիքի վճարմամբ ծագող հետադարձ պահանջները համարվում են բյուջետային վարկեր:</w:t>
      </w:r>
    </w:p>
    <w:p w14:paraId="3CDD4ADE" w14:textId="77777777" w:rsidR="00545EC8" w:rsidRPr="00916288" w:rsidRDefault="00545EC8" w:rsidP="0086137E">
      <w:pPr>
        <w:pStyle w:val="ListParagraph"/>
        <w:numPr>
          <w:ilvl w:val="0"/>
          <w:numId w:val="38"/>
        </w:numPr>
        <w:spacing w:before="0" w:after="0" w:line="276" w:lineRule="auto"/>
        <w:ind w:left="0" w:firstLine="0"/>
        <w:rPr>
          <w:lang w:val="hy-AM"/>
        </w:rPr>
      </w:pPr>
      <w:r w:rsidRPr="00916288">
        <w:rPr>
          <w:lang w:val="hy-AM"/>
        </w:rPr>
        <w:t xml:space="preserve">«Պետական պարտքի մասին» ՀՀ օրենքի 23-րդ հոդվածի 5-րդ կետի համաձայն ՀՀ ռեզիդենտ իրավաբանական անձինք, որոնց համար տրամադրվել են բյուջետային երաշխիքներ, երաշխիքային ծրագրի ավարտից հետո պետական բյուջե պետք է վճարեն միջնորդավճար՝ </w:t>
      </w:r>
      <w:r w:rsidRPr="00916288">
        <w:rPr>
          <w:i/>
          <w:lang w:val="hy-AM"/>
        </w:rPr>
        <w:t>երաշխիքային գումարի 1 տոկոսի չափով</w:t>
      </w:r>
      <w:r w:rsidRPr="00916288">
        <w:rPr>
          <w:lang w:val="hy-AM"/>
        </w:rPr>
        <w:t>: Լիազոր մարմինն իրավասու է մինչև վարկի մարելը բյուջետային երաշխիքի տրամադրման պայմանագրով նախատեսված դեպքերում և կարգով ստուգելու ստացողի ֆինանսական վիճակը:</w:t>
      </w:r>
    </w:p>
    <w:p w14:paraId="108DF7A6" w14:textId="77777777" w:rsidR="00545EC8" w:rsidRPr="00F17C66" w:rsidRDefault="00545EC8" w:rsidP="00545EC8">
      <w:pPr>
        <w:spacing w:line="276" w:lineRule="auto"/>
        <w:rPr>
          <w:lang w:val="hy-AM"/>
        </w:rPr>
      </w:pPr>
    </w:p>
    <w:p w14:paraId="31625C58" w14:textId="77777777" w:rsidR="00545EC8" w:rsidRDefault="00545EC8" w:rsidP="00545EC8">
      <w:pPr>
        <w:rPr>
          <w:b/>
          <w:color w:val="5B9BD5" w:themeColor="accent1"/>
          <w:lang w:val="hy-AM"/>
        </w:rPr>
      </w:pPr>
      <w:r>
        <w:rPr>
          <w:b/>
          <w:color w:val="5B9BD5" w:themeColor="accent1"/>
          <w:lang w:val="hy-AM"/>
        </w:rPr>
        <w:br w:type="page"/>
      </w:r>
    </w:p>
    <w:p w14:paraId="257D68EC"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295" w:name="_Toc170906569"/>
      <w:r w:rsidRPr="00461381">
        <w:rPr>
          <w:b/>
          <w:color w:val="44546A" w:themeColor="text2"/>
          <w:sz w:val="24"/>
          <w:szCs w:val="24"/>
          <w:lang w:val="hy-AM" w:eastAsia="ru-RU"/>
        </w:rPr>
        <w:t>3.3.4 ՊԵՏՈՒԹՅՈՒՆ-ՄԱՍՆԱՎՈՐ ԳՈՐԾԸՆԿԵՐՈՒԹՅԱՆ (ՊՄԳ) ՁԵՎԱՉԱՓՈՎ ԳՈՐԾՈՂ ՊԱՅՄԱՆԱԳՐԵՐԻՑ ԲԽՈՂ ՊԱՅՄԱՆԱԿԱՆ ՊԱՐՏԱՎՈՐՈՒԹՅՈՒՆՆԵՐԻ ՎԵՐԼՈՒԾՈՒԹՅՈՒՆ</w:t>
      </w:r>
      <w:bookmarkEnd w:id="295"/>
    </w:p>
    <w:p w14:paraId="572EEE1D" w14:textId="77777777" w:rsidR="00545EC8" w:rsidRPr="00F17C66" w:rsidRDefault="00545EC8" w:rsidP="0086137E">
      <w:pPr>
        <w:tabs>
          <w:tab w:val="left" w:pos="0"/>
        </w:tabs>
        <w:spacing w:after="0" w:line="276" w:lineRule="auto"/>
        <w:ind w:firstLine="0"/>
        <w:rPr>
          <w:b/>
          <w:lang w:val="hy-AM"/>
        </w:rPr>
      </w:pPr>
      <w:r w:rsidRPr="00F17C66">
        <w:rPr>
          <w:lang w:val="hy-AM"/>
        </w:rPr>
        <w:t>Հայաստանում ՊՄԳ օրենքն ուժի մեջ է մտել 2020 թվականի հունվարի 1-ից՝ սահմանելով, որ վերջինիս դրույթները վերաբերելի են միայն 2020 թվականից հետո կնքված պայմանագրերին: Այնուամենայնիվ, օրենսդրությանը նախորդող բազմաթիվ ՊՄԳ ձևաչափին համապատասխան պայմանագրեր կան կնքված, որոնք իրենց էական ֆիսկալ ռիսկերի և բարդ պայմանական պարտավորությունների պատճառով վերլուծվում են այս բաժնում:</w:t>
      </w:r>
    </w:p>
    <w:p w14:paraId="3E71BA35" w14:textId="77777777" w:rsidR="00545EC8" w:rsidRPr="00F17C66" w:rsidRDefault="00545EC8" w:rsidP="0086137E">
      <w:pPr>
        <w:tabs>
          <w:tab w:val="left" w:pos="0"/>
        </w:tabs>
        <w:spacing w:after="0" w:line="276" w:lineRule="auto"/>
        <w:ind w:firstLine="0"/>
        <w:rPr>
          <w:lang w:val="hy-AM"/>
        </w:rPr>
      </w:pPr>
      <w:r w:rsidRPr="00F17C66">
        <w:rPr>
          <w:lang w:val="hy-AM"/>
        </w:rPr>
        <w:t>Վերլուծության են ենթարկվել «Հարավկովկասյան երկաթուղի», «Վեոլիա ջուր», «Արմենիա» միջազգային օդանավակայաններ, «Քոնթուր Գլոբալ հիդրո կասկադ», «Արմփաուեր» և «Էֆարվի Մասրիկ» պայմանագրերը, որոնք գործունեություն են ծավալում այնպիսի կարևոր որորտներում, ինչպիսիք են տրանսպորտը, էներգետիկան և ջրամատակարարումը: Այս ՊՄԳ-ների համար պայմանական պարտավորությունների առավել մեծ ծավալ են կազմում վաղաժամկետ դադարեցման, տնտեսական կամ օրենսդրական փոփոխությունների հետևանքով պայմանավորված նոր բանակցությունների և յուրաքանչյուր ծրագրին հատուկ ռիսկի այլ գործոնների հետ կապված հնարավոր ծախսերը:</w:t>
      </w:r>
    </w:p>
    <w:p w14:paraId="2C015DC5" w14:textId="77777777" w:rsidR="00545EC8" w:rsidRDefault="00545EC8" w:rsidP="00545EC8">
      <w:pPr>
        <w:tabs>
          <w:tab w:val="left" w:pos="0"/>
        </w:tabs>
        <w:spacing w:line="276" w:lineRule="auto"/>
        <w:rPr>
          <w:bCs/>
          <w:lang w:val="hy-AM"/>
        </w:rPr>
      </w:pPr>
      <w:r w:rsidRPr="00F17C66">
        <w:rPr>
          <w:bCs/>
          <w:lang w:val="hy-AM"/>
        </w:rPr>
        <w:t>Ստորև ներկայացվում է նշված 6 ընկերությունների վերաբերյալ ամփոփ տեղեկատվություն:</w:t>
      </w:r>
    </w:p>
    <w:p w14:paraId="4B77123A" w14:textId="77777777" w:rsidR="00545EC8" w:rsidRPr="00F17C66" w:rsidRDefault="00545EC8" w:rsidP="00545EC8">
      <w:pPr>
        <w:tabs>
          <w:tab w:val="left" w:pos="0"/>
        </w:tabs>
        <w:spacing w:line="276" w:lineRule="auto"/>
        <w:rPr>
          <w:b/>
          <w:bCs/>
          <w:lang w:val="hy-AM"/>
        </w:rPr>
      </w:pPr>
    </w:p>
    <w:p w14:paraId="320315BC" w14:textId="77777777" w:rsidR="00545EC8" w:rsidRPr="00541119" w:rsidRDefault="00545EC8" w:rsidP="00545EC8">
      <w:pPr>
        <w:spacing w:line="276" w:lineRule="auto"/>
        <w:rPr>
          <w:rFonts w:eastAsia="Calibri" w:cs="Sylfaen"/>
          <w:b/>
          <w:bCs/>
          <w:i/>
          <w:lang w:val="hy-AM"/>
        </w:rPr>
      </w:pPr>
      <w:r w:rsidRPr="00541119">
        <w:rPr>
          <w:rFonts w:eastAsia="Calibri" w:cs="Sylfaen"/>
          <w:b/>
          <w:i/>
          <w:lang w:val="hy-AM"/>
        </w:rPr>
        <w:t>Աղյուսակ 7.</w:t>
      </w:r>
      <w:r w:rsidRPr="00541119">
        <w:rPr>
          <w:rFonts w:eastAsia="Calibri" w:cs="Sylfaen"/>
          <w:bCs/>
          <w:i/>
          <w:lang w:val="hy-AM"/>
        </w:rPr>
        <w:t xml:space="preserve"> Գործող ՊՄԳ և ԷԳՊ պայմանագրերը</w:t>
      </w:r>
    </w:p>
    <w:tbl>
      <w:tblPr>
        <w:tblStyle w:val="GridTable4-Accent1"/>
        <w:tblW w:w="9640" w:type="dxa"/>
        <w:tblLayout w:type="fixed"/>
        <w:tblLook w:val="0480" w:firstRow="0" w:lastRow="0" w:firstColumn="1" w:lastColumn="0" w:noHBand="0" w:noVBand="1"/>
      </w:tblPr>
      <w:tblGrid>
        <w:gridCol w:w="2689"/>
        <w:gridCol w:w="2273"/>
        <w:gridCol w:w="932"/>
        <w:gridCol w:w="1018"/>
        <w:gridCol w:w="2728"/>
      </w:tblGrid>
      <w:tr w:rsidR="00545EC8" w:rsidRPr="00B51D3F" w14:paraId="620EA4B2" w14:textId="77777777" w:rsidTr="00D262EA">
        <w:trPr>
          <w:cnfStyle w:val="000000100000" w:firstRow="0" w:lastRow="0" w:firstColumn="0" w:lastColumn="0" w:oddVBand="0" w:evenVBand="0" w:oddHBand="1" w:evenHBand="0" w:firstRowFirstColumn="0" w:firstRowLastColumn="0" w:lastRowFirstColumn="0" w:lastRowLastColumn="0"/>
          <w:trHeight w:val="1376"/>
        </w:trPr>
        <w:tc>
          <w:tcPr>
            <w:cnfStyle w:val="001000000000" w:firstRow="0" w:lastRow="0" w:firstColumn="1" w:lastColumn="0" w:oddVBand="0" w:evenVBand="0" w:oddHBand="0" w:evenHBand="0" w:firstRowFirstColumn="0" w:firstRowLastColumn="0" w:lastRowFirstColumn="0" w:lastRowLastColumn="0"/>
            <w:tcW w:w="2689" w:type="dxa"/>
            <w:shd w:val="clear" w:color="auto" w:fill="9CC2E5" w:themeFill="accent1" w:themeFillTint="99"/>
            <w:vAlign w:val="center"/>
          </w:tcPr>
          <w:p w14:paraId="3B659EE5" w14:textId="77777777" w:rsidR="00545EC8" w:rsidRPr="004862A5" w:rsidRDefault="00545EC8" w:rsidP="00D262EA">
            <w:pPr>
              <w:tabs>
                <w:tab w:val="left" w:pos="0"/>
              </w:tabs>
              <w:ind w:firstLine="0"/>
              <w:jc w:val="center"/>
              <w:rPr>
                <w:bCs w:val="0"/>
                <w:color w:val="000000" w:themeColor="text1"/>
                <w:szCs w:val="18"/>
                <w:lang w:val="hy-AM"/>
              </w:rPr>
            </w:pPr>
            <w:r w:rsidRPr="004862A5">
              <w:rPr>
                <w:bCs w:val="0"/>
                <w:color w:val="000000" w:themeColor="text1"/>
                <w:szCs w:val="18"/>
                <w:lang w:val="hy-AM"/>
              </w:rPr>
              <w:t>Անվանում</w:t>
            </w:r>
          </w:p>
        </w:tc>
        <w:tc>
          <w:tcPr>
            <w:tcW w:w="2273" w:type="dxa"/>
            <w:shd w:val="clear" w:color="auto" w:fill="9CC2E5" w:themeFill="accent1" w:themeFillTint="99"/>
            <w:vAlign w:val="center"/>
          </w:tcPr>
          <w:p w14:paraId="448D899D" w14:textId="77777777" w:rsidR="00545EC8" w:rsidRPr="004862A5" w:rsidRDefault="00545EC8" w:rsidP="00D262EA">
            <w:pPr>
              <w:tabs>
                <w:tab w:val="left" w:pos="0"/>
              </w:tabs>
              <w:ind w:firstLine="0"/>
              <w:jc w:val="center"/>
              <w:cnfStyle w:val="000000100000" w:firstRow="0" w:lastRow="0" w:firstColumn="0" w:lastColumn="0" w:oddVBand="0" w:evenVBand="0" w:oddHBand="1" w:evenHBand="0" w:firstRowFirstColumn="0" w:firstRowLastColumn="0" w:lastRowFirstColumn="0" w:lastRowLastColumn="0"/>
              <w:rPr>
                <w:b/>
                <w:bCs/>
                <w:color w:val="000000" w:themeColor="text1"/>
                <w:szCs w:val="18"/>
                <w:lang w:val="hy-AM"/>
              </w:rPr>
            </w:pPr>
            <w:r w:rsidRPr="004862A5">
              <w:rPr>
                <w:b/>
                <w:bCs/>
                <w:color w:val="000000" w:themeColor="text1"/>
                <w:szCs w:val="18"/>
                <w:lang w:val="hy-AM"/>
              </w:rPr>
              <w:t>Ոլորտ</w:t>
            </w:r>
          </w:p>
        </w:tc>
        <w:tc>
          <w:tcPr>
            <w:tcW w:w="932" w:type="dxa"/>
            <w:shd w:val="clear" w:color="auto" w:fill="9CC2E5" w:themeFill="accent1" w:themeFillTint="99"/>
            <w:vAlign w:val="center"/>
          </w:tcPr>
          <w:p w14:paraId="04E51E63" w14:textId="77777777" w:rsidR="00545EC8" w:rsidRPr="004862A5" w:rsidRDefault="00545EC8" w:rsidP="00D262EA">
            <w:pPr>
              <w:tabs>
                <w:tab w:val="left" w:pos="0"/>
              </w:tabs>
              <w:ind w:firstLine="0"/>
              <w:jc w:val="center"/>
              <w:cnfStyle w:val="000000100000" w:firstRow="0" w:lastRow="0" w:firstColumn="0" w:lastColumn="0" w:oddVBand="0" w:evenVBand="0" w:oddHBand="1" w:evenHBand="0" w:firstRowFirstColumn="0" w:firstRowLastColumn="0" w:lastRowFirstColumn="0" w:lastRowLastColumn="0"/>
              <w:rPr>
                <w:b/>
                <w:bCs/>
                <w:color w:val="000000" w:themeColor="text1"/>
                <w:szCs w:val="18"/>
                <w:lang w:val="hy-AM"/>
              </w:rPr>
            </w:pPr>
            <w:r w:rsidRPr="004862A5">
              <w:rPr>
                <w:b/>
                <w:bCs/>
                <w:color w:val="000000" w:themeColor="text1"/>
                <w:szCs w:val="18"/>
                <w:lang w:val="hy-AM"/>
              </w:rPr>
              <w:t>Սկիզբ</w:t>
            </w:r>
          </w:p>
        </w:tc>
        <w:tc>
          <w:tcPr>
            <w:tcW w:w="1018" w:type="dxa"/>
            <w:shd w:val="clear" w:color="auto" w:fill="9CC2E5" w:themeFill="accent1" w:themeFillTint="99"/>
            <w:vAlign w:val="center"/>
          </w:tcPr>
          <w:p w14:paraId="64CB60FA" w14:textId="77777777" w:rsidR="00545EC8" w:rsidRPr="004862A5" w:rsidRDefault="00545EC8" w:rsidP="00D262EA">
            <w:pPr>
              <w:tabs>
                <w:tab w:val="left" w:pos="0"/>
              </w:tabs>
              <w:ind w:firstLine="0"/>
              <w:jc w:val="center"/>
              <w:cnfStyle w:val="000000100000" w:firstRow="0" w:lastRow="0" w:firstColumn="0" w:lastColumn="0" w:oddVBand="0" w:evenVBand="0" w:oddHBand="1" w:evenHBand="0" w:firstRowFirstColumn="0" w:firstRowLastColumn="0" w:lastRowFirstColumn="0" w:lastRowLastColumn="0"/>
              <w:rPr>
                <w:b/>
                <w:bCs/>
                <w:color w:val="000000" w:themeColor="text1"/>
                <w:szCs w:val="18"/>
                <w:lang w:val="hy-AM"/>
              </w:rPr>
            </w:pPr>
            <w:r w:rsidRPr="004862A5">
              <w:rPr>
                <w:b/>
                <w:bCs/>
                <w:color w:val="000000" w:themeColor="text1"/>
                <w:szCs w:val="18"/>
                <w:lang w:val="hy-AM"/>
              </w:rPr>
              <w:t>Ավարտ</w:t>
            </w:r>
          </w:p>
        </w:tc>
        <w:tc>
          <w:tcPr>
            <w:tcW w:w="2728" w:type="dxa"/>
            <w:shd w:val="clear" w:color="auto" w:fill="9CC2E5" w:themeFill="accent1" w:themeFillTint="99"/>
            <w:vAlign w:val="center"/>
          </w:tcPr>
          <w:p w14:paraId="69544CAE" w14:textId="77777777" w:rsidR="00545EC8" w:rsidRPr="004862A5" w:rsidRDefault="00545EC8" w:rsidP="00D262EA">
            <w:pPr>
              <w:tabs>
                <w:tab w:val="left" w:pos="0"/>
              </w:tabs>
              <w:ind w:firstLine="0"/>
              <w:jc w:val="center"/>
              <w:cnfStyle w:val="000000100000" w:firstRow="0" w:lastRow="0" w:firstColumn="0" w:lastColumn="0" w:oddVBand="0" w:evenVBand="0" w:oddHBand="1" w:evenHBand="0" w:firstRowFirstColumn="0" w:firstRowLastColumn="0" w:lastRowFirstColumn="0" w:lastRowLastColumn="0"/>
              <w:rPr>
                <w:b/>
                <w:bCs/>
                <w:color w:val="000000" w:themeColor="text1"/>
                <w:szCs w:val="18"/>
                <w:lang w:val="hy-AM"/>
              </w:rPr>
            </w:pPr>
            <w:r w:rsidRPr="004862A5">
              <w:rPr>
                <w:b/>
                <w:bCs/>
                <w:color w:val="000000" w:themeColor="text1"/>
                <w:szCs w:val="18"/>
                <w:lang w:val="hy-AM"/>
              </w:rPr>
              <w:t>Պայմանական պարտավորությունների հարկաբյուջետային ռիսկի կարգավիճակի փոփոխությունները</w:t>
            </w:r>
          </w:p>
        </w:tc>
      </w:tr>
      <w:tr w:rsidR="00545EC8" w:rsidRPr="004862A5" w14:paraId="0742F397" w14:textId="77777777" w:rsidTr="00D262EA">
        <w:trPr>
          <w:trHeight w:val="457"/>
        </w:trPr>
        <w:tc>
          <w:tcPr>
            <w:cnfStyle w:val="001000000000" w:firstRow="0" w:lastRow="0" w:firstColumn="1" w:lastColumn="0" w:oddVBand="0" w:evenVBand="0" w:oddHBand="0" w:evenHBand="0" w:firstRowFirstColumn="0" w:firstRowLastColumn="0" w:lastRowFirstColumn="0" w:lastRowLastColumn="0"/>
            <w:tcW w:w="2689" w:type="dxa"/>
          </w:tcPr>
          <w:p w14:paraId="66D139AC" w14:textId="77777777" w:rsidR="00545EC8" w:rsidRPr="004862A5" w:rsidRDefault="00545EC8" w:rsidP="00D262EA">
            <w:pPr>
              <w:tabs>
                <w:tab w:val="left" w:pos="0"/>
              </w:tabs>
              <w:spacing w:line="240" w:lineRule="auto"/>
              <w:ind w:firstLine="0"/>
              <w:rPr>
                <w:b w:val="0"/>
                <w:bCs w:val="0"/>
                <w:szCs w:val="18"/>
                <w:lang w:val="hy-AM"/>
              </w:rPr>
            </w:pPr>
            <w:r w:rsidRPr="004862A5">
              <w:rPr>
                <w:b w:val="0"/>
                <w:bCs w:val="0"/>
                <w:szCs w:val="18"/>
                <w:lang w:val="hy-AM"/>
              </w:rPr>
              <w:t>«Հարավկովկասյան երկաթուղի» ՓԲԸ</w:t>
            </w:r>
          </w:p>
        </w:tc>
        <w:tc>
          <w:tcPr>
            <w:tcW w:w="2273" w:type="dxa"/>
          </w:tcPr>
          <w:p w14:paraId="039E62BD"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Տրանսպորտ</w:t>
            </w:r>
          </w:p>
        </w:tc>
        <w:tc>
          <w:tcPr>
            <w:tcW w:w="932" w:type="dxa"/>
          </w:tcPr>
          <w:p w14:paraId="6E3EABAC"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2008թ.</w:t>
            </w:r>
          </w:p>
        </w:tc>
        <w:tc>
          <w:tcPr>
            <w:tcW w:w="1018" w:type="dxa"/>
          </w:tcPr>
          <w:p w14:paraId="754CDC78"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2038թ.</w:t>
            </w:r>
          </w:p>
        </w:tc>
        <w:tc>
          <w:tcPr>
            <w:tcW w:w="2728" w:type="dxa"/>
          </w:tcPr>
          <w:p w14:paraId="20B2D285"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rPr>
            </w:pPr>
            <w:r w:rsidRPr="004862A5">
              <w:rPr>
                <w:bCs/>
                <w:szCs w:val="18"/>
                <w:lang w:val="hy-AM"/>
              </w:rPr>
              <w:t>Նշանակալի</w:t>
            </w:r>
            <w:r w:rsidRPr="004862A5">
              <w:rPr>
                <w:b/>
                <w:bCs/>
                <w:szCs w:val="18"/>
                <w:lang w:val="hy-AM"/>
              </w:rPr>
              <w:t>,</w:t>
            </w:r>
            <w:r w:rsidRPr="004862A5">
              <w:rPr>
                <w:bCs/>
                <w:szCs w:val="18"/>
                <w:lang w:val="hy-AM"/>
              </w:rPr>
              <w:t xml:space="preserve"> Անփոփոխ</w:t>
            </w:r>
          </w:p>
        </w:tc>
      </w:tr>
      <w:tr w:rsidR="00545EC8" w:rsidRPr="004862A5" w14:paraId="05D8EF02" w14:textId="77777777" w:rsidTr="00D262EA">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2689" w:type="dxa"/>
          </w:tcPr>
          <w:p w14:paraId="2E878EF8" w14:textId="77777777" w:rsidR="00545EC8" w:rsidRPr="004862A5" w:rsidRDefault="00545EC8" w:rsidP="00D262EA">
            <w:pPr>
              <w:spacing w:line="240" w:lineRule="auto"/>
              <w:ind w:firstLine="0"/>
              <w:rPr>
                <w:b w:val="0"/>
                <w:bCs w:val="0"/>
                <w:szCs w:val="18"/>
                <w:lang w:val="hy-AM"/>
              </w:rPr>
            </w:pPr>
            <w:r w:rsidRPr="004862A5">
              <w:rPr>
                <w:b w:val="0"/>
                <w:bCs w:val="0"/>
                <w:szCs w:val="18"/>
                <w:lang w:val="hy-AM"/>
              </w:rPr>
              <w:t>«Վեոլիա Ջուր» ՓԲԸ</w:t>
            </w:r>
          </w:p>
        </w:tc>
        <w:tc>
          <w:tcPr>
            <w:tcW w:w="2273" w:type="dxa"/>
          </w:tcPr>
          <w:p w14:paraId="218492E4"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Ջրամատակարարում և կեղտաջրերի հեռացում</w:t>
            </w:r>
          </w:p>
        </w:tc>
        <w:tc>
          <w:tcPr>
            <w:tcW w:w="932" w:type="dxa"/>
          </w:tcPr>
          <w:p w14:paraId="760403A6"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2016թ.</w:t>
            </w:r>
          </w:p>
        </w:tc>
        <w:tc>
          <w:tcPr>
            <w:tcW w:w="1018" w:type="dxa"/>
          </w:tcPr>
          <w:p w14:paraId="130CFACF"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2031թ.</w:t>
            </w:r>
          </w:p>
        </w:tc>
        <w:tc>
          <w:tcPr>
            <w:tcW w:w="2728" w:type="dxa"/>
          </w:tcPr>
          <w:p w14:paraId="73FE8248"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Նշանակալի</w:t>
            </w:r>
            <w:r w:rsidRPr="004862A5">
              <w:rPr>
                <w:b/>
                <w:bCs/>
                <w:szCs w:val="18"/>
                <w:lang w:val="hy-AM"/>
              </w:rPr>
              <w:t>,</w:t>
            </w:r>
            <w:r w:rsidRPr="004862A5">
              <w:rPr>
                <w:bCs/>
                <w:szCs w:val="18"/>
                <w:lang w:val="hy-AM"/>
              </w:rPr>
              <w:t xml:space="preserve"> Անփոփոխ</w:t>
            </w:r>
          </w:p>
        </w:tc>
      </w:tr>
      <w:tr w:rsidR="00545EC8" w:rsidRPr="004862A5" w14:paraId="24ECD952" w14:textId="77777777" w:rsidTr="00D262EA">
        <w:trPr>
          <w:trHeight w:val="244"/>
        </w:trPr>
        <w:tc>
          <w:tcPr>
            <w:cnfStyle w:val="001000000000" w:firstRow="0" w:lastRow="0" w:firstColumn="1" w:lastColumn="0" w:oddVBand="0" w:evenVBand="0" w:oddHBand="0" w:evenHBand="0" w:firstRowFirstColumn="0" w:firstRowLastColumn="0" w:lastRowFirstColumn="0" w:lastRowLastColumn="0"/>
            <w:tcW w:w="2689" w:type="dxa"/>
          </w:tcPr>
          <w:p w14:paraId="6E55D419" w14:textId="77777777" w:rsidR="00545EC8" w:rsidRPr="004862A5" w:rsidRDefault="00545EC8" w:rsidP="00D262EA">
            <w:pPr>
              <w:tabs>
                <w:tab w:val="left" w:pos="0"/>
              </w:tabs>
              <w:spacing w:line="240" w:lineRule="auto"/>
              <w:ind w:firstLine="0"/>
              <w:rPr>
                <w:b w:val="0"/>
                <w:bCs w:val="0"/>
                <w:szCs w:val="18"/>
                <w:lang w:val="hy-AM"/>
              </w:rPr>
            </w:pPr>
            <w:r w:rsidRPr="004862A5">
              <w:rPr>
                <w:b w:val="0"/>
                <w:bCs w:val="0"/>
                <w:szCs w:val="18"/>
                <w:lang w:val="hy-AM"/>
              </w:rPr>
              <w:t>«Արմենիա միջազգային օդանավակայաններ» ՓԲԸ</w:t>
            </w:r>
          </w:p>
        </w:tc>
        <w:tc>
          <w:tcPr>
            <w:tcW w:w="2273" w:type="dxa"/>
          </w:tcPr>
          <w:p w14:paraId="6DB6C202"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Տրանսպորտ</w:t>
            </w:r>
          </w:p>
        </w:tc>
        <w:tc>
          <w:tcPr>
            <w:tcW w:w="932" w:type="dxa"/>
          </w:tcPr>
          <w:p w14:paraId="173DBB8B"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2002թ.</w:t>
            </w:r>
          </w:p>
        </w:tc>
        <w:tc>
          <w:tcPr>
            <w:tcW w:w="1018" w:type="dxa"/>
          </w:tcPr>
          <w:p w14:paraId="36507DDE"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2032թ.</w:t>
            </w:r>
          </w:p>
        </w:tc>
        <w:tc>
          <w:tcPr>
            <w:tcW w:w="2728" w:type="dxa"/>
          </w:tcPr>
          <w:p w14:paraId="48F9743B"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Նշանակալի</w:t>
            </w:r>
            <w:r w:rsidRPr="004862A5">
              <w:rPr>
                <w:b/>
                <w:bCs/>
                <w:szCs w:val="18"/>
                <w:lang w:val="hy-AM"/>
              </w:rPr>
              <w:t>,</w:t>
            </w:r>
            <w:r w:rsidRPr="004862A5">
              <w:rPr>
                <w:bCs/>
                <w:szCs w:val="18"/>
                <w:lang w:val="hy-AM"/>
              </w:rPr>
              <w:t xml:space="preserve"> Անփոփոխ</w:t>
            </w:r>
          </w:p>
        </w:tc>
      </w:tr>
      <w:tr w:rsidR="00545EC8" w:rsidRPr="004862A5" w14:paraId="1C881835" w14:textId="77777777" w:rsidTr="00D262EA">
        <w:trPr>
          <w:cnfStyle w:val="000000100000" w:firstRow="0" w:lastRow="0" w:firstColumn="0" w:lastColumn="0" w:oddVBand="0" w:evenVBand="0" w:oddHBand="1" w:evenHBand="0" w:firstRowFirstColumn="0" w:firstRowLastColumn="0" w:lastRowFirstColumn="0" w:lastRowLastColumn="0"/>
          <w:trHeight w:val="791"/>
        </w:trPr>
        <w:tc>
          <w:tcPr>
            <w:cnfStyle w:val="001000000000" w:firstRow="0" w:lastRow="0" w:firstColumn="1" w:lastColumn="0" w:oddVBand="0" w:evenVBand="0" w:oddHBand="0" w:evenHBand="0" w:firstRowFirstColumn="0" w:firstRowLastColumn="0" w:lastRowFirstColumn="0" w:lastRowLastColumn="0"/>
            <w:tcW w:w="2689" w:type="dxa"/>
          </w:tcPr>
          <w:p w14:paraId="2D59E91F" w14:textId="77777777" w:rsidR="00545EC8" w:rsidRPr="004862A5" w:rsidRDefault="00545EC8" w:rsidP="00D262EA">
            <w:pPr>
              <w:tabs>
                <w:tab w:val="left" w:pos="0"/>
              </w:tabs>
              <w:spacing w:line="240" w:lineRule="auto"/>
              <w:ind w:firstLine="0"/>
              <w:rPr>
                <w:b w:val="0"/>
                <w:bCs w:val="0"/>
                <w:szCs w:val="18"/>
                <w:lang w:val="hy-AM"/>
              </w:rPr>
            </w:pPr>
            <w:r w:rsidRPr="004862A5">
              <w:rPr>
                <w:b w:val="0"/>
                <w:bCs w:val="0"/>
                <w:szCs w:val="18"/>
                <w:lang w:val="hy-AM"/>
              </w:rPr>
              <w:t>«Քոնթուր Գլոբալ հիդրո կասկադ» ՓԲԸ (Որոտան ՀԷԿ), ԷԳՊ</w:t>
            </w:r>
          </w:p>
        </w:tc>
        <w:tc>
          <w:tcPr>
            <w:tcW w:w="2273" w:type="dxa"/>
          </w:tcPr>
          <w:p w14:paraId="6D5104EE"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Էներգետիկա</w:t>
            </w:r>
          </w:p>
        </w:tc>
        <w:tc>
          <w:tcPr>
            <w:tcW w:w="932" w:type="dxa"/>
          </w:tcPr>
          <w:p w14:paraId="583700EA"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2016թ.*</w:t>
            </w:r>
          </w:p>
        </w:tc>
        <w:tc>
          <w:tcPr>
            <w:tcW w:w="1018" w:type="dxa"/>
          </w:tcPr>
          <w:p w14:paraId="512B04EC"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2038թ.</w:t>
            </w:r>
          </w:p>
        </w:tc>
        <w:tc>
          <w:tcPr>
            <w:tcW w:w="2728" w:type="dxa"/>
          </w:tcPr>
          <w:p w14:paraId="7A68AB7F"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Նշանակալի</w:t>
            </w:r>
            <w:r w:rsidRPr="004862A5">
              <w:rPr>
                <w:b/>
                <w:bCs/>
                <w:szCs w:val="18"/>
                <w:lang w:val="hy-AM"/>
              </w:rPr>
              <w:t>, Վ</w:t>
            </w:r>
            <w:r w:rsidRPr="004862A5">
              <w:rPr>
                <w:bCs/>
                <w:szCs w:val="18"/>
                <w:lang w:val="hy-AM"/>
              </w:rPr>
              <w:t>ատթարացում</w:t>
            </w:r>
          </w:p>
        </w:tc>
      </w:tr>
      <w:tr w:rsidR="00545EC8" w:rsidRPr="004862A5" w14:paraId="034F3374" w14:textId="77777777" w:rsidTr="00D262EA">
        <w:trPr>
          <w:trHeight w:val="415"/>
        </w:trPr>
        <w:tc>
          <w:tcPr>
            <w:cnfStyle w:val="001000000000" w:firstRow="0" w:lastRow="0" w:firstColumn="1" w:lastColumn="0" w:oddVBand="0" w:evenVBand="0" w:oddHBand="0" w:evenHBand="0" w:firstRowFirstColumn="0" w:firstRowLastColumn="0" w:lastRowFirstColumn="0" w:lastRowLastColumn="0"/>
            <w:tcW w:w="2689" w:type="dxa"/>
          </w:tcPr>
          <w:p w14:paraId="2C15607A" w14:textId="77777777" w:rsidR="00545EC8" w:rsidRPr="004862A5" w:rsidRDefault="00545EC8" w:rsidP="00D262EA">
            <w:pPr>
              <w:tabs>
                <w:tab w:val="left" w:pos="0"/>
              </w:tabs>
              <w:spacing w:line="240" w:lineRule="auto"/>
              <w:ind w:firstLine="0"/>
              <w:rPr>
                <w:b w:val="0"/>
                <w:bCs w:val="0"/>
                <w:szCs w:val="18"/>
                <w:lang w:val="hy-AM"/>
              </w:rPr>
            </w:pPr>
            <w:r w:rsidRPr="004862A5">
              <w:rPr>
                <w:b w:val="0"/>
                <w:bCs w:val="0"/>
                <w:szCs w:val="18"/>
                <w:lang w:val="hy-AM"/>
              </w:rPr>
              <w:t>«Արմփաուեր» ՓԲԸ, ԷԳՊ</w:t>
            </w:r>
          </w:p>
        </w:tc>
        <w:tc>
          <w:tcPr>
            <w:tcW w:w="2273" w:type="dxa"/>
          </w:tcPr>
          <w:p w14:paraId="4B22FD24"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Էներգետիկա</w:t>
            </w:r>
          </w:p>
        </w:tc>
        <w:tc>
          <w:tcPr>
            <w:tcW w:w="932" w:type="dxa"/>
          </w:tcPr>
          <w:p w14:paraId="1856193C"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2019թ.*</w:t>
            </w:r>
          </w:p>
        </w:tc>
        <w:tc>
          <w:tcPr>
            <w:tcW w:w="1018" w:type="dxa"/>
          </w:tcPr>
          <w:p w14:paraId="3A12CD64"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2041թ.</w:t>
            </w:r>
          </w:p>
        </w:tc>
        <w:tc>
          <w:tcPr>
            <w:tcW w:w="2728" w:type="dxa"/>
          </w:tcPr>
          <w:p w14:paraId="7E5E50D0" w14:textId="77777777" w:rsidR="00545EC8" w:rsidRPr="004862A5" w:rsidRDefault="00545EC8" w:rsidP="00D262EA">
            <w:pPr>
              <w:tabs>
                <w:tab w:val="left" w:pos="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szCs w:val="18"/>
                <w:lang w:val="hy-AM"/>
              </w:rPr>
            </w:pPr>
            <w:r w:rsidRPr="004862A5">
              <w:rPr>
                <w:bCs/>
                <w:szCs w:val="18"/>
                <w:lang w:val="hy-AM"/>
              </w:rPr>
              <w:t>Միջին</w:t>
            </w:r>
            <w:r w:rsidRPr="004862A5">
              <w:rPr>
                <w:b/>
                <w:bCs/>
                <w:szCs w:val="18"/>
                <w:lang w:val="hy-AM"/>
              </w:rPr>
              <w:t>,</w:t>
            </w:r>
            <w:r w:rsidRPr="004862A5">
              <w:rPr>
                <w:bCs/>
                <w:szCs w:val="18"/>
                <w:lang w:val="hy-AM"/>
              </w:rPr>
              <w:t xml:space="preserve"> Անփոփոխ</w:t>
            </w:r>
          </w:p>
        </w:tc>
      </w:tr>
      <w:tr w:rsidR="00545EC8" w:rsidRPr="004862A5" w14:paraId="3277FB7E" w14:textId="77777777" w:rsidTr="00D262EA">
        <w:trPr>
          <w:cnfStyle w:val="000000100000" w:firstRow="0" w:lastRow="0" w:firstColumn="0" w:lastColumn="0" w:oddVBand="0" w:evenVBand="0" w:oddHBand="1"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2689" w:type="dxa"/>
          </w:tcPr>
          <w:p w14:paraId="10758E3C" w14:textId="77777777" w:rsidR="00545EC8" w:rsidRPr="004862A5" w:rsidRDefault="00545EC8" w:rsidP="00D262EA">
            <w:pPr>
              <w:tabs>
                <w:tab w:val="left" w:pos="0"/>
              </w:tabs>
              <w:spacing w:line="240" w:lineRule="auto"/>
              <w:ind w:firstLine="0"/>
              <w:rPr>
                <w:b w:val="0"/>
                <w:bCs w:val="0"/>
                <w:szCs w:val="18"/>
                <w:lang w:val="hy-AM"/>
              </w:rPr>
            </w:pPr>
            <w:r w:rsidRPr="004862A5">
              <w:rPr>
                <w:b w:val="0"/>
                <w:bCs w:val="0"/>
                <w:szCs w:val="18"/>
                <w:lang w:val="hy-AM"/>
              </w:rPr>
              <w:t>«Էֆարվի Մասրիկ» ՓԲԸ, Մասրիկ-1 արևային ֆոտովոլտային էլեկտրակայան, ԷԳՊ</w:t>
            </w:r>
          </w:p>
        </w:tc>
        <w:tc>
          <w:tcPr>
            <w:tcW w:w="2273" w:type="dxa"/>
          </w:tcPr>
          <w:p w14:paraId="08DE43E8"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Էներգետիկա</w:t>
            </w:r>
          </w:p>
        </w:tc>
        <w:tc>
          <w:tcPr>
            <w:tcW w:w="932" w:type="dxa"/>
          </w:tcPr>
          <w:p w14:paraId="51DFD6EC"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2021թ.*</w:t>
            </w:r>
          </w:p>
        </w:tc>
        <w:tc>
          <w:tcPr>
            <w:tcW w:w="1018" w:type="dxa"/>
          </w:tcPr>
          <w:p w14:paraId="13450C0E"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2041թ.</w:t>
            </w:r>
          </w:p>
        </w:tc>
        <w:tc>
          <w:tcPr>
            <w:tcW w:w="2728" w:type="dxa"/>
          </w:tcPr>
          <w:p w14:paraId="5AEC3346" w14:textId="77777777" w:rsidR="00545EC8" w:rsidRPr="004862A5" w:rsidRDefault="00545EC8" w:rsidP="00D262EA">
            <w:pPr>
              <w:tabs>
                <w:tab w:val="left" w:pos="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b/>
                <w:bCs/>
                <w:szCs w:val="18"/>
                <w:lang w:val="hy-AM"/>
              </w:rPr>
            </w:pPr>
            <w:r w:rsidRPr="004862A5">
              <w:rPr>
                <w:bCs/>
                <w:szCs w:val="18"/>
                <w:lang w:val="hy-AM"/>
              </w:rPr>
              <w:t>Նշանակալի</w:t>
            </w:r>
            <w:r w:rsidRPr="004862A5">
              <w:rPr>
                <w:b/>
                <w:bCs/>
                <w:szCs w:val="18"/>
                <w:lang w:val="hy-AM"/>
              </w:rPr>
              <w:t>,</w:t>
            </w:r>
            <w:r w:rsidRPr="004862A5">
              <w:rPr>
                <w:bCs/>
                <w:szCs w:val="18"/>
                <w:lang w:val="hy-AM"/>
              </w:rPr>
              <w:t xml:space="preserve"> Անփոփոխ</w:t>
            </w:r>
          </w:p>
        </w:tc>
      </w:tr>
    </w:tbl>
    <w:p w14:paraId="3FF7DC4D" w14:textId="77777777" w:rsidR="00545EC8" w:rsidRPr="00A772FA" w:rsidRDefault="00545EC8" w:rsidP="00545EC8">
      <w:pPr>
        <w:spacing w:line="240" w:lineRule="auto"/>
        <w:ind w:left="540" w:right="630" w:hanging="180"/>
        <w:rPr>
          <w:b/>
          <w:bCs/>
          <w:sz w:val="16"/>
          <w:lang w:val="hy-AM"/>
        </w:rPr>
      </w:pPr>
      <w:r w:rsidRPr="00A772FA">
        <w:rPr>
          <w:bCs/>
          <w:lang w:val="hy-AM"/>
        </w:rPr>
        <w:t xml:space="preserve"> *</w:t>
      </w:r>
      <w:r w:rsidRPr="00A772FA">
        <w:rPr>
          <w:bCs/>
          <w:sz w:val="16"/>
          <w:lang w:val="hy-AM"/>
        </w:rPr>
        <w:t>գործարքի ֆինանսական պայմանների բավարարման տարի. ԷԳՊ պայմանագրերի փաստացի տևողությունը կազմում է մինչև 25 տարի՝ սկսած ստորագրման տարվանից:</w:t>
      </w:r>
    </w:p>
    <w:p w14:paraId="22CB5369" w14:textId="77777777" w:rsidR="00545EC8" w:rsidRPr="000E0AA4" w:rsidRDefault="00545EC8" w:rsidP="0086137E">
      <w:pPr>
        <w:tabs>
          <w:tab w:val="left" w:pos="0"/>
        </w:tabs>
        <w:spacing w:line="276" w:lineRule="auto"/>
        <w:ind w:firstLine="0"/>
        <w:rPr>
          <w:b/>
          <w:bCs/>
          <w:color w:val="222222"/>
          <w:shd w:val="clear" w:color="auto" w:fill="FFFFFF"/>
          <w:lang w:val="hy-AM"/>
        </w:rPr>
      </w:pPr>
      <w:r w:rsidRPr="000E0AA4">
        <w:rPr>
          <w:bCs/>
          <w:color w:val="222222"/>
          <w:shd w:val="clear" w:color="auto" w:fill="FFFFFF"/>
          <w:lang w:val="hy-AM"/>
        </w:rPr>
        <w:t>ՊՄԳ պայմանագրերի վերլուծության արդյունքում նյութականացման ռիսկի աստիճանը հիմնականում նշանակալի է համարվ</w:t>
      </w:r>
      <w:r w:rsidRPr="00B53424">
        <w:rPr>
          <w:bCs/>
          <w:color w:val="222222"/>
          <w:shd w:val="clear" w:color="auto" w:fill="FFFFFF"/>
          <w:lang w:val="hy-AM"/>
        </w:rPr>
        <w:t>ել</w:t>
      </w:r>
      <w:r w:rsidRPr="000E0AA4">
        <w:rPr>
          <w:b/>
          <w:bCs/>
          <w:color w:val="222222"/>
          <w:shd w:val="clear" w:color="auto" w:fill="FFFFFF"/>
          <w:lang w:val="hy-AM"/>
        </w:rPr>
        <w:t xml:space="preserve"> ՊՄԳ բոլոր պայմանագրերի համար՝</w:t>
      </w:r>
      <w:r w:rsidRPr="000E0AA4">
        <w:rPr>
          <w:bCs/>
          <w:color w:val="222222"/>
          <w:shd w:val="clear" w:color="auto" w:fill="FFFFFF"/>
          <w:lang w:val="hy-AM"/>
        </w:rPr>
        <w:t xml:space="preserve"> հաշվի առնելով, որ իրար հաջորդող ճգնաժամերը, հատկապես Ադրբեջանի ռազմական ագրեսիան, տարբեր բնույթի ազդեցություն են ունեցել ընկերությունների դրամական հոսքերի վրա, ինչն իր հերթին մեծացնում է պայմանագրի վերաբանակցման (պայմանագրերում անհաղթահարելի ուժի ազդեցության և տնտեսական հավասարակշռության վերաբերյալ դրույթների հետևանքով) կամ պայմանագրի վաղաժամ դադարեցման ռիսկերը, որոնք էլ իրենց հերթին կարող են ավելացնել ՀՀ կառավարության պայմանական պարտավորությունները: </w:t>
      </w:r>
      <w:r w:rsidRPr="000E0AA4">
        <w:rPr>
          <w:b/>
          <w:bCs/>
          <w:color w:val="222222"/>
          <w:shd w:val="clear" w:color="auto" w:fill="FFFFFF"/>
          <w:lang w:val="hy-AM"/>
        </w:rPr>
        <w:t>Շինարարության փուլում գտնվող ծրագրերի պարագայում ճգնաժամերը հանգեցրել է էական ուշացումների, ինչն իր հերթին կարող է բարձրացնել գերածախսերի կամ վերաբանակցման ռիսկերը:</w:t>
      </w:r>
      <w:r w:rsidRPr="000E0AA4">
        <w:rPr>
          <w:rFonts w:ascii="Calibri" w:hAnsi="Calibri" w:cs="Calibri"/>
          <w:b/>
          <w:bCs/>
          <w:color w:val="222222"/>
          <w:shd w:val="clear" w:color="auto" w:fill="FFFFFF"/>
          <w:lang w:val="hy-AM"/>
        </w:rPr>
        <w:t> </w:t>
      </w:r>
      <w:r w:rsidRPr="000E0AA4">
        <w:rPr>
          <w:b/>
          <w:bCs/>
          <w:color w:val="222222"/>
          <w:shd w:val="clear" w:color="auto" w:fill="FFFFFF"/>
          <w:lang w:val="hy-AM"/>
        </w:rPr>
        <w:t xml:space="preserve"> </w:t>
      </w:r>
    </w:p>
    <w:p w14:paraId="6D4BAA06" w14:textId="77777777" w:rsidR="00545EC8" w:rsidRPr="000E0AA4" w:rsidRDefault="00545EC8" w:rsidP="0086137E">
      <w:pPr>
        <w:tabs>
          <w:tab w:val="left" w:pos="0"/>
        </w:tabs>
        <w:spacing w:line="276" w:lineRule="auto"/>
        <w:ind w:firstLine="0"/>
        <w:rPr>
          <w:b/>
          <w:bCs/>
          <w:color w:val="222222"/>
          <w:shd w:val="clear" w:color="auto" w:fill="FFFFFF"/>
          <w:lang w:val="hy-AM"/>
        </w:rPr>
      </w:pPr>
    </w:p>
    <w:p w14:paraId="0AC6A1F1" w14:textId="77777777" w:rsidR="00545EC8" w:rsidRPr="000E0AA4" w:rsidRDefault="00545EC8" w:rsidP="0086137E">
      <w:pPr>
        <w:tabs>
          <w:tab w:val="left" w:pos="0"/>
        </w:tabs>
        <w:spacing w:after="0" w:line="276" w:lineRule="auto"/>
        <w:ind w:firstLine="0"/>
        <w:rPr>
          <w:b/>
          <w:lang w:val="hy-AM"/>
        </w:rPr>
      </w:pPr>
      <w:bookmarkStart w:id="296" w:name="_Toc59655558"/>
      <w:r w:rsidRPr="000E0AA4">
        <w:rPr>
          <w:b/>
          <w:lang w:val="hy-AM"/>
        </w:rPr>
        <w:t>«Հարավկովկասյան երկաթուղի» ՓԲԸ</w:t>
      </w:r>
      <w:bookmarkEnd w:id="296"/>
    </w:p>
    <w:p w14:paraId="013F5479" w14:textId="77777777" w:rsidR="00545EC8" w:rsidRPr="000E0AA4" w:rsidRDefault="00545EC8" w:rsidP="0086137E">
      <w:pPr>
        <w:tabs>
          <w:tab w:val="left" w:pos="0"/>
        </w:tabs>
        <w:spacing w:after="0" w:line="276" w:lineRule="auto"/>
        <w:ind w:firstLine="0"/>
        <w:rPr>
          <w:b/>
          <w:bCs/>
          <w:lang w:val="hy-AM"/>
        </w:rPr>
      </w:pPr>
      <w:r w:rsidRPr="000E0AA4">
        <w:rPr>
          <w:bCs/>
          <w:lang w:val="hy-AM"/>
        </w:rPr>
        <w:t>ՀՀ կառավարության 07.02.2008թ. N83-Ա որոշման հիման վրա Հայաստանի Հանրապետության, «Հարավկովկասյան երկաթուղի» ՓԲԸ-ի և «Ռուսական երկաթուղիներ» ԲԲԸ-ի միջև 13.02.2008թ. կնքվել է «Հայկական երկաթուղու համակարգը «Ռուսական երկաթուղիներ» ԲԲԸ կողմից ստեղծված «Հարավկովկասյան երկաթուղի» ՓԲԸ փոխանցելու մասին» կոնցեսիոն պայմանագիրը:</w:t>
      </w:r>
      <w:r w:rsidRPr="00771B1F">
        <w:rPr>
          <w:bCs/>
          <w:lang w:val="hy-AM"/>
        </w:rPr>
        <w:t xml:space="preserve"> </w:t>
      </w:r>
      <w:r w:rsidRPr="000E0AA4">
        <w:rPr>
          <w:bCs/>
          <w:lang w:val="hy-AM"/>
        </w:rPr>
        <w:t>Ծառայությունների ծավալները և երթուղիները համաձայնեցվում են յուրաքանչյուր տարի՝ հաջորդող տարվա համար, հետևաբար պայմանագրի ֆինանսական տարբեր բաղադրիչների ապագա մակարդակները բարդ է կանխատեսել:</w:t>
      </w:r>
    </w:p>
    <w:p w14:paraId="75986917" w14:textId="77777777" w:rsidR="00545EC8" w:rsidRPr="000E0AA4" w:rsidRDefault="00545EC8" w:rsidP="0086137E">
      <w:pPr>
        <w:tabs>
          <w:tab w:val="left" w:pos="0"/>
        </w:tabs>
        <w:spacing w:after="0" w:line="276" w:lineRule="auto"/>
        <w:ind w:firstLine="0"/>
        <w:rPr>
          <w:b/>
          <w:bCs/>
          <w:lang w:val="hy-AM"/>
        </w:rPr>
      </w:pPr>
      <w:r w:rsidRPr="000E0AA4">
        <w:rPr>
          <w:bCs/>
          <w:lang w:val="hy-AM"/>
        </w:rPr>
        <w:t xml:space="preserve">Կոնցեսիոն պայմանագիրը ներառում է վնասի սուբսիդավորում որոշ անշահավետ ուղևորափոխադրումների երթուղիների համար, որոնք իրականացվել են պայմանագրի բոլոր տարիներին: Սակայն, ըստ պայմանագրի, վճարման ենթակա գումարների առավելագույն չափը սահմանափակվում է կոնցեսիոների կողմից վճարման ենթակա տարեկան կոնցեսիոն վճարի չափով: Համաձայն առկա պատմական տեղեկատվության, կոնցեսիոն պայմանագրի սկզբից ի վեր որևէ այլ պայմանական պարտավորության նյութականացում տեղի չի ունեցել։ </w:t>
      </w:r>
    </w:p>
    <w:p w14:paraId="73048DF7" w14:textId="77777777" w:rsidR="00545EC8" w:rsidRDefault="00545EC8" w:rsidP="0086137E">
      <w:pPr>
        <w:tabs>
          <w:tab w:val="left" w:pos="0"/>
        </w:tabs>
        <w:spacing w:after="0" w:line="276" w:lineRule="auto"/>
        <w:ind w:firstLine="0"/>
        <w:rPr>
          <w:b/>
          <w:bCs/>
          <w:lang w:val="hy-AM"/>
        </w:rPr>
      </w:pPr>
      <w:r w:rsidRPr="000E0AA4">
        <w:rPr>
          <w:bCs/>
          <w:lang w:val="hy-AM"/>
        </w:rPr>
        <w:t>Կոնցեսիոն պայմանագիրը նախատեսում է նաև փոխհատուցումներ մի շարք դեպքերում։ Այդպիսի դեպքերից են՝</w:t>
      </w:r>
    </w:p>
    <w:p w14:paraId="10C736CB" w14:textId="77777777" w:rsidR="00545EC8" w:rsidRPr="00771B1F" w:rsidRDefault="00545EC8" w:rsidP="0086137E">
      <w:pPr>
        <w:pStyle w:val="ListParagraph"/>
        <w:numPr>
          <w:ilvl w:val="0"/>
          <w:numId w:val="39"/>
        </w:numPr>
        <w:tabs>
          <w:tab w:val="left" w:pos="0"/>
        </w:tabs>
        <w:spacing w:before="0" w:after="0" w:line="276" w:lineRule="auto"/>
        <w:ind w:left="0" w:firstLine="0"/>
        <w:rPr>
          <w:b/>
          <w:bCs/>
          <w:lang w:val="hy-AM"/>
        </w:rPr>
      </w:pPr>
      <w:r w:rsidRPr="00771B1F">
        <w:rPr>
          <w:bCs/>
          <w:lang w:val="hy-AM"/>
        </w:rPr>
        <w:t>Օրենսդրության անբարենպաստ փոփոխություն,</w:t>
      </w:r>
    </w:p>
    <w:p w14:paraId="458DB92D" w14:textId="77777777" w:rsidR="00545EC8" w:rsidRPr="00771B1F" w:rsidRDefault="00545EC8" w:rsidP="0086137E">
      <w:pPr>
        <w:pStyle w:val="ListParagraph"/>
        <w:numPr>
          <w:ilvl w:val="0"/>
          <w:numId w:val="39"/>
        </w:numPr>
        <w:tabs>
          <w:tab w:val="left" w:pos="0"/>
        </w:tabs>
        <w:spacing w:before="0" w:after="0" w:line="276" w:lineRule="auto"/>
        <w:ind w:left="0" w:firstLine="0"/>
        <w:rPr>
          <w:b/>
          <w:bCs/>
          <w:lang w:val="hy-AM"/>
        </w:rPr>
      </w:pPr>
      <w:r w:rsidRPr="00771B1F">
        <w:rPr>
          <w:bCs/>
          <w:lang w:val="hy-AM"/>
        </w:rPr>
        <w:t>Անհաղթահարելի ուժի ազդեցության մեղմման ծախսեր,</w:t>
      </w:r>
    </w:p>
    <w:p w14:paraId="6905CC5C" w14:textId="77777777" w:rsidR="00545EC8" w:rsidRPr="00771B1F" w:rsidRDefault="00545EC8" w:rsidP="0086137E">
      <w:pPr>
        <w:pStyle w:val="ListParagraph"/>
        <w:numPr>
          <w:ilvl w:val="0"/>
          <w:numId w:val="39"/>
        </w:numPr>
        <w:tabs>
          <w:tab w:val="left" w:pos="0"/>
        </w:tabs>
        <w:spacing w:before="0" w:after="0" w:line="276" w:lineRule="auto"/>
        <w:ind w:left="0" w:firstLine="0"/>
        <w:rPr>
          <w:b/>
          <w:bCs/>
          <w:lang w:val="hy-AM"/>
        </w:rPr>
      </w:pPr>
      <w:r w:rsidRPr="00771B1F">
        <w:rPr>
          <w:bCs/>
          <w:lang w:val="hy-AM"/>
        </w:rPr>
        <w:t>Անհաղթահարելի ուժի ազդեցության հետևանքով պայմանագրի վաղաժամ դադարեցման հետ կապված վճարումներ,</w:t>
      </w:r>
    </w:p>
    <w:p w14:paraId="1E7DDD89" w14:textId="77777777" w:rsidR="00545EC8" w:rsidRPr="00771B1F" w:rsidRDefault="00545EC8" w:rsidP="0086137E">
      <w:pPr>
        <w:pStyle w:val="ListParagraph"/>
        <w:numPr>
          <w:ilvl w:val="0"/>
          <w:numId w:val="39"/>
        </w:numPr>
        <w:tabs>
          <w:tab w:val="left" w:pos="0"/>
        </w:tabs>
        <w:spacing w:before="0" w:after="0" w:line="276" w:lineRule="auto"/>
        <w:ind w:left="0" w:firstLine="0"/>
        <w:rPr>
          <w:b/>
          <w:bCs/>
          <w:lang w:val="hy-AM"/>
        </w:rPr>
      </w:pPr>
      <w:r w:rsidRPr="00771B1F">
        <w:rPr>
          <w:bCs/>
          <w:lang w:val="hy-AM"/>
        </w:rPr>
        <w:t xml:space="preserve">Կոնցեդենտի կողմից պարտավորությունների չկատարման հիմքով պայմանագրի վաղաժամ դադարեցման վճարներ, </w:t>
      </w:r>
    </w:p>
    <w:p w14:paraId="5DA88AC3" w14:textId="77777777" w:rsidR="00545EC8" w:rsidRPr="00771B1F" w:rsidRDefault="00545EC8" w:rsidP="0086137E">
      <w:pPr>
        <w:pStyle w:val="ListParagraph"/>
        <w:numPr>
          <w:ilvl w:val="0"/>
          <w:numId w:val="39"/>
        </w:numPr>
        <w:tabs>
          <w:tab w:val="left" w:pos="0"/>
        </w:tabs>
        <w:spacing w:before="0" w:after="0" w:line="276" w:lineRule="auto"/>
        <w:ind w:left="0" w:firstLine="0"/>
        <w:rPr>
          <w:b/>
          <w:bCs/>
          <w:lang w:val="hy-AM"/>
        </w:rPr>
      </w:pPr>
      <w:r w:rsidRPr="00771B1F">
        <w:rPr>
          <w:bCs/>
          <w:lang w:val="hy-AM"/>
        </w:rPr>
        <w:t>Փոխադարձ համաձայնությամբ պայմանագրի վաղաժամ դադարեցման վճարներ:</w:t>
      </w:r>
    </w:p>
    <w:p w14:paraId="25E04B4F" w14:textId="77777777" w:rsidR="00545EC8" w:rsidRPr="000E0AA4" w:rsidRDefault="00545EC8" w:rsidP="0086137E">
      <w:pPr>
        <w:tabs>
          <w:tab w:val="left" w:pos="0"/>
        </w:tabs>
        <w:spacing w:after="0" w:line="276" w:lineRule="auto"/>
        <w:ind w:firstLine="0"/>
        <w:rPr>
          <w:b/>
          <w:bCs/>
          <w:lang w:val="hy-AM"/>
        </w:rPr>
      </w:pPr>
      <w:r w:rsidRPr="000E0AA4">
        <w:rPr>
          <w:bCs/>
          <w:lang w:val="hy-AM"/>
        </w:rPr>
        <w:t>Կոնցեսիոն պայմանագրի վաղաժամ դադարեցման մասով պայմանական պարտավորությունները հիմնականում չափելի են և դրանց առավելագույն ազդեցությունը վատագույն սցենարի դեպքում գնահատվում է 103.6 մլրդ ՀՀ դրամ</w:t>
      </w:r>
      <w:r w:rsidRPr="000E0AA4">
        <w:rPr>
          <w:rStyle w:val="FootnoteReference"/>
          <w:bCs/>
        </w:rPr>
        <w:footnoteReference w:id="51"/>
      </w:r>
      <w:r w:rsidRPr="000E0AA4">
        <w:rPr>
          <w:bCs/>
          <w:lang w:val="hy-AM"/>
        </w:rPr>
        <w:t xml:space="preserve">, ընդ որում այդ գումարը կոնցեսիոն գործունեության ընթացքում աճում է՝ հաշվի առնելով պայմանագրի պայմանները: </w:t>
      </w:r>
    </w:p>
    <w:p w14:paraId="28B5E1D4" w14:textId="77777777" w:rsidR="00545EC8" w:rsidRDefault="00545EC8" w:rsidP="0086137E">
      <w:pPr>
        <w:tabs>
          <w:tab w:val="left" w:pos="0"/>
        </w:tabs>
        <w:spacing w:after="0" w:line="276" w:lineRule="auto"/>
        <w:ind w:firstLine="0"/>
        <w:rPr>
          <w:bCs/>
          <w:lang w:val="hy-AM"/>
        </w:rPr>
      </w:pPr>
      <w:r w:rsidRPr="000E0AA4">
        <w:rPr>
          <w:bCs/>
          <w:lang w:val="hy-AM"/>
        </w:rPr>
        <w:t>Կոնցեսիոն պայմանագրի ֆիսկալ ռիսկայնության կարգավիճակը մինչև համավարակը գնահատվում էր միջին, իսկ համավարակի և պատերազմի ճգնաժամերով պայմանավորված՝ նշանակալի, և ներկայումս շարունակում է գնահատվել նշանակալի՝ պայմանավորված զարգացող աշխարհաքաղաքական և մակրոտնտեսական ճգնաժամով։ Միաժամանակ կարևոր է փաստել, որ ընկերության գործունեությունը 2022 թվականին եղել է շահութաբեր՝ 2.3 մլրդ դրամ շահույթով</w:t>
      </w:r>
      <w:r w:rsidRPr="00771B1F">
        <w:rPr>
          <w:bCs/>
          <w:lang w:val="hy-AM"/>
        </w:rPr>
        <w:t>`</w:t>
      </w:r>
      <w:r w:rsidRPr="000E0AA4">
        <w:rPr>
          <w:bCs/>
          <w:lang w:val="hy-AM"/>
        </w:rPr>
        <w:t xml:space="preserve"> արձանագրելով նախորդ տարվա նկատմամբ 82% աճ և ապահովելով զուտ շահույթի մարժայի 10%: Սակայն 2023 թ.-ը ֆինանսապես ոչ այդքան բարենպաստ տարի էր, խոշոր գնորդ «Գեորպրոմայնինգ» ընկերությունից ստացվող եկամուտները կտրուկ անկում ապրեցին՝ պայմանավորված ընկերության արտադրական ծավալների նվազմամբ: ՀԿԵ ընկերության եկամուտները նվազել </w:t>
      </w:r>
      <w:r w:rsidRPr="00771B1F">
        <w:rPr>
          <w:bCs/>
          <w:lang w:val="hy-AM"/>
        </w:rPr>
        <w:t>են 6 մլրդ դրամով, կամ 25%-</w:t>
      </w:r>
      <w:r w:rsidRPr="000E0AA4">
        <w:rPr>
          <w:bCs/>
          <w:lang w:val="hy-AM"/>
        </w:rPr>
        <w:t xml:space="preserve">ով։ Բացի այդ, ընկերությունը վերագնահատել է կոնցեսիոն պայմանագրի արժեքը՝ կիրառելով զեղչված դրամական հոսքերի մեթոդը՝ արժեզրկելով  հիմնական միջոցների և ոչ նյութական ակտիվների մնացորդային </w:t>
      </w:r>
      <w:r w:rsidRPr="00771B1F">
        <w:rPr>
          <w:bCs/>
          <w:lang w:val="hy-AM"/>
        </w:rPr>
        <w:t>արժեքը 61,5</w:t>
      </w:r>
      <w:r w:rsidRPr="000E0AA4">
        <w:rPr>
          <w:bCs/>
          <w:lang w:val="hy-AM"/>
        </w:rPr>
        <w:t xml:space="preserve"> մլրդ-ով, ինչը առաջացրել է 58,7 մլրդ դրամի զուտ վնաս։ 2022 թվականի ընթացքում բեռնափոխադրումների ֆիզիկական ծավալներն 2021 թվականի նկատմամբ ավելացել են մոտ 11 տոկոսով,</w:t>
      </w:r>
      <w:r w:rsidRPr="000E0AA4">
        <w:rPr>
          <w:b/>
          <w:bCs/>
          <w:lang w:val="hy-AM"/>
        </w:rPr>
        <w:t xml:space="preserve"> </w:t>
      </w:r>
      <w:r w:rsidRPr="000E0AA4">
        <w:rPr>
          <w:bCs/>
          <w:lang w:val="hy-AM"/>
        </w:rPr>
        <w:t xml:space="preserve">սակայն 40% անկում են ապրել </w:t>
      </w:r>
      <w:r w:rsidRPr="00771B1F">
        <w:rPr>
          <w:bCs/>
          <w:lang w:val="hy-AM"/>
        </w:rPr>
        <w:t xml:space="preserve">2023 ընթացքում։ Ուղևորափոխադրումների ծավալի աճի տեմպը դանդաղել է 2023 թվականին՝  15%-ից դառնալով 7.5%: </w:t>
      </w:r>
    </w:p>
    <w:p w14:paraId="64A54A78" w14:textId="77777777" w:rsidR="00545EC8" w:rsidRPr="00771B1F" w:rsidRDefault="00545EC8" w:rsidP="00545EC8">
      <w:pPr>
        <w:tabs>
          <w:tab w:val="left" w:pos="0"/>
        </w:tabs>
        <w:spacing w:after="0" w:line="276" w:lineRule="auto"/>
        <w:rPr>
          <w:bCs/>
          <w:lang w:val="hy-AM"/>
        </w:rPr>
      </w:pPr>
    </w:p>
    <w:p w14:paraId="3426D03C" w14:textId="77777777" w:rsidR="00545EC8" w:rsidRPr="000E0AA4" w:rsidRDefault="00545EC8" w:rsidP="00545EC8">
      <w:pPr>
        <w:tabs>
          <w:tab w:val="left" w:pos="0"/>
        </w:tabs>
        <w:spacing w:line="276" w:lineRule="auto"/>
        <w:ind w:firstLine="0"/>
        <w:rPr>
          <w:b/>
          <w:bCs/>
          <w:lang w:val="hy-AM"/>
        </w:rPr>
      </w:pPr>
      <w:r w:rsidRPr="00771B1F">
        <w:rPr>
          <w:b/>
          <w:bCs/>
          <w:i/>
          <w:noProof/>
        </w:rPr>
        <w:drawing>
          <wp:anchor distT="0" distB="0" distL="114300" distR="114300" simplePos="0" relativeHeight="251725824" behindDoc="0" locked="0" layoutInCell="1" allowOverlap="1" wp14:anchorId="5D36D24B" wp14:editId="1B2E79F7">
            <wp:simplePos x="0" y="0"/>
            <wp:positionH relativeFrom="column">
              <wp:posOffset>1503889</wp:posOffset>
            </wp:positionH>
            <wp:positionV relativeFrom="paragraph">
              <wp:posOffset>356064</wp:posOffset>
            </wp:positionV>
            <wp:extent cx="3961130" cy="2381250"/>
            <wp:effectExtent l="0" t="0" r="1270" b="0"/>
            <wp:wrapTopAndBottom/>
            <wp:docPr id="46526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BEBA8EAE-BF5A-486C-A8C5-ECC9F3942E4B}">
                          <a14:imgProps xmlns:a14="http://schemas.microsoft.com/office/drawing/2010/main">
                            <a14:imgLayer r:embed="rId10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961130" cy="2381250"/>
                    </a:xfrm>
                    <a:prstGeom prst="rect">
                      <a:avLst/>
                    </a:prstGeom>
                    <a:noFill/>
                  </pic:spPr>
                </pic:pic>
              </a:graphicData>
            </a:graphic>
            <wp14:sizeRelH relativeFrom="margin">
              <wp14:pctWidth>0</wp14:pctWidth>
            </wp14:sizeRelH>
            <wp14:sizeRelV relativeFrom="margin">
              <wp14:pctHeight>0</wp14:pctHeight>
            </wp14:sizeRelV>
          </wp:anchor>
        </w:drawing>
      </w:r>
      <w:r w:rsidRPr="00771B1F">
        <w:rPr>
          <w:b/>
          <w:bCs/>
          <w:i/>
          <w:lang w:val="hy-AM"/>
        </w:rPr>
        <w:t>Գծապատկեր 18.</w:t>
      </w:r>
      <w:r w:rsidRPr="00771B1F">
        <w:rPr>
          <w:bCs/>
          <w:i/>
          <w:lang w:val="hy-AM"/>
        </w:rPr>
        <w:t xml:space="preserve"> Ուղևորափոխադրումները և բեռնափոխադրումները 2021-2023թթ.</w:t>
      </w:r>
    </w:p>
    <w:p w14:paraId="500F6430" w14:textId="77777777" w:rsidR="00545EC8" w:rsidRPr="003F22FE" w:rsidRDefault="00545EC8" w:rsidP="00545EC8">
      <w:pPr>
        <w:tabs>
          <w:tab w:val="left" w:pos="0"/>
        </w:tabs>
        <w:spacing w:line="240" w:lineRule="auto"/>
        <w:rPr>
          <w:b/>
          <w:bCs/>
          <w:lang w:val="hy-AM"/>
        </w:rPr>
      </w:pPr>
    </w:p>
    <w:p w14:paraId="79836FD5" w14:textId="77777777" w:rsidR="00545EC8" w:rsidRDefault="00545EC8" w:rsidP="0086137E">
      <w:pPr>
        <w:tabs>
          <w:tab w:val="left" w:pos="0"/>
        </w:tabs>
        <w:spacing w:after="0" w:line="276" w:lineRule="auto"/>
        <w:ind w:firstLine="0"/>
        <w:rPr>
          <w:bCs/>
          <w:lang w:val="hy-AM"/>
        </w:rPr>
      </w:pPr>
      <w:r w:rsidRPr="00E353EA">
        <w:rPr>
          <w:bCs/>
          <w:lang w:val="hy-AM"/>
        </w:rPr>
        <w:t xml:space="preserve">Ֆիսկալ ռիսկի կարգավիճակը նշանակալի է՝ նաև հաշվի առնելով տարածաշրջանային ճգնաժամը և ընթացող վերաբանակցությունները։ </w:t>
      </w:r>
    </w:p>
    <w:p w14:paraId="42663BE2" w14:textId="77777777" w:rsidR="00545EC8" w:rsidRPr="00F60A05" w:rsidRDefault="00545EC8" w:rsidP="0086137E">
      <w:pPr>
        <w:tabs>
          <w:tab w:val="left" w:pos="0"/>
        </w:tabs>
        <w:spacing w:after="0" w:line="276" w:lineRule="auto"/>
        <w:ind w:firstLine="0"/>
        <w:rPr>
          <w:bCs/>
          <w:lang w:val="hy-AM"/>
        </w:rPr>
      </w:pPr>
      <w:r w:rsidRPr="00F60A05">
        <w:rPr>
          <w:bCs/>
          <w:lang w:val="hy-AM"/>
        </w:rPr>
        <w:t xml:space="preserve">Կարևոր է նշել, որ Մայիսի </w:t>
      </w:r>
      <w:r w:rsidRPr="00771B1F">
        <w:rPr>
          <w:bCs/>
          <w:lang w:val="hy-AM"/>
        </w:rPr>
        <w:t>25-</w:t>
      </w:r>
      <w:r w:rsidRPr="00F60A05">
        <w:rPr>
          <w:bCs/>
          <w:lang w:val="hy-AM"/>
        </w:rPr>
        <w:t>26-ին հորդառատ անձրևների պատճառով Լոռիում տեղի ունեցած ջրհեղեղները վնասել են երկաթուղային գծի 8 հատված</w:t>
      </w:r>
      <w:r w:rsidRPr="00771B1F">
        <w:rPr>
          <w:bCs/>
          <w:lang w:val="hy-AM"/>
        </w:rPr>
        <w:t>`</w:t>
      </w:r>
      <w:r w:rsidRPr="00F60A05">
        <w:rPr>
          <w:bCs/>
          <w:lang w:val="hy-AM"/>
        </w:rPr>
        <w:t xml:space="preserve"> մինչև 2 կմ ընդհանուր երկայնքով։ Այժմ ընթանում են վերականգման աշխատանքները</w:t>
      </w:r>
      <w:r w:rsidRPr="00771B1F">
        <w:rPr>
          <w:bCs/>
          <w:lang w:val="hy-AM"/>
        </w:rPr>
        <w:t>,</w:t>
      </w:r>
      <w:r w:rsidRPr="00F60A05">
        <w:rPr>
          <w:bCs/>
          <w:lang w:val="hy-AM"/>
        </w:rPr>
        <w:t xml:space="preserve"> և իրականացվում է վնասի չափի գնահատում։ Տարածքային կառավարման և ենթակառուցվածքների նախարարությունը և Կոնցեսիոները համատեղ մշակում են երկաթուղու աշխատանքի ժամանակավոր սխեմաներ:</w:t>
      </w:r>
    </w:p>
    <w:p w14:paraId="67143088" w14:textId="77777777" w:rsidR="00545EC8" w:rsidRPr="004862A5" w:rsidRDefault="00545EC8" w:rsidP="00545EC8">
      <w:pPr>
        <w:rPr>
          <w:b/>
          <w:bCs/>
          <w:sz w:val="24"/>
          <w:szCs w:val="24"/>
          <w:lang w:val="hy-AM"/>
        </w:rPr>
      </w:pPr>
      <w:r>
        <w:rPr>
          <w:b/>
          <w:bCs/>
          <w:sz w:val="24"/>
          <w:szCs w:val="24"/>
          <w:lang w:val="hy-AM"/>
        </w:rPr>
        <w:br w:type="page"/>
      </w:r>
      <w:bookmarkStart w:id="297" w:name="_Toc59655561"/>
      <w:r w:rsidRPr="00B53424">
        <w:rPr>
          <w:b/>
          <w:lang w:val="hy-AM"/>
        </w:rPr>
        <w:t>«Վեոլիա ջուր» ՓԲԸ</w:t>
      </w:r>
      <w:bookmarkEnd w:id="297"/>
    </w:p>
    <w:p w14:paraId="0C96ACAC" w14:textId="77777777" w:rsidR="00545EC8" w:rsidRPr="00B53424" w:rsidRDefault="00545EC8" w:rsidP="0086137E">
      <w:pPr>
        <w:tabs>
          <w:tab w:val="left" w:pos="0"/>
        </w:tabs>
        <w:spacing w:after="0" w:line="276" w:lineRule="auto"/>
        <w:ind w:firstLine="0"/>
        <w:rPr>
          <w:b/>
          <w:bCs/>
          <w:lang w:val="hy-AM"/>
        </w:rPr>
      </w:pPr>
      <w:r w:rsidRPr="00B53424">
        <w:rPr>
          <w:bCs/>
          <w:lang w:val="hy-AM"/>
        </w:rPr>
        <w:t>21.11.2016թ. ՀՀ կառավարության, «Վեոլիա Օ Կոմպանի Ժեներալ Դեզ Օ» կոմանդիտային բաժնետիրական ընկերության և «Վեոլիա Ջուր» ՓԲԸ-ի (այսուհետ` Ընկերություն) միջև կնքվել է «Երևան Ջուր», «Հայջրմուղկոյուղի», «Լոռի-ջրմուղկոյուղի», «Շիրակ-ջրմուղկոյուղի» և «Նոր Ակունք» փակ բաժնետիրական ընկերությունների կողմից օգտագործվող ու պահպանվող ջրային համակարգերի և այլ գույքի վարձակալության պայմանագիր` 15 տարի ժամկետով (Վարձակալական պայմանագիր):</w:t>
      </w:r>
    </w:p>
    <w:p w14:paraId="0B6AFF1B"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Ընկերությունը 2023 թվականին շահութաբեր է եղել` պայմանավորված եկամուտների ավելացմամբ, ինչպես նաև բարելավվել են դեբիտորական պարտքերի հավաքագրման ցուցանիշները։ </w:t>
      </w:r>
    </w:p>
    <w:p w14:paraId="22C96043" w14:textId="77777777" w:rsidR="00545EC8" w:rsidRPr="00B53424" w:rsidRDefault="00545EC8" w:rsidP="0086137E">
      <w:pPr>
        <w:tabs>
          <w:tab w:val="left" w:pos="0"/>
        </w:tabs>
        <w:spacing w:after="0" w:line="276" w:lineRule="auto"/>
        <w:ind w:firstLine="0"/>
        <w:rPr>
          <w:b/>
          <w:bCs/>
          <w:lang w:val="hy-AM"/>
        </w:rPr>
      </w:pPr>
      <w:r w:rsidRPr="00B53424">
        <w:rPr>
          <w:bCs/>
          <w:lang w:val="hy-AM"/>
        </w:rPr>
        <w:t>Վարձակալական պայմանագրի շրջանակներում առկա են մի շարք նշանակալի պայմանական պարտավորություններ, այդ թվում.</w:t>
      </w:r>
    </w:p>
    <w:p w14:paraId="227EBFAF" w14:textId="77777777" w:rsidR="00545EC8" w:rsidRDefault="00545EC8" w:rsidP="0086137E">
      <w:pPr>
        <w:numPr>
          <w:ilvl w:val="0"/>
          <w:numId w:val="18"/>
        </w:numPr>
        <w:tabs>
          <w:tab w:val="left" w:pos="0"/>
          <w:tab w:val="left" w:pos="284"/>
        </w:tabs>
        <w:spacing w:before="0" w:after="0" w:line="276" w:lineRule="auto"/>
        <w:ind w:left="0" w:firstLine="0"/>
        <w:rPr>
          <w:b/>
          <w:bCs/>
          <w:lang w:val="hy-AM"/>
        </w:rPr>
      </w:pPr>
      <w:r w:rsidRPr="00B53424">
        <w:rPr>
          <w:bCs/>
          <w:lang w:val="hy-AM"/>
        </w:rPr>
        <w:t xml:space="preserve">Վարձակալի կողմից պարտադիր կապիտալ աշխատանքների ծրագրի շրջանակից դուրս այլ աշխատանքների իրականացման դեպքում Վարձատուի կողմից համապատասխան գումարի փոխհատուցում, </w:t>
      </w:r>
    </w:p>
    <w:p w14:paraId="738C7224" w14:textId="77777777" w:rsidR="00545EC8" w:rsidRDefault="00545EC8" w:rsidP="0086137E">
      <w:pPr>
        <w:numPr>
          <w:ilvl w:val="0"/>
          <w:numId w:val="18"/>
        </w:numPr>
        <w:tabs>
          <w:tab w:val="left" w:pos="0"/>
          <w:tab w:val="left" w:pos="284"/>
        </w:tabs>
        <w:spacing w:before="0" w:after="0" w:line="276" w:lineRule="auto"/>
        <w:ind w:left="0" w:firstLine="0"/>
        <w:rPr>
          <w:b/>
          <w:bCs/>
          <w:lang w:val="hy-AM"/>
        </w:rPr>
      </w:pPr>
      <w:r w:rsidRPr="00771B1F">
        <w:rPr>
          <w:bCs/>
          <w:lang w:val="hy-AM"/>
        </w:rPr>
        <w:t xml:space="preserve">Բազային սակագնի երաշխիք, որն արդեն առնվազն երկու անգամ կիրառվել է՝ ներառյալ վարձակալական վճարի կրճատումը 2020 և 2021 թվականներին, </w:t>
      </w:r>
    </w:p>
    <w:p w14:paraId="6E03B98C" w14:textId="77777777" w:rsidR="00545EC8" w:rsidRPr="00771B1F" w:rsidRDefault="00545EC8" w:rsidP="0086137E">
      <w:pPr>
        <w:numPr>
          <w:ilvl w:val="0"/>
          <w:numId w:val="18"/>
        </w:numPr>
        <w:tabs>
          <w:tab w:val="left" w:pos="0"/>
          <w:tab w:val="left" w:pos="284"/>
        </w:tabs>
        <w:spacing w:before="0" w:after="0" w:line="276" w:lineRule="auto"/>
        <w:ind w:left="0" w:firstLine="0"/>
        <w:rPr>
          <w:b/>
          <w:bCs/>
          <w:lang w:val="hy-AM"/>
        </w:rPr>
      </w:pPr>
      <w:r w:rsidRPr="00771B1F">
        <w:rPr>
          <w:bCs/>
          <w:lang w:val="hy-AM"/>
        </w:rPr>
        <w:t>Վարձակալական պայմանագիրը պարունակում է վերաբանակցությունների և վաղաժամկետ դադարեցման բազմաթիվ դեպքեր։ Առաջիկայում Վարձակալական պայմանագրի վաղաժամկետ դադարեցման ռիսկը համարվել էր ցածր՝ առնվազն մինչև 2025թ</w:t>
      </w:r>
      <w:r w:rsidRPr="00771B1F">
        <w:rPr>
          <w:rFonts w:ascii="Cambria Math" w:hAnsi="Cambria Math" w:cs="Cambria Math"/>
          <w:bCs/>
          <w:lang w:val="hy-AM"/>
        </w:rPr>
        <w:t>․</w:t>
      </w:r>
      <w:r w:rsidRPr="00771B1F">
        <w:rPr>
          <w:bCs/>
          <w:lang w:val="hy-AM"/>
        </w:rPr>
        <w:t>։ Պայմանագրի վաղաժամ դադարեցման գծով պայմանական պարտավորությունը մասնակի չափելի է և վերագնահատվել է պայմանագրի վերջին փոփոխությունից հետո՝ 60.3  մլրդ դրամ 2023 թվականի վերջի դրությամբ՝ միջանկյալ սցենարի դեպքում, որտեղ նման վճարումը չի կարող գերազանցել ապագա վարձակալական վճարների հանրագումարը:</w:t>
      </w:r>
      <w:r w:rsidRPr="00771B1F">
        <w:rPr>
          <w:lang w:val="hy-AM"/>
        </w:rPr>
        <w:t xml:space="preserve"> </w:t>
      </w:r>
      <w:r w:rsidRPr="00771B1F">
        <w:rPr>
          <w:bCs/>
          <w:lang w:val="hy-AM"/>
        </w:rPr>
        <w:t>Վարձակալը պարբերաբար հանրային տիրույթում արտահայտվում է  Ջրային Կոմիտեի և Կառավարության այլ մարմինների կողմից չկատարված պարտավորությունների վերաբերյալ, ուստի հարցը պետք է մշտապես մշտադիտարկվի, նույնիսկ եթե բանակցությունները միշտ դրական են ավարտվել: Պայմանական պարտավորությունների  նյութականացումը նախորդ տարիներին տեղի է ունեցել հիմնականում վարձակալական վճարի կրճատումների միջոցով, ինչը միջանկյալ սցենարում նվազեցնում է հնարավոր վաղաժամկետ դադարեցման վճարի գումարը:</w:t>
      </w:r>
    </w:p>
    <w:p w14:paraId="1FF23469" w14:textId="77777777" w:rsidR="00545EC8" w:rsidRPr="006B557F" w:rsidRDefault="00545EC8" w:rsidP="0086137E">
      <w:pPr>
        <w:tabs>
          <w:tab w:val="left" w:pos="0"/>
        </w:tabs>
        <w:spacing w:after="0" w:line="276" w:lineRule="auto"/>
        <w:ind w:firstLine="0"/>
        <w:rPr>
          <w:bCs/>
          <w:lang w:val="hy-AM"/>
        </w:rPr>
      </w:pPr>
      <w:r w:rsidRPr="006B557F">
        <w:rPr>
          <w:bCs/>
          <w:lang w:val="hy-AM"/>
        </w:rPr>
        <w:t>Վերջին տարիներին ընթանում էին որոշակի բանակցություններ արդեն իսկ կառուցված ակտիվի, մասնավորապես</w:t>
      </w:r>
      <w:r w:rsidRPr="00771B1F">
        <w:rPr>
          <w:bCs/>
          <w:lang w:val="hy-AM"/>
        </w:rPr>
        <w:t>`</w:t>
      </w:r>
      <w:r w:rsidRPr="006B557F">
        <w:rPr>
          <w:bCs/>
          <w:lang w:val="hy-AM"/>
        </w:rPr>
        <w:t xml:space="preserve"> ջրի մաքրման կայանի վերաբերյալ։ 2023 թվականի սկզբին որոշվեց, որ այդ ակտիվը կփոխանցվի և կվերականգնվի Հայկական տարածքային զարգացման հիմնադրամի կողմից, այսպիսով այս հարցն այլևս չի ստեղծելու ՀՀ կառավարության համար հավելյալ պայմանական պարտավորությունները (վերջին անգամ դրանք գնահատվել էին 13 միլիարդ դրամ): Սակայն նախագիծը դառնալու է պետական բյուջեով ֆինանսավորվող ներդրումային ծրագիր։ Բացի այդ, ակնկալվում է, որ հաջորդ տարիներին էապես կավելանան նաև պետությանը փոխանցվելիք կոնցեսիոն ակտիվներին առնչվող պարտադիր կապիտալ աշխատանքները՝ հաշվի առնելով, որ միջին տարեկան գումարը 2022 թվականից հետո բարձրացել է (ըստ ընկերության գնահատականի դեռևս մոտ 55 մլն ԱՄՆ դոլարի չափով ներդրումներ)։ Այս աշխատանքները ֆինանսավորվելու են պետական բյուջեի միջոցներից, այդպիսով դրանք չեն հանդիսանում պայմանական պարտավորություններ, բայց այս տեղեկատվության առկայությունը ավելի ամբողջական պատկերացում է տալիս այս նախագծի իրական արժեքի մասին:</w:t>
      </w:r>
    </w:p>
    <w:p w14:paraId="29D1600F"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Ի լրումն ընկերությունն </w:t>
      </w:r>
      <w:r w:rsidRPr="00771B1F">
        <w:rPr>
          <w:bCs/>
          <w:lang w:val="hy-AM"/>
        </w:rPr>
        <w:t>իր 2023</w:t>
      </w:r>
      <w:r>
        <w:rPr>
          <w:bCs/>
          <w:lang w:val="hy-AM"/>
        </w:rPr>
        <w:t>թ</w:t>
      </w:r>
      <w:r>
        <w:rPr>
          <w:rFonts w:ascii="Cambria Math" w:hAnsi="Cambria Math"/>
          <w:bCs/>
          <w:lang w:val="hy-AM"/>
        </w:rPr>
        <w:t>․</w:t>
      </w:r>
      <w:r w:rsidRPr="00771B1F">
        <w:rPr>
          <w:bCs/>
          <w:lang w:val="hy-AM"/>
        </w:rPr>
        <w:t xml:space="preserve"> տարեկան հաշվետվության մեջ նշում է մոտ ապագայում վերաբանակցությունների անհրաժեշտության մասին</w:t>
      </w:r>
      <w:r w:rsidRPr="00B53424">
        <w:rPr>
          <w:bCs/>
          <w:lang w:val="hy-AM"/>
        </w:rPr>
        <w:t>։</w:t>
      </w:r>
    </w:p>
    <w:p w14:paraId="605EF6F7" w14:textId="77777777" w:rsidR="00545EC8" w:rsidRPr="00B53424" w:rsidRDefault="00545EC8" w:rsidP="0086137E">
      <w:pPr>
        <w:tabs>
          <w:tab w:val="left" w:pos="0"/>
        </w:tabs>
        <w:spacing w:after="0" w:line="276" w:lineRule="auto"/>
        <w:ind w:firstLine="0"/>
        <w:rPr>
          <w:b/>
          <w:bCs/>
          <w:lang w:val="hy-AM"/>
        </w:rPr>
      </w:pPr>
      <w:r w:rsidRPr="00B53424">
        <w:rPr>
          <w:bCs/>
          <w:lang w:val="hy-AM"/>
        </w:rPr>
        <w:t>Այդպիսով, հարկաբյուջետային ռիսկի կարգավիճակը մնում է նշանակալի:</w:t>
      </w:r>
    </w:p>
    <w:p w14:paraId="36354191" w14:textId="77777777" w:rsidR="00545EC8" w:rsidRPr="00E03C76" w:rsidRDefault="00545EC8" w:rsidP="0086137E">
      <w:pPr>
        <w:spacing w:line="276" w:lineRule="auto"/>
        <w:ind w:firstLine="0"/>
        <w:rPr>
          <w:lang w:val="hy-AM"/>
        </w:rPr>
      </w:pPr>
      <w:bookmarkStart w:id="298" w:name="_Toc59655564"/>
    </w:p>
    <w:p w14:paraId="3421175E" w14:textId="77777777" w:rsidR="00545EC8" w:rsidRPr="00B53424" w:rsidRDefault="00545EC8" w:rsidP="0086137E">
      <w:pPr>
        <w:spacing w:line="276" w:lineRule="auto"/>
        <w:ind w:firstLine="0"/>
        <w:rPr>
          <w:b/>
          <w:lang w:val="hy-AM"/>
        </w:rPr>
      </w:pPr>
      <w:r w:rsidRPr="00B53424">
        <w:rPr>
          <w:b/>
          <w:lang w:val="hy-AM"/>
        </w:rPr>
        <w:t>«Արմենիա Միջազգային Օդանավակայաններ» ՓԲԸ</w:t>
      </w:r>
      <w:bookmarkEnd w:id="298"/>
    </w:p>
    <w:p w14:paraId="748A33C2" w14:textId="77777777" w:rsidR="00545EC8" w:rsidRPr="00B53424" w:rsidRDefault="00545EC8" w:rsidP="0086137E">
      <w:pPr>
        <w:tabs>
          <w:tab w:val="left" w:pos="0"/>
        </w:tabs>
        <w:spacing w:after="0" w:line="276" w:lineRule="auto"/>
        <w:ind w:firstLine="0"/>
        <w:rPr>
          <w:b/>
          <w:bCs/>
          <w:lang w:val="hy-AM"/>
        </w:rPr>
      </w:pPr>
      <w:r w:rsidRPr="00B53424">
        <w:rPr>
          <w:bCs/>
          <w:lang w:val="hy-AM"/>
        </w:rPr>
        <w:t>Կոնցեսիոն պայմանագիրը գործում է 2002թ.-ից՝ Երևանի «Զվարթնոց» օդանավակայանի համար, իսկ 2007թ.-ից ներառում է նաև Գյումրու «Շիրակ» օդանավակայանը: Մայր ընկերությունը աշխարհի օդանավակայանների խոշորագույն օպերատորներից է՝ «Կորպորասիոն Ամերիկա Ս.Ա.» ընկերությունն, որը ցուցակված է Նյու Յորքի ֆոնդային բորսայում:</w:t>
      </w:r>
    </w:p>
    <w:p w14:paraId="74F085AC" w14:textId="77777777" w:rsidR="00545EC8" w:rsidRPr="002F305D" w:rsidRDefault="00545EC8" w:rsidP="0086137E">
      <w:pPr>
        <w:tabs>
          <w:tab w:val="left" w:pos="0"/>
        </w:tabs>
        <w:spacing w:after="0" w:line="276" w:lineRule="auto"/>
        <w:ind w:firstLine="0"/>
        <w:rPr>
          <w:bCs/>
          <w:color w:val="002033"/>
          <w:lang w:val="hy-AM"/>
        </w:rPr>
      </w:pPr>
      <w:r w:rsidRPr="00B53424">
        <w:rPr>
          <w:bCs/>
          <w:lang w:val="hy-AM"/>
        </w:rPr>
        <w:t xml:space="preserve">Խումբը մինչև 2019 թվականը արձանագրում էր շահութաբերության բարձր ցուցանիշներ, իսկ ՀՀ-ի դուստր </w:t>
      </w:r>
      <w:r w:rsidRPr="002F305D">
        <w:rPr>
          <w:bCs/>
          <w:lang w:val="hy-AM"/>
        </w:rPr>
        <w:t>ձեռնարկությունը եղել է ամենաշահութաբերներից մեկը: Համավարակի ճգնաժամից հետո ֆինանսական վիճակը վերականգնվեց և 2022 ին «ԱՄՕ»-ն արձանագրեց 2019 թ</w:t>
      </w:r>
      <w:r w:rsidRPr="002F305D">
        <w:rPr>
          <w:rFonts w:ascii="Cambria Math" w:hAnsi="Cambria Math"/>
          <w:bCs/>
          <w:lang w:val="hy-AM"/>
        </w:rPr>
        <w:t>․-</w:t>
      </w:r>
      <w:r w:rsidRPr="002F305D">
        <w:rPr>
          <w:bCs/>
          <w:lang w:val="hy-AM"/>
        </w:rPr>
        <w:t>ի ցուցանիշները 50% գերազանցող զուտ շահույթի մակարդակ։ 2023 թվականը եղել է էլ ավելի շահութաբեր՝ արձանագրելով շահույթի 74% աճ</w:t>
      </w:r>
      <w:r>
        <w:rPr>
          <w:bCs/>
          <w:lang w:val="hy-AM"/>
        </w:rPr>
        <w:t>՝</w:t>
      </w:r>
      <w:r w:rsidRPr="002F305D">
        <w:rPr>
          <w:bCs/>
          <w:lang w:val="hy-AM"/>
        </w:rPr>
        <w:t xml:space="preserve"> նախորդ տարվա համեմատ, իսկ 21.7% եկամուտների աճով Հայաստանը շարունակում է լինել խմբի ամենաշահութաբեր սեգմենտներից մեկը։</w:t>
      </w:r>
    </w:p>
    <w:p w14:paraId="4A44FC6A" w14:textId="77777777" w:rsidR="00545EC8" w:rsidRPr="006B557F" w:rsidRDefault="00545EC8" w:rsidP="0086137E">
      <w:pPr>
        <w:tabs>
          <w:tab w:val="left" w:pos="0"/>
        </w:tabs>
        <w:spacing w:after="0" w:line="276" w:lineRule="auto"/>
        <w:ind w:firstLine="0"/>
        <w:rPr>
          <w:bCs/>
          <w:lang w:val="hy-AM"/>
        </w:rPr>
      </w:pPr>
      <w:r w:rsidRPr="002F305D">
        <w:rPr>
          <w:bCs/>
          <w:lang w:val="hy-AM"/>
        </w:rPr>
        <w:t>Պայմանագիրը Կոնցեսիոներին</w:t>
      </w:r>
      <w:r w:rsidRPr="006B557F">
        <w:rPr>
          <w:bCs/>
          <w:lang w:val="hy-AM"/>
        </w:rPr>
        <w:t xml:space="preserve"> հնարավորություն է տալիս միակողմանիորեն երկարացնել կոնցեսիայի տևողությունը:</w:t>
      </w:r>
    </w:p>
    <w:p w14:paraId="53943BC2" w14:textId="77777777" w:rsidR="00545EC8" w:rsidRPr="006B557F" w:rsidRDefault="00545EC8" w:rsidP="0086137E">
      <w:pPr>
        <w:tabs>
          <w:tab w:val="left" w:pos="0"/>
        </w:tabs>
        <w:spacing w:after="0" w:line="276" w:lineRule="auto"/>
        <w:ind w:firstLine="0"/>
        <w:rPr>
          <w:bCs/>
          <w:lang w:val="hy-AM"/>
        </w:rPr>
      </w:pPr>
      <w:r w:rsidRPr="006B557F">
        <w:rPr>
          <w:bCs/>
          <w:lang w:val="hy-AM"/>
        </w:rPr>
        <w:t xml:space="preserve">Ըստ պայմանագրի սահմանված է տարեկան 20% ֆինանսական ներքին շահութաբերության թիրախային մակարդակ, որը սահմանված է օդանավակայանում ներդրողի ընդհանուր ներդրումների (այդ թվում սեփական կապիտալի, դրա համարժեքների, ենթավարկերի և/կամ փոխարկելի վարկերի և միջազգային աուդիտորական ընկերության կողմից աուդիտ անցած Կառավարչի հաշվապահական հաշվետվություններում արտացոլված ցանկացած այլ կապիտալ ներդրման) տարեկան ներքին զուտ դոլարային շահութաբերությունը հարկվելուց հետո։  </w:t>
      </w:r>
    </w:p>
    <w:p w14:paraId="78C565BA" w14:textId="77777777" w:rsidR="00545EC8" w:rsidRPr="006B557F" w:rsidRDefault="00545EC8" w:rsidP="0086137E">
      <w:pPr>
        <w:tabs>
          <w:tab w:val="left" w:pos="0"/>
        </w:tabs>
        <w:spacing w:after="0" w:line="276" w:lineRule="auto"/>
        <w:ind w:firstLine="0"/>
        <w:rPr>
          <w:bCs/>
          <w:lang w:val="hy-AM"/>
        </w:rPr>
      </w:pPr>
      <w:r w:rsidRPr="006B557F">
        <w:rPr>
          <w:bCs/>
          <w:lang w:val="hy-AM"/>
        </w:rPr>
        <w:t xml:space="preserve">Համաձայնեցված ներքին շահութաբերության մակարդակը պահպանելու համար պայմանագրով նախատեսված է հետևյալ մեխանիզմը՝ մաստեր-պլանի վերանայում, որի արդյունքում փոխվում է կապիտալ ծախսերի կառուցվածքը և ժամանակացույցը, սակագնի բարձրացում և պայմանագրի ժամկետի երկարացում։ Պայմանագրի դադարեցման փոխհատուցման վճարները կարող են լինել չափազանց բարձր վաղաժամ դադարեցման դեպքում։ </w:t>
      </w:r>
    </w:p>
    <w:p w14:paraId="47DC921F" w14:textId="77777777" w:rsidR="00545EC8" w:rsidRPr="00B53424" w:rsidRDefault="00545EC8" w:rsidP="0086137E">
      <w:pPr>
        <w:tabs>
          <w:tab w:val="left" w:pos="0"/>
        </w:tabs>
        <w:spacing w:after="0" w:line="276" w:lineRule="auto"/>
        <w:ind w:firstLine="0"/>
        <w:rPr>
          <w:b/>
          <w:bCs/>
          <w:lang w:val="hy-AM"/>
        </w:rPr>
      </w:pPr>
      <w:r w:rsidRPr="00B53424">
        <w:rPr>
          <w:bCs/>
          <w:lang w:val="hy-AM"/>
        </w:rPr>
        <w:t>Հաշվի առնելով ընկերության բարձր շահութաբերությունը՝ պայմանագրի վաղաժամ դադարեցման պայմանական պարտավորությունը և ընկերության բիզնես ռիսկը ի սկզբանե գնահատվում էին ցածր, սակայն օդանավակայանների ոլորտը համավարակով պայմանավորված ճգնաժամից առավել տուժածներից մեկն է, իսկ այժմ այն ևս աշխարհաքաղաքական ճգնաժամով պայմանավորված դրսևորում է չափազանց տատանողական վարքագիծ</w:t>
      </w:r>
      <w:r>
        <w:rPr>
          <w:bCs/>
          <w:lang w:val="hy-AM"/>
        </w:rPr>
        <w:t>՝</w:t>
      </w:r>
      <w:r w:rsidRPr="00B53424">
        <w:rPr>
          <w:bCs/>
          <w:lang w:val="hy-AM"/>
        </w:rPr>
        <w:t xml:space="preserve"> ունենալով եզակիորեն </w:t>
      </w:r>
      <w:r w:rsidRPr="002F305D">
        <w:rPr>
          <w:bCs/>
          <w:lang w:val="hy-AM"/>
        </w:rPr>
        <w:t>շահութաբեր 2022-2023 թվականներ</w:t>
      </w:r>
      <w:r w:rsidRPr="00B53424">
        <w:rPr>
          <w:bCs/>
          <w:lang w:val="hy-AM"/>
        </w:rPr>
        <w:t xml:space="preserve">, որոնք սակայն կարող են կայուն չլինել։ </w:t>
      </w:r>
    </w:p>
    <w:p w14:paraId="73DE8B59" w14:textId="77777777" w:rsidR="00545EC8" w:rsidRPr="00B53424" w:rsidRDefault="00545EC8" w:rsidP="0086137E">
      <w:pPr>
        <w:tabs>
          <w:tab w:val="left" w:pos="0"/>
        </w:tabs>
        <w:spacing w:after="0" w:line="276" w:lineRule="auto"/>
        <w:ind w:firstLine="0"/>
        <w:rPr>
          <w:b/>
          <w:bCs/>
          <w:lang w:val="hy-AM"/>
        </w:rPr>
      </w:pPr>
      <w:r w:rsidRPr="00B53424">
        <w:rPr>
          <w:bCs/>
          <w:lang w:val="hy-AM"/>
        </w:rPr>
        <w:t>Համավարակի ժամանակաշրջանում ընկերությունը ստիպված եղավ հայցել վարկային պայմանագրի ֆինանսական քովենանթի չեղարկում, որը բավարարվեց ֆինանսավորողի կողմից և մարման ժամանակացույցը երկարաձգվեց մինչև 2024 թվականը:</w:t>
      </w:r>
    </w:p>
    <w:p w14:paraId="3B94B83D"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2021-2022 թվականներից սկսած «Կորպորասիոն Ամերիկա Ս.Ա.» ընկերությունների խմբի ֆինանսական վիճակը զգալիորեն վերականգնվել է՝ պայմանավորված գործառնությունների վերսկսմամբ, ստացված մի շարք փոխհատուցումներով, վերակառուցված և նոր վարկերով, սակայն գործառնությունների մակարդակը, բացի Հայաստանից, զիջում է մինչև համավարակն առկա մակարդակին: Նշված վերականգնումը արտահայտվել է նաև Խմբի համախմբված դրամական մնացորդի ցուցանիշով, հետևաբար, անհրաժեշտության դեպքում Խումբը կրկին կկարողանա աջակցել «ԱՄՕ» ՓԲԸ-ին։ </w:t>
      </w:r>
    </w:p>
    <w:p w14:paraId="536CCD02" w14:textId="77777777" w:rsidR="00545EC8" w:rsidRPr="002F305D" w:rsidRDefault="00545EC8" w:rsidP="0086137E">
      <w:pPr>
        <w:tabs>
          <w:tab w:val="left" w:pos="0"/>
        </w:tabs>
        <w:spacing w:after="0" w:line="276" w:lineRule="auto"/>
        <w:ind w:firstLine="0"/>
        <w:rPr>
          <w:bCs/>
          <w:lang w:val="hy-AM"/>
        </w:rPr>
      </w:pPr>
      <w:r w:rsidRPr="00B53424">
        <w:rPr>
          <w:bCs/>
          <w:lang w:val="hy-AM"/>
        </w:rPr>
        <w:t>Ինչպես երևում է ՀՀ ուղևորափոխադրումների վիճակագրությունից, ոլորտի վերականգնումը գրանցվել է 2021 թվականի ընթացքում և թափ է առել 2022 թվականին</w:t>
      </w:r>
      <w:r>
        <w:rPr>
          <w:bCs/>
          <w:lang w:val="hy-AM"/>
        </w:rPr>
        <w:t>՝</w:t>
      </w:r>
      <w:r w:rsidRPr="00B53424">
        <w:rPr>
          <w:bCs/>
          <w:lang w:val="hy-AM"/>
        </w:rPr>
        <w:t xml:space="preserve"> </w:t>
      </w:r>
      <w:r w:rsidRPr="002F305D">
        <w:rPr>
          <w:bCs/>
          <w:lang w:val="hy-AM"/>
        </w:rPr>
        <w:t>շարունակվելով 2023թ.-ին  երբարձանագրված ծավալները գերազանցել են նախահամավարակային մակարդակը: Սակայն 2024 թվականի առջին չորս ամիսներին նկատվում է ուղևորափոխադրումների որոշակի անկում։</w:t>
      </w:r>
    </w:p>
    <w:p w14:paraId="10019F32" w14:textId="77777777" w:rsidR="00545EC8" w:rsidRPr="00B53424" w:rsidRDefault="00545EC8" w:rsidP="0086137E">
      <w:pPr>
        <w:tabs>
          <w:tab w:val="left" w:pos="0"/>
        </w:tabs>
        <w:spacing w:after="0" w:line="276" w:lineRule="auto"/>
        <w:ind w:firstLine="0"/>
        <w:rPr>
          <w:b/>
          <w:bCs/>
          <w:lang w:val="hy-AM"/>
        </w:rPr>
      </w:pPr>
      <w:r w:rsidRPr="00B53424">
        <w:rPr>
          <w:bCs/>
          <w:lang w:val="hy-AM"/>
        </w:rPr>
        <w:t>Բեռնափոխադրումների ծավալները ևս վերականգնվել են 2022թ.` գերազանցելով 2019թ. մակարդակը 16.3%-ով։ Այսպիսով բեռնափախադրումների ծավալները 2022 և 2023 թվականի սկզբին գերազանցում են նախաճգնաժամային ծավալները</w:t>
      </w:r>
      <w:r>
        <w:rPr>
          <w:bCs/>
          <w:lang w:val="hy-AM"/>
        </w:rPr>
        <w:t>՝</w:t>
      </w:r>
      <w:r w:rsidRPr="00B53424">
        <w:rPr>
          <w:bCs/>
          <w:lang w:val="hy-AM"/>
        </w:rPr>
        <w:t xml:space="preserve"> հիմնականում պայմանավորված Ռուսաստանի Դաշնության հետ առևտրաշրջանառության աճով։  Բեռնափոխադրումների ծավալը շարունակել է աճել 2024 թվականի առաջին ամիսներին՝ ի տարբերություն ուղևորների։ Հարկ է նշել, որ և՛ բեռների, և՛ ուղևորների համար ծավալները 2023 թվականին 2022 թվականի համեմատ աճել են ավելի քան 45 տոկոսով։</w:t>
      </w:r>
    </w:p>
    <w:p w14:paraId="2944EFFF" w14:textId="77777777" w:rsidR="00545EC8" w:rsidRPr="002F305D" w:rsidRDefault="00545EC8" w:rsidP="0086137E">
      <w:pPr>
        <w:tabs>
          <w:tab w:val="left" w:pos="0"/>
        </w:tabs>
        <w:spacing w:after="0" w:line="276" w:lineRule="auto"/>
        <w:ind w:firstLine="0"/>
        <w:rPr>
          <w:bCs/>
          <w:lang w:val="hy-AM"/>
        </w:rPr>
      </w:pPr>
      <w:r w:rsidRPr="00B53424">
        <w:rPr>
          <w:bCs/>
          <w:lang w:val="hy-AM"/>
        </w:rPr>
        <w:t xml:space="preserve">Շարունակվել է շահույթի նախքան հարկումը, տոկոսավճարները և մաշվածությունը (EBITDA) զգալի վերականգնումը։ «ԱՄՕ» ՓԲԸ-ն լավ է դիմակայել 44-օրյա պատերազմի, նոր կորոնավիրուսային տարբերակների, Ռուսաստան-Ուկրաինա պատերազմի, 2022 և 2023թ սեպտեմբերյան ադրբեջանական ներխուժման հետևանքով ստեղծված </w:t>
      </w:r>
      <w:r w:rsidRPr="002F305D">
        <w:rPr>
          <w:bCs/>
          <w:lang w:val="hy-AM"/>
        </w:rPr>
        <w:t>մարտահրավերներին: 2022 թվականին վերականգնումը EBITDA եկամուտներ հարաբերակցությունը հասցրեց 33%-ի՝ բավականին բարձր, թեև ոչ այնքան բարձր, որքան 2021 թվականին՝ հաշվի առնելով եկամուտների կառուցվածքում վառելիքի լիցքավորման ծառայություններից ստացված եկամուտների շատ ավելի մեծ տեսակարար կշիռը (աշխարհաքաղաքական ճգնաժամի պատճառով վառելիքի ավելի բարձր գները), որոնց պարագայում ավելի ցածր է մարժան: 2023 թվականին EBITDA ցուցանիշը կազմեց 39.5%:</w:t>
      </w:r>
    </w:p>
    <w:p w14:paraId="54B7D144" w14:textId="77777777" w:rsidR="00545EC8" w:rsidRPr="002F305D" w:rsidRDefault="00545EC8" w:rsidP="0086137E">
      <w:pPr>
        <w:tabs>
          <w:tab w:val="left" w:pos="0"/>
        </w:tabs>
        <w:spacing w:after="0" w:line="276" w:lineRule="auto"/>
        <w:ind w:firstLine="0"/>
        <w:rPr>
          <w:bCs/>
          <w:lang w:val="hy-AM"/>
        </w:rPr>
      </w:pPr>
      <w:r w:rsidRPr="002F305D">
        <w:rPr>
          <w:bCs/>
          <w:lang w:val="hy-AM"/>
        </w:rPr>
        <w:t>Կանխիկի մնացորդը 2023 թվականի տարեվերջին կազմել է 39 մլն ԱՄՆ դոլարինչն ավելի բարձր է, քան 2024 թվականին պարտքի սպասարկման գծով սպասվող վճարումները՝ հաշվի առնելով, որ նախորդ վարկային պայմանագիրը փոխարինվել է մեկ տարով ավելի երկար ժամկետ ունեցող Ամերիա բանկի հետ վարկային համաձայնագրով</w:t>
      </w:r>
      <w:r>
        <w:rPr>
          <w:bCs/>
          <w:lang w:val="hy-AM"/>
        </w:rPr>
        <w:t xml:space="preserve">։ </w:t>
      </w:r>
      <w:r w:rsidRPr="002F305D">
        <w:rPr>
          <w:bCs/>
          <w:lang w:val="hy-AM"/>
        </w:rPr>
        <w:t>Արդյուքնում</w:t>
      </w:r>
      <w:r>
        <w:rPr>
          <w:bCs/>
          <w:lang w:val="hy-AM"/>
        </w:rPr>
        <w:t>,</w:t>
      </w:r>
      <w:r w:rsidRPr="002F305D">
        <w:rPr>
          <w:bCs/>
          <w:lang w:val="hy-AM"/>
        </w:rPr>
        <w:t xml:space="preserve"> նվազում է համապատասխան պայմանական պարտավորությունը։</w:t>
      </w:r>
    </w:p>
    <w:p w14:paraId="2AE4106C" w14:textId="77777777" w:rsidR="00545EC8" w:rsidRPr="00B53424" w:rsidRDefault="00545EC8" w:rsidP="0086137E">
      <w:pPr>
        <w:tabs>
          <w:tab w:val="left" w:pos="0"/>
        </w:tabs>
        <w:spacing w:after="0" w:line="276" w:lineRule="auto"/>
        <w:ind w:firstLine="0"/>
        <w:rPr>
          <w:b/>
          <w:bCs/>
          <w:lang w:val="hy-AM"/>
        </w:rPr>
      </w:pPr>
      <w:r w:rsidRPr="002F305D">
        <w:rPr>
          <w:bCs/>
          <w:lang w:val="hy-AM"/>
        </w:rPr>
        <w:t>Խումբը նաև հրապարակայնորեն հայտարարել է Զվարթնոց օդանավակայանի ընդլայնման մասին, որը ենթադրում է՝ հզորությունների կրկնապատկում և ներդրումների ծավալը գնահատվում է  400 մլն ԱՄՆ դոլար։ Ընդլայնման ծրագրի շուրջ բանակցությունները դեռ շարունակվում</w:t>
      </w:r>
      <w:r w:rsidRPr="00B53424">
        <w:rPr>
          <w:bCs/>
          <w:lang w:val="hy-AM"/>
        </w:rPr>
        <w:t xml:space="preserve"> են, և այդ ծրագիրը զգալիորեն կբարձրացնի ՀՀ կառավարության համար պայմանական պարտավորությունները, հատկապես գործող պայմանագրի կարգավորումների ներքո։</w:t>
      </w:r>
    </w:p>
    <w:p w14:paraId="0A56B63C" w14:textId="77777777" w:rsidR="00545EC8" w:rsidRPr="00B53424" w:rsidRDefault="00545EC8" w:rsidP="0086137E">
      <w:pPr>
        <w:tabs>
          <w:tab w:val="left" w:pos="0"/>
        </w:tabs>
        <w:spacing w:after="0" w:line="276" w:lineRule="auto"/>
        <w:ind w:firstLine="0"/>
        <w:rPr>
          <w:b/>
          <w:bCs/>
          <w:lang w:val="hy-AM"/>
        </w:rPr>
      </w:pPr>
      <w:r w:rsidRPr="00B53424">
        <w:rPr>
          <w:bCs/>
          <w:lang w:val="hy-AM"/>
        </w:rPr>
        <w:t>Վերը նշված հանգամանքներից ելնելով</w:t>
      </w:r>
      <w:r>
        <w:rPr>
          <w:bCs/>
          <w:lang w:val="hy-AM"/>
        </w:rPr>
        <w:t>՝</w:t>
      </w:r>
      <w:r w:rsidRPr="00B53424">
        <w:rPr>
          <w:bCs/>
          <w:lang w:val="hy-AM"/>
        </w:rPr>
        <w:t xml:space="preserve"> սույն ՊՄԳ պայմանագրի գծով պայմանական պարտավորությունների ֆիսկալ ռիսկի կարգավիճակը, որը փոխվել էր միջինի՝ չնայած նոր աշխարհաքաղաքական և մակրոտնտեսական ճգնաժամից բխող անորոշություններին, վերագնահատվել է նախ</w:t>
      </w:r>
      <w:r w:rsidRPr="00B26858">
        <w:rPr>
          <w:bCs/>
          <w:lang w:val="hy-AM"/>
        </w:rPr>
        <w:t>որդ տարի: Հաշվի առնելով «Զվարթնոց» օդանավակայանի ընդլայնման հավակնոտ ծրագիրը և դրա հիմքում դրված ուղևորահոսքի ենթադրությունը, որը հիմնվել է նախորդ երկու տարիների արտասովոր ցուցանիշնեիրի վրա և, մյուս կողմից, այդ ցուցանիշների կայունության անորոշությունը միջնաժամկետ և երկարաժամկետ հեռանկարում, ինչը կարող է հագեցնել ՀՀ-ի համար պայմանական պարտավորությունների, ինչպես արժեքի այնպես էլ հավանականության  ավելացման: Մինչ ընդլայնման ծրագիրը, «ԱՄՕ» ՓԲԸ-ի ռիսկը զգալիորեն բարելավվել էր, սակայն այժմ այս ՊՄԳ-ի հարկաբյուջետային ռիսկի կարգավիճակը շարունակում է մնալ «Էական»:</w:t>
      </w:r>
    </w:p>
    <w:p w14:paraId="3B99DBB6" w14:textId="77777777" w:rsidR="00545EC8" w:rsidRPr="00B53424" w:rsidRDefault="00545EC8" w:rsidP="0086137E">
      <w:pPr>
        <w:tabs>
          <w:tab w:val="left" w:pos="0"/>
        </w:tabs>
        <w:spacing w:after="0" w:line="276" w:lineRule="auto"/>
        <w:ind w:firstLine="0"/>
        <w:rPr>
          <w:b/>
          <w:bCs/>
          <w:lang w:val="hy-AM"/>
        </w:rPr>
      </w:pPr>
    </w:p>
    <w:p w14:paraId="188EACA3" w14:textId="77777777" w:rsidR="00545EC8" w:rsidRPr="00B53424" w:rsidRDefault="00545EC8" w:rsidP="0086137E">
      <w:pPr>
        <w:tabs>
          <w:tab w:val="left" w:pos="0"/>
        </w:tabs>
        <w:spacing w:line="276" w:lineRule="auto"/>
        <w:ind w:firstLine="0"/>
        <w:rPr>
          <w:b/>
          <w:lang w:val="hy-AM"/>
        </w:rPr>
      </w:pPr>
      <w:r w:rsidRPr="00B53424">
        <w:rPr>
          <w:b/>
          <w:lang w:val="hy-AM"/>
        </w:rPr>
        <w:t>«Քոնթուր Գլոբալ հիդրո կասկադ» ՓԲԸ</w:t>
      </w:r>
    </w:p>
    <w:p w14:paraId="3481A2B0"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Ընկերությունը հանդիսանում է հիդրոէլեկտրաէներգիայի արտադրության առանցքային համալիրներից մեկը: Այն նախկինում պետական մասնակցությամբ ընկերություն էր, որը մասնավորեցման արդյունքում վաճառվել է էլեկտրաէներգիայի արտադրությամբ զբաղվող «Քոնթուր Գլոբալ» խոշոր միջազգային խմբին: Ընկերությունն արտադրված էլեկտրաէներգիան վաճառում է «Հայաստանի էլեկտրական ցանցեր» ՓԲԸ-ին (ՀԷՑ)՝ ՀԾԿՀ կողմից հաստատված սակագներով: ՀԷՑ ընկերությունը պարտավոր է գնել արտադրված ամբողջ էլեկտրաէներգիան, իսկ չգնելու դեպքում՝ վճարել փոխհատուցում, որը մինչ այժմ չի կիրառվել: Ամենախոշոր պայմանական պարտավորությունը պետության կողմից հիմնական միջոցների հետգնման պարտավորությունն է, որի արժեքը </w:t>
      </w:r>
      <w:r w:rsidRPr="002E0437">
        <w:rPr>
          <w:bCs/>
          <w:lang w:val="hy-AM"/>
        </w:rPr>
        <w:t>2023թ. ավարտին կազմում է 100 մլրդ դրամ, սակայն ակնկալվում է դրա նվազում՝ պայմանավորված խոշոր ներդրումների պլանների բացակայությամբ</w:t>
      </w:r>
      <w:r w:rsidRPr="00B53424">
        <w:rPr>
          <w:bCs/>
          <w:lang w:val="hy-AM"/>
        </w:rPr>
        <w:t xml:space="preserve"> և փախարժեքային տատանումով պայմանավորված վերագնահատումներով:</w:t>
      </w:r>
    </w:p>
    <w:p w14:paraId="6C4AF9A0" w14:textId="77777777" w:rsidR="00545EC8" w:rsidRPr="00B53424" w:rsidRDefault="00545EC8" w:rsidP="0086137E">
      <w:pPr>
        <w:tabs>
          <w:tab w:val="left" w:pos="0"/>
        </w:tabs>
        <w:spacing w:after="0" w:line="276" w:lineRule="auto"/>
        <w:ind w:firstLine="0"/>
        <w:rPr>
          <w:b/>
          <w:bCs/>
          <w:lang w:val="hy-AM"/>
        </w:rPr>
      </w:pPr>
      <w:r w:rsidRPr="00B53424">
        <w:rPr>
          <w:bCs/>
          <w:lang w:val="hy-AM"/>
        </w:rPr>
        <w:t>Նշենք նաև, որ ընկերությունը ներկայում մարում է Վերականգնման վարկերի</w:t>
      </w:r>
      <w:r w:rsidRPr="00B53424">
        <w:rPr>
          <w:rFonts w:ascii="Calibri" w:hAnsi="Calibri" w:cs="Calibri"/>
          <w:bCs/>
          <w:lang w:val="hy-AM"/>
        </w:rPr>
        <w:t> </w:t>
      </w:r>
      <w:r w:rsidRPr="00B53424">
        <w:rPr>
          <w:bCs/>
          <w:lang w:val="hy-AM"/>
        </w:rPr>
        <w:t>բանկից</w:t>
      </w:r>
      <w:r w:rsidRPr="00B53424">
        <w:rPr>
          <w:rFonts w:ascii="Calibri" w:hAnsi="Calibri" w:cs="Calibri"/>
          <w:bCs/>
          <w:lang w:val="hy-AM"/>
        </w:rPr>
        <w:t> </w:t>
      </w:r>
      <w:r w:rsidRPr="00B53424">
        <w:rPr>
          <w:bCs/>
          <w:lang w:val="hy-AM"/>
        </w:rPr>
        <w:t xml:space="preserve">(KfW) եվրոյով ստացված վարկը, ինչպես նաև 3 այլ ՄՖՀ-ներից, այդ թվում՝ Միջազգային ֆինանսական կորպորացիայից, ԱՄՆ դոլարով ստացված վարկեր: Այս առնչության հարկ է նկատել, որ 2020թ. ԱՄՆ դոլարի և եվրոյի փոխարժեքները դրամի նկատմամբ աճել էին, մինչդեռ 2021թ. և հատկապես 2022թ. դրամը արժևորվել է և կայուն պահպանում է այդ բարձր մակարդակը։ </w:t>
      </w:r>
    </w:p>
    <w:p w14:paraId="1357581A" w14:textId="77777777" w:rsidR="00545EC8" w:rsidRPr="006B557F" w:rsidRDefault="00545EC8" w:rsidP="0086137E">
      <w:pPr>
        <w:tabs>
          <w:tab w:val="left" w:pos="0"/>
        </w:tabs>
        <w:spacing w:after="0" w:line="276" w:lineRule="auto"/>
        <w:ind w:firstLine="0"/>
        <w:rPr>
          <w:bCs/>
          <w:lang w:val="hy-AM"/>
        </w:rPr>
      </w:pPr>
      <w:r w:rsidRPr="006B557F">
        <w:rPr>
          <w:bCs/>
          <w:lang w:val="hy-AM"/>
        </w:rPr>
        <w:t xml:space="preserve">2019թ. ընկերության գործունեությունը եղել է շահութաբեր, 2020թ. COVID-19 համավարակի հետևանքով տնտեսական ակտիվության կտրուկ նվազման հետ մեկտեղ, ընկերությունն արձանագրել է հասույթի մոտ 25 տոկոս կրճատում, ինչը խիստ ազդեցություն է ունեցել ընկերության գործունեության՝ առանց արտադրված ամբողջ էլեկտրաէներգիան գնելու կամ փոխհատուցում վճարելու պարտավորությունն ակտիվացնելու: Դրան ավելացան նաև արտարժույթի փոխարժեքի հետ կապված վնասները՝ ԱՄՆ դոլարի և Եվրոյի նկատմամբ արժեզրկման հետևանքով, ինչը հանգեցրեց պարտքի սպասարկման առավել մեծ ծախսերի: Արդյունքում, 2020թ. ընկերությունն արձանագրել է սեփական կապիտալի բացասական մակարդակ՝ չնայած բաժնետերերի կողմից հավելյալ սեփական կապիտալի ներարկմանը: Ընկերությունը շարունակում է սպասարկել իր վարկերը՝ շնորհիվ բաժնետերերի հավելյալ աջակցության, որոնք տրամադրել են ավելի քան 10 մլրդ դրամ ծավալով արտակարգ աջակցության վարկ (համարժեք է ընկերության 2020թ. հասույթին): 2021 ընթացքում բաժնետերերի կողմից նորից կատարվել է սեփական կապիտալի ավելացում։ </w:t>
      </w:r>
    </w:p>
    <w:p w14:paraId="18DBA35B" w14:textId="77777777" w:rsidR="00545EC8" w:rsidRPr="00B53424" w:rsidRDefault="00545EC8" w:rsidP="0086137E">
      <w:pPr>
        <w:tabs>
          <w:tab w:val="left" w:pos="0"/>
        </w:tabs>
        <w:spacing w:after="0" w:line="276" w:lineRule="auto"/>
        <w:ind w:firstLine="0"/>
        <w:rPr>
          <w:b/>
          <w:bCs/>
          <w:lang w:val="hy-AM"/>
        </w:rPr>
      </w:pPr>
      <w:r w:rsidRPr="00B53424">
        <w:rPr>
          <w:bCs/>
          <w:lang w:val="hy-AM"/>
        </w:rPr>
        <w:t>Հասույթի գեներացումը բարելավվել է 2021 թվականին</w:t>
      </w:r>
      <w:r>
        <w:rPr>
          <w:bCs/>
          <w:lang w:val="hy-AM"/>
        </w:rPr>
        <w:t>՝</w:t>
      </w:r>
      <w:r w:rsidRPr="00B53424">
        <w:rPr>
          <w:bCs/>
          <w:lang w:val="hy-AM"/>
        </w:rPr>
        <w:t xml:space="preserve"> գերազանցելով 2019 մակարդակը և ապահովելով էականորեն ավելի բարձր շահույթ, դրական միտումը շարունակվել է 2022թ</w:t>
      </w:r>
      <w:r w:rsidRPr="00B53424">
        <w:rPr>
          <w:rFonts w:ascii="Cambria Math" w:hAnsi="Cambria Math" w:cs="Cambria Math"/>
          <w:bCs/>
          <w:lang w:val="hy-AM"/>
        </w:rPr>
        <w:t>․</w:t>
      </w:r>
      <w:r w:rsidRPr="00B53424">
        <w:rPr>
          <w:bCs/>
          <w:lang w:val="hy-AM"/>
        </w:rPr>
        <w:t>-</w:t>
      </w:r>
      <w:r w:rsidRPr="00B53424">
        <w:rPr>
          <w:rFonts w:cs="GHEA Grapalat"/>
          <w:bCs/>
          <w:lang w:val="hy-AM"/>
        </w:rPr>
        <w:t>ին,</w:t>
      </w:r>
      <w:r w:rsidRPr="00B53424">
        <w:rPr>
          <w:bCs/>
          <w:lang w:val="hy-AM"/>
        </w:rPr>
        <w:t xml:space="preserve"> </w:t>
      </w:r>
      <w:r w:rsidRPr="00B53424">
        <w:rPr>
          <w:rFonts w:cs="GHEA Grapalat"/>
          <w:bCs/>
          <w:lang w:val="hy-AM"/>
        </w:rPr>
        <w:t>երբ</w:t>
      </w:r>
      <w:r w:rsidRPr="00B53424">
        <w:rPr>
          <w:bCs/>
          <w:lang w:val="hy-AM"/>
        </w:rPr>
        <w:t xml:space="preserve"> </w:t>
      </w:r>
      <w:r w:rsidRPr="00B53424">
        <w:rPr>
          <w:rFonts w:cs="GHEA Grapalat"/>
          <w:bCs/>
          <w:lang w:val="hy-AM"/>
        </w:rPr>
        <w:t>ընկերությունները</w:t>
      </w:r>
      <w:r w:rsidRPr="00B53424">
        <w:rPr>
          <w:bCs/>
          <w:lang w:val="hy-AM"/>
        </w:rPr>
        <w:t xml:space="preserve"> </w:t>
      </w:r>
      <w:r w:rsidRPr="00B53424">
        <w:rPr>
          <w:rFonts w:cs="GHEA Grapalat"/>
          <w:bCs/>
          <w:lang w:val="hy-AM"/>
        </w:rPr>
        <w:t>արձա</w:t>
      </w:r>
      <w:r w:rsidRPr="00B53424">
        <w:rPr>
          <w:bCs/>
          <w:lang w:val="hy-AM"/>
        </w:rPr>
        <w:t xml:space="preserve">նագրել է 2019 թվականի շահույթը գերազանցող մակարդակ։ </w:t>
      </w:r>
    </w:p>
    <w:p w14:paraId="3D169F98" w14:textId="77777777" w:rsidR="00545EC8" w:rsidRPr="00B53424" w:rsidRDefault="00545EC8" w:rsidP="0086137E">
      <w:pPr>
        <w:tabs>
          <w:tab w:val="left" w:pos="0"/>
        </w:tabs>
        <w:spacing w:after="0" w:line="276" w:lineRule="auto"/>
        <w:ind w:firstLine="0"/>
        <w:rPr>
          <w:b/>
          <w:bCs/>
          <w:lang w:val="hy-AM"/>
        </w:rPr>
      </w:pPr>
      <w:r w:rsidRPr="00B53424">
        <w:rPr>
          <w:bCs/>
          <w:lang w:val="hy-AM"/>
        </w:rPr>
        <w:t>Մայր կազմակերպության կողմից աջակցությունը առկա էր նաև 2022 թվականին, սեփական կապիտալի մոտ 2 մլրդ դրամի չափով ներարկումով, որը մասամբ փոխհատուցել էր բաժնետերերի վարկի ավելի մեծ մարումները:</w:t>
      </w:r>
    </w:p>
    <w:p w14:paraId="27F55347" w14:textId="77777777" w:rsidR="00545EC8" w:rsidRPr="00B53424" w:rsidRDefault="00545EC8" w:rsidP="0086137E">
      <w:pPr>
        <w:tabs>
          <w:tab w:val="left" w:pos="0"/>
        </w:tabs>
        <w:spacing w:after="0" w:line="276" w:lineRule="auto"/>
        <w:ind w:firstLine="0"/>
        <w:rPr>
          <w:b/>
          <w:bCs/>
          <w:lang w:val="hy-AM"/>
        </w:rPr>
      </w:pPr>
      <w:r w:rsidRPr="00B53424">
        <w:rPr>
          <w:bCs/>
          <w:lang w:val="hy-AM"/>
        </w:rPr>
        <w:t>Այնուամենայնիվ, 2023 թվականին ընկերության իրավիճակը կտրուկ վատթարացել է. եկամուտները զգալիորեն նվազել են՝ 16.6 միլիարդից հասնելով 12 միլիարդի</w:t>
      </w:r>
      <w:r w:rsidRPr="00B53424">
        <w:rPr>
          <w:b/>
          <w:bCs/>
          <w:lang w:val="hy-AM"/>
        </w:rPr>
        <w:t>`</w:t>
      </w:r>
      <w:r w:rsidRPr="00B53424">
        <w:rPr>
          <w:bCs/>
          <w:lang w:val="hy-AM"/>
        </w:rPr>
        <w:t xml:space="preserve"> հիդրոօդերևութաբանական գործոնների՝ մասնավորապես երկար ժամանակ ջրի մակարդակների ցածր լինելու պատճառով</w:t>
      </w:r>
      <w:r w:rsidRPr="00B53424">
        <w:rPr>
          <w:b/>
          <w:bCs/>
          <w:lang w:val="hy-AM"/>
        </w:rPr>
        <w:t>, ի</w:t>
      </w:r>
      <w:r w:rsidRPr="00B53424">
        <w:rPr>
          <w:bCs/>
          <w:lang w:val="hy-AM"/>
        </w:rPr>
        <w:t>նչն առաջացրել է շատ ավելի ցածր գործառնական շահույթ: Այս գործոնը, ավելի բարձր տոկոսային ծախսերի, փոխարժեքի տատանումներից վնասների և ավելի ցածր տոկոսային եկամուտների հետ միասին հանգեցրել է զուտ վնասի: Ընդհանուր առմամբ, մայր ընկերությունը տարվա ընթացքում էական գումարներ է դուրս բերում հայկական ընկերությունից:</w:t>
      </w:r>
    </w:p>
    <w:p w14:paraId="09888218" w14:textId="77777777" w:rsidR="00545EC8" w:rsidRPr="00B53424" w:rsidRDefault="00545EC8" w:rsidP="0086137E">
      <w:pPr>
        <w:tabs>
          <w:tab w:val="left" w:pos="0"/>
        </w:tabs>
        <w:spacing w:after="0" w:line="276" w:lineRule="auto"/>
        <w:ind w:firstLine="0"/>
        <w:rPr>
          <w:b/>
          <w:bCs/>
          <w:lang w:val="hy-AM"/>
        </w:rPr>
      </w:pPr>
      <w:r w:rsidRPr="00B53424">
        <w:rPr>
          <w:bCs/>
          <w:lang w:val="hy-AM"/>
        </w:rPr>
        <w:t>Կանխիկ միջոցները դուրս են բերվել բաժնետերերի վարկի արագացված մարման եղանակով, որը կազմում է 2023 թվականի ընթացքում մնացորդ գումարի կեսից ավելին: Բացի այդ,  հայտարարվել է 5.5 միլիարդ դրամ բացառիկ շահութաբաժնի վճարում՝ չնայած 2023 թվականի ֆինանսական վնասների:</w:t>
      </w:r>
      <w:r>
        <w:rPr>
          <w:bCs/>
          <w:lang w:val="hy-AM"/>
        </w:rPr>
        <w:t xml:space="preserve"> </w:t>
      </w:r>
      <w:r w:rsidRPr="00B53424">
        <w:rPr>
          <w:bCs/>
          <w:lang w:val="hy-AM"/>
        </w:rPr>
        <w:t>Խումբը դիմել է վարկատուներին՝ ավելացնելու վարկի ծավալը, այդ թվում նախատեսվող ավելի մեծ կանխիկ միջոցների դուրսբերումը սպասարկելու նպատակով: Միևնույն ժամանակ վարկի ժամկետը կերկարաձգվի՝ այն հարթելու համար: Այս վարկի ավելացումը պահանջում է ՀՀ կառավարության համաձայնությունը, որը նույնպես վարկատու է՝ KfW վարկի օժանդակությամբ:</w:t>
      </w:r>
      <w:r w:rsidRPr="00B53424">
        <w:rPr>
          <w:b/>
          <w:bCs/>
          <w:lang w:val="hy-AM"/>
        </w:rPr>
        <w:t xml:space="preserve"> </w:t>
      </w:r>
      <w:r w:rsidRPr="00B53424">
        <w:rPr>
          <w:bCs/>
          <w:lang w:val="hy-AM"/>
        </w:rPr>
        <w:t>Բանակցությունները շարունակվում են:</w:t>
      </w:r>
    </w:p>
    <w:p w14:paraId="54F38824" w14:textId="77777777" w:rsidR="00545EC8" w:rsidRPr="00B53424" w:rsidRDefault="00545EC8" w:rsidP="0086137E">
      <w:pPr>
        <w:tabs>
          <w:tab w:val="left" w:pos="0"/>
        </w:tabs>
        <w:spacing w:after="0" w:line="276" w:lineRule="auto"/>
        <w:ind w:firstLine="0"/>
        <w:rPr>
          <w:b/>
          <w:bCs/>
          <w:lang w:val="hy-AM"/>
        </w:rPr>
      </w:pPr>
      <w:r w:rsidRPr="00B53424">
        <w:rPr>
          <w:bCs/>
          <w:lang w:val="hy-AM"/>
        </w:rPr>
        <w:t>Ֆիսկալ ռիսկի կարգավիճակը շարունակում է մնալ</w:t>
      </w:r>
      <w:r>
        <w:rPr>
          <w:bCs/>
          <w:lang w:val="hy-AM"/>
        </w:rPr>
        <w:t xml:space="preserve"> </w:t>
      </w:r>
      <w:r w:rsidRPr="00B53424">
        <w:rPr>
          <w:bCs/>
          <w:lang w:val="hy-AM"/>
        </w:rPr>
        <w:t xml:space="preserve">«էական»՝ հաշվի առնելով ընկերության ֆինանսական վիճակը և այն փաստը, որ </w:t>
      </w:r>
      <w:r>
        <w:rPr>
          <w:bCs/>
          <w:lang w:val="hy-AM"/>
        </w:rPr>
        <w:t>ընկերությանը,</w:t>
      </w:r>
      <w:r w:rsidRPr="00B53424">
        <w:rPr>
          <w:bCs/>
          <w:lang w:val="hy-AM"/>
        </w:rPr>
        <w:t xml:space="preserve"> ըստ իր հաղորդակցման, չեն բավարարում հաստատված սակագները:</w:t>
      </w:r>
      <w:r>
        <w:rPr>
          <w:bCs/>
          <w:lang w:val="hy-AM"/>
        </w:rPr>
        <w:t xml:space="preserve"> </w:t>
      </w:r>
      <w:r w:rsidRPr="00B53424">
        <w:rPr>
          <w:bCs/>
          <w:lang w:val="hy-AM"/>
        </w:rPr>
        <w:t>Կարևոր է նշել որ անցյալում բաժնետերե</w:t>
      </w:r>
      <w:r>
        <w:rPr>
          <w:bCs/>
          <w:lang w:val="hy-AM"/>
        </w:rPr>
        <w:t xml:space="preserve">րը, </w:t>
      </w:r>
      <w:r w:rsidRPr="00B53424">
        <w:rPr>
          <w:bCs/>
          <w:lang w:val="hy-AM"/>
        </w:rPr>
        <w:t xml:space="preserve">հանդիսանալով շահութաբեր ընկերությունների խումբ, աջակցել </w:t>
      </w:r>
      <w:r>
        <w:rPr>
          <w:bCs/>
          <w:lang w:val="hy-AM"/>
        </w:rPr>
        <w:t>են</w:t>
      </w:r>
      <w:r w:rsidRPr="00B53424">
        <w:rPr>
          <w:bCs/>
          <w:lang w:val="hy-AM"/>
        </w:rPr>
        <w:t xml:space="preserve"> ընկերությանը առանձնահատուկ դժվար 2020թ. ընթացքում, որից հետո իրականացավ մայր ընկերության ձեռք </w:t>
      </w:r>
      <w:r w:rsidRPr="002E0437">
        <w:rPr>
          <w:bCs/>
          <w:lang w:val="hy-AM"/>
        </w:rPr>
        <w:t>բերում KKR խմբի</w:t>
      </w:r>
      <w:r w:rsidRPr="00B53424">
        <w:rPr>
          <w:bCs/>
          <w:lang w:val="hy-AM"/>
        </w:rPr>
        <w:t xml:space="preserve"> կողմից և ապացուցակում։  Անորոշության մեկ այլ գործոն է մայր ընկերության ձեռքբերումը KKR խմբի կողմից, ինչի արդյունքում կարող է փոխվել Խմբի և որոշակի երկրներում դրա ներդրումների մասով քաղաքականությունը: Այս ձեռքբերման արդյունքում խմբի վարկային բեռն ավելացել է և Ֆիտչի կողմից խմբի վարկանիշը դասակարգվել է որպես «բացասական դիտարկում», որը նախ և առաջ դրդեց բարձրացնել հարկաբյուջետային ռիսկի կարգավիճակը մինչև էական։ KKR-ի կողմից ձեռքբերման արդյունքում մայր ընկերության վրա դրված լրացուցիչ պարտքը մասամբ բացատրում է Հայաստանի դուստր ձեռնարկությունից դրամական միջոցների դուրսբերումը։</w:t>
      </w:r>
      <w:r w:rsidRPr="00B53424" w:rsidDel="00B44D4B">
        <w:rPr>
          <w:bCs/>
          <w:lang w:val="hy-AM"/>
        </w:rPr>
        <w:t xml:space="preserve"> </w:t>
      </w:r>
    </w:p>
    <w:p w14:paraId="1DBABA7A" w14:textId="77777777" w:rsidR="00545EC8" w:rsidRPr="00B53424" w:rsidRDefault="00545EC8" w:rsidP="0086137E">
      <w:pPr>
        <w:tabs>
          <w:tab w:val="left" w:pos="0"/>
        </w:tabs>
        <w:spacing w:after="0" w:line="276" w:lineRule="auto"/>
        <w:ind w:firstLine="0"/>
        <w:rPr>
          <w:b/>
          <w:bCs/>
          <w:lang w:val="hy-AM"/>
        </w:rPr>
      </w:pPr>
    </w:p>
    <w:p w14:paraId="1F90954B" w14:textId="77777777" w:rsidR="00545EC8" w:rsidRPr="00B53424" w:rsidRDefault="00545EC8" w:rsidP="0086137E">
      <w:pPr>
        <w:tabs>
          <w:tab w:val="left" w:pos="0"/>
        </w:tabs>
        <w:spacing w:line="276" w:lineRule="auto"/>
        <w:ind w:firstLine="0"/>
        <w:rPr>
          <w:b/>
          <w:lang w:val="hy-AM"/>
        </w:rPr>
      </w:pPr>
      <w:r w:rsidRPr="00B53424">
        <w:rPr>
          <w:b/>
          <w:lang w:val="hy-AM"/>
        </w:rPr>
        <w:t>«Արմփաուեր» ՓԲԸ (Երևանի նոր ՋԷԿ)</w:t>
      </w:r>
    </w:p>
    <w:p w14:paraId="08BC0FDA" w14:textId="77777777" w:rsidR="00545EC8" w:rsidRPr="00B53424" w:rsidRDefault="00545EC8" w:rsidP="0086137E">
      <w:pPr>
        <w:tabs>
          <w:tab w:val="left" w:pos="0"/>
        </w:tabs>
        <w:spacing w:after="0" w:line="276" w:lineRule="auto"/>
        <w:ind w:firstLine="0"/>
        <w:rPr>
          <w:b/>
          <w:bCs/>
          <w:lang w:val="hy-AM"/>
        </w:rPr>
      </w:pPr>
      <w:r w:rsidRPr="00B53424">
        <w:rPr>
          <w:bCs/>
          <w:lang w:val="hy-AM"/>
        </w:rPr>
        <w:t>Ընկերությունը Երևան քաղաքում կառուցել և հանձնել է շահագործման ջերմային էլեկտրակայան, հանդիսանում է աշխարհում էլեկտրաէներգիայի արտադրության խոշոր գործունեություն իրականացնող իտալական «Ռենկո» էներգետիկական խմբի և գերմանական «Սիմենս» խմբի դուստր ընկերություն: Ծրագրի գնահատված արժեքը կազմել է 257.575 մլն ԱՄՆ դոլար, ինչը նվազեցնում է նախկինում հաշվարկված պայմանական պարտավորության ծավալը: Կոնցեսիայի ժամկետը կազմում է 20 տարի՝ սկսած առևտրային շահագործման մեկնարկից: Կայանը շահագործման է հանձնվել 2021թ. դեկտեմբերի 11-ին, 2022 թվականի ապրիլին կայանի շահագործումը խափանվել է շոգետուրբինի վնասման պատճառով, որը շտկվել է EPC կապալառուի կողմից 2022 թվականի օգոստոսին, և կայանը վերագործարկվել է 2022 թվականի սեպտեմբերի 10-ին։ Այսպիսով, կայանը չի աշխատել ամբողջ հզորությամբ 2022 թվականին, ինչին հաջողվել է հասնել 2023 թվականին, և եկամուտները համապատասխանաբար աճել են շուրջ 40%-ով՝ հասնելով 114,7 միլիոն ԱՄՆ դոլարի։</w:t>
      </w:r>
      <w:r>
        <w:rPr>
          <w:bCs/>
          <w:lang w:val="hy-AM"/>
        </w:rPr>
        <w:t xml:space="preserve"> </w:t>
      </w:r>
      <w:r w:rsidRPr="00B53424">
        <w:rPr>
          <w:bCs/>
          <w:lang w:val="hy-AM"/>
        </w:rPr>
        <w:t>Սակայն կարողությունները և եկամուտները կարող են ավելի բարելավվել, և ընկերությունը նախատեսում է առաջարկություն ներկայացնել ՀՀ կառավարությանը: Մյուս կողմից, վաճառքի ինքնարժեքը զգալիորեն ավելացել է՝ հանգեցնելով 2022 թվականի համեմատ շահույթի նվազման։</w:t>
      </w:r>
    </w:p>
    <w:p w14:paraId="31B8DB1D" w14:textId="77777777" w:rsidR="00545EC8" w:rsidRPr="00213A64" w:rsidRDefault="00545EC8" w:rsidP="0086137E">
      <w:pPr>
        <w:tabs>
          <w:tab w:val="left" w:pos="0"/>
        </w:tabs>
        <w:spacing w:after="0" w:line="276" w:lineRule="auto"/>
        <w:ind w:firstLine="0"/>
        <w:rPr>
          <w:bCs/>
          <w:lang w:val="hy-AM"/>
        </w:rPr>
      </w:pPr>
      <w:r w:rsidRPr="00B53424">
        <w:rPr>
          <w:bCs/>
          <w:lang w:val="hy-AM"/>
        </w:rPr>
        <w:t xml:space="preserve">Հիմնական պայմանական պարտավորությունը ՀՀ կառավարության կողմից պարտավորությունների չկատարման հետևանքով պայմանագրի վաղաժամ դադարեցման դեպքում կայանի հետգնման պարտավորությունն է (նյութականացման դեպքերն են՝ օտարումը, բռնագրավումը, զավթումը, ՀՀ կառավարությանն առնչվող անվճարունակության դեպքի տեղի ունենալը, պայմանագրի շրջանակներում պետության կողմից տրված հավաստիացումների և երաշխիքների էական խախտումը, ծրագրի կառուցման կամ շահագործման՝ Կառուցապատողի կարողության վրա էականորեն և անբարենպաստ կերպով ազդող օրենսդրական փոփոխությունը): Շահագործման առաջին տարվանից հետո, որը դեռևս չի լրացել, պայմանական պարտավորության գումարին կավելանա 15 տոկոս հավելավճար՝ ի հավելումն ներդրման գումարի, իսկ այնուհետև գումարը կնվազի տարեկան 4 տոկոսով: Քանի որ կայանը ստիպված էր վերագործարկվել շահագործման մեջ մտնելուց անմիջապես հետո, հավելավճարը կիրառելի </w:t>
      </w:r>
      <w:r>
        <w:rPr>
          <w:bCs/>
          <w:lang w:val="hy-AM"/>
        </w:rPr>
        <w:t xml:space="preserve">է </w:t>
      </w:r>
      <w:r w:rsidRPr="00B53424">
        <w:rPr>
          <w:bCs/>
          <w:lang w:val="hy-AM"/>
        </w:rPr>
        <w:t xml:space="preserve">միայն 2023 թվականի </w:t>
      </w:r>
      <w:r>
        <w:rPr>
          <w:bCs/>
          <w:lang w:val="hy-AM"/>
        </w:rPr>
        <w:t>սեպտեմբերից</w:t>
      </w:r>
      <w:r w:rsidRPr="00B53424">
        <w:rPr>
          <w:bCs/>
          <w:lang w:val="hy-AM"/>
        </w:rPr>
        <w:t xml:space="preserve">։ Վերագործարկման համար պահանջվել էր լրացուցիչ 3,2 մլն ԱՄՆ դոլար, որը ֆինանսավորվել է սեփական կապիտալի համալրման </w:t>
      </w:r>
      <w:r w:rsidRPr="00213A64">
        <w:rPr>
          <w:bCs/>
          <w:lang w:val="hy-AM"/>
        </w:rPr>
        <w:t>հաշվին։ Հիմնական միջոցների մնացորդը այժմ կազմում է 241.2 մլն ԱՄՆ դոլար՝ մաշվածության նվազեցումից հետո:</w:t>
      </w:r>
    </w:p>
    <w:p w14:paraId="1BBAB4DD" w14:textId="77777777" w:rsidR="00545EC8" w:rsidRPr="00B53424" w:rsidRDefault="00545EC8" w:rsidP="0086137E">
      <w:pPr>
        <w:tabs>
          <w:tab w:val="left" w:pos="0"/>
        </w:tabs>
        <w:spacing w:after="0" w:line="276" w:lineRule="auto"/>
        <w:ind w:firstLine="0"/>
        <w:rPr>
          <w:b/>
          <w:bCs/>
          <w:lang w:val="hy-AM"/>
        </w:rPr>
      </w:pPr>
      <w:r w:rsidRPr="00213A64">
        <w:rPr>
          <w:bCs/>
          <w:lang w:val="hy-AM"/>
        </w:rPr>
        <w:t>Առկա է նաև պետության կողմից երաշխավորված՝ ՀԷՑ ընկերության</w:t>
      </w:r>
      <w:r w:rsidRPr="00B53424">
        <w:rPr>
          <w:bCs/>
          <w:lang w:val="hy-AM"/>
        </w:rPr>
        <w:t xml:space="preserve"> պարտավորություն՝ արտադրված ամբողջ էլեկտրաէներգիան գնելու, իսկ չգնելու դեպքում՝ վճարել հզորության վճար</w:t>
      </w:r>
      <w:r w:rsidRPr="00B53424">
        <w:rPr>
          <w:b/>
          <w:bCs/>
          <w:lang w:val="hy-AM"/>
        </w:rPr>
        <w:t>:</w:t>
      </w:r>
    </w:p>
    <w:p w14:paraId="64B94724"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Հաշվի առնելով կայանի հաջող շահագործման հանձնումը՝ չնայած կորոնավիրուսային համավարակի հետևանքով առաջացած ուշացումներին, ծրագրի </w:t>
      </w:r>
      <w:r>
        <w:rPr>
          <w:bCs/>
          <w:lang w:val="hy-AM"/>
        </w:rPr>
        <w:t>ֆիսկալ</w:t>
      </w:r>
      <w:r w:rsidRPr="00B53424">
        <w:rPr>
          <w:bCs/>
          <w:lang w:val="hy-AM"/>
        </w:rPr>
        <w:t xml:space="preserve"> ռիսկի կարգավիճակը կարող էր փոփոխվել ցածրի, սակայն ռուս-ուկրաինական նոր ճգնաժամի անորոշություններով պայմանավորված ծրագրի հարկաբյուջետային ռիսկի կարգավիճակը պահպանվում է միջին մակարդակում:</w:t>
      </w:r>
    </w:p>
    <w:p w14:paraId="32EB2D82" w14:textId="77777777" w:rsidR="00545EC8" w:rsidRPr="00B53424" w:rsidRDefault="00545EC8" w:rsidP="0086137E">
      <w:pPr>
        <w:tabs>
          <w:tab w:val="left" w:pos="0"/>
        </w:tabs>
        <w:spacing w:after="0" w:line="276" w:lineRule="auto"/>
        <w:ind w:firstLine="0"/>
        <w:rPr>
          <w:b/>
          <w:bCs/>
          <w:lang w:val="hy-AM"/>
        </w:rPr>
      </w:pPr>
    </w:p>
    <w:p w14:paraId="033DB09E" w14:textId="77777777" w:rsidR="00545EC8" w:rsidRPr="00B53424" w:rsidRDefault="00545EC8" w:rsidP="0086137E">
      <w:pPr>
        <w:tabs>
          <w:tab w:val="left" w:pos="0"/>
        </w:tabs>
        <w:spacing w:line="276" w:lineRule="auto"/>
        <w:ind w:firstLine="0"/>
        <w:rPr>
          <w:b/>
          <w:lang w:val="hy-AM"/>
        </w:rPr>
      </w:pPr>
      <w:r w:rsidRPr="00B53424">
        <w:rPr>
          <w:b/>
          <w:lang w:val="hy-AM"/>
        </w:rPr>
        <w:t xml:space="preserve"> «Մասրիկ-1» արևային ֆոտովոլտային կայան </w:t>
      </w:r>
    </w:p>
    <w:p w14:paraId="70AD4F73" w14:textId="77777777" w:rsidR="00545EC8" w:rsidRPr="00B53424" w:rsidRDefault="00545EC8" w:rsidP="0086137E">
      <w:pPr>
        <w:tabs>
          <w:tab w:val="left" w:pos="0"/>
        </w:tabs>
        <w:spacing w:after="0" w:line="276" w:lineRule="auto"/>
        <w:ind w:firstLine="0"/>
        <w:rPr>
          <w:b/>
          <w:bCs/>
          <w:lang w:val="hy-AM"/>
        </w:rPr>
      </w:pPr>
      <w:r w:rsidRPr="00B53424">
        <w:rPr>
          <w:bCs/>
          <w:lang w:val="hy-AM"/>
        </w:rPr>
        <w:t>Այս նախագծի շրջանակներում կառուցվում է 55 Մվտ դրվածքային հզորությամբ արևային էլեկտրակայանը: Այն պատկանում է La Providencia և FRV իսպանական մասնագիտացված խմբերին և ֆինանսավորվում է IFC-ի, EBRD-ի և Ֆինլանդիայի ՀՀ կառավարության վարկային միջոցներով: Պայմանագրի ֆինանսական կայացումը տեղի է ունեցել 2020թ. հուլիսին, իսկ աշխատանքները նախատեսվում էր ավարտել 2022թ-ին, սակայն 2022 թվականի հուլիսին կնքված լրացուցիչ համաձայնագրով այն հետաձգվել է մինչև 2023 թվականի սեպտեմբեր, քանի որ արձանագրվել էին էական ուշացումներ։ Ժամկետներից ուշացումները շարունակվել են՝ չնայած աշխատանքները աստիճանաբար վերսկսվել են 2022 թվականի սեպտեմբերյան ադրբեջանական ներխուժմամբ պայմանավորված երկարատև ընդհատումից հետո (Մասրիկի տեղամասը սահմանին շատ մոտ է):</w:t>
      </w:r>
      <w:r>
        <w:rPr>
          <w:bCs/>
          <w:lang w:val="hy-AM"/>
        </w:rPr>
        <w:t xml:space="preserve"> </w:t>
      </w:r>
      <w:r w:rsidRPr="00B53424">
        <w:rPr>
          <w:bCs/>
          <w:lang w:val="hy-AM"/>
        </w:rPr>
        <w:t>Ավարտի ժամկետը հետաձգվել է մինչև 2024 թվականի հուլիս, սակայն ընկերությունն այժմ դիմել է ևս մեկ երկարաձգման՝ մինչև 2024 թվականի դեկտեմբեր:</w:t>
      </w:r>
    </w:p>
    <w:p w14:paraId="43CDD582"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Ներկայումս ծրագրի ծախսերը գնահատվում են 45.5 մլն ԱՄՆ դոլար, սկզբնական գնահատականից ցածր՝ պայմանավորված ՖՎ պանելների գների նվազմամբ։ </w:t>
      </w:r>
    </w:p>
    <w:p w14:paraId="4A84A7D4" w14:textId="77777777" w:rsidR="00545EC8" w:rsidRPr="00B53424" w:rsidRDefault="00545EC8" w:rsidP="0086137E">
      <w:pPr>
        <w:tabs>
          <w:tab w:val="left" w:pos="0"/>
        </w:tabs>
        <w:spacing w:after="0" w:line="276" w:lineRule="auto"/>
        <w:ind w:firstLine="0"/>
        <w:rPr>
          <w:b/>
          <w:bCs/>
          <w:lang w:val="hy-AM"/>
        </w:rPr>
      </w:pPr>
      <w:r w:rsidRPr="00B53424">
        <w:rPr>
          <w:bCs/>
          <w:lang w:val="hy-AM"/>
        </w:rPr>
        <w:t>Նախագծի իրականացման արդյունքում շինարարության ավարտից մեկ տարվա ընթացքում առաջանում են մի շարք պայմանական պարտավորություններ, մասնավորապես</w:t>
      </w:r>
      <w:r>
        <w:rPr>
          <w:bCs/>
          <w:lang w:val="hy-AM"/>
        </w:rPr>
        <w:t>՝</w:t>
      </w:r>
      <w:r w:rsidRPr="00B53424">
        <w:rPr>
          <w:bCs/>
          <w:lang w:val="hy-AM"/>
        </w:rPr>
        <w:t xml:space="preserve"> արտադրվող էլեկտրաէներգիայի համար գնման երաշխիք ՀՀ կառավարության կողմից, և անբարենպաստ իրադարձությունների դիմաց լրացուցիչ հատուցման իրավունք:</w:t>
      </w:r>
    </w:p>
    <w:p w14:paraId="5E27546B" w14:textId="77777777" w:rsidR="00545EC8" w:rsidRPr="00B53424" w:rsidRDefault="00545EC8" w:rsidP="0086137E">
      <w:pPr>
        <w:tabs>
          <w:tab w:val="left" w:pos="0"/>
        </w:tabs>
        <w:spacing w:after="0" w:line="276" w:lineRule="auto"/>
        <w:ind w:firstLine="0"/>
        <w:rPr>
          <w:b/>
          <w:bCs/>
          <w:lang w:val="hy-AM"/>
        </w:rPr>
      </w:pPr>
      <w:r w:rsidRPr="00B53424">
        <w:rPr>
          <w:bCs/>
          <w:lang w:val="hy-AM"/>
        </w:rPr>
        <w:t xml:space="preserve">Մինչ այդ և գործարքի ֆինանսական կայացումից հետո հիմնական պայմանական պարտավորությունը վաղաժամ դադարեցումն է՝ ՀՀ կառավարության տարբեր հիմքերով գործողությունների հետևանքով. (ա) ՀՀ կառավարությունը չի կատարում իր կողմից պարտավորություն հանդիսացող որևէ վճար, (բ) որևէ պետական մարմնի կողմից էքսպրոպրիացիայի կամ հարկադիր ձեռքբերման է ենթարկվել ծրագրի տարածքը, կայանը, գ) ՀՀ կառավարությանը վերաբերող անվճարունակության դեպք, դ) Օրենքի փոփոխություն կամ անբարենպաստ պայմանի դեպք, որը վերացված կամ փոփոխված չէ 180 (մեկ հարյուր ութսուն) օրվա ընթացքում և անհնար է դարձնում կայանի կառուցումը կամ շահագործումը: Կառուցապատողի կողմից. ե) ՀՀ կառավարության կողմից Համաձայնագրի ցանկացած այլ էական խախտում, եթե այդ խախտումը չի վերացվել 180 օրվա ընթացքում: </w:t>
      </w:r>
    </w:p>
    <w:p w14:paraId="25DE75FF" w14:textId="77777777" w:rsidR="00545EC8" w:rsidRPr="00B53424" w:rsidRDefault="00545EC8" w:rsidP="0086137E">
      <w:pPr>
        <w:tabs>
          <w:tab w:val="left" w:pos="0"/>
        </w:tabs>
        <w:spacing w:after="0" w:line="276" w:lineRule="auto"/>
        <w:ind w:firstLine="0"/>
        <w:rPr>
          <w:b/>
          <w:bCs/>
          <w:lang w:val="hy-AM"/>
        </w:rPr>
      </w:pPr>
      <w:r w:rsidRPr="00B53424">
        <w:rPr>
          <w:bCs/>
          <w:lang w:val="hy-AM"/>
        </w:rPr>
        <w:t>Հաշվարկվել է առավելագույնը 19.4 մլրդ ՀՀ դրամի փոխհատուցում, որը շինարարության ավարտից հետո կնվազի՝ պայմանավորված պայմանագրով սահմանված վաղաժամ դադարեցման այլ դրույթի կիրառելիությամբ: Պայմանական պարտավորություններին կարող է ավելացվել ավելի քան 5 մլրդ ՀՀ դրամ՝ անբարենպաստ իրադարձություն հայտարարելու ռիսկի հիմքով, սակայն, հաշվի առնելով դրույթի մեկնաբանությունը, համաձայն որի փոխհատուցումը չի կարող պահանջվել, քանի դեռ շինարարական աշխատանքները չեն ավարտվել, այդ գումարը չի ներառվում: Արտադրված ամբողջ էլեկտրաէներգիան գնելու, կամ փոխհատուցելու հետ կապված պայմանական պարտավորությունը դեռ չի կարող չափվել:</w:t>
      </w:r>
    </w:p>
    <w:p w14:paraId="62618B68" w14:textId="77777777" w:rsidR="00545EC8" w:rsidRPr="00B53424" w:rsidRDefault="00545EC8" w:rsidP="0086137E">
      <w:pPr>
        <w:tabs>
          <w:tab w:val="left" w:pos="0"/>
        </w:tabs>
        <w:spacing w:after="0" w:line="276" w:lineRule="auto"/>
        <w:ind w:firstLine="0"/>
        <w:rPr>
          <w:b/>
          <w:bCs/>
          <w:lang w:val="hy-AM"/>
        </w:rPr>
      </w:pPr>
      <w:r w:rsidRPr="00B53424">
        <w:rPr>
          <w:bCs/>
          <w:lang w:val="hy-AM"/>
        </w:rPr>
        <w:t>Նախորդ տարվա համեմատ, նվազել են և՛ տվյալ ծրագրի ռիսկի նյութականացման հավանականությունը, և՛ ռիսկի չափը։ Դա պայմանավորված է նրանով,  որ կայանի կառուցման աշխատանքները ակտիվ փուլում են, և պահանջվող ներդրումների ծավալը նվազել է՝ արևային վահանակների գների միջազգային միտումների պատճառով: Այնուամենայնիվ, քանի դեռ արևային կայանը չի հանձնվել շահագործման և հետաձգումների ռիսկը, այդ թվում՝ սահմանին հնարավոր լարվածությունների պատճառով, մշտապես պահպանվում է</w:t>
      </w:r>
      <w:r w:rsidRPr="00B53424">
        <w:rPr>
          <w:b/>
          <w:bCs/>
          <w:lang w:val="hy-AM"/>
        </w:rPr>
        <w:t>,</w:t>
      </w:r>
      <w:r w:rsidRPr="00B53424">
        <w:rPr>
          <w:bCs/>
          <w:lang w:val="hy-AM"/>
        </w:rPr>
        <w:t xml:space="preserve"> հարկաբյուջետային ռիկսի կարգավիճակը պահպանվում է էական։</w:t>
      </w:r>
    </w:p>
    <w:p w14:paraId="24955685" w14:textId="77777777" w:rsidR="00545EC8" w:rsidRDefault="00545EC8" w:rsidP="00545EC8">
      <w:pPr>
        <w:spacing w:line="276" w:lineRule="auto"/>
        <w:ind w:firstLine="0"/>
        <w:rPr>
          <w:rFonts w:eastAsia="Calibri" w:cs="Sylfaen"/>
          <w:b/>
          <w:i/>
          <w:lang w:val="hy-AM"/>
        </w:rPr>
      </w:pPr>
    </w:p>
    <w:p w14:paraId="10250290" w14:textId="77777777" w:rsidR="00545EC8" w:rsidRPr="001A2482" w:rsidRDefault="00545EC8" w:rsidP="00545EC8">
      <w:pPr>
        <w:spacing w:line="276" w:lineRule="auto"/>
        <w:ind w:firstLine="0"/>
        <w:rPr>
          <w:rFonts w:eastAsia="Calibri" w:cs="Sylfaen"/>
          <w:bCs/>
          <w:i/>
          <w:lang w:val="hy-AM"/>
        </w:rPr>
      </w:pPr>
      <w:r w:rsidRPr="00FD0669">
        <w:rPr>
          <w:rFonts w:eastAsia="Calibri" w:cs="Sylfaen"/>
          <w:b/>
          <w:i/>
          <w:lang w:val="hy-AM"/>
        </w:rPr>
        <w:t>Աղյուսակ 8.</w:t>
      </w:r>
      <w:r w:rsidRPr="00FD0669">
        <w:rPr>
          <w:rFonts w:eastAsia="Calibri" w:cs="Sylfaen"/>
          <w:bCs/>
          <w:i/>
          <w:lang w:val="hy-AM"/>
        </w:rPr>
        <w:t xml:space="preserve"> </w:t>
      </w:r>
      <w:r w:rsidRPr="00FD0669">
        <w:rPr>
          <w:i/>
          <w:lang w:val="hy-AM"/>
        </w:rPr>
        <w:t xml:space="preserve">ՊՄԳ ծրագրերի գծով պայմանական պարտավորությունների </w:t>
      </w:r>
      <w:r w:rsidRPr="00FD0669">
        <w:rPr>
          <w:rFonts w:eastAsia="Calibri" w:cs="Sylfaen"/>
          <w:bCs/>
          <w:i/>
          <w:lang w:val="hy-AM"/>
        </w:rPr>
        <w:t>ամփոփ հաշվարկ, 2023թ</w:t>
      </w:r>
      <w:r w:rsidRPr="00FD0669">
        <w:rPr>
          <w:rFonts w:ascii="Cambria Math" w:eastAsia="Calibri" w:hAnsi="Cambria Math" w:cs="Sylfaen"/>
          <w:bCs/>
          <w:i/>
          <w:lang w:val="hy-AM"/>
        </w:rPr>
        <w:t xml:space="preserve">․, </w:t>
      </w:r>
      <w:r w:rsidRPr="001A2482">
        <w:rPr>
          <w:rFonts w:ascii="Cambria Math" w:eastAsia="Calibri" w:hAnsi="Cambria Math" w:cs="Sylfaen"/>
          <w:bCs/>
          <w:i/>
          <w:lang w:val="hy-AM"/>
        </w:rPr>
        <w:t>(</w:t>
      </w:r>
      <w:r w:rsidRPr="00FD0669">
        <w:rPr>
          <w:rFonts w:eastAsia="Calibri"/>
          <w:bCs/>
          <w:i/>
          <w:iCs/>
          <w:lang w:val="hy-AM"/>
        </w:rPr>
        <w:t xml:space="preserve">մլրդ </w:t>
      </w:r>
      <w:r>
        <w:rPr>
          <w:rFonts w:eastAsia="Calibri"/>
          <w:bCs/>
          <w:i/>
          <w:iCs/>
          <w:lang w:val="hy-AM"/>
        </w:rPr>
        <w:t xml:space="preserve">ՀՀ </w:t>
      </w:r>
      <w:r w:rsidRPr="00FD0669">
        <w:rPr>
          <w:rFonts w:eastAsia="Calibri"/>
          <w:bCs/>
          <w:i/>
          <w:iCs/>
          <w:lang w:val="hy-AM"/>
        </w:rPr>
        <w:t>դրամ</w:t>
      </w:r>
      <w:r w:rsidRPr="001A2482">
        <w:rPr>
          <w:rFonts w:eastAsia="Calibri"/>
          <w:bCs/>
          <w:i/>
          <w:iCs/>
          <w:lang w:val="hy-AM"/>
        </w:rPr>
        <w:t>)</w:t>
      </w:r>
    </w:p>
    <w:tbl>
      <w:tblPr>
        <w:tblStyle w:val="GridTable6Colorful-Accent1"/>
        <w:tblW w:w="9845" w:type="dxa"/>
        <w:tblInd w:w="-147" w:type="dxa"/>
        <w:tblLook w:val="04E0" w:firstRow="1" w:lastRow="1" w:firstColumn="1" w:lastColumn="0" w:noHBand="0" w:noVBand="1"/>
      </w:tblPr>
      <w:tblGrid>
        <w:gridCol w:w="3114"/>
        <w:gridCol w:w="1140"/>
        <w:gridCol w:w="2126"/>
        <w:gridCol w:w="1672"/>
        <w:gridCol w:w="1793"/>
      </w:tblGrid>
      <w:tr w:rsidR="00545EC8" w:rsidRPr="004862A5" w14:paraId="56A16AF1" w14:textId="77777777" w:rsidTr="00D262EA">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114" w:type="dxa"/>
            <w:shd w:val="clear" w:color="auto" w:fill="9CC2E5" w:themeFill="accent1" w:themeFillTint="99"/>
            <w:vAlign w:val="center"/>
          </w:tcPr>
          <w:p w14:paraId="76E00468" w14:textId="77777777" w:rsidR="00545EC8" w:rsidRPr="004862A5" w:rsidRDefault="00545EC8" w:rsidP="00D262EA">
            <w:pPr>
              <w:ind w:firstLine="22"/>
              <w:jc w:val="center"/>
              <w:rPr>
                <w:color w:val="auto"/>
                <w:lang w:val="hy-AM"/>
              </w:rPr>
            </w:pPr>
            <w:r w:rsidRPr="004862A5">
              <w:rPr>
                <w:color w:val="auto"/>
                <w:lang w:val="hy-AM"/>
              </w:rPr>
              <w:t>Ծրագրի անվանում</w:t>
            </w:r>
          </w:p>
        </w:tc>
        <w:tc>
          <w:tcPr>
            <w:tcW w:w="1140" w:type="dxa"/>
            <w:shd w:val="clear" w:color="auto" w:fill="9CC2E5" w:themeFill="accent1" w:themeFillTint="99"/>
            <w:vAlign w:val="center"/>
          </w:tcPr>
          <w:p w14:paraId="0B160F88" w14:textId="77777777" w:rsidR="00545EC8" w:rsidRPr="004862A5" w:rsidRDefault="00545EC8" w:rsidP="00D262EA">
            <w:pPr>
              <w:ind w:firstLine="0"/>
              <w:jc w:val="center"/>
              <w:cnfStyle w:val="100000000000" w:firstRow="1" w:lastRow="0" w:firstColumn="0" w:lastColumn="0" w:oddVBand="0" w:evenVBand="0" w:oddHBand="0" w:evenHBand="0" w:firstRowFirstColumn="0" w:firstRowLastColumn="0" w:lastRowFirstColumn="0" w:lastRowLastColumn="0"/>
              <w:rPr>
                <w:color w:val="auto"/>
                <w:lang w:val="hy-AM"/>
              </w:rPr>
            </w:pPr>
            <w:r w:rsidRPr="004862A5">
              <w:rPr>
                <w:color w:val="auto"/>
                <w:lang w:val="hy-AM"/>
              </w:rPr>
              <w:t>Այլ ՊՊ</w:t>
            </w:r>
          </w:p>
        </w:tc>
        <w:tc>
          <w:tcPr>
            <w:tcW w:w="2126" w:type="dxa"/>
            <w:shd w:val="clear" w:color="auto" w:fill="9CC2E5" w:themeFill="accent1" w:themeFillTint="99"/>
            <w:vAlign w:val="center"/>
          </w:tcPr>
          <w:p w14:paraId="685E90B9" w14:textId="77777777" w:rsidR="00545EC8" w:rsidRPr="004862A5" w:rsidRDefault="00545EC8" w:rsidP="00D262EA">
            <w:pPr>
              <w:ind w:firstLine="0"/>
              <w:jc w:val="center"/>
              <w:cnfStyle w:val="100000000000" w:firstRow="1" w:lastRow="0" w:firstColumn="0" w:lastColumn="0" w:oddVBand="0" w:evenVBand="0" w:oddHBand="0" w:evenHBand="0" w:firstRowFirstColumn="0" w:firstRowLastColumn="0" w:lastRowFirstColumn="0" w:lastRowLastColumn="0"/>
              <w:rPr>
                <w:color w:val="auto"/>
                <w:lang w:val="hy-AM"/>
              </w:rPr>
            </w:pPr>
            <w:r w:rsidRPr="004862A5">
              <w:rPr>
                <w:color w:val="auto"/>
                <w:lang w:val="hy-AM"/>
              </w:rPr>
              <w:t>Վաղաժամ դադարեցում</w:t>
            </w:r>
          </w:p>
        </w:tc>
        <w:tc>
          <w:tcPr>
            <w:tcW w:w="1672" w:type="dxa"/>
            <w:shd w:val="clear" w:color="auto" w:fill="9CC2E5" w:themeFill="accent1" w:themeFillTint="99"/>
            <w:vAlign w:val="center"/>
          </w:tcPr>
          <w:p w14:paraId="0EE2EB84" w14:textId="77777777" w:rsidR="00545EC8" w:rsidRPr="004862A5" w:rsidRDefault="00545EC8" w:rsidP="00D262EA">
            <w:pPr>
              <w:ind w:firstLine="0"/>
              <w:jc w:val="center"/>
              <w:cnfStyle w:val="100000000000" w:firstRow="1" w:lastRow="0" w:firstColumn="0" w:lastColumn="0" w:oddVBand="0" w:evenVBand="0" w:oddHBand="0" w:evenHBand="0" w:firstRowFirstColumn="0" w:firstRowLastColumn="0" w:lastRowFirstColumn="0" w:lastRowLastColumn="0"/>
              <w:rPr>
                <w:color w:val="auto"/>
                <w:lang w:val="hy-AM"/>
              </w:rPr>
            </w:pPr>
            <w:r w:rsidRPr="004862A5">
              <w:rPr>
                <w:color w:val="auto"/>
                <w:lang w:val="hy-AM"/>
              </w:rPr>
              <w:t>Ընդհանուր ՊՊ</w:t>
            </w:r>
          </w:p>
        </w:tc>
        <w:tc>
          <w:tcPr>
            <w:tcW w:w="1793" w:type="dxa"/>
            <w:shd w:val="clear" w:color="auto" w:fill="9CC2E5" w:themeFill="accent1" w:themeFillTint="99"/>
            <w:vAlign w:val="center"/>
          </w:tcPr>
          <w:p w14:paraId="3271E66B" w14:textId="77777777" w:rsidR="00545EC8" w:rsidRPr="004862A5" w:rsidRDefault="00545EC8" w:rsidP="00D262EA">
            <w:pPr>
              <w:ind w:firstLine="0"/>
              <w:jc w:val="center"/>
              <w:cnfStyle w:val="100000000000" w:firstRow="1" w:lastRow="0" w:firstColumn="0" w:lastColumn="0" w:oddVBand="0" w:evenVBand="0" w:oddHBand="0" w:evenHBand="0" w:firstRowFirstColumn="0" w:firstRowLastColumn="0" w:lastRowFirstColumn="0" w:lastRowLastColumn="0"/>
              <w:rPr>
                <w:color w:val="auto"/>
                <w:lang w:val="hy-AM"/>
              </w:rPr>
            </w:pPr>
            <w:r w:rsidRPr="004862A5">
              <w:rPr>
                <w:color w:val="auto"/>
                <w:lang w:val="hy-AM"/>
              </w:rPr>
              <w:t>ՀՆԱ նկատմամբ</w:t>
            </w:r>
          </w:p>
        </w:tc>
      </w:tr>
      <w:tr w:rsidR="00545EC8" w:rsidRPr="004862A5" w14:paraId="5E7B1E20" w14:textId="77777777" w:rsidTr="00D262EA">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3114" w:type="dxa"/>
          </w:tcPr>
          <w:p w14:paraId="099071C0" w14:textId="77777777" w:rsidR="00545EC8" w:rsidRPr="004862A5" w:rsidRDefault="00545EC8" w:rsidP="00D262EA">
            <w:pPr>
              <w:ind w:firstLine="22"/>
              <w:jc w:val="left"/>
              <w:rPr>
                <w:b w:val="0"/>
                <w:bCs w:val="0"/>
                <w:color w:val="auto"/>
                <w:lang w:val="hy-AM"/>
              </w:rPr>
            </w:pPr>
            <w:r w:rsidRPr="004862A5">
              <w:rPr>
                <w:b w:val="0"/>
                <w:bCs w:val="0"/>
                <w:color w:val="auto"/>
                <w:lang w:val="hy-AM"/>
              </w:rPr>
              <w:t>«Հարավկովկասյան երկաթուղի» ՓԲԸ</w:t>
            </w:r>
          </w:p>
        </w:tc>
        <w:tc>
          <w:tcPr>
            <w:tcW w:w="1140" w:type="dxa"/>
          </w:tcPr>
          <w:p w14:paraId="05689032"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p>
        </w:tc>
        <w:tc>
          <w:tcPr>
            <w:tcW w:w="2126" w:type="dxa"/>
          </w:tcPr>
          <w:p w14:paraId="17707F8B"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lang w:val="hy-AM"/>
              </w:rPr>
              <w:t>103.6</w:t>
            </w:r>
          </w:p>
        </w:tc>
        <w:tc>
          <w:tcPr>
            <w:tcW w:w="1672" w:type="dxa"/>
          </w:tcPr>
          <w:p w14:paraId="51D9C5DF"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lang w:val="hy-AM"/>
              </w:rPr>
              <w:t>103.6</w:t>
            </w:r>
          </w:p>
        </w:tc>
        <w:tc>
          <w:tcPr>
            <w:tcW w:w="1793" w:type="dxa"/>
          </w:tcPr>
          <w:p w14:paraId="2A88D5B4"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lang w:val="hy-AM"/>
              </w:rPr>
              <w:t>1.09%</w:t>
            </w:r>
          </w:p>
        </w:tc>
      </w:tr>
      <w:tr w:rsidR="00545EC8" w:rsidRPr="004862A5" w14:paraId="5208A471" w14:textId="77777777" w:rsidTr="00D262EA">
        <w:trPr>
          <w:trHeight w:val="419"/>
        </w:trPr>
        <w:tc>
          <w:tcPr>
            <w:cnfStyle w:val="001000000000" w:firstRow="0" w:lastRow="0" w:firstColumn="1" w:lastColumn="0" w:oddVBand="0" w:evenVBand="0" w:oddHBand="0" w:evenHBand="0" w:firstRowFirstColumn="0" w:firstRowLastColumn="0" w:lastRowFirstColumn="0" w:lastRowLastColumn="0"/>
            <w:tcW w:w="3114" w:type="dxa"/>
          </w:tcPr>
          <w:p w14:paraId="343F9342" w14:textId="77777777" w:rsidR="00545EC8" w:rsidRPr="004862A5" w:rsidRDefault="00545EC8" w:rsidP="00D262EA">
            <w:pPr>
              <w:ind w:firstLine="22"/>
              <w:jc w:val="left"/>
              <w:rPr>
                <w:b w:val="0"/>
                <w:bCs w:val="0"/>
                <w:color w:val="auto"/>
                <w:lang w:val="hy-AM"/>
              </w:rPr>
            </w:pPr>
            <w:r w:rsidRPr="004862A5">
              <w:rPr>
                <w:b w:val="0"/>
                <w:bCs w:val="0"/>
                <w:color w:val="auto"/>
                <w:lang w:val="hy-AM"/>
              </w:rPr>
              <w:t>«Վեոլիա Ջուր» ՓԲԸ</w:t>
            </w:r>
          </w:p>
        </w:tc>
        <w:tc>
          <w:tcPr>
            <w:tcW w:w="1140" w:type="dxa"/>
          </w:tcPr>
          <w:p w14:paraId="06011875"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ru-RU"/>
              </w:rPr>
            </w:pPr>
          </w:p>
        </w:tc>
        <w:tc>
          <w:tcPr>
            <w:tcW w:w="2126" w:type="dxa"/>
          </w:tcPr>
          <w:p w14:paraId="7313ECEF"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r w:rsidRPr="004862A5">
              <w:rPr>
                <w:color w:val="auto"/>
              </w:rPr>
              <w:t>60.3</w:t>
            </w:r>
          </w:p>
        </w:tc>
        <w:tc>
          <w:tcPr>
            <w:tcW w:w="1672" w:type="dxa"/>
          </w:tcPr>
          <w:p w14:paraId="5E758203"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r w:rsidRPr="004862A5">
              <w:rPr>
                <w:color w:val="auto"/>
              </w:rPr>
              <w:t>60.3</w:t>
            </w:r>
          </w:p>
        </w:tc>
        <w:tc>
          <w:tcPr>
            <w:tcW w:w="1793" w:type="dxa"/>
          </w:tcPr>
          <w:p w14:paraId="5D098A39"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rPr>
            </w:pPr>
            <w:r w:rsidRPr="004862A5">
              <w:rPr>
                <w:color w:val="auto"/>
              </w:rPr>
              <w:t>0.63%</w:t>
            </w:r>
          </w:p>
        </w:tc>
      </w:tr>
      <w:tr w:rsidR="00545EC8" w:rsidRPr="004862A5" w14:paraId="680D698B" w14:textId="77777777" w:rsidTr="00D262EA">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3114" w:type="dxa"/>
          </w:tcPr>
          <w:p w14:paraId="309966EE" w14:textId="77777777" w:rsidR="00545EC8" w:rsidRPr="004862A5" w:rsidRDefault="00545EC8" w:rsidP="00D262EA">
            <w:pPr>
              <w:ind w:firstLine="22"/>
              <w:jc w:val="left"/>
              <w:rPr>
                <w:b w:val="0"/>
                <w:bCs w:val="0"/>
                <w:color w:val="auto"/>
                <w:lang w:val="hy-AM"/>
              </w:rPr>
            </w:pPr>
            <w:r w:rsidRPr="004862A5">
              <w:rPr>
                <w:b w:val="0"/>
                <w:bCs w:val="0"/>
                <w:color w:val="auto"/>
                <w:lang w:val="hy-AM"/>
              </w:rPr>
              <w:t>«Արմենիա միջազգային օդանավակայաններ» ՓԲԸ</w:t>
            </w:r>
          </w:p>
        </w:tc>
        <w:tc>
          <w:tcPr>
            <w:tcW w:w="1140" w:type="dxa"/>
          </w:tcPr>
          <w:p w14:paraId="080E972D"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rPr>
              <w:t>5.3</w:t>
            </w:r>
          </w:p>
        </w:tc>
        <w:tc>
          <w:tcPr>
            <w:tcW w:w="2126" w:type="dxa"/>
          </w:tcPr>
          <w:p w14:paraId="32CA3D3D"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rPr>
              <w:t>175.6</w:t>
            </w:r>
          </w:p>
        </w:tc>
        <w:tc>
          <w:tcPr>
            <w:tcW w:w="1672" w:type="dxa"/>
          </w:tcPr>
          <w:p w14:paraId="139C273A"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rPr>
              <w:t>180.9</w:t>
            </w:r>
          </w:p>
        </w:tc>
        <w:tc>
          <w:tcPr>
            <w:tcW w:w="1793" w:type="dxa"/>
          </w:tcPr>
          <w:p w14:paraId="68999C48"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rPr>
            </w:pPr>
            <w:r w:rsidRPr="004862A5">
              <w:rPr>
                <w:color w:val="auto"/>
              </w:rPr>
              <w:t>1.81%</w:t>
            </w:r>
          </w:p>
        </w:tc>
      </w:tr>
      <w:tr w:rsidR="00545EC8" w:rsidRPr="004862A5" w14:paraId="5C3DFCD1" w14:textId="77777777" w:rsidTr="00D262EA">
        <w:trPr>
          <w:trHeight w:val="419"/>
        </w:trPr>
        <w:tc>
          <w:tcPr>
            <w:cnfStyle w:val="001000000000" w:firstRow="0" w:lastRow="0" w:firstColumn="1" w:lastColumn="0" w:oddVBand="0" w:evenVBand="0" w:oddHBand="0" w:evenHBand="0" w:firstRowFirstColumn="0" w:firstRowLastColumn="0" w:lastRowFirstColumn="0" w:lastRowLastColumn="0"/>
            <w:tcW w:w="3114" w:type="dxa"/>
          </w:tcPr>
          <w:p w14:paraId="6596EF35" w14:textId="77777777" w:rsidR="00545EC8" w:rsidRPr="004862A5" w:rsidRDefault="00545EC8" w:rsidP="00D262EA">
            <w:pPr>
              <w:ind w:firstLine="22"/>
              <w:jc w:val="left"/>
              <w:rPr>
                <w:b w:val="0"/>
                <w:bCs w:val="0"/>
                <w:color w:val="auto"/>
                <w:lang w:val="hy-AM"/>
              </w:rPr>
            </w:pPr>
            <w:r w:rsidRPr="004862A5">
              <w:rPr>
                <w:b w:val="0"/>
                <w:bCs w:val="0"/>
                <w:color w:val="auto"/>
                <w:lang w:val="hy-AM"/>
              </w:rPr>
              <w:t>«Քոնթուր Գլոբալ հիդրո կասկադ» ՓԲԸ</w:t>
            </w:r>
          </w:p>
        </w:tc>
        <w:tc>
          <w:tcPr>
            <w:tcW w:w="1140" w:type="dxa"/>
          </w:tcPr>
          <w:p w14:paraId="6A63ABCD"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p>
        </w:tc>
        <w:tc>
          <w:tcPr>
            <w:tcW w:w="2126" w:type="dxa"/>
          </w:tcPr>
          <w:p w14:paraId="0CC2D8BA"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r w:rsidRPr="004862A5">
              <w:rPr>
                <w:color w:val="auto"/>
              </w:rPr>
              <w:t>100</w:t>
            </w:r>
          </w:p>
        </w:tc>
        <w:tc>
          <w:tcPr>
            <w:tcW w:w="1672" w:type="dxa"/>
          </w:tcPr>
          <w:p w14:paraId="2A0117B6"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r w:rsidRPr="004862A5">
              <w:rPr>
                <w:color w:val="auto"/>
              </w:rPr>
              <w:t>100</w:t>
            </w:r>
          </w:p>
        </w:tc>
        <w:tc>
          <w:tcPr>
            <w:tcW w:w="1793" w:type="dxa"/>
          </w:tcPr>
          <w:p w14:paraId="06F7672E"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rPr>
            </w:pPr>
            <w:r w:rsidRPr="004862A5">
              <w:rPr>
                <w:color w:val="auto"/>
              </w:rPr>
              <w:t>1.05%</w:t>
            </w:r>
          </w:p>
        </w:tc>
      </w:tr>
      <w:tr w:rsidR="00545EC8" w:rsidRPr="004862A5" w14:paraId="1A848ACF" w14:textId="77777777" w:rsidTr="00D262EA">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3114" w:type="dxa"/>
          </w:tcPr>
          <w:p w14:paraId="5118C51A" w14:textId="77777777" w:rsidR="00545EC8" w:rsidRPr="004862A5" w:rsidRDefault="00545EC8" w:rsidP="00D262EA">
            <w:pPr>
              <w:ind w:firstLine="22"/>
              <w:jc w:val="left"/>
              <w:rPr>
                <w:b w:val="0"/>
                <w:bCs w:val="0"/>
                <w:color w:val="auto"/>
                <w:lang w:val="hy-AM"/>
              </w:rPr>
            </w:pPr>
            <w:r w:rsidRPr="004862A5">
              <w:rPr>
                <w:b w:val="0"/>
                <w:bCs w:val="0"/>
                <w:color w:val="auto"/>
                <w:lang w:val="hy-AM"/>
              </w:rPr>
              <w:t>«Արմփաուեր» ՓԲԸ</w:t>
            </w:r>
          </w:p>
        </w:tc>
        <w:tc>
          <w:tcPr>
            <w:tcW w:w="1140" w:type="dxa"/>
          </w:tcPr>
          <w:p w14:paraId="3E4E54DB"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p>
        </w:tc>
        <w:tc>
          <w:tcPr>
            <w:tcW w:w="2126" w:type="dxa"/>
          </w:tcPr>
          <w:p w14:paraId="5E1A2A4D"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rPr>
              <w:t>111</w:t>
            </w:r>
          </w:p>
        </w:tc>
        <w:tc>
          <w:tcPr>
            <w:tcW w:w="1672" w:type="dxa"/>
          </w:tcPr>
          <w:p w14:paraId="2CD5B686"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lang w:val="hy-AM"/>
              </w:rPr>
            </w:pPr>
            <w:r w:rsidRPr="004862A5">
              <w:rPr>
                <w:color w:val="auto"/>
              </w:rPr>
              <w:t>111</w:t>
            </w:r>
          </w:p>
        </w:tc>
        <w:tc>
          <w:tcPr>
            <w:tcW w:w="1793" w:type="dxa"/>
          </w:tcPr>
          <w:p w14:paraId="1DC7F166" w14:textId="77777777" w:rsidR="00545EC8" w:rsidRPr="004862A5" w:rsidRDefault="00545EC8" w:rsidP="00D262EA">
            <w:pPr>
              <w:ind w:firstLine="0"/>
              <w:jc w:val="center"/>
              <w:cnfStyle w:val="000000100000" w:firstRow="0" w:lastRow="0" w:firstColumn="0" w:lastColumn="0" w:oddVBand="0" w:evenVBand="0" w:oddHBand="1" w:evenHBand="0" w:firstRowFirstColumn="0" w:firstRowLastColumn="0" w:lastRowFirstColumn="0" w:lastRowLastColumn="0"/>
              <w:rPr>
                <w:b/>
                <w:bCs/>
                <w:color w:val="auto"/>
              </w:rPr>
            </w:pPr>
            <w:r w:rsidRPr="004862A5">
              <w:rPr>
                <w:color w:val="auto"/>
              </w:rPr>
              <w:t>1.17%</w:t>
            </w:r>
          </w:p>
        </w:tc>
      </w:tr>
      <w:tr w:rsidR="00545EC8" w:rsidRPr="004862A5" w14:paraId="728BB926" w14:textId="77777777" w:rsidTr="00D262EA">
        <w:trPr>
          <w:trHeight w:val="404"/>
        </w:trPr>
        <w:tc>
          <w:tcPr>
            <w:cnfStyle w:val="001000000000" w:firstRow="0" w:lastRow="0" w:firstColumn="1" w:lastColumn="0" w:oddVBand="0" w:evenVBand="0" w:oddHBand="0" w:evenHBand="0" w:firstRowFirstColumn="0" w:firstRowLastColumn="0" w:lastRowFirstColumn="0" w:lastRowLastColumn="0"/>
            <w:tcW w:w="3114" w:type="dxa"/>
          </w:tcPr>
          <w:p w14:paraId="69CDD5E1" w14:textId="77777777" w:rsidR="00545EC8" w:rsidRPr="004862A5" w:rsidRDefault="00545EC8" w:rsidP="00D262EA">
            <w:pPr>
              <w:ind w:firstLine="22"/>
              <w:jc w:val="left"/>
              <w:rPr>
                <w:b w:val="0"/>
                <w:bCs w:val="0"/>
                <w:color w:val="auto"/>
                <w:lang w:val="hy-AM"/>
              </w:rPr>
            </w:pPr>
            <w:r w:rsidRPr="004862A5">
              <w:rPr>
                <w:b w:val="0"/>
                <w:bCs w:val="0"/>
                <w:color w:val="auto"/>
                <w:lang w:val="hy-AM"/>
              </w:rPr>
              <w:t>«Էֆարվի Մասրիկ» ՓԲԸ</w:t>
            </w:r>
          </w:p>
        </w:tc>
        <w:tc>
          <w:tcPr>
            <w:tcW w:w="1140" w:type="dxa"/>
          </w:tcPr>
          <w:p w14:paraId="1892F8CD"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lang w:val="hy-AM"/>
              </w:rPr>
            </w:pPr>
          </w:p>
        </w:tc>
        <w:tc>
          <w:tcPr>
            <w:tcW w:w="2126" w:type="dxa"/>
          </w:tcPr>
          <w:p w14:paraId="595F7EB4"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rPr>
            </w:pPr>
            <w:r w:rsidRPr="004862A5">
              <w:rPr>
                <w:color w:val="auto"/>
              </w:rPr>
              <w:t>19.4</w:t>
            </w:r>
          </w:p>
        </w:tc>
        <w:tc>
          <w:tcPr>
            <w:tcW w:w="1672" w:type="dxa"/>
          </w:tcPr>
          <w:p w14:paraId="3F8C9C01"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rPr>
            </w:pPr>
            <w:r w:rsidRPr="004862A5">
              <w:rPr>
                <w:color w:val="auto"/>
              </w:rPr>
              <w:t>19.4</w:t>
            </w:r>
          </w:p>
        </w:tc>
        <w:tc>
          <w:tcPr>
            <w:tcW w:w="1793" w:type="dxa"/>
          </w:tcPr>
          <w:p w14:paraId="10499953" w14:textId="77777777" w:rsidR="00545EC8" w:rsidRPr="004862A5" w:rsidRDefault="00545EC8" w:rsidP="00D262EA">
            <w:pPr>
              <w:ind w:firstLine="0"/>
              <w:jc w:val="center"/>
              <w:cnfStyle w:val="000000000000" w:firstRow="0" w:lastRow="0" w:firstColumn="0" w:lastColumn="0" w:oddVBand="0" w:evenVBand="0" w:oddHBand="0" w:evenHBand="0" w:firstRowFirstColumn="0" w:firstRowLastColumn="0" w:lastRowFirstColumn="0" w:lastRowLastColumn="0"/>
              <w:rPr>
                <w:b/>
                <w:bCs/>
                <w:color w:val="auto"/>
              </w:rPr>
            </w:pPr>
            <w:r w:rsidRPr="004862A5">
              <w:rPr>
                <w:color w:val="auto"/>
              </w:rPr>
              <w:t>0.20%</w:t>
            </w:r>
          </w:p>
        </w:tc>
      </w:tr>
      <w:tr w:rsidR="00545EC8" w:rsidRPr="004862A5" w14:paraId="009E48B3" w14:textId="77777777" w:rsidTr="00D262EA">
        <w:trPr>
          <w:cnfStyle w:val="010000000000" w:firstRow="0" w:lastRow="1" w:firstColumn="0" w:lastColumn="0" w:oddVBand="0" w:evenVBand="0" w:oddHBand="0"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3114" w:type="dxa"/>
          </w:tcPr>
          <w:p w14:paraId="754AE940" w14:textId="77777777" w:rsidR="00545EC8" w:rsidRPr="004862A5" w:rsidRDefault="00545EC8" w:rsidP="00D262EA">
            <w:pPr>
              <w:ind w:firstLine="22"/>
              <w:jc w:val="left"/>
              <w:rPr>
                <w:bCs w:val="0"/>
                <w:color w:val="auto"/>
                <w:lang w:val="hy-AM"/>
              </w:rPr>
            </w:pPr>
            <w:r w:rsidRPr="004862A5">
              <w:rPr>
                <w:bCs w:val="0"/>
                <w:color w:val="auto"/>
                <w:lang w:val="hy-AM"/>
              </w:rPr>
              <w:t>Ընդամենը</w:t>
            </w:r>
          </w:p>
        </w:tc>
        <w:tc>
          <w:tcPr>
            <w:tcW w:w="1140" w:type="dxa"/>
          </w:tcPr>
          <w:p w14:paraId="55E34598" w14:textId="77777777" w:rsidR="00545EC8" w:rsidRPr="004862A5" w:rsidRDefault="00545EC8" w:rsidP="00D262EA">
            <w:pPr>
              <w:ind w:firstLine="0"/>
              <w:jc w:val="center"/>
              <w:cnfStyle w:val="010000000000" w:firstRow="0" w:lastRow="1" w:firstColumn="0" w:lastColumn="0" w:oddVBand="0" w:evenVBand="0" w:oddHBand="0" w:evenHBand="0" w:firstRowFirstColumn="0" w:firstRowLastColumn="0" w:lastRowFirstColumn="0" w:lastRowLastColumn="0"/>
              <w:rPr>
                <w:bCs w:val="0"/>
                <w:color w:val="auto"/>
              </w:rPr>
            </w:pPr>
            <w:r w:rsidRPr="004862A5">
              <w:rPr>
                <w:color w:val="auto"/>
              </w:rPr>
              <w:t>5.3</w:t>
            </w:r>
          </w:p>
        </w:tc>
        <w:tc>
          <w:tcPr>
            <w:tcW w:w="2126" w:type="dxa"/>
          </w:tcPr>
          <w:p w14:paraId="0AF1B01D" w14:textId="77777777" w:rsidR="00545EC8" w:rsidRPr="004862A5" w:rsidRDefault="00545EC8" w:rsidP="00D262EA">
            <w:pPr>
              <w:ind w:firstLine="0"/>
              <w:jc w:val="center"/>
              <w:cnfStyle w:val="010000000000" w:firstRow="0" w:lastRow="1" w:firstColumn="0" w:lastColumn="0" w:oddVBand="0" w:evenVBand="0" w:oddHBand="0" w:evenHBand="0" w:firstRowFirstColumn="0" w:firstRowLastColumn="0" w:lastRowFirstColumn="0" w:lastRowLastColumn="0"/>
              <w:rPr>
                <w:bCs w:val="0"/>
                <w:color w:val="auto"/>
                <w:lang w:val="hy-AM"/>
              </w:rPr>
            </w:pPr>
            <w:r w:rsidRPr="004862A5">
              <w:rPr>
                <w:color w:val="auto"/>
              </w:rPr>
              <w:t>569.9</w:t>
            </w:r>
          </w:p>
        </w:tc>
        <w:tc>
          <w:tcPr>
            <w:tcW w:w="1672" w:type="dxa"/>
          </w:tcPr>
          <w:p w14:paraId="74FDFE7B" w14:textId="77777777" w:rsidR="00545EC8" w:rsidRPr="004862A5" w:rsidRDefault="00545EC8" w:rsidP="00D262EA">
            <w:pPr>
              <w:ind w:firstLine="0"/>
              <w:jc w:val="center"/>
              <w:cnfStyle w:val="010000000000" w:firstRow="0" w:lastRow="1" w:firstColumn="0" w:lastColumn="0" w:oddVBand="0" w:evenVBand="0" w:oddHBand="0" w:evenHBand="0" w:firstRowFirstColumn="0" w:firstRowLastColumn="0" w:lastRowFirstColumn="0" w:lastRowLastColumn="0"/>
              <w:rPr>
                <w:bCs w:val="0"/>
                <w:color w:val="auto"/>
                <w:lang w:val="hy-AM"/>
              </w:rPr>
            </w:pPr>
            <w:r w:rsidRPr="004862A5">
              <w:rPr>
                <w:color w:val="auto"/>
              </w:rPr>
              <w:t>575.2</w:t>
            </w:r>
          </w:p>
        </w:tc>
        <w:tc>
          <w:tcPr>
            <w:tcW w:w="1793" w:type="dxa"/>
          </w:tcPr>
          <w:p w14:paraId="4F18AC7E" w14:textId="77777777" w:rsidR="00545EC8" w:rsidRPr="004862A5" w:rsidRDefault="00545EC8" w:rsidP="00D262EA">
            <w:pPr>
              <w:ind w:firstLine="0"/>
              <w:jc w:val="center"/>
              <w:cnfStyle w:val="010000000000" w:firstRow="0" w:lastRow="1" w:firstColumn="0" w:lastColumn="0" w:oddVBand="0" w:evenVBand="0" w:oddHBand="0" w:evenHBand="0" w:firstRowFirstColumn="0" w:firstRowLastColumn="0" w:lastRowFirstColumn="0" w:lastRowLastColumn="0"/>
              <w:rPr>
                <w:bCs w:val="0"/>
                <w:color w:val="auto"/>
              </w:rPr>
            </w:pPr>
            <w:r w:rsidRPr="004862A5">
              <w:rPr>
                <w:color w:val="auto"/>
              </w:rPr>
              <w:t>6.05%</w:t>
            </w:r>
          </w:p>
        </w:tc>
      </w:tr>
    </w:tbl>
    <w:p w14:paraId="5357B638" w14:textId="77777777" w:rsidR="00545EC8" w:rsidRPr="005D374F" w:rsidRDefault="00545EC8" w:rsidP="0086137E">
      <w:pPr>
        <w:spacing w:before="160" w:after="0" w:line="276" w:lineRule="auto"/>
        <w:ind w:firstLine="0"/>
        <w:rPr>
          <w:bCs/>
          <w:lang w:val="hy-AM"/>
        </w:rPr>
      </w:pPr>
      <w:r w:rsidRPr="00E03C76">
        <w:rPr>
          <w:bCs/>
          <w:i/>
          <w:iCs/>
          <w:lang w:val="hy-AM"/>
        </w:rPr>
        <w:t>Ծանոթագրություններ</w:t>
      </w:r>
      <w:r w:rsidRPr="00E03C76">
        <w:rPr>
          <w:bCs/>
          <w:lang w:val="hy-AM"/>
        </w:rPr>
        <w:t xml:space="preserve">. «Վեոլիա Ջուր» ՓԲԸ մասով Աէրացիայի կայանը  մինչև 13 մլրդ ՀՀ դրամ արժեքով այլևս ներառված չէ: «Էֆարվի Մասրիկ» ՓԲԸ պարագայում հիմնվում ենք այն ենթադրության վրա, որ նախքան շինարարական աշխատանքների ավարտը հետ գնման դեպքում այլ փոխհատուցում չի կարող </w:t>
      </w:r>
      <w:r w:rsidRPr="005D374F">
        <w:rPr>
          <w:bCs/>
          <w:lang w:val="hy-AM"/>
        </w:rPr>
        <w:t>պահանջվել: «Արմփաուեր» ՓԲԸ դեպքում, որի շինարարական ծախսերն արդյունքում ավելի ցածր են եղել, 1 տարին լրանալուց հետո 15 տոկոսի չափով հավելավճարի հաշվարկը իրականացվել է, քանի որ կայանը վերագործարկվել է 2022 թվականի Սեպտեմբերին: ԱՄՆ դոլարով արտահայտված գումարների փոխարկման համար կիրառվել է 400 ՀՀ դրամ 1 ԱՄՆ դոլարի դիմաց փոխարժեքը: 2023թ. ՀՆԱ-ն՝ 9,505 մլրդ ՀՀ դրամ:</w:t>
      </w:r>
    </w:p>
    <w:p w14:paraId="66F66F37" w14:textId="77777777" w:rsidR="00545EC8" w:rsidRPr="005D374F" w:rsidRDefault="00545EC8" w:rsidP="0086137E">
      <w:pPr>
        <w:spacing w:after="0" w:line="276" w:lineRule="auto"/>
        <w:ind w:firstLine="0"/>
        <w:rPr>
          <w:bCs/>
          <w:lang w:val="hy-AM"/>
        </w:rPr>
      </w:pPr>
      <w:r w:rsidRPr="005D374F">
        <w:rPr>
          <w:bCs/>
          <w:lang w:val="hy-AM"/>
        </w:rPr>
        <w:t>2020թ. վերջին պայմանական պարտավորությունների հանրագումարը ՀՆԱ-ի նկատմամբ կազմում էր ՀՆԱ 8.26%: 2021-2023 թվականների ընթացքում ՀՆԱ-ի աճը և դրամի արժևորումը նվազեցրել են ցուցանիշը մինչև 6.05% նախորդ  զեկույցում այդ ցուցանիշը կազմում էր 6.52%:</w:t>
      </w:r>
    </w:p>
    <w:p w14:paraId="1715735D" w14:textId="77777777" w:rsidR="00545EC8" w:rsidRPr="00E03C76" w:rsidRDefault="00545EC8" w:rsidP="0086137E">
      <w:pPr>
        <w:spacing w:after="0" w:line="276" w:lineRule="auto"/>
        <w:ind w:firstLine="0"/>
        <w:rPr>
          <w:b/>
          <w:bCs/>
          <w:lang w:val="hy-AM"/>
        </w:rPr>
      </w:pPr>
      <w:r w:rsidRPr="005D374F">
        <w:rPr>
          <w:bCs/>
          <w:lang w:val="hy-AM"/>
        </w:rPr>
        <w:t>2021 թվականի հունիսի 18-ի ՀՀ կառավարության որոշմամբ հաստատվել է Հայաստանում արդյունաբերական մասշտաբի «Այգ-1» արևային ֆոտովոլտային ծրագրի շրջանակում կազմակերպված մրցույթի ընթացակարգի արդյունքները՝ հաղթող ճանաչելով «Աբու Դաբի Ֆյուչեր Էներջի Քոմփանի» ՀԲԸ («Մասդար»)։ Ծրագրի իրականացման շուրջ կնքվել է կառավարության աջակցության համաձայնագիր, իսկ ֆինանսական կայացման համար նախապես սահմանված վերջնաժամկետը՝ 2022 թվականի դեկտեմբեր ամիսը, երկարաձգվել է մինչև 270 օրով, սակայն 2023 թվականի հունիսին այն երկարաձգվել է ևս մեկ անգամ՝ մինչև 2023 թվականի դեկտեմբերի 25:  Ներկայումս կողմերը նորից բանակցում են ժամկետի երկարաձգման, ինչպես նաև վաղաժամ դադարեցման պայմանների փոփոխության վերաբերյալ։ Նախատեսվում է իրականացնել մոտ 174 մլն ԱՄՆ դոլարի</w:t>
      </w:r>
      <w:r w:rsidRPr="006B557F">
        <w:rPr>
          <w:bCs/>
          <w:lang w:val="hy-AM"/>
        </w:rPr>
        <w:t xml:space="preserve"> չափով ներդրում (ՀՆԱ-ի մոտ 0.7 %):: Ծրագրի նախապատրաստման փուլում կնքվել է համատեղ զարգացման համաձայնագիր «Աբու Դաբի Ֆյուչեր Էներջի Քոմփանի» ՀԲԸ և «Հայաստանի Հետաքրքրությունների ֆոնդ</w:t>
      </w:r>
      <w:r w:rsidRPr="00E03C76">
        <w:rPr>
          <w:bCs/>
          <w:lang w:val="hy-AM"/>
        </w:rPr>
        <w:t>» պետական ՓԲԸ ի միջև, որում պարունակվող պարտավորությունների վերաբերյալ լիարժեք տեղեկատվություն առկա չէ։</w:t>
      </w:r>
    </w:p>
    <w:p w14:paraId="2CF77D38" w14:textId="77777777" w:rsidR="00545EC8" w:rsidRPr="00E03C76" w:rsidRDefault="00545EC8" w:rsidP="00545EC8">
      <w:pPr>
        <w:spacing w:line="276" w:lineRule="auto"/>
        <w:rPr>
          <w:rFonts w:eastAsia="Times New Roman" w:cs="Times New Roman"/>
          <w:b/>
          <w:color w:val="5B9BD5" w:themeColor="accent1"/>
          <w:lang w:val="hy-AM"/>
        </w:rPr>
      </w:pPr>
    </w:p>
    <w:p w14:paraId="2D8B9D4B" w14:textId="77777777" w:rsidR="00545EC8" w:rsidRPr="008C0A4F" w:rsidRDefault="00545EC8" w:rsidP="008C0A4F">
      <w:pPr>
        <w:tabs>
          <w:tab w:val="left" w:pos="0"/>
        </w:tabs>
        <w:spacing w:before="120" w:after="0" w:line="276" w:lineRule="auto"/>
        <w:ind w:firstLine="0"/>
        <w:rPr>
          <w:b/>
          <w:color w:val="44546A" w:themeColor="text2"/>
          <w:sz w:val="24"/>
          <w:szCs w:val="24"/>
          <w:lang w:val="hy-AM" w:eastAsia="ru-RU"/>
        </w:rPr>
      </w:pPr>
      <w:bookmarkStart w:id="299" w:name="_Toc170906570"/>
      <w:r w:rsidRPr="008C0A4F">
        <w:rPr>
          <w:b/>
          <w:color w:val="44546A" w:themeColor="text2"/>
          <w:sz w:val="24"/>
          <w:szCs w:val="24"/>
          <w:lang w:val="hy-AM" w:eastAsia="ru-RU"/>
        </w:rPr>
        <w:t>3.3.5 ԲՆԱԿԱՆ ԵՎ ՄԱՐԴԱԾԻՆ ԱՂԵՏՆԵՐԻՑ ԾԱԳՈՂ ՀԱՐԿԱԲՅՈՒՋԵՏԱՅԻՆ ՌԻՍԿԵՐ</w:t>
      </w:r>
      <w:bookmarkEnd w:id="299"/>
    </w:p>
    <w:p w14:paraId="601E18D1" w14:textId="77777777" w:rsidR="00545EC8" w:rsidRPr="00E03C76" w:rsidRDefault="00545EC8" w:rsidP="0086137E">
      <w:pPr>
        <w:spacing w:after="0" w:line="276" w:lineRule="auto"/>
        <w:ind w:firstLine="0"/>
        <w:rPr>
          <w:lang w:val="hy-AM"/>
        </w:rPr>
      </w:pPr>
      <w:r w:rsidRPr="00E03C76">
        <w:rPr>
          <w:lang w:val="hy-AM"/>
        </w:rPr>
        <w:t xml:space="preserve">Աղետների ռիսկը համարվում է Հայաստանում ֆիսկալ ռիսկերի արդիական աղբյուրներից մեկը՝ հաշվի առնելով երկրի «աղետների պրոֆիլը», որը ներառում է էական երկրաֆիզիկական (հատկապես՝ երկրաշարժերի և սողանքների), եղանակային պայմանների հետ կապված (հիդրոօդերևութաբանական և այլ), ինչպես նաև մարդածին ռիսկեր: </w:t>
      </w:r>
    </w:p>
    <w:p w14:paraId="7DAAEA35" w14:textId="77777777" w:rsidR="00545EC8" w:rsidRPr="00E03C76" w:rsidRDefault="00545EC8" w:rsidP="0086137E">
      <w:pPr>
        <w:spacing w:after="0" w:line="276" w:lineRule="auto"/>
        <w:ind w:firstLine="0"/>
        <w:rPr>
          <w:bCs/>
          <w:lang w:val="hy-AM"/>
        </w:rPr>
      </w:pPr>
      <w:r w:rsidRPr="00E03C76">
        <w:rPr>
          <w:bCs/>
          <w:lang w:val="hy-AM"/>
        </w:rPr>
        <w:t>Համաձայն ՄԱԿ Զարգացման Ծրագրի տվյալների՝ Հայաստանը աշխարհում ամենից շատ աղետների ենթակա 60 երկրների շարքում է: Հայաստանը բազմաթիվ վտանգներ ունեցող երկրի տիպիկ օրինակ է՝ խոշոր երկրաշարժերի, ջրհեղեղների, երաշտների, ծայրահեղ եղանակային պայմանների (ցրտահարություն և ջերմային ալիքներ), ուժեղ քամիների, կարկուտի, փոթորիկների, սելավների, սողանքների և այլնի պատմությամբ:</w:t>
      </w:r>
    </w:p>
    <w:p w14:paraId="20E7DCC1" w14:textId="77777777" w:rsidR="00545EC8" w:rsidRPr="00E03C76" w:rsidRDefault="00545EC8" w:rsidP="0086137E">
      <w:pPr>
        <w:spacing w:after="0" w:line="276" w:lineRule="auto"/>
        <w:ind w:firstLine="0"/>
        <w:rPr>
          <w:bCs/>
          <w:lang w:val="hy-AM"/>
        </w:rPr>
      </w:pPr>
      <w:r w:rsidRPr="00E03C76">
        <w:rPr>
          <w:b/>
          <w:lang w:val="hy-AM"/>
        </w:rPr>
        <w:t>Երկրաֆիզիկական ռիսկերից</w:t>
      </w:r>
      <w:r w:rsidRPr="00E03C76">
        <w:rPr>
          <w:lang w:val="hy-AM"/>
        </w:rPr>
        <w:t xml:space="preserve"> ՀՀ-ում </w:t>
      </w:r>
      <w:r w:rsidRPr="00E03C76">
        <w:rPr>
          <w:bCs/>
          <w:lang w:val="hy-AM"/>
        </w:rPr>
        <w:t>7.0 կամ ավելի բարձր մագնիտուդ ուժգնությամբ երկրաշարժի դեպքում կարող է փլուզվել Երևան քաղաքի շենքերի մեծամասնությունը՝ խլելով մոտ 300,000 մարդու կյանք: Նախնական ուսումնասիրությունները ցույց են տալիս, որ 2012թ. տվյալներով տնտեսական վնասները կարող են հավասար լինել՝ ընդհուպ ՀՆԱ-ի 100 տոկոսին</w:t>
      </w:r>
      <w:r w:rsidRPr="00E03C76">
        <w:rPr>
          <w:rStyle w:val="FootnoteReference"/>
          <w:bCs/>
        </w:rPr>
        <w:footnoteReference w:id="52"/>
      </w:r>
      <w:r w:rsidRPr="00E03C76">
        <w:rPr>
          <w:bCs/>
          <w:lang w:val="hy-AM"/>
        </w:rPr>
        <w:t>:</w:t>
      </w:r>
    </w:p>
    <w:p w14:paraId="7A0CA85C" w14:textId="77777777" w:rsidR="00545EC8" w:rsidRPr="00E03C76" w:rsidRDefault="00545EC8" w:rsidP="0086137E">
      <w:pPr>
        <w:spacing w:after="0" w:line="276" w:lineRule="auto"/>
        <w:ind w:firstLine="0"/>
        <w:rPr>
          <w:bCs/>
          <w:lang w:val="hy-AM"/>
        </w:rPr>
      </w:pPr>
      <w:r w:rsidRPr="00E03C76">
        <w:rPr>
          <w:bCs/>
          <w:lang w:val="hy-AM"/>
        </w:rPr>
        <w:t>2017 թվականին Համաշխարհային բանկը հաշվարկել է 1.3 միլիարդ ԱՄՆ դոլարի չափով «ֆինանսավորման բաց»՝ Սպիտակի երկրաշարժի նման ևս մեկ ուժեղ երկրաշարժի դեպքում</w:t>
      </w:r>
      <w:r w:rsidRPr="00E03C76">
        <w:rPr>
          <w:rStyle w:val="FootnoteReference"/>
          <w:bCs/>
        </w:rPr>
        <w:footnoteReference w:id="53"/>
      </w:r>
      <w:r w:rsidRPr="00E03C76">
        <w:rPr>
          <w:bCs/>
          <w:lang w:val="hy-AM"/>
        </w:rPr>
        <w:t>: Սակայն, համաձայն աղետների նվազեցման և վերականգնման գլոբալ հիմնադրամի կողմից 2017 թվականին կազմված՝ Հայաստանի աղետների ռիսկի պրոֆիլի,  ընդհանուր տնտեսական ազդեցությունը կարող է շատ ավելի մեծ լինել, չնայած հնարավոր զոհերի գնահատված ավելի փոքր քանակին</w:t>
      </w:r>
      <w:r w:rsidRPr="00E03C76">
        <w:rPr>
          <w:rStyle w:val="FootnoteReference"/>
          <w:bCs/>
        </w:rPr>
        <w:footnoteReference w:id="54"/>
      </w:r>
      <w:r w:rsidRPr="00E03C76">
        <w:rPr>
          <w:bCs/>
          <w:lang w:val="hy-AM"/>
        </w:rPr>
        <w:t xml:space="preserve">: </w:t>
      </w:r>
    </w:p>
    <w:p w14:paraId="52A3BFDE" w14:textId="77777777" w:rsidR="00545EC8" w:rsidRPr="00E03C76" w:rsidRDefault="00545EC8" w:rsidP="0086137E">
      <w:pPr>
        <w:spacing w:after="0" w:line="276" w:lineRule="auto"/>
        <w:ind w:firstLine="0"/>
        <w:rPr>
          <w:bCs/>
          <w:lang w:val="hy-AM"/>
        </w:rPr>
      </w:pPr>
      <w:r w:rsidRPr="00E03C76">
        <w:rPr>
          <w:bCs/>
          <w:lang w:val="hy-AM"/>
        </w:rPr>
        <w:t xml:space="preserve">ՇՄՆ քարտեզագրման արդյունքներով արձանագրվել է մոտ </w:t>
      </w:r>
      <w:r w:rsidRPr="00855647">
        <w:rPr>
          <w:b/>
          <w:bCs/>
          <w:lang w:val="hy-AM"/>
        </w:rPr>
        <w:t>2500 սողանքային տարածք</w:t>
      </w:r>
      <w:r w:rsidRPr="00E03C76">
        <w:rPr>
          <w:bCs/>
          <w:lang w:val="hy-AM"/>
        </w:rPr>
        <w:t>, որոնց համար 2023թ. պետական բյուջեի «Սողանքային տեղամասերի ինժեներաերկրաբանական հետազոտություններ» հոդվածով նախատեսվել է 61,290.0 հազար ՀՀ դրամ, իսկ որպես սողանքներից բխող խնդիրների ֆինանսավորման աղբյուր ներկայումս դիտարկվում է ՀՀ կառավարության պահուստային ֆոնդը:</w:t>
      </w:r>
    </w:p>
    <w:p w14:paraId="6F047798" w14:textId="77777777" w:rsidR="00545EC8" w:rsidRDefault="00545EC8" w:rsidP="0086137E">
      <w:pPr>
        <w:spacing w:after="0" w:line="276" w:lineRule="auto"/>
        <w:ind w:firstLine="0"/>
        <w:rPr>
          <w:bCs/>
          <w:lang w:val="hy-AM"/>
        </w:rPr>
      </w:pPr>
      <w:r w:rsidRPr="00E03C76">
        <w:rPr>
          <w:lang w:val="hy-AM"/>
        </w:rPr>
        <w:t xml:space="preserve">Ինչ վերաբերում է </w:t>
      </w:r>
      <w:r w:rsidRPr="00E03C76">
        <w:rPr>
          <w:b/>
          <w:lang w:val="hy-AM"/>
        </w:rPr>
        <w:t>եղանակային պայմանների</w:t>
      </w:r>
      <w:r w:rsidRPr="00E03C76">
        <w:rPr>
          <w:lang w:val="hy-AM"/>
        </w:rPr>
        <w:t xml:space="preserve"> հետ կապված ռիսկերին, ապա կլիմայի փոփոխությունը համարվում է աղետների և՛ հաճախականության, և՛ ուժգնության վրա ազդող էական գործոն:</w:t>
      </w:r>
      <w:r w:rsidRPr="00E03C76">
        <w:rPr>
          <w:bCs/>
          <w:lang w:val="hy-AM"/>
        </w:rPr>
        <w:t xml:space="preserve"> Այդ իսկ պատճառով կարևոր է ներդրումներ կատարել կլիմայի փոփոխության հարմարվողականության և աղետների ռիսկի համապարփակ նվազեցման ուղղություններով։ Վերջին 9 տասնամյակի ընթացքում </w:t>
      </w:r>
      <w:r w:rsidRPr="00FC42E9">
        <w:rPr>
          <w:bCs/>
          <w:lang w:val="hy-AM"/>
        </w:rPr>
        <w:t>գրանցվել է միջին ջերմաստիճանի կայուն աճ և միջին տեղումների կայուն նվազում՝ համաշխարհային միջինից բարձր և վերջին 3 տասնամյակների ընթացքում արագացող միտումներով։ Հայաստանի տարածքի համար 1961- 1990թթ</w:t>
      </w:r>
      <w:r w:rsidRPr="00FC42E9">
        <w:rPr>
          <w:rFonts w:ascii="Cambria Math" w:hAnsi="Cambria Math" w:cs="Cambria Math"/>
          <w:bCs/>
          <w:lang w:val="hy-AM"/>
        </w:rPr>
        <w:t>․</w:t>
      </w:r>
      <w:r w:rsidRPr="00FC42E9">
        <w:rPr>
          <w:bCs/>
          <w:lang w:val="hy-AM"/>
        </w:rPr>
        <w:t xml:space="preserve"> միջինի (5.50</w:t>
      </w:r>
      <w:r>
        <w:rPr>
          <w:bCs/>
          <w:lang w:val="hy-AM"/>
        </w:rPr>
        <w:t>°</w:t>
      </w:r>
      <w:r w:rsidRPr="00FC42E9">
        <w:rPr>
          <w:bCs/>
          <w:lang w:val="hy-AM"/>
        </w:rPr>
        <w:t xml:space="preserve"> C) նկատմամբ կանխատեսվում է տարեկան միջին ջերմաստիճանի աճ՝ մինչև 1.60</w:t>
      </w:r>
      <w:r>
        <w:rPr>
          <w:bCs/>
          <w:lang w:val="hy-AM"/>
        </w:rPr>
        <w:t>°</w:t>
      </w:r>
      <w:r w:rsidRPr="00FC42E9">
        <w:rPr>
          <w:bCs/>
          <w:lang w:val="hy-AM"/>
        </w:rPr>
        <w:t>C-ով՝ 2040թ</w:t>
      </w:r>
      <w:r w:rsidRPr="00FC42E9">
        <w:rPr>
          <w:rFonts w:ascii="Cambria Math" w:hAnsi="Cambria Math" w:cs="Cambria Math"/>
          <w:bCs/>
          <w:lang w:val="hy-AM"/>
        </w:rPr>
        <w:t>․</w:t>
      </w:r>
      <w:r w:rsidRPr="00FC42E9">
        <w:rPr>
          <w:bCs/>
          <w:lang w:val="hy-AM"/>
        </w:rPr>
        <w:t>, 3.30</w:t>
      </w:r>
      <w:r>
        <w:rPr>
          <w:bCs/>
          <w:lang w:val="hy-AM"/>
        </w:rPr>
        <w:t>°</w:t>
      </w:r>
      <w:r w:rsidRPr="00FC42E9">
        <w:rPr>
          <w:bCs/>
          <w:lang w:val="hy-AM"/>
        </w:rPr>
        <w:t>C-ով՝ 2070թ</w:t>
      </w:r>
      <w:r w:rsidRPr="00FC42E9">
        <w:rPr>
          <w:rFonts w:ascii="Cambria Math" w:hAnsi="Cambria Math" w:cs="Cambria Math"/>
          <w:bCs/>
          <w:lang w:val="hy-AM"/>
        </w:rPr>
        <w:t>․</w:t>
      </w:r>
      <w:r w:rsidRPr="00FC42E9">
        <w:rPr>
          <w:bCs/>
          <w:lang w:val="hy-AM"/>
        </w:rPr>
        <w:t xml:space="preserve"> և 4.70</w:t>
      </w:r>
      <w:r>
        <w:rPr>
          <w:bCs/>
          <w:lang w:val="hy-AM"/>
        </w:rPr>
        <w:t>°</w:t>
      </w:r>
      <w:r w:rsidRPr="00FC42E9">
        <w:rPr>
          <w:bCs/>
          <w:lang w:val="hy-AM"/>
        </w:rPr>
        <w:t>C-ով՝ 2100թ</w:t>
      </w:r>
      <w:r w:rsidRPr="00FC42E9">
        <w:rPr>
          <w:rFonts w:ascii="Cambria Math" w:hAnsi="Cambria Math" w:cs="Cambria Math"/>
          <w:bCs/>
          <w:lang w:val="hy-AM"/>
        </w:rPr>
        <w:t>․</w:t>
      </w:r>
      <w:r w:rsidRPr="00FC42E9">
        <w:rPr>
          <w:bCs/>
          <w:lang w:val="hy-AM"/>
        </w:rPr>
        <w:t>։ Մթնոլորտային տեղումների դեպքում ակնկալվում է 1961-1990թթ</w:t>
      </w:r>
      <w:r w:rsidRPr="00FC42E9">
        <w:rPr>
          <w:rFonts w:ascii="Cambria Math" w:hAnsi="Cambria Math" w:cs="Cambria Math"/>
          <w:bCs/>
          <w:lang w:val="hy-AM"/>
        </w:rPr>
        <w:t>․</w:t>
      </w:r>
      <w:r w:rsidRPr="00FC42E9">
        <w:rPr>
          <w:bCs/>
          <w:lang w:val="hy-AM"/>
        </w:rPr>
        <w:t xml:space="preserve"> տարեկան տեղումների միջին քանակի (592 մմ) նկատմամբ նվազում՝ մինչև 2.7%-ով՝ 2040թ</w:t>
      </w:r>
      <w:r w:rsidRPr="00FC42E9">
        <w:rPr>
          <w:rFonts w:ascii="Cambria Math" w:hAnsi="Cambria Math" w:cs="Cambria Math"/>
          <w:bCs/>
          <w:lang w:val="hy-AM"/>
        </w:rPr>
        <w:t>․</w:t>
      </w:r>
      <w:r w:rsidRPr="00FC42E9">
        <w:rPr>
          <w:bCs/>
          <w:lang w:val="hy-AM"/>
        </w:rPr>
        <w:t>, 5.4%-ով՝ 2070թ</w:t>
      </w:r>
      <w:r w:rsidRPr="00FC42E9">
        <w:rPr>
          <w:rFonts w:ascii="Cambria Math" w:hAnsi="Cambria Math" w:cs="Cambria Math"/>
          <w:bCs/>
          <w:lang w:val="hy-AM"/>
        </w:rPr>
        <w:t>․</w:t>
      </w:r>
      <w:r w:rsidRPr="00FC42E9">
        <w:rPr>
          <w:bCs/>
          <w:lang w:val="hy-AM"/>
        </w:rPr>
        <w:t xml:space="preserve"> և 8.3%-ով՝ 2100թ</w:t>
      </w:r>
      <w:r w:rsidRPr="00FC42E9">
        <w:rPr>
          <w:rFonts w:ascii="Cambria Math" w:hAnsi="Cambria Math" w:cs="Cambria Math"/>
          <w:bCs/>
          <w:lang w:val="hy-AM"/>
        </w:rPr>
        <w:t>․</w:t>
      </w:r>
      <w:r w:rsidRPr="00FC42E9">
        <w:rPr>
          <w:rFonts w:cs="Cambria Math"/>
          <w:bCs/>
          <w:lang w:val="hy-AM"/>
        </w:rPr>
        <w:t xml:space="preserve"> (</w:t>
      </w:r>
      <w:r>
        <w:rPr>
          <w:rFonts w:cs="Cambria Math"/>
          <w:bCs/>
          <w:lang w:val="hy-AM"/>
        </w:rPr>
        <w:t>տե</w:t>
      </w:r>
      <w:r w:rsidRPr="00B35A3C">
        <w:rPr>
          <w:lang w:val="hy-AM"/>
        </w:rPr>
        <w:t>΄</w:t>
      </w:r>
      <w:r w:rsidRPr="00FC42E9">
        <w:rPr>
          <w:rFonts w:cs="Cambria Math"/>
          <w:bCs/>
          <w:lang w:val="hy-AM"/>
        </w:rPr>
        <w:t>ս աղյուսակ 9)</w:t>
      </w:r>
      <w:r w:rsidRPr="00FC42E9">
        <w:rPr>
          <w:rStyle w:val="FootnoteReference"/>
          <w:rFonts w:cs="Cambria Math"/>
          <w:bCs/>
        </w:rPr>
        <w:footnoteReference w:id="55"/>
      </w:r>
      <w:r w:rsidRPr="00FC42E9">
        <w:rPr>
          <w:bCs/>
          <w:lang w:val="hy-AM"/>
        </w:rPr>
        <w:t xml:space="preserve">։ </w:t>
      </w:r>
    </w:p>
    <w:p w14:paraId="196CFB28" w14:textId="77777777" w:rsidR="00545EC8" w:rsidRPr="00FC42E9" w:rsidRDefault="00545EC8" w:rsidP="00545EC8">
      <w:pPr>
        <w:spacing w:after="0" w:line="276" w:lineRule="auto"/>
        <w:rPr>
          <w:bCs/>
          <w:lang w:val="hy-AM"/>
        </w:rPr>
      </w:pPr>
    </w:p>
    <w:p w14:paraId="04EBE79B" w14:textId="77777777" w:rsidR="00545EC8" w:rsidRPr="00855647" w:rsidRDefault="00545EC8" w:rsidP="00545EC8">
      <w:pPr>
        <w:spacing w:line="276" w:lineRule="auto"/>
        <w:ind w:firstLine="0"/>
        <w:rPr>
          <w:bCs/>
          <w:i/>
          <w:lang w:val="hy-AM"/>
        </w:rPr>
      </w:pPr>
      <w:r w:rsidRPr="00855647">
        <w:rPr>
          <w:b/>
          <w:bCs/>
          <w:i/>
          <w:lang w:val="hy-AM"/>
        </w:rPr>
        <w:t xml:space="preserve">Աղյուսակ 9. </w:t>
      </w:r>
      <w:r w:rsidRPr="00855647">
        <w:rPr>
          <w:bCs/>
          <w:i/>
          <w:lang w:val="hy-AM"/>
        </w:rPr>
        <w:t>Տարեկան միջին ջերմաստիճանի (T, ºC) և տեղումների քանակի (P, մմ) կանխատեսվող արժեքները Հայաստանի տարածքում</w:t>
      </w:r>
      <w:r>
        <w:rPr>
          <w:bCs/>
          <w:i/>
          <w:lang w:val="hy-AM"/>
        </w:rPr>
        <w:t>՝</w:t>
      </w:r>
      <w:r w:rsidRPr="00855647">
        <w:rPr>
          <w:bCs/>
          <w:i/>
          <w:lang w:val="hy-AM"/>
        </w:rPr>
        <w:t xml:space="preserve"> ըստ բարձրության տարբեր գոտիների (մ) METRAS մոդելով՝ համաձայն RCP8.5 սցենարի</w:t>
      </w:r>
      <w:r w:rsidRPr="00855647">
        <w:rPr>
          <w:rStyle w:val="FootnoteReference"/>
          <w:bCs/>
          <w:i/>
        </w:rPr>
        <w:footnoteReference w:id="56"/>
      </w:r>
    </w:p>
    <w:tbl>
      <w:tblPr>
        <w:tblW w:w="10256" w:type="dxa"/>
        <w:tblInd w:w="-289" w:type="dxa"/>
        <w:tblLook w:val="04A0" w:firstRow="1" w:lastRow="0" w:firstColumn="1" w:lastColumn="0" w:noHBand="0" w:noVBand="1"/>
      </w:tblPr>
      <w:tblGrid>
        <w:gridCol w:w="3256"/>
        <w:gridCol w:w="1060"/>
        <w:gridCol w:w="780"/>
        <w:gridCol w:w="800"/>
        <w:gridCol w:w="940"/>
        <w:gridCol w:w="860"/>
        <w:gridCol w:w="880"/>
        <w:gridCol w:w="880"/>
        <w:gridCol w:w="800"/>
      </w:tblGrid>
      <w:tr w:rsidR="00545EC8" w:rsidRPr="00696307" w14:paraId="1AD9AF09" w14:textId="77777777" w:rsidTr="00D262EA">
        <w:trPr>
          <w:trHeight w:val="300"/>
        </w:trPr>
        <w:tc>
          <w:tcPr>
            <w:tcW w:w="3256" w:type="dxa"/>
            <w:vMerge w:val="restart"/>
            <w:tcBorders>
              <w:top w:val="single" w:sz="4" w:space="0" w:color="auto"/>
              <w:left w:val="single" w:sz="4" w:space="0" w:color="auto"/>
              <w:bottom w:val="single" w:sz="4" w:space="0" w:color="auto"/>
              <w:right w:val="single" w:sz="4" w:space="0" w:color="auto"/>
            </w:tcBorders>
            <w:shd w:val="clear" w:color="000000" w:fill="5B9BD5"/>
            <w:noWrap/>
            <w:vAlign w:val="center"/>
            <w:hideMark/>
          </w:tcPr>
          <w:p w14:paraId="6920D004" w14:textId="77777777" w:rsidR="00545EC8" w:rsidRPr="00696307" w:rsidRDefault="00545EC8" w:rsidP="00D262EA">
            <w:pPr>
              <w:spacing w:after="0" w:line="240" w:lineRule="auto"/>
              <w:ind w:firstLine="0"/>
              <w:jc w:val="center"/>
              <w:rPr>
                <w:rFonts w:eastAsia="Times New Roman" w:cs="Calibri"/>
                <w:b/>
                <w:bCs/>
                <w:color w:val="FFFFFF"/>
              </w:rPr>
            </w:pPr>
            <w:r w:rsidRPr="00696307">
              <w:rPr>
                <w:rFonts w:eastAsia="Times New Roman" w:cs="Calibri"/>
                <w:b/>
                <w:bCs/>
                <w:color w:val="FFFFFF"/>
              </w:rPr>
              <w:t>Բարձրության գոտիներ,</w:t>
            </w:r>
            <w:r>
              <w:rPr>
                <w:rFonts w:eastAsia="Times New Roman" w:cs="Calibri"/>
                <w:b/>
                <w:bCs/>
                <w:color w:val="FFFFFF"/>
                <w:lang w:val="hy-AM"/>
              </w:rPr>
              <w:t xml:space="preserve"> </w:t>
            </w:r>
            <w:r w:rsidRPr="00696307">
              <w:rPr>
                <w:rFonts w:eastAsia="Times New Roman" w:cs="Calibri"/>
                <w:b/>
                <w:bCs/>
                <w:color w:val="FFFFFF"/>
              </w:rPr>
              <w:t>մ</w:t>
            </w:r>
          </w:p>
        </w:tc>
        <w:tc>
          <w:tcPr>
            <w:tcW w:w="1840" w:type="dxa"/>
            <w:gridSpan w:val="2"/>
            <w:tcBorders>
              <w:top w:val="single" w:sz="4" w:space="0" w:color="auto"/>
              <w:left w:val="nil"/>
              <w:bottom w:val="single" w:sz="4" w:space="0" w:color="auto"/>
              <w:right w:val="single" w:sz="4" w:space="0" w:color="auto"/>
            </w:tcBorders>
            <w:shd w:val="clear" w:color="000000" w:fill="5B9BD5"/>
            <w:vAlign w:val="center"/>
            <w:hideMark/>
          </w:tcPr>
          <w:p w14:paraId="2AD917D3"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1961-1990</w:t>
            </w:r>
          </w:p>
        </w:tc>
        <w:tc>
          <w:tcPr>
            <w:tcW w:w="1740" w:type="dxa"/>
            <w:gridSpan w:val="2"/>
            <w:tcBorders>
              <w:top w:val="single" w:sz="4" w:space="0" w:color="auto"/>
              <w:left w:val="nil"/>
              <w:bottom w:val="single" w:sz="4" w:space="0" w:color="auto"/>
              <w:right w:val="single" w:sz="4" w:space="0" w:color="auto"/>
            </w:tcBorders>
            <w:shd w:val="clear" w:color="000000" w:fill="5B9BD5"/>
            <w:vAlign w:val="center"/>
            <w:hideMark/>
          </w:tcPr>
          <w:p w14:paraId="6573C27B"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2011-2040</w:t>
            </w:r>
          </w:p>
        </w:tc>
        <w:tc>
          <w:tcPr>
            <w:tcW w:w="1740" w:type="dxa"/>
            <w:gridSpan w:val="2"/>
            <w:tcBorders>
              <w:top w:val="single" w:sz="4" w:space="0" w:color="auto"/>
              <w:left w:val="nil"/>
              <w:bottom w:val="single" w:sz="4" w:space="0" w:color="auto"/>
              <w:right w:val="single" w:sz="4" w:space="0" w:color="auto"/>
            </w:tcBorders>
            <w:shd w:val="clear" w:color="000000" w:fill="5B9BD5"/>
            <w:vAlign w:val="center"/>
            <w:hideMark/>
          </w:tcPr>
          <w:p w14:paraId="24F8D7CE"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2041-2070</w:t>
            </w:r>
          </w:p>
        </w:tc>
        <w:tc>
          <w:tcPr>
            <w:tcW w:w="1680" w:type="dxa"/>
            <w:gridSpan w:val="2"/>
            <w:tcBorders>
              <w:top w:val="single" w:sz="4" w:space="0" w:color="auto"/>
              <w:left w:val="nil"/>
              <w:bottom w:val="single" w:sz="4" w:space="0" w:color="auto"/>
              <w:right w:val="single" w:sz="4" w:space="0" w:color="auto"/>
            </w:tcBorders>
            <w:shd w:val="clear" w:color="000000" w:fill="5B9BD5"/>
            <w:vAlign w:val="center"/>
            <w:hideMark/>
          </w:tcPr>
          <w:p w14:paraId="797BBB9F"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2071-2100</w:t>
            </w:r>
          </w:p>
        </w:tc>
      </w:tr>
      <w:tr w:rsidR="00545EC8" w:rsidRPr="00696307" w14:paraId="502E07FC" w14:textId="77777777" w:rsidTr="00D262EA">
        <w:trPr>
          <w:trHeight w:val="300"/>
        </w:trPr>
        <w:tc>
          <w:tcPr>
            <w:tcW w:w="3256" w:type="dxa"/>
            <w:vMerge/>
            <w:tcBorders>
              <w:top w:val="single" w:sz="4" w:space="0" w:color="auto"/>
              <w:left w:val="single" w:sz="4" w:space="0" w:color="auto"/>
              <w:bottom w:val="single" w:sz="4" w:space="0" w:color="auto"/>
              <w:right w:val="single" w:sz="4" w:space="0" w:color="auto"/>
            </w:tcBorders>
            <w:vAlign w:val="center"/>
            <w:hideMark/>
          </w:tcPr>
          <w:p w14:paraId="2C1CB1E1" w14:textId="77777777" w:rsidR="00545EC8" w:rsidRPr="00696307" w:rsidRDefault="00545EC8" w:rsidP="00D262EA">
            <w:pPr>
              <w:spacing w:after="0" w:line="240" w:lineRule="auto"/>
              <w:ind w:firstLine="0"/>
              <w:jc w:val="center"/>
              <w:rPr>
                <w:rFonts w:eastAsia="Times New Roman" w:cs="Calibri"/>
                <w:b/>
                <w:bCs/>
                <w:color w:val="FFFFFF"/>
              </w:rPr>
            </w:pPr>
          </w:p>
        </w:tc>
        <w:tc>
          <w:tcPr>
            <w:tcW w:w="1060" w:type="dxa"/>
            <w:tcBorders>
              <w:top w:val="nil"/>
              <w:left w:val="nil"/>
              <w:bottom w:val="single" w:sz="4" w:space="0" w:color="auto"/>
              <w:right w:val="single" w:sz="4" w:space="0" w:color="auto"/>
            </w:tcBorders>
            <w:shd w:val="clear" w:color="000000" w:fill="5B9BD5"/>
            <w:vAlign w:val="center"/>
            <w:hideMark/>
          </w:tcPr>
          <w:p w14:paraId="63E0D4C3"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T, °C</w:t>
            </w:r>
          </w:p>
        </w:tc>
        <w:tc>
          <w:tcPr>
            <w:tcW w:w="780" w:type="dxa"/>
            <w:tcBorders>
              <w:top w:val="nil"/>
              <w:left w:val="nil"/>
              <w:bottom w:val="single" w:sz="4" w:space="0" w:color="auto"/>
              <w:right w:val="single" w:sz="4" w:space="0" w:color="auto"/>
            </w:tcBorders>
            <w:shd w:val="clear" w:color="000000" w:fill="5B9BD5"/>
            <w:vAlign w:val="center"/>
            <w:hideMark/>
          </w:tcPr>
          <w:p w14:paraId="434F1661"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P, մմ</w:t>
            </w:r>
          </w:p>
        </w:tc>
        <w:tc>
          <w:tcPr>
            <w:tcW w:w="800" w:type="dxa"/>
            <w:tcBorders>
              <w:top w:val="nil"/>
              <w:left w:val="nil"/>
              <w:bottom w:val="single" w:sz="4" w:space="0" w:color="auto"/>
              <w:right w:val="single" w:sz="4" w:space="0" w:color="auto"/>
            </w:tcBorders>
            <w:shd w:val="clear" w:color="000000" w:fill="5B9BD5"/>
            <w:vAlign w:val="center"/>
            <w:hideMark/>
          </w:tcPr>
          <w:p w14:paraId="4C1A6366"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T, °C</w:t>
            </w:r>
          </w:p>
        </w:tc>
        <w:tc>
          <w:tcPr>
            <w:tcW w:w="940" w:type="dxa"/>
            <w:tcBorders>
              <w:top w:val="nil"/>
              <w:left w:val="nil"/>
              <w:bottom w:val="single" w:sz="4" w:space="0" w:color="auto"/>
              <w:right w:val="single" w:sz="4" w:space="0" w:color="auto"/>
            </w:tcBorders>
            <w:shd w:val="clear" w:color="000000" w:fill="5B9BD5"/>
            <w:vAlign w:val="center"/>
            <w:hideMark/>
          </w:tcPr>
          <w:p w14:paraId="2B6429EE"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P, մմ</w:t>
            </w:r>
          </w:p>
        </w:tc>
        <w:tc>
          <w:tcPr>
            <w:tcW w:w="860" w:type="dxa"/>
            <w:tcBorders>
              <w:top w:val="nil"/>
              <w:left w:val="nil"/>
              <w:bottom w:val="single" w:sz="4" w:space="0" w:color="auto"/>
              <w:right w:val="single" w:sz="4" w:space="0" w:color="auto"/>
            </w:tcBorders>
            <w:shd w:val="clear" w:color="000000" w:fill="5B9BD5"/>
            <w:vAlign w:val="center"/>
            <w:hideMark/>
          </w:tcPr>
          <w:p w14:paraId="3CA95C30"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T, °C</w:t>
            </w:r>
          </w:p>
        </w:tc>
        <w:tc>
          <w:tcPr>
            <w:tcW w:w="880" w:type="dxa"/>
            <w:tcBorders>
              <w:top w:val="nil"/>
              <w:left w:val="nil"/>
              <w:bottom w:val="single" w:sz="4" w:space="0" w:color="auto"/>
              <w:right w:val="single" w:sz="4" w:space="0" w:color="auto"/>
            </w:tcBorders>
            <w:shd w:val="clear" w:color="000000" w:fill="5B9BD5"/>
            <w:vAlign w:val="center"/>
            <w:hideMark/>
          </w:tcPr>
          <w:p w14:paraId="48427747"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P, մմ</w:t>
            </w:r>
          </w:p>
        </w:tc>
        <w:tc>
          <w:tcPr>
            <w:tcW w:w="880" w:type="dxa"/>
            <w:tcBorders>
              <w:top w:val="nil"/>
              <w:left w:val="nil"/>
              <w:bottom w:val="single" w:sz="4" w:space="0" w:color="auto"/>
              <w:right w:val="single" w:sz="4" w:space="0" w:color="auto"/>
            </w:tcBorders>
            <w:shd w:val="clear" w:color="000000" w:fill="5B9BD5"/>
            <w:vAlign w:val="center"/>
            <w:hideMark/>
          </w:tcPr>
          <w:p w14:paraId="38E6B077"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T, °C</w:t>
            </w:r>
          </w:p>
        </w:tc>
        <w:tc>
          <w:tcPr>
            <w:tcW w:w="800" w:type="dxa"/>
            <w:tcBorders>
              <w:top w:val="nil"/>
              <w:left w:val="nil"/>
              <w:bottom w:val="single" w:sz="4" w:space="0" w:color="auto"/>
              <w:right w:val="single" w:sz="4" w:space="0" w:color="auto"/>
            </w:tcBorders>
            <w:shd w:val="clear" w:color="000000" w:fill="5B9BD5"/>
            <w:vAlign w:val="center"/>
            <w:hideMark/>
          </w:tcPr>
          <w:p w14:paraId="050C9EA0" w14:textId="77777777" w:rsidR="00545EC8" w:rsidRPr="00696307" w:rsidRDefault="00545EC8" w:rsidP="00D262EA">
            <w:pPr>
              <w:spacing w:after="0" w:line="240" w:lineRule="auto"/>
              <w:ind w:firstLine="0"/>
              <w:jc w:val="center"/>
              <w:rPr>
                <w:rFonts w:ascii="Calibri" w:eastAsia="Times New Roman" w:hAnsi="Calibri" w:cs="Calibri"/>
                <w:b/>
                <w:bCs/>
                <w:color w:val="FFFFFF"/>
              </w:rPr>
            </w:pPr>
            <w:r w:rsidRPr="00696307">
              <w:rPr>
                <w:rFonts w:ascii="Calibri" w:eastAsia="Times New Roman" w:hAnsi="Calibri" w:cs="Calibri"/>
                <w:b/>
                <w:bCs/>
                <w:color w:val="FFFFFF"/>
              </w:rPr>
              <w:t>P, մմ</w:t>
            </w:r>
          </w:p>
        </w:tc>
      </w:tr>
      <w:tr w:rsidR="00545EC8" w:rsidRPr="00696307" w14:paraId="797D9F1F"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0F540AA"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&lt; 800</w:t>
            </w:r>
          </w:p>
        </w:tc>
        <w:tc>
          <w:tcPr>
            <w:tcW w:w="1060" w:type="dxa"/>
            <w:tcBorders>
              <w:top w:val="nil"/>
              <w:left w:val="nil"/>
              <w:bottom w:val="single" w:sz="4" w:space="0" w:color="auto"/>
              <w:right w:val="single" w:sz="4" w:space="0" w:color="auto"/>
            </w:tcBorders>
            <w:shd w:val="clear" w:color="auto" w:fill="auto"/>
            <w:noWrap/>
            <w:vAlign w:val="center"/>
            <w:hideMark/>
          </w:tcPr>
          <w:p w14:paraId="2BBE85B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11.2</w:t>
            </w:r>
          </w:p>
        </w:tc>
        <w:tc>
          <w:tcPr>
            <w:tcW w:w="780" w:type="dxa"/>
            <w:tcBorders>
              <w:top w:val="nil"/>
              <w:left w:val="nil"/>
              <w:bottom w:val="single" w:sz="4" w:space="0" w:color="auto"/>
              <w:right w:val="single" w:sz="4" w:space="0" w:color="auto"/>
            </w:tcBorders>
            <w:shd w:val="clear" w:color="auto" w:fill="auto"/>
            <w:noWrap/>
            <w:vAlign w:val="center"/>
            <w:hideMark/>
          </w:tcPr>
          <w:p w14:paraId="471D5E2E"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467</w:t>
            </w:r>
          </w:p>
        </w:tc>
        <w:tc>
          <w:tcPr>
            <w:tcW w:w="800" w:type="dxa"/>
            <w:tcBorders>
              <w:top w:val="nil"/>
              <w:left w:val="nil"/>
              <w:bottom w:val="single" w:sz="4" w:space="0" w:color="auto"/>
              <w:right w:val="single" w:sz="4" w:space="0" w:color="auto"/>
            </w:tcBorders>
            <w:shd w:val="clear" w:color="auto" w:fill="auto"/>
            <w:noWrap/>
            <w:vAlign w:val="center"/>
            <w:hideMark/>
          </w:tcPr>
          <w:p w14:paraId="4CB2DF3B"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12.8</w:t>
            </w:r>
          </w:p>
        </w:tc>
        <w:tc>
          <w:tcPr>
            <w:tcW w:w="940" w:type="dxa"/>
            <w:tcBorders>
              <w:top w:val="nil"/>
              <w:left w:val="nil"/>
              <w:bottom w:val="single" w:sz="4" w:space="0" w:color="auto"/>
              <w:right w:val="single" w:sz="4" w:space="0" w:color="auto"/>
            </w:tcBorders>
            <w:shd w:val="clear" w:color="auto" w:fill="auto"/>
            <w:noWrap/>
            <w:vAlign w:val="center"/>
            <w:hideMark/>
          </w:tcPr>
          <w:p w14:paraId="052AB015"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452</w:t>
            </w:r>
          </w:p>
        </w:tc>
        <w:tc>
          <w:tcPr>
            <w:tcW w:w="860" w:type="dxa"/>
            <w:tcBorders>
              <w:top w:val="nil"/>
              <w:left w:val="nil"/>
              <w:bottom w:val="single" w:sz="4" w:space="0" w:color="auto"/>
              <w:right w:val="single" w:sz="4" w:space="0" w:color="auto"/>
            </w:tcBorders>
            <w:shd w:val="clear" w:color="auto" w:fill="auto"/>
            <w:noWrap/>
            <w:vAlign w:val="center"/>
            <w:hideMark/>
          </w:tcPr>
          <w:p w14:paraId="51B1BA5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14.5</w:t>
            </w:r>
          </w:p>
        </w:tc>
        <w:tc>
          <w:tcPr>
            <w:tcW w:w="880" w:type="dxa"/>
            <w:tcBorders>
              <w:top w:val="nil"/>
              <w:left w:val="nil"/>
              <w:bottom w:val="single" w:sz="4" w:space="0" w:color="auto"/>
              <w:right w:val="single" w:sz="4" w:space="0" w:color="auto"/>
            </w:tcBorders>
            <w:shd w:val="clear" w:color="auto" w:fill="auto"/>
            <w:noWrap/>
            <w:vAlign w:val="center"/>
            <w:hideMark/>
          </w:tcPr>
          <w:p w14:paraId="2A469BF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439</w:t>
            </w:r>
          </w:p>
        </w:tc>
        <w:tc>
          <w:tcPr>
            <w:tcW w:w="880" w:type="dxa"/>
            <w:tcBorders>
              <w:top w:val="nil"/>
              <w:left w:val="nil"/>
              <w:bottom w:val="single" w:sz="4" w:space="0" w:color="auto"/>
              <w:right w:val="single" w:sz="4" w:space="0" w:color="auto"/>
            </w:tcBorders>
            <w:shd w:val="clear" w:color="auto" w:fill="auto"/>
            <w:noWrap/>
            <w:vAlign w:val="center"/>
            <w:hideMark/>
          </w:tcPr>
          <w:p w14:paraId="71D9E59C"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15.9</w:t>
            </w:r>
          </w:p>
        </w:tc>
        <w:tc>
          <w:tcPr>
            <w:tcW w:w="800" w:type="dxa"/>
            <w:tcBorders>
              <w:top w:val="nil"/>
              <w:left w:val="nil"/>
              <w:bottom w:val="single" w:sz="4" w:space="0" w:color="auto"/>
              <w:right w:val="single" w:sz="4" w:space="0" w:color="auto"/>
            </w:tcBorders>
            <w:shd w:val="clear" w:color="auto" w:fill="auto"/>
            <w:noWrap/>
            <w:vAlign w:val="center"/>
            <w:hideMark/>
          </w:tcPr>
          <w:p w14:paraId="4F4A892F"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426</w:t>
            </w:r>
          </w:p>
        </w:tc>
      </w:tr>
      <w:tr w:rsidR="00545EC8" w:rsidRPr="00696307" w14:paraId="463ED486"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634E5A4D"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800 - 1000</w:t>
            </w:r>
          </w:p>
        </w:tc>
        <w:tc>
          <w:tcPr>
            <w:tcW w:w="1060" w:type="dxa"/>
            <w:tcBorders>
              <w:top w:val="nil"/>
              <w:left w:val="nil"/>
              <w:bottom w:val="single" w:sz="4" w:space="0" w:color="auto"/>
              <w:right w:val="single" w:sz="4" w:space="0" w:color="auto"/>
            </w:tcBorders>
            <w:shd w:val="clear" w:color="auto" w:fill="auto"/>
            <w:noWrap/>
            <w:vAlign w:val="center"/>
            <w:hideMark/>
          </w:tcPr>
          <w:p w14:paraId="4FEB277E"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10.8</w:t>
            </w:r>
          </w:p>
        </w:tc>
        <w:tc>
          <w:tcPr>
            <w:tcW w:w="780" w:type="dxa"/>
            <w:tcBorders>
              <w:top w:val="nil"/>
              <w:left w:val="nil"/>
              <w:bottom w:val="single" w:sz="4" w:space="0" w:color="auto"/>
              <w:right w:val="single" w:sz="4" w:space="0" w:color="auto"/>
            </w:tcBorders>
            <w:shd w:val="clear" w:color="auto" w:fill="auto"/>
            <w:noWrap/>
            <w:vAlign w:val="center"/>
            <w:hideMark/>
          </w:tcPr>
          <w:p w14:paraId="0B56FFB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343</w:t>
            </w:r>
          </w:p>
        </w:tc>
        <w:tc>
          <w:tcPr>
            <w:tcW w:w="800" w:type="dxa"/>
            <w:tcBorders>
              <w:top w:val="nil"/>
              <w:left w:val="nil"/>
              <w:bottom w:val="single" w:sz="4" w:space="0" w:color="auto"/>
              <w:right w:val="single" w:sz="4" w:space="0" w:color="auto"/>
            </w:tcBorders>
            <w:shd w:val="clear" w:color="auto" w:fill="auto"/>
            <w:noWrap/>
            <w:vAlign w:val="center"/>
            <w:hideMark/>
          </w:tcPr>
          <w:p w14:paraId="239CDB63"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12.4</w:t>
            </w:r>
          </w:p>
        </w:tc>
        <w:tc>
          <w:tcPr>
            <w:tcW w:w="940" w:type="dxa"/>
            <w:tcBorders>
              <w:top w:val="nil"/>
              <w:left w:val="nil"/>
              <w:bottom w:val="single" w:sz="4" w:space="0" w:color="auto"/>
              <w:right w:val="single" w:sz="4" w:space="0" w:color="auto"/>
            </w:tcBorders>
            <w:shd w:val="clear" w:color="auto" w:fill="auto"/>
            <w:noWrap/>
            <w:vAlign w:val="center"/>
            <w:hideMark/>
          </w:tcPr>
          <w:p w14:paraId="5399188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332</w:t>
            </w:r>
          </w:p>
        </w:tc>
        <w:tc>
          <w:tcPr>
            <w:tcW w:w="860" w:type="dxa"/>
            <w:tcBorders>
              <w:top w:val="nil"/>
              <w:left w:val="nil"/>
              <w:bottom w:val="single" w:sz="4" w:space="0" w:color="auto"/>
              <w:right w:val="single" w:sz="4" w:space="0" w:color="auto"/>
            </w:tcBorders>
            <w:shd w:val="clear" w:color="auto" w:fill="auto"/>
            <w:noWrap/>
            <w:vAlign w:val="center"/>
            <w:hideMark/>
          </w:tcPr>
          <w:p w14:paraId="334E589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14.1</w:t>
            </w:r>
          </w:p>
        </w:tc>
        <w:tc>
          <w:tcPr>
            <w:tcW w:w="880" w:type="dxa"/>
            <w:tcBorders>
              <w:top w:val="nil"/>
              <w:left w:val="nil"/>
              <w:bottom w:val="single" w:sz="4" w:space="0" w:color="auto"/>
              <w:right w:val="single" w:sz="4" w:space="0" w:color="auto"/>
            </w:tcBorders>
            <w:shd w:val="clear" w:color="auto" w:fill="auto"/>
            <w:noWrap/>
            <w:vAlign w:val="center"/>
            <w:hideMark/>
          </w:tcPr>
          <w:p w14:paraId="5FA9947C"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322</w:t>
            </w:r>
          </w:p>
        </w:tc>
        <w:tc>
          <w:tcPr>
            <w:tcW w:w="880" w:type="dxa"/>
            <w:tcBorders>
              <w:top w:val="nil"/>
              <w:left w:val="nil"/>
              <w:bottom w:val="single" w:sz="4" w:space="0" w:color="auto"/>
              <w:right w:val="single" w:sz="4" w:space="0" w:color="auto"/>
            </w:tcBorders>
            <w:shd w:val="clear" w:color="auto" w:fill="auto"/>
            <w:noWrap/>
            <w:vAlign w:val="center"/>
            <w:hideMark/>
          </w:tcPr>
          <w:p w14:paraId="07B24E0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15.5</w:t>
            </w:r>
          </w:p>
        </w:tc>
        <w:tc>
          <w:tcPr>
            <w:tcW w:w="800" w:type="dxa"/>
            <w:tcBorders>
              <w:top w:val="nil"/>
              <w:left w:val="nil"/>
              <w:bottom w:val="single" w:sz="4" w:space="0" w:color="auto"/>
              <w:right w:val="single" w:sz="4" w:space="0" w:color="auto"/>
            </w:tcBorders>
            <w:shd w:val="clear" w:color="auto" w:fill="auto"/>
            <w:noWrap/>
            <w:vAlign w:val="center"/>
            <w:hideMark/>
          </w:tcPr>
          <w:p w14:paraId="5E679152"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313</w:t>
            </w:r>
          </w:p>
        </w:tc>
      </w:tr>
      <w:tr w:rsidR="00545EC8" w:rsidRPr="00696307" w14:paraId="0485711E"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736BFB6F"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1000 - 1500</w:t>
            </w:r>
          </w:p>
        </w:tc>
        <w:tc>
          <w:tcPr>
            <w:tcW w:w="1060" w:type="dxa"/>
            <w:tcBorders>
              <w:top w:val="nil"/>
              <w:left w:val="nil"/>
              <w:bottom w:val="single" w:sz="4" w:space="0" w:color="auto"/>
              <w:right w:val="single" w:sz="4" w:space="0" w:color="auto"/>
            </w:tcBorders>
            <w:shd w:val="clear" w:color="auto" w:fill="auto"/>
            <w:noWrap/>
            <w:vAlign w:val="center"/>
            <w:hideMark/>
          </w:tcPr>
          <w:p w14:paraId="1099BA9A"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8.4</w:t>
            </w:r>
          </w:p>
        </w:tc>
        <w:tc>
          <w:tcPr>
            <w:tcW w:w="780" w:type="dxa"/>
            <w:tcBorders>
              <w:top w:val="nil"/>
              <w:left w:val="nil"/>
              <w:bottom w:val="single" w:sz="4" w:space="0" w:color="auto"/>
              <w:right w:val="single" w:sz="4" w:space="0" w:color="auto"/>
            </w:tcBorders>
            <w:shd w:val="clear" w:color="auto" w:fill="auto"/>
            <w:noWrap/>
            <w:vAlign w:val="center"/>
            <w:hideMark/>
          </w:tcPr>
          <w:p w14:paraId="7498615C"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502</w:t>
            </w:r>
          </w:p>
        </w:tc>
        <w:tc>
          <w:tcPr>
            <w:tcW w:w="800" w:type="dxa"/>
            <w:tcBorders>
              <w:top w:val="nil"/>
              <w:left w:val="nil"/>
              <w:bottom w:val="single" w:sz="4" w:space="0" w:color="auto"/>
              <w:right w:val="single" w:sz="4" w:space="0" w:color="auto"/>
            </w:tcBorders>
            <w:shd w:val="clear" w:color="auto" w:fill="auto"/>
            <w:noWrap/>
            <w:vAlign w:val="center"/>
            <w:hideMark/>
          </w:tcPr>
          <w:p w14:paraId="14DC0833"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10</w:t>
            </w:r>
          </w:p>
        </w:tc>
        <w:tc>
          <w:tcPr>
            <w:tcW w:w="940" w:type="dxa"/>
            <w:tcBorders>
              <w:top w:val="nil"/>
              <w:left w:val="nil"/>
              <w:bottom w:val="single" w:sz="4" w:space="0" w:color="auto"/>
              <w:right w:val="single" w:sz="4" w:space="0" w:color="auto"/>
            </w:tcBorders>
            <w:shd w:val="clear" w:color="auto" w:fill="auto"/>
            <w:noWrap/>
            <w:vAlign w:val="center"/>
            <w:hideMark/>
          </w:tcPr>
          <w:p w14:paraId="5833571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486</w:t>
            </w:r>
          </w:p>
        </w:tc>
        <w:tc>
          <w:tcPr>
            <w:tcW w:w="860" w:type="dxa"/>
            <w:tcBorders>
              <w:top w:val="nil"/>
              <w:left w:val="nil"/>
              <w:bottom w:val="single" w:sz="4" w:space="0" w:color="auto"/>
              <w:right w:val="single" w:sz="4" w:space="0" w:color="auto"/>
            </w:tcBorders>
            <w:shd w:val="clear" w:color="auto" w:fill="auto"/>
            <w:noWrap/>
            <w:vAlign w:val="center"/>
            <w:hideMark/>
          </w:tcPr>
          <w:p w14:paraId="44A0903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11.7</w:t>
            </w:r>
          </w:p>
        </w:tc>
        <w:tc>
          <w:tcPr>
            <w:tcW w:w="880" w:type="dxa"/>
            <w:tcBorders>
              <w:top w:val="nil"/>
              <w:left w:val="nil"/>
              <w:bottom w:val="single" w:sz="4" w:space="0" w:color="auto"/>
              <w:right w:val="single" w:sz="4" w:space="0" w:color="auto"/>
            </w:tcBorders>
            <w:shd w:val="clear" w:color="auto" w:fill="auto"/>
            <w:noWrap/>
            <w:vAlign w:val="center"/>
            <w:hideMark/>
          </w:tcPr>
          <w:p w14:paraId="5EC8F0FB"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472</w:t>
            </w:r>
          </w:p>
        </w:tc>
        <w:tc>
          <w:tcPr>
            <w:tcW w:w="880" w:type="dxa"/>
            <w:tcBorders>
              <w:top w:val="nil"/>
              <w:left w:val="nil"/>
              <w:bottom w:val="single" w:sz="4" w:space="0" w:color="auto"/>
              <w:right w:val="single" w:sz="4" w:space="0" w:color="auto"/>
            </w:tcBorders>
            <w:shd w:val="clear" w:color="auto" w:fill="auto"/>
            <w:noWrap/>
            <w:vAlign w:val="center"/>
            <w:hideMark/>
          </w:tcPr>
          <w:p w14:paraId="5DD1C212"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13.1</w:t>
            </w:r>
          </w:p>
        </w:tc>
        <w:tc>
          <w:tcPr>
            <w:tcW w:w="800" w:type="dxa"/>
            <w:tcBorders>
              <w:top w:val="nil"/>
              <w:left w:val="nil"/>
              <w:bottom w:val="single" w:sz="4" w:space="0" w:color="auto"/>
              <w:right w:val="single" w:sz="4" w:space="0" w:color="auto"/>
            </w:tcBorders>
            <w:shd w:val="clear" w:color="auto" w:fill="auto"/>
            <w:noWrap/>
            <w:vAlign w:val="center"/>
            <w:hideMark/>
          </w:tcPr>
          <w:p w14:paraId="530F142A"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458</w:t>
            </w:r>
          </w:p>
        </w:tc>
      </w:tr>
      <w:tr w:rsidR="00545EC8" w:rsidRPr="00696307" w14:paraId="70B2BEA3"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0E5147EB"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1500 - 2000</w:t>
            </w:r>
          </w:p>
        </w:tc>
        <w:tc>
          <w:tcPr>
            <w:tcW w:w="1060" w:type="dxa"/>
            <w:tcBorders>
              <w:top w:val="nil"/>
              <w:left w:val="nil"/>
              <w:bottom w:val="single" w:sz="4" w:space="0" w:color="auto"/>
              <w:right w:val="single" w:sz="4" w:space="0" w:color="auto"/>
            </w:tcBorders>
            <w:shd w:val="clear" w:color="auto" w:fill="auto"/>
            <w:noWrap/>
            <w:vAlign w:val="center"/>
            <w:hideMark/>
          </w:tcPr>
          <w:p w14:paraId="5F40C8C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5.5</w:t>
            </w:r>
          </w:p>
        </w:tc>
        <w:tc>
          <w:tcPr>
            <w:tcW w:w="780" w:type="dxa"/>
            <w:tcBorders>
              <w:top w:val="nil"/>
              <w:left w:val="nil"/>
              <w:bottom w:val="single" w:sz="4" w:space="0" w:color="auto"/>
              <w:right w:val="single" w:sz="4" w:space="0" w:color="auto"/>
            </w:tcBorders>
            <w:shd w:val="clear" w:color="auto" w:fill="auto"/>
            <w:noWrap/>
            <w:vAlign w:val="center"/>
            <w:hideMark/>
          </w:tcPr>
          <w:p w14:paraId="536456C9"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592</w:t>
            </w:r>
          </w:p>
        </w:tc>
        <w:tc>
          <w:tcPr>
            <w:tcW w:w="800" w:type="dxa"/>
            <w:tcBorders>
              <w:top w:val="nil"/>
              <w:left w:val="nil"/>
              <w:bottom w:val="single" w:sz="4" w:space="0" w:color="auto"/>
              <w:right w:val="single" w:sz="4" w:space="0" w:color="auto"/>
            </w:tcBorders>
            <w:shd w:val="clear" w:color="auto" w:fill="auto"/>
            <w:noWrap/>
            <w:vAlign w:val="center"/>
            <w:hideMark/>
          </w:tcPr>
          <w:p w14:paraId="4B622F9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7.1</w:t>
            </w:r>
          </w:p>
        </w:tc>
        <w:tc>
          <w:tcPr>
            <w:tcW w:w="940" w:type="dxa"/>
            <w:tcBorders>
              <w:top w:val="nil"/>
              <w:left w:val="nil"/>
              <w:bottom w:val="single" w:sz="4" w:space="0" w:color="auto"/>
              <w:right w:val="single" w:sz="4" w:space="0" w:color="auto"/>
            </w:tcBorders>
            <w:shd w:val="clear" w:color="auto" w:fill="auto"/>
            <w:noWrap/>
            <w:vAlign w:val="center"/>
            <w:hideMark/>
          </w:tcPr>
          <w:p w14:paraId="10C8942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573</w:t>
            </w:r>
          </w:p>
        </w:tc>
        <w:tc>
          <w:tcPr>
            <w:tcW w:w="860" w:type="dxa"/>
            <w:tcBorders>
              <w:top w:val="nil"/>
              <w:left w:val="nil"/>
              <w:bottom w:val="single" w:sz="4" w:space="0" w:color="auto"/>
              <w:right w:val="single" w:sz="4" w:space="0" w:color="auto"/>
            </w:tcBorders>
            <w:shd w:val="clear" w:color="auto" w:fill="auto"/>
            <w:noWrap/>
            <w:vAlign w:val="center"/>
            <w:hideMark/>
          </w:tcPr>
          <w:p w14:paraId="79E7EC3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8.8</w:t>
            </w:r>
          </w:p>
        </w:tc>
        <w:tc>
          <w:tcPr>
            <w:tcW w:w="880" w:type="dxa"/>
            <w:tcBorders>
              <w:top w:val="nil"/>
              <w:left w:val="nil"/>
              <w:bottom w:val="single" w:sz="4" w:space="0" w:color="auto"/>
              <w:right w:val="single" w:sz="4" w:space="0" w:color="auto"/>
            </w:tcBorders>
            <w:shd w:val="clear" w:color="auto" w:fill="auto"/>
            <w:noWrap/>
            <w:vAlign w:val="center"/>
            <w:hideMark/>
          </w:tcPr>
          <w:p w14:paraId="515DCA3A"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557</w:t>
            </w:r>
          </w:p>
        </w:tc>
        <w:tc>
          <w:tcPr>
            <w:tcW w:w="880" w:type="dxa"/>
            <w:tcBorders>
              <w:top w:val="nil"/>
              <w:left w:val="nil"/>
              <w:bottom w:val="single" w:sz="4" w:space="0" w:color="auto"/>
              <w:right w:val="single" w:sz="4" w:space="0" w:color="auto"/>
            </w:tcBorders>
            <w:shd w:val="clear" w:color="auto" w:fill="auto"/>
            <w:noWrap/>
            <w:vAlign w:val="center"/>
            <w:hideMark/>
          </w:tcPr>
          <w:p w14:paraId="1624019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10.2</w:t>
            </w:r>
          </w:p>
        </w:tc>
        <w:tc>
          <w:tcPr>
            <w:tcW w:w="800" w:type="dxa"/>
            <w:tcBorders>
              <w:top w:val="nil"/>
              <w:left w:val="nil"/>
              <w:bottom w:val="single" w:sz="4" w:space="0" w:color="auto"/>
              <w:right w:val="single" w:sz="4" w:space="0" w:color="auto"/>
            </w:tcBorders>
            <w:shd w:val="clear" w:color="auto" w:fill="auto"/>
            <w:noWrap/>
            <w:vAlign w:val="center"/>
            <w:hideMark/>
          </w:tcPr>
          <w:p w14:paraId="7E5DD49E"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540</w:t>
            </w:r>
          </w:p>
        </w:tc>
      </w:tr>
      <w:tr w:rsidR="00545EC8" w:rsidRPr="00696307" w14:paraId="2FA64107"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4485C31"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2000 - 2500</w:t>
            </w:r>
          </w:p>
        </w:tc>
        <w:tc>
          <w:tcPr>
            <w:tcW w:w="1060" w:type="dxa"/>
            <w:tcBorders>
              <w:top w:val="nil"/>
              <w:left w:val="nil"/>
              <w:bottom w:val="single" w:sz="4" w:space="0" w:color="auto"/>
              <w:right w:val="single" w:sz="4" w:space="0" w:color="auto"/>
            </w:tcBorders>
            <w:shd w:val="clear" w:color="auto" w:fill="auto"/>
            <w:noWrap/>
            <w:vAlign w:val="center"/>
            <w:hideMark/>
          </w:tcPr>
          <w:p w14:paraId="370589B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3.3</w:t>
            </w:r>
          </w:p>
        </w:tc>
        <w:tc>
          <w:tcPr>
            <w:tcW w:w="780" w:type="dxa"/>
            <w:tcBorders>
              <w:top w:val="nil"/>
              <w:left w:val="nil"/>
              <w:bottom w:val="single" w:sz="4" w:space="0" w:color="auto"/>
              <w:right w:val="single" w:sz="4" w:space="0" w:color="auto"/>
            </w:tcBorders>
            <w:shd w:val="clear" w:color="auto" w:fill="auto"/>
            <w:noWrap/>
            <w:vAlign w:val="center"/>
            <w:hideMark/>
          </w:tcPr>
          <w:p w14:paraId="6A80D0A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660</w:t>
            </w:r>
          </w:p>
        </w:tc>
        <w:tc>
          <w:tcPr>
            <w:tcW w:w="800" w:type="dxa"/>
            <w:tcBorders>
              <w:top w:val="nil"/>
              <w:left w:val="nil"/>
              <w:bottom w:val="single" w:sz="4" w:space="0" w:color="auto"/>
              <w:right w:val="single" w:sz="4" w:space="0" w:color="auto"/>
            </w:tcBorders>
            <w:shd w:val="clear" w:color="auto" w:fill="auto"/>
            <w:noWrap/>
            <w:vAlign w:val="center"/>
            <w:hideMark/>
          </w:tcPr>
          <w:p w14:paraId="6AD15FB9"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4.9</w:t>
            </w:r>
          </w:p>
        </w:tc>
        <w:tc>
          <w:tcPr>
            <w:tcW w:w="940" w:type="dxa"/>
            <w:tcBorders>
              <w:top w:val="nil"/>
              <w:left w:val="nil"/>
              <w:bottom w:val="single" w:sz="4" w:space="0" w:color="auto"/>
              <w:right w:val="single" w:sz="4" w:space="0" w:color="auto"/>
            </w:tcBorders>
            <w:shd w:val="clear" w:color="auto" w:fill="auto"/>
            <w:noWrap/>
            <w:vAlign w:val="center"/>
            <w:hideMark/>
          </w:tcPr>
          <w:p w14:paraId="7D5219D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640</w:t>
            </w:r>
          </w:p>
        </w:tc>
        <w:tc>
          <w:tcPr>
            <w:tcW w:w="860" w:type="dxa"/>
            <w:tcBorders>
              <w:top w:val="nil"/>
              <w:left w:val="nil"/>
              <w:bottom w:val="single" w:sz="4" w:space="0" w:color="auto"/>
              <w:right w:val="single" w:sz="4" w:space="0" w:color="auto"/>
            </w:tcBorders>
            <w:shd w:val="clear" w:color="auto" w:fill="auto"/>
            <w:noWrap/>
            <w:vAlign w:val="center"/>
            <w:hideMark/>
          </w:tcPr>
          <w:p w14:paraId="51B7359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6.6</w:t>
            </w:r>
          </w:p>
        </w:tc>
        <w:tc>
          <w:tcPr>
            <w:tcW w:w="880" w:type="dxa"/>
            <w:tcBorders>
              <w:top w:val="nil"/>
              <w:left w:val="nil"/>
              <w:bottom w:val="single" w:sz="4" w:space="0" w:color="auto"/>
              <w:right w:val="single" w:sz="4" w:space="0" w:color="auto"/>
            </w:tcBorders>
            <w:shd w:val="clear" w:color="auto" w:fill="auto"/>
            <w:noWrap/>
            <w:vAlign w:val="center"/>
            <w:hideMark/>
          </w:tcPr>
          <w:p w14:paraId="7C8F908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621</w:t>
            </w:r>
          </w:p>
        </w:tc>
        <w:tc>
          <w:tcPr>
            <w:tcW w:w="880" w:type="dxa"/>
            <w:tcBorders>
              <w:top w:val="nil"/>
              <w:left w:val="nil"/>
              <w:bottom w:val="single" w:sz="4" w:space="0" w:color="auto"/>
              <w:right w:val="single" w:sz="4" w:space="0" w:color="auto"/>
            </w:tcBorders>
            <w:shd w:val="clear" w:color="auto" w:fill="auto"/>
            <w:noWrap/>
            <w:vAlign w:val="center"/>
            <w:hideMark/>
          </w:tcPr>
          <w:p w14:paraId="2AA8B7D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8</w:t>
            </w:r>
          </w:p>
        </w:tc>
        <w:tc>
          <w:tcPr>
            <w:tcW w:w="800" w:type="dxa"/>
            <w:tcBorders>
              <w:top w:val="nil"/>
              <w:left w:val="nil"/>
              <w:bottom w:val="single" w:sz="4" w:space="0" w:color="auto"/>
              <w:right w:val="single" w:sz="4" w:space="0" w:color="auto"/>
            </w:tcBorders>
            <w:shd w:val="clear" w:color="auto" w:fill="auto"/>
            <w:noWrap/>
            <w:vAlign w:val="center"/>
            <w:hideMark/>
          </w:tcPr>
          <w:p w14:paraId="25A114C3"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603</w:t>
            </w:r>
          </w:p>
        </w:tc>
      </w:tr>
      <w:tr w:rsidR="00545EC8" w:rsidRPr="00696307" w14:paraId="6E69AEFF"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8196843"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2500 - 3000</w:t>
            </w:r>
          </w:p>
        </w:tc>
        <w:tc>
          <w:tcPr>
            <w:tcW w:w="1060" w:type="dxa"/>
            <w:tcBorders>
              <w:top w:val="nil"/>
              <w:left w:val="nil"/>
              <w:bottom w:val="single" w:sz="4" w:space="0" w:color="auto"/>
              <w:right w:val="single" w:sz="4" w:space="0" w:color="auto"/>
            </w:tcBorders>
            <w:shd w:val="clear" w:color="auto" w:fill="auto"/>
            <w:noWrap/>
            <w:vAlign w:val="center"/>
            <w:hideMark/>
          </w:tcPr>
          <w:p w14:paraId="21C1871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1.6</w:t>
            </w:r>
          </w:p>
        </w:tc>
        <w:tc>
          <w:tcPr>
            <w:tcW w:w="780" w:type="dxa"/>
            <w:tcBorders>
              <w:top w:val="nil"/>
              <w:left w:val="nil"/>
              <w:bottom w:val="single" w:sz="4" w:space="0" w:color="auto"/>
              <w:right w:val="single" w:sz="4" w:space="0" w:color="auto"/>
            </w:tcBorders>
            <w:shd w:val="clear" w:color="auto" w:fill="auto"/>
            <w:noWrap/>
            <w:vAlign w:val="center"/>
            <w:hideMark/>
          </w:tcPr>
          <w:p w14:paraId="1868526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732</w:t>
            </w:r>
          </w:p>
        </w:tc>
        <w:tc>
          <w:tcPr>
            <w:tcW w:w="800" w:type="dxa"/>
            <w:tcBorders>
              <w:top w:val="nil"/>
              <w:left w:val="nil"/>
              <w:bottom w:val="single" w:sz="4" w:space="0" w:color="auto"/>
              <w:right w:val="single" w:sz="4" w:space="0" w:color="auto"/>
            </w:tcBorders>
            <w:shd w:val="clear" w:color="auto" w:fill="auto"/>
            <w:noWrap/>
            <w:vAlign w:val="center"/>
            <w:hideMark/>
          </w:tcPr>
          <w:p w14:paraId="752DF31C"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3.2</w:t>
            </w:r>
          </w:p>
        </w:tc>
        <w:tc>
          <w:tcPr>
            <w:tcW w:w="940" w:type="dxa"/>
            <w:tcBorders>
              <w:top w:val="nil"/>
              <w:left w:val="nil"/>
              <w:bottom w:val="single" w:sz="4" w:space="0" w:color="auto"/>
              <w:right w:val="single" w:sz="4" w:space="0" w:color="auto"/>
            </w:tcBorders>
            <w:shd w:val="clear" w:color="auto" w:fill="auto"/>
            <w:noWrap/>
            <w:vAlign w:val="center"/>
            <w:hideMark/>
          </w:tcPr>
          <w:p w14:paraId="7ED47420"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713</w:t>
            </w:r>
          </w:p>
        </w:tc>
        <w:tc>
          <w:tcPr>
            <w:tcW w:w="860" w:type="dxa"/>
            <w:tcBorders>
              <w:top w:val="nil"/>
              <w:left w:val="nil"/>
              <w:bottom w:val="single" w:sz="4" w:space="0" w:color="auto"/>
              <w:right w:val="single" w:sz="4" w:space="0" w:color="auto"/>
            </w:tcBorders>
            <w:shd w:val="clear" w:color="auto" w:fill="auto"/>
            <w:noWrap/>
            <w:vAlign w:val="center"/>
            <w:hideMark/>
          </w:tcPr>
          <w:p w14:paraId="3777F2A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4.9</w:t>
            </w:r>
          </w:p>
        </w:tc>
        <w:tc>
          <w:tcPr>
            <w:tcW w:w="880" w:type="dxa"/>
            <w:tcBorders>
              <w:top w:val="nil"/>
              <w:left w:val="nil"/>
              <w:bottom w:val="single" w:sz="4" w:space="0" w:color="auto"/>
              <w:right w:val="single" w:sz="4" w:space="0" w:color="auto"/>
            </w:tcBorders>
            <w:shd w:val="clear" w:color="auto" w:fill="auto"/>
            <w:noWrap/>
            <w:vAlign w:val="center"/>
            <w:hideMark/>
          </w:tcPr>
          <w:p w14:paraId="0FA5A4DA"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692</w:t>
            </w:r>
          </w:p>
        </w:tc>
        <w:tc>
          <w:tcPr>
            <w:tcW w:w="880" w:type="dxa"/>
            <w:tcBorders>
              <w:top w:val="nil"/>
              <w:left w:val="nil"/>
              <w:bottom w:val="single" w:sz="4" w:space="0" w:color="auto"/>
              <w:right w:val="single" w:sz="4" w:space="0" w:color="auto"/>
            </w:tcBorders>
            <w:shd w:val="clear" w:color="auto" w:fill="auto"/>
            <w:noWrap/>
            <w:vAlign w:val="center"/>
            <w:hideMark/>
          </w:tcPr>
          <w:p w14:paraId="60B1F60B"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6.3</w:t>
            </w:r>
          </w:p>
        </w:tc>
        <w:tc>
          <w:tcPr>
            <w:tcW w:w="800" w:type="dxa"/>
            <w:tcBorders>
              <w:top w:val="nil"/>
              <w:left w:val="nil"/>
              <w:bottom w:val="single" w:sz="4" w:space="0" w:color="auto"/>
              <w:right w:val="single" w:sz="4" w:space="0" w:color="auto"/>
            </w:tcBorders>
            <w:shd w:val="clear" w:color="auto" w:fill="auto"/>
            <w:noWrap/>
            <w:vAlign w:val="center"/>
            <w:hideMark/>
          </w:tcPr>
          <w:p w14:paraId="2638DC5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671</w:t>
            </w:r>
          </w:p>
        </w:tc>
      </w:tr>
      <w:tr w:rsidR="00545EC8" w:rsidRPr="00696307" w14:paraId="0A25F0BD" w14:textId="77777777" w:rsidTr="00D262EA">
        <w:trPr>
          <w:trHeight w:val="30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676B7215" w14:textId="77777777" w:rsidR="00545EC8" w:rsidRPr="00696307" w:rsidRDefault="00545EC8" w:rsidP="00D262EA">
            <w:pPr>
              <w:spacing w:after="0" w:line="240" w:lineRule="auto"/>
              <w:ind w:firstLine="0"/>
              <w:jc w:val="center"/>
              <w:rPr>
                <w:rFonts w:ascii="Calibri" w:eastAsia="Times New Roman" w:hAnsi="Calibri" w:cs="Calibri"/>
                <w:b/>
                <w:bCs/>
                <w:color w:val="000000"/>
              </w:rPr>
            </w:pPr>
            <w:r w:rsidRPr="00696307">
              <w:rPr>
                <w:rFonts w:ascii="Calibri" w:eastAsia="Times New Roman" w:hAnsi="Calibri" w:cs="Calibri"/>
                <w:b/>
                <w:bCs/>
                <w:color w:val="000000"/>
              </w:rPr>
              <w:t>&gt; 3000</w:t>
            </w:r>
          </w:p>
        </w:tc>
        <w:tc>
          <w:tcPr>
            <w:tcW w:w="1060" w:type="dxa"/>
            <w:tcBorders>
              <w:top w:val="nil"/>
              <w:left w:val="nil"/>
              <w:bottom w:val="single" w:sz="4" w:space="0" w:color="auto"/>
              <w:right w:val="single" w:sz="4" w:space="0" w:color="auto"/>
            </w:tcBorders>
            <w:shd w:val="clear" w:color="auto" w:fill="auto"/>
            <w:noWrap/>
            <w:vAlign w:val="center"/>
            <w:hideMark/>
          </w:tcPr>
          <w:p w14:paraId="20047CC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-0.7</w:t>
            </w:r>
          </w:p>
        </w:tc>
        <w:tc>
          <w:tcPr>
            <w:tcW w:w="780" w:type="dxa"/>
            <w:tcBorders>
              <w:top w:val="nil"/>
              <w:left w:val="nil"/>
              <w:bottom w:val="single" w:sz="4" w:space="0" w:color="auto"/>
              <w:right w:val="single" w:sz="4" w:space="0" w:color="auto"/>
            </w:tcBorders>
            <w:shd w:val="clear" w:color="auto" w:fill="auto"/>
            <w:noWrap/>
            <w:vAlign w:val="center"/>
            <w:hideMark/>
          </w:tcPr>
          <w:p w14:paraId="673490E6"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800</w:t>
            </w:r>
          </w:p>
        </w:tc>
        <w:tc>
          <w:tcPr>
            <w:tcW w:w="800" w:type="dxa"/>
            <w:tcBorders>
              <w:top w:val="nil"/>
              <w:left w:val="nil"/>
              <w:bottom w:val="single" w:sz="4" w:space="0" w:color="auto"/>
              <w:right w:val="single" w:sz="4" w:space="0" w:color="auto"/>
            </w:tcBorders>
            <w:shd w:val="clear" w:color="auto" w:fill="auto"/>
            <w:noWrap/>
            <w:vAlign w:val="center"/>
            <w:hideMark/>
          </w:tcPr>
          <w:p w14:paraId="66A7ABE2"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0.9</w:t>
            </w:r>
          </w:p>
        </w:tc>
        <w:tc>
          <w:tcPr>
            <w:tcW w:w="940" w:type="dxa"/>
            <w:tcBorders>
              <w:top w:val="nil"/>
              <w:left w:val="nil"/>
              <w:bottom w:val="single" w:sz="4" w:space="0" w:color="auto"/>
              <w:right w:val="single" w:sz="4" w:space="0" w:color="auto"/>
            </w:tcBorders>
            <w:shd w:val="clear" w:color="auto" w:fill="auto"/>
            <w:noWrap/>
            <w:vAlign w:val="center"/>
            <w:hideMark/>
          </w:tcPr>
          <w:p w14:paraId="4979DF42"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776</w:t>
            </w:r>
          </w:p>
        </w:tc>
        <w:tc>
          <w:tcPr>
            <w:tcW w:w="860" w:type="dxa"/>
            <w:tcBorders>
              <w:top w:val="nil"/>
              <w:left w:val="nil"/>
              <w:bottom w:val="single" w:sz="4" w:space="0" w:color="auto"/>
              <w:right w:val="single" w:sz="4" w:space="0" w:color="auto"/>
            </w:tcBorders>
            <w:shd w:val="clear" w:color="auto" w:fill="auto"/>
            <w:noWrap/>
            <w:vAlign w:val="center"/>
            <w:hideMark/>
          </w:tcPr>
          <w:p w14:paraId="6376BEDE"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2.6</w:t>
            </w:r>
          </w:p>
        </w:tc>
        <w:tc>
          <w:tcPr>
            <w:tcW w:w="880" w:type="dxa"/>
            <w:tcBorders>
              <w:top w:val="nil"/>
              <w:left w:val="nil"/>
              <w:bottom w:val="single" w:sz="4" w:space="0" w:color="auto"/>
              <w:right w:val="single" w:sz="4" w:space="0" w:color="auto"/>
            </w:tcBorders>
            <w:shd w:val="clear" w:color="auto" w:fill="auto"/>
            <w:noWrap/>
            <w:vAlign w:val="center"/>
            <w:hideMark/>
          </w:tcPr>
          <w:p w14:paraId="5D8526F5"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753</w:t>
            </w:r>
          </w:p>
        </w:tc>
        <w:tc>
          <w:tcPr>
            <w:tcW w:w="880" w:type="dxa"/>
            <w:tcBorders>
              <w:top w:val="nil"/>
              <w:left w:val="nil"/>
              <w:bottom w:val="single" w:sz="4" w:space="0" w:color="auto"/>
              <w:right w:val="single" w:sz="4" w:space="0" w:color="auto"/>
            </w:tcBorders>
            <w:shd w:val="clear" w:color="auto" w:fill="auto"/>
            <w:noWrap/>
            <w:vAlign w:val="center"/>
            <w:hideMark/>
          </w:tcPr>
          <w:p w14:paraId="58347CD0"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4</w:t>
            </w:r>
          </w:p>
        </w:tc>
        <w:tc>
          <w:tcPr>
            <w:tcW w:w="800" w:type="dxa"/>
            <w:tcBorders>
              <w:top w:val="nil"/>
              <w:left w:val="nil"/>
              <w:bottom w:val="single" w:sz="4" w:space="0" w:color="auto"/>
              <w:right w:val="single" w:sz="4" w:space="0" w:color="auto"/>
            </w:tcBorders>
            <w:shd w:val="clear" w:color="auto" w:fill="auto"/>
            <w:noWrap/>
            <w:vAlign w:val="center"/>
            <w:hideMark/>
          </w:tcPr>
          <w:p w14:paraId="70A52268"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731</w:t>
            </w:r>
          </w:p>
        </w:tc>
      </w:tr>
      <w:tr w:rsidR="00545EC8" w:rsidRPr="00696307" w14:paraId="567C33BB" w14:textId="77777777" w:rsidTr="00D262EA">
        <w:trPr>
          <w:trHeight w:val="330"/>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6C9126FF" w14:textId="77777777" w:rsidR="00545EC8" w:rsidRPr="00696307" w:rsidRDefault="00545EC8" w:rsidP="00D262EA">
            <w:pPr>
              <w:spacing w:after="0" w:line="240" w:lineRule="auto"/>
              <w:ind w:firstLine="0"/>
              <w:jc w:val="center"/>
              <w:rPr>
                <w:rFonts w:eastAsia="Times New Roman" w:cs="Calibri"/>
                <w:b/>
                <w:bCs/>
                <w:color w:val="000000"/>
              </w:rPr>
            </w:pPr>
            <w:r w:rsidRPr="00696307">
              <w:rPr>
                <w:rFonts w:eastAsia="Times New Roman" w:cs="Calibri"/>
                <w:b/>
                <w:bCs/>
                <w:color w:val="000000"/>
              </w:rPr>
              <w:t>Հայաստան</w:t>
            </w:r>
          </w:p>
        </w:tc>
        <w:tc>
          <w:tcPr>
            <w:tcW w:w="1060" w:type="dxa"/>
            <w:tcBorders>
              <w:top w:val="nil"/>
              <w:left w:val="nil"/>
              <w:bottom w:val="single" w:sz="4" w:space="0" w:color="auto"/>
              <w:right w:val="single" w:sz="4" w:space="0" w:color="auto"/>
            </w:tcBorders>
            <w:shd w:val="clear" w:color="auto" w:fill="auto"/>
            <w:noWrap/>
            <w:vAlign w:val="center"/>
            <w:hideMark/>
          </w:tcPr>
          <w:p w14:paraId="17920883"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5.5</w:t>
            </w:r>
          </w:p>
        </w:tc>
        <w:tc>
          <w:tcPr>
            <w:tcW w:w="780" w:type="dxa"/>
            <w:tcBorders>
              <w:top w:val="nil"/>
              <w:left w:val="nil"/>
              <w:bottom w:val="single" w:sz="4" w:space="0" w:color="auto"/>
              <w:right w:val="single" w:sz="4" w:space="0" w:color="auto"/>
            </w:tcBorders>
            <w:shd w:val="clear" w:color="auto" w:fill="auto"/>
            <w:noWrap/>
            <w:vAlign w:val="center"/>
            <w:hideMark/>
          </w:tcPr>
          <w:p w14:paraId="585D5770"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592</w:t>
            </w:r>
          </w:p>
        </w:tc>
        <w:tc>
          <w:tcPr>
            <w:tcW w:w="800" w:type="dxa"/>
            <w:tcBorders>
              <w:top w:val="nil"/>
              <w:left w:val="nil"/>
              <w:bottom w:val="single" w:sz="4" w:space="0" w:color="auto"/>
              <w:right w:val="single" w:sz="4" w:space="0" w:color="auto"/>
            </w:tcBorders>
            <w:shd w:val="clear" w:color="auto" w:fill="auto"/>
            <w:noWrap/>
            <w:vAlign w:val="center"/>
            <w:hideMark/>
          </w:tcPr>
          <w:p w14:paraId="0FF05954"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7.1</w:t>
            </w:r>
          </w:p>
        </w:tc>
        <w:tc>
          <w:tcPr>
            <w:tcW w:w="940" w:type="dxa"/>
            <w:tcBorders>
              <w:top w:val="nil"/>
              <w:left w:val="nil"/>
              <w:bottom w:val="single" w:sz="4" w:space="0" w:color="auto"/>
              <w:right w:val="single" w:sz="4" w:space="0" w:color="auto"/>
            </w:tcBorders>
            <w:shd w:val="clear" w:color="auto" w:fill="auto"/>
            <w:noWrap/>
            <w:vAlign w:val="center"/>
            <w:hideMark/>
          </w:tcPr>
          <w:p w14:paraId="129FA5BD"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576</w:t>
            </w:r>
          </w:p>
        </w:tc>
        <w:tc>
          <w:tcPr>
            <w:tcW w:w="860" w:type="dxa"/>
            <w:tcBorders>
              <w:top w:val="nil"/>
              <w:left w:val="nil"/>
              <w:bottom w:val="single" w:sz="4" w:space="0" w:color="auto"/>
              <w:right w:val="single" w:sz="4" w:space="0" w:color="auto"/>
            </w:tcBorders>
            <w:shd w:val="clear" w:color="auto" w:fill="auto"/>
            <w:noWrap/>
            <w:vAlign w:val="center"/>
            <w:hideMark/>
          </w:tcPr>
          <w:p w14:paraId="11A5FC4F"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8.8</w:t>
            </w:r>
          </w:p>
        </w:tc>
        <w:tc>
          <w:tcPr>
            <w:tcW w:w="880" w:type="dxa"/>
            <w:tcBorders>
              <w:top w:val="nil"/>
              <w:left w:val="nil"/>
              <w:bottom w:val="single" w:sz="4" w:space="0" w:color="auto"/>
              <w:right w:val="single" w:sz="4" w:space="0" w:color="auto"/>
            </w:tcBorders>
            <w:shd w:val="clear" w:color="auto" w:fill="auto"/>
            <w:noWrap/>
            <w:vAlign w:val="center"/>
            <w:hideMark/>
          </w:tcPr>
          <w:p w14:paraId="27CD227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560</w:t>
            </w:r>
          </w:p>
        </w:tc>
        <w:tc>
          <w:tcPr>
            <w:tcW w:w="880" w:type="dxa"/>
            <w:tcBorders>
              <w:top w:val="nil"/>
              <w:left w:val="nil"/>
              <w:bottom w:val="single" w:sz="4" w:space="0" w:color="auto"/>
              <w:right w:val="single" w:sz="4" w:space="0" w:color="auto"/>
            </w:tcBorders>
            <w:shd w:val="clear" w:color="auto" w:fill="auto"/>
            <w:noWrap/>
            <w:vAlign w:val="center"/>
            <w:hideMark/>
          </w:tcPr>
          <w:p w14:paraId="03AFF8D0"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10.2</w:t>
            </w:r>
          </w:p>
        </w:tc>
        <w:tc>
          <w:tcPr>
            <w:tcW w:w="800" w:type="dxa"/>
            <w:tcBorders>
              <w:top w:val="nil"/>
              <w:left w:val="nil"/>
              <w:bottom w:val="single" w:sz="4" w:space="0" w:color="auto"/>
              <w:right w:val="single" w:sz="4" w:space="0" w:color="auto"/>
            </w:tcBorders>
            <w:shd w:val="clear" w:color="auto" w:fill="auto"/>
            <w:noWrap/>
            <w:vAlign w:val="center"/>
            <w:hideMark/>
          </w:tcPr>
          <w:p w14:paraId="10E90547" w14:textId="77777777" w:rsidR="00545EC8" w:rsidRPr="00696307" w:rsidRDefault="00545EC8" w:rsidP="00D262EA">
            <w:pPr>
              <w:spacing w:after="0" w:line="240" w:lineRule="auto"/>
              <w:ind w:firstLine="0"/>
              <w:jc w:val="center"/>
              <w:rPr>
                <w:rFonts w:ascii="Calibri" w:eastAsia="Times New Roman" w:hAnsi="Calibri" w:cs="Calibri"/>
                <w:color w:val="000000"/>
              </w:rPr>
            </w:pPr>
            <w:r w:rsidRPr="00696307">
              <w:rPr>
                <w:rFonts w:ascii="Calibri" w:eastAsia="Times New Roman" w:hAnsi="Calibri" w:cs="Calibri"/>
                <w:color w:val="000000"/>
              </w:rPr>
              <w:t>543</w:t>
            </w:r>
          </w:p>
        </w:tc>
      </w:tr>
    </w:tbl>
    <w:p w14:paraId="75D97CF3" w14:textId="77777777" w:rsidR="00545EC8" w:rsidRDefault="00545EC8" w:rsidP="00545EC8">
      <w:pPr>
        <w:spacing w:after="0" w:line="276" w:lineRule="auto"/>
        <w:rPr>
          <w:bCs/>
          <w:lang w:val="hy-AM"/>
        </w:rPr>
      </w:pPr>
      <w:r w:rsidRPr="00E03C76">
        <w:rPr>
          <w:bCs/>
          <w:lang w:val="hy-AM"/>
        </w:rPr>
        <w:t xml:space="preserve">2022թ.-ին ՀՀ-ում գրանցվել է 14,262 արտակարգ դեպք, որոնցից 4.9%-ը բաժին է ընկել տարերային վտանգավոր երևույթներին: Արտակարգ դեպքերի 74.4%-ը բաժին է ընկել </w:t>
      </w:r>
      <w:r w:rsidRPr="00E03C76">
        <w:rPr>
          <w:b/>
          <w:bCs/>
          <w:lang w:val="hy-AM"/>
        </w:rPr>
        <w:t>մարդածին արտակարգ դեպքերին</w:t>
      </w:r>
      <w:r w:rsidRPr="00E03C76">
        <w:rPr>
          <w:bCs/>
          <w:lang w:val="hy-AM"/>
        </w:rPr>
        <w:t xml:space="preserve"> </w:t>
      </w:r>
      <w:r w:rsidRPr="00685862">
        <w:rPr>
          <w:bCs/>
          <w:lang w:val="hy-AM"/>
        </w:rPr>
        <w:t>(</w:t>
      </w:r>
      <w:r>
        <w:rPr>
          <w:bCs/>
          <w:lang w:val="hy-AM"/>
        </w:rPr>
        <w:t>տե΄ս գ</w:t>
      </w:r>
      <w:r w:rsidRPr="00E03C76">
        <w:rPr>
          <w:bCs/>
          <w:lang w:val="hy-AM"/>
        </w:rPr>
        <w:t>ծապատկեր</w:t>
      </w:r>
      <w:r>
        <w:rPr>
          <w:bCs/>
          <w:lang w:val="hy-AM"/>
        </w:rPr>
        <w:t xml:space="preserve"> </w:t>
      </w:r>
      <w:r w:rsidRPr="00E03C76">
        <w:rPr>
          <w:bCs/>
          <w:lang w:val="hy-AM"/>
        </w:rPr>
        <w:t>1</w:t>
      </w:r>
      <w:r>
        <w:rPr>
          <w:bCs/>
          <w:lang w:val="hy-AM"/>
        </w:rPr>
        <w:t>9</w:t>
      </w:r>
      <w:r w:rsidRPr="00E03C76">
        <w:rPr>
          <w:bCs/>
          <w:lang w:val="hy-AM"/>
        </w:rPr>
        <w:t>)</w:t>
      </w:r>
      <w:r w:rsidRPr="00E03C76">
        <w:rPr>
          <w:rStyle w:val="FootnoteReference"/>
          <w:bCs/>
        </w:rPr>
        <w:footnoteReference w:id="57"/>
      </w:r>
      <w:r w:rsidRPr="00E03C76">
        <w:rPr>
          <w:bCs/>
          <w:lang w:val="hy-AM"/>
        </w:rPr>
        <w:t>:</w:t>
      </w:r>
    </w:p>
    <w:p w14:paraId="339B6552" w14:textId="77777777" w:rsidR="00545EC8" w:rsidRDefault="00545EC8" w:rsidP="00545EC8">
      <w:pPr>
        <w:spacing w:after="0" w:line="276" w:lineRule="auto"/>
        <w:rPr>
          <w:rFonts w:cs="Arial"/>
          <w:b/>
          <w:i/>
          <w:color w:val="000000"/>
          <w:sz w:val="20"/>
          <w:szCs w:val="20"/>
          <w:lang w:val="hy-AM"/>
        </w:rPr>
      </w:pPr>
    </w:p>
    <w:p w14:paraId="6B8ADC1E" w14:textId="77777777" w:rsidR="00545EC8" w:rsidRPr="00855647" w:rsidRDefault="00545EC8" w:rsidP="00545EC8">
      <w:pPr>
        <w:spacing w:after="0"/>
        <w:ind w:firstLine="0"/>
        <w:rPr>
          <w:bCs/>
          <w:i/>
          <w:color w:val="000000" w:themeColor="text1"/>
          <w:sz w:val="20"/>
          <w:szCs w:val="20"/>
          <w:lang w:val="hy-AM"/>
        </w:rPr>
      </w:pPr>
      <w:r w:rsidRPr="004C08A1">
        <w:rPr>
          <w:rFonts w:cs="Arial"/>
          <w:b/>
          <w:i/>
          <w:color w:val="000000" w:themeColor="text1"/>
          <w:sz w:val="20"/>
          <w:szCs w:val="20"/>
          <w:lang w:val="hy-AM"/>
        </w:rPr>
        <w:t xml:space="preserve">Գծապատկեր 19. </w:t>
      </w:r>
      <w:r w:rsidRPr="00855647">
        <w:rPr>
          <w:rFonts w:cs="Arial"/>
          <w:i/>
          <w:color w:val="000000" w:themeColor="text1"/>
          <w:sz w:val="20"/>
          <w:szCs w:val="20"/>
          <w:lang w:val="hy-AM"/>
        </w:rPr>
        <w:t>Արտակարգ իրավիճակների</w:t>
      </w:r>
      <w:r>
        <w:rPr>
          <w:rFonts w:cs="Arial"/>
          <w:i/>
          <w:color w:val="000000" w:themeColor="text1"/>
          <w:sz w:val="20"/>
          <w:szCs w:val="20"/>
          <w:lang w:val="hy-AM"/>
        </w:rPr>
        <w:t xml:space="preserve">                 </w:t>
      </w:r>
      <w:r w:rsidRPr="00855647">
        <w:rPr>
          <w:b/>
          <w:bCs/>
          <w:i/>
          <w:color w:val="000000" w:themeColor="text1"/>
          <w:sz w:val="20"/>
          <w:szCs w:val="20"/>
          <w:lang w:val="hy-AM"/>
        </w:rPr>
        <w:t>Գծապատկեր 20.</w:t>
      </w:r>
      <w:r w:rsidRPr="00855647">
        <w:rPr>
          <w:bCs/>
          <w:i/>
          <w:color w:val="000000" w:themeColor="text1"/>
          <w:sz w:val="20"/>
          <w:szCs w:val="20"/>
          <w:lang w:val="hy-AM"/>
        </w:rPr>
        <w:t xml:space="preserve"> Արտակարգ դեպքերը</w:t>
      </w:r>
      <w:r w:rsidRPr="004862A5">
        <w:rPr>
          <w:bCs/>
          <w:i/>
          <w:color w:val="000000" w:themeColor="text1"/>
          <w:sz w:val="20"/>
          <w:szCs w:val="20"/>
          <w:lang w:val="hy-AM"/>
        </w:rPr>
        <w:t xml:space="preserve"> </w:t>
      </w:r>
      <w:r w:rsidRPr="004F7718">
        <w:rPr>
          <w:bCs/>
          <w:i/>
          <w:color w:val="000000" w:themeColor="text1"/>
          <w:sz w:val="20"/>
          <w:szCs w:val="20"/>
          <w:lang w:val="hy-AM"/>
        </w:rPr>
        <w:t>(</w:t>
      </w:r>
      <w:r w:rsidRPr="00855647">
        <w:rPr>
          <w:bCs/>
          <w:i/>
          <w:color w:val="000000" w:themeColor="text1"/>
          <w:sz w:val="20"/>
          <w:szCs w:val="20"/>
          <w:lang w:val="hy-AM"/>
        </w:rPr>
        <w:t>քանակ</w:t>
      </w:r>
      <w:r w:rsidRPr="004F7718">
        <w:rPr>
          <w:bCs/>
          <w:i/>
          <w:color w:val="000000" w:themeColor="text1"/>
          <w:sz w:val="20"/>
          <w:szCs w:val="20"/>
          <w:lang w:val="hy-AM"/>
        </w:rPr>
        <w:t>)</w:t>
      </w:r>
      <w:r w:rsidRPr="00855647">
        <w:rPr>
          <w:bCs/>
          <w:i/>
          <w:color w:val="000000" w:themeColor="text1"/>
          <w:sz w:val="20"/>
          <w:szCs w:val="20"/>
          <w:lang w:val="hy-AM"/>
        </w:rPr>
        <w:t xml:space="preserve">  </w:t>
      </w:r>
    </w:p>
    <w:p w14:paraId="492B693A" w14:textId="77777777" w:rsidR="00545EC8" w:rsidRPr="004F7718" w:rsidRDefault="00545EC8" w:rsidP="00545EC8">
      <w:pPr>
        <w:spacing w:after="0"/>
        <w:ind w:firstLine="0"/>
        <w:rPr>
          <w:rFonts w:cs="Arial"/>
          <w:i/>
          <w:color w:val="000000"/>
          <w:sz w:val="20"/>
          <w:szCs w:val="20"/>
          <w:lang w:val="hy-AM"/>
        </w:rPr>
      </w:pPr>
      <w:r w:rsidRPr="00685862">
        <w:rPr>
          <w:noProof/>
          <w:color w:val="000000" w:themeColor="text1"/>
          <w:highlight w:val="red"/>
        </w:rPr>
        <w:drawing>
          <wp:anchor distT="0" distB="0" distL="114300" distR="114300" simplePos="0" relativeHeight="251727872" behindDoc="0" locked="0" layoutInCell="1" allowOverlap="1" wp14:anchorId="6109AFBA" wp14:editId="4BA758D9">
            <wp:simplePos x="0" y="0"/>
            <wp:positionH relativeFrom="column">
              <wp:posOffset>3067050</wp:posOffset>
            </wp:positionH>
            <wp:positionV relativeFrom="paragraph">
              <wp:posOffset>283210</wp:posOffset>
            </wp:positionV>
            <wp:extent cx="3004185" cy="2454275"/>
            <wp:effectExtent l="0" t="0" r="0" b="0"/>
            <wp:wrapTopAndBottom/>
            <wp:docPr id="1545876444" name="Chart 15458764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14:sizeRelH relativeFrom="margin">
              <wp14:pctWidth>0</wp14:pctWidth>
            </wp14:sizeRelH>
            <wp14:sizeRelV relativeFrom="margin">
              <wp14:pctHeight>0</wp14:pctHeight>
            </wp14:sizeRelV>
          </wp:anchor>
        </w:drawing>
      </w:r>
      <w:r w:rsidRPr="00696307">
        <w:rPr>
          <w:noProof/>
        </w:rPr>
        <w:drawing>
          <wp:anchor distT="0" distB="0" distL="114300" distR="114300" simplePos="0" relativeHeight="251728896" behindDoc="0" locked="0" layoutInCell="1" allowOverlap="1" wp14:anchorId="6E085459" wp14:editId="5098BA2A">
            <wp:simplePos x="0" y="0"/>
            <wp:positionH relativeFrom="column">
              <wp:posOffset>-209550</wp:posOffset>
            </wp:positionH>
            <wp:positionV relativeFrom="paragraph">
              <wp:posOffset>285750</wp:posOffset>
            </wp:positionV>
            <wp:extent cx="4097020" cy="2914650"/>
            <wp:effectExtent l="0" t="0" r="0" b="0"/>
            <wp:wrapTopAndBottom/>
            <wp:docPr id="1545876445" name="Chart 15458764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margin">
              <wp14:pctWidth>0</wp14:pctWidth>
            </wp14:sizeRelH>
            <wp14:sizeRelV relativeFrom="margin">
              <wp14:pctHeight>0</wp14:pctHeight>
            </wp14:sizeRelV>
          </wp:anchor>
        </w:drawing>
      </w:r>
      <w:r w:rsidRPr="00855647">
        <w:rPr>
          <w:rFonts w:cs="Arial"/>
          <w:i/>
          <w:color w:val="000000" w:themeColor="text1"/>
          <w:sz w:val="20"/>
          <w:szCs w:val="20"/>
          <w:lang w:val="hy-AM"/>
        </w:rPr>
        <w:t>բաշխումն՝ ըստ դեպքերի</w:t>
      </w:r>
      <w:r w:rsidRPr="004F7718">
        <w:rPr>
          <w:rFonts w:cs="Arial"/>
          <w:i/>
          <w:color w:val="000000" w:themeColor="text1"/>
          <w:sz w:val="20"/>
          <w:szCs w:val="20"/>
          <w:lang w:val="hy-AM"/>
        </w:rPr>
        <w:t xml:space="preserve"> (%)</w:t>
      </w:r>
    </w:p>
    <w:p w14:paraId="2170B981" w14:textId="77777777" w:rsidR="00545EC8" w:rsidRPr="00696307" w:rsidRDefault="00545EC8" w:rsidP="00545EC8">
      <w:pPr>
        <w:ind w:left="270"/>
        <w:rPr>
          <w:b/>
          <w:bCs/>
          <w:i/>
          <w:sz w:val="20"/>
          <w:szCs w:val="20"/>
          <w:lang w:val="hy-AM"/>
        </w:rPr>
      </w:pPr>
    </w:p>
    <w:p w14:paraId="7C893EC2" w14:textId="77777777" w:rsidR="00545EC8" w:rsidRDefault="00545EC8" w:rsidP="0086137E">
      <w:pPr>
        <w:spacing w:after="0"/>
        <w:ind w:firstLine="0"/>
        <w:rPr>
          <w:bCs/>
          <w:lang w:val="hy-AM"/>
        </w:rPr>
      </w:pPr>
      <w:r w:rsidRPr="001131E9">
        <w:rPr>
          <w:bCs/>
          <w:lang w:val="hy-AM"/>
        </w:rPr>
        <w:t>2020 թվականին տարերային աղետների, այդ թվում՝ կարկուտի, ուժեղ քամիների, ցրտահարության, սելավների պատճառած ընդհանուր վնասը կազմել է</w:t>
      </w:r>
      <w:r>
        <w:rPr>
          <w:bCs/>
          <w:lang w:val="hy-AM"/>
        </w:rPr>
        <w:t xml:space="preserve"> 3</w:t>
      </w:r>
      <w:r>
        <w:rPr>
          <w:rFonts w:ascii="Cambria Math" w:hAnsi="Cambria Math"/>
          <w:bCs/>
          <w:lang w:val="hy-AM"/>
        </w:rPr>
        <w:t>․</w:t>
      </w:r>
      <w:r w:rsidRPr="001131E9">
        <w:rPr>
          <w:bCs/>
          <w:lang w:val="hy-AM"/>
        </w:rPr>
        <w:t>8 մլրդ դրամ։ 2021 թվականին այն կազմել է շուրջ</w:t>
      </w:r>
      <w:r>
        <w:rPr>
          <w:bCs/>
          <w:lang w:val="hy-AM"/>
        </w:rPr>
        <w:t xml:space="preserve"> 3</w:t>
      </w:r>
      <w:r>
        <w:rPr>
          <w:rFonts w:ascii="Cambria Math" w:hAnsi="Cambria Math"/>
          <w:bCs/>
          <w:lang w:val="hy-AM"/>
        </w:rPr>
        <w:t>․</w:t>
      </w:r>
      <w:r w:rsidRPr="001131E9">
        <w:rPr>
          <w:bCs/>
          <w:lang w:val="hy-AM"/>
        </w:rPr>
        <w:t>1 մլրդ դրամ, որոնց հիմնական պատճառներն են հանդիսացել ուժեղ քամիները, երաշտը, տորնադոները և երկրաշարժերը։ 2022 թվականին կրած վնասը կազմել է 727 մլն դրամ, ինչը հիմնականում պայմանավորված է եղել այնպիսի տարերային աղետներով, ինչպիսիք են ուժեղ քամիները, կարկուտը, առատ ձյունը և երկրաշարժը, իսկ 2023թ.-ին 892 մլն դրամ, որը պայմանավորված է եղել ուժեղ քամիներով, հորդառատ անձրևներով ու կարկատով։ Վնասի գնահատումն իրականացվում է</w:t>
      </w:r>
      <w:r w:rsidRPr="00855647">
        <w:rPr>
          <w:bCs/>
          <w:lang w:val="hy-AM"/>
        </w:rPr>
        <w:t>`</w:t>
      </w:r>
      <w:r w:rsidRPr="001131E9">
        <w:rPr>
          <w:bCs/>
          <w:lang w:val="hy-AM"/>
        </w:rPr>
        <w:t xml:space="preserve"> համաձայն ՀՀ կառավարության թիվ 1582-Ն որոշման: Անհրաժեշտ է նշել,  որ գնահատման բարդությունների պատճառով որոշ աղետներ չեն գնահատվել:</w:t>
      </w:r>
    </w:p>
    <w:p w14:paraId="3839A1D2" w14:textId="77777777" w:rsidR="00545EC8" w:rsidRPr="00855647" w:rsidRDefault="00545EC8" w:rsidP="0086137E">
      <w:pPr>
        <w:spacing w:after="0"/>
        <w:ind w:firstLine="0"/>
        <w:rPr>
          <w:bCs/>
          <w:lang w:val="hy-AM"/>
        </w:rPr>
      </w:pPr>
      <w:r w:rsidRPr="00812A67">
        <w:rPr>
          <w:bCs/>
          <w:iCs/>
          <w:lang w:val="hy-AM"/>
        </w:rPr>
        <w:t xml:space="preserve">Բացի վերը նշված վնասների </w:t>
      </w:r>
      <w:r>
        <w:rPr>
          <w:bCs/>
          <w:iCs/>
          <w:lang w:val="hy-AM"/>
        </w:rPr>
        <w:t xml:space="preserve">գնահատականից՝ </w:t>
      </w:r>
      <w:r w:rsidRPr="00812A67">
        <w:rPr>
          <w:lang w:val="hy-AM"/>
        </w:rPr>
        <w:t>2024 թվականի մայիսի</w:t>
      </w:r>
      <w:r>
        <w:rPr>
          <w:lang w:val="hy-AM"/>
        </w:rPr>
        <w:t xml:space="preserve"> 2</w:t>
      </w:r>
      <w:r w:rsidRPr="005565FD">
        <w:rPr>
          <w:lang w:val="hy-AM"/>
        </w:rPr>
        <w:t>5</w:t>
      </w:r>
      <w:r w:rsidRPr="00812A67">
        <w:rPr>
          <w:lang w:val="hy-AM"/>
        </w:rPr>
        <w:t>-ից 26-</w:t>
      </w:r>
      <w:r>
        <w:rPr>
          <w:lang w:val="hy-AM"/>
        </w:rPr>
        <w:t>ը ընկած ժամանակահատվածում</w:t>
      </w:r>
      <w:r w:rsidRPr="00812A67">
        <w:rPr>
          <w:lang w:val="hy-AM"/>
        </w:rPr>
        <w:t xml:space="preserve"> </w:t>
      </w:r>
      <w:r w:rsidRPr="00812A67">
        <w:rPr>
          <w:bCs/>
          <w:iCs/>
          <w:lang w:val="hy-AM"/>
        </w:rPr>
        <w:t xml:space="preserve">հորդառատ անձրևի հետևանքով </w:t>
      </w:r>
      <w:r w:rsidRPr="00812A67">
        <w:rPr>
          <w:lang w:val="hy-AM"/>
        </w:rPr>
        <w:t xml:space="preserve">ՀՀ Լոռու և Տավուշի մարզերում </w:t>
      </w:r>
      <w:r w:rsidRPr="00812A67">
        <w:rPr>
          <w:bCs/>
          <w:lang w:val="hy-AM"/>
        </w:rPr>
        <w:t>Դեբեդ, Աղստև և Տաշիր գետերը վարարել են</w:t>
      </w:r>
      <w:r w:rsidRPr="00812A67">
        <w:rPr>
          <w:bCs/>
          <w:iCs/>
          <w:lang w:val="hy-AM"/>
        </w:rPr>
        <w:t>, ինչը մեծ ավերածությունների պատճառ է դարձել Լոռու և Տավուշի մարզերում</w:t>
      </w:r>
      <w:r w:rsidRPr="00812A67">
        <w:rPr>
          <w:bCs/>
          <w:lang w:val="hy-AM"/>
        </w:rPr>
        <w:t>:</w:t>
      </w:r>
      <w:r>
        <w:rPr>
          <w:bCs/>
          <w:lang w:val="hy-AM"/>
        </w:rPr>
        <w:t xml:space="preserve"> Հայաստանի կառավարության խնդրանքով Միավորված ազգերի կազմակերպության կողմից իրականացված՝ բ</w:t>
      </w:r>
      <w:r w:rsidRPr="00F63BEC">
        <w:rPr>
          <w:bCs/>
          <w:lang w:val="hy-AM"/>
        </w:rPr>
        <w:t>ազմոլորտային կարիքների արագ գնահատ</w:t>
      </w:r>
      <w:r>
        <w:rPr>
          <w:bCs/>
          <w:lang w:val="hy-AM"/>
        </w:rPr>
        <w:t xml:space="preserve">ում </w:t>
      </w:r>
      <w:r w:rsidRPr="00F63BEC">
        <w:rPr>
          <w:bCs/>
          <w:lang w:val="hy-AM"/>
        </w:rPr>
        <w:t>(ԲԿԱԳ)</w:t>
      </w:r>
      <w:r>
        <w:rPr>
          <w:bCs/>
          <w:lang w:val="hy-AM"/>
        </w:rPr>
        <w:t xml:space="preserve"> վերլուծական շրջանակն օգտագործվել է Լոռու և Տավուշի մարզերի </w:t>
      </w:r>
      <w:r w:rsidRPr="003024F8">
        <w:rPr>
          <w:bCs/>
          <w:lang w:val="hy-AM"/>
        </w:rPr>
        <w:t>տուժած տարածքներում առաջնային հումանիտար կարիքները բացահայտելու համար:</w:t>
      </w:r>
      <w:r w:rsidRPr="00855647">
        <w:rPr>
          <w:bCs/>
          <w:lang w:val="hy-AM"/>
        </w:rPr>
        <w:t xml:space="preserve"> </w:t>
      </w:r>
      <w:r>
        <w:rPr>
          <w:bCs/>
          <w:lang w:val="hy-AM"/>
        </w:rPr>
        <w:t xml:space="preserve">Ստորև ներկայացված են գնահատման հիմնական բացահայտումները: </w:t>
      </w:r>
    </w:p>
    <w:p w14:paraId="1601CD2F" w14:textId="77777777" w:rsidR="00545EC8" w:rsidRPr="00EB14F5" w:rsidRDefault="00545EC8" w:rsidP="0086137E">
      <w:pPr>
        <w:spacing w:after="0"/>
        <w:ind w:firstLine="0"/>
        <w:rPr>
          <w:lang w:val="hy-AM"/>
        </w:rPr>
      </w:pPr>
      <w:r w:rsidRPr="00812A67">
        <w:rPr>
          <w:lang w:val="hy-AM"/>
        </w:rPr>
        <w:t>Ջրհեղեղները զգալի վնաս են հասցրել ենթակառուցվածքներին</w:t>
      </w:r>
      <w:r>
        <w:rPr>
          <w:lang w:val="hy-AM"/>
        </w:rPr>
        <w:t>՝</w:t>
      </w:r>
      <w:r w:rsidRPr="00812A67">
        <w:rPr>
          <w:lang w:val="hy-AM"/>
        </w:rPr>
        <w:t xml:space="preserve"> ներառյալ ճանապարհներին, կամուրջներին, բնակելի և ոչ բնակելի շենքերին,</w:t>
      </w:r>
      <w:r w:rsidRPr="00E828D9">
        <w:rPr>
          <w:lang w:val="hy-AM"/>
        </w:rPr>
        <w:t xml:space="preserve"> ինչի հետևանքով</w:t>
      </w:r>
      <w:r w:rsidRPr="00812A67">
        <w:rPr>
          <w:lang w:val="hy-AM"/>
        </w:rPr>
        <w:t xml:space="preserve"> տուժել է մոտ 40,839 մարդ, </w:t>
      </w:r>
      <w:r>
        <w:rPr>
          <w:lang w:val="hy-AM"/>
        </w:rPr>
        <w:t>գրանցվել է</w:t>
      </w:r>
      <w:r w:rsidRPr="00E828D9">
        <w:rPr>
          <w:lang w:val="hy-AM"/>
        </w:rPr>
        <w:t xml:space="preserve"> է 4 </w:t>
      </w:r>
      <w:r>
        <w:rPr>
          <w:lang w:val="hy-AM"/>
        </w:rPr>
        <w:t>զոհ</w:t>
      </w:r>
      <w:r w:rsidRPr="00812A67">
        <w:rPr>
          <w:lang w:val="hy-AM"/>
        </w:rPr>
        <w:t xml:space="preserve"> և 2,382 </w:t>
      </w:r>
      <w:r w:rsidRPr="00E828D9">
        <w:rPr>
          <w:lang w:val="hy-AM"/>
        </w:rPr>
        <w:t xml:space="preserve">մարդ ժամանակավորապես տարհանվել </w:t>
      </w:r>
      <w:r>
        <w:rPr>
          <w:lang w:val="hy-AM"/>
        </w:rPr>
        <w:t xml:space="preserve">է։ </w:t>
      </w:r>
      <w:r w:rsidRPr="00E828D9">
        <w:rPr>
          <w:lang w:val="hy-AM"/>
        </w:rPr>
        <w:t xml:space="preserve">Զգալի վնաս է հասցվել բնակարաններին և ենթակառուցվածքներին, որի հետևանքով </w:t>
      </w:r>
      <w:r>
        <w:rPr>
          <w:lang w:val="hy-AM"/>
        </w:rPr>
        <w:t>ջրի տակ են անցել</w:t>
      </w:r>
      <w:r w:rsidRPr="00E828D9">
        <w:rPr>
          <w:lang w:val="hy-AM"/>
        </w:rPr>
        <w:t xml:space="preserve"> 464 բնակելի տուն, </w:t>
      </w:r>
      <w:r>
        <w:rPr>
          <w:lang w:val="hy-AM"/>
        </w:rPr>
        <w:t xml:space="preserve">որոնցից </w:t>
      </w:r>
      <w:r w:rsidRPr="00E828D9">
        <w:rPr>
          <w:lang w:val="hy-AM"/>
        </w:rPr>
        <w:t xml:space="preserve"> 217-</w:t>
      </w:r>
      <w:r>
        <w:rPr>
          <w:lang w:val="hy-AM"/>
        </w:rPr>
        <w:t>ը</w:t>
      </w:r>
      <w:r w:rsidRPr="00E828D9">
        <w:rPr>
          <w:lang w:val="hy-AM"/>
        </w:rPr>
        <w:t xml:space="preserve"> մասամբ վնասվել </w:t>
      </w:r>
      <w:r>
        <w:rPr>
          <w:lang w:val="hy-AM"/>
        </w:rPr>
        <w:t xml:space="preserve">են </w:t>
      </w:r>
      <w:r w:rsidRPr="00E828D9">
        <w:rPr>
          <w:lang w:val="hy-AM"/>
        </w:rPr>
        <w:t xml:space="preserve">կամ </w:t>
      </w:r>
      <w:r>
        <w:rPr>
          <w:lang w:val="hy-AM"/>
        </w:rPr>
        <w:t xml:space="preserve">ամբողջությամբ </w:t>
      </w:r>
      <w:r w:rsidRPr="00E828D9">
        <w:rPr>
          <w:lang w:val="hy-AM"/>
        </w:rPr>
        <w:t xml:space="preserve">ավերվել: </w:t>
      </w:r>
      <w:r w:rsidRPr="00675C09">
        <w:rPr>
          <w:lang w:val="hy-AM"/>
        </w:rPr>
        <w:t>Վնասների</w:t>
      </w:r>
      <w:r>
        <w:rPr>
          <w:lang w:val="hy-AM"/>
        </w:rPr>
        <w:t xml:space="preserve"> ﬔ</w:t>
      </w:r>
      <w:r w:rsidRPr="00675C09">
        <w:rPr>
          <w:lang w:val="hy-AM"/>
        </w:rPr>
        <w:t>ծ մասը գրանցվել է տրանսպորտի ոլորտում՝ 41,8 կմ ճանապարհներ, 1,8 կմ երկաթուղի, 3,3 կմ գետապաշտպան թմբեր</w:t>
      </w:r>
      <w:r>
        <w:rPr>
          <w:lang w:val="hy-AM"/>
        </w:rPr>
        <w:t xml:space="preserve">, 24 կամուրջներ </w:t>
      </w:r>
      <w:r w:rsidRPr="00E01C3D">
        <w:rPr>
          <w:lang w:val="hy-AM"/>
        </w:rPr>
        <w:t>(</w:t>
      </w:r>
      <w:r>
        <w:rPr>
          <w:lang w:val="hy-AM"/>
        </w:rPr>
        <w:t>ներառյալ 5 հիմնականները, որոնք կապված են մայրուղիների հետ</w:t>
      </w:r>
      <w:r w:rsidRPr="00E01C3D">
        <w:rPr>
          <w:lang w:val="hy-AM"/>
        </w:rPr>
        <w:t>)</w:t>
      </w:r>
      <w:r>
        <w:rPr>
          <w:lang w:val="hy-AM"/>
        </w:rPr>
        <w:t>, և 44 ավելի փոքր հետիոտնային և կոմունալ նշանակության կամուրջներ: Ջ</w:t>
      </w:r>
      <w:r w:rsidRPr="00EB14F5">
        <w:rPr>
          <w:lang w:val="hy-AM"/>
        </w:rPr>
        <w:t>րի և սանիտարահիգիենիկ</w:t>
      </w:r>
      <w:r>
        <w:rPr>
          <w:lang w:val="hy-AM"/>
        </w:rPr>
        <w:t xml:space="preserve"> </w:t>
      </w:r>
      <w:r w:rsidRPr="00EB14F5">
        <w:rPr>
          <w:lang w:val="hy-AM"/>
        </w:rPr>
        <w:t>ապահովման հատվածը լուրջ ազդեցություն է կրել՝</w:t>
      </w:r>
      <w:r>
        <w:rPr>
          <w:lang w:val="hy-AM"/>
        </w:rPr>
        <w:t xml:space="preserve"> ﬖ</w:t>
      </w:r>
      <w:r w:rsidRPr="00EB14F5">
        <w:rPr>
          <w:lang w:val="hy-AM"/>
        </w:rPr>
        <w:t>ասվել կամ ավերվել են 3,4 կմ ջրի և կոյուղու խողովակներ:</w:t>
      </w:r>
    </w:p>
    <w:p w14:paraId="5E293A05" w14:textId="77777777" w:rsidR="00545EC8" w:rsidRPr="00E828D9" w:rsidRDefault="00545EC8" w:rsidP="0086137E">
      <w:pPr>
        <w:ind w:firstLine="0"/>
        <w:rPr>
          <w:lang w:val="hy-AM"/>
        </w:rPr>
      </w:pPr>
      <w:r w:rsidRPr="00E828D9">
        <w:rPr>
          <w:lang w:val="hy-AM"/>
        </w:rPr>
        <w:t>Հայաստանի կառավարությունը և միջազգային կազմակերպությունները արձագանքել են որոնողափրկարարական, մաքրման միջոցառումներով և կամավորների ներգրավմամբ։ Կառավարությունը տուժած շրջանները հայտարարել է աղետի գոտիներ</w:t>
      </w:r>
      <w:r w:rsidRPr="003A5E02">
        <w:rPr>
          <w:lang w:val="hy-AM"/>
        </w:rPr>
        <w:t xml:space="preserve">։ </w:t>
      </w:r>
    </w:p>
    <w:p w14:paraId="6EA3C9A0" w14:textId="77777777" w:rsidR="00545EC8" w:rsidRPr="001131E9" w:rsidRDefault="00545EC8" w:rsidP="0086137E">
      <w:pPr>
        <w:spacing w:after="0"/>
        <w:ind w:firstLine="0"/>
        <w:rPr>
          <w:bCs/>
          <w:lang w:val="hy-AM"/>
        </w:rPr>
      </w:pPr>
      <w:r w:rsidRPr="001131E9">
        <w:rPr>
          <w:bCs/>
          <w:lang w:val="hy-AM"/>
        </w:rPr>
        <w:t>Հայաստանում փաստացի առկա են ֆինանսական պաշտպանության ռազմավարության որոշ բաղադրիչներ</w:t>
      </w:r>
      <w:r>
        <w:rPr>
          <w:bCs/>
          <w:lang w:val="hy-AM"/>
        </w:rPr>
        <w:t>.</w:t>
      </w:r>
      <w:r w:rsidRPr="00547126">
        <w:rPr>
          <w:bCs/>
          <w:lang w:val="hy-AM"/>
        </w:rPr>
        <w:t xml:space="preserve"> </w:t>
      </w:r>
      <w:r w:rsidRPr="001131E9">
        <w:rPr>
          <w:bCs/>
          <w:lang w:val="hy-AM"/>
        </w:rPr>
        <w:t xml:space="preserve">աղետներին արձագանքման անհրաժեշտության դեպքում օգտագործվում է </w:t>
      </w:r>
      <w:r>
        <w:rPr>
          <w:bCs/>
          <w:lang w:val="hy-AM"/>
        </w:rPr>
        <w:t>Կ</w:t>
      </w:r>
      <w:r w:rsidRPr="001131E9">
        <w:rPr>
          <w:bCs/>
          <w:lang w:val="hy-AM"/>
        </w:rPr>
        <w:t xml:space="preserve">առավարության պահուստային ֆոնդը, աղետների դեպքում երբեմն կարող են կիրառվել պետական բյուջեի միջոցների վերաբաշխումներ, ինչպես նաև Covid-19 համավարակով պայմանավորված ճգնաժամի ընթացքում Հայաստանը ներգրավել է հետաղետային ֆինանսավորում: </w:t>
      </w:r>
    </w:p>
    <w:p w14:paraId="1C7AE9FA" w14:textId="77777777" w:rsidR="00545EC8" w:rsidRPr="001131E9" w:rsidRDefault="00545EC8" w:rsidP="0086137E">
      <w:pPr>
        <w:spacing w:after="0"/>
        <w:ind w:firstLine="0"/>
        <w:rPr>
          <w:bCs/>
          <w:lang w:val="hy-AM"/>
        </w:rPr>
      </w:pPr>
      <w:r w:rsidRPr="001131E9">
        <w:rPr>
          <w:bCs/>
          <w:lang w:val="hy-AM"/>
        </w:rPr>
        <w:t>ՀՀ-ում առկա է աղետների ռիսկի կառավարման (այսուհետ՝ ԱՌԿ) 2023-2030թթ. ռազմավարություն, որը ընդգրկում է ԱՌԿ պետական քաղաքականության շրջանակը</w:t>
      </w:r>
      <w:r w:rsidRPr="001131E9">
        <w:rPr>
          <w:rStyle w:val="FootnoteReference"/>
          <w:bCs/>
        </w:rPr>
        <w:footnoteReference w:id="58"/>
      </w:r>
      <w:r w:rsidRPr="001131E9">
        <w:rPr>
          <w:bCs/>
          <w:lang w:val="hy-AM"/>
        </w:rPr>
        <w:t xml:space="preserve">: </w:t>
      </w:r>
    </w:p>
    <w:p w14:paraId="326ED032" w14:textId="77777777" w:rsidR="00545EC8" w:rsidRPr="001131E9" w:rsidRDefault="00545EC8" w:rsidP="0086137E">
      <w:pPr>
        <w:spacing w:after="0"/>
        <w:ind w:firstLine="0"/>
        <w:rPr>
          <w:bCs/>
          <w:lang w:val="hy-AM"/>
        </w:rPr>
      </w:pPr>
      <w:r w:rsidRPr="001131E9">
        <w:rPr>
          <w:bCs/>
          <w:lang w:val="hy-AM"/>
        </w:rPr>
        <w:t>ՀՀ-ում իրականացվում է պետական աջակցության՝ գյուղատնտոեսության ոլորտում ապահովագրական փորձնական ծրագիր, որը իրականացվում է  Գերմանական զարգացման բանկի (KfW) հետ համատեղ՝ համաձայն ՀՀ կառավարության 2019թ. թիվ 1485-Լ որոշման:</w:t>
      </w:r>
    </w:p>
    <w:p w14:paraId="6035E6BA" w14:textId="77777777" w:rsidR="00545EC8" w:rsidRPr="001131E9" w:rsidRDefault="00545EC8" w:rsidP="0086137E">
      <w:pPr>
        <w:ind w:firstLine="0"/>
        <w:rPr>
          <w:bCs/>
          <w:lang w:val="hy-AM"/>
        </w:rPr>
      </w:pPr>
      <w:r w:rsidRPr="00547126">
        <w:rPr>
          <w:bCs/>
          <w:lang w:val="hy-AM"/>
        </w:rPr>
        <w:t>Հաշվի առնելով Աղետների ռիսկի կարևորությունը՝ Ասիական Զարգացման Բանկի տեխնիկական աջակցությամբ ՖՆ-ի կողմից մշակվել և նախապատրաստվել է շրջանառության «Աղետների դեմ ֆինանսական պաշտպանության պլանի վերաբերյալ» հայեցակարգային մոտեցումներ։</w:t>
      </w:r>
    </w:p>
    <w:p w14:paraId="0EE1623D" w14:textId="77777777" w:rsidR="00545EC8" w:rsidRPr="001131E9" w:rsidRDefault="00545EC8" w:rsidP="0086137E">
      <w:pPr>
        <w:spacing w:after="0"/>
        <w:ind w:firstLine="0"/>
        <w:rPr>
          <w:bCs/>
          <w:lang w:val="hy-AM"/>
        </w:rPr>
      </w:pPr>
      <w:r w:rsidRPr="001131E9">
        <w:rPr>
          <w:bCs/>
          <w:lang w:val="hy-AM"/>
        </w:rPr>
        <w:t>2023 թվականին գյուղատնտեսության ոլորտում ապահովագրական համակարգի ներդրման փորձնական ծրագրի իրականացման համար պետական աջակցության ծրագրի շրջանակներում ապահովագրվել են ծիրան, խաղող, դեղձ, սալոր, խնձոր, կեռաս, բալ, ձմերուկ, սեխ, կարտոֆիլ, աշնանացան/գարնանացան ցորեն, գարի և վարսակ մշակաբույսերը։ Գյուղատնտեսական տարվա համար կնքված ապահովագրական պայմանագրերի վերաբերյալ տեղեկատվությունը ներկայացված է Աղյուսակ 10-ում՝ համաձայն գյուղատնտեսությունը</w:t>
      </w:r>
      <w:r>
        <w:rPr>
          <w:bCs/>
          <w:lang w:val="hy-AM"/>
        </w:rPr>
        <w:t xml:space="preserve"> </w:t>
      </w:r>
      <w:r w:rsidRPr="001131E9">
        <w:rPr>
          <w:bCs/>
          <w:lang w:val="hy-AM"/>
        </w:rPr>
        <w:t>ապահովագրողների ազգային գործակալության կողմից տրամադրած տեղեկատվության:</w:t>
      </w:r>
    </w:p>
    <w:p w14:paraId="77826A84" w14:textId="77777777" w:rsidR="00545EC8" w:rsidRDefault="00545EC8" w:rsidP="0086137E">
      <w:pPr>
        <w:spacing w:after="0"/>
        <w:ind w:firstLine="0"/>
        <w:rPr>
          <w:bCs/>
          <w:lang w:val="hy-AM"/>
        </w:rPr>
      </w:pPr>
      <w:r w:rsidRPr="00DE3D98">
        <w:rPr>
          <w:bCs/>
          <w:lang w:val="hy-AM"/>
        </w:rPr>
        <w:t>2024 թվականին ծրագրի պետական բյուջեով ֆինանսավորման չափը սահմանվել է 1,521,688</w:t>
      </w:r>
      <w:r w:rsidRPr="00DE3D98">
        <w:rPr>
          <w:rFonts w:ascii="Cambria Math" w:hAnsi="Cambria Math" w:cs="Cambria Math"/>
          <w:bCs/>
          <w:lang w:val="hy-AM"/>
        </w:rPr>
        <w:t>․</w:t>
      </w:r>
      <w:r w:rsidRPr="00DE3D98">
        <w:rPr>
          <w:bCs/>
          <w:lang w:val="hy-AM"/>
        </w:rPr>
        <w:t>2 հազ</w:t>
      </w:r>
      <w:r w:rsidRPr="00DE3D98">
        <w:rPr>
          <w:rFonts w:ascii="Cambria Math" w:hAnsi="Cambria Math" w:cs="Cambria Math"/>
          <w:bCs/>
          <w:lang w:val="hy-AM"/>
        </w:rPr>
        <w:t>․</w:t>
      </w:r>
      <w:r w:rsidRPr="00DE3D98">
        <w:rPr>
          <w:bCs/>
          <w:lang w:val="hy-AM"/>
        </w:rPr>
        <w:t xml:space="preserve"> ՀՀ դրամ, որը հավասարապես բաժանվել է ՀՀ կառավարության համաֆինանսավորման և արտաքին միջոցների (KfW) միջև, յուրաքանչյուրը՝ 760,844.1 հազ</w:t>
      </w:r>
      <w:r w:rsidRPr="00DE3D98">
        <w:rPr>
          <w:rFonts w:ascii="Cambria Math" w:hAnsi="Cambria Math" w:cs="Cambria Math"/>
          <w:bCs/>
          <w:lang w:val="hy-AM"/>
        </w:rPr>
        <w:t>․</w:t>
      </w:r>
      <w:r w:rsidRPr="00DE3D98">
        <w:rPr>
          <w:bCs/>
          <w:lang w:val="hy-AM"/>
        </w:rPr>
        <w:t xml:space="preserve"> դրամ։</w:t>
      </w:r>
      <w:r w:rsidRPr="005D323C">
        <w:rPr>
          <w:bCs/>
          <w:lang w:val="hy-AM"/>
        </w:rPr>
        <w:t xml:space="preserve"> </w:t>
      </w:r>
    </w:p>
    <w:p w14:paraId="613D382C" w14:textId="77777777" w:rsidR="00545EC8" w:rsidRDefault="00545EC8" w:rsidP="00545EC8">
      <w:pPr>
        <w:spacing w:line="276" w:lineRule="auto"/>
        <w:ind w:firstLine="0"/>
        <w:rPr>
          <w:b/>
          <w:bCs/>
          <w:i/>
          <w:lang w:val="hy-AM"/>
        </w:rPr>
      </w:pPr>
    </w:p>
    <w:p w14:paraId="04A0D152" w14:textId="77777777" w:rsidR="00545EC8" w:rsidRPr="00905372" w:rsidRDefault="00545EC8" w:rsidP="00545EC8">
      <w:pPr>
        <w:spacing w:line="276" w:lineRule="auto"/>
        <w:ind w:firstLine="0"/>
        <w:rPr>
          <w:b/>
          <w:bCs/>
          <w:i/>
          <w:lang w:val="hy-AM"/>
        </w:rPr>
      </w:pPr>
      <w:r w:rsidRPr="00905372">
        <w:rPr>
          <w:b/>
          <w:bCs/>
          <w:i/>
          <w:lang w:val="hy-AM"/>
        </w:rPr>
        <w:t xml:space="preserve">Աղյուսակ 10. </w:t>
      </w:r>
      <w:r w:rsidRPr="00905372">
        <w:rPr>
          <w:bCs/>
          <w:i/>
          <w:lang w:val="hy-AM"/>
        </w:rPr>
        <w:t>Գյուղատնտեսական տարվա համար կնքված ապահովագրական պայմանագրերը, 2020-2023թթ</w:t>
      </w:r>
      <w:r w:rsidRPr="00905372">
        <w:rPr>
          <w:rFonts w:ascii="Cambria Math" w:hAnsi="Cambria Math" w:cs="Cambria Math"/>
          <w:bCs/>
          <w:i/>
          <w:lang w:val="hy-AM"/>
        </w:rPr>
        <w:t>․</w:t>
      </w:r>
    </w:p>
    <w:tbl>
      <w:tblPr>
        <w:tblStyle w:val="GridTable4-Accent15"/>
        <w:tblW w:w="9469" w:type="dxa"/>
        <w:tblLook w:val="04A0" w:firstRow="1" w:lastRow="0" w:firstColumn="1" w:lastColumn="0" w:noHBand="0" w:noVBand="1"/>
      </w:tblPr>
      <w:tblGrid>
        <w:gridCol w:w="3539"/>
        <w:gridCol w:w="1482"/>
        <w:gridCol w:w="1342"/>
        <w:gridCol w:w="1377"/>
        <w:gridCol w:w="1729"/>
      </w:tblGrid>
      <w:tr w:rsidR="00545EC8" w:rsidRPr="00812A67" w14:paraId="563C3D4C" w14:textId="77777777" w:rsidTr="00D262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88AE865" w14:textId="77777777" w:rsidR="00545EC8" w:rsidRPr="00812A67" w:rsidRDefault="00545EC8" w:rsidP="00D262EA">
            <w:pPr>
              <w:spacing w:line="360" w:lineRule="auto"/>
              <w:ind w:left="29" w:firstLine="7"/>
              <w:jc w:val="left"/>
              <w:rPr>
                <w:sz w:val="20"/>
                <w:szCs w:val="20"/>
                <w:lang w:val="hy-AM"/>
              </w:rPr>
            </w:pPr>
          </w:p>
        </w:tc>
        <w:tc>
          <w:tcPr>
            <w:tcW w:w="1482" w:type="dxa"/>
          </w:tcPr>
          <w:p w14:paraId="7402279B" w14:textId="77777777" w:rsidR="00545EC8" w:rsidRPr="00812A67" w:rsidRDefault="00545EC8" w:rsidP="00D262EA">
            <w:pPr>
              <w:spacing w:after="0" w:line="240" w:lineRule="auto"/>
              <w:ind w:left="29" w:firstLine="7"/>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FFFFFF" w:themeColor="background1"/>
              </w:rPr>
            </w:pPr>
            <w:r w:rsidRPr="00812A67">
              <w:rPr>
                <w:rFonts w:eastAsia="Times New Roman" w:cs="Calibri"/>
                <w:bCs w:val="0"/>
                <w:color w:val="FFFFFF" w:themeColor="background1"/>
              </w:rPr>
              <w:t>2020</w:t>
            </w:r>
          </w:p>
        </w:tc>
        <w:tc>
          <w:tcPr>
            <w:tcW w:w="1342" w:type="dxa"/>
          </w:tcPr>
          <w:p w14:paraId="11B65900" w14:textId="77777777" w:rsidR="00545EC8" w:rsidRPr="00812A67" w:rsidRDefault="00545EC8" w:rsidP="00D262EA">
            <w:pPr>
              <w:spacing w:after="0" w:line="240" w:lineRule="auto"/>
              <w:ind w:left="29" w:firstLine="7"/>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FFFFFF" w:themeColor="background1"/>
              </w:rPr>
            </w:pPr>
            <w:r w:rsidRPr="00812A67">
              <w:rPr>
                <w:rFonts w:eastAsia="Times New Roman" w:cs="Calibri"/>
                <w:bCs w:val="0"/>
                <w:color w:val="FFFFFF" w:themeColor="background1"/>
              </w:rPr>
              <w:t>2021</w:t>
            </w:r>
          </w:p>
        </w:tc>
        <w:tc>
          <w:tcPr>
            <w:tcW w:w="1377" w:type="dxa"/>
          </w:tcPr>
          <w:p w14:paraId="1B8119DD" w14:textId="77777777" w:rsidR="00545EC8" w:rsidRPr="00812A67" w:rsidRDefault="00545EC8" w:rsidP="00D262EA">
            <w:pPr>
              <w:spacing w:after="0" w:line="240" w:lineRule="auto"/>
              <w:ind w:left="29" w:firstLine="7"/>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FFFFFF" w:themeColor="background1"/>
              </w:rPr>
            </w:pPr>
            <w:r w:rsidRPr="00812A67">
              <w:rPr>
                <w:rFonts w:eastAsia="Times New Roman" w:cs="Calibri"/>
                <w:bCs w:val="0"/>
                <w:color w:val="FFFFFF" w:themeColor="background1"/>
              </w:rPr>
              <w:t>2022</w:t>
            </w:r>
          </w:p>
        </w:tc>
        <w:tc>
          <w:tcPr>
            <w:tcW w:w="1729" w:type="dxa"/>
          </w:tcPr>
          <w:p w14:paraId="42C9E3FD" w14:textId="77777777" w:rsidR="00545EC8" w:rsidRPr="00812A67" w:rsidRDefault="00545EC8" w:rsidP="00D262EA">
            <w:pPr>
              <w:spacing w:after="0" w:line="240" w:lineRule="auto"/>
              <w:ind w:left="29" w:firstLine="7"/>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FFFFFF" w:themeColor="background1"/>
              </w:rPr>
            </w:pPr>
            <w:r w:rsidRPr="00812A67">
              <w:rPr>
                <w:rFonts w:eastAsia="Times New Roman" w:cs="Calibri"/>
                <w:bCs w:val="0"/>
                <w:color w:val="FFFFFF" w:themeColor="background1"/>
              </w:rPr>
              <w:t>2023</w:t>
            </w:r>
          </w:p>
        </w:tc>
      </w:tr>
      <w:tr w:rsidR="00545EC8" w:rsidRPr="00812A67" w14:paraId="65F52A1E" w14:textId="77777777" w:rsidTr="00D26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0086506" w14:textId="77777777" w:rsidR="00545EC8" w:rsidRPr="00607B43" w:rsidRDefault="00545EC8" w:rsidP="00D262EA">
            <w:pPr>
              <w:spacing w:after="0" w:line="240" w:lineRule="auto"/>
              <w:ind w:left="29" w:firstLine="7"/>
              <w:jc w:val="left"/>
              <w:rPr>
                <w:rFonts w:eastAsia="Times New Roman" w:cs="Calibri"/>
                <w:b w:val="0"/>
                <w:color w:val="000000"/>
                <w:lang w:val="hy-AM"/>
              </w:rPr>
            </w:pPr>
            <w:r w:rsidRPr="00812A67">
              <w:rPr>
                <w:rFonts w:eastAsia="Times New Roman" w:cs="Calibri"/>
                <w:b w:val="0"/>
                <w:color w:val="000000"/>
              </w:rPr>
              <w:t>Պայմանագրերի թիվ</w:t>
            </w:r>
            <w:r>
              <w:rPr>
                <w:rFonts w:eastAsia="Times New Roman" w:cs="Calibri"/>
                <w:b w:val="0"/>
                <w:color w:val="000000"/>
              </w:rPr>
              <w:t>,</w:t>
            </w:r>
            <w:r>
              <w:rPr>
                <w:rFonts w:eastAsia="Times New Roman" w:cs="Calibri"/>
                <w:b w:val="0"/>
                <w:color w:val="000000"/>
                <w:lang w:val="hy-AM"/>
              </w:rPr>
              <w:t xml:space="preserve"> հատ</w:t>
            </w:r>
          </w:p>
        </w:tc>
        <w:tc>
          <w:tcPr>
            <w:tcW w:w="1482" w:type="dxa"/>
          </w:tcPr>
          <w:p w14:paraId="3D187DE8"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1546</w:t>
            </w:r>
          </w:p>
        </w:tc>
        <w:tc>
          <w:tcPr>
            <w:tcW w:w="1342" w:type="dxa"/>
          </w:tcPr>
          <w:p w14:paraId="6FA3083E"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4279</w:t>
            </w:r>
          </w:p>
        </w:tc>
        <w:tc>
          <w:tcPr>
            <w:tcW w:w="1377" w:type="dxa"/>
          </w:tcPr>
          <w:p w14:paraId="5C801FFE"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5091</w:t>
            </w:r>
          </w:p>
        </w:tc>
        <w:tc>
          <w:tcPr>
            <w:tcW w:w="1729" w:type="dxa"/>
          </w:tcPr>
          <w:p w14:paraId="3A583BA6"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10192</w:t>
            </w:r>
          </w:p>
        </w:tc>
      </w:tr>
      <w:tr w:rsidR="00545EC8" w:rsidRPr="00812A67" w14:paraId="6E78DEDD" w14:textId="77777777" w:rsidTr="00D262EA">
        <w:tc>
          <w:tcPr>
            <w:cnfStyle w:val="001000000000" w:firstRow="0" w:lastRow="0" w:firstColumn="1" w:lastColumn="0" w:oddVBand="0" w:evenVBand="0" w:oddHBand="0" w:evenHBand="0" w:firstRowFirstColumn="0" w:firstRowLastColumn="0" w:lastRowFirstColumn="0" w:lastRowLastColumn="0"/>
            <w:tcW w:w="3539" w:type="dxa"/>
          </w:tcPr>
          <w:p w14:paraId="095DA070" w14:textId="77777777" w:rsidR="00545EC8" w:rsidRPr="00812A67" w:rsidRDefault="00545EC8" w:rsidP="00D262EA">
            <w:pPr>
              <w:spacing w:after="0" w:line="240" w:lineRule="auto"/>
              <w:ind w:left="29" w:firstLine="7"/>
              <w:jc w:val="left"/>
              <w:rPr>
                <w:rFonts w:eastAsia="Times New Roman" w:cs="Calibri"/>
                <w:b w:val="0"/>
                <w:color w:val="000000"/>
              </w:rPr>
            </w:pPr>
            <w:r w:rsidRPr="00812A67">
              <w:rPr>
                <w:rFonts w:eastAsia="Times New Roman" w:cs="Calibri"/>
                <w:b w:val="0"/>
                <w:color w:val="000000"/>
              </w:rPr>
              <w:t>Ապահովագրված տարածք, հա</w:t>
            </w:r>
          </w:p>
        </w:tc>
        <w:tc>
          <w:tcPr>
            <w:tcW w:w="1482" w:type="dxa"/>
          </w:tcPr>
          <w:p w14:paraId="67E08C80"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2363.3</w:t>
            </w:r>
          </w:p>
        </w:tc>
        <w:tc>
          <w:tcPr>
            <w:tcW w:w="1342" w:type="dxa"/>
          </w:tcPr>
          <w:p w14:paraId="2C7B03F6"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5832</w:t>
            </w:r>
          </w:p>
        </w:tc>
        <w:tc>
          <w:tcPr>
            <w:tcW w:w="1377" w:type="dxa"/>
          </w:tcPr>
          <w:p w14:paraId="0653B8B5"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6444</w:t>
            </w:r>
          </w:p>
        </w:tc>
        <w:tc>
          <w:tcPr>
            <w:tcW w:w="1729" w:type="dxa"/>
          </w:tcPr>
          <w:p w14:paraId="54E19E0B"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11662</w:t>
            </w:r>
          </w:p>
        </w:tc>
      </w:tr>
      <w:tr w:rsidR="00545EC8" w:rsidRPr="00812A67" w14:paraId="70A46325" w14:textId="77777777" w:rsidTr="00D26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E0AC071" w14:textId="77777777" w:rsidR="00545EC8" w:rsidRPr="00607B43" w:rsidRDefault="00545EC8" w:rsidP="00D262EA">
            <w:pPr>
              <w:spacing w:after="0" w:line="240" w:lineRule="auto"/>
              <w:ind w:left="29" w:firstLine="7"/>
              <w:jc w:val="left"/>
              <w:rPr>
                <w:rFonts w:eastAsia="Times New Roman" w:cs="Calibri"/>
                <w:b w:val="0"/>
                <w:color w:val="000000"/>
                <w:lang w:val="hy-AM"/>
              </w:rPr>
            </w:pPr>
            <w:r w:rsidRPr="00915E3C">
              <w:rPr>
                <w:rFonts w:eastAsia="Times New Roman" w:cs="Calibri"/>
                <w:b w:val="0"/>
                <w:color w:val="000000"/>
              </w:rPr>
              <w:t>Համախառն ապահովագրավճար</w:t>
            </w:r>
            <w:r w:rsidRPr="00915E3C">
              <w:rPr>
                <w:rFonts w:eastAsia="Times New Roman" w:cs="Calibri"/>
                <w:b w:val="0"/>
                <w:color w:val="000000"/>
                <w:lang w:val="hy-AM"/>
              </w:rPr>
              <w:t>, մլն դրամ</w:t>
            </w:r>
          </w:p>
        </w:tc>
        <w:tc>
          <w:tcPr>
            <w:tcW w:w="1482" w:type="dxa"/>
          </w:tcPr>
          <w:p w14:paraId="6D858823"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130.5</w:t>
            </w:r>
          </w:p>
        </w:tc>
        <w:tc>
          <w:tcPr>
            <w:tcW w:w="1342" w:type="dxa"/>
          </w:tcPr>
          <w:p w14:paraId="36C4A5CB"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474.6</w:t>
            </w:r>
          </w:p>
        </w:tc>
        <w:tc>
          <w:tcPr>
            <w:tcW w:w="1377" w:type="dxa"/>
          </w:tcPr>
          <w:p w14:paraId="311938FC"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866.3</w:t>
            </w:r>
          </w:p>
        </w:tc>
        <w:tc>
          <w:tcPr>
            <w:tcW w:w="1729" w:type="dxa"/>
          </w:tcPr>
          <w:p w14:paraId="2FABE607"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1,800</w:t>
            </w:r>
          </w:p>
        </w:tc>
      </w:tr>
      <w:tr w:rsidR="00545EC8" w:rsidRPr="00812A67" w14:paraId="4803B27E" w14:textId="77777777" w:rsidTr="00D262EA">
        <w:tc>
          <w:tcPr>
            <w:cnfStyle w:val="001000000000" w:firstRow="0" w:lastRow="0" w:firstColumn="1" w:lastColumn="0" w:oddVBand="0" w:evenVBand="0" w:oddHBand="0" w:evenHBand="0" w:firstRowFirstColumn="0" w:firstRowLastColumn="0" w:lastRowFirstColumn="0" w:lastRowLastColumn="0"/>
            <w:tcW w:w="3539" w:type="dxa"/>
          </w:tcPr>
          <w:p w14:paraId="6D7C8304" w14:textId="77777777" w:rsidR="00545EC8" w:rsidRPr="00812A67" w:rsidRDefault="00545EC8" w:rsidP="00D262EA">
            <w:pPr>
              <w:spacing w:after="0" w:line="240" w:lineRule="auto"/>
              <w:ind w:left="29" w:firstLine="7"/>
              <w:jc w:val="left"/>
              <w:rPr>
                <w:rFonts w:eastAsia="Times New Roman" w:cs="Calibri"/>
                <w:b w:val="0"/>
                <w:color w:val="000000"/>
              </w:rPr>
            </w:pPr>
            <w:r w:rsidRPr="00812A67">
              <w:rPr>
                <w:rFonts w:eastAsia="Times New Roman" w:cs="Calibri"/>
                <w:b w:val="0"/>
                <w:color w:val="000000"/>
              </w:rPr>
              <w:t>Սուբսիդիա, մլն դրամ</w:t>
            </w:r>
          </w:p>
        </w:tc>
        <w:tc>
          <w:tcPr>
            <w:tcW w:w="1482" w:type="dxa"/>
          </w:tcPr>
          <w:p w14:paraId="5CBB24F7"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69</w:t>
            </w:r>
          </w:p>
        </w:tc>
        <w:tc>
          <w:tcPr>
            <w:tcW w:w="1342" w:type="dxa"/>
          </w:tcPr>
          <w:p w14:paraId="128602F5"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275.9</w:t>
            </w:r>
          </w:p>
        </w:tc>
        <w:tc>
          <w:tcPr>
            <w:tcW w:w="1377" w:type="dxa"/>
          </w:tcPr>
          <w:p w14:paraId="3A2C21B5"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513.6</w:t>
            </w:r>
          </w:p>
        </w:tc>
        <w:tc>
          <w:tcPr>
            <w:tcW w:w="1729" w:type="dxa"/>
          </w:tcPr>
          <w:p w14:paraId="4A15F924"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1,100</w:t>
            </w:r>
          </w:p>
        </w:tc>
      </w:tr>
      <w:tr w:rsidR="00545EC8" w:rsidRPr="00812A67" w14:paraId="50EB4742" w14:textId="77777777" w:rsidTr="00D26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0E37280" w14:textId="77777777" w:rsidR="00545EC8" w:rsidRPr="00812A67" w:rsidRDefault="00545EC8" w:rsidP="00D262EA">
            <w:pPr>
              <w:spacing w:after="0" w:line="240" w:lineRule="auto"/>
              <w:ind w:left="29" w:firstLine="7"/>
              <w:jc w:val="left"/>
              <w:rPr>
                <w:rFonts w:eastAsia="Times New Roman" w:cs="Calibri"/>
                <w:b w:val="0"/>
                <w:color w:val="000000"/>
              </w:rPr>
            </w:pPr>
            <w:r w:rsidRPr="00812A67">
              <w:rPr>
                <w:rFonts w:eastAsia="Times New Roman" w:cs="Calibri"/>
                <w:b w:val="0"/>
                <w:color w:val="000000"/>
              </w:rPr>
              <w:t>Հատուցումներ, մլն դրամ</w:t>
            </w:r>
          </w:p>
        </w:tc>
        <w:tc>
          <w:tcPr>
            <w:tcW w:w="1482" w:type="dxa"/>
          </w:tcPr>
          <w:p w14:paraId="40AC7377"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151.3</w:t>
            </w:r>
          </w:p>
        </w:tc>
        <w:tc>
          <w:tcPr>
            <w:tcW w:w="1342" w:type="dxa"/>
          </w:tcPr>
          <w:p w14:paraId="32D66357"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319.1</w:t>
            </w:r>
          </w:p>
        </w:tc>
        <w:tc>
          <w:tcPr>
            <w:tcW w:w="1377" w:type="dxa"/>
          </w:tcPr>
          <w:p w14:paraId="65ADC28A"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1,300</w:t>
            </w:r>
          </w:p>
        </w:tc>
        <w:tc>
          <w:tcPr>
            <w:tcW w:w="1729" w:type="dxa"/>
          </w:tcPr>
          <w:p w14:paraId="560D2257" w14:textId="77777777" w:rsidR="00545EC8" w:rsidRPr="00812A67" w:rsidRDefault="00545EC8" w:rsidP="00D262EA">
            <w:pPr>
              <w:spacing w:after="0" w:line="240" w:lineRule="auto"/>
              <w:ind w:left="29" w:firstLine="7"/>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812A67">
              <w:rPr>
                <w:rFonts w:eastAsia="Times New Roman" w:cs="Calibri"/>
                <w:color w:val="000000"/>
              </w:rPr>
              <w:t>2700</w:t>
            </w:r>
          </w:p>
        </w:tc>
      </w:tr>
      <w:tr w:rsidR="00545EC8" w:rsidRPr="00812A67" w14:paraId="7490FC9C" w14:textId="77777777" w:rsidTr="00D262EA">
        <w:tc>
          <w:tcPr>
            <w:cnfStyle w:val="001000000000" w:firstRow="0" w:lastRow="0" w:firstColumn="1" w:lastColumn="0" w:oddVBand="0" w:evenVBand="0" w:oddHBand="0" w:evenHBand="0" w:firstRowFirstColumn="0" w:firstRowLastColumn="0" w:lastRowFirstColumn="0" w:lastRowLastColumn="0"/>
            <w:tcW w:w="3539" w:type="dxa"/>
          </w:tcPr>
          <w:p w14:paraId="6D199F24" w14:textId="77777777" w:rsidR="00545EC8" w:rsidRPr="00607B43" w:rsidRDefault="00545EC8" w:rsidP="00D262EA">
            <w:pPr>
              <w:spacing w:after="0" w:line="240" w:lineRule="auto"/>
              <w:ind w:left="29" w:firstLine="7"/>
              <w:jc w:val="left"/>
              <w:rPr>
                <w:rFonts w:eastAsia="Times New Roman" w:cs="Calibri"/>
                <w:b w:val="0"/>
                <w:color w:val="000000"/>
                <w:lang w:val="hy-AM"/>
              </w:rPr>
            </w:pPr>
            <w:r w:rsidRPr="00812A67">
              <w:rPr>
                <w:rFonts w:eastAsia="Times New Roman" w:cs="Calibri"/>
                <w:b w:val="0"/>
                <w:color w:val="000000"/>
              </w:rPr>
              <w:t>Հատուցումների քանակ</w:t>
            </w:r>
            <w:r>
              <w:rPr>
                <w:rFonts w:eastAsia="Times New Roman" w:cs="Calibri"/>
                <w:b w:val="0"/>
                <w:color w:val="000000"/>
                <w:lang w:val="hy-AM"/>
              </w:rPr>
              <w:t>, հատ</w:t>
            </w:r>
          </w:p>
        </w:tc>
        <w:tc>
          <w:tcPr>
            <w:tcW w:w="1482" w:type="dxa"/>
          </w:tcPr>
          <w:p w14:paraId="0AFB2510"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c>
          <w:tcPr>
            <w:tcW w:w="1342" w:type="dxa"/>
          </w:tcPr>
          <w:p w14:paraId="5FC98963"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1517</w:t>
            </w:r>
          </w:p>
        </w:tc>
        <w:tc>
          <w:tcPr>
            <w:tcW w:w="1377" w:type="dxa"/>
          </w:tcPr>
          <w:p w14:paraId="51A88C1B"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2167</w:t>
            </w:r>
          </w:p>
        </w:tc>
        <w:tc>
          <w:tcPr>
            <w:tcW w:w="1729" w:type="dxa"/>
          </w:tcPr>
          <w:p w14:paraId="4A13CC4A" w14:textId="77777777" w:rsidR="00545EC8" w:rsidRPr="00812A67" w:rsidRDefault="00545EC8" w:rsidP="00D262EA">
            <w:pPr>
              <w:spacing w:after="0" w:line="240" w:lineRule="auto"/>
              <w:ind w:left="29" w:firstLine="7"/>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812A67">
              <w:rPr>
                <w:rFonts w:eastAsia="Times New Roman" w:cs="Calibri"/>
                <w:color w:val="000000"/>
              </w:rPr>
              <w:t>3864</w:t>
            </w:r>
          </w:p>
        </w:tc>
      </w:tr>
    </w:tbl>
    <w:p w14:paraId="7937E2AE" w14:textId="77777777" w:rsidR="00545EC8" w:rsidRDefault="00545EC8" w:rsidP="00545EC8">
      <w:pPr>
        <w:spacing w:after="0" w:line="276" w:lineRule="auto"/>
        <w:rPr>
          <w:bCs/>
          <w:lang w:val="hy-AM"/>
        </w:rPr>
      </w:pPr>
    </w:p>
    <w:p w14:paraId="700030B5" w14:textId="77777777" w:rsidR="00545EC8" w:rsidRDefault="00545EC8" w:rsidP="0086137E">
      <w:pPr>
        <w:spacing w:after="0" w:line="276" w:lineRule="auto"/>
        <w:ind w:firstLine="0"/>
        <w:rPr>
          <w:bCs/>
          <w:lang w:val="hy-AM"/>
        </w:rPr>
      </w:pPr>
      <w:r w:rsidRPr="00A6739D">
        <w:rPr>
          <w:bCs/>
          <w:lang w:val="hy-AM"/>
        </w:rPr>
        <w:t xml:space="preserve">2016թ. մեկնարկել է «Հանրակրթական դպրոցների սեյսմիկ անվտանգության բարելավման ծրագիրը», որի շրջանակներում ընդգրկված են 46 դպրոցներ, որոնցից 16-ը արդեն կառուցվել են, 20-ը գտնվում են կառուցման փուլում, իսկ 10-ը՝ գտնվում են նախագծման և/կամ փորձաքննության փուլում: </w:t>
      </w:r>
    </w:p>
    <w:p w14:paraId="52598790"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300" w:name="_Toc170906571"/>
      <w:r w:rsidRPr="00461381">
        <w:rPr>
          <w:b/>
          <w:color w:val="44546A" w:themeColor="text2"/>
          <w:sz w:val="24"/>
          <w:szCs w:val="24"/>
          <w:lang w:val="hy-AM" w:eastAsia="ru-RU"/>
        </w:rPr>
        <w:t>3.3.6 ԲՆԱՊԱՀՊԱՆԱԿԱՆ ՊԱՐՏԱՎՈՐՈՒԹՅՈՒՆՆԵՐԻՑ, ՇՐՋԱԿԱ ՄԻՋԱՎԱՅՐԻ ԴԵԳՐԱԴԱՑԻԱՅԻՑ ԵՎ ՋԵՐՄՈՑԱՅԻՆ ԳԱԶԵՐԻ ԱՐՏԱՆԵՏՈՒՄՆԵՐԻ ԱՎԵԼԱՑՈՒՄԻՑ ԾԱԳՈՂ ՀԱՐԿԱԲՅՈՒՋԵՏԱՅԻՆ ՌԻՍԿԵՐ</w:t>
      </w:r>
      <w:bookmarkEnd w:id="300"/>
    </w:p>
    <w:p w14:paraId="4FB28A3C" w14:textId="77777777" w:rsidR="00545EC8" w:rsidRPr="005D323C" w:rsidRDefault="00545EC8" w:rsidP="0086137E">
      <w:pPr>
        <w:spacing w:after="0" w:line="276" w:lineRule="auto"/>
        <w:ind w:firstLine="0"/>
        <w:rPr>
          <w:lang w:val="hy-AM"/>
        </w:rPr>
      </w:pPr>
      <w:r w:rsidRPr="005D323C">
        <w:rPr>
          <w:lang w:val="hy-AM"/>
        </w:rPr>
        <w:t>Արդյունաբերական աճը զգալի բնապահպանական մարտահրավերներ է ստեղծում, ինչպիսիք են շրջակա միջավայրի աղտոտումը, կլիմայի փոփոխությունը, կենսաբազմազանության կորուստը և նմանատիպ այլ գլոբալ խնդիրներ, որոնք էական վտանգ են ներկայացնում տնտեսության ու կենսագործունեության համար: Այդ պատճառով բնապահպանական նկատառումներն իրենց տեղն են գտնում հարկաբյուջետային և ֆինանսական քաղաքականության մեջ:</w:t>
      </w:r>
    </w:p>
    <w:p w14:paraId="0F6E015B" w14:textId="77777777" w:rsidR="00545EC8" w:rsidRDefault="00545EC8" w:rsidP="00545EC8">
      <w:pPr>
        <w:spacing w:line="276" w:lineRule="auto"/>
        <w:rPr>
          <w:b/>
          <w:bCs/>
          <w:i/>
          <w:color w:val="000000" w:themeColor="text1"/>
          <w:sz w:val="20"/>
          <w:szCs w:val="20"/>
          <w:lang w:val="hy-AM"/>
        </w:rPr>
      </w:pPr>
      <w:r w:rsidRPr="00DE3D98">
        <w:rPr>
          <w:b/>
          <w:bCs/>
          <w:i/>
          <w:color w:val="000000" w:themeColor="text1"/>
          <w:sz w:val="20"/>
          <w:szCs w:val="20"/>
          <w:lang w:val="hy-AM"/>
        </w:rPr>
        <w:t xml:space="preserve"> </w:t>
      </w:r>
    </w:p>
    <w:p w14:paraId="0A36C692" w14:textId="77777777" w:rsidR="00545EC8" w:rsidRPr="00607B43" w:rsidRDefault="00545EC8" w:rsidP="00545EC8">
      <w:pPr>
        <w:spacing w:line="276" w:lineRule="auto"/>
        <w:ind w:firstLine="0"/>
        <w:rPr>
          <w:b/>
          <w:bCs/>
          <w:i/>
          <w:color w:val="000000" w:themeColor="text1"/>
          <w:szCs w:val="20"/>
          <w:lang w:val="hy-AM"/>
        </w:rPr>
      </w:pPr>
      <w:r w:rsidRPr="00115506">
        <w:rPr>
          <w:noProof/>
        </w:rPr>
        <w:drawing>
          <wp:anchor distT="0" distB="0" distL="114300" distR="114300" simplePos="0" relativeHeight="251729920" behindDoc="0" locked="0" layoutInCell="1" allowOverlap="1" wp14:anchorId="0E2AC363" wp14:editId="1996768C">
            <wp:simplePos x="0" y="0"/>
            <wp:positionH relativeFrom="column">
              <wp:posOffset>608330</wp:posOffset>
            </wp:positionH>
            <wp:positionV relativeFrom="paragraph">
              <wp:posOffset>574675</wp:posOffset>
            </wp:positionV>
            <wp:extent cx="4947306" cy="2481943"/>
            <wp:effectExtent l="0" t="0" r="5715" b="0"/>
            <wp:wrapTopAndBottom/>
            <wp:docPr id="1545876416" name="Picture 154587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4947306" cy="2481943"/>
                    </a:xfrm>
                    <a:prstGeom prst="rect">
                      <a:avLst/>
                    </a:prstGeom>
                  </pic:spPr>
                </pic:pic>
              </a:graphicData>
            </a:graphic>
            <wp14:sizeRelH relativeFrom="margin">
              <wp14:pctWidth>0</wp14:pctWidth>
            </wp14:sizeRelH>
            <wp14:sizeRelV relativeFrom="margin">
              <wp14:pctHeight>0</wp14:pctHeight>
            </wp14:sizeRelV>
          </wp:anchor>
        </w:drawing>
      </w:r>
      <w:r w:rsidRPr="00DE3D98">
        <w:rPr>
          <w:b/>
          <w:bCs/>
          <w:i/>
          <w:color w:val="000000" w:themeColor="text1"/>
          <w:szCs w:val="20"/>
          <w:lang w:val="hy-AM"/>
        </w:rPr>
        <w:t xml:space="preserve">Գծապատկեր 21. </w:t>
      </w:r>
      <w:r w:rsidRPr="00DE3D98">
        <w:rPr>
          <w:bCs/>
          <w:i/>
          <w:color w:val="000000" w:themeColor="text1"/>
          <w:szCs w:val="20"/>
          <w:lang w:val="hy-AM"/>
        </w:rPr>
        <w:t>Ջերմոցային գազերի արտանետումների դինամիկայի ուսումնասիրությունն՝ ըստ սեկտորների, 1990-2019թթ.</w:t>
      </w:r>
      <w:r>
        <w:rPr>
          <w:rStyle w:val="FootnoteReference"/>
          <w:bCs/>
          <w:i/>
          <w:color w:val="000000" w:themeColor="text1"/>
          <w:szCs w:val="20"/>
        </w:rPr>
        <w:footnoteReference w:id="59"/>
      </w:r>
    </w:p>
    <w:p w14:paraId="726C7F97" w14:textId="77777777" w:rsidR="00545EC8" w:rsidRDefault="00545EC8" w:rsidP="00545EC8">
      <w:pPr>
        <w:spacing w:after="0" w:line="276" w:lineRule="auto"/>
        <w:rPr>
          <w:lang w:val="hy-AM"/>
        </w:rPr>
      </w:pPr>
    </w:p>
    <w:p w14:paraId="4767B8AB" w14:textId="77777777" w:rsidR="00545EC8" w:rsidRPr="00115506" w:rsidRDefault="00545EC8" w:rsidP="0086137E">
      <w:pPr>
        <w:spacing w:after="0" w:line="276" w:lineRule="auto"/>
        <w:ind w:firstLine="0"/>
        <w:rPr>
          <w:lang w:val="hy-AM"/>
        </w:rPr>
      </w:pPr>
      <w:r w:rsidRPr="00115506">
        <w:rPr>
          <w:lang w:val="hy-AM"/>
        </w:rPr>
        <w:t>Ինչպես երևում է գծապատկերի</w:t>
      </w:r>
      <w:r>
        <w:rPr>
          <w:lang w:val="hy-AM"/>
        </w:rPr>
        <w:t xml:space="preserve"> 21</w:t>
      </w:r>
      <w:r w:rsidRPr="00115506">
        <w:rPr>
          <w:lang w:val="hy-AM"/>
        </w:rPr>
        <w:t>-ից տարբեր սեկտորներից արտանետումների մասնաբաժինների հարաբերակցությունը կայուն է: «Էներգետիկա» սեկտորից առաջացող արտանետումները շարունակաբար պահպանել են բացարձակ գերակշռությունը, իսկ ընդհանուր առմամբ, 1990թ. համեմատությամբ ՋԳ արտանետումները նվազել են մոտ 57%-ով՝ հիմնականում պայմանավորված «Էներգետիկա» սեկտորից արտանետումների կրճատումով: Այդ կրճատումը հիմանականում պայամանավորված է</w:t>
      </w:r>
      <w:r>
        <w:rPr>
          <w:lang w:val="hy-AM"/>
        </w:rPr>
        <w:t xml:space="preserve"> </w:t>
      </w:r>
      <w:r w:rsidRPr="00115506">
        <w:rPr>
          <w:lang w:val="hy-AM"/>
        </w:rPr>
        <w:t xml:space="preserve">տնտեսության կառուցվածքային փոփոխություններով, Էներգետիկ արտադրություններում, Տրանսպորտ և Բնակարանային ենթակատեգորիաներում էկոլոգիապես ավելի մաքուր վառելիքի՝ բնական գազի, լայնածավալ օգտագործմամբ (ածուխի և մազութի օգտագործումը բացակայում է), ատոմային էլեկտրակայանի վերաթողարկմամբ, 2000 թվականներից փոքր հիդրոէներգետիկայի աննախադեպ աճով և վերջին տարիներին արևային էներգետիկայի զարգացման բարենպաստ միտումներով:  </w:t>
      </w:r>
    </w:p>
    <w:p w14:paraId="712458DA" w14:textId="77777777" w:rsidR="00545EC8" w:rsidRPr="00115506" w:rsidRDefault="00545EC8" w:rsidP="0086137E">
      <w:pPr>
        <w:spacing w:after="0" w:line="276" w:lineRule="auto"/>
        <w:ind w:firstLine="0"/>
        <w:rPr>
          <w:lang w:val="hy-AM"/>
        </w:rPr>
      </w:pPr>
      <w:r w:rsidRPr="00115506">
        <w:rPr>
          <w:lang w:val="hy-AM"/>
        </w:rPr>
        <w:t>Բնապահպանական ռիսկերի կառավարման նպատակով հնարավոր տնտեսական և ֆիսկալ վնասների հաշվարկման համար դեռևս մշակված չեն սցենարների վերլուծության և սթրես-թեստերի մեթոդաբանություններ, ուստի ֆիսկալ ռիսկերի գնահատման շրջանակներում բնապահպանական ռիսկերին հնարավոր է դարձել  անդրադարձ կատարել միայն փաստերի (ստորև նշված) արձանագրման միջոցով:</w:t>
      </w:r>
    </w:p>
    <w:p w14:paraId="1A719025" w14:textId="77777777" w:rsidR="00545EC8" w:rsidRPr="00115506" w:rsidRDefault="00545EC8" w:rsidP="0086137E">
      <w:pPr>
        <w:spacing w:after="0" w:line="276" w:lineRule="auto"/>
        <w:ind w:firstLine="0"/>
        <w:rPr>
          <w:lang w:val="hy-AM"/>
        </w:rPr>
      </w:pPr>
      <w:r w:rsidRPr="00115506">
        <w:rPr>
          <w:lang w:val="hy-AM"/>
        </w:rPr>
        <w:t xml:space="preserve">ՀՀ շրջակա միջավայրի նախարարությունը (ՇՄՆ) 11.10.2019 </w:t>
      </w:r>
      <w:r w:rsidRPr="00DE3D98">
        <w:rPr>
          <w:lang w:val="hy-AM"/>
        </w:rPr>
        <w:t>N337-L հրամանով նույնականացրել է հնարավոր բնապահպանական պարտավորություններ ենթադրող 44 տեղամ</w:t>
      </w:r>
      <w:r>
        <w:rPr>
          <w:lang w:val="hy-AM"/>
        </w:rPr>
        <w:t>աս</w:t>
      </w:r>
      <w:r w:rsidRPr="00DE3D98">
        <w:rPr>
          <w:lang w:val="hy-AM"/>
        </w:rPr>
        <w:t>, որոնք հիմանականում հանքարդյունաբերական գործունեության արդյունք են համարվում</w:t>
      </w:r>
      <w:r>
        <w:rPr>
          <w:lang w:val="hy-AM"/>
        </w:rPr>
        <w:t>,</w:t>
      </w:r>
      <w:r w:rsidRPr="00DE3D98">
        <w:rPr>
          <w:lang w:val="hy-AM"/>
        </w:rPr>
        <w:t xml:space="preserve"> և</w:t>
      </w:r>
      <w:r w:rsidRPr="00115506">
        <w:rPr>
          <w:lang w:val="hy-AM"/>
        </w:rPr>
        <w:t xml:space="preserve"> 2023 թվականի ընթացքում վերականգնում պահանջող նոր տեղամասեր չեն արձանագրվել, հետևաբար</w:t>
      </w:r>
      <w:r>
        <w:rPr>
          <w:lang w:val="hy-AM"/>
        </w:rPr>
        <w:t>,</w:t>
      </w:r>
      <w:r w:rsidRPr="00115506">
        <w:rPr>
          <w:lang w:val="hy-AM"/>
        </w:rPr>
        <w:t xml:space="preserve"> 2019 թվականից ի վեր այդ տեղամասերի քանակը չի փոխվել: Շրջակա միջավայրի վրա բացասական ազդեցությունների նվազեցման նպատակով ՇՄՆ առանձնացրել է 10 փակված պոչամբարի և արտադրական լցակույտի տեղամասեր: 2023 թվականի ՀՀ պետական բյուջեով հատկացված 137.9 մլն ՀՀ դրամի շրջանակներում կազմվել են Փխրուտի (69.0</w:t>
      </w:r>
      <w:r>
        <w:rPr>
          <w:lang w:val="hy-AM"/>
        </w:rPr>
        <w:t xml:space="preserve"> </w:t>
      </w:r>
      <w:r w:rsidRPr="00115506">
        <w:rPr>
          <w:lang w:val="hy-AM"/>
        </w:rPr>
        <w:t>մլն.</w:t>
      </w:r>
      <w:r>
        <w:rPr>
          <w:lang w:val="hy-AM"/>
        </w:rPr>
        <w:t xml:space="preserve"> ՀՀ </w:t>
      </w:r>
      <w:r w:rsidRPr="00115506">
        <w:rPr>
          <w:lang w:val="hy-AM"/>
        </w:rPr>
        <w:t>դրամ) և Նազիկի (68.9 մլն.</w:t>
      </w:r>
      <w:r>
        <w:rPr>
          <w:lang w:val="hy-AM"/>
        </w:rPr>
        <w:t xml:space="preserve"> ՀՀ </w:t>
      </w:r>
      <w:r w:rsidRPr="00115506">
        <w:rPr>
          <w:lang w:val="hy-AM"/>
        </w:rPr>
        <w:t xml:space="preserve">դրամ) փակված պոչամբարների ռեկուլտիվացիայի նախագծանախահաշվային փաթեթները: Ռեկուլտիվացիայի աշխատանքների արժեքը կազմել է 925.0 մլն. ՀՀ դրամ, որից Փխրուտ փակված պոչամբարի ռեկուլտիվացիայի արժեքը 675.0 մլն. ՀՀ դրամ է, իսկ Նազիկ փակված պոչամբարինը՝ 250.0 մլն. ՀՀ դրամ: Քանի որ արդեն 2  տեղամասի ռեկուլտիվացիայի համար կազմված նախագծանախահաշվային փաստաթղթերով արժեքները գնահատվել են, ուստի ընդհանուր բոլոր առաջնահերթ տեղամասերի համար ծախսերի ընդհանուր գնահատականը կարող է տրվել, երբ յուրաքանչյուր տեղամասի համար կազմվեն նախագծանախահաշվային փաստաթղթերով գնահատված արժեքները: </w:t>
      </w:r>
    </w:p>
    <w:p w14:paraId="11B3931E" w14:textId="77777777" w:rsidR="00545EC8" w:rsidRPr="00DE3D98" w:rsidRDefault="00545EC8" w:rsidP="0086137E">
      <w:pPr>
        <w:spacing w:after="0" w:line="276" w:lineRule="auto"/>
        <w:ind w:firstLine="0"/>
        <w:rPr>
          <w:rFonts w:eastAsia="Times New Roman" w:cs="Calibri"/>
          <w:color w:val="000000"/>
          <w:lang w:val="hy-AM"/>
        </w:rPr>
      </w:pPr>
      <w:r w:rsidRPr="00115506">
        <w:rPr>
          <w:lang w:val="hy-AM"/>
        </w:rPr>
        <w:t xml:space="preserve">Հնարավոր ռիսկերի աղբյուր է </w:t>
      </w:r>
      <w:r w:rsidRPr="00DE3D98">
        <w:rPr>
          <w:lang w:val="hy-AM"/>
        </w:rPr>
        <w:t>հանդիսանում Նուբարաշենի ժամկետանց թունաքիմիկատների գերեզմանոցը (ՆԹԳ), որը կառուցվել է 1970թ.՝ արգելված և ժամկետանց թունաքիմիկատները մատակարարման շղթայից հեռացնելու նպատակով:</w:t>
      </w:r>
      <w:bookmarkStart w:id="301" w:name="RANGE!A73"/>
      <w:r w:rsidRPr="00DE3D98">
        <w:rPr>
          <w:rFonts w:eastAsia="Times New Roman" w:cs="Calibri"/>
          <w:color w:val="000000"/>
          <w:lang w:val="hy-AM"/>
        </w:rPr>
        <w:t xml:space="preserve"> Հնարավոր բնապահպանական ռիսկը պայմանավորված է տարածքում թաղված մաքուր թունաքիմիկատների և դրանց մետաբոլիտների տարալվացման կամ փոշու տեսքով օդում տարածման հետ: Ռիսկի կառավարման նպատակով ՇՄՆ 2023թ. ՀՀ պետական բյուջեում «Նուբարաշենի գերեզմանոցի մաքրման և թափոնի ոչնչացման աշխատանքների» 1032 տոննայի  համար ամփոփ հաշվարկ է ներկայացրել՝ առանց այրման </w:t>
      </w:r>
      <w:bookmarkEnd w:id="301"/>
      <w:r w:rsidRPr="00DE3D98">
        <w:rPr>
          <w:rFonts w:eastAsia="Times New Roman" w:cs="Calibri"/>
          <w:color w:val="000000"/>
          <w:lang w:val="hy-AM"/>
        </w:rPr>
        <w:t>1082234.4 հազար ՀՀ դրամի չափով, որի այրման համար գումարը նախատեսվել է 2024թ. պետական բյուջեով:</w:t>
      </w:r>
    </w:p>
    <w:p w14:paraId="311F97CD" w14:textId="77777777" w:rsidR="00545EC8" w:rsidRPr="00DE3D98" w:rsidRDefault="00545EC8" w:rsidP="0086137E">
      <w:pPr>
        <w:spacing w:after="0" w:line="276" w:lineRule="auto"/>
        <w:ind w:firstLine="0"/>
        <w:rPr>
          <w:rFonts w:eastAsia="Times New Roman" w:cs="Calibri"/>
          <w:color w:val="000000"/>
          <w:lang w:val="hy-AM"/>
        </w:rPr>
      </w:pPr>
      <w:r w:rsidRPr="00DE3D98">
        <w:rPr>
          <w:rFonts w:eastAsia="Times New Roman" w:cs="Calibri"/>
          <w:color w:val="000000"/>
          <w:lang w:val="hy-AM"/>
        </w:rPr>
        <w:t>Բնապահպանական ծախսերի վերականգման նպատակով անհրաժեշտ է դիտարկել նաև Սևանա լճից բխող հնարավոր բնապահպանական ռիսկերը.</w:t>
      </w:r>
    </w:p>
    <w:p w14:paraId="240F6C44" w14:textId="77777777" w:rsidR="00545EC8" w:rsidRPr="00115506" w:rsidRDefault="00545EC8" w:rsidP="0086137E">
      <w:pPr>
        <w:spacing w:after="0" w:line="276" w:lineRule="auto"/>
        <w:ind w:firstLine="0"/>
        <w:rPr>
          <w:rFonts w:eastAsia="Times New Roman" w:cs="Calibri"/>
          <w:color w:val="000000"/>
          <w:lang w:val="hy-AM"/>
        </w:rPr>
      </w:pPr>
      <w:r w:rsidRPr="00115506">
        <w:rPr>
          <w:rFonts w:eastAsia="Times New Roman" w:cs="Calibri"/>
          <w:color w:val="000000"/>
          <w:lang w:val="hy-AM"/>
        </w:rPr>
        <w:t>Սևանա լճի ջրածածկ անտառտնկարկների մաքրման աշխատանքներ, որոնք մեկնարկել են 2005 թվականից և մինչ օրս իրականացվել է 24 հա ջրածածկ անտառային տարածքի մաքրում: 2023 թ. այդ աշխատանքների իրականացման համար պետական բյուջեով նախատեսվել է 118,163.2 հազար ՀՀ դրամ, որը չի իրականացվել՝ մրցույթը չկայացած լինելու պատճառով և հատկացված գումարն ուղղվել է ՀՀ պետական բյուջե:</w:t>
      </w:r>
    </w:p>
    <w:p w14:paraId="7EB9298B" w14:textId="77777777" w:rsidR="00545EC8" w:rsidRPr="00115506" w:rsidRDefault="00545EC8" w:rsidP="0086137E">
      <w:pPr>
        <w:spacing w:after="0" w:line="276" w:lineRule="auto"/>
        <w:ind w:firstLine="0"/>
        <w:rPr>
          <w:rFonts w:eastAsia="Times New Roman" w:cs="Calibri"/>
          <w:color w:val="000000"/>
          <w:lang w:val="hy-AM"/>
        </w:rPr>
      </w:pPr>
      <w:r w:rsidRPr="00115506">
        <w:rPr>
          <w:rFonts w:eastAsia="Times New Roman" w:cs="Calibri"/>
          <w:color w:val="000000"/>
          <w:lang w:val="hy-AM"/>
        </w:rPr>
        <w:t>2023 թվականին Սևանա լճի առափնյա հատվածներում, ծովի մակարդակից 1901,5 մետր բացարձակ նիշից ցածր, ապօրինի կառուցված և քանդման ենթակա շենք-շինությունների ապամոնտաժման (քանդման) աշխատանքների նախագծանախահաշվային փաստաթղթերի ձեռք բերման նպատակով հատկացվել է 7,194.0 հազար  ՀՀ դրամ, որն ամբողջապես ծախսվել է։</w:t>
      </w:r>
    </w:p>
    <w:p w14:paraId="207BA638" w14:textId="77777777" w:rsidR="00545EC8" w:rsidRDefault="00545EC8" w:rsidP="0086137E">
      <w:pPr>
        <w:spacing w:after="0" w:line="276" w:lineRule="auto"/>
        <w:ind w:firstLine="0"/>
        <w:rPr>
          <w:lang w:val="hy-AM"/>
        </w:rPr>
      </w:pPr>
      <w:r w:rsidRPr="00115506">
        <w:rPr>
          <w:rFonts w:eastAsia="Times New Roman" w:cs="Calibri"/>
          <w:color w:val="000000"/>
          <w:lang w:val="hy-AM"/>
        </w:rPr>
        <w:t xml:space="preserve">Հետխորհրդային ճգնաժամային տարիների ընթացքում մասշտաբային ծառահատումների հետևանքով </w:t>
      </w:r>
      <w:r w:rsidRPr="00DE3D98">
        <w:rPr>
          <w:rFonts w:eastAsia="Times New Roman" w:cs="Calibri"/>
          <w:color w:val="000000"/>
          <w:lang w:val="hy-AM"/>
        </w:rPr>
        <w:t>անտառային տարածքների կրճատման փոխհատուցման և սողանքային ռիսկերի նվազեցման նպատակով 2013 թվականից  ՀՀ-ն իրականացվում</w:t>
      </w:r>
      <w:r w:rsidRPr="00115506">
        <w:rPr>
          <w:rFonts w:eastAsia="Times New Roman" w:cs="Calibri"/>
          <w:color w:val="000000"/>
          <w:lang w:val="hy-AM"/>
        </w:rPr>
        <w:t xml:space="preserve"> է անտառապատման և անտառավերականգման աշխատանքներ: </w:t>
      </w:r>
      <w:r w:rsidRPr="00115506">
        <w:rPr>
          <w:lang w:val="hy-AM"/>
        </w:rPr>
        <w:t xml:space="preserve">Անտառվերականգնման և անտառապատման աշխատանքների շրջանակներում 2023 թվականին իրականացվել է 436 հա անտառվերականգնման ու անտառապատման աշխատանքներ՝ որից 226 հա պետական բյուջեի միջոցներով, իսկ 210 հա արտաբյուջետային միջոցների հաշվին: Աշխատանքների իրականացման համար 2023թ. պետական բյուջեով պլանավորվել է ծախսել 413,011.7 հազար ՀՀ դրամ, սակայն հատկացվող գումարը ճշգրտվել է 665,569.7 հազար ՀՀ դրամի չափով, որն ամբողջապես հաշվետու տարում ծախսվել է: </w:t>
      </w:r>
    </w:p>
    <w:p w14:paraId="42A47B66" w14:textId="77777777" w:rsidR="00545EC8" w:rsidRDefault="00545EC8" w:rsidP="00545EC8">
      <w:pPr>
        <w:spacing w:after="0" w:line="276" w:lineRule="auto"/>
        <w:rPr>
          <w:lang w:val="hy-AM"/>
        </w:rPr>
      </w:pPr>
    </w:p>
    <w:p w14:paraId="3B1ED5B7" w14:textId="77777777" w:rsidR="00545EC8" w:rsidRPr="00461381" w:rsidRDefault="00545EC8" w:rsidP="00461381">
      <w:pPr>
        <w:tabs>
          <w:tab w:val="left" w:pos="0"/>
        </w:tabs>
        <w:spacing w:before="120" w:after="0" w:line="276" w:lineRule="auto"/>
        <w:ind w:firstLine="0"/>
        <w:rPr>
          <w:b/>
          <w:color w:val="44546A" w:themeColor="text2"/>
          <w:sz w:val="24"/>
          <w:szCs w:val="24"/>
          <w:lang w:val="hy-AM" w:eastAsia="ru-RU"/>
        </w:rPr>
      </w:pPr>
      <w:bookmarkStart w:id="302" w:name="_Toc170906572"/>
      <w:r w:rsidRPr="00461381">
        <w:rPr>
          <w:b/>
          <w:color w:val="44546A" w:themeColor="text2"/>
          <w:sz w:val="24"/>
          <w:szCs w:val="24"/>
          <w:lang w:val="hy-AM" w:eastAsia="ru-RU"/>
        </w:rPr>
        <w:t>3.3</w:t>
      </w:r>
      <w:r w:rsidRPr="00461381">
        <w:rPr>
          <w:rFonts w:ascii="Cambria Math" w:hAnsi="Cambria Math" w:cs="Cambria Math"/>
          <w:b/>
          <w:color w:val="44546A" w:themeColor="text2"/>
          <w:sz w:val="24"/>
          <w:szCs w:val="24"/>
          <w:lang w:val="hy-AM" w:eastAsia="ru-RU"/>
        </w:rPr>
        <w:t>․</w:t>
      </w:r>
      <w:r w:rsidRPr="00461381">
        <w:rPr>
          <w:b/>
          <w:color w:val="44546A" w:themeColor="text2"/>
          <w:sz w:val="24"/>
          <w:szCs w:val="24"/>
          <w:lang w:val="hy-AM" w:eastAsia="ru-RU"/>
        </w:rPr>
        <w:t>7 ՊԵՏՈՒԹՅԱՆ ԴԵՄ ԻՐԱԿԱՆԱՑՎՈՂ ԴԱՏԱԿԱՆ ՎԱՐՈՒՅԹՆԵՐԻՑ ԾԱԳՈՂ ՀԱՐԿԱԲՅՈՒՋԵՏԱՅԻՆ ՌԻՍԿԵՐ</w:t>
      </w:r>
      <w:bookmarkEnd w:id="302"/>
    </w:p>
    <w:p w14:paraId="28F9A945" w14:textId="77777777" w:rsidR="00545EC8" w:rsidRPr="00115506" w:rsidRDefault="00545EC8" w:rsidP="0086137E">
      <w:pPr>
        <w:spacing w:after="0" w:line="276" w:lineRule="auto"/>
        <w:ind w:firstLine="0"/>
        <w:rPr>
          <w:rFonts w:eastAsia="Times New Roman" w:cs="Times New Roman"/>
          <w:lang w:val="hy-AM"/>
        </w:rPr>
      </w:pPr>
      <w:r w:rsidRPr="00115506">
        <w:rPr>
          <w:rFonts w:eastAsia="Times New Roman" w:cs="Times New Roman"/>
          <w:lang w:val="hy-AM"/>
        </w:rPr>
        <w:t xml:space="preserve">2024 թվականի մարտի 31-ի դրությամբ </w:t>
      </w:r>
      <w:r w:rsidRPr="00115506">
        <w:rPr>
          <w:rFonts w:eastAsia="Times New Roman" w:cs="Times New Roman"/>
          <w:b/>
          <w:lang w:val="hy-AM"/>
        </w:rPr>
        <w:t>ընդդեմ Հայաստանի Հանրապետության</w:t>
      </w:r>
      <w:r w:rsidRPr="00115506">
        <w:rPr>
          <w:rFonts w:eastAsia="Times New Roman" w:cs="Times New Roman"/>
          <w:lang w:val="hy-AM"/>
        </w:rPr>
        <w:t xml:space="preserve"> Մարդու իրավունքների եվրոպական դատարանը կոմունիկացրել է 428 գործ (ընթացքում գտնվող գործեր, որոնցով առկա չէ վերջնական դատական ակտ)։ 2023 թվականի ընթացքում Մարդու իրավունքների եվրոպական դատարանը 24 գործով (5 որոշում և 19 վճիռ) դիմումատուներին վճարել է 562 հազար եվրոյին համարժեք ՀՀ դրամ՝ որպես արդարացի փոխհատուցում։ 2024 թվականի առաջին եռամսյակի ընթացքում ընդհանուր թվով Եվրոպական դատարանի 5 վճռով կատարվել է արդարացի փոխհատուցման գումարների վճարում, որը կազմել է 99,400 եվրոյին համարժեք ՀՀ դրամ:</w:t>
      </w:r>
    </w:p>
    <w:p w14:paraId="0CDF831A" w14:textId="77777777" w:rsidR="00545EC8" w:rsidRPr="00115506" w:rsidRDefault="00545EC8" w:rsidP="0086137E">
      <w:pPr>
        <w:spacing w:after="0" w:line="276" w:lineRule="auto"/>
        <w:ind w:firstLine="0"/>
        <w:rPr>
          <w:rFonts w:eastAsia="Times New Roman" w:cs="Times New Roman"/>
          <w:lang w:val="hy-AM"/>
        </w:rPr>
      </w:pPr>
      <w:r w:rsidRPr="00115506">
        <w:rPr>
          <w:rFonts w:eastAsia="Times New Roman" w:cs="Times New Roman"/>
          <w:lang w:val="hy-AM"/>
        </w:rPr>
        <w:t>Անհրաժեշտ է նշել, որ դիմումատուների կողմից պահանջված և Մարդու իրավունքների եվրոպական դատարանի կողմից հատկացված արդարացի փոխհատուցման գումարների միջև առկա է մեծ տարբերություն (</w:t>
      </w:r>
      <w:r>
        <w:rPr>
          <w:rFonts w:eastAsia="Times New Roman" w:cs="Times New Roman"/>
          <w:lang w:val="hy-AM"/>
        </w:rPr>
        <w:t>տե΄ս</w:t>
      </w:r>
      <w:r w:rsidRPr="00115506">
        <w:rPr>
          <w:rFonts w:eastAsia="Times New Roman" w:cs="Times New Roman"/>
          <w:lang w:val="hy-AM"/>
        </w:rPr>
        <w:t xml:space="preserve"> գծապատկեր 22): </w:t>
      </w:r>
    </w:p>
    <w:p w14:paraId="75B53769" w14:textId="77777777" w:rsidR="00545EC8" w:rsidRPr="00115506" w:rsidRDefault="00545EC8" w:rsidP="00545EC8">
      <w:pPr>
        <w:spacing w:after="0" w:line="276" w:lineRule="auto"/>
        <w:rPr>
          <w:rFonts w:eastAsia="Times New Roman" w:cs="Times New Roman"/>
          <w:b/>
          <w:i/>
          <w:lang w:val="hy-AM"/>
        </w:rPr>
      </w:pPr>
    </w:p>
    <w:p w14:paraId="441BB579" w14:textId="77777777" w:rsidR="00545EC8" w:rsidRPr="004171E8" w:rsidRDefault="00545EC8" w:rsidP="00545EC8">
      <w:pPr>
        <w:ind w:firstLine="0"/>
        <w:rPr>
          <w:rFonts w:eastAsia="Times New Roman" w:cs="Times New Roman"/>
          <w:b/>
          <w:lang w:val="hy-AM"/>
        </w:rPr>
      </w:pPr>
      <w:r w:rsidRPr="008771A1">
        <w:rPr>
          <w:rFonts w:eastAsia="Times New Roman" w:cs="Times New Roman"/>
          <w:b/>
          <w:i/>
          <w:lang w:val="hy-AM"/>
        </w:rPr>
        <w:t>Գծապատկեր 22.</w:t>
      </w:r>
      <w:r w:rsidRPr="008771A1">
        <w:rPr>
          <w:rFonts w:eastAsia="Times New Roman" w:cs="Times New Roman"/>
          <w:i/>
          <w:lang w:val="hy-AM"/>
        </w:rPr>
        <w:t xml:space="preserve"> Դիմումատուների կողմից պահանջված և Մարդու իրավունքների եվրոպական դատարանի կողմից հատկացված արդարացի փոխհատուցման գումարը</w:t>
      </w:r>
      <w:r>
        <w:rPr>
          <w:rFonts w:eastAsia="Times New Roman" w:cs="Times New Roman"/>
          <w:i/>
          <w:lang w:val="hy-AM"/>
        </w:rPr>
        <w:t xml:space="preserve"> </w:t>
      </w:r>
      <w:r w:rsidRPr="008771A1">
        <w:rPr>
          <w:rFonts w:eastAsia="Times New Roman" w:cs="Times New Roman"/>
          <w:i/>
          <w:lang w:val="hy-AM"/>
        </w:rPr>
        <w:t>(հազար եվրո)</w:t>
      </w:r>
    </w:p>
    <w:p w14:paraId="760DC662" w14:textId="77777777" w:rsidR="00545EC8" w:rsidRDefault="00545EC8" w:rsidP="00545EC8">
      <w:pPr>
        <w:spacing w:after="0" w:line="240" w:lineRule="auto"/>
        <w:jc w:val="center"/>
        <w:rPr>
          <w:rFonts w:eastAsia="Times New Roman" w:cs="Times New Roman"/>
          <w:sz w:val="24"/>
          <w:szCs w:val="24"/>
          <w:lang w:val="hy-AM"/>
        </w:rPr>
      </w:pPr>
      <w:r>
        <w:rPr>
          <w:noProof/>
        </w:rPr>
        <w:drawing>
          <wp:inline distT="0" distB="0" distL="0" distR="0" wp14:anchorId="3C4E9A92" wp14:editId="2E8CB858">
            <wp:extent cx="4454956" cy="2516428"/>
            <wp:effectExtent l="0" t="0" r="3175" b="17780"/>
            <wp:docPr id="1545876446" name="Chart 15458764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9809F3B" w14:textId="77777777" w:rsidR="00545EC8" w:rsidRDefault="00545EC8" w:rsidP="00545EC8">
      <w:pPr>
        <w:spacing w:after="0" w:line="240" w:lineRule="auto"/>
        <w:rPr>
          <w:rFonts w:eastAsia="Times New Roman" w:cs="Times New Roman"/>
          <w:sz w:val="24"/>
          <w:szCs w:val="24"/>
          <w:lang w:val="hy-AM"/>
        </w:rPr>
      </w:pPr>
    </w:p>
    <w:p w14:paraId="26695734" w14:textId="77777777" w:rsidR="00545EC8" w:rsidRPr="00115506" w:rsidRDefault="00545EC8" w:rsidP="006C08A2">
      <w:pPr>
        <w:spacing w:after="0" w:line="276" w:lineRule="auto"/>
        <w:ind w:firstLine="0"/>
        <w:rPr>
          <w:rFonts w:eastAsia="Times New Roman" w:cs="Times New Roman"/>
          <w:lang w:val="hy-AM"/>
        </w:rPr>
      </w:pPr>
      <w:r w:rsidRPr="00115506">
        <w:rPr>
          <w:rFonts w:eastAsia="Times New Roman" w:cs="Times New Roman"/>
          <w:lang w:val="hy-AM"/>
        </w:rPr>
        <w:t xml:space="preserve">ՀՀ մասնակցությամբ 2024 թվականի մարտի 31-ի դրությամբ առկա է 7 միջազգային արբիտրաժային/դատական գործ: Հարկ է նշել, որ </w:t>
      </w:r>
      <w:r w:rsidRPr="00115506">
        <w:rPr>
          <w:rFonts w:eastAsia="Times New Roman" w:cs="Sylfaen"/>
          <w:color w:val="000000"/>
          <w:lang w:val="hy-AM"/>
        </w:rPr>
        <w:t>2023-2024</w:t>
      </w:r>
      <w:r w:rsidRPr="00115506">
        <w:rPr>
          <w:rFonts w:eastAsia="Times New Roman" w:cs="Times New Roman"/>
          <w:color w:val="000000"/>
          <w:lang w:val="hy-AM"/>
        </w:rPr>
        <w:t>թ</w:t>
      </w:r>
      <w:r w:rsidRPr="00115506">
        <w:rPr>
          <w:rFonts w:eastAsia="Times New Roman" w:cs="Sylfaen"/>
          <w:color w:val="000000"/>
          <w:lang w:val="hy-AM"/>
        </w:rPr>
        <w:t xml:space="preserve">. </w:t>
      </w:r>
      <w:r w:rsidRPr="00115506">
        <w:rPr>
          <w:rFonts w:eastAsia="Times New Roman" w:cs="Times New Roman"/>
          <w:color w:val="000000"/>
          <w:lang w:val="hy-AM"/>
        </w:rPr>
        <w:t>մարտի</w:t>
      </w:r>
      <w:r w:rsidRPr="00115506">
        <w:rPr>
          <w:rFonts w:eastAsia="Times New Roman" w:cs="Sylfaen"/>
          <w:color w:val="000000"/>
          <w:lang w:val="hy-AM"/>
        </w:rPr>
        <w:t xml:space="preserve"> 31-</w:t>
      </w:r>
      <w:r w:rsidRPr="00115506">
        <w:rPr>
          <w:rFonts w:eastAsia="Times New Roman" w:cs="Times New Roman"/>
          <w:color w:val="000000"/>
          <w:lang w:val="hy-AM"/>
        </w:rPr>
        <w:t>ն</w:t>
      </w:r>
      <w:r w:rsidRPr="00115506">
        <w:rPr>
          <w:rFonts w:eastAsia="Times New Roman" w:cs="Sylfaen"/>
          <w:color w:val="000000"/>
          <w:lang w:val="hy-AM"/>
        </w:rPr>
        <w:t xml:space="preserve"> </w:t>
      </w:r>
      <w:r w:rsidRPr="00115506">
        <w:rPr>
          <w:rFonts w:eastAsia="Times New Roman" w:cs="Times New Roman"/>
          <w:color w:val="000000"/>
          <w:lang w:val="hy-AM"/>
        </w:rPr>
        <w:t>ընդգրկող</w:t>
      </w:r>
      <w:r w:rsidRPr="00115506">
        <w:rPr>
          <w:rFonts w:eastAsia="Times New Roman" w:cs="Sylfaen"/>
          <w:color w:val="000000"/>
          <w:lang w:val="hy-AM"/>
        </w:rPr>
        <w:t xml:space="preserve"> </w:t>
      </w:r>
      <w:r w:rsidRPr="00115506">
        <w:rPr>
          <w:rFonts w:eastAsia="Times New Roman" w:cs="Times New Roman"/>
          <w:color w:val="000000"/>
          <w:lang w:val="hy-AM"/>
        </w:rPr>
        <w:t>ժամանակահատվածում</w:t>
      </w:r>
      <w:r w:rsidRPr="00115506">
        <w:rPr>
          <w:rFonts w:eastAsia="Times New Roman" w:cs="Sylfaen"/>
          <w:color w:val="000000"/>
          <w:lang w:val="hy-AM"/>
        </w:rPr>
        <w:t xml:space="preserve"> </w:t>
      </w:r>
      <w:r w:rsidRPr="00115506">
        <w:rPr>
          <w:rFonts w:eastAsia="Times New Roman" w:cs="Times New Roman"/>
          <w:color w:val="000000"/>
          <w:lang w:val="hy-AM"/>
        </w:rPr>
        <w:t>հայցվորներին</w:t>
      </w:r>
      <w:r w:rsidRPr="00115506">
        <w:rPr>
          <w:rFonts w:eastAsia="Times New Roman" w:cs="Sylfaen"/>
          <w:color w:val="000000"/>
          <w:lang w:val="hy-AM"/>
        </w:rPr>
        <w:t xml:space="preserve"> </w:t>
      </w:r>
      <w:r w:rsidRPr="00115506">
        <w:rPr>
          <w:rFonts w:eastAsia="Times New Roman" w:cs="Times New Roman"/>
          <w:color w:val="000000"/>
          <w:lang w:val="hy-AM"/>
        </w:rPr>
        <w:t>գումարներ</w:t>
      </w:r>
      <w:r w:rsidRPr="00115506">
        <w:rPr>
          <w:rFonts w:eastAsia="Times New Roman" w:cs="Sylfaen"/>
          <w:color w:val="000000"/>
          <w:lang w:val="hy-AM"/>
        </w:rPr>
        <w:t xml:space="preserve"> </w:t>
      </w:r>
      <w:r w:rsidRPr="00115506">
        <w:rPr>
          <w:rFonts w:eastAsia="Times New Roman" w:cs="Times New Roman"/>
          <w:color w:val="000000"/>
          <w:lang w:val="hy-AM"/>
        </w:rPr>
        <w:t>չեն</w:t>
      </w:r>
      <w:r w:rsidRPr="00115506">
        <w:rPr>
          <w:rFonts w:eastAsia="Times New Roman" w:cs="Sylfaen"/>
          <w:color w:val="000000"/>
          <w:lang w:val="hy-AM"/>
        </w:rPr>
        <w:t xml:space="preserve"> </w:t>
      </w:r>
      <w:r w:rsidRPr="00115506">
        <w:rPr>
          <w:rFonts w:eastAsia="Times New Roman" w:cs="Times New Roman"/>
          <w:color w:val="000000"/>
          <w:lang w:val="hy-AM"/>
        </w:rPr>
        <w:t>վճարվել</w:t>
      </w:r>
      <w:r w:rsidRPr="00115506">
        <w:rPr>
          <w:rFonts w:eastAsia="Times New Roman" w:cs="Sylfaen"/>
          <w:color w:val="000000"/>
          <w:lang w:val="hy-AM"/>
        </w:rPr>
        <w:t xml:space="preserve">: </w:t>
      </w:r>
      <w:r w:rsidRPr="00115506">
        <w:rPr>
          <w:rFonts w:eastAsia="Times New Roman" w:cs="Times New Roman"/>
          <w:color w:val="000000"/>
          <w:lang w:val="hy-AM"/>
        </w:rPr>
        <w:t>Միջպետական</w:t>
      </w:r>
      <w:r w:rsidRPr="00115506">
        <w:rPr>
          <w:rFonts w:eastAsia="Times New Roman" w:cs="Sylfaen"/>
          <w:color w:val="000000"/>
          <w:lang w:val="hy-AM"/>
        </w:rPr>
        <w:t xml:space="preserve"> </w:t>
      </w:r>
      <w:r w:rsidRPr="00115506">
        <w:rPr>
          <w:rFonts w:eastAsia="Times New Roman" w:cs="Times New Roman"/>
          <w:color w:val="000000"/>
          <w:lang w:val="hy-AM"/>
        </w:rPr>
        <w:t>գանգատների</w:t>
      </w:r>
      <w:r w:rsidRPr="00115506">
        <w:rPr>
          <w:rFonts w:eastAsia="Times New Roman" w:cs="Sylfaen"/>
          <w:color w:val="000000"/>
          <w:lang w:val="hy-AM"/>
        </w:rPr>
        <w:t xml:space="preserve"> </w:t>
      </w:r>
      <w:r w:rsidRPr="00115506">
        <w:rPr>
          <w:rFonts w:eastAsia="Times New Roman" w:cs="Times New Roman"/>
          <w:color w:val="000000"/>
          <w:lang w:val="hy-AM"/>
        </w:rPr>
        <w:t>առնչությամբ</w:t>
      </w:r>
      <w:r w:rsidRPr="00115506">
        <w:rPr>
          <w:rFonts w:eastAsia="Times New Roman" w:cs="Sylfaen"/>
          <w:color w:val="000000"/>
          <w:lang w:val="hy-AM"/>
        </w:rPr>
        <w:t xml:space="preserve"> </w:t>
      </w:r>
      <w:r w:rsidRPr="00115506">
        <w:rPr>
          <w:rFonts w:eastAsia="Times New Roman" w:cs="Times New Roman"/>
          <w:color w:val="000000"/>
          <w:lang w:val="hy-AM"/>
        </w:rPr>
        <w:t>հարկ</w:t>
      </w:r>
      <w:r w:rsidRPr="00115506">
        <w:rPr>
          <w:rFonts w:eastAsia="Times New Roman" w:cs="Sylfaen"/>
          <w:color w:val="000000"/>
          <w:lang w:val="hy-AM"/>
        </w:rPr>
        <w:t xml:space="preserve"> </w:t>
      </w:r>
      <w:r w:rsidRPr="00115506">
        <w:rPr>
          <w:rFonts w:eastAsia="Times New Roman" w:cs="Times New Roman"/>
          <w:color w:val="000000"/>
          <w:lang w:val="hy-AM"/>
        </w:rPr>
        <w:t>է</w:t>
      </w:r>
      <w:r w:rsidRPr="00115506">
        <w:rPr>
          <w:rFonts w:eastAsia="Times New Roman" w:cs="Sylfaen"/>
          <w:color w:val="000000"/>
          <w:lang w:val="hy-AM"/>
        </w:rPr>
        <w:t xml:space="preserve"> </w:t>
      </w:r>
      <w:r w:rsidRPr="00115506">
        <w:rPr>
          <w:rFonts w:eastAsia="Times New Roman" w:cs="Times New Roman"/>
          <w:color w:val="000000"/>
          <w:lang w:val="hy-AM"/>
        </w:rPr>
        <w:t>նկատի</w:t>
      </w:r>
      <w:r w:rsidRPr="00115506">
        <w:rPr>
          <w:rFonts w:eastAsia="Times New Roman" w:cs="Sylfaen"/>
          <w:color w:val="000000"/>
          <w:lang w:val="hy-AM"/>
        </w:rPr>
        <w:t xml:space="preserve"> </w:t>
      </w:r>
      <w:r w:rsidRPr="00115506">
        <w:rPr>
          <w:rFonts w:eastAsia="Times New Roman" w:cs="Times New Roman"/>
          <w:color w:val="000000"/>
          <w:lang w:val="hy-AM"/>
        </w:rPr>
        <w:t>ունենալ</w:t>
      </w:r>
      <w:r w:rsidRPr="00115506">
        <w:rPr>
          <w:rFonts w:eastAsia="Times New Roman" w:cs="Sylfaen"/>
          <w:color w:val="000000"/>
          <w:lang w:val="hy-AM"/>
        </w:rPr>
        <w:t xml:space="preserve">, </w:t>
      </w:r>
      <w:r w:rsidRPr="00115506">
        <w:rPr>
          <w:rFonts w:eastAsia="Times New Roman" w:cs="Times New Roman"/>
          <w:color w:val="000000"/>
          <w:lang w:val="hy-AM"/>
        </w:rPr>
        <w:t>որ</w:t>
      </w:r>
      <w:r w:rsidRPr="00115506">
        <w:rPr>
          <w:rFonts w:eastAsia="Times New Roman" w:cs="Sylfaen"/>
          <w:color w:val="000000"/>
          <w:lang w:val="hy-AM"/>
        </w:rPr>
        <w:t xml:space="preserve"> </w:t>
      </w:r>
      <w:r w:rsidRPr="00115506">
        <w:rPr>
          <w:rFonts w:eastAsia="Times New Roman" w:cs="Times New Roman"/>
          <w:color w:val="000000"/>
          <w:lang w:val="hy-AM"/>
        </w:rPr>
        <w:t>ներկայումս</w:t>
      </w:r>
      <w:r w:rsidRPr="00115506">
        <w:rPr>
          <w:rFonts w:eastAsia="Times New Roman" w:cs="Sylfaen"/>
          <w:color w:val="000000"/>
          <w:lang w:val="hy-AM"/>
        </w:rPr>
        <w:t xml:space="preserve"> </w:t>
      </w:r>
      <w:r w:rsidRPr="00115506">
        <w:rPr>
          <w:rFonts w:eastAsia="Times New Roman" w:cs="Times New Roman"/>
          <w:color w:val="000000"/>
          <w:lang w:val="hy-AM"/>
        </w:rPr>
        <w:t>ընդդեմ</w:t>
      </w:r>
      <w:r w:rsidRPr="00115506">
        <w:rPr>
          <w:rFonts w:eastAsia="Times New Roman" w:cs="Sylfaen"/>
          <w:color w:val="000000"/>
          <w:lang w:val="hy-AM"/>
        </w:rPr>
        <w:t xml:space="preserve"> </w:t>
      </w:r>
      <w:r w:rsidRPr="00115506">
        <w:rPr>
          <w:rFonts w:eastAsia="Times New Roman" w:cs="Times New Roman"/>
          <w:color w:val="000000"/>
          <w:lang w:val="hy-AM"/>
        </w:rPr>
        <w:t>Հայաստանի</w:t>
      </w:r>
      <w:r w:rsidRPr="00115506">
        <w:rPr>
          <w:rFonts w:eastAsia="Times New Roman" w:cs="Sylfaen"/>
          <w:color w:val="000000"/>
          <w:lang w:val="hy-AM"/>
        </w:rPr>
        <w:t xml:space="preserve"> </w:t>
      </w:r>
      <w:r w:rsidRPr="00115506">
        <w:rPr>
          <w:rFonts w:eastAsia="Times New Roman" w:cs="Times New Roman"/>
          <w:color w:val="000000"/>
          <w:lang w:val="hy-AM"/>
        </w:rPr>
        <w:t>Հանրապետության</w:t>
      </w:r>
      <w:r w:rsidRPr="00115506">
        <w:rPr>
          <w:rFonts w:eastAsia="Times New Roman" w:cs="Sylfaen"/>
          <w:color w:val="000000"/>
          <w:lang w:val="hy-AM"/>
        </w:rPr>
        <w:t xml:space="preserve"> </w:t>
      </w:r>
      <w:r w:rsidRPr="00115506">
        <w:rPr>
          <w:rFonts w:eastAsia="Times New Roman" w:cs="Times New Roman"/>
          <w:color w:val="000000"/>
          <w:lang w:val="hy-AM"/>
        </w:rPr>
        <w:t>ընթանում</w:t>
      </w:r>
      <w:r w:rsidRPr="00115506">
        <w:rPr>
          <w:rFonts w:eastAsia="Times New Roman" w:cs="Sylfaen"/>
          <w:color w:val="000000"/>
          <w:lang w:val="hy-AM"/>
        </w:rPr>
        <w:t xml:space="preserve"> </w:t>
      </w:r>
      <w:r w:rsidRPr="00115506">
        <w:rPr>
          <w:rFonts w:eastAsia="Times New Roman" w:cs="Times New Roman"/>
          <w:color w:val="000000"/>
          <w:lang w:val="hy-AM"/>
        </w:rPr>
        <w:t>է</w:t>
      </w:r>
      <w:r w:rsidRPr="00115506">
        <w:rPr>
          <w:rFonts w:eastAsia="Times New Roman" w:cs="Sylfaen"/>
          <w:color w:val="000000"/>
          <w:lang w:val="hy-AM"/>
        </w:rPr>
        <w:t xml:space="preserve"> </w:t>
      </w:r>
      <w:r w:rsidRPr="00115506">
        <w:rPr>
          <w:rFonts w:eastAsia="Times New Roman" w:cs="Times New Roman"/>
          <w:color w:val="000000"/>
          <w:lang w:val="hy-AM"/>
        </w:rPr>
        <w:t>թվով</w:t>
      </w:r>
      <w:r w:rsidRPr="00115506">
        <w:rPr>
          <w:rFonts w:eastAsia="Times New Roman" w:cs="Sylfaen"/>
          <w:color w:val="000000"/>
          <w:lang w:val="hy-AM"/>
        </w:rPr>
        <w:t xml:space="preserve"> 5 </w:t>
      </w:r>
      <w:r w:rsidRPr="00115506">
        <w:rPr>
          <w:rFonts w:eastAsia="Times New Roman" w:cs="Times New Roman"/>
          <w:color w:val="000000"/>
          <w:lang w:val="hy-AM"/>
        </w:rPr>
        <w:t>միջազգային</w:t>
      </w:r>
      <w:r w:rsidRPr="00115506">
        <w:rPr>
          <w:rFonts w:eastAsia="Times New Roman" w:cs="Sylfaen"/>
          <w:color w:val="000000"/>
          <w:lang w:val="hy-AM"/>
        </w:rPr>
        <w:t xml:space="preserve"> </w:t>
      </w:r>
      <w:r w:rsidRPr="00115506">
        <w:rPr>
          <w:rFonts w:eastAsia="Times New Roman" w:cs="Times New Roman"/>
          <w:color w:val="000000"/>
          <w:lang w:val="hy-AM"/>
        </w:rPr>
        <w:t>դատական</w:t>
      </w:r>
      <w:r w:rsidRPr="00115506">
        <w:rPr>
          <w:rFonts w:eastAsia="Times New Roman" w:cs="Sylfaen"/>
          <w:color w:val="000000"/>
          <w:lang w:val="hy-AM"/>
        </w:rPr>
        <w:t>/</w:t>
      </w:r>
      <w:r w:rsidRPr="00115506">
        <w:rPr>
          <w:rFonts w:eastAsia="Times New Roman" w:cs="Times New Roman"/>
          <w:color w:val="000000"/>
          <w:lang w:val="hy-AM"/>
        </w:rPr>
        <w:t>արբիտրաժային</w:t>
      </w:r>
      <w:r w:rsidRPr="00115506">
        <w:rPr>
          <w:rFonts w:eastAsia="Times New Roman" w:cs="Sylfaen"/>
          <w:color w:val="000000"/>
          <w:lang w:val="hy-AM"/>
        </w:rPr>
        <w:t xml:space="preserve"> </w:t>
      </w:r>
      <w:r w:rsidRPr="00115506">
        <w:rPr>
          <w:rFonts w:eastAsia="Times New Roman" w:cs="Times New Roman"/>
          <w:color w:val="000000"/>
          <w:lang w:val="hy-AM"/>
        </w:rPr>
        <w:t>վարույթ</w:t>
      </w:r>
      <w:r w:rsidRPr="00115506">
        <w:rPr>
          <w:rFonts w:eastAsia="Times New Roman" w:cs="Sylfaen"/>
          <w:color w:val="000000"/>
          <w:lang w:val="hy-AM"/>
        </w:rPr>
        <w:t xml:space="preserve">, </w:t>
      </w:r>
      <w:r w:rsidRPr="00115506">
        <w:rPr>
          <w:rFonts w:eastAsia="Times New Roman" w:cs="Times New Roman"/>
          <w:color w:val="000000"/>
          <w:lang w:val="hy-AM"/>
        </w:rPr>
        <w:t>որոնցով</w:t>
      </w:r>
      <w:r w:rsidRPr="00115506">
        <w:rPr>
          <w:rFonts w:eastAsia="Times New Roman" w:cs="Sylfaen"/>
          <w:color w:val="000000"/>
          <w:lang w:val="hy-AM"/>
        </w:rPr>
        <w:t xml:space="preserve"> </w:t>
      </w:r>
      <w:r w:rsidRPr="00115506">
        <w:rPr>
          <w:rFonts w:eastAsia="Times New Roman" w:cs="Times New Roman"/>
          <w:color w:val="000000"/>
          <w:lang w:val="hy-AM"/>
        </w:rPr>
        <w:t>հայցապահանջի</w:t>
      </w:r>
      <w:r w:rsidRPr="00115506">
        <w:rPr>
          <w:rFonts w:eastAsia="Times New Roman" w:cs="Sylfaen"/>
          <w:color w:val="000000"/>
          <w:lang w:val="hy-AM"/>
        </w:rPr>
        <w:t xml:space="preserve"> </w:t>
      </w:r>
      <w:r w:rsidRPr="00115506">
        <w:rPr>
          <w:rFonts w:eastAsia="Times New Roman" w:cs="Times New Roman"/>
          <w:color w:val="000000"/>
          <w:lang w:val="hy-AM"/>
        </w:rPr>
        <w:t>չափ</w:t>
      </w:r>
      <w:r w:rsidRPr="00115506">
        <w:rPr>
          <w:rFonts w:eastAsia="Times New Roman" w:cs="Sylfaen"/>
          <w:color w:val="000000"/>
          <w:lang w:val="hy-AM"/>
        </w:rPr>
        <w:t xml:space="preserve"> </w:t>
      </w:r>
      <w:r w:rsidRPr="00115506">
        <w:rPr>
          <w:rFonts w:eastAsia="Times New Roman" w:cs="Times New Roman"/>
          <w:color w:val="000000"/>
          <w:lang w:val="hy-AM"/>
        </w:rPr>
        <w:t>դեռևս</w:t>
      </w:r>
      <w:r w:rsidRPr="00115506">
        <w:rPr>
          <w:rFonts w:eastAsia="Times New Roman" w:cs="Sylfaen"/>
          <w:color w:val="000000"/>
          <w:lang w:val="hy-AM"/>
        </w:rPr>
        <w:t xml:space="preserve"> </w:t>
      </w:r>
      <w:r w:rsidRPr="00115506">
        <w:rPr>
          <w:rFonts w:eastAsia="Times New Roman" w:cs="Times New Roman"/>
          <w:color w:val="000000"/>
          <w:lang w:val="hy-AM"/>
        </w:rPr>
        <w:t>ներկայացված</w:t>
      </w:r>
      <w:r w:rsidRPr="00115506">
        <w:rPr>
          <w:rFonts w:eastAsia="Times New Roman" w:cs="Sylfaen"/>
          <w:color w:val="000000"/>
          <w:lang w:val="hy-AM"/>
        </w:rPr>
        <w:t xml:space="preserve"> </w:t>
      </w:r>
      <w:r w:rsidRPr="00115506">
        <w:rPr>
          <w:rFonts w:eastAsia="Times New Roman" w:cs="Times New Roman"/>
          <w:color w:val="000000"/>
          <w:lang w:val="hy-AM"/>
        </w:rPr>
        <w:t>չէ։</w:t>
      </w:r>
    </w:p>
    <w:p w14:paraId="32432548" w14:textId="77777777" w:rsidR="00545EC8" w:rsidRPr="00115506" w:rsidRDefault="00545EC8" w:rsidP="006C08A2">
      <w:pPr>
        <w:spacing w:after="0" w:line="276" w:lineRule="auto"/>
        <w:ind w:firstLine="0"/>
        <w:rPr>
          <w:rFonts w:eastAsia="Times New Roman" w:cs="GHEA Grapalat"/>
          <w:bCs/>
          <w:iCs/>
          <w:lang w:val="hy-AM"/>
        </w:rPr>
      </w:pPr>
      <w:r w:rsidRPr="00115506">
        <w:rPr>
          <w:rFonts w:eastAsia="Times New Roman" w:cs="Times New Roman"/>
          <w:bCs/>
          <w:iCs/>
          <w:lang w:val="hy-AM"/>
        </w:rPr>
        <w:t>ՀՀ</w:t>
      </w:r>
      <w:r w:rsidRPr="00115506">
        <w:rPr>
          <w:rFonts w:eastAsia="Times New Roman" w:cs="GHEA Grapalat"/>
          <w:bCs/>
          <w:iCs/>
          <w:lang w:val="hy-AM"/>
        </w:rPr>
        <w:t xml:space="preserve"> </w:t>
      </w:r>
      <w:r w:rsidRPr="00115506">
        <w:rPr>
          <w:rFonts w:eastAsia="Times New Roman" w:cs="Times New Roman"/>
          <w:bCs/>
          <w:iCs/>
          <w:lang w:val="hy-AM"/>
        </w:rPr>
        <w:t>դատարաններում</w:t>
      </w:r>
      <w:r w:rsidRPr="00115506">
        <w:rPr>
          <w:rFonts w:eastAsia="Times New Roman" w:cs="GHEA Grapalat"/>
          <w:bCs/>
          <w:iCs/>
          <w:lang w:val="hy-AM"/>
        </w:rPr>
        <w:t xml:space="preserve"> </w:t>
      </w:r>
      <w:r w:rsidRPr="00115506">
        <w:rPr>
          <w:rFonts w:eastAsia="Times New Roman" w:cs="Times New Roman"/>
          <w:b/>
          <w:bCs/>
          <w:iCs/>
          <w:lang w:val="hy-AM"/>
        </w:rPr>
        <w:t>ՀՀ</w:t>
      </w:r>
      <w:r w:rsidRPr="00115506">
        <w:rPr>
          <w:rFonts w:eastAsia="Times New Roman" w:cs="GHEA Grapalat"/>
          <w:b/>
          <w:bCs/>
          <w:iCs/>
          <w:lang w:val="hy-AM"/>
        </w:rPr>
        <w:t xml:space="preserve"> </w:t>
      </w:r>
      <w:r w:rsidRPr="00115506">
        <w:rPr>
          <w:rFonts w:eastAsia="Times New Roman" w:cs="Times New Roman"/>
          <w:b/>
          <w:bCs/>
          <w:iCs/>
          <w:lang w:val="hy-AM"/>
        </w:rPr>
        <w:t>ֆինանսների</w:t>
      </w:r>
      <w:r w:rsidRPr="00115506">
        <w:rPr>
          <w:rFonts w:eastAsia="Times New Roman" w:cs="GHEA Grapalat"/>
          <w:b/>
          <w:bCs/>
          <w:iCs/>
          <w:lang w:val="hy-AM"/>
        </w:rPr>
        <w:t xml:space="preserve"> </w:t>
      </w:r>
      <w:r w:rsidRPr="00115506">
        <w:rPr>
          <w:rFonts w:eastAsia="Times New Roman" w:cs="Times New Roman"/>
          <w:b/>
          <w:bCs/>
          <w:iCs/>
          <w:lang w:val="hy-AM"/>
        </w:rPr>
        <w:t>նախարարության</w:t>
      </w:r>
      <w:r w:rsidRPr="00115506">
        <w:rPr>
          <w:rFonts w:eastAsia="Times New Roman" w:cs="GHEA Grapalat"/>
          <w:b/>
          <w:bCs/>
          <w:iCs/>
          <w:lang w:val="hy-AM"/>
        </w:rPr>
        <w:t xml:space="preserve"> </w:t>
      </w:r>
      <w:r w:rsidRPr="00115506">
        <w:rPr>
          <w:rFonts w:eastAsia="Times New Roman" w:cs="Times New Roman"/>
          <w:b/>
          <w:bCs/>
          <w:iCs/>
          <w:lang w:val="hy-AM"/>
        </w:rPr>
        <w:t>մասնակցությամբ</w:t>
      </w:r>
      <w:r w:rsidRPr="00115506">
        <w:rPr>
          <w:rFonts w:eastAsia="Times New Roman" w:cs="GHEA Grapalat"/>
          <w:b/>
          <w:bCs/>
          <w:iCs/>
          <w:lang w:val="hy-AM"/>
        </w:rPr>
        <w:t xml:space="preserve"> </w:t>
      </w:r>
      <w:r w:rsidRPr="00115506">
        <w:rPr>
          <w:rFonts w:eastAsia="Times New Roman" w:cs="Times New Roman"/>
          <w:bCs/>
          <w:iCs/>
          <w:lang w:val="hy-AM"/>
        </w:rPr>
        <w:t>պետության</w:t>
      </w:r>
      <w:r w:rsidRPr="00115506">
        <w:rPr>
          <w:rFonts w:eastAsia="Times New Roman" w:cs="GHEA Grapalat"/>
          <w:bCs/>
          <w:iCs/>
          <w:lang w:val="hy-AM"/>
        </w:rPr>
        <w:t xml:space="preserve"> </w:t>
      </w:r>
      <w:r w:rsidRPr="00115506">
        <w:rPr>
          <w:rFonts w:eastAsia="Times New Roman" w:cs="Times New Roman"/>
          <w:bCs/>
          <w:iCs/>
          <w:lang w:val="hy-AM"/>
        </w:rPr>
        <w:t>դեմ</w:t>
      </w:r>
      <w:r w:rsidRPr="00115506">
        <w:rPr>
          <w:rFonts w:eastAsia="Times New Roman" w:cs="GHEA Grapalat"/>
          <w:bCs/>
          <w:iCs/>
          <w:lang w:val="hy-AM"/>
        </w:rPr>
        <w:t xml:space="preserve"> </w:t>
      </w:r>
      <w:r w:rsidRPr="00115506">
        <w:rPr>
          <w:rFonts w:eastAsia="Times New Roman" w:cs="Times New Roman"/>
          <w:bCs/>
          <w:iCs/>
          <w:lang w:val="hy-AM"/>
        </w:rPr>
        <w:t>քննվող</w:t>
      </w:r>
      <w:r w:rsidRPr="00115506">
        <w:rPr>
          <w:rFonts w:eastAsia="Times New Roman" w:cs="GHEA Grapalat"/>
          <w:bCs/>
          <w:iCs/>
          <w:lang w:val="hy-AM"/>
        </w:rPr>
        <w:t xml:space="preserve"> </w:t>
      </w:r>
      <w:r w:rsidRPr="00115506">
        <w:rPr>
          <w:rFonts w:eastAsia="Times New Roman" w:cs="Times New Roman"/>
          <w:bCs/>
          <w:iCs/>
          <w:lang w:val="hy-AM"/>
        </w:rPr>
        <w:t>հայցերի</w:t>
      </w:r>
      <w:r w:rsidRPr="00115506">
        <w:rPr>
          <w:rFonts w:eastAsia="Times New Roman" w:cs="GHEA Grapalat"/>
          <w:bCs/>
          <w:iCs/>
          <w:lang w:val="hy-AM"/>
        </w:rPr>
        <w:t xml:space="preserve"> </w:t>
      </w:r>
      <w:r w:rsidRPr="00115506">
        <w:rPr>
          <w:rFonts w:eastAsia="Times New Roman" w:cs="Times New Roman"/>
          <w:bCs/>
          <w:iCs/>
          <w:lang w:val="hy-AM"/>
        </w:rPr>
        <w:t>քանակը</w:t>
      </w:r>
      <w:r w:rsidRPr="00115506">
        <w:rPr>
          <w:rFonts w:eastAsia="Times New Roman" w:cs="GHEA Grapalat"/>
          <w:bCs/>
          <w:iCs/>
          <w:lang w:val="hy-AM"/>
        </w:rPr>
        <w:t xml:space="preserve"> 2024 </w:t>
      </w:r>
      <w:r w:rsidRPr="00115506">
        <w:rPr>
          <w:rFonts w:eastAsia="Times New Roman" w:cs="Times New Roman"/>
          <w:bCs/>
          <w:iCs/>
          <w:lang w:val="hy-AM"/>
        </w:rPr>
        <w:t>թվականի</w:t>
      </w:r>
      <w:r w:rsidRPr="00115506">
        <w:rPr>
          <w:rFonts w:eastAsia="Times New Roman" w:cs="GHEA Grapalat"/>
          <w:bCs/>
          <w:iCs/>
          <w:lang w:val="hy-AM"/>
        </w:rPr>
        <w:t xml:space="preserve"> </w:t>
      </w:r>
      <w:r w:rsidRPr="00115506">
        <w:rPr>
          <w:rFonts w:eastAsia="Times New Roman" w:cs="Times New Roman"/>
          <w:bCs/>
          <w:iCs/>
          <w:lang w:val="hy-AM"/>
        </w:rPr>
        <w:t>մայիսի</w:t>
      </w:r>
      <w:r w:rsidRPr="00115506">
        <w:rPr>
          <w:rFonts w:eastAsia="Times New Roman" w:cs="GHEA Grapalat"/>
          <w:bCs/>
          <w:iCs/>
          <w:lang w:val="hy-AM"/>
        </w:rPr>
        <w:t xml:space="preserve"> </w:t>
      </w:r>
      <w:r w:rsidRPr="00115506">
        <w:rPr>
          <w:rFonts w:eastAsia="Times New Roman" w:cs="Times New Roman"/>
          <w:bCs/>
          <w:iCs/>
          <w:lang w:val="hy-AM"/>
        </w:rPr>
        <w:t>դրությամբ</w:t>
      </w:r>
      <w:r w:rsidRPr="00115506">
        <w:rPr>
          <w:rFonts w:eastAsia="Times New Roman" w:cs="GHEA Grapalat"/>
          <w:bCs/>
          <w:iCs/>
          <w:lang w:val="hy-AM"/>
        </w:rPr>
        <w:t xml:space="preserve"> </w:t>
      </w:r>
      <w:r w:rsidRPr="00115506">
        <w:rPr>
          <w:rFonts w:eastAsia="Times New Roman" w:cs="Times New Roman"/>
          <w:bCs/>
          <w:iCs/>
          <w:lang w:val="hy-AM"/>
        </w:rPr>
        <w:t>կազմում</w:t>
      </w:r>
      <w:r w:rsidRPr="00115506">
        <w:rPr>
          <w:rFonts w:eastAsia="Times New Roman" w:cs="GHEA Grapalat"/>
          <w:bCs/>
          <w:iCs/>
          <w:lang w:val="hy-AM"/>
        </w:rPr>
        <w:t xml:space="preserve"> </w:t>
      </w:r>
      <w:r w:rsidRPr="00115506">
        <w:rPr>
          <w:rFonts w:eastAsia="Times New Roman" w:cs="Times New Roman"/>
          <w:bCs/>
          <w:iCs/>
          <w:lang w:val="hy-AM"/>
        </w:rPr>
        <w:t>է</w:t>
      </w:r>
      <w:r w:rsidRPr="00115506">
        <w:rPr>
          <w:rFonts w:eastAsia="Times New Roman" w:cs="GHEA Grapalat"/>
          <w:bCs/>
          <w:iCs/>
          <w:lang w:val="hy-AM"/>
        </w:rPr>
        <w:t xml:space="preserve"> 1,059, </w:t>
      </w:r>
      <w:r w:rsidRPr="00115506">
        <w:rPr>
          <w:rFonts w:eastAsia="Times New Roman" w:cs="Times New Roman"/>
          <w:bCs/>
          <w:iCs/>
          <w:lang w:val="hy-AM"/>
        </w:rPr>
        <w:t>ընդհանուրը</w:t>
      </w:r>
      <w:r w:rsidRPr="00115506">
        <w:rPr>
          <w:rFonts w:eastAsia="Times New Roman" w:cs="GHEA Grapalat"/>
          <w:bCs/>
          <w:iCs/>
          <w:lang w:val="hy-AM"/>
        </w:rPr>
        <w:t xml:space="preserve"> 3,489,181,853 </w:t>
      </w:r>
      <w:r w:rsidRPr="00115506">
        <w:rPr>
          <w:rFonts w:eastAsia="Times New Roman" w:cs="Times New Roman"/>
          <w:bCs/>
          <w:iCs/>
          <w:lang w:val="hy-AM"/>
        </w:rPr>
        <w:t>ՀՀ</w:t>
      </w:r>
      <w:r w:rsidRPr="00115506">
        <w:rPr>
          <w:rFonts w:eastAsia="Times New Roman" w:cs="GHEA Grapalat"/>
          <w:bCs/>
          <w:iCs/>
          <w:lang w:val="hy-AM"/>
        </w:rPr>
        <w:t xml:space="preserve"> </w:t>
      </w:r>
      <w:r w:rsidRPr="00115506">
        <w:rPr>
          <w:rFonts w:eastAsia="Times New Roman" w:cs="Times New Roman"/>
          <w:bCs/>
          <w:iCs/>
          <w:lang w:val="hy-AM"/>
        </w:rPr>
        <w:t>դրամ</w:t>
      </w:r>
      <w:r w:rsidRPr="00115506">
        <w:rPr>
          <w:rFonts w:eastAsia="Times New Roman" w:cs="GHEA Grapalat"/>
          <w:bCs/>
          <w:iCs/>
          <w:lang w:val="hy-AM"/>
        </w:rPr>
        <w:t xml:space="preserve">, 88,529 </w:t>
      </w:r>
      <w:r w:rsidRPr="00115506">
        <w:rPr>
          <w:rFonts w:eastAsia="Times New Roman" w:cs="Times New Roman"/>
          <w:bCs/>
          <w:iCs/>
          <w:lang w:val="hy-AM"/>
        </w:rPr>
        <w:t>ԱՄՆ</w:t>
      </w:r>
      <w:r w:rsidRPr="00115506">
        <w:rPr>
          <w:rFonts w:eastAsia="Times New Roman" w:cs="GHEA Grapalat"/>
          <w:bCs/>
          <w:iCs/>
          <w:lang w:val="hy-AM"/>
        </w:rPr>
        <w:t xml:space="preserve"> </w:t>
      </w:r>
      <w:r w:rsidRPr="00115506">
        <w:rPr>
          <w:rFonts w:eastAsia="Times New Roman" w:cs="Times New Roman"/>
          <w:bCs/>
          <w:iCs/>
          <w:lang w:val="hy-AM"/>
        </w:rPr>
        <w:t>դոլար</w:t>
      </w:r>
      <w:r w:rsidRPr="00115506">
        <w:rPr>
          <w:rFonts w:eastAsia="Times New Roman" w:cs="GHEA Grapalat"/>
          <w:bCs/>
          <w:iCs/>
          <w:lang w:val="hy-AM"/>
        </w:rPr>
        <w:t xml:space="preserve">, 3,600,000 </w:t>
      </w:r>
      <w:r w:rsidRPr="00115506">
        <w:rPr>
          <w:rFonts w:eastAsia="Times New Roman" w:cs="Times New Roman"/>
          <w:bCs/>
          <w:iCs/>
          <w:lang w:val="hy-AM"/>
        </w:rPr>
        <w:t>չեխական</w:t>
      </w:r>
      <w:r w:rsidRPr="00115506">
        <w:rPr>
          <w:rFonts w:eastAsia="Times New Roman" w:cs="GHEA Grapalat"/>
          <w:bCs/>
          <w:iCs/>
          <w:lang w:val="hy-AM"/>
        </w:rPr>
        <w:t xml:space="preserve"> </w:t>
      </w:r>
      <w:r w:rsidRPr="00115506">
        <w:rPr>
          <w:rFonts w:eastAsia="Times New Roman" w:cs="Times New Roman"/>
          <w:bCs/>
          <w:iCs/>
          <w:lang w:val="hy-AM"/>
        </w:rPr>
        <w:t>կրոն</w:t>
      </w:r>
      <w:r w:rsidRPr="00115506">
        <w:rPr>
          <w:rFonts w:eastAsia="Times New Roman" w:cs="GHEA Grapalat"/>
          <w:bCs/>
          <w:iCs/>
          <w:lang w:val="hy-AM"/>
        </w:rPr>
        <w:t xml:space="preserve"> </w:t>
      </w:r>
      <w:r w:rsidRPr="00115506">
        <w:rPr>
          <w:rFonts w:eastAsia="Times New Roman" w:cs="Times New Roman"/>
          <w:bCs/>
          <w:iCs/>
          <w:lang w:val="hy-AM"/>
        </w:rPr>
        <w:t>և</w:t>
      </w:r>
      <w:r w:rsidRPr="00115506">
        <w:rPr>
          <w:rFonts w:eastAsia="Times New Roman" w:cs="GHEA Grapalat"/>
          <w:bCs/>
          <w:iCs/>
          <w:lang w:val="hy-AM"/>
        </w:rPr>
        <w:t xml:space="preserve"> 16,100 </w:t>
      </w:r>
      <w:r w:rsidRPr="00115506">
        <w:rPr>
          <w:rFonts w:eastAsia="Times New Roman" w:cs="Times New Roman"/>
          <w:bCs/>
          <w:iCs/>
          <w:lang w:val="hy-AM"/>
        </w:rPr>
        <w:t>ՌԴ</w:t>
      </w:r>
      <w:r w:rsidRPr="00115506">
        <w:rPr>
          <w:rFonts w:eastAsia="Times New Roman" w:cs="GHEA Grapalat"/>
          <w:bCs/>
          <w:iCs/>
          <w:lang w:val="hy-AM"/>
        </w:rPr>
        <w:t xml:space="preserve"> </w:t>
      </w:r>
      <w:r w:rsidRPr="00115506">
        <w:rPr>
          <w:rFonts w:eastAsia="Times New Roman" w:cs="Times New Roman"/>
          <w:bCs/>
          <w:iCs/>
          <w:lang w:val="hy-AM"/>
        </w:rPr>
        <w:t>ռուբլի</w:t>
      </w:r>
      <w:r w:rsidRPr="00115506">
        <w:rPr>
          <w:rFonts w:eastAsia="Times New Roman" w:cs="GHEA Grapalat"/>
          <w:bCs/>
          <w:iCs/>
          <w:lang w:val="hy-AM"/>
        </w:rPr>
        <w:t xml:space="preserve"> </w:t>
      </w:r>
      <w:r w:rsidRPr="00115506">
        <w:rPr>
          <w:rFonts w:eastAsia="Times New Roman" w:cs="Times New Roman"/>
          <w:bCs/>
          <w:iCs/>
          <w:lang w:val="hy-AM"/>
        </w:rPr>
        <w:t>հայցագնի</w:t>
      </w:r>
      <w:r w:rsidRPr="00115506">
        <w:rPr>
          <w:rFonts w:eastAsia="Times New Roman" w:cs="GHEA Grapalat"/>
          <w:bCs/>
          <w:iCs/>
          <w:lang w:val="hy-AM"/>
        </w:rPr>
        <w:t xml:space="preserve"> </w:t>
      </w:r>
      <w:r w:rsidRPr="00115506">
        <w:rPr>
          <w:rFonts w:eastAsia="Times New Roman" w:cs="Times New Roman"/>
          <w:bCs/>
          <w:iCs/>
          <w:lang w:val="hy-AM"/>
        </w:rPr>
        <w:t>չափով</w:t>
      </w:r>
      <w:r w:rsidRPr="00115506">
        <w:rPr>
          <w:rFonts w:eastAsia="Times New Roman" w:cs="GHEA Grapalat"/>
          <w:bCs/>
          <w:iCs/>
          <w:lang w:val="hy-AM"/>
        </w:rPr>
        <w:t>:</w:t>
      </w:r>
    </w:p>
    <w:p w14:paraId="54FA0842" w14:textId="77777777" w:rsidR="00545EC8" w:rsidRDefault="00545EC8" w:rsidP="006C08A2">
      <w:pPr>
        <w:spacing w:after="0" w:line="276" w:lineRule="auto"/>
        <w:ind w:firstLine="0"/>
        <w:rPr>
          <w:rFonts w:eastAsia="Times New Roman" w:cs="Times New Roman"/>
          <w:lang w:val="hy-AM"/>
        </w:rPr>
      </w:pPr>
      <w:r w:rsidRPr="00115506">
        <w:rPr>
          <w:rFonts w:eastAsia="Times New Roman" w:cs="Times New Roman"/>
          <w:lang w:val="hy-AM"/>
        </w:rPr>
        <w:t xml:space="preserve">Բացի վերը նշված հայցերից առկա են նաև այլ հայցեր՝ </w:t>
      </w:r>
      <w:r w:rsidRPr="00115506">
        <w:rPr>
          <w:rFonts w:eastAsia="Times New Roman" w:cs="Times New Roman"/>
          <w:b/>
          <w:lang w:val="hy-AM"/>
        </w:rPr>
        <w:t>ընդդեմ ՀՀ պետական եկամուտների կոմիտեի</w:t>
      </w:r>
      <w:r w:rsidRPr="00115506">
        <w:rPr>
          <w:rFonts w:eastAsia="Times New Roman" w:cs="Times New Roman"/>
          <w:lang w:val="hy-AM"/>
        </w:rPr>
        <w:t xml:space="preserve">: Ներկայացված հայցերով ՀՀ դատարաններում 2023 թվականի դեկտեմբերի 31-ի դրությամբ քննվում է </w:t>
      </w:r>
      <w:r w:rsidRPr="00115506">
        <w:rPr>
          <w:lang w:val="hy-AM"/>
        </w:rPr>
        <w:t xml:space="preserve">6,554 </w:t>
      </w:r>
      <w:r w:rsidRPr="00115506">
        <w:rPr>
          <w:rFonts w:cs="Times New Roman"/>
          <w:lang w:val="hy-AM"/>
        </w:rPr>
        <w:t>դատական</w:t>
      </w:r>
      <w:r w:rsidRPr="00115506">
        <w:rPr>
          <w:lang w:val="hy-AM"/>
        </w:rPr>
        <w:t xml:space="preserve"> </w:t>
      </w:r>
      <w:r w:rsidRPr="00115506">
        <w:rPr>
          <w:rFonts w:cs="Times New Roman"/>
          <w:lang w:val="hy-AM"/>
        </w:rPr>
        <w:t>գործ՝</w:t>
      </w:r>
      <w:r w:rsidRPr="00115506">
        <w:rPr>
          <w:lang w:val="hy-AM"/>
        </w:rPr>
        <w:t xml:space="preserve">  128.5 </w:t>
      </w:r>
      <w:r w:rsidRPr="00115506">
        <w:rPr>
          <w:rFonts w:eastAsia="Times New Roman" w:cs="Times New Roman"/>
          <w:lang w:val="hy-AM"/>
        </w:rPr>
        <w:t>մլրդ ՀՀ դրամի չափով, իսկ 2024 թվականի մարտի 31-ի դրությամբ՝ 6,507 դատական գործ՝ 129 մլրդ ՀՀ դրամի չափով: 2023 թվականի ընթացքում դատական վարույթների շրջանակներում հայցվորներին վճարված ընդհանուր գումարը 2022 թվականի համեմատ նվազել է 18%-ով, իսկ 2024 թվականի առաջին եռամսյակի ընթացքում կազմել է 3</w:t>
      </w:r>
      <w:r w:rsidRPr="00115506">
        <w:rPr>
          <w:rFonts w:eastAsia="Times New Roman" w:cs="Cambria Math"/>
          <w:lang w:val="hy-AM"/>
        </w:rPr>
        <w:t xml:space="preserve"> </w:t>
      </w:r>
      <w:r w:rsidRPr="00115506">
        <w:rPr>
          <w:rFonts w:eastAsia="Times New Roman" w:cs="Times New Roman"/>
          <w:lang w:val="hy-AM"/>
        </w:rPr>
        <w:t>մլն</w:t>
      </w:r>
      <w:r w:rsidRPr="00115506">
        <w:rPr>
          <w:rFonts w:eastAsia="Times New Roman" w:cs="Cambria Math"/>
          <w:lang w:val="hy-AM"/>
        </w:rPr>
        <w:t xml:space="preserve"> </w:t>
      </w:r>
      <w:r w:rsidRPr="00115506">
        <w:rPr>
          <w:rFonts w:eastAsia="Times New Roman" w:cs="Times New Roman"/>
          <w:lang w:val="hy-AM"/>
        </w:rPr>
        <w:t>ՀՀ դրամ (</w:t>
      </w:r>
      <w:r>
        <w:rPr>
          <w:rFonts w:eastAsia="Times New Roman" w:cs="Times New Roman"/>
          <w:lang w:val="hy-AM"/>
        </w:rPr>
        <w:t>տե΄ս</w:t>
      </w:r>
      <w:r w:rsidRPr="00115506">
        <w:rPr>
          <w:rFonts w:eastAsia="Times New Roman" w:cs="Times New Roman"/>
          <w:lang w:val="hy-AM"/>
        </w:rPr>
        <w:t xml:space="preserve"> գծապատկեր 23): </w:t>
      </w:r>
    </w:p>
    <w:p w14:paraId="171BA24C" w14:textId="77777777" w:rsidR="00545EC8" w:rsidRDefault="00545EC8" w:rsidP="00545EC8">
      <w:pPr>
        <w:spacing w:after="0" w:line="276" w:lineRule="auto"/>
        <w:rPr>
          <w:rFonts w:eastAsia="Times New Roman" w:cs="Times New Roman"/>
          <w:b/>
          <w:lang w:val="hy-AM"/>
        </w:rPr>
      </w:pPr>
    </w:p>
    <w:p w14:paraId="1A2DFAAE" w14:textId="77777777" w:rsidR="00545EC8" w:rsidRPr="00607B43" w:rsidRDefault="00545EC8" w:rsidP="00545EC8">
      <w:pPr>
        <w:rPr>
          <w:rFonts w:eastAsia="Times New Roman" w:cs="Times New Roman"/>
          <w:i/>
          <w:lang w:val="hy-AM"/>
        </w:rPr>
      </w:pPr>
      <w:r w:rsidRPr="00607B43">
        <w:rPr>
          <w:rFonts w:eastAsia="Times New Roman" w:cs="Times New Roman"/>
          <w:b/>
          <w:i/>
          <w:lang w:val="hy-AM"/>
        </w:rPr>
        <w:t>Գծապատկեր 23.</w:t>
      </w:r>
      <w:r w:rsidRPr="00607B43">
        <w:rPr>
          <w:rFonts w:eastAsia="Times New Roman" w:cs="Times New Roman"/>
          <w:i/>
          <w:lang w:val="hy-AM"/>
        </w:rPr>
        <w:t xml:space="preserve"> 2021-2023թթ. հայցվորներին վճարված գումարը (մլն ՀՀ դրամ)</w:t>
      </w:r>
    </w:p>
    <w:p w14:paraId="70F69A1C" w14:textId="77777777" w:rsidR="00545EC8" w:rsidRDefault="00545EC8" w:rsidP="00545EC8">
      <w:pPr>
        <w:spacing w:after="0" w:line="240" w:lineRule="auto"/>
        <w:jc w:val="center"/>
        <w:rPr>
          <w:rFonts w:eastAsia="Times New Roman" w:cs="Times New Roman"/>
          <w:sz w:val="24"/>
          <w:szCs w:val="24"/>
          <w:lang w:val="hy-AM"/>
        </w:rPr>
      </w:pPr>
      <w:r>
        <w:rPr>
          <w:noProof/>
        </w:rPr>
        <w:drawing>
          <wp:inline distT="0" distB="0" distL="0" distR="0" wp14:anchorId="6788D19F" wp14:editId="06DEAFCF">
            <wp:extent cx="3857625" cy="2314575"/>
            <wp:effectExtent l="0" t="0" r="9525" b="9525"/>
            <wp:docPr id="1545876447" name="Chart 15458764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F830727" w14:textId="77777777" w:rsidR="00545EC8" w:rsidRPr="00F54D80" w:rsidRDefault="00545EC8" w:rsidP="006C08A2">
      <w:pPr>
        <w:spacing w:before="120" w:after="0" w:line="276" w:lineRule="auto"/>
        <w:ind w:firstLine="0"/>
        <w:rPr>
          <w:rFonts w:eastAsia="Times New Roman" w:cs="Times New Roman"/>
          <w:lang w:val="hy-AM"/>
        </w:rPr>
      </w:pPr>
      <w:r w:rsidRPr="00F54D80">
        <w:rPr>
          <w:rFonts w:eastAsia="Times New Roman" w:cs="Times New Roman"/>
          <w:lang w:val="hy-AM"/>
        </w:rPr>
        <w:t>Անհրաժեշտ է նշել, որ ռիսկի իրական մակարդակը շատ ավելի ցածր է, քանի որ հայցվորները ոչ բոլոր գործերն են հաղթում, իսկ հաղթելու պարագայում վճռով հաճախ սահմանվում են ավելի փոքր գումարներ:</w:t>
      </w:r>
    </w:p>
    <w:p w14:paraId="731C5928" w14:textId="77777777" w:rsidR="00080175" w:rsidRPr="006F347F" w:rsidRDefault="00080175" w:rsidP="00C30825">
      <w:pPr>
        <w:tabs>
          <w:tab w:val="left" w:pos="0"/>
        </w:tabs>
        <w:spacing w:before="120" w:after="0" w:line="276" w:lineRule="auto"/>
        <w:ind w:firstLine="0"/>
        <w:rPr>
          <w:lang w:val="hy-AM"/>
        </w:rPr>
      </w:pPr>
    </w:p>
    <w:p w14:paraId="21953BD5" w14:textId="77777777" w:rsidR="00974403" w:rsidRDefault="00974403">
      <w:pPr>
        <w:spacing w:before="0" w:after="160" w:line="259" w:lineRule="auto"/>
        <w:ind w:firstLine="0"/>
        <w:jc w:val="left"/>
        <w:rPr>
          <w:lang w:val="hy-AM"/>
        </w:rPr>
      </w:pPr>
      <w:r>
        <w:rPr>
          <w:lang w:val="hy-AM"/>
        </w:rPr>
        <w:br w:type="page"/>
      </w:r>
    </w:p>
    <w:p w14:paraId="75252E39" w14:textId="77777777" w:rsidR="00080175" w:rsidRPr="00AA20B5" w:rsidRDefault="00080175" w:rsidP="00C30825">
      <w:pPr>
        <w:pStyle w:val="Heading1"/>
        <w:tabs>
          <w:tab w:val="left" w:pos="0"/>
        </w:tabs>
        <w:spacing w:before="120" w:after="0" w:line="276" w:lineRule="auto"/>
        <w:rPr>
          <w:sz w:val="24"/>
          <w:szCs w:val="24"/>
          <w:lang w:val="hy-AM"/>
        </w:rPr>
      </w:pPr>
      <w:bookmarkStart w:id="303" w:name="_Toc170926364"/>
      <w:r w:rsidRPr="00AA20B5">
        <w:rPr>
          <w:sz w:val="24"/>
          <w:szCs w:val="24"/>
          <w:lang w:val="hy-AM"/>
        </w:rPr>
        <w:t>ՀԱՎԵԼՎԱԾՆԵՐ</w:t>
      </w:r>
      <w:bookmarkEnd w:id="282"/>
      <w:bookmarkEnd w:id="303"/>
    </w:p>
    <w:p w14:paraId="2E6B245D" w14:textId="35FC1808"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Pr>
          <w:rFonts w:cs="Tahoma"/>
          <w:b/>
          <w:lang w:val="hy-AM"/>
        </w:rPr>
        <w:t>1.</w:t>
      </w:r>
      <w:r>
        <w:rPr>
          <w:rFonts w:cs="Tahoma"/>
          <w:lang w:val="hy-AM"/>
        </w:rPr>
        <w:t xml:space="preserve"> Հայաստանի Հանրապետության 202</w:t>
      </w:r>
      <w:r w:rsidR="00B42505">
        <w:rPr>
          <w:rFonts w:cs="Tahoma"/>
          <w:lang w:val="hy-AM"/>
        </w:rPr>
        <w:t>5</w:t>
      </w:r>
      <w:r>
        <w:rPr>
          <w:rFonts w:cs="Tahoma"/>
          <w:lang w:val="hy-AM"/>
        </w:rPr>
        <w:t>-202</w:t>
      </w:r>
      <w:r w:rsidR="00B42505">
        <w:rPr>
          <w:rFonts w:cs="Tahoma"/>
          <w:lang w:val="hy-AM"/>
        </w:rPr>
        <w:t>7</w:t>
      </w:r>
      <w:r>
        <w:rPr>
          <w:rFonts w:cs="Tahoma"/>
          <w:lang w:val="hy-AM"/>
        </w:rPr>
        <w:t xml:space="preserve"> թվականների պետական միջնաժամկետ ծախսերի ծրագրերն՛ ըստ պետական մարմինների կողմից իրականացվող ծրագրերի և ըստ բյուջետային հատկացումների գլխավոր կարգադրիչների</w:t>
      </w:r>
    </w:p>
    <w:p w14:paraId="5F5ECDBD" w14:textId="1840A70B"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Pr>
          <w:rFonts w:cs="Tahoma"/>
          <w:b/>
          <w:lang w:val="hy-AM"/>
        </w:rPr>
        <w:t>2.</w:t>
      </w:r>
      <w:r>
        <w:rPr>
          <w:rFonts w:cs="Tahoma"/>
          <w:lang w:val="hy-AM"/>
        </w:rPr>
        <w:t xml:space="preserve"> Հայաստանի Հանրապետության </w:t>
      </w:r>
      <w:r w:rsidR="00B42505">
        <w:rPr>
          <w:rFonts w:cs="Tahoma"/>
          <w:lang w:val="hy-AM"/>
        </w:rPr>
        <w:t>2025-2027</w:t>
      </w:r>
      <w:r>
        <w:rPr>
          <w:rFonts w:cs="Tahoma"/>
          <w:lang w:val="hy-AM"/>
        </w:rPr>
        <w:t xml:space="preserve"> թվականների պետական միջնաժամկետ ծախսերի ծրագրերով նախատեսված ծախսերն՝  ըստ բյուջետային ծախսերի տնտեսագիտական դասակարգման</w:t>
      </w:r>
    </w:p>
    <w:p w14:paraId="5307B037" w14:textId="6F09AE18"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Pr>
          <w:rFonts w:cs="Tahoma"/>
          <w:b/>
          <w:lang w:val="hy-AM"/>
        </w:rPr>
        <w:t>3.</w:t>
      </w:r>
      <w:r>
        <w:rPr>
          <w:rFonts w:cs="Tahoma"/>
          <w:lang w:val="hy-AM"/>
        </w:rPr>
        <w:t xml:space="preserve"> Հայաստանի Հանրապետության </w:t>
      </w:r>
      <w:r w:rsidR="00B42505">
        <w:rPr>
          <w:rFonts w:cs="Tahoma"/>
          <w:lang w:val="hy-AM"/>
        </w:rPr>
        <w:t>2025-2027</w:t>
      </w:r>
      <w:r>
        <w:rPr>
          <w:rFonts w:cs="Tahoma"/>
          <w:lang w:val="hy-AM"/>
        </w:rPr>
        <w:t xml:space="preserve"> թվականների պետական միջնաժամկետ ծախսերի ծրագրերով նախատեսված ծախսերն՝  ըստ բյուջետային ծախսերի գործառական դասակարգման</w:t>
      </w:r>
    </w:p>
    <w:p w14:paraId="68FFFEAD" w14:textId="092846D5"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Pr>
          <w:rFonts w:cs="Tahoma"/>
          <w:b/>
          <w:lang w:val="hy-AM"/>
        </w:rPr>
        <w:t xml:space="preserve">4. </w:t>
      </w:r>
      <w:r>
        <w:rPr>
          <w:rFonts w:cs="Tahoma"/>
          <w:lang w:val="hy-AM"/>
        </w:rPr>
        <w:t xml:space="preserve">Հայաստանի Հանրապետության </w:t>
      </w:r>
      <w:r w:rsidR="00B42505">
        <w:rPr>
          <w:rFonts w:cs="Tahoma"/>
          <w:lang w:val="hy-AM"/>
        </w:rPr>
        <w:t>2025-2027</w:t>
      </w:r>
      <w:r>
        <w:rPr>
          <w:rFonts w:cs="Tahoma"/>
          <w:lang w:val="hy-AM"/>
        </w:rPr>
        <w:t xml:space="preserve"> թվականների պետական բյուջեների դեֆիցիտի (պակասուրդի) ֆինանսավորման աղբյուրներն` ըստ առանձին տարրերի</w:t>
      </w:r>
    </w:p>
    <w:p w14:paraId="3FDA24BD" w14:textId="400FE023"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Pr>
          <w:rFonts w:cs="Tahoma"/>
          <w:b/>
          <w:lang w:val="hy-AM"/>
        </w:rPr>
        <w:t>5.</w:t>
      </w:r>
      <w:r>
        <w:rPr>
          <w:rFonts w:cs="Tahoma"/>
          <w:lang w:val="hy-AM"/>
        </w:rPr>
        <w:t xml:space="preserve"> Հայաստանի Հանրապետության </w:t>
      </w:r>
      <w:r w:rsidR="00B42505">
        <w:rPr>
          <w:rFonts w:cs="Tahoma"/>
          <w:lang w:val="hy-AM"/>
        </w:rPr>
        <w:t>2025-2027</w:t>
      </w:r>
      <w:r>
        <w:rPr>
          <w:rFonts w:cs="Tahoma"/>
          <w:lang w:val="hy-AM"/>
        </w:rPr>
        <w:t xml:space="preserve"> թվականների պետական բյուջեի ծախսային ծրագրերի գծով վերջնական արդյունքի ցուցանիշները</w:t>
      </w:r>
    </w:p>
    <w:p w14:paraId="210139F7" w14:textId="286BD5CF" w:rsidR="00080175" w:rsidRDefault="00080175" w:rsidP="00DF47B7">
      <w:pPr>
        <w:tabs>
          <w:tab w:val="left" w:pos="0"/>
        </w:tabs>
        <w:spacing w:before="120" w:after="0" w:line="276" w:lineRule="auto"/>
        <w:ind w:firstLine="0"/>
        <w:rPr>
          <w:rFonts w:cs="Tahoma"/>
          <w:lang w:val="hy-AM"/>
        </w:rPr>
      </w:pPr>
      <w:r>
        <w:rPr>
          <w:rFonts w:cs="Tahoma"/>
          <w:b/>
          <w:lang w:val="hy-AM"/>
        </w:rPr>
        <w:t xml:space="preserve">Հավելված </w:t>
      </w:r>
      <w:r w:rsidR="00ED5E26" w:rsidRPr="00216D49">
        <w:rPr>
          <w:rFonts w:cs="Tahoma"/>
          <w:b/>
          <w:lang w:val="hy-AM"/>
        </w:rPr>
        <w:t>1.</w:t>
      </w:r>
      <w:r w:rsidR="00CA0556">
        <w:rPr>
          <w:rFonts w:cs="Tahoma"/>
          <w:b/>
          <w:lang w:val="hy-AM"/>
        </w:rPr>
        <w:t>6</w:t>
      </w:r>
      <w:r>
        <w:rPr>
          <w:rFonts w:cs="Tahoma"/>
          <w:b/>
          <w:lang w:val="hy-AM"/>
        </w:rPr>
        <w:t xml:space="preserve">. </w:t>
      </w:r>
      <w:r w:rsidR="00B42505">
        <w:rPr>
          <w:rFonts w:cs="Tahoma"/>
          <w:lang w:val="hy-AM"/>
        </w:rPr>
        <w:t>2025-2027</w:t>
      </w:r>
      <w:r w:rsidRPr="00DF7233">
        <w:rPr>
          <w:rFonts w:cs="Tahoma"/>
          <w:lang w:val="hy-AM"/>
        </w:rPr>
        <w:t xml:space="preserve"> և 202</w:t>
      </w:r>
      <w:r w:rsidR="00B42505">
        <w:rPr>
          <w:rFonts w:cs="Tahoma"/>
          <w:lang w:val="hy-AM"/>
        </w:rPr>
        <w:t>4</w:t>
      </w:r>
      <w:r w:rsidRPr="00DF7233">
        <w:rPr>
          <w:rFonts w:cs="Tahoma"/>
          <w:lang w:val="hy-AM"/>
        </w:rPr>
        <w:t>-202</w:t>
      </w:r>
      <w:r w:rsidR="00B42505">
        <w:rPr>
          <w:rFonts w:cs="Tahoma"/>
          <w:lang w:val="hy-AM"/>
        </w:rPr>
        <w:t>6</w:t>
      </w:r>
      <w:r w:rsidRPr="00DF7233">
        <w:rPr>
          <w:rFonts w:cs="Tahoma"/>
          <w:lang w:val="hy-AM"/>
        </w:rPr>
        <w:t xml:space="preserve"> թվականների ՀՀ պետական միջնաժամկետ ծախսերի ծրագրի համեմատական</w:t>
      </w:r>
      <w:r>
        <w:rPr>
          <w:rFonts w:cs="Tahoma"/>
          <w:lang w:val="hy-AM"/>
        </w:rPr>
        <w:t xml:space="preserve"> աղյուսակները</w:t>
      </w:r>
    </w:p>
    <w:p w14:paraId="47198C20" w14:textId="3CDC0128" w:rsidR="00080175" w:rsidRPr="00C2304A" w:rsidRDefault="00080175" w:rsidP="00C2304A">
      <w:pPr>
        <w:tabs>
          <w:tab w:val="left" w:pos="0"/>
        </w:tabs>
        <w:spacing w:before="120" w:after="0" w:line="276" w:lineRule="auto"/>
        <w:ind w:firstLine="0"/>
        <w:rPr>
          <w:rFonts w:cs="Tahoma"/>
          <w:lang w:val="hy-AM"/>
        </w:rPr>
      </w:pPr>
      <w:r w:rsidRPr="00C2304A">
        <w:rPr>
          <w:rFonts w:cs="Tahoma"/>
          <w:b/>
          <w:lang w:val="hy-AM"/>
        </w:rPr>
        <w:t xml:space="preserve">Հավելված </w:t>
      </w:r>
      <w:r w:rsidR="00ED5E26" w:rsidRPr="00497DCF">
        <w:rPr>
          <w:rFonts w:cs="Tahoma"/>
          <w:b/>
          <w:lang w:val="hy-AM"/>
        </w:rPr>
        <w:t>1.</w:t>
      </w:r>
      <w:r w:rsidR="00CA0556">
        <w:rPr>
          <w:rFonts w:cs="Tahoma"/>
          <w:b/>
          <w:lang w:val="hy-AM"/>
        </w:rPr>
        <w:t>7</w:t>
      </w:r>
      <w:r w:rsidRPr="00C2304A">
        <w:rPr>
          <w:rFonts w:cs="Tahoma"/>
          <w:lang w:val="hy-AM"/>
        </w:rPr>
        <w:t xml:space="preserve">. </w:t>
      </w:r>
      <w:r w:rsidR="00B42505">
        <w:rPr>
          <w:rFonts w:cs="Tahoma"/>
          <w:lang w:val="hy-AM"/>
        </w:rPr>
        <w:t>2025-2027</w:t>
      </w:r>
      <w:r w:rsidR="00C2304A" w:rsidRPr="00C2304A">
        <w:rPr>
          <w:rFonts w:cs="Tahoma"/>
          <w:lang w:val="hy-AM"/>
        </w:rPr>
        <w:t>թթ ընթացքում նախատեսվող օտարերկրյա պետությունների և միջազգային կազմակերպությունների կողմից ֆինանսավորումը (ըստ կնքված և բանակցային փուլում գտնվող համաձայնագրերի)</w:t>
      </w:r>
    </w:p>
    <w:p w14:paraId="3A2187D5" w14:textId="77777777" w:rsidR="00080175" w:rsidRDefault="00080175" w:rsidP="00C30825">
      <w:pPr>
        <w:tabs>
          <w:tab w:val="left" w:pos="0"/>
        </w:tabs>
        <w:spacing w:before="120" w:after="0" w:line="276" w:lineRule="auto"/>
        <w:ind w:firstLine="0"/>
        <w:rPr>
          <w:rFonts w:cs="Tahoma"/>
          <w:lang w:val="hy-AM"/>
        </w:rPr>
      </w:pPr>
    </w:p>
    <w:p w14:paraId="3364D8E9" w14:textId="77777777" w:rsidR="00080175" w:rsidRDefault="00080175" w:rsidP="00C30825">
      <w:pPr>
        <w:tabs>
          <w:tab w:val="left" w:pos="0"/>
        </w:tabs>
        <w:spacing w:before="120" w:after="0" w:line="276" w:lineRule="auto"/>
        <w:ind w:firstLine="0"/>
        <w:rPr>
          <w:rFonts w:cs="Tahoma"/>
          <w:lang w:val="hy-AM"/>
        </w:rPr>
      </w:pPr>
    </w:p>
    <w:p w14:paraId="3EE23704" w14:textId="77777777" w:rsidR="00080175" w:rsidRDefault="00080175" w:rsidP="00C30825">
      <w:pPr>
        <w:tabs>
          <w:tab w:val="left" w:pos="0"/>
        </w:tabs>
        <w:spacing w:before="120" w:after="0" w:line="276" w:lineRule="auto"/>
        <w:ind w:firstLine="0"/>
        <w:rPr>
          <w:rFonts w:cs="Tahoma"/>
          <w:lang w:val="hy-AM"/>
        </w:rPr>
      </w:pPr>
    </w:p>
    <w:p w14:paraId="07655C2A" w14:textId="77777777" w:rsidR="00080175" w:rsidRDefault="00080175" w:rsidP="00C30825">
      <w:pPr>
        <w:tabs>
          <w:tab w:val="left" w:pos="0"/>
        </w:tabs>
        <w:spacing w:before="120" w:after="0" w:line="276" w:lineRule="auto"/>
        <w:ind w:firstLine="0"/>
        <w:rPr>
          <w:rFonts w:cs="Tahoma"/>
          <w:lang w:val="hy-AM"/>
        </w:rPr>
      </w:pPr>
    </w:p>
    <w:p w14:paraId="568D6437" w14:textId="77777777" w:rsidR="00080175" w:rsidRDefault="00080175" w:rsidP="00C30825">
      <w:pPr>
        <w:pStyle w:val="mechtex"/>
        <w:tabs>
          <w:tab w:val="left" w:pos="0"/>
        </w:tabs>
        <w:spacing w:before="120" w:after="0" w:line="276" w:lineRule="auto"/>
        <w:ind w:firstLine="0"/>
        <w:jc w:val="left"/>
        <w:rPr>
          <w:rFonts w:ascii="GHEA Mariam" w:hAnsi="GHEA Mariam" w:cs="Arial Armenian"/>
          <w:lang w:val="hy-AM"/>
        </w:rPr>
      </w:pPr>
      <w:r>
        <w:rPr>
          <w:rFonts w:ascii="GHEA Mariam" w:hAnsi="GHEA Mariam" w:cs="Sylfaen"/>
          <w:lang w:val="hy-AM"/>
        </w:rPr>
        <w:t>ՀԱՅԱՍՏԱՆԻ</w:t>
      </w:r>
      <w:r>
        <w:rPr>
          <w:rFonts w:ascii="GHEA Mariam" w:hAnsi="GHEA Mariam" w:cs="Arial Armenian"/>
          <w:lang w:val="hy-AM"/>
        </w:rPr>
        <w:t xml:space="preserve">  </w:t>
      </w:r>
      <w:r>
        <w:rPr>
          <w:rFonts w:ascii="GHEA Mariam" w:hAnsi="GHEA Mariam" w:cs="Sylfaen"/>
          <w:lang w:val="hy-AM"/>
        </w:rPr>
        <w:t>ՀԱՆՐԱՊԵՏՈՒԹՅԱՆ</w:t>
      </w:r>
    </w:p>
    <w:p w14:paraId="094A6B39" w14:textId="77777777" w:rsidR="00080175" w:rsidRDefault="00080175" w:rsidP="00C30825">
      <w:pPr>
        <w:pStyle w:val="mechtex"/>
        <w:tabs>
          <w:tab w:val="left" w:pos="0"/>
        </w:tabs>
        <w:spacing w:before="120" w:after="0" w:line="276" w:lineRule="auto"/>
        <w:ind w:firstLine="0"/>
        <w:jc w:val="left"/>
        <w:rPr>
          <w:rFonts w:ascii="GHEA Mariam" w:hAnsi="GHEA Mariam" w:cs="Sylfaen"/>
          <w:lang w:val="hy-AM"/>
        </w:rPr>
      </w:pPr>
      <w:r>
        <w:rPr>
          <w:rFonts w:ascii="GHEA Mariam" w:hAnsi="GHEA Mariam"/>
          <w:lang w:val="hy-AM"/>
        </w:rPr>
        <w:t xml:space="preserve"> </w:t>
      </w:r>
      <w:r w:rsidRPr="00051357">
        <w:rPr>
          <w:rFonts w:ascii="GHEA Mariam" w:hAnsi="GHEA Mariam"/>
          <w:lang w:val="hy-AM"/>
        </w:rPr>
        <w:t xml:space="preserve"> </w:t>
      </w:r>
      <w:r>
        <w:rPr>
          <w:rFonts w:ascii="GHEA Mariam" w:hAnsi="GHEA Mariam"/>
          <w:lang w:val="hy-AM"/>
        </w:rPr>
        <w:t xml:space="preserve"> </w:t>
      </w:r>
      <w:r>
        <w:rPr>
          <w:rFonts w:ascii="GHEA Mariam" w:hAnsi="GHEA Mariam" w:cs="Sylfaen"/>
          <w:lang w:val="hy-AM"/>
        </w:rPr>
        <w:t>ՎԱՐՉԱՊԵՏԻ ԱՇԽԱՏԱԿԱԶՄԻ</w:t>
      </w:r>
    </w:p>
    <w:p w14:paraId="07002A00" w14:textId="77777777" w:rsidR="00080175" w:rsidRDefault="00080175" w:rsidP="00C30825">
      <w:pPr>
        <w:pStyle w:val="mechtex"/>
        <w:tabs>
          <w:tab w:val="left" w:pos="0"/>
        </w:tabs>
        <w:spacing w:before="120" w:after="0" w:line="276" w:lineRule="auto"/>
        <w:ind w:firstLine="0"/>
        <w:jc w:val="left"/>
        <w:rPr>
          <w:rFonts w:cs="Tahoma"/>
          <w:lang w:val="hy-AM"/>
        </w:rPr>
      </w:pPr>
      <w:r>
        <w:rPr>
          <w:rFonts w:ascii="GHEA Mariam" w:hAnsi="GHEA Mariam" w:cs="Sylfaen"/>
          <w:lang w:val="hy-AM"/>
        </w:rPr>
        <w:t xml:space="preserve">                 ՂԵԿԱՎԱՐ</w:t>
      </w:r>
      <w:r>
        <w:rPr>
          <w:rFonts w:ascii="GHEA Mariam" w:hAnsi="GHEA Mariam" w:cs="Arial Armenian"/>
          <w:lang w:val="hy-AM"/>
        </w:rPr>
        <w:tab/>
        <w:t xml:space="preserve">                                                          Ա</w:t>
      </w:r>
      <w:r>
        <w:rPr>
          <w:rFonts w:ascii="GHEA Mariam" w:hAnsi="GHEA Mariam" w:cs="Sylfaen"/>
          <w:lang w:val="hy-AM"/>
        </w:rPr>
        <w:t>.</w:t>
      </w:r>
      <w:r>
        <w:rPr>
          <w:rFonts w:ascii="GHEA Mariam" w:hAnsi="GHEA Mariam" w:cs="Arial Armenian"/>
          <w:lang w:val="hy-AM"/>
        </w:rPr>
        <w:t xml:space="preserve"> </w:t>
      </w:r>
      <w:r w:rsidRPr="00FA0954">
        <w:rPr>
          <w:rFonts w:ascii="GHEA Mariam" w:hAnsi="GHEA Mariam" w:cs="Arial Armenian"/>
          <w:lang w:val="hy-AM"/>
        </w:rPr>
        <w:t>ՀԱՐՈՒԹՅՈՒՆ</w:t>
      </w:r>
      <w:r>
        <w:rPr>
          <w:rFonts w:ascii="GHEA Mariam" w:hAnsi="GHEA Mariam" w:cs="Sylfaen"/>
          <w:lang w:val="hy-AM"/>
        </w:rPr>
        <w:t>ՅԱՆ</w:t>
      </w:r>
    </w:p>
    <w:p w14:paraId="2C57EFA2" w14:textId="77777777" w:rsidR="00D17B50" w:rsidRPr="00080175" w:rsidRDefault="00D17B50" w:rsidP="00C30825">
      <w:pPr>
        <w:spacing w:before="120" w:after="0" w:line="276" w:lineRule="auto"/>
        <w:rPr>
          <w:lang w:val="hy-AM"/>
        </w:rPr>
      </w:pPr>
    </w:p>
    <w:sectPr w:rsidR="00D17B50" w:rsidRPr="00080175" w:rsidSect="000959FE">
      <w:footerReference w:type="even" r:id="rId112"/>
      <w:footerReference w:type="default" r:id="rId113"/>
      <w:pgSz w:w="11906" w:h="16838" w:code="9"/>
      <w:pgMar w:top="900" w:right="836" w:bottom="810"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D6E4D1" w14:textId="77777777" w:rsidR="00280FCA" w:rsidRDefault="00280FCA" w:rsidP="00080175">
      <w:pPr>
        <w:spacing w:before="0" w:after="0" w:line="240" w:lineRule="auto"/>
      </w:pPr>
      <w:r>
        <w:separator/>
      </w:r>
    </w:p>
  </w:endnote>
  <w:endnote w:type="continuationSeparator" w:id="0">
    <w:p w14:paraId="43ECBC1B" w14:textId="77777777" w:rsidR="00280FCA" w:rsidRDefault="00280FCA" w:rsidP="0008017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Armenian">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LatArm">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ill Sans">
    <w:charset w:val="00"/>
    <w:family w:val="auto"/>
    <w:pitch w:val="variable"/>
    <w:sig w:usb0="80000267" w:usb1="00000000" w:usb2="00000000" w:usb3="00000000" w:csb0="000001F7" w:csb1="00000000"/>
  </w:font>
  <w:font w:name="Arial AM">
    <w:panose1 w:val="020B0604020202020204"/>
    <w:charset w:val="00"/>
    <w:family w:val="swiss"/>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Baltica">
    <w:panose1 w:val="00000000000000000000"/>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Armenian">
    <w:altName w:val="Arial Armenian"/>
    <w:panose1 w:val="00000000000000000000"/>
    <w:charset w:val="00"/>
    <w:family w:val="swiss"/>
    <w:notTrueType/>
    <w:pitch w:val="default"/>
    <w:sig w:usb0="00000003" w:usb1="00000000" w:usb2="00000000" w:usb3="00000000" w:csb0="00000001" w:csb1="00000000"/>
  </w:font>
  <w:font w:name="Russian Baltica">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allak Helv">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Liberation Sans">
    <w:altName w:val="Arial"/>
    <w:charset w:val="01"/>
    <w:family w:val="roman"/>
    <w:pitch w:val="variable"/>
  </w:font>
  <w:font w:name="ヒラギノ角ゴ Pro W3">
    <w:altName w:val="Arial Unicode MS"/>
    <w:panose1 w:val="00000000000000000000"/>
    <w:charset w:val="80"/>
    <w:family w:val="auto"/>
    <w:notTrueType/>
    <w:pitch w:val="variable"/>
    <w:sig w:usb0="00000000" w:usb1="08070000" w:usb2="00000010" w:usb3="00000000" w:csb0="00020000" w:csb1="00000000"/>
  </w:font>
  <w:font w:name="Times Unicode">
    <w:panose1 w:val="02020603050405020304"/>
    <w:charset w:val="00"/>
    <w:family w:val="roman"/>
    <w:pitch w:val="variable"/>
    <w:sig w:usb0="00000287" w:usb1="00000000" w:usb2="00000000" w:usb3="00000000" w:csb0="0000009F" w:csb1="00000000"/>
  </w:font>
  <w:font w:name="GHEAGrapalat-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erriweather">
    <w:altName w:val="Times New Roman"/>
    <w:charset w:val="00"/>
    <w:family w:val="auto"/>
    <w:pitch w:val="default"/>
  </w:font>
  <w:font w:name="Microsoft JhengHei">
    <w:panose1 w:val="020B0604030504040204"/>
    <w:charset w:val="88"/>
    <w:family w:val="swiss"/>
    <w:pitch w:val="variable"/>
    <w:sig w:usb0="000002A7" w:usb1="28CF4400" w:usb2="00000016" w:usb3="00000000" w:csb0="00100009" w:csb1="00000000"/>
  </w:font>
  <w:font w:name="CIDFont+F1">
    <w:panose1 w:val="00000000000000000000"/>
    <w:charset w:val="00"/>
    <w:family w:val="auto"/>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850C6" w14:textId="77777777" w:rsidR="001A687C" w:rsidRDefault="001A687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16</w:t>
    </w:r>
    <w:r>
      <w:rPr>
        <w:rStyle w:val="PageNumber"/>
      </w:rPr>
      <w:fldChar w:fldCharType="end"/>
    </w:r>
  </w:p>
  <w:p w14:paraId="40BF8CC7" w14:textId="77777777" w:rsidR="001A687C" w:rsidRDefault="001A687C">
    <w:pPr>
      <w:pStyle w:val="Footer"/>
      <w:ind w:right="360"/>
    </w:pPr>
  </w:p>
  <w:p w14:paraId="0F8887C3" w14:textId="77777777" w:rsidR="001A687C" w:rsidRDefault="001A687C"/>
  <w:p w14:paraId="03CCF2AD" w14:textId="77777777" w:rsidR="001A687C" w:rsidRDefault="001A687C"/>
  <w:p w14:paraId="6886781D" w14:textId="77777777" w:rsidR="001A687C" w:rsidRDefault="001A687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3694835"/>
      <w:docPartObj>
        <w:docPartGallery w:val="Page Numbers (Bottom of Page)"/>
        <w:docPartUnique/>
      </w:docPartObj>
    </w:sdtPr>
    <w:sdtEndPr>
      <w:rPr>
        <w:noProof/>
        <w:sz w:val="16"/>
        <w:szCs w:val="16"/>
      </w:rPr>
    </w:sdtEndPr>
    <w:sdtContent>
      <w:p w14:paraId="61ACEB9C" w14:textId="4C222162" w:rsidR="001A687C" w:rsidRPr="00A12018" w:rsidRDefault="001A687C">
        <w:pPr>
          <w:pStyle w:val="Footer"/>
          <w:jc w:val="right"/>
          <w:rPr>
            <w:sz w:val="16"/>
            <w:szCs w:val="16"/>
          </w:rPr>
        </w:pPr>
        <w:r w:rsidRPr="00A12018">
          <w:rPr>
            <w:sz w:val="16"/>
            <w:szCs w:val="16"/>
          </w:rPr>
          <w:fldChar w:fldCharType="begin"/>
        </w:r>
        <w:r w:rsidRPr="00A12018">
          <w:rPr>
            <w:sz w:val="16"/>
            <w:szCs w:val="16"/>
          </w:rPr>
          <w:instrText xml:space="preserve"> PAGE   \* MERGEFORMAT </w:instrText>
        </w:r>
        <w:r w:rsidRPr="00A12018">
          <w:rPr>
            <w:sz w:val="16"/>
            <w:szCs w:val="16"/>
          </w:rPr>
          <w:fldChar w:fldCharType="separate"/>
        </w:r>
        <w:r w:rsidR="00944459">
          <w:rPr>
            <w:noProof/>
            <w:sz w:val="16"/>
            <w:szCs w:val="16"/>
          </w:rPr>
          <w:t>2</w:t>
        </w:r>
        <w:r w:rsidRPr="00A12018">
          <w:rPr>
            <w:noProof/>
            <w:sz w:val="16"/>
            <w:szCs w:val="16"/>
          </w:rPr>
          <w:fldChar w:fldCharType="end"/>
        </w:r>
      </w:p>
    </w:sdtContent>
  </w:sdt>
  <w:p w14:paraId="41D7A5F3" w14:textId="77777777" w:rsidR="001A687C" w:rsidRDefault="001A687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42960A" w14:textId="77777777" w:rsidR="00280FCA" w:rsidRDefault="00280FCA" w:rsidP="00080175">
      <w:pPr>
        <w:spacing w:before="0" w:after="0" w:line="240" w:lineRule="auto"/>
      </w:pPr>
      <w:r>
        <w:separator/>
      </w:r>
    </w:p>
  </w:footnote>
  <w:footnote w:type="continuationSeparator" w:id="0">
    <w:p w14:paraId="38A7340C" w14:textId="77777777" w:rsidR="00280FCA" w:rsidRDefault="00280FCA" w:rsidP="00080175">
      <w:pPr>
        <w:spacing w:before="0" w:after="0" w:line="240" w:lineRule="auto"/>
      </w:pPr>
      <w:r>
        <w:continuationSeparator/>
      </w:r>
    </w:p>
  </w:footnote>
  <w:footnote w:id="1">
    <w:p w14:paraId="5DC694D1" w14:textId="77777777" w:rsidR="001A687C" w:rsidRDefault="001A687C" w:rsidP="00080175">
      <w:pPr>
        <w:pStyle w:val="FootnoteText"/>
      </w:pPr>
      <w:r>
        <w:rPr>
          <w:rStyle w:val="FootnoteReference"/>
        </w:rPr>
        <w:footnoteRef/>
      </w:r>
      <w:r>
        <w:t xml:space="preserve"> </w:t>
      </w:r>
      <w:r>
        <w:rPr>
          <w:rFonts w:cs="GHEA Grapalat"/>
          <w:lang w:val="hy-AM"/>
        </w:rPr>
        <w:t>ՀՀ կառավարության 2021 թվականի օգոստոսի 18-ի N 1363-Ն որոշ</w:t>
      </w:r>
      <w:r>
        <w:rPr>
          <w:rFonts w:cs="GHEA Grapalat"/>
        </w:rPr>
        <w:t xml:space="preserve">ում </w:t>
      </w:r>
    </w:p>
  </w:footnote>
  <w:footnote w:id="2">
    <w:p w14:paraId="66F49D7E" w14:textId="77777777" w:rsidR="002D7DDD" w:rsidRPr="00580D1A" w:rsidRDefault="002D7DDD" w:rsidP="002D7DDD">
      <w:pPr>
        <w:pStyle w:val="FootnoteText"/>
        <w:spacing w:line="240" w:lineRule="auto"/>
        <w:rPr>
          <w:szCs w:val="16"/>
          <w:lang w:val="hy-AM"/>
        </w:rPr>
      </w:pPr>
      <w:r w:rsidRPr="00500ADC">
        <w:rPr>
          <w:rStyle w:val="FootnoteReference"/>
          <w:szCs w:val="16"/>
        </w:rPr>
        <w:footnoteRef/>
      </w:r>
      <w:r w:rsidRPr="00580D1A">
        <w:rPr>
          <w:szCs w:val="16"/>
          <w:lang w:val="hy-AM"/>
        </w:rPr>
        <w:t xml:space="preserve"> </w:t>
      </w:r>
      <w:r w:rsidRPr="005A6C05">
        <w:rPr>
          <w:sz w:val="18"/>
          <w:szCs w:val="18"/>
          <w:lang w:val="hy-AM"/>
        </w:rPr>
        <w:t>Կապիտալ ներդրումներում ներառված չէ պաշարների փոփոխությունը, ներկայացված են միայն հիմնական միջոցներում կատարված կապիտալ ներդրումները, քանի որ 2019թ.-ից ՀՀ ՎԿ կողմից պաշարների փոփոխությունը հաշվառվում է որպես հաշվեկշռող գործոն կամ այլ կերպ՝ դրա մեջ ներառվում են նաև վիճակագրական սխալները:</w:t>
      </w:r>
    </w:p>
  </w:footnote>
  <w:footnote w:id="3">
    <w:p w14:paraId="06FC70D4" w14:textId="77777777" w:rsidR="002D7DDD" w:rsidRPr="002C20BC" w:rsidRDefault="002D7DDD" w:rsidP="002D7DDD">
      <w:pPr>
        <w:pStyle w:val="FootnoteText"/>
        <w:spacing w:after="0" w:line="240" w:lineRule="auto"/>
        <w:rPr>
          <w:sz w:val="18"/>
          <w:szCs w:val="18"/>
          <w:lang w:val="hy-AM"/>
        </w:rPr>
      </w:pPr>
      <w:r w:rsidRPr="002C20BC">
        <w:rPr>
          <w:rStyle w:val="FootnoteReference"/>
          <w:sz w:val="18"/>
          <w:szCs w:val="18"/>
        </w:rPr>
        <w:footnoteRef/>
      </w:r>
      <w:r w:rsidRPr="002C20BC">
        <w:rPr>
          <w:sz w:val="18"/>
          <w:szCs w:val="18"/>
          <w:lang w:val="hy-AM"/>
        </w:rPr>
        <w:t xml:space="preserve"> Աղբյուրը՝ ԱՄՆ տնտեսական վերլուծությունների բյուրո, </w:t>
      </w:r>
      <w:hyperlink r:id="rId1" w:history="1">
        <w:r w:rsidRPr="002C20BC">
          <w:rPr>
            <w:rStyle w:val="Hyperlink"/>
            <w:sz w:val="18"/>
            <w:szCs w:val="18"/>
            <w:lang w:val="hy-AM"/>
          </w:rPr>
          <w:t>https://www.bea.gov/</w:t>
        </w:r>
      </w:hyperlink>
    </w:p>
  </w:footnote>
  <w:footnote w:id="4">
    <w:p w14:paraId="1D8129B1" w14:textId="77777777" w:rsidR="002D7DDD" w:rsidRPr="002C20BC" w:rsidRDefault="002D7DDD" w:rsidP="002D7DDD">
      <w:pPr>
        <w:pStyle w:val="FootnoteText"/>
        <w:spacing w:after="0" w:line="240" w:lineRule="auto"/>
        <w:rPr>
          <w:sz w:val="18"/>
          <w:szCs w:val="18"/>
          <w:lang w:val="hy-AM"/>
        </w:rPr>
      </w:pPr>
      <w:r w:rsidRPr="002C20BC">
        <w:rPr>
          <w:rStyle w:val="FootnoteReference"/>
          <w:sz w:val="18"/>
          <w:szCs w:val="18"/>
        </w:rPr>
        <w:footnoteRef/>
      </w:r>
      <w:r w:rsidRPr="002C20BC">
        <w:rPr>
          <w:sz w:val="18"/>
          <w:szCs w:val="18"/>
          <w:lang w:val="hy-AM"/>
        </w:rPr>
        <w:t xml:space="preserve"> Աղբյուրը՝ Եվրոստատ, </w:t>
      </w:r>
      <w:hyperlink r:id="rId2" w:history="1">
        <w:r w:rsidRPr="002C20BC">
          <w:rPr>
            <w:rStyle w:val="Hyperlink"/>
            <w:sz w:val="18"/>
            <w:szCs w:val="18"/>
            <w:lang w:val="hy-AM"/>
          </w:rPr>
          <w:t>https://ec.europa.eu/eurostat/</w:t>
        </w:r>
      </w:hyperlink>
      <w:r w:rsidRPr="002C20BC">
        <w:rPr>
          <w:sz w:val="18"/>
          <w:szCs w:val="18"/>
          <w:lang w:val="hy-AM"/>
        </w:rPr>
        <w:t xml:space="preserve"> </w:t>
      </w:r>
    </w:p>
  </w:footnote>
  <w:footnote w:id="5">
    <w:p w14:paraId="7F29395F" w14:textId="77777777" w:rsidR="002D7DDD" w:rsidRPr="002C20BC" w:rsidRDefault="002D7DDD" w:rsidP="002D7DDD">
      <w:pPr>
        <w:pStyle w:val="FootnoteText"/>
        <w:spacing w:after="0" w:line="240" w:lineRule="auto"/>
        <w:rPr>
          <w:sz w:val="18"/>
          <w:szCs w:val="18"/>
          <w:lang w:val="hy-AM"/>
        </w:rPr>
      </w:pPr>
      <w:r w:rsidRPr="002C20BC">
        <w:rPr>
          <w:rStyle w:val="FootnoteReference"/>
          <w:sz w:val="18"/>
          <w:szCs w:val="18"/>
        </w:rPr>
        <w:footnoteRef/>
      </w:r>
      <w:r w:rsidRPr="002C20BC">
        <w:rPr>
          <w:sz w:val="18"/>
          <w:szCs w:val="18"/>
          <w:lang w:val="hy-AM"/>
        </w:rPr>
        <w:t xml:space="preserve"> Աղբյուրը՝ Չինաստանի վիճակագրության ազգային բյուրո, </w:t>
      </w:r>
      <w:hyperlink r:id="rId3" w:history="1">
        <w:r w:rsidRPr="002C20BC">
          <w:rPr>
            <w:rStyle w:val="Hyperlink"/>
            <w:sz w:val="18"/>
            <w:szCs w:val="18"/>
            <w:lang w:val="hy-AM"/>
          </w:rPr>
          <w:t>http://www.stats.gov.cn/</w:t>
        </w:r>
      </w:hyperlink>
    </w:p>
  </w:footnote>
  <w:footnote w:id="6">
    <w:p w14:paraId="6B8AFC0D" w14:textId="77777777" w:rsidR="002D7DDD" w:rsidRPr="00C85173" w:rsidRDefault="002D7DDD" w:rsidP="002D7DDD">
      <w:pPr>
        <w:pStyle w:val="FootnoteText"/>
        <w:spacing w:after="0" w:line="240" w:lineRule="auto"/>
        <w:rPr>
          <w:lang w:val="hy-AM"/>
        </w:rPr>
      </w:pPr>
      <w:r w:rsidRPr="002C20BC">
        <w:rPr>
          <w:rStyle w:val="FootnoteReference"/>
          <w:sz w:val="18"/>
          <w:szCs w:val="18"/>
        </w:rPr>
        <w:footnoteRef/>
      </w:r>
      <w:r w:rsidRPr="002C20BC">
        <w:rPr>
          <w:sz w:val="18"/>
          <w:szCs w:val="18"/>
          <w:lang w:val="hy-AM"/>
        </w:rPr>
        <w:t xml:space="preserve"> Աղբյուրը՝ ՌԴ տնտեսական զարգացման նախարարություն, </w:t>
      </w:r>
      <w:hyperlink r:id="rId4" w:history="1">
        <w:r w:rsidRPr="002C20BC">
          <w:rPr>
            <w:rStyle w:val="Hyperlink"/>
            <w:sz w:val="18"/>
            <w:szCs w:val="18"/>
            <w:lang w:val="hy-AM"/>
          </w:rPr>
          <w:t>https://economy.gov.ru/</w:t>
        </w:r>
      </w:hyperlink>
    </w:p>
  </w:footnote>
  <w:footnote w:id="7">
    <w:p w14:paraId="4DF47961" w14:textId="77777777" w:rsidR="002D7DDD" w:rsidRPr="009E37B9" w:rsidRDefault="002D7DDD" w:rsidP="002D7DDD">
      <w:pPr>
        <w:pStyle w:val="FootnoteText"/>
        <w:contextualSpacing/>
        <w:rPr>
          <w:i/>
          <w:iCs/>
          <w:szCs w:val="16"/>
          <w:lang w:val="hy-AM"/>
        </w:rPr>
      </w:pPr>
      <w:r w:rsidRPr="009E37B9">
        <w:rPr>
          <w:rStyle w:val="FootnoteReference"/>
          <w:szCs w:val="16"/>
        </w:rPr>
        <w:footnoteRef/>
      </w:r>
      <w:r w:rsidRPr="009E37B9">
        <w:rPr>
          <w:szCs w:val="16"/>
          <w:lang w:val="hy-AM"/>
        </w:rPr>
        <w:t xml:space="preserve"> </w:t>
      </w:r>
      <w:r w:rsidRPr="002C20BC">
        <w:rPr>
          <w:sz w:val="18"/>
          <w:szCs w:val="18"/>
          <w:lang w:val="hy-AM"/>
        </w:rPr>
        <w:t>Դոլարի ինդեքսը հաշվարկվում է որպես կշռված երկրաչափական միջին՝ հետևյալ արժույթների նկատմամբ. Եվրո, Ճապոնական յեն, Բրիտանական ֆունտ, Կանադական դոլար, Շվեդական կրոն, Շվեյցարական ֆրանկ։</w:t>
      </w:r>
    </w:p>
  </w:footnote>
  <w:footnote w:id="8">
    <w:p w14:paraId="36E1656A" w14:textId="77777777" w:rsidR="002D7DDD" w:rsidRPr="009E37B9" w:rsidRDefault="002D7DDD" w:rsidP="002D7DDD">
      <w:pPr>
        <w:pStyle w:val="FootnoteText"/>
        <w:spacing w:line="240" w:lineRule="auto"/>
        <w:contextualSpacing/>
        <w:rPr>
          <w:i/>
          <w:szCs w:val="16"/>
          <w:lang w:val="hy-AM"/>
        </w:rPr>
      </w:pPr>
      <w:r w:rsidRPr="009E37B9">
        <w:rPr>
          <w:rStyle w:val="FootnoteReference"/>
          <w:i/>
          <w:szCs w:val="16"/>
        </w:rPr>
        <w:footnoteRef/>
      </w:r>
      <w:r w:rsidRPr="009E37B9">
        <w:rPr>
          <w:i/>
          <w:szCs w:val="16"/>
          <w:lang w:val="hy-AM"/>
        </w:rPr>
        <w:t xml:space="preserve"> </w:t>
      </w:r>
      <w:r w:rsidRPr="002C20BC">
        <w:rPr>
          <w:sz w:val="18"/>
          <w:szCs w:val="18"/>
          <w:lang w:val="hy-AM"/>
        </w:rPr>
        <w:t>Երկրի ռիսկի հավելավճարները հաշվարկված են որպես տվյալ երկրի եվրոպարտատոմսերի (դոլարային արժույթով) և ԱՄՆ համապատասխան ժամկետայնությամբ գանձապետական պարտատոմսերի եկամտաբերությունների տարբերություն (պարտատոմսերի մարման ժամկետները նշված են երկրների անվանումների կողքը՝ փակագծերում):</w:t>
      </w:r>
      <w:r w:rsidRPr="009E37B9">
        <w:rPr>
          <w:i/>
          <w:szCs w:val="16"/>
          <w:lang w:val="hy-AM"/>
        </w:rPr>
        <w:t xml:space="preserve"> </w:t>
      </w:r>
    </w:p>
  </w:footnote>
  <w:footnote w:id="9">
    <w:p w14:paraId="7FFC71EA" w14:textId="77777777" w:rsidR="002D7DDD" w:rsidRPr="008D4DA6" w:rsidRDefault="002D7DDD" w:rsidP="002D7DDD">
      <w:pPr>
        <w:shd w:val="clear" w:color="auto" w:fill="FFFFFF"/>
        <w:spacing w:before="100" w:beforeAutospacing="1" w:line="240" w:lineRule="auto"/>
        <w:rPr>
          <w:color w:val="000000"/>
          <w:sz w:val="20"/>
          <w:szCs w:val="20"/>
          <w:lang w:val="hy-AM"/>
        </w:rPr>
      </w:pPr>
      <w:r w:rsidRPr="008D4DA6">
        <w:rPr>
          <w:rStyle w:val="FootnoteReference"/>
          <w:sz w:val="18"/>
          <w:szCs w:val="20"/>
        </w:rPr>
        <w:footnoteRef/>
      </w:r>
      <w:r w:rsidRPr="00F60AB0">
        <w:rPr>
          <w:color w:val="000000"/>
          <w:sz w:val="18"/>
          <w:szCs w:val="20"/>
          <w:lang w:val="hy-AM"/>
        </w:rPr>
        <w:t>2024թ. ապրիլ ամսվա հաշվետվության ներկայացման ժամանակ</w:t>
      </w:r>
      <w:r w:rsidRPr="008D4DA6">
        <w:rPr>
          <w:rFonts w:ascii="Calibri" w:hAnsi="Calibri" w:cs="Calibri"/>
          <w:color w:val="000000"/>
          <w:sz w:val="18"/>
          <w:szCs w:val="20"/>
          <w:lang w:val="hy-AM"/>
        </w:rPr>
        <w:t> </w:t>
      </w:r>
      <w:r w:rsidRPr="008D4DA6">
        <w:rPr>
          <w:rFonts w:cs="GHEA Grapalat"/>
          <w:color w:val="000000"/>
          <w:sz w:val="18"/>
          <w:szCs w:val="20"/>
          <w:lang w:val="hy-AM"/>
        </w:rPr>
        <w:t>ՀՀ</w:t>
      </w:r>
      <w:r w:rsidRPr="008D4DA6">
        <w:rPr>
          <w:rFonts w:cs="Cambria"/>
          <w:color w:val="000000"/>
          <w:sz w:val="18"/>
          <w:szCs w:val="20"/>
          <w:lang w:val="hy-AM"/>
        </w:rPr>
        <w:t xml:space="preserve"> </w:t>
      </w:r>
      <w:r w:rsidRPr="008D4DA6">
        <w:rPr>
          <w:rFonts w:cs="GHEA Grapalat"/>
          <w:color w:val="000000"/>
          <w:sz w:val="18"/>
          <w:szCs w:val="20"/>
          <w:lang w:val="hy-AM"/>
        </w:rPr>
        <w:t>ՎԿ</w:t>
      </w:r>
      <w:r w:rsidRPr="008D4DA6">
        <w:rPr>
          <w:rFonts w:cs="Cambria"/>
          <w:color w:val="000000"/>
          <w:sz w:val="18"/>
          <w:szCs w:val="20"/>
          <w:lang w:val="hy-AM"/>
        </w:rPr>
        <w:t>-</w:t>
      </w:r>
      <w:r w:rsidRPr="008D4DA6">
        <w:rPr>
          <w:rFonts w:cs="GHEA Grapalat"/>
          <w:color w:val="000000"/>
          <w:sz w:val="18"/>
          <w:szCs w:val="20"/>
          <w:lang w:val="hy-AM"/>
        </w:rPr>
        <w:t>ն</w:t>
      </w:r>
      <w:r w:rsidRPr="008D4DA6">
        <w:rPr>
          <w:rFonts w:cs="Cambria"/>
          <w:color w:val="000000"/>
          <w:sz w:val="18"/>
          <w:szCs w:val="20"/>
          <w:lang w:val="hy-AM"/>
        </w:rPr>
        <w:t xml:space="preserve"> </w:t>
      </w:r>
      <w:r w:rsidRPr="00F60AB0">
        <w:rPr>
          <w:b/>
          <w:bCs/>
          <w:color w:val="000000"/>
          <w:sz w:val="18"/>
          <w:szCs w:val="20"/>
          <w:lang w:val="hy-AM"/>
        </w:rPr>
        <w:t>ճշգրտել է</w:t>
      </w:r>
      <w:r w:rsidRPr="008D4DA6">
        <w:rPr>
          <w:rFonts w:ascii="Calibri" w:hAnsi="Calibri" w:cs="Calibri"/>
          <w:b/>
          <w:bCs/>
          <w:color w:val="000000"/>
          <w:sz w:val="18"/>
          <w:szCs w:val="20"/>
          <w:lang w:val="hy-AM"/>
        </w:rPr>
        <w:t>  </w:t>
      </w:r>
      <w:r w:rsidRPr="00F60AB0">
        <w:rPr>
          <w:rFonts w:cs="GHEA Grapalat"/>
          <w:b/>
          <w:bCs/>
          <w:color w:val="000000"/>
          <w:sz w:val="18"/>
          <w:szCs w:val="20"/>
          <w:lang w:val="hy-AM"/>
        </w:rPr>
        <w:t>նախորդ</w:t>
      </w:r>
      <w:r w:rsidRPr="00F60AB0">
        <w:rPr>
          <w:b/>
          <w:bCs/>
          <w:color w:val="000000"/>
          <w:sz w:val="18"/>
          <w:szCs w:val="20"/>
          <w:lang w:val="hy-AM"/>
        </w:rPr>
        <w:t xml:space="preserve"> </w:t>
      </w:r>
      <w:r w:rsidRPr="00791570">
        <w:rPr>
          <w:rFonts w:cs="GHEA Grapalat"/>
          <w:b/>
          <w:bCs/>
          <w:color w:val="000000"/>
          <w:sz w:val="18"/>
          <w:szCs w:val="20"/>
          <w:lang w:val="hy-AM"/>
        </w:rPr>
        <w:t>երեք</w:t>
      </w:r>
      <w:r w:rsidRPr="00791570">
        <w:rPr>
          <w:b/>
          <w:bCs/>
          <w:color w:val="000000"/>
          <w:sz w:val="18"/>
          <w:szCs w:val="20"/>
          <w:lang w:val="hy-AM"/>
        </w:rPr>
        <w:t xml:space="preserve"> </w:t>
      </w:r>
      <w:r w:rsidRPr="00791570">
        <w:rPr>
          <w:rFonts w:cs="GHEA Grapalat"/>
          <w:b/>
          <w:bCs/>
          <w:color w:val="000000"/>
          <w:sz w:val="18"/>
          <w:szCs w:val="20"/>
          <w:lang w:val="hy-AM"/>
        </w:rPr>
        <w:t>ամիսների</w:t>
      </w:r>
      <w:r w:rsidRPr="00791570">
        <w:rPr>
          <w:b/>
          <w:bCs/>
          <w:color w:val="000000"/>
          <w:sz w:val="18"/>
          <w:szCs w:val="20"/>
          <w:lang w:val="hy-AM"/>
        </w:rPr>
        <w:t xml:space="preserve"> </w:t>
      </w:r>
      <w:r w:rsidRPr="003B2223">
        <w:rPr>
          <w:rFonts w:cs="GHEA Grapalat"/>
          <w:b/>
          <w:bCs/>
          <w:color w:val="000000"/>
          <w:sz w:val="18"/>
          <w:szCs w:val="20"/>
          <w:lang w:val="hy-AM"/>
        </w:rPr>
        <w:t>արդյունաբերության</w:t>
      </w:r>
      <w:r w:rsidRPr="003B2223">
        <w:rPr>
          <w:b/>
          <w:bCs/>
          <w:color w:val="000000"/>
          <w:sz w:val="18"/>
          <w:szCs w:val="20"/>
          <w:lang w:val="hy-AM"/>
        </w:rPr>
        <w:t xml:space="preserve"> </w:t>
      </w:r>
      <w:r w:rsidRPr="004841DA">
        <w:rPr>
          <w:rFonts w:cs="GHEA Grapalat"/>
          <w:b/>
          <w:bCs/>
          <w:color w:val="000000"/>
          <w:sz w:val="18"/>
          <w:szCs w:val="20"/>
          <w:lang w:val="hy-AM"/>
        </w:rPr>
        <w:t>արտադրանքի</w:t>
      </w:r>
      <w:r w:rsidRPr="004841DA">
        <w:rPr>
          <w:b/>
          <w:bCs/>
          <w:color w:val="000000"/>
          <w:sz w:val="18"/>
          <w:szCs w:val="20"/>
          <w:lang w:val="hy-AM"/>
        </w:rPr>
        <w:t xml:space="preserve"> </w:t>
      </w:r>
      <w:r w:rsidRPr="00B652E0">
        <w:rPr>
          <w:rFonts w:cs="GHEA Grapalat"/>
          <w:b/>
          <w:bCs/>
          <w:color w:val="000000"/>
          <w:sz w:val="18"/>
          <w:szCs w:val="20"/>
          <w:lang w:val="hy-AM"/>
        </w:rPr>
        <w:t>ծավալների</w:t>
      </w:r>
      <w:r w:rsidRPr="00B652E0">
        <w:rPr>
          <w:b/>
          <w:bCs/>
          <w:color w:val="000000"/>
          <w:sz w:val="18"/>
          <w:szCs w:val="20"/>
          <w:lang w:val="hy-AM"/>
        </w:rPr>
        <w:t xml:space="preserve"> </w:t>
      </w:r>
      <w:r w:rsidRPr="00F87C9E">
        <w:rPr>
          <w:rFonts w:cs="GHEA Grapalat"/>
          <w:b/>
          <w:bCs/>
          <w:color w:val="000000"/>
          <w:sz w:val="18"/>
          <w:szCs w:val="20"/>
          <w:lang w:val="hy-AM"/>
        </w:rPr>
        <w:t>տվյալները</w:t>
      </w:r>
      <w:r w:rsidRPr="00A9766D">
        <w:rPr>
          <w:color w:val="000000"/>
          <w:sz w:val="18"/>
          <w:szCs w:val="20"/>
          <w:lang w:val="hy-AM"/>
        </w:rPr>
        <w:t>՝ կապված տնտեսական գործունեության տեսակների 24 (հիմնային մետաղների արտադրություն) և 32 (արտադրատեսակների արտադր</w:t>
      </w:r>
      <w:r w:rsidRPr="00463AC7">
        <w:rPr>
          <w:color w:val="000000"/>
          <w:sz w:val="18"/>
          <w:szCs w:val="20"/>
          <w:lang w:val="hy-AM"/>
        </w:rPr>
        <w:t>ություն, չներառված ուրիշ խմբավորումներում, այդ թվում՝ ոսկերչական արտադրանքի արտադրություն)  ծածկագրերով հատվածների միջև վերադասակարգման հետ,</w:t>
      </w:r>
      <w:r w:rsidRPr="008D4DA6">
        <w:rPr>
          <w:rFonts w:cs="Cambria"/>
          <w:color w:val="000000"/>
          <w:sz w:val="18"/>
          <w:szCs w:val="20"/>
          <w:lang w:val="hy-AM"/>
        </w:rPr>
        <w:t xml:space="preserve"> </w:t>
      </w:r>
      <w:r w:rsidRPr="00F60AB0">
        <w:rPr>
          <w:rFonts w:cs="GHEA Grapalat"/>
          <w:color w:val="000000"/>
          <w:sz w:val="18"/>
          <w:szCs w:val="20"/>
          <w:lang w:val="hy-AM"/>
        </w:rPr>
        <w:t>ինչով</w:t>
      </w:r>
      <w:r w:rsidRPr="00F60AB0">
        <w:rPr>
          <w:color w:val="000000"/>
          <w:sz w:val="18"/>
          <w:szCs w:val="20"/>
          <w:lang w:val="hy-AM"/>
        </w:rPr>
        <w:t xml:space="preserve"> </w:t>
      </w:r>
      <w:r w:rsidRPr="00791570">
        <w:rPr>
          <w:rFonts w:cs="GHEA Grapalat"/>
          <w:color w:val="000000"/>
          <w:sz w:val="18"/>
          <w:szCs w:val="20"/>
          <w:lang w:val="hy-AM"/>
        </w:rPr>
        <w:t>պայմանավորված</w:t>
      </w:r>
      <w:r w:rsidRPr="00791570">
        <w:rPr>
          <w:color w:val="000000"/>
          <w:sz w:val="18"/>
          <w:szCs w:val="20"/>
          <w:lang w:val="hy-AM"/>
        </w:rPr>
        <w:t xml:space="preserve"> վերանայվել են նաև նախորդ երեք ամիսների արդյունաբերության ցուցանիշները:</w:t>
      </w:r>
    </w:p>
  </w:footnote>
  <w:footnote w:id="10">
    <w:p w14:paraId="12AB191E" w14:textId="77777777" w:rsidR="002D7DDD" w:rsidRPr="004841DA" w:rsidRDefault="002D7DDD" w:rsidP="002D7DDD">
      <w:pPr>
        <w:pStyle w:val="af9"/>
        <w:ind w:firstLine="0"/>
        <w:rPr>
          <w:sz w:val="22"/>
        </w:rPr>
      </w:pPr>
      <w:r w:rsidRPr="00F60AB0">
        <w:rPr>
          <w:rStyle w:val="FootnoteReference"/>
          <w:rFonts w:eastAsiaTheme="minorEastAsia"/>
          <w:sz w:val="18"/>
        </w:rPr>
        <w:footnoteRef/>
      </w:r>
      <w:r w:rsidRPr="00F60AB0">
        <w:rPr>
          <w:sz w:val="18"/>
        </w:rPr>
        <w:t xml:space="preserve">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w:t>
      </w:r>
      <w:r w:rsidRPr="003B2223">
        <w:rPr>
          <w:sz w:val="18"/>
        </w:rPr>
        <w:t>պայմաններից կախված ամսական արտադրության տատանողականության հարթեցման անհրաժեշտությամբ:</w:t>
      </w:r>
    </w:p>
  </w:footnote>
  <w:footnote w:id="11">
    <w:p w14:paraId="48EF5828" w14:textId="77777777" w:rsidR="002D7DDD" w:rsidRPr="00923782" w:rsidRDefault="002D7DDD" w:rsidP="002D7DDD">
      <w:pPr>
        <w:pStyle w:val="FootnoteText"/>
        <w:spacing w:after="0" w:line="240" w:lineRule="auto"/>
        <w:rPr>
          <w:lang w:val="hy-AM"/>
        </w:rPr>
      </w:pPr>
      <w:r w:rsidRPr="0046785E">
        <w:rPr>
          <w:rStyle w:val="FootnoteReference"/>
          <w:sz w:val="18"/>
        </w:rPr>
        <w:footnoteRef/>
      </w:r>
      <w:r w:rsidRPr="0046785E">
        <w:rPr>
          <w:sz w:val="18"/>
          <w:lang w:val="hy-AM"/>
        </w:rPr>
        <w:t>ՏԱՑ-ի նպաստումների «այլ» բաղադրիչի մեջ ներառված են գյուղատնտեսության (բացառությամբ՝ հունվար-մարտի) և ոչ շուկայական ծառայությունների նպաստումները:</w:t>
      </w:r>
    </w:p>
  </w:footnote>
  <w:footnote w:id="12">
    <w:p w14:paraId="2115E294" w14:textId="77777777" w:rsidR="002D7DDD" w:rsidRDefault="002D7DDD" w:rsidP="002D7DDD">
      <w:pPr>
        <w:pStyle w:val="af9"/>
        <w:ind w:firstLine="0"/>
        <w:rPr>
          <w:sz w:val="18"/>
          <w:szCs w:val="18"/>
          <w:highlight w:val="yellow"/>
        </w:rPr>
      </w:pPr>
      <w:r>
        <w:rPr>
          <w:rStyle w:val="FootnoteReference"/>
          <w:rFonts w:eastAsiaTheme="minorEastAsia"/>
          <w:sz w:val="18"/>
          <w:szCs w:val="18"/>
        </w:rPr>
        <w:footnoteRef/>
      </w:r>
      <w:r>
        <w:rPr>
          <w:sz w:val="18"/>
          <w:szCs w:val="18"/>
        </w:rPr>
        <w:t>Ի</w:t>
      </w:r>
      <w:r w:rsidRPr="00A9649B">
        <w:rPr>
          <w:sz w:val="18"/>
          <w:szCs w:val="18"/>
        </w:rPr>
        <w:t xml:space="preserve"> տարբերություն նախկին մեթոդաբանության, երբ աշխատանքի շուկայի ցուցանիշները հիմնված էին առկա բնակչության թվի վրա, 2020թ. սկսած հաշվարկվում են՝ հիմք ընդունելով մշտական բնակչության թիվը (ներառում է նաև մինչև 12 ամիս ժամկետով ՀՀ-ից դուրս գտնվող զբաղվածներին և գործազուրկներին): Հետևաբար աշխատանքի շուկայի ցուցանիշն</w:t>
      </w:r>
      <w:r w:rsidRPr="00393D59">
        <w:rPr>
          <w:sz w:val="18"/>
          <w:szCs w:val="18"/>
        </w:rPr>
        <w:t>երը ներկայացնում են ազգային զբաղվածությունը և գործազրկությունը:</w:t>
      </w:r>
    </w:p>
  </w:footnote>
  <w:footnote w:id="13">
    <w:p w14:paraId="5FA21EC1" w14:textId="77777777" w:rsidR="002D7DDD" w:rsidRPr="00FC3DE8" w:rsidRDefault="002D7DDD" w:rsidP="002D7DDD">
      <w:pPr>
        <w:pStyle w:val="FootnoteText"/>
        <w:rPr>
          <w:lang w:val="hy-AM"/>
        </w:rPr>
      </w:pPr>
      <w:r>
        <w:rPr>
          <w:rStyle w:val="FootnoteReference"/>
        </w:rPr>
        <w:footnoteRef/>
      </w:r>
      <w:r w:rsidRPr="00E03243">
        <w:rPr>
          <w:lang w:val="hy-AM"/>
        </w:rPr>
        <w:t xml:space="preserve"> </w:t>
      </w:r>
      <w:hyperlink r:id="rId5" w:anchor="sthash.c7caMicL.dpbs" w:history="1">
        <w:r w:rsidRPr="00E03243">
          <w:rPr>
            <w:rStyle w:val="Hyperlink"/>
            <w:lang w:val="hy-AM"/>
          </w:rPr>
          <w:t>https://www.cba.am/AM/News/Pages/news_11062024_01.aspx#sthash.c7caMicL.dpbs</w:t>
        </w:r>
      </w:hyperlink>
      <w:r>
        <w:rPr>
          <w:lang w:val="hy-AM"/>
        </w:rPr>
        <w:t xml:space="preserve"> </w:t>
      </w:r>
    </w:p>
  </w:footnote>
  <w:footnote w:id="14">
    <w:p w14:paraId="6982CDE5" w14:textId="77777777" w:rsidR="002D7DDD" w:rsidRPr="002C20BC" w:rsidRDefault="002D7DDD" w:rsidP="002D7DDD">
      <w:pPr>
        <w:pBdr>
          <w:top w:val="nil"/>
          <w:left w:val="nil"/>
          <w:bottom w:val="nil"/>
          <w:right w:val="nil"/>
          <w:between w:val="nil"/>
        </w:pBdr>
        <w:spacing w:line="240" w:lineRule="auto"/>
        <w:rPr>
          <w:rFonts w:eastAsia="Merriweather" w:cs="Merriweather"/>
          <w:color w:val="000000"/>
          <w:sz w:val="18"/>
          <w:szCs w:val="16"/>
          <w:lang w:val="hy-AM"/>
        </w:rPr>
      </w:pPr>
      <w:r>
        <w:rPr>
          <w:rStyle w:val="FootnoteReference"/>
        </w:rPr>
        <w:footnoteRef/>
      </w:r>
      <w:r w:rsidRPr="008D4DA6">
        <w:rPr>
          <w:lang w:val="hy-AM"/>
        </w:rPr>
        <w:t xml:space="preserve"> </w:t>
      </w:r>
      <w:r w:rsidRPr="002C20BC">
        <w:rPr>
          <w:sz w:val="18"/>
          <w:szCs w:val="16"/>
          <w:lang w:val="hy-AM"/>
        </w:rPr>
        <w:t>ՀՀ ֆինանսների նախարարության Արարատ հարկաբյուջետային ռազմավարության դինամիկ ստոխաստիկ ընդհանուր հավասարակշռության մոդելը մշակվել է 2018-2020 թվականների ընթացքում՝ ԱՄՀ կողմից տրամադրված տեխնիկական աջակցության շրջանակներում: Առավել մանրամասն տե՛ս ՀՀ կառավարության 2021 թվականի բյուջետային ուղերձ, Երևան 2020, էջ՝ 84,  ներդիր 2: Մոդելը և կիրառությունները նկարագրող ամբողջական աշխատանքային փաստաթուղթը տե՛ս հետևյալ հղմամբ՝ https://www.imf.org/en/Publications/WP/Issues/2022/06/10/The-Ararat-Fiscal-Strategy-Model-A-Structural-Framework-for-Fiscal-Policy-Analysis-in-519522:</w:t>
      </w:r>
    </w:p>
    <w:p w14:paraId="5A21A6BA" w14:textId="77777777" w:rsidR="002D7DDD" w:rsidRPr="008D4DA6" w:rsidRDefault="002D7DDD" w:rsidP="002D7DDD">
      <w:pPr>
        <w:pStyle w:val="FootnoteText"/>
        <w:rPr>
          <w:lang w:val="hy-AM"/>
        </w:rPr>
      </w:pPr>
    </w:p>
  </w:footnote>
  <w:footnote w:id="15">
    <w:p w14:paraId="580613EC" w14:textId="77777777" w:rsidR="002D7DDD" w:rsidRPr="008D4DA6" w:rsidRDefault="002D7DDD" w:rsidP="002D7DDD">
      <w:pPr>
        <w:pStyle w:val="FootnoteText"/>
        <w:rPr>
          <w:lang w:val="hy-AM"/>
        </w:rPr>
      </w:pPr>
      <w:r>
        <w:rPr>
          <w:rStyle w:val="FootnoteReference"/>
        </w:rPr>
        <w:footnoteRef/>
      </w:r>
      <w:r w:rsidRPr="008D4DA6">
        <w:rPr>
          <w:lang w:val="hy-AM"/>
        </w:rPr>
        <w:t xml:space="preserve"> </w:t>
      </w:r>
      <w:r w:rsidRPr="002C20BC">
        <w:rPr>
          <w:sz w:val="18"/>
          <w:szCs w:val="18"/>
          <w:lang w:val="hy-AM"/>
        </w:rPr>
        <w:t xml:space="preserve">(տե՛ս IMF (2019). </w:t>
      </w:r>
      <w:r w:rsidRPr="002C20BC">
        <w:rPr>
          <w:sz w:val="18"/>
          <w:szCs w:val="18"/>
        </w:rPr>
        <w:t xml:space="preserve">WEO October 2019, Chapter 3: Reigniting Growth in Emerging Market and Low-Income Economies: What Role for Structural Reforms? </w:t>
      </w:r>
      <w:hyperlink r:id="rId6" w:history="1">
        <w:r w:rsidRPr="002C20BC">
          <w:rPr>
            <w:rStyle w:val="Hyperlink"/>
            <w:sz w:val="18"/>
            <w:szCs w:val="18"/>
          </w:rPr>
          <w:t>https://www.imf.org/en/Publications/WEO/Issues/2019/10/01/world-economic-outlook-october-2019</w:t>
        </w:r>
      </w:hyperlink>
      <w:r w:rsidRPr="002C20BC">
        <w:rPr>
          <w:sz w:val="18"/>
          <w:szCs w:val="18"/>
        </w:rPr>
        <w:t xml:space="preserve">  </w:t>
      </w:r>
      <w:r w:rsidRPr="002C20BC">
        <w:rPr>
          <w:sz w:val="18"/>
          <w:szCs w:val="18"/>
          <w:lang w:val="hy-AM"/>
        </w:rPr>
        <w:t>)։</w:t>
      </w:r>
    </w:p>
  </w:footnote>
  <w:footnote w:id="16">
    <w:p w14:paraId="7C372337" w14:textId="77777777" w:rsidR="002D7DDD" w:rsidRPr="00923782" w:rsidRDefault="002D7DDD" w:rsidP="002D7DDD">
      <w:pPr>
        <w:spacing w:line="240" w:lineRule="auto"/>
        <w:contextualSpacing/>
        <w:rPr>
          <w:i/>
          <w:sz w:val="16"/>
          <w:szCs w:val="16"/>
          <w:lang w:val="hy-AM"/>
        </w:rPr>
      </w:pPr>
      <w:r w:rsidRPr="007C2B3E">
        <w:rPr>
          <w:sz w:val="16"/>
          <w:szCs w:val="16"/>
          <w:vertAlign w:val="superscript"/>
          <w:lang w:val="hy-AM"/>
        </w:rPr>
        <w:footnoteRef/>
      </w:r>
      <w:r w:rsidRPr="007C2B3E">
        <w:rPr>
          <w:sz w:val="16"/>
          <w:szCs w:val="16"/>
          <w:vertAlign w:val="superscript"/>
          <w:lang w:val="hy-AM"/>
        </w:rPr>
        <w:t xml:space="preserve"> </w:t>
      </w:r>
      <w:r w:rsidRPr="002C20BC">
        <w:rPr>
          <w:sz w:val="18"/>
          <w:szCs w:val="18"/>
          <w:lang w:val="hy-AM"/>
        </w:rPr>
        <w:t>Աղյուսակի 1-ին սյունը իրենից ներկայացնում է տնտեսական աճի հնարավոր միջա</w:t>
      </w:r>
      <w:r w:rsidRPr="002C20BC">
        <w:rPr>
          <w:sz w:val="18"/>
          <w:szCs w:val="18"/>
          <w:lang w:val="hy-AM"/>
        </w:rPr>
        <w:softHyphen/>
        <w:t>կայքերը, իսկ 2-ից 5-րդ սյուները` համապատասխան միջակայքերում միջնաժամկետում տնտեսական աճի գտնվելու հավանականությունները։ Աղյուսակում ներկայացվել են տնտեսական աճի ամենահավանական միջակայքերը, որոնք միասին ծածկում են բաշխման ընդհանուր հավանականության շուրջ 83%-ը, այսինքն` հավանականությունը, որ տնտեսական աճը կգտնվի 1.0%-ից 9.0% միջակայքում, կազմում է մոտ 83%:</w:t>
      </w:r>
    </w:p>
  </w:footnote>
  <w:footnote w:id="17">
    <w:p w14:paraId="3D5DA4F5" w14:textId="77777777" w:rsidR="00BF0F38" w:rsidRPr="00623006" w:rsidRDefault="00BF0F38" w:rsidP="00BF0F38">
      <w:pPr>
        <w:pStyle w:val="FootnoteText"/>
        <w:spacing w:line="240" w:lineRule="auto"/>
        <w:rPr>
          <w:lang w:val="hy-AM"/>
        </w:rPr>
      </w:pPr>
      <w:r w:rsidRPr="00BC5D20">
        <w:rPr>
          <w:rStyle w:val="FootnoteReference"/>
        </w:rPr>
        <w:footnoteRef/>
      </w:r>
      <w:r w:rsidRPr="00BC5D20">
        <w:rPr>
          <w:lang w:val="hy-AM"/>
        </w:rPr>
        <w:t xml:space="preserve"> Նշված թիրախին հասնելուն ուղղված քաղաքականության սկզբունքներն ու միջոցառումները ձևակերպվել են ՀՀ </w:t>
      </w:r>
      <w:r w:rsidRPr="0027157F">
        <w:rPr>
          <w:lang w:val="hy-AM"/>
        </w:rPr>
        <w:t xml:space="preserve">վարչապետի՝ </w:t>
      </w:r>
      <w:r w:rsidRPr="001A687C">
        <w:rPr>
          <w:lang w:val="hy-AM"/>
        </w:rPr>
        <w:t>2022</w:t>
      </w:r>
      <w:r w:rsidRPr="0027157F">
        <w:rPr>
          <w:lang w:val="hy-AM"/>
        </w:rPr>
        <w:t xml:space="preserve"> թ</w:t>
      </w:r>
      <w:r w:rsidRPr="0027157F">
        <w:rPr>
          <w:rFonts w:ascii="Cambria Math" w:hAnsi="Cambria Math" w:cs="Cambria Math"/>
          <w:lang w:val="hy-AM"/>
        </w:rPr>
        <w:t>․</w:t>
      </w:r>
      <w:r w:rsidRPr="00623006">
        <w:rPr>
          <w:lang w:val="hy-AM"/>
        </w:rPr>
        <w:t xml:space="preserve"> օգոստոսի </w:t>
      </w:r>
      <w:r w:rsidRPr="001A687C">
        <w:rPr>
          <w:lang w:val="hy-AM"/>
        </w:rPr>
        <w:t>12-</w:t>
      </w:r>
      <w:r w:rsidRPr="00623006">
        <w:rPr>
          <w:lang w:val="hy-AM"/>
        </w:rPr>
        <w:t>ի ընդունված «2022-2025 թվականների հարկային եկամուտների կառավարման ծրագիրը հաստատելու մասին» որոշմամբ, որով, որպես նշված թիրախին հասնելու ուղղություններ են նախատեսվել հարկային վարչարարության կատարելագործումը և դրա արդյունքում՝ հարկերի վճարման համապատասխանության բարելավումը,  հարկման բազաների ընդլայնումը, այդ թվում՝ որոշ արտոնություններ կրճատելու արդյունքում, հարկային որոշ դրույքաչափերի կամ գործունեության առանձին տեսակների մասով հարկային բեռի բարձրացումը, հարկերի կամ պարտադիր վճարների թվաքանակի վերանայումը:</w:t>
      </w:r>
      <w:r>
        <w:rPr>
          <w:lang w:val="hy-AM"/>
        </w:rPr>
        <w:t xml:space="preserve"> Հարկային վարչարարության սկզբունքներն ու միջոցառումները իրենց հերթին սահմանվում են ՀՀ ՊԵԿ զարգացման և վարչարարության բարելավման ռազմավարական ծրագրով, որը պարբերաբար թարմացվում է։</w:t>
      </w:r>
    </w:p>
  </w:footnote>
  <w:footnote w:id="18">
    <w:p w14:paraId="4C8E1F00" w14:textId="77777777" w:rsidR="00BF0F38" w:rsidRPr="006D3E8B" w:rsidRDefault="00BF0F38" w:rsidP="00BF0F38">
      <w:pPr>
        <w:pStyle w:val="af9"/>
        <w:ind w:firstLine="0"/>
        <w:rPr>
          <w:sz w:val="16"/>
          <w:szCs w:val="16"/>
        </w:rPr>
      </w:pPr>
      <w:r w:rsidRPr="009E37B9">
        <w:rPr>
          <w:rStyle w:val="FootnoteReference"/>
          <w:rFonts w:eastAsiaTheme="minorEastAsia"/>
          <w:sz w:val="16"/>
          <w:szCs w:val="16"/>
        </w:rPr>
        <w:footnoteRef/>
      </w:r>
      <w:r w:rsidRPr="009E37B9">
        <w:rPr>
          <w:sz w:val="16"/>
          <w:szCs w:val="16"/>
        </w:rPr>
        <w:t xml:space="preserve"> </w:t>
      </w:r>
      <w:r w:rsidRPr="006D3E8B">
        <w:rPr>
          <w:sz w:val="16"/>
          <w:szCs w:val="16"/>
        </w:rPr>
        <w:t>Տե՛ս «Բյուջետային համակարգի մասին» ՀՀ օրենքի 21-րդ հոդվածի 8.2, 8.3 և 8.4 մասերը, «Պետական պարտքի մասին» ՀՀ օրենքի 5-րդ հոդվածի 6-րդ և 7-րդ մասերը, ինչպես նաև ՀՀ կառավարության՝ 2018 թ</w:t>
      </w:r>
      <w:r w:rsidRPr="006D3E8B">
        <w:rPr>
          <w:rFonts w:ascii="Cambria Math" w:hAnsi="Cambria Math" w:cs="Cambria Math"/>
          <w:sz w:val="16"/>
          <w:szCs w:val="16"/>
        </w:rPr>
        <w:t>․</w:t>
      </w:r>
      <w:r w:rsidRPr="006D3E8B">
        <w:rPr>
          <w:sz w:val="16"/>
          <w:szCs w:val="16"/>
        </w:rPr>
        <w:t xml:space="preserve"> օգոստոսի 23-ի N 942-Ն որոշումը:</w:t>
      </w:r>
    </w:p>
  </w:footnote>
  <w:footnote w:id="19">
    <w:p w14:paraId="03480E3B" w14:textId="77777777" w:rsidR="00BF0F38" w:rsidRPr="008E5A31" w:rsidRDefault="00BF0F38" w:rsidP="00BF0F38">
      <w:pPr>
        <w:pStyle w:val="FootnoteText"/>
        <w:spacing w:line="240" w:lineRule="auto"/>
        <w:rPr>
          <w:lang w:val="hy-AM"/>
        </w:rPr>
      </w:pPr>
      <w:r>
        <w:rPr>
          <w:rStyle w:val="FootnoteReference"/>
        </w:rPr>
        <w:footnoteRef/>
      </w:r>
      <w:r>
        <w:rPr>
          <w:lang w:val="hy-AM"/>
        </w:rPr>
        <w:t xml:space="preserve">Առանձին հարկատեսակների գծով ներկայացված են ուղենշային կանխատեսումները (հիմնված մակրոտնտեսական ցուցանիշների կանխատեսումների վրա), որոնք պլանային ցուցանիշներ չեն հանդիսանում: </w:t>
      </w:r>
    </w:p>
    <w:p w14:paraId="7E56AEFE" w14:textId="77777777" w:rsidR="00BF0F38" w:rsidRPr="008E5A31" w:rsidRDefault="00BF0F38" w:rsidP="00BF0F38">
      <w:pPr>
        <w:pStyle w:val="FootnoteText"/>
        <w:rPr>
          <w:lang w:val="hy-AM"/>
        </w:rPr>
      </w:pPr>
    </w:p>
  </w:footnote>
  <w:footnote w:id="20">
    <w:p w14:paraId="5E844401" w14:textId="77777777" w:rsidR="00BF0F38" w:rsidRPr="00E2722B" w:rsidRDefault="00BF0F38" w:rsidP="00BF0F38">
      <w:pPr>
        <w:pStyle w:val="FootnoteText"/>
        <w:spacing w:line="240" w:lineRule="auto"/>
        <w:rPr>
          <w:lang w:val="hy-AM"/>
        </w:rPr>
      </w:pPr>
      <w:r>
        <w:rPr>
          <w:rStyle w:val="FootnoteReference"/>
        </w:rPr>
        <w:footnoteRef/>
      </w:r>
      <w:r w:rsidRPr="00E2722B">
        <w:rPr>
          <w:lang w:val="hy-AM"/>
        </w:rPr>
        <w:t xml:space="preserve"> </w:t>
      </w:r>
      <w:r w:rsidRPr="005E4FFA">
        <w:rPr>
          <w:lang w:val="hy-AM"/>
        </w:rPr>
        <w:t xml:space="preserve">Հարկաբյուջետային ազդակի հաշվարկներում օգտագործված եկամուտների և ծախսերի ցուցանիշներում կատարվել են անհրաժեշտ ճշգրտումներ՝ արտացոլելու կառավարության կողմից իրականացված այն բոլոր գործառնությունները, որոնք չեն ներառվել ծախսերում, սակայն կարող են ազդեցություն ունեցած լինել ամբողջական պահանջարկի վրա, կամ հակառակը։  </w:t>
      </w:r>
    </w:p>
  </w:footnote>
  <w:footnote w:id="21">
    <w:p w14:paraId="1331C357" w14:textId="77777777" w:rsidR="00BF0F38" w:rsidRPr="009E37B9" w:rsidRDefault="00BF0F38" w:rsidP="00BF0F38">
      <w:pPr>
        <w:pStyle w:val="af9"/>
        <w:ind w:firstLine="0"/>
        <w:rPr>
          <w:sz w:val="16"/>
          <w:szCs w:val="16"/>
        </w:rPr>
      </w:pPr>
      <w:r w:rsidRPr="009E37B9">
        <w:rPr>
          <w:rStyle w:val="FootnoteReference"/>
          <w:rFonts w:eastAsiaTheme="minorEastAsia"/>
          <w:sz w:val="16"/>
          <w:szCs w:val="16"/>
        </w:rPr>
        <w:footnoteRef/>
      </w:r>
      <w:r w:rsidRPr="009E37B9">
        <w:rPr>
          <w:sz w:val="16"/>
          <w:szCs w:val="16"/>
        </w:rPr>
        <w:t xml:space="preserve"> </w:t>
      </w:r>
      <w:r w:rsidRPr="001674A1">
        <w:rPr>
          <w:sz w:val="16"/>
          <w:szCs w:val="16"/>
        </w:rPr>
        <w:t>ՀՀ կ</w:t>
      </w:r>
      <w:r w:rsidRPr="009E37B9">
        <w:rPr>
          <w:sz w:val="16"/>
          <w:szCs w:val="16"/>
        </w:rPr>
        <w:t>առավարության պարտքի բեռի փոփոխության տրոհումը ըստ գործոնների հաշվարկվել է բաց տնտեսությունում «պարտքի շարժման» բանաձևի օգնությամբ, որտեղ պարտքի փոփոխությունը ֆունկցիա է տնտեսական աճից</w:t>
      </w:r>
      <w:r w:rsidRPr="009E37B9">
        <w:rPr>
          <w:rFonts w:cs="Cambria Math"/>
          <w:sz w:val="16"/>
          <w:szCs w:val="16"/>
        </w:rPr>
        <w:t>,</w:t>
      </w:r>
      <w:r w:rsidRPr="009E37B9">
        <w:rPr>
          <w:sz w:val="16"/>
          <w:szCs w:val="16"/>
        </w:rPr>
        <w:t xml:space="preserve"> </w:t>
      </w:r>
      <w:r w:rsidRPr="009E37B9">
        <w:rPr>
          <w:rFonts w:cs="GHEA Grapalat"/>
          <w:sz w:val="16"/>
          <w:szCs w:val="16"/>
        </w:rPr>
        <w:t>բյուջեի</w:t>
      </w:r>
      <w:r w:rsidRPr="009E37B9">
        <w:rPr>
          <w:sz w:val="16"/>
          <w:szCs w:val="16"/>
        </w:rPr>
        <w:t xml:space="preserve"> առաջնային հաշվեկշռից, փոխարժեքից, իրական տոկոսադրույքից և պարտք առաջացնող այլ հոսքերից (ՀՀ համար՝ զուտ վարկավորում պետական բյուջեից)։ Հաշվարկման ընթացքում այս գործոններով չբացատրված պարտքի փոփոխության չափը արտացոլվում է որպես «մնացորդ», և, կարող է բնութագրել քրոս (արժույթների միմյանց նկատմամբ)</w:t>
      </w:r>
      <w:r w:rsidRPr="009E37B9">
        <w:rPr>
          <w:i/>
          <w:sz w:val="16"/>
          <w:szCs w:val="16"/>
        </w:rPr>
        <w:t xml:space="preserve"> </w:t>
      </w:r>
      <w:r w:rsidRPr="009E37B9">
        <w:rPr>
          <w:sz w:val="16"/>
          <w:szCs w:val="16"/>
        </w:rPr>
        <w:t xml:space="preserve">փոխարժեքների փոփոխությամբ պայմանավորված վերագնահատման ազդեցությունները։  </w:t>
      </w:r>
    </w:p>
  </w:footnote>
  <w:footnote w:id="22">
    <w:p w14:paraId="771FA670" w14:textId="77777777" w:rsidR="00BF0F38" w:rsidRPr="009E37B9" w:rsidRDefault="00BF0F38" w:rsidP="00BF0F38">
      <w:pPr>
        <w:pStyle w:val="FootnoteText"/>
        <w:spacing w:line="276" w:lineRule="auto"/>
        <w:rPr>
          <w:szCs w:val="16"/>
          <w:lang w:val="hy-AM"/>
        </w:rPr>
      </w:pPr>
      <w:r w:rsidRPr="009E37B9">
        <w:rPr>
          <w:rStyle w:val="FootnoteReference"/>
          <w:szCs w:val="16"/>
        </w:rPr>
        <w:footnoteRef/>
      </w:r>
      <w:r w:rsidRPr="009E37B9">
        <w:rPr>
          <w:szCs w:val="16"/>
          <w:lang w:val="hy-AM"/>
        </w:rPr>
        <w:t xml:space="preserve"> Այս հատվածում նկարագրված ռիսկերի առավել մանրամասն վերլուծությունը ներկայացված է այս փաստաթղթի ՄԱՍ IV-ի «Պետական բյուջեի վրա մակրոտնտեսական կանխատեսված ցուցանիշներից շեղման ռիսկերի ազդեցության քանակական գնահատում» և «ՀՀ կառավարության պարտքի կայունության վերլուծություն» բաժիններում։ </w:t>
      </w:r>
    </w:p>
  </w:footnote>
  <w:footnote w:id="23">
    <w:p w14:paraId="708447E6" w14:textId="77777777" w:rsidR="00595339" w:rsidRPr="00DC4314" w:rsidRDefault="00595339" w:rsidP="00595339">
      <w:pPr>
        <w:pStyle w:val="FootnoteText"/>
        <w:spacing w:line="240" w:lineRule="auto"/>
        <w:rPr>
          <w:szCs w:val="16"/>
          <w:lang w:val="hy-AM"/>
        </w:rPr>
      </w:pPr>
      <w:r>
        <w:rPr>
          <w:rStyle w:val="FootnoteReference"/>
        </w:rPr>
        <w:footnoteRef/>
      </w:r>
      <w:r w:rsidRPr="00DA365C">
        <w:rPr>
          <w:lang w:val="hy-AM"/>
        </w:rPr>
        <w:t xml:space="preserve"> </w:t>
      </w:r>
      <w:r>
        <w:rPr>
          <w:szCs w:val="16"/>
          <w:lang w:val="hy-AM"/>
        </w:rPr>
        <w:t>Պետական բյուջեի ե</w:t>
      </w:r>
      <w:r w:rsidRPr="006D3E8B">
        <w:rPr>
          <w:szCs w:val="16"/>
          <w:lang w:val="hy-AM"/>
        </w:rPr>
        <w:t xml:space="preserve">կամուտների և պետական բյուջեի ծախսերի կազմում </w:t>
      </w:r>
      <w:r>
        <w:rPr>
          <w:szCs w:val="16"/>
          <w:lang w:val="hy-AM"/>
        </w:rPr>
        <w:t xml:space="preserve">նախորդ տարիների կանխատեսումներում համադրելիության նպատակով </w:t>
      </w:r>
      <w:r w:rsidRPr="006D3E8B">
        <w:rPr>
          <w:szCs w:val="16"/>
          <w:lang w:val="hy-AM"/>
        </w:rPr>
        <w:t xml:space="preserve">ներառված է </w:t>
      </w:r>
      <w:r w:rsidRPr="006D3E8B">
        <w:rPr>
          <w:rFonts w:cs="GHEA Grapalat"/>
          <w:color w:val="000000"/>
          <w:szCs w:val="16"/>
          <w:lang w:val="hy-AM"/>
        </w:rPr>
        <w:t xml:space="preserve">հիպոթեկային վարկի տոկոսագումարների դիմաց եկամտային հարկի վերադարձը՝ ինչպես </w:t>
      </w:r>
      <w:r>
        <w:rPr>
          <w:rFonts w:cs="GHEA Grapalat"/>
          <w:color w:val="000000"/>
          <w:szCs w:val="16"/>
          <w:lang w:val="hy-AM"/>
        </w:rPr>
        <w:t>կանխատեսվող</w:t>
      </w:r>
      <w:r w:rsidRPr="006D3E8B">
        <w:rPr>
          <w:rFonts w:cs="GHEA Grapalat"/>
          <w:color w:val="000000"/>
          <w:szCs w:val="16"/>
          <w:lang w:val="hy-AM"/>
        </w:rPr>
        <w:t xml:space="preserve">, այնպես էլ՝ համեմատվող ժամանակահատվածների </w:t>
      </w:r>
      <w:r>
        <w:rPr>
          <w:rFonts w:cs="GHEA Grapalat"/>
          <w:color w:val="000000"/>
          <w:szCs w:val="16"/>
          <w:lang w:val="hy-AM"/>
        </w:rPr>
        <w:t xml:space="preserve">ցուցանիշների </w:t>
      </w:r>
      <w:r w:rsidRPr="006D3E8B">
        <w:rPr>
          <w:rFonts w:cs="GHEA Grapalat"/>
          <w:color w:val="000000"/>
          <w:szCs w:val="16"/>
          <w:lang w:val="hy-AM"/>
        </w:rPr>
        <w:t>համար։</w:t>
      </w:r>
      <w:r w:rsidRPr="00E77818">
        <w:rPr>
          <w:rFonts w:cs="GHEA Grapalat"/>
          <w:color w:val="000000"/>
          <w:sz w:val="18"/>
          <w:lang w:val="hy-AM"/>
        </w:rPr>
        <w:t xml:space="preserve"> </w:t>
      </w:r>
      <w:r w:rsidRPr="00DC4314">
        <w:rPr>
          <w:szCs w:val="16"/>
          <w:lang w:val="hy-AM"/>
        </w:rPr>
        <w:t>Միաժ</w:t>
      </w:r>
      <w:r w:rsidRPr="0073568F">
        <w:rPr>
          <w:szCs w:val="16"/>
          <w:lang w:val="hy-AM"/>
        </w:rPr>
        <w:t>ամանակ, 2024-2026թթ</w:t>
      </w:r>
      <w:r w:rsidRPr="0073568F">
        <w:rPr>
          <w:rFonts w:ascii="Cambria Math" w:hAnsi="Cambria Math" w:cs="Cambria Math"/>
          <w:szCs w:val="16"/>
          <w:lang w:val="hy-AM"/>
        </w:rPr>
        <w:t>․</w:t>
      </w:r>
      <w:r w:rsidRPr="00C5441E">
        <w:rPr>
          <w:szCs w:val="16"/>
          <w:lang w:val="hy-AM"/>
        </w:rPr>
        <w:t xml:space="preserve"> ՄԺԾԾ և 2024թ</w:t>
      </w:r>
      <w:r w:rsidRPr="00DC4314">
        <w:rPr>
          <w:rFonts w:ascii="Cambria Math" w:hAnsi="Cambria Math" w:cs="Cambria Math"/>
          <w:szCs w:val="16"/>
          <w:lang w:val="hy-AM"/>
        </w:rPr>
        <w:t>․</w:t>
      </w:r>
      <w:r w:rsidRPr="00C5441E">
        <w:rPr>
          <w:szCs w:val="16"/>
          <w:lang w:val="hy-AM"/>
        </w:rPr>
        <w:t xml:space="preserve"> պետական բյուջեի ցուցանիշները ճշգրտվել են պահուստային ֆոնդի չափով, </w:t>
      </w:r>
      <w:r>
        <w:rPr>
          <w:szCs w:val="16"/>
          <w:lang w:val="hy-AM"/>
        </w:rPr>
        <w:t>բացի այդ՝</w:t>
      </w:r>
      <w:r w:rsidRPr="00C5441E">
        <w:rPr>
          <w:szCs w:val="16"/>
          <w:lang w:val="hy-AM"/>
        </w:rPr>
        <w:t xml:space="preserve"> փաստացի ցուցանիշներ</w:t>
      </w:r>
      <w:r>
        <w:rPr>
          <w:szCs w:val="16"/>
          <w:lang w:val="hy-AM"/>
        </w:rPr>
        <w:t>ը</w:t>
      </w:r>
      <w:r w:rsidRPr="00C5441E">
        <w:rPr>
          <w:szCs w:val="16"/>
          <w:lang w:val="hy-AM"/>
        </w:rPr>
        <w:t>, 2023-2025 թթ</w:t>
      </w:r>
      <w:r w:rsidRPr="00DC4314">
        <w:rPr>
          <w:rFonts w:ascii="Cambria Math" w:hAnsi="Cambria Math" w:cs="Cambria Math"/>
          <w:szCs w:val="16"/>
          <w:lang w:val="hy-AM"/>
        </w:rPr>
        <w:t>․</w:t>
      </w:r>
      <w:r w:rsidRPr="00C5441E">
        <w:rPr>
          <w:szCs w:val="16"/>
          <w:lang w:val="hy-AM"/>
        </w:rPr>
        <w:t xml:space="preserve"> և 2024-2026 թթ</w:t>
      </w:r>
      <w:r w:rsidRPr="00DC4314">
        <w:rPr>
          <w:rFonts w:ascii="Cambria Math" w:hAnsi="Cambria Math" w:cs="Cambria Math"/>
          <w:szCs w:val="16"/>
          <w:lang w:val="hy-AM"/>
        </w:rPr>
        <w:t>․</w:t>
      </w:r>
      <w:r w:rsidRPr="00C5441E">
        <w:rPr>
          <w:szCs w:val="16"/>
          <w:lang w:val="hy-AM"/>
        </w:rPr>
        <w:t xml:space="preserve"> ՄԺԾԾ-ներ</w:t>
      </w:r>
      <w:r>
        <w:rPr>
          <w:szCs w:val="16"/>
          <w:lang w:val="hy-AM"/>
        </w:rPr>
        <w:t>ը</w:t>
      </w:r>
      <w:r w:rsidRPr="00C5441E">
        <w:rPr>
          <w:szCs w:val="16"/>
          <w:lang w:val="hy-AM"/>
        </w:rPr>
        <w:t xml:space="preserve"> և 2023</w:t>
      </w:r>
      <w:r>
        <w:rPr>
          <w:szCs w:val="16"/>
          <w:lang w:val="hy-AM"/>
        </w:rPr>
        <w:t xml:space="preserve"> </w:t>
      </w:r>
      <w:r w:rsidRPr="00C5441E">
        <w:rPr>
          <w:szCs w:val="16"/>
          <w:lang w:val="hy-AM"/>
        </w:rPr>
        <w:t>թ</w:t>
      </w:r>
      <w:r>
        <w:rPr>
          <w:rFonts w:ascii="Cambria Math" w:hAnsi="Cambria Math"/>
          <w:szCs w:val="16"/>
          <w:lang w:val="hy-AM"/>
        </w:rPr>
        <w:t>․</w:t>
      </w:r>
      <w:r w:rsidRPr="00C5441E">
        <w:rPr>
          <w:szCs w:val="16"/>
          <w:lang w:val="hy-AM"/>
        </w:rPr>
        <w:t xml:space="preserve"> պետական բյուջեի ցուցանիշները ճշգրտվել են ԼՂ զուտ վարկավորման </w:t>
      </w:r>
      <w:r>
        <w:rPr>
          <w:szCs w:val="16"/>
          <w:lang w:val="hy-AM"/>
        </w:rPr>
        <w:t>չափով</w:t>
      </w:r>
      <w:r w:rsidRPr="00C5441E">
        <w:rPr>
          <w:szCs w:val="16"/>
          <w:lang w:val="hy-AM"/>
        </w:rPr>
        <w:t xml:space="preserve">։    </w:t>
      </w:r>
      <w:r w:rsidRPr="00DC4314">
        <w:rPr>
          <w:szCs w:val="16"/>
          <w:lang w:val="hy-AM"/>
        </w:rPr>
        <w:t xml:space="preserve"> </w:t>
      </w:r>
    </w:p>
  </w:footnote>
  <w:footnote w:id="24">
    <w:p w14:paraId="1B6D4D3E" w14:textId="77777777" w:rsidR="001A687C" w:rsidRPr="009E37B9" w:rsidRDefault="001A687C" w:rsidP="00827A35">
      <w:pPr>
        <w:pStyle w:val="FootnoteText"/>
        <w:rPr>
          <w:szCs w:val="16"/>
          <w:lang w:val="hy-AM"/>
        </w:rPr>
      </w:pPr>
      <w:r w:rsidRPr="009E37B9">
        <w:rPr>
          <w:rStyle w:val="FootnoteReference"/>
          <w:szCs w:val="16"/>
        </w:rPr>
        <w:footnoteRef/>
      </w:r>
      <w:r w:rsidRPr="009E37B9">
        <w:rPr>
          <w:szCs w:val="16"/>
          <w:lang w:val="hy-AM"/>
        </w:rPr>
        <w:t xml:space="preserve"> </w:t>
      </w:r>
      <w:r w:rsidRPr="009E37B9">
        <w:rPr>
          <w:rFonts w:cs="Sylfaen"/>
          <w:iCs/>
          <w:szCs w:val="16"/>
          <w:lang w:val="af-ZA" w:eastAsia="en-GB"/>
        </w:rPr>
        <w:t xml:space="preserve">Թիրախային (բարձր) տնտեսական աճի սցենարը նկարագրված է Գլուխ 1-ի 1.3-ի կետի, 1.3.1 ենթակետում: </w:t>
      </w:r>
    </w:p>
  </w:footnote>
  <w:footnote w:id="25">
    <w:p w14:paraId="6A4B766F" w14:textId="77777777" w:rsidR="001A687C" w:rsidRPr="00FF3749" w:rsidRDefault="001A687C" w:rsidP="00B25841">
      <w:pPr>
        <w:spacing w:before="0" w:line="240" w:lineRule="auto"/>
        <w:ind w:firstLine="0"/>
        <w:rPr>
          <w:rFonts w:eastAsia="Times New Roman" w:cs="Times New Roman"/>
          <w:bCs/>
          <w:sz w:val="16"/>
          <w:szCs w:val="16"/>
          <w:lang w:val="af-ZA"/>
        </w:rPr>
      </w:pPr>
      <w:r w:rsidRPr="00FF3749">
        <w:rPr>
          <w:rStyle w:val="FootnoteReference"/>
          <w:sz w:val="16"/>
          <w:szCs w:val="16"/>
        </w:rPr>
        <w:footnoteRef/>
      </w:r>
      <w:r w:rsidRPr="00FF3749">
        <w:rPr>
          <w:sz w:val="16"/>
          <w:szCs w:val="16"/>
          <w:lang w:val="hy-AM"/>
        </w:rPr>
        <w:t xml:space="preserve"> </w:t>
      </w:r>
      <w:r w:rsidRPr="00FF3749">
        <w:rPr>
          <w:rFonts w:eastAsia="Times New Roman" w:cs="Times New Roman"/>
          <w:bCs/>
          <w:sz w:val="16"/>
          <w:szCs w:val="16"/>
          <w:lang w:val="hy-AM"/>
        </w:rPr>
        <w:t>ոչ</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ֆինանսական</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ակտիվների</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գծով</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2025-2027թթ</w:t>
      </w:r>
      <w:r w:rsidRPr="00FF3749">
        <w:rPr>
          <w:rFonts w:ascii="Cambria Math" w:eastAsia="Times New Roman" w:hAnsi="Cambria Math" w:cs="Times New Roman"/>
          <w:bCs/>
          <w:sz w:val="16"/>
          <w:szCs w:val="16"/>
          <w:lang w:val="hy-AM"/>
        </w:rPr>
        <w:t>․</w:t>
      </w:r>
      <w:r w:rsidRPr="00FF3749">
        <w:rPr>
          <w:rFonts w:eastAsia="Times New Roman" w:cs="Times New Roman"/>
          <w:bCs/>
          <w:sz w:val="16"/>
          <w:szCs w:val="16"/>
          <w:lang w:val="hy-AM"/>
        </w:rPr>
        <w:t xml:space="preserve"> ծախսերում ներառված</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են նաև</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ոչ</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ֆինանսական</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ակտիվների</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օտարումից</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մուտքերի</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գծով</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ծախսերը, յուրաքանչյուր տարի կազմում է համապատասխանաբար</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15 մլրդ դրամ</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իսկ</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ՀՀ</w:t>
      </w:r>
      <w:r w:rsidRPr="00FF3749">
        <w:rPr>
          <w:rFonts w:eastAsia="Times New Roman" w:cs="Times New Roman"/>
          <w:bCs/>
          <w:sz w:val="16"/>
          <w:szCs w:val="16"/>
          <w:lang w:val="af-ZA"/>
        </w:rPr>
        <w:t xml:space="preserve"> 202</w:t>
      </w:r>
      <w:r w:rsidRPr="00FF3749">
        <w:rPr>
          <w:rFonts w:eastAsia="Times New Roman" w:cs="Times New Roman"/>
          <w:bCs/>
          <w:sz w:val="16"/>
          <w:szCs w:val="16"/>
          <w:lang w:val="hy-AM"/>
        </w:rPr>
        <w:t>4թ</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պետական</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բյուջեով՝</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 xml:space="preserve">15 մլրդ </w:t>
      </w:r>
      <w:r w:rsidRPr="00FF3749">
        <w:rPr>
          <w:rFonts w:eastAsia="Times New Roman" w:cs="Times New Roman"/>
          <w:bCs/>
          <w:sz w:val="16"/>
          <w:szCs w:val="16"/>
          <w:lang w:val="af-ZA"/>
        </w:rPr>
        <w:t xml:space="preserve"> </w:t>
      </w:r>
      <w:r w:rsidRPr="00FF3749">
        <w:rPr>
          <w:rFonts w:eastAsia="Times New Roman" w:cs="Times New Roman"/>
          <w:bCs/>
          <w:sz w:val="16"/>
          <w:szCs w:val="16"/>
          <w:lang w:val="hy-AM"/>
        </w:rPr>
        <w:t>դրամ</w:t>
      </w:r>
      <w:r w:rsidRPr="00FF3749">
        <w:rPr>
          <w:rFonts w:eastAsia="Times New Roman" w:cs="Times New Roman"/>
          <w:bCs/>
          <w:sz w:val="16"/>
          <w:szCs w:val="16"/>
          <w:lang w:val="af-ZA"/>
        </w:rPr>
        <w:t>:</w:t>
      </w:r>
    </w:p>
    <w:p w14:paraId="6C0B7BE1" w14:textId="77777777" w:rsidR="001A687C" w:rsidRPr="009E37B9" w:rsidRDefault="001A687C" w:rsidP="00B25841">
      <w:pPr>
        <w:pStyle w:val="FootnoteText"/>
        <w:rPr>
          <w:szCs w:val="16"/>
          <w:lang w:val="hy-AM"/>
        </w:rPr>
      </w:pPr>
    </w:p>
  </w:footnote>
  <w:footnote w:id="26">
    <w:p w14:paraId="2DCB6C6F" w14:textId="77777777" w:rsidR="007C4132" w:rsidRPr="007C4132" w:rsidRDefault="007C4132" w:rsidP="007C4132">
      <w:pPr>
        <w:pStyle w:val="FootnoteText"/>
        <w:rPr>
          <w:lang w:val="hy-AM"/>
        </w:rPr>
      </w:pPr>
      <w:r>
        <w:rPr>
          <w:rStyle w:val="FootnoteReference"/>
        </w:rPr>
        <w:footnoteRef/>
      </w:r>
      <w:r w:rsidRPr="007C4132">
        <w:rPr>
          <w:lang w:val="hy-AM"/>
        </w:rPr>
        <w:t xml:space="preserve"> Ներառված է ՀՀ կառավարության 2023 թվականի դեկտեմբերի 28-ի N 2326-Ն որոշման համաձայն Լեռնային Ղարաբաղի կառավարության և նրա ստեղծած հիմնադրամների, առանձին ֆիզիկական անձանց նկատմամբ Հայաստանի Հանրապետության առևտրային բանկերի, վարկային և ապահովագրական կազմակերպությունների դրամական պահանջների (գույքային իրավունքների) զիջման դիմաց առանձին ֆինանսական կազմակերպությունների դրամական պահանջների (գույքային իրավունքների) զիջման դիմաց 206,357,605,000 դրամ անվանական արժեքով ուղղակի տեղաբաշխված պարտատոմսը</w:t>
      </w:r>
    </w:p>
  </w:footnote>
  <w:footnote w:id="27">
    <w:p w14:paraId="6C17DD91" w14:textId="77777777" w:rsidR="00A26555" w:rsidRPr="00F772B5" w:rsidRDefault="00A26555" w:rsidP="00A26555">
      <w:pPr>
        <w:pStyle w:val="FootnoteText"/>
      </w:pPr>
      <w:r>
        <w:rPr>
          <w:rStyle w:val="FootnoteReference"/>
        </w:rPr>
        <w:footnoteRef/>
      </w:r>
      <w:r>
        <w:t xml:space="preserve"> </w:t>
      </w:r>
      <w:r>
        <w:rPr>
          <w:lang w:val="hy-AM"/>
        </w:rPr>
        <w:t xml:space="preserve">Տե՛ս </w:t>
      </w:r>
      <w:r w:rsidRPr="00175B39">
        <w:rPr>
          <w:lang w:val="hy-AM"/>
        </w:rPr>
        <w:t>Babajanyan, V., Baksa, D., Fukac, M. M., Hakobyan, E., Harutyunyan, A., Karapetyan, N., ... &amp; Zanna, L. F. (2022). The ararat fiscal strategy model: a structural framework for fiscal policy analysis in Armenia. International Monetary Fund.</w:t>
      </w:r>
      <w:r>
        <w:t xml:space="preserve"> </w:t>
      </w:r>
      <w:hyperlink r:id="rId7" w:history="1">
        <w:r w:rsidRPr="0022219E">
          <w:rPr>
            <w:rStyle w:val="Hyperlink"/>
          </w:rPr>
          <w:t>https://www.imf.org/en/Publications/WP/Issues/2022/06/10/The-Ararat-Fiscal-Strategy-Model-A-Structural-Framework-for-Fiscal-Policy-Analysis-in-519522</w:t>
        </w:r>
      </w:hyperlink>
      <w:r>
        <w:t xml:space="preserve"> </w:t>
      </w:r>
    </w:p>
  </w:footnote>
  <w:footnote w:id="28">
    <w:p w14:paraId="6A9C0107" w14:textId="77777777" w:rsidR="00A26555" w:rsidRPr="009E37B9" w:rsidRDefault="00A26555" w:rsidP="00A26555">
      <w:pPr>
        <w:pStyle w:val="FootnoteText"/>
        <w:spacing w:line="276" w:lineRule="auto"/>
        <w:rPr>
          <w:szCs w:val="16"/>
          <w:lang w:val="ro-RO"/>
        </w:rPr>
      </w:pPr>
      <w:r w:rsidRPr="009E37B9">
        <w:rPr>
          <w:rStyle w:val="FootnoteReference"/>
          <w:rFonts w:eastAsia="Times New Roman"/>
          <w:szCs w:val="16"/>
        </w:rPr>
        <w:footnoteRef/>
      </w:r>
      <w:r w:rsidRPr="009E37B9">
        <w:rPr>
          <w:szCs w:val="16"/>
          <w:lang w:val="hy-AM"/>
        </w:rPr>
        <w:t>ՀՆԱ</w:t>
      </w:r>
      <w:r w:rsidRPr="009E37B9">
        <w:rPr>
          <w:szCs w:val="16"/>
          <w:lang w:val="ro-RO"/>
        </w:rPr>
        <w:t xml:space="preserve">, </w:t>
      </w:r>
      <w:r w:rsidRPr="009E37B9">
        <w:rPr>
          <w:szCs w:val="16"/>
          <w:lang w:val="hy-AM"/>
        </w:rPr>
        <w:t>ներմուծման</w:t>
      </w:r>
      <w:r w:rsidRPr="009E37B9">
        <w:rPr>
          <w:szCs w:val="16"/>
          <w:lang w:val="ro-RO"/>
        </w:rPr>
        <w:t xml:space="preserve">, </w:t>
      </w:r>
      <w:r w:rsidRPr="009E37B9">
        <w:rPr>
          <w:szCs w:val="16"/>
          <w:lang w:val="hy-AM"/>
        </w:rPr>
        <w:t>փոխարժեքի</w:t>
      </w:r>
      <w:r w:rsidRPr="009E37B9">
        <w:rPr>
          <w:szCs w:val="16"/>
          <w:lang w:val="sk-SK"/>
        </w:rPr>
        <w:t xml:space="preserve"> </w:t>
      </w:r>
      <w:r w:rsidRPr="009E37B9">
        <w:rPr>
          <w:szCs w:val="16"/>
          <w:lang w:val="hy-AM"/>
        </w:rPr>
        <w:t>և</w:t>
      </w:r>
      <w:r w:rsidRPr="009E37B9">
        <w:rPr>
          <w:szCs w:val="16"/>
          <w:lang w:val="sk-SK"/>
        </w:rPr>
        <w:t xml:space="preserve"> </w:t>
      </w:r>
      <w:r w:rsidRPr="009E37B9">
        <w:rPr>
          <w:szCs w:val="16"/>
          <w:lang w:val="hy-AM"/>
        </w:rPr>
        <w:t>գների</w:t>
      </w:r>
      <w:r w:rsidRPr="009E37B9">
        <w:rPr>
          <w:szCs w:val="16"/>
          <w:lang w:val="sk-SK"/>
        </w:rPr>
        <w:t xml:space="preserve"> </w:t>
      </w:r>
      <w:r w:rsidRPr="009E37B9">
        <w:rPr>
          <w:szCs w:val="16"/>
          <w:lang w:val="hy-AM"/>
        </w:rPr>
        <w:t>գծով</w:t>
      </w:r>
      <w:r w:rsidRPr="009E37B9">
        <w:rPr>
          <w:szCs w:val="16"/>
          <w:lang w:val="sk-SK"/>
        </w:rPr>
        <w:t xml:space="preserve"> </w:t>
      </w:r>
      <w:r w:rsidRPr="009E37B9">
        <w:rPr>
          <w:szCs w:val="16"/>
          <w:lang w:val="hy-AM"/>
        </w:rPr>
        <w:t>հավանական</w:t>
      </w:r>
      <w:r w:rsidRPr="009E37B9">
        <w:rPr>
          <w:szCs w:val="16"/>
          <w:lang w:val="sk-SK"/>
        </w:rPr>
        <w:t xml:space="preserve"> </w:t>
      </w:r>
      <w:r w:rsidRPr="009E37B9">
        <w:rPr>
          <w:szCs w:val="16"/>
          <w:lang w:val="hy-AM"/>
        </w:rPr>
        <w:t>ռիսկերի</w:t>
      </w:r>
      <w:r w:rsidRPr="009E37B9">
        <w:rPr>
          <w:szCs w:val="16"/>
          <w:lang w:val="sk-SK"/>
        </w:rPr>
        <w:t xml:space="preserve"> </w:t>
      </w:r>
      <w:r w:rsidRPr="009E37B9">
        <w:rPr>
          <w:szCs w:val="16"/>
          <w:lang w:val="hy-AM"/>
        </w:rPr>
        <w:t>քանակային</w:t>
      </w:r>
      <w:r w:rsidRPr="009E37B9">
        <w:rPr>
          <w:szCs w:val="16"/>
          <w:lang w:val="sk-SK"/>
        </w:rPr>
        <w:t xml:space="preserve"> </w:t>
      </w:r>
      <w:r w:rsidRPr="009E37B9">
        <w:rPr>
          <w:szCs w:val="16"/>
          <w:lang w:val="hy-AM"/>
        </w:rPr>
        <w:t>գնահատականը</w:t>
      </w:r>
      <w:r w:rsidRPr="009E37B9">
        <w:rPr>
          <w:szCs w:val="16"/>
          <w:lang w:val="sk-SK"/>
        </w:rPr>
        <w:t xml:space="preserve"> </w:t>
      </w:r>
      <w:r w:rsidRPr="009E37B9">
        <w:rPr>
          <w:szCs w:val="16"/>
          <w:lang w:val="hy-AM"/>
        </w:rPr>
        <w:t>ստացվել</w:t>
      </w:r>
      <w:r w:rsidRPr="009E37B9">
        <w:rPr>
          <w:szCs w:val="16"/>
          <w:lang w:val="sk-SK"/>
        </w:rPr>
        <w:t xml:space="preserve"> </w:t>
      </w:r>
      <w:r w:rsidRPr="009E37B9">
        <w:rPr>
          <w:szCs w:val="16"/>
          <w:lang w:val="hy-AM"/>
        </w:rPr>
        <w:t>է</w:t>
      </w:r>
      <w:r w:rsidRPr="009E37B9">
        <w:rPr>
          <w:szCs w:val="16"/>
          <w:lang w:val="sk-SK"/>
        </w:rPr>
        <w:t xml:space="preserve">` </w:t>
      </w:r>
      <w:r w:rsidRPr="009E37B9">
        <w:rPr>
          <w:szCs w:val="16"/>
          <w:lang w:val="hy-AM"/>
        </w:rPr>
        <w:t>հիմք</w:t>
      </w:r>
      <w:r w:rsidRPr="009E37B9">
        <w:rPr>
          <w:szCs w:val="16"/>
          <w:lang w:val="sk-SK"/>
        </w:rPr>
        <w:t xml:space="preserve"> ըն</w:t>
      </w:r>
      <w:r w:rsidRPr="009E37B9">
        <w:rPr>
          <w:szCs w:val="16"/>
          <w:lang w:val="hy-AM"/>
        </w:rPr>
        <w:t>դունելով</w:t>
      </w:r>
      <w:r w:rsidRPr="009E37B9">
        <w:rPr>
          <w:szCs w:val="16"/>
          <w:lang w:val="sk-SK"/>
        </w:rPr>
        <w:t xml:space="preserve"> </w:t>
      </w:r>
      <w:r w:rsidRPr="009E37B9">
        <w:rPr>
          <w:szCs w:val="16"/>
          <w:lang w:val="hy-AM"/>
        </w:rPr>
        <w:t>այս</w:t>
      </w:r>
      <w:r w:rsidRPr="009E37B9">
        <w:rPr>
          <w:szCs w:val="16"/>
          <w:lang w:val="sk-SK"/>
        </w:rPr>
        <w:t xml:space="preserve"> </w:t>
      </w:r>
      <w:r w:rsidRPr="009E37B9">
        <w:rPr>
          <w:szCs w:val="16"/>
          <w:lang w:val="hy-AM"/>
        </w:rPr>
        <w:t>գործոնների</w:t>
      </w:r>
      <w:r w:rsidRPr="009E37B9">
        <w:rPr>
          <w:szCs w:val="16"/>
          <w:lang w:val="sk-SK"/>
        </w:rPr>
        <w:t xml:space="preserve"> </w:t>
      </w:r>
      <w:r w:rsidRPr="009E37B9">
        <w:rPr>
          <w:szCs w:val="16"/>
          <w:lang w:val="hy-AM"/>
        </w:rPr>
        <w:t>պատմական</w:t>
      </w:r>
      <w:r w:rsidRPr="009E37B9">
        <w:rPr>
          <w:szCs w:val="16"/>
          <w:lang w:val="sk-SK"/>
        </w:rPr>
        <w:t xml:space="preserve"> </w:t>
      </w:r>
      <w:r w:rsidRPr="009E37B9">
        <w:rPr>
          <w:szCs w:val="16"/>
          <w:lang w:val="hy-AM"/>
        </w:rPr>
        <w:t>շարժի</w:t>
      </w:r>
      <w:r w:rsidRPr="009E37B9">
        <w:rPr>
          <w:szCs w:val="16"/>
          <w:lang w:val="sk-SK"/>
        </w:rPr>
        <w:t xml:space="preserve"> </w:t>
      </w:r>
      <w:r w:rsidRPr="009E37B9">
        <w:rPr>
          <w:szCs w:val="16"/>
          <w:lang w:val="hy-AM"/>
        </w:rPr>
        <w:t>բացարձակ</w:t>
      </w:r>
      <w:r w:rsidRPr="009E37B9">
        <w:rPr>
          <w:szCs w:val="16"/>
          <w:lang w:val="sk-SK"/>
        </w:rPr>
        <w:t xml:space="preserve"> </w:t>
      </w:r>
      <w:r w:rsidRPr="009E37B9">
        <w:rPr>
          <w:szCs w:val="16"/>
          <w:lang w:val="hy-AM"/>
        </w:rPr>
        <w:t>միջին</w:t>
      </w:r>
      <w:r w:rsidRPr="009E37B9">
        <w:rPr>
          <w:szCs w:val="16"/>
          <w:lang w:val="sk-SK"/>
        </w:rPr>
        <w:t xml:space="preserve"> </w:t>
      </w:r>
      <w:r w:rsidRPr="009E37B9">
        <w:rPr>
          <w:szCs w:val="16"/>
          <w:lang w:val="hy-AM"/>
        </w:rPr>
        <w:t>սխալը</w:t>
      </w:r>
      <w:r w:rsidRPr="009E37B9">
        <w:rPr>
          <w:szCs w:val="16"/>
          <w:lang w:val="ro-RO"/>
        </w:rPr>
        <w:t>:</w:t>
      </w:r>
    </w:p>
  </w:footnote>
  <w:footnote w:id="29">
    <w:p w14:paraId="7DE06565" w14:textId="77777777" w:rsidR="00A26555" w:rsidRPr="009E37B9" w:rsidRDefault="00A26555" w:rsidP="00A26555">
      <w:pPr>
        <w:pStyle w:val="FootnoteText"/>
        <w:spacing w:line="276" w:lineRule="auto"/>
        <w:rPr>
          <w:szCs w:val="16"/>
          <w:lang w:val="ro-RO"/>
        </w:rPr>
      </w:pPr>
      <w:r w:rsidRPr="009E37B9">
        <w:rPr>
          <w:rStyle w:val="FootnoteReference"/>
          <w:szCs w:val="16"/>
        </w:rPr>
        <w:footnoteRef/>
      </w:r>
      <w:r w:rsidRPr="009E37B9">
        <w:rPr>
          <w:szCs w:val="16"/>
          <w:lang w:val="ro-RO"/>
        </w:rPr>
        <w:t xml:space="preserve"> Ընդհանուր ազդեցության գնահատականը հիմնված է մակրոտնտեսական ռիսկերի առանձին հանդես գալու ենթադրության վրա:</w:t>
      </w:r>
    </w:p>
  </w:footnote>
  <w:footnote w:id="30">
    <w:p w14:paraId="280B5305" w14:textId="77777777" w:rsidR="00545EC8" w:rsidRPr="004F7718" w:rsidRDefault="00545EC8" w:rsidP="00545EC8">
      <w:pPr>
        <w:pStyle w:val="FootnoteText"/>
        <w:spacing w:before="0" w:after="0" w:line="240" w:lineRule="auto"/>
        <w:rPr>
          <w:lang w:val="ro-RO"/>
        </w:rPr>
      </w:pPr>
      <w:r w:rsidRPr="00C05AC0">
        <w:rPr>
          <w:rStyle w:val="FootnoteReference"/>
        </w:rPr>
        <w:footnoteRef/>
      </w:r>
      <w:r w:rsidRPr="004F7718">
        <w:rPr>
          <w:lang w:val="ro-RO"/>
        </w:rPr>
        <w:t xml:space="preserve"> </w:t>
      </w:r>
      <w:r w:rsidRPr="00C05AC0">
        <w:rPr>
          <w:szCs w:val="16"/>
          <w:lang w:val="hy-AM"/>
        </w:rPr>
        <w:t>«Պետական գույքի մասնավորեցման մասին» ՀՀ օրենք:</w:t>
      </w:r>
    </w:p>
  </w:footnote>
  <w:footnote w:id="31">
    <w:p w14:paraId="557CB0D8"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Ներկայացված տվյալները ներառում են նաև մինորիտար մասնակցությամբ ընկերությունները:</w:t>
      </w:r>
    </w:p>
  </w:footnote>
  <w:footnote w:id="32">
    <w:p w14:paraId="2B9939FE" w14:textId="77777777" w:rsidR="00545EC8" w:rsidRPr="00C05AC0" w:rsidRDefault="00545EC8" w:rsidP="00545EC8">
      <w:pPr>
        <w:pStyle w:val="BodyText"/>
        <w:spacing w:before="0" w:after="0" w:line="240" w:lineRule="auto"/>
        <w:ind w:firstLine="0"/>
        <w:rPr>
          <w:sz w:val="16"/>
          <w:szCs w:val="16"/>
        </w:rPr>
      </w:pPr>
      <w:r w:rsidRPr="00C05AC0">
        <w:rPr>
          <w:sz w:val="16"/>
          <w:szCs w:val="16"/>
          <w:lang w:val="hy-AM"/>
        </w:rPr>
        <w:footnoteRef/>
      </w:r>
      <w:r w:rsidRPr="00C05AC0">
        <w:rPr>
          <w:sz w:val="16"/>
          <w:szCs w:val="16"/>
          <w:lang w:val="hy-AM"/>
        </w:rPr>
        <w:t xml:space="preserve"> Աղբյուրը՝ </w:t>
      </w:r>
      <w:r w:rsidRPr="00C05AC0">
        <w:rPr>
          <w:sz w:val="16"/>
          <w:szCs w:val="16"/>
        </w:rPr>
        <w:t>World Bank, The business of the state, 2023.</w:t>
      </w:r>
    </w:p>
  </w:footnote>
  <w:footnote w:id="33">
    <w:p w14:paraId="305291DA"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2020-2021թթ. ներառված են նաև Երևան քաղաքապետարանի ենթակայության տակ գտնվող համայնքային մասնակցությամբ ընկերությունների տվյալները:</w:t>
      </w:r>
    </w:p>
  </w:footnote>
  <w:footnote w:id="34">
    <w:p w14:paraId="6AB22418" w14:textId="77777777" w:rsidR="00545EC8" w:rsidRPr="00C05AC0" w:rsidRDefault="00545EC8" w:rsidP="00545EC8">
      <w:pPr>
        <w:pStyle w:val="FootnoteText"/>
        <w:spacing w:before="0" w:after="0" w:line="240" w:lineRule="auto"/>
        <w:rPr>
          <w:szCs w:val="16"/>
        </w:rPr>
      </w:pPr>
      <w:r w:rsidRPr="00C05AC0">
        <w:rPr>
          <w:rStyle w:val="FootnoteReference"/>
          <w:szCs w:val="16"/>
        </w:rPr>
        <w:footnoteRef/>
      </w:r>
      <w:r w:rsidRPr="00C05AC0">
        <w:rPr>
          <w:szCs w:val="16"/>
          <w:lang w:val="hy-AM"/>
        </w:rPr>
        <w:t xml:space="preserve"> Աղբյուրը՝ </w:t>
      </w:r>
      <w:r w:rsidRPr="00C05AC0">
        <w:rPr>
          <w:szCs w:val="16"/>
        </w:rPr>
        <w:t>IMF</w:t>
      </w:r>
      <w:r w:rsidRPr="00C05AC0">
        <w:rPr>
          <w:szCs w:val="16"/>
          <w:lang w:val="hy-AM"/>
        </w:rPr>
        <w:t xml:space="preserve">, </w:t>
      </w:r>
      <w:r w:rsidRPr="00C05AC0">
        <w:rPr>
          <w:bCs/>
          <w:szCs w:val="16"/>
          <w:lang w:val="hy-AM"/>
        </w:rPr>
        <w:t>Fiscal Transparency Handbook (2018)</w:t>
      </w:r>
      <w:r w:rsidRPr="00C05AC0">
        <w:rPr>
          <w:bCs/>
          <w:szCs w:val="16"/>
        </w:rPr>
        <w:t>.</w:t>
      </w:r>
    </w:p>
  </w:footnote>
  <w:footnote w:id="35">
    <w:p w14:paraId="4F1FACFF"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Աղբյուրը ՝ ՀՀ ՖՆ, </w:t>
      </w:r>
      <w:r>
        <w:rPr>
          <w:szCs w:val="16"/>
        </w:rPr>
        <w:t>2024</w:t>
      </w:r>
      <w:r>
        <w:rPr>
          <w:szCs w:val="16"/>
          <w:lang w:val="hy-AM"/>
        </w:rPr>
        <w:t>թ</w:t>
      </w:r>
      <w:r>
        <w:rPr>
          <w:rFonts w:ascii="Cambria Math" w:hAnsi="Cambria Math"/>
          <w:szCs w:val="16"/>
          <w:lang w:val="hy-AM"/>
        </w:rPr>
        <w:t xml:space="preserve">․ </w:t>
      </w:r>
      <w:r w:rsidRPr="00C05AC0">
        <w:rPr>
          <w:szCs w:val="16"/>
          <w:lang w:val="hy-AM"/>
        </w:rPr>
        <w:t>պետական բյուջե</w:t>
      </w:r>
      <w:r>
        <w:rPr>
          <w:szCs w:val="16"/>
          <w:lang w:val="hy-AM"/>
        </w:rPr>
        <w:t>։</w:t>
      </w:r>
    </w:p>
  </w:footnote>
  <w:footnote w:id="36">
    <w:p w14:paraId="0D3C8B48" w14:textId="77777777" w:rsidR="00545EC8" w:rsidRPr="00C05AC0" w:rsidRDefault="00545EC8" w:rsidP="00545EC8">
      <w:pPr>
        <w:pStyle w:val="FootnoteText"/>
        <w:spacing w:before="0" w:after="0" w:line="240" w:lineRule="auto"/>
        <w:rPr>
          <w:szCs w:val="16"/>
          <w:lang w:val="hy-AM"/>
        </w:rPr>
      </w:pPr>
      <w:r w:rsidRPr="00C05AC0">
        <w:rPr>
          <w:szCs w:val="16"/>
          <w:lang w:val="hy-AM"/>
        </w:rPr>
        <w:footnoteRef/>
      </w:r>
      <w:r w:rsidRPr="00C05AC0">
        <w:rPr>
          <w:szCs w:val="16"/>
          <w:lang w:val="hy-AM"/>
        </w:rPr>
        <w:t xml:space="preserve"> ՊՄԸ-ների 2023 թվականի ֆինանսական հաշվետվությունները դեռևս հրապարակված չեն։</w:t>
      </w:r>
    </w:p>
  </w:footnote>
  <w:footnote w:id="37">
    <w:p w14:paraId="66B7F80F"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Պարտքի մակարդակը բնութագրող հիմնական ֆինանսական ցուցանիշներն են պարտքը՝ ակտիվների նկատմամբ (debt to assets), պարտքը՝ սեփական կապիտալի նկատմաբ (debt to equity), պարտքը՝ ճշգրտված շահույթը նախքան տոկոսների վճարումը, հարկումը, մաշվածության և ամորտիզացիայի մասհանումների (debt to EBITDA) նկատմամբ: </w:t>
      </w:r>
    </w:p>
  </w:footnote>
  <w:footnote w:id="38">
    <w:p w14:paraId="3AB44C6A"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Ցույց է տալիս եկամտի այն տոկոսը, որը մնում է որպես շահույթ, երբ բոլոր ծախսերը հանվում են ընդհանուր եկամուտից: Հարաբերակցության ավելի բարձր ցուցանիշը ցույց է տալիս, որ ստացված եկամուտների մեծ մասն իրացվում է որպես շահույթ</w:t>
      </w:r>
    </w:p>
  </w:footnote>
  <w:footnote w:id="39">
    <w:p w14:paraId="31E446BD"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Չափում է ընկերության գործառնական գործունեության արդյունքում ստացված շահույթի մակարդակը՝ նախքան ֆինանսավորման ծախսերը նվազեցնելը: Հարաբերակցության ավելի բարձր ցուցանիշը ցույց է տալիս, որ ստացված եկամուտների մեծ մասն իրացվում է որպես գործառնական շահույթ:</w:t>
      </w:r>
    </w:p>
  </w:footnote>
  <w:footnote w:id="40">
    <w:p w14:paraId="1D7A9E66"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Հայփոստ ՓԲԸ-ի 2022թ-ի ֆինանսական հաշվետվության աուդիտորական եզրակացությունը եղել է վերապահումով:</w:t>
      </w:r>
    </w:p>
  </w:footnote>
  <w:footnote w:id="41">
    <w:p w14:paraId="041B6B73"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Գծապատկերը ներառում է նաև այն ընկերությունները, որտեղ պետության մասնաբաժինը 50%-ից ցածր է։</w:t>
      </w:r>
    </w:p>
  </w:footnote>
  <w:footnote w:id="42">
    <w:p w14:paraId="2AF5DDB1" w14:textId="77777777" w:rsidR="00545EC8" w:rsidRPr="00C05AC0" w:rsidRDefault="00545EC8" w:rsidP="00545EC8">
      <w:pPr>
        <w:spacing w:before="0" w:after="0" w:line="240" w:lineRule="auto"/>
        <w:ind w:firstLine="0"/>
        <w:rPr>
          <w:sz w:val="16"/>
          <w:szCs w:val="16"/>
          <w:lang w:val="hy-AM"/>
        </w:rPr>
      </w:pPr>
      <w:r w:rsidRPr="00C05AC0">
        <w:rPr>
          <w:rStyle w:val="FootnoteReference"/>
          <w:sz w:val="16"/>
          <w:szCs w:val="16"/>
        </w:rPr>
        <w:footnoteRef/>
      </w:r>
      <w:r w:rsidRPr="00C05AC0">
        <w:rPr>
          <w:sz w:val="16"/>
          <w:szCs w:val="16"/>
          <w:lang w:val="hy-AM"/>
        </w:rPr>
        <w:t>Չափում է ընկերության ֆինանսավորման մասնաբաժինը, ինչը բխում է պարտավորություններից: Բարձր հարաբերակցությունը ցույց է տալիս ավելի մեծ կախվածություն պարտքի ֆինանսավորումից:</w:t>
      </w:r>
    </w:p>
  </w:footnote>
  <w:footnote w:id="43">
    <w:p w14:paraId="35468AA5" w14:textId="77777777" w:rsidR="00545EC8"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Չափում է ընկերության ֆինանսավորման մասնաբաժինը, որը բխում է պարտավորություններից սեփական կապիտալի նկատմամբ: Բարձր հարաբերակցությունը ցույց է տալիս ավելի մեծ կախվածություն պարտքի ֆինանսավորումից և ավելի քիչ ֆինանսական ճկունություն:</w:t>
      </w:r>
    </w:p>
    <w:p w14:paraId="6E41B062" w14:textId="77777777" w:rsidR="00545EC8" w:rsidRDefault="00545EC8" w:rsidP="00545EC8">
      <w:pPr>
        <w:pStyle w:val="FootnoteText"/>
        <w:spacing w:before="0" w:after="0" w:line="240" w:lineRule="auto"/>
        <w:rPr>
          <w:szCs w:val="16"/>
          <w:lang w:val="hy-AM"/>
        </w:rPr>
      </w:pPr>
    </w:p>
    <w:p w14:paraId="691894A3" w14:textId="77777777" w:rsidR="00545EC8" w:rsidRDefault="00545EC8" w:rsidP="00545EC8">
      <w:pPr>
        <w:pStyle w:val="FootnoteText"/>
        <w:spacing w:before="0" w:after="0" w:line="240" w:lineRule="auto"/>
        <w:rPr>
          <w:szCs w:val="16"/>
          <w:lang w:val="hy-AM"/>
        </w:rPr>
      </w:pPr>
    </w:p>
    <w:p w14:paraId="6F0B26ED" w14:textId="77777777" w:rsidR="00545EC8" w:rsidRPr="00C05AC0" w:rsidRDefault="00545EC8" w:rsidP="00545EC8">
      <w:pPr>
        <w:pStyle w:val="FootnoteText"/>
        <w:spacing w:before="0" w:after="0" w:line="240" w:lineRule="auto"/>
        <w:rPr>
          <w:szCs w:val="16"/>
          <w:lang w:val="hy-AM"/>
        </w:rPr>
      </w:pPr>
    </w:p>
  </w:footnote>
  <w:footnote w:id="44">
    <w:p w14:paraId="19E139A7" w14:textId="77777777" w:rsidR="00545EC8" w:rsidRPr="00C05AC0" w:rsidRDefault="00545EC8" w:rsidP="00545EC8">
      <w:pPr>
        <w:pStyle w:val="FootnoteText"/>
        <w:spacing w:before="0" w:after="0" w:line="240" w:lineRule="auto"/>
        <w:rPr>
          <w:lang w:val="hy-AM"/>
        </w:rPr>
      </w:pPr>
      <w:r w:rsidRPr="00C05AC0">
        <w:rPr>
          <w:rStyle w:val="FootnoteReference"/>
        </w:rPr>
        <w:footnoteRef/>
      </w:r>
      <w:r w:rsidRPr="00C05AC0">
        <w:rPr>
          <w:lang w:val="hy-AM"/>
        </w:rPr>
        <w:t xml:space="preserve"> </w:t>
      </w:r>
      <w:r w:rsidRPr="00C05AC0">
        <w:rPr>
          <w:szCs w:val="16"/>
          <w:lang w:val="hy-AM"/>
        </w:rPr>
        <w:t>Աղբյուրը՝ ՀՀ ՖՆ</w:t>
      </w:r>
    </w:p>
  </w:footnote>
  <w:footnote w:id="45">
    <w:p w14:paraId="706D7057"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«Ֆինանսական շուկայի 1 տարուց ավել ժամկետով իրավաբանական անձանց տրամադրված վարկերի միջին տոկոսադրույք (ՀՀ դրամ, ԱՄՆ դոլար)», աղբյուրը՝ ԿԲ տեղեկագրեր</w:t>
      </w:r>
    </w:p>
  </w:footnote>
  <w:footnote w:id="46">
    <w:p w14:paraId="317BAE0C"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Երաշխավորվող կազմակերպություն</w:t>
      </w:r>
    </w:p>
  </w:footnote>
  <w:footnote w:id="47">
    <w:p w14:paraId="70D0C053"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Կազմակերպություն, որի նկատմամբ պարտավորություն է ստանձնել երաշխավորվող կազմակերպությունը (երաշխավորվող կազմակերպության պարտատեր)</w:t>
      </w:r>
    </w:p>
  </w:footnote>
  <w:footnote w:id="48">
    <w:p w14:paraId="136F1250"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Վերակառուցման և Զարգացման Միջազգային Բանկ (IBRD)</w:t>
      </w:r>
    </w:p>
  </w:footnote>
  <w:footnote w:id="49">
    <w:p w14:paraId="271E38BE"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Ասիական Զարգացման Բանկ (ADB)</w:t>
      </w:r>
    </w:p>
  </w:footnote>
  <w:footnote w:id="50">
    <w:p w14:paraId="4D7394E8"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Վերականգնման Վարկերի Բանկ (KFW)</w:t>
      </w:r>
    </w:p>
  </w:footnote>
  <w:footnote w:id="51">
    <w:p w14:paraId="662477D9" w14:textId="77777777" w:rsidR="00545EC8" w:rsidRPr="00C05AC0" w:rsidRDefault="00545EC8" w:rsidP="00545EC8">
      <w:pPr>
        <w:spacing w:before="0" w:after="0" w:line="240" w:lineRule="auto"/>
        <w:rPr>
          <w:b/>
          <w:bCs/>
          <w:sz w:val="16"/>
          <w:szCs w:val="16"/>
          <w:lang w:val="hy-AM"/>
        </w:rPr>
      </w:pPr>
      <w:r w:rsidRPr="00C05AC0">
        <w:rPr>
          <w:rStyle w:val="FootnoteReference"/>
          <w:bCs/>
          <w:sz w:val="16"/>
          <w:szCs w:val="16"/>
        </w:rPr>
        <w:footnoteRef/>
      </w:r>
      <w:r w:rsidRPr="00C05AC0">
        <w:rPr>
          <w:bCs/>
          <w:sz w:val="16"/>
          <w:szCs w:val="16"/>
          <w:lang w:val="hy-AM"/>
        </w:rPr>
        <w:t xml:space="preserve"> Կիրառվել է Ասիական Զարգացման Բանկի կողմից մշակված մեթոդաբանությունը՝ ինչպես և սույն փաստաթղթում ներկայացվող այլ հաշվարկների դեպքում:</w:t>
      </w:r>
    </w:p>
  </w:footnote>
  <w:footnote w:id="52">
    <w:p w14:paraId="2016AB6E" w14:textId="77777777" w:rsidR="00545EC8" w:rsidRPr="00C05AC0" w:rsidRDefault="00545EC8" w:rsidP="00545EC8">
      <w:pPr>
        <w:pStyle w:val="FootnoteText"/>
        <w:spacing w:before="0" w:after="0" w:line="240" w:lineRule="auto"/>
        <w:rPr>
          <w:szCs w:val="16"/>
        </w:rPr>
      </w:pPr>
      <w:r w:rsidRPr="00C05AC0">
        <w:rPr>
          <w:rStyle w:val="FootnoteReference"/>
          <w:szCs w:val="16"/>
        </w:rPr>
        <w:footnoteRef/>
      </w:r>
      <w:r w:rsidRPr="00C05AC0">
        <w:rPr>
          <w:szCs w:val="16"/>
          <w:lang w:val="hy-AM"/>
        </w:rPr>
        <w:t xml:space="preserve"> Աղբյուրը՝ </w:t>
      </w:r>
      <w:r w:rsidRPr="00C05AC0">
        <w:rPr>
          <w:szCs w:val="16"/>
        </w:rPr>
        <w:t xml:space="preserve">ADB, Country Partnership Strategy: Armenia, 2014–2018. </w:t>
      </w:r>
    </w:p>
  </w:footnote>
  <w:footnote w:id="53">
    <w:p w14:paraId="20BB6E82" w14:textId="77777777" w:rsidR="00545EC8" w:rsidRPr="00C05AC0" w:rsidRDefault="00545EC8" w:rsidP="00545EC8">
      <w:pPr>
        <w:pStyle w:val="FootnoteText"/>
        <w:spacing w:before="0" w:after="0" w:line="240" w:lineRule="auto"/>
        <w:rPr>
          <w:szCs w:val="16"/>
        </w:rPr>
      </w:pPr>
      <w:r w:rsidRPr="00C05AC0">
        <w:rPr>
          <w:rStyle w:val="FootnoteReference"/>
          <w:szCs w:val="16"/>
        </w:rPr>
        <w:footnoteRef/>
      </w:r>
      <w:r w:rsidRPr="00C05AC0">
        <w:rPr>
          <w:szCs w:val="16"/>
          <w:lang w:val="hy-AM"/>
        </w:rPr>
        <w:t xml:space="preserve"> Աղբյուրը՝ </w:t>
      </w:r>
      <w:r w:rsidRPr="00C05AC0">
        <w:rPr>
          <w:szCs w:val="16"/>
        </w:rPr>
        <w:t xml:space="preserve">World Bank, Disaster Risk Finance Country Note: Armenia, 2017. </w:t>
      </w:r>
    </w:p>
  </w:footnote>
  <w:footnote w:id="54">
    <w:p w14:paraId="518B3902" w14:textId="77777777" w:rsidR="00545EC8" w:rsidRPr="00C05AC0" w:rsidRDefault="00545EC8" w:rsidP="00545EC8">
      <w:pPr>
        <w:pStyle w:val="FootnoteText"/>
        <w:spacing w:before="0" w:after="0" w:line="240" w:lineRule="auto"/>
        <w:rPr>
          <w:szCs w:val="16"/>
        </w:rPr>
      </w:pPr>
      <w:r w:rsidRPr="00C05AC0">
        <w:rPr>
          <w:rStyle w:val="FootnoteReference"/>
          <w:szCs w:val="16"/>
        </w:rPr>
        <w:footnoteRef/>
      </w:r>
      <w:r w:rsidRPr="00C05AC0">
        <w:rPr>
          <w:szCs w:val="16"/>
          <w:lang w:val="hy-AM"/>
        </w:rPr>
        <w:t xml:space="preserve"> Աղբյուրը՝ </w:t>
      </w:r>
      <w:r w:rsidRPr="00C05AC0">
        <w:rPr>
          <w:szCs w:val="16"/>
        </w:rPr>
        <w:t>World Bank, Global Facility for Disaster Reduction and Recovery (GFDRR), Disaster Risk Profile: Armenia, 2017.</w:t>
      </w:r>
    </w:p>
  </w:footnote>
  <w:footnote w:id="55">
    <w:p w14:paraId="6516DC03" w14:textId="77777777" w:rsidR="00545EC8" w:rsidRPr="00855647" w:rsidRDefault="00545EC8" w:rsidP="00545EC8">
      <w:pPr>
        <w:spacing w:before="0" w:after="0" w:line="240" w:lineRule="auto"/>
        <w:rPr>
          <w:bCs/>
          <w:color w:val="0000FF"/>
          <w:sz w:val="16"/>
          <w:szCs w:val="16"/>
          <w:u w:val="single"/>
          <w:lang w:val="hy-AM"/>
        </w:rPr>
      </w:pPr>
      <w:r w:rsidRPr="00C05AC0">
        <w:rPr>
          <w:rStyle w:val="FootnoteReference"/>
          <w:sz w:val="16"/>
          <w:szCs w:val="16"/>
        </w:rPr>
        <w:footnoteRef/>
      </w:r>
      <w:r w:rsidRPr="00C05AC0">
        <w:rPr>
          <w:sz w:val="16"/>
          <w:szCs w:val="16"/>
          <w:lang w:val="hy-AM"/>
        </w:rPr>
        <w:t xml:space="preserve"> </w:t>
      </w:r>
      <w:r>
        <w:rPr>
          <w:sz w:val="16"/>
          <w:szCs w:val="16"/>
          <w:lang w:val="hy-AM"/>
        </w:rPr>
        <w:t>«</w:t>
      </w:r>
      <w:r w:rsidRPr="00C05AC0">
        <w:rPr>
          <w:sz w:val="16"/>
          <w:szCs w:val="16"/>
          <w:lang w:val="hy-AM"/>
        </w:rPr>
        <w:t>2021-2025 թվականների Հարմարվողականության ազգային ծրագիր</w:t>
      </w:r>
      <w:r>
        <w:rPr>
          <w:sz w:val="16"/>
          <w:szCs w:val="16"/>
          <w:lang w:val="hy-AM"/>
        </w:rPr>
        <w:t>»</w:t>
      </w:r>
      <w:r w:rsidRPr="00C05AC0">
        <w:rPr>
          <w:sz w:val="16"/>
          <w:szCs w:val="16"/>
          <w:lang w:val="hy-AM"/>
        </w:rPr>
        <w:t>:</w:t>
      </w:r>
      <w:r>
        <w:rPr>
          <w:sz w:val="16"/>
          <w:szCs w:val="16"/>
          <w:lang w:val="hy-AM"/>
        </w:rPr>
        <w:t xml:space="preserve"> </w:t>
      </w:r>
      <w:r w:rsidRPr="00C05AC0">
        <w:rPr>
          <w:sz w:val="16"/>
          <w:szCs w:val="16"/>
          <w:lang w:val="hy-AM"/>
        </w:rPr>
        <w:t>Տվյալների սկզբնաղբյուր. ՄԱԿ կլիմայի փոփոխության  շրջանակային կոնվենցիայի ներքո կլիմայի փոփոխության մասին Հայաստանի 4-րդ ազգային հաղորդագրություն (2020թ.):</w:t>
      </w:r>
    </w:p>
  </w:footnote>
  <w:footnote w:id="56">
    <w:p w14:paraId="39035A93"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1991-2010թթ-ի տեղեկատվությունը բացակայում է:</w:t>
      </w:r>
    </w:p>
  </w:footnote>
  <w:footnote w:id="57">
    <w:p w14:paraId="50B67A11"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Աղբյուրը՝ Արմստատ, շրջակա միջավայրը և բնական պաշարները ՀՀ-ում:</w:t>
      </w:r>
    </w:p>
  </w:footnote>
  <w:footnote w:id="58">
    <w:p w14:paraId="0375AEA7" w14:textId="77777777" w:rsidR="00545EC8" w:rsidRPr="00C05AC0" w:rsidRDefault="00545EC8" w:rsidP="00545EC8">
      <w:pPr>
        <w:pStyle w:val="FootnoteText"/>
        <w:spacing w:before="0" w:after="0" w:line="240" w:lineRule="auto"/>
        <w:rPr>
          <w:szCs w:val="16"/>
          <w:lang w:val="hy-AM"/>
        </w:rPr>
      </w:pPr>
      <w:r w:rsidRPr="00C05AC0">
        <w:rPr>
          <w:rStyle w:val="FootnoteReference"/>
          <w:szCs w:val="16"/>
        </w:rPr>
        <w:footnoteRef/>
      </w:r>
      <w:r w:rsidRPr="00C05AC0">
        <w:rPr>
          <w:szCs w:val="16"/>
          <w:lang w:val="hy-AM"/>
        </w:rPr>
        <w:t xml:space="preserve"> ՀՀ կառավարության 2023 թվականի հոկտեմբերի 5-ի N 1717-Լ որոշում, հավելված N 1, աղետների ռիսկի կառավարման 2023-2030 թվականների ռազմավարություն: </w:t>
      </w:r>
    </w:p>
  </w:footnote>
  <w:footnote w:id="59">
    <w:p w14:paraId="54B9F34A" w14:textId="77777777" w:rsidR="00545EC8" w:rsidRPr="0004505C" w:rsidRDefault="00545EC8" w:rsidP="00545EC8">
      <w:pPr>
        <w:pStyle w:val="FootnoteText"/>
        <w:spacing w:before="0" w:after="0" w:line="240" w:lineRule="auto"/>
        <w:rPr>
          <w:lang w:val="hy-AM"/>
        </w:rPr>
      </w:pPr>
      <w:r w:rsidRPr="0004505C">
        <w:rPr>
          <w:rStyle w:val="FootnoteReference"/>
        </w:rPr>
        <w:footnoteRef/>
      </w:r>
      <w:r w:rsidRPr="0004505C">
        <w:rPr>
          <w:lang w:val="hy-AM"/>
        </w:rPr>
        <w:t xml:space="preserve"> </w:t>
      </w:r>
      <w:r>
        <w:rPr>
          <w:lang w:val="hy-AM"/>
        </w:rPr>
        <w:t xml:space="preserve">ՀՀ ՇՄՆ </w:t>
      </w:r>
      <w:r w:rsidRPr="0004505C">
        <w:rPr>
          <w:lang w:val="hy-AM"/>
        </w:rPr>
        <w:t>«ՀՀ ջերմոցային գազերի ազգային կադաստրի հաշվետվություն, 1990-2019թթ</w:t>
      </w:r>
      <w:r w:rsidRPr="0004505C">
        <w:rPr>
          <w:rFonts w:ascii="Cambria Math" w:hAnsi="Cambria Math" w:cs="Cambria Math"/>
          <w:lang w:val="hy-AM"/>
        </w:rPr>
        <w:t>․</w:t>
      </w:r>
      <w:r>
        <w:rPr>
          <w:rFonts w:ascii="Cambria Math" w:hAnsi="Cambria Math" w:cs="Cambria Math"/>
          <w:lang w:val="hy-AM"/>
        </w:rPr>
        <w:t>»</w:t>
      </w:r>
      <w:r>
        <w:rPr>
          <w:lang w:val="hy-AM"/>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FFFFFF83"/>
    <w:lvl w:ilvl="0">
      <w:start w:val="1"/>
      <w:numFmt w:val="bullet"/>
      <w:pStyle w:val="2ndheading"/>
      <w:lvlText w:val=""/>
      <w:lvlJc w:val="left"/>
      <w:pPr>
        <w:tabs>
          <w:tab w:val="left" w:pos="-66"/>
        </w:tabs>
        <w:ind w:left="-66" w:hanging="360"/>
      </w:pPr>
      <w:rPr>
        <w:rFonts w:ascii="Symbol" w:hAnsi="Symbol" w:hint="default"/>
      </w:r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FFFFFFFE"/>
    <w:multiLevelType w:val="singleLevel"/>
    <w:tmpl w:val="E4CC2A18"/>
    <w:lvl w:ilvl="0">
      <w:numFmt w:val="bullet"/>
      <w:lvlText w:val="*"/>
      <w:lvlJc w:val="left"/>
    </w:lvl>
  </w:abstractNum>
  <w:abstractNum w:abstractNumId="3" w15:restartNumberingAfterBreak="0">
    <w:nsid w:val="03AB5951"/>
    <w:multiLevelType w:val="hybridMultilevel"/>
    <w:tmpl w:val="089ED7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F033D1"/>
    <w:multiLevelType w:val="multilevel"/>
    <w:tmpl w:val="03F033D1"/>
    <w:lvl w:ilvl="0">
      <w:start w:val="1"/>
      <w:numFmt w:val="bullet"/>
      <w:pStyle w:val="num02"/>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832E5D"/>
    <w:multiLevelType w:val="hybridMultilevel"/>
    <w:tmpl w:val="1F8E07B2"/>
    <w:lvl w:ilvl="0" w:tplc="A05A480C">
      <w:start w:val="1"/>
      <w:numFmt w:val="decimal"/>
      <w:pStyle w:val="1"/>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 w15:restartNumberingAfterBreak="0">
    <w:nsid w:val="0CED22CD"/>
    <w:multiLevelType w:val="multilevel"/>
    <w:tmpl w:val="0CED22CD"/>
    <w:lvl w:ilvl="0">
      <w:start w:val="1"/>
      <w:numFmt w:val="decimal"/>
      <w:pStyle w:val="Style4"/>
      <w:lvlText w:val="´²ÄÆÜ %1."/>
      <w:lvlJc w:val="left"/>
      <w:pPr>
        <w:tabs>
          <w:tab w:val="left" w:pos="1531"/>
        </w:tabs>
        <w:ind w:left="1531" w:hanging="1531"/>
      </w:pPr>
      <w:rPr>
        <w:rFonts w:hint="default"/>
      </w:rPr>
    </w:lvl>
    <w:lvl w:ilvl="1">
      <w:start w:val="1"/>
      <w:numFmt w:val="decimal"/>
      <w:lvlRestart w:val="0"/>
      <w:pStyle w:val="annexedhead"/>
      <w:lvlText w:val="¶ÈàôÊ %2."/>
      <w:lvlJc w:val="left"/>
      <w:pPr>
        <w:tabs>
          <w:tab w:val="left" w:pos="1440"/>
        </w:tabs>
        <w:ind w:left="737" w:hanging="737"/>
      </w:pPr>
      <w:rPr>
        <w:rFonts w:hint="default"/>
      </w:rPr>
    </w:lvl>
    <w:lvl w:ilvl="2">
      <w:start w:val="1"/>
      <w:numFmt w:val="decimal"/>
      <w:pStyle w:val="StyleHeading3CenteredtextLinespacingsingle"/>
      <w:lvlText w:val="%2.%3."/>
      <w:lvlJc w:val="left"/>
      <w:pPr>
        <w:tabs>
          <w:tab w:val="left" w:pos="737"/>
        </w:tabs>
        <w:ind w:left="737" w:hanging="737"/>
      </w:pPr>
      <w:rPr>
        <w:rFonts w:hint="default"/>
      </w:rPr>
    </w:lvl>
    <w:lvl w:ilvl="3">
      <w:start w:val="1"/>
      <w:numFmt w:val="decimal"/>
      <w:lvlText w:val="%2.%3.%4."/>
      <w:lvlJc w:val="left"/>
      <w:pPr>
        <w:tabs>
          <w:tab w:val="left" w:pos="737"/>
        </w:tabs>
        <w:ind w:left="737" w:hanging="737"/>
      </w:pPr>
      <w:rPr>
        <w:rFonts w:hint="default"/>
      </w:rPr>
    </w:lvl>
    <w:lvl w:ilvl="4">
      <w:start w:val="1"/>
      <w:numFmt w:val="decimal"/>
      <w:lvlText w:val="%2.%3.%4.%5."/>
      <w:lvlJc w:val="left"/>
      <w:pPr>
        <w:tabs>
          <w:tab w:val="left" w:pos="907"/>
        </w:tabs>
        <w:ind w:left="907" w:hanging="907"/>
      </w:pPr>
      <w:rPr>
        <w:rFonts w:hint="default"/>
      </w:rPr>
    </w:lvl>
    <w:lvl w:ilvl="5">
      <w:start w:val="1"/>
      <w:numFmt w:val="decimal"/>
      <w:lvlText w:val="%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 w15:restartNumberingAfterBreak="0">
    <w:nsid w:val="105D7878"/>
    <w:multiLevelType w:val="hybridMultilevel"/>
    <w:tmpl w:val="19F4FB38"/>
    <w:lvl w:ilvl="0" w:tplc="7AACA3B0">
      <w:numFmt w:val="bullet"/>
      <w:lvlText w:val="-"/>
      <w:lvlJc w:val="left"/>
      <w:pPr>
        <w:ind w:left="1080" w:hanging="360"/>
      </w:pPr>
      <w:rPr>
        <w:rFonts w:ascii="GHEA Grapalat" w:eastAsiaTheme="minorHAnsi" w:hAnsi="GHEA Grapalat"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22A707DA"/>
    <w:multiLevelType w:val="hybridMultilevel"/>
    <w:tmpl w:val="3B907D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AF22EA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AD5C9D"/>
    <w:multiLevelType w:val="multilevel"/>
    <w:tmpl w:val="862A8F70"/>
    <w:lvl w:ilvl="0">
      <w:start w:val="1"/>
      <w:numFmt w:val="decimal"/>
      <w:pStyle w:val="a"/>
      <w:lvlText w:val="%1."/>
      <w:lvlJc w:val="right"/>
      <w:pPr>
        <w:ind w:left="360" w:hanging="360"/>
      </w:pPr>
      <w:rPr>
        <w:rFonts w:hint="default"/>
      </w:rPr>
    </w:lvl>
    <w:lvl w:ilvl="1">
      <w:start w:val="1"/>
      <w:numFmt w:val="decimal"/>
      <w:pStyle w:val="a0"/>
      <w:lvlText w:val="%1.%2."/>
      <w:lvlJc w:val="left"/>
      <w:pPr>
        <w:ind w:left="1062" w:hanging="432"/>
      </w:pPr>
      <w:rPr>
        <w:rFonts w:hint="default"/>
        <w:sz w:val="28"/>
        <w:szCs w:val="28"/>
      </w:rPr>
    </w:lvl>
    <w:lvl w:ilvl="2">
      <w:start w:val="1"/>
      <w:numFmt w:val="decimal"/>
      <w:pStyle w:val="a1"/>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C0D17E8"/>
    <w:multiLevelType w:val="multilevel"/>
    <w:tmpl w:val="2C0D17E8"/>
    <w:lvl w:ilvl="0">
      <w:start w:val="110"/>
      <w:numFmt w:val="bullet"/>
      <w:pStyle w:val="ListBullet2"/>
      <w:lvlText w:val="-"/>
      <w:lvlJc w:val="left"/>
      <w:pPr>
        <w:tabs>
          <w:tab w:val="left" w:pos="1575"/>
        </w:tabs>
        <w:ind w:left="1575" w:hanging="975"/>
      </w:pPr>
      <w:rPr>
        <w:rFonts w:ascii="Times Armenian" w:eastAsia="Times New Roman" w:hAnsi="Times Armenian" w:cs="Times New Roman" w:hint="default"/>
      </w:rPr>
    </w:lvl>
    <w:lvl w:ilvl="1">
      <w:start w:val="1"/>
      <w:numFmt w:val="bullet"/>
      <w:lvlText w:val="o"/>
      <w:lvlJc w:val="left"/>
      <w:pPr>
        <w:tabs>
          <w:tab w:val="left" w:pos="1680"/>
        </w:tabs>
        <w:ind w:left="1680" w:hanging="360"/>
      </w:pPr>
      <w:rPr>
        <w:rFonts w:ascii="Courier New" w:hAnsi="Courier New" w:cs="Courier New" w:hint="default"/>
      </w:rPr>
    </w:lvl>
    <w:lvl w:ilvl="2">
      <w:start w:val="1"/>
      <w:numFmt w:val="bullet"/>
      <w:lvlText w:val=""/>
      <w:lvlJc w:val="left"/>
      <w:pPr>
        <w:tabs>
          <w:tab w:val="left" w:pos="2400"/>
        </w:tabs>
        <w:ind w:left="2400" w:hanging="360"/>
      </w:pPr>
      <w:rPr>
        <w:rFonts w:ascii="Wingdings" w:hAnsi="Wingdings" w:hint="default"/>
      </w:rPr>
    </w:lvl>
    <w:lvl w:ilvl="3">
      <w:start w:val="1"/>
      <w:numFmt w:val="bullet"/>
      <w:lvlText w:val=""/>
      <w:lvlJc w:val="left"/>
      <w:pPr>
        <w:tabs>
          <w:tab w:val="left" w:pos="3120"/>
        </w:tabs>
        <w:ind w:left="3120" w:hanging="360"/>
      </w:pPr>
      <w:rPr>
        <w:rFonts w:ascii="Symbol" w:hAnsi="Symbol" w:hint="default"/>
      </w:rPr>
    </w:lvl>
    <w:lvl w:ilvl="4">
      <w:start w:val="1"/>
      <w:numFmt w:val="bullet"/>
      <w:lvlText w:val="o"/>
      <w:lvlJc w:val="left"/>
      <w:pPr>
        <w:tabs>
          <w:tab w:val="left" w:pos="3840"/>
        </w:tabs>
        <w:ind w:left="3840" w:hanging="360"/>
      </w:pPr>
      <w:rPr>
        <w:rFonts w:ascii="Courier New" w:hAnsi="Courier New" w:cs="Courier New" w:hint="default"/>
      </w:rPr>
    </w:lvl>
    <w:lvl w:ilvl="5">
      <w:start w:val="1"/>
      <w:numFmt w:val="bullet"/>
      <w:lvlText w:val=""/>
      <w:lvlJc w:val="left"/>
      <w:pPr>
        <w:tabs>
          <w:tab w:val="left" w:pos="4560"/>
        </w:tabs>
        <w:ind w:left="4560" w:hanging="360"/>
      </w:pPr>
      <w:rPr>
        <w:rFonts w:ascii="Wingdings" w:hAnsi="Wingdings" w:hint="default"/>
      </w:rPr>
    </w:lvl>
    <w:lvl w:ilvl="6">
      <w:start w:val="1"/>
      <w:numFmt w:val="bullet"/>
      <w:lvlText w:val=""/>
      <w:lvlJc w:val="left"/>
      <w:pPr>
        <w:tabs>
          <w:tab w:val="left" w:pos="5280"/>
        </w:tabs>
        <w:ind w:left="5280" w:hanging="360"/>
      </w:pPr>
      <w:rPr>
        <w:rFonts w:ascii="Symbol" w:hAnsi="Symbol" w:hint="default"/>
      </w:rPr>
    </w:lvl>
    <w:lvl w:ilvl="7">
      <w:start w:val="1"/>
      <w:numFmt w:val="bullet"/>
      <w:lvlText w:val="o"/>
      <w:lvlJc w:val="left"/>
      <w:pPr>
        <w:tabs>
          <w:tab w:val="left" w:pos="6000"/>
        </w:tabs>
        <w:ind w:left="6000" w:hanging="360"/>
      </w:pPr>
      <w:rPr>
        <w:rFonts w:ascii="Courier New" w:hAnsi="Courier New" w:cs="Courier New" w:hint="default"/>
      </w:rPr>
    </w:lvl>
    <w:lvl w:ilvl="8">
      <w:start w:val="1"/>
      <w:numFmt w:val="bullet"/>
      <w:lvlText w:val=""/>
      <w:lvlJc w:val="left"/>
      <w:pPr>
        <w:tabs>
          <w:tab w:val="left" w:pos="6720"/>
        </w:tabs>
        <w:ind w:left="6720" w:hanging="360"/>
      </w:pPr>
      <w:rPr>
        <w:rFonts w:ascii="Wingdings" w:hAnsi="Wingdings" w:hint="default"/>
      </w:rPr>
    </w:lvl>
  </w:abstractNum>
  <w:abstractNum w:abstractNumId="11" w15:restartNumberingAfterBreak="0">
    <w:nsid w:val="2EC57CAF"/>
    <w:multiLevelType w:val="multilevel"/>
    <w:tmpl w:val="3618B4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E51E0F"/>
    <w:multiLevelType w:val="hybridMultilevel"/>
    <w:tmpl w:val="5156E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993892"/>
    <w:multiLevelType w:val="hybridMultilevel"/>
    <w:tmpl w:val="8F2ADB6C"/>
    <w:lvl w:ilvl="0" w:tplc="5B509CC2">
      <w:start w:val="1"/>
      <w:numFmt w:val="decimal"/>
      <w:lvlText w:val="Աղյուսակ %1."/>
      <w:lvlJc w:val="left"/>
      <w:pPr>
        <w:ind w:left="1637" w:hanging="360"/>
      </w:pPr>
      <w:rPr>
        <w:rFonts w:hint="default"/>
        <w:b/>
        <w:bCs/>
      </w:r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15:restartNumberingAfterBreak="0">
    <w:nsid w:val="3711517C"/>
    <w:multiLevelType w:val="hybridMultilevel"/>
    <w:tmpl w:val="9190AB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8B70647"/>
    <w:multiLevelType w:val="multilevel"/>
    <w:tmpl w:val="38B70647"/>
    <w:lvl w:ilvl="0">
      <w:start w:val="1"/>
      <w:numFmt w:val="decimal"/>
      <w:pStyle w:val="StyleGHEAGrapalatJustifiedBefore12p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8D45687"/>
    <w:multiLevelType w:val="multilevel"/>
    <w:tmpl w:val="4B34604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a2"/>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97E437C"/>
    <w:multiLevelType w:val="hybridMultilevel"/>
    <w:tmpl w:val="4880B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0D40F5"/>
    <w:multiLevelType w:val="hybridMultilevel"/>
    <w:tmpl w:val="EBA60766"/>
    <w:lvl w:ilvl="0" w:tplc="04090001">
      <w:start w:val="1"/>
      <w:numFmt w:val="bullet"/>
      <w:lvlText w:val=""/>
      <w:lvlJc w:val="left"/>
      <w:pPr>
        <w:tabs>
          <w:tab w:val="num" w:pos="480"/>
        </w:tabs>
        <w:ind w:left="4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nsolas" w:hAnsi="Consola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nsolas" w:hAnsi="Consola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nsolas" w:hAnsi="Consola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EFA4777"/>
    <w:multiLevelType w:val="multilevel"/>
    <w:tmpl w:val="CD98F336"/>
    <w:lvl w:ilvl="0">
      <w:start w:val="6"/>
      <w:numFmt w:val="decimal"/>
      <w:lvlText w:val="%1"/>
      <w:lvlJc w:val="left"/>
      <w:pPr>
        <w:ind w:left="360" w:hanging="360"/>
      </w:pPr>
      <w:rPr>
        <w:rFonts w:hint="default"/>
      </w:rPr>
    </w:lvl>
    <w:lvl w:ilvl="1">
      <w:start w:val="9"/>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640" w:hanging="2160"/>
      </w:pPr>
      <w:rPr>
        <w:rFonts w:hint="default"/>
      </w:rPr>
    </w:lvl>
  </w:abstractNum>
  <w:abstractNum w:abstractNumId="20" w15:restartNumberingAfterBreak="0">
    <w:nsid w:val="41D67373"/>
    <w:multiLevelType w:val="hybridMultilevel"/>
    <w:tmpl w:val="9BB60996"/>
    <w:lvl w:ilvl="0" w:tplc="04090001">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21" w15:restartNumberingAfterBreak="0">
    <w:nsid w:val="42A329F3"/>
    <w:multiLevelType w:val="multilevel"/>
    <w:tmpl w:val="42A329F3"/>
    <w:lvl w:ilvl="0">
      <w:start w:val="1"/>
      <w:numFmt w:val="decimal"/>
      <w:pStyle w:val="StyleGHEAGrapalatJustifiedAfter6ptLinespacingMultip"/>
      <w:lvlText w:val="%1)"/>
      <w:lvlJc w:val="left"/>
      <w:pPr>
        <w:ind w:left="1008" w:hanging="360"/>
      </w:pPr>
    </w:lvl>
    <w:lvl w:ilvl="1">
      <w:start w:val="7"/>
      <w:numFmt w:val="decimal"/>
      <w:lvlText w:val="%2."/>
      <w:lvlJc w:val="left"/>
      <w:pPr>
        <w:tabs>
          <w:tab w:val="left" w:pos="1728"/>
        </w:tabs>
        <w:ind w:left="1728" w:hanging="360"/>
      </w:pPr>
      <w:rPr>
        <w:rFonts w:hint="default"/>
      </w:rPr>
    </w:lvl>
    <w:lvl w:ilvl="2">
      <w:start w:val="1"/>
      <w:numFmt w:val="lowerRoman"/>
      <w:lvlText w:val="%3."/>
      <w:lvlJc w:val="right"/>
      <w:pPr>
        <w:ind w:left="2448" w:hanging="180"/>
      </w:pPr>
    </w:lvl>
    <w:lvl w:ilvl="3">
      <w:start w:val="1"/>
      <w:numFmt w:val="decimal"/>
      <w:lvlText w:val="%4."/>
      <w:lvlJc w:val="left"/>
      <w:pPr>
        <w:ind w:left="3168" w:hanging="360"/>
      </w:pPr>
    </w:lvl>
    <w:lvl w:ilvl="4">
      <w:start w:val="1"/>
      <w:numFmt w:val="lowerLetter"/>
      <w:lvlText w:val="%5."/>
      <w:lvlJc w:val="left"/>
      <w:pPr>
        <w:ind w:left="3888" w:hanging="360"/>
      </w:pPr>
    </w:lvl>
    <w:lvl w:ilvl="5">
      <w:start w:val="1"/>
      <w:numFmt w:val="lowerRoman"/>
      <w:lvlText w:val="%6."/>
      <w:lvlJc w:val="right"/>
      <w:pPr>
        <w:ind w:left="4608" w:hanging="180"/>
      </w:pPr>
    </w:lvl>
    <w:lvl w:ilvl="6">
      <w:start w:val="1"/>
      <w:numFmt w:val="decimal"/>
      <w:lvlText w:val="%7."/>
      <w:lvlJc w:val="left"/>
      <w:pPr>
        <w:ind w:left="5328" w:hanging="360"/>
      </w:pPr>
    </w:lvl>
    <w:lvl w:ilvl="7">
      <w:start w:val="1"/>
      <w:numFmt w:val="lowerLetter"/>
      <w:lvlText w:val="%8."/>
      <w:lvlJc w:val="left"/>
      <w:pPr>
        <w:ind w:left="6048" w:hanging="360"/>
      </w:pPr>
    </w:lvl>
    <w:lvl w:ilvl="8">
      <w:start w:val="1"/>
      <w:numFmt w:val="lowerRoman"/>
      <w:lvlText w:val="%9."/>
      <w:lvlJc w:val="right"/>
      <w:pPr>
        <w:ind w:left="6768" w:hanging="180"/>
      </w:pPr>
    </w:lvl>
  </w:abstractNum>
  <w:abstractNum w:abstractNumId="22" w15:restartNumberingAfterBreak="0">
    <w:nsid w:val="47F0191B"/>
    <w:multiLevelType w:val="hybridMultilevel"/>
    <w:tmpl w:val="A0CC61C4"/>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489532F9"/>
    <w:multiLevelType w:val="hybridMultilevel"/>
    <w:tmpl w:val="444A609C"/>
    <w:lvl w:ilvl="0" w:tplc="0409000F">
      <w:start w:val="1"/>
      <w:numFmt w:val="decimal"/>
      <w:lvlText w:val="%1."/>
      <w:lvlJc w:val="left"/>
      <w:pPr>
        <w:ind w:left="987" w:hanging="420"/>
      </w:pPr>
      <w:rPr>
        <w:rFonts w:hint="default"/>
      </w:rPr>
    </w:lvl>
    <w:lvl w:ilvl="1" w:tplc="D1AE8D64">
      <w:start w:val="1"/>
      <w:numFmt w:val="lowerRoman"/>
      <w:lvlText w:val="(%2)"/>
      <w:lvlJc w:val="left"/>
      <w:pPr>
        <w:ind w:left="2007" w:hanging="720"/>
      </w:pPr>
      <w:rPr>
        <w:rFonts w:hint="default"/>
      </w:r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A1968FA"/>
    <w:multiLevelType w:val="hybridMultilevel"/>
    <w:tmpl w:val="39DE5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D992FB0"/>
    <w:multiLevelType w:val="hybridMultilevel"/>
    <w:tmpl w:val="6D2A6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8C71EC"/>
    <w:multiLevelType w:val="hybridMultilevel"/>
    <w:tmpl w:val="8300372A"/>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27" w15:restartNumberingAfterBreak="0">
    <w:nsid w:val="50A05D30"/>
    <w:multiLevelType w:val="hybridMultilevel"/>
    <w:tmpl w:val="81D690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38D193D"/>
    <w:multiLevelType w:val="multilevel"/>
    <w:tmpl w:val="8AB2459C"/>
    <w:lvl w:ilvl="0">
      <w:start w:val="16"/>
      <w:numFmt w:val="decimal"/>
      <w:lvlText w:val="%1."/>
      <w:lvlJc w:val="left"/>
      <w:pPr>
        <w:ind w:left="1080" w:hanging="360"/>
      </w:pPr>
      <w:rPr>
        <w:rFonts w:hint="default"/>
        <w:b w:val="0"/>
        <w:sz w:val="24"/>
        <w:szCs w:val="24"/>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3"/>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56247228"/>
    <w:multiLevelType w:val="multilevel"/>
    <w:tmpl w:val="56247228"/>
    <w:lvl w:ilvl="0">
      <w:numFmt w:val="bullet"/>
      <w:pStyle w:val="a3"/>
      <w:lvlText w:val="-"/>
      <w:lvlJc w:val="left"/>
      <w:pPr>
        <w:tabs>
          <w:tab w:val="left" w:pos="360"/>
        </w:tabs>
        <w:ind w:left="0" w:firstLine="0"/>
      </w:pPr>
      <w:rPr>
        <w:rFonts w:ascii="Times Armenian" w:eastAsia="Times New Roman" w:hAnsi="Times Armenian" w:cs="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8981591"/>
    <w:multiLevelType w:val="multilevel"/>
    <w:tmpl w:val="58981591"/>
    <w:lvl w:ilvl="0">
      <w:start w:val="1"/>
      <w:numFmt w:val="bullet"/>
      <w:pStyle w:val="ListDash"/>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B0F2997"/>
    <w:multiLevelType w:val="multilevel"/>
    <w:tmpl w:val="5B0F2997"/>
    <w:lvl w:ilvl="0">
      <w:start w:val="1"/>
      <w:numFmt w:val="bullet"/>
      <w:pStyle w:val="CM31"/>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32" w15:restartNumberingAfterBreak="0">
    <w:nsid w:val="5B4826EC"/>
    <w:multiLevelType w:val="hybridMultilevel"/>
    <w:tmpl w:val="DB3C1D7E"/>
    <w:lvl w:ilvl="0" w:tplc="0409000F">
      <w:start w:val="1"/>
      <w:numFmt w:val="decimal"/>
      <w:lvlText w:val="%1."/>
      <w:lvlJc w:val="left"/>
      <w:pPr>
        <w:ind w:left="720" w:hanging="360"/>
      </w:pPr>
    </w:lvl>
    <w:lvl w:ilvl="1" w:tplc="C8D67216">
      <w:start w:val="1"/>
      <w:numFmt w:val="decimal"/>
      <w:lvlText w:val="%2)"/>
      <w:lvlJc w:val="left"/>
      <w:pPr>
        <w:ind w:left="1545" w:hanging="4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B4A6EA8"/>
    <w:multiLevelType w:val="multilevel"/>
    <w:tmpl w:val="5B4A6EA8"/>
    <w:lvl w:ilvl="0">
      <w:start w:val="1"/>
      <w:numFmt w:val="decimal"/>
      <w:pStyle w:val="Numberedtext"/>
      <w:lvlText w:val="%1."/>
      <w:lvlJc w:val="left"/>
      <w:pPr>
        <w:tabs>
          <w:tab w:val="left" w:pos="1004"/>
        </w:tabs>
        <w:ind w:left="1004" w:hanging="284"/>
      </w:pPr>
      <w:rPr>
        <w:rFonts w:cs="Times New Roman" w:hint="default"/>
      </w:rPr>
    </w:lvl>
    <w:lvl w:ilvl="1">
      <w:start w:val="1"/>
      <w:numFmt w:val="lowerLetter"/>
      <w:lvlText w:val="%2."/>
      <w:lvlJc w:val="left"/>
      <w:pPr>
        <w:tabs>
          <w:tab w:val="left" w:pos="1287"/>
        </w:tabs>
        <w:ind w:left="1287" w:hanging="283"/>
      </w:pPr>
      <w:rPr>
        <w:rFonts w:cs="Times New Roman" w:hint="default"/>
      </w:rPr>
    </w:lvl>
    <w:lvl w:ilvl="2">
      <w:start w:val="1"/>
      <w:numFmt w:val="lowerRoman"/>
      <w:lvlText w:val="%3."/>
      <w:lvlJc w:val="left"/>
      <w:pPr>
        <w:tabs>
          <w:tab w:val="left" w:pos="1571"/>
        </w:tabs>
        <w:ind w:left="1571" w:hanging="284"/>
      </w:pPr>
      <w:rPr>
        <w:rFonts w:cs="Times New Roman" w:hint="default"/>
      </w:rPr>
    </w:lvl>
    <w:lvl w:ilvl="3">
      <w:start w:val="1"/>
      <w:numFmt w:val="none"/>
      <w:lvlText w:val=""/>
      <w:lvlJc w:val="left"/>
      <w:pPr>
        <w:tabs>
          <w:tab w:val="left" w:pos="1571"/>
        </w:tabs>
        <w:ind w:left="1571"/>
      </w:pPr>
      <w:rPr>
        <w:rFonts w:cs="Times New Roman" w:hint="default"/>
      </w:rPr>
    </w:lvl>
    <w:lvl w:ilvl="4">
      <w:start w:val="1"/>
      <w:numFmt w:val="none"/>
      <w:lvlText w:val=""/>
      <w:lvlJc w:val="left"/>
      <w:pPr>
        <w:tabs>
          <w:tab w:val="left" w:pos="1571"/>
        </w:tabs>
        <w:ind w:left="1571"/>
      </w:pPr>
      <w:rPr>
        <w:rFonts w:cs="Times New Roman" w:hint="default"/>
      </w:rPr>
    </w:lvl>
    <w:lvl w:ilvl="5">
      <w:start w:val="1"/>
      <w:numFmt w:val="none"/>
      <w:lvlText w:val=""/>
      <w:lvlJc w:val="left"/>
      <w:pPr>
        <w:tabs>
          <w:tab w:val="left" w:pos="1571"/>
        </w:tabs>
        <w:ind w:left="1571"/>
      </w:pPr>
      <w:rPr>
        <w:rFonts w:cs="Times New Roman" w:hint="default"/>
      </w:rPr>
    </w:lvl>
    <w:lvl w:ilvl="6">
      <w:start w:val="1"/>
      <w:numFmt w:val="none"/>
      <w:lvlText w:val=""/>
      <w:lvlJc w:val="left"/>
      <w:pPr>
        <w:tabs>
          <w:tab w:val="left" w:pos="1571"/>
        </w:tabs>
        <w:ind w:left="1571"/>
      </w:pPr>
      <w:rPr>
        <w:rFonts w:cs="Times New Roman" w:hint="default"/>
      </w:rPr>
    </w:lvl>
    <w:lvl w:ilvl="7">
      <w:start w:val="1"/>
      <w:numFmt w:val="none"/>
      <w:lvlText w:val=""/>
      <w:lvlJc w:val="left"/>
      <w:pPr>
        <w:tabs>
          <w:tab w:val="left" w:pos="1571"/>
        </w:tabs>
        <w:ind w:left="1571"/>
      </w:pPr>
      <w:rPr>
        <w:rFonts w:cs="Times New Roman" w:hint="default"/>
      </w:rPr>
    </w:lvl>
    <w:lvl w:ilvl="8">
      <w:start w:val="1"/>
      <w:numFmt w:val="none"/>
      <w:lvlRestart w:val="0"/>
      <w:lvlText w:val=""/>
      <w:lvlJc w:val="left"/>
      <w:pPr>
        <w:tabs>
          <w:tab w:val="left" w:pos="1571"/>
        </w:tabs>
        <w:ind w:left="1571"/>
      </w:pPr>
      <w:rPr>
        <w:rFonts w:cs="Times New Roman" w:hint="default"/>
      </w:rPr>
    </w:lvl>
  </w:abstractNum>
  <w:abstractNum w:abstractNumId="34" w15:restartNumberingAfterBreak="0">
    <w:nsid w:val="5F7C6FDB"/>
    <w:multiLevelType w:val="multilevel"/>
    <w:tmpl w:val="5F7C6FDB"/>
    <w:lvl w:ilvl="0">
      <w:start w:val="1"/>
      <w:numFmt w:val="decimal"/>
      <w:pStyle w:val="BodyText1"/>
      <w:lvlText w:val="%1."/>
      <w:lvlJc w:val="left"/>
      <w:pPr>
        <w:tabs>
          <w:tab w:val="left" w:pos="0"/>
        </w:tabs>
        <w:ind w:left="0" w:firstLine="0"/>
      </w:pPr>
      <w:rPr>
        <w:rFonts w:hint="default"/>
      </w:rPr>
    </w:lvl>
    <w:lvl w:ilvl="1">
      <w:start w:val="1"/>
      <w:numFmt w:val="lowerLetter"/>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60171044"/>
    <w:multiLevelType w:val="hybridMultilevel"/>
    <w:tmpl w:val="7A905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AA6DBE"/>
    <w:multiLevelType w:val="hybridMultilevel"/>
    <w:tmpl w:val="D23A7CA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37" w15:restartNumberingAfterBreak="0">
    <w:nsid w:val="68DF11F3"/>
    <w:multiLevelType w:val="hybridMultilevel"/>
    <w:tmpl w:val="9FE49D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ABB4524"/>
    <w:multiLevelType w:val="multilevel"/>
    <w:tmpl w:val="6ABB4524"/>
    <w:lvl w:ilvl="0">
      <w:start w:val="1"/>
      <w:numFmt w:val="bullet"/>
      <w:pStyle w:val="Bullet"/>
      <w:lvlText w:val=""/>
      <w:lvlJc w:val="left"/>
      <w:pPr>
        <w:tabs>
          <w:tab w:val="left" w:pos="720"/>
        </w:tabs>
        <w:ind w:left="720" w:hanging="360"/>
      </w:pPr>
      <w:rPr>
        <w:rFonts w:ascii="Symbol"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Times New Roman" w:hint="default"/>
      </w:rPr>
    </w:lvl>
    <w:lvl w:ilvl="3">
      <w:start w:val="1"/>
      <w:numFmt w:val="bullet"/>
      <w:lvlText w:val=""/>
      <w:lvlJc w:val="left"/>
      <w:pPr>
        <w:tabs>
          <w:tab w:val="left" w:pos="2880"/>
        </w:tabs>
        <w:ind w:left="2880" w:hanging="360"/>
      </w:pPr>
      <w:rPr>
        <w:rFonts w:ascii="Symbol" w:hAnsi="Symbol" w:cs="Times New Roman"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Times New Roman" w:hint="default"/>
      </w:rPr>
    </w:lvl>
    <w:lvl w:ilvl="6">
      <w:start w:val="1"/>
      <w:numFmt w:val="bullet"/>
      <w:lvlText w:val=""/>
      <w:lvlJc w:val="left"/>
      <w:pPr>
        <w:tabs>
          <w:tab w:val="left" w:pos="5040"/>
        </w:tabs>
        <w:ind w:left="5040" w:hanging="360"/>
      </w:pPr>
      <w:rPr>
        <w:rFonts w:ascii="Symbol" w:hAnsi="Symbol" w:cs="Times New Roman"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Times New Roman" w:hint="default"/>
      </w:rPr>
    </w:lvl>
  </w:abstractNum>
  <w:abstractNum w:abstractNumId="39" w15:restartNumberingAfterBreak="0">
    <w:nsid w:val="6DC021BF"/>
    <w:multiLevelType w:val="multilevel"/>
    <w:tmpl w:val="A3C410FC"/>
    <w:lvl w:ilvl="0">
      <w:start w:val="7"/>
      <w:numFmt w:val="decimal"/>
      <w:lvlText w:val="%1.0"/>
      <w:lvlJc w:val="left"/>
      <w:pPr>
        <w:ind w:left="780" w:hanging="720"/>
      </w:pPr>
      <w:rPr>
        <w:rFonts w:hint="default"/>
      </w:rPr>
    </w:lvl>
    <w:lvl w:ilvl="1">
      <w:start w:val="1"/>
      <w:numFmt w:val="decimal"/>
      <w:lvlText w:val="%1.%2"/>
      <w:lvlJc w:val="left"/>
      <w:pPr>
        <w:ind w:left="1140" w:hanging="36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20" w:hanging="1080"/>
      </w:pPr>
      <w:rPr>
        <w:rFonts w:hint="default"/>
      </w:rPr>
    </w:lvl>
    <w:lvl w:ilvl="5">
      <w:start w:val="1"/>
      <w:numFmt w:val="decimal"/>
      <w:lvlText w:val="%1.%2.%3.%4.%5.%6"/>
      <w:lvlJc w:val="left"/>
      <w:pPr>
        <w:ind w:left="5100" w:hanging="1440"/>
      </w:pPr>
      <w:rPr>
        <w:rFonts w:hint="default"/>
      </w:rPr>
    </w:lvl>
    <w:lvl w:ilvl="6">
      <w:start w:val="1"/>
      <w:numFmt w:val="decimal"/>
      <w:lvlText w:val="%1.%2.%3.%4.%5.%6.%7"/>
      <w:lvlJc w:val="left"/>
      <w:pPr>
        <w:ind w:left="5820" w:hanging="1440"/>
      </w:pPr>
      <w:rPr>
        <w:rFonts w:hint="default"/>
      </w:rPr>
    </w:lvl>
    <w:lvl w:ilvl="7">
      <w:start w:val="1"/>
      <w:numFmt w:val="decimal"/>
      <w:lvlText w:val="%1.%2.%3.%4.%5.%6.%7.%8"/>
      <w:lvlJc w:val="left"/>
      <w:pPr>
        <w:ind w:left="6900" w:hanging="1800"/>
      </w:pPr>
      <w:rPr>
        <w:rFonts w:hint="default"/>
      </w:rPr>
    </w:lvl>
    <w:lvl w:ilvl="8">
      <w:start w:val="1"/>
      <w:numFmt w:val="decimal"/>
      <w:lvlText w:val="%1.%2.%3.%4.%5.%6.%7.%8.%9"/>
      <w:lvlJc w:val="left"/>
      <w:pPr>
        <w:ind w:left="7980" w:hanging="2160"/>
      </w:pPr>
      <w:rPr>
        <w:rFonts w:hint="default"/>
      </w:rPr>
    </w:lvl>
  </w:abstractNum>
  <w:abstractNum w:abstractNumId="40" w15:restartNumberingAfterBreak="0">
    <w:nsid w:val="70B46C5B"/>
    <w:multiLevelType w:val="multilevel"/>
    <w:tmpl w:val="6D7828BC"/>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73777C9F"/>
    <w:multiLevelType w:val="hybridMultilevel"/>
    <w:tmpl w:val="7A4AFDCA"/>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42" w15:restartNumberingAfterBreak="0">
    <w:nsid w:val="749A7673"/>
    <w:multiLevelType w:val="hybridMultilevel"/>
    <w:tmpl w:val="164EF980"/>
    <w:lvl w:ilvl="0" w:tplc="0409000F">
      <w:start w:val="1"/>
      <w:numFmt w:val="decimal"/>
      <w:lvlText w:val="%1."/>
      <w:lvlJc w:val="left"/>
      <w:pPr>
        <w:ind w:left="720" w:hanging="360"/>
      </w:pPr>
    </w:lvl>
    <w:lvl w:ilvl="1" w:tplc="004015C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A752B0"/>
    <w:multiLevelType w:val="hybridMultilevel"/>
    <w:tmpl w:val="E92010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8F10CF4"/>
    <w:multiLevelType w:val="hybridMultilevel"/>
    <w:tmpl w:val="DCBE01B6"/>
    <w:lvl w:ilvl="0" w:tplc="04090001">
      <w:start w:val="1"/>
      <w:numFmt w:val="bullet"/>
      <w:lvlText w:val=""/>
      <w:lvlJc w:val="left"/>
      <w:pPr>
        <w:ind w:left="1287" w:hanging="360"/>
      </w:pPr>
      <w:rPr>
        <w:rFonts w:ascii="Symbol" w:hAnsi="Symbol" w:hint="default"/>
      </w:rPr>
    </w:lvl>
    <w:lvl w:ilvl="1" w:tplc="04090001">
      <w:start w:val="1"/>
      <w:numFmt w:val="bullet"/>
      <w:lvlText w:val=""/>
      <w:lvlJc w:val="left"/>
      <w:pPr>
        <w:ind w:left="2007" w:hanging="360"/>
      </w:pPr>
      <w:rPr>
        <w:rFonts w:ascii="Symbol" w:hAnsi="Symbo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7F29281D"/>
    <w:multiLevelType w:val="hybridMultilevel"/>
    <w:tmpl w:val="4E3A98CC"/>
    <w:lvl w:ilvl="0" w:tplc="D8583706">
      <w:start w:val="1"/>
      <w:numFmt w:val="decimal"/>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num w:numId="1">
    <w:abstractNumId w:val="10"/>
  </w:num>
  <w:num w:numId="2">
    <w:abstractNumId w:val="1"/>
  </w:num>
  <w:num w:numId="3">
    <w:abstractNumId w:val="38"/>
  </w:num>
  <w:num w:numId="4">
    <w:abstractNumId w:val="34"/>
  </w:num>
  <w:num w:numId="5">
    <w:abstractNumId w:val="29"/>
  </w:num>
  <w:num w:numId="6">
    <w:abstractNumId w:val="30"/>
  </w:num>
  <w:num w:numId="7">
    <w:abstractNumId w:val="0"/>
  </w:num>
  <w:num w:numId="8">
    <w:abstractNumId w:val="31"/>
  </w:num>
  <w:num w:numId="9">
    <w:abstractNumId w:val="6"/>
  </w:num>
  <w:num w:numId="10">
    <w:abstractNumId w:val="4"/>
  </w:num>
  <w:num w:numId="11">
    <w:abstractNumId w:val="33"/>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8"/>
  </w:num>
  <w:num w:numId="15">
    <w:abstractNumId w:val="9"/>
  </w:num>
  <w:num w:numId="16">
    <w:abstractNumId w:val="16"/>
  </w:num>
  <w:num w:numId="17">
    <w:abstractNumId w:val="5"/>
  </w:num>
  <w:num w:numId="18">
    <w:abstractNumId w:val="35"/>
  </w:num>
  <w:num w:numId="19">
    <w:abstractNumId w:val="20"/>
  </w:num>
  <w:num w:numId="20">
    <w:abstractNumId w:val="14"/>
  </w:num>
  <w:num w:numId="21">
    <w:abstractNumId w:val="13"/>
  </w:num>
  <w:num w:numId="22">
    <w:abstractNumId w:val="44"/>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lvl w:ilvl="0">
        <w:numFmt w:val="bullet"/>
        <w:lvlText w:val=""/>
        <w:legacy w:legacy="1" w:legacySpace="0" w:legacyIndent="360"/>
        <w:lvlJc w:val="left"/>
        <w:rPr>
          <w:rFonts w:ascii="Symbol" w:hAnsi="Symbol" w:cs="Symbol" w:hint="default"/>
        </w:rPr>
      </w:lvl>
    </w:lvlOverride>
  </w:num>
  <w:num w:numId="25">
    <w:abstractNumId w:val="45"/>
  </w:num>
  <w:num w:numId="26">
    <w:abstractNumId w:val="40"/>
  </w:num>
  <w:num w:numId="27">
    <w:abstractNumId w:val="19"/>
  </w:num>
  <w:num w:numId="28">
    <w:abstractNumId w:val="39"/>
  </w:num>
  <w:num w:numId="29">
    <w:abstractNumId w:val="7"/>
  </w:num>
  <w:num w:numId="30">
    <w:abstractNumId w:val="2"/>
    <w:lvlOverride w:ilvl="0">
      <w:lvl w:ilvl="0">
        <w:numFmt w:val="decimal"/>
        <w:lvlText w:val=""/>
        <w:legacy w:legacy="1" w:legacySpace="0" w:legacyIndent="360"/>
        <w:lvlJc w:val="left"/>
        <w:pPr>
          <w:ind w:left="0" w:firstLine="0"/>
        </w:pPr>
        <w:rPr>
          <w:rFonts w:ascii="Symbol" w:hAnsi="Symbol" w:cs="Symbol" w:hint="default"/>
        </w:rPr>
      </w:lvl>
    </w:lvlOverride>
  </w:num>
  <w:num w:numId="31">
    <w:abstractNumId w:val="27"/>
  </w:num>
  <w:num w:numId="32">
    <w:abstractNumId w:val="36"/>
  </w:num>
  <w:num w:numId="33">
    <w:abstractNumId w:val="41"/>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num>
  <w:num w:numId="37">
    <w:abstractNumId w:val="42"/>
  </w:num>
  <w:num w:numId="38">
    <w:abstractNumId w:val="12"/>
  </w:num>
  <w:num w:numId="39">
    <w:abstractNumId w:val="17"/>
  </w:num>
  <w:num w:numId="40">
    <w:abstractNumId w:val="25"/>
  </w:num>
  <w:num w:numId="41">
    <w:abstractNumId w:val="43"/>
  </w:num>
  <w:num w:numId="42">
    <w:abstractNumId w:val="37"/>
  </w:num>
  <w:num w:numId="43">
    <w:abstractNumId w:val="24"/>
  </w:num>
  <w:num w:numId="44">
    <w:abstractNumId w:val="28"/>
  </w:num>
  <w:num w:numId="45">
    <w:abstractNumId w:val="18"/>
  </w:num>
  <w:num w:numId="46">
    <w:abstractNumId w:val="11"/>
  </w:num>
  <w:num w:numId="47">
    <w:abstractNumId w:val="11"/>
    <w:lvlOverride w:ilvl="0">
      <w:startOverride w:val="4"/>
    </w:lvlOverride>
  </w:num>
  <w:num w:numId="48">
    <w:abstractNumId w:val="2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0175"/>
    <w:rsid w:val="00000F47"/>
    <w:rsid w:val="000029F2"/>
    <w:rsid w:val="00006BC1"/>
    <w:rsid w:val="00035DAD"/>
    <w:rsid w:val="000465EE"/>
    <w:rsid w:val="000503C8"/>
    <w:rsid w:val="0006115A"/>
    <w:rsid w:val="00080175"/>
    <w:rsid w:val="00083646"/>
    <w:rsid w:val="00091011"/>
    <w:rsid w:val="00091489"/>
    <w:rsid w:val="00092B19"/>
    <w:rsid w:val="000959FE"/>
    <w:rsid w:val="00097EF8"/>
    <w:rsid w:val="000A06CE"/>
    <w:rsid w:val="000A5B69"/>
    <w:rsid w:val="000B5973"/>
    <w:rsid w:val="000E5C56"/>
    <w:rsid w:val="000F51E8"/>
    <w:rsid w:val="000F7D65"/>
    <w:rsid w:val="001023D9"/>
    <w:rsid w:val="001050A0"/>
    <w:rsid w:val="0012562C"/>
    <w:rsid w:val="0012775C"/>
    <w:rsid w:val="001319F8"/>
    <w:rsid w:val="00137272"/>
    <w:rsid w:val="00141B5D"/>
    <w:rsid w:val="00163856"/>
    <w:rsid w:val="00190D88"/>
    <w:rsid w:val="001951AB"/>
    <w:rsid w:val="00197356"/>
    <w:rsid w:val="001A687C"/>
    <w:rsid w:val="001A7168"/>
    <w:rsid w:val="001A7674"/>
    <w:rsid w:val="001B4F1A"/>
    <w:rsid w:val="001C4DDF"/>
    <w:rsid w:val="001D0520"/>
    <w:rsid w:val="001E4DDB"/>
    <w:rsid w:val="00216D49"/>
    <w:rsid w:val="00224547"/>
    <w:rsid w:val="00224CD6"/>
    <w:rsid w:val="0022530E"/>
    <w:rsid w:val="0024601A"/>
    <w:rsid w:val="0025795B"/>
    <w:rsid w:val="0026460F"/>
    <w:rsid w:val="00280FCA"/>
    <w:rsid w:val="002A19D4"/>
    <w:rsid w:val="002A311E"/>
    <w:rsid w:val="002A3CB4"/>
    <w:rsid w:val="002C4DE7"/>
    <w:rsid w:val="002C5A39"/>
    <w:rsid w:val="002D7DDD"/>
    <w:rsid w:val="002E4192"/>
    <w:rsid w:val="002E77C2"/>
    <w:rsid w:val="00307E9D"/>
    <w:rsid w:val="00312138"/>
    <w:rsid w:val="00314AE9"/>
    <w:rsid w:val="00341324"/>
    <w:rsid w:val="0035214A"/>
    <w:rsid w:val="00353842"/>
    <w:rsid w:val="00362628"/>
    <w:rsid w:val="00364BED"/>
    <w:rsid w:val="00366153"/>
    <w:rsid w:val="00372D62"/>
    <w:rsid w:val="0037789A"/>
    <w:rsid w:val="00380D32"/>
    <w:rsid w:val="00382971"/>
    <w:rsid w:val="00386E5B"/>
    <w:rsid w:val="003A2B66"/>
    <w:rsid w:val="003B4B58"/>
    <w:rsid w:val="003C361A"/>
    <w:rsid w:val="003D5ABC"/>
    <w:rsid w:val="003E1460"/>
    <w:rsid w:val="003E2B52"/>
    <w:rsid w:val="003F5F0D"/>
    <w:rsid w:val="004052EB"/>
    <w:rsid w:val="00406F22"/>
    <w:rsid w:val="00411CE7"/>
    <w:rsid w:val="004167D9"/>
    <w:rsid w:val="004247C0"/>
    <w:rsid w:val="00427762"/>
    <w:rsid w:val="00461381"/>
    <w:rsid w:val="00481931"/>
    <w:rsid w:val="00491E57"/>
    <w:rsid w:val="0049321C"/>
    <w:rsid w:val="00496D95"/>
    <w:rsid w:val="00497238"/>
    <w:rsid w:val="00497DCF"/>
    <w:rsid w:val="004A1CB2"/>
    <w:rsid w:val="004A4903"/>
    <w:rsid w:val="004A6B18"/>
    <w:rsid w:val="004A7696"/>
    <w:rsid w:val="004B1CDD"/>
    <w:rsid w:val="004B2E83"/>
    <w:rsid w:val="004D1312"/>
    <w:rsid w:val="004E7B58"/>
    <w:rsid w:val="004F71DC"/>
    <w:rsid w:val="00512140"/>
    <w:rsid w:val="00513F23"/>
    <w:rsid w:val="00521868"/>
    <w:rsid w:val="00526E40"/>
    <w:rsid w:val="005277E0"/>
    <w:rsid w:val="0053440D"/>
    <w:rsid w:val="00545EC8"/>
    <w:rsid w:val="00560473"/>
    <w:rsid w:val="00566C6F"/>
    <w:rsid w:val="00574E29"/>
    <w:rsid w:val="0057550F"/>
    <w:rsid w:val="005824C8"/>
    <w:rsid w:val="00595339"/>
    <w:rsid w:val="005C19EA"/>
    <w:rsid w:val="005C49D4"/>
    <w:rsid w:val="005D1A84"/>
    <w:rsid w:val="005D3F49"/>
    <w:rsid w:val="005E6CFC"/>
    <w:rsid w:val="005F6F3B"/>
    <w:rsid w:val="005F7425"/>
    <w:rsid w:val="00600244"/>
    <w:rsid w:val="00610B54"/>
    <w:rsid w:val="0062080A"/>
    <w:rsid w:val="00633771"/>
    <w:rsid w:val="00673FD1"/>
    <w:rsid w:val="00677541"/>
    <w:rsid w:val="0068287F"/>
    <w:rsid w:val="00695858"/>
    <w:rsid w:val="00695D2B"/>
    <w:rsid w:val="006972A3"/>
    <w:rsid w:val="006A23C9"/>
    <w:rsid w:val="006A4501"/>
    <w:rsid w:val="006B1008"/>
    <w:rsid w:val="006B767E"/>
    <w:rsid w:val="006C08A2"/>
    <w:rsid w:val="006C1919"/>
    <w:rsid w:val="006C4E0F"/>
    <w:rsid w:val="006D6989"/>
    <w:rsid w:val="006F7A03"/>
    <w:rsid w:val="0070053A"/>
    <w:rsid w:val="007015C6"/>
    <w:rsid w:val="007057BA"/>
    <w:rsid w:val="00706F76"/>
    <w:rsid w:val="00720B9C"/>
    <w:rsid w:val="007220FA"/>
    <w:rsid w:val="00725B0E"/>
    <w:rsid w:val="00730CEB"/>
    <w:rsid w:val="00732CE8"/>
    <w:rsid w:val="00746426"/>
    <w:rsid w:val="0075295C"/>
    <w:rsid w:val="00753C7D"/>
    <w:rsid w:val="0075651F"/>
    <w:rsid w:val="00764053"/>
    <w:rsid w:val="00764557"/>
    <w:rsid w:val="00770D80"/>
    <w:rsid w:val="00784A04"/>
    <w:rsid w:val="00795BB8"/>
    <w:rsid w:val="00797692"/>
    <w:rsid w:val="007B2DD7"/>
    <w:rsid w:val="007B7DEC"/>
    <w:rsid w:val="007C4132"/>
    <w:rsid w:val="007C5E40"/>
    <w:rsid w:val="007D06BA"/>
    <w:rsid w:val="007D15AD"/>
    <w:rsid w:val="007D422B"/>
    <w:rsid w:val="007E112C"/>
    <w:rsid w:val="007F54C8"/>
    <w:rsid w:val="007F635D"/>
    <w:rsid w:val="007F7151"/>
    <w:rsid w:val="00802308"/>
    <w:rsid w:val="00805376"/>
    <w:rsid w:val="00812874"/>
    <w:rsid w:val="0082665C"/>
    <w:rsid w:val="00827A35"/>
    <w:rsid w:val="00827E18"/>
    <w:rsid w:val="008343F9"/>
    <w:rsid w:val="00843395"/>
    <w:rsid w:val="008527C7"/>
    <w:rsid w:val="00857518"/>
    <w:rsid w:val="0086137E"/>
    <w:rsid w:val="00864AB0"/>
    <w:rsid w:val="00872F71"/>
    <w:rsid w:val="0087712A"/>
    <w:rsid w:val="0089218F"/>
    <w:rsid w:val="00892E38"/>
    <w:rsid w:val="0089601D"/>
    <w:rsid w:val="008A478E"/>
    <w:rsid w:val="008A517D"/>
    <w:rsid w:val="008A5E2F"/>
    <w:rsid w:val="008B526C"/>
    <w:rsid w:val="008C0A4F"/>
    <w:rsid w:val="008D3B30"/>
    <w:rsid w:val="008E20BF"/>
    <w:rsid w:val="008E2D58"/>
    <w:rsid w:val="008E512E"/>
    <w:rsid w:val="008F5A57"/>
    <w:rsid w:val="008F60F2"/>
    <w:rsid w:val="009159F0"/>
    <w:rsid w:val="0091798C"/>
    <w:rsid w:val="00942EF9"/>
    <w:rsid w:val="00944459"/>
    <w:rsid w:val="00945985"/>
    <w:rsid w:val="009462DF"/>
    <w:rsid w:val="0095282C"/>
    <w:rsid w:val="00954DC6"/>
    <w:rsid w:val="009616FB"/>
    <w:rsid w:val="00965F6A"/>
    <w:rsid w:val="009705B3"/>
    <w:rsid w:val="00974403"/>
    <w:rsid w:val="00975F78"/>
    <w:rsid w:val="00980271"/>
    <w:rsid w:val="00982CC2"/>
    <w:rsid w:val="009853B1"/>
    <w:rsid w:val="00991CAB"/>
    <w:rsid w:val="0099433E"/>
    <w:rsid w:val="009961A1"/>
    <w:rsid w:val="009973D9"/>
    <w:rsid w:val="00997520"/>
    <w:rsid w:val="00997D09"/>
    <w:rsid w:val="009B1FE1"/>
    <w:rsid w:val="009C0852"/>
    <w:rsid w:val="009E335C"/>
    <w:rsid w:val="009E6432"/>
    <w:rsid w:val="009E7E38"/>
    <w:rsid w:val="009F0189"/>
    <w:rsid w:val="00A01107"/>
    <w:rsid w:val="00A04B52"/>
    <w:rsid w:val="00A06042"/>
    <w:rsid w:val="00A26555"/>
    <w:rsid w:val="00A42700"/>
    <w:rsid w:val="00A507C8"/>
    <w:rsid w:val="00A523A8"/>
    <w:rsid w:val="00A53861"/>
    <w:rsid w:val="00A54560"/>
    <w:rsid w:val="00A6073E"/>
    <w:rsid w:val="00A71282"/>
    <w:rsid w:val="00A809B2"/>
    <w:rsid w:val="00A84F20"/>
    <w:rsid w:val="00A855AC"/>
    <w:rsid w:val="00A86D11"/>
    <w:rsid w:val="00A90AAE"/>
    <w:rsid w:val="00AD0827"/>
    <w:rsid w:val="00AE67C0"/>
    <w:rsid w:val="00AF27D7"/>
    <w:rsid w:val="00B023CA"/>
    <w:rsid w:val="00B024E7"/>
    <w:rsid w:val="00B03FE7"/>
    <w:rsid w:val="00B0598B"/>
    <w:rsid w:val="00B071CD"/>
    <w:rsid w:val="00B128C2"/>
    <w:rsid w:val="00B1314A"/>
    <w:rsid w:val="00B219E6"/>
    <w:rsid w:val="00B22F47"/>
    <w:rsid w:val="00B24E6A"/>
    <w:rsid w:val="00B25841"/>
    <w:rsid w:val="00B27362"/>
    <w:rsid w:val="00B27DBB"/>
    <w:rsid w:val="00B33D19"/>
    <w:rsid w:val="00B34EAE"/>
    <w:rsid w:val="00B37DCC"/>
    <w:rsid w:val="00B40A58"/>
    <w:rsid w:val="00B42505"/>
    <w:rsid w:val="00B51D3F"/>
    <w:rsid w:val="00B56DC4"/>
    <w:rsid w:val="00B616DB"/>
    <w:rsid w:val="00B62617"/>
    <w:rsid w:val="00B650C2"/>
    <w:rsid w:val="00B6513A"/>
    <w:rsid w:val="00B705AD"/>
    <w:rsid w:val="00B720D4"/>
    <w:rsid w:val="00B85433"/>
    <w:rsid w:val="00B932AC"/>
    <w:rsid w:val="00B96769"/>
    <w:rsid w:val="00B97541"/>
    <w:rsid w:val="00BA29DA"/>
    <w:rsid w:val="00BB727B"/>
    <w:rsid w:val="00BC2A81"/>
    <w:rsid w:val="00BC2B6D"/>
    <w:rsid w:val="00BD24EA"/>
    <w:rsid w:val="00BD5588"/>
    <w:rsid w:val="00BD66A5"/>
    <w:rsid w:val="00BE01A2"/>
    <w:rsid w:val="00BF0F38"/>
    <w:rsid w:val="00C0283B"/>
    <w:rsid w:val="00C2304A"/>
    <w:rsid w:val="00C25AC0"/>
    <w:rsid w:val="00C30825"/>
    <w:rsid w:val="00C357E4"/>
    <w:rsid w:val="00C36772"/>
    <w:rsid w:val="00C462C6"/>
    <w:rsid w:val="00C51EBE"/>
    <w:rsid w:val="00C643A2"/>
    <w:rsid w:val="00C70834"/>
    <w:rsid w:val="00C77D08"/>
    <w:rsid w:val="00C905A5"/>
    <w:rsid w:val="00CA0556"/>
    <w:rsid w:val="00CB5460"/>
    <w:rsid w:val="00CC1C39"/>
    <w:rsid w:val="00CF3946"/>
    <w:rsid w:val="00D00769"/>
    <w:rsid w:val="00D037CF"/>
    <w:rsid w:val="00D17B50"/>
    <w:rsid w:val="00D23B4A"/>
    <w:rsid w:val="00D25024"/>
    <w:rsid w:val="00D25F2C"/>
    <w:rsid w:val="00D3337F"/>
    <w:rsid w:val="00D43696"/>
    <w:rsid w:val="00D45ABF"/>
    <w:rsid w:val="00D470EE"/>
    <w:rsid w:val="00D51318"/>
    <w:rsid w:val="00D53AB3"/>
    <w:rsid w:val="00D84A59"/>
    <w:rsid w:val="00D94E0C"/>
    <w:rsid w:val="00DA0D02"/>
    <w:rsid w:val="00DA5276"/>
    <w:rsid w:val="00DA799C"/>
    <w:rsid w:val="00DB0B83"/>
    <w:rsid w:val="00DC10EA"/>
    <w:rsid w:val="00DC598A"/>
    <w:rsid w:val="00DC5A39"/>
    <w:rsid w:val="00DD0D6D"/>
    <w:rsid w:val="00DF32E5"/>
    <w:rsid w:val="00DF47B7"/>
    <w:rsid w:val="00DF4A83"/>
    <w:rsid w:val="00E0105C"/>
    <w:rsid w:val="00E02C17"/>
    <w:rsid w:val="00E2126B"/>
    <w:rsid w:val="00E21ECF"/>
    <w:rsid w:val="00E30BF5"/>
    <w:rsid w:val="00E37D8D"/>
    <w:rsid w:val="00E44374"/>
    <w:rsid w:val="00E46117"/>
    <w:rsid w:val="00E61DCC"/>
    <w:rsid w:val="00E72567"/>
    <w:rsid w:val="00E73D1D"/>
    <w:rsid w:val="00E74F61"/>
    <w:rsid w:val="00E77DF0"/>
    <w:rsid w:val="00E90E8B"/>
    <w:rsid w:val="00E90F3D"/>
    <w:rsid w:val="00EA0695"/>
    <w:rsid w:val="00EA1EBF"/>
    <w:rsid w:val="00EA42BE"/>
    <w:rsid w:val="00EC6685"/>
    <w:rsid w:val="00EC7240"/>
    <w:rsid w:val="00ED5E26"/>
    <w:rsid w:val="00ED6E35"/>
    <w:rsid w:val="00EE5F12"/>
    <w:rsid w:val="00EF468F"/>
    <w:rsid w:val="00F13DF6"/>
    <w:rsid w:val="00F16E3F"/>
    <w:rsid w:val="00F17283"/>
    <w:rsid w:val="00F25DBF"/>
    <w:rsid w:val="00F72F90"/>
    <w:rsid w:val="00F82193"/>
    <w:rsid w:val="00F93680"/>
    <w:rsid w:val="00FD1E05"/>
    <w:rsid w:val="00FD3F9A"/>
    <w:rsid w:val="00FE55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0CEEC1"/>
  <w15:chartTrackingRefBased/>
  <w15:docId w15:val="{8470AA56-071A-4A01-B2E8-42CF6B0C9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0175"/>
    <w:pPr>
      <w:spacing w:before="40" w:after="60" w:line="312" w:lineRule="auto"/>
      <w:ind w:firstLine="567"/>
      <w:jc w:val="both"/>
    </w:pPr>
    <w:rPr>
      <w:rFonts w:ascii="GHEA Grapalat" w:eastAsiaTheme="minorEastAsia" w:hAnsi="GHEA Grapalat"/>
    </w:rPr>
  </w:style>
  <w:style w:type="paragraph" w:styleId="Heading1">
    <w:name w:val="heading 1"/>
    <w:aliases w:val="(Section),Section Heading,(Text),1, 1,Chapter,head3"/>
    <w:basedOn w:val="Normal"/>
    <w:next w:val="Normal"/>
    <w:link w:val="Heading1Char"/>
    <w:uiPriority w:val="99"/>
    <w:qFormat/>
    <w:rsid w:val="00080175"/>
    <w:pPr>
      <w:spacing w:before="240" w:after="240"/>
      <w:ind w:firstLine="0"/>
      <w:contextualSpacing/>
      <w:jc w:val="left"/>
      <w:outlineLvl w:val="0"/>
    </w:pPr>
    <w:rPr>
      <w:rFonts w:eastAsiaTheme="majorEastAsia" w:cstheme="majorBidi"/>
      <w:b/>
      <w:bCs/>
      <w:color w:val="44546A" w:themeColor="text2"/>
      <w:sz w:val="32"/>
      <w:szCs w:val="28"/>
    </w:rPr>
  </w:style>
  <w:style w:type="paragraph" w:styleId="Heading2">
    <w:name w:val="heading 2"/>
    <w:aliases w:val="(Chapter),Paranum,Text,Body"/>
    <w:basedOn w:val="ListParagraph"/>
    <w:next w:val="Normal"/>
    <w:link w:val="Heading2Char"/>
    <w:unhideWhenUsed/>
    <w:qFormat/>
    <w:rsid w:val="00080175"/>
    <w:pPr>
      <w:keepNext/>
      <w:keepLines/>
      <w:spacing w:after="240" w:line="288" w:lineRule="auto"/>
      <w:ind w:left="0"/>
      <w:jc w:val="left"/>
      <w:outlineLvl w:val="1"/>
    </w:pPr>
    <w:rPr>
      <w:rFonts w:eastAsiaTheme="majorEastAsia" w:cstheme="majorBidi"/>
      <w:b/>
      <w:bCs/>
      <w:caps/>
      <w:color w:val="44546A" w:themeColor="text2"/>
      <w:sz w:val="26"/>
      <w:szCs w:val="26"/>
      <w:lang w:val="es-ES"/>
    </w:rPr>
  </w:style>
  <w:style w:type="paragraph" w:styleId="Heading3">
    <w:name w:val="heading 3"/>
    <w:aliases w:val="(Sub-Chapter),Centered,(text),Heading 3 Char Char Char Char Char Char"/>
    <w:basedOn w:val="ListParagraph"/>
    <w:next w:val="Normal"/>
    <w:link w:val="Heading3Char"/>
    <w:uiPriority w:val="9"/>
    <w:unhideWhenUsed/>
    <w:qFormat/>
    <w:rsid w:val="00080175"/>
    <w:pPr>
      <w:keepNext/>
      <w:keepLines/>
      <w:spacing w:before="240"/>
      <w:ind w:left="0"/>
      <w:jc w:val="left"/>
      <w:outlineLvl w:val="2"/>
    </w:pPr>
    <w:rPr>
      <w:b/>
      <w:caps/>
      <w:lang w:val="hy-AM"/>
    </w:rPr>
  </w:style>
  <w:style w:type="paragraph" w:styleId="Heading4">
    <w:name w:val="heading 4"/>
    <w:aliases w:val="Centred"/>
    <w:basedOn w:val="ListParagraph"/>
    <w:next w:val="Normal"/>
    <w:link w:val="Heading4Char"/>
    <w:unhideWhenUsed/>
    <w:qFormat/>
    <w:rsid w:val="00080175"/>
    <w:pPr>
      <w:keepNext/>
      <w:keepLines/>
      <w:ind w:left="0"/>
      <w:jc w:val="left"/>
      <w:outlineLvl w:val="3"/>
    </w:pPr>
    <w:rPr>
      <w:b/>
      <w:color w:val="0070C0"/>
      <w:lang w:val="hy-AM"/>
    </w:rPr>
  </w:style>
  <w:style w:type="paragraph" w:styleId="Heading5">
    <w:name w:val="heading 5"/>
    <w:aliases w:val="Side"/>
    <w:basedOn w:val="Normal"/>
    <w:next w:val="Normal"/>
    <w:link w:val="Heading5Char"/>
    <w:unhideWhenUsed/>
    <w:qFormat/>
    <w:rsid w:val="00080175"/>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nhideWhenUsed/>
    <w:qFormat/>
    <w:rsid w:val="00080175"/>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nhideWhenUsed/>
    <w:qFormat/>
    <w:rsid w:val="00080175"/>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nhideWhenUsed/>
    <w:qFormat/>
    <w:rsid w:val="00080175"/>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nhideWhenUsed/>
    <w:qFormat/>
    <w:rsid w:val="00080175"/>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Char,Section Heading Char,(Text) Char,1 Char, 1 Char,Chapter Char,head3 Char"/>
    <w:basedOn w:val="DefaultParagraphFont"/>
    <w:link w:val="Heading1"/>
    <w:uiPriority w:val="99"/>
    <w:rsid w:val="00080175"/>
    <w:rPr>
      <w:rFonts w:ascii="GHEA Grapalat" w:eastAsiaTheme="majorEastAsia" w:hAnsi="GHEA Grapalat" w:cstheme="majorBidi"/>
      <w:b/>
      <w:bCs/>
      <w:color w:val="44546A" w:themeColor="text2"/>
      <w:sz w:val="32"/>
      <w:szCs w:val="28"/>
    </w:rPr>
  </w:style>
  <w:style w:type="character" w:customStyle="1" w:styleId="Heading2Char">
    <w:name w:val="Heading 2 Char"/>
    <w:aliases w:val="(Chapter) Char,Paranum Char,Text Char,Body Char"/>
    <w:basedOn w:val="DefaultParagraphFont"/>
    <w:link w:val="Heading2"/>
    <w:uiPriority w:val="9"/>
    <w:rsid w:val="00080175"/>
    <w:rPr>
      <w:rFonts w:ascii="GHEA Grapalat" w:eastAsiaTheme="majorEastAsia" w:hAnsi="GHEA Grapalat" w:cstheme="majorBidi"/>
      <w:b/>
      <w:bCs/>
      <w:caps/>
      <w:color w:val="44546A" w:themeColor="text2"/>
      <w:sz w:val="26"/>
      <w:szCs w:val="26"/>
      <w:lang w:val="es-ES"/>
    </w:rPr>
  </w:style>
  <w:style w:type="character" w:customStyle="1" w:styleId="Heading3Char">
    <w:name w:val="Heading 3 Char"/>
    <w:aliases w:val="(Sub-Chapter) Char2,Centered Char2,(text) Char2,Heading 3 Char Char Char Char Char Char Char3"/>
    <w:basedOn w:val="DefaultParagraphFont"/>
    <w:link w:val="Heading3"/>
    <w:uiPriority w:val="9"/>
    <w:qFormat/>
    <w:rsid w:val="00080175"/>
    <w:rPr>
      <w:rFonts w:ascii="GHEA Grapalat" w:eastAsiaTheme="minorEastAsia" w:hAnsi="GHEA Grapalat"/>
      <w:b/>
      <w:caps/>
      <w:lang w:val="hy-AM"/>
    </w:rPr>
  </w:style>
  <w:style w:type="character" w:customStyle="1" w:styleId="Heading4Char">
    <w:name w:val="Heading 4 Char"/>
    <w:aliases w:val="Centred Char"/>
    <w:basedOn w:val="DefaultParagraphFont"/>
    <w:link w:val="Heading4"/>
    <w:rsid w:val="00080175"/>
    <w:rPr>
      <w:rFonts w:ascii="GHEA Grapalat" w:eastAsiaTheme="minorEastAsia" w:hAnsi="GHEA Grapalat"/>
      <w:b/>
      <w:color w:val="0070C0"/>
      <w:lang w:val="hy-AM"/>
    </w:rPr>
  </w:style>
  <w:style w:type="character" w:customStyle="1" w:styleId="Heading5Char">
    <w:name w:val="Heading 5 Char"/>
    <w:aliases w:val="Side Char"/>
    <w:basedOn w:val="DefaultParagraphFont"/>
    <w:link w:val="Heading5"/>
    <w:rsid w:val="00080175"/>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rsid w:val="00080175"/>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rsid w:val="00080175"/>
    <w:rPr>
      <w:rFonts w:asciiTheme="majorHAnsi" w:eastAsiaTheme="majorEastAsia" w:hAnsiTheme="majorHAnsi" w:cstheme="majorBidi"/>
      <w:i/>
      <w:iCs/>
    </w:rPr>
  </w:style>
  <w:style w:type="character" w:customStyle="1" w:styleId="Heading8Char">
    <w:name w:val="Heading 8 Char"/>
    <w:basedOn w:val="DefaultParagraphFont"/>
    <w:link w:val="Heading8"/>
    <w:rsid w:val="00080175"/>
    <w:rPr>
      <w:rFonts w:asciiTheme="majorHAnsi" w:eastAsiaTheme="majorEastAsia" w:hAnsiTheme="majorHAnsi" w:cstheme="majorBidi"/>
      <w:sz w:val="20"/>
      <w:szCs w:val="20"/>
    </w:rPr>
  </w:style>
  <w:style w:type="character" w:customStyle="1" w:styleId="Heading9Char">
    <w:name w:val="Heading 9 Char"/>
    <w:basedOn w:val="DefaultParagraphFont"/>
    <w:link w:val="Heading9"/>
    <w:rsid w:val="00080175"/>
    <w:rPr>
      <w:rFonts w:asciiTheme="majorHAnsi" w:eastAsiaTheme="majorEastAsia" w:hAnsiTheme="majorHAnsi" w:cstheme="majorBidi"/>
      <w:i/>
      <w:iCs/>
      <w:spacing w:val="5"/>
      <w:sz w:val="20"/>
      <w:szCs w:val="20"/>
    </w:rPr>
  </w:style>
  <w:style w:type="paragraph" w:styleId="ListParagraph">
    <w:name w:val="List Paragraph"/>
    <w:aliases w:val="lp1,List Paragraph4,List Paragraph41,List Paragraph5,Paragraphe de liste PBLH,PDP DOCUMENT SUBTITLE,Bullet Points,Table of contents numbered,List Paragraph in table,Liste 1,Варианты ответов,Table no. List Paragraph,List Paragraph111,CPS,3"/>
    <w:basedOn w:val="Normal"/>
    <w:link w:val="ListParagraphChar1"/>
    <w:uiPriority w:val="34"/>
    <w:qFormat/>
    <w:rsid w:val="00080175"/>
    <w:pPr>
      <w:ind w:left="567" w:firstLine="0"/>
      <w:contextualSpacing/>
    </w:pPr>
  </w:style>
  <w:style w:type="paragraph" w:styleId="BalloonText">
    <w:name w:val="Balloon Text"/>
    <w:basedOn w:val="Normal"/>
    <w:link w:val="BalloonTextChar"/>
    <w:uiPriority w:val="99"/>
    <w:rsid w:val="00080175"/>
    <w:rPr>
      <w:rFonts w:ascii="Tahoma" w:hAnsi="Tahoma"/>
      <w:sz w:val="16"/>
      <w:szCs w:val="16"/>
    </w:rPr>
  </w:style>
  <w:style w:type="character" w:customStyle="1" w:styleId="BalloonTextChar">
    <w:name w:val="Balloon Text Char"/>
    <w:basedOn w:val="DefaultParagraphFont"/>
    <w:link w:val="BalloonText"/>
    <w:uiPriority w:val="99"/>
    <w:qFormat/>
    <w:rsid w:val="00080175"/>
    <w:rPr>
      <w:rFonts w:ascii="Tahoma" w:eastAsiaTheme="minorEastAsia" w:hAnsi="Tahoma"/>
      <w:sz w:val="16"/>
      <w:szCs w:val="16"/>
    </w:rPr>
  </w:style>
  <w:style w:type="paragraph" w:styleId="BlockText">
    <w:name w:val="Block Text"/>
    <w:basedOn w:val="Normal"/>
    <w:uiPriority w:val="99"/>
    <w:qFormat/>
    <w:rsid w:val="00080175"/>
    <w:pPr>
      <w:spacing w:line="360" w:lineRule="auto"/>
      <w:ind w:left="-709" w:right="-483"/>
    </w:pPr>
    <w:rPr>
      <w:rFonts w:ascii="Times Armenian" w:hAnsi="Times Armenian"/>
      <w:szCs w:val="20"/>
    </w:rPr>
  </w:style>
  <w:style w:type="paragraph" w:styleId="BodyText">
    <w:name w:val="Body Text"/>
    <w:aliases w:val="(Main Text),date,Body Text (Main text)"/>
    <w:basedOn w:val="Normal"/>
    <w:link w:val="BodyTextChar1"/>
    <w:uiPriority w:val="99"/>
    <w:qFormat/>
    <w:rsid w:val="00080175"/>
    <w:pPr>
      <w:spacing w:after="120"/>
    </w:pPr>
  </w:style>
  <w:style w:type="character" w:customStyle="1" w:styleId="BodyTextChar">
    <w:name w:val="Body Text Char"/>
    <w:aliases w:val="Body Text (Main text) Char"/>
    <w:basedOn w:val="DefaultParagraphFont"/>
    <w:uiPriority w:val="99"/>
    <w:rsid w:val="00080175"/>
    <w:rPr>
      <w:rFonts w:ascii="GHEA Grapalat" w:eastAsiaTheme="minorEastAsia" w:hAnsi="GHEA Grapalat"/>
    </w:rPr>
  </w:style>
  <w:style w:type="paragraph" w:styleId="BodyText2">
    <w:name w:val="Body Text 2"/>
    <w:aliases w:val="1Text"/>
    <w:basedOn w:val="Normal"/>
    <w:link w:val="BodyText2Char1"/>
    <w:uiPriority w:val="99"/>
    <w:qFormat/>
    <w:rsid w:val="00080175"/>
    <w:pPr>
      <w:spacing w:after="120" w:line="480" w:lineRule="auto"/>
    </w:pPr>
    <w:rPr>
      <w:sz w:val="20"/>
      <w:szCs w:val="20"/>
      <w:lang w:val="ru-RU" w:eastAsia="ru-RU"/>
    </w:rPr>
  </w:style>
  <w:style w:type="character" w:customStyle="1" w:styleId="BodyText2Char">
    <w:name w:val="Body Text 2 Char"/>
    <w:aliases w:val="1Text Char"/>
    <w:basedOn w:val="DefaultParagraphFont"/>
    <w:uiPriority w:val="99"/>
    <w:rsid w:val="00080175"/>
    <w:rPr>
      <w:rFonts w:ascii="GHEA Grapalat" w:eastAsiaTheme="minorEastAsia" w:hAnsi="GHEA Grapalat"/>
    </w:rPr>
  </w:style>
  <w:style w:type="paragraph" w:styleId="BodyText3">
    <w:name w:val="Body Text 3"/>
    <w:basedOn w:val="Normal"/>
    <w:link w:val="BodyText3Char1"/>
    <w:uiPriority w:val="99"/>
    <w:rsid w:val="00080175"/>
    <w:pPr>
      <w:spacing w:after="120"/>
    </w:pPr>
    <w:rPr>
      <w:sz w:val="16"/>
      <w:szCs w:val="16"/>
      <w:lang w:val="ru-RU" w:eastAsia="ru-RU"/>
    </w:rPr>
  </w:style>
  <w:style w:type="character" w:customStyle="1" w:styleId="BodyText3Char">
    <w:name w:val="Body Text 3 Char"/>
    <w:basedOn w:val="DefaultParagraphFont"/>
    <w:uiPriority w:val="99"/>
    <w:rsid w:val="00080175"/>
    <w:rPr>
      <w:rFonts w:ascii="GHEA Grapalat" w:eastAsiaTheme="minorEastAsia" w:hAnsi="GHEA Grapalat"/>
      <w:sz w:val="16"/>
      <w:szCs w:val="16"/>
    </w:rPr>
  </w:style>
  <w:style w:type="paragraph" w:styleId="BodyTextFirstIndent">
    <w:name w:val="Body Text First Indent"/>
    <w:basedOn w:val="BodyText"/>
    <w:link w:val="BodyTextFirstIndentChar2"/>
    <w:uiPriority w:val="99"/>
    <w:rsid w:val="00080175"/>
    <w:pPr>
      <w:ind w:firstLine="210"/>
    </w:pPr>
    <w:rPr>
      <w:lang w:val="ru-RU" w:eastAsia="ru-RU"/>
    </w:rPr>
  </w:style>
  <w:style w:type="character" w:customStyle="1" w:styleId="BodyTextFirstIndentChar">
    <w:name w:val="Body Text First Indent Char"/>
    <w:basedOn w:val="BodyTextChar"/>
    <w:rsid w:val="00080175"/>
    <w:rPr>
      <w:rFonts w:ascii="GHEA Grapalat" w:eastAsiaTheme="minorEastAsia" w:hAnsi="GHEA Grapalat"/>
    </w:rPr>
  </w:style>
  <w:style w:type="paragraph" w:styleId="BodyTextIndent">
    <w:name w:val="Body Text Indent"/>
    <w:aliases w:val="(Table Source), (Table Source),(Table Source) Char,(Table Source)1"/>
    <w:basedOn w:val="BodyText"/>
    <w:next w:val="Normal"/>
    <w:link w:val="BodyTextIndentChar"/>
    <w:rsid w:val="00080175"/>
    <w:pPr>
      <w:widowControl w:val="0"/>
      <w:spacing w:before="60" w:after="60"/>
      <w:ind w:firstLine="652"/>
    </w:pPr>
    <w:rPr>
      <w:rFonts w:ascii="Arial Armenian" w:hAnsi="Arial Armenian"/>
      <w:i/>
      <w:sz w:val="16"/>
      <w:szCs w:val="20"/>
      <w:lang w:val="en-GB"/>
    </w:rPr>
  </w:style>
  <w:style w:type="character" w:customStyle="1" w:styleId="BodyTextIndentChar">
    <w:name w:val="Body Text Indent Char"/>
    <w:aliases w:val="(Table Source) Char2, (Table Source) Char1,(Table Source) Char Char1,(Table Source)1 Char2"/>
    <w:basedOn w:val="DefaultParagraphFont"/>
    <w:link w:val="BodyTextIndent"/>
    <w:rsid w:val="00080175"/>
    <w:rPr>
      <w:rFonts w:ascii="Arial Armenian" w:eastAsiaTheme="minorEastAsia" w:hAnsi="Arial Armenian"/>
      <w:i/>
      <w:sz w:val="16"/>
      <w:szCs w:val="20"/>
      <w:lang w:val="en-GB"/>
    </w:rPr>
  </w:style>
  <w:style w:type="paragraph" w:styleId="BodyTextIndent2">
    <w:name w:val="Body Text Indent 2"/>
    <w:basedOn w:val="Normal"/>
    <w:link w:val="BodyTextIndent2Char1"/>
    <w:uiPriority w:val="99"/>
    <w:rsid w:val="00080175"/>
    <w:pPr>
      <w:widowControl w:val="0"/>
      <w:spacing w:after="120"/>
      <w:ind w:left="720" w:firstLine="720"/>
    </w:pPr>
    <w:rPr>
      <w:rFonts w:ascii="Arial Armenian" w:hAnsi="Arial Armenian"/>
      <w:sz w:val="20"/>
      <w:szCs w:val="20"/>
      <w:lang w:val="en-GB"/>
    </w:rPr>
  </w:style>
  <w:style w:type="character" w:customStyle="1" w:styleId="BodyTextIndent2Char">
    <w:name w:val="Body Text Indent 2 Char"/>
    <w:basedOn w:val="DefaultParagraphFont"/>
    <w:rsid w:val="00080175"/>
    <w:rPr>
      <w:rFonts w:ascii="GHEA Grapalat" w:eastAsiaTheme="minorEastAsia" w:hAnsi="GHEA Grapalat"/>
    </w:rPr>
  </w:style>
  <w:style w:type="paragraph" w:styleId="BodyTextIndent3">
    <w:name w:val="Body Text Indent 3"/>
    <w:basedOn w:val="Normal"/>
    <w:link w:val="BodyTextIndent3Char"/>
    <w:uiPriority w:val="99"/>
    <w:rsid w:val="00080175"/>
    <w:rPr>
      <w:rFonts w:ascii="Arial Armenian" w:hAnsi="Arial Armenian"/>
      <w:sz w:val="20"/>
      <w:szCs w:val="20"/>
    </w:rPr>
  </w:style>
  <w:style w:type="character" w:customStyle="1" w:styleId="BodyTextIndent3Char">
    <w:name w:val="Body Text Indent 3 Char"/>
    <w:basedOn w:val="DefaultParagraphFont"/>
    <w:link w:val="BodyTextIndent3"/>
    <w:uiPriority w:val="99"/>
    <w:rsid w:val="00080175"/>
    <w:rPr>
      <w:rFonts w:ascii="Arial Armenian" w:eastAsiaTheme="minorEastAsia" w:hAnsi="Arial Armenian"/>
      <w:sz w:val="20"/>
      <w:szCs w:val="20"/>
    </w:rPr>
  </w:style>
  <w:style w:type="paragraph" w:styleId="Caption">
    <w:name w:val="caption"/>
    <w:aliases w:val="(Table Title),(Table Title) Char Char Char Char Char Char Char Char Char Char, (Table Title), (Table Title) Char Char Char Char Char Char Char Char Char Char"/>
    <w:basedOn w:val="Normal"/>
    <w:next w:val="Normal"/>
    <w:uiPriority w:val="35"/>
    <w:unhideWhenUsed/>
    <w:qFormat/>
    <w:rsid w:val="00080175"/>
    <w:rPr>
      <w:caps/>
      <w:spacing w:val="10"/>
      <w:sz w:val="18"/>
      <w:szCs w:val="18"/>
    </w:rPr>
  </w:style>
  <w:style w:type="character" w:styleId="CommentReference">
    <w:name w:val="annotation reference"/>
    <w:uiPriority w:val="99"/>
    <w:rsid w:val="00080175"/>
    <w:rPr>
      <w:sz w:val="16"/>
    </w:rPr>
  </w:style>
  <w:style w:type="paragraph" w:styleId="CommentText">
    <w:name w:val="annotation text"/>
    <w:basedOn w:val="Normal"/>
    <w:link w:val="CommentTextChar"/>
    <w:uiPriority w:val="99"/>
    <w:rsid w:val="00080175"/>
    <w:rPr>
      <w:rFonts w:ascii="Arial Armenian" w:hAnsi="Arial Armenian"/>
      <w:sz w:val="20"/>
      <w:szCs w:val="20"/>
      <w:lang w:val="ru-RU" w:eastAsia="ru-RU"/>
    </w:rPr>
  </w:style>
  <w:style w:type="character" w:customStyle="1" w:styleId="CommentTextChar">
    <w:name w:val="Comment Text Char"/>
    <w:basedOn w:val="DefaultParagraphFont"/>
    <w:link w:val="CommentText"/>
    <w:uiPriority w:val="99"/>
    <w:rsid w:val="00080175"/>
    <w:rPr>
      <w:rFonts w:ascii="Arial Armenian" w:eastAsiaTheme="minorEastAsia" w:hAnsi="Arial Armenian"/>
      <w:sz w:val="20"/>
      <w:szCs w:val="20"/>
      <w:lang w:val="ru-RU" w:eastAsia="ru-RU"/>
    </w:rPr>
  </w:style>
  <w:style w:type="paragraph" w:styleId="CommentSubject">
    <w:name w:val="annotation subject"/>
    <w:basedOn w:val="CommentText"/>
    <w:next w:val="CommentText"/>
    <w:link w:val="CommentSubjectChar2"/>
    <w:uiPriority w:val="99"/>
    <w:rsid w:val="00080175"/>
    <w:rPr>
      <w:rFonts w:ascii="Courier New" w:hAnsi="Courier New"/>
      <w:b/>
      <w:bCs/>
      <w:lang w:val="en-US" w:eastAsia="en-US"/>
    </w:rPr>
  </w:style>
  <w:style w:type="character" w:customStyle="1" w:styleId="CommentSubjectChar">
    <w:name w:val="Comment Subject Char"/>
    <w:basedOn w:val="CommentTextChar"/>
    <w:uiPriority w:val="99"/>
    <w:rsid w:val="00080175"/>
    <w:rPr>
      <w:rFonts w:ascii="Arial Armenian" w:eastAsiaTheme="minorEastAsia" w:hAnsi="Arial Armenian"/>
      <w:b/>
      <w:bCs/>
      <w:sz w:val="20"/>
      <w:szCs w:val="20"/>
      <w:lang w:val="ru-RU" w:eastAsia="ru-RU"/>
    </w:rPr>
  </w:style>
  <w:style w:type="paragraph" w:styleId="DocumentMap">
    <w:name w:val="Document Map"/>
    <w:basedOn w:val="Normal"/>
    <w:link w:val="DocumentMapChar1"/>
    <w:uiPriority w:val="99"/>
    <w:rsid w:val="00080175"/>
    <w:pPr>
      <w:shd w:val="clear" w:color="auto" w:fill="000080"/>
      <w:overflowPunct w:val="0"/>
      <w:autoSpaceDE w:val="0"/>
      <w:autoSpaceDN w:val="0"/>
      <w:adjustRightInd w:val="0"/>
      <w:textAlignment w:val="baseline"/>
    </w:pPr>
    <w:rPr>
      <w:rFonts w:ascii="Tahoma" w:hAnsi="Tahoma"/>
      <w:szCs w:val="20"/>
      <w:lang w:val="en-GB" w:eastAsia="ru-RU"/>
    </w:rPr>
  </w:style>
  <w:style w:type="character" w:customStyle="1" w:styleId="DocumentMapChar">
    <w:name w:val="Document Map Char"/>
    <w:basedOn w:val="DefaultParagraphFont"/>
    <w:rsid w:val="00080175"/>
    <w:rPr>
      <w:rFonts w:ascii="Segoe UI" w:eastAsiaTheme="minorEastAsia" w:hAnsi="Segoe UI" w:cs="Segoe UI"/>
      <w:sz w:val="16"/>
      <w:szCs w:val="16"/>
    </w:rPr>
  </w:style>
  <w:style w:type="character" w:styleId="Emphasis">
    <w:name w:val="Emphasis"/>
    <w:qFormat/>
    <w:rsid w:val="00080175"/>
    <w:rPr>
      <w:b/>
      <w:bCs/>
      <w:i/>
      <w:iCs/>
      <w:spacing w:val="10"/>
      <w:shd w:val="clear" w:color="auto" w:fill="auto"/>
    </w:rPr>
  </w:style>
  <w:style w:type="character" w:styleId="EndnoteReference">
    <w:name w:val="endnote reference"/>
    <w:rsid w:val="00080175"/>
    <w:rPr>
      <w:vertAlign w:val="superscript"/>
    </w:rPr>
  </w:style>
  <w:style w:type="paragraph" w:styleId="EndnoteText">
    <w:name w:val="endnote text"/>
    <w:basedOn w:val="Normal"/>
    <w:link w:val="EndnoteTextChar"/>
    <w:uiPriority w:val="99"/>
    <w:rsid w:val="00080175"/>
    <w:rPr>
      <w:sz w:val="20"/>
      <w:szCs w:val="20"/>
      <w:lang w:val="en-GB"/>
    </w:rPr>
  </w:style>
  <w:style w:type="character" w:customStyle="1" w:styleId="EndnoteTextChar">
    <w:name w:val="Endnote Text Char"/>
    <w:basedOn w:val="DefaultParagraphFont"/>
    <w:link w:val="EndnoteText"/>
    <w:uiPriority w:val="99"/>
    <w:rsid w:val="00080175"/>
    <w:rPr>
      <w:rFonts w:ascii="GHEA Grapalat" w:eastAsiaTheme="minorEastAsia" w:hAnsi="GHEA Grapalat"/>
      <w:sz w:val="20"/>
      <w:szCs w:val="20"/>
      <w:lang w:val="en-GB"/>
    </w:rPr>
  </w:style>
  <w:style w:type="character" w:styleId="FollowedHyperlink">
    <w:name w:val="FollowedHyperlink"/>
    <w:uiPriority w:val="99"/>
    <w:rsid w:val="00080175"/>
    <w:rPr>
      <w:color w:val="800080"/>
      <w:u w:val="single"/>
    </w:rPr>
  </w:style>
  <w:style w:type="paragraph" w:styleId="Footer">
    <w:name w:val="footer"/>
    <w:basedOn w:val="Normal"/>
    <w:next w:val="Normal"/>
    <w:link w:val="FooterChar2"/>
    <w:uiPriority w:val="99"/>
    <w:rsid w:val="00080175"/>
    <w:pPr>
      <w:tabs>
        <w:tab w:val="center" w:pos="4819"/>
        <w:tab w:val="right" w:pos="9071"/>
      </w:tabs>
      <w:overflowPunct w:val="0"/>
      <w:autoSpaceDE w:val="0"/>
      <w:autoSpaceDN w:val="0"/>
      <w:adjustRightInd w:val="0"/>
      <w:textAlignment w:val="baseline"/>
    </w:pPr>
    <w:rPr>
      <w:lang w:val="en-GB"/>
    </w:rPr>
  </w:style>
  <w:style w:type="character" w:customStyle="1" w:styleId="FooterChar">
    <w:name w:val="Footer Char"/>
    <w:basedOn w:val="DefaultParagraphFont"/>
    <w:uiPriority w:val="99"/>
    <w:rsid w:val="00080175"/>
    <w:rPr>
      <w:rFonts w:ascii="GHEA Grapalat" w:eastAsiaTheme="minorEastAsia" w:hAnsi="GHEA Grapalat"/>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080175"/>
    <w:rPr>
      <w:vertAlign w:val="superscript"/>
    </w:rPr>
  </w:style>
  <w:style w:type="paragraph" w:styleId="FootnoteText">
    <w:name w:val="footnote text"/>
    <w:aliases w:val="fn,ADB,single space,footnote text Char,fn Char,ADB Char,single space Char Char,footnote text,FOOTNOTES Char,FOOTNOTES Char Char Char,FOOTNOTES,Footnote Text Char2 Char,Footnote Text Char1 Char Char,f,Footnote,Fußnote,WB-Fußnotentext,ft"/>
    <w:basedOn w:val="Normal"/>
    <w:link w:val="FootnoteTextChar"/>
    <w:qFormat/>
    <w:rsid w:val="00080175"/>
    <w:pPr>
      <w:ind w:firstLine="0"/>
    </w:pPr>
    <w:rPr>
      <w:sz w:val="16"/>
      <w:szCs w:val="20"/>
    </w:rPr>
  </w:style>
  <w:style w:type="character" w:customStyle="1" w:styleId="FootnoteTextChar">
    <w:name w:val="Footnote Text Char"/>
    <w:aliases w:val="fn Char3,ADB Char2,single space Char1,footnote text Char Char1,fn Char Char1,ADB Char Char1,single space Char Char Char1,footnote text Char2,FOOTNOTES Char Char1,FOOTNOTES Char Char Char Char1,FOOTNOTES Char2,f Char1,Footnote Char"/>
    <w:basedOn w:val="DefaultParagraphFont"/>
    <w:link w:val="FootnoteText"/>
    <w:uiPriority w:val="99"/>
    <w:rsid w:val="00080175"/>
    <w:rPr>
      <w:rFonts w:ascii="GHEA Grapalat" w:eastAsiaTheme="minorEastAsia" w:hAnsi="GHEA Grapalat"/>
      <w:sz w:val="16"/>
      <w:szCs w:val="20"/>
    </w:rPr>
  </w:style>
  <w:style w:type="paragraph" w:styleId="Header">
    <w:name w:val="header"/>
    <w:aliases w:val="Header Char Char Char Char Char Char Char Char Char Char,Header Char Char Char Char Char Char Char Char Char Char Char Char,h"/>
    <w:basedOn w:val="Normal"/>
    <w:link w:val="HeaderChar1"/>
    <w:uiPriority w:val="99"/>
    <w:rsid w:val="00080175"/>
    <w:pPr>
      <w:tabs>
        <w:tab w:val="center" w:pos="4844"/>
        <w:tab w:val="right" w:pos="9689"/>
      </w:tabs>
    </w:pPr>
  </w:style>
  <w:style w:type="character" w:customStyle="1" w:styleId="HeaderChar">
    <w:name w:val="Header Char"/>
    <w:aliases w:val="Header Char Char Char Char Char Char Char Char Char Char Char1,Header Char Char Char Char Char Char Char Char Char Char Char Char Char1,h Char1"/>
    <w:basedOn w:val="DefaultParagraphFont"/>
    <w:uiPriority w:val="99"/>
    <w:rsid w:val="00080175"/>
    <w:rPr>
      <w:rFonts w:ascii="GHEA Grapalat" w:eastAsiaTheme="minorEastAsia" w:hAnsi="GHEA Grapalat"/>
    </w:rPr>
  </w:style>
  <w:style w:type="paragraph" w:styleId="HTMLPreformatted">
    <w:name w:val="HTML Preformatted"/>
    <w:basedOn w:val="Normal"/>
    <w:link w:val="HTMLPreformattedChar"/>
    <w:uiPriority w:val="99"/>
    <w:unhideWhenUsed/>
    <w:rsid w:val="00080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w:hAnsi="Arial Unicode"/>
      <w:sz w:val="20"/>
      <w:szCs w:val="20"/>
    </w:rPr>
  </w:style>
  <w:style w:type="character" w:customStyle="1" w:styleId="HTMLPreformattedChar">
    <w:name w:val="HTML Preformatted Char"/>
    <w:basedOn w:val="DefaultParagraphFont"/>
    <w:link w:val="HTMLPreformatted"/>
    <w:uiPriority w:val="99"/>
    <w:rsid w:val="00080175"/>
    <w:rPr>
      <w:rFonts w:ascii="Arial Unicode" w:eastAsiaTheme="minorEastAsia" w:hAnsi="Arial Unicode"/>
      <w:sz w:val="20"/>
      <w:szCs w:val="20"/>
    </w:rPr>
  </w:style>
  <w:style w:type="character" w:styleId="Hyperlink">
    <w:name w:val="Hyperlink"/>
    <w:uiPriority w:val="99"/>
    <w:rsid w:val="00080175"/>
    <w:rPr>
      <w:color w:val="0000FF"/>
      <w:u w:val="single"/>
    </w:rPr>
  </w:style>
  <w:style w:type="paragraph" w:styleId="Index1">
    <w:name w:val="index 1"/>
    <w:basedOn w:val="Normal"/>
    <w:next w:val="Normal"/>
    <w:uiPriority w:val="99"/>
    <w:rsid w:val="00080175"/>
    <w:pPr>
      <w:ind w:left="240" w:hanging="240"/>
    </w:pPr>
  </w:style>
  <w:style w:type="paragraph" w:styleId="Index2">
    <w:name w:val="index 2"/>
    <w:basedOn w:val="Normal"/>
    <w:next w:val="Normal"/>
    <w:rsid w:val="00080175"/>
    <w:pPr>
      <w:ind w:left="480" w:hanging="240"/>
    </w:pPr>
  </w:style>
  <w:style w:type="paragraph" w:styleId="Index3">
    <w:name w:val="index 3"/>
    <w:basedOn w:val="Normal"/>
    <w:next w:val="Normal"/>
    <w:rsid w:val="00080175"/>
    <w:pPr>
      <w:ind w:left="720" w:hanging="240"/>
    </w:pPr>
  </w:style>
  <w:style w:type="paragraph" w:styleId="Index4">
    <w:name w:val="index 4"/>
    <w:basedOn w:val="Normal"/>
    <w:next w:val="Normal"/>
    <w:rsid w:val="00080175"/>
    <w:pPr>
      <w:ind w:left="960" w:hanging="240"/>
    </w:pPr>
  </w:style>
  <w:style w:type="paragraph" w:styleId="Index5">
    <w:name w:val="index 5"/>
    <w:basedOn w:val="Normal"/>
    <w:next w:val="Normal"/>
    <w:rsid w:val="00080175"/>
    <w:pPr>
      <w:ind w:left="1200" w:hanging="240"/>
    </w:pPr>
  </w:style>
  <w:style w:type="paragraph" w:styleId="Index6">
    <w:name w:val="index 6"/>
    <w:basedOn w:val="Normal"/>
    <w:next w:val="Normal"/>
    <w:rsid w:val="00080175"/>
    <w:pPr>
      <w:ind w:left="1440" w:hanging="240"/>
    </w:pPr>
  </w:style>
  <w:style w:type="paragraph" w:styleId="Index7">
    <w:name w:val="index 7"/>
    <w:basedOn w:val="Normal"/>
    <w:next w:val="Normal"/>
    <w:rsid w:val="00080175"/>
    <w:pPr>
      <w:ind w:left="1680" w:hanging="240"/>
    </w:pPr>
  </w:style>
  <w:style w:type="paragraph" w:styleId="Index8">
    <w:name w:val="index 8"/>
    <w:basedOn w:val="Normal"/>
    <w:next w:val="Normal"/>
    <w:rsid w:val="00080175"/>
    <w:pPr>
      <w:ind w:left="1920" w:hanging="240"/>
    </w:pPr>
  </w:style>
  <w:style w:type="paragraph" w:styleId="Index9">
    <w:name w:val="index 9"/>
    <w:basedOn w:val="Normal"/>
    <w:next w:val="Normal"/>
    <w:rsid w:val="00080175"/>
    <w:pPr>
      <w:ind w:left="2160" w:hanging="240"/>
    </w:pPr>
  </w:style>
  <w:style w:type="paragraph" w:styleId="IndexHeading">
    <w:name w:val="index heading"/>
    <w:basedOn w:val="Normal"/>
    <w:next w:val="Index1"/>
    <w:rsid w:val="00080175"/>
  </w:style>
  <w:style w:type="character" w:styleId="LineNumber">
    <w:name w:val="line number"/>
    <w:basedOn w:val="DefaultParagraphFont"/>
    <w:rsid w:val="00080175"/>
  </w:style>
  <w:style w:type="paragraph" w:styleId="List">
    <w:name w:val="List"/>
    <w:basedOn w:val="BodyText"/>
    <w:uiPriority w:val="99"/>
    <w:rsid w:val="00080175"/>
    <w:pPr>
      <w:suppressAutoHyphens/>
      <w:spacing w:line="288" w:lineRule="auto"/>
    </w:pPr>
    <w:rPr>
      <w:rFonts w:cs="GHEA Grapalat"/>
      <w:kern w:val="1"/>
    </w:rPr>
  </w:style>
  <w:style w:type="paragraph" w:styleId="ListBullet">
    <w:name w:val="List Bullet"/>
    <w:basedOn w:val="Normal"/>
    <w:uiPriority w:val="99"/>
    <w:qFormat/>
    <w:rsid w:val="00080175"/>
    <w:pPr>
      <w:tabs>
        <w:tab w:val="left" w:pos="360"/>
      </w:tabs>
      <w:overflowPunct w:val="0"/>
      <w:autoSpaceDE w:val="0"/>
      <w:autoSpaceDN w:val="0"/>
      <w:adjustRightInd w:val="0"/>
      <w:spacing w:before="130"/>
      <w:ind w:left="360" w:hanging="360"/>
      <w:textAlignment w:val="baseline"/>
    </w:pPr>
    <w:rPr>
      <w:lang w:val="en-GB"/>
    </w:rPr>
  </w:style>
  <w:style w:type="paragraph" w:styleId="ListBullet2">
    <w:name w:val="List Bullet 2"/>
    <w:basedOn w:val="Normal"/>
    <w:uiPriority w:val="99"/>
    <w:rsid w:val="00080175"/>
    <w:pPr>
      <w:numPr>
        <w:numId w:val="1"/>
      </w:numPr>
    </w:pPr>
  </w:style>
  <w:style w:type="paragraph" w:styleId="ListContinue2">
    <w:name w:val="List Continue 2"/>
    <w:basedOn w:val="Normal"/>
    <w:uiPriority w:val="99"/>
    <w:rsid w:val="00080175"/>
    <w:pPr>
      <w:spacing w:after="120"/>
      <w:ind w:left="720"/>
    </w:pPr>
  </w:style>
  <w:style w:type="paragraph" w:styleId="ListNumber">
    <w:name w:val="List Number"/>
    <w:basedOn w:val="Normal"/>
    <w:uiPriority w:val="99"/>
    <w:rsid w:val="00080175"/>
    <w:pPr>
      <w:numPr>
        <w:numId w:val="2"/>
      </w:numPr>
    </w:p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 webb"/>
    <w:basedOn w:val="Normal"/>
    <w:link w:val="NormalWebChar"/>
    <w:uiPriority w:val="99"/>
    <w:qFormat/>
    <w:rsid w:val="00080175"/>
    <w:pPr>
      <w:spacing w:before="100" w:after="100"/>
    </w:pPr>
    <w:rPr>
      <w:szCs w:val="20"/>
    </w:rPr>
  </w:style>
  <w:style w:type="paragraph" w:styleId="NormalIndent">
    <w:name w:val="Normal Indent"/>
    <w:basedOn w:val="Normal"/>
    <w:uiPriority w:val="99"/>
    <w:rsid w:val="00080175"/>
    <w:pPr>
      <w:tabs>
        <w:tab w:val="left" w:pos="1134"/>
        <w:tab w:val="left" w:pos="1701"/>
        <w:tab w:val="left" w:pos="2835"/>
        <w:tab w:val="left" w:pos="5103"/>
        <w:tab w:val="left" w:pos="7371"/>
        <w:tab w:val="right" w:pos="9639"/>
      </w:tabs>
      <w:ind w:left="1134"/>
    </w:pPr>
    <w:rPr>
      <w:lang w:val="en-GB"/>
    </w:rPr>
  </w:style>
  <w:style w:type="character" w:styleId="PageNumber">
    <w:name w:val="page number"/>
    <w:basedOn w:val="DefaultParagraphFont"/>
    <w:rsid w:val="00080175"/>
  </w:style>
  <w:style w:type="paragraph" w:styleId="PlainText">
    <w:name w:val="Plain Text"/>
    <w:basedOn w:val="Normal"/>
    <w:link w:val="PlainTextChar"/>
    <w:uiPriority w:val="99"/>
    <w:rsid w:val="00080175"/>
    <w:pPr>
      <w:spacing w:before="120"/>
    </w:pPr>
    <w:rPr>
      <w:rFonts w:ascii="Courier New" w:hAnsi="Courier New"/>
      <w:sz w:val="20"/>
      <w:szCs w:val="20"/>
    </w:rPr>
  </w:style>
  <w:style w:type="character" w:customStyle="1" w:styleId="PlainTextChar">
    <w:name w:val="Plain Text Char"/>
    <w:basedOn w:val="DefaultParagraphFont"/>
    <w:link w:val="PlainText"/>
    <w:uiPriority w:val="99"/>
    <w:rsid w:val="00080175"/>
    <w:rPr>
      <w:rFonts w:ascii="Courier New" w:eastAsiaTheme="minorEastAsia" w:hAnsi="Courier New"/>
      <w:sz w:val="20"/>
      <w:szCs w:val="20"/>
    </w:rPr>
  </w:style>
  <w:style w:type="character" w:styleId="Strong">
    <w:name w:val="Strong"/>
    <w:qFormat/>
    <w:rsid w:val="00080175"/>
    <w:rPr>
      <w:b/>
      <w:bCs/>
    </w:rPr>
  </w:style>
  <w:style w:type="paragraph" w:styleId="Subtitle">
    <w:name w:val="Subtitle"/>
    <w:basedOn w:val="Normal"/>
    <w:next w:val="Normal"/>
    <w:link w:val="SubtitleChar"/>
    <w:qFormat/>
    <w:rsid w:val="00080175"/>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rsid w:val="00080175"/>
    <w:rPr>
      <w:rFonts w:asciiTheme="majorHAnsi" w:eastAsiaTheme="majorEastAsia" w:hAnsiTheme="majorHAnsi" w:cstheme="majorBidi"/>
      <w:i/>
      <w:iCs/>
      <w:spacing w:val="13"/>
      <w:sz w:val="24"/>
      <w:szCs w:val="24"/>
    </w:rPr>
  </w:style>
  <w:style w:type="table" w:styleId="Table3Deffects3">
    <w:name w:val="Table 3D effects 3"/>
    <w:basedOn w:val="TableNormal"/>
    <w:uiPriority w:val="99"/>
    <w:rsid w:val="00080175"/>
    <w:pPr>
      <w:spacing w:after="0" w:line="240" w:lineRule="auto"/>
    </w:pPr>
    <w:rPr>
      <w:rFonts w:eastAsiaTheme="minorEastAsia"/>
      <w:sz w:val="20"/>
      <w:szCs w:val="20"/>
    </w:rP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Columns5">
    <w:name w:val="Table Columns 5"/>
    <w:basedOn w:val="TableNormal"/>
    <w:uiPriority w:val="99"/>
    <w:rsid w:val="00080175"/>
    <w:pPr>
      <w:spacing w:after="0" w:line="240" w:lineRule="auto"/>
    </w:pPr>
    <w:rPr>
      <w:rFonts w:eastAsiaTheme="minorEastAsia"/>
      <w:sz w:val="20"/>
      <w:szCs w:val="20"/>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080175"/>
    <w:pPr>
      <w:spacing w:after="0" w:line="240" w:lineRule="auto"/>
    </w:pPr>
    <w:rPr>
      <w:rFonts w:eastAsiaTheme="minorEastAsia"/>
      <w:sz w:val="20"/>
      <w:szCs w:val="20"/>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TableElegant">
    <w:name w:val="Table Elegant"/>
    <w:basedOn w:val="TableNormal"/>
    <w:uiPriority w:val="99"/>
    <w:rsid w:val="00080175"/>
    <w:pPr>
      <w:spacing w:after="0" w:line="240" w:lineRule="auto"/>
    </w:pPr>
    <w:rPr>
      <w:rFonts w:eastAsiaTheme="minorEastAsia"/>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39"/>
    <w:qFormat/>
    <w:rsid w:val="00080175"/>
    <w:pPr>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rsid w:val="00080175"/>
    <w:pPr>
      <w:spacing w:after="0" w:line="240" w:lineRule="auto"/>
    </w:pPr>
    <w:rPr>
      <w:rFonts w:eastAsiaTheme="minorEastAsia"/>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TableGrid3">
    <w:name w:val="Table Grid 3"/>
    <w:basedOn w:val="TableNormal"/>
    <w:uiPriority w:val="99"/>
    <w:rsid w:val="00080175"/>
    <w:pPr>
      <w:spacing w:after="0" w:line="240" w:lineRule="auto"/>
    </w:pPr>
    <w:rPr>
      <w:rFonts w:eastAsiaTheme="minorEastAsia"/>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5">
    <w:name w:val="Table Grid 5"/>
    <w:basedOn w:val="TableNormal"/>
    <w:uiPriority w:val="99"/>
    <w:rsid w:val="00080175"/>
    <w:pPr>
      <w:spacing w:after="0" w:line="240" w:lineRule="auto"/>
    </w:pPr>
    <w:rPr>
      <w:rFonts w:eastAsiaTheme="minorEastAsia"/>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7">
    <w:name w:val="Table Grid 7"/>
    <w:basedOn w:val="TableNormal"/>
    <w:uiPriority w:val="99"/>
    <w:rsid w:val="00080175"/>
    <w:pPr>
      <w:spacing w:after="0" w:line="240" w:lineRule="auto"/>
    </w:pPr>
    <w:rPr>
      <w:rFonts w:eastAsiaTheme="minorEastAsia"/>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TableGrid8">
    <w:name w:val="Table Grid 8"/>
    <w:basedOn w:val="TableNormal"/>
    <w:uiPriority w:val="99"/>
    <w:rsid w:val="00080175"/>
    <w:pPr>
      <w:spacing w:after="0" w:line="240" w:lineRule="auto"/>
    </w:pPr>
    <w:rPr>
      <w:rFonts w:eastAsiaTheme="minorEastAsia"/>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leList7">
    <w:name w:val="Table List 7"/>
    <w:basedOn w:val="TableNormal"/>
    <w:uiPriority w:val="99"/>
    <w:rsid w:val="00080175"/>
    <w:pPr>
      <w:spacing w:after="0" w:line="240" w:lineRule="auto"/>
    </w:pPr>
    <w:rPr>
      <w:rFonts w:eastAsiaTheme="minorEastAsia"/>
      <w:sz w:val="20"/>
      <w:szCs w:val="20"/>
    </w:r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paragraph" w:styleId="TableofFigures">
    <w:name w:val="table of figures"/>
    <w:basedOn w:val="Normal"/>
    <w:next w:val="Normal"/>
    <w:qFormat/>
    <w:rsid w:val="00080175"/>
    <w:pPr>
      <w:ind w:left="480" w:hanging="480"/>
    </w:pPr>
    <w:rPr>
      <w:sz w:val="20"/>
    </w:rPr>
  </w:style>
  <w:style w:type="table" w:styleId="TableSimple3">
    <w:name w:val="Table Simple 3"/>
    <w:basedOn w:val="TableNormal"/>
    <w:uiPriority w:val="99"/>
    <w:rsid w:val="00080175"/>
    <w:pPr>
      <w:spacing w:after="0" w:line="240" w:lineRule="auto"/>
    </w:pPr>
    <w:rPr>
      <w:rFonts w:eastAsiaTheme="minorEastAsia"/>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TableWeb1">
    <w:name w:val="Table Web 1"/>
    <w:basedOn w:val="TableNormal"/>
    <w:uiPriority w:val="99"/>
    <w:rsid w:val="00080175"/>
    <w:pPr>
      <w:spacing w:after="0" w:line="240" w:lineRule="auto"/>
    </w:pPr>
    <w:rPr>
      <w:rFonts w:eastAsiaTheme="minorEastAsia"/>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2">
    <w:name w:val="Table Web 2"/>
    <w:basedOn w:val="TableNormal"/>
    <w:uiPriority w:val="99"/>
    <w:rsid w:val="00080175"/>
    <w:pPr>
      <w:spacing w:after="0" w:line="240" w:lineRule="auto"/>
    </w:pPr>
    <w:rPr>
      <w:rFonts w:eastAsiaTheme="minorEastAsia"/>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3">
    <w:name w:val="Table Web 3"/>
    <w:basedOn w:val="TableNormal"/>
    <w:uiPriority w:val="99"/>
    <w:rsid w:val="00080175"/>
    <w:pPr>
      <w:spacing w:after="0" w:line="240" w:lineRule="auto"/>
    </w:pPr>
    <w:rPr>
      <w:rFonts w:eastAsiaTheme="minorEastAsia"/>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Title">
    <w:name w:val="Title"/>
    <w:basedOn w:val="Normal"/>
    <w:next w:val="Normal"/>
    <w:link w:val="TitleChar"/>
    <w:qFormat/>
    <w:rsid w:val="00080175"/>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rsid w:val="00080175"/>
    <w:rPr>
      <w:rFonts w:asciiTheme="majorHAnsi" w:eastAsiaTheme="majorEastAsia" w:hAnsiTheme="majorHAnsi" w:cstheme="majorBidi"/>
      <w:spacing w:val="5"/>
      <w:sz w:val="52"/>
      <w:szCs w:val="52"/>
    </w:rPr>
  </w:style>
  <w:style w:type="paragraph" w:styleId="TOC1">
    <w:name w:val="toc 1"/>
    <w:basedOn w:val="Normal"/>
    <w:next w:val="Normal"/>
    <w:uiPriority w:val="39"/>
    <w:qFormat/>
    <w:rsid w:val="00080175"/>
    <w:pPr>
      <w:spacing w:before="120" w:after="0"/>
      <w:jc w:val="left"/>
    </w:pPr>
    <w:rPr>
      <w:rFonts w:asciiTheme="minorHAnsi" w:hAnsiTheme="minorHAnsi" w:cstheme="minorHAnsi"/>
      <w:b/>
      <w:bCs/>
      <w:i/>
      <w:iCs/>
      <w:sz w:val="24"/>
      <w:szCs w:val="24"/>
    </w:rPr>
  </w:style>
  <w:style w:type="paragraph" w:styleId="TOC2">
    <w:name w:val="toc 2"/>
    <w:basedOn w:val="Normal"/>
    <w:next w:val="Normal"/>
    <w:uiPriority w:val="39"/>
    <w:qFormat/>
    <w:rsid w:val="00080175"/>
    <w:pPr>
      <w:spacing w:before="120" w:after="0"/>
      <w:ind w:left="220"/>
      <w:jc w:val="left"/>
    </w:pPr>
    <w:rPr>
      <w:rFonts w:asciiTheme="minorHAnsi" w:hAnsiTheme="minorHAnsi" w:cstheme="minorHAnsi"/>
      <w:b/>
      <w:bCs/>
    </w:rPr>
  </w:style>
  <w:style w:type="paragraph" w:styleId="TOC3">
    <w:name w:val="toc 3"/>
    <w:basedOn w:val="Normal"/>
    <w:next w:val="Normal"/>
    <w:uiPriority w:val="39"/>
    <w:qFormat/>
    <w:rsid w:val="00080175"/>
    <w:pPr>
      <w:spacing w:before="0" w:after="0"/>
      <w:ind w:left="440"/>
      <w:jc w:val="left"/>
    </w:pPr>
    <w:rPr>
      <w:rFonts w:asciiTheme="minorHAnsi" w:hAnsiTheme="minorHAnsi" w:cstheme="minorHAnsi"/>
      <w:sz w:val="20"/>
      <w:szCs w:val="20"/>
    </w:rPr>
  </w:style>
  <w:style w:type="paragraph" w:styleId="TOC4">
    <w:name w:val="toc 4"/>
    <w:basedOn w:val="Normal"/>
    <w:next w:val="Normal"/>
    <w:uiPriority w:val="39"/>
    <w:rsid w:val="00080175"/>
    <w:pPr>
      <w:spacing w:before="0" w:after="0"/>
      <w:ind w:left="660"/>
      <w:jc w:val="left"/>
    </w:pPr>
    <w:rPr>
      <w:rFonts w:asciiTheme="minorHAnsi" w:hAnsiTheme="minorHAnsi" w:cstheme="minorHAnsi"/>
      <w:sz w:val="20"/>
      <w:szCs w:val="20"/>
    </w:rPr>
  </w:style>
  <w:style w:type="paragraph" w:styleId="TOC5">
    <w:name w:val="toc 5"/>
    <w:basedOn w:val="Normal"/>
    <w:next w:val="Normal"/>
    <w:uiPriority w:val="39"/>
    <w:rsid w:val="00080175"/>
    <w:pPr>
      <w:spacing w:before="0" w:after="0"/>
      <w:ind w:left="880"/>
      <w:jc w:val="left"/>
    </w:pPr>
    <w:rPr>
      <w:rFonts w:asciiTheme="minorHAnsi" w:hAnsiTheme="minorHAnsi" w:cstheme="minorHAnsi"/>
      <w:sz w:val="20"/>
      <w:szCs w:val="20"/>
    </w:rPr>
  </w:style>
  <w:style w:type="paragraph" w:styleId="TOC6">
    <w:name w:val="toc 6"/>
    <w:basedOn w:val="Normal"/>
    <w:next w:val="Normal"/>
    <w:uiPriority w:val="39"/>
    <w:rsid w:val="00080175"/>
    <w:pPr>
      <w:spacing w:before="0" w:after="0"/>
      <w:ind w:left="1100"/>
      <w:jc w:val="left"/>
    </w:pPr>
    <w:rPr>
      <w:rFonts w:asciiTheme="minorHAnsi" w:hAnsiTheme="minorHAnsi" w:cstheme="minorHAnsi"/>
      <w:sz w:val="20"/>
      <w:szCs w:val="20"/>
    </w:rPr>
  </w:style>
  <w:style w:type="paragraph" w:styleId="TOC7">
    <w:name w:val="toc 7"/>
    <w:basedOn w:val="Normal"/>
    <w:next w:val="Normal"/>
    <w:uiPriority w:val="39"/>
    <w:rsid w:val="00080175"/>
    <w:pPr>
      <w:spacing w:before="0" w:after="0"/>
      <w:ind w:left="1320"/>
      <w:jc w:val="left"/>
    </w:pPr>
    <w:rPr>
      <w:rFonts w:asciiTheme="minorHAnsi" w:hAnsiTheme="minorHAnsi" w:cstheme="minorHAnsi"/>
      <w:sz w:val="20"/>
      <w:szCs w:val="20"/>
    </w:rPr>
  </w:style>
  <w:style w:type="paragraph" w:styleId="TOC8">
    <w:name w:val="toc 8"/>
    <w:basedOn w:val="Normal"/>
    <w:next w:val="Normal"/>
    <w:uiPriority w:val="39"/>
    <w:rsid w:val="00080175"/>
    <w:pPr>
      <w:spacing w:before="0" w:after="0"/>
      <w:ind w:left="1540"/>
      <w:jc w:val="left"/>
    </w:pPr>
    <w:rPr>
      <w:rFonts w:asciiTheme="minorHAnsi" w:hAnsiTheme="minorHAnsi" w:cstheme="minorHAnsi"/>
      <w:sz w:val="20"/>
      <w:szCs w:val="20"/>
    </w:rPr>
  </w:style>
  <w:style w:type="paragraph" w:styleId="TOC9">
    <w:name w:val="toc 9"/>
    <w:basedOn w:val="Normal"/>
    <w:next w:val="Normal"/>
    <w:uiPriority w:val="39"/>
    <w:rsid w:val="00080175"/>
    <w:pPr>
      <w:spacing w:before="0" w:after="0"/>
      <w:ind w:left="1760"/>
      <w:jc w:val="left"/>
    </w:pPr>
    <w:rPr>
      <w:rFonts w:asciiTheme="minorHAnsi" w:hAnsiTheme="minorHAnsi" w:cstheme="minorHAnsi"/>
      <w:sz w:val="20"/>
      <w:szCs w:val="20"/>
    </w:rPr>
  </w:style>
  <w:style w:type="table" w:styleId="LightList-Accent1">
    <w:name w:val="Light List Accent 1"/>
    <w:basedOn w:val="TableNormal"/>
    <w:uiPriority w:val="61"/>
    <w:rsid w:val="00080175"/>
    <w:pPr>
      <w:spacing w:after="0" w:line="240" w:lineRule="auto"/>
    </w:pPr>
    <w:rPr>
      <w:rFonts w:eastAsiaTheme="minorEastAsia"/>
      <w:sz w:val="20"/>
      <w:szCs w:val="20"/>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5">
    <w:name w:val="Light List Accent 5"/>
    <w:basedOn w:val="TableNormal"/>
    <w:uiPriority w:val="61"/>
    <w:rsid w:val="00080175"/>
    <w:pPr>
      <w:spacing w:after="0" w:line="240" w:lineRule="auto"/>
    </w:pPr>
    <w:rPr>
      <w:rFonts w:eastAsiaTheme="minorEastAsia"/>
      <w:sz w:val="20"/>
      <w:szCs w:val="20"/>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ColorfulGrid-Accent1">
    <w:name w:val="Colorful Grid Accent 1"/>
    <w:basedOn w:val="TableNormal"/>
    <w:uiPriority w:val="73"/>
    <w:rsid w:val="00080175"/>
    <w:pPr>
      <w:spacing w:after="0" w:line="240" w:lineRule="auto"/>
    </w:pPr>
    <w:rPr>
      <w:rFonts w:eastAsiaTheme="minorEastAsia"/>
      <w:color w:val="000000"/>
      <w:sz w:val="20"/>
      <w:szCs w:val="2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BodyTextChar1">
    <w:name w:val="Body Text Char1"/>
    <w:aliases w:val="(Main Text) Char,date Char,Body Text (Main text) Char1"/>
    <w:link w:val="BodyText"/>
    <w:uiPriority w:val="99"/>
    <w:rsid w:val="00080175"/>
    <w:rPr>
      <w:rFonts w:ascii="GHEA Grapalat" w:eastAsiaTheme="minorEastAsia" w:hAnsi="GHEA Grapalat"/>
    </w:rPr>
  </w:style>
  <w:style w:type="character" w:customStyle="1" w:styleId="Heading3Char1">
    <w:name w:val="Heading 3 Char1"/>
    <w:aliases w:val="(Sub-Chapter) Char,Centered Char,(text) Char,Heading 3 Char Char Char Char Char Char Char1,Centered Char1,(text) Char1,(Sub-Chapter) Char1,Heading 3 Char Char Char Char Char Char Char2,Heading 3 Char2"/>
    <w:uiPriority w:val="9"/>
    <w:rsid w:val="00080175"/>
    <w:rPr>
      <w:rFonts w:ascii="GHEA Grapalat" w:hAnsi="GHEA Grapalat" w:cs="Sylfaen"/>
      <w:b/>
      <w:bCs/>
      <w:color w:val="000000"/>
      <w:sz w:val="22"/>
      <w:szCs w:val="22"/>
      <w:lang w:val="es-ES"/>
    </w:rPr>
  </w:style>
  <w:style w:type="character" w:customStyle="1" w:styleId="Heading4Char2">
    <w:name w:val="Heading 4 Char2"/>
    <w:aliases w:val="Centred Char1"/>
    <w:rsid w:val="00080175"/>
    <w:rPr>
      <w:rFonts w:ascii="GHEA Grapalat" w:hAnsi="GHEA Grapalat"/>
      <w:b/>
      <w:bCs/>
      <w:sz w:val="22"/>
      <w:szCs w:val="22"/>
      <w:lang w:val="af-ZA" w:eastAsia="en-US" w:bidi="ar-SA"/>
    </w:rPr>
  </w:style>
  <w:style w:type="character" w:customStyle="1" w:styleId="Heading5Char1">
    <w:name w:val="Heading 5 Char1"/>
    <w:aliases w:val="Side Char1"/>
    <w:rsid w:val="00080175"/>
    <w:rPr>
      <w:b/>
      <w:bCs/>
      <w:i/>
      <w:iCs/>
      <w:sz w:val="26"/>
      <w:szCs w:val="26"/>
      <w:lang w:val="en-US" w:eastAsia="en-US" w:bidi="ar-SA"/>
    </w:rPr>
  </w:style>
  <w:style w:type="character" w:customStyle="1" w:styleId="Heading6Char1">
    <w:name w:val="Heading 6 Char1"/>
    <w:rsid w:val="00080175"/>
    <w:rPr>
      <w:rFonts w:ascii="Arial Armenian" w:hAnsi="Arial Armenian"/>
      <w:i/>
      <w:sz w:val="22"/>
      <w:u w:val="single"/>
      <w:lang w:val="en-GB"/>
    </w:rPr>
  </w:style>
  <w:style w:type="character" w:customStyle="1" w:styleId="Heading7Char1">
    <w:name w:val="Heading 7 Char1"/>
    <w:rsid w:val="00080175"/>
    <w:rPr>
      <w:rFonts w:ascii="Garamond" w:hAnsi="Garamond"/>
      <w:i/>
      <w:spacing w:val="-5"/>
      <w:sz w:val="28"/>
      <w:shd w:val="pct5" w:color="auto" w:fill="auto"/>
      <w:lang w:val="en-GB"/>
    </w:rPr>
  </w:style>
  <w:style w:type="character" w:customStyle="1" w:styleId="Heading8Char1">
    <w:name w:val="Heading 8 Char1"/>
    <w:rsid w:val="00080175"/>
    <w:rPr>
      <w:rFonts w:ascii="Arial Black" w:hAnsi="Arial Black"/>
      <w:caps/>
      <w:spacing w:val="60"/>
      <w:position w:val="4"/>
      <w:sz w:val="14"/>
      <w:lang w:val="en-GB"/>
    </w:rPr>
  </w:style>
  <w:style w:type="character" w:customStyle="1" w:styleId="Heading9Char1">
    <w:name w:val="Heading 9 Char1"/>
    <w:qFormat/>
    <w:rsid w:val="00080175"/>
    <w:rPr>
      <w:rFonts w:ascii="Garamond" w:hAnsi="Garamond"/>
      <w:b/>
      <w:i/>
      <w:kern w:val="28"/>
      <w:lang w:val="en-GB"/>
    </w:rPr>
  </w:style>
  <w:style w:type="paragraph" w:customStyle="1" w:styleId="Head4">
    <w:name w:val="Head 4"/>
    <w:basedOn w:val="Heading4"/>
    <w:rsid w:val="00080175"/>
    <w:pPr>
      <w:widowControl w:val="0"/>
      <w:tabs>
        <w:tab w:val="left" w:pos="567"/>
      </w:tabs>
      <w:spacing w:before="0" w:line="240" w:lineRule="auto"/>
      <w:ind w:left="397"/>
    </w:pPr>
    <w:rPr>
      <w:szCs w:val="20"/>
    </w:rPr>
  </w:style>
  <w:style w:type="paragraph" w:customStyle="1" w:styleId="xl24">
    <w:name w:val="xl24"/>
    <w:basedOn w:val="Normal"/>
    <w:rsid w:val="00080175"/>
    <w:pPr>
      <w:spacing w:before="100" w:beforeAutospacing="1" w:after="100" w:afterAutospacing="1"/>
    </w:pPr>
    <w:rPr>
      <w:rFonts w:ascii="Arial Armenian" w:eastAsia="Arial Unicode MS" w:hAnsi="Arial Armenian" w:cs="Arial Unicode MS"/>
      <w:sz w:val="18"/>
      <w:szCs w:val="18"/>
    </w:rPr>
  </w:style>
  <w:style w:type="paragraph" w:customStyle="1" w:styleId="Tablefigure">
    <w:name w:val="Table_figure"/>
    <w:basedOn w:val="Normal"/>
    <w:rsid w:val="00080175"/>
    <w:pPr>
      <w:spacing w:before="60"/>
      <w:jc w:val="right"/>
    </w:pPr>
    <w:rPr>
      <w:rFonts w:ascii="Arial Armenian" w:hAnsi="Arial Armenian"/>
      <w:sz w:val="16"/>
      <w:szCs w:val="20"/>
      <w:lang w:val="en-GB"/>
    </w:rPr>
  </w:style>
  <w:style w:type="character" w:customStyle="1" w:styleId="BodyTextIndent2Char1">
    <w:name w:val="Body Text Indent 2 Char1"/>
    <w:link w:val="BodyTextIndent2"/>
    <w:uiPriority w:val="99"/>
    <w:rsid w:val="00080175"/>
    <w:rPr>
      <w:rFonts w:ascii="Arial Armenian" w:eastAsiaTheme="minorEastAsia" w:hAnsi="Arial Armenian"/>
      <w:sz w:val="20"/>
      <w:szCs w:val="20"/>
      <w:lang w:val="en-GB"/>
    </w:rPr>
  </w:style>
  <w:style w:type="paragraph" w:customStyle="1" w:styleId="Specialnormal">
    <w:name w:val="Special normal"/>
    <w:basedOn w:val="Normal"/>
    <w:qFormat/>
    <w:rsid w:val="00080175"/>
    <w:pPr>
      <w:overflowPunct w:val="0"/>
      <w:autoSpaceDE w:val="0"/>
      <w:autoSpaceDN w:val="0"/>
      <w:adjustRightInd w:val="0"/>
      <w:jc w:val="center"/>
      <w:textAlignment w:val="baseline"/>
    </w:pPr>
    <w:rPr>
      <w:sz w:val="20"/>
      <w:szCs w:val="20"/>
      <w:lang w:val="en-GB"/>
    </w:rPr>
  </w:style>
  <w:style w:type="paragraph" w:customStyle="1" w:styleId="a4">
    <w:name w:val="???????? ????? ? ????????"/>
    <w:basedOn w:val="Normal"/>
    <w:rsid w:val="00080175"/>
    <w:pPr>
      <w:ind w:left="360" w:hanging="360"/>
    </w:pPr>
    <w:rPr>
      <w:rFonts w:ascii="Times Armenian" w:hAnsi="Times Armenian"/>
      <w:szCs w:val="20"/>
      <w:lang w:eastAsia="ru-RU"/>
    </w:rPr>
  </w:style>
  <w:style w:type="paragraph" w:customStyle="1" w:styleId="a5">
    <w:name w:val="???????"/>
    <w:link w:val="Char"/>
    <w:rsid w:val="00080175"/>
    <w:rPr>
      <w:rFonts w:eastAsiaTheme="minorEastAsia"/>
      <w:lang w:val="ru-RU" w:eastAsia="ru-RU"/>
    </w:rPr>
  </w:style>
  <w:style w:type="character" w:customStyle="1" w:styleId="Char">
    <w:name w:val="??????? Char"/>
    <w:link w:val="a5"/>
    <w:rsid w:val="00080175"/>
    <w:rPr>
      <w:rFonts w:eastAsiaTheme="minorEastAsia"/>
      <w:lang w:val="ru-RU" w:eastAsia="ru-RU"/>
    </w:rPr>
  </w:style>
  <w:style w:type="paragraph" w:customStyle="1" w:styleId="2">
    <w:name w:val="???????2"/>
    <w:rsid w:val="00080175"/>
    <w:rPr>
      <w:rFonts w:ascii="Times Armenian" w:eastAsiaTheme="minorEastAsia" w:hAnsi="Times Armenian"/>
      <w:sz w:val="24"/>
      <w:lang w:eastAsia="ru-RU"/>
    </w:rPr>
  </w:style>
  <w:style w:type="paragraph" w:customStyle="1" w:styleId="a6">
    <w:name w:val="???????? ?????"/>
    <w:basedOn w:val="a5"/>
    <w:rsid w:val="00080175"/>
    <w:pPr>
      <w:jc w:val="center"/>
    </w:pPr>
    <w:rPr>
      <w:rFonts w:ascii="Times Armenian" w:hAnsi="Times Armenian"/>
      <w:i/>
      <w:sz w:val="32"/>
      <w:lang w:val="en-US"/>
    </w:rPr>
  </w:style>
  <w:style w:type="paragraph" w:customStyle="1" w:styleId="31">
    <w:name w:val="???????? ????? ? ???????? 31"/>
    <w:basedOn w:val="2"/>
    <w:rsid w:val="00080175"/>
    <w:pPr>
      <w:spacing w:line="360" w:lineRule="auto"/>
      <w:ind w:firstLine="360"/>
      <w:jc w:val="both"/>
    </w:pPr>
  </w:style>
  <w:style w:type="paragraph" w:customStyle="1" w:styleId="a7">
    <w:name w:val="??????"/>
    <w:basedOn w:val="2"/>
    <w:qFormat/>
    <w:rsid w:val="00080175"/>
    <w:pPr>
      <w:spacing w:line="360" w:lineRule="auto"/>
      <w:ind w:left="-426" w:right="-619" w:firstLine="710"/>
      <w:jc w:val="both"/>
    </w:pPr>
    <w:rPr>
      <w:rFonts w:ascii="Arial LatArm" w:hAnsi="Arial LatArm"/>
      <w:i/>
      <w:lang w:val="en-AU"/>
    </w:rPr>
  </w:style>
  <w:style w:type="paragraph" w:customStyle="1" w:styleId="3">
    <w:name w:val="???????? ????? 3"/>
    <w:basedOn w:val="Normal"/>
    <w:rsid w:val="00080175"/>
    <w:rPr>
      <w:rFonts w:ascii="Times Armenian" w:hAnsi="Times Armenian"/>
      <w:szCs w:val="20"/>
      <w:lang w:val="ru-RU" w:eastAsia="ru-RU"/>
    </w:rPr>
  </w:style>
  <w:style w:type="paragraph" w:customStyle="1" w:styleId="20">
    <w:name w:val="???????? ????? ? ????????2"/>
    <w:basedOn w:val="2"/>
    <w:rsid w:val="00080175"/>
    <w:pPr>
      <w:spacing w:line="360" w:lineRule="auto"/>
      <w:ind w:firstLine="720"/>
      <w:jc w:val="both"/>
    </w:pPr>
    <w:rPr>
      <w:sz w:val="28"/>
    </w:rPr>
  </w:style>
  <w:style w:type="paragraph" w:customStyle="1" w:styleId="11">
    <w:name w:val="????????? 11"/>
    <w:basedOn w:val="2"/>
    <w:next w:val="2"/>
    <w:rsid w:val="00080175"/>
    <w:pPr>
      <w:keepNext/>
      <w:spacing w:line="360" w:lineRule="auto"/>
      <w:outlineLvl w:val="0"/>
    </w:pPr>
    <w:rPr>
      <w:rFonts w:ascii="Times LatArm" w:hAnsi="Times LatArm"/>
    </w:rPr>
  </w:style>
  <w:style w:type="paragraph" w:customStyle="1" w:styleId="10">
    <w:name w:val="????????1"/>
    <w:basedOn w:val="a5"/>
    <w:rsid w:val="00080175"/>
    <w:pPr>
      <w:jc w:val="center"/>
    </w:pPr>
    <w:rPr>
      <w:rFonts w:ascii="Times Armenian" w:hAnsi="Times Armenian"/>
      <w:i/>
      <w:sz w:val="28"/>
      <w:lang w:val="en-US"/>
    </w:rPr>
  </w:style>
  <w:style w:type="paragraph" w:customStyle="1" w:styleId="21">
    <w:name w:val="???????? ????? ? ???????? 2"/>
    <w:basedOn w:val="a5"/>
    <w:rsid w:val="00080175"/>
    <w:pPr>
      <w:ind w:right="-141" w:firstLine="567"/>
      <w:jc w:val="both"/>
    </w:pPr>
    <w:rPr>
      <w:rFonts w:ascii="Times Armenian" w:hAnsi="Times Armenian"/>
      <w:sz w:val="24"/>
    </w:rPr>
  </w:style>
  <w:style w:type="paragraph" w:customStyle="1" w:styleId="22">
    <w:name w:val="???????? ????? 2"/>
    <w:basedOn w:val="a5"/>
    <w:rsid w:val="00080175"/>
    <w:pPr>
      <w:spacing w:line="360" w:lineRule="auto"/>
      <w:jc w:val="both"/>
    </w:pPr>
    <w:rPr>
      <w:rFonts w:ascii="Times LatArm" w:hAnsi="Times LatArm"/>
      <w:b/>
      <w:i/>
      <w:sz w:val="28"/>
      <w:lang w:val="en-US"/>
    </w:rPr>
  </w:style>
  <w:style w:type="paragraph" w:customStyle="1" w:styleId="12">
    <w:name w:val="???????1"/>
    <w:rsid w:val="00080175"/>
    <w:rPr>
      <w:rFonts w:eastAsiaTheme="minorEastAsia"/>
      <w:lang w:val="ru-RU" w:eastAsia="ru-RU"/>
    </w:rPr>
  </w:style>
  <w:style w:type="paragraph" w:customStyle="1" w:styleId="30">
    <w:name w:val="???????? ????? ? ????????3"/>
    <w:basedOn w:val="a5"/>
    <w:rsid w:val="00080175"/>
    <w:pPr>
      <w:ind w:left="360" w:hanging="360"/>
      <w:jc w:val="both"/>
    </w:pPr>
    <w:rPr>
      <w:rFonts w:ascii="Times Armenian" w:hAnsi="Times Armenian"/>
      <w:sz w:val="24"/>
      <w:lang w:val="en-US"/>
    </w:rPr>
  </w:style>
  <w:style w:type="paragraph" w:customStyle="1" w:styleId="StyleHeading2ChapterParanumTextSylfaen1">
    <w:name w:val="Style Heading 2.(Chapter).Paranum.Text + Sylfaen1"/>
    <w:basedOn w:val="Heading2ChapterParanumText"/>
    <w:link w:val="StyleHeading2ChapterParanumTextSylfaen1Char"/>
    <w:rsid w:val="00080175"/>
    <w:pPr>
      <w:spacing w:before="240" w:after="120" w:line="276" w:lineRule="auto"/>
    </w:pPr>
    <w:rPr>
      <w:rFonts w:ascii="GHEA Grapalat" w:hAnsi="GHEA Grapalat"/>
      <w:iCs/>
      <w:spacing w:val="0"/>
      <w:kern w:val="0"/>
      <w:lang w:val="af-ZA" w:eastAsia="ru-RU"/>
    </w:rPr>
  </w:style>
  <w:style w:type="paragraph" w:customStyle="1" w:styleId="Heading2ChapterParanumText">
    <w:name w:val="Heading 2.(Chapter).Paranum.Text"/>
    <w:basedOn w:val="Normal"/>
    <w:next w:val="BodyTextMainTextdateBodyTextMaintext"/>
    <w:link w:val="Heading2ChapterParanumTextChar"/>
    <w:rsid w:val="00080175"/>
    <w:pPr>
      <w:keepNext/>
      <w:widowControl w:val="0"/>
      <w:spacing w:after="240" w:line="360" w:lineRule="auto"/>
      <w:outlineLvl w:val="1"/>
    </w:pPr>
    <w:rPr>
      <w:rFonts w:ascii="Times Armenian" w:hAnsi="Times Armenian"/>
      <w:b/>
      <w:spacing w:val="24"/>
      <w:kern w:val="28"/>
      <w:lang w:val="it-IT"/>
    </w:rPr>
  </w:style>
  <w:style w:type="paragraph" w:customStyle="1" w:styleId="BodyTextMainTextdateBodyTextMaintext">
    <w:name w:val="Body Text.(Main Text).date.Body Text (Main text)"/>
    <w:basedOn w:val="Normal"/>
    <w:rsid w:val="00080175"/>
    <w:pPr>
      <w:widowControl w:val="0"/>
      <w:spacing w:after="120" w:line="360" w:lineRule="auto"/>
      <w:ind w:firstLine="652"/>
    </w:pPr>
    <w:rPr>
      <w:rFonts w:ascii="Arial Armenian" w:hAnsi="Arial Armenian"/>
      <w:sz w:val="20"/>
      <w:lang w:val="en-GB"/>
    </w:rPr>
  </w:style>
  <w:style w:type="character" w:customStyle="1" w:styleId="Heading2ChapterParanumTextChar">
    <w:name w:val="Heading 2.(Chapter).Paranum.Text Char"/>
    <w:link w:val="Heading2ChapterParanumText"/>
    <w:rsid w:val="00080175"/>
    <w:rPr>
      <w:rFonts w:ascii="Times Armenian" w:eastAsiaTheme="minorEastAsia" w:hAnsi="Times Armenian"/>
      <w:b/>
      <w:spacing w:val="24"/>
      <w:kern w:val="28"/>
      <w:lang w:val="it-IT"/>
    </w:rPr>
  </w:style>
  <w:style w:type="character" w:customStyle="1" w:styleId="StyleHeading2ChapterParanumTextSylfaen1Char">
    <w:name w:val="Style Heading 2.(Chapter).Paranum.Text + Sylfaen1 Char"/>
    <w:link w:val="StyleHeading2ChapterParanumTextSylfaen1"/>
    <w:rsid w:val="00080175"/>
    <w:rPr>
      <w:rFonts w:ascii="GHEA Grapalat" w:eastAsiaTheme="minorEastAsia" w:hAnsi="GHEA Grapalat"/>
      <w:b/>
      <w:iCs/>
      <w:lang w:val="af-ZA" w:eastAsia="ru-RU"/>
    </w:rPr>
  </w:style>
  <w:style w:type="paragraph" w:customStyle="1" w:styleId="8">
    <w:name w:val="????????? 8"/>
    <w:basedOn w:val="a5"/>
    <w:next w:val="a5"/>
    <w:rsid w:val="00080175"/>
    <w:pPr>
      <w:keepNext/>
      <w:ind w:firstLine="426"/>
      <w:outlineLvl w:val="7"/>
    </w:pPr>
    <w:rPr>
      <w:rFonts w:ascii="Times Armenian" w:hAnsi="Times Armenian"/>
      <w:b/>
      <w:sz w:val="24"/>
      <w:lang w:val="en-US"/>
    </w:rPr>
  </w:style>
  <w:style w:type="paragraph" w:customStyle="1" w:styleId="210">
    <w:name w:val="???????? ????? ? ???????? 21"/>
    <w:basedOn w:val="2"/>
    <w:rsid w:val="00080175"/>
    <w:pPr>
      <w:spacing w:line="360" w:lineRule="auto"/>
      <w:ind w:firstLine="840"/>
      <w:jc w:val="both"/>
    </w:pPr>
    <w:rPr>
      <w:rFonts w:ascii="Arial LatArm" w:hAnsi="Arial LatArm"/>
    </w:rPr>
  </w:style>
  <w:style w:type="character" w:customStyle="1" w:styleId="BodyText2Char1">
    <w:name w:val="Body Text 2 Char1"/>
    <w:aliases w:val="1Text Char1"/>
    <w:link w:val="BodyText2"/>
    <w:uiPriority w:val="99"/>
    <w:rsid w:val="00080175"/>
    <w:rPr>
      <w:rFonts w:ascii="GHEA Grapalat" w:eastAsiaTheme="minorEastAsia" w:hAnsi="GHEA Grapalat"/>
      <w:sz w:val="20"/>
      <w:szCs w:val="20"/>
      <w:lang w:val="ru-RU" w:eastAsia="ru-RU"/>
    </w:rPr>
  </w:style>
  <w:style w:type="character" w:customStyle="1" w:styleId="BodyText3Char1">
    <w:name w:val="Body Text 3 Char1"/>
    <w:link w:val="BodyText3"/>
    <w:uiPriority w:val="99"/>
    <w:rsid w:val="00080175"/>
    <w:rPr>
      <w:rFonts w:ascii="GHEA Grapalat" w:eastAsiaTheme="minorEastAsia" w:hAnsi="GHEA Grapalat"/>
      <w:sz w:val="16"/>
      <w:szCs w:val="16"/>
      <w:lang w:val="ru-RU" w:eastAsia="ru-RU"/>
    </w:rPr>
  </w:style>
  <w:style w:type="paragraph" w:customStyle="1" w:styleId="Bullet">
    <w:name w:val="Bullet"/>
    <w:aliases w:val="bl,Bullet L1,bl1"/>
    <w:basedOn w:val="Normal"/>
    <w:rsid w:val="00080175"/>
    <w:pPr>
      <w:numPr>
        <w:numId w:val="3"/>
      </w:numPr>
      <w:tabs>
        <w:tab w:val="clear" w:pos="720"/>
        <w:tab w:val="left" w:pos="360"/>
      </w:tabs>
      <w:overflowPunct w:val="0"/>
      <w:autoSpaceDE w:val="0"/>
      <w:autoSpaceDN w:val="0"/>
      <w:adjustRightInd w:val="0"/>
      <w:spacing w:after="130"/>
      <w:ind w:left="360"/>
      <w:textAlignment w:val="baseline"/>
    </w:pPr>
    <w:rPr>
      <w:lang w:val="en-GB"/>
    </w:rPr>
  </w:style>
  <w:style w:type="paragraph" w:customStyle="1" w:styleId="BSAPtext">
    <w:name w:val="BSAP text"/>
    <w:basedOn w:val="Normal"/>
    <w:rsid w:val="00080175"/>
    <w:rPr>
      <w:rFonts w:ascii="Bookman Old Style" w:hAnsi="Bookman Old Style"/>
    </w:rPr>
  </w:style>
  <w:style w:type="character" w:customStyle="1" w:styleId="FooterChar2">
    <w:name w:val="Footer Char2"/>
    <w:link w:val="Footer"/>
    <w:uiPriority w:val="99"/>
    <w:rsid w:val="00080175"/>
    <w:rPr>
      <w:rFonts w:ascii="GHEA Grapalat" w:eastAsiaTheme="minorEastAsia" w:hAnsi="GHEA Grapalat"/>
      <w:lang w:val="en-GB"/>
    </w:rPr>
  </w:style>
  <w:style w:type="paragraph" w:customStyle="1" w:styleId="xl32">
    <w:name w:val="xl32"/>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Armenian" w:hAnsi="Times Armenian"/>
      <w:sz w:val="16"/>
      <w:szCs w:val="16"/>
      <w:lang w:val="ru-RU" w:eastAsia="ru-RU"/>
    </w:rPr>
  </w:style>
  <w:style w:type="paragraph" w:customStyle="1" w:styleId="CaptionSubtitle">
    <w:name w:val="Caption: Subtitle"/>
    <w:rsid w:val="00080175"/>
    <w:rPr>
      <w:rFonts w:ascii="Arial" w:eastAsiaTheme="minorEastAsia" w:hAnsi="Arial"/>
      <w:sz w:val="18"/>
    </w:rPr>
  </w:style>
  <w:style w:type="paragraph" w:customStyle="1" w:styleId="Tabletext">
    <w:name w:val="Tabletext"/>
    <w:basedOn w:val="Normal"/>
    <w:rsid w:val="00080175"/>
    <w:pPr>
      <w:overflowPunct w:val="0"/>
      <w:autoSpaceDE w:val="0"/>
      <w:autoSpaceDN w:val="0"/>
      <w:adjustRightInd w:val="0"/>
      <w:ind w:left="153" w:hanging="153"/>
      <w:textAlignment w:val="baseline"/>
    </w:pPr>
    <w:rPr>
      <w:sz w:val="18"/>
      <w:szCs w:val="20"/>
      <w:lang w:val="en-GB"/>
    </w:rPr>
  </w:style>
  <w:style w:type="paragraph" w:customStyle="1" w:styleId="CaptionTable">
    <w:name w:val="Caption_Table"/>
    <w:basedOn w:val="Caption"/>
    <w:qFormat/>
    <w:rsid w:val="00080175"/>
    <w:pPr>
      <w:ind w:left="1325" w:hanging="1325"/>
    </w:pPr>
    <w:rPr>
      <w:rFonts w:ascii="Arial Armenian" w:hAnsi="Arial Armenian"/>
      <w:lang w:val="en-GB"/>
    </w:rPr>
  </w:style>
  <w:style w:type="paragraph" w:customStyle="1" w:styleId="xl34">
    <w:name w:val="xl34"/>
    <w:basedOn w:val="Normal"/>
    <w:qFormat/>
    <w:rsid w:val="00080175"/>
    <w:pPr>
      <w:spacing w:before="100" w:beforeAutospacing="1" w:after="100" w:afterAutospacing="1"/>
      <w:jc w:val="center"/>
    </w:pPr>
    <w:rPr>
      <w:rFonts w:ascii="Arial Armenian" w:eastAsia="Arial Unicode MS" w:hAnsi="Arial Armenian" w:cs="Arial Unicode MS"/>
      <w:sz w:val="16"/>
      <w:szCs w:val="16"/>
    </w:rPr>
  </w:style>
  <w:style w:type="paragraph" w:customStyle="1" w:styleId="Tablefirstcolumn">
    <w:name w:val="Table_first column"/>
    <w:basedOn w:val="Normal"/>
    <w:rsid w:val="00080175"/>
    <w:pPr>
      <w:spacing w:before="60"/>
    </w:pPr>
    <w:rPr>
      <w:rFonts w:ascii="Arial Armenian" w:hAnsi="Arial Armenian"/>
      <w:sz w:val="16"/>
      <w:szCs w:val="20"/>
      <w:lang w:val="en-GB"/>
    </w:rPr>
  </w:style>
  <w:style w:type="paragraph" w:customStyle="1" w:styleId="xl25">
    <w:name w:val="xl25"/>
    <w:basedOn w:val="Normal"/>
    <w:rsid w:val="00080175"/>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i/>
      <w:iCs/>
      <w:sz w:val="16"/>
      <w:szCs w:val="16"/>
    </w:rPr>
  </w:style>
  <w:style w:type="paragraph" w:customStyle="1" w:styleId="BodyTextIndentTableSourceTableSourceCharBodyTextIndentChar">
    <w:name w:val="Body Text Indent.(Table Source).(Table Source) Char.Body Text Indent Char"/>
    <w:basedOn w:val="BodyTextMainTextdateBodyTextMaintext"/>
    <w:next w:val="Normal"/>
    <w:rsid w:val="00080175"/>
    <w:pPr>
      <w:spacing w:before="60" w:after="60" w:line="240" w:lineRule="auto"/>
    </w:pPr>
    <w:rPr>
      <w:i/>
      <w:sz w:val="16"/>
    </w:rPr>
  </w:style>
  <w:style w:type="paragraph" w:customStyle="1" w:styleId="Tablefirstrow">
    <w:name w:val="Table_first row"/>
    <w:basedOn w:val="Normal"/>
    <w:rsid w:val="00080175"/>
    <w:pPr>
      <w:widowControl w:val="0"/>
      <w:spacing w:before="60"/>
      <w:jc w:val="right"/>
    </w:pPr>
    <w:rPr>
      <w:rFonts w:ascii="Arial Armenian" w:hAnsi="Arial Armenian"/>
      <w:b/>
      <w:sz w:val="16"/>
      <w:szCs w:val="20"/>
      <w:lang w:val="en-GB"/>
    </w:rPr>
  </w:style>
  <w:style w:type="paragraph" w:customStyle="1" w:styleId="FootnoteTextfnADBsinglespacefootnotetextCharFootnoteTextCharfnCharADBCharsinglespaceCharChar">
    <w:name w:val="Footnote Text.fn.ADB.single space.footnote text Char.Footnote Text Char.fn Char.ADB Char.single space Char Char"/>
    <w:basedOn w:val="Normal"/>
    <w:rsid w:val="00080175"/>
    <w:rPr>
      <w:rFonts w:ascii="Arial Armenian" w:hAnsi="Arial Armenian"/>
      <w:i/>
      <w:sz w:val="18"/>
      <w:lang w:val="en-GB"/>
    </w:rPr>
  </w:style>
  <w:style w:type="paragraph" w:customStyle="1" w:styleId="ListParagraph3">
    <w:name w:val="List Paragraph3"/>
    <w:aliases w:val="Akapit z listą BS,List Paragraph 1,List_Paragraph,Multilevel para_II,Bullet1,Bullets,References,List Paragraph (numbered (a)),IBL List Paragraph,List Paragraph nowy,Numbered List Paragraph,List Paragraph-ExecSummary,List Paragraph31,Ha"/>
    <w:basedOn w:val="Normal"/>
    <w:link w:val="ListParagraphChar"/>
    <w:qFormat/>
    <w:rsid w:val="00080175"/>
    <w:pPr>
      <w:ind w:left="720"/>
      <w:contextualSpacing/>
    </w:pPr>
  </w:style>
  <w:style w:type="character" w:customStyle="1" w:styleId="HeaderChar1">
    <w:name w:val="Header Char1"/>
    <w:aliases w:val="Header Char Char Char Char Char Char Char Char Char Char Char,Header Char Char Char Char Char Char Char Char Char Char Char Char Char,h Char"/>
    <w:link w:val="Header"/>
    <w:uiPriority w:val="99"/>
    <w:rsid w:val="00080175"/>
    <w:rPr>
      <w:rFonts w:ascii="GHEA Grapalat" w:eastAsiaTheme="minorEastAsia" w:hAnsi="GHEA Grapalat"/>
    </w:rPr>
  </w:style>
  <w:style w:type="paragraph" w:customStyle="1" w:styleId="H1-intro">
    <w:name w:val="H1-intro"/>
    <w:basedOn w:val="Heading1"/>
    <w:rsid w:val="00080175"/>
    <w:pPr>
      <w:widowControl w:val="0"/>
      <w:tabs>
        <w:tab w:val="left" w:pos="-284"/>
      </w:tabs>
      <w:spacing w:before="0" w:after="0"/>
      <w:ind w:right="-51"/>
      <w:jc w:val="center"/>
    </w:pPr>
    <w:rPr>
      <w:rFonts w:ascii="Times Armenian" w:hAnsi="Times Armenian"/>
      <w:bCs w:val="0"/>
      <w:iCs/>
      <w:spacing w:val="60"/>
      <w:kern w:val="28"/>
      <w:sz w:val="28"/>
      <w:lang w:val="es-ES"/>
    </w:rPr>
  </w:style>
  <w:style w:type="character" w:customStyle="1" w:styleId="TitleChar1">
    <w:name w:val="Title Char1"/>
    <w:rsid w:val="00080175"/>
    <w:rPr>
      <w:rFonts w:ascii="Arial Armenian" w:hAnsi="Arial Armenian"/>
      <w:b/>
      <w:bCs/>
      <w:sz w:val="24"/>
      <w:szCs w:val="24"/>
      <w:lang w:val="fr-FR"/>
    </w:rPr>
  </w:style>
  <w:style w:type="paragraph" w:customStyle="1" w:styleId="CaptionGraph">
    <w:name w:val="Caption_Graph"/>
    <w:basedOn w:val="Caption"/>
    <w:qFormat/>
    <w:rsid w:val="00080175"/>
    <w:pPr>
      <w:spacing w:before="120"/>
      <w:ind w:left="1325" w:hanging="1325"/>
    </w:pPr>
    <w:rPr>
      <w:lang w:val="it-IT"/>
    </w:rPr>
  </w:style>
  <w:style w:type="paragraph" w:customStyle="1" w:styleId="graphtable">
    <w:name w:val="graph&amp;table"/>
    <w:basedOn w:val="BodyText"/>
    <w:next w:val="BodyTextIndent"/>
    <w:rsid w:val="00080175"/>
    <w:pPr>
      <w:widowControl w:val="0"/>
      <w:spacing w:before="60" w:after="60"/>
    </w:pPr>
    <w:rPr>
      <w:rFonts w:ascii="Arial Armenian" w:hAnsi="Arial Armenian"/>
      <w:sz w:val="20"/>
      <w:szCs w:val="20"/>
      <w:lang w:val="en-GB"/>
    </w:rPr>
  </w:style>
  <w:style w:type="paragraph" w:customStyle="1" w:styleId="BodyTextdate">
    <w:name w:val="Body Text.date"/>
    <w:basedOn w:val="Normal"/>
    <w:rsid w:val="00080175"/>
    <w:pPr>
      <w:widowControl w:val="0"/>
      <w:spacing w:after="120" w:line="360" w:lineRule="auto"/>
    </w:pPr>
    <w:rPr>
      <w:rFonts w:ascii="Arial Armenian" w:hAnsi="Arial Armenian"/>
      <w:spacing w:val="-5"/>
      <w:sz w:val="20"/>
      <w:szCs w:val="20"/>
      <w:lang w:val="en-GB"/>
    </w:rPr>
  </w:style>
  <w:style w:type="character" w:customStyle="1" w:styleId="CaptionGraphChar">
    <w:name w:val="Caption_Graph Char"/>
    <w:rsid w:val="00080175"/>
    <w:rPr>
      <w:rFonts w:ascii="Arial Armenian" w:hAnsi="Arial Armenian"/>
      <w:b/>
      <w:sz w:val="20"/>
    </w:rPr>
  </w:style>
  <w:style w:type="paragraph" w:customStyle="1" w:styleId="CoverSubTitle">
    <w:name w:val="Cover SubTitle"/>
    <w:basedOn w:val="Normal"/>
    <w:rsid w:val="00080175"/>
    <w:pPr>
      <w:widowControl w:val="0"/>
      <w:overflowPunct w:val="0"/>
      <w:autoSpaceDE w:val="0"/>
      <w:autoSpaceDN w:val="0"/>
      <w:adjustRightInd w:val="0"/>
      <w:spacing w:line="440" w:lineRule="exact"/>
      <w:jc w:val="center"/>
      <w:textAlignment w:val="baseline"/>
    </w:pPr>
    <w:rPr>
      <w:sz w:val="32"/>
      <w:szCs w:val="20"/>
    </w:rPr>
  </w:style>
  <w:style w:type="paragraph" w:customStyle="1" w:styleId="Heading5Side">
    <w:name w:val="Heading 5.Side"/>
    <w:basedOn w:val="Normal"/>
    <w:next w:val="Normal"/>
    <w:rsid w:val="00080175"/>
    <w:pPr>
      <w:keepNext/>
      <w:spacing w:line="360" w:lineRule="auto"/>
      <w:outlineLvl w:val="4"/>
    </w:pPr>
    <w:rPr>
      <w:rFonts w:ascii="Times LatArm" w:hAnsi="Times LatArm"/>
      <w:szCs w:val="20"/>
      <w:lang w:val="en-NZ"/>
    </w:rPr>
  </w:style>
  <w:style w:type="paragraph" w:customStyle="1" w:styleId="23">
    <w:name w:val="çàãîëîâîê 2"/>
    <w:basedOn w:val="Normal"/>
    <w:next w:val="Normal"/>
    <w:rsid w:val="00080175"/>
    <w:pPr>
      <w:keepNext/>
      <w:overflowPunct w:val="0"/>
      <w:autoSpaceDE w:val="0"/>
      <w:autoSpaceDN w:val="0"/>
      <w:adjustRightInd w:val="0"/>
    </w:pPr>
    <w:rPr>
      <w:rFonts w:ascii="Arial Armenian" w:hAnsi="Arial Armenian"/>
      <w:szCs w:val="20"/>
    </w:rPr>
  </w:style>
  <w:style w:type="paragraph" w:customStyle="1" w:styleId="BodyTextMainTextdate">
    <w:name w:val="Body Text.(Main Text).date"/>
    <w:basedOn w:val="Normal"/>
    <w:rsid w:val="00080175"/>
    <w:pPr>
      <w:jc w:val="center"/>
    </w:pPr>
    <w:rPr>
      <w:rFonts w:ascii="Times LatArm" w:hAnsi="Times LatArm"/>
      <w:b/>
      <w:i/>
      <w:sz w:val="28"/>
      <w:szCs w:val="20"/>
    </w:rPr>
  </w:style>
  <w:style w:type="paragraph" w:customStyle="1" w:styleId="CaptionAnnexedTable">
    <w:name w:val="Caption_Annexed Table"/>
    <w:basedOn w:val="Caption"/>
    <w:rsid w:val="00080175"/>
    <w:pPr>
      <w:spacing w:before="120"/>
      <w:ind w:left="1325" w:hanging="1325"/>
    </w:pPr>
  </w:style>
  <w:style w:type="paragraph" w:customStyle="1" w:styleId="xl28">
    <w:name w:val="xl28"/>
    <w:basedOn w:val="Normal"/>
    <w:rsid w:val="00080175"/>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Times Armenian" w:eastAsia="Arial Unicode MS" w:hAnsi="Times Armenian" w:cs="Arial Unicode MS"/>
      <w:b/>
      <w:bCs/>
      <w:sz w:val="16"/>
      <w:szCs w:val="16"/>
    </w:rPr>
  </w:style>
  <w:style w:type="paragraph" w:customStyle="1" w:styleId="xl57">
    <w:name w:val="xl57"/>
    <w:basedOn w:val="Normal"/>
    <w:rsid w:val="00080175"/>
    <w:pPr>
      <w:pBdr>
        <w:bottom w:val="single" w:sz="4" w:space="0" w:color="auto"/>
        <w:right w:val="single" w:sz="4" w:space="0" w:color="auto"/>
      </w:pBdr>
      <w:spacing w:before="100" w:after="100"/>
    </w:pPr>
    <w:rPr>
      <w:rFonts w:ascii="Times Armenian" w:eastAsia="Arial Unicode MS" w:hAnsi="Times Armenian"/>
      <w:sz w:val="16"/>
      <w:szCs w:val="20"/>
    </w:rPr>
  </w:style>
  <w:style w:type="paragraph" w:customStyle="1" w:styleId="Armenian">
    <w:name w:val="Armenian"/>
    <w:basedOn w:val="Normal"/>
    <w:rsid w:val="00080175"/>
    <w:pPr>
      <w:autoSpaceDE w:val="0"/>
      <w:autoSpaceDN w:val="0"/>
    </w:pPr>
    <w:rPr>
      <w:rFonts w:ascii="Times LatArm" w:hAnsi="Times LatArm"/>
      <w:sz w:val="20"/>
    </w:rPr>
  </w:style>
  <w:style w:type="paragraph" w:customStyle="1" w:styleId="Vernagir">
    <w:name w:val="Vernagir"/>
    <w:basedOn w:val="Normal"/>
    <w:next w:val="Normal"/>
    <w:rsid w:val="00080175"/>
    <w:pPr>
      <w:autoSpaceDE w:val="0"/>
      <w:autoSpaceDN w:val="0"/>
      <w:spacing w:before="240" w:after="120"/>
      <w:jc w:val="center"/>
    </w:pPr>
    <w:rPr>
      <w:rFonts w:ascii="Times Armenian" w:hAnsi="Times Armenian"/>
      <w:b/>
      <w:bCs/>
      <w:sz w:val="20"/>
    </w:rPr>
  </w:style>
  <w:style w:type="paragraph" w:customStyle="1" w:styleId="xl44">
    <w:name w:val="xl44"/>
    <w:basedOn w:val="Normal"/>
    <w:rsid w:val="00080175"/>
    <w:pPr>
      <w:pBdr>
        <w:bottom w:val="single" w:sz="4" w:space="0" w:color="auto"/>
        <w:right w:val="single" w:sz="4" w:space="0" w:color="auto"/>
      </w:pBdr>
      <w:shd w:val="clear" w:color="auto" w:fill="00FF00"/>
      <w:spacing w:before="100" w:after="100"/>
      <w:jc w:val="center"/>
      <w:textAlignment w:val="top"/>
    </w:pPr>
    <w:rPr>
      <w:rFonts w:ascii="Arial Armenian" w:eastAsia="Arial Unicode MS" w:hAnsi="Arial Armenian"/>
      <w:sz w:val="16"/>
      <w:szCs w:val="20"/>
    </w:rPr>
  </w:style>
  <w:style w:type="paragraph" w:customStyle="1" w:styleId="Heading3Sub-ChapterCenteredtext">
    <w:name w:val="Heading 3.(Sub-Chapter).Centered.(text)"/>
    <w:basedOn w:val="Normal"/>
    <w:next w:val="BodyTextMainTextdateBodyTextMaintext"/>
    <w:rsid w:val="00080175"/>
    <w:pPr>
      <w:keepNext/>
      <w:widowControl w:val="0"/>
      <w:tabs>
        <w:tab w:val="left" w:pos="624"/>
      </w:tabs>
      <w:spacing w:before="240" w:after="240"/>
      <w:outlineLvl w:val="2"/>
    </w:pPr>
    <w:rPr>
      <w:rFonts w:ascii="Times Armenian" w:hAnsi="Times Armenian"/>
      <w:b/>
      <w:lang w:val="af-ZA"/>
    </w:rPr>
  </w:style>
  <w:style w:type="paragraph" w:customStyle="1" w:styleId="BoxTitle">
    <w:name w:val="Box_Title"/>
    <w:basedOn w:val="Caption"/>
    <w:rsid w:val="00080175"/>
    <w:pPr>
      <w:spacing w:before="60" w:after="120"/>
      <w:ind w:left="1325" w:hanging="1325"/>
    </w:pPr>
    <w:rPr>
      <w:lang w:val="fr-FR"/>
    </w:rPr>
  </w:style>
  <w:style w:type="paragraph" w:customStyle="1" w:styleId="TOCBase">
    <w:name w:val="TOC Base"/>
    <w:basedOn w:val="Normal"/>
    <w:rsid w:val="00080175"/>
    <w:pPr>
      <w:tabs>
        <w:tab w:val="right" w:leader="dot" w:pos="8505"/>
      </w:tabs>
      <w:overflowPunct w:val="0"/>
      <w:autoSpaceDE w:val="0"/>
      <w:autoSpaceDN w:val="0"/>
      <w:adjustRightInd w:val="0"/>
      <w:textAlignment w:val="baseline"/>
    </w:pPr>
    <w:rPr>
      <w:rFonts w:ascii="Gill Sans" w:hAnsi="Gill Sans"/>
      <w:szCs w:val="20"/>
    </w:rPr>
  </w:style>
  <w:style w:type="paragraph" w:customStyle="1" w:styleId="Bulets">
    <w:name w:val="Bulets"/>
    <w:basedOn w:val="Normal"/>
    <w:next w:val="Normal"/>
    <w:rsid w:val="00080175"/>
    <w:pPr>
      <w:tabs>
        <w:tab w:val="left" w:pos="360"/>
      </w:tabs>
      <w:ind w:left="357" w:hanging="357"/>
    </w:pPr>
    <w:rPr>
      <w:rFonts w:ascii="Times Armenian" w:hAnsi="Times Armenian"/>
      <w:sz w:val="20"/>
      <w:szCs w:val="20"/>
    </w:rPr>
  </w:style>
  <w:style w:type="paragraph" w:customStyle="1" w:styleId="Numbering">
    <w:name w:val="Numbering"/>
    <w:basedOn w:val="Normal"/>
    <w:next w:val="Normal"/>
    <w:rsid w:val="00080175"/>
    <w:pPr>
      <w:tabs>
        <w:tab w:val="left" w:pos="360"/>
      </w:tabs>
      <w:ind w:left="360" w:hanging="360"/>
    </w:pPr>
    <w:rPr>
      <w:rFonts w:ascii="Times Armenian" w:hAnsi="Times Armenian"/>
      <w:sz w:val="20"/>
      <w:szCs w:val="20"/>
    </w:rPr>
  </w:style>
  <w:style w:type="paragraph" w:customStyle="1" w:styleId="Bulet-2">
    <w:name w:val="Bulet-2"/>
    <w:basedOn w:val="Normal"/>
    <w:rsid w:val="00080175"/>
    <w:pPr>
      <w:tabs>
        <w:tab w:val="left" w:pos="454"/>
      </w:tabs>
      <w:ind w:left="454" w:hanging="454"/>
    </w:pPr>
    <w:rPr>
      <w:rFonts w:ascii="Times Armenian" w:hAnsi="Times Armenian"/>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rsid w:val="00080175"/>
    <w:pPr>
      <w:spacing w:after="120"/>
      <w:ind w:left="360"/>
    </w:pPr>
    <w:rPr>
      <w:sz w:val="20"/>
    </w:rPr>
  </w:style>
  <w:style w:type="paragraph" w:customStyle="1" w:styleId="StyleHeading120pt">
    <w:name w:val="Style Heading 1 + 20 pt"/>
    <w:basedOn w:val="Heading1"/>
    <w:rsid w:val="00080175"/>
    <w:pPr>
      <w:spacing w:before="0" w:after="0"/>
    </w:pPr>
    <w:rPr>
      <w:rFonts w:ascii="Times Armenian" w:hAnsi="Times Armenian"/>
      <w:sz w:val="40"/>
      <w:szCs w:val="24"/>
    </w:rPr>
  </w:style>
  <w:style w:type="paragraph" w:customStyle="1" w:styleId="StyleHeading216ptBoldLightBlueLeft025">
    <w:name w:val="Style Heading 2 + 16 pt Bold Light Blue Left:  0.25&quot;"/>
    <w:basedOn w:val="Heading2"/>
    <w:rsid w:val="00080175"/>
    <w:pPr>
      <w:ind w:left="360"/>
    </w:pPr>
    <w:rPr>
      <w:color w:val="3366FF"/>
      <w:spacing w:val="24"/>
    </w:rPr>
  </w:style>
  <w:style w:type="paragraph" w:customStyle="1" w:styleId="BodyTextIndentTableSource">
    <w:name w:val="Body Text Indent.(Table Source)"/>
    <w:basedOn w:val="Normal"/>
    <w:rsid w:val="00080175"/>
    <w:pPr>
      <w:spacing w:line="360" w:lineRule="auto"/>
      <w:ind w:firstLine="540"/>
    </w:pPr>
    <w:rPr>
      <w:rFonts w:ascii="Times LatArm" w:hAnsi="Times LatArm"/>
      <w:szCs w:val="20"/>
    </w:rPr>
  </w:style>
  <w:style w:type="character" w:customStyle="1" w:styleId="TableTitleCharCharCharCharCharCharCharCharCharCharChar">
    <w:name w:val="(Table Title) Char Char Char Char Char Char Char Char Char Char Char"/>
    <w:aliases w:val="Caption1,(Table Title)1"/>
    <w:rsid w:val="00080175"/>
    <w:rPr>
      <w:rFonts w:ascii="Arial Armenian" w:hAnsi="Arial Armenian"/>
      <w:b/>
      <w:lang w:val="en-GB" w:eastAsia="en-US" w:bidi="ar-SA"/>
    </w:rPr>
  </w:style>
  <w:style w:type="paragraph" w:customStyle="1" w:styleId="xl26">
    <w:name w:val="xl26"/>
    <w:basedOn w:val="Normal"/>
    <w:rsid w:val="00080175"/>
    <w:pPr>
      <w:pBdr>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sz w:val="16"/>
      <w:szCs w:val="16"/>
    </w:rPr>
  </w:style>
  <w:style w:type="paragraph" w:customStyle="1" w:styleId="xl27">
    <w:name w:val="xl27"/>
    <w:basedOn w:val="Normal"/>
    <w:rsid w:val="00080175"/>
    <w:pPr>
      <w:pBdr>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sz w:val="16"/>
      <w:szCs w:val="16"/>
    </w:rPr>
  </w:style>
  <w:style w:type="paragraph" w:customStyle="1" w:styleId="xl29">
    <w:name w:val="xl29"/>
    <w:basedOn w:val="Normal"/>
    <w:rsid w:val="00080175"/>
    <w:pPr>
      <w:pBdr>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Times Armenian" w:eastAsia="Arial Unicode MS" w:hAnsi="Times Armenian" w:cs="Arial Unicode MS"/>
      <w:b/>
      <w:bCs/>
      <w:sz w:val="16"/>
      <w:szCs w:val="16"/>
    </w:rPr>
  </w:style>
  <w:style w:type="paragraph" w:customStyle="1" w:styleId="xl30">
    <w:name w:val="xl30"/>
    <w:basedOn w:val="Normal"/>
    <w:rsid w:val="00080175"/>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31">
    <w:name w:val="xl31"/>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Armenian" w:eastAsia="Arial Unicode MS" w:hAnsi="Times Armenian" w:cs="Arial Unicode MS"/>
      <w:sz w:val="16"/>
      <w:szCs w:val="16"/>
    </w:rPr>
  </w:style>
  <w:style w:type="paragraph" w:customStyle="1" w:styleId="xl43">
    <w:name w:val="xl43"/>
    <w:basedOn w:val="Normal"/>
    <w:rsid w:val="00080175"/>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16"/>
      <w:szCs w:val="16"/>
    </w:rPr>
  </w:style>
  <w:style w:type="paragraph" w:customStyle="1" w:styleId="BoxText">
    <w:name w:val="Box Text"/>
    <w:basedOn w:val="BodyText"/>
    <w:rsid w:val="00080175"/>
    <w:pPr>
      <w:framePr w:w="9639" w:h="6855" w:hRule="exact" w:hSpace="181" w:wrap="notBeside" w:vAnchor="text" w:hAnchor="page" w:x="1124" w:y="7"/>
      <w:widowControl w:val="0"/>
      <w:pBdr>
        <w:top w:val="single" w:sz="12" w:space="7" w:color="auto"/>
        <w:left w:val="single" w:sz="12" w:space="7" w:color="auto"/>
        <w:bottom w:val="single" w:sz="12" w:space="7" w:color="auto"/>
        <w:right w:val="single" w:sz="12" w:space="7" w:color="auto"/>
      </w:pBdr>
      <w:spacing w:line="360" w:lineRule="auto"/>
      <w:ind w:firstLine="652"/>
      <w:suppressOverlap/>
    </w:pPr>
    <w:rPr>
      <w:rFonts w:ascii="Arial Armenian" w:hAnsi="Arial Armenian"/>
      <w:sz w:val="20"/>
      <w:szCs w:val="20"/>
      <w:lang w:val="it-IT"/>
    </w:rPr>
  </w:style>
  <w:style w:type="paragraph" w:customStyle="1" w:styleId="BulletAB1">
    <w:name w:val="Bullet AB1"/>
    <w:basedOn w:val="Normal"/>
    <w:rsid w:val="00080175"/>
    <w:pPr>
      <w:tabs>
        <w:tab w:val="left" w:pos="360"/>
        <w:tab w:val="left" w:pos="1008"/>
      </w:tabs>
      <w:ind w:left="360" w:hanging="360"/>
    </w:pPr>
    <w:rPr>
      <w:sz w:val="21"/>
      <w:szCs w:val="20"/>
      <w:lang w:val="en-GB"/>
    </w:rPr>
  </w:style>
  <w:style w:type="paragraph" w:customStyle="1" w:styleId="Style1">
    <w:name w:val="Style1"/>
    <w:basedOn w:val="BodyText"/>
    <w:rsid w:val="00080175"/>
    <w:pPr>
      <w:tabs>
        <w:tab w:val="left" w:pos="360"/>
        <w:tab w:val="left" w:pos="720"/>
        <w:tab w:val="left" w:pos="900"/>
        <w:tab w:val="left" w:pos="9029"/>
      </w:tabs>
      <w:spacing w:after="0" w:line="360" w:lineRule="auto"/>
      <w:ind w:left="720" w:hanging="360"/>
    </w:pPr>
    <w:rPr>
      <w:rFonts w:ascii="Arial Armenian" w:hAnsi="Arial Armenian"/>
      <w:i/>
      <w:szCs w:val="20"/>
      <w:lang w:val="af-ZA"/>
    </w:rPr>
  </w:style>
  <w:style w:type="paragraph" w:customStyle="1" w:styleId="Tables">
    <w:name w:val="Tables"/>
    <w:basedOn w:val="BodyText2"/>
    <w:qFormat/>
    <w:rsid w:val="00080175"/>
    <w:pPr>
      <w:spacing w:after="0" w:line="240" w:lineRule="auto"/>
    </w:pPr>
    <w:rPr>
      <w:b/>
      <w:bCs/>
      <w:iCs/>
      <w:sz w:val="22"/>
      <w:szCs w:val="24"/>
      <w:lang w:val="en-US" w:eastAsia="en-US"/>
    </w:rPr>
  </w:style>
  <w:style w:type="paragraph" w:customStyle="1" w:styleId="wolort">
    <w:name w:val="wolort"/>
    <w:basedOn w:val="Normal"/>
    <w:rsid w:val="00080175"/>
    <w:pPr>
      <w:jc w:val="center"/>
    </w:pPr>
    <w:rPr>
      <w:rFonts w:ascii="Arial Armenian" w:hAnsi="Arial Armenian"/>
      <w:b/>
    </w:rPr>
  </w:style>
  <w:style w:type="paragraph" w:customStyle="1" w:styleId="Tabletext0">
    <w:name w:val="Table text"/>
    <w:basedOn w:val="Normal"/>
    <w:rsid w:val="00080175"/>
    <w:pPr>
      <w:overflowPunct w:val="0"/>
      <w:autoSpaceDE w:val="0"/>
      <w:autoSpaceDN w:val="0"/>
      <w:adjustRightInd w:val="0"/>
      <w:spacing w:before="60" w:line="240" w:lineRule="atLeast"/>
      <w:textAlignment w:val="baseline"/>
    </w:pPr>
    <w:rPr>
      <w:sz w:val="18"/>
      <w:szCs w:val="20"/>
      <w:lang w:val="en-GB"/>
    </w:rPr>
  </w:style>
  <w:style w:type="paragraph" w:customStyle="1" w:styleId="MessageText">
    <w:name w:val="Message Text"/>
    <w:basedOn w:val="BodyText"/>
    <w:rsid w:val="00080175"/>
    <w:pPr>
      <w:widowControl w:val="0"/>
      <w:spacing w:line="360" w:lineRule="auto"/>
      <w:ind w:firstLine="652"/>
    </w:pPr>
    <w:rPr>
      <w:rFonts w:ascii="Arial Armenian" w:hAnsi="Arial Armenian"/>
      <w:szCs w:val="20"/>
      <w:lang w:val="en-GB"/>
    </w:rPr>
  </w:style>
  <w:style w:type="paragraph" w:customStyle="1" w:styleId="Heading41">
    <w:name w:val="Heading 41"/>
    <w:aliases w:val="Centred1"/>
    <w:basedOn w:val="Normal"/>
    <w:qFormat/>
    <w:rsid w:val="00080175"/>
    <w:pPr>
      <w:widowControl w:val="0"/>
      <w:tabs>
        <w:tab w:val="left" w:pos="1080"/>
      </w:tabs>
      <w:ind w:left="737" w:hanging="737"/>
    </w:pPr>
    <w:rPr>
      <w:rFonts w:ascii="Arial Armenian" w:hAnsi="Arial Armenian"/>
      <w:sz w:val="20"/>
      <w:szCs w:val="20"/>
      <w:lang w:val="en-GB"/>
    </w:rPr>
  </w:style>
  <w:style w:type="paragraph" w:customStyle="1" w:styleId="PRAMO">
    <w:name w:val="PRAMO"/>
    <w:basedOn w:val="Normal"/>
    <w:rsid w:val="00080175"/>
    <w:pPr>
      <w:tabs>
        <w:tab w:val="left" w:pos="216"/>
        <w:tab w:val="left" w:pos="360"/>
        <w:tab w:val="left" w:pos="1418"/>
        <w:tab w:val="left" w:pos="1800"/>
        <w:tab w:val="left" w:pos="2835"/>
        <w:tab w:val="left" w:pos="3240"/>
        <w:tab w:val="left" w:pos="3960"/>
        <w:tab w:val="left" w:pos="4680"/>
        <w:tab w:val="left" w:pos="5400"/>
        <w:tab w:val="left" w:pos="6120"/>
        <w:tab w:val="left" w:pos="6840"/>
        <w:tab w:val="left" w:pos="7560"/>
        <w:tab w:val="left" w:pos="8280"/>
      </w:tabs>
    </w:pPr>
    <w:rPr>
      <w:rFonts w:ascii="Arial" w:hAnsi="Arial"/>
      <w:lang w:val="en-GB"/>
    </w:rPr>
  </w:style>
  <w:style w:type="paragraph" w:customStyle="1" w:styleId="bullet1">
    <w:name w:val="bullet1"/>
    <w:basedOn w:val="NormalIndent"/>
    <w:rsid w:val="00080175"/>
    <w:pPr>
      <w:tabs>
        <w:tab w:val="clear" w:pos="1134"/>
        <w:tab w:val="clear" w:pos="1701"/>
        <w:tab w:val="left" w:pos="1418"/>
      </w:tabs>
      <w:ind w:left="0"/>
      <w:jc w:val="left"/>
    </w:pPr>
  </w:style>
  <w:style w:type="paragraph" w:customStyle="1" w:styleId="a8">
    <w:name w:val="????????"/>
    <w:basedOn w:val="Normal"/>
    <w:rsid w:val="00080175"/>
    <w:pPr>
      <w:jc w:val="center"/>
    </w:pPr>
    <w:rPr>
      <w:rFonts w:ascii="Times Armenian" w:hAnsi="Times Armenian"/>
      <w:i/>
      <w:sz w:val="28"/>
      <w:szCs w:val="20"/>
      <w:lang w:eastAsia="ru-RU"/>
    </w:rPr>
  </w:style>
  <w:style w:type="paragraph" w:customStyle="1" w:styleId="13">
    <w:name w:val="???????? ????? ? ????????1"/>
    <w:basedOn w:val="2"/>
    <w:rsid w:val="00080175"/>
    <w:pPr>
      <w:spacing w:line="360" w:lineRule="auto"/>
      <w:ind w:firstLine="720"/>
      <w:jc w:val="both"/>
    </w:pPr>
    <w:rPr>
      <w:sz w:val="28"/>
    </w:rPr>
  </w:style>
  <w:style w:type="paragraph" w:customStyle="1" w:styleId="BodyTextIndentTableSource1">
    <w:name w:val="Body Text Indent.(Table Source)1"/>
    <w:basedOn w:val="Normal"/>
    <w:rsid w:val="00080175"/>
    <w:pPr>
      <w:ind w:firstLine="3"/>
    </w:pPr>
    <w:rPr>
      <w:rFonts w:ascii="Times Armenian" w:hAnsi="Times Armenian"/>
      <w:szCs w:val="20"/>
      <w:lang w:val="fr-FR"/>
    </w:rPr>
  </w:style>
  <w:style w:type="paragraph" w:customStyle="1" w:styleId="xl33">
    <w:name w:val="xl33"/>
    <w:basedOn w:val="Normal"/>
    <w:rsid w:val="00080175"/>
    <w:pPr>
      <w:pBdr>
        <w:top w:val="single" w:sz="4" w:space="0" w:color="auto"/>
        <w:left w:val="single" w:sz="4" w:space="0" w:color="auto"/>
        <w:bottom w:val="single" w:sz="4" w:space="0" w:color="auto"/>
        <w:right w:val="single" w:sz="4" w:space="0" w:color="auto"/>
      </w:pBdr>
      <w:spacing w:before="100" w:after="100"/>
    </w:pPr>
    <w:rPr>
      <w:rFonts w:ascii="Arial Armenian" w:eastAsia="Arial Unicode MS" w:hAnsi="Arial Armenian"/>
      <w:b/>
      <w:i/>
      <w:sz w:val="16"/>
      <w:szCs w:val="20"/>
    </w:rPr>
  </w:style>
  <w:style w:type="paragraph" w:customStyle="1" w:styleId="xl35">
    <w:name w:val="xl35"/>
    <w:basedOn w:val="Normal"/>
    <w:rsid w:val="00080175"/>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i/>
      <w:sz w:val="16"/>
      <w:szCs w:val="20"/>
    </w:rPr>
  </w:style>
  <w:style w:type="paragraph" w:customStyle="1" w:styleId="xl36">
    <w:name w:val="xl36"/>
    <w:basedOn w:val="Normal"/>
    <w:rsid w:val="00080175"/>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sz w:val="16"/>
      <w:szCs w:val="20"/>
    </w:rPr>
  </w:style>
  <w:style w:type="paragraph" w:customStyle="1" w:styleId="xl37">
    <w:name w:val="xl37"/>
    <w:basedOn w:val="Normal"/>
    <w:rsid w:val="00080175"/>
    <w:pPr>
      <w:pBdr>
        <w:top w:val="single" w:sz="4" w:space="0" w:color="auto"/>
        <w:left w:val="single" w:sz="4" w:space="0" w:color="auto"/>
        <w:bottom w:val="single" w:sz="4" w:space="0" w:color="auto"/>
        <w:right w:val="single" w:sz="4" w:space="0" w:color="auto"/>
      </w:pBdr>
      <w:spacing w:before="100" w:after="100"/>
      <w:textAlignment w:val="center"/>
    </w:pPr>
    <w:rPr>
      <w:rFonts w:ascii="Arial Armenian" w:eastAsia="Arial Unicode MS" w:hAnsi="Arial Armenian"/>
      <w:b/>
      <w:sz w:val="16"/>
      <w:szCs w:val="20"/>
    </w:rPr>
  </w:style>
  <w:style w:type="paragraph" w:customStyle="1" w:styleId="xl38">
    <w:name w:val="xl38"/>
    <w:basedOn w:val="Normal"/>
    <w:rsid w:val="00080175"/>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b/>
      <w:sz w:val="16"/>
      <w:szCs w:val="20"/>
    </w:rPr>
  </w:style>
  <w:style w:type="paragraph" w:customStyle="1" w:styleId="xl39">
    <w:name w:val="xl39"/>
    <w:basedOn w:val="Normal"/>
    <w:rsid w:val="00080175"/>
    <w:pPr>
      <w:pBdr>
        <w:top w:val="single" w:sz="4" w:space="0" w:color="auto"/>
        <w:left w:val="single" w:sz="4" w:space="0" w:color="auto"/>
        <w:bottom w:val="single" w:sz="4" w:space="0" w:color="auto"/>
        <w:right w:val="single" w:sz="4" w:space="0" w:color="auto"/>
      </w:pBdr>
      <w:spacing w:before="100" w:after="100"/>
      <w:jc w:val="center"/>
      <w:textAlignment w:val="center"/>
    </w:pPr>
    <w:rPr>
      <w:rFonts w:ascii="Arial Armenian" w:eastAsia="Arial Unicode MS" w:hAnsi="Arial Armenian"/>
      <w:b/>
      <w:sz w:val="16"/>
      <w:szCs w:val="20"/>
    </w:rPr>
  </w:style>
  <w:style w:type="paragraph" w:customStyle="1" w:styleId="xl40">
    <w:name w:val="xl40"/>
    <w:basedOn w:val="Normal"/>
    <w:rsid w:val="00080175"/>
    <w:pPr>
      <w:pBdr>
        <w:top w:val="single" w:sz="4" w:space="0" w:color="auto"/>
        <w:left w:val="single" w:sz="4" w:space="0" w:color="auto"/>
        <w:bottom w:val="single" w:sz="4" w:space="0" w:color="auto"/>
        <w:right w:val="single" w:sz="4" w:space="0" w:color="auto"/>
      </w:pBdr>
      <w:spacing w:before="100" w:after="100"/>
      <w:jc w:val="center"/>
      <w:textAlignment w:val="center"/>
    </w:pPr>
    <w:rPr>
      <w:rFonts w:ascii="Arial Armenian" w:eastAsia="Arial Unicode MS" w:hAnsi="Arial Armenian"/>
      <w:b/>
      <w:sz w:val="16"/>
      <w:szCs w:val="20"/>
    </w:rPr>
  </w:style>
  <w:style w:type="paragraph" w:customStyle="1" w:styleId="xl41">
    <w:name w:val="xl41"/>
    <w:basedOn w:val="Normal"/>
    <w:rsid w:val="00080175"/>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sz w:val="16"/>
      <w:szCs w:val="20"/>
    </w:rPr>
  </w:style>
  <w:style w:type="paragraph" w:customStyle="1" w:styleId="xl42">
    <w:name w:val="xl42"/>
    <w:basedOn w:val="Normal"/>
    <w:rsid w:val="00080175"/>
    <w:pPr>
      <w:pBdr>
        <w:bottom w:val="single" w:sz="4" w:space="0" w:color="auto"/>
        <w:right w:val="single" w:sz="4" w:space="0" w:color="auto"/>
      </w:pBdr>
      <w:shd w:val="clear" w:color="auto" w:fill="00FF00"/>
      <w:spacing w:before="100" w:after="100"/>
      <w:jc w:val="center"/>
      <w:textAlignment w:val="top"/>
    </w:pPr>
    <w:rPr>
      <w:rFonts w:ascii="Arial Armenian" w:eastAsia="Arial Unicode MS" w:hAnsi="Arial Armenian"/>
      <w:i/>
      <w:sz w:val="16"/>
      <w:szCs w:val="20"/>
    </w:rPr>
  </w:style>
  <w:style w:type="paragraph" w:customStyle="1" w:styleId="xl45">
    <w:name w:val="xl45"/>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i/>
      <w:sz w:val="16"/>
      <w:szCs w:val="20"/>
    </w:rPr>
  </w:style>
  <w:style w:type="paragraph" w:customStyle="1" w:styleId="xl46">
    <w:name w:val="xl46"/>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i/>
      <w:sz w:val="16"/>
      <w:szCs w:val="20"/>
    </w:rPr>
  </w:style>
  <w:style w:type="paragraph" w:customStyle="1" w:styleId="xl47">
    <w:name w:val="xl47"/>
    <w:basedOn w:val="Normal"/>
    <w:rsid w:val="00080175"/>
    <w:pPr>
      <w:pBdr>
        <w:bottom w:val="single" w:sz="4" w:space="0" w:color="auto"/>
        <w:right w:val="single" w:sz="4" w:space="0" w:color="auto"/>
      </w:pBdr>
      <w:shd w:val="clear" w:color="auto" w:fill="FFFFFF"/>
      <w:spacing w:before="100" w:after="100"/>
      <w:textAlignment w:val="top"/>
    </w:pPr>
    <w:rPr>
      <w:rFonts w:ascii="Arial Armenian" w:eastAsia="Arial Unicode MS" w:hAnsi="Arial Armenian"/>
      <w:i/>
      <w:sz w:val="16"/>
      <w:szCs w:val="20"/>
    </w:rPr>
  </w:style>
  <w:style w:type="paragraph" w:customStyle="1" w:styleId="xl48">
    <w:name w:val="xl48"/>
    <w:basedOn w:val="Normal"/>
    <w:rsid w:val="00080175"/>
    <w:pPr>
      <w:pBdr>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6"/>
      <w:szCs w:val="20"/>
    </w:rPr>
  </w:style>
  <w:style w:type="paragraph" w:customStyle="1" w:styleId="xl49">
    <w:name w:val="xl49"/>
    <w:basedOn w:val="Normal"/>
    <w:rsid w:val="00080175"/>
    <w:pPr>
      <w:pBdr>
        <w:top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8"/>
      <w:szCs w:val="20"/>
    </w:rPr>
  </w:style>
  <w:style w:type="paragraph" w:customStyle="1" w:styleId="xl50">
    <w:name w:val="xl50"/>
    <w:basedOn w:val="Normal"/>
    <w:rsid w:val="00080175"/>
    <w:pPr>
      <w:pBdr>
        <w:top w:val="single" w:sz="4" w:space="0" w:color="auto"/>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51">
    <w:name w:val="xl51"/>
    <w:basedOn w:val="Normal"/>
    <w:rsid w:val="00080175"/>
    <w:pPr>
      <w:pBdr>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52">
    <w:name w:val="xl52"/>
    <w:basedOn w:val="Normal"/>
    <w:qFormat/>
    <w:rsid w:val="00080175"/>
    <w:pPr>
      <w:pBdr>
        <w:top w:val="single" w:sz="4" w:space="0" w:color="auto"/>
        <w:lef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3">
    <w:name w:val="xl53"/>
    <w:basedOn w:val="Normal"/>
    <w:rsid w:val="00080175"/>
    <w:pPr>
      <w:pBdr>
        <w:top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4">
    <w:name w:val="xl54"/>
    <w:basedOn w:val="Normal"/>
    <w:rsid w:val="00080175"/>
    <w:pPr>
      <w:pBdr>
        <w:left w:val="single" w:sz="4" w:space="0" w:color="auto"/>
        <w:bottom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55">
    <w:name w:val="xl55"/>
    <w:basedOn w:val="Normal"/>
    <w:rsid w:val="00080175"/>
    <w:pPr>
      <w:pBdr>
        <w:left w:val="single" w:sz="4" w:space="0" w:color="auto"/>
        <w:bottom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6">
    <w:name w:val="xl56"/>
    <w:basedOn w:val="Normal"/>
    <w:rsid w:val="00080175"/>
    <w:pPr>
      <w:pBdr>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8">
    <w:name w:val="xl58"/>
    <w:basedOn w:val="Normal"/>
    <w:rsid w:val="00080175"/>
    <w:pPr>
      <w:pBdr>
        <w:left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4"/>
      <w:szCs w:val="20"/>
    </w:rPr>
  </w:style>
  <w:style w:type="paragraph" w:customStyle="1" w:styleId="xl59">
    <w:name w:val="xl59"/>
    <w:basedOn w:val="Normal"/>
    <w:rsid w:val="00080175"/>
    <w:pPr>
      <w:pBdr>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4"/>
      <w:szCs w:val="20"/>
    </w:rPr>
  </w:style>
  <w:style w:type="paragraph" w:customStyle="1" w:styleId="xl60">
    <w:name w:val="xl60"/>
    <w:basedOn w:val="Normal"/>
    <w:rsid w:val="00080175"/>
    <w:pPr>
      <w:pBdr>
        <w:top w:val="single" w:sz="4" w:space="0" w:color="auto"/>
        <w:lef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1">
    <w:name w:val="xl61"/>
    <w:basedOn w:val="Normal"/>
    <w:rsid w:val="00080175"/>
    <w:pPr>
      <w:pBdr>
        <w:top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2">
    <w:name w:val="xl62"/>
    <w:basedOn w:val="Normal"/>
    <w:rsid w:val="00080175"/>
    <w:pPr>
      <w:pBdr>
        <w:left w:val="single" w:sz="4" w:space="0" w:color="auto"/>
        <w:bottom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3">
    <w:name w:val="xl63"/>
    <w:basedOn w:val="Normal"/>
    <w:rsid w:val="00080175"/>
    <w:pPr>
      <w:pBdr>
        <w:bottom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4">
    <w:name w:val="xl64"/>
    <w:basedOn w:val="Normal"/>
    <w:rsid w:val="00080175"/>
    <w:pPr>
      <w:pBdr>
        <w:top w:val="single" w:sz="4" w:space="0" w:color="auto"/>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sz w:val="14"/>
      <w:szCs w:val="20"/>
    </w:rPr>
  </w:style>
  <w:style w:type="paragraph" w:customStyle="1" w:styleId="xl65">
    <w:name w:val="xl65"/>
    <w:basedOn w:val="Normal"/>
    <w:rsid w:val="00080175"/>
    <w:pPr>
      <w:pBdr>
        <w:left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66">
    <w:name w:val="xl66"/>
    <w:basedOn w:val="Normal"/>
    <w:rsid w:val="00080175"/>
    <w:pPr>
      <w:pBdr>
        <w:left w:val="single" w:sz="4" w:space="0" w:color="auto"/>
        <w:bottom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67">
    <w:name w:val="xl67"/>
    <w:basedOn w:val="Normal"/>
    <w:rsid w:val="00080175"/>
    <w:pPr>
      <w:pBdr>
        <w:top w:val="single" w:sz="4" w:space="0" w:color="auto"/>
        <w:left w:val="single" w:sz="4" w:space="0" w:color="auto"/>
        <w:bottom w:val="single" w:sz="4" w:space="0" w:color="auto"/>
      </w:pBdr>
      <w:shd w:val="clear" w:color="auto" w:fill="FFFFFF"/>
      <w:spacing w:before="100" w:after="100"/>
      <w:jc w:val="center"/>
      <w:textAlignment w:val="top"/>
    </w:pPr>
    <w:rPr>
      <w:rFonts w:ascii="Arial Armenian" w:eastAsia="Arial Unicode MS" w:hAnsi="Arial Armenian"/>
      <w:b/>
      <w:sz w:val="18"/>
      <w:szCs w:val="20"/>
    </w:rPr>
  </w:style>
  <w:style w:type="paragraph" w:customStyle="1" w:styleId="xl68">
    <w:name w:val="xl68"/>
    <w:basedOn w:val="Normal"/>
    <w:rsid w:val="00080175"/>
    <w:pPr>
      <w:pBdr>
        <w:top w:val="single" w:sz="4" w:space="0" w:color="auto"/>
        <w:left w:val="single" w:sz="4" w:space="0" w:color="auto"/>
        <w:bottom w:val="single" w:sz="4" w:space="0" w:color="auto"/>
        <w:right w:val="single" w:sz="4" w:space="0" w:color="auto"/>
      </w:pBdr>
      <w:spacing w:before="100" w:after="100"/>
      <w:textAlignment w:val="center"/>
    </w:pPr>
    <w:rPr>
      <w:rFonts w:ascii="Arial Armenian" w:eastAsia="Arial Unicode MS" w:hAnsi="Arial Armenian"/>
      <w:i/>
      <w:sz w:val="14"/>
      <w:szCs w:val="20"/>
    </w:rPr>
  </w:style>
  <w:style w:type="paragraph" w:customStyle="1" w:styleId="xl69">
    <w:name w:val="xl69"/>
    <w:basedOn w:val="Normal"/>
    <w:rsid w:val="00080175"/>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Armenian" w:eastAsia="Arial Unicode MS" w:hAnsi="Arial Armenian" w:cs="Arial Unicode MS"/>
    </w:rPr>
  </w:style>
  <w:style w:type="paragraph" w:customStyle="1" w:styleId="xl70">
    <w:name w:val="xl70"/>
    <w:basedOn w:val="Normal"/>
    <w:rsid w:val="00080175"/>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71">
    <w:name w:val="xl71"/>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72">
    <w:name w:val="xl72"/>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Armenian" w:eastAsia="Arial Unicode MS" w:hAnsi="Arial Armenian" w:cs="Arial Unicode MS"/>
      <w:i/>
      <w:iCs/>
    </w:rPr>
  </w:style>
  <w:style w:type="paragraph" w:customStyle="1" w:styleId="xl73">
    <w:name w:val="xl73"/>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rPr>
  </w:style>
  <w:style w:type="paragraph" w:customStyle="1" w:styleId="xl74">
    <w:name w:val="xl74"/>
    <w:basedOn w:val="Normal"/>
    <w:rsid w:val="00080175"/>
    <w:pPr>
      <w:pBdr>
        <w:left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75">
    <w:name w:val="xl75"/>
    <w:basedOn w:val="Normal"/>
    <w:rsid w:val="0008017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b/>
      <w:bCs/>
      <w:i/>
      <w:iCs/>
    </w:rPr>
  </w:style>
  <w:style w:type="paragraph" w:customStyle="1" w:styleId="xl76">
    <w:name w:val="xl76"/>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77">
    <w:name w:val="xl77"/>
    <w:basedOn w:val="Normal"/>
    <w:rsid w:val="0008017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rPr>
  </w:style>
  <w:style w:type="paragraph" w:customStyle="1" w:styleId="xl78">
    <w:name w:val="xl78"/>
    <w:basedOn w:val="Normal"/>
    <w:rsid w:val="0008017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i/>
      <w:iCs/>
    </w:rPr>
  </w:style>
  <w:style w:type="paragraph" w:customStyle="1" w:styleId="xl79">
    <w:name w:val="xl79"/>
    <w:basedOn w:val="Normal"/>
    <w:rsid w:val="0008017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i/>
      <w:iCs/>
    </w:rPr>
  </w:style>
  <w:style w:type="paragraph" w:customStyle="1" w:styleId="xl80">
    <w:name w:val="xl80"/>
    <w:basedOn w:val="Normal"/>
    <w:rsid w:val="00080175"/>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rPr>
  </w:style>
  <w:style w:type="paragraph" w:customStyle="1" w:styleId="xl81">
    <w:name w:val="xl81"/>
    <w:basedOn w:val="Normal"/>
    <w:rsid w:val="00080175"/>
    <w:pPr>
      <w:pBdr>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82">
    <w:name w:val="xl82"/>
    <w:basedOn w:val="Normal"/>
    <w:rsid w:val="0008017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83">
    <w:name w:val="xl83"/>
    <w:basedOn w:val="Normal"/>
    <w:rsid w:val="00080175"/>
    <w:pPr>
      <w:pBdr>
        <w:top w:val="single" w:sz="4" w:space="0" w:color="auto"/>
        <w:left w:val="single" w:sz="8" w:space="0" w:color="auto"/>
        <w:bottom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84">
    <w:name w:val="xl84"/>
    <w:basedOn w:val="Normal"/>
    <w:rsid w:val="00080175"/>
    <w:pPr>
      <w:pBdr>
        <w:top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85">
    <w:name w:val="xl85"/>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86">
    <w:name w:val="xl86"/>
    <w:basedOn w:val="Normal"/>
    <w:rsid w:val="00080175"/>
    <w:pPr>
      <w:pBdr>
        <w:left w:val="single" w:sz="4" w:space="0" w:color="auto"/>
        <w:bottom w:val="single" w:sz="4"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87">
    <w:name w:val="xl87"/>
    <w:basedOn w:val="Normal"/>
    <w:rsid w:val="00080175"/>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b/>
      <w:bCs/>
    </w:rPr>
  </w:style>
  <w:style w:type="paragraph" w:customStyle="1" w:styleId="xl88">
    <w:name w:val="xl88"/>
    <w:basedOn w:val="Normal"/>
    <w:rsid w:val="00080175"/>
    <w:pPr>
      <w:pBdr>
        <w:bottom w:val="single" w:sz="4" w:space="0" w:color="auto"/>
      </w:pBdr>
      <w:shd w:val="clear" w:color="auto" w:fill="FFFFFF"/>
      <w:spacing w:before="100" w:beforeAutospacing="1" w:after="100" w:afterAutospacing="1"/>
    </w:pPr>
    <w:rPr>
      <w:rFonts w:ascii="Arial Armenian" w:eastAsia="Arial Unicode MS" w:hAnsi="Arial Armenian" w:cs="Arial Unicode MS"/>
    </w:rPr>
  </w:style>
  <w:style w:type="paragraph" w:customStyle="1" w:styleId="xl89">
    <w:name w:val="xl89"/>
    <w:basedOn w:val="Normal"/>
    <w:rsid w:val="00080175"/>
    <w:pPr>
      <w:pBdr>
        <w:top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Arial Armenian" w:eastAsia="Arial Unicode MS" w:hAnsi="Arial Armenian" w:cs="Arial Unicode MS"/>
      <w:b/>
      <w:bCs/>
    </w:rPr>
  </w:style>
  <w:style w:type="paragraph" w:customStyle="1" w:styleId="xl90">
    <w:name w:val="xl90"/>
    <w:basedOn w:val="Normal"/>
    <w:rsid w:val="0008017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1">
    <w:name w:val="xl91"/>
    <w:basedOn w:val="Normal"/>
    <w:rsid w:val="0008017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2">
    <w:name w:val="xl92"/>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3">
    <w:name w:val="xl93"/>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u w:val="single"/>
    </w:rPr>
  </w:style>
  <w:style w:type="paragraph" w:customStyle="1" w:styleId="xl94">
    <w:name w:val="xl94"/>
    <w:basedOn w:val="Normal"/>
    <w:rsid w:val="00080175"/>
    <w:pPr>
      <w:pBdr>
        <w:left w:val="single" w:sz="4" w:space="0" w:color="auto"/>
        <w:bottom w:val="single" w:sz="4" w:space="0" w:color="auto"/>
        <w:right w:val="single" w:sz="8" w:space="0" w:color="auto"/>
      </w:pBdr>
      <w:spacing w:before="100" w:beforeAutospacing="1" w:after="100" w:afterAutospacing="1"/>
    </w:pPr>
    <w:rPr>
      <w:rFonts w:ascii="Arial Armenian" w:eastAsia="Arial Unicode MS" w:hAnsi="Arial Armenian" w:cs="Arial Unicode MS"/>
    </w:rPr>
  </w:style>
  <w:style w:type="paragraph" w:customStyle="1" w:styleId="xl95">
    <w:name w:val="xl95"/>
    <w:basedOn w:val="Normal"/>
    <w:rsid w:val="0008017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6">
    <w:name w:val="xl96"/>
    <w:basedOn w:val="Normal"/>
    <w:rsid w:val="0008017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rPr>
  </w:style>
  <w:style w:type="paragraph" w:customStyle="1" w:styleId="xl97">
    <w:name w:val="xl97"/>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Armenian" w:eastAsia="Arial Unicode MS" w:hAnsi="Arial Armenian" w:cs="Arial Unicode MS"/>
    </w:rPr>
  </w:style>
  <w:style w:type="paragraph" w:customStyle="1" w:styleId="xl98">
    <w:name w:val="xl98"/>
    <w:basedOn w:val="Normal"/>
    <w:rsid w:val="00080175"/>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right"/>
      <w:textAlignment w:val="center"/>
    </w:pPr>
    <w:rPr>
      <w:rFonts w:ascii="Arial Armenian" w:eastAsia="Arial Unicode MS" w:hAnsi="Arial Armenian" w:cs="Arial Unicode MS"/>
    </w:rPr>
  </w:style>
  <w:style w:type="paragraph" w:customStyle="1" w:styleId="xl99">
    <w:name w:val="xl99"/>
    <w:basedOn w:val="Normal"/>
    <w:rsid w:val="00080175"/>
    <w:pPr>
      <w:pBdr>
        <w:right w:val="single" w:sz="8" w:space="0" w:color="auto"/>
      </w:pBdr>
      <w:shd w:val="clear" w:color="auto" w:fill="FFFFFF"/>
      <w:spacing w:before="100" w:beforeAutospacing="1" w:after="100" w:afterAutospacing="1"/>
      <w:jc w:val="right"/>
    </w:pPr>
    <w:rPr>
      <w:rFonts w:ascii="Arial Armenian" w:eastAsia="Arial Unicode MS" w:hAnsi="Arial Armenian" w:cs="Arial Unicode MS"/>
      <w:b/>
      <w:bCs/>
    </w:rPr>
  </w:style>
  <w:style w:type="paragraph" w:customStyle="1" w:styleId="xl100">
    <w:name w:val="xl100"/>
    <w:basedOn w:val="Normal"/>
    <w:rsid w:val="00080175"/>
    <w:pPr>
      <w:pBdr>
        <w:right w:val="single" w:sz="8" w:space="0" w:color="auto"/>
      </w:pBdr>
      <w:shd w:val="clear" w:color="auto" w:fill="CCFFFF"/>
      <w:spacing w:before="100" w:beforeAutospacing="1" w:after="100" w:afterAutospacing="1"/>
      <w:jc w:val="right"/>
    </w:pPr>
    <w:rPr>
      <w:rFonts w:ascii="Arial Armenian" w:eastAsia="Arial Unicode MS" w:hAnsi="Arial Armenian" w:cs="Arial Unicode MS"/>
    </w:rPr>
  </w:style>
  <w:style w:type="paragraph" w:customStyle="1" w:styleId="xl101">
    <w:name w:val="xl101"/>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Armenian" w:eastAsia="Arial Unicode MS" w:hAnsi="Arial Armenian" w:cs="Arial Unicode MS"/>
      <w:b/>
      <w:bCs/>
      <w:i/>
      <w:iCs/>
    </w:rPr>
  </w:style>
  <w:style w:type="paragraph" w:customStyle="1" w:styleId="xl102">
    <w:name w:val="xl102"/>
    <w:basedOn w:val="Normal"/>
    <w:rsid w:val="0008017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Armenian" w:eastAsia="Arial Unicode MS" w:hAnsi="Arial Armenian" w:cs="Arial Unicode MS"/>
    </w:rPr>
  </w:style>
  <w:style w:type="paragraph" w:customStyle="1" w:styleId="xl103">
    <w:name w:val="xl103"/>
    <w:basedOn w:val="Normal"/>
    <w:rsid w:val="0008017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Armenian" w:eastAsia="Arial Unicode MS" w:hAnsi="Arial Armenian" w:cs="Arial Unicode MS"/>
      <w:i/>
      <w:iCs/>
    </w:rPr>
  </w:style>
  <w:style w:type="paragraph" w:customStyle="1" w:styleId="xl104">
    <w:name w:val="xl104"/>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Armenian" w:eastAsia="Arial Unicode MS" w:hAnsi="Arial Armenian" w:cs="Arial Unicode MS"/>
    </w:rPr>
  </w:style>
  <w:style w:type="paragraph" w:customStyle="1" w:styleId="xl105">
    <w:name w:val="xl105"/>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106">
    <w:name w:val="xl106"/>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Armenian" w:eastAsia="Arial Unicode MS" w:hAnsi="Arial Armenian" w:cs="Arial Unicode MS"/>
    </w:rPr>
  </w:style>
  <w:style w:type="paragraph" w:customStyle="1" w:styleId="xl107">
    <w:name w:val="xl107"/>
    <w:basedOn w:val="Normal"/>
    <w:rsid w:val="0008017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eastAsia="Arial Unicode MS" w:hAnsi="Arial Armenian" w:cs="Arial Unicode MS"/>
      <w:b/>
      <w:bCs/>
    </w:rPr>
  </w:style>
  <w:style w:type="paragraph" w:customStyle="1" w:styleId="xl108">
    <w:name w:val="xl108"/>
    <w:basedOn w:val="Normal"/>
    <w:rsid w:val="00080175"/>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109">
    <w:name w:val="xl109"/>
    <w:basedOn w:val="Normal"/>
    <w:rsid w:val="0008017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110">
    <w:name w:val="xl110"/>
    <w:basedOn w:val="Normal"/>
    <w:rsid w:val="00080175"/>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111">
    <w:name w:val="xl111"/>
    <w:basedOn w:val="Normal"/>
    <w:rsid w:val="00080175"/>
    <w:pPr>
      <w:pBdr>
        <w:top w:val="single" w:sz="4" w:space="0" w:color="auto"/>
        <w:left w:val="single" w:sz="8" w:space="0" w:color="auto"/>
        <w:bottom w:val="single" w:sz="4" w:space="0" w:color="auto"/>
      </w:pBdr>
      <w:spacing w:before="100" w:beforeAutospacing="1" w:after="100" w:afterAutospacing="1"/>
      <w:jc w:val="center"/>
    </w:pPr>
    <w:rPr>
      <w:rFonts w:ascii="Arial Armenian" w:eastAsia="Arial Unicode MS" w:hAnsi="Arial Armenian" w:cs="Arial Unicode MS"/>
      <w:b/>
      <w:bCs/>
    </w:rPr>
  </w:style>
  <w:style w:type="paragraph" w:customStyle="1" w:styleId="xl112">
    <w:name w:val="xl112"/>
    <w:basedOn w:val="Normal"/>
    <w:rsid w:val="00080175"/>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113">
    <w:name w:val="xl113"/>
    <w:basedOn w:val="Normal"/>
    <w:rsid w:val="00080175"/>
    <w:pPr>
      <w:pBdr>
        <w:top w:val="single" w:sz="4" w:space="0" w:color="auto"/>
        <w:left w:val="single" w:sz="8" w:space="0" w:color="auto"/>
        <w:bottom w:val="single" w:sz="4" w:space="0" w:color="auto"/>
      </w:pBdr>
      <w:shd w:val="clear" w:color="auto" w:fill="FFFFFF"/>
      <w:spacing w:before="100" w:beforeAutospacing="1" w:after="100" w:afterAutospacing="1"/>
      <w:jc w:val="center"/>
    </w:pPr>
    <w:rPr>
      <w:rFonts w:ascii="Arial Armenian" w:eastAsia="Arial Unicode MS" w:hAnsi="Arial Armenian" w:cs="Arial Unicode MS"/>
      <w:b/>
      <w:bCs/>
    </w:rPr>
  </w:style>
  <w:style w:type="paragraph" w:customStyle="1" w:styleId="xl114">
    <w:name w:val="xl114"/>
    <w:basedOn w:val="Normal"/>
    <w:rsid w:val="00080175"/>
    <w:pPr>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115">
    <w:name w:val="xl115"/>
    <w:basedOn w:val="Normal"/>
    <w:rsid w:val="0008017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KLegalHeading3">
    <w:name w:val="KLegal Heading 3"/>
    <w:basedOn w:val="Normal"/>
    <w:next w:val="Heading2"/>
    <w:rsid w:val="00080175"/>
    <w:pPr>
      <w:keepNext/>
      <w:overflowPunct w:val="0"/>
      <w:autoSpaceDE w:val="0"/>
      <w:autoSpaceDN w:val="0"/>
      <w:adjustRightInd w:val="0"/>
      <w:spacing w:after="220"/>
      <w:ind w:left="1440" w:hanging="720"/>
      <w:textAlignment w:val="baseline"/>
    </w:pPr>
    <w:rPr>
      <w:b/>
      <w:szCs w:val="20"/>
      <w:lang w:val="en-GB"/>
    </w:rPr>
  </w:style>
  <w:style w:type="paragraph" w:customStyle="1" w:styleId="KLegalHeading4">
    <w:name w:val="KLegal Heading 4"/>
    <w:basedOn w:val="Normal"/>
    <w:next w:val="Heading2"/>
    <w:rsid w:val="00080175"/>
    <w:pPr>
      <w:keepNext/>
      <w:overflowPunct w:val="0"/>
      <w:autoSpaceDE w:val="0"/>
      <w:autoSpaceDN w:val="0"/>
      <w:adjustRightInd w:val="0"/>
      <w:spacing w:after="220"/>
      <w:ind w:left="2160" w:hanging="720"/>
      <w:textAlignment w:val="baseline"/>
    </w:pPr>
    <w:rPr>
      <w:b/>
      <w:i/>
      <w:szCs w:val="20"/>
      <w:lang w:val="en-GB"/>
    </w:rPr>
  </w:style>
  <w:style w:type="paragraph" w:customStyle="1" w:styleId="KLegalHeading1">
    <w:name w:val="KLegal Heading 1"/>
    <w:basedOn w:val="Normal"/>
    <w:next w:val="KLegalHeading2"/>
    <w:rsid w:val="00080175"/>
    <w:pPr>
      <w:keepNext/>
      <w:pageBreakBefore/>
      <w:overflowPunct w:val="0"/>
      <w:autoSpaceDE w:val="0"/>
      <w:autoSpaceDN w:val="0"/>
      <w:adjustRightInd w:val="0"/>
      <w:spacing w:after="440"/>
      <w:ind w:left="851" w:hanging="851"/>
      <w:textAlignment w:val="baseline"/>
      <w:outlineLvl w:val="0"/>
    </w:pPr>
    <w:rPr>
      <w:b/>
      <w:sz w:val="32"/>
      <w:szCs w:val="20"/>
      <w:lang w:val="en-GB"/>
    </w:rPr>
  </w:style>
  <w:style w:type="paragraph" w:customStyle="1" w:styleId="KLegalHeading2">
    <w:name w:val="KLegal Heading 2"/>
    <w:basedOn w:val="Normal"/>
    <w:next w:val="KLegalHeading3"/>
    <w:rsid w:val="00080175"/>
    <w:pPr>
      <w:keepNext/>
      <w:overflowPunct w:val="0"/>
      <w:autoSpaceDE w:val="0"/>
      <w:autoSpaceDN w:val="0"/>
      <w:adjustRightInd w:val="0"/>
      <w:spacing w:after="220"/>
      <w:ind w:left="851" w:hanging="851"/>
      <w:textAlignment w:val="baseline"/>
      <w:outlineLvl w:val="1"/>
    </w:pPr>
    <w:rPr>
      <w:b/>
      <w:sz w:val="28"/>
      <w:szCs w:val="20"/>
      <w:lang w:val="en-GB"/>
    </w:rPr>
  </w:style>
  <w:style w:type="character" w:customStyle="1" w:styleId="Normal1">
    <w:name w:val="Normal1"/>
    <w:rsid w:val="00080175"/>
    <w:rPr>
      <w:rFonts w:ascii="Arial" w:hAnsi="Arial"/>
      <w:sz w:val="24"/>
      <w:szCs w:val="24"/>
    </w:rPr>
  </w:style>
  <w:style w:type="paragraph" w:customStyle="1" w:styleId="BulletblBulletL1bl1">
    <w:name w:val="Bullet.bl.Bullet L1.bl1"/>
    <w:basedOn w:val="Normal"/>
    <w:rsid w:val="00080175"/>
    <w:pPr>
      <w:tabs>
        <w:tab w:val="left" w:pos="360"/>
      </w:tabs>
      <w:autoSpaceDE w:val="0"/>
      <w:autoSpaceDN w:val="0"/>
      <w:spacing w:after="130"/>
      <w:ind w:left="360" w:hanging="360"/>
    </w:pPr>
    <w:rPr>
      <w:rFonts w:ascii="Times Armenian" w:hAnsi="Times Armenian"/>
      <w:lang w:val="en-GB" w:eastAsia="ru-RU"/>
    </w:rPr>
  </w:style>
  <w:style w:type="paragraph" w:customStyle="1" w:styleId="Heading3Centeredtext">
    <w:name w:val="Heading 3.Centered.(text)"/>
    <w:basedOn w:val="Normal"/>
    <w:next w:val="Heading2"/>
    <w:rsid w:val="00080175"/>
    <w:pPr>
      <w:keepNext/>
      <w:autoSpaceDE w:val="0"/>
      <w:autoSpaceDN w:val="0"/>
      <w:spacing w:after="220"/>
      <w:outlineLvl w:val="2"/>
    </w:pPr>
    <w:rPr>
      <w:rFonts w:ascii="Times Armenian" w:hAnsi="Times Armenian"/>
      <w:b/>
      <w:bCs/>
      <w:lang w:val="en-GB" w:eastAsia="ru-RU"/>
    </w:rPr>
  </w:style>
  <w:style w:type="paragraph" w:customStyle="1" w:styleId="14">
    <w:name w:val="çàãîëîâîê 1"/>
    <w:basedOn w:val="Normal"/>
    <w:next w:val="Normal"/>
    <w:rsid w:val="00080175"/>
    <w:pPr>
      <w:keepNext/>
      <w:overflowPunct w:val="0"/>
      <w:autoSpaceDE w:val="0"/>
      <w:autoSpaceDN w:val="0"/>
      <w:adjustRightInd w:val="0"/>
      <w:jc w:val="center"/>
    </w:pPr>
    <w:rPr>
      <w:rFonts w:ascii="Arial Armenian" w:hAnsi="Arial Armenian"/>
      <w:szCs w:val="20"/>
    </w:rPr>
  </w:style>
  <w:style w:type="paragraph" w:customStyle="1" w:styleId="BalloonText2">
    <w:name w:val="Balloon Text2"/>
    <w:basedOn w:val="Normal"/>
    <w:semiHidden/>
    <w:rsid w:val="00080175"/>
    <w:pPr>
      <w:ind w:left="2157" w:hanging="180"/>
    </w:pPr>
    <w:rPr>
      <w:rFonts w:ascii="Tahoma" w:hAnsi="Tahoma" w:cs="Tahoma"/>
      <w:sz w:val="16"/>
      <w:szCs w:val="16"/>
    </w:rPr>
  </w:style>
  <w:style w:type="character" w:customStyle="1" w:styleId="Heading3CharCharCharCharCharCharChar">
    <w:name w:val="Heading 3 Char Char Char Char Char Char Char"/>
    <w:rsid w:val="00080175"/>
    <w:rPr>
      <w:rFonts w:ascii="Times Armenian" w:hAnsi="Times Armenian"/>
      <w:b/>
      <w:bCs/>
      <w:sz w:val="24"/>
      <w:szCs w:val="24"/>
      <w:lang w:val="en-GB" w:eastAsia="en-US" w:bidi="ar-SA"/>
    </w:rPr>
  </w:style>
  <w:style w:type="paragraph" w:customStyle="1" w:styleId="WW-BodyText3">
    <w:name w:val="WW-Body Text 3"/>
    <w:basedOn w:val="Normal"/>
    <w:rsid w:val="00080175"/>
    <w:pPr>
      <w:suppressAutoHyphens/>
    </w:pPr>
    <w:rPr>
      <w:rFonts w:ascii="Times Armenian" w:hAnsi="Times Armenian"/>
      <w:lang w:eastAsia="ar-SA"/>
    </w:rPr>
  </w:style>
  <w:style w:type="paragraph" w:customStyle="1" w:styleId="WW-BodyTextIndent2">
    <w:name w:val="WW-Body Text Indent 2"/>
    <w:basedOn w:val="Normal"/>
    <w:rsid w:val="00080175"/>
    <w:pPr>
      <w:suppressAutoHyphens/>
      <w:ind w:firstLine="720"/>
    </w:pPr>
    <w:rPr>
      <w:rFonts w:ascii="Times LatArm" w:hAnsi="Times LatArm"/>
      <w:i/>
      <w:iCs/>
      <w:lang w:eastAsia="ar-SA"/>
    </w:rPr>
  </w:style>
  <w:style w:type="paragraph" w:customStyle="1" w:styleId="BalloonText1">
    <w:name w:val="Balloon Text1"/>
    <w:basedOn w:val="Normal"/>
    <w:uiPriority w:val="99"/>
    <w:rsid w:val="00080175"/>
    <w:rPr>
      <w:rFonts w:ascii="Tahoma" w:hAnsi="Tahoma" w:cs="Tahoma"/>
      <w:sz w:val="16"/>
      <w:szCs w:val="16"/>
    </w:rPr>
  </w:style>
  <w:style w:type="paragraph" w:customStyle="1" w:styleId="BalloonText3">
    <w:name w:val="Balloon Text3"/>
    <w:basedOn w:val="Normal"/>
    <w:semiHidden/>
    <w:rsid w:val="00080175"/>
    <w:rPr>
      <w:rFonts w:ascii="Tahoma" w:hAnsi="Tahoma" w:cs="Tahoma"/>
      <w:sz w:val="16"/>
      <w:szCs w:val="16"/>
    </w:rPr>
  </w:style>
  <w:style w:type="paragraph" w:customStyle="1" w:styleId="xl116">
    <w:name w:val="xl116"/>
    <w:basedOn w:val="Normal"/>
    <w:rsid w:val="00080175"/>
    <w:pPr>
      <w:pBdr>
        <w:top w:val="single" w:sz="4" w:space="0" w:color="auto"/>
        <w:right w:val="single" w:sz="4" w:space="0" w:color="auto"/>
      </w:pBdr>
      <w:spacing w:before="100" w:beforeAutospacing="1" w:after="100" w:afterAutospacing="1"/>
      <w:jc w:val="right"/>
      <w:textAlignment w:val="center"/>
    </w:pPr>
    <w:rPr>
      <w:rFonts w:ascii="Times Armenian" w:eastAsia="Arial Unicode MS" w:hAnsi="Times Armenian" w:cs="Arial Unicode MS"/>
    </w:rPr>
  </w:style>
  <w:style w:type="paragraph" w:customStyle="1" w:styleId="xl117">
    <w:name w:val="xl117"/>
    <w:basedOn w:val="Normal"/>
    <w:rsid w:val="00080175"/>
    <w:pPr>
      <w:pBdr>
        <w:top w:val="single" w:sz="4" w:space="0" w:color="auto"/>
        <w:left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18">
    <w:name w:val="xl118"/>
    <w:basedOn w:val="Normal"/>
    <w:rsid w:val="00080175"/>
    <w:pPr>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119">
    <w:name w:val="xl119"/>
    <w:basedOn w:val="Normal"/>
    <w:rsid w:val="00080175"/>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20">
    <w:name w:val="xl120"/>
    <w:basedOn w:val="Normal"/>
    <w:rsid w:val="00080175"/>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rFonts w:ascii="Times Armenian" w:eastAsia="Arial Unicode MS" w:hAnsi="Times Armenian" w:cs="Arial Unicode MS"/>
      <w:b/>
      <w:bCs/>
    </w:rPr>
  </w:style>
  <w:style w:type="paragraph" w:customStyle="1" w:styleId="xl121">
    <w:name w:val="xl121"/>
    <w:basedOn w:val="Normal"/>
    <w:rsid w:val="00080175"/>
    <w:p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jc w:val="right"/>
    </w:pPr>
    <w:rPr>
      <w:rFonts w:ascii="Times Armenian" w:eastAsia="Arial Unicode MS" w:hAnsi="Times Armenian" w:cs="Arial Unicode MS"/>
      <w:b/>
      <w:bCs/>
    </w:rPr>
  </w:style>
  <w:style w:type="paragraph" w:customStyle="1" w:styleId="xl122">
    <w:name w:val="xl122"/>
    <w:basedOn w:val="Normal"/>
    <w:rsid w:val="0008017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3">
    <w:name w:val="xl123"/>
    <w:basedOn w:val="Normal"/>
    <w:rsid w:val="00080175"/>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4">
    <w:name w:val="xl124"/>
    <w:basedOn w:val="Normal"/>
    <w:rsid w:val="0008017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Times Armenian" w:eastAsia="Arial Unicode MS" w:hAnsi="Times Armenian" w:cs="Arial Unicode MS"/>
      <w:b/>
      <w:bCs/>
      <w:i/>
      <w:iCs/>
    </w:rPr>
  </w:style>
  <w:style w:type="paragraph" w:customStyle="1" w:styleId="xl125">
    <w:name w:val="xl125"/>
    <w:basedOn w:val="Normal"/>
    <w:rsid w:val="00080175"/>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rPr>
  </w:style>
  <w:style w:type="paragraph" w:customStyle="1" w:styleId="xl126">
    <w:name w:val="xl126"/>
    <w:basedOn w:val="Normal"/>
    <w:rsid w:val="00080175"/>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7">
    <w:name w:val="xl127"/>
    <w:basedOn w:val="Normal"/>
    <w:rsid w:val="00080175"/>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8">
    <w:name w:val="xl128"/>
    <w:basedOn w:val="Normal"/>
    <w:rsid w:val="00080175"/>
    <w:pPr>
      <w:pBdr>
        <w:bottom w:val="single" w:sz="4" w:space="0" w:color="auto"/>
        <w:right w:val="single" w:sz="4" w:space="0" w:color="auto"/>
      </w:pBdr>
      <w:spacing w:before="100" w:beforeAutospacing="1" w:after="100" w:afterAutospacing="1"/>
    </w:pPr>
    <w:rPr>
      <w:rFonts w:ascii="Times Armenian" w:eastAsia="Arial Unicode MS" w:hAnsi="Times Armenian" w:cs="Arial Unicode MS"/>
    </w:rPr>
  </w:style>
  <w:style w:type="paragraph" w:customStyle="1" w:styleId="xl129">
    <w:name w:val="xl129"/>
    <w:basedOn w:val="Normal"/>
    <w:rsid w:val="00080175"/>
    <w:pPr>
      <w:pBdr>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30">
    <w:name w:val="xl130"/>
    <w:basedOn w:val="Normal"/>
    <w:rsid w:val="00080175"/>
    <w:pPr>
      <w:pBdr>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i/>
      <w:iCs/>
    </w:rPr>
  </w:style>
  <w:style w:type="paragraph" w:customStyle="1" w:styleId="xl131">
    <w:name w:val="xl131"/>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2">
    <w:name w:val="xl132"/>
    <w:basedOn w:val="Normal"/>
    <w:rsid w:val="00080175"/>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3">
    <w:name w:val="xl133"/>
    <w:basedOn w:val="Normal"/>
    <w:rsid w:val="00080175"/>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4">
    <w:name w:val="xl134"/>
    <w:basedOn w:val="Normal"/>
    <w:rsid w:val="00080175"/>
    <w:pPr>
      <w:pBdr>
        <w:top w:val="single" w:sz="4" w:space="0" w:color="auto"/>
        <w:left w:val="single" w:sz="4" w:space="0" w:color="auto"/>
        <w:bottom w:val="single" w:sz="8" w:space="0" w:color="auto"/>
        <w:right w:val="single" w:sz="8"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5">
    <w:name w:val="xl135"/>
    <w:basedOn w:val="Normal"/>
    <w:rsid w:val="00080175"/>
    <w:pPr>
      <w:pBdr>
        <w:left w:val="single" w:sz="4" w:space="0" w:color="auto"/>
        <w:bottom w:val="single" w:sz="4" w:space="0" w:color="auto"/>
        <w:right w:val="single" w:sz="4" w:space="0" w:color="auto"/>
      </w:pBdr>
      <w:shd w:val="clear" w:color="auto" w:fill="FFFF99"/>
      <w:spacing w:before="100" w:beforeAutospacing="1" w:after="100" w:afterAutospacing="1"/>
      <w:jc w:val="right"/>
    </w:pPr>
    <w:rPr>
      <w:rFonts w:ascii="Times Armenian" w:eastAsia="Arial Unicode MS" w:hAnsi="Times Armenian" w:cs="Arial Unicode MS"/>
    </w:rPr>
  </w:style>
  <w:style w:type="paragraph" w:customStyle="1" w:styleId="xl136">
    <w:name w:val="xl136"/>
    <w:basedOn w:val="Normal"/>
    <w:rsid w:val="0008017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i/>
      <w:iCs/>
    </w:rPr>
  </w:style>
  <w:style w:type="paragraph" w:customStyle="1" w:styleId="xl137">
    <w:name w:val="xl137"/>
    <w:basedOn w:val="Normal"/>
    <w:rsid w:val="00080175"/>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Times Armenian" w:eastAsia="Arial Unicode MS" w:hAnsi="Times Armenian" w:cs="Arial Unicode MS"/>
      <w:b/>
      <w:bCs/>
    </w:rPr>
  </w:style>
  <w:style w:type="paragraph" w:customStyle="1" w:styleId="xl138">
    <w:name w:val="xl138"/>
    <w:basedOn w:val="Normal"/>
    <w:rsid w:val="00080175"/>
    <w:pPr>
      <w:pBdr>
        <w:top w:val="single" w:sz="8" w:space="0" w:color="auto"/>
        <w:left w:val="single" w:sz="4" w:space="0" w:color="auto"/>
        <w:bottom w:val="single" w:sz="4" w:space="0" w:color="auto"/>
        <w:right w:val="single" w:sz="8" w:space="0" w:color="auto"/>
      </w:pBdr>
      <w:shd w:val="clear" w:color="auto" w:fill="FFFF99"/>
      <w:spacing w:before="100" w:beforeAutospacing="1" w:after="100" w:afterAutospacing="1"/>
      <w:jc w:val="right"/>
    </w:pPr>
    <w:rPr>
      <w:rFonts w:ascii="Times Armenian" w:eastAsia="Arial Unicode MS" w:hAnsi="Times Armenian" w:cs="Arial Unicode MS"/>
      <w:b/>
      <w:bCs/>
    </w:rPr>
  </w:style>
  <w:style w:type="paragraph" w:customStyle="1" w:styleId="StyleHeading5SideItalic">
    <w:name w:val="Style Heading 5Side + Italic"/>
    <w:basedOn w:val="Heading5"/>
    <w:rsid w:val="00080175"/>
    <w:pPr>
      <w:widowControl w:val="0"/>
      <w:tabs>
        <w:tab w:val="left" w:pos="1021"/>
      </w:tabs>
      <w:spacing w:before="0" w:after="120"/>
    </w:pPr>
    <w:rPr>
      <w:rFonts w:ascii="Times Armenian" w:hAnsi="Times Armenian"/>
      <w:sz w:val="20"/>
      <w:szCs w:val="20"/>
      <w:u w:val="single"/>
      <w:lang w:val="en-GB"/>
    </w:rPr>
  </w:style>
  <w:style w:type="paragraph" w:customStyle="1" w:styleId="CaptionTableTitle">
    <w:name w:val="Caption.(Table Title)"/>
    <w:basedOn w:val="Normal"/>
    <w:next w:val="Normal"/>
    <w:rsid w:val="00080175"/>
    <w:pPr>
      <w:keepNext/>
      <w:keepLines/>
      <w:spacing w:before="130" w:after="130"/>
    </w:pPr>
    <w:rPr>
      <w:b/>
      <w:szCs w:val="20"/>
      <w:lang w:val="en-GB"/>
    </w:rPr>
  </w:style>
  <w:style w:type="paragraph" w:styleId="NoSpacing">
    <w:name w:val="No Spacing"/>
    <w:basedOn w:val="Normal"/>
    <w:link w:val="NoSpacingChar"/>
    <w:qFormat/>
    <w:rsid w:val="00080175"/>
    <w:pPr>
      <w:spacing w:after="0" w:line="240" w:lineRule="auto"/>
    </w:pPr>
  </w:style>
  <w:style w:type="character" w:customStyle="1" w:styleId="NoSpacingChar">
    <w:name w:val="No Spacing Char"/>
    <w:basedOn w:val="DefaultParagraphFont"/>
    <w:link w:val="NoSpacing"/>
    <w:rsid w:val="00080175"/>
    <w:rPr>
      <w:rFonts w:ascii="GHEA Grapalat" w:eastAsiaTheme="minorEastAsia" w:hAnsi="GHEA Grapalat"/>
    </w:rPr>
  </w:style>
  <w:style w:type="paragraph" w:customStyle="1" w:styleId="StyleHeading2ChapterParanumText10pt">
    <w:name w:val="Style Heading 2(Chapter)ParanumText + 10 pt"/>
    <w:basedOn w:val="Heading2"/>
    <w:rsid w:val="00080175"/>
  </w:style>
  <w:style w:type="paragraph" w:customStyle="1" w:styleId="CharChar">
    <w:name w:val="Char Char"/>
    <w:basedOn w:val="Normal"/>
    <w:rsid w:val="00080175"/>
    <w:pPr>
      <w:spacing w:line="240" w:lineRule="exact"/>
    </w:pPr>
    <w:rPr>
      <w:rFonts w:ascii="Arial" w:hAnsi="Arial" w:cs="Arial"/>
      <w:sz w:val="20"/>
      <w:szCs w:val="20"/>
    </w:rPr>
  </w:style>
  <w:style w:type="paragraph" w:customStyle="1" w:styleId="CharCharChar">
    <w:name w:val="Char Char Char"/>
    <w:basedOn w:val="Normal"/>
    <w:rsid w:val="00080175"/>
    <w:pPr>
      <w:spacing w:line="240" w:lineRule="exact"/>
    </w:pPr>
    <w:rPr>
      <w:rFonts w:ascii="Arial" w:hAnsi="Arial" w:cs="Arial"/>
      <w:sz w:val="20"/>
      <w:szCs w:val="20"/>
    </w:rPr>
  </w:style>
  <w:style w:type="paragraph" w:customStyle="1" w:styleId="BodyText1">
    <w:name w:val="Body Text1"/>
    <w:basedOn w:val="Normal"/>
    <w:rsid w:val="00080175"/>
    <w:pPr>
      <w:numPr>
        <w:numId w:val="4"/>
      </w:numPr>
      <w:spacing w:after="240"/>
    </w:pPr>
    <w:rPr>
      <w:rFonts w:ascii="Times Armenian" w:hAnsi="Times Armenian"/>
      <w:lang w:eastAsia="ru-RU"/>
    </w:rPr>
  </w:style>
  <w:style w:type="paragraph" w:customStyle="1" w:styleId="Char0">
    <w:name w:val="Char"/>
    <w:basedOn w:val="Normal"/>
    <w:next w:val="Normal"/>
    <w:rsid w:val="00080175"/>
    <w:pPr>
      <w:spacing w:line="240" w:lineRule="exact"/>
    </w:pPr>
    <w:rPr>
      <w:rFonts w:ascii="Tahoma" w:hAnsi="Tahoma"/>
      <w:szCs w:val="20"/>
    </w:rPr>
  </w:style>
  <w:style w:type="paragraph" w:customStyle="1" w:styleId="Titletable">
    <w:name w:val="Title_table"/>
    <w:basedOn w:val="Caption"/>
    <w:rsid w:val="00080175"/>
    <w:rPr>
      <w:bCs/>
      <w:lang w:eastAsia="ru-RU"/>
    </w:rPr>
  </w:style>
  <w:style w:type="paragraph" w:customStyle="1" w:styleId="ConsNonformat">
    <w:name w:val="ConsNonformat"/>
    <w:rsid w:val="00080175"/>
    <w:pPr>
      <w:widowControl w:val="0"/>
      <w:autoSpaceDE w:val="0"/>
      <w:autoSpaceDN w:val="0"/>
      <w:adjustRightInd w:val="0"/>
    </w:pPr>
    <w:rPr>
      <w:rFonts w:ascii="Courier New" w:eastAsiaTheme="minorEastAsia" w:hAnsi="Courier New"/>
      <w:lang w:val="ru-RU"/>
    </w:rPr>
  </w:style>
  <w:style w:type="paragraph" w:customStyle="1" w:styleId="Znak">
    <w:name w:val="Znak"/>
    <w:basedOn w:val="Normal"/>
    <w:rsid w:val="00080175"/>
    <w:pPr>
      <w:tabs>
        <w:tab w:val="left" w:pos="709"/>
      </w:tabs>
    </w:pPr>
    <w:rPr>
      <w:rFonts w:ascii="Tahoma" w:hAnsi="Tahoma"/>
      <w:lang w:val="pl-PL" w:eastAsia="pl-PL"/>
    </w:rPr>
  </w:style>
  <w:style w:type="paragraph" w:customStyle="1" w:styleId="Char7">
    <w:name w:val="Char7"/>
    <w:basedOn w:val="Normal"/>
    <w:rsid w:val="00080175"/>
    <w:pPr>
      <w:spacing w:line="240" w:lineRule="exact"/>
    </w:pPr>
    <w:rPr>
      <w:rFonts w:ascii="Arial" w:hAnsi="Arial" w:cs="Arial"/>
      <w:sz w:val="20"/>
      <w:szCs w:val="20"/>
    </w:rPr>
  </w:style>
  <w:style w:type="paragraph" w:customStyle="1" w:styleId="a9">
    <w:name w:val="Знак Знак"/>
    <w:basedOn w:val="Normal"/>
    <w:link w:val="Char1"/>
    <w:rsid w:val="00080175"/>
    <w:pPr>
      <w:spacing w:line="240" w:lineRule="exact"/>
    </w:pPr>
    <w:rPr>
      <w:rFonts w:ascii="Arial" w:hAnsi="Arial" w:cs="Arial"/>
      <w:sz w:val="20"/>
      <w:szCs w:val="20"/>
      <w:lang w:val="en-GB"/>
    </w:rPr>
  </w:style>
  <w:style w:type="character" w:customStyle="1" w:styleId="Char1">
    <w:name w:val="Знак Знак Char"/>
    <w:link w:val="a9"/>
    <w:locked/>
    <w:rsid w:val="00080175"/>
    <w:rPr>
      <w:rFonts w:ascii="Arial" w:eastAsiaTheme="minorEastAsia" w:hAnsi="Arial" w:cs="Arial"/>
      <w:sz w:val="20"/>
      <w:szCs w:val="20"/>
      <w:lang w:val="en-GB"/>
    </w:rPr>
  </w:style>
  <w:style w:type="paragraph" w:customStyle="1" w:styleId="CharCharCharCharCharCharCharCharCharCharCharChar">
    <w:name w:val="Char Char Char Char Char Char Char Char Char Char Char Char"/>
    <w:basedOn w:val="Normal"/>
    <w:rsid w:val="00080175"/>
    <w:pPr>
      <w:spacing w:line="240" w:lineRule="exact"/>
    </w:pPr>
    <w:rPr>
      <w:rFonts w:ascii="Arial" w:hAnsi="Arial" w:cs="Arial"/>
      <w:sz w:val="20"/>
      <w:szCs w:val="20"/>
    </w:rPr>
  </w:style>
  <w:style w:type="character" w:customStyle="1" w:styleId="ParanumCharChar">
    <w:name w:val="Paranum Char Char"/>
    <w:rsid w:val="00080175"/>
    <w:rPr>
      <w:rFonts w:ascii="Arial" w:hAnsi="Arial" w:cs="Arial"/>
      <w:b/>
      <w:bCs/>
      <w:i/>
      <w:iCs/>
      <w:sz w:val="28"/>
      <w:szCs w:val="28"/>
      <w:lang w:val="en-US" w:eastAsia="en-US" w:bidi="ar-SA"/>
    </w:rPr>
  </w:style>
  <w:style w:type="character" w:customStyle="1" w:styleId="textinfo1">
    <w:name w:val="textinfo1"/>
    <w:rsid w:val="00080175"/>
    <w:rPr>
      <w:rFonts w:ascii="Arial AM" w:hAnsi="Arial AM" w:hint="default"/>
      <w:color w:val="000000"/>
      <w:sz w:val="18"/>
      <w:szCs w:val="18"/>
    </w:rPr>
  </w:style>
  <w:style w:type="paragraph" w:customStyle="1" w:styleId="CharCharCharCharCharCharCharChar">
    <w:name w:val="Char Char Char Char Char Char Char Char"/>
    <w:basedOn w:val="Normal"/>
    <w:rsid w:val="00080175"/>
    <w:pPr>
      <w:spacing w:line="240" w:lineRule="exact"/>
    </w:pPr>
    <w:rPr>
      <w:rFonts w:ascii="Arial" w:hAnsi="Arial" w:cs="Arial"/>
      <w:sz w:val="20"/>
      <w:szCs w:val="20"/>
    </w:rPr>
  </w:style>
  <w:style w:type="paragraph" w:customStyle="1" w:styleId="CharCharCharCharCharCharCharCharCharCharCharCharCharCharChar">
    <w:name w:val="Char Char Char Char Знак Char Знак Char Char Char Char Char Char Char Char Char Char"/>
    <w:basedOn w:val="Normal"/>
    <w:qFormat/>
    <w:rsid w:val="00080175"/>
    <w:pPr>
      <w:tabs>
        <w:tab w:val="left" w:pos="709"/>
      </w:tabs>
    </w:pPr>
    <w:rPr>
      <w:rFonts w:ascii="Tahoma" w:hAnsi="Tahoma"/>
      <w:lang w:val="pl-PL" w:eastAsia="pl-PL"/>
    </w:rPr>
  </w:style>
  <w:style w:type="paragraph" w:customStyle="1" w:styleId="Report-Title">
    <w:name w:val="Report-Title"/>
    <w:rsid w:val="00080175"/>
    <w:pPr>
      <w:spacing w:after="240"/>
    </w:pPr>
    <w:rPr>
      <w:rFonts w:ascii="Arial" w:eastAsia="MS Mincho" w:hAnsi="Arial" w:cs="Arial"/>
      <w:b/>
      <w:bCs/>
      <w:sz w:val="36"/>
      <w:szCs w:val="36"/>
    </w:rPr>
  </w:style>
  <w:style w:type="paragraph" w:customStyle="1" w:styleId="msonormalcxspmiddle">
    <w:name w:val="msonormalcxspmiddle"/>
    <w:basedOn w:val="Normal"/>
    <w:rsid w:val="00080175"/>
    <w:pPr>
      <w:spacing w:before="100" w:beforeAutospacing="1" w:after="100" w:afterAutospacing="1"/>
    </w:pPr>
  </w:style>
  <w:style w:type="paragraph" w:customStyle="1" w:styleId="BodyText21">
    <w:name w:val="Body Text 21"/>
    <w:basedOn w:val="Normal"/>
    <w:rsid w:val="00080175"/>
    <w:pPr>
      <w:overflowPunct w:val="0"/>
      <w:autoSpaceDE w:val="0"/>
      <w:autoSpaceDN w:val="0"/>
      <w:adjustRightInd w:val="0"/>
      <w:spacing w:line="360" w:lineRule="auto"/>
      <w:ind w:firstLine="720"/>
      <w:textAlignment w:val="baseline"/>
    </w:pPr>
    <w:rPr>
      <w:rFonts w:ascii="Times Armenian" w:hAnsi="Times Armenian"/>
    </w:rPr>
  </w:style>
  <w:style w:type="paragraph" w:customStyle="1" w:styleId="a3">
    <w:name w:val="Стиль"/>
    <w:rsid w:val="00080175"/>
    <w:pPr>
      <w:numPr>
        <w:numId w:val="5"/>
      </w:numPr>
      <w:tabs>
        <w:tab w:val="clear" w:pos="360"/>
      </w:tabs>
    </w:pPr>
    <w:rPr>
      <w:rFonts w:ascii="Baltica" w:eastAsiaTheme="minorEastAsia" w:hAnsi="Baltica"/>
      <w:lang w:eastAsia="ru-RU"/>
    </w:rPr>
  </w:style>
  <w:style w:type="paragraph" w:customStyle="1" w:styleId="ConsNormal">
    <w:name w:val="ConsNormal"/>
    <w:rsid w:val="00080175"/>
    <w:pPr>
      <w:widowControl w:val="0"/>
      <w:autoSpaceDE w:val="0"/>
      <w:autoSpaceDN w:val="0"/>
      <w:adjustRightInd w:val="0"/>
      <w:ind w:firstLine="720"/>
    </w:pPr>
    <w:rPr>
      <w:rFonts w:ascii="Arial" w:eastAsiaTheme="minorEastAsia" w:hAnsi="Arial"/>
      <w:lang w:val="ru-RU"/>
    </w:rPr>
  </w:style>
  <w:style w:type="paragraph" w:customStyle="1" w:styleId="ListDash">
    <w:name w:val="List Dash"/>
    <w:basedOn w:val="Normal"/>
    <w:rsid w:val="00080175"/>
    <w:pPr>
      <w:numPr>
        <w:numId w:val="6"/>
      </w:numPr>
      <w:spacing w:before="120" w:after="120"/>
    </w:pPr>
    <w:rPr>
      <w:szCs w:val="20"/>
      <w:lang w:val="en-GB"/>
    </w:rPr>
  </w:style>
  <w:style w:type="paragraph" w:customStyle="1" w:styleId="CharCharCharCharCharCharChar">
    <w:name w:val="Char Char Char Char Char Char Char"/>
    <w:basedOn w:val="Normal"/>
    <w:rsid w:val="00080175"/>
    <w:pPr>
      <w:spacing w:line="240" w:lineRule="exact"/>
    </w:pPr>
    <w:rPr>
      <w:rFonts w:ascii="Arial" w:hAnsi="Arial" w:cs="Arial"/>
      <w:sz w:val="20"/>
      <w:szCs w:val="20"/>
    </w:rPr>
  </w:style>
  <w:style w:type="paragraph" w:customStyle="1" w:styleId="Default">
    <w:name w:val="Default"/>
    <w:link w:val="DefaultChar"/>
    <w:rsid w:val="00080175"/>
    <w:pPr>
      <w:widowControl w:val="0"/>
      <w:autoSpaceDE w:val="0"/>
      <w:autoSpaceDN w:val="0"/>
      <w:adjustRightInd w:val="0"/>
    </w:pPr>
    <w:rPr>
      <w:rFonts w:ascii="Times Armenian" w:eastAsiaTheme="minorEastAsia" w:hAnsi="Times Armenian" w:cs="Times Armenian"/>
      <w:color w:val="000000"/>
      <w:sz w:val="24"/>
      <w:szCs w:val="24"/>
      <w:lang w:val="ru-RU" w:eastAsia="ru-RU"/>
    </w:rPr>
  </w:style>
  <w:style w:type="paragraph" w:customStyle="1" w:styleId="2ndheading">
    <w:name w:val="2nd heading"/>
    <w:basedOn w:val="Normal"/>
    <w:next w:val="Normal"/>
    <w:rsid w:val="00080175"/>
    <w:pPr>
      <w:numPr>
        <w:numId w:val="7"/>
      </w:numPr>
      <w:ind w:left="0" w:firstLine="0"/>
    </w:pPr>
    <w:rPr>
      <w:rFonts w:ascii="Univers" w:hAnsi="Univers"/>
      <w:bCs/>
      <w:sz w:val="28"/>
      <w:szCs w:val="20"/>
      <w:lang w:val="en-GB"/>
    </w:rPr>
  </w:style>
  <w:style w:type="character" w:customStyle="1" w:styleId="BodyTextFirstIndentChar2">
    <w:name w:val="Body Text First Indent Char2"/>
    <w:link w:val="BodyTextFirstIndent"/>
    <w:uiPriority w:val="99"/>
    <w:rsid w:val="00080175"/>
    <w:rPr>
      <w:rFonts w:ascii="GHEA Grapalat" w:eastAsiaTheme="minorEastAsia" w:hAnsi="GHEA Grapalat"/>
      <w:lang w:val="ru-RU" w:eastAsia="ru-RU"/>
    </w:rPr>
  </w:style>
  <w:style w:type="character" w:customStyle="1" w:styleId="CommentSubjectChar2">
    <w:name w:val="Comment Subject Char2"/>
    <w:link w:val="CommentSubject"/>
    <w:rsid w:val="00080175"/>
    <w:rPr>
      <w:rFonts w:ascii="Courier New" w:eastAsiaTheme="minorEastAsia" w:hAnsi="Courier New"/>
      <w:b/>
      <w:bCs/>
      <w:sz w:val="20"/>
      <w:szCs w:val="20"/>
    </w:rPr>
  </w:style>
  <w:style w:type="paragraph" w:customStyle="1" w:styleId="CharCharCharChar">
    <w:name w:val="Char Char Char Char"/>
    <w:basedOn w:val="Normal"/>
    <w:rsid w:val="00080175"/>
    <w:pPr>
      <w:tabs>
        <w:tab w:val="left" w:pos="840"/>
      </w:tabs>
      <w:spacing w:line="240" w:lineRule="exact"/>
      <w:ind w:left="840" w:hanging="360"/>
    </w:pPr>
    <w:rPr>
      <w:rFonts w:ascii="Verdana" w:hAnsi="Verdana"/>
      <w:sz w:val="20"/>
      <w:szCs w:val="20"/>
      <w:lang w:val="ru-RU"/>
    </w:rPr>
  </w:style>
  <w:style w:type="paragraph" w:customStyle="1" w:styleId="6">
    <w:name w:val="Знак Знак6"/>
    <w:basedOn w:val="Normal"/>
    <w:link w:val="Char3"/>
    <w:rsid w:val="00080175"/>
    <w:pPr>
      <w:spacing w:line="240" w:lineRule="exact"/>
    </w:pPr>
    <w:rPr>
      <w:rFonts w:ascii="Arial" w:hAnsi="Arial" w:cs="Arial"/>
      <w:sz w:val="20"/>
      <w:szCs w:val="20"/>
      <w:lang w:val="en-GB"/>
    </w:rPr>
  </w:style>
  <w:style w:type="character" w:customStyle="1" w:styleId="Char3">
    <w:name w:val="Знак Знак Char3"/>
    <w:link w:val="6"/>
    <w:rsid w:val="00080175"/>
    <w:rPr>
      <w:rFonts w:ascii="Arial" w:eastAsiaTheme="minorEastAsia" w:hAnsi="Arial" w:cs="Arial"/>
      <w:sz w:val="20"/>
      <w:szCs w:val="20"/>
      <w:lang w:val="en-GB"/>
    </w:rPr>
  </w:style>
  <w:style w:type="paragraph" w:customStyle="1" w:styleId="aa">
    <w:name w:val="Заголовок таблицы"/>
    <w:basedOn w:val="ab"/>
    <w:rsid w:val="00080175"/>
    <w:pPr>
      <w:jc w:val="center"/>
    </w:pPr>
    <w:rPr>
      <w:b/>
    </w:rPr>
  </w:style>
  <w:style w:type="paragraph" w:customStyle="1" w:styleId="ab">
    <w:name w:val="Содержимое таблицы"/>
    <w:basedOn w:val="Normal"/>
    <w:rsid w:val="00080175"/>
    <w:pPr>
      <w:suppressLineNumbers/>
      <w:suppressAutoHyphens/>
    </w:pPr>
    <w:rPr>
      <w:szCs w:val="20"/>
    </w:rPr>
  </w:style>
  <w:style w:type="paragraph" w:customStyle="1" w:styleId="norm">
    <w:name w:val="norm"/>
    <w:basedOn w:val="Normal"/>
    <w:link w:val="normChar"/>
    <w:rsid w:val="00080175"/>
    <w:pPr>
      <w:spacing w:line="480" w:lineRule="auto"/>
      <w:ind w:firstLine="709"/>
    </w:pPr>
    <w:rPr>
      <w:rFonts w:ascii="Arial Armenian" w:hAnsi="Arial Armenian"/>
      <w:szCs w:val="20"/>
      <w:lang w:eastAsia="ru-RU"/>
    </w:rPr>
  </w:style>
  <w:style w:type="character" w:customStyle="1" w:styleId="normChar">
    <w:name w:val="norm Char"/>
    <w:link w:val="norm"/>
    <w:rsid w:val="00080175"/>
    <w:rPr>
      <w:rFonts w:ascii="Arial Armenian" w:eastAsiaTheme="minorEastAsia" w:hAnsi="Arial Armenian"/>
      <w:szCs w:val="20"/>
      <w:lang w:eastAsia="ru-RU"/>
    </w:rPr>
  </w:style>
  <w:style w:type="paragraph" w:customStyle="1" w:styleId="ac">
    <w:name w:val="??????? ??????????"/>
    <w:basedOn w:val="a5"/>
    <w:rsid w:val="00080175"/>
    <w:pPr>
      <w:tabs>
        <w:tab w:val="center" w:pos="4320"/>
        <w:tab w:val="right" w:pos="8640"/>
      </w:tabs>
    </w:pPr>
    <w:rPr>
      <w:rFonts w:ascii="Times Armenian" w:hAnsi="Times Armenian"/>
      <w:sz w:val="24"/>
      <w:lang w:val="en-US"/>
    </w:rPr>
  </w:style>
  <w:style w:type="paragraph" w:customStyle="1" w:styleId="BodyText22">
    <w:name w:val="Body Text 22"/>
    <w:basedOn w:val="Normal"/>
    <w:rsid w:val="00080175"/>
    <w:pPr>
      <w:overflowPunct w:val="0"/>
      <w:autoSpaceDE w:val="0"/>
      <w:autoSpaceDN w:val="0"/>
      <w:adjustRightInd w:val="0"/>
      <w:textAlignment w:val="baseline"/>
    </w:pPr>
    <w:rPr>
      <w:rFonts w:ascii="Times LatArm" w:hAnsi="Times LatArm"/>
      <w:szCs w:val="20"/>
      <w:lang w:val="en-GB" w:eastAsia="ru-RU"/>
    </w:rPr>
  </w:style>
  <w:style w:type="paragraph" w:customStyle="1" w:styleId="CharCharChar0">
    <w:name w:val="Char Char Char Знак Знак"/>
    <w:basedOn w:val="Normal"/>
    <w:rsid w:val="00080175"/>
    <w:pPr>
      <w:spacing w:line="240" w:lineRule="exact"/>
    </w:pPr>
    <w:rPr>
      <w:rFonts w:ascii="Arial" w:hAnsi="Arial" w:cs="Arial"/>
      <w:sz w:val="20"/>
      <w:szCs w:val="20"/>
    </w:rPr>
  </w:style>
  <w:style w:type="paragraph" w:customStyle="1" w:styleId="CharChar39">
    <w:name w:val="Char Char39"/>
    <w:basedOn w:val="Normal"/>
    <w:rsid w:val="00080175"/>
    <w:pPr>
      <w:spacing w:line="240" w:lineRule="exact"/>
    </w:pPr>
    <w:rPr>
      <w:rFonts w:ascii="Arial" w:hAnsi="Arial" w:cs="Arial"/>
      <w:sz w:val="20"/>
      <w:szCs w:val="20"/>
    </w:rPr>
  </w:style>
  <w:style w:type="paragraph" w:customStyle="1" w:styleId="CharCharChar3">
    <w:name w:val="Char Char Char3"/>
    <w:basedOn w:val="Normal"/>
    <w:rsid w:val="00080175"/>
    <w:pPr>
      <w:spacing w:line="240" w:lineRule="exact"/>
    </w:pPr>
    <w:rPr>
      <w:rFonts w:ascii="Arial" w:hAnsi="Arial" w:cs="Arial"/>
      <w:sz w:val="20"/>
      <w:szCs w:val="20"/>
    </w:rPr>
  </w:style>
  <w:style w:type="paragraph" w:customStyle="1" w:styleId="Znak3">
    <w:name w:val="Znak3"/>
    <w:basedOn w:val="Normal"/>
    <w:rsid w:val="00080175"/>
    <w:pPr>
      <w:tabs>
        <w:tab w:val="left" w:pos="709"/>
      </w:tabs>
    </w:pPr>
    <w:rPr>
      <w:rFonts w:ascii="Tahoma" w:hAnsi="Tahoma"/>
      <w:lang w:val="pl-PL" w:eastAsia="pl-PL"/>
    </w:rPr>
  </w:style>
  <w:style w:type="paragraph" w:customStyle="1" w:styleId="CM31">
    <w:name w:val="CM31"/>
    <w:basedOn w:val="Default"/>
    <w:next w:val="Default"/>
    <w:rsid w:val="00080175"/>
    <w:pPr>
      <w:numPr>
        <w:numId w:val="8"/>
      </w:numPr>
      <w:spacing w:after="228"/>
      <w:ind w:left="0" w:firstLine="0"/>
    </w:pPr>
    <w:rPr>
      <w:rFonts w:ascii="Arial-Armenian" w:hAnsi="Arial-Armenian" w:cs="Arial-Armenian"/>
      <w:color w:val="auto"/>
    </w:rPr>
  </w:style>
  <w:style w:type="paragraph" w:customStyle="1" w:styleId="StyleCaptionTimesArmenian11pt">
    <w:name w:val="Style Caption + Times Armenian 11 pt"/>
    <w:basedOn w:val="Caption"/>
    <w:link w:val="StyleCaptionTimesArmenian11ptChar"/>
    <w:rsid w:val="00080175"/>
    <w:pPr>
      <w:overflowPunct w:val="0"/>
      <w:autoSpaceDE w:val="0"/>
      <w:autoSpaceDN w:val="0"/>
      <w:adjustRightInd w:val="0"/>
      <w:spacing w:after="120"/>
      <w:textAlignment w:val="baseline"/>
    </w:pPr>
    <w:rPr>
      <w:rFonts w:ascii="Arial Armenian" w:hAnsi="Arial Armenian"/>
      <w:bCs/>
      <w:sz w:val="26"/>
      <w:szCs w:val="26"/>
    </w:rPr>
  </w:style>
  <w:style w:type="character" w:customStyle="1" w:styleId="StyleCaptionTimesArmenian11ptChar">
    <w:name w:val="Style Caption + Times Armenian 11 pt Char"/>
    <w:link w:val="StyleCaptionTimesArmenian11pt"/>
    <w:rsid w:val="00080175"/>
    <w:rPr>
      <w:rFonts w:ascii="Arial Armenian" w:eastAsiaTheme="minorEastAsia" w:hAnsi="Arial Armenian"/>
      <w:bCs/>
      <w:caps/>
      <w:spacing w:val="10"/>
      <w:sz w:val="26"/>
      <w:szCs w:val="26"/>
    </w:rPr>
  </w:style>
  <w:style w:type="paragraph" w:customStyle="1" w:styleId="StyleHeading120ptBlue">
    <w:name w:val="Style Heading 1 + 20 pt Blue"/>
    <w:basedOn w:val="Heading1"/>
    <w:rsid w:val="00080175"/>
    <w:pPr>
      <w:spacing w:line="360" w:lineRule="auto"/>
      <w:ind w:firstLine="720"/>
      <w:jc w:val="both"/>
    </w:pPr>
    <w:rPr>
      <w:sz w:val="40"/>
      <w:szCs w:val="40"/>
      <w:lang w:val="en-GB"/>
    </w:rPr>
  </w:style>
  <w:style w:type="paragraph" w:customStyle="1" w:styleId="StyleHeading1TimesArmenian10ptNotBoldUnderline1">
    <w:name w:val="Style Heading 1 + Times Armenian 10 pt Not Bold Underline1"/>
    <w:basedOn w:val="Heading1"/>
    <w:rsid w:val="00080175"/>
    <w:pPr>
      <w:tabs>
        <w:tab w:val="center" w:pos="-180"/>
        <w:tab w:val="left" w:pos="450"/>
      </w:tabs>
      <w:spacing w:line="360" w:lineRule="auto"/>
      <w:jc w:val="both"/>
    </w:pPr>
    <w:rPr>
      <w:rFonts w:cs="Sylfaen"/>
      <w:b w:val="0"/>
      <w:bCs w:val="0"/>
      <w:szCs w:val="24"/>
    </w:rPr>
  </w:style>
  <w:style w:type="paragraph" w:customStyle="1" w:styleId="CharCharCharCharCharCharCharCharCharChar">
    <w:name w:val="Char Char Char Char Char Char Char Char Char Char"/>
    <w:basedOn w:val="Normal"/>
    <w:rsid w:val="00080175"/>
    <w:pPr>
      <w:spacing w:line="240" w:lineRule="exact"/>
    </w:pPr>
    <w:rPr>
      <w:rFonts w:ascii="Arial" w:hAnsi="Arial" w:cs="Arial"/>
      <w:sz w:val="20"/>
      <w:szCs w:val="20"/>
    </w:rPr>
  </w:style>
  <w:style w:type="paragraph" w:customStyle="1" w:styleId="Titlechart">
    <w:name w:val="Title_chart"/>
    <w:basedOn w:val="Caption"/>
    <w:rsid w:val="00080175"/>
    <w:rPr>
      <w:bCs/>
      <w:lang w:eastAsia="ru-RU"/>
    </w:rPr>
  </w:style>
  <w:style w:type="paragraph" w:customStyle="1" w:styleId="CharCharCharCharCharCharCharCharCharCharCharCharChar">
    <w:name w:val="Char Char Char Char Char Char Char Char Char Char Char Char Char"/>
    <w:basedOn w:val="Normal"/>
    <w:rsid w:val="00080175"/>
    <w:pPr>
      <w:spacing w:line="240" w:lineRule="exact"/>
    </w:pPr>
    <w:rPr>
      <w:rFonts w:ascii="Arial" w:hAnsi="Arial" w:cs="Arial"/>
      <w:sz w:val="20"/>
      <w:szCs w:val="20"/>
    </w:rPr>
  </w:style>
  <w:style w:type="paragraph" w:customStyle="1" w:styleId="StyleHeading1SectionSectionHeadingText11Chapterhead3">
    <w:name w:val="Style Heading 1(Section)Section Heading(Text)1 1Chapterhead3..."/>
    <w:basedOn w:val="Heading1"/>
    <w:link w:val="StyleHeading1SectionSectionHeadingText11Chapterhead3Char"/>
    <w:rsid w:val="00080175"/>
    <w:pPr>
      <w:spacing w:before="0" w:after="0" w:line="360" w:lineRule="auto"/>
    </w:pPr>
    <w:rPr>
      <w:b w:val="0"/>
      <w:color w:val="auto"/>
      <w:sz w:val="22"/>
      <w:szCs w:val="22"/>
      <w:lang w:val="es-ES"/>
    </w:rPr>
  </w:style>
  <w:style w:type="character" w:customStyle="1" w:styleId="StyleHeading1SectionSectionHeadingText11Chapterhead3Char">
    <w:name w:val="Style Heading 1(Section)Section Heading(Text)1 1Chapterhead3... Char"/>
    <w:link w:val="StyleHeading1SectionSectionHeadingText11Chapterhead3"/>
    <w:rsid w:val="00080175"/>
    <w:rPr>
      <w:rFonts w:ascii="GHEA Grapalat" w:eastAsiaTheme="majorEastAsia" w:hAnsi="GHEA Grapalat" w:cstheme="majorBidi"/>
      <w:bCs/>
      <w:lang w:val="es-ES"/>
    </w:rPr>
  </w:style>
  <w:style w:type="paragraph" w:customStyle="1" w:styleId="StyleHeading2ChapterParanumTextSylfaen">
    <w:name w:val="Style Heading 2.(Chapter).Paranum.Text + Sylfaen"/>
    <w:basedOn w:val="Heading2ChapterParanumText"/>
    <w:link w:val="StyleHeading2ChapterParanumTextSylfaenChar"/>
    <w:rsid w:val="00080175"/>
    <w:pPr>
      <w:spacing w:before="120" w:after="120"/>
      <w:ind w:left="576" w:hanging="576"/>
    </w:pPr>
    <w:rPr>
      <w:rFonts w:ascii="Sylfaen" w:hAnsi="Sylfaen"/>
      <w:bCs/>
    </w:rPr>
  </w:style>
  <w:style w:type="character" w:customStyle="1" w:styleId="StyleHeading2ChapterParanumTextSylfaenChar">
    <w:name w:val="Style Heading 2.(Chapter).Paranum.Text + Sylfaen Char"/>
    <w:link w:val="StyleHeading2ChapterParanumTextSylfaen"/>
    <w:rsid w:val="00080175"/>
    <w:rPr>
      <w:rFonts w:ascii="Sylfaen" w:eastAsiaTheme="minorEastAsia" w:hAnsi="Sylfaen"/>
      <w:b/>
      <w:bCs/>
      <w:spacing w:val="24"/>
      <w:kern w:val="28"/>
      <w:lang w:val="it-IT"/>
    </w:rPr>
  </w:style>
  <w:style w:type="paragraph" w:customStyle="1" w:styleId="StyleHeading3Sub-ChapterCenteredtextHeading3CharCharC">
    <w:name w:val="Style Heading 3(Sub-Chapter)Centered(text)Heading 3 Char Char C..."/>
    <w:basedOn w:val="Heading3"/>
    <w:rsid w:val="00080175"/>
    <w:pPr>
      <w:ind w:right="302"/>
    </w:pPr>
    <w:rPr>
      <w:bCs/>
      <w:lang w:val="af-ZA"/>
    </w:rPr>
  </w:style>
  <w:style w:type="paragraph" w:customStyle="1" w:styleId="StyleStyleHeading1SectionSectionHeadingText11Chapterhead3">
    <w:name w:val="Style Style Heading 1(Section)Section Heading(Text)1 1Chapterhead3...."/>
    <w:basedOn w:val="StyleHeading1SectionSectionHeadingText11Chapterhead3"/>
    <w:link w:val="StyleStyleHeading1SectionSectionHeadingText11Chapterhead3Char"/>
    <w:rsid w:val="00080175"/>
  </w:style>
  <w:style w:type="character" w:customStyle="1" w:styleId="StyleStyleHeading1SectionSectionHeadingText11Chapterhead3Char">
    <w:name w:val="Style Style Heading 1(Section)Section Heading(Text)1 1Chapterhead3.... Char"/>
    <w:basedOn w:val="StyleHeading1SectionSectionHeadingText11Chapterhead3Char"/>
    <w:link w:val="StyleStyleHeading1SectionSectionHeadingText11Chapterhead3"/>
    <w:rsid w:val="00080175"/>
    <w:rPr>
      <w:rFonts w:ascii="GHEA Grapalat" w:eastAsiaTheme="majorEastAsia" w:hAnsi="GHEA Grapalat" w:cstheme="majorBidi"/>
      <w:bCs/>
      <w:lang w:val="es-ES"/>
    </w:rPr>
  </w:style>
  <w:style w:type="paragraph" w:customStyle="1" w:styleId="211">
    <w:name w:val="???????? ????? 21"/>
    <w:basedOn w:val="2"/>
    <w:rsid w:val="00080175"/>
    <w:pPr>
      <w:jc w:val="center"/>
    </w:pPr>
    <w:rPr>
      <w:b/>
      <w:sz w:val="28"/>
    </w:rPr>
  </w:style>
  <w:style w:type="paragraph" w:customStyle="1" w:styleId="15">
    <w:name w:val="Абзац списка1"/>
    <w:basedOn w:val="Normal"/>
    <w:qFormat/>
    <w:rsid w:val="00080175"/>
    <w:pPr>
      <w:spacing w:after="200" w:line="276" w:lineRule="auto"/>
      <w:ind w:left="720"/>
      <w:contextualSpacing/>
    </w:pPr>
    <w:rPr>
      <w:lang w:val="ru-RU" w:eastAsia="ru-RU"/>
    </w:rPr>
  </w:style>
  <w:style w:type="character" w:customStyle="1" w:styleId="apple-style-span">
    <w:name w:val="apple-style-span"/>
    <w:basedOn w:val="DefaultParagraphFont"/>
    <w:rsid w:val="00080175"/>
  </w:style>
  <w:style w:type="paragraph" w:customStyle="1" w:styleId="mechtex">
    <w:name w:val="mechtex"/>
    <w:basedOn w:val="Normal"/>
    <w:link w:val="mechtexChar"/>
    <w:rsid w:val="00080175"/>
    <w:pPr>
      <w:jc w:val="center"/>
    </w:pPr>
  </w:style>
  <w:style w:type="character" w:customStyle="1" w:styleId="mechtexChar">
    <w:name w:val="mechtex Char"/>
    <w:link w:val="mechtex"/>
    <w:locked/>
    <w:rsid w:val="00080175"/>
    <w:rPr>
      <w:rFonts w:ascii="GHEA Grapalat" w:eastAsiaTheme="minorEastAsia" w:hAnsi="GHEA Grapalat"/>
    </w:rPr>
  </w:style>
  <w:style w:type="paragraph" w:customStyle="1" w:styleId="Style15">
    <w:name w:val="Style1.5"/>
    <w:basedOn w:val="Normal"/>
    <w:rsid w:val="00080175"/>
    <w:pPr>
      <w:spacing w:line="360" w:lineRule="auto"/>
      <w:ind w:firstLine="709"/>
    </w:pPr>
    <w:rPr>
      <w:rFonts w:ascii="Arial Armenian" w:hAnsi="Arial Armenian"/>
    </w:rPr>
  </w:style>
  <w:style w:type="paragraph" w:customStyle="1" w:styleId="russtyle">
    <w:name w:val="russtyle"/>
    <w:basedOn w:val="Normal"/>
    <w:rsid w:val="00080175"/>
    <w:rPr>
      <w:rFonts w:ascii="Russian Baltica" w:hAnsi="Russian Baltica"/>
    </w:rPr>
  </w:style>
  <w:style w:type="paragraph" w:customStyle="1" w:styleId="Style2">
    <w:name w:val="Style2"/>
    <w:basedOn w:val="mechtex"/>
    <w:rsid w:val="00080175"/>
    <w:rPr>
      <w:w w:val="90"/>
    </w:rPr>
  </w:style>
  <w:style w:type="paragraph" w:customStyle="1" w:styleId="Style3">
    <w:name w:val="Style3"/>
    <w:basedOn w:val="mechtex"/>
    <w:rsid w:val="00080175"/>
    <w:rPr>
      <w:w w:val="90"/>
    </w:rPr>
  </w:style>
  <w:style w:type="paragraph" w:customStyle="1" w:styleId="Style6">
    <w:name w:val="Style6"/>
    <w:basedOn w:val="mechtex"/>
    <w:rsid w:val="00080175"/>
  </w:style>
  <w:style w:type="paragraph" w:customStyle="1" w:styleId="1CharChar">
    <w:name w:val="Знак Знак1 Char Char Знак Знак"/>
    <w:basedOn w:val="Normal"/>
    <w:rsid w:val="00080175"/>
    <w:pPr>
      <w:tabs>
        <w:tab w:val="left" w:pos="840"/>
      </w:tabs>
      <w:spacing w:line="240" w:lineRule="exact"/>
      <w:ind w:left="840" w:hanging="360"/>
    </w:pPr>
    <w:rPr>
      <w:rFonts w:ascii="Verdana" w:hAnsi="Verdana"/>
      <w:sz w:val="20"/>
      <w:szCs w:val="20"/>
      <w:lang w:val="ru-RU"/>
    </w:rPr>
  </w:style>
  <w:style w:type="paragraph" w:customStyle="1" w:styleId="CharCharCharChar0">
    <w:name w:val="Знак Знак Char Char Знак Знак Char Char Знак Знак"/>
    <w:basedOn w:val="Normal"/>
    <w:rsid w:val="00080175"/>
    <w:pPr>
      <w:spacing w:line="240" w:lineRule="exact"/>
    </w:pPr>
    <w:rPr>
      <w:sz w:val="28"/>
      <w:szCs w:val="20"/>
    </w:rPr>
  </w:style>
  <w:style w:type="paragraph" w:customStyle="1" w:styleId="CharCharCharCharCharCharCharCharCharCharCharCharChar3">
    <w:name w:val="Char Char Char Char Char Char Char Char Char Char Char Char Char3"/>
    <w:basedOn w:val="Normal"/>
    <w:rsid w:val="00080175"/>
    <w:pPr>
      <w:spacing w:line="240" w:lineRule="exact"/>
    </w:pPr>
    <w:rPr>
      <w:rFonts w:ascii="Arial" w:hAnsi="Arial" w:cs="Arial"/>
      <w:sz w:val="20"/>
      <w:szCs w:val="20"/>
    </w:rPr>
  </w:style>
  <w:style w:type="paragraph" w:customStyle="1" w:styleId="16">
    <w:name w:val="Обычный1"/>
    <w:rsid w:val="00080175"/>
    <w:pPr>
      <w:autoSpaceDE w:val="0"/>
      <w:autoSpaceDN w:val="0"/>
    </w:pPr>
    <w:rPr>
      <w:rFonts w:eastAsiaTheme="minorEastAsia"/>
      <w:lang w:val="ru-RU" w:eastAsia="ru-RU"/>
    </w:rPr>
  </w:style>
  <w:style w:type="paragraph" w:customStyle="1" w:styleId="Char2">
    <w:name w:val="Знак Знак Знак Знак Знак Знак Знак Знак Знак Знак Знак Знак Знак Знак Знак Знак Знак Знак Char Знак Знак"/>
    <w:basedOn w:val="Normal"/>
    <w:rsid w:val="00080175"/>
    <w:pPr>
      <w:spacing w:line="240" w:lineRule="exact"/>
    </w:pPr>
    <w:rPr>
      <w:sz w:val="28"/>
      <w:szCs w:val="20"/>
    </w:rPr>
  </w:style>
  <w:style w:type="paragraph" w:customStyle="1" w:styleId="TitlePageHeader">
    <w:name w:val="TitlePage_Header"/>
    <w:basedOn w:val="Normal"/>
    <w:rsid w:val="00080175"/>
    <w:pPr>
      <w:spacing w:before="240" w:after="240" w:line="288" w:lineRule="auto"/>
      <w:ind w:left="3240"/>
    </w:pPr>
    <w:rPr>
      <w:rFonts w:ascii="Verdana" w:hAnsi="Verdana"/>
      <w:b/>
      <w:sz w:val="32"/>
      <w:szCs w:val="20"/>
      <w:lang w:eastAsia="fr-FR"/>
    </w:rPr>
  </w:style>
  <w:style w:type="character" w:customStyle="1" w:styleId="t101">
    <w:name w:val="t101"/>
    <w:rsid w:val="00080175"/>
    <w:rPr>
      <w:b/>
      <w:bCs/>
      <w:color w:val="0000FF"/>
    </w:rPr>
  </w:style>
  <w:style w:type="paragraph" w:customStyle="1" w:styleId="Char30">
    <w:name w:val="Знак Знак Знак Знак Знак Знак Знак Знак Знак Знак Знак Знак Знак Знак Знак Знак Знак Знак Char Знак Знак3"/>
    <w:basedOn w:val="Normal"/>
    <w:rsid w:val="00080175"/>
    <w:pPr>
      <w:spacing w:line="240" w:lineRule="exact"/>
    </w:pPr>
    <w:rPr>
      <w:sz w:val="28"/>
      <w:szCs w:val="20"/>
    </w:rPr>
  </w:style>
  <w:style w:type="paragraph" w:customStyle="1" w:styleId="Char1CharCharCharCharCharCharCharCharCharCharCharChar">
    <w:name w:val="Char1 Char Char Char Char Char Char Char Char Char Char Char Char"/>
    <w:basedOn w:val="Normal"/>
    <w:rsid w:val="00080175"/>
    <w:pPr>
      <w:widowControl w:val="0"/>
      <w:autoSpaceDE w:val="0"/>
      <w:autoSpaceDN w:val="0"/>
      <w:adjustRightInd w:val="0"/>
      <w:spacing w:line="240" w:lineRule="exact"/>
    </w:pPr>
    <w:rPr>
      <w:rFonts w:ascii="Arial" w:eastAsia="MS Mincho" w:hAnsi="Arial" w:cs="Arial"/>
      <w:sz w:val="20"/>
      <w:szCs w:val="20"/>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Normal"/>
    <w:rsid w:val="00080175"/>
    <w:pPr>
      <w:spacing w:line="240" w:lineRule="exact"/>
    </w:pPr>
    <w:rPr>
      <w:rFonts w:ascii="Arial" w:hAnsi="Arial" w:cs="Arial"/>
      <w:sz w:val="20"/>
      <w:szCs w:val="20"/>
    </w:rPr>
  </w:style>
  <w:style w:type="paragraph" w:customStyle="1" w:styleId="Style4">
    <w:name w:val="Style 4"/>
    <w:basedOn w:val="Normal"/>
    <w:rsid w:val="00080175"/>
    <w:pPr>
      <w:numPr>
        <w:numId w:val="9"/>
      </w:numPr>
      <w:spacing w:after="240" w:line="240" w:lineRule="atLeast"/>
    </w:pPr>
    <w:rPr>
      <w:rFonts w:ascii="Garamond" w:hAnsi="Garamond"/>
      <w:szCs w:val="20"/>
    </w:rPr>
  </w:style>
  <w:style w:type="paragraph" w:customStyle="1" w:styleId="NormalWeb1">
    <w:name w:val="Normal (Web)1"/>
    <w:basedOn w:val="Normal"/>
    <w:rsid w:val="00080175"/>
    <w:pPr>
      <w:spacing w:before="100" w:beforeAutospacing="1" w:after="100" w:afterAutospacing="1"/>
    </w:pPr>
    <w:rPr>
      <w:lang w:val="ru-RU" w:eastAsia="ru-RU"/>
    </w:rPr>
  </w:style>
  <w:style w:type="paragraph" w:customStyle="1" w:styleId="CharCharChar1">
    <w:name w:val="Char Char Char Знак"/>
    <w:basedOn w:val="Normal"/>
    <w:next w:val="Normal"/>
    <w:rsid w:val="00080175"/>
    <w:pPr>
      <w:spacing w:line="240" w:lineRule="exact"/>
    </w:pPr>
    <w:rPr>
      <w:rFonts w:ascii="Tahoma" w:hAnsi="Tahoma"/>
      <w:szCs w:val="20"/>
    </w:rPr>
  </w:style>
  <w:style w:type="paragraph" w:customStyle="1" w:styleId="CharCharChar1Char">
    <w:name w:val="Char Char Char1 Char"/>
    <w:basedOn w:val="Normal"/>
    <w:rsid w:val="00080175"/>
    <w:pPr>
      <w:spacing w:line="240" w:lineRule="exact"/>
    </w:pPr>
    <w:rPr>
      <w:rFonts w:ascii="Arial" w:hAnsi="Arial" w:cs="Arial"/>
      <w:sz w:val="20"/>
      <w:szCs w:val="20"/>
    </w:rPr>
  </w:style>
  <w:style w:type="paragraph" w:customStyle="1" w:styleId="CharCharChar30">
    <w:name w:val="Char Char Char Знак3"/>
    <w:basedOn w:val="Normal"/>
    <w:next w:val="Normal"/>
    <w:rsid w:val="00080175"/>
    <w:pPr>
      <w:spacing w:line="240" w:lineRule="exact"/>
    </w:pPr>
    <w:rPr>
      <w:rFonts w:ascii="Tahoma" w:hAnsi="Tahoma"/>
      <w:szCs w:val="20"/>
    </w:rPr>
  </w:style>
  <w:style w:type="paragraph" w:customStyle="1" w:styleId="17">
    <w:name w:val="Знак Знак1"/>
    <w:basedOn w:val="Normal"/>
    <w:rsid w:val="00080175"/>
    <w:pPr>
      <w:spacing w:line="240" w:lineRule="exact"/>
    </w:pPr>
    <w:rPr>
      <w:rFonts w:ascii="Arial" w:eastAsia="MS Mincho" w:hAnsi="Arial" w:cs="Arial"/>
      <w:sz w:val="20"/>
      <w:szCs w:val="20"/>
    </w:rPr>
  </w:style>
  <w:style w:type="paragraph" w:customStyle="1" w:styleId="Graphic">
    <w:name w:val="Graphic"/>
    <w:basedOn w:val="Heading2"/>
    <w:rsid w:val="00080175"/>
    <w:pPr>
      <w:spacing w:after="130"/>
      <w:outlineLvl w:val="9"/>
    </w:pPr>
    <w:rPr>
      <w:rFonts w:ascii="Times New Roman" w:hAnsi="Times New Roman"/>
      <w:bCs w:val="0"/>
      <w:iCs/>
      <w:sz w:val="22"/>
      <w:szCs w:val="22"/>
      <w:lang w:val="en-GB"/>
    </w:rPr>
  </w:style>
  <w:style w:type="paragraph" w:customStyle="1" w:styleId="GlossaryHeader">
    <w:name w:val="Glossary Header"/>
    <w:next w:val="Normal"/>
    <w:rsid w:val="00080175"/>
    <w:pPr>
      <w:pageBreakBefore/>
      <w:overflowPunct w:val="0"/>
      <w:autoSpaceDE w:val="0"/>
      <w:autoSpaceDN w:val="0"/>
      <w:adjustRightInd w:val="0"/>
      <w:textAlignment w:val="baseline"/>
    </w:pPr>
    <w:rPr>
      <w:rFonts w:eastAsiaTheme="minorEastAsia"/>
      <w:sz w:val="36"/>
      <w:lang w:val="en-GB"/>
    </w:rPr>
  </w:style>
  <w:style w:type="paragraph" w:customStyle="1" w:styleId="font5">
    <w:name w:val="font5"/>
    <w:basedOn w:val="Normal"/>
    <w:rsid w:val="00080175"/>
    <w:pPr>
      <w:spacing w:before="100" w:beforeAutospacing="1" w:after="100" w:afterAutospacing="1"/>
    </w:pPr>
    <w:rPr>
      <w:rFonts w:ascii="Times Armenian" w:hAnsi="Times Armenian"/>
      <w:color w:val="000000"/>
      <w:sz w:val="16"/>
      <w:szCs w:val="16"/>
    </w:rPr>
  </w:style>
  <w:style w:type="paragraph" w:customStyle="1" w:styleId="font6">
    <w:name w:val="font6"/>
    <w:basedOn w:val="Normal"/>
    <w:rsid w:val="00080175"/>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rsid w:val="00080175"/>
    <w:pPr>
      <w:spacing w:before="100" w:beforeAutospacing="1" w:after="100" w:afterAutospacing="1"/>
    </w:pPr>
    <w:rPr>
      <w:rFonts w:ascii="Times Armenian" w:hAnsi="Times Armenian"/>
      <w:color w:val="000000"/>
      <w:sz w:val="20"/>
      <w:szCs w:val="20"/>
    </w:rPr>
  </w:style>
  <w:style w:type="paragraph" w:customStyle="1" w:styleId="font8">
    <w:name w:val="font8"/>
    <w:basedOn w:val="Normal"/>
    <w:rsid w:val="00080175"/>
    <w:pPr>
      <w:spacing w:before="100" w:beforeAutospacing="1" w:after="100" w:afterAutospacing="1"/>
    </w:pPr>
    <w:rPr>
      <w:rFonts w:ascii="Times Armenian" w:hAnsi="Times Armenian"/>
      <w:color w:val="000000"/>
      <w:sz w:val="16"/>
      <w:szCs w:val="16"/>
    </w:rPr>
  </w:style>
  <w:style w:type="paragraph" w:customStyle="1" w:styleId="font9">
    <w:name w:val="font9"/>
    <w:basedOn w:val="Normal"/>
    <w:rsid w:val="00080175"/>
    <w:pPr>
      <w:spacing w:before="100" w:beforeAutospacing="1" w:after="100" w:afterAutospacing="1"/>
    </w:pPr>
    <w:rPr>
      <w:rFonts w:ascii="Times Armenian" w:hAnsi="Times Armenian"/>
      <w:color w:val="000000"/>
    </w:rPr>
  </w:style>
  <w:style w:type="paragraph" w:customStyle="1" w:styleId="font10">
    <w:name w:val="font10"/>
    <w:basedOn w:val="Normal"/>
    <w:rsid w:val="00080175"/>
    <w:pPr>
      <w:spacing w:before="100" w:beforeAutospacing="1" w:after="100" w:afterAutospacing="1"/>
    </w:pPr>
    <w:rPr>
      <w:rFonts w:ascii="Times Armenian" w:hAnsi="Times Armenian"/>
      <w:b/>
      <w:bCs/>
      <w:color w:val="000000"/>
      <w:sz w:val="16"/>
      <w:szCs w:val="16"/>
    </w:rPr>
  </w:style>
  <w:style w:type="paragraph" w:customStyle="1" w:styleId="xl139">
    <w:name w:val="xl139"/>
    <w:basedOn w:val="Normal"/>
    <w:rsid w:val="00080175"/>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rsid w:val="00080175"/>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rsid w:val="00080175"/>
    <w:pPr>
      <w:pBdr>
        <w:left w:val="single" w:sz="8" w:space="0" w:color="auto"/>
        <w:bottom w:val="single" w:sz="8" w:space="0" w:color="auto"/>
        <w:right w:val="single" w:sz="8" w:space="0" w:color="auto"/>
      </w:pBdr>
      <w:spacing w:before="100" w:beforeAutospacing="1" w:after="100" w:afterAutospacing="1"/>
      <w:textAlignment w:val="center"/>
    </w:pPr>
    <w:rPr>
      <w:rFonts w:ascii="Times Armenian" w:hAnsi="Times Armenian"/>
      <w:sz w:val="16"/>
      <w:szCs w:val="16"/>
    </w:rPr>
  </w:style>
  <w:style w:type="paragraph" w:customStyle="1" w:styleId="xl142">
    <w:name w:val="xl142"/>
    <w:basedOn w:val="Normal"/>
    <w:rsid w:val="00080175"/>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rsid w:val="00080175"/>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rsid w:val="00080175"/>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rsid w:val="00080175"/>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rsid w:val="00080175"/>
    <w:pPr>
      <w:pBdr>
        <w:left w:val="single" w:sz="8" w:space="0" w:color="auto"/>
        <w:bottom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147">
    <w:name w:val="xl147"/>
    <w:basedOn w:val="Normal"/>
    <w:rsid w:val="00080175"/>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rsid w:val="00080175"/>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rsid w:val="00080175"/>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rsid w:val="00080175"/>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rsid w:val="00080175"/>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rsid w:val="00080175"/>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rsid w:val="00080175"/>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rsid w:val="00080175"/>
    <w:pPr>
      <w:spacing w:before="100" w:beforeAutospacing="1" w:after="100" w:afterAutospacing="1"/>
      <w:jc w:val="center"/>
      <w:textAlignment w:val="center"/>
    </w:pPr>
  </w:style>
  <w:style w:type="paragraph" w:customStyle="1" w:styleId="xl155">
    <w:name w:val="xl155"/>
    <w:basedOn w:val="Normal"/>
    <w:rsid w:val="00080175"/>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rsid w:val="00080175"/>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rsid w:val="00080175"/>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rsid w:val="00080175"/>
    <w:pPr>
      <w:pBdr>
        <w:top w:val="double" w:sz="6" w:space="0" w:color="auto"/>
        <w:left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59">
    <w:name w:val="xl159"/>
    <w:basedOn w:val="Normal"/>
    <w:rsid w:val="00080175"/>
    <w:pPr>
      <w:pBdr>
        <w:left w:val="single" w:sz="8" w:space="0" w:color="auto"/>
        <w:bottom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60">
    <w:name w:val="xl160"/>
    <w:basedOn w:val="Normal"/>
    <w:rsid w:val="00080175"/>
    <w:pPr>
      <w:pBdr>
        <w:top w:val="single" w:sz="8" w:space="0" w:color="auto"/>
        <w:left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61">
    <w:name w:val="xl161"/>
    <w:basedOn w:val="Normal"/>
    <w:rsid w:val="00080175"/>
    <w:pPr>
      <w:spacing w:before="100" w:beforeAutospacing="1" w:after="100" w:afterAutospacing="1"/>
      <w:textAlignment w:val="center"/>
    </w:pPr>
    <w:rPr>
      <w:rFonts w:ascii="Times Armenian" w:hAnsi="Times Armenian"/>
      <w:b/>
      <w:bCs/>
      <w:sz w:val="18"/>
      <w:szCs w:val="18"/>
      <w:u w:val="single"/>
    </w:rPr>
  </w:style>
  <w:style w:type="paragraph" w:customStyle="1" w:styleId="xl23">
    <w:name w:val="xl23"/>
    <w:basedOn w:val="Normal"/>
    <w:rsid w:val="00080175"/>
    <w:pPr>
      <w:spacing w:before="100" w:beforeAutospacing="1" w:after="100" w:afterAutospacing="1"/>
      <w:jc w:val="center"/>
      <w:textAlignment w:val="center"/>
    </w:pPr>
    <w:rPr>
      <w:rFonts w:ascii="Times Armenian" w:hAnsi="Times Armenian"/>
    </w:rPr>
  </w:style>
  <w:style w:type="paragraph" w:customStyle="1" w:styleId="StyleBodyTextArialAMChar">
    <w:name w:val="Style Body Text + Arial AM Char"/>
    <w:basedOn w:val="BodyText"/>
    <w:rsid w:val="00080175"/>
    <w:pPr>
      <w:spacing w:after="240"/>
    </w:pPr>
    <w:rPr>
      <w:rFonts w:ascii="Arial AM" w:hAnsi="Arial AM"/>
      <w:spacing w:val="-5"/>
      <w:szCs w:val="20"/>
      <w:lang w:val="en-GB"/>
    </w:rPr>
  </w:style>
  <w:style w:type="paragraph" w:customStyle="1" w:styleId="CharCharCharCharChar">
    <w:name w:val="Char Char Char Char Char Знак Знак"/>
    <w:basedOn w:val="Normal"/>
    <w:rsid w:val="00080175"/>
    <w:pPr>
      <w:spacing w:line="240" w:lineRule="exact"/>
    </w:pPr>
    <w:rPr>
      <w:rFonts w:ascii="Arial" w:hAnsi="Arial" w:cs="Arial"/>
      <w:sz w:val="20"/>
      <w:szCs w:val="20"/>
    </w:rPr>
  </w:style>
  <w:style w:type="paragraph" w:customStyle="1" w:styleId="CharChar1CharCharChar1Char">
    <w:name w:val="Char Char1 Char Char Char1 Char"/>
    <w:basedOn w:val="Normal"/>
    <w:rsid w:val="00080175"/>
    <w:rPr>
      <w:rFonts w:eastAsia="SimSun"/>
      <w:sz w:val="20"/>
      <w:szCs w:val="20"/>
      <w:lang w:eastAsia="ru-RU"/>
    </w:rPr>
  </w:style>
  <w:style w:type="paragraph" w:customStyle="1" w:styleId="4">
    <w:name w:val="Знак Знак4"/>
    <w:basedOn w:val="Normal"/>
    <w:rsid w:val="00080175"/>
    <w:pPr>
      <w:tabs>
        <w:tab w:val="left" w:pos="709"/>
      </w:tabs>
    </w:pPr>
    <w:rPr>
      <w:rFonts w:ascii="Tahoma" w:hAnsi="Tahoma"/>
      <w:lang w:val="pl-PL" w:eastAsia="pl-PL"/>
    </w:rPr>
  </w:style>
  <w:style w:type="paragraph" w:customStyle="1" w:styleId="CharCharCharCharCharChar1CharCharCharCharCharCharCharCharChar">
    <w:name w:val="Char Char Char Char Char Char1 Char Char Char Char Char Char Char Char Char Знак Знак"/>
    <w:basedOn w:val="Normal"/>
    <w:rsid w:val="00080175"/>
    <w:pPr>
      <w:spacing w:line="240" w:lineRule="exact"/>
    </w:pPr>
    <w:rPr>
      <w:rFonts w:ascii="Arial" w:hAnsi="Arial" w:cs="Arial"/>
      <w:sz w:val="20"/>
      <w:szCs w:val="20"/>
    </w:rPr>
  </w:style>
  <w:style w:type="paragraph" w:customStyle="1" w:styleId="Char4">
    <w:name w:val="Знак Char Знак"/>
    <w:basedOn w:val="Normal"/>
    <w:rsid w:val="00080175"/>
    <w:pPr>
      <w:spacing w:line="240" w:lineRule="exact"/>
    </w:pPr>
    <w:rPr>
      <w:rFonts w:ascii="Arial" w:eastAsia="Batang" w:hAnsi="Arial" w:cs="Arial"/>
      <w:sz w:val="20"/>
      <w:szCs w:val="20"/>
    </w:rPr>
  </w:style>
  <w:style w:type="paragraph" w:customStyle="1" w:styleId="CharCharCharCharCharChar">
    <w:name w:val="Знак Знак Char Char Знак Знак Char Char Знак Знак Char Char"/>
    <w:basedOn w:val="Normal"/>
    <w:rsid w:val="00080175"/>
    <w:pPr>
      <w:spacing w:line="240" w:lineRule="exact"/>
    </w:pPr>
    <w:rPr>
      <w:sz w:val="28"/>
      <w:szCs w:val="20"/>
    </w:rPr>
  </w:style>
  <w:style w:type="character" w:customStyle="1" w:styleId="longtext">
    <w:name w:val="long_text"/>
    <w:basedOn w:val="DefaultParagraphFont"/>
    <w:rsid w:val="00080175"/>
  </w:style>
  <w:style w:type="paragraph" w:customStyle="1" w:styleId="hodvats">
    <w:name w:val="hodvats"/>
    <w:basedOn w:val="Normal"/>
    <w:rsid w:val="00080175"/>
    <w:pPr>
      <w:tabs>
        <w:tab w:val="left" w:pos="993"/>
        <w:tab w:val="left" w:pos="1985"/>
      </w:tabs>
      <w:spacing w:before="113" w:after="57" w:line="220" w:lineRule="exact"/>
      <w:ind w:firstLine="397"/>
    </w:pPr>
    <w:rPr>
      <w:rFonts w:ascii="Dallak Helv" w:hAnsi="Dallak Helv"/>
      <w:b/>
      <w:sz w:val="18"/>
      <w:szCs w:val="20"/>
    </w:rPr>
  </w:style>
  <w:style w:type="character" w:customStyle="1" w:styleId="FooterChar1">
    <w:name w:val="Footer Char1"/>
    <w:locked/>
    <w:rsid w:val="00080175"/>
    <w:rPr>
      <w:sz w:val="22"/>
      <w:lang w:val="en-GB" w:eastAsia="en-US" w:bidi="ar-SA"/>
    </w:rPr>
  </w:style>
  <w:style w:type="character" w:customStyle="1" w:styleId="CharChar15">
    <w:name w:val="Char Char15"/>
    <w:locked/>
    <w:rsid w:val="00080175"/>
    <w:rPr>
      <w:rFonts w:ascii="Cambria" w:hAnsi="Cambria"/>
      <w:b/>
      <w:bCs/>
      <w:kern w:val="32"/>
      <w:sz w:val="32"/>
      <w:szCs w:val="32"/>
      <w:lang w:val="fr-FR" w:eastAsia="en-US" w:bidi="ar-SA"/>
    </w:rPr>
  </w:style>
  <w:style w:type="paragraph" w:customStyle="1" w:styleId="24">
    <w:name w:val="Знак Знак2"/>
    <w:basedOn w:val="Normal"/>
    <w:rsid w:val="00080175"/>
    <w:pPr>
      <w:spacing w:line="240" w:lineRule="exact"/>
    </w:pPr>
    <w:rPr>
      <w:rFonts w:ascii="Arial" w:hAnsi="Arial" w:cs="Arial"/>
      <w:sz w:val="20"/>
      <w:szCs w:val="20"/>
    </w:rPr>
  </w:style>
  <w:style w:type="paragraph" w:customStyle="1" w:styleId="CharCharCharCharChar0">
    <w:name w:val="Char Char Char Char Char"/>
    <w:basedOn w:val="Normal"/>
    <w:rsid w:val="00080175"/>
    <w:pPr>
      <w:spacing w:line="240" w:lineRule="exact"/>
    </w:pPr>
    <w:rPr>
      <w:rFonts w:ascii="Arial" w:hAnsi="Arial" w:cs="Arial"/>
      <w:sz w:val="20"/>
      <w:szCs w:val="20"/>
    </w:rPr>
  </w:style>
  <w:style w:type="paragraph" w:customStyle="1" w:styleId="CharCharCharCharCharCharCharCharCharCharChar">
    <w:name w:val="Char Char Char Знак Char Char Char Char Char Знак Char Char Char"/>
    <w:basedOn w:val="Normal"/>
    <w:rsid w:val="00080175"/>
    <w:pPr>
      <w:spacing w:line="240" w:lineRule="exact"/>
    </w:pPr>
    <w:rPr>
      <w:rFonts w:ascii="Arial" w:hAnsi="Arial" w:cs="Arial"/>
      <w:sz w:val="20"/>
      <w:szCs w:val="20"/>
    </w:rPr>
  </w:style>
  <w:style w:type="character" w:customStyle="1" w:styleId="CharChar10">
    <w:name w:val="Char Char10"/>
    <w:locked/>
    <w:rsid w:val="00080175"/>
    <w:rPr>
      <w:rFonts w:ascii="Arial Armenian" w:hAnsi="Arial Armenian" w:cs="Sylfaen"/>
      <w:sz w:val="24"/>
      <w:szCs w:val="24"/>
      <w:lang w:val="ru-RU" w:eastAsia="ru-RU" w:bidi="ar-SA"/>
    </w:rPr>
  </w:style>
  <w:style w:type="paragraph" w:customStyle="1" w:styleId="StyleHeading4CentredArialUnicode105pt">
    <w:name w:val="Style Heading 4Centred + Arial Unicode 10.5 pt"/>
    <w:basedOn w:val="Heading4"/>
    <w:link w:val="StyleHeading4CentredArialUnicode105ptChar"/>
    <w:rsid w:val="00080175"/>
    <w:pPr>
      <w:spacing w:before="120"/>
    </w:pPr>
    <w:rPr>
      <w:rFonts w:ascii="Arial Unicode" w:hAnsi="Arial Unicode"/>
    </w:rPr>
  </w:style>
  <w:style w:type="character" w:customStyle="1" w:styleId="StyleHeading4CentredArialUnicode105ptChar">
    <w:name w:val="Style Heading 4Centred + Arial Unicode 10.5 pt Char"/>
    <w:link w:val="StyleHeading4CentredArialUnicode105pt"/>
    <w:rsid w:val="00080175"/>
    <w:rPr>
      <w:rFonts w:ascii="Arial Unicode" w:eastAsiaTheme="minorEastAsia" w:hAnsi="Arial Unicode"/>
      <w:b/>
      <w:color w:val="0070C0"/>
      <w:lang w:val="hy-AM"/>
    </w:rPr>
  </w:style>
  <w:style w:type="paragraph" w:customStyle="1" w:styleId="StyleStyleHeading3Sub-ChapterCenteredtextHeading3CharChar">
    <w:name w:val="Style Style Heading 3(Sub-Chapter)Centered(text)Heading 3 Char Char..."/>
    <w:basedOn w:val="StyleHeading3Sub-ChapterCenteredtextHeading3CharCharC"/>
    <w:rsid w:val="00080175"/>
    <w:pPr>
      <w:tabs>
        <w:tab w:val="left" w:pos="360"/>
      </w:tabs>
      <w:spacing w:after="240"/>
      <w:ind w:right="0"/>
    </w:pPr>
    <w:rPr>
      <w:caps w:val="0"/>
    </w:rPr>
  </w:style>
  <w:style w:type="paragraph" w:customStyle="1" w:styleId="StyleStyleHeading2ChapterParanumTextSylfaen1ArialUni">
    <w:name w:val="Style Style Heading 2.(Chapter).Paranum.Text + Sylfaen1 + Arial Uni..."/>
    <w:basedOn w:val="StyleHeading2ChapterParanumTextSylfaen1"/>
    <w:link w:val="StyleStyleHeading2ChapterParanumTextSylfaen1ArialUniChar"/>
    <w:rsid w:val="00080175"/>
    <w:pPr>
      <w:spacing w:before="120"/>
    </w:pPr>
    <w:rPr>
      <w:bCs/>
      <w:iCs w:val="0"/>
      <w:spacing w:val="24"/>
      <w:kern w:val="28"/>
      <w:sz w:val="24"/>
      <w:szCs w:val="24"/>
    </w:rPr>
  </w:style>
  <w:style w:type="character" w:customStyle="1" w:styleId="StyleStyleHeading2ChapterParanumTextSylfaen1ArialUniChar">
    <w:name w:val="Style Style Heading 2.(Chapter).Paranum.Text + Sylfaen1 + Arial Uni... Char"/>
    <w:link w:val="StyleStyleHeading2ChapterParanumTextSylfaen1ArialUni"/>
    <w:rsid w:val="00080175"/>
    <w:rPr>
      <w:rFonts w:ascii="GHEA Grapalat" w:eastAsiaTheme="minorEastAsia" w:hAnsi="GHEA Grapalat"/>
      <w:b/>
      <w:bCs/>
      <w:spacing w:val="24"/>
      <w:kern w:val="28"/>
      <w:sz w:val="24"/>
      <w:szCs w:val="24"/>
      <w:lang w:val="af-ZA" w:eastAsia="ru-RU"/>
    </w:rPr>
  </w:style>
  <w:style w:type="paragraph" w:customStyle="1" w:styleId="StyleBodyTextMainTextdateBodyTextMaintextGHEAGrapa">
    <w:name w:val="Style Body Text(Main Text)dateBody Text (Main text) + GHEA Grapa..."/>
    <w:basedOn w:val="BodyText"/>
    <w:rsid w:val="00080175"/>
    <w:pPr>
      <w:spacing w:line="360" w:lineRule="auto"/>
    </w:pPr>
  </w:style>
  <w:style w:type="paragraph" w:customStyle="1" w:styleId="StyleStyleHeading2ChapterParanumTextSylfaen1ArialUni1">
    <w:name w:val="Style Style Heading 2.(Chapter).Paranum.Text + Sylfaen1 + Arial Uni...1"/>
    <w:basedOn w:val="StyleHeading2ChapterParanumTextSylfaen1"/>
    <w:rsid w:val="00080175"/>
    <w:rPr>
      <w:bCs/>
      <w:sz w:val="24"/>
    </w:rPr>
  </w:style>
  <w:style w:type="paragraph" w:customStyle="1" w:styleId="StyleStyleHeading1SectionSectionHeadingText11Chapterhead31">
    <w:name w:val="Style Style Heading 1(Section)Section Heading(Text)1 1Chapterhead3....1"/>
    <w:basedOn w:val="StyleHeading1SectionSectionHeadingText11Chapterhead3"/>
    <w:rsid w:val="00080175"/>
    <w:rPr>
      <w:b/>
      <w:bCs w:val="0"/>
      <w:spacing w:val="40"/>
      <w:sz w:val="28"/>
    </w:rPr>
  </w:style>
  <w:style w:type="paragraph" w:customStyle="1" w:styleId="StyleStyleHeading2ChapterParanumTextSylfaen1GHEAGrap">
    <w:name w:val="Style Style Heading 2.(Chapter).Paranum.Text + Sylfaen1 + GHEA Grap..."/>
    <w:basedOn w:val="StyleHeading2ChapterParanumTextSylfaen1"/>
    <w:link w:val="StyleStyleHeading2ChapterParanumTextSylfaen1GHEAGrapChar"/>
    <w:rsid w:val="00080175"/>
    <w:rPr>
      <w:bCs/>
      <w:iCs w:val="0"/>
      <w:spacing w:val="24"/>
      <w:kern w:val="28"/>
      <w:lang w:val="pt-BR" w:eastAsia="en-US"/>
    </w:rPr>
  </w:style>
  <w:style w:type="character" w:customStyle="1" w:styleId="StyleStyleHeading2ChapterParanumTextSylfaen1GHEAGrapChar">
    <w:name w:val="Style Style Heading 2.(Chapter).Paranum.Text + Sylfaen1 + GHEA Grap... Char"/>
    <w:link w:val="StyleStyleHeading2ChapterParanumTextSylfaen1GHEAGrap"/>
    <w:rsid w:val="00080175"/>
    <w:rPr>
      <w:rFonts w:ascii="GHEA Grapalat" w:eastAsiaTheme="minorEastAsia" w:hAnsi="GHEA Grapalat"/>
      <w:b/>
      <w:bCs/>
      <w:spacing w:val="24"/>
      <w:kern w:val="28"/>
      <w:lang w:val="pt-BR"/>
    </w:rPr>
  </w:style>
  <w:style w:type="character" w:customStyle="1" w:styleId="CharChar18">
    <w:name w:val="Char Char18"/>
    <w:rsid w:val="00080175"/>
    <w:rPr>
      <w:rFonts w:ascii="Arial Armenian" w:eastAsia="Times New Roman" w:hAnsi="Arial Armenian"/>
      <w:i/>
      <w:sz w:val="22"/>
      <w:u w:val="single"/>
      <w:lang w:val="en-GB"/>
    </w:rPr>
  </w:style>
  <w:style w:type="character" w:customStyle="1" w:styleId="FontStyle29">
    <w:name w:val="Font Style29"/>
    <w:rsid w:val="00080175"/>
    <w:rPr>
      <w:rFonts w:ascii="Tahoma" w:hAnsi="Tahoma" w:cs="Tahoma"/>
      <w:color w:val="000000"/>
      <w:sz w:val="16"/>
      <w:szCs w:val="16"/>
    </w:rPr>
  </w:style>
  <w:style w:type="character" w:customStyle="1" w:styleId="CharChar19">
    <w:name w:val="Char Char19"/>
    <w:rsid w:val="00080175"/>
    <w:rPr>
      <w:b/>
      <w:sz w:val="32"/>
      <w:lang w:val="en-GB" w:eastAsia="en-US" w:bidi="ar-SA"/>
    </w:rPr>
  </w:style>
  <w:style w:type="paragraph" w:customStyle="1" w:styleId="rmcptlkhmsonormal">
    <w:name w:val="rmcptlkh msonormal"/>
    <w:basedOn w:val="Normal"/>
    <w:rsid w:val="00080175"/>
    <w:pPr>
      <w:spacing w:before="100" w:beforeAutospacing="1" w:after="100" w:afterAutospacing="1"/>
    </w:pPr>
    <w:rPr>
      <w:rFonts w:eastAsia="Batang"/>
      <w:lang w:val="ru-RU" w:eastAsia="ko-KR"/>
    </w:rPr>
  </w:style>
  <w:style w:type="character" w:customStyle="1" w:styleId="CharChar21">
    <w:name w:val="Char Char21"/>
    <w:rsid w:val="00080175"/>
    <w:rPr>
      <w:rFonts w:ascii="Arial Armenian" w:hAnsi="Arial Armenian"/>
      <w:i/>
      <w:sz w:val="22"/>
      <w:u w:val="single"/>
      <w:lang w:val="en-GB" w:eastAsia="en-US" w:bidi="ar-SA"/>
    </w:rPr>
  </w:style>
  <w:style w:type="character" w:customStyle="1" w:styleId="CharChar20">
    <w:name w:val="Char Char20"/>
    <w:rsid w:val="00080175"/>
    <w:rPr>
      <w:rFonts w:ascii="Garamond" w:hAnsi="Garamond"/>
      <w:i/>
      <w:spacing w:val="-5"/>
      <w:sz w:val="28"/>
      <w:lang w:val="en-GB" w:eastAsia="en-US" w:bidi="ar-SA"/>
    </w:rPr>
  </w:style>
  <w:style w:type="paragraph" w:customStyle="1" w:styleId="Revision1">
    <w:name w:val="Revision1"/>
    <w:hidden/>
    <w:semiHidden/>
    <w:rsid w:val="00080175"/>
    <w:rPr>
      <w:rFonts w:ascii="Arial Armenian" w:eastAsiaTheme="minorEastAsia" w:hAnsi="Arial Armenian" w:cs="Sylfaen"/>
      <w:sz w:val="24"/>
      <w:szCs w:val="24"/>
      <w:lang w:val="ru-RU" w:eastAsia="ru-RU"/>
    </w:rPr>
  </w:style>
  <w:style w:type="paragraph" w:customStyle="1" w:styleId="CM33">
    <w:name w:val="CM33"/>
    <w:basedOn w:val="Normal"/>
    <w:next w:val="Normal"/>
    <w:rsid w:val="00080175"/>
    <w:pPr>
      <w:widowControl w:val="0"/>
      <w:autoSpaceDE w:val="0"/>
      <w:autoSpaceDN w:val="0"/>
      <w:adjustRightInd w:val="0"/>
      <w:spacing w:after="343"/>
    </w:pPr>
    <w:rPr>
      <w:rFonts w:ascii="Arial Armenian" w:hAnsi="Arial Armenian" w:cs="Arial Armenian"/>
    </w:rPr>
  </w:style>
  <w:style w:type="paragraph" w:customStyle="1" w:styleId="CharCharCharCharCharCharCharChar3">
    <w:name w:val="Char Char Char Char Char Char Char Char3"/>
    <w:basedOn w:val="Normal"/>
    <w:rsid w:val="00080175"/>
    <w:pPr>
      <w:spacing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rsid w:val="00080175"/>
    <w:pPr>
      <w:tabs>
        <w:tab w:val="left" w:pos="709"/>
      </w:tabs>
    </w:pPr>
    <w:rPr>
      <w:rFonts w:ascii="Tahoma" w:hAnsi="Tahoma"/>
      <w:lang w:val="pl-PL" w:eastAsia="pl-PL"/>
    </w:rPr>
  </w:style>
  <w:style w:type="paragraph" w:customStyle="1" w:styleId="CharCharCharCharCharCharChar3">
    <w:name w:val="Char Char Char Char Char Char Char3"/>
    <w:basedOn w:val="Normal"/>
    <w:rsid w:val="00080175"/>
    <w:pPr>
      <w:spacing w:line="240" w:lineRule="exact"/>
    </w:pPr>
    <w:rPr>
      <w:rFonts w:ascii="Arial" w:hAnsi="Arial" w:cs="Arial"/>
      <w:sz w:val="20"/>
      <w:szCs w:val="20"/>
    </w:rPr>
  </w:style>
  <w:style w:type="paragraph" w:customStyle="1" w:styleId="CharCharChar31">
    <w:name w:val="Char Char Char Знак Знак3"/>
    <w:basedOn w:val="Normal"/>
    <w:rsid w:val="00080175"/>
    <w:pPr>
      <w:spacing w:line="240" w:lineRule="exact"/>
    </w:pPr>
    <w:rPr>
      <w:rFonts w:ascii="Arial" w:hAnsi="Arial" w:cs="Arial"/>
      <w:sz w:val="20"/>
      <w:szCs w:val="20"/>
    </w:rPr>
  </w:style>
  <w:style w:type="paragraph" w:customStyle="1" w:styleId="CharCharCharCharCharCharCharCharCharChar3">
    <w:name w:val="Char Char Char Char Char Char Char Char Char Char3"/>
    <w:basedOn w:val="Normal"/>
    <w:rsid w:val="00080175"/>
    <w:pPr>
      <w:spacing w:line="240" w:lineRule="exact"/>
    </w:pPr>
    <w:rPr>
      <w:rFonts w:ascii="Arial" w:hAnsi="Arial" w:cs="Arial"/>
      <w:sz w:val="20"/>
      <w:szCs w:val="20"/>
    </w:rPr>
  </w:style>
  <w:style w:type="paragraph" w:customStyle="1" w:styleId="1CharChar3">
    <w:name w:val="Знак Знак1 Char Char Знак Знак3"/>
    <w:basedOn w:val="Normal"/>
    <w:rsid w:val="00080175"/>
    <w:pPr>
      <w:tabs>
        <w:tab w:val="left" w:pos="840"/>
      </w:tabs>
      <w:spacing w:line="240" w:lineRule="exact"/>
      <w:ind w:left="840" w:hanging="360"/>
    </w:pPr>
    <w:rPr>
      <w:rFonts w:ascii="Verdana" w:hAnsi="Verdana"/>
      <w:sz w:val="20"/>
      <w:szCs w:val="20"/>
      <w:lang w:val="ru-RU"/>
    </w:rPr>
  </w:style>
  <w:style w:type="paragraph" w:customStyle="1" w:styleId="CharCharCharChar3">
    <w:name w:val="Знак Знак Char Char Знак Знак Char Char Знак Знак3"/>
    <w:basedOn w:val="Normal"/>
    <w:rsid w:val="00080175"/>
    <w:pPr>
      <w:spacing w:line="240" w:lineRule="exact"/>
    </w:pPr>
    <w:rPr>
      <w:sz w:val="28"/>
      <w:szCs w:val="20"/>
    </w:rPr>
  </w:style>
  <w:style w:type="paragraph" w:customStyle="1" w:styleId="CharCharChar1Char3">
    <w:name w:val="Char Char Char1 Char3"/>
    <w:basedOn w:val="Normal"/>
    <w:rsid w:val="00080175"/>
    <w:pPr>
      <w:spacing w:line="240" w:lineRule="exact"/>
    </w:pPr>
    <w:rPr>
      <w:rFonts w:ascii="Arial" w:hAnsi="Arial" w:cs="Arial"/>
      <w:sz w:val="20"/>
      <w:szCs w:val="20"/>
    </w:rPr>
  </w:style>
  <w:style w:type="paragraph" w:customStyle="1" w:styleId="130">
    <w:name w:val="Знак Знак13"/>
    <w:basedOn w:val="Normal"/>
    <w:rsid w:val="00080175"/>
    <w:pPr>
      <w:spacing w:line="240" w:lineRule="exact"/>
    </w:pPr>
    <w:rPr>
      <w:rFonts w:ascii="Arial" w:eastAsia="MS Mincho" w:hAnsi="Arial" w:cs="Arial"/>
      <w:sz w:val="20"/>
      <w:szCs w:val="20"/>
    </w:rPr>
  </w:style>
  <w:style w:type="paragraph" w:customStyle="1" w:styleId="CharCharCharCharChar3">
    <w:name w:val="Char Char Char Char Char Знак Знак3"/>
    <w:basedOn w:val="Normal"/>
    <w:rsid w:val="00080175"/>
    <w:pPr>
      <w:spacing w:line="240" w:lineRule="exact"/>
    </w:pPr>
    <w:rPr>
      <w:rFonts w:ascii="Arial" w:hAnsi="Arial" w:cs="Arial"/>
      <w:sz w:val="20"/>
      <w:szCs w:val="20"/>
    </w:rPr>
  </w:style>
  <w:style w:type="paragraph" w:customStyle="1" w:styleId="CharChar1CharCharChar1Char3">
    <w:name w:val="Char Char1 Char Char Char1 Char3"/>
    <w:basedOn w:val="Normal"/>
    <w:rsid w:val="00080175"/>
    <w:rPr>
      <w:rFonts w:eastAsia="SimSun"/>
      <w:sz w:val="20"/>
      <w:szCs w:val="20"/>
      <w:lang w:eastAsia="ru-RU"/>
    </w:rPr>
  </w:style>
  <w:style w:type="paragraph" w:customStyle="1" w:styleId="43">
    <w:name w:val="Знак Знак43"/>
    <w:basedOn w:val="Normal"/>
    <w:rsid w:val="00080175"/>
    <w:pPr>
      <w:tabs>
        <w:tab w:val="left" w:pos="709"/>
      </w:tabs>
    </w:pPr>
    <w:rPr>
      <w:rFonts w:ascii="Tahoma" w:hAnsi="Tahoma"/>
      <w:lang w:val="pl-PL" w:eastAsia="pl-PL"/>
    </w:rPr>
  </w:style>
  <w:style w:type="paragraph" w:customStyle="1" w:styleId="Char31">
    <w:name w:val="Знак Char Знак3"/>
    <w:basedOn w:val="Normal"/>
    <w:rsid w:val="00080175"/>
    <w:pPr>
      <w:spacing w:line="240" w:lineRule="exact"/>
    </w:pPr>
    <w:rPr>
      <w:rFonts w:ascii="Arial" w:eastAsia="Batang" w:hAnsi="Arial" w:cs="Arial"/>
      <w:sz w:val="20"/>
      <w:szCs w:val="20"/>
    </w:rPr>
  </w:style>
  <w:style w:type="paragraph" w:customStyle="1" w:styleId="CharCharCharCharCharChar3">
    <w:name w:val="Знак Знак Char Char Знак Знак Char Char Знак Знак Char Char3"/>
    <w:basedOn w:val="Normal"/>
    <w:rsid w:val="00080175"/>
    <w:pPr>
      <w:spacing w:line="240" w:lineRule="exact"/>
    </w:pPr>
    <w:rPr>
      <w:sz w:val="28"/>
      <w:szCs w:val="20"/>
    </w:rPr>
  </w:style>
  <w:style w:type="paragraph" w:customStyle="1" w:styleId="230">
    <w:name w:val="Знак Знак23"/>
    <w:basedOn w:val="Normal"/>
    <w:rsid w:val="00080175"/>
    <w:pPr>
      <w:spacing w:line="240" w:lineRule="exact"/>
    </w:pPr>
    <w:rPr>
      <w:rFonts w:ascii="Arial" w:hAnsi="Arial" w:cs="Arial"/>
      <w:sz w:val="20"/>
      <w:szCs w:val="20"/>
    </w:rPr>
  </w:style>
  <w:style w:type="paragraph" w:customStyle="1" w:styleId="CharCharCharCharChar30">
    <w:name w:val="Char Char Char Char Char3"/>
    <w:basedOn w:val="Normal"/>
    <w:rsid w:val="00080175"/>
    <w:pPr>
      <w:spacing w:line="240" w:lineRule="exact"/>
    </w:pPr>
    <w:rPr>
      <w:rFonts w:ascii="Arial" w:hAnsi="Arial" w:cs="Arial"/>
      <w:sz w:val="20"/>
      <w:szCs w:val="20"/>
    </w:rPr>
  </w:style>
  <w:style w:type="paragraph" w:customStyle="1" w:styleId="listparagraphcxspmiddle">
    <w:name w:val="listparagraphcxspmiddle"/>
    <w:basedOn w:val="Normal"/>
    <w:rsid w:val="00080175"/>
    <w:pPr>
      <w:spacing w:before="100" w:beforeAutospacing="1" w:after="100" w:afterAutospacing="1"/>
    </w:pPr>
  </w:style>
  <w:style w:type="paragraph" w:customStyle="1" w:styleId="listparagraphcxsplast">
    <w:name w:val="listparagraphcxsplast"/>
    <w:basedOn w:val="Normal"/>
    <w:rsid w:val="00080175"/>
    <w:pPr>
      <w:spacing w:before="100" w:beforeAutospacing="1" w:after="100" w:afterAutospacing="1"/>
    </w:pPr>
  </w:style>
  <w:style w:type="paragraph" w:customStyle="1" w:styleId="CharCharCharCharChar1">
    <w:name w:val="Знак Char Char Знак Char Char Char"/>
    <w:aliases w:val=" Знак Char Char Знак Char Char1 Знак, Знак Char Char Знак Char Char Char"/>
    <w:basedOn w:val="Normal"/>
    <w:next w:val="Normal"/>
    <w:semiHidden/>
    <w:rsid w:val="00080175"/>
    <w:pPr>
      <w:spacing w:line="240" w:lineRule="exact"/>
    </w:pPr>
    <w:rPr>
      <w:rFonts w:ascii="Arial" w:hAnsi="Arial" w:cs="Arial"/>
      <w:b/>
      <w:sz w:val="20"/>
      <w:szCs w:val="20"/>
      <w:lang w:val="en-GB"/>
    </w:rPr>
  </w:style>
  <w:style w:type="character" w:customStyle="1" w:styleId="BodyTextFirstIndentChar1">
    <w:name w:val="Body Text First Indent Char1"/>
    <w:rsid w:val="00080175"/>
    <w:rPr>
      <w:rFonts w:ascii="Times Armenian" w:hAnsi="Times Armenian"/>
      <w:sz w:val="24"/>
      <w:szCs w:val="24"/>
      <w:lang w:val="ru-RU" w:eastAsia="ru-RU" w:bidi="ar-SA"/>
    </w:rPr>
  </w:style>
  <w:style w:type="character" w:customStyle="1" w:styleId="CommentSubjectChar1">
    <w:name w:val="Comment Subject Char1"/>
    <w:rsid w:val="00080175"/>
    <w:rPr>
      <w:rFonts w:ascii="Courier New" w:hAnsi="Courier New"/>
      <w:b/>
      <w:bCs/>
      <w:lang w:val="en-US" w:eastAsia="en-US" w:bidi="ar-SA"/>
    </w:rPr>
  </w:style>
  <w:style w:type="paragraph" w:customStyle="1" w:styleId="CharCharChar1CharCharCharCharCharCharCharCharCharCharCharCharCharCharChar">
    <w:name w:val="Char Char Char1 Char Char Char Char Char Char Char Char Char Char Char Char Char Char Char"/>
    <w:basedOn w:val="Normal"/>
    <w:rsid w:val="00080175"/>
    <w:pPr>
      <w:spacing w:line="240" w:lineRule="exact"/>
    </w:pPr>
    <w:rPr>
      <w:rFonts w:ascii="Verdana" w:eastAsia="MS Mincho" w:hAnsi="Verdana"/>
      <w:sz w:val="20"/>
      <w:szCs w:val="20"/>
      <w:lang w:val="en-GB"/>
    </w:rPr>
  </w:style>
  <w:style w:type="character" w:customStyle="1" w:styleId="apple-converted-space">
    <w:name w:val="apple-converted-space"/>
    <w:rsid w:val="00080175"/>
  </w:style>
  <w:style w:type="paragraph" w:customStyle="1" w:styleId="ListParagraph1">
    <w:name w:val="List Paragraph1"/>
    <w:aliases w:val="OBC Bullet,Normal numbered,List Paragraph12"/>
    <w:basedOn w:val="Normal"/>
    <w:uiPriority w:val="34"/>
    <w:qFormat/>
    <w:rsid w:val="00080175"/>
    <w:pPr>
      <w:ind w:left="720" w:right="201" w:firstLine="900"/>
      <w:contextualSpacing/>
    </w:pPr>
    <w:rPr>
      <w:rFonts w:ascii="Times Armenian" w:hAnsi="Times Armenian"/>
      <w:sz w:val="28"/>
      <w:szCs w:val="28"/>
      <w:lang w:val="hy-AM" w:eastAsia="ru-RU"/>
    </w:rPr>
  </w:style>
  <w:style w:type="character" w:customStyle="1" w:styleId="ListParagraphChar">
    <w:name w:val="List Paragraph Char"/>
    <w:aliases w:val="Akapit z listą BS Char,List Paragraph 1 Char,List_Paragraph Char,Multilevel para_II Char,List Paragraph1 Char,Bullet1 Char,Bullets Char,References Char,List Paragraph (numbered (a)) Char,IBL List Paragraph Char,OBC Bullet Char,Ha Cha"/>
    <w:link w:val="ListParagraph3"/>
    <w:qFormat/>
    <w:rsid w:val="00080175"/>
    <w:rPr>
      <w:rFonts w:ascii="GHEA Grapalat" w:eastAsiaTheme="minorEastAsia" w:hAnsi="GHEA Grapalat"/>
    </w:rPr>
  </w:style>
  <w:style w:type="character" w:customStyle="1" w:styleId="textexposedshow">
    <w:name w:val="text_exposed_show"/>
    <w:rsid w:val="00080175"/>
    <w:rPr>
      <w:rFonts w:cs="Times New Roman"/>
    </w:rPr>
  </w:style>
  <w:style w:type="paragraph" w:customStyle="1" w:styleId="formtext">
    <w:name w:val="formtext"/>
    <w:basedOn w:val="Normal"/>
    <w:rsid w:val="00080175"/>
    <w:pPr>
      <w:spacing w:before="120" w:after="120" w:line="240" w:lineRule="exact"/>
    </w:pPr>
    <w:rPr>
      <w:rFonts w:ascii="Arial" w:eastAsia="SimSun" w:hAnsi="Arial"/>
      <w:lang w:eastAsia="fr-FR"/>
    </w:rPr>
  </w:style>
  <w:style w:type="paragraph" w:customStyle="1" w:styleId="italic">
    <w:name w:val="italic"/>
    <w:basedOn w:val="Normal"/>
    <w:rsid w:val="00080175"/>
    <w:pPr>
      <w:spacing w:before="100" w:beforeAutospacing="1" w:after="100" w:afterAutospacing="1"/>
    </w:pPr>
    <w:rPr>
      <w:rFonts w:cs="Calibri"/>
    </w:rPr>
  </w:style>
  <w:style w:type="paragraph" w:customStyle="1" w:styleId="ecxmsonormal">
    <w:name w:val="ecxmsonormal"/>
    <w:basedOn w:val="Normal"/>
    <w:rsid w:val="00080175"/>
    <w:pPr>
      <w:spacing w:before="100" w:beforeAutospacing="1" w:after="100" w:afterAutospacing="1"/>
    </w:pPr>
    <w:rPr>
      <w:rFonts w:cs="Calibri"/>
    </w:rPr>
  </w:style>
  <w:style w:type="paragraph" w:customStyle="1" w:styleId="CharCharChar2">
    <w:name w:val="Char Char Char Знак Знак Знак Знак Знак"/>
    <w:basedOn w:val="Normal"/>
    <w:rsid w:val="00080175"/>
    <w:pPr>
      <w:spacing w:line="240" w:lineRule="exact"/>
    </w:pPr>
    <w:rPr>
      <w:rFonts w:ascii="Arial" w:hAnsi="Arial" w:cs="Arial"/>
      <w:color w:val="000000"/>
      <w:sz w:val="20"/>
      <w:szCs w:val="20"/>
      <w:lang w:val="en-GB"/>
    </w:rPr>
  </w:style>
  <w:style w:type="character" w:customStyle="1" w:styleId="title1">
    <w:name w:val="title1"/>
    <w:rsid w:val="00080175"/>
    <w:rPr>
      <w:rFonts w:ascii="Verdana" w:hAnsi="Verdana"/>
      <w:b/>
      <w:color w:val="000000"/>
      <w:sz w:val="12"/>
      <w:u w:val="none"/>
    </w:rPr>
  </w:style>
  <w:style w:type="character" w:customStyle="1" w:styleId="hps">
    <w:name w:val="hps"/>
    <w:rsid w:val="00080175"/>
    <w:rPr>
      <w:rFonts w:cs="Times New Roman"/>
    </w:rPr>
  </w:style>
  <w:style w:type="character" w:customStyle="1" w:styleId="st">
    <w:name w:val="st"/>
    <w:rsid w:val="00080175"/>
    <w:rPr>
      <w:rFonts w:cs="Times New Roman"/>
    </w:rPr>
  </w:style>
  <w:style w:type="paragraph" w:customStyle="1" w:styleId="bodytext0">
    <w:name w:val="bodytext"/>
    <w:basedOn w:val="Normal"/>
    <w:rsid w:val="00080175"/>
    <w:pPr>
      <w:spacing w:before="100" w:beforeAutospacing="1" w:after="100" w:afterAutospacing="1"/>
    </w:pPr>
    <w:rPr>
      <w:rFonts w:cs="Calibri"/>
    </w:rPr>
  </w:style>
  <w:style w:type="character" w:customStyle="1" w:styleId="CharChar4">
    <w:name w:val="Char Char4"/>
    <w:rsid w:val="00080175"/>
    <w:rPr>
      <w:rFonts w:ascii="Cambria" w:hAnsi="Cambria" w:cs="Cambria"/>
      <w:b/>
      <w:bCs/>
      <w:sz w:val="26"/>
      <w:szCs w:val="26"/>
    </w:rPr>
  </w:style>
  <w:style w:type="character" w:customStyle="1" w:styleId="CharChar2">
    <w:name w:val="Char Char2"/>
    <w:rsid w:val="00080175"/>
    <w:rPr>
      <w:rFonts w:ascii="Calibri" w:hAnsi="Calibri" w:cs="Calibri"/>
      <w:sz w:val="22"/>
      <w:szCs w:val="22"/>
      <w:lang w:val="en-US" w:eastAsia="en-US"/>
    </w:rPr>
  </w:style>
  <w:style w:type="character" w:customStyle="1" w:styleId="CharChar1">
    <w:name w:val="Char Char1"/>
    <w:rsid w:val="00080175"/>
    <w:rPr>
      <w:rFonts w:ascii="Calibri" w:hAnsi="Calibri" w:cs="Calibri"/>
      <w:sz w:val="22"/>
      <w:szCs w:val="22"/>
      <w:lang w:val="en-US" w:eastAsia="en-US"/>
    </w:rPr>
  </w:style>
  <w:style w:type="paragraph" w:customStyle="1" w:styleId="num02">
    <w:name w:val="Énum02"/>
    <w:basedOn w:val="Normal"/>
    <w:rsid w:val="00080175"/>
    <w:pPr>
      <w:numPr>
        <w:numId w:val="10"/>
      </w:numPr>
      <w:spacing w:after="120" w:line="260" w:lineRule="exact"/>
    </w:pPr>
    <w:rPr>
      <w:rFonts w:ascii="Arial" w:hAnsi="Arial" w:cs="Arial"/>
      <w:lang w:eastAsia="fr-FR"/>
    </w:rPr>
  </w:style>
  <w:style w:type="character" w:customStyle="1" w:styleId="arg">
    <w:name w:val="arg"/>
    <w:rsid w:val="00080175"/>
    <w:rPr>
      <w:rFonts w:cs="Times New Roman"/>
    </w:rPr>
  </w:style>
  <w:style w:type="character" w:customStyle="1" w:styleId="fulltext">
    <w:name w:val="fulltext"/>
    <w:rsid w:val="00080175"/>
    <w:rPr>
      <w:rFonts w:cs="Times New Roman"/>
    </w:rPr>
  </w:style>
  <w:style w:type="paragraph" w:customStyle="1" w:styleId="innewsdate">
    <w:name w:val="in_news_date"/>
    <w:basedOn w:val="Normal"/>
    <w:rsid w:val="00080175"/>
    <w:pPr>
      <w:spacing w:before="100" w:beforeAutospacing="1" w:after="100" w:afterAutospacing="1"/>
    </w:pPr>
  </w:style>
  <w:style w:type="character" w:customStyle="1" w:styleId="gr">
    <w:name w:val="gr"/>
    <w:rsid w:val="00080175"/>
    <w:rPr>
      <w:rFonts w:cs="Times New Roman"/>
    </w:rPr>
  </w:style>
  <w:style w:type="character" w:customStyle="1" w:styleId="opennewstext">
    <w:name w:val="opennewstext"/>
    <w:rsid w:val="00080175"/>
    <w:rPr>
      <w:rFonts w:cs="Times New Roman"/>
    </w:rPr>
  </w:style>
  <w:style w:type="paragraph" w:customStyle="1" w:styleId="CharCharCharCharCharCharCharCharCharCharCharCharCharCharChar1">
    <w:name w:val="Char Char Char Char Знак Char Знак Char Char Char Char Char Char Char Char Char Char1"/>
    <w:basedOn w:val="Normal"/>
    <w:rsid w:val="00080175"/>
    <w:pPr>
      <w:tabs>
        <w:tab w:val="left" w:pos="709"/>
      </w:tabs>
    </w:pPr>
    <w:rPr>
      <w:rFonts w:ascii="Tahoma" w:hAnsi="Tahoma" w:cs="Tahoma"/>
      <w:lang w:val="pl-PL" w:eastAsia="pl-PL"/>
    </w:rPr>
  </w:style>
  <w:style w:type="character" w:customStyle="1" w:styleId="fulltext0">
    <w:name w:val="full_text"/>
    <w:rsid w:val="00080175"/>
    <w:rPr>
      <w:rFonts w:cs="Times New Roman"/>
    </w:rPr>
  </w:style>
  <w:style w:type="character" w:customStyle="1" w:styleId="wrc116">
    <w:name w:val="wrc116"/>
    <w:rsid w:val="00080175"/>
    <w:rPr>
      <w:rFonts w:cs="Times New Roman"/>
      <w:vanish/>
    </w:rPr>
  </w:style>
  <w:style w:type="character" w:customStyle="1" w:styleId="editsection">
    <w:name w:val="editsection"/>
    <w:rsid w:val="00080175"/>
    <w:rPr>
      <w:rFonts w:cs="Times New Roman"/>
    </w:rPr>
  </w:style>
  <w:style w:type="character" w:customStyle="1" w:styleId="mw-headline">
    <w:name w:val="mw-headline"/>
    <w:rsid w:val="00080175"/>
    <w:rPr>
      <w:rFonts w:cs="Times New Roman"/>
    </w:rPr>
  </w:style>
  <w:style w:type="character" w:customStyle="1" w:styleId="il">
    <w:name w:val="il"/>
    <w:basedOn w:val="DefaultParagraphFont"/>
    <w:rsid w:val="00080175"/>
  </w:style>
  <w:style w:type="paragraph" w:customStyle="1" w:styleId="Listenabsatz">
    <w:name w:val="Listenabsatz"/>
    <w:basedOn w:val="Normal"/>
    <w:rsid w:val="00080175"/>
    <w:pPr>
      <w:ind w:left="720"/>
      <w:contextualSpacing/>
    </w:pPr>
    <w:rPr>
      <w:rFonts w:ascii="Cambria" w:hAnsi="Cambria"/>
      <w:lang w:val="de-DE"/>
    </w:rPr>
  </w:style>
  <w:style w:type="paragraph" w:customStyle="1" w:styleId="Style40">
    <w:name w:val="Style4"/>
    <w:basedOn w:val="TOC3"/>
    <w:rsid w:val="00080175"/>
    <w:rPr>
      <w:bCs/>
      <w:color w:val="000000"/>
      <w:lang w:val="es-ES"/>
    </w:rPr>
  </w:style>
  <w:style w:type="paragraph" w:customStyle="1" w:styleId="Style5">
    <w:name w:val="Style5"/>
    <w:basedOn w:val="TOC3"/>
    <w:rsid w:val="00080175"/>
    <w:rPr>
      <w:rFonts w:cs="Sylfaen"/>
    </w:rPr>
  </w:style>
  <w:style w:type="paragraph" w:customStyle="1" w:styleId="Style7">
    <w:name w:val="Style7"/>
    <w:basedOn w:val="TOC3"/>
    <w:rsid w:val="00080175"/>
    <w:rPr>
      <w:rFonts w:cs="Sylfaen"/>
    </w:rPr>
  </w:style>
  <w:style w:type="paragraph" w:customStyle="1" w:styleId="Style8">
    <w:name w:val="Style8"/>
    <w:basedOn w:val="TOC1"/>
    <w:rsid w:val="00080175"/>
    <w:rPr>
      <w:i w:val="0"/>
    </w:rPr>
  </w:style>
  <w:style w:type="paragraph" w:customStyle="1" w:styleId="Style9">
    <w:name w:val="Style9"/>
    <w:basedOn w:val="TOC1"/>
    <w:rsid w:val="00080175"/>
  </w:style>
  <w:style w:type="character" w:customStyle="1" w:styleId="CharChar14">
    <w:name w:val="Char Char14"/>
    <w:rsid w:val="00080175"/>
    <w:rPr>
      <w:sz w:val="36"/>
      <w:lang w:val="en-GB"/>
    </w:rPr>
  </w:style>
  <w:style w:type="character" w:customStyle="1" w:styleId="CharChar5">
    <w:name w:val="Char Char5"/>
    <w:rsid w:val="00080175"/>
    <w:rPr>
      <w:rFonts w:ascii="Arial Armenian" w:hAnsi="Arial Armenian" w:cs="Sylfaen"/>
      <w:sz w:val="24"/>
      <w:szCs w:val="24"/>
      <w:lang w:val="ru-RU" w:eastAsia="ru-RU"/>
    </w:rPr>
  </w:style>
  <w:style w:type="character" w:customStyle="1" w:styleId="CharChar16">
    <w:name w:val="Char Char16"/>
    <w:rsid w:val="00080175"/>
    <w:rPr>
      <w:rFonts w:ascii="Times New Roman" w:hAnsi="Times New Roman"/>
      <w:b/>
      <w:sz w:val="32"/>
      <w:lang w:val="en-GB"/>
    </w:rPr>
  </w:style>
  <w:style w:type="character" w:customStyle="1" w:styleId="CharChar17">
    <w:name w:val="Char Char17"/>
    <w:rsid w:val="00080175"/>
    <w:rPr>
      <w:rFonts w:ascii="Arial Armenian" w:hAnsi="Arial Armenian"/>
      <w:i/>
      <w:sz w:val="22"/>
      <w:u w:val="single"/>
      <w:lang w:val="en-GB" w:eastAsia="en-US" w:bidi="ar-SA"/>
    </w:rPr>
  </w:style>
  <w:style w:type="paragraph" w:customStyle="1" w:styleId="text">
    <w:name w:val="text"/>
    <w:basedOn w:val="Normal"/>
    <w:link w:val="textChar"/>
    <w:rsid w:val="00080175"/>
    <w:pPr>
      <w:ind w:firstLine="454"/>
    </w:pPr>
    <w:rPr>
      <w:rFonts w:ascii="GHEA Mariam" w:hAnsi="GHEA Mariam"/>
      <w:sz w:val="20"/>
      <w:szCs w:val="20"/>
      <w:lang w:val="en-GB" w:eastAsia="ru-RU"/>
    </w:rPr>
  </w:style>
  <w:style w:type="character" w:customStyle="1" w:styleId="textChar">
    <w:name w:val="text Char"/>
    <w:link w:val="text"/>
    <w:rsid w:val="00080175"/>
    <w:rPr>
      <w:rFonts w:ascii="GHEA Mariam" w:eastAsiaTheme="minorEastAsia" w:hAnsi="GHEA Mariam"/>
      <w:sz w:val="20"/>
      <w:szCs w:val="20"/>
      <w:lang w:val="en-GB" w:eastAsia="ru-RU"/>
    </w:rPr>
  </w:style>
  <w:style w:type="paragraph" w:customStyle="1" w:styleId="Char40">
    <w:name w:val="Char4"/>
    <w:basedOn w:val="Normal"/>
    <w:rsid w:val="00080175"/>
    <w:pPr>
      <w:spacing w:line="240" w:lineRule="exact"/>
    </w:pPr>
    <w:rPr>
      <w:rFonts w:ascii="Arial" w:eastAsia="Calibri" w:hAnsi="Arial" w:cs="Arial"/>
      <w:sz w:val="20"/>
      <w:szCs w:val="20"/>
    </w:rPr>
  </w:style>
  <w:style w:type="paragraph" w:customStyle="1" w:styleId="p2">
    <w:name w:val="p2"/>
    <w:basedOn w:val="Normal"/>
    <w:rsid w:val="00080175"/>
    <w:pPr>
      <w:spacing w:before="100" w:beforeAutospacing="1" w:after="100" w:afterAutospacing="1"/>
    </w:pPr>
    <w:rPr>
      <w:rFonts w:eastAsia="Calibri"/>
    </w:rPr>
  </w:style>
  <w:style w:type="paragraph" w:customStyle="1" w:styleId="Char32">
    <w:name w:val="Char3"/>
    <w:basedOn w:val="Normal"/>
    <w:rsid w:val="00080175"/>
    <w:pPr>
      <w:spacing w:line="240" w:lineRule="exact"/>
    </w:pPr>
    <w:rPr>
      <w:rFonts w:ascii="Arial" w:eastAsia="Calibri" w:hAnsi="Arial" w:cs="Arial"/>
      <w:sz w:val="20"/>
      <w:szCs w:val="20"/>
    </w:rPr>
  </w:style>
  <w:style w:type="paragraph" w:customStyle="1" w:styleId="Char20">
    <w:name w:val="Char2"/>
    <w:basedOn w:val="Normal"/>
    <w:rsid w:val="00080175"/>
    <w:pPr>
      <w:spacing w:line="240" w:lineRule="exact"/>
    </w:pPr>
    <w:rPr>
      <w:rFonts w:ascii="Arial" w:eastAsia="Calibri" w:hAnsi="Arial" w:cs="Arial"/>
      <w:sz w:val="20"/>
      <w:szCs w:val="20"/>
    </w:rPr>
  </w:style>
  <w:style w:type="paragraph" w:customStyle="1" w:styleId="Char10">
    <w:name w:val="Char1"/>
    <w:basedOn w:val="Normal"/>
    <w:uiPriority w:val="99"/>
    <w:rsid w:val="00080175"/>
    <w:pPr>
      <w:spacing w:line="240" w:lineRule="exact"/>
    </w:pPr>
    <w:rPr>
      <w:rFonts w:ascii="Arial" w:eastAsia="Calibri" w:hAnsi="Arial" w:cs="Arial"/>
      <w:sz w:val="20"/>
      <w:szCs w:val="20"/>
    </w:rPr>
  </w:style>
  <w:style w:type="character" w:customStyle="1" w:styleId="32ptExact">
    <w:name w:val="Основной текст (3) + Интервал 2 pt Exact"/>
    <w:rsid w:val="00080175"/>
    <w:rPr>
      <w:rFonts w:ascii="Sylfaen" w:hAnsi="Sylfaen" w:cs="Sylfaen"/>
      <w:spacing w:val="40"/>
      <w:sz w:val="20"/>
      <w:szCs w:val="20"/>
      <w:u w:val="none"/>
      <w:lang w:val="ru-RU" w:eastAsia="ru-RU"/>
    </w:rPr>
  </w:style>
  <w:style w:type="paragraph" w:customStyle="1" w:styleId="CharCharCharCharChar2">
    <w:name w:val="Char Char Char Знак Знак Char Char Знак Знак"/>
    <w:basedOn w:val="Normal"/>
    <w:rsid w:val="00080175"/>
    <w:pPr>
      <w:spacing w:line="240" w:lineRule="exact"/>
    </w:pPr>
    <w:rPr>
      <w:rFonts w:ascii="Arial" w:hAnsi="Arial" w:cs="Arial"/>
      <w:sz w:val="20"/>
      <w:szCs w:val="20"/>
    </w:rPr>
  </w:style>
  <w:style w:type="paragraph" w:customStyle="1" w:styleId="CharCharCharCharCharChar0">
    <w:name w:val="Char Char Char Char Char Char"/>
    <w:basedOn w:val="Normal"/>
    <w:rsid w:val="00080175"/>
    <w:pPr>
      <w:spacing w:line="240" w:lineRule="exact"/>
    </w:pPr>
    <w:rPr>
      <w:rFonts w:ascii="Arial" w:hAnsi="Arial" w:cs="Arial"/>
      <w:sz w:val="20"/>
      <w:szCs w:val="20"/>
    </w:rPr>
  </w:style>
  <w:style w:type="paragraph" w:customStyle="1" w:styleId="CharChar113">
    <w:name w:val="Char Char113"/>
    <w:basedOn w:val="Normal"/>
    <w:rsid w:val="00080175"/>
    <w:pPr>
      <w:spacing w:line="240" w:lineRule="exact"/>
    </w:pPr>
    <w:rPr>
      <w:rFonts w:ascii="Arial" w:hAnsi="Arial" w:cs="Arial"/>
      <w:sz w:val="20"/>
      <w:szCs w:val="20"/>
    </w:rPr>
  </w:style>
  <w:style w:type="character" w:customStyle="1" w:styleId="Heading1Char1">
    <w:name w:val="Heading 1 Char1"/>
    <w:aliases w:val="(Section) Char1,Section Heading Char1,(Text) Char1,1 Char1,Chapter Char1,head3 Char1"/>
    <w:uiPriority w:val="99"/>
    <w:locked/>
    <w:rsid w:val="00080175"/>
    <w:rPr>
      <w:rFonts w:ascii="Arial" w:hAnsi="Arial"/>
      <w:b/>
      <w:kern w:val="32"/>
      <w:sz w:val="32"/>
    </w:rPr>
  </w:style>
  <w:style w:type="character" w:customStyle="1" w:styleId="BodyTextIndent3Char1">
    <w:name w:val="Body Text Indent 3 Char1"/>
    <w:uiPriority w:val="99"/>
    <w:locked/>
    <w:rsid w:val="00080175"/>
    <w:rPr>
      <w:rFonts w:ascii="Times New Roman" w:hAnsi="Times New Roman"/>
      <w:sz w:val="16"/>
    </w:rPr>
  </w:style>
  <w:style w:type="character" w:customStyle="1" w:styleId="PlainTextChar1">
    <w:name w:val="Plain Text Char1"/>
    <w:uiPriority w:val="99"/>
    <w:locked/>
    <w:rsid w:val="00080175"/>
    <w:rPr>
      <w:rFonts w:ascii="Courier New" w:hAnsi="Courier New"/>
      <w:sz w:val="20"/>
    </w:rPr>
  </w:style>
  <w:style w:type="character" w:customStyle="1" w:styleId="CommentTextChar1">
    <w:name w:val="Comment Text Char1"/>
    <w:uiPriority w:val="99"/>
    <w:locked/>
    <w:rsid w:val="00080175"/>
    <w:rPr>
      <w:rFonts w:ascii="Times New Roman" w:hAnsi="Times New Roman"/>
      <w:sz w:val="20"/>
      <w:lang w:val="en-GB"/>
    </w:rPr>
  </w:style>
  <w:style w:type="character" w:customStyle="1" w:styleId="SubtitleChar1">
    <w:name w:val="Subtitle Char1"/>
    <w:uiPriority w:val="99"/>
    <w:locked/>
    <w:rsid w:val="00080175"/>
    <w:rPr>
      <w:rFonts w:ascii="Times LatArm" w:hAnsi="Times LatArm"/>
      <w:b/>
      <w:sz w:val="24"/>
    </w:rPr>
  </w:style>
  <w:style w:type="character" w:customStyle="1" w:styleId="BalloonTextChar1">
    <w:name w:val="Balloon Text Char1"/>
    <w:uiPriority w:val="99"/>
    <w:locked/>
    <w:rsid w:val="00080175"/>
    <w:rPr>
      <w:rFonts w:ascii="Tahoma" w:hAnsi="Tahoma"/>
      <w:sz w:val="16"/>
    </w:rPr>
  </w:style>
  <w:style w:type="character" w:customStyle="1" w:styleId="CharChar163">
    <w:name w:val="Char Char163"/>
    <w:uiPriority w:val="99"/>
    <w:rsid w:val="00080175"/>
    <w:rPr>
      <w:rFonts w:ascii="Times New Roman" w:hAnsi="Times New Roman"/>
      <w:b/>
      <w:sz w:val="20"/>
      <w:lang w:val="en-GB"/>
    </w:rPr>
  </w:style>
  <w:style w:type="character" w:customStyle="1" w:styleId="CharChar142">
    <w:name w:val="Char Char142"/>
    <w:uiPriority w:val="99"/>
    <w:rsid w:val="00080175"/>
    <w:rPr>
      <w:rFonts w:ascii="Times New Roman" w:hAnsi="Times New Roman"/>
      <w:sz w:val="20"/>
      <w:lang w:val="en-GB"/>
    </w:rPr>
  </w:style>
  <w:style w:type="character" w:customStyle="1" w:styleId="CharChar53">
    <w:name w:val="Char Char53"/>
    <w:uiPriority w:val="99"/>
    <w:rsid w:val="00080175"/>
    <w:rPr>
      <w:rFonts w:ascii="Times New Roman" w:hAnsi="Times New Roman"/>
      <w:sz w:val="20"/>
      <w:lang w:val="en-GB"/>
    </w:rPr>
  </w:style>
  <w:style w:type="character" w:customStyle="1" w:styleId="EndnoteTextChar1">
    <w:name w:val="Endnote Text Char1"/>
    <w:uiPriority w:val="99"/>
    <w:semiHidden/>
    <w:locked/>
    <w:rsid w:val="00080175"/>
    <w:rPr>
      <w:rFonts w:ascii="Times New Roman" w:hAnsi="Times New Roman"/>
      <w:sz w:val="20"/>
      <w:lang w:val="en-GB"/>
    </w:rPr>
  </w:style>
  <w:style w:type="character" w:customStyle="1" w:styleId="estilo2">
    <w:name w:val="estilo2"/>
    <w:uiPriority w:val="99"/>
    <w:rsid w:val="00080175"/>
  </w:style>
  <w:style w:type="character" w:customStyle="1" w:styleId="CharChar3">
    <w:name w:val="Char Char3"/>
    <w:locked/>
    <w:rsid w:val="00080175"/>
    <w:rPr>
      <w:rFonts w:cs="Times New Roman"/>
      <w:sz w:val="22"/>
      <w:lang w:val="en-GB" w:eastAsia="en-US" w:bidi="ar-SA"/>
    </w:rPr>
  </w:style>
  <w:style w:type="character" w:customStyle="1" w:styleId="CharChar11">
    <w:name w:val="Char Char11"/>
    <w:locked/>
    <w:rsid w:val="00080175"/>
    <w:rPr>
      <w:rFonts w:ascii="Times Armenian" w:hAnsi="Times Armenian" w:cs="Times New Roman"/>
      <w:b/>
      <w:bCs/>
      <w:sz w:val="24"/>
      <w:szCs w:val="24"/>
      <w:lang w:val="en-US" w:eastAsia="en-US" w:bidi="ar-SA"/>
    </w:rPr>
  </w:style>
  <w:style w:type="character" w:customStyle="1" w:styleId="CharChar51">
    <w:name w:val="Char Char51"/>
    <w:uiPriority w:val="99"/>
    <w:locked/>
    <w:rsid w:val="00080175"/>
    <w:rPr>
      <w:sz w:val="22"/>
      <w:lang w:val="en-GB" w:eastAsia="en-US"/>
    </w:rPr>
  </w:style>
  <w:style w:type="paragraph" w:customStyle="1" w:styleId="Numberedtext">
    <w:name w:val="Numbered text"/>
    <w:basedOn w:val="BodyText"/>
    <w:uiPriority w:val="99"/>
    <w:rsid w:val="00080175"/>
    <w:pPr>
      <w:numPr>
        <w:numId w:val="11"/>
      </w:numPr>
      <w:tabs>
        <w:tab w:val="clear" w:pos="1004"/>
        <w:tab w:val="left" w:pos="360"/>
      </w:tabs>
      <w:ind w:left="0" w:firstLine="0"/>
    </w:pPr>
    <w:rPr>
      <w:rFonts w:cs="Calibri"/>
      <w:lang w:eastAsia="en-NZ"/>
    </w:rPr>
  </w:style>
  <w:style w:type="character" w:customStyle="1" w:styleId="DocumentMapChar1">
    <w:name w:val="Document Map Char1"/>
    <w:link w:val="DocumentMap"/>
    <w:uiPriority w:val="99"/>
    <w:locked/>
    <w:rsid w:val="00080175"/>
    <w:rPr>
      <w:rFonts w:ascii="Tahoma" w:eastAsiaTheme="minorEastAsia" w:hAnsi="Tahoma"/>
      <w:szCs w:val="20"/>
      <w:shd w:val="clear" w:color="auto" w:fill="000080"/>
      <w:lang w:val="en-GB" w:eastAsia="ru-RU"/>
    </w:rPr>
  </w:style>
  <w:style w:type="paragraph" w:customStyle="1" w:styleId="TOCHeading1">
    <w:name w:val="TOC Heading1"/>
    <w:basedOn w:val="Heading1"/>
    <w:next w:val="Normal"/>
    <w:unhideWhenUsed/>
    <w:qFormat/>
    <w:rsid w:val="00080175"/>
    <w:pPr>
      <w:outlineLvl w:val="9"/>
    </w:pPr>
    <w:rPr>
      <w:lang w:bidi="en-US"/>
    </w:rPr>
  </w:style>
  <w:style w:type="character" w:customStyle="1" w:styleId="StyleGHEAGrapalatJustifiedBefore12ptChar">
    <w:name w:val="Style GHEA Grapalat Justified Before:  12 pt Char"/>
    <w:link w:val="StyleGHEAGrapalatJustifiedBefore12pt"/>
    <w:locked/>
    <w:rsid w:val="00080175"/>
    <w:rPr>
      <w:rFonts w:ascii="GHEA Grapalat" w:hAnsi="GHEA Grapalat"/>
      <w:lang w:val="ru-RU" w:eastAsia="ru-RU"/>
    </w:rPr>
  </w:style>
  <w:style w:type="paragraph" w:customStyle="1" w:styleId="StyleGHEAGrapalatJustifiedBefore12pt">
    <w:name w:val="Style GHEA Grapalat Justified Before:  12 pt"/>
    <w:basedOn w:val="Normal"/>
    <w:link w:val="StyleGHEAGrapalatJustifiedBefore12ptChar"/>
    <w:rsid w:val="00080175"/>
    <w:pPr>
      <w:numPr>
        <w:numId w:val="12"/>
      </w:numPr>
      <w:spacing w:before="240" w:after="240"/>
    </w:pPr>
    <w:rPr>
      <w:rFonts w:eastAsiaTheme="minorHAnsi"/>
      <w:lang w:val="ru-RU" w:eastAsia="ru-RU"/>
    </w:rPr>
  </w:style>
  <w:style w:type="character" w:customStyle="1" w:styleId="FontStyle32">
    <w:name w:val="Font Style32"/>
    <w:uiPriority w:val="99"/>
    <w:rsid w:val="00080175"/>
    <w:rPr>
      <w:rFonts w:ascii="Tahoma" w:hAnsi="Tahoma" w:cs="Tahoma"/>
      <w:sz w:val="20"/>
      <w:szCs w:val="20"/>
    </w:rPr>
  </w:style>
  <w:style w:type="paragraph" w:customStyle="1" w:styleId="Text2">
    <w:name w:val="Text 2"/>
    <w:basedOn w:val="Normal"/>
    <w:rsid w:val="00080175"/>
    <w:pPr>
      <w:spacing w:before="120" w:after="120"/>
      <w:ind w:left="850"/>
    </w:pPr>
    <w:rPr>
      <w:lang w:val="en-GB" w:eastAsia="zh-CN"/>
    </w:rPr>
  </w:style>
  <w:style w:type="character" w:customStyle="1" w:styleId="fnChar2">
    <w:name w:val="fn Char2"/>
    <w:aliases w:val="Footnote Text Char2,ADB Char3,f Cha,fn Char4,ADB Char4,single space Char2,footnote text Char Char2,fn Char Char2,ADB Char Char2,single space Char Char Char2,FOOTNOTES Char Char Char Char2,FOOTNOTES Char3,Footnote Text Char2 Char Char1"/>
    <w:uiPriority w:val="99"/>
    <w:locked/>
    <w:rsid w:val="00080175"/>
    <w:rPr>
      <w:lang w:val="ru-RU" w:eastAsia="ru-RU"/>
    </w:rPr>
  </w:style>
  <w:style w:type="paragraph" w:customStyle="1" w:styleId="article-type">
    <w:name w:val="article-type"/>
    <w:basedOn w:val="Normal"/>
    <w:rsid w:val="00080175"/>
    <w:pPr>
      <w:spacing w:before="100" w:beforeAutospacing="1" w:after="100" w:afterAutospacing="1"/>
    </w:pPr>
    <w:rPr>
      <w:lang w:val="ru-RU" w:eastAsia="ru-RU"/>
    </w:rPr>
  </w:style>
  <w:style w:type="paragraph" w:customStyle="1" w:styleId="wpn-byline">
    <w:name w:val="wpn-byline"/>
    <w:basedOn w:val="Normal"/>
    <w:rsid w:val="00080175"/>
    <w:pPr>
      <w:spacing w:before="100" w:beforeAutospacing="1" w:after="100" w:afterAutospacing="1"/>
    </w:pPr>
    <w:rPr>
      <w:lang w:val="ru-RU" w:eastAsia="ru-RU"/>
    </w:rPr>
  </w:style>
  <w:style w:type="paragraph" w:customStyle="1" w:styleId="headline10margin-bottom-20">
    <w:name w:val="headline10 margin-bottom-20"/>
    <w:basedOn w:val="Normal"/>
    <w:rsid w:val="00080175"/>
    <w:pPr>
      <w:spacing w:before="100" w:beforeAutospacing="1" w:after="100" w:afterAutospacing="1"/>
    </w:pPr>
    <w:rPr>
      <w:lang w:val="ru-RU" w:eastAsia="ru-RU"/>
    </w:rPr>
  </w:style>
  <w:style w:type="character" w:customStyle="1" w:styleId="published">
    <w:name w:val="published"/>
    <w:rsid w:val="00080175"/>
  </w:style>
  <w:style w:type="character" w:customStyle="1" w:styleId="divider">
    <w:name w:val="divider"/>
    <w:rsid w:val="00080175"/>
  </w:style>
  <w:style w:type="character" w:customStyle="1" w:styleId="authorvcard">
    <w:name w:val="author vcard"/>
    <w:rsid w:val="00080175"/>
  </w:style>
  <w:style w:type="character" w:customStyle="1" w:styleId="category">
    <w:name w:val="category"/>
    <w:rsid w:val="00080175"/>
  </w:style>
  <w:style w:type="character" w:customStyle="1" w:styleId="before">
    <w:name w:val="before"/>
    <w:rsid w:val="00080175"/>
  </w:style>
  <w:style w:type="character" w:customStyle="1" w:styleId="aqj">
    <w:name w:val="aqj"/>
    <w:rsid w:val="00080175"/>
  </w:style>
  <w:style w:type="character" w:customStyle="1" w:styleId="gd">
    <w:name w:val="gd"/>
    <w:rsid w:val="00080175"/>
  </w:style>
  <w:style w:type="character" w:customStyle="1" w:styleId="g3">
    <w:name w:val="g3"/>
    <w:rsid w:val="00080175"/>
  </w:style>
  <w:style w:type="character" w:customStyle="1" w:styleId="goa1h">
    <w:name w:val="go a1h"/>
    <w:rsid w:val="00080175"/>
  </w:style>
  <w:style w:type="character" w:customStyle="1" w:styleId="hb">
    <w:name w:val="hb"/>
    <w:rsid w:val="00080175"/>
  </w:style>
  <w:style w:type="character" w:customStyle="1" w:styleId="g2">
    <w:name w:val="g2"/>
    <w:rsid w:val="00080175"/>
  </w:style>
  <w:style w:type="character" w:customStyle="1" w:styleId="sizzle">
    <w:name w:val="sizzle"/>
    <w:basedOn w:val="DefaultParagraphFont"/>
    <w:rsid w:val="00080175"/>
  </w:style>
  <w:style w:type="paragraph" w:customStyle="1" w:styleId="110">
    <w:name w:val="Абзац списка11"/>
    <w:basedOn w:val="Normal"/>
    <w:qFormat/>
    <w:rsid w:val="00080175"/>
    <w:pPr>
      <w:ind w:left="720"/>
    </w:pPr>
  </w:style>
  <w:style w:type="character" w:customStyle="1" w:styleId="CharChar112">
    <w:name w:val="Char Char112"/>
    <w:uiPriority w:val="99"/>
    <w:rsid w:val="00080175"/>
    <w:rPr>
      <w:rFonts w:ascii="Arial Armenian" w:hAnsi="Arial Armenian"/>
      <w:lang w:val="ru-RU" w:eastAsia="ru-RU" w:bidi="ar-SA"/>
    </w:rPr>
  </w:style>
  <w:style w:type="paragraph" w:customStyle="1" w:styleId="ad">
    <w:name w:val="Знак"/>
    <w:basedOn w:val="Normal"/>
    <w:rsid w:val="00080175"/>
    <w:pPr>
      <w:spacing w:line="240" w:lineRule="exact"/>
    </w:pPr>
    <w:rPr>
      <w:rFonts w:ascii="Arial" w:hAnsi="Arial" w:cs="Arial"/>
      <w:sz w:val="20"/>
      <w:szCs w:val="20"/>
      <w:lang w:val="en-GB"/>
    </w:rPr>
  </w:style>
  <w:style w:type="paragraph" w:customStyle="1" w:styleId="StyleGHEAGrapalatJustifiedAfter6ptLinespacingMultip">
    <w:name w:val="Style GHEA Grapalat Justified After:  6 pt Line spacing:  Multip..."/>
    <w:basedOn w:val="Normal"/>
    <w:rsid w:val="00080175"/>
    <w:pPr>
      <w:numPr>
        <w:numId w:val="13"/>
      </w:numPr>
      <w:spacing w:before="240" w:after="240"/>
    </w:pPr>
    <w:rPr>
      <w:szCs w:val="20"/>
      <w:lang w:val="hy-AM" w:eastAsia="ru-RU"/>
    </w:rPr>
  </w:style>
  <w:style w:type="paragraph" w:customStyle="1" w:styleId="StyleStyleHeading2ChapterParanumTextSylfaenGHEAGrapa">
    <w:name w:val="Style Style Heading 2.(Chapter).Paranum.Text + Sylfaen + GHEA Grapa..."/>
    <w:basedOn w:val="StyleHeading2ChapterParanumTextSylfaen"/>
    <w:qFormat/>
    <w:rsid w:val="00080175"/>
    <w:rPr>
      <w:rFonts w:ascii="GHEA Grapalat" w:hAnsi="GHEA Grapalat"/>
    </w:rPr>
  </w:style>
  <w:style w:type="paragraph" w:customStyle="1" w:styleId="18">
    <w:name w:val="Без интервала1"/>
    <w:link w:val="ae"/>
    <w:qFormat/>
    <w:rsid w:val="00080175"/>
    <w:rPr>
      <w:rFonts w:eastAsiaTheme="minorEastAsia"/>
      <w:lang w:val="ru-RU" w:eastAsia="ru-RU"/>
    </w:rPr>
  </w:style>
  <w:style w:type="character" w:customStyle="1" w:styleId="ae">
    <w:name w:val="Без интервала Знак"/>
    <w:link w:val="18"/>
    <w:rsid w:val="00080175"/>
    <w:rPr>
      <w:rFonts w:eastAsiaTheme="minorEastAsia"/>
      <w:lang w:val="ru-RU" w:eastAsia="ru-RU"/>
    </w:rPr>
  </w:style>
  <w:style w:type="paragraph" w:customStyle="1" w:styleId="111">
    <w:name w:val="Обычный11"/>
    <w:rsid w:val="00080175"/>
    <w:pPr>
      <w:autoSpaceDE w:val="0"/>
      <w:autoSpaceDN w:val="0"/>
    </w:pPr>
    <w:rPr>
      <w:rFonts w:eastAsiaTheme="minorEastAsia"/>
      <w:lang w:val="ru-RU" w:eastAsia="ru-RU"/>
    </w:rPr>
  </w:style>
  <w:style w:type="paragraph" w:customStyle="1" w:styleId="19">
    <w:name w:val="Рецензия1"/>
    <w:hidden/>
    <w:uiPriority w:val="99"/>
    <w:semiHidden/>
    <w:rsid w:val="00080175"/>
    <w:rPr>
      <w:rFonts w:ascii="Arial Armenian" w:eastAsiaTheme="minorEastAsia" w:hAnsi="Arial Armenian" w:cs="Sylfaen"/>
      <w:sz w:val="24"/>
      <w:szCs w:val="24"/>
      <w:lang w:val="ru-RU" w:eastAsia="ru-RU"/>
    </w:rPr>
  </w:style>
  <w:style w:type="paragraph" w:customStyle="1" w:styleId="32">
    <w:name w:val="???????? ????? ? ???????? 3"/>
    <w:basedOn w:val="a5"/>
    <w:uiPriority w:val="99"/>
    <w:rsid w:val="00080175"/>
    <w:pPr>
      <w:ind w:firstLine="360"/>
      <w:jc w:val="both"/>
    </w:pPr>
    <w:rPr>
      <w:rFonts w:ascii="Times Armenian" w:hAnsi="Times Armenian"/>
      <w:sz w:val="24"/>
      <w:lang w:val="af-ZA"/>
    </w:rPr>
  </w:style>
  <w:style w:type="paragraph" w:customStyle="1" w:styleId="60">
    <w:name w:val="????????? 6"/>
    <w:basedOn w:val="a5"/>
    <w:next w:val="a5"/>
    <w:uiPriority w:val="99"/>
    <w:rsid w:val="00080175"/>
    <w:pPr>
      <w:keepNext/>
      <w:jc w:val="center"/>
      <w:outlineLvl w:val="5"/>
    </w:pPr>
    <w:rPr>
      <w:rFonts w:ascii="Times Armenian" w:hAnsi="Times Armenian"/>
      <w:i/>
      <w:lang w:val="en-US"/>
    </w:rPr>
  </w:style>
  <w:style w:type="paragraph" w:customStyle="1" w:styleId="310">
    <w:name w:val="???????? ????? 31"/>
    <w:basedOn w:val="a5"/>
    <w:uiPriority w:val="99"/>
    <w:rsid w:val="00080175"/>
    <w:pPr>
      <w:jc w:val="center"/>
    </w:pPr>
    <w:rPr>
      <w:rFonts w:ascii="Arial Armenian" w:hAnsi="Arial Armenian"/>
      <w:sz w:val="24"/>
      <w:lang w:val="en-AU"/>
    </w:rPr>
  </w:style>
  <w:style w:type="paragraph" w:customStyle="1" w:styleId="25">
    <w:name w:val="????????? 2"/>
    <w:basedOn w:val="a5"/>
    <w:next w:val="a5"/>
    <w:uiPriority w:val="99"/>
    <w:rsid w:val="00080175"/>
    <w:pPr>
      <w:keepNext/>
      <w:ind w:firstLine="720"/>
      <w:outlineLvl w:val="1"/>
    </w:pPr>
    <w:rPr>
      <w:rFonts w:ascii="Times LatArm" w:hAnsi="Times LatArm"/>
      <w:b/>
      <w:i/>
      <w:sz w:val="28"/>
      <w:lang w:val="en-US"/>
    </w:rPr>
  </w:style>
  <w:style w:type="paragraph" w:customStyle="1" w:styleId="40">
    <w:name w:val="????????? 4"/>
    <w:basedOn w:val="a5"/>
    <w:next w:val="a5"/>
    <w:uiPriority w:val="99"/>
    <w:rsid w:val="00080175"/>
    <w:pPr>
      <w:keepNext/>
      <w:spacing w:line="360" w:lineRule="auto"/>
      <w:ind w:firstLine="360"/>
      <w:jc w:val="both"/>
      <w:outlineLvl w:val="3"/>
    </w:pPr>
    <w:rPr>
      <w:rFonts w:ascii="Times LatArm" w:hAnsi="Times LatArm"/>
      <w:i/>
      <w:sz w:val="24"/>
    </w:rPr>
  </w:style>
  <w:style w:type="paragraph" w:customStyle="1" w:styleId="1a">
    <w:name w:val="????????? 1"/>
    <w:basedOn w:val="Normal"/>
    <w:next w:val="Normal"/>
    <w:rsid w:val="00080175"/>
    <w:pPr>
      <w:keepNext/>
      <w:outlineLvl w:val="0"/>
    </w:pPr>
    <w:rPr>
      <w:rFonts w:ascii="Times Armenian" w:hAnsi="Times Armenian"/>
      <w:i/>
      <w:szCs w:val="20"/>
      <w:lang w:eastAsia="ru-RU"/>
    </w:rPr>
  </w:style>
  <w:style w:type="paragraph" w:customStyle="1" w:styleId="CharChar0">
    <w:name w:val="Знак Знак Char Char"/>
    <w:basedOn w:val="Normal"/>
    <w:rsid w:val="00080175"/>
    <w:pPr>
      <w:spacing w:line="240" w:lineRule="exact"/>
    </w:pPr>
    <w:rPr>
      <w:rFonts w:ascii="Arial" w:hAnsi="Arial" w:cs="Arial"/>
      <w:sz w:val="20"/>
      <w:szCs w:val="20"/>
    </w:rPr>
  </w:style>
  <w:style w:type="paragraph" w:customStyle="1" w:styleId="CharChar6">
    <w:name w:val="Знак Знак Char Char Знак Знак"/>
    <w:basedOn w:val="Normal"/>
    <w:rsid w:val="00080175"/>
    <w:pPr>
      <w:spacing w:line="240" w:lineRule="exact"/>
    </w:pPr>
    <w:rPr>
      <w:rFonts w:ascii="Arial" w:hAnsi="Arial" w:cs="Arial"/>
      <w:sz w:val="20"/>
      <w:szCs w:val="20"/>
    </w:rPr>
  </w:style>
  <w:style w:type="paragraph" w:customStyle="1" w:styleId="Para">
    <w:name w:val="Para"/>
    <w:basedOn w:val="Normal"/>
    <w:rsid w:val="00080175"/>
    <w:pPr>
      <w:suppressAutoHyphens/>
    </w:pPr>
    <w:rPr>
      <w:rFonts w:eastAsia="Calibri" w:cs="Sylfaen"/>
      <w:bCs/>
      <w:kern w:val="1"/>
      <w:lang w:val="hy-AM"/>
    </w:rPr>
  </w:style>
  <w:style w:type="paragraph" w:customStyle="1" w:styleId="ModelNrmlSingle">
    <w:name w:val="ModelNrmlSingle"/>
    <w:basedOn w:val="Normal"/>
    <w:rsid w:val="00080175"/>
    <w:pPr>
      <w:spacing w:after="240"/>
      <w:ind w:firstLine="720"/>
    </w:pPr>
    <w:rPr>
      <w:szCs w:val="20"/>
    </w:rPr>
  </w:style>
  <w:style w:type="paragraph" w:customStyle="1" w:styleId="Char5">
    <w:name w:val="Char5"/>
    <w:basedOn w:val="Normal"/>
    <w:rsid w:val="00080175"/>
    <w:pPr>
      <w:spacing w:line="240" w:lineRule="exact"/>
    </w:pPr>
    <w:rPr>
      <w:rFonts w:ascii="Arial" w:eastAsia="Calibri" w:hAnsi="Arial" w:cs="Arial"/>
      <w:sz w:val="20"/>
      <w:szCs w:val="20"/>
    </w:rPr>
  </w:style>
  <w:style w:type="paragraph" w:customStyle="1" w:styleId="33">
    <w:name w:val="Знак Знак3"/>
    <w:basedOn w:val="Normal"/>
    <w:link w:val="Char11"/>
    <w:rsid w:val="00080175"/>
    <w:pPr>
      <w:spacing w:line="240" w:lineRule="exact"/>
    </w:pPr>
    <w:rPr>
      <w:rFonts w:ascii="Arial" w:eastAsia="Calibri" w:hAnsi="Arial"/>
      <w:sz w:val="20"/>
      <w:szCs w:val="20"/>
      <w:lang w:val="en-GB"/>
    </w:rPr>
  </w:style>
  <w:style w:type="character" w:customStyle="1" w:styleId="Char11">
    <w:name w:val="Знак Знак Char1"/>
    <w:link w:val="33"/>
    <w:locked/>
    <w:rsid w:val="00080175"/>
    <w:rPr>
      <w:rFonts w:ascii="Arial" w:eastAsia="Calibri" w:hAnsi="Arial"/>
      <w:sz w:val="20"/>
      <w:szCs w:val="20"/>
      <w:lang w:val="en-GB"/>
    </w:rPr>
  </w:style>
  <w:style w:type="paragraph" w:customStyle="1" w:styleId="CharChar60">
    <w:name w:val="Char Char6"/>
    <w:basedOn w:val="Normal"/>
    <w:rsid w:val="00080175"/>
    <w:pPr>
      <w:spacing w:line="240" w:lineRule="exact"/>
    </w:pPr>
    <w:rPr>
      <w:rFonts w:ascii="Arial" w:eastAsia="Calibri" w:hAnsi="Arial" w:cs="Arial"/>
      <w:sz w:val="20"/>
      <w:szCs w:val="20"/>
    </w:rPr>
  </w:style>
  <w:style w:type="paragraph" w:customStyle="1" w:styleId="CharCharChar10">
    <w:name w:val="Char Char Char1"/>
    <w:basedOn w:val="Normal"/>
    <w:rsid w:val="00080175"/>
    <w:pPr>
      <w:spacing w:line="240" w:lineRule="exact"/>
    </w:pPr>
    <w:rPr>
      <w:rFonts w:ascii="Arial" w:eastAsia="Calibri" w:hAnsi="Arial" w:cs="Arial"/>
      <w:sz w:val="20"/>
      <w:szCs w:val="20"/>
    </w:rPr>
  </w:style>
  <w:style w:type="paragraph" w:customStyle="1" w:styleId="Znak1">
    <w:name w:val="Znak1"/>
    <w:basedOn w:val="Normal"/>
    <w:rsid w:val="00080175"/>
    <w:pPr>
      <w:tabs>
        <w:tab w:val="left" w:pos="709"/>
      </w:tabs>
    </w:pPr>
    <w:rPr>
      <w:rFonts w:ascii="Tahoma" w:eastAsia="Calibri" w:hAnsi="Tahoma"/>
      <w:lang w:val="pl-PL" w:eastAsia="pl-PL"/>
    </w:rPr>
  </w:style>
  <w:style w:type="paragraph" w:customStyle="1" w:styleId="CharCharCharCharCharCharCharCharCharCharCharCharChar1">
    <w:name w:val="Char Char Char Char Char Char Char Char Char Char Char Char Char1"/>
    <w:basedOn w:val="Normal"/>
    <w:rsid w:val="00080175"/>
    <w:pPr>
      <w:spacing w:line="240" w:lineRule="exact"/>
    </w:pPr>
    <w:rPr>
      <w:rFonts w:ascii="Arial" w:eastAsia="Calibri" w:hAnsi="Arial" w:cs="Arial"/>
      <w:sz w:val="20"/>
      <w:szCs w:val="20"/>
    </w:rPr>
  </w:style>
  <w:style w:type="paragraph" w:customStyle="1" w:styleId="Char12">
    <w:name w:val="Знак Знак Знак Знак Знак Знак Знак Знак Знак Знак Знак Знак Знак Знак Знак Знак Знак Знак Char Знак Знак1"/>
    <w:basedOn w:val="Normal"/>
    <w:rsid w:val="00080175"/>
    <w:pPr>
      <w:spacing w:line="240" w:lineRule="exact"/>
    </w:pPr>
    <w:rPr>
      <w:rFonts w:eastAsia="Calibri"/>
      <w:sz w:val="28"/>
      <w:szCs w:val="20"/>
    </w:rPr>
  </w:style>
  <w:style w:type="paragraph" w:customStyle="1" w:styleId="CharCharChar11">
    <w:name w:val="Char Char Char Знак1"/>
    <w:basedOn w:val="Normal"/>
    <w:next w:val="Normal"/>
    <w:rsid w:val="00080175"/>
    <w:pPr>
      <w:spacing w:line="240" w:lineRule="exact"/>
    </w:pPr>
    <w:rPr>
      <w:rFonts w:ascii="Tahoma" w:eastAsia="Calibri" w:hAnsi="Tahoma"/>
      <w:szCs w:val="20"/>
    </w:rPr>
  </w:style>
  <w:style w:type="paragraph" w:customStyle="1" w:styleId="CharCharCharCharCharCharCharChar1">
    <w:name w:val="Char Char Char Char Char Char Char Char1"/>
    <w:basedOn w:val="Normal"/>
    <w:rsid w:val="00080175"/>
    <w:pPr>
      <w:spacing w:line="240" w:lineRule="exact"/>
    </w:pPr>
    <w:rPr>
      <w:rFonts w:ascii="Arial" w:eastAsia="Calibri" w:hAnsi="Arial" w:cs="Arial"/>
      <w:sz w:val="20"/>
      <w:szCs w:val="20"/>
    </w:rPr>
  </w:style>
  <w:style w:type="paragraph" w:customStyle="1" w:styleId="CharCharCharCharCharCharCharCharCharCharCharCharCharCharChar2">
    <w:name w:val="Char Char Char Char Знак Char Знак Char Char Char Char Char Char Char Char Char Char2"/>
    <w:basedOn w:val="Normal"/>
    <w:rsid w:val="00080175"/>
    <w:pPr>
      <w:tabs>
        <w:tab w:val="left" w:pos="709"/>
      </w:tabs>
    </w:pPr>
    <w:rPr>
      <w:rFonts w:ascii="Tahoma" w:eastAsia="Calibri" w:hAnsi="Tahoma"/>
      <w:lang w:val="pl-PL" w:eastAsia="pl-PL"/>
    </w:rPr>
  </w:style>
  <w:style w:type="paragraph" w:customStyle="1" w:styleId="CharCharCharCharCharCharChar1">
    <w:name w:val="Char Char Char Char Char Char Char1"/>
    <w:basedOn w:val="Normal"/>
    <w:rsid w:val="00080175"/>
    <w:pPr>
      <w:spacing w:line="240" w:lineRule="exact"/>
    </w:pPr>
    <w:rPr>
      <w:rFonts w:ascii="Arial" w:eastAsia="Calibri" w:hAnsi="Arial" w:cs="Arial"/>
      <w:sz w:val="20"/>
      <w:szCs w:val="20"/>
    </w:rPr>
  </w:style>
  <w:style w:type="paragraph" w:customStyle="1" w:styleId="CharCharChar12">
    <w:name w:val="Char Char Char Знак Знак1"/>
    <w:basedOn w:val="Normal"/>
    <w:rsid w:val="00080175"/>
    <w:pPr>
      <w:spacing w:line="240" w:lineRule="exact"/>
    </w:pPr>
    <w:rPr>
      <w:rFonts w:ascii="Arial" w:eastAsia="Calibri" w:hAnsi="Arial" w:cs="Arial"/>
      <w:sz w:val="20"/>
      <w:szCs w:val="20"/>
    </w:rPr>
  </w:style>
  <w:style w:type="paragraph" w:customStyle="1" w:styleId="CharCharCharCharCharCharCharCharCharChar1">
    <w:name w:val="Char Char Char Char Char Char Char Char Char Char1"/>
    <w:basedOn w:val="Normal"/>
    <w:rsid w:val="00080175"/>
    <w:pPr>
      <w:spacing w:line="240" w:lineRule="exact"/>
    </w:pPr>
    <w:rPr>
      <w:rFonts w:ascii="Arial" w:eastAsia="Calibri" w:hAnsi="Arial" w:cs="Arial"/>
      <w:sz w:val="20"/>
      <w:szCs w:val="20"/>
    </w:rPr>
  </w:style>
  <w:style w:type="paragraph" w:customStyle="1" w:styleId="1CharChar1">
    <w:name w:val="Знак Знак1 Char Char Знак Знак1"/>
    <w:basedOn w:val="Normal"/>
    <w:rsid w:val="00080175"/>
    <w:pPr>
      <w:tabs>
        <w:tab w:val="left" w:pos="840"/>
      </w:tabs>
      <w:spacing w:line="240" w:lineRule="exact"/>
      <w:ind w:left="840" w:hanging="360"/>
    </w:pPr>
    <w:rPr>
      <w:rFonts w:ascii="Verdana" w:eastAsia="Calibri" w:hAnsi="Verdana"/>
      <w:sz w:val="20"/>
      <w:szCs w:val="20"/>
      <w:lang w:val="ru-RU"/>
    </w:rPr>
  </w:style>
  <w:style w:type="paragraph" w:customStyle="1" w:styleId="CharCharCharChar1">
    <w:name w:val="Знак Знак Char Char Знак Знак Char Char Знак Знак1"/>
    <w:basedOn w:val="Normal"/>
    <w:rsid w:val="00080175"/>
    <w:pPr>
      <w:spacing w:line="240" w:lineRule="exact"/>
    </w:pPr>
    <w:rPr>
      <w:rFonts w:eastAsia="Calibri"/>
      <w:sz w:val="28"/>
      <w:szCs w:val="20"/>
    </w:rPr>
  </w:style>
  <w:style w:type="paragraph" w:customStyle="1" w:styleId="CharCharChar1Char1">
    <w:name w:val="Char Char Char1 Char1"/>
    <w:basedOn w:val="Normal"/>
    <w:rsid w:val="00080175"/>
    <w:pPr>
      <w:spacing w:line="240" w:lineRule="exact"/>
    </w:pPr>
    <w:rPr>
      <w:rFonts w:ascii="Arial" w:eastAsia="Calibri" w:hAnsi="Arial" w:cs="Arial"/>
      <w:sz w:val="20"/>
      <w:szCs w:val="20"/>
    </w:rPr>
  </w:style>
  <w:style w:type="paragraph" w:customStyle="1" w:styleId="112">
    <w:name w:val="Знак Знак11"/>
    <w:basedOn w:val="Normal"/>
    <w:rsid w:val="00080175"/>
    <w:pPr>
      <w:spacing w:line="240" w:lineRule="exact"/>
    </w:pPr>
    <w:rPr>
      <w:rFonts w:ascii="Arial" w:eastAsia="MS Mincho" w:hAnsi="Arial" w:cs="Arial"/>
      <w:sz w:val="20"/>
      <w:szCs w:val="20"/>
    </w:rPr>
  </w:style>
  <w:style w:type="paragraph" w:customStyle="1" w:styleId="CharCharCharCharChar10">
    <w:name w:val="Char Char Char Char Char Знак Знак1"/>
    <w:basedOn w:val="Normal"/>
    <w:rsid w:val="00080175"/>
    <w:pPr>
      <w:spacing w:line="240" w:lineRule="exact"/>
    </w:pPr>
    <w:rPr>
      <w:rFonts w:ascii="Arial" w:eastAsia="Calibri" w:hAnsi="Arial" w:cs="Arial"/>
      <w:sz w:val="20"/>
      <w:szCs w:val="20"/>
    </w:rPr>
  </w:style>
  <w:style w:type="paragraph" w:customStyle="1" w:styleId="CharChar1CharCharChar1Char1">
    <w:name w:val="Char Char1 Char Char Char1 Char1"/>
    <w:basedOn w:val="Normal"/>
    <w:rsid w:val="00080175"/>
    <w:rPr>
      <w:rFonts w:eastAsia="SimSun"/>
      <w:sz w:val="20"/>
      <w:szCs w:val="20"/>
      <w:lang w:eastAsia="ru-RU"/>
    </w:rPr>
  </w:style>
  <w:style w:type="paragraph" w:customStyle="1" w:styleId="41">
    <w:name w:val="Знак Знак41"/>
    <w:basedOn w:val="Normal"/>
    <w:rsid w:val="00080175"/>
    <w:pPr>
      <w:tabs>
        <w:tab w:val="left" w:pos="709"/>
      </w:tabs>
    </w:pPr>
    <w:rPr>
      <w:rFonts w:ascii="Tahoma" w:eastAsia="Calibri" w:hAnsi="Tahoma"/>
      <w:lang w:val="pl-PL" w:eastAsia="pl-PL"/>
    </w:rPr>
  </w:style>
  <w:style w:type="paragraph" w:customStyle="1" w:styleId="Char13">
    <w:name w:val="Знак Char Знак1"/>
    <w:basedOn w:val="Normal"/>
    <w:rsid w:val="00080175"/>
    <w:pPr>
      <w:spacing w:line="240" w:lineRule="exact"/>
    </w:pPr>
    <w:rPr>
      <w:rFonts w:ascii="Arial" w:eastAsia="Batang" w:hAnsi="Arial" w:cs="Arial"/>
      <w:sz w:val="20"/>
      <w:szCs w:val="20"/>
    </w:rPr>
  </w:style>
  <w:style w:type="paragraph" w:customStyle="1" w:styleId="CharCharCharCharCharChar1">
    <w:name w:val="Знак Знак Char Char Знак Знак Char Char Знак Знак Char Char1"/>
    <w:basedOn w:val="Normal"/>
    <w:rsid w:val="00080175"/>
    <w:pPr>
      <w:spacing w:line="240" w:lineRule="exact"/>
    </w:pPr>
    <w:rPr>
      <w:rFonts w:eastAsia="Calibri"/>
      <w:sz w:val="28"/>
      <w:szCs w:val="20"/>
    </w:rPr>
  </w:style>
  <w:style w:type="paragraph" w:customStyle="1" w:styleId="212">
    <w:name w:val="Знак Знак21"/>
    <w:basedOn w:val="Normal"/>
    <w:rsid w:val="00080175"/>
    <w:pPr>
      <w:spacing w:line="240" w:lineRule="exact"/>
    </w:pPr>
    <w:rPr>
      <w:rFonts w:ascii="Arial" w:eastAsia="Calibri" w:hAnsi="Arial" w:cs="Arial"/>
      <w:sz w:val="20"/>
      <w:szCs w:val="20"/>
    </w:rPr>
  </w:style>
  <w:style w:type="paragraph" w:customStyle="1" w:styleId="CharCharCharCharChar11">
    <w:name w:val="Char Char Char Char Char1"/>
    <w:basedOn w:val="Normal"/>
    <w:rsid w:val="00080175"/>
    <w:pPr>
      <w:spacing w:line="240" w:lineRule="exact"/>
    </w:pPr>
    <w:rPr>
      <w:rFonts w:ascii="Arial" w:eastAsia="Calibri" w:hAnsi="Arial" w:cs="Arial"/>
      <w:sz w:val="20"/>
      <w:szCs w:val="20"/>
    </w:rPr>
  </w:style>
  <w:style w:type="paragraph" w:customStyle="1" w:styleId="CharCharCharCharChar12">
    <w:name w:val="Знак Char Char Знак Char Char Char1"/>
    <w:aliases w:val="Знак Char Char Знак Char Char1 Знак"/>
    <w:basedOn w:val="Normal"/>
    <w:next w:val="Normal"/>
    <w:semiHidden/>
    <w:rsid w:val="00080175"/>
    <w:pPr>
      <w:spacing w:line="240" w:lineRule="exact"/>
    </w:pPr>
    <w:rPr>
      <w:rFonts w:ascii="Arial" w:eastAsia="Calibri" w:hAnsi="Arial" w:cs="Arial"/>
      <w:b/>
      <w:sz w:val="20"/>
      <w:szCs w:val="20"/>
      <w:lang w:val="en-GB"/>
    </w:rPr>
  </w:style>
  <w:style w:type="paragraph" w:customStyle="1" w:styleId="ListParagraph11">
    <w:name w:val="List Paragraph11"/>
    <w:basedOn w:val="Normal"/>
    <w:rsid w:val="00080175"/>
    <w:pPr>
      <w:ind w:left="720" w:right="201" w:firstLine="900"/>
      <w:contextualSpacing/>
    </w:pPr>
    <w:rPr>
      <w:rFonts w:ascii="Times Armenian" w:eastAsia="Calibri" w:hAnsi="Times Armenian"/>
      <w:sz w:val="28"/>
      <w:szCs w:val="28"/>
      <w:lang w:val="hy-AM" w:eastAsia="ru-RU"/>
    </w:rPr>
  </w:style>
  <w:style w:type="paragraph" w:customStyle="1" w:styleId="CharCharCharCharCharChar2">
    <w:name w:val="Char Char Char Char Char Char2"/>
    <w:basedOn w:val="Normal"/>
    <w:rsid w:val="00080175"/>
    <w:pPr>
      <w:spacing w:line="240" w:lineRule="exact"/>
    </w:pPr>
    <w:rPr>
      <w:rFonts w:ascii="Arial" w:eastAsia="Calibri" w:hAnsi="Arial" w:cs="Arial"/>
      <w:sz w:val="20"/>
      <w:szCs w:val="20"/>
    </w:rPr>
  </w:style>
  <w:style w:type="paragraph" w:customStyle="1" w:styleId="CharChar12">
    <w:name w:val="Char Char12"/>
    <w:basedOn w:val="Normal"/>
    <w:rsid w:val="00080175"/>
    <w:pPr>
      <w:spacing w:line="240" w:lineRule="exact"/>
    </w:pPr>
    <w:rPr>
      <w:rFonts w:ascii="Arial" w:eastAsia="Calibri" w:hAnsi="Arial" w:cs="Arial"/>
      <w:sz w:val="20"/>
      <w:szCs w:val="20"/>
    </w:rPr>
  </w:style>
  <w:style w:type="paragraph" w:customStyle="1" w:styleId="34">
    <w:name w:val="Знак3"/>
    <w:basedOn w:val="Normal"/>
    <w:rsid w:val="00080175"/>
    <w:pPr>
      <w:spacing w:line="240" w:lineRule="exact"/>
    </w:pPr>
    <w:rPr>
      <w:rFonts w:ascii="Arial" w:eastAsia="Calibri" w:hAnsi="Arial" w:cs="Arial"/>
      <w:sz w:val="20"/>
      <w:szCs w:val="20"/>
      <w:lang w:val="en-GB"/>
    </w:rPr>
  </w:style>
  <w:style w:type="paragraph" w:customStyle="1" w:styleId="BodyText11">
    <w:name w:val="Body Text11"/>
    <w:basedOn w:val="Normal"/>
    <w:rsid w:val="00080175"/>
    <w:pPr>
      <w:tabs>
        <w:tab w:val="left" w:pos="0"/>
      </w:tabs>
      <w:spacing w:after="240"/>
    </w:pPr>
    <w:rPr>
      <w:rFonts w:ascii="Times Armenian" w:hAnsi="Times Armenian"/>
      <w:lang w:eastAsia="ru-RU"/>
    </w:rPr>
  </w:style>
  <w:style w:type="paragraph" w:styleId="Quote">
    <w:name w:val="Quote"/>
    <w:basedOn w:val="Normal"/>
    <w:next w:val="Normal"/>
    <w:link w:val="QuoteChar"/>
    <w:uiPriority w:val="29"/>
    <w:qFormat/>
    <w:rsid w:val="00080175"/>
    <w:pPr>
      <w:spacing w:before="200" w:after="0"/>
      <w:ind w:left="360" w:right="360"/>
    </w:pPr>
    <w:rPr>
      <w:i/>
      <w:iCs/>
    </w:rPr>
  </w:style>
  <w:style w:type="character" w:customStyle="1" w:styleId="QuoteChar">
    <w:name w:val="Quote Char"/>
    <w:basedOn w:val="DefaultParagraphFont"/>
    <w:link w:val="Quote"/>
    <w:uiPriority w:val="29"/>
    <w:rsid w:val="00080175"/>
    <w:rPr>
      <w:rFonts w:ascii="GHEA Grapalat" w:eastAsiaTheme="minorEastAsia" w:hAnsi="GHEA Grapalat"/>
      <w:i/>
      <w:iCs/>
    </w:rPr>
  </w:style>
  <w:style w:type="character" w:customStyle="1" w:styleId="IntenseEmphasis1">
    <w:name w:val="Intense Emphasis1"/>
    <w:qFormat/>
    <w:rsid w:val="00080175"/>
    <w:rPr>
      <w:b/>
      <w:bCs/>
    </w:rPr>
  </w:style>
  <w:style w:type="paragraph" w:customStyle="1" w:styleId="ListParagraph2">
    <w:name w:val="List Paragraph2"/>
    <w:basedOn w:val="Normal"/>
    <w:qFormat/>
    <w:rsid w:val="00080175"/>
    <w:pPr>
      <w:ind w:left="720"/>
      <w:contextualSpacing/>
    </w:pPr>
    <w:rPr>
      <w:lang w:val="ru-RU" w:eastAsia="ru-RU"/>
    </w:rPr>
  </w:style>
  <w:style w:type="character" w:customStyle="1" w:styleId="A00">
    <w:name w:val="A0"/>
    <w:rsid w:val="00080175"/>
    <w:rPr>
      <w:color w:val="000000"/>
      <w:sz w:val="56"/>
      <w:szCs w:val="56"/>
    </w:rPr>
  </w:style>
  <w:style w:type="paragraph" w:customStyle="1" w:styleId="1b">
    <w:name w:val="Знак1"/>
    <w:basedOn w:val="Normal"/>
    <w:rsid w:val="00080175"/>
    <w:pPr>
      <w:spacing w:line="240" w:lineRule="exact"/>
    </w:pPr>
    <w:rPr>
      <w:rFonts w:ascii="Arial" w:hAnsi="Arial" w:cs="Arial"/>
      <w:sz w:val="20"/>
      <w:szCs w:val="20"/>
      <w:lang w:val="en-GB"/>
    </w:rPr>
  </w:style>
  <w:style w:type="character" w:customStyle="1" w:styleId="1c">
    <w:name w:val="Текст сноски Знак1"/>
    <w:semiHidden/>
    <w:rsid w:val="00080175"/>
    <w:rPr>
      <w:sz w:val="20"/>
      <w:szCs w:val="20"/>
    </w:rPr>
  </w:style>
  <w:style w:type="character" w:customStyle="1" w:styleId="CharChar28">
    <w:name w:val="Char Char28"/>
    <w:rsid w:val="00080175"/>
    <w:rPr>
      <w:rFonts w:ascii="Arial Armenian" w:hAnsi="Arial Armenian"/>
      <w:i/>
      <w:sz w:val="22"/>
      <w:u w:val="single"/>
      <w:lang w:val="en-GB"/>
    </w:rPr>
  </w:style>
  <w:style w:type="character" w:customStyle="1" w:styleId="CharChar27">
    <w:name w:val="Char Char27"/>
    <w:rsid w:val="00080175"/>
    <w:rPr>
      <w:rFonts w:ascii="Garamond" w:hAnsi="Garamond"/>
      <w:i/>
      <w:spacing w:val="-5"/>
      <w:sz w:val="28"/>
      <w:shd w:val="pct5" w:color="auto" w:fill="auto"/>
      <w:lang w:val="en-GB"/>
    </w:rPr>
  </w:style>
  <w:style w:type="character" w:customStyle="1" w:styleId="CharChar26">
    <w:name w:val="Char Char26"/>
    <w:rsid w:val="00080175"/>
    <w:rPr>
      <w:rFonts w:ascii="Arial Black" w:hAnsi="Arial Black"/>
      <w:caps/>
      <w:spacing w:val="60"/>
      <w:position w:val="4"/>
      <w:sz w:val="14"/>
      <w:lang w:val="en-GB"/>
    </w:rPr>
  </w:style>
  <w:style w:type="character" w:customStyle="1" w:styleId="CharChar25">
    <w:name w:val="Char Char25"/>
    <w:rsid w:val="00080175"/>
    <w:rPr>
      <w:rFonts w:ascii="Garamond" w:hAnsi="Garamond"/>
      <w:b/>
      <w:i/>
      <w:kern w:val="28"/>
      <w:lang w:val="en-GB"/>
    </w:rPr>
  </w:style>
  <w:style w:type="character" w:customStyle="1" w:styleId="CharChar24">
    <w:name w:val="Char Char24"/>
    <w:rsid w:val="00080175"/>
    <w:rPr>
      <w:rFonts w:ascii="Arial Armenian" w:hAnsi="Arial Armenian"/>
      <w:lang w:val="en-US" w:eastAsia="en-US" w:bidi="ar-SA"/>
    </w:rPr>
  </w:style>
  <w:style w:type="character" w:customStyle="1" w:styleId="CharChar23">
    <w:name w:val="Char Char23"/>
    <w:rsid w:val="00080175"/>
    <w:rPr>
      <w:rFonts w:ascii="Arial Armenian" w:hAnsi="Arial Armenian"/>
      <w:lang w:val="en-GB" w:eastAsia="en-US" w:bidi="ar-SA"/>
    </w:rPr>
  </w:style>
  <w:style w:type="character" w:customStyle="1" w:styleId="CharChar22">
    <w:name w:val="Char Char22"/>
    <w:qFormat/>
    <w:rsid w:val="00080175"/>
    <w:rPr>
      <w:rFonts w:ascii="Arial Armenian" w:hAnsi="Arial Armenian"/>
      <w:lang w:val="ru-RU" w:eastAsia="ru-RU" w:bidi="ar-SA"/>
    </w:rPr>
  </w:style>
  <w:style w:type="paragraph" w:customStyle="1" w:styleId="Outline">
    <w:name w:val="Outline"/>
    <w:basedOn w:val="Normal"/>
    <w:rsid w:val="00080175"/>
    <w:pPr>
      <w:spacing w:before="240"/>
    </w:pPr>
    <w:rPr>
      <w:kern w:val="28"/>
      <w:szCs w:val="20"/>
    </w:rPr>
  </w:style>
  <w:style w:type="paragraph" w:customStyle="1" w:styleId="af">
    <w:name w:val="Îáû÷íûé"/>
    <w:rsid w:val="00080175"/>
    <w:rPr>
      <w:rFonts w:ascii="Times Armenian" w:eastAsiaTheme="minorEastAsia" w:hAnsi="Times Armenian"/>
      <w:sz w:val="24"/>
    </w:rPr>
  </w:style>
  <w:style w:type="paragraph" w:customStyle="1" w:styleId="Style13">
    <w:name w:val="Style13"/>
    <w:basedOn w:val="Normal"/>
    <w:rsid w:val="00080175"/>
    <w:pPr>
      <w:widowControl w:val="0"/>
      <w:autoSpaceDE w:val="0"/>
      <w:autoSpaceDN w:val="0"/>
      <w:adjustRightInd w:val="0"/>
    </w:pPr>
    <w:rPr>
      <w:rFonts w:ascii="Tahoma" w:eastAsia="SimSun" w:hAnsi="Tahoma" w:cs="Tahoma"/>
    </w:rPr>
  </w:style>
  <w:style w:type="character" w:customStyle="1" w:styleId="FontStyle27">
    <w:name w:val="Font Style27"/>
    <w:rsid w:val="00080175"/>
    <w:rPr>
      <w:rFonts w:ascii="Tahoma" w:hAnsi="Tahoma" w:cs="Tahoma" w:hint="default"/>
      <w:sz w:val="14"/>
      <w:szCs w:val="14"/>
    </w:rPr>
  </w:style>
  <w:style w:type="paragraph" w:customStyle="1" w:styleId="Style14">
    <w:name w:val="Style14"/>
    <w:basedOn w:val="Normal"/>
    <w:rsid w:val="00080175"/>
    <w:pPr>
      <w:widowControl w:val="0"/>
      <w:autoSpaceDE w:val="0"/>
      <w:autoSpaceDN w:val="0"/>
      <w:adjustRightInd w:val="0"/>
      <w:spacing w:line="211" w:lineRule="exact"/>
    </w:pPr>
    <w:rPr>
      <w:rFonts w:ascii="Tahoma" w:eastAsia="SimSun" w:hAnsi="Tahoma" w:cs="Tahoma"/>
    </w:rPr>
  </w:style>
  <w:style w:type="character" w:customStyle="1" w:styleId="FontStyle26">
    <w:name w:val="Font Style26"/>
    <w:rsid w:val="00080175"/>
    <w:rPr>
      <w:rFonts w:ascii="Tahoma" w:hAnsi="Tahoma" w:cs="Tahoma" w:hint="default"/>
      <w:i/>
      <w:iCs/>
      <w:spacing w:val="10"/>
      <w:sz w:val="16"/>
      <w:szCs w:val="16"/>
    </w:rPr>
  </w:style>
  <w:style w:type="character" w:customStyle="1" w:styleId="FontStyle53">
    <w:name w:val="Font Style53"/>
    <w:rsid w:val="00080175"/>
    <w:rPr>
      <w:rFonts w:ascii="Sylfaen" w:hAnsi="Sylfaen"/>
      <w:sz w:val="18"/>
    </w:rPr>
  </w:style>
  <w:style w:type="character" w:customStyle="1" w:styleId="shorttext">
    <w:name w:val="short_text"/>
    <w:rsid w:val="00080175"/>
    <w:rPr>
      <w:rFonts w:cs="Times New Roman"/>
    </w:rPr>
  </w:style>
  <w:style w:type="table" w:customStyle="1" w:styleId="LightList-Accent11">
    <w:name w:val="Light List - Accent 11"/>
    <w:basedOn w:val="TableNormal"/>
    <w:uiPriority w:val="61"/>
    <w:rsid w:val="00080175"/>
    <w:pPr>
      <w:spacing w:after="0" w:line="240" w:lineRule="auto"/>
    </w:pPr>
    <w:rPr>
      <w:rFonts w:eastAsiaTheme="minorEastAsia"/>
      <w:sz w:val="20"/>
      <w:szCs w:val="20"/>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NoSpacing1">
    <w:name w:val="No Spacing1"/>
    <w:qFormat/>
    <w:rsid w:val="00080175"/>
    <w:rPr>
      <w:rFonts w:eastAsiaTheme="minorEastAsia"/>
    </w:rPr>
  </w:style>
  <w:style w:type="paragraph" w:customStyle="1" w:styleId="26">
    <w:name w:val="Обычный2"/>
    <w:rsid w:val="00080175"/>
    <w:pPr>
      <w:autoSpaceDE w:val="0"/>
      <w:autoSpaceDN w:val="0"/>
    </w:pPr>
    <w:rPr>
      <w:rFonts w:eastAsiaTheme="minorEastAsia"/>
      <w:lang w:val="ru-RU" w:eastAsia="ru-RU"/>
    </w:rPr>
  </w:style>
  <w:style w:type="character" w:customStyle="1" w:styleId="NoSpacingChar1">
    <w:name w:val="No Spacing Char1"/>
    <w:rsid w:val="00080175"/>
    <w:rPr>
      <w:rFonts w:ascii="Calibri" w:eastAsia="Times New Roman" w:hAnsi="Calibri" w:cs="Times New Roman"/>
      <w:lang w:val="en-US"/>
    </w:rPr>
  </w:style>
  <w:style w:type="paragraph" w:customStyle="1" w:styleId="Quote1">
    <w:name w:val="Quote1"/>
    <w:basedOn w:val="Normal"/>
    <w:next w:val="Normal"/>
    <w:qFormat/>
    <w:rsid w:val="00080175"/>
    <w:rPr>
      <w:i/>
      <w:iCs/>
      <w:color w:val="000000"/>
    </w:rPr>
  </w:style>
  <w:style w:type="table" w:customStyle="1" w:styleId="ColorfulGrid-Accent11">
    <w:name w:val="Colorful Grid - Accent 11"/>
    <w:basedOn w:val="TableNormal"/>
    <w:rsid w:val="00080175"/>
    <w:pPr>
      <w:spacing w:after="0" w:line="240" w:lineRule="auto"/>
    </w:pPr>
    <w:rPr>
      <w:rFonts w:eastAsiaTheme="minorEastAsia"/>
      <w:color w:val="000000"/>
      <w:sz w:val="20"/>
      <w:szCs w:val="20"/>
      <w:lang w:eastAsia="ru-RU"/>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
    <w:name w:val="Light List - Accent 51"/>
    <w:basedOn w:val="TableNormal"/>
    <w:rsid w:val="00080175"/>
    <w:pPr>
      <w:spacing w:after="0" w:line="240" w:lineRule="auto"/>
    </w:pPr>
    <w:rPr>
      <w:rFonts w:eastAsiaTheme="minorEastAsia"/>
      <w:sz w:val="20"/>
      <w:szCs w:val="20"/>
      <w:lang w:eastAsia="ru-RU"/>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Standard">
    <w:name w:val="Standard"/>
    <w:rsid w:val="00080175"/>
    <w:pPr>
      <w:widowControl w:val="0"/>
      <w:suppressAutoHyphens/>
      <w:autoSpaceDN w:val="0"/>
      <w:textAlignment w:val="baseline"/>
    </w:pPr>
    <w:rPr>
      <w:rFonts w:eastAsiaTheme="minorEastAsia"/>
      <w:kern w:val="3"/>
      <w:sz w:val="24"/>
      <w:szCs w:val="24"/>
    </w:rPr>
  </w:style>
  <w:style w:type="character" w:customStyle="1" w:styleId="PageNumber1">
    <w:name w:val="Page Number1"/>
    <w:rsid w:val="00080175"/>
    <w:rPr>
      <w:rFonts w:cs="Times New Roman"/>
    </w:rPr>
  </w:style>
  <w:style w:type="character" w:customStyle="1" w:styleId="af0">
    <w:name w:val="Основной текст_"/>
    <w:rsid w:val="00080175"/>
    <w:rPr>
      <w:rFonts w:ascii="Sylfaen" w:hAnsi="Sylfaen" w:cs="Sylfaen"/>
      <w:spacing w:val="20"/>
      <w:w w:val="80"/>
      <w:shd w:val="clear" w:color="auto" w:fill="FFFFFF"/>
    </w:rPr>
  </w:style>
  <w:style w:type="character" w:customStyle="1" w:styleId="27">
    <w:name w:val="Основной текст (2)_"/>
    <w:rsid w:val="00080175"/>
    <w:rPr>
      <w:rFonts w:ascii="Sylfaen" w:hAnsi="Sylfaen" w:cs="Sylfaen"/>
      <w:i/>
      <w:iCs/>
      <w:shd w:val="clear" w:color="auto" w:fill="FFFFFF"/>
    </w:rPr>
  </w:style>
  <w:style w:type="character" w:customStyle="1" w:styleId="35">
    <w:name w:val="Основной текст (3)_"/>
    <w:rsid w:val="00080175"/>
    <w:rPr>
      <w:rFonts w:ascii="Sylfaen" w:hAnsi="Sylfaen" w:cs="Sylfaen"/>
      <w:spacing w:val="20"/>
      <w:w w:val="80"/>
      <w:sz w:val="21"/>
      <w:szCs w:val="21"/>
      <w:shd w:val="clear" w:color="auto" w:fill="FFFFFF"/>
    </w:rPr>
  </w:style>
  <w:style w:type="character" w:customStyle="1" w:styleId="311pt">
    <w:name w:val="Основной текст (3) + 11 pt"/>
    <w:rsid w:val="00080175"/>
    <w:rPr>
      <w:rFonts w:ascii="Sylfaen" w:hAnsi="Sylfaen" w:cs="Sylfaen"/>
      <w:i/>
      <w:iCs/>
      <w:spacing w:val="0"/>
      <w:w w:val="100"/>
      <w:sz w:val="22"/>
      <w:szCs w:val="22"/>
      <w:shd w:val="clear" w:color="auto" w:fill="FFFFFF"/>
    </w:rPr>
  </w:style>
  <w:style w:type="character" w:customStyle="1" w:styleId="311pt1">
    <w:name w:val="Основной текст (3) + 11 pt1"/>
    <w:rsid w:val="00080175"/>
    <w:rPr>
      <w:rFonts w:ascii="Sylfaen" w:hAnsi="Sylfaen" w:cs="Sylfaen"/>
      <w:spacing w:val="0"/>
      <w:w w:val="100"/>
      <w:sz w:val="22"/>
      <w:szCs w:val="22"/>
      <w:shd w:val="clear" w:color="auto" w:fill="FFFFFF"/>
    </w:rPr>
  </w:style>
  <w:style w:type="character" w:customStyle="1" w:styleId="28">
    <w:name w:val="Основной текст2"/>
    <w:rsid w:val="00080175"/>
  </w:style>
  <w:style w:type="character" w:customStyle="1" w:styleId="42">
    <w:name w:val="Основной текст (4)_"/>
    <w:rsid w:val="00080175"/>
    <w:rPr>
      <w:rFonts w:ascii="Sylfaen" w:hAnsi="Sylfaen" w:cs="Sylfaen"/>
      <w:spacing w:val="20"/>
      <w:w w:val="80"/>
      <w:shd w:val="clear" w:color="auto" w:fill="FFFFFF"/>
    </w:rPr>
  </w:style>
  <w:style w:type="character" w:customStyle="1" w:styleId="4pt">
    <w:name w:val="Основной текст + 4 pt"/>
    <w:rsid w:val="00080175"/>
    <w:rPr>
      <w:rFonts w:ascii="Sylfaen" w:hAnsi="Sylfaen" w:cs="Sylfaen"/>
      <w:i/>
      <w:iCs/>
      <w:spacing w:val="0"/>
      <w:w w:val="100"/>
      <w:sz w:val="8"/>
      <w:szCs w:val="8"/>
      <w:shd w:val="clear" w:color="auto" w:fill="FFFFFF"/>
    </w:rPr>
  </w:style>
  <w:style w:type="character" w:customStyle="1" w:styleId="1d">
    <w:name w:val="Заголовок №1_"/>
    <w:rsid w:val="00080175"/>
    <w:rPr>
      <w:rFonts w:ascii="Sylfaen" w:hAnsi="Sylfaen" w:cs="Sylfaen"/>
      <w:i/>
      <w:iCs/>
      <w:spacing w:val="-30"/>
      <w:sz w:val="31"/>
      <w:szCs w:val="31"/>
      <w:shd w:val="clear" w:color="auto" w:fill="FFFFFF"/>
    </w:rPr>
  </w:style>
  <w:style w:type="character" w:customStyle="1" w:styleId="1110">
    <w:name w:val="Заголовок №1 + 11"/>
    <w:rsid w:val="00080175"/>
    <w:rPr>
      <w:rFonts w:ascii="Sylfaen" w:hAnsi="Sylfaen" w:cs="Sylfaen"/>
      <w:i/>
      <w:iCs/>
      <w:spacing w:val="-20"/>
      <w:sz w:val="23"/>
      <w:szCs w:val="23"/>
      <w:shd w:val="clear" w:color="auto" w:fill="FFFFFF"/>
    </w:rPr>
  </w:style>
  <w:style w:type="character" w:customStyle="1" w:styleId="Sylfaen2">
    <w:name w:val="Основной текст + Sylfaen2"/>
    <w:rsid w:val="00080175"/>
    <w:rPr>
      <w:rFonts w:ascii="Sylfaen" w:hAnsi="Sylfaen" w:cs="Sylfaen"/>
      <w:spacing w:val="20"/>
      <w:w w:val="80"/>
      <w:sz w:val="22"/>
      <w:szCs w:val="22"/>
      <w:u w:val="none"/>
      <w:shd w:val="clear" w:color="auto" w:fill="FFFFFF"/>
    </w:rPr>
  </w:style>
  <w:style w:type="character" w:customStyle="1" w:styleId="Sylfaen1">
    <w:name w:val="Основной текст + Sylfaen1"/>
    <w:rsid w:val="00080175"/>
    <w:rPr>
      <w:rFonts w:ascii="Sylfaen" w:hAnsi="Sylfaen" w:cs="Sylfaen"/>
      <w:spacing w:val="20"/>
      <w:w w:val="80"/>
      <w:sz w:val="20"/>
      <w:szCs w:val="20"/>
      <w:u w:val="none"/>
      <w:shd w:val="clear" w:color="auto" w:fill="FFFFFF"/>
    </w:rPr>
  </w:style>
  <w:style w:type="character" w:customStyle="1" w:styleId="af1">
    <w:name w:val="Основной текст + Полужирный"/>
    <w:rsid w:val="00080175"/>
    <w:rPr>
      <w:rFonts w:ascii="Sylfaen" w:hAnsi="Sylfaen" w:cs="Sylfaen"/>
      <w:b/>
      <w:bCs/>
      <w:spacing w:val="20"/>
      <w:w w:val="80"/>
      <w:sz w:val="21"/>
      <w:szCs w:val="21"/>
      <w:u w:val="none"/>
      <w:shd w:val="clear" w:color="auto" w:fill="FFFFFF"/>
    </w:rPr>
  </w:style>
  <w:style w:type="character" w:customStyle="1" w:styleId="ListLabel1">
    <w:name w:val="ListLabel 1"/>
    <w:rsid w:val="00080175"/>
    <w:rPr>
      <w:rFonts w:eastAsia="Times New Roman"/>
      <w:color w:val="000000"/>
    </w:rPr>
  </w:style>
  <w:style w:type="character" w:customStyle="1" w:styleId="ListLabel2">
    <w:name w:val="ListLabel 2"/>
    <w:rsid w:val="00080175"/>
  </w:style>
  <w:style w:type="character" w:customStyle="1" w:styleId="ListLabel3">
    <w:name w:val="ListLabel 3"/>
    <w:rsid w:val="00080175"/>
  </w:style>
  <w:style w:type="character" w:customStyle="1" w:styleId="ListLabel4">
    <w:name w:val="ListLabel 4"/>
    <w:rsid w:val="00080175"/>
  </w:style>
  <w:style w:type="character" w:customStyle="1" w:styleId="ListLabel5">
    <w:name w:val="ListLabel 5"/>
    <w:rsid w:val="00080175"/>
    <w:rPr>
      <w:color w:val="auto"/>
    </w:rPr>
  </w:style>
  <w:style w:type="character" w:customStyle="1" w:styleId="ListLabel6">
    <w:name w:val="ListLabel 6"/>
    <w:rsid w:val="00080175"/>
    <w:rPr>
      <w:b/>
      <w:i/>
    </w:rPr>
  </w:style>
  <w:style w:type="character" w:customStyle="1" w:styleId="ListLabel7">
    <w:name w:val="ListLabel 7"/>
    <w:rsid w:val="00080175"/>
    <w:rPr>
      <w:sz w:val="24"/>
    </w:rPr>
  </w:style>
  <w:style w:type="character" w:customStyle="1" w:styleId="ListLabel8">
    <w:name w:val="ListLabel 8"/>
    <w:rsid w:val="00080175"/>
    <w:rPr>
      <w:rFonts w:eastAsia="Times New Roman"/>
    </w:rPr>
  </w:style>
  <w:style w:type="paragraph" w:customStyle="1" w:styleId="Heading">
    <w:name w:val="Heading"/>
    <w:basedOn w:val="Normal"/>
    <w:next w:val="BodyText"/>
    <w:rsid w:val="00080175"/>
    <w:pPr>
      <w:keepNext/>
      <w:suppressAutoHyphens/>
      <w:spacing w:before="240" w:after="120" w:line="276" w:lineRule="auto"/>
    </w:pPr>
    <w:rPr>
      <w:rFonts w:ascii="Liberation Sans" w:hAnsi="Liberation Sans" w:cs="Liberation Sans"/>
      <w:kern w:val="1"/>
      <w:sz w:val="28"/>
      <w:szCs w:val="28"/>
    </w:rPr>
  </w:style>
  <w:style w:type="paragraph" w:customStyle="1" w:styleId="Index">
    <w:name w:val="Index"/>
    <w:basedOn w:val="Normal"/>
    <w:rsid w:val="00080175"/>
    <w:pPr>
      <w:suppressLineNumbers/>
      <w:suppressAutoHyphens/>
      <w:spacing w:after="200" w:line="276" w:lineRule="auto"/>
    </w:pPr>
    <w:rPr>
      <w:rFonts w:cs="Calibri"/>
      <w:kern w:val="1"/>
    </w:rPr>
  </w:style>
  <w:style w:type="paragraph" w:customStyle="1" w:styleId="af2">
    <w:name w:val="Стиль Знак"/>
    <w:basedOn w:val="Normal"/>
    <w:rsid w:val="00080175"/>
    <w:pPr>
      <w:suppressAutoHyphens/>
      <w:spacing w:line="240" w:lineRule="exact"/>
    </w:pPr>
    <w:rPr>
      <w:rFonts w:ascii="Arial" w:hAnsi="Arial" w:cs="Arial"/>
      <w:kern w:val="1"/>
      <w:sz w:val="20"/>
      <w:szCs w:val="20"/>
    </w:rPr>
  </w:style>
  <w:style w:type="paragraph" w:customStyle="1" w:styleId="113">
    <w:name w:val="Без интервала11"/>
    <w:qFormat/>
    <w:rsid w:val="00080175"/>
    <w:pPr>
      <w:suppressAutoHyphens/>
    </w:pPr>
    <w:rPr>
      <w:rFonts w:ascii="GHEA Grapalat" w:eastAsiaTheme="minorEastAsia" w:hAnsi="GHEA Grapalat" w:cs="GHEA Grapalat"/>
      <w:kern w:val="1"/>
    </w:rPr>
  </w:style>
  <w:style w:type="paragraph" w:customStyle="1" w:styleId="Iacaaiea">
    <w:name w:val="Iacaaiea"/>
    <w:basedOn w:val="Normal"/>
    <w:rsid w:val="00080175"/>
    <w:pPr>
      <w:widowControl w:val="0"/>
      <w:suppressAutoHyphens/>
      <w:jc w:val="center"/>
    </w:pPr>
    <w:rPr>
      <w:rFonts w:ascii="Times LatArm" w:hAnsi="Times LatArm" w:cs="Times LatArm"/>
      <w:kern w:val="1"/>
    </w:rPr>
  </w:style>
  <w:style w:type="paragraph" w:customStyle="1" w:styleId="1e">
    <w:name w:val="Основной текст1"/>
    <w:basedOn w:val="Normal"/>
    <w:rsid w:val="00080175"/>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29">
    <w:name w:val="Основной текст (2)"/>
    <w:basedOn w:val="Normal"/>
    <w:rsid w:val="00080175"/>
    <w:pPr>
      <w:suppressAutoHyphens/>
      <w:spacing w:after="200" w:line="276" w:lineRule="auto"/>
    </w:pPr>
    <w:rPr>
      <w:rFonts w:ascii="Sylfaen" w:hAnsi="Sylfaen" w:cs="Sylfaen"/>
      <w:i/>
      <w:iCs/>
      <w:kern w:val="1"/>
      <w:sz w:val="20"/>
      <w:szCs w:val="20"/>
      <w:shd w:val="clear" w:color="auto" w:fill="FFFFFF"/>
      <w:lang w:val="ru-RU" w:eastAsia="ru-RU"/>
    </w:rPr>
  </w:style>
  <w:style w:type="paragraph" w:customStyle="1" w:styleId="36">
    <w:name w:val="Основной текст (3)"/>
    <w:basedOn w:val="Normal"/>
    <w:rsid w:val="00080175"/>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4">
    <w:name w:val="Основной текст (4)"/>
    <w:basedOn w:val="Normal"/>
    <w:rsid w:val="00080175"/>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1f">
    <w:name w:val="Заголовок №1"/>
    <w:basedOn w:val="Normal"/>
    <w:rsid w:val="00080175"/>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CharChar13">
    <w:name w:val="Char Char Char Знак Знак Char Char Знак Знак1"/>
    <w:basedOn w:val="Normal"/>
    <w:rsid w:val="00080175"/>
    <w:pPr>
      <w:suppressAutoHyphens/>
      <w:spacing w:line="240" w:lineRule="exact"/>
    </w:pPr>
    <w:rPr>
      <w:rFonts w:ascii="Arial" w:hAnsi="Arial" w:cs="Arial"/>
      <w:kern w:val="1"/>
      <w:sz w:val="20"/>
      <w:szCs w:val="20"/>
    </w:rPr>
  </w:style>
  <w:style w:type="paragraph" w:customStyle="1" w:styleId="FrameContents">
    <w:name w:val="Frame Contents"/>
    <w:basedOn w:val="Normal"/>
    <w:rsid w:val="00080175"/>
    <w:pPr>
      <w:suppressAutoHyphens/>
      <w:spacing w:after="200" w:line="276" w:lineRule="auto"/>
    </w:pPr>
    <w:rPr>
      <w:rFonts w:cs="Calibri"/>
      <w:kern w:val="1"/>
    </w:rPr>
  </w:style>
  <w:style w:type="paragraph" w:customStyle="1" w:styleId="NoSpacing2">
    <w:name w:val="No Spacing2"/>
    <w:rsid w:val="00080175"/>
    <w:rPr>
      <w:rFonts w:ascii="Arial Armenian" w:eastAsiaTheme="minorEastAsia" w:hAnsi="Arial Armenian" w:cs="Arial Armenian"/>
      <w:sz w:val="24"/>
      <w:szCs w:val="24"/>
      <w:lang w:val="ru-RU"/>
    </w:rPr>
  </w:style>
  <w:style w:type="character" w:customStyle="1" w:styleId="user-name">
    <w:name w:val="user-name"/>
    <w:rsid w:val="00080175"/>
    <w:rPr>
      <w:rFonts w:cs="Times New Roman"/>
    </w:rPr>
  </w:style>
  <w:style w:type="paragraph" w:customStyle="1" w:styleId="ModelSingleNoIndent">
    <w:name w:val="ModelSingleNoIndent"/>
    <w:basedOn w:val="Normal"/>
    <w:rsid w:val="00080175"/>
    <w:pPr>
      <w:spacing w:after="240"/>
    </w:pPr>
    <w:rPr>
      <w:szCs w:val="20"/>
    </w:rPr>
  </w:style>
  <w:style w:type="paragraph" w:customStyle="1" w:styleId="Char1CharCharCharCharCharCharCharCharCharCharCharChar2">
    <w:name w:val="Char1 Char Char Char Char Char Char Char Char Char Char Char Char2"/>
    <w:basedOn w:val="Normal"/>
    <w:rsid w:val="00080175"/>
    <w:pPr>
      <w:spacing w:line="240" w:lineRule="exact"/>
    </w:pPr>
    <w:rPr>
      <w:rFonts w:ascii="Arial" w:hAnsi="Arial" w:cs="Arial"/>
      <w:sz w:val="20"/>
      <w:szCs w:val="20"/>
    </w:rPr>
  </w:style>
  <w:style w:type="paragraph" w:customStyle="1" w:styleId="ModelNrmlDouble">
    <w:name w:val="ModelNrmlDouble"/>
    <w:basedOn w:val="Normal"/>
    <w:rsid w:val="00080175"/>
    <w:pPr>
      <w:overflowPunct w:val="0"/>
      <w:autoSpaceDE w:val="0"/>
      <w:autoSpaceDN w:val="0"/>
      <w:adjustRightInd w:val="0"/>
      <w:spacing w:after="360" w:line="480" w:lineRule="auto"/>
      <w:ind w:firstLine="720"/>
      <w:textAlignment w:val="baseline"/>
    </w:pPr>
    <w:rPr>
      <w:szCs w:val="20"/>
    </w:rPr>
  </w:style>
  <w:style w:type="paragraph" w:customStyle="1" w:styleId="subhead3">
    <w:name w:val="sub_head3"/>
    <w:basedOn w:val="Normal"/>
    <w:rsid w:val="00080175"/>
    <w:pPr>
      <w:spacing w:after="120" w:line="360" w:lineRule="auto"/>
    </w:pPr>
    <w:rPr>
      <w:rFonts w:ascii="Times Armenian" w:hAnsi="Times Armenian"/>
      <w:i/>
      <w:u w:val="single"/>
      <w:lang w:eastAsia="ru-RU"/>
    </w:rPr>
  </w:style>
  <w:style w:type="paragraph" w:customStyle="1" w:styleId="StyleHeading2ParanumTextLeft">
    <w:name w:val="Style Heading 2ParanumText + Left"/>
    <w:basedOn w:val="Heading2"/>
    <w:rsid w:val="00080175"/>
    <w:pPr>
      <w:tabs>
        <w:tab w:val="left" w:pos="360"/>
        <w:tab w:val="left" w:pos="1440"/>
      </w:tabs>
      <w:spacing w:before="120" w:after="120"/>
      <w:ind w:left="1440"/>
    </w:pPr>
    <w:rPr>
      <w:rFonts w:ascii="Times Armenian" w:hAnsi="Times Armenian"/>
      <w:b w:val="0"/>
      <w:bCs w:val="0"/>
      <w:kern w:val="28"/>
      <w:sz w:val="28"/>
      <w:szCs w:val="20"/>
      <w:lang w:val="en-GB"/>
    </w:rPr>
  </w:style>
  <w:style w:type="paragraph" w:customStyle="1" w:styleId="annexedhead">
    <w:name w:val="annexed head"/>
    <w:basedOn w:val="Heading2"/>
    <w:rsid w:val="00080175"/>
    <w:pPr>
      <w:numPr>
        <w:ilvl w:val="1"/>
        <w:numId w:val="9"/>
      </w:numPr>
      <w:spacing w:before="120" w:after="120"/>
    </w:pPr>
    <w:rPr>
      <w:rFonts w:ascii="Times Armenian" w:hAnsi="Times Armenian"/>
      <w:b w:val="0"/>
      <w:kern w:val="28"/>
      <w:sz w:val="28"/>
      <w:szCs w:val="20"/>
      <w:lang w:val="en-GB"/>
    </w:rPr>
  </w:style>
  <w:style w:type="paragraph" w:customStyle="1" w:styleId="Tabletitle">
    <w:name w:val="Table_title"/>
    <w:basedOn w:val="Normal"/>
    <w:rsid w:val="00080175"/>
    <w:pPr>
      <w:tabs>
        <w:tab w:val="left" w:pos="9626"/>
        <w:tab w:val="left" w:pos="10916"/>
        <w:tab w:val="left" w:pos="12206"/>
        <w:tab w:val="left" w:pos="13496"/>
      </w:tabs>
      <w:ind w:left="108"/>
    </w:pPr>
    <w:rPr>
      <w:rFonts w:ascii="Times Armenian" w:hAnsi="Times Armenian" w:cs="Arial"/>
      <w:b/>
      <w:bCs/>
      <w:lang w:eastAsia="ru-RU"/>
    </w:rPr>
  </w:style>
  <w:style w:type="paragraph" w:customStyle="1" w:styleId="StyleHeading3CenteredtextLinespacingsingle">
    <w:name w:val="Style Heading 3Centered(text) + Line spacing:  single"/>
    <w:basedOn w:val="Heading3"/>
    <w:rsid w:val="00080175"/>
    <w:pPr>
      <w:numPr>
        <w:ilvl w:val="2"/>
        <w:numId w:val="9"/>
      </w:numPr>
      <w:spacing w:before="0"/>
    </w:pPr>
    <w:rPr>
      <w:rFonts w:ascii="Times Armenian" w:hAnsi="Times Armenian"/>
      <w:bCs/>
      <w:i/>
      <w:iCs/>
      <w:spacing w:val="-5"/>
      <w:lang w:val="en-GB"/>
    </w:rPr>
  </w:style>
  <w:style w:type="paragraph" w:customStyle="1" w:styleId="Titlefigure">
    <w:name w:val="Title_figure"/>
    <w:basedOn w:val="Caption"/>
    <w:next w:val="Normal"/>
    <w:rsid w:val="00080175"/>
    <w:rPr>
      <w:rFonts w:ascii="Times Armenian" w:hAnsi="Times Armenian"/>
      <w:b/>
      <w:bCs/>
      <w:lang w:eastAsia="ru-RU"/>
    </w:rPr>
  </w:style>
  <w:style w:type="character" w:customStyle="1" w:styleId="CharChar152">
    <w:name w:val="Char Char152"/>
    <w:rsid w:val="00080175"/>
    <w:rPr>
      <w:sz w:val="36"/>
      <w:lang w:val="en-GB" w:eastAsia="en-US" w:bidi="ar-SA"/>
    </w:rPr>
  </w:style>
  <w:style w:type="character" w:customStyle="1" w:styleId="CharChar13">
    <w:name w:val="Char Char13"/>
    <w:rsid w:val="00080175"/>
    <w:rPr>
      <w:sz w:val="22"/>
      <w:lang w:val="en-GB" w:eastAsia="en-US" w:bidi="ar-SA"/>
    </w:rPr>
  </w:style>
  <w:style w:type="character" w:customStyle="1" w:styleId="CharChar123">
    <w:name w:val="Char Char123"/>
    <w:rsid w:val="00080175"/>
    <w:rPr>
      <w:sz w:val="22"/>
      <w:lang w:val="en-GB" w:eastAsia="en-US" w:bidi="ar-SA"/>
    </w:rPr>
  </w:style>
  <w:style w:type="character" w:customStyle="1" w:styleId="CharChar102">
    <w:name w:val="Char Char102"/>
    <w:rsid w:val="00080175"/>
    <w:rPr>
      <w:rFonts w:ascii="Times Armenian" w:hAnsi="Times Armenian"/>
      <w:color w:val="993300"/>
      <w:sz w:val="22"/>
      <w:szCs w:val="24"/>
      <w:lang w:val="hy-AM" w:eastAsia="en-US" w:bidi="ar-SA"/>
    </w:rPr>
  </w:style>
  <w:style w:type="character" w:customStyle="1" w:styleId="CharChar9">
    <w:name w:val="Char Char9"/>
    <w:rsid w:val="00080175"/>
    <w:rPr>
      <w:rFonts w:ascii="Times Armenian" w:hAnsi="Times Armenian"/>
      <w:b/>
      <w:i/>
      <w:sz w:val="24"/>
      <w:u w:val="single"/>
      <w:lang w:val="hy-AM" w:eastAsia="en-US" w:bidi="ar-SA"/>
    </w:rPr>
  </w:style>
  <w:style w:type="character" w:customStyle="1" w:styleId="BodyTextIndentChar2">
    <w:name w:val="Body Text Indent Char2"/>
    <w:aliases w:val="(Table Source)1 Char1"/>
    <w:locked/>
    <w:rsid w:val="00080175"/>
    <w:rPr>
      <w:rFonts w:ascii="Times New Roman" w:hAnsi="Times New Roman" w:cs="Times New Roman"/>
      <w:sz w:val="20"/>
      <w:szCs w:val="20"/>
      <w:lang w:val="en-GB"/>
    </w:rPr>
  </w:style>
  <w:style w:type="character" w:customStyle="1" w:styleId="CharChar132">
    <w:name w:val="Char Char132"/>
    <w:rsid w:val="00080175"/>
    <w:rPr>
      <w:sz w:val="22"/>
      <w:lang w:val="en-GB" w:eastAsia="en-US"/>
    </w:rPr>
  </w:style>
  <w:style w:type="character" w:customStyle="1" w:styleId="CharChar92">
    <w:name w:val="Char Char92"/>
    <w:rsid w:val="00080175"/>
    <w:rPr>
      <w:rFonts w:ascii="Times Armenian" w:hAnsi="Times Armenian"/>
      <w:b/>
      <w:i/>
      <w:sz w:val="24"/>
      <w:u w:val="single"/>
      <w:lang w:val="hy-AM" w:eastAsia="en-US"/>
    </w:rPr>
  </w:style>
  <w:style w:type="paragraph" w:customStyle="1" w:styleId="font11">
    <w:name w:val="font11"/>
    <w:basedOn w:val="Normal"/>
    <w:rsid w:val="00080175"/>
    <w:pPr>
      <w:spacing w:before="100" w:after="100"/>
    </w:pPr>
    <w:rPr>
      <w:rFonts w:eastAsia="SimSun"/>
      <w:color w:val="000000"/>
      <w:sz w:val="16"/>
      <w:szCs w:val="16"/>
    </w:rPr>
  </w:style>
  <w:style w:type="paragraph" w:customStyle="1" w:styleId="font12">
    <w:name w:val="font12"/>
    <w:basedOn w:val="Normal"/>
    <w:rsid w:val="00080175"/>
    <w:pPr>
      <w:spacing w:before="100" w:after="100"/>
    </w:pPr>
    <w:rPr>
      <w:rFonts w:eastAsia="SimSun"/>
      <w:color w:val="000000"/>
      <w:sz w:val="16"/>
      <w:szCs w:val="16"/>
    </w:rPr>
  </w:style>
  <w:style w:type="paragraph" w:customStyle="1" w:styleId="font13">
    <w:name w:val="font13"/>
    <w:basedOn w:val="Normal"/>
    <w:rsid w:val="00080175"/>
    <w:pPr>
      <w:spacing w:before="100" w:after="100"/>
    </w:pPr>
    <w:rPr>
      <w:rFonts w:eastAsia="SimSun"/>
      <w:b/>
      <w:bCs/>
      <w:color w:val="000000"/>
      <w:sz w:val="16"/>
      <w:szCs w:val="16"/>
    </w:rPr>
  </w:style>
  <w:style w:type="paragraph" w:customStyle="1" w:styleId="font14">
    <w:name w:val="font14"/>
    <w:basedOn w:val="Normal"/>
    <w:rsid w:val="00080175"/>
    <w:pPr>
      <w:spacing w:before="100" w:after="100"/>
    </w:pPr>
    <w:rPr>
      <w:rFonts w:eastAsia="SimSun"/>
      <w:i/>
      <w:iCs/>
      <w:sz w:val="20"/>
      <w:szCs w:val="20"/>
    </w:rPr>
  </w:style>
  <w:style w:type="paragraph" w:customStyle="1" w:styleId="font15">
    <w:name w:val="font15"/>
    <w:basedOn w:val="Normal"/>
    <w:rsid w:val="00080175"/>
    <w:pPr>
      <w:spacing w:before="100" w:after="100"/>
    </w:pPr>
    <w:rPr>
      <w:rFonts w:eastAsia="SimSun"/>
      <w:i/>
      <w:iCs/>
      <w:sz w:val="28"/>
      <w:szCs w:val="28"/>
    </w:rPr>
  </w:style>
  <w:style w:type="character" w:customStyle="1" w:styleId="Heading2Char2">
    <w:name w:val="Heading 2 Char2"/>
    <w:aliases w:val="Paranum Char2,(Chapter) Char2,(Chapter) Char Char"/>
    <w:locked/>
    <w:rsid w:val="00080175"/>
    <w:rPr>
      <w:rFonts w:ascii="Cambria" w:hAnsi="Cambria" w:cs="Times New Roman"/>
      <w:b/>
      <w:color w:val="4F81BD"/>
      <w:sz w:val="26"/>
    </w:rPr>
  </w:style>
  <w:style w:type="character" w:customStyle="1" w:styleId="BodyTextChar3">
    <w:name w:val="Body Text Char3"/>
    <w:aliases w:val="(Main Text) Char3,date Char3,Body Text (Main text) Char3,Body Text (Main text) Char Char"/>
    <w:semiHidden/>
    <w:locked/>
    <w:rsid w:val="00080175"/>
    <w:rPr>
      <w:rFonts w:ascii="Times New Roman" w:hAnsi="Times New Roman" w:cs="Times New Roman"/>
      <w:sz w:val="24"/>
      <w:szCs w:val="24"/>
    </w:rPr>
  </w:style>
  <w:style w:type="character" w:customStyle="1" w:styleId="BodyTextChar2">
    <w:name w:val="Body Text Char2"/>
    <w:aliases w:val="(Main Text) Char2,date Char2,Body Text (Main text) Char2"/>
    <w:locked/>
    <w:rsid w:val="00080175"/>
    <w:rPr>
      <w:rFonts w:ascii="Times New Roman" w:hAnsi="Times New Roman" w:cs="Times New Roman"/>
      <w:sz w:val="24"/>
    </w:rPr>
  </w:style>
  <w:style w:type="character" w:customStyle="1" w:styleId="fsl">
    <w:name w:val="fsl"/>
    <w:rsid w:val="00080175"/>
  </w:style>
  <w:style w:type="paragraph" w:styleId="IntenseQuote">
    <w:name w:val="Intense Quote"/>
    <w:basedOn w:val="Normal"/>
    <w:next w:val="Normal"/>
    <w:link w:val="IntenseQuoteChar"/>
    <w:qFormat/>
    <w:rsid w:val="00080175"/>
    <w:pPr>
      <w:pBdr>
        <w:bottom w:val="single" w:sz="4" w:space="1" w:color="auto"/>
      </w:pBdr>
      <w:spacing w:before="200" w:after="280"/>
      <w:ind w:left="1008" w:right="1152"/>
    </w:pPr>
    <w:rPr>
      <w:b/>
      <w:bCs/>
      <w:i/>
      <w:iCs/>
    </w:rPr>
  </w:style>
  <w:style w:type="character" w:customStyle="1" w:styleId="IntenseQuoteChar">
    <w:name w:val="Intense Quote Char"/>
    <w:basedOn w:val="DefaultParagraphFont"/>
    <w:link w:val="IntenseQuote"/>
    <w:rsid w:val="00080175"/>
    <w:rPr>
      <w:rFonts w:ascii="GHEA Grapalat" w:eastAsiaTheme="minorEastAsia" w:hAnsi="GHEA Grapalat"/>
      <w:b/>
      <w:bCs/>
      <w:i/>
      <w:iCs/>
    </w:rPr>
  </w:style>
  <w:style w:type="character" w:customStyle="1" w:styleId="SubtleEmphasis1">
    <w:name w:val="Subtle Emphasis1"/>
    <w:qFormat/>
    <w:rsid w:val="00080175"/>
    <w:rPr>
      <w:i/>
      <w:iCs/>
    </w:rPr>
  </w:style>
  <w:style w:type="character" w:customStyle="1" w:styleId="SubtleReference1">
    <w:name w:val="Subtle Reference1"/>
    <w:qFormat/>
    <w:rsid w:val="00080175"/>
    <w:rPr>
      <w:smallCaps/>
    </w:rPr>
  </w:style>
  <w:style w:type="character" w:customStyle="1" w:styleId="IntenseReference1">
    <w:name w:val="Intense Reference1"/>
    <w:qFormat/>
    <w:rsid w:val="00080175"/>
    <w:rPr>
      <w:smallCaps/>
      <w:spacing w:val="5"/>
      <w:u w:val="single"/>
    </w:rPr>
  </w:style>
  <w:style w:type="character" w:customStyle="1" w:styleId="BookTitle1">
    <w:name w:val="Book Title1"/>
    <w:qFormat/>
    <w:rsid w:val="00080175"/>
    <w:rPr>
      <w:i/>
      <w:iCs/>
      <w:smallCaps/>
      <w:spacing w:val="5"/>
    </w:rPr>
  </w:style>
  <w:style w:type="paragraph" w:customStyle="1" w:styleId="ColorfulList-Accent11">
    <w:name w:val="Colorful List - Accent 11"/>
    <w:basedOn w:val="Normal"/>
    <w:qFormat/>
    <w:rsid w:val="00080175"/>
    <w:pPr>
      <w:spacing w:after="200" w:line="276" w:lineRule="auto"/>
      <w:ind w:left="720"/>
      <w:contextualSpacing/>
    </w:pPr>
    <w:rPr>
      <w:rFonts w:eastAsia="Calibri"/>
      <w:lang w:val="ru-RU"/>
    </w:rPr>
  </w:style>
  <w:style w:type="character" w:customStyle="1" w:styleId="spellingerror">
    <w:name w:val="spellingerror"/>
    <w:rsid w:val="00080175"/>
  </w:style>
  <w:style w:type="character" w:customStyle="1" w:styleId="CharChar31">
    <w:name w:val="Char Char31"/>
    <w:locked/>
    <w:rsid w:val="00080175"/>
    <w:rPr>
      <w:sz w:val="22"/>
      <w:lang w:val="en-GB" w:eastAsia="en-US"/>
    </w:rPr>
  </w:style>
  <w:style w:type="character" w:customStyle="1" w:styleId="CharChar213">
    <w:name w:val="Char Char213"/>
    <w:locked/>
    <w:rsid w:val="00080175"/>
    <w:rPr>
      <w:sz w:val="22"/>
      <w:lang w:val="en-GB" w:eastAsia="en-US"/>
    </w:rPr>
  </w:style>
  <w:style w:type="character" w:customStyle="1" w:styleId="red-block">
    <w:name w:val="red-block"/>
    <w:rsid w:val="00080175"/>
    <w:rPr>
      <w:rFonts w:cs="Times New Roman"/>
    </w:rPr>
  </w:style>
  <w:style w:type="character" w:customStyle="1" w:styleId="accent">
    <w:name w:val="accent"/>
    <w:rsid w:val="00080175"/>
    <w:rPr>
      <w:rFonts w:cs="Times New Roman"/>
    </w:rPr>
  </w:style>
  <w:style w:type="character" w:customStyle="1" w:styleId="CharChar222">
    <w:name w:val="Char Char222"/>
    <w:rsid w:val="00080175"/>
    <w:rPr>
      <w:rFonts w:cs="Times New Roman"/>
      <w:lang w:val="ru-RU" w:eastAsia="ru-RU" w:bidi="ar-SA"/>
    </w:rPr>
  </w:style>
  <w:style w:type="character" w:customStyle="1" w:styleId="FontStyle37">
    <w:name w:val="Font Style37"/>
    <w:rsid w:val="00080175"/>
    <w:rPr>
      <w:rFonts w:ascii="Sylfaen" w:hAnsi="Sylfaen"/>
      <w:sz w:val="22"/>
    </w:rPr>
  </w:style>
  <w:style w:type="character" w:customStyle="1" w:styleId="CharChar161">
    <w:name w:val="Char Char161"/>
    <w:locked/>
    <w:rsid w:val="00080175"/>
    <w:rPr>
      <w:rFonts w:ascii="Cambria" w:hAnsi="Cambria"/>
      <w:b/>
      <w:kern w:val="32"/>
      <w:sz w:val="32"/>
      <w:lang w:val="fr-FR" w:eastAsia="en-US"/>
    </w:rPr>
  </w:style>
  <w:style w:type="paragraph" w:customStyle="1" w:styleId="StyleHeading3Sub-ChapterCenteredtextHeading3CharCharC1">
    <w:name w:val="Style Heading 3(Sub-Chapter)Centered(text)Heading 3 Char Char C...1"/>
    <w:basedOn w:val="Heading3"/>
    <w:rsid w:val="00080175"/>
    <w:rPr>
      <w:u w:val="single"/>
    </w:rPr>
  </w:style>
  <w:style w:type="paragraph" w:customStyle="1" w:styleId="1MTEF">
    <w:name w:val="1. MTEF"/>
    <w:basedOn w:val="StyleStyleHeading1SectionSectionHeadingText11Chapterhead31"/>
    <w:rsid w:val="00080175"/>
    <w:rPr>
      <w:b w:val="0"/>
      <w:bCs/>
    </w:rPr>
  </w:style>
  <w:style w:type="character" w:customStyle="1" w:styleId="CharChar182">
    <w:name w:val="Char Char182"/>
    <w:rsid w:val="00080175"/>
    <w:rPr>
      <w:rFonts w:ascii="Arial Armenian" w:eastAsia="Times New Roman" w:hAnsi="Arial Armenian"/>
      <w:i/>
      <w:sz w:val="22"/>
      <w:u w:val="single"/>
      <w:lang w:val="en-GB"/>
    </w:rPr>
  </w:style>
  <w:style w:type="character" w:customStyle="1" w:styleId="CharChar192">
    <w:name w:val="Char Char192"/>
    <w:rsid w:val="00080175"/>
    <w:rPr>
      <w:b/>
      <w:sz w:val="32"/>
      <w:lang w:val="en-GB" w:eastAsia="en-US" w:bidi="ar-SA"/>
    </w:rPr>
  </w:style>
  <w:style w:type="character" w:customStyle="1" w:styleId="CharChar202">
    <w:name w:val="Char Char202"/>
    <w:rsid w:val="00080175"/>
    <w:rPr>
      <w:rFonts w:ascii="Garamond" w:hAnsi="Garamond"/>
      <w:i/>
      <w:spacing w:val="-5"/>
      <w:sz w:val="28"/>
      <w:lang w:val="en-GB" w:eastAsia="en-US" w:bidi="ar-SA"/>
    </w:rPr>
  </w:style>
  <w:style w:type="character" w:customStyle="1" w:styleId="CharChar172">
    <w:name w:val="Char Char172"/>
    <w:rsid w:val="00080175"/>
    <w:rPr>
      <w:rFonts w:ascii="Arial Armenian" w:hAnsi="Arial Armenian"/>
      <w:i/>
      <w:sz w:val="22"/>
      <w:u w:val="single"/>
      <w:lang w:val="en-GB" w:eastAsia="en-US" w:bidi="ar-SA"/>
    </w:rPr>
  </w:style>
  <w:style w:type="character" w:customStyle="1" w:styleId="CharChar282">
    <w:name w:val="Char Char282"/>
    <w:rsid w:val="00080175"/>
    <w:rPr>
      <w:rFonts w:ascii="Arial Armenian" w:hAnsi="Arial Armenian"/>
      <w:i/>
      <w:sz w:val="22"/>
      <w:u w:val="single"/>
      <w:lang w:val="en-GB"/>
    </w:rPr>
  </w:style>
  <w:style w:type="character" w:customStyle="1" w:styleId="CharChar272">
    <w:name w:val="Char Char272"/>
    <w:rsid w:val="00080175"/>
    <w:rPr>
      <w:rFonts w:ascii="Garamond" w:hAnsi="Garamond"/>
      <w:i/>
      <w:spacing w:val="-5"/>
      <w:sz w:val="28"/>
      <w:shd w:val="pct5" w:color="auto" w:fill="auto"/>
      <w:lang w:val="en-GB"/>
    </w:rPr>
  </w:style>
  <w:style w:type="character" w:customStyle="1" w:styleId="CharChar262">
    <w:name w:val="Char Char262"/>
    <w:rsid w:val="00080175"/>
    <w:rPr>
      <w:rFonts w:ascii="Arial Black" w:hAnsi="Arial Black"/>
      <w:caps/>
      <w:spacing w:val="60"/>
      <w:position w:val="4"/>
      <w:sz w:val="14"/>
      <w:lang w:val="en-GB"/>
    </w:rPr>
  </w:style>
  <w:style w:type="character" w:customStyle="1" w:styleId="CharChar252">
    <w:name w:val="Char Char252"/>
    <w:rsid w:val="00080175"/>
    <w:rPr>
      <w:rFonts w:ascii="Garamond" w:hAnsi="Garamond"/>
      <w:b/>
      <w:i/>
      <w:kern w:val="28"/>
      <w:lang w:val="en-GB"/>
    </w:rPr>
  </w:style>
  <w:style w:type="character" w:customStyle="1" w:styleId="CharChar242">
    <w:name w:val="Char Char242"/>
    <w:rsid w:val="00080175"/>
    <w:rPr>
      <w:rFonts w:ascii="Arial Armenian" w:hAnsi="Arial Armenian"/>
      <w:lang w:val="en-US" w:eastAsia="en-US" w:bidi="ar-SA"/>
    </w:rPr>
  </w:style>
  <w:style w:type="character" w:customStyle="1" w:styleId="CharChar232">
    <w:name w:val="Char Char232"/>
    <w:rsid w:val="00080175"/>
    <w:rPr>
      <w:rFonts w:ascii="Arial Armenian" w:hAnsi="Arial Armenian"/>
      <w:lang w:val="en-GB" w:eastAsia="en-US" w:bidi="ar-SA"/>
    </w:rPr>
  </w:style>
  <w:style w:type="character" w:customStyle="1" w:styleId="CharChar35">
    <w:name w:val="Char Char35"/>
    <w:rsid w:val="00080175"/>
    <w:rPr>
      <w:rFonts w:ascii="Arial Armenian" w:hAnsi="Arial Armenian"/>
      <w:i/>
      <w:sz w:val="22"/>
      <w:u w:val="single"/>
      <w:lang w:val="en-GB"/>
    </w:rPr>
  </w:style>
  <w:style w:type="character" w:customStyle="1" w:styleId="CharChar34">
    <w:name w:val="Char Char34"/>
    <w:rsid w:val="00080175"/>
    <w:rPr>
      <w:rFonts w:ascii="Garamond" w:hAnsi="Garamond"/>
      <w:i/>
      <w:spacing w:val="-5"/>
      <w:sz w:val="28"/>
      <w:shd w:val="pct5" w:color="auto" w:fill="auto"/>
      <w:lang w:val="en-GB"/>
    </w:rPr>
  </w:style>
  <w:style w:type="character" w:customStyle="1" w:styleId="CharChar33">
    <w:name w:val="Char Char33"/>
    <w:rsid w:val="00080175"/>
    <w:rPr>
      <w:rFonts w:ascii="Arial Black" w:hAnsi="Arial Black"/>
      <w:caps/>
      <w:spacing w:val="60"/>
      <w:position w:val="4"/>
      <w:sz w:val="14"/>
      <w:lang w:val="en-GB"/>
    </w:rPr>
  </w:style>
  <w:style w:type="character" w:customStyle="1" w:styleId="CharChar32">
    <w:name w:val="Char Char32"/>
    <w:rsid w:val="00080175"/>
    <w:rPr>
      <w:rFonts w:ascii="Garamond" w:hAnsi="Garamond"/>
      <w:b/>
      <w:i/>
      <w:kern w:val="28"/>
      <w:lang w:val="en-GB"/>
    </w:rPr>
  </w:style>
  <w:style w:type="character" w:customStyle="1" w:styleId="CharChar312">
    <w:name w:val="Char Char312"/>
    <w:rsid w:val="00080175"/>
    <w:rPr>
      <w:rFonts w:ascii="Arial Armenian" w:hAnsi="Arial Armenian"/>
      <w:lang w:val="en-US" w:eastAsia="en-US" w:bidi="ar-SA"/>
    </w:rPr>
  </w:style>
  <w:style w:type="character" w:customStyle="1" w:styleId="CharChar30">
    <w:name w:val="Char Char30"/>
    <w:rsid w:val="00080175"/>
    <w:rPr>
      <w:rFonts w:ascii="Arial Armenian" w:hAnsi="Arial Armenian"/>
      <w:lang w:val="en-GB" w:eastAsia="en-US" w:bidi="ar-SA"/>
    </w:rPr>
  </w:style>
  <w:style w:type="character" w:customStyle="1" w:styleId="CharChar29">
    <w:name w:val="Char Char29"/>
    <w:rsid w:val="00080175"/>
    <w:rPr>
      <w:rFonts w:ascii="Arial Armenian" w:hAnsi="Arial Armenian"/>
      <w:lang w:val="ru-RU" w:eastAsia="ru-RU" w:bidi="ar-SA"/>
    </w:rPr>
  </w:style>
  <w:style w:type="paragraph" w:customStyle="1" w:styleId="CharChar5CharCharCharCharCharChar">
    <w:name w:val="Char Char5 Char Char Char Char Char Char"/>
    <w:basedOn w:val="Normal"/>
    <w:rsid w:val="00080175"/>
    <w:pPr>
      <w:tabs>
        <w:tab w:val="left" w:pos="709"/>
      </w:tabs>
    </w:pPr>
    <w:rPr>
      <w:rFonts w:ascii="Tahoma" w:hAnsi="Tahoma"/>
      <w:lang w:val="pl-PL" w:eastAsia="pl-PL"/>
    </w:rPr>
  </w:style>
  <w:style w:type="paragraph" w:customStyle="1" w:styleId="CharChar5CharCharCharChar">
    <w:name w:val="Char Char5 Char Char Char Char"/>
    <w:basedOn w:val="Normal"/>
    <w:rsid w:val="00080175"/>
    <w:pPr>
      <w:tabs>
        <w:tab w:val="left" w:pos="709"/>
      </w:tabs>
    </w:pPr>
    <w:rPr>
      <w:rFonts w:ascii="Tahoma" w:hAnsi="Tahoma"/>
      <w:lang w:val="pl-PL" w:eastAsia="pl-PL"/>
    </w:rPr>
  </w:style>
  <w:style w:type="paragraph" w:customStyle="1" w:styleId="CharChar5CharChar">
    <w:name w:val="Char Char5 Char Char"/>
    <w:basedOn w:val="Normal"/>
    <w:rsid w:val="00080175"/>
    <w:pPr>
      <w:tabs>
        <w:tab w:val="left" w:pos="709"/>
      </w:tabs>
    </w:pPr>
    <w:rPr>
      <w:rFonts w:ascii="Tahoma" w:hAnsi="Tahoma"/>
      <w:lang w:val="pl-PL" w:eastAsia="pl-PL"/>
    </w:rPr>
  </w:style>
  <w:style w:type="character" w:customStyle="1" w:styleId="tocnumber">
    <w:name w:val="tocnumber"/>
    <w:rsid w:val="00080175"/>
  </w:style>
  <w:style w:type="character" w:customStyle="1" w:styleId="toctext">
    <w:name w:val="toctext"/>
    <w:rsid w:val="00080175"/>
  </w:style>
  <w:style w:type="character" w:customStyle="1" w:styleId="mw-editsection">
    <w:name w:val="mw-editsection"/>
    <w:rsid w:val="00080175"/>
  </w:style>
  <w:style w:type="character" w:customStyle="1" w:styleId="mw-editsection-bracket">
    <w:name w:val="mw-editsection-bracket"/>
    <w:rsid w:val="00080175"/>
  </w:style>
  <w:style w:type="character" w:customStyle="1" w:styleId="mw-editsection-divider">
    <w:name w:val="mw-editsection-divider"/>
    <w:rsid w:val="00080175"/>
  </w:style>
  <w:style w:type="character" w:customStyle="1" w:styleId="reference-text">
    <w:name w:val="reference-text"/>
    <w:rsid w:val="00080175"/>
  </w:style>
  <w:style w:type="paragraph" w:customStyle="1" w:styleId="z-TopofForm1">
    <w:name w:val="z-Top of Form1"/>
    <w:basedOn w:val="Normal"/>
    <w:next w:val="Normal"/>
    <w:link w:val="z-"/>
    <w:uiPriority w:val="99"/>
    <w:unhideWhenUsed/>
    <w:rsid w:val="00080175"/>
    <w:pPr>
      <w:pBdr>
        <w:bottom w:val="single" w:sz="6" w:space="1" w:color="auto"/>
      </w:pBdr>
      <w:jc w:val="center"/>
    </w:pPr>
    <w:rPr>
      <w:rFonts w:ascii="Arial" w:hAnsi="Arial"/>
      <w:vanish/>
      <w:sz w:val="16"/>
      <w:szCs w:val="16"/>
    </w:rPr>
  </w:style>
  <w:style w:type="character" w:customStyle="1" w:styleId="z-">
    <w:name w:val="z-Начало формы Знак"/>
    <w:link w:val="z-TopofForm1"/>
    <w:uiPriority w:val="99"/>
    <w:rsid w:val="00080175"/>
    <w:rPr>
      <w:rFonts w:ascii="Arial" w:eastAsiaTheme="minorEastAsia" w:hAnsi="Arial"/>
      <w:vanish/>
      <w:sz w:val="16"/>
      <w:szCs w:val="16"/>
    </w:rPr>
  </w:style>
  <w:style w:type="paragraph" w:customStyle="1" w:styleId="z-BottomofForm1">
    <w:name w:val="z-Bottom of Form1"/>
    <w:basedOn w:val="Normal"/>
    <w:next w:val="Normal"/>
    <w:link w:val="z-0"/>
    <w:uiPriority w:val="99"/>
    <w:unhideWhenUsed/>
    <w:rsid w:val="00080175"/>
    <w:pPr>
      <w:pBdr>
        <w:top w:val="single" w:sz="6" w:space="1" w:color="auto"/>
      </w:pBdr>
      <w:jc w:val="center"/>
    </w:pPr>
    <w:rPr>
      <w:rFonts w:ascii="Arial" w:hAnsi="Arial"/>
      <w:vanish/>
      <w:sz w:val="16"/>
      <w:szCs w:val="16"/>
    </w:rPr>
  </w:style>
  <w:style w:type="character" w:customStyle="1" w:styleId="z-0">
    <w:name w:val="z-Конец формы Знак"/>
    <w:link w:val="z-BottomofForm1"/>
    <w:uiPriority w:val="99"/>
    <w:rsid w:val="00080175"/>
    <w:rPr>
      <w:rFonts w:ascii="Arial" w:eastAsiaTheme="minorEastAsia" w:hAnsi="Arial"/>
      <w:vanish/>
      <w:sz w:val="16"/>
      <w:szCs w:val="16"/>
    </w:rPr>
  </w:style>
  <w:style w:type="character" w:customStyle="1" w:styleId="wb-langlinks-edit">
    <w:name w:val="wb-langlinks-edit"/>
    <w:rsid w:val="00080175"/>
  </w:style>
  <w:style w:type="character" w:customStyle="1" w:styleId="noprint">
    <w:name w:val="noprint"/>
    <w:rsid w:val="00080175"/>
  </w:style>
  <w:style w:type="character" w:customStyle="1" w:styleId="pg">
    <w:name w:val="pg"/>
    <w:rsid w:val="00080175"/>
  </w:style>
  <w:style w:type="paragraph" w:customStyle="1" w:styleId="DecimalAligned">
    <w:name w:val="Decimal Aligned"/>
    <w:basedOn w:val="Normal"/>
    <w:uiPriority w:val="40"/>
    <w:qFormat/>
    <w:rsid w:val="00080175"/>
    <w:pPr>
      <w:tabs>
        <w:tab w:val="decimal" w:pos="360"/>
      </w:tabs>
      <w:spacing w:after="200" w:line="276" w:lineRule="auto"/>
    </w:pPr>
    <w:rPr>
      <w:rFonts w:eastAsia="Calibri"/>
      <w:lang w:eastAsia="ja-JP"/>
    </w:rPr>
  </w:style>
  <w:style w:type="paragraph" w:customStyle="1" w:styleId="paragraph">
    <w:name w:val="paragraph"/>
    <w:basedOn w:val="Normal"/>
    <w:rsid w:val="00080175"/>
    <w:pPr>
      <w:spacing w:before="100" w:beforeAutospacing="1" w:after="100" w:afterAutospacing="1"/>
    </w:pPr>
  </w:style>
  <w:style w:type="character" w:customStyle="1" w:styleId="normaltextrun">
    <w:name w:val="normaltextrun"/>
    <w:rsid w:val="00080175"/>
  </w:style>
  <w:style w:type="paragraph" w:customStyle="1" w:styleId="StyleCaption11pt">
    <w:name w:val="Style Caption + 11 pt"/>
    <w:basedOn w:val="Caption"/>
    <w:link w:val="StyleCaption11ptChar"/>
    <w:rsid w:val="00080175"/>
    <w:pPr>
      <w:spacing w:before="360" w:after="120"/>
      <w:ind w:left="1350" w:hanging="1350"/>
    </w:pPr>
    <w:rPr>
      <w:bCs/>
      <w:lang w:eastAsia="ru-RU"/>
    </w:rPr>
  </w:style>
  <w:style w:type="character" w:customStyle="1" w:styleId="StyleCaption11ptChar">
    <w:name w:val="Style Caption + 11 pt Char"/>
    <w:link w:val="StyleCaption11pt"/>
    <w:rsid w:val="00080175"/>
    <w:rPr>
      <w:rFonts w:ascii="GHEA Grapalat" w:eastAsiaTheme="minorEastAsia" w:hAnsi="GHEA Grapalat"/>
      <w:bCs/>
      <w:caps/>
      <w:spacing w:val="10"/>
      <w:sz w:val="18"/>
      <w:szCs w:val="18"/>
      <w:lang w:eastAsia="ru-RU"/>
    </w:rPr>
  </w:style>
  <w:style w:type="paragraph" w:customStyle="1" w:styleId="StyleHeading3GHEAGrapalatJustified">
    <w:name w:val="Style Heading 3 + GHEA Grapalat Justified"/>
    <w:basedOn w:val="Heading3"/>
    <w:rsid w:val="00080175"/>
    <w:pPr>
      <w:tabs>
        <w:tab w:val="left" w:pos="384"/>
        <w:tab w:val="left" w:pos="737"/>
      </w:tabs>
      <w:spacing w:before="360" w:after="240"/>
      <w:ind w:left="1248" w:hanging="708"/>
    </w:pPr>
    <w:rPr>
      <w:lang w:val="en-GB" w:eastAsia="ru-RU"/>
    </w:rPr>
  </w:style>
  <w:style w:type="paragraph" w:customStyle="1" w:styleId="TitleNew">
    <w:name w:val="Title New"/>
    <w:basedOn w:val="Normal"/>
    <w:rsid w:val="00080175"/>
    <w:pPr>
      <w:widowControl w:val="0"/>
      <w:spacing w:line="360" w:lineRule="atLeast"/>
    </w:pPr>
    <w:rPr>
      <w:rFonts w:eastAsia="ヒラギノ角ゴ Pro W3"/>
      <w:b/>
      <w:color w:val="000000"/>
      <w:sz w:val="44"/>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 webb Char"/>
    <w:link w:val="NormalWeb"/>
    <w:uiPriority w:val="99"/>
    <w:locked/>
    <w:rsid w:val="00080175"/>
    <w:rPr>
      <w:rFonts w:ascii="GHEA Grapalat" w:eastAsiaTheme="minorEastAsia" w:hAnsi="GHEA Grapalat"/>
      <w:szCs w:val="20"/>
    </w:rPr>
  </w:style>
  <w:style w:type="paragraph" w:customStyle="1" w:styleId="37">
    <w:name w:val="Абзац списка3"/>
    <w:basedOn w:val="Normal"/>
    <w:uiPriority w:val="99"/>
    <w:qFormat/>
    <w:rsid w:val="00080175"/>
    <w:pPr>
      <w:ind w:left="720"/>
      <w:contextualSpacing/>
    </w:pPr>
    <w:rPr>
      <w:lang w:val="ru-RU" w:eastAsia="ru-RU"/>
    </w:rPr>
  </w:style>
  <w:style w:type="character" w:customStyle="1" w:styleId="38">
    <w:name w:val="Основной текст3"/>
    <w:rsid w:val="00080175"/>
    <w:rPr>
      <w:rFonts w:ascii="Arial Unicode MS" w:eastAsia="Arial Unicode MS" w:hAnsi="Arial Unicode MS" w:cs="Arial Unicode MS"/>
      <w:color w:val="000000"/>
      <w:spacing w:val="0"/>
      <w:w w:val="100"/>
      <w:position w:val="0"/>
      <w:sz w:val="30"/>
      <w:szCs w:val="30"/>
      <w:u w:val="none"/>
      <w:lang w:val="hy-AM"/>
    </w:rPr>
  </w:style>
  <w:style w:type="paragraph" w:customStyle="1" w:styleId="NormalGHEAGrapalat">
    <w:name w:val="Normal + GHEA Grapalat"/>
    <w:aliases w:val="11 pt,Bold,Italic"/>
    <w:basedOn w:val="Normal"/>
    <w:rsid w:val="00080175"/>
    <w:pPr>
      <w:autoSpaceDE w:val="0"/>
      <w:autoSpaceDN w:val="0"/>
      <w:adjustRightInd w:val="0"/>
      <w:ind w:firstLine="180"/>
    </w:pPr>
    <w:rPr>
      <w:b/>
      <w:i/>
      <w:lang w:val="hy-AM" w:eastAsia="ru-RU"/>
    </w:rPr>
  </w:style>
  <w:style w:type="character" w:customStyle="1" w:styleId="CommentTextChar2">
    <w:name w:val="Comment Text Char2"/>
    <w:rsid w:val="00080175"/>
    <w:rPr>
      <w:rFonts w:ascii="Arial Armenian" w:hAnsi="Arial Armenian"/>
      <w:lang w:val="ru-RU" w:eastAsia="ru-RU" w:bidi="ar-SA"/>
    </w:rPr>
  </w:style>
  <w:style w:type="character" w:customStyle="1" w:styleId="BalloonTextChar2">
    <w:name w:val="Balloon Text Char2"/>
    <w:rsid w:val="00080175"/>
    <w:rPr>
      <w:rFonts w:ascii="Tahoma" w:hAnsi="Tahoma"/>
      <w:sz w:val="16"/>
      <w:szCs w:val="16"/>
      <w:lang w:bidi="ar-SA"/>
    </w:rPr>
  </w:style>
  <w:style w:type="character" w:customStyle="1" w:styleId="Bodytext20">
    <w:name w:val="Body text (2)_"/>
    <w:link w:val="Bodytext23"/>
    <w:uiPriority w:val="99"/>
    <w:locked/>
    <w:rsid w:val="00080175"/>
    <w:rPr>
      <w:rFonts w:ascii="Tahoma" w:hAnsi="Tahoma" w:cs="Tahoma"/>
      <w:sz w:val="21"/>
      <w:szCs w:val="21"/>
      <w:shd w:val="clear" w:color="auto" w:fill="FFFFFF"/>
    </w:rPr>
  </w:style>
  <w:style w:type="paragraph" w:customStyle="1" w:styleId="Bodytext23">
    <w:name w:val="Body text (2)"/>
    <w:basedOn w:val="Normal"/>
    <w:link w:val="Bodytext20"/>
    <w:uiPriority w:val="99"/>
    <w:rsid w:val="00080175"/>
    <w:pPr>
      <w:widowControl w:val="0"/>
      <w:shd w:val="clear" w:color="auto" w:fill="FFFFFF"/>
      <w:spacing w:before="720" w:line="485" w:lineRule="exact"/>
    </w:pPr>
    <w:rPr>
      <w:rFonts w:ascii="Tahoma" w:eastAsiaTheme="minorHAnsi" w:hAnsi="Tahoma" w:cs="Tahoma"/>
      <w:sz w:val="21"/>
      <w:szCs w:val="21"/>
    </w:rPr>
  </w:style>
  <w:style w:type="paragraph" w:customStyle="1" w:styleId="Appendix">
    <w:name w:val="Appendix"/>
    <w:basedOn w:val="Normal"/>
    <w:next w:val="Normal"/>
    <w:uiPriority w:val="6"/>
    <w:qFormat/>
    <w:rsid w:val="00080175"/>
    <w:pPr>
      <w:spacing w:after="240" w:line="264" w:lineRule="auto"/>
      <w:jc w:val="center"/>
    </w:pPr>
    <w:rPr>
      <w:rFonts w:ascii="Segoe UI" w:eastAsia="SimSun" w:hAnsi="Segoe UI"/>
      <w:b/>
      <w:color w:val="C45911"/>
      <w:sz w:val="32"/>
      <w:szCs w:val="20"/>
    </w:rPr>
  </w:style>
  <w:style w:type="paragraph" w:customStyle="1" w:styleId="dec-date">
    <w:name w:val="dec-date"/>
    <w:basedOn w:val="Normal"/>
    <w:uiPriority w:val="99"/>
    <w:rsid w:val="00080175"/>
    <w:pPr>
      <w:spacing w:before="100" w:beforeAutospacing="1" w:after="100" w:afterAutospacing="1"/>
    </w:pPr>
  </w:style>
  <w:style w:type="paragraph" w:customStyle="1" w:styleId="39">
    <w:name w:val="Обычный3"/>
    <w:rsid w:val="00080175"/>
    <w:pPr>
      <w:autoSpaceDE w:val="0"/>
      <w:autoSpaceDN w:val="0"/>
    </w:pPr>
    <w:rPr>
      <w:rFonts w:eastAsiaTheme="minorEastAsia"/>
      <w:lang w:val="ru-RU" w:eastAsia="ru-RU"/>
    </w:rPr>
  </w:style>
  <w:style w:type="paragraph" w:customStyle="1" w:styleId="114">
    <w:name w:val="Рецензия11"/>
    <w:hidden/>
    <w:uiPriority w:val="99"/>
    <w:semiHidden/>
    <w:rsid w:val="00080175"/>
    <w:rPr>
      <w:rFonts w:ascii="Arial Armenian" w:eastAsiaTheme="minorEastAsia" w:hAnsi="Arial Armenian" w:cs="Sylfaen"/>
      <w:sz w:val="24"/>
      <w:szCs w:val="24"/>
      <w:lang w:val="ru-RU" w:eastAsia="ru-RU"/>
    </w:rPr>
  </w:style>
  <w:style w:type="paragraph" w:customStyle="1" w:styleId="1f0">
    <w:name w:val="Заголовок оглавления1"/>
    <w:basedOn w:val="Heading1"/>
    <w:next w:val="Normal"/>
    <w:uiPriority w:val="39"/>
    <w:unhideWhenUsed/>
    <w:qFormat/>
    <w:rsid w:val="00080175"/>
    <w:pPr>
      <w:spacing w:before="480" w:after="0" w:line="276" w:lineRule="auto"/>
      <w:outlineLvl w:val="9"/>
    </w:pPr>
    <w:rPr>
      <w:rFonts w:ascii="Cambria" w:hAnsi="Cambria"/>
      <w:color w:val="365F91"/>
      <w:sz w:val="28"/>
    </w:rPr>
  </w:style>
  <w:style w:type="paragraph" w:customStyle="1" w:styleId="213">
    <w:name w:val="Цитата 21"/>
    <w:basedOn w:val="Normal"/>
    <w:next w:val="Normal"/>
    <w:uiPriority w:val="29"/>
    <w:qFormat/>
    <w:rsid w:val="00080175"/>
    <w:rPr>
      <w:i/>
      <w:iCs/>
      <w:color w:val="000000"/>
    </w:rPr>
  </w:style>
  <w:style w:type="character" w:customStyle="1" w:styleId="1f1">
    <w:name w:val="Сильное выделение1"/>
    <w:uiPriority w:val="21"/>
    <w:qFormat/>
    <w:rsid w:val="00080175"/>
    <w:rPr>
      <w:b/>
      <w:bCs/>
      <w:i/>
      <w:iCs/>
      <w:color w:val="4F81BD"/>
    </w:rPr>
  </w:style>
  <w:style w:type="paragraph" w:customStyle="1" w:styleId="1f2">
    <w:name w:val="Выделенная цитата1"/>
    <w:basedOn w:val="Normal"/>
    <w:next w:val="Normal"/>
    <w:qFormat/>
    <w:rsid w:val="00080175"/>
    <w:pPr>
      <w:pBdr>
        <w:bottom w:val="single" w:sz="4" w:space="4" w:color="4F81BD"/>
      </w:pBdr>
      <w:spacing w:before="200" w:after="280"/>
      <w:ind w:left="936" w:right="936"/>
    </w:pPr>
    <w:rPr>
      <w:b/>
      <w:bCs/>
      <w:i/>
      <w:iCs/>
      <w:color w:val="4F81BD"/>
    </w:rPr>
  </w:style>
  <w:style w:type="character" w:customStyle="1" w:styleId="1f3">
    <w:name w:val="Слабое выделение1"/>
    <w:qFormat/>
    <w:rsid w:val="00080175"/>
    <w:rPr>
      <w:rFonts w:cs="Times New Roman"/>
      <w:i/>
      <w:iCs/>
      <w:color w:val="808080"/>
    </w:rPr>
  </w:style>
  <w:style w:type="character" w:customStyle="1" w:styleId="1f4">
    <w:name w:val="Слабая ссылка1"/>
    <w:qFormat/>
    <w:rsid w:val="00080175"/>
    <w:rPr>
      <w:rFonts w:cs="Times New Roman"/>
      <w:smallCaps/>
      <w:color w:val="C0504D"/>
      <w:u w:val="single"/>
    </w:rPr>
  </w:style>
  <w:style w:type="character" w:customStyle="1" w:styleId="1f5">
    <w:name w:val="Сильная ссылка1"/>
    <w:qFormat/>
    <w:rsid w:val="00080175"/>
    <w:rPr>
      <w:rFonts w:cs="Times New Roman"/>
      <w:b/>
      <w:bCs/>
      <w:smallCaps/>
      <w:color w:val="C0504D"/>
      <w:spacing w:val="5"/>
      <w:u w:val="single"/>
    </w:rPr>
  </w:style>
  <w:style w:type="character" w:customStyle="1" w:styleId="1f6">
    <w:name w:val="Название книги1"/>
    <w:qFormat/>
    <w:rsid w:val="00080175"/>
    <w:rPr>
      <w:rFonts w:cs="Times New Roman"/>
      <w:b/>
      <w:bCs/>
      <w:smallCaps/>
      <w:spacing w:val="5"/>
    </w:rPr>
  </w:style>
  <w:style w:type="character" w:customStyle="1" w:styleId="CharChar352">
    <w:name w:val="Char Char352"/>
    <w:rsid w:val="00080175"/>
    <w:rPr>
      <w:rFonts w:ascii="Arial Armenian" w:hAnsi="Arial Armenian"/>
      <w:i/>
      <w:sz w:val="22"/>
      <w:u w:val="single"/>
      <w:lang w:val="en-GB"/>
    </w:rPr>
  </w:style>
  <w:style w:type="character" w:customStyle="1" w:styleId="CharChar342">
    <w:name w:val="Char Char342"/>
    <w:rsid w:val="00080175"/>
    <w:rPr>
      <w:rFonts w:ascii="Garamond" w:hAnsi="Garamond"/>
      <w:i/>
      <w:spacing w:val="-5"/>
      <w:sz w:val="28"/>
      <w:shd w:val="pct5" w:color="auto" w:fill="auto"/>
      <w:lang w:val="en-GB"/>
    </w:rPr>
  </w:style>
  <w:style w:type="character" w:customStyle="1" w:styleId="CharChar332">
    <w:name w:val="Char Char332"/>
    <w:rsid w:val="00080175"/>
    <w:rPr>
      <w:rFonts w:ascii="Arial Black" w:hAnsi="Arial Black"/>
      <w:caps/>
      <w:spacing w:val="60"/>
      <w:position w:val="4"/>
      <w:sz w:val="14"/>
      <w:lang w:val="en-GB"/>
    </w:rPr>
  </w:style>
  <w:style w:type="character" w:customStyle="1" w:styleId="CharChar322">
    <w:name w:val="Char Char322"/>
    <w:rsid w:val="00080175"/>
    <w:rPr>
      <w:rFonts w:ascii="Garamond" w:hAnsi="Garamond"/>
      <w:b/>
      <w:i/>
      <w:kern w:val="28"/>
      <w:lang w:val="en-GB"/>
    </w:rPr>
  </w:style>
  <w:style w:type="character" w:customStyle="1" w:styleId="CharChar302">
    <w:name w:val="Char Char302"/>
    <w:rsid w:val="00080175"/>
    <w:rPr>
      <w:rFonts w:ascii="Arial Armenian" w:hAnsi="Arial Armenian"/>
      <w:lang w:val="en-GB" w:eastAsia="en-US" w:bidi="ar-SA"/>
    </w:rPr>
  </w:style>
  <w:style w:type="character" w:customStyle="1" w:styleId="CharChar292">
    <w:name w:val="Char Char292"/>
    <w:rsid w:val="00080175"/>
    <w:rPr>
      <w:rFonts w:ascii="Arial Armenian" w:hAnsi="Arial Armenian"/>
      <w:lang w:val="ru-RU" w:eastAsia="ru-RU" w:bidi="ar-SA"/>
    </w:rPr>
  </w:style>
  <w:style w:type="character" w:customStyle="1" w:styleId="SubtitleChar2">
    <w:name w:val="Subtitle Char2"/>
    <w:rsid w:val="00080175"/>
    <w:rPr>
      <w:rFonts w:ascii="Times Armenian" w:hAnsi="Times Armenian"/>
      <w:b/>
      <w:sz w:val="28"/>
      <w:szCs w:val="24"/>
      <w:lang w:eastAsia="ru-RU"/>
    </w:rPr>
  </w:style>
  <w:style w:type="paragraph" w:customStyle="1" w:styleId="msonormal0">
    <w:name w:val="msonormal"/>
    <w:basedOn w:val="Normal"/>
    <w:rsid w:val="00080175"/>
    <w:pPr>
      <w:spacing w:before="100" w:beforeAutospacing="1" w:after="100" w:afterAutospacing="1"/>
    </w:pPr>
  </w:style>
  <w:style w:type="paragraph" w:customStyle="1" w:styleId="textbox">
    <w:name w:val="textbox"/>
    <w:basedOn w:val="Normal"/>
    <w:rsid w:val="00080175"/>
    <w:pPr>
      <w:spacing w:line="160" w:lineRule="exact"/>
    </w:pPr>
    <w:rPr>
      <w:smallCaps/>
      <w:sz w:val="16"/>
      <w:szCs w:val="20"/>
      <w:lang w:val="hy-AM"/>
    </w:rPr>
  </w:style>
  <w:style w:type="character" w:customStyle="1" w:styleId="t121">
    <w:name w:val="t121"/>
    <w:rsid w:val="00080175"/>
    <w:rPr>
      <w:b/>
      <w:bCs/>
      <w:color w:val="191970"/>
    </w:rPr>
  </w:style>
  <w:style w:type="character" w:customStyle="1" w:styleId="t61">
    <w:name w:val="t61"/>
    <w:rsid w:val="00080175"/>
    <w:rPr>
      <w:b/>
      <w:bCs/>
      <w:color w:val="191970"/>
    </w:rPr>
  </w:style>
  <w:style w:type="table" w:customStyle="1" w:styleId="TableGrid10">
    <w:name w:val="Table Grid1"/>
    <w:basedOn w:val="TableNormal"/>
    <w:qFormat/>
    <w:rsid w:val="00080175"/>
    <w:pPr>
      <w:spacing w:after="0" w:line="240" w:lineRule="auto"/>
    </w:pPr>
    <w:rPr>
      <w:rFonts w:eastAsiaTheme="minorEastAsia"/>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CharCharCharCharCharCharCharChar3">
    <w:name w:val="Char Char Char Char Знак Char Знак Char Char Char Char Char Char Char Char Char Char3"/>
    <w:basedOn w:val="Normal"/>
    <w:rsid w:val="00080175"/>
    <w:pPr>
      <w:tabs>
        <w:tab w:val="left" w:pos="709"/>
      </w:tabs>
    </w:pPr>
    <w:rPr>
      <w:rFonts w:ascii="Tahoma" w:hAnsi="Tahoma" w:cs="Tahoma"/>
      <w:lang w:val="pl-PL" w:eastAsia="pl-PL"/>
    </w:rPr>
  </w:style>
  <w:style w:type="paragraph" w:customStyle="1" w:styleId="CharCharCharCharCharCharCharCharCharCharCharCharCharCharChar4">
    <w:name w:val="Char Char Char Char Знак Char Знак Char Char Char Char Char Char Char Char Char Char4"/>
    <w:basedOn w:val="Normal"/>
    <w:rsid w:val="00080175"/>
    <w:pPr>
      <w:tabs>
        <w:tab w:val="left" w:pos="709"/>
      </w:tabs>
    </w:pPr>
    <w:rPr>
      <w:rFonts w:ascii="Tahoma" w:hAnsi="Tahoma" w:cs="Tahoma"/>
      <w:lang w:val="pl-PL" w:eastAsia="pl-PL"/>
    </w:rPr>
  </w:style>
  <w:style w:type="character" w:customStyle="1" w:styleId="CharChar62">
    <w:name w:val="Char Char62"/>
    <w:locked/>
    <w:rsid w:val="00080175"/>
    <w:rPr>
      <w:rFonts w:ascii="Times LatArm" w:eastAsia="Calibri" w:hAnsi="Times LatArm" w:cs="Times LatArm"/>
      <w:sz w:val="22"/>
      <w:szCs w:val="22"/>
      <w:lang w:val="en-GB" w:eastAsia="en-US" w:bidi="ar-SA"/>
    </w:rPr>
  </w:style>
  <w:style w:type="character" w:customStyle="1" w:styleId="CentredCharChar">
    <w:name w:val="Centred Char Char"/>
    <w:locked/>
    <w:rsid w:val="00080175"/>
    <w:rPr>
      <w:rFonts w:eastAsia="Calibri"/>
      <w:b/>
      <w:bCs/>
      <w:i/>
      <w:iCs/>
      <w:sz w:val="24"/>
      <w:szCs w:val="24"/>
      <w:lang w:val="en-GB" w:eastAsia="en-US" w:bidi="ar-SA"/>
    </w:rPr>
  </w:style>
  <w:style w:type="character" w:customStyle="1" w:styleId="SideCharChar">
    <w:name w:val="Side Char Char"/>
    <w:locked/>
    <w:rsid w:val="00080175"/>
    <w:rPr>
      <w:rFonts w:eastAsia="Calibri"/>
      <w:sz w:val="22"/>
      <w:szCs w:val="22"/>
      <w:lang w:val="en-GB" w:eastAsia="en-US" w:bidi="ar-SA"/>
    </w:rPr>
  </w:style>
  <w:style w:type="character" w:customStyle="1" w:styleId="CharChar8">
    <w:name w:val="Char Char8"/>
    <w:locked/>
    <w:rsid w:val="00080175"/>
    <w:rPr>
      <w:rFonts w:ascii="Times Armenian" w:eastAsia="Calibri" w:hAnsi="Times Armenian" w:cs="Times Armenian"/>
      <w:color w:val="993300"/>
      <w:sz w:val="22"/>
      <w:szCs w:val="22"/>
      <w:lang w:val="hy-AM" w:eastAsia="en-US" w:bidi="ar-SA"/>
    </w:rPr>
  </w:style>
  <w:style w:type="character" w:customStyle="1" w:styleId="CharChar7">
    <w:name w:val="Char Char7"/>
    <w:locked/>
    <w:rsid w:val="00080175"/>
    <w:rPr>
      <w:rFonts w:ascii="Courier New" w:eastAsia="Calibri" w:hAnsi="Courier New" w:cs="Courier New"/>
      <w:lang w:val="en-US" w:eastAsia="en-US" w:bidi="ar-SA"/>
    </w:rPr>
  </w:style>
  <w:style w:type="character" w:customStyle="1" w:styleId="CharChar42">
    <w:name w:val="Char Char42"/>
    <w:locked/>
    <w:rsid w:val="00080175"/>
    <w:rPr>
      <w:rFonts w:eastAsia="Calibri"/>
      <w:sz w:val="22"/>
      <w:szCs w:val="22"/>
      <w:lang w:val="en-GB" w:eastAsia="en-US" w:bidi="ar-SA"/>
    </w:rPr>
  </w:style>
  <w:style w:type="character" w:customStyle="1" w:styleId="CharChar38">
    <w:name w:val="Char Char38"/>
    <w:uiPriority w:val="99"/>
    <w:locked/>
    <w:rsid w:val="00080175"/>
    <w:rPr>
      <w:rFonts w:eastAsia="Calibri"/>
      <w:sz w:val="22"/>
      <w:szCs w:val="22"/>
      <w:lang w:val="en-GB" w:eastAsia="en-US" w:bidi="ar-SA"/>
    </w:rPr>
  </w:style>
  <w:style w:type="character" w:customStyle="1" w:styleId="CharChar212">
    <w:name w:val="Char Char212"/>
    <w:locked/>
    <w:rsid w:val="00080175"/>
    <w:rPr>
      <w:rFonts w:ascii="Times Armenian" w:eastAsia="Calibri" w:hAnsi="Times Armenian" w:cs="Times Armenian"/>
      <w:b/>
      <w:bCs/>
      <w:sz w:val="22"/>
      <w:szCs w:val="22"/>
      <w:lang w:val="en-US" w:eastAsia="en-US" w:bidi="ar-SA"/>
    </w:rPr>
  </w:style>
  <w:style w:type="table" w:customStyle="1" w:styleId="TableGrid2">
    <w:name w:val="Table Grid2"/>
    <w:basedOn w:val="TableNormal"/>
    <w:rsid w:val="00080175"/>
    <w:pPr>
      <w:spacing w:after="0" w:line="240" w:lineRule="auto"/>
    </w:pPr>
    <w:rPr>
      <w:rFonts w:eastAsiaTheme="minorEastAsia"/>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mak">
    <w:name w:val="namak Знак"/>
    <w:link w:val="namak0"/>
    <w:locked/>
    <w:rsid w:val="00080175"/>
    <w:rPr>
      <w:rFonts w:ascii="GHEA Grapalat" w:hAnsi="GHEA Grapalat"/>
      <w:spacing w:val="-4"/>
      <w:sz w:val="24"/>
      <w:szCs w:val="24"/>
    </w:rPr>
  </w:style>
  <w:style w:type="paragraph" w:customStyle="1" w:styleId="namak0">
    <w:name w:val="namak"/>
    <w:basedOn w:val="Normal"/>
    <w:link w:val="namak"/>
    <w:rsid w:val="00080175"/>
    <w:pPr>
      <w:spacing w:line="400" w:lineRule="exact"/>
      <w:ind w:firstLine="397"/>
    </w:pPr>
    <w:rPr>
      <w:rFonts w:eastAsiaTheme="minorHAnsi"/>
      <w:spacing w:val="-4"/>
      <w:sz w:val="24"/>
      <w:szCs w:val="24"/>
    </w:rPr>
  </w:style>
  <w:style w:type="table" w:customStyle="1" w:styleId="TableGrid30">
    <w:name w:val="Table Grid3"/>
    <w:basedOn w:val="TableNormal"/>
    <w:rsid w:val="00080175"/>
    <w:pPr>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
    <w:name w:val="Table Web 21"/>
    <w:basedOn w:val="TableNormal"/>
    <w:rsid w:val="00080175"/>
    <w:pPr>
      <w:spacing w:after="0" w:line="240" w:lineRule="auto"/>
    </w:pPr>
    <w:rPr>
      <w:rFonts w:eastAsiaTheme="minorEastAsia"/>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1">
    <w:name w:val="Table Web 11"/>
    <w:basedOn w:val="TableNormal"/>
    <w:rsid w:val="00080175"/>
    <w:pPr>
      <w:spacing w:after="0" w:line="240" w:lineRule="auto"/>
    </w:pPr>
    <w:rPr>
      <w:rFonts w:eastAsiaTheme="minorEastAsia"/>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1">
    <w:name w:val="Table Grid 81"/>
    <w:basedOn w:val="TableNormal"/>
    <w:rsid w:val="00080175"/>
    <w:pPr>
      <w:spacing w:after="0" w:line="240" w:lineRule="auto"/>
    </w:pPr>
    <w:rPr>
      <w:rFonts w:eastAsiaTheme="minorEastAsia"/>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1">
    <w:name w:val="Table Contemporary1"/>
    <w:basedOn w:val="TableNormal"/>
    <w:rsid w:val="00080175"/>
    <w:pPr>
      <w:spacing w:after="0" w:line="240" w:lineRule="auto"/>
    </w:pPr>
    <w:rPr>
      <w:rFonts w:eastAsiaTheme="minorEastAsia"/>
      <w:sz w:val="20"/>
      <w:szCs w:val="20"/>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ColorfulGrid-Accent12">
    <w:name w:val="Colorful Grid - Accent 12"/>
    <w:basedOn w:val="TableNormal"/>
    <w:rsid w:val="00080175"/>
    <w:pPr>
      <w:spacing w:after="0" w:line="240" w:lineRule="auto"/>
    </w:pPr>
    <w:rPr>
      <w:rFonts w:eastAsiaTheme="minorEastAsia"/>
      <w:color w:val="000000"/>
      <w:sz w:val="20"/>
      <w:szCs w:val="2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
    <w:name w:val="Light List - Accent 52"/>
    <w:basedOn w:val="TableNormal"/>
    <w:rsid w:val="00080175"/>
    <w:pPr>
      <w:spacing w:after="0" w:line="240" w:lineRule="auto"/>
    </w:pPr>
    <w:rPr>
      <w:rFonts w:eastAsiaTheme="minorEastAsia"/>
      <w:sz w:val="20"/>
      <w:szCs w:val="20"/>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Bullet2">
    <w:name w:val="Bullet 2"/>
    <w:basedOn w:val="Normal"/>
    <w:qFormat/>
    <w:rsid w:val="00080175"/>
    <w:pPr>
      <w:widowControl w:val="0"/>
      <w:tabs>
        <w:tab w:val="left" w:pos="851"/>
        <w:tab w:val="left" w:pos="993"/>
      </w:tabs>
      <w:spacing w:line="360" w:lineRule="auto"/>
      <w:ind w:left="567"/>
      <w:contextualSpacing/>
    </w:pPr>
    <w:rPr>
      <w:rFonts w:cs="Sylfaen"/>
      <w:b/>
      <w:lang w:val="ro-RO" w:eastAsia="ru-RU"/>
    </w:rPr>
  </w:style>
  <w:style w:type="paragraph" w:customStyle="1" w:styleId="CharChar5CharCharCharCharCharChar2">
    <w:name w:val="Char Char5 Char Char Char Char Char Char2"/>
    <w:basedOn w:val="Normal"/>
    <w:rsid w:val="00080175"/>
    <w:pPr>
      <w:tabs>
        <w:tab w:val="left" w:pos="709"/>
      </w:tabs>
    </w:pPr>
    <w:rPr>
      <w:rFonts w:ascii="Tahoma" w:hAnsi="Tahoma"/>
      <w:lang w:val="pl-PL" w:eastAsia="pl-PL"/>
    </w:rPr>
  </w:style>
  <w:style w:type="paragraph" w:customStyle="1" w:styleId="CharChar5CharCharCharChar2">
    <w:name w:val="Char Char5 Char Char Char Char2"/>
    <w:basedOn w:val="Normal"/>
    <w:rsid w:val="00080175"/>
    <w:pPr>
      <w:tabs>
        <w:tab w:val="left" w:pos="709"/>
      </w:tabs>
    </w:pPr>
    <w:rPr>
      <w:rFonts w:ascii="Tahoma" w:hAnsi="Tahoma"/>
      <w:lang w:val="pl-PL" w:eastAsia="pl-PL"/>
    </w:rPr>
  </w:style>
  <w:style w:type="paragraph" w:customStyle="1" w:styleId="CharChar5CharChar2">
    <w:name w:val="Char Char5 Char Char2"/>
    <w:basedOn w:val="Normal"/>
    <w:rsid w:val="00080175"/>
    <w:pPr>
      <w:tabs>
        <w:tab w:val="left" w:pos="709"/>
      </w:tabs>
    </w:pPr>
    <w:rPr>
      <w:rFonts w:ascii="Tahoma" w:hAnsi="Tahoma"/>
      <w:lang w:val="pl-PL" w:eastAsia="pl-PL"/>
    </w:rPr>
  </w:style>
  <w:style w:type="paragraph" w:customStyle="1" w:styleId="2a">
    <w:name w:val="Абзац списка2"/>
    <w:basedOn w:val="Normal"/>
    <w:uiPriority w:val="99"/>
    <w:qFormat/>
    <w:rsid w:val="00080175"/>
    <w:pPr>
      <w:spacing w:after="200" w:line="276" w:lineRule="auto"/>
      <w:ind w:left="720"/>
      <w:contextualSpacing/>
    </w:pPr>
    <w:rPr>
      <w:lang w:val="ru-RU" w:eastAsia="ru-RU"/>
    </w:rPr>
  </w:style>
  <w:style w:type="paragraph" w:customStyle="1" w:styleId="45">
    <w:name w:val="Обычный4"/>
    <w:rsid w:val="00080175"/>
    <w:pPr>
      <w:autoSpaceDE w:val="0"/>
      <w:autoSpaceDN w:val="0"/>
    </w:pPr>
    <w:rPr>
      <w:rFonts w:eastAsiaTheme="minorEastAsia"/>
      <w:lang w:val="ru-RU" w:eastAsia="ru-RU"/>
    </w:rPr>
  </w:style>
  <w:style w:type="paragraph" w:customStyle="1" w:styleId="2b">
    <w:name w:val="Без интервала2"/>
    <w:uiPriority w:val="1"/>
    <w:qFormat/>
    <w:rsid w:val="00080175"/>
    <w:rPr>
      <w:rFonts w:eastAsiaTheme="minorEastAsia"/>
    </w:rPr>
  </w:style>
  <w:style w:type="paragraph" w:customStyle="1" w:styleId="2c">
    <w:name w:val="Рецензия2"/>
    <w:hidden/>
    <w:semiHidden/>
    <w:rsid w:val="00080175"/>
    <w:rPr>
      <w:rFonts w:ascii="Arial Armenian" w:eastAsiaTheme="minorEastAsia" w:hAnsi="Arial Armenian" w:cs="Sylfaen"/>
      <w:sz w:val="24"/>
      <w:szCs w:val="24"/>
      <w:lang w:val="ru-RU" w:eastAsia="ru-RU"/>
    </w:rPr>
  </w:style>
  <w:style w:type="character" w:customStyle="1" w:styleId="311">
    <w:name w:val="Основной текст31"/>
    <w:rsid w:val="00080175"/>
    <w:rPr>
      <w:rFonts w:ascii="Arial Unicode MS" w:eastAsia="Arial Unicode MS" w:hAnsi="Arial Unicode MS" w:cs="Arial Unicode MS"/>
      <w:color w:val="000000"/>
      <w:spacing w:val="0"/>
      <w:w w:val="100"/>
      <w:position w:val="0"/>
      <w:sz w:val="30"/>
      <w:szCs w:val="30"/>
      <w:u w:val="none"/>
      <w:lang w:val="hy-AM"/>
    </w:rPr>
  </w:style>
  <w:style w:type="character" w:customStyle="1" w:styleId="CharChar121">
    <w:name w:val="Char Char121"/>
    <w:rsid w:val="00080175"/>
    <w:rPr>
      <w:sz w:val="22"/>
      <w:lang w:val="en-GB" w:eastAsia="en-US" w:bidi="ar-SA"/>
    </w:rPr>
  </w:style>
  <w:style w:type="character" w:styleId="PlaceholderText">
    <w:name w:val="Placeholder Text"/>
    <w:uiPriority w:val="99"/>
    <w:semiHidden/>
    <w:rsid w:val="00080175"/>
    <w:rPr>
      <w:color w:val="808080"/>
    </w:rPr>
  </w:style>
  <w:style w:type="character" w:customStyle="1" w:styleId="newstext">
    <w:name w:val="news_text"/>
    <w:rsid w:val="00080175"/>
  </w:style>
  <w:style w:type="table" w:customStyle="1" w:styleId="TableGrid4">
    <w:name w:val="Table Grid4"/>
    <w:basedOn w:val="TableNormal"/>
    <w:uiPriority w:val="39"/>
    <w:rsid w:val="00080175"/>
    <w:pPr>
      <w:spacing w:after="0" w:line="240" w:lineRule="auto"/>
    </w:pPr>
    <w:rPr>
      <w:rFonts w:eastAsia="Calibri"/>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har">
    <w:name w:val="Default Char"/>
    <w:link w:val="Default"/>
    <w:locked/>
    <w:rsid w:val="00080175"/>
    <w:rPr>
      <w:rFonts w:ascii="Times Armenian" w:eastAsiaTheme="minorEastAsia" w:hAnsi="Times Armenian" w:cs="Times Armenian"/>
      <w:color w:val="000000"/>
      <w:sz w:val="24"/>
      <w:szCs w:val="24"/>
      <w:lang w:val="ru-RU" w:eastAsia="ru-RU"/>
    </w:rPr>
  </w:style>
  <w:style w:type="table" w:customStyle="1" w:styleId="GridTable1Light-Accent51">
    <w:name w:val="Grid Table 1 Light - Accent 51"/>
    <w:basedOn w:val="TableNormal"/>
    <w:uiPriority w:val="46"/>
    <w:rsid w:val="00080175"/>
    <w:pPr>
      <w:spacing w:after="0" w:line="240" w:lineRule="auto"/>
    </w:pPr>
    <w:rPr>
      <w:rFonts w:eastAsia="Calibri" w:cs="Calibri"/>
      <w:sz w:val="20"/>
      <w:szCs w:val="20"/>
      <w:lang w:val="hy-AM"/>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
    <w:name w:val="Plain Table 31"/>
    <w:basedOn w:val="TableNormal"/>
    <w:uiPriority w:val="43"/>
    <w:rsid w:val="00080175"/>
    <w:pPr>
      <w:spacing w:after="0" w:line="240" w:lineRule="auto"/>
    </w:pPr>
    <w:rPr>
      <w:rFonts w:eastAsia="Calibri"/>
      <w:sz w:val="24"/>
      <w:szCs w:val="24"/>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TableNormal"/>
    <w:uiPriority w:val="49"/>
    <w:rsid w:val="00080175"/>
    <w:pPr>
      <w:spacing w:after="0" w:line="240" w:lineRule="auto"/>
    </w:pPr>
    <w:rPr>
      <w:rFonts w:eastAsia="Calibri"/>
      <w:sz w:val="24"/>
      <w:szCs w:val="24"/>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lid-translation">
    <w:name w:val="tlid-translation"/>
    <w:rsid w:val="00080175"/>
  </w:style>
  <w:style w:type="table" w:customStyle="1" w:styleId="TableGrid50">
    <w:name w:val="Table Grid5"/>
    <w:basedOn w:val="TableNormal"/>
    <w:uiPriority w:val="39"/>
    <w:rsid w:val="00080175"/>
    <w:pPr>
      <w:spacing w:after="0" w:line="240" w:lineRule="auto"/>
    </w:pPr>
    <w:rPr>
      <w:rFonts w:ascii="Times New Roman" w:eastAsiaTheme="minorEastAsia"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
    <w:name w:val="Table List 71"/>
    <w:basedOn w:val="TableNormal"/>
    <w:uiPriority w:val="99"/>
    <w:rsid w:val="00080175"/>
    <w:pPr>
      <w:spacing w:after="0" w:line="240" w:lineRule="auto"/>
    </w:pPr>
    <w:rPr>
      <w:rFonts w:ascii="Times New Roman" w:eastAsiaTheme="minorEastAsia" w:hAnsi="Times New Roman"/>
      <w:sz w:val="20"/>
      <w:szCs w:val="20"/>
    </w:r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customStyle="1" w:styleId="TableWeb31">
    <w:name w:val="Table Web 31"/>
    <w:basedOn w:val="TableNormal"/>
    <w:uiPriority w:val="99"/>
    <w:rsid w:val="00080175"/>
    <w:pPr>
      <w:spacing w:after="0" w:line="240" w:lineRule="auto"/>
    </w:pPr>
    <w:rPr>
      <w:rFonts w:ascii="Times New Roman" w:eastAsiaTheme="minorEastAsia" w:hAnsi="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Elegant1">
    <w:name w:val="Table Elegant1"/>
    <w:basedOn w:val="TableNormal"/>
    <w:uiPriority w:val="99"/>
    <w:rsid w:val="00080175"/>
    <w:pPr>
      <w:spacing w:after="0" w:line="240" w:lineRule="auto"/>
    </w:pPr>
    <w:rPr>
      <w:rFonts w:ascii="Times New Roman" w:eastAsiaTheme="minorEastAsia" w:hAnsi="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Web22">
    <w:name w:val="Table Web 22"/>
    <w:basedOn w:val="TableNormal"/>
    <w:rsid w:val="00080175"/>
    <w:pPr>
      <w:spacing w:after="0" w:line="240" w:lineRule="auto"/>
    </w:pPr>
    <w:rPr>
      <w:rFonts w:ascii="Times New Roman" w:eastAsiaTheme="minorEastAsia" w:hAnsi="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2">
    <w:name w:val="Table Web 12"/>
    <w:basedOn w:val="TableNormal"/>
    <w:rsid w:val="00080175"/>
    <w:pPr>
      <w:spacing w:after="0" w:line="240" w:lineRule="auto"/>
    </w:pPr>
    <w:rPr>
      <w:rFonts w:ascii="Times New Roman" w:eastAsiaTheme="minorEastAsia" w:hAnsi="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2">
    <w:name w:val="Table Grid 82"/>
    <w:basedOn w:val="TableNormal"/>
    <w:rsid w:val="00080175"/>
    <w:pPr>
      <w:spacing w:after="0" w:line="240" w:lineRule="auto"/>
    </w:pPr>
    <w:rPr>
      <w:rFonts w:ascii="Times New Roman" w:eastAsiaTheme="minorEastAsia" w:hAnsi="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2">
    <w:name w:val="Table Contemporary2"/>
    <w:basedOn w:val="TableNormal"/>
    <w:rsid w:val="00080175"/>
    <w:pPr>
      <w:spacing w:after="0" w:line="240" w:lineRule="auto"/>
    </w:pPr>
    <w:rPr>
      <w:rFonts w:ascii="Times New Roman" w:eastAsiaTheme="minorEastAsia" w:hAnsi="Times New Roman"/>
      <w:sz w:val="20"/>
      <w:szCs w:val="20"/>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LightList-Accent12">
    <w:name w:val="Light List - Accent 12"/>
    <w:basedOn w:val="TableNormal"/>
    <w:uiPriority w:val="61"/>
    <w:rsid w:val="00080175"/>
    <w:pPr>
      <w:spacing w:after="0" w:line="240" w:lineRule="auto"/>
    </w:pPr>
    <w:rPr>
      <w:rFonts w:ascii="Times New Roman" w:eastAsiaTheme="minorEastAsia" w:hAnsi="Times New Roman"/>
      <w:sz w:val="20"/>
      <w:szCs w:val="20"/>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
    <w:name w:val="Table Grid 71"/>
    <w:basedOn w:val="TableNormal"/>
    <w:uiPriority w:val="99"/>
    <w:rsid w:val="00080175"/>
    <w:pPr>
      <w:spacing w:after="0" w:line="240" w:lineRule="auto"/>
    </w:pPr>
    <w:rPr>
      <w:rFonts w:ascii="Times New Roman" w:eastAsiaTheme="minorEastAsia" w:hAnsi="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customStyle="1" w:styleId="ColorfulGrid-Accent13">
    <w:name w:val="Colorful Grid - Accent 13"/>
    <w:basedOn w:val="TableNormal"/>
    <w:uiPriority w:val="73"/>
    <w:rsid w:val="00080175"/>
    <w:pPr>
      <w:spacing w:after="0" w:line="240" w:lineRule="auto"/>
    </w:pPr>
    <w:rPr>
      <w:rFonts w:ascii="Times New Roman" w:eastAsiaTheme="minorEastAsia" w:hAnsi="Times New Roman"/>
      <w:color w:val="000000"/>
      <w:sz w:val="20"/>
      <w:szCs w:val="2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
    <w:name w:val="Light List - Accent 53"/>
    <w:basedOn w:val="TableNormal"/>
    <w:uiPriority w:val="61"/>
    <w:rsid w:val="00080175"/>
    <w:pPr>
      <w:spacing w:after="0" w:line="240" w:lineRule="auto"/>
    </w:pPr>
    <w:rPr>
      <w:rFonts w:ascii="Times New Roman" w:eastAsiaTheme="minorEastAsia" w:hAnsi="Times New Roman"/>
      <w:sz w:val="20"/>
      <w:szCs w:val="20"/>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
    <w:name w:val="Table Simple 31"/>
    <w:basedOn w:val="TableNormal"/>
    <w:uiPriority w:val="99"/>
    <w:rsid w:val="00080175"/>
    <w:pPr>
      <w:spacing w:after="0" w:line="240" w:lineRule="auto"/>
    </w:pPr>
    <w:rPr>
      <w:rFonts w:ascii="Times New Roman" w:eastAsiaTheme="minorEastAsia" w:hAnsi="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TableGrid51">
    <w:name w:val="Table Grid 51"/>
    <w:basedOn w:val="TableNormal"/>
    <w:uiPriority w:val="99"/>
    <w:rsid w:val="00080175"/>
    <w:pPr>
      <w:spacing w:after="0" w:line="240" w:lineRule="auto"/>
    </w:pPr>
    <w:rPr>
      <w:rFonts w:ascii="Times New Roman" w:eastAsiaTheme="minorEastAsia" w:hAnsi="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31">
    <w:name w:val="Table Grid 31"/>
    <w:basedOn w:val="TableNormal"/>
    <w:uiPriority w:val="99"/>
    <w:rsid w:val="00080175"/>
    <w:pPr>
      <w:spacing w:after="0" w:line="240" w:lineRule="auto"/>
    </w:pPr>
    <w:rPr>
      <w:rFonts w:ascii="Times New Roman" w:eastAsiaTheme="minorEastAsia" w:hAnsi="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11">
    <w:name w:val="Table Grid 11"/>
    <w:basedOn w:val="TableNormal"/>
    <w:uiPriority w:val="99"/>
    <w:rsid w:val="00080175"/>
    <w:pPr>
      <w:spacing w:after="0" w:line="240" w:lineRule="auto"/>
    </w:pPr>
    <w:rPr>
      <w:rFonts w:ascii="Times New Roman" w:eastAsiaTheme="minorEastAsia" w:hAnsi="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TableColumns51">
    <w:name w:val="Table Columns 51"/>
    <w:basedOn w:val="TableNormal"/>
    <w:uiPriority w:val="99"/>
    <w:rsid w:val="00080175"/>
    <w:pPr>
      <w:spacing w:after="0" w:line="240" w:lineRule="auto"/>
    </w:pPr>
    <w:rPr>
      <w:rFonts w:ascii="Times New Roman" w:eastAsiaTheme="minorEastAsia" w:hAnsi="Times New Roman"/>
      <w:sz w:val="20"/>
      <w:szCs w:val="20"/>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1">
    <w:name w:val="Light List - Accent 111"/>
    <w:basedOn w:val="TableNormal"/>
    <w:uiPriority w:val="61"/>
    <w:rsid w:val="00080175"/>
    <w:pPr>
      <w:spacing w:after="0" w:line="240" w:lineRule="auto"/>
    </w:pPr>
    <w:rPr>
      <w:rFonts w:ascii="Times New Roman" w:eastAsiaTheme="minorEastAsia" w:hAnsi="Times New Roman"/>
      <w:sz w:val="20"/>
      <w:szCs w:val="20"/>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Accent111">
    <w:name w:val="Colorful Grid - Accent 111"/>
    <w:basedOn w:val="TableNormal"/>
    <w:rsid w:val="00080175"/>
    <w:pPr>
      <w:spacing w:after="0" w:line="240" w:lineRule="auto"/>
    </w:pPr>
    <w:rPr>
      <w:rFonts w:ascii="Times New Roman" w:eastAsiaTheme="minorEastAsia" w:hAnsi="Times New Roman"/>
      <w:color w:val="000000"/>
      <w:sz w:val="20"/>
      <w:szCs w:val="20"/>
      <w:lang w:eastAsia="ru-RU"/>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
    <w:name w:val="Light List - Accent 511"/>
    <w:basedOn w:val="TableNormal"/>
    <w:rsid w:val="00080175"/>
    <w:pPr>
      <w:spacing w:after="0" w:line="240" w:lineRule="auto"/>
    </w:pPr>
    <w:rPr>
      <w:rFonts w:ascii="Times New Roman" w:eastAsiaTheme="minorEastAsia" w:hAnsi="Times New Roman"/>
      <w:sz w:val="20"/>
      <w:szCs w:val="20"/>
      <w:lang w:eastAsia="ru-RU"/>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3Deffects31">
    <w:name w:val="Table 3D effects 31"/>
    <w:basedOn w:val="TableNormal"/>
    <w:uiPriority w:val="99"/>
    <w:rsid w:val="00080175"/>
    <w:pPr>
      <w:spacing w:after="0" w:line="240" w:lineRule="auto"/>
    </w:pPr>
    <w:rPr>
      <w:rFonts w:ascii="Times New Roman" w:eastAsiaTheme="minorEastAsia" w:hAnsi="Times New Roman"/>
      <w:sz w:val="20"/>
      <w:szCs w:val="20"/>
    </w:rP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customStyle="1" w:styleId="TableGrid110">
    <w:name w:val="Table Grid11"/>
    <w:basedOn w:val="TableNormal"/>
    <w:uiPriority w:val="39"/>
    <w:rsid w:val="00080175"/>
    <w:pPr>
      <w:spacing w:after="0" w:line="240" w:lineRule="auto"/>
    </w:pPr>
    <w:rPr>
      <w:rFonts w:ascii="Times New Roman" w:eastAsiaTheme="minorEastAsia" w:hAnsi="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rsid w:val="00080175"/>
    <w:pPr>
      <w:spacing w:after="0" w:line="240" w:lineRule="auto"/>
    </w:pPr>
    <w:rPr>
      <w:rFonts w:ascii="Times New Roman" w:eastAsiaTheme="minorEastAsia" w:hAnsi="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
    <w:basedOn w:val="TableNormal"/>
    <w:rsid w:val="00080175"/>
    <w:pPr>
      <w:spacing w:after="0" w:line="240" w:lineRule="auto"/>
    </w:pPr>
    <w:rPr>
      <w:rFonts w:ascii="Times New Roman" w:eastAsiaTheme="minorEastAsia"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
    <w:name w:val="Table Web 211"/>
    <w:basedOn w:val="TableNormal"/>
    <w:rsid w:val="00080175"/>
    <w:pPr>
      <w:spacing w:after="0" w:line="240" w:lineRule="auto"/>
    </w:pPr>
    <w:rPr>
      <w:rFonts w:ascii="Times New Roman" w:eastAsiaTheme="minorEastAsia" w:hAnsi="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11">
    <w:name w:val="Table Web 111"/>
    <w:basedOn w:val="TableNormal"/>
    <w:rsid w:val="00080175"/>
    <w:pPr>
      <w:spacing w:after="0" w:line="240" w:lineRule="auto"/>
    </w:pPr>
    <w:rPr>
      <w:rFonts w:ascii="Times New Roman" w:eastAsiaTheme="minorEastAsia" w:hAnsi="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11">
    <w:name w:val="Table Grid 811"/>
    <w:basedOn w:val="TableNormal"/>
    <w:rsid w:val="00080175"/>
    <w:pPr>
      <w:spacing w:after="0" w:line="240" w:lineRule="auto"/>
    </w:pPr>
    <w:rPr>
      <w:rFonts w:ascii="Times New Roman" w:eastAsiaTheme="minorEastAsia" w:hAnsi="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11">
    <w:name w:val="Table Contemporary11"/>
    <w:basedOn w:val="TableNormal"/>
    <w:rsid w:val="00080175"/>
    <w:pPr>
      <w:spacing w:after="0" w:line="240" w:lineRule="auto"/>
    </w:pPr>
    <w:rPr>
      <w:rFonts w:ascii="Times New Roman" w:eastAsiaTheme="minorEastAsia" w:hAnsi="Times New Roman"/>
      <w:sz w:val="20"/>
      <w:szCs w:val="20"/>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ColorfulGrid-Accent121">
    <w:name w:val="Colorful Grid - Accent 121"/>
    <w:basedOn w:val="TableNormal"/>
    <w:rsid w:val="00080175"/>
    <w:pPr>
      <w:spacing w:after="0" w:line="240" w:lineRule="auto"/>
    </w:pPr>
    <w:rPr>
      <w:rFonts w:ascii="Times New Roman" w:eastAsiaTheme="minorEastAsia" w:hAnsi="Times New Roman"/>
      <w:color w:val="000000"/>
      <w:sz w:val="20"/>
      <w:szCs w:val="2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
    <w:name w:val="Light List - Accent 521"/>
    <w:basedOn w:val="TableNormal"/>
    <w:rsid w:val="00080175"/>
    <w:pPr>
      <w:spacing w:after="0" w:line="240" w:lineRule="auto"/>
    </w:pPr>
    <w:rPr>
      <w:rFonts w:ascii="Times New Roman" w:eastAsiaTheme="minorEastAsia" w:hAnsi="Times New Roman"/>
      <w:sz w:val="20"/>
      <w:szCs w:val="20"/>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CharChar37">
    <w:name w:val="Char Char37"/>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Char20">
    <w:name w:val="Char Char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BodyText24">
    <w:name w:val="Body Text2"/>
    <w:basedOn w:val="Normal"/>
    <w:rsid w:val="00080175"/>
    <w:pPr>
      <w:tabs>
        <w:tab w:val="left" w:pos="0"/>
      </w:tabs>
      <w:spacing w:before="0" w:after="240" w:line="240" w:lineRule="auto"/>
      <w:ind w:firstLine="0"/>
    </w:pPr>
    <w:rPr>
      <w:rFonts w:ascii="Times Armenian" w:eastAsia="Times New Roman" w:hAnsi="Times Armenian" w:cs="Times New Roman"/>
      <w:sz w:val="24"/>
      <w:szCs w:val="24"/>
      <w:lang w:eastAsia="ru-RU"/>
    </w:rPr>
  </w:style>
  <w:style w:type="paragraph" w:customStyle="1" w:styleId="Char6">
    <w:name w:val="Char6"/>
    <w:basedOn w:val="Normal"/>
    <w:next w:val="Normal"/>
    <w:rsid w:val="00080175"/>
    <w:pPr>
      <w:spacing w:before="0" w:after="160" w:line="240" w:lineRule="exact"/>
      <w:ind w:firstLine="0"/>
      <w:jc w:val="left"/>
    </w:pPr>
    <w:rPr>
      <w:rFonts w:ascii="Tahoma" w:eastAsia="Times New Roman" w:hAnsi="Tahoma" w:cs="Times New Roman"/>
      <w:sz w:val="24"/>
      <w:szCs w:val="20"/>
    </w:rPr>
  </w:style>
  <w:style w:type="paragraph" w:customStyle="1" w:styleId="Znak2">
    <w:name w:val="Znak2"/>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Char2">
    <w:name w:val="Char Char Char Char Char Char Char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2">
    <w:name w:val="Char Char Char Char Char Char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5">
    <w:name w:val="Знак Знак5"/>
    <w:basedOn w:val="Normal"/>
    <w:link w:val="Char21"/>
    <w:rsid w:val="00080175"/>
    <w:pPr>
      <w:spacing w:before="0" w:after="160" w:line="240" w:lineRule="exact"/>
      <w:ind w:firstLine="0"/>
      <w:jc w:val="left"/>
    </w:pPr>
    <w:rPr>
      <w:rFonts w:ascii="Arial" w:eastAsia="Times New Roman" w:hAnsi="Arial" w:cs="Arial"/>
      <w:sz w:val="20"/>
      <w:szCs w:val="20"/>
      <w:lang w:val="en-GB"/>
    </w:rPr>
  </w:style>
  <w:style w:type="character" w:customStyle="1" w:styleId="Char21">
    <w:name w:val="Знак Знак Char2"/>
    <w:link w:val="5"/>
    <w:rsid w:val="00080175"/>
    <w:rPr>
      <w:rFonts w:ascii="Arial" w:eastAsia="Times New Roman" w:hAnsi="Arial" w:cs="Arial"/>
      <w:sz w:val="20"/>
      <w:szCs w:val="20"/>
      <w:lang w:val="en-GB"/>
    </w:rPr>
  </w:style>
  <w:style w:type="paragraph" w:customStyle="1" w:styleId="CharCharChar21">
    <w:name w:val="Char Char Char Знак Знак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2">
    <w:name w:val="Char Char Char Char Char Char Char Char Char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2">
    <w:name w:val="Char Char Char Char Char Char Char Char Char Char Char Char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1CharChar2">
    <w:name w:val="Знак Знак1 Char Char Знак Знак2"/>
    <w:basedOn w:val="Normal"/>
    <w:rsid w:val="00080175"/>
    <w:pPr>
      <w:tabs>
        <w:tab w:val="left" w:pos="840"/>
      </w:tabs>
      <w:spacing w:before="0" w:after="160" w:line="240" w:lineRule="exact"/>
      <w:ind w:left="840" w:hanging="360"/>
    </w:pPr>
    <w:rPr>
      <w:rFonts w:ascii="Verdana" w:eastAsia="Times New Roman" w:hAnsi="Verdana" w:cs="Times New Roman"/>
      <w:sz w:val="20"/>
      <w:szCs w:val="20"/>
      <w:lang w:val="ru-RU"/>
    </w:rPr>
  </w:style>
  <w:style w:type="paragraph" w:customStyle="1" w:styleId="CharCharCharChar2">
    <w:name w:val="Знак Знак Char Char Знак Знак Char Char Знак Знак2"/>
    <w:basedOn w:val="Normal"/>
    <w:rsid w:val="00080175"/>
    <w:pPr>
      <w:spacing w:before="0" w:after="160" w:line="240" w:lineRule="exact"/>
      <w:ind w:firstLine="0"/>
      <w:jc w:val="left"/>
    </w:pPr>
    <w:rPr>
      <w:rFonts w:ascii="Times New Roman" w:eastAsia="Times New Roman" w:hAnsi="Times New Roman" w:cs="Times New Roman"/>
      <w:sz w:val="28"/>
      <w:szCs w:val="20"/>
    </w:rPr>
  </w:style>
  <w:style w:type="paragraph" w:customStyle="1" w:styleId="Char22">
    <w:name w:val="Знак Знак Знак Знак Знак Знак Знак Знак Знак Знак Знак Знак Знак Знак Знак Знак Знак Знак Char Знак Знак2"/>
    <w:basedOn w:val="Normal"/>
    <w:rsid w:val="00080175"/>
    <w:pPr>
      <w:spacing w:before="0" w:after="160" w:line="240" w:lineRule="exact"/>
      <w:ind w:firstLine="0"/>
      <w:jc w:val="left"/>
    </w:pPr>
    <w:rPr>
      <w:rFonts w:ascii="Times New Roman" w:eastAsia="Times New Roman" w:hAnsi="Times New Roman" w:cs="Times New Roman"/>
      <w:sz w:val="28"/>
      <w:szCs w:val="20"/>
    </w:rPr>
  </w:style>
  <w:style w:type="paragraph" w:customStyle="1" w:styleId="CharCharChar22">
    <w:name w:val="Char Char Char Знак2"/>
    <w:basedOn w:val="Normal"/>
    <w:next w:val="Normal"/>
    <w:rsid w:val="00080175"/>
    <w:pPr>
      <w:spacing w:before="0" w:after="160" w:line="240" w:lineRule="exact"/>
      <w:ind w:firstLine="0"/>
      <w:jc w:val="left"/>
    </w:pPr>
    <w:rPr>
      <w:rFonts w:ascii="Tahoma" w:eastAsia="Times New Roman" w:hAnsi="Tahoma" w:cs="Times New Roman"/>
      <w:sz w:val="24"/>
      <w:szCs w:val="20"/>
    </w:rPr>
  </w:style>
  <w:style w:type="paragraph" w:customStyle="1" w:styleId="CharCharChar1Char2">
    <w:name w:val="Char Char Char1 Char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120">
    <w:name w:val="Знак Знак12"/>
    <w:basedOn w:val="Normal"/>
    <w:rsid w:val="00080175"/>
    <w:pPr>
      <w:spacing w:before="0" w:after="160" w:line="240" w:lineRule="exact"/>
      <w:ind w:firstLine="0"/>
      <w:jc w:val="left"/>
    </w:pPr>
    <w:rPr>
      <w:rFonts w:ascii="Arial" w:eastAsia="MS Mincho" w:hAnsi="Arial" w:cs="Arial"/>
      <w:sz w:val="20"/>
      <w:szCs w:val="20"/>
    </w:rPr>
  </w:style>
  <w:style w:type="paragraph" w:customStyle="1" w:styleId="CharCharCharCharChar20">
    <w:name w:val="Char Char Char Char Char Знак Знак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1CharCharChar1Char2">
    <w:name w:val="Char Char1 Char Char Char1 Char2"/>
    <w:basedOn w:val="Normal"/>
    <w:rsid w:val="00080175"/>
    <w:pPr>
      <w:spacing w:before="0" w:after="0" w:line="240" w:lineRule="auto"/>
      <w:ind w:firstLine="0"/>
      <w:jc w:val="left"/>
    </w:pPr>
    <w:rPr>
      <w:rFonts w:ascii="Times New Roman" w:eastAsia="SimSun" w:hAnsi="Times New Roman" w:cs="Times New Roman"/>
      <w:sz w:val="20"/>
      <w:szCs w:val="20"/>
      <w:lang w:eastAsia="ru-RU"/>
    </w:rPr>
  </w:style>
  <w:style w:type="paragraph" w:customStyle="1" w:styleId="420">
    <w:name w:val="Знак Знак42"/>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23">
    <w:name w:val="Знак Char Знак2"/>
    <w:basedOn w:val="Normal"/>
    <w:rsid w:val="00080175"/>
    <w:pPr>
      <w:spacing w:before="0" w:after="160" w:line="240" w:lineRule="exact"/>
      <w:ind w:firstLine="0"/>
      <w:jc w:val="left"/>
    </w:pPr>
    <w:rPr>
      <w:rFonts w:ascii="Arial" w:eastAsia="Batang" w:hAnsi="Arial" w:cs="Arial"/>
      <w:sz w:val="20"/>
      <w:szCs w:val="20"/>
    </w:rPr>
  </w:style>
  <w:style w:type="paragraph" w:customStyle="1" w:styleId="CharCharCharCharCharChar20">
    <w:name w:val="Знак Знак Char Char Знак Знак Char Char Знак Знак Char Char2"/>
    <w:basedOn w:val="Normal"/>
    <w:rsid w:val="00080175"/>
    <w:pPr>
      <w:spacing w:before="0" w:after="160" w:line="240" w:lineRule="exact"/>
      <w:ind w:firstLine="0"/>
      <w:jc w:val="left"/>
    </w:pPr>
    <w:rPr>
      <w:rFonts w:ascii="Times New Roman" w:eastAsia="Times New Roman" w:hAnsi="Times New Roman" w:cs="Times New Roman"/>
      <w:sz w:val="28"/>
      <w:szCs w:val="20"/>
    </w:rPr>
  </w:style>
  <w:style w:type="paragraph" w:customStyle="1" w:styleId="220">
    <w:name w:val="Знак Знак22"/>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CharCharChar21">
    <w:name w:val="Char Char Char Char Char2"/>
    <w:basedOn w:val="Normal"/>
    <w:rsid w:val="00080175"/>
    <w:pPr>
      <w:spacing w:before="0" w:after="160" w:line="240" w:lineRule="exact"/>
      <w:ind w:firstLine="0"/>
      <w:jc w:val="left"/>
    </w:pPr>
    <w:rPr>
      <w:rFonts w:ascii="Arial" w:eastAsia="Times New Roman" w:hAnsi="Arial" w:cs="Arial"/>
      <w:sz w:val="20"/>
      <w:szCs w:val="20"/>
    </w:rPr>
  </w:style>
  <w:style w:type="character" w:customStyle="1" w:styleId="CharChar181">
    <w:name w:val="Char Char181"/>
    <w:rsid w:val="00080175"/>
    <w:rPr>
      <w:rFonts w:ascii="Arial Armenian" w:eastAsia="Times New Roman" w:hAnsi="Arial Armenian"/>
      <w:i/>
      <w:sz w:val="22"/>
      <w:u w:val="single"/>
      <w:lang w:val="en-GB"/>
    </w:rPr>
  </w:style>
  <w:style w:type="character" w:customStyle="1" w:styleId="CharChar191">
    <w:name w:val="Char Char191"/>
    <w:rsid w:val="00080175"/>
    <w:rPr>
      <w:b/>
      <w:sz w:val="32"/>
      <w:lang w:val="en-GB" w:eastAsia="en-US" w:bidi="ar-SA"/>
    </w:rPr>
  </w:style>
  <w:style w:type="character" w:customStyle="1" w:styleId="CharChar211">
    <w:name w:val="Char Char211"/>
    <w:rsid w:val="00080175"/>
    <w:rPr>
      <w:rFonts w:ascii="Arial Armenian" w:hAnsi="Arial Armenian"/>
      <w:i/>
      <w:sz w:val="22"/>
      <w:u w:val="single"/>
      <w:lang w:val="en-GB" w:eastAsia="en-US" w:bidi="ar-SA"/>
    </w:rPr>
  </w:style>
  <w:style w:type="character" w:customStyle="1" w:styleId="CharChar201">
    <w:name w:val="Char Char201"/>
    <w:rsid w:val="00080175"/>
    <w:rPr>
      <w:rFonts w:ascii="Garamond" w:hAnsi="Garamond"/>
      <w:i/>
      <w:spacing w:val="-5"/>
      <w:sz w:val="28"/>
      <w:lang w:val="en-GB" w:eastAsia="en-US" w:bidi="ar-SA"/>
    </w:rPr>
  </w:style>
  <w:style w:type="character" w:customStyle="1" w:styleId="CharChar141">
    <w:name w:val="Char Char141"/>
    <w:rsid w:val="00080175"/>
    <w:rPr>
      <w:sz w:val="36"/>
      <w:lang w:val="en-GB"/>
    </w:rPr>
  </w:style>
  <w:style w:type="character" w:customStyle="1" w:styleId="CharChar52">
    <w:name w:val="Char Char52"/>
    <w:rsid w:val="00080175"/>
    <w:rPr>
      <w:rFonts w:ascii="Arial Armenian" w:hAnsi="Arial Armenian" w:cs="Sylfaen"/>
      <w:sz w:val="24"/>
      <w:szCs w:val="24"/>
      <w:lang w:val="ru-RU" w:eastAsia="ru-RU"/>
    </w:rPr>
  </w:style>
  <w:style w:type="character" w:customStyle="1" w:styleId="CharChar162">
    <w:name w:val="Char Char162"/>
    <w:rsid w:val="00080175"/>
    <w:rPr>
      <w:rFonts w:ascii="Times New Roman" w:hAnsi="Times New Roman"/>
      <w:b/>
      <w:sz w:val="32"/>
      <w:lang w:val="en-GB"/>
    </w:rPr>
  </w:style>
  <w:style w:type="character" w:customStyle="1" w:styleId="CharChar171">
    <w:name w:val="Char Char171"/>
    <w:rsid w:val="00080175"/>
    <w:rPr>
      <w:rFonts w:ascii="Arial Armenian" w:hAnsi="Arial Armenian"/>
      <w:i/>
      <w:sz w:val="22"/>
      <w:u w:val="single"/>
      <w:lang w:val="en-GB" w:eastAsia="en-US" w:bidi="ar-SA"/>
    </w:rPr>
  </w:style>
  <w:style w:type="paragraph" w:customStyle="1" w:styleId="CharCharCharCharCharChar10">
    <w:name w:val="Char Char Char Char Char Char1"/>
    <w:basedOn w:val="Normal"/>
    <w:rsid w:val="00080175"/>
    <w:pPr>
      <w:spacing w:before="0" w:after="160" w:line="240" w:lineRule="exact"/>
      <w:ind w:firstLine="0"/>
      <w:jc w:val="left"/>
    </w:pPr>
    <w:rPr>
      <w:rFonts w:ascii="Arial" w:eastAsia="Times New Roman" w:hAnsi="Arial" w:cs="Arial"/>
      <w:sz w:val="20"/>
      <w:szCs w:val="20"/>
    </w:rPr>
  </w:style>
  <w:style w:type="paragraph" w:customStyle="1" w:styleId="CharChar110">
    <w:name w:val="Char Char110"/>
    <w:basedOn w:val="Normal"/>
    <w:rsid w:val="00080175"/>
    <w:pPr>
      <w:spacing w:before="0" w:after="160" w:line="240" w:lineRule="exact"/>
      <w:ind w:firstLine="0"/>
      <w:jc w:val="left"/>
    </w:pPr>
    <w:rPr>
      <w:rFonts w:ascii="Arial" w:eastAsia="Times New Roman" w:hAnsi="Arial" w:cs="Arial"/>
      <w:sz w:val="20"/>
      <w:szCs w:val="20"/>
    </w:rPr>
  </w:style>
  <w:style w:type="character" w:customStyle="1" w:styleId="CharChar111">
    <w:name w:val="Char Char111"/>
    <w:rsid w:val="00080175"/>
    <w:rPr>
      <w:rFonts w:ascii="Arial Armenian" w:hAnsi="Arial Armenian"/>
      <w:lang w:val="ru-RU" w:eastAsia="ru-RU" w:bidi="ar-SA"/>
    </w:rPr>
  </w:style>
  <w:style w:type="paragraph" w:customStyle="1" w:styleId="2d">
    <w:name w:val="Знак2"/>
    <w:basedOn w:val="Normal"/>
    <w:rsid w:val="00080175"/>
    <w:pPr>
      <w:spacing w:before="0" w:after="160" w:line="240" w:lineRule="exact"/>
      <w:ind w:firstLine="0"/>
      <w:jc w:val="left"/>
    </w:pPr>
    <w:rPr>
      <w:rFonts w:ascii="Arial" w:eastAsia="Times New Roman" w:hAnsi="Arial" w:cs="Arial"/>
      <w:sz w:val="20"/>
      <w:szCs w:val="20"/>
      <w:lang w:val="en-GB"/>
    </w:rPr>
  </w:style>
  <w:style w:type="character" w:customStyle="1" w:styleId="CharChar281">
    <w:name w:val="Char Char281"/>
    <w:rsid w:val="00080175"/>
    <w:rPr>
      <w:rFonts w:ascii="Arial Armenian" w:hAnsi="Arial Armenian"/>
      <w:i/>
      <w:sz w:val="22"/>
      <w:u w:val="single"/>
      <w:lang w:val="en-GB"/>
    </w:rPr>
  </w:style>
  <w:style w:type="character" w:customStyle="1" w:styleId="CharChar271">
    <w:name w:val="Char Char271"/>
    <w:rsid w:val="00080175"/>
    <w:rPr>
      <w:rFonts w:ascii="Garamond" w:hAnsi="Garamond"/>
      <w:i/>
      <w:spacing w:val="-5"/>
      <w:sz w:val="28"/>
      <w:shd w:val="pct5" w:color="auto" w:fill="auto"/>
      <w:lang w:val="en-GB"/>
    </w:rPr>
  </w:style>
  <w:style w:type="character" w:customStyle="1" w:styleId="CharChar261">
    <w:name w:val="Char Char261"/>
    <w:rsid w:val="00080175"/>
    <w:rPr>
      <w:rFonts w:ascii="Arial Black" w:hAnsi="Arial Black"/>
      <w:caps/>
      <w:spacing w:val="60"/>
      <w:position w:val="4"/>
      <w:sz w:val="14"/>
      <w:lang w:val="en-GB"/>
    </w:rPr>
  </w:style>
  <w:style w:type="character" w:customStyle="1" w:styleId="CharChar251">
    <w:name w:val="Char Char251"/>
    <w:rsid w:val="00080175"/>
    <w:rPr>
      <w:rFonts w:ascii="Garamond" w:hAnsi="Garamond"/>
      <w:b/>
      <w:i/>
      <w:kern w:val="28"/>
      <w:lang w:val="en-GB"/>
    </w:rPr>
  </w:style>
  <w:style w:type="character" w:customStyle="1" w:styleId="CharChar241">
    <w:name w:val="Char Char241"/>
    <w:rsid w:val="00080175"/>
    <w:rPr>
      <w:rFonts w:ascii="Arial Armenian" w:hAnsi="Arial Armenian"/>
      <w:lang w:val="en-US" w:eastAsia="en-US" w:bidi="ar-SA"/>
    </w:rPr>
  </w:style>
  <w:style w:type="character" w:customStyle="1" w:styleId="CharChar231">
    <w:name w:val="Char Char231"/>
    <w:rsid w:val="00080175"/>
    <w:rPr>
      <w:rFonts w:ascii="Arial Armenian" w:hAnsi="Arial Armenian"/>
      <w:lang w:val="en-GB" w:eastAsia="en-US" w:bidi="ar-SA"/>
    </w:rPr>
  </w:style>
  <w:style w:type="character" w:customStyle="1" w:styleId="CharChar221">
    <w:name w:val="Char Char221"/>
    <w:rsid w:val="00080175"/>
    <w:rPr>
      <w:rFonts w:ascii="Arial Armenian" w:hAnsi="Arial Armenian"/>
      <w:lang w:val="ru-RU" w:eastAsia="ru-RU" w:bidi="ar-SA"/>
    </w:rPr>
  </w:style>
  <w:style w:type="paragraph" w:customStyle="1" w:styleId="Char1CharCharCharCharCharCharCharCharCharCharCharChar1">
    <w:name w:val="Char1 Char Char Char Char Char Char Char Char Char Char Char Char1"/>
    <w:basedOn w:val="Normal"/>
    <w:rsid w:val="00080175"/>
    <w:pPr>
      <w:spacing w:before="0" w:after="160" w:line="240" w:lineRule="exact"/>
      <w:ind w:firstLine="0"/>
      <w:jc w:val="left"/>
    </w:pPr>
    <w:rPr>
      <w:rFonts w:ascii="Arial" w:eastAsia="Times New Roman" w:hAnsi="Arial" w:cs="Arial"/>
      <w:sz w:val="20"/>
      <w:szCs w:val="20"/>
    </w:rPr>
  </w:style>
  <w:style w:type="character" w:customStyle="1" w:styleId="CharChar151">
    <w:name w:val="Char Char151"/>
    <w:rsid w:val="00080175"/>
    <w:rPr>
      <w:sz w:val="36"/>
      <w:lang w:val="en-GB" w:eastAsia="en-US" w:bidi="ar-SA"/>
    </w:rPr>
  </w:style>
  <w:style w:type="character" w:customStyle="1" w:styleId="CharChar131">
    <w:name w:val="Char Char131"/>
    <w:rsid w:val="00080175"/>
    <w:rPr>
      <w:sz w:val="22"/>
      <w:lang w:val="en-GB" w:eastAsia="en-US" w:bidi="ar-SA"/>
    </w:rPr>
  </w:style>
  <w:style w:type="character" w:customStyle="1" w:styleId="CharChar122">
    <w:name w:val="Char Char122"/>
    <w:rsid w:val="00080175"/>
    <w:rPr>
      <w:sz w:val="22"/>
      <w:lang w:val="en-GB" w:eastAsia="en-US" w:bidi="ar-SA"/>
    </w:rPr>
  </w:style>
  <w:style w:type="character" w:customStyle="1" w:styleId="CharChar101">
    <w:name w:val="Char Char101"/>
    <w:rsid w:val="00080175"/>
    <w:rPr>
      <w:rFonts w:ascii="Times Armenian" w:hAnsi="Times Armenian"/>
      <w:color w:val="993300"/>
      <w:sz w:val="22"/>
      <w:szCs w:val="24"/>
      <w:lang w:val="hy-AM" w:eastAsia="en-US" w:bidi="ar-SA"/>
    </w:rPr>
  </w:style>
  <w:style w:type="character" w:customStyle="1" w:styleId="CharChar91">
    <w:name w:val="Char Char91"/>
    <w:rsid w:val="00080175"/>
    <w:rPr>
      <w:rFonts w:ascii="Times Armenian" w:hAnsi="Times Armenian"/>
      <w:b/>
      <w:i/>
      <w:sz w:val="24"/>
      <w:u w:val="single"/>
      <w:lang w:val="hy-AM" w:eastAsia="en-US" w:bidi="ar-SA"/>
    </w:rPr>
  </w:style>
  <w:style w:type="character" w:customStyle="1" w:styleId="CharChar351">
    <w:name w:val="Char Char351"/>
    <w:rsid w:val="00080175"/>
    <w:rPr>
      <w:rFonts w:ascii="Arial Armenian" w:hAnsi="Arial Armenian"/>
      <w:i/>
      <w:sz w:val="22"/>
      <w:u w:val="single"/>
      <w:lang w:val="en-GB"/>
    </w:rPr>
  </w:style>
  <w:style w:type="character" w:customStyle="1" w:styleId="CharChar341">
    <w:name w:val="Char Char341"/>
    <w:rsid w:val="00080175"/>
    <w:rPr>
      <w:rFonts w:ascii="Garamond" w:hAnsi="Garamond"/>
      <w:i/>
      <w:spacing w:val="-5"/>
      <w:sz w:val="28"/>
      <w:shd w:val="pct5" w:color="auto" w:fill="auto"/>
      <w:lang w:val="en-GB"/>
    </w:rPr>
  </w:style>
  <w:style w:type="character" w:customStyle="1" w:styleId="CharChar331">
    <w:name w:val="Char Char331"/>
    <w:rsid w:val="00080175"/>
    <w:rPr>
      <w:rFonts w:ascii="Arial Black" w:hAnsi="Arial Black"/>
      <w:caps/>
      <w:spacing w:val="60"/>
      <w:position w:val="4"/>
      <w:sz w:val="14"/>
      <w:lang w:val="en-GB"/>
    </w:rPr>
  </w:style>
  <w:style w:type="character" w:customStyle="1" w:styleId="CharChar321">
    <w:name w:val="Char Char321"/>
    <w:rsid w:val="00080175"/>
    <w:rPr>
      <w:rFonts w:ascii="Garamond" w:hAnsi="Garamond"/>
      <w:b/>
      <w:i/>
      <w:kern w:val="28"/>
      <w:lang w:val="en-GB"/>
    </w:rPr>
  </w:style>
  <w:style w:type="character" w:customStyle="1" w:styleId="CharChar311">
    <w:name w:val="Char Char311"/>
    <w:rsid w:val="00080175"/>
    <w:rPr>
      <w:rFonts w:ascii="Arial Armenian" w:hAnsi="Arial Armenian"/>
      <w:lang w:val="en-US" w:eastAsia="en-US" w:bidi="ar-SA"/>
    </w:rPr>
  </w:style>
  <w:style w:type="character" w:customStyle="1" w:styleId="CharChar301">
    <w:name w:val="Char Char301"/>
    <w:rsid w:val="00080175"/>
    <w:rPr>
      <w:rFonts w:ascii="Arial Armenian" w:hAnsi="Arial Armenian"/>
      <w:lang w:val="en-GB" w:eastAsia="en-US" w:bidi="ar-SA"/>
    </w:rPr>
  </w:style>
  <w:style w:type="character" w:customStyle="1" w:styleId="CharChar291">
    <w:name w:val="Char Char291"/>
    <w:rsid w:val="00080175"/>
    <w:rPr>
      <w:rFonts w:ascii="Arial Armenian" w:hAnsi="Arial Armenian"/>
      <w:lang w:val="ru-RU" w:eastAsia="ru-RU" w:bidi="ar-SA"/>
    </w:rPr>
  </w:style>
  <w:style w:type="paragraph" w:customStyle="1" w:styleId="CharChar5CharCharCharCharCharChar1">
    <w:name w:val="Char Char5 Char Char Char Char Char Char1"/>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CharChar1">
    <w:name w:val="Char Char5 Char Char Char Char1"/>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1">
    <w:name w:val="Char Char5 Char Char1"/>
    <w:basedOn w:val="Normal"/>
    <w:rsid w:val="00080175"/>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character" w:customStyle="1" w:styleId="CharChar61">
    <w:name w:val="Char Char61"/>
    <w:locked/>
    <w:rsid w:val="00080175"/>
    <w:rPr>
      <w:rFonts w:ascii="Times LatArm" w:eastAsia="Calibri" w:hAnsi="Times LatArm" w:cs="Times LatArm"/>
      <w:sz w:val="22"/>
      <w:szCs w:val="22"/>
      <w:lang w:val="en-GB" w:eastAsia="en-US" w:bidi="ar-SA"/>
    </w:rPr>
  </w:style>
  <w:style w:type="character" w:customStyle="1" w:styleId="CharChar81">
    <w:name w:val="Char Char81"/>
    <w:locked/>
    <w:rsid w:val="00080175"/>
    <w:rPr>
      <w:rFonts w:ascii="Times Armenian" w:eastAsia="Calibri" w:hAnsi="Times Armenian" w:cs="Times Armenian"/>
      <w:color w:val="993300"/>
      <w:sz w:val="22"/>
      <w:szCs w:val="22"/>
      <w:lang w:val="hy-AM" w:eastAsia="en-US" w:bidi="ar-SA"/>
    </w:rPr>
  </w:style>
  <w:style w:type="character" w:customStyle="1" w:styleId="CharChar71">
    <w:name w:val="Char Char71"/>
    <w:locked/>
    <w:rsid w:val="00080175"/>
    <w:rPr>
      <w:rFonts w:ascii="Courier New" w:eastAsia="Calibri" w:hAnsi="Courier New" w:cs="Courier New"/>
      <w:lang w:val="en-US" w:eastAsia="en-US" w:bidi="ar-SA"/>
    </w:rPr>
  </w:style>
  <w:style w:type="character" w:customStyle="1" w:styleId="CharChar41">
    <w:name w:val="Char Char41"/>
    <w:locked/>
    <w:rsid w:val="00080175"/>
    <w:rPr>
      <w:rFonts w:eastAsia="Calibri"/>
      <w:sz w:val="22"/>
      <w:szCs w:val="22"/>
      <w:lang w:val="en-GB" w:eastAsia="en-US" w:bidi="ar-SA"/>
    </w:rPr>
  </w:style>
  <w:style w:type="character" w:customStyle="1" w:styleId="CharChar36">
    <w:name w:val="Char Char36"/>
    <w:locked/>
    <w:rsid w:val="00080175"/>
    <w:rPr>
      <w:rFonts w:eastAsia="Calibri"/>
      <w:sz w:val="22"/>
      <w:szCs w:val="22"/>
      <w:lang w:val="en-GB" w:eastAsia="en-US" w:bidi="ar-SA"/>
    </w:rPr>
  </w:style>
  <w:style w:type="character" w:customStyle="1" w:styleId="CharChar210">
    <w:name w:val="Char Char210"/>
    <w:locked/>
    <w:rsid w:val="00080175"/>
    <w:rPr>
      <w:rFonts w:ascii="Times Armenian" w:eastAsia="Calibri" w:hAnsi="Times Armenian" w:cs="Times Armenian"/>
      <w:b/>
      <w:bCs/>
      <w:sz w:val="22"/>
      <w:szCs w:val="22"/>
      <w:lang w:val="en-US" w:eastAsia="en-US" w:bidi="ar-SA"/>
    </w:rPr>
  </w:style>
  <w:style w:type="table" w:customStyle="1" w:styleId="TableGrid6">
    <w:name w:val="Table Grid6"/>
    <w:basedOn w:val="TableNormal"/>
    <w:uiPriority w:val="39"/>
    <w:rsid w:val="00080175"/>
    <w:pPr>
      <w:spacing w:after="0" w:line="240" w:lineRule="auto"/>
      <w:jc w:val="center"/>
    </w:pPr>
    <w:rPr>
      <w:rFonts w:ascii="Sylfaen" w:eastAsia="Calibri" w:hAnsi="Sylfaen"/>
      <w:sz w:val="24"/>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
    <w:name w:val="Grid Table 1 Light - Accent 511"/>
    <w:basedOn w:val="TableNormal"/>
    <w:uiPriority w:val="46"/>
    <w:rsid w:val="00080175"/>
    <w:pPr>
      <w:spacing w:after="0" w:line="240" w:lineRule="auto"/>
    </w:pPr>
    <w:rPr>
      <w:rFonts w:ascii="Calibri" w:eastAsia="Calibri" w:hAnsi="Calibri" w:cs="Calibri"/>
      <w:sz w:val="20"/>
      <w:szCs w:val="20"/>
      <w:lang w:val="hy-AM"/>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
    <w:name w:val="Table Grid22"/>
    <w:basedOn w:val="TableNormal"/>
    <w:uiPriority w:val="39"/>
    <w:rsid w:val="00080175"/>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80175"/>
    <w:rPr>
      <w:color w:val="605E5C"/>
      <w:shd w:val="clear" w:color="auto" w:fill="E1DFDD"/>
    </w:rPr>
  </w:style>
  <w:style w:type="table" w:customStyle="1" w:styleId="GridTable1Light-Accent11">
    <w:name w:val="Grid Table 1 Light - Accent 11"/>
    <w:basedOn w:val="TableNormal"/>
    <w:uiPriority w:val="46"/>
    <w:rsid w:val="00080175"/>
    <w:pPr>
      <w:spacing w:after="0" w:line="240" w:lineRule="auto"/>
    </w:pPr>
    <w:rPr>
      <w:sz w:val="20"/>
      <w:szCs w:val="20"/>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2">
    <w:name w:val="Grid Table 4 - Accent 12"/>
    <w:basedOn w:val="TableNormal"/>
    <w:uiPriority w:val="49"/>
    <w:rsid w:val="00080175"/>
    <w:pPr>
      <w:spacing w:after="0" w:line="240" w:lineRule="auto"/>
    </w:pPr>
    <w:rPr>
      <w:rFonts w:eastAsia="Calibri"/>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3">
    <w:name w:val="Grid Table 4 - Accent 13"/>
    <w:basedOn w:val="TableNormal"/>
    <w:uiPriority w:val="49"/>
    <w:rsid w:val="00080175"/>
    <w:pPr>
      <w:spacing w:after="0" w:line="240" w:lineRule="auto"/>
    </w:pPr>
    <w:rPr>
      <w:rFonts w:eastAsiaTheme="minorEastAsia"/>
      <w:sz w:val="20"/>
      <w:szCs w:val="20"/>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14">
    <w:name w:val="Grid Table 4 - Accent 14"/>
    <w:basedOn w:val="TableNormal"/>
    <w:uiPriority w:val="49"/>
    <w:rsid w:val="00080175"/>
    <w:pPr>
      <w:spacing w:after="0" w:line="240" w:lineRule="auto"/>
    </w:pPr>
    <w:rPr>
      <w:rFonts w:eastAsia="Calibri"/>
      <w:sz w:val="20"/>
      <w:szCs w:val="20"/>
      <w:lang w:val="es-P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080175"/>
    <w:pPr>
      <w:spacing w:after="0" w:line="240" w:lineRule="auto"/>
    </w:pPr>
    <w:rPr>
      <w:rFonts w:eastAsiaTheme="minorEastAsia"/>
      <w:sz w:val="20"/>
      <w:szCs w:val="20"/>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4-Accent131">
    <w:name w:val="Grid Table 4 - Accent 131"/>
    <w:basedOn w:val="TableNormal"/>
    <w:uiPriority w:val="49"/>
    <w:rsid w:val="00080175"/>
    <w:pPr>
      <w:spacing w:after="0" w:line="240" w:lineRule="auto"/>
    </w:pPr>
    <w:rPr>
      <w:rFonts w:eastAsia="Calibri"/>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41">
    <w:name w:val="Grid Table 4 - Accent 141"/>
    <w:basedOn w:val="TableNormal"/>
    <w:uiPriority w:val="49"/>
    <w:rsid w:val="00080175"/>
    <w:pPr>
      <w:spacing w:after="0" w:line="240" w:lineRule="auto"/>
    </w:pPr>
    <w:rPr>
      <w:rFonts w:eastAsia="Calibri"/>
      <w:sz w:val="20"/>
      <w:szCs w:val="20"/>
      <w:lang w:val="es-P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
    <w:name w:val="No List1"/>
    <w:next w:val="NoList"/>
    <w:uiPriority w:val="99"/>
    <w:semiHidden/>
    <w:unhideWhenUsed/>
    <w:rsid w:val="00080175"/>
  </w:style>
  <w:style w:type="table" w:customStyle="1" w:styleId="TableGrid13">
    <w:name w:val="Table Grid13"/>
    <w:basedOn w:val="TableNormal"/>
    <w:next w:val="TableGrid"/>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otnoteTextChar1">
    <w:name w:val="Footnote Text Char1"/>
    <w:aliases w:val="fn Char1,ADB Char1,single space Char,footnote text Char Char,Footnote Text Char Char,fn Char Char,ADB Char Char,single space Char Char Char,footnote text Char1,FOOTNOTES Char Char,FOOTNOTES Char Char Char Char,FOOTNOTES Char1,f Char"/>
    <w:rsid w:val="00080175"/>
    <w:rPr>
      <w:rFonts w:ascii="GHEA Grapalat" w:hAnsi="GHEA Grapalat"/>
      <w:i/>
      <w:sz w:val="16"/>
    </w:rPr>
  </w:style>
  <w:style w:type="numbering" w:customStyle="1" w:styleId="NoList2">
    <w:name w:val="No List2"/>
    <w:next w:val="NoList"/>
    <w:semiHidden/>
    <w:unhideWhenUsed/>
    <w:rsid w:val="00080175"/>
  </w:style>
  <w:style w:type="table" w:customStyle="1" w:styleId="TableGrid14">
    <w:name w:val="Table Grid14"/>
    <w:basedOn w:val="TableNormal"/>
    <w:next w:val="TableGrid"/>
    <w:uiPriority w:val="39"/>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3">
    <w:name w:val="No List3"/>
    <w:next w:val="NoList"/>
    <w:semiHidden/>
    <w:unhideWhenUsed/>
    <w:rsid w:val="00080175"/>
  </w:style>
  <w:style w:type="table" w:customStyle="1" w:styleId="TableGrid15">
    <w:name w:val="Table Grid15"/>
    <w:basedOn w:val="TableNormal"/>
    <w:next w:val="TableGrid"/>
    <w:uiPriority w:val="39"/>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080175"/>
    <w:pPr>
      <w:keepNext/>
      <w:keepLines/>
      <w:spacing w:after="0" w:line="259" w:lineRule="auto"/>
      <w:contextualSpacing w:val="0"/>
      <w:outlineLvl w:val="9"/>
    </w:pPr>
    <w:rPr>
      <w:rFonts w:asciiTheme="majorHAnsi" w:hAnsiTheme="majorHAnsi"/>
      <w:b w:val="0"/>
      <w:bCs w:val="0"/>
      <w:color w:val="2E74B5" w:themeColor="accent1" w:themeShade="BF"/>
      <w:szCs w:val="32"/>
    </w:rPr>
  </w:style>
  <w:style w:type="table" w:styleId="MediumGrid3-Accent1">
    <w:name w:val="Medium Grid 3 Accent 1"/>
    <w:basedOn w:val="TableNormal"/>
    <w:uiPriority w:val="69"/>
    <w:rsid w:val="0008017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paragraph" w:customStyle="1" w:styleId="Side1">
    <w:name w:val="Side1"/>
    <w:basedOn w:val="Normal"/>
    <w:next w:val="Normal"/>
    <w:unhideWhenUsed/>
    <w:qFormat/>
    <w:rsid w:val="00080175"/>
    <w:pPr>
      <w:spacing w:before="200" w:after="0"/>
      <w:outlineLvl w:val="4"/>
    </w:pPr>
    <w:rPr>
      <w:rFonts w:ascii="Cambria" w:eastAsia="Times New Roman" w:hAnsi="Cambria" w:cs="Times New Roman"/>
      <w:b/>
      <w:bCs/>
      <w:color w:val="7F7F7F"/>
    </w:rPr>
  </w:style>
  <w:style w:type="paragraph" w:customStyle="1" w:styleId="Heading61">
    <w:name w:val="Heading 61"/>
    <w:basedOn w:val="Normal"/>
    <w:next w:val="Normal"/>
    <w:unhideWhenUsed/>
    <w:qFormat/>
    <w:rsid w:val="00080175"/>
    <w:pPr>
      <w:spacing w:after="0" w:line="271" w:lineRule="auto"/>
      <w:outlineLvl w:val="5"/>
    </w:pPr>
    <w:rPr>
      <w:rFonts w:ascii="Cambria" w:eastAsia="Times New Roman" w:hAnsi="Cambria" w:cs="Times New Roman"/>
      <w:b/>
      <w:bCs/>
      <w:i/>
      <w:iCs/>
      <w:color w:val="7F7F7F"/>
    </w:rPr>
  </w:style>
  <w:style w:type="paragraph" w:customStyle="1" w:styleId="Heading71">
    <w:name w:val="Heading 71"/>
    <w:basedOn w:val="Normal"/>
    <w:next w:val="Normal"/>
    <w:unhideWhenUsed/>
    <w:qFormat/>
    <w:rsid w:val="00080175"/>
    <w:pPr>
      <w:spacing w:after="0"/>
      <w:outlineLvl w:val="6"/>
    </w:pPr>
    <w:rPr>
      <w:rFonts w:ascii="Cambria" w:eastAsia="Times New Roman" w:hAnsi="Cambria" w:cs="Times New Roman"/>
      <w:i/>
      <w:iCs/>
    </w:rPr>
  </w:style>
  <w:style w:type="paragraph" w:customStyle="1" w:styleId="Heading81">
    <w:name w:val="Heading 81"/>
    <w:basedOn w:val="Normal"/>
    <w:next w:val="Normal"/>
    <w:unhideWhenUsed/>
    <w:qFormat/>
    <w:rsid w:val="00080175"/>
    <w:pPr>
      <w:spacing w:after="0"/>
      <w:outlineLvl w:val="7"/>
    </w:pPr>
    <w:rPr>
      <w:rFonts w:ascii="Cambria" w:eastAsia="Times New Roman" w:hAnsi="Cambria" w:cs="Times New Roman"/>
      <w:sz w:val="20"/>
      <w:szCs w:val="20"/>
    </w:rPr>
  </w:style>
  <w:style w:type="paragraph" w:customStyle="1" w:styleId="Heading91">
    <w:name w:val="Heading 91"/>
    <w:basedOn w:val="Normal"/>
    <w:next w:val="Normal"/>
    <w:unhideWhenUsed/>
    <w:qFormat/>
    <w:rsid w:val="00080175"/>
    <w:pPr>
      <w:spacing w:after="0"/>
      <w:outlineLvl w:val="8"/>
    </w:pPr>
    <w:rPr>
      <w:rFonts w:ascii="Cambria" w:eastAsia="Times New Roman" w:hAnsi="Cambria" w:cs="Times New Roman"/>
      <w:i/>
      <w:iCs/>
      <w:spacing w:val="5"/>
      <w:sz w:val="20"/>
      <w:szCs w:val="20"/>
    </w:rPr>
  </w:style>
  <w:style w:type="paragraph" w:customStyle="1" w:styleId="BodyTextMaintext1">
    <w:name w:val="Body Text (Main text)1"/>
    <w:basedOn w:val="Normal"/>
    <w:next w:val="BodyText"/>
    <w:qFormat/>
    <w:rsid w:val="00080175"/>
    <w:pPr>
      <w:spacing w:after="120"/>
    </w:pPr>
    <w:rPr>
      <w:rFonts w:eastAsiaTheme="minorHAnsi"/>
    </w:rPr>
  </w:style>
  <w:style w:type="paragraph" w:customStyle="1" w:styleId="BodyTextIndent31">
    <w:name w:val="Body Text Indent 31"/>
    <w:basedOn w:val="Normal"/>
    <w:next w:val="BodyTextIndent3"/>
    <w:rsid w:val="00080175"/>
    <w:rPr>
      <w:rFonts w:ascii="Arial Armenian" w:eastAsiaTheme="minorHAnsi" w:hAnsi="Arial Armenian"/>
      <w:noProof/>
      <w:sz w:val="20"/>
      <w:szCs w:val="20"/>
    </w:rPr>
  </w:style>
  <w:style w:type="paragraph" w:customStyle="1" w:styleId="BodyTextIndent21">
    <w:name w:val="Body Text Indent 21"/>
    <w:basedOn w:val="Normal"/>
    <w:next w:val="BodyTextIndent2"/>
    <w:rsid w:val="00080175"/>
    <w:pPr>
      <w:widowControl w:val="0"/>
      <w:spacing w:after="120"/>
      <w:ind w:left="720" w:firstLine="720"/>
    </w:pPr>
    <w:rPr>
      <w:rFonts w:ascii="Arial Armenian" w:eastAsiaTheme="minorHAnsi" w:hAnsi="Arial Armenian"/>
      <w:sz w:val="20"/>
      <w:szCs w:val="20"/>
      <w:lang w:val="en-GB"/>
    </w:rPr>
  </w:style>
  <w:style w:type="paragraph" w:customStyle="1" w:styleId="TableSource11">
    <w:name w:val="(Table Source)11"/>
    <w:basedOn w:val="BodyText"/>
    <w:next w:val="Normal"/>
    <w:rsid w:val="00080175"/>
    <w:pPr>
      <w:widowControl w:val="0"/>
      <w:spacing w:before="60" w:after="60"/>
      <w:ind w:firstLine="652"/>
    </w:pPr>
    <w:rPr>
      <w:rFonts w:ascii="Arial Armenian" w:eastAsia="Times New Roman" w:hAnsi="Arial Armenian" w:cs="Times New Roman"/>
      <w:i/>
      <w:sz w:val="16"/>
      <w:szCs w:val="20"/>
      <w:lang w:val="en-GB"/>
    </w:rPr>
  </w:style>
  <w:style w:type="character" w:customStyle="1" w:styleId="BodyTextIndentChar1">
    <w:name w:val="Body Text Indent Char1"/>
    <w:aliases w:val="(Table Source) Char1, (Table Source) Char,(Table Source) Char Char,(Table Source)1 Char,Body Text Indent Char Char,Body Text Indent Char Char Char"/>
    <w:rsid w:val="00080175"/>
    <w:rPr>
      <w:rFonts w:ascii="Arial Armenian" w:hAnsi="Arial Armenian"/>
      <w:i/>
      <w:sz w:val="16"/>
      <w:szCs w:val="20"/>
      <w:lang w:val="en-GB"/>
    </w:rPr>
  </w:style>
  <w:style w:type="paragraph" w:customStyle="1" w:styleId="1Text1">
    <w:name w:val="1Text1"/>
    <w:basedOn w:val="Normal"/>
    <w:next w:val="BodyText2"/>
    <w:qFormat/>
    <w:rsid w:val="00080175"/>
    <w:pPr>
      <w:spacing w:after="120" w:line="480" w:lineRule="auto"/>
    </w:pPr>
    <w:rPr>
      <w:rFonts w:eastAsiaTheme="minorHAnsi"/>
      <w:sz w:val="20"/>
      <w:szCs w:val="20"/>
      <w:lang w:val="ru-RU" w:eastAsia="ru-RU"/>
    </w:rPr>
  </w:style>
  <w:style w:type="paragraph" w:customStyle="1" w:styleId="BodyText31">
    <w:name w:val="Body Text 31"/>
    <w:basedOn w:val="Normal"/>
    <w:next w:val="BodyText3"/>
    <w:rsid w:val="00080175"/>
    <w:pPr>
      <w:spacing w:after="120"/>
    </w:pPr>
    <w:rPr>
      <w:rFonts w:eastAsiaTheme="minorHAnsi"/>
      <w:sz w:val="16"/>
      <w:szCs w:val="16"/>
      <w:lang w:val="ru-RU" w:eastAsia="ru-RU"/>
    </w:rPr>
  </w:style>
  <w:style w:type="paragraph" w:customStyle="1" w:styleId="ListBullet1">
    <w:name w:val="List Bullet1"/>
    <w:basedOn w:val="Normal"/>
    <w:next w:val="ListBullet"/>
    <w:autoRedefine/>
    <w:qFormat/>
    <w:rsid w:val="00080175"/>
    <w:pPr>
      <w:tabs>
        <w:tab w:val="num" w:pos="360"/>
      </w:tabs>
      <w:overflowPunct w:val="0"/>
      <w:autoSpaceDE w:val="0"/>
      <w:autoSpaceDN w:val="0"/>
      <w:adjustRightInd w:val="0"/>
      <w:spacing w:before="130"/>
      <w:ind w:left="360" w:hanging="360"/>
      <w:textAlignment w:val="baseline"/>
    </w:pPr>
    <w:rPr>
      <w:rFonts w:eastAsia="Times New Roman" w:cs="Times New Roman"/>
      <w:lang w:val="en-GB"/>
    </w:rPr>
  </w:style>
  <w:style w:type="paragraph" w:customStyle="1" w:styleId="EndnoteText1">
    <w:name w:val="Endnote Text1"/>
    <w:basedOn w:val="Normal"/>
    <w:next w:val="EndnoteText"/>
    <w:rsid w:val="00080175"/>
    <w:rPr>
      <w:rFonts w:eastAsiaTheme="minorHAnsi"/>
      <w:sz w:val="20"/>
      <w:szCs w:val="20"/>
      <w:lang w:val="en-GB"/>
    </w:rPr>
  </w:style>
  <w:style w:type="paragraph" w:customStyle="1" w:styleId="BlockText1">
    <w:name w:val="Block Text1"/>
    <w:basedOn w:val="Normal"/>
    <w:next w:val="BlockText"/>
    <w:qFormat/>
    <w:rsid w:val="00080175"/>
    <w:pPr>
      <w:spacing w:line="360" w:lineRule="auto"/>
      <w:ind w:left="-709" w:right="-483"/>
    </w:pPr>
    <w:rPr>
      <w:rFonts w:ascii="Times Armenian" w:eastAsia="Times New Roman" w:hAnsi="Times Armenian" w:cs="Times New Roman"/>
      <w:szCs w:val="20"/>
    </w:rPr>
  </w:style>
  <w:style w:type="paragraph" w:customStyle="1" w:styleId="TOC41">
    <w:name w:val="TOC 41"/>
    <w:basedOn w:val="Normal"/>
    <w:next w:val="Normal"/>
    <w:autoRedefine/>
    <w:uiPriority w:val="39"/>
    <w:rsid w:val="00080175"/>
    <w:pPr>
      <w:spacing w:before="0" w:after="0"/>
      <w:ind w:left="660"/>
      <w:jc w:val="left"/>
    </w:pPr>
    <w:rPr>
      <w:rFonts w:ascii="Calibri" w:eastAsia="Times New Roman" w:hAnsi="Calibri" w:cs="Calibri"/>
      <w:sz w:val="20"/>
      <w:szCs w:val="20"/>
    </w:rPr>
  </w:style>
  <w:style w:type="paragraph" w:customStyle="1" w:styleId="TOC51">
    <w:name w:val="TOC 51"/>
    <w:basedOn w:val="Normal"/>
    <w:next w:val="Normal"/>
    <w:autoRedefine/>
    <w:uiPriority w:val="39"/>
    <w:rsid w:val="00080175"/>
    <w:pPr>
      <w:spacing w:before="0" w:after="0"/>
      <w:ind w:left="880"/>
      <w:jc w:val="left"/>
    </w:pPr>
    <w:rPr>
      <w:rFonts w:ascii="Calibri" w:eastAsia="Times New Roman" w:hAnsi="Calibri" w:cs="Calibri"/>
      <w:sz w:val="20"/>
      <w:szCs w:val="20"/>
    </w:rPr>
  </w:style>
  <w:style w:type="paragraph" w:customStyle="1" w:styleId="Title10">
    <w:name w:val="Title1"/>
    <w:basedOn w:val="Normal"/>
    <w:next w:val="Normal"/>
    <w:qFormat/>
    <w:rsid w:val="00080175"/>
    <w:pPr>
      <w:pBdr>
        <w:bottom w:val="single" w:sz="4" w:space="1" w:color="auto"/>
      </w:pBdr>
      <w:spacing w:line="240" w:lineRule="auto"/>
      <w:contextualSpacing/>
    </w:pPr>
    <w:rPr>
      <w:rFonts w:ascii="Cambria" w:eastAsia="Times New Roman" w:hAnsi="Cambria" w:cs="Times New Roman"/>
      <w:spacing w:val="5"/>
      <w:sz w:val="52"/>
      <w:szCs w:val="52"/>
    </w:rPr>
  </w:style>
  <w:style w:type="paragraph" w:customStyle="1" w:styleId="PlainText1">
    <w:name w:val="Plain Text1"/>
    <w:basedOn w:val="Normal"/>
    <w:next w:val="PlainText"/>
    <w:rsid w:val="00080175"/>
    <w:pPr>
      <w:spacing w:before="120"/>
    </w:pPr>
    <w:rPr>
      <w:rFonts w:ascii="Courier New" w:eastAsiaTheme="minorHAnsi" w:hAnsi="Courier New"/>
      <w:sz w:val="20"/>
      <w:szCs w:val="20"/>
    </w:rPr>
  </w:style>
  <w:style w:type="paragraph" w:customStyle="1" w:styleId="TOC61">
    <w:name w:val="TOC 61"/>
    <w:basedOn w:val="Normal"/>
    <w:next w:val="Normal"/>
    <w:autoRedefine/>
    <w:uiPriority w:val="39"/>
    <w:rsid w:val="00080175"/>
    <w:pPr>
      <w:spacing w:before="0" w:after="0"/>
      <w:ind w:left="1100"/>
      <w:jc w:val="left"/>
    </w:pPr>
    <w:rPr>
      <w:rFonts w:ascii="Calibri" w:eastAsia="Times New Roman" w:hAnsi="Calibri" w:cs="Calibri"/>
      <w:sz w:val="20"/>
      <w:szCs w:val="20"/>
    </w:rPr>
  </w:style>
  <w:style w:type="paragraph" w:customStyle="1" w:styleId="TOC71">
    <w:name w:val="TOC 71"/>
    <w:basedOn w:val="Normal"/>
    <w:next w:val="Normal"/>
    <w:autoRedefine/>
    <w:uiPriority w:val="39"/>
    <w:rsid w:val="00080175"/>
    <w:pPr>
      <w:spacing w:before="0" w:after="0"/>
      <w:ind w:left="1320"/>
      <w:jc w:val="left"/>
    </w:pPr>
    <w:rPr>
      <w:rFonts w:ascii="Calibri" w:eastAsia="Times New Roman" w:hAnsi="Calibri" w:cs="Calibri"/>
      <w:sz w:val="20"/>
      <w:szCs w:val="20"/>
    </w:rPr>
  </w:style>
  <w:style w:type="paragraph" w:customStyle="1" w:styleId="TOC81">
    <w:name w:val="TOC 81"/>
    <w:basedOn w:val="Normal"/>
    <w:next w:val="Normal"/>
    <w:autoRedefine/>
    <w:uiPriority w:val="39"/>
    <w:rsid w:val="00080175"/>
    <w:pPr>
      <w:spacing w:before="0" w:after="0"/>
      <w:ind w:left="1540"/>
      <w:jc w:val="left"/>
    </w:pPr>
    <w:rPr>
      <w:rFonts w:ascii="Calibri" w:eastAsia="Times New Roman" w:hAnsi="Calibri" w:cs="Calibri"/>
      <w:sz w:val="20"/>
      <w:szCs w:val="20"/>
    </w:rPr>
  </w:style>
  <w:style w:type="paragraph" w:customStyle="1" w:styleId="TOC91">
    <w:name w:val="TOC 91"/>
    <w:basedOn w:val="Normal"/>
    <w:next w:val="Normal"/>
    <w:autoRedefine/>
    <w:uiPriority w:val="39"/>
    <w:rsid w:val="00080175"/>
    <w:pPr>
      <w:spacing w:before="0" w:after="0"/>
      <w:ind w:left="1760"/>
      <w:jc w:val="left"/>
    </w:pPr>
    <w:rPr>
      <w:rFonts w:ascii="Calibri" w:eastAsia="Times New Roman" w:hAnsi="Calibri" w:cs="Calibri"/>
      <w:sz w:val="20"/>
      <w:szCs w:val="20"/>
    </w:rPr>
  </w:style>
  <w:style w:type="paragraph" w:customStyle="1" w:styleId="TableofFigures1">
    <w:name w:val="Table of Figures1"/>
    <w:basedOn w:val="Normal"/>
    <w:next w:val="Normal"/>
    <w:qFormat/>
    <w:rsid w:val="00080175"/>
    <w:pPr>
      <w:ind w:left="480" w:hanging="480"/>
    </w:pPr>
    <w:rPr>
      <w:rFonts w:eastAsia="Times New Roman" w:cs="Times New Roman"/>
      <w:sz w:val="20"/>
    </w:rPr>
  </w:style>
  <w:style w:type="paragraph" w:customStyle="1" w:styleId="Subtitle1">
    <w:name w:val="Subtitle1"/>
    <w:basedOn w:val="Normal"/>
    <w:next w:val="Normal"/>
    <w:qFormat/>
    <w:rsid w:val="00080175"/>
    <w:pPr>
      <w:spacing w:after="600"/>
    </w:pPr>
    <w:rPr>
      <w:rFonts w:ascii="Cambria" w:eastAsia="Times New Roman" w:hAnsi="Cambria" w:cs="Times New Roman"/>
      <w:i/>
      <w:iCs/>
      <w:spacing w:val="13"/>
      <w:sz w:val="24"/>
      <w:szCs w:val="24"/>
    </w:rPr>
  </w:style>
  <w:style w:type="paragraph" w:customStyle="1" w:styleId="Index11">
    <w:name w:val="Index 11"/>
    <w:basedOn w:val="Normal"/>
    <w:next w:val="Normal"/>
    <w:autoRedefine/>
    <w:rsid w:val="00080175"/>
    <w:pPr>
      <w:ind w:left="240" w:hanging="240"/>
    </w:pPr>
    <w:rPr>
      <w:rFonts w:eastAsia="Times New Roman" w:cs="Times New Roman"/>
    </w:rPr>
  </w:style>
  <w:style w:type="paragraph" w:customStyle="1" w:styleId="Index21">
    <w:name w:val="Index 21"/>
    <w:basedOn w:val="Normal"/>
    <w:next w:val="Normal"/>
    <w:autoRedefine/>
    <w:rsid w:val="00080175"/>
    <w:pPr>
      <w:ind w:left="480" w:hanging="240"/>
    </w:pPr>
    <w:rPr>
      <w:rFonts w:eastAsia="Times New Roman" w:cs="Times New Roman"/>
    </w:rPr>
  </w:style>
  <w:style w:type="paragraph" w:customStyle="1" w:styleId="Index31">
    <w:name w:val="Index 31"/>
    <w:basedOn w:val="Normal"/>
    <w:next w:val="Normal"/>
    <w:autoRedefine/>
    <w:rsid w:val="00080175"/>
    <w:pPr>
      <w:ind w:left="720" w:hanging="240"/>
    </w:pPr>
    <w:rPr>
      <w:rFonts w:eastAsia="Times New Roman" w:cs="Times New Roman"/>
    </w:rPr>
  </w:style>
  <w:style w:type="paragraph" w:customStyle="1" w:styleId="Index41">
    <w:name w:val="Index 41"/>
    <w:basedOn w:val="Normal"/>
    <w:next w:val="Normal"/>
    <w:autoRedefine/>
    <w:rsid w:val="00080175"/>
    <w:pPr>
      <w:ind w:left="960" w:hanging="240"/>
    </w:pPr>
    <w:rPr>
      <w:rFonts w:eastAsia="Times New Roman" w:cs="Times New Roman"/>
    </w:rPr>
  </w:style>
  <w:style w:type="paragraph" w:customStyle="1" w:styleId="Index51">
    <w:name w:val="Index 51"/>
    <w:basedOn w:val="Normal"/>
    <w:next w:val="Normal"/>
    <w:autoRedefine/>
    <w:rsid w:val="00080175"/>
    <w:pPr>
      <w:ind w:left="1200" w:hanging="240"/>
    </w:pPr>
    <w:rPr>
      <w:rFonts w:eastAsia="Times New Roman" w:cs="Times New Roman"/>
    </w:rPr>
  </w:style>
  <w:style w:type="paragraph" w:customStyle="1" w:styleId="Index61">
    <w:name w:val="Index 61"/>
    <w:basedOn w:val="Normal"/>
    <w:next w:val="Normal"/>
    <w:autoRedefine/>
    <w:rsid w:val="00080175"/>
    <w:pPr>
      <w:ind w:left="1440" w:hanging="240"/>
    </w:pPr>
    <w:rPr>
      <w:rFonts w:eastAsia="Times New Roman" w:cs="Times New Roman"/>
    </w:rPr>
  </w:style>
  <w:style w:type="paragraph" w:customStyle="1" w:styleId="Index71">
    <w:name w:val="Index 71"/>
    <w:basedOn w:val="Normal"/>
    <w:next w:val="Normal"/>
    <w:autoRedefine/>
    <w:rsid w:val="00080175"/>
    <w:pPr>
      <w:ind w:left="1680" w:hanging="240"/>
    </w:pPr>
    <w:rPr>
      <w:rFonts w:eastAsia="Times New Roman" w:cs="Times New Roman"/>
    </w:rPr>
  </w:style>
  <w:style w:type="paragraph" w:customStyle="1" w:styleId="Index81">
    <w:name w:val="Index 81"/>
    <w:basedOn w:val="Normal"/>
    <w:next w:val="Normal"/>
    <w:autoRedefine/>
    <w:rsid w:val="00080175"/>
    <w:pPr>
      <w:ind w:left="1920" w:hanging="240"/>
    </w:pPr>
    <w:rPr>
      <w:rFonts w:eastAsia="Times New Roman" w:cs="Times New Roman"/>
    </w:rPr>
  </w:style>
  <w:style w:type="paragraph" w:customStyle="1" w:styleId="Index91">
    <w:name w:val="Index 91"/>
    <w:basedOn w:val="Normal"/>
    <w:next w:val="Normal"/>
    <w:autoRedefine/>
    <w:rsid w:val="00080175"/>
    <w:pPr>
      <w:ind w:left="2160" w:hanging="240"/>
    </w:pPr>
    <w:rPr>
      <w:rFonts w:eastAsia="Times New Roman" w:cs="Times New Roman"/>
    </w:rPr>
  </w:style>
  <w:style w:type="paragraph" w:customStyle="1" w:styleId="IndexHeading1">
    <w:name w:val="Index Heading1"/>
    <w:basedOn w:val="Normal"/>
    <w:next w:val="Index1"/>
    <w:rsid w:val="00080175"/>
    <w:rPr>
      <w:rFonts w:eastAsia="Times New Roman" w:cs="Times New Roman"/>
    </w:rPr>
  </w:style>
  <w:style w:type="paragraph" w:customStyle="1" w:styleId="NormalIndent1">
    <w:name w:val="Normal Indent1"/>
    <w:basedOn w:val="Normal"/>
    <w:next w:val="NormalIndent"/>
    <w:rsid w:val="00080175"/>
    <w:pPr>
      <w:tabs>
        <w:tab w:val="left" w:pos="1134"/>
        <w:tab w:val="left" w:pos="1701"/>
        <w:tab w:val="left" w:pos="2835"/>
        <w:tab w:val="left" w:pos="5103"/>
        <w:tab w:val="left" w:pos="7371"/>
        <w:tab w:val="right" w:pos="9639"/>
      </w:tabs>
      <w:ind w:left="1134"/>
    </w:pPr>
    <w:rPr>
      <w:rFonts w:eastAsia="Times New Roman" w:cs="Times New Roman"/>
      <w:lang w:val="en-GB"/>
    </w:rPr>
  </w:style>
  <w:style w:type="paragraph" w:customStyle="1" w:styleId="webb1">
    <w:name w:val="webb1"/>
    <w:basedOn w:val="Normal"/>
    <w:next w:val="NormalWeb"/>
    <w:qFormat/>
    <w:rsid w:val="00080175"/>
    <w:pPr>
      <w:spacing w:before="100" w:after="100"/>
    </w:pPr>
    <w:rPr>
      <w:rFonts w:eastAsia="Times New Roman" w:cs="Times New Roman"/>
      <w:szCs w:val="20"/>
    </w:rPr>
  </w:style>
  <w:style w:type="paragraph" w:customStyle="1" w:styleId="ListBullet21">
    <w:name w:val="List Bullet 21"/>
    <w:basedOn w:val="Normal"/>
    <w:next w:val="ListBullet2"/>
    <w:autoRedefine/>
    <w:rsid w:val="00080175"/>
    <w:pPr>
      <w:ind w:left="720" w:hanging="360"/>
    </w:pPr>
    <w:rPr>
      <w:rFonts w:eastAsia="Times New Roman" w:cs="Times New Roman"/>
    </w:rPr>
  </w:style>
  <w:style w:type="paragraph" w:customStyle="1" w:styleId="BodyTextFirstIndent1">
    <w:name w:val="Body Text First Indent1"/>
    <w:basedOn w:val="BodyText"/>
    <w:next w:val="BodyTextFirstIndent"/>
    <w:rsid w:val="00080175"/>
    <w:pPr>
      <w:ind w:firstLine="210"/>
    </w:pPr>
    <w:rPr>
      <w:rFonts w:eastAsiaTheme="minorHAnsi"/>
      <w:lang w:val="ru-RU" w:eastAsia="ru-RU"/>
    </w:rPr>
  </w:style>
  <w:style w:type="paragraph" w:customStyle="1" w:styleId="DocumentMap1">
    <w:name w:val="Document Map1"/>
    <w:basedOn w:val="Normal"/>
    <w:next w:val="DocumentMap"/>
    <w:uiPriority w:val="99"/>
    <w:rsid w:val="00080175"/>
    <w:pPr>
      <w:shd w:val="clear" w:color="auto" w:fill="000080"/>
      <w:overflowPunct w:val="0"/>
      <w:autoSpaceDE w:val="0"/>
      <w:autoSpaceDN w:val="0"/>
      <w:adjustRightInd w:val="0"/>
      <w:textAlignment w:val="baseline"/>
    </w:pPr>
    <w:rPr>
      <w:rFonts w:ascii="Tahoma" w:eastAsiaTheme="minorHAnsi" w:hAnsi="Tahoma"/>
      <w:szCs w:val="20"/>
      <w:lang w:val="en-GB" w:eastAsia="ru-RU"/>
    </w:rPr>
  </w:style>
  <w:style w:type="paragraph" w:customStyle="1" w:styleId="ListContinue21">
    <w:name w:val="List Continue 21"/>
    <w:basedOn w:val="Normal"/>
    <w:next w:val="ListContinue2"/>
    <w:rsid w:val="00080175"/>
    <w:pPr>
      <w:spacing w:after="120"/>
      <w:ind w:left="720"/>
    </w:pPr>
    <w:rPr>
      <w:rFonts w:eastAsia="Times New Roman" w:cs="Times New Roman"/>
    </w:rPr>
  </w:style>
  <w:style w:type="numbering" w:customStyle="1" w:styleId="NoList11">
    <w:name w:val="No List11"/>
    <w:next w:val="NoList"/>
    <w:semiHidden/>
    <w:unhideWhenUsed/>
    <w:rsid w:val="00080175"/>
  </w:style>
  <w:style w:type="paragraph" w:customStyle="1" w:styleId="ListNumber1">
    <w:name w:val="List Number1"/>
    <w:basedOn w:val="Normal"/>
    <w:next w:val="ListNumber"/>
    <w:rsid w:val="00080175"/>
    <w:pPr>
      <w:ind w:left="720" w:hanging="360"/>
    </w:pPr>
    <w:rPr>
      <w:rFonts w:eastAsia="Times New Roman" w:cs="Times New Roman"/>
    </w:rPr>
  </w:style>
  <w:style w:type="character" w:styleId="IntenseEmphasis">
    <w:name w:val="Intense Emphasis"/>
    <w:uiPriority w:val="21"/>
    <w:qFormat/>
    <w:rsid w:val="00080175"/>
    <w:rPr>
      <w:b/>
      <w:bCs/>
    </w:rPr>
  </w:style>
  <w:style w:type="numbering" w:customStyle="1" w:styleId="1f7">
    <w:name w:val="Нет списка1"/>
    <w:next w:val="NoList"/>
    <w:semiHidden/>
    <w:unhideWhenUsed/>
    <w:rsid w:val="00080175"/>
  </w:style>
  <w:style w:type="paragraph" w:customStyle="1" w:styleId="List1">
    <w:name w:val="List1"/>
    <w:basedOn w:val="BodyText"/>
    <w:next w:val="List"/>
    <w:rsid w:val="00080175"/>
    <w:pPr>
      <w:suppressAutoHyphens/>
      <w:spacing w:line="288" w:lineRule="auto"/>
    </w:pPr>
    <w:rPr>
      <w:rFonts w:eastAsia="Times New Roman" w:cs="GHEA Grapalat"/>
      <w:kern w:val="1"/>
    </w:rPr>
  </w:style>
  <w:style w:type="paragraph" w:customStyle="1" w:styleId="IntenseQuote1">
    <w:name w:val="Intense Quote1"/>
    <w:basedOn w:val="Normal"/>
    <w:next w:val="Normal"/>
    <w:qFormat/>
    <w:rsid w:val="00080175"/>
    <w:pPr>
      <w:pBdr>
        <w:bottom w:val="single" w:sz="4" w:space="1" w:color="auto"/>
      </w:pBdr>
      <w:spacing w:before="200" w:after="280"/>
      <w:ind w:left="1008" w:right="1152"/>
    </w:pPr>
    <w:rPr>
      <w:rFonts w:eastAsia="Times New Roman" w:cs="Times New Roman"/>
      <w:b/>
      <w:bCs/>
      <w:i/>
      <w:iCs/>
    </w:rPr>
  </w:style>
  <w:style w:type="character" w:styleId="SubtleEmphasis">
    <w:name w:val="Subtle Emphasis"/>
    <w:qFormat/>
    <w:rsid w:val="00080175"/>
    <w:rPr>
      <w:i/>
      <w:iCs/>
    </w:rPr>
  </w:style>
  <w:style w:type="character" w:styleId="SubtleReference">
    <w:name w:val="Subtle Reference"/>
    <w:qFormat/>
    <w:rsid w:val="00080175"/>
    <w:rPr>
      <w:smallCaps/>
    </w:rPr>
  </w:style>
  <w:style w:type="character" w:styleId="IntenseReference">
    <w:name w:val="Intense Reference"/>
    <w:qFormat/>
    <w:rsid w:val="00080175"/>
    <w:rPr>
      <w:smallCaps/>
      <w:spacing w:val="5"/>
      <w:u w:val="single"/>
    </w:rPr>
  </w:style>
  <w:style w:type="character" w:styleId="BookTitle">
    <w:name w:val="Book Title"/>
    <w:qFormat/>
    <w:rsid w:val="00080175"/>
    <w:rPr>
      <w:i/>
      <w:iCs/>
      <w:smallCaps/>
      <w:spacing w:val="5"/>
    </w:rPr>
  </w:style>
  <w:style w:type="numbering" w:customStyle="1" w:styleId="NoList4">
    <w:name w:val="No List4"/>
    <w:next w:val="NoList"/>
    <w:semiHidden/>
    <w:rsid w:val="00080175"/>
  </w:style>
  <w:style w:type="numbering" w:customStyle="1" w:styleId="NoList111">
    <w:name w:val="No List111"/>
    <w:next w:val="NoList"/>
    <w:semiHidden/>
    <w:unhideWhenUsed/>
    <w:rsid w:val="00080175"/>
  </w:style>
  <w:style w:type="character" w:customStyle="1" w:styleId="z-TopofFormChar">
    <w:name w:val="z-Top of Form Char"/>
    <w:basedOn w:val="DefaultParagraphFont"/>
    <w:link w:val="z-TopofForm"/>
    <w:uiPriority w:val="99"/>
    <w:rsid w:val="00080175"/>
    <w:rPr>
      <w:rFonts w:ascii="Arial" w:hAnsi="Arial"/>
      <w:vanish/>
      <w:sz w:val="16"/>
      <w:szCs w:val="16"/>
    </w:rPr>
  </w:style>
  <w:style w:type="character" w:customStyle="1" w:styleId="z-BottomofFormChar">
    <w:name w:val="z-Bottom of Form Char"/>
    <w:basedOn w:val="DefaultParagraphFont"/>
    <w:link w:val="z-BottomofForm"/>
    <w:uiPriority w:val="99"/>
    <w:rsid w:val="00080175"/>
    <w:rPr>
      <w:rFonts w:ascii="Arial" w:hAnsi="Arial"/>
      <w:vanish/>
      <w:sz w:val="16"/>
      <w:szCs w:val="16"/>
    </w:rPr>
  </w:style>
  <w:style w:type="paragraph" w:customStyle="1" w:styleId="HTMLPreformatted1">
    <w:name w:val="HTML Preformatted1"/>
    <w:basedOn w:val="Normal"/>
    <w:next w:val="HTMLPreformatted"/>
    <w:uiPriority w:val="99"/>
    <w:unhideWhenUsed/>
    <w:rsid w:val="000801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w:eastAsiaTheme="minorHAnsi" w:hAnsi="Arial Unicode"/>
      <w:sz w:val="20"/>
      <w:szCs w:val="20"/>
    </w:rPr>
  </w:style>
  <w:style w:type="numbering" w:customStyle="1" w:styleId="115">
    <w:name w:val="Нет списка11"/>
    <w:next w:val="NoList"/>
    <w:semiHidden/>
    <w:unhideWhenUsed/>
    <w:rsid w:val="00080175"/>
  </w:style>
  <w:style w:type="numbering" w:customStyle="1" w:styleId="NoList5">
    <w:name w:val="No List5"/>
    <w:next w:val="NoList"/>
    <w:uiPriority w:val="99"/>
    <w:semiHidden/>
    <w:rsid w:val="00080175"/>
  </w:style>
  <w:style w:type="numbering" w:customStyle="1" w:styleId="NoList6">
    <w:name w:val="No List6"/>
    <w:next w:val="NoList"/>
    <w:uiPriority w:val="99"/>
    <w:semiHidden/>
    <w:unhideWhenUsed/>
    <w:rsid w:val="00080175"/>
  </w:style>
  <w:style w:type="numbering" w:customStyle="1" w:styleId="NoList7">
    <w:name w:val="No List7"/>
    <w:next w:val="NoList"/>
    <w:uiPriority w:val="99"/>
    <w:semiHidden/>
    <w:unhideWhenUsed/>
    <w:rsid w:val="00080175"/>
  </w:style>
  <w:style w:type="numbering" w:customStyle="1" w:styleId="NoList12">
    <w:name w:val="No List12"/>
    <w:next w:val="NoList"/>
    <w:uiPriority w:val="99"/>
    <w:semiHidden/>
    <w:unhideWhenUsed/>
    <w:rsid w:val="00080175"/>
  </w:style>
  <w:style w:type="numbering" w:customStyle="1" w:styleId="NoList8">
    <w:name w:val="No List8"/>
    <w:next w:val="NoList"/>
    <w:uiPriority w:val="99"/>
    <w:semiHidden/>
    <w:unhideWhenUsed/>
    <w:rsid w:val="00080175"/>
  </w:style>
  <w:style w:type="numbering" w:customStyle="1" w:styleId="121">
    <w:name w:val="Нет списка12"/>
    <w:next w:val="NoList"/>
    <w:uiPriority w:val="99"/>
    <w:semiHidden/>
    <w:unhideWhenUsed/>
    <w:rsid w:val="00080175"/>
  </w:style>
  <w:style w:type="numbering" w:customStyle="1" w:styleId="NoList13">
    <w:name w:val="No List13"/>
    <w:next w:val="NoList"/>
    <w:semiHidden/>
    <w:unhideWhenUsed/>
    <w:rsid w:val="00080175"/>
  </w:style>
  <w:style w:type="numbering" w:customStyle="1" w:styleId="NoList21">
    <w:name w:val="No List21"/>
    <w:next w:val="NoList"/>
    <w:semiHidden/>
    <w:unhideWhenUsed/>
    <w:rsid w:val="00080175"/>
  </w:style>
  <w:style w:type="numbering" w:customStyle="1" w:styleId="NoList31">
    <w:name w:val="No List31"/>
    <w:next w:val="NoList"/>
    <w:semiHidden/>
    <w:unhideWhenUsed/>
    <w:rsid w:val="00080175"/>
  </w:style>
  <w:style w:type="numbering" w:customStyle="1" w:styleId="1111">
    <w:name w:val="Нет списка111"/>
    <w:next w:val="NoList"/>
    <w:semiHidden/>
    <w:unhideWhenUsed/>
    <w:rsid w:val="00080175"/>
  </w:style>
  <w:style w:type="numbering" w:customStyle="1" w:styleId="NoList41">
    <w:name w:val="No List41"/>
    <w:next w:val="NoList"/>
    <w:semiHidden/>
    <w:rsid w:val="00080175"/>
  </w:style>
  <w:style w:type="numbering" w:customStyle="1" w:styleId="NoList1111">
    <w:name w:val="No List1111"/>
    <w:next w:val="NoList"/>
    <w:semiHidden/>
    <w:unhideWhenUsed/>
    <w:rsid w:val="00080175"/>
  </w:style>
  <w:style w:type="numbering" w:customStyle="1" w:styleId="11110">
    <w:name w:val="Нет списка1111"/>
    <w:next w:val="NoList"/>
    <w:semiHidden/>
    <w:unhideWhenUsed/>
    <w:rsid w:val="00080175"/>
  </w:style>
  <w:style w:type="numbering" w:customStyle="1" w:styleId="NoList9">
    <w:name w:val="No List9"/>
    <w:next w:val="NoList"/>
    <w:uiPriority w:val="99"/>
    <w:semiHidden/>
    <w:unhideWhenUsed/>
    <w:rsid w:val="00080175"/>
  </w:style>
  <w:style w:type="numbering" w:customStyle="1" w:styleId="NoList10">
    <w:name w:val="No List10"/>
    <w:next w:val="NoList"/>
    <w:uiPriority w:val="99"/>
    <w:semiHidden/>
    <w:unhideWhenUsed/>
    <w:rsid w:val="00080175"/>
  </w:style>
  <w:style w:type="table" w:customStyle="1" w:styleId="TableList711">
    <w:name w:val="Table List 711"/>
    <w:basedOn w:val="TableNormal"/>
    <w:next w:val="TableList7"/>
    <w:rsid w:val="00080175"/>
    <w:pPr>
      <w:spacing w:after="200" w:line="276" w:lineRule="auto"/>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1">
    <w:name w:val="Table Web 311"/>
    <w:basedOn w:val="TableNormal"/>
    <w:next w:val="TableWeb3"/>
    <w:rsid w:val="00080175"/>
    <w:pPr>
      <w:spacing w:after="200" w:line="276" w:lineRule="auto"/>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080175"/>
    <w:pPr>
      <w:spacing w:after="200" w:line="276" w:lineRule="auto"/>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NoList14">
    <w:name w:val="No List14"/>
    <w:next w:val="NoList"/>
    <w:semiHidden/>
    <w:unhideWhenUsed/>
    <w:rsid w:val="00080175"/>
  </w:style>
  <w:style w:type="numbering" w:customStyle="1" w:styleId="NoList22">
    <w:name w:val="No List22"/>
    <w:next w:val="NoList"/>
    <w:semiHidden/>
    <w:unhideWhenUsed/>
    <w:rsid w:val="00080175"/>
  </w:style>
  <w:style w:type="numbering" w:customStyle="1" w:styleId="NoList32">
    <w:name w:val="No List32"/>
    <w:next w:val="NoList"/>
    <w:semiHidden/>
    <w:unhideWhenUsed/>
    <w:rsid w:val="00080175"/>
  </w:style>
  <w:style w:type="table" w:customStyle="1" w:styleId="TableGrid711">
    <w:name w:val="Table Grid 711"/>
    <w:basedOn w:val="TableNormal"/>
    <w:next w:val="TableGrid7"/>
    <w:rsid w:val="00080175"/>
    <w:pPr>
      <w:spacing w:after="200" w:line="276" w:lineRule="auto"/>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Simple311">
    <w:name w:val="Table Simple 311"/>
    <w:basedOn w:val="TableNormal"/>
    <w:next w:val="TableSimple3"/>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1">
    <w:name w:val="Table Grid 511"/>
    <w:basedOn w:val="TableNormal"/>
    <w:next w:val="TableGrid5"/>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1">
    <w:name w:val="Table Grid 311"/>
    <w:basedOn w:val="TableNormal"/>
    <w:next w:val="TableGrid3"/>
    <w:rsid w:val="00080175"/>
    <w:pPr>
      <w:spacing w:after="200" w:line="276" w:lineRule="auto"/>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10">
    <w:name w:val="Table Grid 111"/>
    <w:basedOn w:val="TableNormal"/>
    <w:next w:val="TableGrid1"/>
    <w:rsid w:val="00080175"/>
    <w:pPr>
      <w:spacing w:after="200" w:line="276" w:lineRule="auto"/>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1">
    <w:name w:val="Table Columns 511"/>
    <w:basedOn w:val="TableNormal"/>
    <w:next w:val="TableColumns5"/>
    <w:rsid w:val="00080175"/>
    <w:pPr>
      <w:spacing w:after="200" w:line="276" w:lineRule="auto"/>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numbering" w:customStyle="1" w:styleId="131">
    <w:name w:val="Нет списка13"/>
    <w:next w:val="NoList"/>
    <w:semiHidden/>
    <w:unhideWhenUsed/>
    <w:rsid w:val="00080175"/>
  </w:style>
  <w:style w:type="numbering" w:customStyle="1" w:styleId="NoList42">
    <w:name w:val="No List42"/>
    <w:next w:val="NoList"/>
    <w:semiHidden/>
    <w:rsid w:val="00080175"/>
  </w:style>
  <w:style w:type="numbering" w:customStyle="1" w:styleId="NoList112">
    <w:name w:val="No List112"/>
    <w:next w:val="NoList"/>
    <w:semiHidden/>
    <w:unhideWhenUsed/>
    <w:rsid w:val="00080175"/>
  </w:style>
  <w:style w:type="table" w:customStyle="1" w:styleId="Table3Deffects311">
    <w:name w:val="Table 3D effects 311"/>
    <w:basedOn w:val="TableNormal"/>
    <w:next w:val="Table3Deffects3"/>
    <w:rsid w:val="00080175"/>
    <w:pPr>
      <w:spacing w:after="200" w:line="276" w:lineRule="auto"/>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20">
    <w:name w:val="Нет списка112"/>
    <w:next w:val="NoList"/>
    <w:semiHidden/>
    <w:unhideWhenUsed/>
    <w:rsid w:val="00080175"/>
  </w:style>
  <w:style w:type="numbering" w:customStyle="1" w:styleId="NoList51">
    <w:name w:val="No List51"/>
    <w:next w:val="NoList"/>
    <w:uiPriority w:val="99"/>
    <w:semiHidden/>
    <w:rsid w:val="00080175"/>
  </w:style>
  <w:style w:type="numbering" w:customStyle="1" w:styleId="NoList61">
    <w:name w:val="No List61"/>
    <w:next w:val="NoList"/>
    <w:uiPriority w:val="99"/>
    <w:semiHidden/>
    <w:unhideWhenUsed/>
    <w:rsid w:val="00080175"/>
  </w:style>
  <w:style w:type="numbering" w:customStyle="1" w:styleId="NoList71">
    <w:name w:val="No List71"/>
    <w:next w:val="NoList"/>
    <w:uiPriority w:val="99"/>
    <w:semiHidden/>
    <w:unhideWhenUsed/>
    <w:rsid w:val="00080175"/>
  </w:style>
  <w:style w:type="numbering" w:customStyle="1" w:styleId="NoList121">
    <w:name w:val="No List121"/>
    <w:next w:val="NoList"/>
    <w:uiPriority w:val="99"/>
    <w:semiHidden/>
    <w:unhideWhenUsed/>
    <w:rsid w:val="00080175"/>
  </w:style>
  <w:style w:type="numbering" w:customStyle="1" w:styleId="NoList81">
    <w:name w:val="No List81"/>
    <w:next w:val="NoList"/>
    <w:uiPriority w:val="99"/>
    <w:semiHidden/>
    <w:unhideWhenUsed/>
    <w:rsid w:val="00080175"/>
  </w:style>
  <w:style w:type="numbering" w:customStyle="1" w:styleId="1210">
    <w:name w:val="Нет списка121"/>
    <w:next w:val="NoList"/>
    <w:uiPriority w:val="99"/>
    <w:semiHidden/>
    <w:unhideWhenUsed/>
    <w:rsid w:val="00080175"/>
  </w:style>
  <w:style w:type="numbering" w:customStyle="1" w:styleId="NoList131">
    <w:name w:val="No List131"/>
    <w:next w:val="NoList"/>
    <w:semiHidden/>
    <w:unhideWhenUsed/>
    <w:rsid w:val="00080175"/>
  </w:style>
  <w:style w:type="numbering" w:customStyle="1" w:styleId="NoList211">
    <w:name w:val="No List211"/>
    <w:next w:val="NoList"/>
    <w:semiHidden/>
    <w:unhideWhenUsed/>
    <w:rsid w:val="00080175"/>
  </w:style>
  <w:style w:type="numbering" w:customStyle="1" w:styleId="NoList311">
    <w:name w:val="No List311"/>
    <w:next w:val="NoList"/>
    <w:semiHidden/>
    <w:unhideWhenUsed/>
    <w:rsid w:val="00080175"/>
  </w:style>
  <w:style w:type="numbering" w:customStyle="1" w:styleId="1112">
    <w:name w:val="Нет списка1112"/>
    <w:next w:val="NoList"/>
    <w:semiHidden/>
    <w:unhideWhenUsed/>
    <w:rsid w:val="00080175"/>
  </w:style>
  <w:style w:type="numbering" w:customStyle="1" w:styleId="NoList411">
    <w:name w:val="No List411"/>
    <w:next w:val="NoList"/>
    <w:semiHidden/>
    <w:rsid w:val="00080175"/>
  </w:style>
  <w:style w:type="numbering" w:customStyle="1" w:styleId="NoList11111">
    <w:name w:val="No List11111"/>
    <w:next w:val="NoList"/>
    <w:semiHidden/>
    <w:unhideWhenUsed/>
    <w:rsid w:val="00080175"/>
  </w:style>
  <w:style w:type="numbering" w:customStyle="1" w:styleId="11111">
    <w:name w:val="Нет списка11111"/>
    <w:next w:val="NoList"/>
    <w:semiHidden/>
    <w:unhideWhenUsed/>
    <w:rsid w:val="00080175"/>
  </w:style>
  <w:style w:type="table" w:customStyle="1" w:styleId="TableGrid1111">
    <w:name w:val="Table Grid1111"/>
    <w:basedOn w:val="TableNormal"/>
    <w:next w:val="TableGrid"/>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2">
    <w:name w:val="Heading 5 Char2"/>
    <w:basedOn w:val="DefaultParagraphFont"/>
    <w:uiPriority w:val="9"/>
    <w:semiHidden/>
    <w:rsid w:val="00080175"/>
    <w:rPr>
      <w:rFonts w:asciiTheme="majorHAnsi" w:eastAsiaTheme="majorEastAsia" w:hAnsiTheme="majorHAnsi" w:cstheme="majorBidi"/>
      <w:color w:val="2E74B5" w:themeColor="accent1" w:themeShade="BF"/>
      <w:sz w:val="24"/>
      <w:szCs w:val="24"/>
    </w:rPr>
  </w:style>
  <w:style w:type="character" w:customStyle="1" w:styleId="Heading6Char2">
    <w:name w:val="Heading 6 Char2"/>
    <w:basedOn w:val="DefaultParagraphFont"/>
    <w:uiPriority w:val="9"/>
    <w:semiHidden/>
    <w:rsid w:val="00080175"/>
    <w:rPr>
      <w:rFonts w:asciiTheme="majorHAnsi" w:eastAsiaTheme="majorEastAsia" w:hAnsiTheme="majorHAnsi" w:cstheme="majorBidi"/>
      <w:color w:val="1F4D78" w:themeColor="accent1" w:themeShade="7F"/>
      <w:sz w:val="24"/>
      <w:szCs w:val="24"/>
    </w:rPr>
  </w:style>
  <w:style w:type="character" w:customStyle="1" w:styleId="Heading7Char2">
    <w:name w:val="Heading 7 Char2"/>
    <w:basedOn w:val="DefaultParagraphFont"/>
    <w:uiPriority w:val="9"/>
    <w:semiHidden/>
    <w:rsid w:val="00080175"/>
    <w:rPr>
      <w:rFonts w:asciiTheme="majorHAnsi" w:eastAsiaTheme="majorEastAsia" w:hAnsiTheme="majorHAnsi" w:cstheme="majorBidi"/>
      <w:i/>
      <w:iCs/>
      <w:color w:val="1F4D78" w:themeColor="accent1" w:themeShade="7F"/>
      <w:sz w:val="24"/>
      <w:szCs w:val="24"/>
    </w:rPr>
  </w:style>
  <w:style w:type="character" w:customStyle="1" w:styleId="Heading8Char2">
    <w:name w:val="Heading 8 Char2"/>
    <w:basedOn w:val="DefaultParagraphFont"/>
    <w:uiPriority w:val="9"/>
    <w:semiHidden/>
    <w:rsid w:val="00080175"/>
    <w:rPr>
      <w:rFonts w:asciiTheme="majorHAnsi" w:eastAsiaTheme="majorEastAsia" w:hAnsiTheme="majorHAnsi" w:cstheme="majorBidi"/>
      <w:color w:val="272727" w:themeColor="text1" w:themeTint="D8"/>
      <w:sz w:val="21"/>
      <w:szCs w:val="21"/>
    </w:rPr>
  </w:style>
  <w:style w:type="character" w:customStyle="1" w:styleId="Heading9Char2">
    <w:name w:val="Heading 9 Char2"/>
    <w:basedOn w:val="DefaultParagraphFont"/>
    <w:uiPriority w:val="9"/>
    <w:semiHidden/>
    <w:rsid w:val="00080175"/>
    <w:rPr>
      <w:rFonts w:asciiTheme="majorHAnsi" w:eastAsiaTheme="majorEastAsia" w:hAnsiTheme="majorHAnsi" w:cstheme="majorBidi"/>
      <w:i/>
      <w:iCs/>
      <w:color w:val="272727" w:themeColor="text1" w:themeTint="D8"/>
      <w:sz w:val="21"/>
      <w:szCs w:val="21"/>
    </w:rPr>
  </w:style>
  <w:style w:type="character" w:customStyle="1" w:styleId="BodyTextChar4">
    <w:name w:val="Body Text Char4"/>
    <w:aliases w:val="(Main Text) Char1,date Char1,Body Text (Main text) Char4"/>
    <w:basedOn w:val="DefaultParagraphFont"/>
    <w:uiPriority w:val="99"/>
    <w:rsid w:val="00080175"/>
    <w:rPr>
      <w:rFonts w:ascii="Times New Roman" w:eastAsia="Times New Roman" w:hAnsi="Times New Roman" w:cs="Times New Roman"/>
      <w:sz w:val="24"/>
      <w:szCs w:val="24"/>
    </w:rPr>
  </w:style>
  <w:style w:type="character" w:customStyle="1" w:styleId="BodyTextIndent3Char2">
    <w:name w:val="Body Text Indent 3 Char2"/>
    <w:basedOn w:val="DefaultParagraphFont"/>
    <w:uiPriority w:val="99"/>
    <w:rsid w:val="00080175"/>
    <w:rPr>
      <w:rFonts w:ascii="Times New Roman" w:eastAsia="Times New Roman" w:hAnsi="Times New Roman" w:cs="Times New Roman"/>
      <w:sz w:val="16"/>
      <w:szCs w:val="16"/>
    </w:rPr>
  </w:style>
  <w:style w:type="character" w:customStyle="1" w:styleId="BodyTextIndent2Char2">
    <w:name w:val="Body Text Indent 2 Char2"/>
    <w:basedOn w:val="DefaultParagraphFont"/>
    <w:uiPriority w:val="99"/>
    <w:rsid w:val="00080175"/>
    <w:rPr>
      <w:rFonts w:ascii="Times New Roman" w:eastAsia="Times New Roman" w:hAnsi="Times New Roman" w:cs="Times New Roman"/>
      <w:sz w:val="24"/>
      <w:szCs w:val="24"/>
    </w:rPr>
  </w:style>
  <w:style w:type="character" w:customStyle="1" w:styleId="BodyTextIndentChar3">
    <w:name w:val="Body Text Indent Char3"/>
    <w:basedOn w:val="DefaultParagraphFont"/>
    <w:uiPriority w:val="99"/>
    <w:semiHidden/>
    <w:rsid w:val="00080175"/>
    <w:rPr>
      <w:rFonts w:ascii="Times New Roman" w:eastAsia="Times New Roman" w:hAnsi="Times New Roman" w:cs="Times New Roman"/>
      <w:sz w:val="24"/>
      <w:szCs w:val="24"/>
    </w:rPr>
  </w:style>
  <w:style w:type="character" w:customStyle="1" w:styleId="BodyText2Char2">
    <w:name w:val="Body Text 2 Char2"/>
    <w:aliases w:val="1Text Char2"/>
    <w:basedOn w:val="DefaultParagraphFont"/>
    <w:uiPriority w:val="99"/>
    <w:rsid w:val="00080175"/>
    <w:rPr>
      <w:rFonts w:ascii="Times New Roman" w:eastAsia="Times New Roman" w:hAnsi="Times New Roman" w:cs="Times New Roman"/>
      <w:sz w:val="24"/>
      <w:szCs w:val="24"/>
    </w:rPr>
  </w:style>
  <w:style w:type="character" w:customStyle="1" w:styleId="BodyText3Char2">
    <w:name w:val="Body Text 3 Char2"/>
    <w:basedOn w:val="DefaultParagraphFont"/>
    <w:uiPriority w:val="99"/>
    <w:rsid w:val="00080175"/>
    <w:rPr>
      <w:rFonts w:ascii="Times New Roman" w:eastAsia="Times New Roman" w:hAnsi="Times New Roman" w:cs="Times New Roman"/>
      <w:sz w:val="16"/>
      <w:szCs w:val="16"/>
    </w:rPr>
  </w:style>
  <w:style w:type="character" w:customStyle="1" w:styleId="EndnoteTextChar2">
    <w:name w:val="Endnote Text Char2"/>
    <w:basedOn w:val="DefaultParagraphFont"/>
    <w:uiPriority w:val="99"/>
    <w:rsid w:val="00080175"/>
    <w:rPr>
      <w:rFonts w:ascii="Times New Roman" w:eastAsia="Times New Roman" w:hAnsi="Times New Roman" w:cs="Times New Roman"/>
      <w:sz w:val="20"/>
      <w:szCs w:val="20"/>
    </w:rPr>
  </w:style>
  <w:style w:type="character" w:customStyle="1" w:styleId="TitleChar2">
    <w:name w:val="Title Char2"/>
    <w:basedOn w:val="DefaultParagraphFont"/>
    <w:uiPriority w:val="10"/>
    <w:rsid w:val="00080175"/>
    <w:rPr>
      <w:rFonts w:asciiTheme="majorHAnsi" w:eastAsiaTheme="majorEastAsia" w:hAnsiTheme="majorHAnsi" w:cstheme="majorBidi"/>
      <w:spacing w:val="-10"/>
      <w:kern w:val="28"/>
      <w:sz w:val="56"/>
      <w:szCs w:val="56"/>
    </w:rPr>
  </w:style>
  <w:style w:type="character" w:customStyle="1" w:styleId="PlainTextChar2">
    <w:name w:val="Plain Text Char2"/>
    <w:basedOn w:val="DefaultParagraphFont"/>
    <w:uiPriority w:val="99"/>
    <w:rsid w:val="00080175"/>
    <w:rPr>
      <w:rFonts w:ascii="Consolas" w:eastAsia="Times New Roman" w:hAnsi="Consolas" w:cs="Times New Roman"/>
      <w:sz w:val="21"/>
      <w:szCs w:val="21"/>
    </w:rPr>
  </w:style>
  <w:style w:type="character" w:customStyle="1" w:styleId="SubtitleChar3">
    <w:name w:val="Subtitle Char3"/>
    <w:basedOn w:val="DefaultParagraphFont"/>
    <w:uiPriority w:val="11"/>
    <w:rsid w:val="00080175"/>
    <w:rPr>
      <w:rFonts w:eastAsiaTheme="minorEastAsia"/>
      <w:color w:val="5A5A5A" w:themeColor="text1" w:themeTint="A5"/>
      <w:spacing w:val="15"/>
    </w:rPr>
  </w:style>
  <w:style w:type="character" w:customStyle="1" w:styleId="BodyTextFirstIndentChar3">
    <w:name w:val="Body Text First Indent Char3"/>
    <w:basedOn w:val="BodyTextChar4"/>
    <w:uiPriority w:val="99"/>
    <w:rsid w:val="00080175"/>
    <w:rPr>
      <w:rFonts w:ascii="Times New Roman" w:eastAsia="Times New Roman" w:hAnsi="Times New Roman" w:cs="Times New Roman"/>
      <w:sz w:val="24"/>
      <w:szCs w:val="24"/>
    </w:rPr>
  </w:style>
  <w:style w:type="character" w:customStyle="1" w:styleId="DocumentMapChar2">
    <w:name w:val="Document Map Char2"/>
    <w:basedOn w:val="DefaultParagraphFont"/>
    <w:uiPriority w:val="99"/>
    <w:rsid w:val="00080175"/>
    <w:rPr>
      <w:rFonts w:ascii="Segoe UI" w:eastAsia="Times New Roman" w:hAnsi="Segoe UI" w:cs="Segoe UI"/>
      <w:sz w:val="16"/>
      <w:szCs w:val="16"/>
    </w:rPr>
  </w:style>
  <w:style w:type="paragraph" w:styleId="Revision">
    <w:name w:val="Revision"/>
    <w:hidden/>
    <w:uiPriority w:val="99"/>
    <w:semiHidden/>
    <w:rsid w:val="00080175"/>
    <w:pPr>
      <w:spacing w:after="0" w:line="240" w:lineRule="auto"/>
    </w:pPr>
    <w:rPr>
      <w:rFonts w:ascii="Times New Roman" w:eastAsia="Times New Roman" w:hAnsi="Times New Roman" w:cs="Times New Roman"/>
      <w:sz w:val="24"/>
      <w:szCs w:val="24"/>
    </w:rPr>
  </w:style>
  <w:style w:type="character" w:customStyle="1" w:styleId="QuoteChar1">
    <w:name w:val="Quote Char1"/>
    <w:basedOn w:val="DefaultParagraphFont"/>
    <w:uiPriority w:val="29"/>
    <w:rsid w:val="00080175"/>
    <w:rPr>
      <w:rFonts w:ascii="Times New Roman" w:eastAsia="Times New Roman" w:hAnsi="Times New Roman" w:cs="Times New Roman"/>
      <w:i/>
      <w:iCs/>
      <w:color w:val="404040" w:themeColor="text1" w:themeTint="BF"/>
      <w:sz w:val="24"/>
      <w:szCs w:val="24"/>
    </w:rPr>
  </w:style>
  <w:style w:type="character" w:customStyle="1" w:styleId="IntenseQuoteChar1">
    <w:name w:val="Intense Quote Char1"/>
    <w:basedOn w:val="DefaultParagraphFont"/>
    <w:uiPriority w:val="30"/>
    <w:rsid w:val="00080175"/>
    <w:rPr>
      <w:rFonts w:ascii="Times New Roman" w:eastAsia="Times New Roman" w:hAnsi="Times New Roman" w:cs="Times New Roman"/>
      <w:i/>
      <w:iCs/>
      <w:color w:val="5B9BD5" w:themeColor="accent1"/>
      <w:sz w:val="24"/>
      <w:szCs w:val="24"/>
    </w:rPr>
  </w:style>
  <w:style w:type="paragraph" w:styleId="z-TopofForm">
    <w:name w:val="HTML Top of Form"/>
    <w:basedOn w:val="Normal"/>
    <w:next w:val="Normal"/>
    <w:link w:val="z-TopofFormChar"/>
    <w:hidden/>
    <w:uiPriority w:val="99"/>
    <w:unhideWhenUsed/>
    <w:rsid w:val="00080175"/>
    <w:pPr>
      <w:pBdr>
        <w:bottom w:val="single" w:sz="6" w:space="1" w:color="auto"/>
      </w:pBdr>
      <w:spacing w:before="0" w:after="0" w:line="240" w:lineRule="auto"/>
      <w:ind w:firstLine="0"/>
      <w:jc w:val="center"/>
    </w:pPr>
    <w:rPr>
      <w:rFonts w:ascii="Arial" w:eastAsiaTheme="minorHAnsi" w:hAnsi="Arial"/>
      <w:vanish/>
      <w:sz w:val="16"/>
      <w:szCs w:val="16"/>
    </w:rPr>
  </w:style>
  <w:style w:type="character" w:customStyle="1" w:styleId="z-TopofFormChar1">
    <w:name w:val="z-Top of Form Char1"/>
    <w:basedOn w:val="DefaultParagraphFont"/>
    <w:uiPriority w:val="99"/>
    <w:semiHidden/>
    <w:rsid w:val="0008017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unhideWhenUsed/>
    <w:rsid w:val="00080175"/>
    <w:pPr>
      <w:pBdr>
        <w:top w:val="single" w:sz="6" w:space="1" w:color="auto"/>
      </w:pBdr>
      <w:spacing w:before="0" w:after="0" w:line="240" w:lineRule="auto"/>
      <w:ind w:firstLine="0"/>
      <w:jc w:val="center"/>
    </w:pPr>
    <w:rPr>
      <w:rFonts w:ascii="Arial" w:eastAsiaTheme="minorHAnsi" w:hAnsi="Arial"/>
      <w:vanish/>
      <w:sz w:val="16"/>
      <w:szCs w:val="16"/>
    </w:rPr>
  </w:style>
  <w:style w:type="character" w:customStyle="1" w:styleId="z-BottomofFormChar1">
    <w:name w:val="z-Bottom of Form Char1"/>
    <w:basedOn w:val="DefaultParagraphFont"/>
    <w:uiPriority w:val="99"/>
    <w:semiHidden/>
    <w:rsid w:val="00080175"/>
    <w:rPr>
      <w:rFonts w:ascii="Arial" w:eastAsiaTheme="minorEastAsia" w:hAnsi="Arial" w:cs="Arial"/>
      <w:vanish/>
      <w:sz w:val="16"/>
      <w:szCs w:val="16"/>
    </w:rPr>
  </w:style>
  <w:style w:type="character" w:customStyle="1" w:styleId="HTMLPreformattedChar1">
    <w:name w:val="HTML Preformatted Char1"/>
    <w:basedOn w:val="DefaultParagraphFont"/>
    <w:uiPriority w:val="99"/>
    <w:rsid w:val="00080175"/>
    <w:rPr>
      <w:rFonts w:ascii="Consolas" w:eastAsia="Times New Roman" w:hAnsi="Consolas" w:cs="Times New Roman"/>
      <w:sz w:val="20"/>
      <w:szCs w:val="20"/>
    </w:rPr>
  </w:style>
  <w:style w:type="numbering" w:customStyle="1" w:styleId="NoList15">
    <w:name w:val="No List15"/>
    <w:next w:val="NoList"/>
    <w:uiPriority w:val="99"/>
    <w:semiHidden/>
    <w:unhideWhenUsed/>
    <w:rsid w:val="00080175"/>
  </w:style>
  <w:style w:type="paragraph" w:customStyle="1" w:styleId="TOC42">
    <w:name w:val="TOC 42"/>
    <w:basedOn w:val="Normal"/>
    <w:next w:val="Normal"/>
    <w:autoRedefine/>
    <w:uiPriority w:val="39"/>
    <w:rsid w:val="00080175"/>
    <w:pPr>
      <w:spacing w:before="0" w:after="0"/>
      <w:ind w:left="660"/>
      <w:jc w:val="left"/>
    </w:pPr>
    <w:rPr>
      <w:rFonts w:ascii="Calibri" w:eastAsia="Times New Roman" w:hAnsi="Calibri" w:cs="Calibri"/>
      <w:sz w:val="20"/>
      <w:szCs w:val="20"/>
    </w:rPr>
  </w:style>
  <w:style w:type="paragraph" w:customStyle="1" w:styleId="TOC52">
    <w:name w:val="TOC 52"/>
    <w:basedOn w:val="Normal"/>
    <w:next w:val="Normal"/>
    <w:autoRedefine/>
    <w:uiPriority w:val="39"/>
    <w:rsid w:val="00080175"/>
    <w:pPr>
      <w:spacing w:before="0" w:after="0"/>
      <w:ind w:left="880"/>
      <w:jc w:val="left"/>
    </w:pPr>
    <w:rPr>
      <w:rFonts w:ascii="Calibri" w:eastAsia="Times New Roman" w:hAnsi="Calibri" w:cs="Calibri"/>
      <w:sz w:val="20"/>
      <w:szCs w:val="20"/>
    </w:rPr>
  </w:style>
  <w:style w:type="paragraph" w:customStyle="1" w:styleId="TOC62">
    <w:name w:val="TOC 62"/>
    <w:basedOn w:val="Normal"/>
    <w:next w:val="Normal"/>
    <w:autoRedefine/>
    <w:uiPriority w:val="39"/>
    <w:rsid w:val="00080175"/>
    <w:pPr>
      <w:spacing w:before="0" w:after="0"/>
      <w:ind w:left="1100"/>
      <w:jc w:val="left"/>
    </w:pPr>
    <w:rPr>
      <w:rFonts w:ascii="Calibri" w:eastAsia="Times New Roman" w:hAnsi="Calibri" w:cs="Calibri"/>
      <w:sz w:val="20"/>
      <w:szCs w:val="20"/>
    </w:rPr>
  </w:style>
  <w:style w:type="paragraph" w:customStyle="1" w:styleId="TOC72">
    <w:name w:val="TOC 72"/>
    <w:basedOn w:val="Normal"/>
    <w:next w:val="Normal"/>
    <w:autoRedefine/>
    <w:uiPriority w:val="39"/>
    <w:rsid w:val="00080175"/>
    <w:pPr>
      <w:spacing w:before="0" w:after="0"/>
      <w:ind w:left="1320"/>
      <w:jc w:val="left"/>
    </w:pPr>
    <w:rPr>
      <w:rFonts w:ascii="Calibri" w:eastAsia="Times New Roman" w:hAnsi="Calibri" w:cs="Calibri"/>
      <w:sz w:val="20"/>
      <w:szCs w:val="20"/>
    </w:rPr>
  </w:style>
  <w:style w:type="paragraph" w:customStyle="1" w:styleId="TOC82">
    <w:name w:val="TOC 82"/>
    <w:basedOn w:val="Normal"/>
    <w:next w:val="Normal"/>
    <w:autoRedefine/>
    <w:uiPriority w:val="39"/>
    <w:rsid w:val="00080175"/>
    <w:pPr>
      <w:spacing w:before="0" w:after="0"/>
      <w:ind w:left="1540"/>
      <w:jc w:val="left"/>
    </w:pPr>
    <w:rPr>
      <w:rFonts w:ascii="Calibri" w:eastAsia="Times New Roman" w:hAnsi="Calibri" w:cs="Calibri"/>
      <w:sz w:val="20"/>
      <w:szCs w:val="20"/>
    </w:rPr>
  </w:style>
  <w:style w:type="paragraph" w:customStyle="1" w:styleId="TOC92">
    <w:name w:val="TOC 92"/>
    <w:basedOn w:val="Normal"/>
    <w:next w:val="Normal"/>
    <w:autoRedefine/>
    <w:uiPriority w:val="39"/>
    <w:rsid w:val="00080175"/>
    <w:pPr>
      <w:spacing w:before="0" w:after="0"/>
      <w:ind w:left="1760"/>
      <w:jc w:val="left"/>
    </w:pPr>
    <w:rPr>
      <w:rFonts w:ascii="Calibri" w:eastAsia="Times New Roman" w:hAnsi="Calibri" w:cs="Calibri"/>
      <w:sz w:val="20"/>
      <w:szCs w:val="20"/>
    </w:rPr>
  </w:style>
  <w:style w:type="table" w:customStyle="1" w:styleId="TableList72">
    <w:name w:val="Table List 72"/>
    <w:basedOn w:val="TableNormal"/>
    <w:next w:val="TableList7"/>
    <w:rsid w:val="00080175"/>
    <w:pPr>
      <w:spacing w:after="200" w:line="276" w:lineRule="auto"/>
    </w:pPr>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2">
    <w:name w:val="Table Web 32"/>
    <w:basedOn w:val="TableNormal"/>
    <w:next w:val="TableWeb3"/>
    <w:rsid w:val="00080175"/>
    <w:pPr>
      <w:spacing w:after="200" w:line="276" w:lineRule="auto"/>
    </w:pPr>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080175"/>
    <w:pPr>
      <w:spacing w:after="200" w:line="276" w:lineRule="auto"/>
    </w:pPr>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rsid w:val="00080175"/>
    <w:pPr>
      <w:spacing w:after="200" w:line="276" w:lineRule="auto"/>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3">
    <w:name w:val="Table Web 13"/>
    <w:basedOn w:val="TableNormal"/>
    <w:next w:val="TableWeb1"/>
    <w:rsid w:val="00080175"/>
    <w:pPr>
      <w:spacing w:after="200" w:line="276" w:lineRule="auto"/>
    </w:pPr>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3">
    <w:name w:val="Table Grid 83"/>
    <w:basedOn w:val="TableNormal"/>
    <w:next w:val="TableGrid8"/>
    <w:rsid w:val="00080175"/>
    <w:pPr>
      <w:spacing w:after="200" w:line="276" w:lineRule="auto"/>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3">
    <w:name w:val="Table Contemporary3"/>
    <w:basedOn w:val="TableNormal"/>
    <w:next w:val="TableContemporary"/>
    <w:rsid w:val="00080175"/>
    <w:pPr>
      <w:spacing w:after="200" w:line="276" w:lineRule="auto"/>
    </w:pPr>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6">
    <w:name w:val="No List16"/>
    <w:next w:val="NoList"/>
    <w:semiHidden/>
    <w:unhideWhenUsed/>
    <w:rsid w:val="00080175"/>
  </w:style>
  <w:style w:type="numbering" w:customStyle="1" w:styleId="NoList23">
    <w:name w:val="No List23"/>
    <w:next w:val="NoList"/>
    <w:semiHidden/>
    <w:unhideWhenUsed/>
    <w:rsid w:val="00080175"/>
  </w:style>
  <w:style w:type="numbering" w:customStyle="1" w:styleId="NoList33">
    <w:name w:val="No List33"/>
    <w:next w:val="NoList"/>
    <w:semiHidden/>
    <w:unhideWhenUsed/>
    <w:rsid w:val="00080175"/>
  </w:style>
  <w:style w:type="table" w:customStyle="1" w:styleId="LightList-Accent13">
    <w:name w:val="Light List - Accent 13"/>
    <w:basedOn w:val="TableNormal"/>
    <w:next w:val="LightList-Accent1"/>
    <w:uiPriority w:val="61"/>
    <w:rsid w:val="00080175"/>
    <w:pPr>
      <w:spacing w:after="200" w:line="276" w:lineRule="auto"/>
    </w:pPr>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2">
    <w:name w:val="Table Grid 72"/>
    <w:basedOn w:val="TableNormal"/>
    <w:next w:val="TableGrid7"/>
    <w:rsid w:val="00080175"/>
    <w:pPr>
      <w:spacing w:after="200" w:line="276" w:lineRule="auto"/>
    </w:pPr>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4">
    <w:name w:val="Colorful Grid - Accent 14"/>
    <w:basedOn w:val="TableNormal"/>
    <w:next w:val="ColorfulGrid-Accent1"/>
    <w:uiPriority w:val="73"/>
    <w:rsid w:val="00080175"/>
    <w:pPr>
      <w:spacing w:after="200" w:line="276" w:lineRule="auto"/>
    </w:pPr>
    <w:rPr>
      <w:rFonts w:eastAsia="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4">
    <w:name w:val="Light List - Accent 54"/>
    <w:basedOn w:val="TableNormal"/>
    <w:next w:val="LightList-Accent5"/>
    <w:uiPriority w:val="61"/>
    <w:rsid w:val="00080175"/>
    <w:pPr>
      <w:spacing w:after="200" w:line="276" w:lineRule="auto"/>
    </w:pPr>
    <w:rPr>
      <w:rFonts w:eastAsia="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2">
    <w:name w:val="Table Simple 32"/>
    <w:basedOn w:val="TableNormal"/>
    <w:next w:val="TableSimple3"/>
    <w:rsid w:val="00080175"/>
    <w:pPr>
      <w:spacing w:after="200" w:line="276" w:lineRule="auto"/>
    </w:pPr>
    <w:rPr>
      <w:rFonts w:eastAsia="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2">
    <w:name w:val="Table Grid 52"/>
    <w:basedOn w:val="TableNormal"/>
    <w:next w:val="TableGrid5"/>
    <w:rsid w:val="00080175"/>
    <w:pPr>
      <w:spacing w:after="200" w:line="276" w:lineRule="auto"/>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2">
    <w:name w:val="Table Grid 32"/>
    <w:basedOn w:val="TableNormal"/>
    <w:next w:val="TableGrid3"/>
    <w:rsid w:val="00080175"/>
    <w:pPr>
      <w:spacing w:after="200" w:line="276" w:lineRule="auto"/>
    </w:pPr>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20">
    <w:name w:val="Table Grid 12"/>
    <w:basedOn w:val="TableNormal"/>
    <w:next w:val="TableGrid1"/>
    <w:rsid w:val="00080175"/>
    <w:pPr>
      <w:spacing w:after="200" w:line="276" w:lineRule="auto"/>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2">
    <w:name w:val="Table Columns 52"/>
    <w:basedOn w:val="TableNormal"/>
    <w:next w:val="TableColumns5"/>
    <w:rsid w:val="00080175"/>
    <w:pPr>
      <w:spacing w:after="200" w:line="276" w:lineRule="auto"/>
    </w:pPr>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2">
    <w:name w:val="Light List - Accent 112"/>
    <w:basedOn w:val="TableNormal"/>
    <w:uiPriority w:val="61"/>
    <w:rsid w:val="00080175"/>
    <w:pPr>
      <w:spacing w:after="200" w:line="276" w:lineRule="auto"/>
    </w:pPr>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40">
    <w:name w:val="Нет списка14"/>
    <w:next w:val="NoList"/>
    <w:semiHidden/>
    <w:unhideWhenUsed/>
    <w:rsid w:val="00080175"/>
  </w:style>
  <w:style w:type="table" w:customStyle="1" w:styleId="ColorfulGrid-Accent112">
    <w:name w:val="Colorful Grid - Accent 112"/>
    <w:basedOn w:val="TableNormal"/>
    <w:rsid w:val="00080175"/>
    <w:pPr>
      <w:spacing w:after="200" w:line="276" w:lineRule="auto"/>
    </w:pPr>
    <w:rPr>
      <w:rFonts w:eastAsia="Times New Roman"/>
      <w:color w:val="00000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2">
    <w:name w:val="Light List - Accent 512"/>
    <w:basedOn w:val="TableNormal"/>
    <w:rsid w:val="00080175"/>
    <w:pPr>
      <w:spacing w:after="200" w:line="276" w:lineRule="auto"/>
    </w:pPr>
    <w:rPr>
      <w:rFonts w:eastAsia="Times New Roman"/>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3">
    <w:name w:val="No List43"/>
    <w:next w:val="NoList"/>
    <w:semiHidden/>
    <w:rsid w:val="00080175"/>
  </w:style>
  <w:style w:type="numbering" w:customStyle="1" w:styleId="NoList113">
    <w:name w:val="No List113"/>
    <w:next w:val="NoList"/>
    <w:semiHidden/>
    <w:unhideWhenUsed/>
    <w:rsid w:val="00080175"/>
  </w:style>
  <w:style w:type="table" w:customStyle="1" w:styleId="Table3Deffects32">
    <w:name w:val="Table 3D effects 32"/>
    <w:basedOn w:val="TableNormal"/>
    <w:next w:val="Table3Deffects3"/>
    <w:rsid w:val="00080175"/>
    <w:pPr>
      <w:spacing w:after="200" w:line="276" w:lineRule="auto"/>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30">
    <w:name w:val="Нет списка113"/>
    <w:next w:val="NoList"/>
    <w:semiHidden/>
    <w:unhideWhenUsed/>
    <w:rsid w:val="00080175"/>
  </w:style>
  <w:style w:type="numbering" w:customStyle="1" w:styleId="NoList52">
    <w:name w:val="No List52"/>
    <w:next w:val="NoList"/>
    <w:uiPriority w:val="99"/>
    <w:semiHidden/>
    <w:rsid w:val="00080175"/>
  </w:style>
  <w:style w:type="numbering" w:customStyle="1" w:styleId="NoList62">
    <w:name w:val="No List62"/>
    <w:next w:val="NoList"/>
    <w:uiPriority w:val="99"/>
    <w:semiHidden/>
    <w:unhideWhenUsed/>
    <w:rsid w:val="00080175"/>
  </w:style>
  <w:style w:type="table" w:customStyle="1" w:styleId="TableGrid23">
    <w:name w:val="Table Grid23"/>
    <w:basedOn w:val="TableNormal"/>
    <w:next w:val="TableGrid"/>
    <w:rsid w:val="00080175"/>
    <w:pPr>
      <w:spacing w:after="200" w:line="276"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080175"/>
  </w:style>
  <w:style w:type="numbering" w:customStyle="1" w:styleId="NoList122">
    <w:name w:val="No List122"/>
    <w:next w:val="NoList"/>
    <w:uiPriority w:val="99"/>
    <w:semiHidden/>
    <w:unhideWhenUsed/>
    <w:rsid w:val="00080175"/>
  </w:style>
  <w:style w:type="table" w:customStyle="1" w:styleId="TableGrid320">
    <w:name w:val="Table Grid32"/>
    <w:basedOn w:val="TableNormal"/>
    <w:next w:val="TableGrid"/>
    <w:rsid w:val="0008017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2">
    <w:name w:val="Table Web 212"/>
    <w:basedOn w:val="TableNormal"/>
    <w:next w:val="TableWeb2"/>
    <w:rsid w:val="00080175"/>
    <w:pPr>
      <w:spacing w:after="200" w:line="276" w:lineRule="auto"/>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2">
    <w:name w:val="Table Web 112"/>
    <w:basedOn w:val="TableNormal"/>
    <w:next w:val="TableWeb1"/>
    <w:rsid w:val="00080175"/>
    <w:pPr>
      <w:spacing w:after="200" w:line="276" w:lineRule="auto"/>
    </w:pPr>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2">
    <w:name w:val="Table Grid 812"/>
    <w:basedOn w:val="TableNormal"/>
    <w:next w:val="TableGrid8"/>
    <w:rsid w:val="00080175"/>
    <w:pPr>
      <w:spacing w:after="200" w:line="276" w:lineRule="auto"/>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2">
    <w:name w:val="Table Contemporary12"/>
    <w:basedOn w:val="TableNormal"/>
    <w:next w:val="TableContemporary"/>
    <w:rsid w:val="00080175"/>
    <w:pPr>
      <w:spacing w:after="200" w:line="276" w:lineRule="auto"/>
    </w:pPr>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2">
    <w:name w:val="Colorful Grid - Accent 122"/>
    <w:basedOn w:val="TableNormal"/>
    <w:next w:val="ColorfulGrid-Accent1"/>
    <w:rsid w:val="00080175"/>
    <w:pPr>
      <w:spacing w:after="200" w:line="276" w:lineRule="auto"/>
    </w:pPr>
    <w:rPr>
      <w:rFonts w:eastAsia="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2">
    <w:name w:val="Light List - Accent 522"/>
    <w:basedOn w:val="TableNormal"/>
    <w:next w:val="LightList-Accent5"/>
    <w:rsid w:val="00080175"/>
    <w:pPr>
      <w:spacing w:after="200" w:line="276" w:lineRule="auto"/>
    </w:pPr>
    <w:rPr>
      <w:rFonts w:eastAsia="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2">
    <w:name w:val="No List82"/>
    <w:next w:val="NoList"/>
    <w:uiPriority w:val="99"/>
    <w:semiHidden/>
    <w:unhideWhenUsed/>
    <w:rsid w:val="00080175"/>
  </w:style>
  <w:style w:type="numbering" w:customStyle="1" w:styleId="122">
    <w:name w:val="Нет списка122"/>
    <w:next w:val="NoList"/>
    <w:uiPriority w:val="99"/>
    <w:semiHidden/>
    <w:unhideWhenUsed/>
    <w:rsid w:val="00080175"/>
  </w:style>
  <w:style w:type="numbering" w:customStyle="1" w:styleId="NoList132">
    <w:name w:val="No List132"/>
    <w:next w:val="NoList"/>
    <w:semiHidden/>
    <w:unhideWhenUsed/>
    <w:rsid w:val="00080175"/>
  </w:style>
  <w:style w:type="numbering" w:customStyle="1" w:styleId="NoList212">
    <w:name w:val="No List212"/>
    <w:next w:val="NoList"/>
    <w:semiHidden/>
    <w:unhideWhenUsed/>
    <w:rsid w:val="00080175"/>
  </w:style>
  <w:style w:type="numbering" w:customStyle="1" w:styleId="NoList312">
    <w:name w:val="No List312"/>
    <w:next w:val="NoList"/>
    <w:semiHidden/>
    <w:unhideWhenUsed/>
    <w:rsid w:val="00080175"/>
  </w:style>
  <w:style w:type="numbering" w:customStyle="1" w:styleId="1113">
    <w:name w:val="Нет списка1113"/>
    <w:next w:val="NoList"/>
    <w:semiHidden/>
    <w:unhideWhenUsed/>
    <w:rsid w:val="00080175"/>
  </w:style>
  <w:style w:type="numbering" w:customStyle="1" w:styleId="NoList412">
    <w:name w:val="No List412"/>
    <w:next w:val="NoList"/>
    <w:semiHidden/>
    <w:rsid w:val="00080175"/>
  </w:style>
  <w:style w:type="numbering" w:customStyle="1" w:styleId="NoList1112">
    <w:name w:val="No List1112"/>
    <w:next w:val="NoList"/>
    <w:semiHidden/>
    <w:unhideWhenUsed/>
    <w:rsid w:val="00080175"/>
  </w:style>
  <w:style w:type="numbering" w:customStyle="1" w:styleId="11112">
    <w:name w:val="Нет списка11112"/>
    <w:next w:val="NoList"/>
    <w:semiHidden/>
    <w:unhideWhenUsed/>
    <w:rsid w:val="00080175"/>
  </w:style>
  <w:style w:type="numbering" w:customStyle="1" w:styleId="NoList91">
    <w:name w:val="No List91"/>
    <w:next w:val="NoList"/>
    <w:uiPriority w:val="99"/>
    <w:semiHidden/>
    <w:unhideWhenUsed/>
    <w:rsid w:val="00080175"/>
  </w:style>
  <w:style w:type="table" w:customStyle="1" w:styleId="TableGrid42">
    <w:name w:val="Table Grid42"/>
    <w:basedOn w:val="TableNormal"/>
    <w:next w:val="TableGrid"/>
    <w:uiPriority w:val="39"/>
    <w:rsid w:val="00080175"/>
    <w:pPr>
      <w:spacing w:after="200" w:line="276" w:lineRule="auto"/>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2">
    <w:name w:val="Grid Table 1 Light - Accent 512"/>
    <w:basedOn w:val="TableNormal"/>
    <w:uiPriority w:val="46"/>
    <w:rsid w:val="00080175"/>
    <w:pPr>
      <w:spacing w:after="200" w:line="276" w:lineRule="auto"/>
    </w:pPr>
    <w:rPr>
      <w:rFonts w:eastAsia="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1">
    <w:name w:val="Plain Table 311"/>
    <w:basedOn w:val="TableNormal"/>
    <w:uiPriority w:val="43"/>
    <w:rsid w:val="00080175"/>
    <w:pPr>
      <w:spacing w:after="200" w:line="276" w:lineRule="auto"/>
    </w:pPr>
    <w:rPr>
      <w:rFonts w:eastAsia="Calibri"/>
      <w:sz w:val="24"/>
      <w:szCs w:val="24"/>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1">
    <w:name w:val="Grid Table 4 - Accent 111"/>
    <w:basedOn w:val="TableNormal"/>
    <w:uiPriority w:val="49"/>
    <w:rsid w:val="00080175"/>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01">
    <w:name w:val="No List101"/>
    <w:next w:val="NoList"/>
    <w:uiPriority w:val="99"/>
    <w:semiHidden/>
    <w:unhideWhenUsed/>
    <w:rsid w:val="00080175"/>
  </w:style>
  <w:style w:type="table" w:customStyle="1" w:styleId="TableGrid510">
    <w:name w:val="Table Grid51"/>
    <w:basedOn w:val="TableNormal"/>
    <w:next w:val="TableGrid"/>
    <w:uiPriority w:val="39"/>
    <w:rsid w:val="00080175"/>
    <w:pPr>
      <w:spacing w:after="200" w:line="27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2">
    <w:name w:val="Table List 712"/>
    <w:basedOn w:val="TableNormal"/>
    <w:next w:val="TableList7"/>
    <w:rsid w:val="00080175"/>
    <w:pPr>
      <w:spacing w:after="200" w:line="276" w:lineRule="auto"/>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2">
    <w:name w:val="Table Web 312"/>
    <w:basedOn w:val="TableNormal"/>
    <w:next w:val="TableWeb3"/>
    <w:rsid w:val="00080175"/>
    <w:pPr>
      <w:spacing w:after="200" w:line="276" w:lineRule="auto"/>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080175"/>
    <w:pPr>
      <w:spacing w:after="200" w:line="276" w:lineRule="auto"/>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next w:val="TableWeb2"/>
    <w:rsid w:val="00080175"/>
    <w:pPr>
      <w:spacing w:after="200" w:line="276" w:lineRule="auto"/>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rsid w:val="00080175"/>
    <w:pPr>
      <w:spacing w:after="200" w:line="276" w:lineRule="auto"/>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21">
    <w:name w:val="Table Grid 821"/>
    <w:basedOn w:val="TableNormal"/>
    <w:next w:val="TableGrid8"/>
    <w:rsid w:val="00080175"/>
    <w:pPr>
      <w:spacing w:after="200" w:line="276" w:lineRule="auto"/>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21">
    <w:name w:val="Table Contemporary21"/>
    <w:basedOn w:val="TableNormal"/>
    <w:next w:val="TableContemporary"/>
    <w:rsid w:val="00080175"/>
    <w:pPr>
      <w:spacing w:after="200" w:line="276" w:lineRule="auto"/>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41">
    <w:name w:val="No List141"/>
    <w:next w:val="NoList"/>
    <w:semiHidden/>
    <w:unhideWhenUsed/>
    <w:rsid w:val="00080175"/>
  </w:style>
  <w:style w:type="numbering" w:customStyle="1" w:styleId="NoList221">
    <w:name w:val="No List221"/>
    <w:next w:val="NoList"/>
    <w:semiHidden/>
    <w:unhideWhenUsed/>
    <w:rsid w:val="00080175"/>
  </w:style>
  <w:style w:type="numbering" w:customStyle="1" w:styleId="NoList321">
    <w:name w:val="No List321"/>
    <w:next w:val="NoList"/>
    <w:semiHidden/>
    <w:unhideWhenUsed/>
    <w:rsid w:val="00080175"/>
  </w:style>
  <w:style w:type="table" w:customStyle="1" w:styleId="LightList-Accent121">
    <w:name w:val="Light List - Accent 121"/>
    <w:basedOn w:val="TableNormal"/>
    <w:uiPriority w:val="61"/>
    <w:rsid w:val="00080175"/>
    <w:pPr>
      <w:spacing w:after="200" w:line="276" w:lineRule="auto"/>
    </w:pPr>
    <w:rPr>
      <w:rFonts w:ascii="Times New Roman" w:eastAsia="Times New Roman"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2">
    <w:name w:val="Table Grid 712"/>
    <w:basedOn w:val="TableNormal"/>
    <w:next w:val="TableGrid7"/>
    <w:rsid w:val="00080175"/>
    <w:pPr>
      <w:spacing w:after="200" w:line="276" w:lineRule="auto"/>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31">
    <w:name w:val="Colorful Grid - Accent 131"/>
    <w:basedOn w:val="TableNormal"/>
    <w:next w:val="ColorfulGrid-Accent1"/>
    <w:uiPriority w:val="73"/>
    <w:rsid w:val="00080175"/>
    <w:pPr>
      <w:spacing w:after="200" w:line="276" w:lineRule="auto"/>
    </w:pPr>
    <w:rPr>
      <w:rFonts w:ascii="Times New Roman" w:eastAsia="Times New Roman"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1">
    <w:name w:val="Light List - Accent 531"/>
    <w:basedOn w:val="TableNormal"/>
    <w:next w:val="LightList-Accent5"/>
    <w:uiPriority w:val="61"/>
    <w:rsid w:val="00080175"/>
    <w:pPr>
      <w:spacing w:after="200" w:line="276" w:lineRule="auto"/>
    </w:pPr>
    <w:rPr>
      <w:rFonts w:ascii="Times New Roman" w:eastAsia="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2">
    <w:name w:val="Table Simple 312"/>
    <w:basedOn w:val="TableNormal"/>
    <w:next w:val="TableSimple3"/>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2">
    <w:name w:val="Table Grid 512"/>
    <w:basedOn w:val="TableNormal"/>
    <w:next w:val="TableGrid5"/>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2">
    <w:name w:val="Table Grid 312"/>
    <w:basedOn w:val="TableNormal"/>
    <w:next w:val="TableGrid3"/>
    <w:rsid w:val="00080175"/>
    <w:pPr>
      <w:spacing w:after="200" w:line="276" w:lineRule="auto"/>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2">
    <w:name w:val="Table Grid 112"/>
    <w:basedOn w:val="TableNormal"/>
    <w:next w:val="TableGrid1"/>
    <w:rsid w:val="00080175"/>
    <w:pPr>
      <w:spacing w:after="200" w:line="276" w:lineRule="auto"/>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2">
    <w:name w:val="Table Columns 512"/>
    <w:basedOn w:val="TableNormal"/>
    <w:next w:val="TableColumns5"/>
    <w:rsid w:val="00080175"/>
    <w:pPr>
      <w:spacing w:after="200" w:line="276" w:lineRule="auto"/>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11">
    <w:name w:val="Light List - Accent 1111"/>
    <w:basedOn w:val="TableNormal"/>
    <w:uiPriority w:val="61"/>
    <w:rsid w:val="00080175"/>
    <w:pPr>
      <w:spacing w:after="200" w:line="276" w:lineRule="auto"/>
    </w:pPr>
    <w:rPr>
      <w:rFonts w:ascii="Times New Roman" w:eastAsia="Times New Roman"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310">
    <w:name w:val="Нет списка131"/>
    <w:next w:val="NoList"/>
    <w:semiHidden/>
    <w:unhideWhenUsed/>
    <w:rsid w:val="00080175"/>
  </w:style>
  <w:style w:type="table" w:customStyle="1" w:styleId="ColorfulGrid-Accent1111">
    <w:name w:val="Colorful Grid - Accent 1111"/>
    <w:basedOn w:val="TableNormal"/>
    <w:rsid w:val="00080175"/>
    <w:pPr>
      <w:spacing w:after="200" w:line="276" w:lineRule="auto"/>
    </w:pPr>
    <w:rPr>
      <w:rFonts w:ascii="Times New Roman" w:eastAsia="Times New Roman" w:hAnsi="Times New Roman"/>
      <w:color w:val="00000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1">
    <w:name w:val="Light List - Accent 5111"/>
    <w:basedOn w:val="TableNormal"/>
    <w:rsid w:val="00080175"/>
    <w:pPr>
      <w:spacing w:after="200" w:line="276" w:lineRule="auto"/>
    </w:pPr>
    <w:rPr>
      <w:rFonts w:ascii="Times New Roman" w:eastAsia="Times New Roman" w:hAnsi="Times New Roman"/>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21">
    <w:name w:val="No List421"/>
    <w:next w:val="NoList"/>
    <w:semiHidden/>
    <w:rsid w:val="00080175"/>
  </w:style>
  <w:style w:type="numbering" w:customStyle="1" w:styleId="NoList1121">
    <w:name w:val="No List1121"/>
    <w:next w:val="NoList"/>
    <w:semiHidden/>
    <w:unhideWhenUsed/>
    <w:rsid w:val="00080175"/>
  </w:style>
  <w:style w:type="table" w:customStyle="1" w:styleId="Table3Deffects312">
    <w:name w:val="Table 3D effects 312"/>
    <w:basedOn w:val="TableNormal"/>
    <w:next w:val="Table3Deffects3"/>
    <w:rsid w:val="00080175"/>
    <w:pPr>
      <w:spacing w:after="200" w:line="276" w:lineRule="auto"/>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21">
    <w:name w:val="Нет списка1121"/>
    <w:next w:val="NoList"/>
    <w:semiHidden/>
    <w:unhideWhenUsed/>
    <w:rsid w:val="00080175"/>
  </w:style>
  <w:style w:type="table" w:customStyle="1" w:styleId="TableGrid1120">
    <w:name w:val="Table Grid112"/>
    <w:basedOn w:val="TableNormal"/>
    <w:next w:val="TableGrid"/>
    <w:rsid w:val="00080175"/>
    <w:pPr>
      <w:spacing w:after="200" w:line="276" w:lineRule="auto"/>
    </w:pPr>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1">
    <w:name w:val="No List511"/>
    <w:next w:val="NoList"/>
    <w:uiPriority w:val="99"/>
    <w:semiHidden/>
    <w:rsid w:val="00080175"/>
  </w:style>
  <w:style w:type="numbering" w:customStyle="1" w:styleId="NoList611">
    <w:name w:val="No List611"/>
    <w:next w:val="NoList"/>
    <w:uiPriority w:val="99"/>
    <w:semiHidden/>
    <w:unhideWhenUsed/>
    <w:rsid w:val="00080175"/>
  </w:style>
  <w:style w:type="table" w:customStyle="1" w:styleId="TableGrid211">
    <w:name w:val="Table Grid211"/>
    <w:basedOn w:val="TableNormal"/>
    <w:next w:val="TableGrid"/>
    <w:rsid w:val="00080175"/>
    <w:pPr>
      <w:spacing w:after="200" w:line="276" w:lineRule="auto"/>
    </w:pPr>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1">
    <w:name w:val="No List711"/>
    <w:next w:val="NoList"/>
    <w:uiPriority w:val="99"/>
    <w:semiHidden/>
    <w:unhideWhenUsed/>
    <w:rsid w:val="00080175"/>
  </w:style>
  <w:style w:type="numbering" w:customStyle="1" w:styleId="NoList1211">
    <w:name w:val="No List1211"/>
    <w:next w:val="NoList"/>
    <w:uiPriority w:val="99"/>
    <w:semiHidden/>
    <w:unhideWhenUsed/>
    <w:rsid w:val="00080175"/>
  </w:style>
  <w:style w:type="table" w:customStyle="1" w:styleId="TableGrid3110">
    <w:name w:val="Table Grid311"/>
    <w:basedOn w:val="TableNormal"/>
    <w:next w:val="TableGrid"/>
    <w:rsid w:val="00080175"/>
    <w:pPr>
      <w:spacing w:after="200" w:line="27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1">
    <w:name w:val="Table Web 2111"/>
    <w:basedOn w:val="TableNormal"/>
    <w:next w:val="TableWeb2"/>
    <w:rsid w:val="00080175"/>
    <w:pPr>
      <w:spacing w:after="200" w:line="276" w:lineRule="auto"/>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11">
    <w:name w:val="Table Web 1111"/>
    <w:basedOn w:val="TableNormal"/>
    <w:next w:val="TableWeb1"/>
    <w:rsid w:val="00080175"/>
    <w:pPr>
      <w:spacing w:after="200" w:line="276" w:lineRule="auto"/>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11">
    <w:name w:val="Table Grid 8111"/>
    <w:basedOn w:val="TableNormal"/>
    <w:next w:val="TableGrid8"/>
    <w:rsid w:val="00080175"/>
    <w:pPr>
      <w:spacing w:after="200" w:line="276" w:lineRule="auto"/>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11">
    <w:name w:val="Table Contemporary111"/>
    <w:basedOn w:val="TableNormal"/>
    <w:next w:val="TableContemporary"/>
    <w:rsid w:val="00080175"/>
    <w:pPr>
      <w:spacing w:after="200" w:line="276" w:lineRule="auto"/>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11">
    <w:name w:val="Colorful Grid - Accent 1211"/>
    <w:basedOn w:val="TableNormal"/>
    <w:next w:val="ColorfulGrid-Accent1"/>
    <w:rsid w:val="00080175"/>
    <w:pPr>
      <w:spacing w:after="200" w:line="276" w:lineRule="auto"/>
    </w:pPr>
    <w:rPr>
      <w:rFonts w:ascii="Times New Roman" w:eastAsia="Times New Roman"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1">
    <w:name w:val="Light List - Accent 5211"/>
    <w:basedOn w:val="TableNormal"/>
    <w:next w:val="LightList-Accent5"/>
    <w:rsid w:val="00080175"/>
    <w:pPr>
      <w:spacing w:after="200" w:line="276" w:lineRule="auto"/>
    </w:pPr>
    <w:rPr>
      <w:rFonts w:ascii="Times New Roman" w:eastAsia="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11">
    <w:name w:val="No List811"/>
    <w:next w:val="NoList"/>
    <w:uiPriority w:val="99"/>
    <w:semiHidden/>
    <w:unhideWhenUsed/>
    <w:rsid w:val="00080175"/>
  </w:style>
  <w:style w:type="numbering" w:customStyle="1" w:styleId="1211">
    <w:name w:val="Нет списка1211"/>
    <w:next w:val="NoList"/>
    <w:uiPriority w:val="99"/>
    <w:semiHidden/>
    <w:unhideWhenUsed/>
    <w:rsid w:val="00080175"/>
  </w:style>
  <w:style w:type="numbering" w:customStyle="1" w:styleId="NoList1311">
    <w:name w:val="No List1311"/>
    <w:next w:val="NoList"/>
    <w:semiHidden/>
    <w:unhideWhenUsed/>
    <w:rsid w:val="00080175"/>
  </w:style>
  <w:style w:type="numbering" w:customStyle="1" w:styleId="NoList2111">
    <w:name w:val="No List2111"/>
    <w:next w:val="NoList"/>
    <w:semiHidden/>
    <w:unhideWhenUsed/>
    <w:rsid w:val="00080175"/>
  </w:style>
  <w:style w:type="numbering" w:customStyle="1" w:styleId="NoList3111">
    <w:name w:val="No List3111"/>
    <w:next w:val="NoList"/>
    <w:semiHidden/>
    <w:unhideWhenUsed/>
    <w:rsid w:val="00080175"/>
  </w:style>
  <w:style w:type="numbering" w:customStyle="1" w:styleId="11121">
    <w:name w:val="Нет списка11121"/>
    <w:next w:val="NoList"/>
    <w:semiHidden/>
    <w:unhideWhenUsed/>
    <w:rsid w:val="00080175"/>
  </w:style>
  <w:style w:type="numbering" w:customStyle="1" w:styleId="NoList4111">
    <w:name w:val="No List4111"/>
    <w:next w:val="NoList"/>
    <w:semiHidden/>
    <w:rsid w:val="00080175"/>
  </w:style>
  <w:style w:type="numbering" w:customStyle="1" w:styleId="NoList11112">
    <w:name w:val="No List11112"/>
    <w:next w:val="NoList"/>
    <w:semiHidden/>
    <w:unhideWhenUsed/>
    <w:rsid w:val="00080175"/>
  </w:style>
  <w:style w:type="numbering" w:customStyle="1" w:styleId="111111">
    <w:name w:val="Нет списка111111"/>
    <w:next w:val="NoList"/>
    <w:semiHidden/>
    <w:unhideWhenUsed/>
    <w:rsid w:val="00080175"/>
  </w:style>
  <w:style w:type="table" w:customStyle="1" w:styleId="TableGrid61">
    <w:name w:val="Table Grid61"/>
    <w:basedOn w:val="TableNormal"/>
    <w:next w:val="TableGrid"/>
    <w:uiPriority w:val="39"/>
    <w:rsid w:val="00080175"/>
    <w:pPr>
      <w:spacing w:after="0" w:line="240" w:lineRule="auto"/>
      <w:jc w:val="center"/>
    </w:pPr>
    <w:rPr>
      <w:rFonts w:ascii="Sylfaen" w:eastAsia="Calibri" w:hAnsi="Sylfaen"/>
      <w:sz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080175"/>
    <w:pPr>
      <w:spacing w:after="0" w:line="240" w:lineRule="auto"/>
    </w:pPr>
    <w:rPr>
      <w:rFonts w:ascii="Calibri" w:eastAsia="Calibri" w:hAnsi="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1">
    <w:name w:val="Table Grid221"/>
    <w:basedOn w:val="TableNormal"/>
    <w:next w:val="TableGrid"/>
    <w:uiPriority w:val="39"/>
    <w:rsid w:val="000801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rsid w:val="00080175"/>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eGrid2214">
    <w:name w:val="Table Grid2214"/>
    <w:basedOn w:val="TableNormal"/>
    <w:next w:val="TableGrid"/>
    <w:uiPriority w:val="39"/>
    <w:rsid w:val="00080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uiPriority w:val="39"/>
    <w:rsid w:val="00080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1">
    <w:name w:val="Grid Table 1 Light - Accent 51111"/>
    <w:basedOn w:val="TableNormal"/>
    <w:uiPriority w:val="46"/>
    <w:rsid w:val="00080175"/>
    <w:pPr>
      <w:spacing w:after="0" w:line="240" w:lineRule="auto"/>
    </w:pPr>
    <w:rPr>
      <w:rFonts w:ascii="Calibri" w:eastAsia="Calibri" w:hAnsi="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1113112">
    <w:name w:val="Table Grid1113112"/>
    <w:basedOn w:val="TableNormal"/>
    <w:next w:val="TableGrid"/>
    <w:uiPriority w:val="39"/>
    <w:rsid w:val="00080175"/>
    <w:pPr>
      <w:spacing w:after="200" w:line="276" w:lineRule="auto"/>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ediumShading1-Accent11">
    <w:name w:val="Medium Shading 1 - Accent 11"/>
    <w:basedOn w:val="TableNormal"/>
    <w:next w:val="MediumShading1-Accent1"/>
    <w:uiPriority w:val="63"/>
    <w:rsid w:val="00080175"/>
    <w:pPr>
      <w:spacing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080175"/>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LightShading-Accent2">
    <w:name w:val="Light Shading Accent 2"/>
    <w:basedOn w:val="TableNormal"/>
    <w:uiPriority w:val="60"/>
    <w:rsid w:val="00080175"/>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customStyle="1" w:styleId="TableGrid142121">
    <w:name w:val="Table Grid142121"/>
    <w:basedOn w:val="TableNormal"/>
    <w:next w:val="TableGrid"/>
    <w:uiPriority w:val="39"/>
    <w:rsid w:val="00080175"/>
    <w:pPr>
      <w:spacing w:after="200" w:line="276"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2">
    <w:name w:val="Grid Table 1 Light - Accent 52"/>
    <w:basedOn w:val="TableNormal"/>
    <w:uiPriority w:val="46"/>
    <w:rsid w:val="00080175"/>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BodyText30">
    <w:name w:val="Body Text3"/>
    <w:basedOn w:val="Normal"/>
    <w:rsid w:val="00080175"/>
    <w:pPr>
      <w:tabs>
        <w:tab w:val="num" w:pos="0"/>
      </w:tabs>
      <w:spacing w:before="0" w:after="240" w:line="240" w:lineRule="auto"/>
      <w:ind w:firstLine="0"/>
    </w:pPr>
    <w:rPr>
      <w:rFonts w:ascii="Times Armenian" w:eastAsia="Times New Roman" w:hAnsi="Times Armenian" w:cs="Times New Roman"/>
      <w:sz w:val="24"/>
      <w:szCs w:val="24"/>
      <w:lang w:eastAsia="ru-RU"/>
    </w:rPr>
  </w:style>
  <w:style w:type="paragraph" w:customStyle="1" w:styleId="af3">
    <w:name w:val="Абзац списка"/>
    <w:basedOn w:val="Normal"/>
    <w:qFormat/>
    <w:rsid w:val="00080175"/>
    <w:pPr>
      <w:spacing w:before="0" w:after="200" w:line="276" w:lineRule="auto"/>
      <w:ind w:left="720" w:firstLine="0"/>
      <w:contextualSpacing/>
      <w:jc w:val="left"/>
    </w:pPr>
    <w:rPr>
      <w:rFonts w:ascii="Calibri" w:eastAsia="Times New Roman" w:hAnsi="Calibri" w:cs="Times New Roman"/>
      <w:lang w:val="ru-RU" w:eastAsia="ru-RU"/>
    </w:rPr>
  </w:style>
  <w:style w:type="paragraph" w:customStyle="1" w:styleId="af4">
    <w:name w:val="Обычный"/>
    <w:rsid w:val="00080175"/>
    <w:pPr>
      <w:autoSpaceDE w:val="0"/>
      <w:autoSpaceDN w:val="0"/>
      <w:spacing w:after="0" w:line="240" w:lineRule="auto"/>
    </w:pPr>
    <w:rPr>
      <w:rFonts w:ascii="Times New Roman" w:eastAsia="Times New Roman" w:hAnsi="Times New Roman" w:cs="Times New Roman"/>
      <w:sz w:val="20"/>
      <w:szCs w:val="20"/>
      <w:lang w:val="ru-RU" w:eastAsia="ru-RU"/>
    </w:rPr>
  </w:style>
  <w:style w:type="paragraph" w:customStyle="1" w:styleId="af5">
    <w:name w:val="Без интервала"/>
    <w:uiPriority w:val="1"/>
    <w:qFormat/>
    <w:rsid w:val="00080175"/>
    <w:pPr>
      <w:spacing w:after="0" w:line="240" w:lineRule="auto"/>
    </w:pPr>
    <w:rPr>
      <w:rFonts w:ascii="Calibri" w:eastAsia="Times New Roman" w:hAnsi="Calibri" w:cs="Times New Roman"/>
    </w:rPr>
  </w:style>
  <w:style w:type="paragraph" w:customStyle="1" w:styleId="af6">
    <w:name w:val="Рецензия"/>
    <w:hidden/>
    <w:semiHidden/>
    <w:rsid w:val="00080175"/>
    <w:pPr>
      <w:spacing w:after="0" w:line="240" w:lineRule="auto"/>
    </w:pPr>
    <w:rPr>
      <w:rFonts w:ascii="Arial Armenian" w:eastAsia="Times New Roman" w:hAnsi="Arial Armenian" w:cs="Sylfaen"/>
      <w:sz w:val="24"/>
      <w:szCs w:val="24"/>
      <w:lang w:val="ru-RU" w:eastAsia="ru-RU"/>
    </w:rPr>
  </w:style>
  <w:style w:type="character" w:customStyle="1" w:styleId="af7">
    <w:name w:val="Основной текст"/>
    <w:rsid w:val="00080175"/>
    <w:rPr>
      <w:rFonts w:ascii="Arial Unicode MS" w:eastAsia="Arial Unicode MS" w:hAnsi="Arial Unicode MS" w:cs="Arial Unicode MS"/>
      <w:b w:val="0"/>
      <w:bCs w:val="0"/>
      <w:i w:val="0"/>
      <w:iCs w:val="0"/>
      <w:smallCaps w:val="0"/>
      <w:strike w:val="0"/>
      <w:color w:val="000000"/>
      <w:spacing w:val="0"/>
      <w:w w:val="100"/>
      <w:position w:val="0"/>
      <w:sz w:val="30"/>
      <w:szCs w:val="30"/>
      <w:u w:val="none"/>
      <w:lang w:val="hy-AM"/>
    </w:rPr>
  </w:style>
  <w:style w:type="character" w:customStyle="1" w:styleId="UnresolvedMention2">
    <w:name w:val="Unresolved Mention2"/>
    <w:basedOn w:val="DefaultParagraphFont"/>
    <w:uiPriority w:val="99"/>
    <w:semiHidden/>
    <w:unhideWhenUsed/>
    <w:rsid w:val="00080175"/>
    <w:rPr>
      <w:color w:val="605E5C"/>
      <w:shd w:val="clear" w:color="auto" w:fill="E1DFDD"/>
    </w:rPr>
  </w:style>
  <w:style w:type="numbering" w:customStyle="1" w:styleId="NoList17">
    <w:name w:val="No List17"/>
    <w:next w:val="NoList"/>
    <w:uiPriority w:val="99"/>
    <w:semiHidden/>
    <w:unhideWhenUsed/>
    <w:rsid w:val="00080175"/>
  </w:style>
  <w:style w:type="table" w:customStyle="1" w:styleId="TableGrid16">
    <w:name w:val="Table Grid16"/>
    <w:basedOn w:val="TableNormal"/>
    <w:next w:val="TableGrid"/>
    <w:uiPriority w:val="39"/>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
    <w:name w:val="ՄԱՍԵՐ"/>
    <w:basedOn w:val="ListParagraph"/>
    <w:qFormat/>
    <w:rsid w:val="00080175"/>
    <w:pPr>
      <w:keepNext/>
      <w:keepLines/>
      <w:numPr>
        <w:numId w:val="15"/>
      </w:numPr>
      <w:spacing w:before="0" w:after="480" w:line="240" w:lineRule="auto"/>
      <w:ind w:left="284" w:hanging="284"/>
      <w:jc w:val="left"/>
    </w:pPr>
    <w:rPr>
      <w:rFonts w:eastAsia="Times New Roman" w:cs="Times New Roman"/>
      <w:b/>
      <w:caps/>
      <w:color w:val="0070C0"/>
      <w:sz w:val="32"/>
      <w:lang w:val="hy-AM"/>
    </w:rPr>
  </w:style>
  <w:style w:type="paragraph" w:customStyle="1" w:styleId="a0">
    <w:name w:val="ԳԼՈՒԽՆԵՐ"/>
    <w:basedOn w:val="ListParagraph"/>
    <w:qFormat/>
    <w:rsid w:val="00080175"/>
    <w:pPr>
      <w:keepNext/>
      <w:keepLines/>
      <w:numPr>
        <w:ilvl w:val="1"/>
        <w:numId w:val="15"/>
      </w:numPr>
      <w:spacing w:before="240" w:after="480" w:line="240" w:lineRule="auto"/>
      <w:ind w:left="924" w:hanging="567"/>
      <w:jc w:val="left"/>
    </w:pPr>
    <w:rPr>
      <w:rFonts w:eastAsia="Times New Roman" w:cs="Times New Roman"/>
      <w:b/>
      <w:caps/>
      <w:color w:val="0070C0"/>
      <w:sz w:val="28"/>
      <w:lang w:val="hy-AM"/>
    </w:rPr>
  </w:style>
  <w:style w:type="paragraph" w:customStyle="1" w:styleId="a1">
    <w:name w:val="ԵՆԹԱԳԼՈՒԽՆԵՐ"/>
    <w:basedOn w:val="ListParagraph"/>
    <w:qFormat/>
    <w:rsid w:val="00080175"/>
    <w:pPr>
      <w:keepNext/>
      <w:keepLines/>
      <w:numPr>
        <w:ilvl w:val="2"/>
        <w:numId w:val="15"/>
      </w:numPr>
      <w:spacing w:before="480" w:after="240" w:line="240" w:lineRule="auto"/>
      <w:ind w:left="1457" w:hanging="737"/>
    </w:pPr>
    <w:rPr>
      <w:rFonts w:eastAsia="Times New Roman" w:cs="Times New Roman"/>
      <w:b/>
      <w:caps/>
      <w:color w:val="0070C0"/>
      <w:sz w:val="26"/>
      <w:lang w:val="hy-AM"/>
    </w:rPr>
  </w:style>
  <w:style w:type="paragraph" w:customStyle="1" w:styleId="a2">
    <w:name w:val="Պարագրաֆներ"/>
    <w:basedOn w:val="ListParagraph"/>
    <w:qFormat/>
    <w:rsid w:val="00080175"/>
    <w:pPr>
      <w:numPr>
        <w:ilvl w:val="3"/>
        <w:numId w:val="16"/>
      </w:numPr>
      <w:spacing w:before="60" w:after="40" w:line="360" w:lineRule="auto"/>
    </w:pPr>
    <w:rPr>
      <w:rFonts w:eastAsia="Times New Roman" w:cs="Times New Roman"/>
      <w:color w:val="0070C0"/>
      <w:lang w:val="hy-AM"/>
    </w:rPr>
  </w:style>
  <w:style w:type="paragraph" w:customStyle="1" w:styleId="af8">
    <w:name w:val="Աղյուսակներ"/>
    <w:basedOn w:val="Normal"/>
    <w:qFormat/>
    <w:rsid w:val="00080175"/>
    <w:pPr>
      <w:spacing w:before="60" w:after="40" w:line="360" w:lineRule="auto"/>
    </w:pPr>
    <w:rPr>
      <w:rFonts w:eastAsia="Calibri" w:cs="Sylfaen"/>
      <w:b/>
      <w:bCs/>
      <w:i/>
      <w:lang w:val="hy-AM"/>
    </w:rPr>
  </w:style>
  <w:style w:type="table" w:customStyle="1" w:styleId="MediumShading1-Accent111">
    <w:name w:val="Medium Shading 1 - Accent 111"/>
    <w:basedOn w:val="TableNormal"/>
    <w:next w:val="MediumShading1-Accent1"/>
    <w:uiPriority w:val="63"/>
    <w:rsid w:val="00080175"/>
    <w:pPr>
      <w:spacing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22141">
    <w:name w:val="Table Grid22141"/>
    <w:basedOn w:val="TableNormal"/>
    <w:next w:val="TableGrid"/>
    <w:uiPriority w:val="39"/>
    <w:rsid w:val="00080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uiPriority w:val="39"/>
    <w:rsid w:val="00080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Հղումներ"/>
    <w:basedOn w:val="Normal"/>
    <w:qFormat/>
    <w:rsid w:val="00080175"/>
    <w:pPr>
      <w:spacing w:before="60" w:after="40" w:line="240" w:lineRule="auto"/>
    </w:pPr>
    <w:rPr>
      <w:rFonts w:eastAsia="Times New Roman" w:cs="Times New Roman"/>
      <w:sz w:val="20"/>
      <w:szCs w:val="20"/>
      <w:lang w:val="hy-AM"/>
    </w:rPr>
  </w:style>
  <w:style w:type="paragraph" w:customStyle="1" w:styleId="afa">
    <w:name w:val="Գծապատկերներ"/>
    <w:basedOn w:val="Normal"/>
    <w:qFormat/>
    <w:rsid w:val="00080175"/>
    <w:pPr>
      <w:keepNext/>
      <w:keepLines/>
      <w:spacing w:before="60" w:after="40" w:line="240" w:lineRule="auto"/>
      <w:ind w:firstLine="0"/>
      <w:jc w:val="left"/>
    </w:pPr>
    <w:rPr>
      <w:rFonts w:eastAsiaTheme="majorEastAsia" w:cs="Times New Roman"/>
      <w:b/>
      <w:i/>
      <w:lang w:val="hy-AM"/>
    </w:rPr>
  </w:style>
  <w:style w:type="table" w:customStyle="1" w:styleId="GridTable4-Accent112">
    <w:name w:val="Grid Table 4 - Accent 112"/>
    <w:basedOn w:val="TableNormal"/>
    <w:uiPriority w:val="49"/>
    <w:rsid w:val="00080175"/>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
    <w:name w:val="Համարակալում 1"/>
    <w:basedOn w:val="Normal"/>
    <w:qFormat/>
    <w:rsid w:val="00080175"/>
    <w:pPr>
      <w:numPr>
        <w:numId w:val="17"/>
      </w:numPr>
      <w:spacing w:before="240" w:after="120" w:line="240" w:lineRule="auto"/>
      <w:ind w:left="737" w:hanging="170"/>
      <w:jc w:val="left"/>
    </w:pPr>
    <w:rPr>
      <w:rFonts w:eastAsia="Times New Roman" w:cs="Times New Roman"/>
      <w:b/>
      <w:u w:val="single"/>
      <w:lang w:val="hy-AM"/>
    </w:rPr>
  </w:style>
  <w:style w:type="paragraph" w:customStyle="1" w:styleId="afb">
    <w:name w:val="Գծ. հղումներ"/>
    <w:basedOn w:val="Normal"/>
    <w:qFormat/>
    <w:rsid w:val="00080175"/>
    <w:pPr>
      <w:spacing w:after="160" w:line="276" w:lineRule="auto"/>
      <w:ind w:firstLine="0"/>
      <w:contextualSpacing/>
      <w:jc w:val="left"/>
    </w:pPr>
    <w:rPr>
      <w:rFonts w:eastAsia="Calibri" w:cs="Times New Roman"/>
      <w:i/>
      <w:sz w:val="18"/>
      <w:szCs w:val="16"/>
      <w:lang w:val="hy-AM"/>
    </w:rPr>
  </w:style>
  <w:style w:type="paragraph" w:customStyle="1" w:styleId="afc">
    <w:name w:val="Փոքր գծապ."/>
    <w:basedOn w:val="Normal"/>
    <w:qFormat/>
    <w:rsid w:val="00080175"/>
    <w:pPr>
      <w:spacing w:before="0" w:after="0" w:line="276" w:lineRule="auto"/>
      <w:ind w:firstLine="0"/>
      <w:contextualSpacing/>
    </w:pPr>
    <w:rPr>
      <w:rFonts w:eastAsia="Calibri" w:cs="Times New Roman"/>
      <w:b/>
      <w:i/>
      <w:noProof/>
      <w:sz w:val="18"/>
      <w:szCs w:val="18"/>
    </w:rPr>
  </w:style>
  <w:style w:type="paragraph" w:customStyle="1" w:styleId="BodyText4">
    <w:name w:val="Body Text4"/>
    <w:basedOn w:val="Normal"/>
    <w:rsid w:val="00080175"/>
    <w:pPr>
      <w:tabs>
        <w:tab w:val="num" w:pos="0"/>
      </w:tabs>
      <w:spacing w:before="0" w:after="240" w:line="360" w:lineRule="auto"/>
      <w:ind w:firstLine="0"/>
    </w:pPr>
    <w:rPr>
      <w:rFonts w:ascii="Times Armenian" w:eastAsia="Times New Roman" w:hAnsi="Times Armenian" w:cs="Times Unicode"/>
      <w:lang w:val="hy-AM" w:eastAsia="ru-RU"/>
    </w:rPr>
  </w:style>
  <w:style w:type="paragraph" w:customStyle="1" w:styleId="afd">
    <w:name w:val="Աղյուսակ"/>
    <w:basedOn w:val="Normal"/>
    <w:qFormat/>
    <w:rsid w:val="00080175"/>
    <w:pPr>
      <w:keepNext/>
      <w:spacing w:before="240" w:after="120" w:line="240" w:lineRule="auto"/>
      <w:ind w:firstLine="0"/>
      <w:jc w:val="left"/>
    </w:pPr>
    <w:rPr>
      <w:rFonts w:eastAsia="Times New Roman" w:cs="Times Unicode"/>
      <w:i/>
      <w:lang w:val="hy-AM"/>
    </w:rPr>
  </w:style>
  <w:style w:type="paragraph" w:customStyle="1" w:styleId="afe">
    <w:name w:val="Գծապատկեր"/>
    <w:basedOn w:val="Heading5"/>
    <w:link w:val="Char8"/>
    <w:qFormat/>
    <w:rsid w:val="00080175"/>
    <w:pPr>
      <w:keepNext/>
      <w:spacing w:before="240" w:after="120" w:line="240" w:lineRule="auto"/>
      <w:ind w:firstLine="0"/>
      <w:jc w:val="left"/>
    </w:pPr>
    <w:rPr>
      <w:rFonts w:ascii="GHEA Grapalat" w:eastAsia="Times New Roman" w:hAnsi="GHEA Grapalat" w:cs="Times Unicode"/>
      <w:i/>
      <w:iCs/>
      <w:color w:val="auto"/>
      <w:sz w:val="24"/>
      <w:szCs w:val="26"/>
      <w:lang w:val="hy-AM"/>
    </w:rPr>
  </w:style>
  <w:style w:type="paragraph" w:customStyle="1" w:styleId="aff">
    <w:name w:val="Ենթավերնագիր"/>
    <w:basedOn w:val="Normal"/>
    <w:qFormat/>
    <w:rsid w:val="00080175"/>
    <w:pPr>
      <w:keepNext/>
      <w:spacing w:before="480" w:after="120" w:line="240" w:lineRule="auto"/>
      <w:jc w:val="left"/>
    </w:pPr>
    <w:rPr>
      <w:rFonts w:eastAsia="Times New Roman" w:cs="Times Unicode"/>
      <w:b/>
      <w:i/>
      <w:lang w:val="hy-AM"/>
    </w:rPr>
  </w:style>
  <w:style w:type="character" w:customStyle="1" w:styleId="ListParagraphChar1">
    <w:name w:val="List Paragraph Char1"/>
    <w:aliases w:val="lp1 Char,List Paragraph4 Char,List Paragraph41 Char,List Paragraph5 Char,Paragraphe de liste PBLH Char,PDP DOCUMENT SUBTITLE Char,Bullet Points Char,Table of contents numbered Char,List Paragraph in table Char,Liste 1 Char,CPS Char"/>
    <w:link w:val="ListParagraph"/>
    <w:uiPriority w:val="34"/>
    <w:qFormat/>
    <w:rsid w:val="00080175"/>
    <w:rPr>
      <w:rFonts w:ascii="GHEA Grapalat" w:eastAsiaTheme="minorEastAsia" w:hAnsi="GHEA Grapalat"/>
    </w:rPr>
  </w:style>
  <w:style w:type="paragraph" w:customStyle="1" w:styleId="BodyText5">
    <w:name w:val="Body Text5"/>
    <w:basedOn w:val="Normal"/>
    <w:rsid w:val="00080175"/>
    <w:pPr>
      <w:tabs>
        <w:tab w:val="num" w:pos="0"/>
      </w:tabs>
      <w:spacing w:before="0" w:after="240" w:line="360" w:lineRule="auto"/>
      <w:ind w:firstLine="0"/>
    </w:pPr>
    <w:rPr>
      <w:rFonts w:ascii="Times Armenian" w:eastAsia="Times New Roman" w:hAnsi="Times Armenian" w:cs="Times Unicode"/>
      <w:lang w:val="hy-AM" w:eastAsia="ru-RU"/>
    </w:rPr>
  </w:style>
  <w:style w:type="table" w:customStyle="1" w:styleId="TableGrid121">
    <w:name w:val="Table Grid121"/>
    <w:basedOn w:val="TableNormal"/>
    <w:uiPriority w:val="39"/>
    <w:rsid w:val="00080175"/>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8">
    <w:name w:val="Գծապատկեր Char"/>
    <w:link w:val="afe"/>
    <w:rsid w:val="00080175"/>
    <w:rPr>
      <w:rFonts w:ascii="GHEA Grapalat" w:eastAsia="Times New Roman" w:hAnsi="GHEA Grapalat" w:cs="Times Unicode"/>
      <w:b/>
      <w:bCs/>
      <w:i/>
      <w:iCs/>
      <w:sz w:val="24"/>
      <w:szCs w:val="26"/>
      <w:lang w:val="hy-AM"/>
    </w:rPr>
  </w:style>
  <w:style w:type="table" w:customStyle="1" w:styleId="TableGrid17">
    <w:name w:val="Table Grid17"/>
    <w:basedOn w:val="TableNormal"/>
    <w:next w:val="TableGrid"/>
    <w:uiPriority w:val="39"/>
    <w:qFormat/>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3">
    <w:name w:val="Table List 73"/>
    <w:basedOn w:val="TableNormal"/>
    <w:next w:val="TableList7"/>
    <w:rsid w:val="00080175"/>
    <w:pPr>
      <w:spacing w:after="200" w:line="276" w:lineRule="auto"/>
    </w:pPr>
    <w:rPr>
      <w:rFonts w:eastAsiaTheme="minorEastAsi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3">
    <w:name w:val="Table Web 33"/>
    <w:basedOn w:val="TableNormal"/>
    <w:next w:val="TableWeb3"/>
    <w:rsid w:val="00080175"/>
    <w:pPr>
      <w:spacing w:after="200" w:line="276" w:lineRule="auto"/>
    </w:pPr>
    <w:rPr>
      <w:rFonts w:eastAsiaTheme="minorEastAsi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080175"/>
    <w:pPr>
      <w:spacing w:after="200" w:line="276" w:lineRule="auto"/>
    </w:pPr>
    <w:rPr>
      <w:rFonts w:eastAsiaTheme="minorEastAsi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4">
    <w:name w:val="Table Web 24"/>
    <w:basedOn w:val="TableNormal"/>
    <w:next w:val="TableWeb2"/>
    <w:rsid w:val="00080175"/>
    <w:pPr>
      <w:spacing w:after="200" w:line="276" w:lineRule="auto"/>
    </w:pPr>
    <w:rPr>
      <w:rFonts w:eastAsiaTheme="minorEastAsi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4">
    <w:name w:val="Table Web 14"/>
    <w:basedOn w:val="TableNormal"/>
    <w:next w:val="TableWeb1"/>
    <w:rsid w:val="00080175"/>
    <w:pPr>
      <w:spacing w:after="200" w:line="276" w:lineRule="auto"/>
    </w:pPr>
    <w:rPr>
      <w:rFonts w:eastAsiaTheme="minorEastAsi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4">
    <w:name w:val="Table Grid 84"/>
    <w:basedOn w:val="TableNormal"/>
    <w:next w:val="TableGrid8"/>
    <w:rsid w:val="00080175"/>
    <w:pPr>
      <w:spacing w:after="200" w:line="276" w:lineRule="auto"/>
    </w:pPr>
    <w:rPr>
      <w:rFonts w:eastAsiaTheme="minorEastAsi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4">
    <w:name w:val="Table Contemporary4"/>
    <w:basedOn w:val="TableNormal"/>
    <w:next w:val="TableContemporary"/>
    <w:rsid w:val="00080175"/>
    <w:pPr>
      <w:spacing w:after="200" w:line="276" w:lineRule="auto"/>
    </w:pPr>
    <w:rPr>
      <w:rFonts w:eastAsiaTheme="minorEastAsi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LightList-Accent14">
    <w:name w:val="Light List - Accent 14"/>
    <w:basedOn w:val="TableNormal"/>
    <w:next w:val="LightList-Accent1"/>
    <w:uiPriority w:val="61"/>
    <w:rsid w:val="00080175"/>
    <w:pPr>
      <w:spacing w:after="200" w:line="276" w:lineRule="auto"/>
    </w:pPr>
    <w:rPr>
      <w:rFonts w:eastAsiaTheme="minorEastAsia"/>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3">
    <w:name w:val="Table Grid 73"/>
    <w:basedOn w:val="TableNormal"/>
    <w:next w:val="TableGrid7"/>
    <w:rsid w:val="00080175"/>
    <w:pPr>
      <w:spacing w:after="200" w:line="276" w:lineRule="auto"/>
    </w:pPr>
    <w:rPr>
      <w:rFonts w:eastAsiaTheme="minorEastAsia"/>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5">
    <w:name w:val="Colorful Grid - Accent 15"/>
    <w:basedOn w:val="TableNormal"/>
    <w:next w:val="ColorfulGrid-Accent1"/>
    <w:uiPriority w:val="73"/>
    <w:rsid w:val="00080175"/>
    <w:pPr>
      <w:spacing w:after="200" w:line="276" w:lineRule="auto"/>
    </w:pPr>
    <w:rPr>
      <w:rFonts w:eastAsiaTheme="minorEastAsia"/>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5">
    <w:name w:val="Light List - Accent 55"/>
    <w:basedOn w:val="TableNormal"/>
    <w:next w:val="LightList-Accent5"/>
    <w:uiPriority w:val="61"/>
    <w:rsid w:val="00080175"/>
    <w:pPr>
      <w:spacing w:after="200" w:line="276" w:lineRule="auto"/>
    </w:pPr>
    <w:rPr>
      <w:rFonts w:eastAsiaTheme="minorEastAsi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3">
    <w:name w:val="Table Simple 33"/>
    <w:basedOn w:val="TableNormal"/>
    <w:next w:val="TableSimple3"/>
    <w:rsid w:val="00080175"/>
    <w:pPr>
      <w:spacing w:after="200" w:line="276" w:lineRule="auto"/>
    </w:pPr>
    <w:rPr>
      <w:rFonts w:eastAsiaTheme="minorEastAsi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3">
    <w:name w:val="Table Grid 53"/>
    <w:basedOn w:val="TableNormal"/>
    <w:next w:val="TableGrid5"/>
    <w:rsid w:val="00080175"/>
    <w:pPr>
      <w:spacing w:after="200" w:line="276" w:lineRule="auto"/>
    </w:pPr>
    <w:rPr>
      <w:rFonts w:eastAsiaTheme="minorEastAsi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3">
    <w:name w:val="Table Grid 33"/>
    <w:basedOn w:val="TableNormal"/>
    <w:next w:val="TableGrid3"/>
    <w:rsid w:val="00080175"/>
    <w:pPr>
      <w:spacing w:after="200" w:line="276" w:lineRule="auto"/>
    </w:pPr>
    <w:rPr>
      <w:rFonts w:eastAsiaTheme="minorEastAsi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30">
    <w:name w:val="Table Grid 13"/>
    <w:basedOn w:val="TableNormal"/>
    <w:next w:val="TableGrid1"/>
    <w:rsid w:val="00080175"/>
    <w:pPr>
      <w:spacing w:after="200" w:line="276" w:lineRule="auto"/>
    </w:pPr>
    <w:rPr>
      <w:rFonts w:eastAsiaTheme="minorEastAsi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3">
    <w:name w:val="Table Columns 53"/>
    <w:basedOn w:val="TableNormal"/>
    <w:next w:val="TableColumns5"/>
    <w:rsid w:val="00080175"/>
    <w:pPr>
      <w:spacing w:after="200" w:line="276" w:lineRule="auto"/>
    </w:pPr>
    <w:rPr>
      <w:rFonts w:eastAsiaTheme="minorEastAsi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3">
    <w:name w:val="Light List - Accent 113"/>
    <w:basedOn w:val="TableNormal"/>
    <w:uiPriority w:val="61"/>
    <w:rsid w:val="00080175"/>
    <w:pPr>
      <w:spacing w:after="200" w:line="276" w:lineRule="auto"/>
    </w:pPr>
    <w:rPr>
      <w:rFonts w:eastAsiaTheme="minorEastAsia"/>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Accent113">
    <w:name w:val="Colorful Grid - Accent 113"/>
    <w:basedOn w:val="TableNormal"/>
    <w:rsid w:val="00080175"/>
    <w:pPr>
      <w:spacing w:after="200" w:line="276" w:lineRule="auto"/>
    </w:pPr>
    <w:rPr>
      <w:rFonts w:eastAsiaTheme="minorEastAsia"/>
      <w:color w:val="00000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3">
    <w:name w:val="Light List - Accent 513"/>
    <w:basedOn w:val="TableNormal"/>
    <w:rsid w:val="00080175"/>
    <w:pPr>
      <w:spacing w:after="200" w:line="276" w:lineRule="auto"/>
    </w:pPr>
    <w:rPr>
      <w:rFonts w:eastAsiaTheme="minorEastAsia"/>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3Deffects33">
    <w:name w:val="Table 3D effects 33"/>
    <w:basedOn w:val="TableNormal"/>
    <w:next w:val="Table3Deffects3"/>
    <w:rsid w:val="00080175"/>
    <w:pPr>
      <w:spacing w:after="200" w:line="276" w:lineRule="auto"/>
    </w:pPr>
    <w:rPr>
      <w:rFonts w:eastAsiaTheme="minorEastAsi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8">
    <w:name w:val="Table Grid18"/>
    <w:basedOn w:val="TableNormal"/>
    <w:next w:val="TableGrid"/>
    <w:rsid w:val="00080175"/>
    <w:pPr>
      <w:spacing w:after="200" w:line="276" w:lineRule="auto"/>
    </w:pPr>
    <w:rPr>
      <w:rFonts w:eastAsiaTheme="minorEastAsi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rsid w:val="00080175"/>
    <w:pPr>
      <w:spacing w:after="200" w:line="276" w:lineRule="auto"/>
    </w:pPr>
    <w:rPr>
      <w:rFonts w:eastAsiaTheme="minorEastAsi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0">
    <w:name w:val="Table Grid33"/>
    <w:basedOn w:val="TableNormal"/>
    <w:next w:val="TableGrid"/>
    <w:rsid w:val="00080175"/>
    <w:pPr>
      <w:spacing w:after="200" w:line="276"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3">
    <w:name w:val="Table Web 213"/>
    <w:basedOn w:val="TableNormal"/>
    <w:next w:val="TableWeb2"/>
    <w:rsid w:val="00080175"/>
    <w:pPr>
      <w:spacing w:after="200" w:line="276" w:lineRule="auto"/>
    </w:pPr>
    <w:rPr>
      <w:rFonts w:eastAsiaTheme="minorEastAsi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3">
    <w:name w:val="Table Web 113"/>
    <w:basedOn w:val="TableNormal"/>
    <w:next w:val="TableWeb1"/>
    <w:rsid w:val="00080175"/>
    <w:pPr>
      <w:spacing w:after="200" w:line="276" w:lineRule="auto"/>
    </w:pPr>
    <w:rPr>
      <w:rFonts w:eastAsiaTheme="minorEastAsi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3">
    <w:name w:val="Table Grid 813"/>
    <w:basedOn w:val="TableNormal"/>
    <w:next w:val="TableGrid8"/>
    <w:rsid w:val="00080175"/>
    <w:pPr>
      <w:spacing w:after="200" w:line="276" w:lineRule="auto"/>
    </w:pPr>
    <w:rPr>
      <w:rFonts w:eastAsiaTheme="minorEastAsi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3">
    <w:name w:val="Table Contemporary13"/>
    <w:basedOn w:val="TableNormal"/>
    <w:next w:val="TableContemporary"/>
    <w:rsid w:val="00080175"/>
    <w:pPr>
      <w:spacing w:after="200" w:line="276" w:lineRule="auto"/>
    </w:pPr>
    <w:rPr>
      <w:rFonts w:eastAsiaTheme="minorEastAsi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3">
    <w:name w:val="Colorful Grid - Accent 123"/>
    <w:basedOn w:val="TableNormal"/>
    <w:next w:val="ColorfulGrid-Accent1"/>
    <w:rsid w:val="00080175"/>
    <w:pPr>
      <w:spacing w:after="200" w:line="276" w:lineRule="auto"/>
    </w:pPr>
    <w:rPr>
      <w:rFonts w:eastAsiaTheme="minorEastAsia"/>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3">
    <w:name w:val="Light List - Accent 523"/>
    <w:basedOn w:val="TableNormal"/>
    <w:next w:val="LightList-Accent5"/>
    <w:rsid w:val="00080175"/>
    <w:pPr>
      <w:spacing w:after="200" w:line="276" w:lineRule="auto"/>
    </w:pPr>
    <w:rPr>
      <w:rFonts w:eastAsiaTheme="minorEastAsi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43">
    <w:name w:val="Table Grid43"/>
    <w:basedOn w:val="TableNormal"/>
    <w:next w:val="TableGrid"/>
    <w:uiPriority w:val="39"/>
    <w:rsid w:val="00080175"/>
    <w:pPr>
      <w:spacing w:after="200" w:line="276" w:lineRule="auto"/>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3">
    <w:name w:val="Grid Table 1 Light - Accent 513"/>
    <w:basedOn w:val="TableNormal"/>
    <w:uiPriority w:val="46"/>
    <w:rsid w:val="00080175"/>
    <w:pPr>
      <w:spacing w:after="200" w:line="276" w:lineRule="auto"/>
    </w:pPr>
    <w:rPr>
      <w:rFonts w:eastAsia="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2">
    <w:name w:val="Plain Table 312"/>
    <w:basedOn w:val="TableNormal"/>
    <w:uiPriority w:val="43"/>
    <w:rsid w:val="00080175"/>
    <w:pPr>
      <w:spacing w:after="200" w:line="276" w:lineRule="auto"/>
    </w:pPr>
    <w:rPr>
      <w:rFonts w:eastAsia="Calibri"/>
      <w:sz w:val="24"/>
      <w:szCs w:val="24"/>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3">
    <w:name w:val="Grid Table 4 - Accent 113"/>
    <w:basedOn w:val="TableNormal"/>
    <w:uiPriority w:val="49"/>
    <w:rsid w:val="00080175"/>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20">
    <w:name w:val="Table Grid52"/>
    <w:basedOn w:val="TableNormal"/>
    <w:next w:val="TableGrid"/>
    <w:uiPriority w:val="39"/>
    <w:rsid w:val="00080175"/>
    <w:pPr>
      <w:spacing w:after="200" w:line="276" w:lineRule="auto"/>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3">
    <w:name w:val="Table List 713"/>
    <w:basedOn w:val="TableNormal"/>
    <w:next w:val="TableList7"/>
    <w:rsid w:val="00080175"/>
    <w:pPr>
      <w:spacing w:after="200" w:line="276" w:lineRule="auto"/>
    </w:pPr>
    <w:rPr>
      <w:rFonts w:ascii="Times New Roman" w:eastAsiaTheme="minorEastAsia"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3">
    <w:name w:val="Table Web 313"/>
    <w:basedOn w:val="TableNormal"/>
    <w:next w:val="TableWeb3"/>
    <w:rsid w:val="00080175"/>
    <w:pPr>
      <w:spacing w:after="200" w:line="276" w:lineRule="auto"/>
    </w:pPr>
    <w:rPr>
      <w:rFonts w:ascii="Times New Roman" w:eastAsiaTheme="minorEastAsia"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3">
    <w:name w:val="Table Elegant13"/>
    <w:basedOn w:val="TableNormal"/>
    <w:next w:val="TableElegant"/>
    <w:rsid w:val="00080175"/>
    <w:pPr>
      <w:spacing w:after="200" w:line="276" w:lineRule="auto"/>
    </w:pPr>
    <w:rPr>
      <w:rFonts w:ascii="Times New Roman" w:eastAsiaTheme="minorEastAsia"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22">
    <w:name w:val="Table Web 222"/>
    <w:basedOn w:val="TableNormal"/>
    <w:next w:val="TableWeb2"/>
    <w:rsid w:val="00080175"/>
    <w:pPr>
      <w:spacing w:after="200" w:line="276" w:lineRule="auto"/>
    </w:pPr>
    <w:rPr>
      <w:rFonts w:ascii="Times New Roman" w:eastAsiaTheme="minorEastAsia"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22">
    <w:name w:val="Table Web 122"/>
    <w:basedOn w:val="TableNormal"/>
    <w:next w:val="TableWeb1"/>
    <w:rsid w:val="00080175"/>
    <w:pPr>
      <w:spacing w:after="200" w:line="276" w:lineRule="auto"/>
    </w:pPr>
    <w:rPr>
      <w:rFonts w:ascii="Times New Roman" w:eastAsiaTheme="minorEastAsia"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22">
    <w:name w:val="Table Grid 822"/>
    <w:basedOn w:val="TableNormal"/>
    <w:next w:val="TableGrid8"/>
    <w:rsid w:val="00080175"/>
    <w:pPr>
      <w:spacing w:after="200" w:line="276" w:lineRule="auto"/>
    </w:pPr>
    <w:rPr>
      <w:rFonts w:ascii="Times New Roman" w:eastAsiaTheme="minorEastAsia"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22">
    <w:name w:val="Table Contemporary22"/>
    <w:basedOn w:val="TableNormal"/>
    <w:next w:val="TableContemporary"/>
    <w:rsid w:val="00080175"/>
    <w:pPr>
      <w:spacing w:after="200" w:line="276" w:lineRule="auto"/>
    </w:pPr>
    <w:rPr>
      <w:rFonts w:ascii="Times New Roman" w:eastAsiaTheme="minorEastAsia"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LightList-Accent122">
    <w:name w:val="Light List - Accent 122"/>
    <w:basedOn w:val="TableNormal"/>
    <w:uiPriority w:val="61"/>
    <w:rsid w:val="00080175"/>
    <w:pPr>
      <w:spacing w:after="200" w:line="276" w:lineRule="auto"/>
    </w:pPr>
    <w:rPr>
      <w:rFonts w:ascii="Times New Roman" w:eastAsiaTheme="minorEastAsia"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3">
    <w:name w:val="Table Grid 713"/>
    <w:basedOn w:val="TableNormal"/>
    <w:next w:val="TableGrid7"/>
    <w:rsid w:val="00080175"/>
    <w:pPr>
      <w:spacing w:after="200" w:line="276" w:lineRule="auto"/>
    </w:pPr>
    <w:rPr>
      <w:rFonts w:ascii="Times New Roman" w:eastAsiaTheme="minorEastAsia"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32">
    <w:name w:val="Colorful Grid - Accent 132"/>
    <w:basedOn w:val="TableNormal"/>
    <w:next w:val="ColorfulGrid-Accent1"/>
    <w:uiPriority w:val="73"/>
    <w:rsid w:val="00080175"/>
    <w:pPr>
      <w:spacing w:after="200" w:line="276" w:lineRule="auto"/>
    </w:pPr>
    <w:rPr>
      <w:rFonts w:ascii="Times New Roman" w:eastAsiaTheme="minorEastAsia"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2">
    <w:name w:val="Light List - Accent 532"/>
    <w:basedOn w:val="TableNormal"/>
    <w:next w:val="LightList-Accent5"/>
    <w:uiPriority w:val="61"/>
    <w:rsid w:val="00080175"/>
    <w:pPr>
      <w:spacing w:after="200" w:line="276" w:lineRule="auto"/>
    </w:pPr>
    <w:rPr>
      <w:rFonts w:ascii="Times New Roman" w:eastAsiaTheme="minorEastAsia"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3">
    <w:name w:val="Table Simple 313"/>
    <w:basedOn w:val="TableNormal"/>
    <w:next w:val="TableSimple3"/>
    <w:rsid w:val="00080175"/>
    <w:pPr>
      <w:spacing w:after="200" w:line="276" w:lineRule="auto"/>
    </w:pPr>
    <w:rPr>
      <w:rFonts w:ascii="Times New Roman" w:eastAsiaTheme="minorEastAsia"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3">
    <w:name w:val="Table Grid 513"/>
    <w:basedOn w:val="TableNormal"/>
    <w:next w:val="TableGrid5"/>
    <w:rsid w:val="00080175"/>
    <w:pPr>
      <w:spacing w:after="200" w:line="276" w:lineRule="auto"/>
    </w:pPr>
    <w:rPr>
      <w:rFonts w:ascii="Times New Roman" w:eastAsiaTheme="minorEastAsia"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3">
    <w:name w:val="Table Grid 313"/>
    <w:basedOn w:val="TableNormal"/>
    <w:next w:val="TableGrid3"/>
    <w:rsid w:val="00080175"/>
    <w:pPr>
      <w:spacing w:after="200" w:line="276" w:lineRule="auto"/>
    </w:pPr>
    <w:rPr>
      <w:rFonts w:ascii="Times New Roman" w:eastAsiaTheme="minorEastAsia"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3">
    <w:name w:val="Table Grid 113"/>
    <w:basedOn w:val="TableNormal"/>
    <w:next w:val="TableGrid1"/>
    <w:rsid w:val="00080175"/>
    <w:pPr>
      <w:spacing w:after="200" w:line="276" w:lineRule="auto"/>
    </w:pPr>
    <w:rPr>
      <w:rFonts w:ascii="Times New Roman" w:eastAsiaTheme="minorEastAsia"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3">
    <w:name w:val="Table Columns 513"/>
    <w:basedOn w:val="TableNormal"/>
    <w:next w:val="TableColumns5"/>
    <w:rsid w:val="00080175"/>
    <w:pPr>
      <w:spacing w:after="200" w:line="276" w:lineRule="auto"/>
    </w:pPr>
    <w:rPr>
      <w:rFonts w:ascii="Times New Roman" w:eastAsiaTheme="minorEastAsia"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12">
    <w:name w:val="Light List - Accent 1112"/>
    <w:basedOn w:val="TableNormal"/>
    <w:uiPriority w:val="61"/>
    <w:rsid w:val="00080175"/>
    <w:pPr>
      <w:spacing w:after="200" w:line="276" w:lineRule="auto"/>
    </w:pPr>
    <w:rPr>
      <w:rFonts w:ascii="Times New Roman" w:eastAsiaTheme="minorEastAsia"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Accent1112">
    <w:name w:val="Colorful Grid - Accent 1112"/>
    <w:basedOn w:val="TableNormal"/>
    <w:rsid w:val="00080175"/>
    <w:pPr>
      <w:spacing w:after="200" w:line="276" w:lineRule="auto"/>
    </w:pPr>
    <w:rPr>
      <w:rFonts w:ascii="Times New Roman" w:eastAsiaTheme="minorEastAsia" w:hAnsi="Times New Roman"/>
      <w:color w:val="00000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2">
    <w:name w:val="Light List - Accent 5112"/>
    <w:basedOn w:val="TableNormal"/>
    <w:rsid w:val="00080175"/>
    <w:pPr>
      <w:spacing w:after="200" w:line="276" w:lineRule="auto"/>
    </w:pPr>
    <w:rPr>
      <w:rFonts w:ascii="Times New Roman" w:eastAsiaTheme="minorEastAsia" w:hAnsi="Times New Roman"/>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3Deffects313">
    <w:name w:val="Table 3D effects 313"/>
    <w:basedOn w:val="TableNormal"/>
    <w:next w:val="Table3Deffects3"/>
    <w:rsid w:val="00080175"/>
    <w:pPr>
      <w:spacing w:after="200" w:line="276" w:lineRule="auto"/>
    </w:pPr>
    <w:rPr>
      <w:rFonts w:ascii="Times New Roman" w:eastAsiaTheme="minorEastAsia"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30">
    <w:name w:val="Table Grid113"/>
    <w:basedOn w:val="TableNormal"/>
    <w:next w:val="TableGrid"/>
    <w:rsid w:val="00080175"/>
    <w:pPr>
      <w:spacing w:after="200" w:line="276" w:lineRule="auto"/>
    </w:pPr>
    <w:rPr>
      <w:rFonts w:ascii="Times New Roman" w:eastAsiaTheme="minorEastAsia"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
    <w:name w:val="Table Grid212"/>
    <w:basedOn w:val="TableNormal"/>
    <w:next w:val="TableGrid"/>
    <w:rsid w:val="00080175"/>
    <w:pPr>
      <w:spacing w:after="200" w:line="276" w:lineRule="auto"/>
    </w:pPr>
    <w:rPr>
      <w:rFonts w:ascii="Times New Roman" w:eastAsiaTheme="minorEastAsia"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next w:val="TableGrid"/>
    <w:rsid w:val="00080175"/>
    <w:pPr>
      <w:spacing w:after="200" w:line="276" w:lineRule="auto"/>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2">
    <w:name w:val="Table Web 2112"/>
    <w:basedOn w:val="TableNormal"/>
    <w:next w:val="TableWeb2"/>
    <w:rsid w:val="00080175"/>
    <w:pPr>
      <w:spacing w:after="200" w:line="276" w:lineRule="auto"/>
    </w:pPr>
    <w:rPr>
      <w:rFonts w:ascii="Times New Roman" w:eastAsiaTheme="minorEastAsia"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12">
    <w:name w:val="Table Web 1112"/>
    <w:basedOn w:val="TableNormal"/>
    <w:next w:val="TableWeb1"/>
    <w:rsid w:val="00080175"/>
    <w:pPr>
      <w:spacing w:after="200" w:line="276" w:lineRule="auto"/>
    </w:pPr>
    <w:rPr>
      <w:rFonts w:ascii="Times New Roman" w:eastAsiaTheme="minorEastAsia"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12">
    <w:name w:val="Table Grid 8112"/>
    <w:basedOn w:val="TableNormal"/>
    <w:next w:val="TableGrid8"/>
    <w:rsid w:val="00080175"/>
    <w:pPr>
      <w:spacing w:after="200" w:line="276" w:lineRule="auto"/>
    </w:pPr>
    <w:rPr>
      <w:rFonts w:ascii="Times New Roman" w:eastAsiaTheme="minorEastAsia"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12">
    <w:name w:val="Table Contemporary112"/>
    <w:basedOn w:val="TableNormal"/>
    <w:next w:val="TableContemporary"/>
    <w:rsid w:val="00080175"/>
    <w:pPr>
      <w:spacing w:after="200" w:line="276" w:lineRule="auto"/>
    </w:pPr>
    <w:rPr>
      <w:rFonts w:ascii="Times New Roman" w:eastAsiaTheme="minorEastAsia"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12">
    <w:name w:val="Colorful Grid - Accent 1212"/>
    <w:basedOn w:val="TableNormal"/>
    <w:next w:val="ColorfulGrid-Accent1"/>
    <w:rsid w:val="00080175"/>
    <w:pPr>
      <w:spacing w:after="200" w:line="276" w:lineRule="auto"/>
    </w:pPr>
    <w:rPr>
      <w:rFonts w:ascii="Times New Roman" w:eastAsiaTheme="minorEastAsia"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2">
    <w:name w:val="Light List - Accent 5212"/>
    <w:basedOn w:val="TableNormal"/>
    <w:next w:val="LightList-Accent5"/>
    <w:rsid w:val="00080175"/>
    <w:pPr>
      <w:spacing w:after="200" w:line="276" w:lineRule="auto"/>
    </w:pPr>
    <w:rPr>
      <w:rFonts w:ascii="Times New Roman" w:eastAsiaTheme="minorEastAsia"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2">
    <w:name w:val="Table Grid62"/>
    <w:basedOn w:val="TableNormal"/>
    <w:next w:val="TableGrid"/>
    <w:uiPriority w:val="39"/>
    <w:rsid w:val="00080175"/>
    <w:pPr>
      <w:spacing w:after="0" w:line="240" w:lineRule="auto"/>
      <w:jc w:val="center"/>
    </w:pPr>
    <w:rPr>
      <w:rFonts w:ascii="Sylfaen" w:eastAsia="Calibri" w:hAnsi="Sylfaen"/>
      <w:sz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2">
    <w:name w:val="Grid Table 1 Light - Accent 5112"/>
    <w:basedOn w:val="TableNormal"/>
    <w:uiPriority w:val="46"/>
    <w:rsid w:val="00080175"/>
    <w:pPr>
      <w:spacing w:after="0" w:line="240" w:lineRule="auto"/>
    </w:pPr>
    <w:rPr>
      <w:rFonts w:ascii="Calibri" w:eastAsia="Calibri" w:hAnsi="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2">
    <w:name w:val="Table Grid222"/>
    <w:basedOn w:val="TableNormal"/>
    <w:next w:val="TableGrid"/>
    <w:uiPriority w:val="39"/>
    <w:rsid w:val="000801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2">
    <w:name w:val="Grid Table 1 Light - Accent 112"/>
    <w:basedOn w:val="TableNormal"/>
    <w:uiPriority w:val="46"/>
    <w:rsid w:val="0008017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4-Accent132">
    <w:name w:val="Grid Table 4 - Accent 132"/>
    <w:basedOn w:val="TableNormal"/>
    <w:uiPriority w:val="49"/>
    <w:rsid w:val="00080175"/>
    <w:pPr>
      <w:spacing w:after="0" w:line="240" w:lineRule="auto"/>
    </w:pPr>
    <w:rPr>
      <w:rFonts w:eastAsiaTheme="minorEastAsia"/>
      <w:sz w:val="20"/>
      <w:szCs w:val="20"/>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1Light-Accent113">
    <w:name w:val="Grid Table 1 Light - Accent 113"/>
    <w:basedOn w:val="TableNormal"/>
    <w:uiPriority w:val="46"/>
    <w:rsid w:val="0008017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numbering" w:customStyle="1" w:styleId="NoList18">
    <w:name w:val="No List18"/>
    <w:next w:val="NoList"/>
    <w:uiPriority w:val="99"/>
    <w:semiHidden/>
    <w:unhideWhenUsed/>
    <w:rsid w:val="00080175"/>
  </w:style>
  <w:style w:type="table" w:customStyle="1" w:styleId="TableGrid19">
    <w:name w:val="Table Grid19"/>
    <w:basedOn w:val="TableNormal"/>
    <w:next w:val="TableGrid"/>
    <w:uiPriority w:val="39"/>
    <w:rsid w:val="0008017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4">
    <w:name w:val="Table List 74"/>
    <w:basedOn w:val="TableNormal"/>
    <w:next w:val="TableList7"/>
    <w:rsid w:val="00080175"/>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4">
    <w:name w:val="Table Web 34"/>
    <w:basedOn w:val="TableNormal"/>
    <w:next w:val="TableWeb3"/>
    <w:rsid w:val="00080175"/>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4">
    <w:name w:val="Table Elegant4"/>
    <w:basedOn w:val="TableNormal"/>
    <w:next w:val="TableElegant"/>
    <w:rsid w:val="00080175"/>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BodyText6">
    <w:name w:val="Body Text6"/>
    <w:basedOn w:val="Normal"/>
    <w:rsid w:val="00080175"/>
    <w:pPr>
      <w:tabs>
        <w:tab w:val="num" w:pos="0"/>
      </w:tabs>
      <w:spacing w:before="0" w:after="240" w:line="360" w:lineRule="auto"/>
      <w:ind w:firstLine="0"/>
    </w:pPr>
    <w:rPr>
      <w:rFonts w:ascii="Times Armenian" w:eastAsia="Times New Roman" w:hAnsi="Times Armenian" w:cs="Times Unicode"/>
      <w:lang w:val="hy-AM" w:eastAsia="ru-RU"/>
    </w:rPr>
  </w:style>
  <w:style w:type="table" w:customStyle="1" w:styleId="TableWeb25">
    <w:name w:val="Table Web 25"/>
    <w:basedOn w:val="TableNormal"/>
    <w:next w:val="TableWeb2"/>
    <w:rsid w:val="00080175"/>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5">
    <w:name w:val="Table Web 15"/>
    <w:basedOn w:val="TableNormal"/>
    <w:next w:val="TableWeb1"/>
    <w:rsid w:val="00080175"/>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5">
    <w:name w:val="Table Grid 85"/>
    <w:basedOn w:val="TableNormal"/>
    <w:next w:val="TableGrid8"/>
    <w:rsid w:val="00080175"/>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5">
    <w:name w:val="Table Contemporary5"/>
    <w:basedOn w:val="TableNormal"/>
    <w:next w:val="TableContemporary"/>
    <w:rsid w:val="0008017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9">
    <w:name w:val="No List19"/>
    <w:next w:val="NoList"/>
    <w:semiHidden/>
    <w:unhideWhenUsed/>
    <w:rsid w:val="00080175"/>
  </w:style>
  <w:style w:type="numbering" w:customStyle="1" w:styleId="NoList24">
    <w:name w:val="No List24"/>
    <w:next w:val="NoList"/>
    <w:semiHidden/>
    <w:unhideWhenUsed/>
    <w:rsid w:val="00080175"/>
  </w:style>
  <w:style w:type="numbering" w:customStyle="1" w:styleId="NoList34">
    <w:name w:val="No List34"/>
    <w:next w:val="NoList"/>
    <w:semiHidden/>
    <w:unhideWhenUsed/>
    <w:rsid w:val="00080175"/>
  </w:style>
  <w:style w:type="table" w:customStyle="1" w:styleId="LightList-Accent15">
    <w:name w:val="Light List - Accent 15"/>
    <w:basedOn w:val="TableNormal"/>
    <w:next w:val="LightList-Accent1"/>
    <w:uiPriority w:val="61"/>
    <w:rsid w:val="000801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4">
    <w:name w:val="Table Grid 74"/>
    <w:basedOn w:val="TableNormal"/>
    <w:next w:val="TableGrid7"/>
    <w:rsid w:val="00080175"/>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6">
    <w:name w:val="Colorful Grid - Accent 16"/>
    <w:basedOn w:val="TableNormal"/>
    <w:next w:val="ColorfulGrid-Accent1"/>
    <w:uiPriority w:val="73"/>
    <w:rsid w:val="00080175"/>
    <w:pPr>
      <w:spacing w:after="0" w:line="240" w:lineRule="auto"/>
    </w:pPr>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6">
    <w:name w:val="Light List - Accent 56"/>
    <w:basedOn w:val="TableNormal"/>
    <w:next w:val="LightList-Accent5"/>
    <w:uiPriority w:val="61"/>
    <w:rsid w:val="000801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4">
    <w:name w:val="Table Simple 34"/>
    <w:basedOn w:val="TableNormal"/>
    <w:next w:val="TableSimple3"/>
    <w:rsid w:val="00080175"/>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4">
    <w:name w:val="Table Grid 54"/>
    <w:basedOn w:val="TableNormal"/>
    <w:next w:val="TableGrid5"/>
    <w:rsid w:val="00080175"/>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4">
    <w:name w:val="Table Grid 34"/>
    <w:basedOn w:val="TableNormal"/>
    <w:next w:val="TableGrid3"/>
    <w:rsid w:val="00080175"/>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40">
    <w:name w:val="Table Grid 14"/>
    <w:basedOn w:val="TableNormal"/>
    <w:next w:val="TableGrid1"/>
    <w:rsid w:val="00080175"/>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4">
    <w:name w:val="Table Columns 54"/>
    <w:basedOn w:val="TableNormal"/>
    <w:next w:val="TableColumns5"/>
    <w:rsid w:val="00080175"/>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4">
    <w:name w:val="Light List - Accent 114"/>
    <w:basedOn w:val="TableNormal"/>
    <w:uiPriority w:val="61"/>
    <w:rsid w:val="000801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50">
    <w:name w:val="Нет списка15"/>
    <w:next w:val="NoList"/>
    <w:semiHidden/>
    <w:unhideWhenUsed/>
    <w:rsid w:val="00080175"/>
  </w:style>
  <w:style w:type="table" w:customStyle="1" w:styleId="ColorfulGrid-Accent114">
    <w:name w:val="Colorful Grid - Accent 114"/>
    <w:basedOn w:val="TableNormal"/>
    <w:rsid w:val="00080175"/>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4">
    <w:name w:val="Light List - Accent 514"/>
    <w:basedOn w:val="TableNormal"/>
    <w:rsid w:val="00080175"/>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4">
    <w:name w:val="No List44"/>
    <w:next w:val="NoList"/>
    <w:semiHidden/>
    <w:rsid w:val="00080175"/>
  </w:style>
  <w:style w:type="numbering" w:customStyle="1" w:styleId="NoList114">
    <w:name w:val="No List114"/>
    <w:next w:val="NoList"/>
    <w:semiHidden/>
    <w:unhideWhenUsed/>
    <w:rsid w:val="00080175"/>
  </w:style>
  <w:style w:type="table" w:customStyle="1" w:styleId="Table3Deffects34">
    <w:name w:val="Table 3D effects 34"/>
    <w:basedOn w:val="TableNormal"/>
    <w:next w:val="Table3Deffects3"/>
    <w:rsid w:val="00080175"/>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40">
    <w:name w:val="Нет списка114"/>
    <w:next w:val="NoList"/>
    <w:semiHidden/>
    <w:unhideWhenUsed/>
    <w:rsid w:val="00080175"/>
  </w:style>
  <w:style w:type="table" w:customStyle="1" w:styleId="TableGrid1100">
    <w:name w:val="Table Grid110"/>
    <w:basedOn w:val="TableNormal"/>
    <w:next w:val="TableGrid"/>
    <w:rsid w:val="0008017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3">
    <w:name w:val="No List53"/>
    <w:next w:val="NoList"/>
    <w:uiPriority w:val="99"/>
    <w:semiHidden/>
    <w:rsid w:val="00080175"/>
  </w:style>
  <w:style w:type="numbering" w:customStyle="1" w:styleId="NoList63">
    <w:name w:val="No List63"/>
    <w:next w:val="NoList"/>
    <w:uiPriority w:val="99"/>
    <w:semiHidden/>
    <w:unhideWhenUsed/>
    <w:rsid w:val="00080175"/>
  </w:style>
  <w:style w:type="table" w:customStyle="1" w:styleId="TableGrid25">
    <w:name w:val="Table Grid25"/>
    <w:basedOn w:val="TableNormal"/>
    <w:next w:val="TableGrid"/>
    <w:rsid w:val="0008017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3">
    <w:name w:val="No List73"/>
    <w:next w:val="NoList"/>
    <w:uiPriority w:val="99"/>
    <w:semiHidden/>
    <w:unhideWhenUsed/>
    <w:rsid w:val="00080175"/>
  </w:style>
  <w:style w:type="numbering" w:customStyle="1" w:styleId="NoList123">
    <w:name w:val="No List123"/>
    <w:next w:val="NoList"/>
    <w:uiPriority w:val="99"/>
    <w:semiHidden/>
    <w:unhideWhenUsed/>
    <w:rsid w:val="00080175"/>
  </w:style>
  <w:style w:type="table" w:customStyle="1" w:styleId="TableGrid340">
    <w:name w:val="Table Grid34"/>
    <w:basedOn w:val="TableNormal"/>
    <w:next w:val="TableGrid"/>
    <w:rsid w:val="0008017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4">
    <w:name w:val="Table Web 214"/>
    <w:basedOn w:val="TableNormal"/>
    <w:next w:val="TableWeb2"/>
    <w:rsid w:val="00080175"/>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4">
    <w:name w:val="Table Web 114"/>
    <w:basedOn w:val="TableNormal"/>
    <w:next w:val="TableWeb1"/>
    <w:rsid w:val="00080175"/>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4">
    <w:name w:val="Table Grid 814"/>
    <w:basedOn w:val="TableNormal"/>
    <w:next w:val="TableGrid8"/>
    <w:rsid w:val="00080175"/>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4">
    <w:name w:val="Table Contemporary14"/>
    <w:basedOn w:val="TableNormal"/>
    <w:next w:val="TableContemporary"/>
    <w:rsid w:val="0008017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4">
    <w:name w:val="Colorful Grid - Accent 124"/>
    <w:basedOn w:val="TableNormal"/>
    <w:next w:val="ColorfulGrid-Accent1"/>
    <w:rsid w:val="00080175"/>
    <w:pPr>
      <w:spacing w:after="0" w:line="240" w:lineRule="auto"/>
    </w:pPr>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4">
    <w:name w:val="Light List - Accent 524"/>
    <w:basedOn w:val="TableNormal"/>
    <w:next w:val="LightList-Accent5"/>
    <w:rsid w:val="000801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3">
    <w:name w:val="No List83"/>
    <w:next w:val="NoList"/>
    <w:uiPriority w:val="99"/>
    <w:semiHidden/>
    <w:unhideWhenUsed/>
    <w:rsid w:val="00080175"/>
  </w:style>
  <w:style w:type="numbering" w:customStyle="1" w:styleId="123">
    <w:name w:val="Нет списка123"/>
    <w:next w:val="NoList"/>
    <w:uiPriority w:val="99"/>
    <w:semiHidden/>
    <w:unhideWhenUsed/>
    <w:rsid w:val="00080175"/>
  </w:style>
  <w:style w:type="numbering" w:customStyle="1" w:styleId="NoList133">
    <w:name w:val="No List133"/>
    <w:next w:val="NoList"/>
    <w:semiHidden/>
    <w:unhideWhenUsed/>
    <w:rsid w:val="00080175"/>
  </w:style>
  <w:style w:type="numbering" w:customStyle="1" w:styleId="NoList213">
    <w:name w:val="No List213"/>
    <w:next w:val="NoList"/>
    <w:semiHidden/>
    <w:unhideWhenUsed/>
    <w:rsid w:val="00080175"/>
  </w:style>
  <w:style w:type="numbering" w:customStyle="1" w:styleId="NoList313">
    <w:name w:val="No List313"/>
    <w:next w:val="NoList"/>
    <w:semiHidden/>
    <w:unhideWhenUsed/>
    <w:rsid w:val="00080175"/>
  </w:style>
  <w:style w:type="numbering" w:customStyle="1" w:styleId="1114">
    <w:name w:val="Нет списка1114"/>
    <w:next w:val="NoList"/>
    <w:semiHidden/>
    <w:unhideWhenUsed/>
    <w:rsid w:val="00080175"/>
  </w:style>
  <w:style w:type="numbering" w:customStyle="1" w:styleId="NoList413">
    <w:name w:val="No List413"/>
    <w:next w:val="NoList"/>
    <w:semiHidden/>
    <w:rsid w:val="00080175"/>
  </w:style>
  <w:style w:type="numbering" w:customStyle="1" w:styleId="NoList1113">
    <w:name w:val="No List1113"/>
    <w:next w:val="NoList"/>
    <w:semiHidden/>
    <w:unhideWhenUsed/>
    <w:rsid w:val="00080175"/>
  </w:style>
  <w:style w:type="numbering" w:customStyle="1" w:styleId="11113">
    <w:name w:val="Нет списка11113"/>
    <w:next w:val="NoList"/>
    <w:semiHidden/>
    <w:unhideWhenUsed/>
    <w:rsid w:val="00080175"/>
  </w:style>
  <w:style w:type="paragraph" w:customStyle="1" w:styleId="ft1">
    <w:name w:val="ft1"/>
    <w:basedOn w:val="Normal"/>
    <w:next w:val="FootnoteText"/>
    <w:qFormat/>
    <w:rsid w:val="00080175"/>
    <w:pPr>
      <w:ind w:firstLine="0"/>
    </w:pPr>
    <w:rPr>
      <w:rFonts w:eastAsia="Calibri"/>
      <w:sz w:val="16"/>
    </w:rPr>
  </w:style>
  <w:style w:type="table" w:customStyle="1" w:styleId="TableGrid815">
    <w:name w:val="Table Grid 815"/>
    <w:basedOn w:val="TableNormal"/>
    <w:next w:val="TableGrid8"/>
    <w:rsid w:val="00080175"/>
    <w:pPr>
      <w:spacing w:after="0" w:line="240" w:lineRule="auto"/>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LightList-Accent11111">
    <w:name w:val="Light List - Accent 11111"/>
    <w:basedOn w:val="TableNormal"/>
    <w:uiPriority w:val="61"/>
    <w:rsid w:val="00080175"/>
    <w:pPr>
      <w:spacing w:after="200" w:line="276" w:lineRule="auto"/>
    </w:pPr>
    <w:rPr>
      <w:rFonts w:ascii="Times New Roman" w:eastAsia="Times New Roman"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GridTable4-Accent15">
    <w:name w:val="Grid Table 4 - Accent 15"/>
    <w:basedOn w:val="TableNormal"/>
    <w:next w:val="GridTable4-Accent1"/>
    <w:uiPriority w:val="49"/>
    <w:rsid w:val="00080175"/>
    <w:pPr>
      <w:spacing w:after="0" w:line="240" w:lineRule="auto"/>
    </w:pPr>
    <w:rPr>
      <w:rFonts w:eastAsia="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1">
    <w:name w:val="Grid Table 4 Accent 1"/>
    <w:basedOn w:val="TableNormal"/>
    <w:uiPriority w:val="49"/>
    <w:rsid w:val="00080175"/>
    <w:pPr>
      <w:spacing w:after="0" w:line="240" w:lineRule="auto"/>
    </w:pPr>
    <w:rPr>
      <w:rFonts w:eastAsiaTheme="minorEastAsia"/>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FootnoteTextChar3">
    <w:name w:val="Footnote Text Char3"/>
    <w:basedOn w:val="DefaultParagraphFont"/>
    <w:uiPriority w:val="99"/>
    <w:semiHidden/>
    <w:rsid w:val="00080175"/>
    <w:rPr>
      <w:sz w:val="20"/>
      <w:szCs w:val="20"/>
    </w:rPr>
  </w:style>
  <w:style w:type="table" w:customStyle="1" w:styleId="TableGridLight31">
    <w:name w:val="Table Grid Light31"/>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32">
    <w:name w:val="Table Grid Light32"/>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33">
    <w:name w:val="Table Grid Light33"/>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34">
    <w:name w:val="Table Grid Light34"/>
    <w:basedOn w:val="TableNormal"/>
    <w:uiPriority w:val="40"/>
    <w:rsid w:val="000801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80175"/>
    <w:pPr>
      <w:spacing w:before="0" w:after="160" w:line="240" w:lineRule="exact"/>
      <w:ind w:firstLine="0"/>
      <w:jc w:val="left"/>
    </w:pPr>
    <w:rPr>
      <w:rFonts w:asciiTheme="minorHAnsi" w:eastAsiaTheme="minorHAnsi" w:hAnsiTheme="minorHAnsi"/>
      <w:vertAlign w:val="superscript"/>
    </w:rPr>
  </w:style>
  <w:style w:type="table" w:customStyle="1" w:styleId="TableGrid22142">
    <w:name w:val="Table Grid22142"/>
    <w:basedOn w:val="TableNormal"/>
    <w:next w:val="TableGrid"/>
    <w:uiPriority w:val="39"/>
    <w:rsid w:val="00080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1">
    <w:name w:val="Grid Table 4 - Accent 1111"/>
    <w:basedOn w:val="TableNormal"/>
    <w:uiPriority w:val="49"/>
    <w:rsid w:val="00080175"/>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6">
    <w:name w:val="Table Grid26"/>
    <w:basedOn w:val="TableNormal"/>
    <w:next w:val="TableGrid"/>
    <w:uiPriority w:val="39"/>
    <w:rsid w:val="00080175"/>
    <w:pPr>
      <w:spacing w:after="0" w:line="240" w:lineRule="auto"/>
    </w:pPr>
    <w:rPr>
      <w:rFonts w:eastAsia="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08017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head31">
    <w:name w:val="head31"/>
    <w:basedOn w:val="Normal"/>
    <w:next w:val="Normal"/>
    <w:uiPriority w:val="99"/>
    <w:qFormat/>
    <w:rsid w:val="00080175"/>
    <w:pPr>
      <w:spacing w:before="240" w:after="240"/>
      <w:ind w:firstLine="0"/>
      <w:contextualSpacing/>
      <w:jc w:val="left"/>
      <w:outlineLvl w:val="0"/>
    </w:pPr>
    <w:rPr>
      <w:rFonts w:eastAsia="Times New Roman" w:cs="Times New Roman"/>
      <w:b/>
      <w:bCs/>
      <w:color w:val="1F497D"/>
      <w:sz w:val="32"/>
      <w:szCs w:val="28"/>
    </w:rPr>
  </w:style>
  <w:style w:type="paragraph" w:customStyle="1" w:styleId="Body1">
    <w:name w:val="Body1"/>
    <w:basedOn w:val="ListParagraph"/>
    <w:next w:val="Normal"/>
    <w:unhideWhenUsed/>
    <w:qFormat/>
    <w:rsid w:val="00080175"/>
    <w:pPr>
      <w:keepNext/>
      <w:keepLines/>
      <w:spacing w:after="240" w:line="288" w:lineRule="auto"/>
      <w:ind w:left="0"/>
      <w:jc w:val="left"/>
      <w:outlineLvl w:val="1"/>
    </w:pPr>
    <w:rPr>
      <w:rFonts w:eastAsia="Times New Roman" w:cs="Times New Roman"/>
      <w:b/>
      <w:bCs/>
      <w:caps/>
      <w:color w:val="1F497D"/>
      <w:sz w:val="26"/>
      <w:szCs w:val="26"/>
      <w:lang w:val="es-ES"/>
    </w:rPr>
  </w:style>
  <w:style w:type="paragraph" w:customStyle="1" w:styleId="Heading3CharCharCharCharCharChar1">
    <w:name w:val="Heading 3 Char Char Char Char Char Char1"/>
    <w:basedOn w:val="ListParagraph"/>
    <w:next w:val="Normal"/>
    <w:uiPriority w:val="9"/>
    <w:unhideWhenUsed/>
    <w:qFormat/>
    <w:rsid w:val="00080175"/>
    <w:pPr>
      <w:keepNext/>
      <w:keepLines/>
      <w:spacing w:before="240"/>
      <w:ind w:left="0"/>
      <w:jc w:val="left"/>
      <w:outlineLvl w:val="2"/>
    </w:pPr>
    <w:rPr>
      <w:rFonts w:eastAsia="Times New Roman"/>
      <w:b/>
      <w:caps/>
      <w:lang w:val="hy-AM"/>
    </w:rPr>
  </w:style>
  <w:style w:type="paragraph" w:customStyle="1" w:styleId="CPS1">
    <w:name w:val="CPS1"/>
    <w:basedOn w:val="Normal"/>
    <w:next w:val="ListParagraph"/>
    <w:uiPriority w:val="34"/>
    <w:qFormat/>
    <w:rsid w:val="00080175"/>
    <w:pPr>
      <w:ind w:left="567" w:firstLine="0"/>
      <w:contextualSpacing/>
    </w:pPr>
    <w:rPr>
      <w:rFonts w:eastAsia="Times New Roman"/>
    </w:rPr>
  </w:style>
  <w:style w:type="paragraph" w:customStyle="1" w:styleId="TableTitleCharCharCharCharCharCharCharCharCharChar1">
    <w:name w:val="(Table Title) Char Char Char Char Char Char Char Char Char Char1"/>
    <w:basedOn w:val="Normal"/>
    <w:next w:val="Normal"/>
    <w:uiPriority w:val="35"/>
    <w:unhideWhenUsed/>
    <w:qFormat/>
    <w:rsid w:val="00080175"/>
    <w:rPr>
      <w:rFonts w:eastAsia="Times New Roman"/>
      <w:caps/>
      <w:spacing w:val="10"/>
      <w:sz w:val="18"/>
      <w:szCs w:val="18"/>
    </w:rPr>
  </w:style>
  <w:style w:type="paragraph" w:customStyle="1" w:styleId="CommentText1">
    <w:name w:val="Comment Text1"/>
    <w:basedOn w:val="Normal"/>
    <w:next w:val="CommentText"/>
    <w:uiPriority w:val="99"/>
    <w:rsid w:val="00080175"/>
    <w:rPr>
      <w:rFonts w:ascii="Arial Armenian" w:eastAsiaTheme="minorHAnsi" w:hAnsi="Arial Armenian"/>
      <w:lang w:val="ru-RU" w:eastAsia="ru-RU"/>
    </w:rPr>
  </w:style>
  <w:style w:type="paragraph" w:customStyle="1" w:styleId="CommentSubject1">
    <w:name w:val="Comment Subject1"/>
    <w:basedOn w:val="CommentText"/>
    <w:next w:val="CommentText"/>
    <w:rsid w:val="00080175"/>
    <w:rPr>
      <w:rFonts w:ascii="Courier New" w:eastAsia="Times New Roman" w:hAnsi="Courier New"/>
      <w:b/>
      <w:bCs/>
      <w:lang w:val="en-US" w:eastAsia="en-US"/>
    </w:rPr>
  </w:style>
  <w:style w:type="paragraph" w:customStyle="1" w:styleId="Footer1">
    <w:name w:val="Footer1"/>
    <w:basedOn w:val="Normal"/>
    <w:next w:val="Normal"/>
    <w:uiPriority w:val="99"/>
    <w:rsid w:val="00080175"/>
    <w:pPr>
      <w:tabs>
        <w:tab w:val="center" w:pos="4819"/>
        <w:tab w:val="right" w:pos="9071"/>
      </w:tabs>
      <w:overflowPunct w:val="0"/>
      <w:autoSpaceDE w:val="0"/>
      <w:autoSpaceDN w:val="0"/>
      <w:adjustRightInd w:val="0"/>
      <w:textAlignment w:val="baseline"/>
    </w:pPr>
    <w:rPr>
      <w:rFonts w:eastAsia="Times New Roman"/>
      <w:lang w:val="en-GB"/>
    </w:rPr>
  </w:style>
  <w:style w:type="paragraph" w:customStyle="1" w:styleId="h1">
    <w:name w:val="h1"/>
    <w:basedOn w:val="Normal"/>
    <w:next w:val="Header"/>
    <w:uiPriority w:val="99"/>
    <w:rsid w:val="00080175"/>
    <w:pPr>
      <w:tabs>
        <w:tab w:val="center" w:pos="4844"/>
        <w:tab w:val="right" w:pos="9689"/>
      </w:tabs>
    </w:pPr>
    <w:rPr>
      <w:rFonts w:eastAsiaTheme="minorHAnsi"/>
    </w:rPr>
  </w:style>
  <w:style w:type="paragraph" w:customStyle="1" w:styleId="TOC11">
    <w:name w:val="TOC 11"/>
    <w:basedOn w:val="Normal"/>
    <w:next w:val="Normal"/>
    <w:uiPriority w:val="39"/>
    <w:qFormat/>
    <w:rsid w:val="00080175"/>
    <w:pPr>
      <w:spacing w:before="120" w:after="0"/>
      <w:jc w:val="left"/>
    </w:pPr>
    <w:rPr>
      <w:rFonts w:asciiTheme="minorHAnsi" w:eastAsia="Times New Roman" w:hAnsiTheme="minorHAnsi" w:cs="Calibri"/>
      <w:b/>
      <w:bCs/>
      <w:i/>
      <w:iCs/>
      <w:sz w:val="24"/>
      <w:szCs w:val="24"/>
    </w:rPr>
  </w:style>
  <w:style w:type="paragraph" w:customStyle="1" w:styleId="TOC21">
    <w:name w:val="TOC 21"/>
    <w:basedOn w:val="Normal"/>
    <w:next w:val="Normal"/>
    <w:uiPriority w:val="39"/>
    <w:qFormat/>
    <w:rsid w:val="00080175"/>
    <w:pPr>
      <w:spacing w:before="120" w:after="0"/>
      <w:ind w:left="220"/>
      <w:jc w:val="left"/>
    </w:pPr>
    <w:rPr>
      <w:rFonts w:asciiTheme="minorHAnsi" w:eastAsia="Times New Roman" w:hAnsiTheme="minorHAnsi" w:cs="Calibri"/>
      <w:b/>
      <w:bCs/>
    </w:rPr>
  </w:style>
  <w:style w:type="paragraph" w:customStyle="1" w:styleId="TOC31">
    <w:name w:val="TOC 31"/>
    <w:basedOn w:val="Normal"/>
    <w:next w:val="Normal"/>
    <w:uiPriority w:val="39"/>
    <w:qFormat/>
    <w:rsid w:val="00080175"/>
    <w:pPr>
      <w:spacing w:before="0" w:after="0"/>
      <w:ind w:left="440"/>
      <w:jc w:val="left"/>
    </w:pPr>
    <w:rPr>
      <w:rFonts w:asciiTheme="minorHAnsi" w:eastAsia="Times New Roman" w:hAnsiTheme="minorHAnsi" w:cs="Calibri"/>
      <w:sz w:val="20"/>
      <w:szCs w:val="20"/>
    </w:rPr>
  </w:style>
  <w:style w:type="paragraph" w:customStyle="1" w:styleId="TOCHeading2">
    <w:name w:val="TOC Heading2"/>
    <w:basedOn w:val="Heading1"/>
    <w:next w:val="Normal"/>
    <w:uiPriority w:val="39"/>
    <w:unhideWhenUsed/>
    <w:qFormat/>
    <w:rsid w:val="00080175"/>
    <w:pPr>
      <w:keepNext/>
      <w:keepLines/>
      <w:spacing w:after="0" w:line="259" w:lineRule="auto"/>
      <w:contextualSpacing w:val="0"/>
    </w:pPr>
    <w:rPr>
      <w:rFonts w:eastAsia="Times New Roman" w:cs="Times New Roman"/>
      <w:color w:val="1F497D"/>
    </w:rPr>
  </w:style>
  <w:style w:type="table" w:customStyle="1" w:styleId="MediumGrid3-Accent11">
    <w:name w:val="Medium Grid 3 - Accent 11"/>
    <w:basedOn w:val="TableNormal"/>
    <w:next w:val="MediumGrid3-Accent1"/>
    <w:uiPriority w:val="69"/>
    <w:rsid w:val="00080175"/>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webb11">
    <w:name w:val="webb11"/>
    <w:basedOn w:val="Normal"/>
    <w:next w:val="NormalWeb"/>
    <w:uiPriority w:val="99"/>
    <w:qFormat/>
    <w:rsid w:val="00080175"/>
    <w:pPr>
      <w:spacing w:before="100" w:after="100"/>
    </w:pPr>
    <w:rPr>
      <w:rFonts w:eastAsia="Times New Roman" w:cs="Times New Roman"/>
      <w:szCs w:val="20"/>
    </w:rPr>
  </w:style>
  <w:style w:type="table" w:customStyle="1" w:styleId="TableList7111">
    <w:name w:val="Table List 7111"/>
    <w:basedOn w:val="TableNormal"/>
    <w:next w:val="TableList7"/>
    <w:rsid w:val="00080175"/>
    <w:pPr>
      <w:spacing w:after="200" w:line="276" w:lineRule="auto"/>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11">
    <w:name w:val="Table Web 3111"/>
    <w:basedOn w:val="TableNormal"/>
    <w:next w:val="TableWeb3"/>
    <w:rsid w:val="00080175"/>
    <w:pPr>
      <w:spacing w:after="200" w:line="276" w:lineRule="auto"/>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1">
    <w:name w:val="Table Elegant111"/>
    <w:basedOn w:val="TableNormal"/>
    <w:next w:val="TableElegant"/>
    <w:rsid w:val="00080175"/>
    <w:pPr>
      <w:spacing w:after="200" w:line="276" w:lineRule="auto"/>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7111">
    <w:name w:val="Table Grid 7111"/>
    <w:basedOn w:val="TableNormal"/>
    <w:next w:val="TableGrid7"/>
    <w:rsid w:val="00080175"/>
    <w:pPr>
      <w:spacing w:after="200" w:line="276" w:lineRule="auto"/>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Simple3111">
    <w:name w:val="Table Simple 3111"/>
    <w:basedOn w:val="TableNormal"/>
    <w:next w:val="TableSimple3"/>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11">
    <w:name w:val="Table Grid 5111"/>
    <w:basedOn w:val="TableNormal"/>
    <w:next w:val="TableGrid5"/>
    <w:rsid w:val="00080175"/>
    <w:pPr>
      <w:spacing w:after="200" w:line="276" w:lineRule="auto"/>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11">
    <w:name w:val="Table Grid 3111"/>
    <w:basedOn w:val="TableNormal"/>
    <w:next w:val="TableGrid3"/>
    <w:rsid w:val="00080175"/>
    <w:pPr>
      <w:spacing w:after="200" w:line="276" w:lineRule="auto"/>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110">
    <w:name w:val="Table Grid 1111"/>
    <w:basedOn w:val="TableNormal"/>
    <w:next w:val="TableGrid1"/>
    <w:rsid w:val="00080175"/>
    <w:pPr>
      <w:spacing w:after="200" w:line="276" w:lineRule="auto"/>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11">
    <w:name w:val="Table Columns 5111"/>
    <w:basedOn w:val="TableNormal"/>
    <w:next w:val="TableColumns5"/>
    <w:rsid w:val="00080175"/>
    <w:pPr>
      <w:spacing w:after="200" w:line="276" w:lineRule="auto"/>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111">
    <w:name w:val="Table 3D effects 3111"/>
    <w:basedOn w:val="TableNormal"/>
    <w:next w:val="Table3Deffects3"/>
    <w:rsid w:val="00080175"/>
    <w:pPr>
      <w:spacing w:after="200" w:line="276" w:lineRule="auto"/>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NoList111111">
    <w:name w:val="No List111111"/>
    <w:next w:val="NoList"/>
    <w:semiHidden/>
    <w:unhideWhenUsed/>
    <w:rsid w:val="00080175"/>
  </w:style>
  <w:style w:type="table" w:customStyle="1" w:styleId="TableGrid11111">
    <w:name w:val="Table Grid11111"/>
    <w:basedOn w:val="TableNormal"/>
    <w:next w:val="TableGrid"/>
    <w:uiPriority w:val="39"/>
    <w:rsid w:val="0008017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opofForm2">
    <w:name w:val="z-Top of Form2"/>
    <w:basedOn w:val="Normal"/>
    <w:next w:val="Normal"/>
    <w:hidden/>
    <w:uiPriority w:val="99"/>
    <w:unhideWhenUsed/>
    <w:rsid w:val="00080175"/>
    <w:pPr>
      <w:pBdr>
        <w:bottom w:val="single" w:sz="6" w:space="1" w:color="auto"/>
      </w:pBdr>
      <w:spacing w:before="0" w:after="0" w:line="240" w:lineRule="auto"/>
      <w:ind w:firstLine="0"/>
      <w:jc w:val="center"/>
    </w:pPr>
    <w:rPr>
      <w:rFonts w:ascii="Arial" w:eastAsia="Times New Roman" w:hAnsi="Arial"/>
      <w:vanish/>
      <w:sz w:val="16"/>
      <w:szCs w:val="16"/>
    </w:rPr>
  </w:style>
  <w:style w:type="paragraph" w:customStyle="1" w:styleId="z-BottomofForm2">
    <w:name w:val="z-Bottom of Form2"/>
    <w:basedOn w:val="Normal"/>
    <w:next w:val="Normal"/>
    <w:hidden/>
    <w:uiPriority w:val="99"/>
    <w:unhideWhenUsed/>
    <w:rsid w:val="00080175"/>
    <w:pPr>
      <w:pBdr>
        <w:top w:val="single" w:sz="6" w:space="1" w:color="auto"/>
      </w:pBdr>
      <w:spacing w:before="0" w:after="0" w:line="240" w:lineRule="auto"/>
      <w:ind w:firstLine="0"/>
      <w:jc w:val="center"/>
    </w:pPr>
    <w:rPr>
      <w:rFonts w:ascii="Arial" w:eastAsia="Times New Roman" w:hAnsi="Arial"/>
      <w:vanish/>
      <w:sz w:val="16"/>
      <w:szCs w:val="16"/>
    </w:rPr>
  </w:style>
  <w:style w:type="table" w:customStyle="1" w:styleId="MediumShading1-Accent12">
    <w:name w:val="Medium Shading 1 - Accent 12"/>
    <w:basedOn w:val="TableNormal"/>
    <w:next w:val="MediumShading1-Accent1"/>
    <w:uiPriority w:val="63"/>
    <w:unhideWhenUsed/>
    <w:rsid w:val="00080175"/>
    <w:pPr>
      <w:spacing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21">
    <w:name w:val="Light Shading - Accent 21"/>
    <w:basedOn w:val="TableNormal"/>
    <w:next w:val="LightShading-Accent2"/>
    <w:uiPriority w:val="60"/>
    <w:rsid w:val="00080175"/>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Heading1Char2">
    <w:name w:val="Heading 1 Char2"/>
    <w:basedOn w:val="DefaultParagraphFont"/>
    <w:uiPriority w:val="9"/>
    <w:rsid w:val="00080175"/>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080175"/>
    <w:rPr>
      <w:rFonts w:asciiTheme="majorHAnsi" w:eastAsiaTheme="majorEastAsia" w:hAnsiTheme="majorHAnsi" w:cstheme="majorBidi"/>
      <w:color w:val="2E74B5" w:themeColor="accent1" w:themeShade="BF"/>
      <w:sz w:val="26"/>
      <w:szCs w:val="26"/>
    </w:rPr>
  </w:style>
  <w:style w:type="character" w:customStyle="1" w:styleId="Heading3Char3">
    <w:name w:val="Heading 3 Char3"/>
    <w:basedOn w:val="DefaultParagraphFont"/>
    <w:uiPriority w:val="9"/>
    <w:semiHidden/>
    <w:rsid w:val="00080175"/>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DefaultParagraphFont"/>
    <w:uiPriority w:val="9"/>
    <w:semiHidden/>
    <w:rsid w:val="00080175"/>
    <w:rPr>
      <w:rFonts w:asciiTheme="majorHAnsi" w:eastAsiaTheme="majorEastAsia" w:hAnsiTheme="majorHAnsi" w:cstheme="majorBidi"/>
      <w:i/>
      <w:iCs/>
      <w:color w:val="2E74B5" w:themeColor="accent1" w:themeShade="BF"/>
    </w:rPr>
  </w:style>
  <w:style w:type="character" w:customStyle="1" w:styleId="Heading5Char3">
    <w:name w:val="Heading 5 Char3"/>
    <w:basedOn w:val="DefaultParagraphFont"/>
    <w:uiPriority w:val="9"/>
    <w:semiHidden/>
    <w:rsid w:val="00080175"/>
    <w:rPr>
      <w:rFonts w:asciiTheme="majorHAnsi" w:eastAsiaTheme="majorEastAsia" w:hAnsiTheme="majorHAnsi" w:cstheme="majorBidi"/>
      <w:color w:val="2E74B5" w:themeColor="accent1" w:themeShade="BF"/>
    </w:rPr>
  </w:style>
  <w:style w:type="character" w:customStyle="1" w:styleId="Heading6Char3">
    <w:name w:val="Heading 6 Char3"/>
    <w:basedOn w:val="DefaultParagraphFont"/>
    <w:uiPriority w:val="9"/>
    <w:semiHidden/>
    <w:rsid w:val="00080175"/>
    <w:rPr>
      <w:rFonts w:asciiTheme="majorHAnsi" w:eastAsiaTheme="majorEastAsia" w:hAnsiTheme="majorHAnsi" w:cstheme="majorBidi"/>
      <w:color w:val="1F4D78" w:themeColor="accent1" w:themeShade="7F"/>
    </w:rPr>
  </w:style>
  <w:style w:type="character" w:customStyle="1" w:styleId="Heading7Char3">
    <w:name w:val="Heading 7 Char3"/>
    <w:basedOn w:val="DefaultParagraphFont"/>
    <w:uiPriority w:val="9"/>
    <w:semiHidden/>
    <w:rsid w:val="00080175"/>
    <w:rPr>
      <w:rFonts w:asciiTheme="majorHAnsi" w:eastAsiaTheme="majorEastAsia" w:hAnsiTheme="majorHAnsi" w:cstheme="majorBidi"/>
      <w:i/>
      <w:iCs/>
      <w:color w:val="1F4D78" w:themeColor="accent1" w:themeShade="7F"/>
    </w:rPr>
  </w:style>
  <w:style w:type="character" w:customStyle="1" w:styleId="Heading8Char3">
    <w:name w:val="Heading 8 Char3"/>
    <w:basedOn w:val="DefaultParagraphFont"/>
    <w:uiPriority w:val="9"/>
    <w:semiHidden/>
    <w:rsid w:val="00080175"/>
    <w:rPr>
      <w:rFonts w:asciiTheme="majorHAnsi" w:eastAsiaTheme="majorEastAsia" w:hAnsiTheme="majorHAnsi" w:cstheme="majorBidi"/>
      <w:color w:val="272727" w:themeColor="text1" w:themeTint="D8"/>
      <w:sz w:val="21"/>
      <w:szCs w:val="21"/>
    </w:rPr>
  </w:style>
  <w:style w:type="character" w:customStyle="1" w:styleId="Heading9Char3">
    <w:name w:val="Heading 9 Char3"/>
    <w:basedOn w:val="DefaultParagraphFont"/>
    <w:uiPriority w:val="9"/>
    <w:semiHidden/>
    <w:rsid w:val="00080175"/>
    <w:rPr>
      <w:rFonts w:asciiTheme="majorHAnsi" w:eastAsiaTheme="majorEastAsia" w:hAnsiTheme="majorHAnsi" w:cstheme="majorBidi"/>
      <w:i/>
      <w:iCs/>
      <w:color w:val="272727" w:themeColor="text1" w:themeTint="D8"/>
      <w:sz w:val="21"/>
      <w:szCs w:val="21"/>
    </w:rPr>
  </w:style>
  <w:style w:type="character" w:customStyle="1" w:styleId="BalloonTextChar3">
    <w:name w:val="Balloon Text Char3"/>
    <w:basedOn w:val="DefaultParagraphFont"/>
    <w:uiPriority w:val="99"/>
    <w:semiHidden/>
    <w:rsid w:val="00080175"/>
    <w:rPr>
      <w:rFonts w:ascii="Segoe UI" w:hAnsi="Segoe UI" w:cs="Segoe UI"/>
      <w:sz w:val="18"/>
      <w:szCs w:val="18"/>
    </w:rPr>
  </w:style>
  <w:style w:type="character" w:customStyle="1" w:styleId="BodyTextChar5">
    <w:name w:val="Body Text Char5"/>
    <w:basedOn w:val="DefaultParagraphFont"/>
    <w:uiPriority w:val="99"/>
    <w:semiHidden/>
    <w:rsid w:val="00080175"/>
  </w:style>
  <w:style w:type="character" w:customStyle="1" w:styleId="BodyText2Char3">
    <w:name w:val="Body Text 2 Char3"/>
    <w:basedOn w:val="DefaultParagraphFont"/>
    <w:uiPriority w:val="99"/>
    <w:semiHidden/>
    <w:rsid w:val="00080175"/>
  </w:style>
  <w:style w:type="character" w:customStyle="1" w:styleId="BodyText3Char3">
    <w:name w:val="Body Text 3 Char3"/>
    <w:basedOn w:val="DefaultParagraphFont"/>
    <w:uiPriority w:val="99"/>
    <w:semiHidden/>
    <w:rsid w:val="00080175"/>
    <w:rPr>
      <w:sz w:val="16"/>
      <w:szCs w:val="16"/>
    </w:rPr>
  </w:style>
  <w:style w:type="character" w:customStyle="1" w:styleId="BodyTextFirstIndentChar4">
    <w:name w:val="Body Text First Indent Char4"/>
    <w:basedOn w:val="BodyTextChar5"/>
    <w:uiPriority w:val="99"/>
    <w:semiHidden/>
    <w:rsid w:val="00080175"/>
  </w:style>
  <w:style w:type="character" w:customStyle="1" w:styleId="BodyTextIndentChar4">
    <w:name w:val="Body Text Indent Char4"/>
    <w:basedOn w:val="DefaultParagraphFont"/>
    <w:uiPriority w:val="99"/>
    <w:semiHidden/>
    <w:rsid w:val="00080175"/>
  </w:style>
  <w:style w:type="character" w:customStyle="1" w:styleId="BodyTextIndent2Char3">
    <w:name w:val="Body Text Indent 2 Char3"/>
    <w:basedOn w:val="DefaultParagraphFont"/>
    <w:uiPriority w:val="99"/>
    <w:semiHidden/>
    <w:rsid w:val="00080175"/>
  </w:style>
  <w:style w:type="character" w:customStyle="1" w:styleId="BodyTextIndent3Char3">
    <w:name w:val="Body Text Indent 3 Char3"/>
    <w:basedOn w:val="DefaultParagraphFont"/>
    <w:uiPriority w:val="99"/>
    <w:semiHidden/>
    <w:rsid w:val="00080175"/>
    <w:rPr>
      <w:sz w:val="16"/>
      <w:szCs w:val="16"/>
    </w:rPr>
  </w:style>
  <w:style w:type="character" w:customStyle="1" w:styleId="CommentTextChar3">
    <w:name w:val="Comment Text Char3"/>
    <w:basedOn w:val="DefaultParagraphFont"/>
    <w:uiPriority w:val="99"/>
    <w:rsid w:val="00080175"/>
    <w:rPr>
      <w:sz w:val="20"/>
      <w:szCs w:val="20"/>
    </w:rPr>
  </w:style>
  <w:style w:type="character" w:customStyle="1" w:styleId="DocumentMapChar3">
    <w:name w:val="Document Map Char3"/>
    <w:basedOn w:val="DefaultParagraphFont"/>
    <w:uiPriority w:val="99"/>
    <w:semiHidden/>
    <w:rsid w:val="00080175"/>
    <w:rPr>
      <w:rFonts w:ascii="Segoe UI" w:hAnsi="Segoe UI" w:cs="Segoe UI"/>
      <w:sz w:val="16"/>
      <w:szCs w:val="16"/>
    </w:rPr>
  </w:style>
  <w:style w:type="character" w:customStyle="1" w:styleId="EndnoteTextChar3">
    <w:name w:val="Endnote Text Char3"/>
    <w:basedOn w:val="DefaultParagraphFont"/>
    <w:uiPriority w:val="99"/>
    <w:semiHidden/>
    <w:rsid w:val="00080175"/>
    <w:rPr>
      <w:sz w:val="20"/>
      <w:szCs w:val="20"/>
    </w:rPr>
  </w:style>
  <w:style w:type="character" w:customStyle="1" w:styleId="HeaderChar2">
    <w:name w:val="Header Char2"/>
    <w:basedOn w:val="DefaultParagraphFont"/>
    <w:uiPriority w:val="99"/>
    <w:semiHidden/>
    <w:rsid w:val="00080175"/>
  </w:style>
  <w:style w:type="character" w:customStyle="1" w:styleId="HTMLPreformattedChar2">
    <w:name w:val="HTML Preformatted Char2"/>
    <w:basedOn w:val="DefaultParagraphFont"/>
    <w:uiPriority w:val="99"/>
    <w:semiHidden/>
    <w:rsid w:val="00080175"/>
    <w:rPr>
      <w:rFonts w:ascii="Consolas" w:hAnsi="Consolas"/>
      <w:sz w:val="20"/>
      <w:szCs w:val="20"/>
    </w:rPr>
  </w:style>
  <w:style w:type="character" w:customStyle="1" w:styleId="PlainTextChar3">
    <w:name w:val="Plain Text Char3"/>
    <w:basedOn w:val="DefaultParagraphFont"/>
    <w:uiPriority w:val="99"/>
    <w:semiHidden/>
    <w:rsid w:val="00080175"/>
    <w:rPr>
      <w:rFonts w:ascii="Consolas" w:hAnsi="Consolas"/>
      <w:sz w:val="21"/>
      <w:szCs w:val="21"/>
    </w:rPr>
  </w:style>
  <w:style w:type="character" w:customStyle="1" w:styleId="SubtitleChar4">
    <w:name w:val="Subtitle Char4"/>
    <w:basedOn w:val="DefaultParagraphFont"/>
    <w:uiPriority w:val="11"/>
    <w:rsid w:val="00080175"/>
    <w:rPr>
      <w:rFonts w:eastAsiaTheme="minorEastAsia"/>
      <w:color w:val="5A5A5A" w:themeColor="text1" w:themeTint="A5"/>
      <w:spacing w:val="15"/>
    </w:rPr>
  </w:style>
  <w:style w:type="character" w:customStyle="1" w:styleId="TitleChar3">
    <w:name w:val="Title Char3"/>
    <w:basedOn w:val="DefaultParagraphFont"/>
    <w:uiPriority w:val="10"/>
    <w:rsid w:val="00080175"/>
    <w:rPr>
      <w:rFonts w:asciiTheme="majorHAnsi" w:eastAsiaTheme="majorEastAsia" w:hAnsiTheme="majorHAnsi" w:cstheme="majorBidi"/>
      <w:spacing w:val="-10"/>
      <w:kern w:val="28"/>
      <w:sz w:val="56"/>
      <w:szCs w:val="56"/>
    </w:rPr>
  </w:style>
  <w:style w:type="character" w:customStyle="1" w:styleId="FooterChar3">
    <w:name w:val="Footer Char3"/>
    <w:basedOn w:val="DefaultParagraphFont"/>
    <w:uiPriority w:val="99"/>
    <w:semiHidden/>
    <w:rsid w:val="00080175"/>
  </w:style>
  <w:style w:type="character" w:customStyle="1" w:styleId="CommentSubjectChar3">
    <w:name w:val="Comment Subject Char3"/>
    <w:basedOn w:val="CommentTextChar3"/>
    <w:uiPriority w:val="99"/>
    <w:semiHidden/>
    <w:rsid w:val="00080175"/>
    <w:rPr>
      <w:b/>
      <w:bCs/>
      <w:sz w:val="20"/>
      <w:szCs w:val="20"/>
    </w:rPr>
  </w:style>
  <w:style w:type="character" w:customStyle="1" w:styleId="QuoteChar2">
    <w:name w:val="Quote Char2"/>
    <w:basedOn w:val="DefaultParagraphFont"/>
    <w:uiPriority w:val="29"/>
    <w:rsid w:val="00080175"/>
    <w:rPr>
      <w:i/>
      <w:iCs/>
      <w:color w:val="404040" w:themeColor="text1" w:themeTint="BF"/>
    </w:rPr>
  </w:style>
  <w:style w:type="character" w:customStyle="1" w:styleId="IntenseQuoteChar2">
    <w:name w:val="Intense Quote Char2"/>
    <w:basedOn w:val="DefaultParagraphFont"/>
    <w:uiPriority w:val="30"/>
    <w:rsid w:val="00080175"/>
    <w:rPr>
      <w:i/>
      <w:iCs/>
      <w:color w:val="5B9BD5" w:themeColor="accent1"/>
    </w:rPr>
  </w:style>
  <w:style w:type="character" w:customStyle="1" w:styleId="z-TopofFormChar2">
    <w:name w:val="z-Top of Form Char2"/>
    <w:basedOn w:val="DefaultParagraphFont"/>
    <w:uiPriority w:val="99"/>
    <w:semiHidden/>
    <w:rsid w:val="00080175"/>
    <w:rPr>
      <w:rFonts w:ascii="Arial" w:hAnsi="Arial" w:cs="Arial"/>
      <w:vanish/>
      <w:sz w:val="16"/>
      <w:szCs w:val="16"/>
    </w:rPr>
  </w:style>
  <w:style w:type="character" w:customStyle="1" w:styleId="z-BottomofFormChar2">
    <w:name w:val="z-Bottom of Form Char2"/>
    <w:basedOn w:val="DefaultParagraphFont"/>
    <w:uiPriority w:val="99"/>
    <w:semiHidden/>
    <w:rsid w:val="00080175"/>
    <w:rPr>
      <w:rFonts w:ascii="Arial" w:hAnsi="Arial" w:cs="Arial"/>
      <w:vanish/>
      <w:sz w:val="16"/>
      <w:szCs w:val="16"/>
    </w:rPr>
  </w:style>
  <w:style w:type="character" w:customStyle="1" w:styleId="UnresolvedMention3">
    <w:name w:val="Unresolved Mention3"/>
    <w:basedOn w:val="DefaultParagraphFont"/>
    <w:uiPriority w:val="99"/>
    <w:semiHidden/>
    <w:unhideWhenUsed/>
    <w:rsid w:val="00080175"/>
    <w:rPr>
      <w:color w:val="605E5C"/>
      <w:shd w:val="clear" w:color="auto" w:fill="E1DFDD"/>
    </w:rPr>
  </w:style>
  <w:style w:type="table" w:styleId="PlainTable2">
    <w:name w:val="Plain Table 2"/>
    <w:basedOn w:val="TableNormal"/>
    <w:uiPriority w:val="42"/>
    <w:rsid w:val="00080175"/>
    <w:pPr>
      <w:spacing w:after="0" w:line="240" w:lineRule="auto"/>
    </w:pPr>
    <w:rPr>
      <w:rFonts w:eastAsiaTheme="minorEastAsia"/>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673FD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2-Accent5">
    <w:name w:val="Grid Table 2 Accent 5"/>
    <w:basedOn w:val="TableNormal"/>
    <w:uiPriority w:val="47"/>
    <w:rsid w:val="00A507C8"/>
    <w:pPr>
      <w:spacing w:after="0" w:line="240" w:lineRule="auto"/>
    </w:pPr>
    <w:rPr>
      <w:kern w:val="2"/>
      <w14:ligatures w14:val="standardContextual"/>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4-Accent5">
    <w:name w:val="List Table 4 Accent 5"/>
    <w:basedOn w:val="TableNormal"/>
    <w:uiPriority w:val="49"/>
    <w:rsid w:val="00A507C8"/>
    <w:pPr>
      <w:spacing w:after="0" w:line="240" w:lineRule="auto"/>
    </w:pPr>
    <w:rPr>
      <w:kern w:val="2"/>
      <w14:ligatures w14:val="standardContextual"/>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221421">
    <w:name w:val="Table Grid221421"/>
    <w:basedOn w:val="TableNormal"/>
    <w:next w:val="TableGrid"/>
    <w:uiPriority w:val="39"/>
    <w:rsid w:val="004167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4167D9"/>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eGrid411311">
    <w:name w:val="Table Grid411311"/>
    <w:basedOn w:val="TableNormal"/>
    <w:next w:val="TableGrid"/>
    <w:uiPriority w:val="39"/>
    <w:rsid w:val="004167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B27362"/>
  </w:style>
  <w:style w:type="table" w:customStyle="1" w:styleId="TableGrid27">
    <w:name w:val="Table Grid27"/>
    <w:basedOn w:val="TableNormal"/>
    <w:next w:val="TableGrid"/>
    <w:rsid w:val="00B273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B27362"/>
  </w:style>
  <w:style w:type="table" w:customStyle="1" w:styleId="TableGrid114">
    <w:name w:val="Table Grid114"/>
    <w:basedOn w:val="TableNormal"/>
    <w:next w:val="TableGrid"/>
    <w:uiPriority w:val="39"/>
    <w:rsid w:val="00B27362"/>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4">
    <w:name w:val="Table List 714"/>
    <w:basedOn w:val="TableNormal"/>
    <w:next w:val="TableList7"/>
    <w:rsid w:val="00B27362"/>
    <w:pPr>
      <w:spacing w:after="200" w:line="276" w:lineRule="auto"/>
    </w:pPr>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4">
    <w:name w:val="Table Web 314"/>
    <w:basedOn w:val="TableNormal"/>
    <w:next w:val="TableWeb3"/>
    <w:rsid w:val="00B27362"/>
    <w:pPr>
      <w:spacing w:after="200" w:line="276" w:lineRule="auto"/>
    </w:pPr>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4">
    <w:name w:val="Table Elegant14"/>
    <w:basedOn w:val="TableNormal"/>
    <w:next w:val="TableElegant"/>
    <w:rsid w:val="00B27362"/>
    <w:pPr>
      <w:spacing w:after="200" w:line="276" w:lineRule="auto"/>
    </w:pPr>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15">
    <w:name w:val="Table Web 215"/>
    <w:basedOn w:val="TableNormal"/>
    <w:next w:val="TableWeb2"/>
    <w:rsid w:val="00B27362"/>
    <w:pPr>
      <w:spacing w:after="200" w:line="276" w:lineRule="auto"/>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5">
    <w:name w:val="Table Web 115"/>
    <w:basedOn w:val="TableNormal"/>
    <w:next w:val="TableWeb1"/>
    <w:rsid w:val="00B27362"/>
    <w:pPr>
      <w:spacing w:after="200" w:line="276" w:lineRule="auto"/>
    </w:pPr>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6">
    <w:name w:val="Table Grid 816"/>
    <w:basedOn w:val="TableNormal"/>
    <w:next w:val="TableGrid8"/>
    <w:rsid w:val="00B27362"/>
    <w:pPr>
      <w:spacing w:after="200" w:line="276" w:lineRule="auto"/>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5">
    <w:name w:val="Table Contemporary15"/>
    <w:basedOn w:val="TableNormal"/>
    <w:next w:val="TableContemporary"/>
    <w:rsid w:val="00B27362"/>
    <w:pPr>
      <w:spacing w:after="200" w:line="276" w:lineRule="auto"/>
    </w:pPr>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15">
    <w:name w:val="No List115"/>
    <w:next w:val="NoList"/>
    <w:semiHidden/>
    <w:unhideWhenUsed/>
    <w:rsid w:val="00B27362"/>
  </w:style>
  <w:style w:type="numbering" w:customStyle="1" w:styleId="NoList25">
    <w:name w:val="No List25"/>
    <w:next w:val="NoList"/>
    <w:semiHidden/>
    <w:unhideWhenUsed/>
    <w:rsid w:val="00B27362"/>
  </w:style>
  <w:style w:type="numbering" w:customStyle="1" w:styleId="NoList35">
    <w:name w:val="No List35"/>
    <w:next w:val="NoList"/>
    <w:semiHidden/>
    <w:unhideWhenUsed/>
    <w:rsid w:val="00B27362"/>
  </w:style>
  <w:style w:type="table" w:customStyle="1" w:styleId="LightList-Accent115">
    <w:name w:val="Light List - Accent 115"/>
    <w:basedOn w:val="TableNormal"/>
    <w:next w:val="LightList-Accent1"/>
    <w:uiPriority w:val="61"/>
    <w:rsid w:val="00B27362"/>
    <w:pPr>
      <w:spacing w:after="200" w:line="276" w:lineRule="auto"/>
    </w:pPr>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4">
    <w:name w:val="Table Grid 714"/>
    <w:basedOn w:val="TableNormal"/>
    <w:next w:val="TableGrid7"/>
    <w:rsid w:val="00B27362"/>
    <w:pPr>
      <w:spacing w:after="200" w:line="276" w:lineRule="auto"/>
    </w:pPr>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15">
    <w:name w:val="Colorful Grid - Accent 115"/>
    <w:basedOn w:val="TableNormal"/>
    <w:next w:val="ColorfulGrid-Accent1"/>
    <w:rsid w:val="00B27362"/>
    <w:pPr>
      <w:spacing w:after="200" w:line="276" w:lineRule="auto"/>
    </w:pPr>
    <w:rPr>
      <w:rFonts w:eastAsia="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5">
    <w:name w:val="Light List - Accent 515"/>
    <w:basedOn w:val="TableNormal"/>
    <w:next w:val="LightList-Accent5"/>
    <w:rsid w:val="00B27362"/>
    <w:pPr>
      <w:spacing w:after="200" w:line="276" w:lineRule="auto"/>
    </w:pPr>
    <w:rPr>
      <w:rFonts w:eastAsia="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4">
    <w:name w:val="Table Simple 314"/>
    <w:basedOn w:val="TableNormal"/>
    <w:next w:val="TableSimple3"/>
    <w:rsid w:val="00B27362"/>
    <w:pPr>
      <w:spacing w:after="200" w:line="276" w:lineRule="auto"/>
    </w:pPr>
    <w:rPr>
      <w:rFonts w:eastAsia="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4">
    <w:name w:val="Table Grid 514"/>
    <w:basedOn w:val="TableNormal"/>
    <w:next w:val="TableGrid5"/>
    <w:rsid w:val="00B27362"/>
    <w:pPr>
      <w:spacing w:after="200" w:line="276" w:lineRule="auto"/>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4">
    <w:name w:val="Table Grid 314"/>
    <w:basedOn w:val="TableNormal"/>
    <w:next w:val="TableGrid3"/>
    <w:rsid w:val="00B27362"/>
    <w:pPr>
      <w:spacing w:after="200" w:line="276" w:lineRule="auto"/>
    </w:pPr>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40">
    <w:name w:val="Table Grid 114"/>
    <w:basedOn w:val="TableNormal"/>
    <w:next w:val="TableGrid1"/>
    <w:rsid w:val="00B27362"/>
    <w:pPr>
      <w:spacing w:after="200" w:line="276" w:lineRule="auto"/>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4">
    <w:name w:val="Table Columns 514"/>
    <w:basedOn w:val="TableNormal"/>
    <w:next w:val="TableColumns5"/>
    <w:rsid w:val="00B27362"/>
    <w:pPr>
      <w:spacing w:after="200" w:line="276" w:lineRule="auto"/>
    </w:pPr>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numbering" w:customStyle="1" w:styleId="160">
    <w:name w:val="Нет списка16"/>
    <w:next w:val="NoList"/>
    <w:semiHidden/>
    <w:unhideWhenUsed/>
    <w:rsid w:val="00B27362"/>
  </w:style>
  <w:style w:type="numbering" w:customStyle="1" w:styleId="NoList45">
    <w:name w:val="No List45"/>
    <w:next w:val="NoList"/>
    <w:semiHidden/>
    <w:rsid w:val="00B27362"/>
  </w:style>
  <w:style w:type="numbering" w:customStyle="1" w:styleId="NoList1114">
    <w:name w:val="No List1114"/>
    <w:next w:val="NoList"/>
    <w:semiHidden/>
    <w:unhideWhenUsed/>
    <w:rsid w:val="00B27362"/>
  </w:style>
  <w:style w:type="table" w:customStyle="1" w:styleId="Table3Deffects314">
    <w:name w:val="Table 3D effects 314"/>
    <w:basedOn w:val="TableNormal"/>
    <w:next w:val="Table3Deffects3"/>
    <w:rsid w:val="00B27362"/>
    <w:pPr>
      <w:spacing w:after="200" w:line="276" w:lineRule="auto"/>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50">
    <w:name w:val="Нет списка115"/>
    <w:next w:val="NoList"/>
    <w:semiHidden/>
    <w:unhideWhenUsed/>
    <w:rsid w:val="00B27362"/>
  </w:style>
  <w:style w:type="table" w:customStyle="1" w:styleId="TableGrid115">
    <w:name w:val="Table Grid115"/>
    <w:basedOn w:val="TableNormal"/>
    <w:next w:val="TableGrid"/>
    <w:rsid w:val="00B27362"/>
    <w:pPr>
      <w:spacing w:after="200" w:line="276"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4">
    <w:name w:val="No List54"/>
    <w:next w:val="NoList"/>
    <w:uiPriority w:val="99"/>
    <w:semiHidden/>
    <w:rsid w:val="00B27362"/>
  </w:style>
  <w:style w:type="numbering" w:customStyle="1" w:styleId="NoList64">
    <w:name w:val="No List64"/>
    <w:next w:val="NoList"/>
    <w:uiPriority w:val="99"/>
    <w:semiHidden/>
    <w:unhideWhenUsed/>
    <w:rsid w:val="00B27362"/>
  </w:style>
  <w:style w:type="table" w:customStyle="1" w:styleId="TableGrid28">
    <w:name w:val="Table Grid28"/>
    <w:basedOn w:val="TableNormal"/>
    <w:next w:val="TableGrid"/>
    <w:rsid w:val="00B27362"/>
    <w:pPr>
      <w:spacing w:after="200" w:line="276"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4">
    <w:name w:val="No List74"/>
    <w:next w:val="NoList"/>
    <w:uiPriority w:val="99"/>
    <w:semiHidden/>
    <w:unhideWhenUsed/>
    <w:rsid w:val="00B27362"/>
  </w:style>
  <w:style w:type="numbering" w:customStyle="1" w:styleId="NoList124">
    <w:name w:val="No List124"/>
    <w:next w:val="NoList"/>
    <w:uiPriority w:val="99"/>
    <w:semiHidden/>
    <w:unhideWhenUsed/>
    <w:rsid w:val="00B27362"/>
  </w:style>
  <w:style w:type="table" w:customStyle="1" w:styleId="TableGrid35">
    <w:name w:val="Table Grid35"/>
    <w:basedOn w:val="TableNormal"/>
    <w:next w:val="TableGrid"/>
    <w:rsid w:val="00B27362"/>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25">
    <w:name w:val="Colorful Grid - Accent 125"/>
    <w:basedOn w:val="TableNormal"/>
    <w:next w:val="ColorfulGrid-Accent1"/>
    <w:rsid w:val="00B27362"/>
    <w:pPr>
      <w:spacing w:after="200" w:line="276" w:lineRule="auto"/>
    </w:pPr>
    <w:rPr>
      <w:rFonts w:eastAsia="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5">
    <w:name w:val="Light List - Accent 525"/>
    <w:basedOn w:val="TableNormal"/>
    <w:next w:val="LightList-Accent5"/>
    <w:rsid w:val="00B27362"/>
    <w:pPr>
      <w:spacing w:after="200" w:line="276" w:lineRule="auto"/>
    </w:pPr>
    <w:rPr>
      <w:rFonts w:eastAsia="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4">
    <w:name w:val="No List84"/>
    <w:next w:val="NoList"/>
    <w:uiPriority w:val="99"/>
    <w:semiHidden/>
    <w:unhideWhenUsed/>
    <w:rsid w:val="00B27362"/>
  </w:style>
  <w:style w:type="numbering" w:customStyle="1" w:styleId="124">
    <w:name w:val="Нет списка124"/>
    <w:next w:val="NoList"/>
    <w:uiPriority w:val="99"/>
    <w:semiHidden/>
    <w:unhideWhenUsed/>
    <w:rsid w:val="00B27362"/>
  </w:style>
  <w:style w:type="numbering" w:customStyle="1" w:styleId="NoList134">
    <w:name w:val="No List134"/>
    <w:next w:val="NoList"/>
    <w:semiHidden/>
    <w:unhideWhenUsed/>
    <w:rsid w:val="00B27362"/>
  </w:style>
  <w:style w:type="numbering" w:customStyle="1" w:styleId="NoList214">
    <w:name w:val="No List214"/>
    <w:next w:val="NoList"/>
    <w:semiHidden/>
    <w:unhideWhenUsed/>
    <w:rsid w:val="00B27362"/>
  </w:style>
  <w:style w:type="numbering" w:customStyle="1" w:styleId="NoList314">
    <w:name w:val="No List314"/>
    <w:next w:val="NoList"/>
    <w:semiHidden/>
    <w:unhideWhenUsed/>
    <w:rsid w:val="00B27362"/>
  </w:style>
  <w:style w:type="numbering" w:customStyle="1" w:styleId="1115">
    <w:name w:val="Нет списка1115"/>
    <w:next w:val="NoList"/>
    <w:semiHidden/>
    <w:unhideWhenUsed/>
    <w:rsid w:val="00B27362"/>
  </w:style>
  <w:style w:type="numbering" w:customStyle="1" w:styleId="NoList414">
    <w:name w:val="No List414"/>
    <w:next w:val="NoList"/>
    <w:semiHidden/>
    <w:rsid w:val="00B27362"/>
  </w:style>
  <w:style w:type="numbering" w:customStyle="1" w:styleId="NoList11113">
    <w:name w:val="No List11113"/>
    <w:next w:val="NoList"/>
    <w:semiHidden/>
    <w:unhideWhenUsed/>
    <w:rsid w:val="00B27362"/>
  </w:style>
  <w:style w:type="numbering" w:customStyle="1" w:styleId="11114">
    <w:name w:val="Нет списка11114"/>
    <w:next w:val="NoList"/>
    <w:semiHidden/>
    <w:unhideWhenUsed/>
    <w:rsid w:val="00B27362"/>
  </w:style>
  <w:style w:type="numbering" w:customStyle="1" w:styleId="NoList92">
    <w:name w:val="No List92"/>
    <w:next w:val="NoList"/>
    <w:uiPriority w:val="99"/>
    <w:semiHidden/>
    <w:unhideWhenUsed/>
    <w:rsid w:val="00B27362"/>
  </w:style>
  <w:style w:type="table" w:customStyle="1" w:styleId="TableGrid44">
    <w:name w:val="Table Grid44"/>
    <w:basedOn w:val="TableNormal"/>
    <w:next w:val="TableGrid"/>
    <w:uiPriority w:val="39"/>
    <w:rsid w:val="00B27362"/>
    <w:pPr>
      <w:spacing w:after="200" w:line="276" w:lineRule="auto"/>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4">
    <w:name w:val="Grid Table 1 Light - Accent 514"/>
    <w:basedOn w:val="TableNormal"/>
    <w:uiPriority w:val="46"/>
    <w:rsid w:val="00B27362"/>
    <w:pPr>
      <w:spacing w:after="200" w:line="276" w:lineRule="auto"/>
    </w:pPr>
    <w:rPr>
      <w:rFonts w:eastAsia="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3">
    <w:name w:val="Plain Table 313"/>
    <w:basedOn w:val="TableNormal"/>
    <w:uiPriority w:val="43"/>
    <w:rsid w:val="00B27362"/>
    <w:pPr>
      <w:spacing w:after="200" w:line="276" w:lineRule="auto"/>
    </w:pPr>
    <w:rPr>
      <w:rFonts w:eastAsia="Calibri"/>
      <w:sz w:val="24"/>
      <w:szCs w:val="24"/>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4">
    <w:name w:val="Grid Table 4 - Accent 114"/>
    <w:basedOn w:val="TableNormal"/>
    <w:uiPriority w:val="49"/>
    <w:rsid w:val="00B27362"/>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02">
    <w:name w:val="No List102"/>
    <w:next w:val="NoList"/>
    <w:uiPriority w:val="99"/>
    <w:semiHidden/>
    <w:unhideWhenUsed/>
    <w:rsid w:val="00B27362"/>
  </w:style>
  <w:style w:type="table" w:customStyle="1" w:styleId="TableGrid530">
    <w:name w:val="Table Grid53"/>
    <w:basedOn w:val="TableNormal"/>
    <w:next w:val="TableGrid"/>
    <w:uiPriority w:val="39"/>
    <w:rsid w:val="00B27362"/>
    <w:pPr>
      <w:spacing w:after="200" w:line="27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23">
    <w:name w:val="Table Web 223"/>
    <w:basedOn w:val="TableNormal"/>
    <w:next w:val="TableWeb2"/>
    <w:rsid w:val="00B27362"/>
    <w:pPr>
      <w:spacing w:after="200" w:line="276" w:lineRule="auto"/>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23">
    <w:name w:val="Table Web 123"/>
    <w:basedOn w:val="TableNormal"/>
    <w:next w:val="TableWeb1"/>
    <w:rsid w:val="00B27362"/>
    <w:pPr>
      <w:spacing w:after="200" w:line="276" w:lineRule="auto"/>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23">
    <w:name w:val="Table Grid 823"/>
    <w:basedOn w:val="TableNormal"/>
    <w:next w:val="TableGrid8"/>
    <w:rsid w:val="00B27362"/>
    <w:pPr>
      <w:spacing w:after="200" w:line="276" w:lineRule="auto"/>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23">
    <w:name w:val="Table Contemporary23"/>
    <w:basedOn w:val="TableNormal"/>
    <w:next w:val="TableContemporary"/>
    <w:rsid w:val="00B27362"/>
    <w:pPr>
      <w:spacing w:after="200" w:line="276" w:lineRule="auto"/>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42">
    <w:name w:val="No List142"/>
    <w:next w:val="NoList"/>
    <w:semiHidden/>
    <w:unhideWhenUsed/>
    <w:rsid w:val="00B27362"/>
  </w:style>
  <w:style w:type="numbering" w:customStyle="1" w:styleId="NoList222">
    <w:name w:val="No List222"/>
    <w:next w:val="NoList"/>
    <w:semiHidden/>
    <w:unhideWhenUsed/>
    <w:rsid w:val="00B27362"/>
  </w:style>
  <w:style w:type="numbering" w:customStyle="1" w:styleId="NoList322">
    <w:name w:val="No List322"/>
    <w:next w:val="NoList"/>
    <w:semiHidden/>
    <w:unhideWhenUsed/>
    <w:rsid w:val="00B27362"/>
  </w:style>
  <w:style w:type="table" w:customStyle="1" w:styleId="LightList-Accent123">
    <w:name w:val="Light List - Accent 123"/>
    <w:basedOn w:val="TableNormal"/>
    <w:uiPriority w:val="61"/>
    <w:rsid w:val="00B27362"/>
    <w:pPr>
      <w:spacing w:after="200" w:line="276" w:lineRule="auto"/>
    </w:pPr>
    <w:rPr>
      <w:rFonts w:ascii="Times New Roman" w:eastAsia="Times New Roman"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Accent133">
    <w:name w:val="Colorful Grid - Accent 133"/>
    <w:basedOn w:val="TableNormal"/>
    <w:next w:val="ColorfulGrid-Accent1"/>
    <w:uiPriority w:val="73"/>
    <w:rsid w:val="00B27362"/>
    <w:pPr>
      <w:spacing w:after="200" w:line="276" w:lineRule="auto"/>
    </w:pPr>
    <w:rPr>
      <w:rFonts w:ascii="Times New Roman" w:eastAsia="Times New Roman"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3">
    <w:name w:val="Light List - Accent 533"/>
    <w:basedOn w:val="TableNormal"/>
    <w:next w:val="LightList-Accent5"/>
    <w:uiPriority w:val="61"/>
    <w:rsid w:val="00B27362"/>
    <w:pPr>
      <w:spacing w:after="200" w:line="276" w:lineRule="auto"/>
    </w:pPr>
    <w:rPr>
      <w:rFonts w:ascii="Times New Roman" w:eastAsia="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1113">
    <w:name w:val="Light List - Accent 1113"/>
    <w:basedOn w:val="TableNormal"/>
    <w:uiPriority w:val="61"/>
    <w:rsid w:val="00B27362"/>
    <w:pPr>
      <w:spacing w:after="200" w:line="276" w:lineRule="auto"/>
    </w:pPr>
    <w:rPr>
      <w:rFonts w:ascii="Times New Roman" w:eastAsia="Times New Roman" w:hAnsi="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32">
    <w:name w:val="Нет списка132"/>
    <w:next w:val="NoList"/>
    <w:semiHidden/>
    <w:unhideWhenUsed/>
    <w:rsid w:val="00B27362"/>
  </w:style>
  <w:style w:type="table" w:customStyle="1" w:styleId="ColorfulGrid-Accent1113">
    <w:name w:val="Colorful Grid - Accent 1113"/>
    <w:basedOn w:val="TableNormal"/>
    <w:rsid w:val="00B27362"/>
    <w:pPr>
      <w:spacing w:after="200" w:line="276" w:lineRule="auto"/>
    </w:pPr>
    <w:rPr>
      <w:rFonts w:ascii="Times New Roman" w:eastAsia="Times New Roman" w:hAnsi="Times New Roman"/>
      <w:color w:val="000000"/>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3">
    <w:name w:val="Light List - Accent 5113"/>
    <w:basedOn w:val="TableNormal"/>
    <w:rsid w:val="00B27362"/>
    <w:pPr>
      <w:spacing w:after="200" w:line="276" w:lineRule="auto"/>
    </w:pPr>
    <w:rPr>
      <w:rFonts w:ascii="Times New Roman" w:eastAsia="Times New Roman" w:hAnsi="Times New Roman"/>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22">
    <w:name w:val="No List422"/>
    <w:next w:val="NoList"/>
    <w:semiHidden/>
    <w:rsid w:val="00B27362"/>
  </w:style>
  <w:style w:type="numbering" w:customStyle="1" w:styleId="NoList1122">
    <w:name w:val="No List1122"/>
    <w:next w:val="NoList"/>
    <w:semiHidden/>
    <w:unhideWhenUsed/>
    <w:rsid w:val="00B27362"/>
  </w:style>
  <w:style w:type="numbering" w:customStyle="1" w:styleId="1122">
    <w:name w:val="Нет списка1122"/>
    <w:next w:val="NoList"/>
    <w:semiHidden/>
    <w:unhideWhenUsed/>
    <w:rsid w:val="00B27362"/>
  </w:style>
  <w:style w:type="table" w:customStyle="1" w:styleId="TableGrid1114">
    <w:name w:val="Table Grid1114"/>
    <w:basedOn w:val="TableNormal"/>
    <w:next w:val="TableGrid"/>
    <w:rsid w:val="00B27362"/>
    <w:pPr>
      <w:spacing w:after="200" w:line="276" w:lineRule="auto"/>
    </w:pPr>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2">
    <w:name w:val="No List512"/>
    <w:next w:val="NoList"/>
    <w:uiPriority w:val="99"/>
    <w:semiHidden/>
    <w:rsid w:val="00B27362"/>
  </w:style>
  <w:style w:type="numbering" w:customStyle="1" w:styleId="NoList612">
    <w:name w:val="No List612"/>
    <w:next w:val="NoList"/>
    <w:uiPriority w:val="99"/>
    <w:semiHidden/>
    <w:unhideWhenUsed/>
    <w:rsid w:val="00B27362"/>
  </w:style>
  <w:style w:type="table" w:customStyle="1" w:styleId="TableGrid213">
    <w:name w:val="Table Grid213"/>
    <w:basedOn w:val="TableNormal"/>
    <w:next w:val="TableGrid"/>
    <w:rsid w:val="00B27362"/>
    <w:pPr>
      <w:spacing w:after="200" w:line="276" w:lineRule="auto"/>
    </w:pPr>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2">
    <w:name w:val="No List712"/>
    <w:next w:val="NoList"/>
    <w:uiPriority w:val="99"/>
    <w:semiHidden/>
    <w:unhideWhenUsed/>
    <w:rsid w:val="00B27362"/>
  </w:style>
  <w:style w:type="numbering" w:customStyle="1" w:styleId="NoList1212">
    <w:name w:val="No List1212"/>
    <w:next w:val="NoList"/>
    <w:uiPriority w:val="99"/>
    <w:semiHidden/>
    <w:unhideWhenUsed/>
    <w:rsid w:val="00B27362"/>
  </w:style>
  <w:style w:type="table" w:customStyle="1" w:styleId="TableGrid3130">
    <w:name w:val="Table Grid313"/>
    <w:basedOn w:val="TableNormal"/>
    <w:next w:val="TableGrid"/>
    <w:rsid w:val="00B27362"/>
    <w:pPr>
      <w:spacing w:after="200" w:line="27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3">
    <w:name w:val="Table Web 2113"/>
    <w:basedOn w:val="TableNormal"/>
    <w:next w:val="TableWeb2"/>
    <w:rsid w:val="00B27362"/>
    <w:pPr>
      <w:spacing w:after="200" w:line="276" w:lineRule="auto"/>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13">
    <w:name w:val="Table Web 1113"/>
    <w:basedOn w:val="TableNormal"/>
    <w:next w:val="TableWeb1"/>
    <w:rsid w:val="00B27362"/>
    <w:pPr>
      <w:spacing w:after="200" w:line="276" w:lineRule="auto"/>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13">
    <w:name w:val="Table Grid 8113"/>
    <w:basedOn w:val="TableNormal"/>
    <w:next w:val="TableGrid8"/>
    <w:rsid w:val="00B27362"/>
    <w:pPr>
      <w:spacing w:after="200" w:line="276" w:lineRule="auto"/>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13">
    <w:name w:val="Table Contemporary113"/>
    <w:basedOn w:val="TableNormal"/>
    <w:next w:val="TableContemporary"/>
    <w:rsid w:val="00B27362"/>
    <w:pPr>
      <w:spacing w:after="200" w:line="276" w:lineRule="auto"/>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13">
    <w:name w:val="Colorful Grid - Accent 1213"/>
    <w:basedOn w:val="TableNormal"/>
    <w:next w:val="ColorfulGrid-Accent1"/>
    <w:rsid w:val="00B27362"/>
    <w:pPr>
      <w:spacing w:after="200" w:line="276" w:lineRule="auto"/>
    </w:pPr>
    <w:rPr>
      <w:rFonts w:ascii="Times New Roman" w:eastAsia="Times New Roman" w:hAnsi="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3">
    <w:name w:val="Light List - Accent 5213"/>
    <w:basedOn w:val="TableNormal"/>
    <w:next w:val="LightList-Accent5"/>
    <w:rsid w:val="00B27362"/>
    <w:pPr>
      <w:spacing w:after="200" w:line="276" w:lineRule="auto"/>
    </w:pPr>
    <w:rPr>
      <w:rFonts w:ascii="Times New Roman" w:eastAsia="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12">
    <w:name w:val="No List812"/>
    <w:next w:val="NoList"/>
    <w:uiPriority w:val="99"/>
    <w:semiHidden/>
    <w:unhideWhenUsed/>
    <w:rsid w:val="00B27362"/>
  </w:style>
  <w:style w:type="numbering" w:customStyle="1" w:styleId="1212">
    <w:name w:val="Нет списка1212"/>
    <w:next w:val="NoList"/>
    <w:uiPriority w:val="99"/>
    <w:semiHidden/>
    <w:unhideWhenUsed/>
    <w:rsid w:val="00B27362"/>
  </w:style>
  <w:style w:type="numbering" w:customStyle="1" w:styleId="NoList1312">
    <w:name w:val="No List1312"/>
    <w:next w:val="NoList"/>
    <w:semiHidden/>
    <w:unhideWhenUsed/>
    <w:rsid w:val="00B27362"/>
  </w:style>
  <w:style w:type="numbering" w:customStyle="1" w:styleId="NoList2112">
    <w:name w:val="No List2112"/>
    <w:next w:val="NoList"/>
    <w:semiHidden/>
    <w:unhideWhenUsed/>
    <w:rsid w:val="00B27362"/>
  </w:style>
  <w:style w:type="numbering" w:customStyle="1" w:styleId="NoList3112">
    <w:name w:val="No List3112"/>
    <w:next w:val="NoList"/>
    <w:semiHidden/>
    <w:unhideWhenUsed/>
    <w:rsid w:val="00B27362"/>
  </w:style>
  <w:style w:type="numbering" w:customStyle="1" w:styleId="11122">
    <w:name w:val="Нет списка11122"/>
    <w:next w:val="NoList"/>
    <w:semiHidden/>
    <w:unhideWhenUsed/>
    <w:rsid w:val="00B27362"/>
  </w:style>
  <w:style w:type="numbering" w:customStyle="1" w:styleId="NoList4112">
    <w:name w:val="No List4112"/>
    <w:next w:val="NoList"/>
    <w:semiHidden/>
    <w:rsid w:val="00B27362"/>
  </w:style>
  <w:style w:type="numbering" w:customStyle="1" w:styleId="NoList111112">
    <w:name w:val="No List111112"/>
    <w:next w:val="NoList"/>
    <w:semiHidden/>
    <w:unhideWhenUsed/>
    <w:rsid w:val="00B27362"/>
  </w:style>
  <w:style w:type="numbering" w:customStyle="1" w:styleId="111112">
    <w:name w:val="Нет списка111112"/>
    <w:next w:val="NoList"/>
    <w:semiHidden/>
    <w:unhideWhenUsed/>
    <w:rsid w:val="00B27362"/>
  </w:style>
  <w:style w:type="table" w:customStyle="1" w:styleId="TableGrid63">
    <w:name w:val="Table Grid63"/>
    <w:basedOn w:val="TableNormal"/>
    <w:next w:val="TableGrid"/>
    <w:uiPriority w:val="39"/>
    <w:rsid w:val="00B27362"/>
    <w:pPr>
      <w:spacing w:after="0" w:line="240" w:lineRule="auto"/>
      <w:jc w:val="center"/>
    </w:pPr>
    <w:rPr>
      <w:rFonts w:ascii="Sylfaen" w:eastAsia="Calibri" w:hAnsi="Sylfaen"/>
      <w:sz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3">
    <w:name w:val="Grid Table 1 Light - Accent 5113"/>
    <w:basedOn w:val="TableNormal"/>
    <w:uiPriority w:val="46"/>
    <w:rsid w:val="00B27362"/>
    <w:pPr>
      <w:spacing w:after="0" w:line="240" w:lineRule="auto"/>
    </w:pPr>
    <w:rPr>
      <w:rFonts w:ascii="Calibri" w:eastAsia="Calibri" w:hAnsi="Calibri" w:cs="Calibri"/>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3">
    <w:name w:val="Table Grid223"/>
    <w:basedOn w:val="TableNormal"/>
    <w:next w:val="TableGrid"/>
    <w:uiPriority w:val="39"/>
    <w:rsid w:val="00B273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0">
    <w:name w:val="Table Grid73"/>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4">
    <w:name w:val="Grid Table 1 Light - Accent 114"/>
    <w:basedOn w:val="TableNormal"/>
    <w:uiPriority w:val="46"/>
    <w:rsid w:val="00B27362"/>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eList75">
    <w:name w:val="Table List 75"/>
    <w:basedOn w:val="TableNormal"/>
    <w:next w:val="TableList7"/>
    <w:uiPriority w:val="99"/>
    <w:semiHidden/>
    <w:unhideWhenUsed/>
    <w:rsid w:val="00B27362"/>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5">
    <w:name w:val="Table Web 35"/>
    <w:basedOn w:val="TableNormal"/>
    <w:next w:val="TableWeb3"/>
    <w:uiPriority w:val="99"/>
    <w:semiHidden/>
    <w:unhideWhenUsed/>
    <w:rsid w:val="00B27362"/>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5">
    <w:name w:val="Table Elegant5"/>
    <w:basedOn w:val="TableNormal"/>
    <w:next w:val="TableElegant"/>
    <w:uiPriority w:val="99"/>
    <w:semiHidden/>
    <w:unhideWhenUsed/>
    <w:rsid w:val="00B27362"/>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6">
    <w:name w:val="Table Web 26"/>
    <w:basedOn w:val="TableNormal"/>
    <w:next w:val="TableWeb2"/>
    <w:uiPriority w:val="99"/>
    <w:semiHidden/>
    <w:unhideWhenUsed/>
    <w:rsid w:val="00B27362"/>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6">
    <w:name w:val="Table Web 16"/>
    <w:basedOn w:val="TableNormal"/>
    <w:next w:val="TableWeb1"/>
    <w:uiPriority w:val="99"/>
    <w:semiHidden/>
    <w:unhideWhenUsed/>
    <w:rsid w:val="00B27362"/>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6">
    <w:name w:val="Table Grid 86"/>
    <w:basedOn w:val="TableNormal"/>
    <w:next w:val="TableGrid8"/>
    <w:uiPriority w:val="99"/>
    <w:semiHidden/>
    <w:unhideWhenUsed/>
    <w:rsid w:val="00B27362"/>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6">
    <w:name w:val="Table Contemporary6"/>
    <w:basedOn w:val="TableNormal"/>
    <w:next w:val="TableContemporary"/>
    <w:uiPriority w:val="99"/>
    <w:semiHidden/>
    <w:unhideWhenUsed/>
    <w:rsid w:val="00B27362"/>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LightList-Accent16">
    <w:name w:val="Light List - Accent 16"/>
    <w:basedOn w:val="TableNormal"/>
    <w:next w:val="LightList-Accent1"/>
    <w:uiPriority w:val="61"/>
    <w:semiHidden/>
    <w:unhideWhenUsed/>
    <w:rsid w:val="00B27362"/>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TableGrid75">
    <w:name w:val="Table Grid 75"/>
    <w:basedOn w:val="TableNormal"/>
    <w:next w:val="TableGrid7"/>
    <w:uiPriority w:val="99"/>
    <w:semiHidden/>
    <w:unhideWhenUsed/>
    <w:rsid w:val="00B27362"/>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7">
    <w:name w:val="Colorful Grid - Accent 17"/>
    <w:basedOn w:val="TableNormal"/>
    <w:next w:val="ColorfulGrid-Accent1"/>
    <w:uiPriority w:val="73"/>
    <w:semiHidden/>
    <w:unhideWhenUsed/>
    <w:rsid w:val="00B2736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customStyle="1" w:styleId="LightList-Accent57">
    <w:name w:val="Light List - Accent 57"/>
    <w:basedOn w:val="TableNormal"/>
    <w:next w:val="LightList-Accent5"/>
    <w:uiPriority w:val="61"/>
    <w:semiHidden/>
    <w:unhideWhenUsed/>
    <w:rsid w:val="00B2736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leSimple35">
    <w:name w:val="Table Simple 35"/>
    <w:basedOn w:val="TableNormal"/>
    <w:next w:val="TableSimple3"/>
    <w:uiPriority w:val="99"/>
    <w:semiHidden/>
    <w:unhideWhenUsed/>
    <w:rsid w:val="00B27362"/>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5">
    <w:name w:val="Table Grid 55"/>
    <w:basedOn w:val="TableNormal"/>
    <w:next w:val="TableGrid5"/>
    <w:uiPriority w:val="99"/>
    <w:semiHidden/>
    <w:unhideWhenUsed/>
    <w:rsid w:val="00B27362"/>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50">
    <w:name w:val="Table Grid 35"/>
    <w:basedOn w:val="TableNormal"/>
    <w:next w:val="TableGrid3"/>
    <w:uiPriority w:val="99"/>
    <w:semiHidden/>
    <w:unhideWhenUsed/>
    <w:rsid w:val="00B27362"/>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50">
    <w:name w:val="Table Grid 15"/>
    <w:basedOn w:val="TableNormal"/>
    <w:next w:val="TableGrid1"/>
    <w:uiPriority w:val="99"/>
    <w:semiHidden/>
    <w:unhideWhenUsed/>
    <w:rsid w:val="00B27362"/>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5">
    <w:name w:val="Table Columns 55"/>
    <w:basedOn w:val="TableNormal"/>
    <w:next w:val="TableColumns5"/>
    <w:uiPriority w:val="99"/>
    <w:semiHidden/>
    <w:unhideWhenUsed/>
    <w:rsid w:val="00B27362"/>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5">
    <w:name w:val="Table 3D effects 35"/>
    <w:basedOn w:val="TableNormal"/>
    <w:next w:val="Table3Deffects3"/>
    <w:uiPriority w:val="99"/>
    <w:semiHidden/>
    <w:unhideWhenUsed/>
    <w:rsid w:val="00B27362"/>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NoList151">
    <w:name w:val="No List151"/>
    <w:next w:val="NoList"/>
    <w:uiPriority w:val="99"/>
    <w:semiHidden/>
    <w:unhideWhenUsed/>
    <w:rsid w:val="00B27362"/>
  </w:style>
  <w:style w:type="table" w:customStyle="1" w:styleId="TableGrid122">
    <w:name w:val="Table Grid122"/>
    <w:basedOn w:val="TableNormal"/>
    <w:next w:val="TableGrid"/>
    <w:uiPriority w:val="39"/>
    <w:rsid w:val="00B27362"/>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semiHidden/>
    <w:unhideWhenUsed/>
    <w:rsid w:val="00B27362"/>
  </w:style>
  <w:style w:type="numbering" w:customStyle="1" w:styleId="NoList231">
    <w:name w:val="No List231"/>
    <w:next w:val="NoList"/>
    <w:semiHidden/>
    <w:unhideWhenUsed/>
    <w:rsid w:val="00B27362"/>
  </w:style>
  <w:style w:type="numbering" w:customStyle="1" w:styleId="NoList331">
    <w:name w:val="No List331"/>
    <w:next w:val="NoList"/>
    <w:semiHidden/>
    <w:unhideWhenUsed/>
    <w:rsid w:val="00B27362"/>
  </w:style>
  <w:style w:type="numbering" w:customStyle="1" w:styleId="141">
    <w:name w:val="Нет списка141"/>
    <w:next w:val="NoList"/>
    <w:semiHidden/>
    <w:unhideWhenUsed/>
    <w:rsid w:val="00B27362"/>
  </w:style>
  <w:style w:type="numbering" w:customStyle="1" w:styleId="NoList431">
    <w:name w:val="No List431"/>
    <w:next w:val="NoList"/>
    <w:semiHidden/>
    <w:rsid w:val="00B27362"/>
  </w:style>
  <w:style w:type="numbering" w:customStyle="1" w:styleId="NoList1131">
    <w:name w:val="No List1131"/>
    <w:next w:val="NoList"/>
    <w:semiHidden/>
    <w:unhideWhenUsed/>
    <w:rsid w:val="00B27362"/>
  </w:style>
  <w:style w:type="numbering" w:customStyle="1" w:styleId="1131">
    <w:name w:val="Нет списка1131"/>
    <w:next w:val="NoList"/>
    <w:semiHidden/>
    <w:unhideWhenUsed/>
    <w:rsid w:val="00B27362"/>
  </w:style>
  <w:style w:type="table" w:customStyle="1" w:styleId="TableGrid131">
    <w:name w:val="Table Grid131"/>
    <w:basedOn w:val="TableNormal"/>
    <w:next w:val="TableGrid"/>
    <w:rsid w:val="00B27362"/>
    <w:pPr>
      <w:spacing w:after="200" w:line="276"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21">
    <w:name w:val="No List521"/>
    <w:next w:val="NoList"/>
    <w:uiPriority w:val="99"/>
    <w:semiHidden/>
    <w:rsid w:val="00B27362"/>
  </w:style>
  <w:style w:type="numbering" w:customStyle="1" w:styleId="NoList621">
    <w:name w:val="No List621"/>
    <w:next w:val="NoList"/>
    <w:uiPriority w:val="99"/>
    <w:semiHidden/>
    <w:unhideWhenUsed/>
    <w:rsid w:val="00B27362"/>
  </w:style>
  <w:style w:type="numbering" w:customStyle="1" w:styleId="NoList721">
    <w:name w:val="No List721"/>
    <w:next w:val="NoList"/>
    <w:uiPriority w:val="99"/>
    <w:semiHidden/>
    <w:unhideWhenUsed/>
    <w:rsid w:val="00B27362"/>
  </w:style>
  <w:style w:type="numbering" w:customStyle="1" w:styleId="NoList1221">
    <w:name w:val="No List1221"/>
    <w:next w:val="NoList"/>
    <w:uiPriority w:val="99"/>
    <w:semiHidden/>
    <w:unhideWhenUsed/>
    <w:rsid w:val="00B27362"/>
  </w:style>
  <w:style w:type="numbering" w:customStyle="1" w:styleId="NoList821">
    <w:name w:val="No List821"/>
    <w:next w:val="NoList"/>
    <w:uiPriority w:val="99"/>
    <w:semiHidden/>
    <w:unhideWhenUsed/>
    <w:rsid w:val="00B27362"/>
  </w:style>
  <w:style w:type="numbering" w:customStyle="1" w:styleId="1221">
    <w:name w:val="Нет списка1221"/>
    <w:next w:val="NoList"/>
    <w:uiPriority w:val="99"/>
    <w:semiHidden/>
    <w:unhideWhenUsed/>
    <w:rsid w:val="00B27362"/>
  </w:style>
  <w:style w:type="numbering" w:customStyle="1" w:styleId="NoList1321">
    <w:name w:val="No List1321"/>
    <w:next w:val="NoList"/>
    <w:semiHidden/>
    <w:unhideWhenUsed/>
    <w:rsid w:val="00B27362"/>
  </w:style>
  <w:style w:type="numbering" w:customStyle="1" w:styleId="NoList2121">
    <w:name w:val="No List2121"/>
    <w:next w:val="NoList"/>
    <w:semiHidden/>
    <w:unhideWhenUsed/>
    <w:rsid w:val="00B27362"/>
  </w:style>
  <w:style w:type="numbering" w:customStyle="1" w:styleId="NoList3121">
    <w:name w:val="No List3121"/>
    <w:next w:val="NoList"/>
    <w:semiHidden/>
    <w:unhideWhenUsed/>
    <w:rsid w:val="00B27362"/>
  </w:style>
  <w:style w:type="numbering" w:customStyle="1" w:styleId="11131">
    <w:name w:val="Нет списка11131"/>
    <w:next w:val="NoList"/>
    <w:semiHidden/>
    <w:unhideWhenUsed/>
    <w:rsid w:val="00B27362"/>
  </w:style>
  <w:style w:type="numbering" w:customStyle="1" w:styleId="NoList4121">
    <w:name w:val="No List4121"/>
    <w:next w:val="NoList"/>
    <w:semiHidden/>
    <w:rsid w:val="00B27362"/>
  </w:style>
  <w:style w:type="numbering" w:customStyle="1" w:styleId="NoList11121">
    <w:name w:val="No List11121"/>
    <w:next w:val="NoList"/>
    <w:semiHidden/>
    <w:unhideWhenUsed/>
    <w:rsid w:val="00B27362"/>
  </w:style>
  <w:style w:type="numbering" w:customStyle="1" w:styleId="111121">
    <w:name w:val="Нет списка111121"/>
    <w:next w:val="NoList"/>
    <w:semiHidden/>
    <w:unhideWhenUsed/>
    <w:rsid w:val="00B27362"/>
  </w:style>
  <w:style w:type="numbering" w:customStyle="1" w:styleId="NoList911">
    <w:name w:val="No List911"/>
    <w:next w:val="NoList"/>
    <w:uiPriority w:val="99"/>
    <w:semiHidden/>
    <w:unhideWhenUsed/>
    <w:rsid w:val="00B27362"/>
  </w:style>
  <w:style w:type="numbering" w:customStyle="1" w:styleId="NoList1011">
    <w:name w:val="No List1011"/>
    <w:next w:val="NoList"/>
    <w:uiPriority w:val="99"/>
    <w:semiHidden/>
    <w:unhideWhenUsed/>
    <w:rsid w:val="00B27362"/>
  </w:style>
  <w:style w:type="numbering" w:customStyle="1" w:styleId="NoList1411">
    <w:name w:val="No List1411"/>
    <w:next w:val="NoList"/>
    <w:semiHidden/>
    <w:unhideWhenUsed/>
    <w:rsid w:val="00B27362"/>
  </w:style>
  <w:style w:type="numbering" w:customStyle="1" w:styleId="NoList2211">
    <w:name w:val="No List2211"/>
    <w:next w:val="NoList"/>
    <w:semiHidden/>
    <w:unhideWhenUsed/>
    <w:rsid w:val="00B27362"/>
  </w:style>
  <w:style w:type="numbering" w:customStyle="1" w:styleId="NoList3211">
    <w:name w:val="No List3211"/>
    <w:next w:val="NoList"/>
    <w:semiHidden/>
    <w:unhideWhenUsed/>
    <w:rsid w:val="00B27362"/>
  </w:style>
  <w:style w:type="numbering" w:customStyle="1" w:styleId="1311">
    <w:name w:val="Нет списка1311"/>
    <w:next w:val="NoList"/>
    <w:semiHidden/>
    <w:unhideWhenUsed/>
    <w:rsid w:val="00B27362"/>
  </w:style>
  <w:style w:type="numbering" w:customStyle="1" w:styleId="NoList4211">
    <w:name w:val="No List4211"/>
    <w:next w:val="NoList"/>
    <w:semiHidden/>
    <w:rsid w:val="00B27362"/>
  </w:style>
  <w:style w:type="numbering" w:customStyle="1" w:styleId="NoList11211">
    <w:name w:val="No List11211"/>
    <w:next w:val="NoList"/>
    <w:semiHidden/>
    <w:unhideWhenUsed/>
    <w:rsid w:val="00B27362"/>
  </w:style>
  <w:style w:type="numbering" w:customStyle="1" w:styleId="11211">
    <w:name w:val="Нет списка11211"/>
    <w:next w:val="NoList"/>
    <w:semiHidden/>
    <w:unhideWhenUsed/>
    <w:rsid w:val="00B27362"/>
  </w:style>
  <w:style w:type="numbering" w:customStyle="1" w:styleId="NoList5111">
    <w:name w:val="No List5111"/>
    <w:next w:val="NoList"/>
    <w:uiPriority w:val="99"/>
    <w:semiHidden/>
    <w:rsid w:val="00B27362"/>
  </w:style>
  <w:style w:type="numbering" w:customStyle="1" w:styleId="NoList6111">
    <w:name w:val="No List6111"/>
    <w:next w:val="NoList"/>
    <w:uiPriority w:val="99"/>
    <w:semiHidden/>
    <w:unhideWhenUsed/>
    <w:rsid w:val="00B27362"/>
  </w:style>
  <w:style w:type="numbering" w:customStyle="1" w:styleId="NoList7111">
    <w:name w:val="No List7111"/>
    <w:next w:val="NoList"/>
    <w:uiPriority w:val="99"/>
    <w:semiHidden/>
    <w:unhideWhenUsed/>
    <w:rsid w:val="00B27362"/>
  </w:style>
  <w:style w:type="numbering" w:customStyle="1" w:styleId="NoList12111">
    <w:name w:val="No List12111"/>
    <w:next w:val="NoList"/>
    <w:uiPriority w:val="99"/>
    <w:semiHidden/>
    <w:unhideWhenUsed/>
    <w:rsid w:val="00B27362"/>
  </w:style>
  <w:style w:type="numbering" w:customStyle="1" w:styleId="NoList8111">
    <w:name w:val="No List8111"/>
    <w:next w:val="NoList"/>
    <w:uiPriority w:val="99"/>
    <w:semiHidden/>
    <w:unhideWhenUsed/>
    <w:rsid w:val="00B27362"/>
  </w:style>
  <w:style w:type="numbering" w:customStyle="1" w:styleId="12111">
    <w:name w:val="Нет списка12111"/>
    <w:next w:val="NoList"/>
    <w:uiPriority w:val="99"/>
    <w:semiHidden/>
    <w:unhideWhenUsed/>
    <w:rsid w:val="00B27362"/>
  </w:style>
  <w:style w:type="numbering" w:customStyle="1" w:styleId="NoList13111">
    <w:name w:val="No List13111"/>
    <w:next w:val="NoList"/>
    <w:semiHidden/>
    <w:unhideWhenUsed/>
    <w:rsid w:val="00B27362"/>
  </w:style>
  <w:style w:type="numbering" w:customStyle="1" w:styleId="NoList21111">
    <w:name w:val="No List21111"/>
    <w:next w:val="NoList"/>
    <w:semiHidden/>
    <w:unhideWhenUsed/>
    <w:rsid w:val="00B27362"/>
  </w:style>
  <w:style w:type="numbering" w:customStyle="1" w:styleId="NoList31111">
    <w:name w:val="No List31111"/>
    <w:next w:val="NoList"/>
    <w:semiHidden/>
    <w:unhideWhenUsed/>
    <w:rsid w:val="00B27362"/>
  </w:style>
  <w:style w:type="numbering" w:customStyle="1" w:styleId="111211">
    <w:name w:val="Нет списка111211"/>
    <w:next w:val="NoList"/>
    <w:semiHidden/>
    <w:unhideWhenUsed/>
    <w:rsid w:val="00B27362"/>
  </w:style>
  <w:style w:type="numbering" w:customStyle="1" w:styleId="NoList41111">
    <w:name w:val="No List41111"/>
    <w:next w:val="NoList"/>
    <w:semiHidden/>
    <w:rsid w:val="00B27362"/>
  </w:style>
  <w:style w:type="numbering" w:customStyle="1" w:styleId="NoList111121">
    <w:name w:val="No List111121"/>
    <w:next w:val="NoList"/>
    <w:semiHidden/>
    <w:unhideWhenUsed/>
    <w:rsid w:val="00B27362"/>
  </w:style>
  <w:style w:type="numbering" w:customStyle="1" w:styleId="1111111">
    <w:name w:val="Нет списка1111111"/>
    <w:next w:val="NoList"/>
    <w:semiHidden/>
    <w:unhideWhenUsed/>
    <w:rsid w:val="00B27362"/>
  </w:style>
  <w:style w:type="table" w:customStyle="1" w:styleId="GridTable4-Accent1121">
    <w:name w:val="Grid Table 4 - Accent 1121"/>
    <w:basedOn w:val="TableNormal"/>
    <w:uiPriority w:val="49"/>
    <w:rsid w:val="00B27362"/>
    <w:pPr>
      <w:spacing w:after="0" w:line="240" w:lineRule="auto"/>
    </w:pPr>
    <w:rPr>
      <w:rFonts w:eastAsia="Calibri"/>
      <w:sz w:val="24"/>
      <w:szCs w:val="24"/>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41">
    <w:name w:val="Table Grid141"/>
    <w:basedOn w:val="TableNormal"/>
    <w:next w:val="TableGrid"/>
    <w:rsid w:val="00B273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 Grid811"/>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11">
    <w:name w:val="Table Grid1421211"/>
    <w:basedOn w:val="TableNormal"/>
    <w:next w:val="TableGrid"/>
    <w:uiPriority w:val="39"/>
    <w:rsid w:val="00B27362"/>
    <w:pPr>
      <w:spacing w:after="200" w:line="276"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27362"/>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27362"/>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B2736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27362"/>
    <w:pPr>
      <w:spacing w:after="0" w:line="240" w:lineRule="auto"/>
    </w:pPr>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B27362"/>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4-Accent11111">
    <w:name w:val="Grid Table 4 - Accent 11111"/>
    <w:basedOn w:val="TableNormal"/>
    <w:uiPriority w:val="49"/>
    <w:rsid w:val="002E77C2"/>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1Light-Accent115">
    <w:name w:val="Grid Table 1 Light - Accent 115"/>
    <w:basedOn w:val="TableNormal"/>
    <w:uiPriority w:val="46"/>
    <w:rsid w:val="0006115A"/>
    <w:pPr>
      <w:spacing w:after="0" w:line="240" w:lineRule="auto"/>
    </w:pPr>
    <w:rPr>
      <w:sz w:val="20"/>
      <w:szCs w:val="20"/>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ListTable1Light-Accent5">
    <w:name w:val="List Table 1 Light Accent 5"/>
    <w:basedOn w:val="TableNormal"/>
    <w:uiPriority w:val="46"/>
    <w:rsid w:val="00545EC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1">
    <w:name w:val="Grid Table 6 Colorful Accent 1"/>
    <w:basedOn w:val="TableNormal"/>
    <w:uiPriority w:val="51"/>
    <w:rsid w:val="00545EC8"/>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UnresolvedMention">
    <w:name w:val="Unresolved Mention"/>
    <w:basedOn w:val="DefaultParagraphFont"/>
    <w:uiPriority w:val="99"/>
    <w:semiHidden/>
    <w:unhideWhenUsed/>
    <w:rsid w:val="00A712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20435">
      <w:bodyDiv w:val="1"/>
      <w:marLeft w:val="0"/>
      <w:marRight w:val="0"/>
      <w:marTop w:val="0"/>
      <w:marBottom w:val="0"/>
      <w:divBdr>
        <w:top w:val="none" w:sz="0" w:space="0" w:color="auto"/>
        <w:left w:val="none" w:sz="0" w:space="0" w:color="auto"/>
        <w:bottom w:val="none" w:sz="0" w:space="0" w:color="auto"/>
        <w:right w:val="none" w:sz="0" w:space="0" w:color="auto"/>
      </w:divBdr>
    </w:div>
    <w:div w:id="347371456">
      <w:bodyDiv w:val="1"/>
      <w:marLeft w:val="0"/>
      <w:marRight w:val="0"/>
      <w:marTop w:val="0"/>
      <w:marBottom w:val="0"/>
      <w:divBdr>
        <w:top w:val="none" w:sz="0" w:space="0" w:color="auto"/>
        <w:left w:val="none" w:sz="0" w:space="0" w:color="auto"/>
        <w:bottom w:val="none" w:sz="0" w:space="0" w:color="auto"/>
        <w:right w:val="none" w:sz="0" w:space="0" w:color="auto"/>
      </w:divBdr>
    </w:div>
    <w:div w:id="490830314">
      <w:bodyDiv w:val="1"/>
      <w:marLeft w:val="0"/>
      <w:marRight w:val="0"/>
      <w:marTop w:val="0"/>
      <w:marBottom w:val="0"/>
      <w:divBdr>
        <w:top w:val="none" w:sz="0" w:space="0" w:color="auto"/>
        <w:left w:val="none" w:sz="0" w:space="0" w:color="auto"/>
        <w:bottom w:val="none" w:sz="0" w:space="0" w:color="auto"/>
        <w:right w:val="none" w:sz="0" w:space="0" w:color="auto"/>
      </w:divBdr>
    </w:div>
    <w:div w:id="630863583">
      <w:bodyDiv w:val="1"/>
      <w:marLeft w:val="0"/>
      <w:marRight w:val="0"/>
      <w:marTop w:val="0"/>
      <w:marBottom w:val="0"/>
      <w:divBdr>
        <w:top w:val="none" w:sz="0" w:space="0" w:color="auto"/>
        <w:left w:val="none" w:sz="0" w:space="0" w:color="auto"/>
        <w:bottom w:val="none" w:sz="0" w:space="0" w:color="auto"/>
        <w:right w:val="none" w:sz="0" w:space="0" w:color="auto"/>
      </w:divBdr>
    </w:div>
    <w:div w:id="648899409">
      <w:bodyDiv w:val="1"/>
      <w:marLeft w:val="0"/>
      <w:marRight w:val="0"/>
      <w:marTop w:val="0"/>
      <w:marBottom w:val="0"/>
      <w:divBdr>
        <w:top w:val="none" w:sz="0" w:space="0" w:color="auto"/>
        <w:left w:val="none" w:sz="0" w:space="0" w:color="auto"/>
        <w:bottom w:val="none" w:sz="0" w:space="0" w:color="auto"/>
        <w:right w:val="none" w:sz="0" w:space="0" w:color="auto"/>
      </w:divBdr>
    </w:div>
    <w:div w:id="716780071">
      <w:bodyDiv w:val="1"/>
      <w:marLeft w:val="0"/>
      <w:marRight w:val="0"/>
      <w:marTop w:val="0"/>
      <w:marBottom w:val="0"/>
      <w:divBdr>
        <w:top w:val="none" w:sz="0" w:space="0" w:color="auto"/>
        <w:left w:val="none" w:sz="0" w:space="0" w:color="auto"/>
        <w:bottom w:val="none" w:sz="0" w:space="0" w:color="auto"/>
        <w:right w:val="none" w:sz="0" w:space="0" w:color="auto"/>
      </w:divBdr>
    </w:div>
    <w:div w:id="761609023">
      <w:bodyDiv w:val="1"/>
      <w:marLeft w:val="0"/>
      <w:marRight w:val="0"/>
      <w:marTop w:val="0"/>
      <w:marBottom w:val="0"/>
      <w:divBdr>
        <w:top w:val="none" w:sz="0" w:space="0" w:color="auto"/>
        <w:left w:val="none" w:sz="0" w:space="0" w:color="auto"/>
        <w:bottom w:val="none" w:sz="0" w:space="0" w:color="auto"/>
        <w:right w:val="none" w:sz="0" w:space="0" w:color="auto"/>
      </w:divBdr>
    </w:div>
    <w:div w:id="1464808522">
      <w:bodyDiv w:val="1"/>
      <w:marLeft w:val="0"/>
      <w:marRight w:val="0"/>
      <w:marTop w:val="0"/>
      <w:marBottom w:val="0"/>
      <w:divBdr>
        <w:top w:val="none" w:sz="0" w:space="0" w:color="auto"/>
        <w:left w:val="none" w:sz="0" w:space="0" w:color="auto"/>
        <w:bottom w:val="none" w:sz="0" w:space="0" w:color="auto"/>
        <w:right w:val="none" w:sz="0" w:space="0" w:color="auto"/>
      </w:divBdr>
    </w:div>
    <w:div w:id="1478910766">
      <w:bodyDiv w:val="1"/>
      <w:marLeft w:val="0"/>
      <w:marRight w:val="0"/>
      <w:marTop w:val="0"/>
      <w:marBottom w:val="0"/>
      <w:divBdr>
        <w:top w:val="none" w:sz="0" w:space="0" w:color="auto"/>
        <w:left w:val="none" w:sz="0" w:space="0" w:color="auto"/>
        <w:bottom w:val="none" w:sz="0" w:space="0" w:color="auto"/>
        <w:right w:val="none" w:sz="0" w:space="0" w:color="auto"/>
      </w:divBdr>
    </w:div>
    <w:div w:id="1808859855">
      <w:bodyDiv w:val="1"/>
      <w:marLeft w:val="0"/>
      <w:marRight w:val="0"/>
      <w:marTop w:val="0"/>
      <w:marBottom w:val="0"/>
      <w:divBdr>
        <w:top w:val="none" w:sz="0" w:space="0" w:color="auto"/>
        <w:left w:val="none" w:sz="0" w:space="0" w:color="auto"/>
        <w:bottom w:val="none" w:sz="0" w:space="0" w:color="auto"/>
        <w:right w:val="none" w:sz="0" w:space="0" w:color="auto"/>
      </w:divBdr>
    </w:div>
    <w:div w:id="1825124751">
      <w:bodyDiv w:val="1"/>
      <w:marLeft w:val="0"/>
      <w:marRight w:val="0"/>
      <w:marTop w:val="0"/>
      <w:marBottom w:val="0"/>
      <w:divBdr>
        <w:top w:val="none" w:sz="0" w:space="0" w:color="auto"/>
        <w:left w:val="none" w:sz="0" w:space="0" w:color="auto"/>
        <w:bottom w:val="none" w:sz="0" w:space="0" w:color="auto"/>
        <w:right w:val="none" w:sz="0" w:space="0" w:color="auto"/>
      </w:divBdr>
    </w:div>
    <w:div w:id="1851751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8.xml"/><Relationship Id="rId21" Type="http://schemas.openxmlformats.org/officeDocument/2006/relationships/chart" Target="charts/chart13.xml"/><Relationship Id="rId42" Type="http://schemas.openxmlformats.org/officeDocument/2006/relationships/chart" Target="charts/chart34.xml"/><Relationship Id="rId47" Type="http://schemas.openxmlformats.org/officeDocument/2006/relationships/chart" Target="charts/chart39.xml"/><Relationship Id="rId63" Type="http://schemas.openxmlformats.org/officeDocument/2006/relationships/chart" Target="charts/chart54.xml"/><Relationship Id="rId68" Type="http://schemas.openxmlformats.org/officeDocument/2006/relationships/hyperlink" Target="https://www.arlis.am/DocumentView.aspx?docid=147389" TargetMode="External"/><Relationship Id="rId84" Type="http://schemas.openxmlformats.org/officeDocument/2006/relationships/chart" Target="charts/chart73.xml"/><Relationship Id="rId89" Type="http://schemas.openxmlformats.org/officeDocument/2006/relationships/image" Target="media/image2.png"/><Relationship Id="rId112" Type="http://schemas.openxmlformats.org/officeDocument/2006/relationships/footer" Target="footer1.xml"/><Relationship Id="rId16" Type="http://schemas.openxmlformats.org/officeDocument/2006/relationships/chart" Target="charts/chart8.xml"/><Relationship Id="rId107" Type="http://schemas.openxmlformats.org/officeDocument/2006/relationships/chart" Target="charts/chart92.xml"/><Relationship Id="rId11" Type="http://schemas.openxmlformats.org/officeDocument/2006/relationships/chart" Target="charts/chart3.xml"/><Relationship Id="rId32" Type="http://schemas.openxmlformats.org/officeDocument/2006/relationships/chart" Target="charts/chart24.xml"/><Relationship Id="rId37" Type="http://schemas.openxmlformats.org/officeDocument/2006/relationships/chart" Target="charts/chart29.xml"/><Relationship Id="rId53" Type="http://schemas.openxmlformats.org/officeDocument/2006/relationships/chart" Target="charts/chart44.xml"/><Relationship Id="rId58" Type="http://schemas.openxmlformats.org/officeDocument/2006/relationships/chart" Target="charts/chart49.xml"/><Relationship Id="rId74" Type="http://schemas.openxmlformats.org/officeDocument/2006/relationships/chart" Target="charts/chart63.xml"/><Relationship Id="rId79" Type="http://schemas.openxmlformats.org/officeDocument/2006/relationships/chart" Target="charts/chart68.xml"/><Relationship Id="rId102" Type="http://schemas.openxmlformats.org/officeDocument/2006/relationships/chart" Target="charts/chart89.xml"/><Relationship Id="rId5" Type="http://schemas.openxmlformats.org/officeDocument/2006/relationships/webSettings" Target="webSettings.xml"/><Relationship Id="rId90" Type="http://schemas.openxmlformats.org/officeDocument/2006/relationships/chart" Target="charts/chart78.xml"/><Relationship Id="rId95" Type="http://schemas.openxmlformats.org/officeDocument/2006/relationships/chart" Target="charts/chart82.xml"/><Relationship Id="rId22" Type="http://schemas.openxmlformats.org/officeDocument/2006/relationships/chart" Target="charts/chart14.xml"/><Relationship Id="rId27" Type="http://schemas.openxmlformats.org/officeDocument/2006/relationships/chart" Target="charts/chart19.xml"/><Relationship Id="rId43" Type="http://schemas.openxmlformats.org/officeDocument/2006/relationships/chart" Target="charts/chart35.xml"/><Relationship Id="rId48" Type="http://schemas.openxmlformats.org/officeDocument/2006/relationships/chart" Target="charts/chart40.xml"/><Relationship Id="rId64" Type="http://schemas.openxmlformats.org/officeDocument/2006/relationships/chart" Target="charts/chart55.xml"/><Relationship Id="rId69" Type="http://schemas.openxmlformats.org/officeDocument/2006/relationships/chart" Target="charts/chart58.xml"/><Relationship Id="rId113" Type="http://schemas.openxmlformats.org/officeDocument/2006/relationships/footer" Target="footer2.xml"/><Relationship Id="rId80" Type="http://schemas.openxmlformats.org/officeDocument/2006/relationships/chart" Target="charts/chart69.xml"/><Relationship Id="rId85" Type="http://schemas.openxmlformats.org/officeDocument/2006/relationships/chart" Target="charts/chart74.xml"/><Relationship Id="rId12" Type="http://schemas.openxmlformats.org/officeDocument/2006/relationships/chart" Target="charts/chart4.xml"/><Relationship Id="rId17" Type="http://schemas.openxmlformats.org/officeDocument/2006/relationships/chart" Target="charts/chart9.xml"/><Relationship Id="rId33" Type="http://schemas.openxmlformats.org/officeDocument/2006/relationships/chart" Target="charts/chart25.xml"/><Relationship Id="rId38" Type="http://schemas.openxmlformats.org/officeDocument/2006/relationships/chart" Target="charts/chart30.xml"/><Relationship Id="rId59" Type="http://schemas.openxmlformats.org/officeDocument/2006/relationships/chart" Target="charts/chart50.xml"/><Relationship Id="rId103" Type="http://schemas.openxmlformats.org/officeDocument/2006/relationships/chart" Target="charts/chart90.xml"/><Relationship Id="rId108" Type="http://schemas.openxmlformats.org/officeDocument/2006/relationships/chart" Target="charts/chart93.xml"/><Relationship Id="rId54" Type="http://schemas.openxmlformats.org/officeDocument/2006/relationships/chart" Target="charts/chart45.xml"/><Relationship Id="rId70" Type="http://schemas.openxmlformats.org/officeDocument/2006/relationships/chart" Target="charts/chart59.xml"/><Relationship Id="rId75" Type="http://schemas.openxmlformats.org/officeDocument/2006/relationships/chart" Target="charts/chart64.xml"/><Relationship Id="rId91" Type="http://schemas.openxmlformats.org/officeDocument/2006/relationships/chart" Target="charts/chart79.xml"/><Relationship Id="rId96" Type="http://schemas.openxmlformats.org/officeDocument/2006/relationships/chart" Target="charts/chart8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57" Type="http://schemas.openxmlformats.org/officeDocument/2006/relationships/chart" Target="charts/chart48.xml"/><Relationship Id="rId106" Type="http://schemas.microsoft.com/office/2007/relationships/hdphoto" Target="media/hdphoto1.wdp"/><Relationship Id="rId114" Type="http://schemas.openxmlformats.org/officeDocument/2006/relationships/fontTable" Target="fontTable.xml"/><Relationship Id="rId10" Type="http://schemas.openxmlformats.org/officeDocument/2006/relationships/chart" Target="charts/chart2.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chart" Target="charts/chart43.xml"/><Relationship Id="rId60" Type="http://schemas.openxmlformats.org/officeDocument/2006/relationships/chart" Target="charts/chart51.xml"/><Relationship Id="rId65" Type="http://schemas.openxmlformats.org/officeDocument/2006/relationships/chart" Target="charts/chart56.xml"/><Relationship Id="rId73" Type="http://schemas.openxmlformats.org/officeDocument/2006/relationships/chart" Target="charts/chart62.xml"/><Relationship Id="rId78" Type="http://schemas.openxmlformats.org/officeDocument/2006/relationships/chart" Target="charts/chart67.xml"/><Relationship Id="rId81" Type="http://schemas.openxmlformats.org/officeDocument/2006/relationships/chart" Target="charts/chart70.xml"/><Relationship Id="rId86" Type="http://schemas.openxmlformats.org/officeDocument/2006/relationships/chart" Target="charts/chart75.xml"/><Relationship Id="rId94" Type="http://schemas.openxmlformats.org/officeDocument/2006/relationships/image" Target="media/image5.png"/><Relationship Id="rId99" Type="http://schemas.openxmlformats.org/officeDocument/2006/relationships/chart" Target="charts/chart86.xml"/><Relationship Id="rId101" Type="http://schemas.openxmlformats.org/officeDocument/2006/relationships/chart" Target="charts/chart88.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chart" Target="charts/chart5.xml"/><Relationship Id="rId18" Type="http://schemas.openxmlformats.org/officeDocument/2006/relationships/chart" Target="charts/chart10.xml"/><Relationship Id="rId39" Type="http://schemas.openxmlformats.org/officeDocument/2006/relationships/chart" Target="charts/chart31.xml"/><Relationship Id="rId109" Type="http://schemas.openxmlformats.org/officeDocument/2006/relationships/image" Target="media/image7.png"/><Relationship Id="rId34" Type="http://schemas.openxmlformats.org/officeDocument/2006/relationships/chart" Target="charts/chart26.xml"/><Relationship Id="rId50" Type="http://schemas.openxmlformats.org/officeDocument/2006/relationships/hyperlink" Target="https://hy.wikipedia.org/wiki/%D4%BC%D5%B8%D5%BC%D5%B8%D6%82_%D5%B4%D5%A1%D6%80%D5%A6" TargetMode="External"/><Relationship Id="rId55" Type="http://schemas.openxmlformats.org/officeDocument/2006/relationships/chart" Target="charts/chart46.xml"/><Relationship Id="rId76" Type="http://schemas.openxmlformats.org/officeDocument/2006/relationships/chart" Target="charts/chart65.xml"/><Relationship Id="rId97" Type="http://schemas.openxmlformats.org/officeDocument/2006/relationships/chart" Target="charts/chart84.xml"/><Relationship Id="rId104" Type="http://schemas.openxmlformats.org/officeDocument/2006/relationships/chart" Target="charts/chart91.xml"/><Relationship Id="rId7" Type="http://schemas.openxmlformats.org/officeDocument/2006/relationships/endnotes" Target="endnotes.xml"/><Relationship Id="rId71" Type="http://schemas.openxmlformats.org/officeDocument/2006/relationships/chart" Target="charts/chart60.xml"/><Relationship Id="rId92" Type="http://schemas.openxmlformats.org/officeDocument/2006/relationships/chart" Target="charts/chart80.xml"/><Relationship Id="rId2" Type="http://schemas.openxmlformats.org/officeDocument/2006/relationships/numbering" Target="numbering.xml"/><Relationship Id="rId29" Type="http://schemas.openxmlformats.org/officeDocument/2006/relationships/chart" Target="charts/chart21.xml"/><Relationship Id="rId24" Type="http://schemas.openxmlformats.org/officeDocument/2006/relationships/chart" Target="charts/chart16.xml"/><Relationship Id="rId40" Type="http://schemas.openxmlformats.org/officeDocument/2006/relationships/chart" Target="charts/chart32.xml"/><Relationship Id="rId45" Type="http://schemas.openxmlformats.org/officeDocument/2006/relationships/chart" Target="charts/chart37.xml"/><Relationship Id="rId66" Type="http://schemas.openxmlformats.org/officeDocument/2006/relationships/chart" Target="charts/chart57.xml"/><Relationship Id="rId87" Type="http://schemas.openxmlformats.org/officeDocument/2006/relationships/chart" Target="charts/chart76.xml"/><Relationship Id="rId110" Type="http://schemas.openxmlformats.org/officeDocument/2006/relationships/chart" Target="charts/chart94.xml"/><Relationship Id="rId115" Type="http://schemas.openxmlformats.org/officeDocument/2006/relationships/theme" Target="theme/theme1.xml"/><Relationship Id="rId61" Type="http://schemas.openxmlformats.org/officeDocument/2006/relationships/chart" Target="charts/chart52.xml"/><Relationship Id="rId82" Type="http://schemas.openxmlformats.org/officeDocument/2006/relationships/chart" Target="charts/chart71.xml"/><Relationship Id="rId19" Type="http://schemas.openxmlformats.org/officeDocument/2006/relationships/chart" Target="charts/chart11.xml"/><Relationship Id="rId14" Type="http://schemas.openxmlformats.org/officeDocument/2006/relationships/chart" Target="charts/chart6.xml"/><Relationship Id="rId30" Type="http://schemas.openxmlformats.org/officeDocument/2006/relationships/chart" Target="charts/chart22.xml"/><Relationship Id="rId35" Type="http://schemas.openxmlformats.org/officeDocument/2006/relationships/chart" Target="charts/chart27.xml"/><Relationship Id="rId56" Type="http://schemas.openxmlformats.org/officeDocument/2006/relationships/chart" Target="charts/chart47.xml"/><Relationship Id="rId77" Type="http://schemas.openxmlformats.org/officeDocument/2006/relationships/chart" Target="charts/chart66.xml"/><Relationship Id="rId100" Type="http://schemas.openxmlformats.org/officeDocument/2006/relationships/chart" Target="charts/chart87.xml"/><Relationship Id="rId105" Type="http://schemas.openxmlformats.org/officeDocument/2006/relationships/image" Target="media/image6.png"/><Relationship Id="rId8" Type="http://schemas.openxmlformats.org/officeDocument/2006/relationships/image" Target="media/image1.png"/><Relationship Id="rId51" Type="http://schemas.openxmlformats.org/officeDocument/2006/relationships/chart" Target="charts/chart42.xml"/><Relationship Id="rId72" Type="http://schemas.openxmlformats.org/officeDocument/2006/relationships/chart" Target="charts/chart61.xml"/><Relationship Id="rId93" Type="http://schemas.openxmlformats.org/officeDocument/2006/relationships/chart" Target="charts/chart81.xml"/><Relationship Id="rId98" Type="http://schemas.openxmlformats.org/officeDocument/2006/relationships/chart" Target="charts/chart85.xml"/><Relationship Id="rId3" Type="http://schemas.openxmlformats.org/officeDocument/2006/relationships/styles" Target="styles.xml"/><Relationship Id="rId25" Type="http://schemas.openxmlformats.org/officeDocument/2006/relationships/chart" Target="charts/chart17.xml"/><Relationship Id="rId46" Type="http://schemas.openxmlformats.org/officeDocument/2006/relationships/chart" Target="charts/chart38.xml"/><Relationship Id="rId67" Type="http://schemas.openxmlformats.org/officeDocument/2006/relationships/hyperlink" Target="https://www.arlis.am/DocumentView.aspx?docid=147389" TargetMode="External"/><Relationship Id="rId20" Type="http://schemas.openxmlformats.org/officeDocument/2006/relationships/chart" Target="charts/chart12.xml"/><Relationship Id="rId41" Type="http://schemas.openxmlformats.org/officeDocument/2006/relationships/chart" Target="charts/chart33.xml"/><Relationship Id="rId62" Type="http://schemas.openxmlformats.org/officeDocument/2006/relationships/chart" Target="charts/chart53.xml"/><Relationship Id="rId83" Type="http://schemas.openxmlformats.org/officeDocument/2006/relationships/chart" Target="charts/chart72.xml"/><Relationship Id="rId88" Type="http://schemas.openxmlformats.org/officeDocument/2006/relationships/chart" Target="charts/chart77.xml"/><Relationship Id="rId111" Type="http://schemas.openxmlformats.org/officeDocument/2006/relationships/chart" Target="charts/chart95.xml"/></Relationships>
</file>

<file path=word/_rels/footnotes.xml.rels><?xml version="1.0" encoding="UTF-8" standalone="yes"?>
<Relationships xmlns="http://schemas.openxmlformats.org/package/2006/relationships"><Relationship Id="rId3" Type="http://schemas.openxmlformats.org/officeDocument/2006/relationships/hyperlink" Target="http://www.stats.gov.cn/" TargetMode="External"/><Relationship Id="rId7" Type="http://schemas.openxmlformats.org/officeDocument/2006/relationships/hyperlink" Target="https://www.imf.org/en/Publications/WP/Issues/2022/06/10/The-Ararat-Fiscal-Strategy-Model-A-Structural-Framework-for-Fiscal-Policy-Analysis-in-519522"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imf.org/en/Publications/WEO/Issues/2019/10/01/world-economic-outlook-october-2019" TargetMode="External"/><Relationship Id="rId5" Type="http://schemas.openxmlformats.org/officeDocument/2006/relationships/hyperlink" Target="https://www.cba.am/AM/News/Pages/news_11062024_01.aspx" TargetMode="External"/><Relationship Id="rId4" Type="http://schemas.openxmlformats.org/officeDocument/2006/relationships/hyperlink" Target="https://economy.gov.ru/"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40.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16.xml"/><Relationship Id="rId4" Type="http://schemas.openxmlformats.org/officeDocument/2006/relationships/package" Target="../embeddings/Microsoft_Excel_Worksheet45.xlsx"/></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17.xml"/><Relationship Id="rId4" Type="http://schemas.openxmlformats.org/officeDocument/2006/relationships/package" Target="../embeddings/Microsoft_Excel_Worksheet46.xlsx"/></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18.xml"/><Relationship Id="rId4" Type="http://schemas.openxmlformats.org/officeDocument/2006/relationships/package" Target="../embeddings/Microsoft_Excel_Worksheet47.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4.xlsx"/></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48.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Worksheet49.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13.xml"/><Relationship Id="rId1" Type="http://schemas.microsoft.com/office/2011/relationships/chartStyle" Target="style13.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14.xml"/><Relationship Id="rId1" Type="http://schemas.microsoft.com/office/2011/relationships/chartStyle" Target="style14.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15.xml"/><Relationship Id="rId1" Type="http://schemas.microsoft.com/office/2011/relationships/chartStyle" Target="style15.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16.xml"/><Relationship Id="rId1" Type="http://schemas.microsoft.com/office/2011/relationships/chartStyle" Target="style16.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17.xml"/><Relationship Id="rId1" Type="http://schemas.microsoft.com/office/2011/relationships/chartStyle" Target="style17.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18.xml"/><Relationship Id="rId1" Type="http://schemas.microsoft.com/office/2011/relationships/chartStyle" Target="style18.xml"/></Relationships>
</file>

<file path=word/charts/_rels/chart58.xml.rels><?xml version="1.0" encoding="UTF-8" standalone="yes"?>
<Relationships xmlns="http://schemas.openxmlformats.org/package/2006/relationships"><Relationship Id="rId1" Type="http://schemas.openxmlformats.org/officeDocument/2006/relationships/oleObject" Target="file:///\\172.20.215.254\Share\public_debt\Share\STRATEGY%20AND%20RISKS\STRATEGY\Strategy%202025-2027\2025-2027%20Strategy%20data.xlsx" TargetMode="External"/></Relationships>
</file>

<file path=word/charts/_rels/chart59.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M-WORK\Budget%202025-2027\Budget%20External%20Debt.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5.xlsx"/></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embeddings/oleObject2.bin"/></Relationships>
</file>

<file path=word/charts/_rels/chart61.xml.rels><?xml version="1.0" encoding="UTF-8" standalone="yes"?>
<Relationships xmlns="http://schemas.openxmlformats.org/package/2006/relationships"><Relationship Id="rId3" Type="http://schemas.openxmlformats.org/officeDocument/2006/relationships/oleObject" Target="file:///\\172.20.215.254\Share\public_debt\Share\STRATEGY%20AND%20RISKS\STRATEGY\Strategy%202025-2027\Risk_Indicators_Dynamic.xlsx" TargetMode="External"/><Relationship Id="rId2" Type="http://schemas.microsoft.com/office/2011/relationships/chartColorStyle" Target="colors21.xml"/><Relationship Id="rId1" Type="http://schemas.microsoft.com/office/2011/relationships/chartStyle" Target="style21.xml"/></Relationships>
</file>

<file path=word/charts/_rels/chart62.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54.xml"/></Relationships>
</file>

<file path=word/charts/_rels/chart63.xml.rels><?xml version="1.0" encoding="UTF-8" standalone="yes"?>
<Relationships xmlns="http://schemas.openxmlformats.org/package/2006/relationships"><Relationship Id="rId3" Type="http://schemas.openxmlformats.org/officeDocument/2006/relationships/oleObject" Target="file:///C:\Users\Marine.Melikyan\AppData\Roaming\Microsoft\Excel\Risk_Indicators_Dynamic%20(version%201).xlsb" TargetMode="External"/><Relationship Id="rId2" Type="http://schemas.microsoft.com/office/2011/relationships/chartColorStyle" Target="colors22.xml"/><Relationship Id="rId1" Type="http://schemas.microsoft.com/office/2011/relationships/chartStyle" Target="style22.xml"/></Relationships>
</file>

<file path=word/charts/_rels/chart64.xml.rels><?xml version="1.0" encoding="UTF-8" standalone="yes"?>
<Relationships xmlns="http://schemas.openxmlformats.org/package/2006/relationships"><Relationship Id="rId3" Type="http://schemas.openxmlformats.org/officeDocument/2006/relationships/oleObject" Target="file:///\\172.20.215.254\Share\public_debt\Share\STRATEGY%20AND%20RISKS\STRATEGY\Strategy%202025-2027\2025-2027%20Strategy%20data.xlsx" TargetMode="External"/><Relationship Id="rId2" Type="http://schemas.microsoft.com/office/2011/relationships/chartColorStyle" Target="colors23.xml"/><Relationship Id="rId1" Type="http://schemas.microsoft.com/office/2011/relationships/chartStyle" Target="style23.xml"/></Relationships>
</file>

<file path=word/charts/_rels/chart65.xml.rels><?xml version="1.0" encoding="UTF-8" standalone="yes"?>
<Relationships xmlns="http://schemas.openxmlformats.org/package/2006/relationships"><Relationship Id="rId3" Type="http://schemas.openxmlformats.org/officeDocument/2006/relationships/oleObject" Target="file:///\\172.20.215.254\Share\public_debt\Share\STRATEGY%20AND%20RISKS\STRATEGY\Strategy%202025-2027\2025-2027%20Strategy%20data.xlsx" TargetMode="External"/><Relationship Id="rId2" Type="http://schemas.microsoft.com/office/2011/relationships/chartColorStyle" Target="colors24.xml"/><Relationship Id="rId1" Type="http://schemas.microsoft.com/office/2011/relationships/chartStyle" Target="style24.xml"/></Relationships>
</file>

<file path=word/charts/_rels/chart66.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oleObject" Target="file:///\\172.20.215.254\Share\public_debt\Share\STRATEGY%20AND%20RISKS\STRATEGY\Strategy%202025-2027\2025-2027%20Strategy%20data.xlsx" TargetMode="External"/><Relationship Id="rId1" Type="http://schemas.openxmlformats.org/officeDocument/2006/relationships/themeOverride" Target="../theme/themeOverride55.xml"/></Relationships>
</file>

<file path=word/charts/_rels/chart67.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172.20.215.254\Share\public_debt\Share\STRATEGY%20AND%20RISKS\STRATEGY\Strategy%202025-2027\2025-2027%20Strategy%20data.xlsx" TargetMode="External"/></Relationships>
</file>

<file path=word/charts/_rels/chart68.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172.20.215.254\Share\public_debt\Share\STRATEGY%20AND%20RISKS\STRATEGY\Strategy%202025-2027\2025-2027%20Strategy%20data.xlsx" TargetMode="External"/></Relationships>
</file>

<file path=word/charts/_rels/chart69.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5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57.xml"/></Relationships>
</file>

<file path=word/charts/_rels/chart71.xml.rels><?xml version="1.0" encoding="UTF-8" standalone="yes"?>
<Relationships xmlns="http://schemas.openxmlformats.org/package/2006/relationships"><Relationship Id="rId3" Type="http://schemas.openxmlformats.org/officeDocument/2006/relationships/themeOverride" Target="../theme/themeOverride58.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24.xml"/><Relationship Id="rId4" Type="http://schemas.openxmlformats.org/officeDocument/2006/relationships/package" Target="../embeddings/Microsoft_Excel_Worksheet56.xlsx"/></Relationships>
</file>

<file path=word/charts/_rels/chart72.xml.rels><?xml version="1.0" encoding="UTF-8" standalone="yes"?>
<Relationships xmlns="http://schemas.openxmlformats.org/package/2006/relationships"><Relationship Id="rId3" Type="http://schemas.openxmlformats.org/officeDocument/2006/relationships/themeOverride" Target="../theme/themeOverride59.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25.xml"/><Relationship Id="rId4" Type="http://schemas.openxmlformats.org/officeDocument/2006/relationships/package" Target="../embeddings/Microsoft_Excel_Worksheet57.xlsx"/></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60.xml"/><Relationship Id="rId2" Type="http://schemas.microsoft.com/office/2011/relationships/chartColorStyle" Target="colors27.xml"/><Relationship Id="rId1" Type="http://schemas.microsoft.com/office/2011/relationships/chartStyle" Target="style27.xml"/><Relationship Id="rId5" Type="http://schemas.openxmlformats.org/officeDocument/2006/relationships/chartUserShapes" Target="../drawings/drawing26.xml"/><Relationship Id="rId4" Type="http://schemas.openxmlformats.org/officeDocument/2006/relationships/package" Target="../embeddings/Microsoft_Excel_Worksheet58.xlsx"/></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61.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package" Target="../embeddings/Microsoft_Excel_Worksheet59.xlsx"/></Relationships>
</file>

<file path=word/charts/_rels/chart75.xml.rels><?xml version="1.0" encoding="UTF-8" standalone="yes"?>
<Relationships xmlns="http://schemas.openxmlformats.org/package/2006/relationships"><Relationship Id="rId3" Type="http://schemas.openxmlformats.org/officeDocument/2006/relationships/oleObject" Target="file:///D:\SOE_data\SOEs%20data%202022_recovered%20(Repaired)%20(Recovered).xlsx" TargetMode="External"/><Relationship Id="rId2" Type="http://schemas.microsoft.com/office/2011/relationships/chartColorStyle" Target="colors29.xml"/><Relationship Id="rId1" Type="http://schemas.microsoft.com/office/2011/relationships/chartStyle" Target="style29.xml"/></Relationships>
</file>

<file path=word/charts/_rels/chart76.xml.rels><?xml version="1.0" encoding="UTF-8" standalone="yes"?>
<Relationships xmlns="http://schemas.openxmlformats.org/package/2006/relationships"><Relationship Id="rId3" Type="http://schemas.openxmlformats.org/officeDocument/2006/relationships/oleObject" Target="file:///D:\SOE_data\SOEs%20data%202022_recovered%20(Repaired)%20(Recovered).xlsx" TargetMode="External"/><Relationship Id="rId2" Type="http://schemas.microsoft.com/office/2011/relationships/chartColorStyle" Target="colors30.xml"/><Relationship Id="rId1" Type="http://schemas.microsoft.com/office/2011/relationships/chartStyle" Target="style30.xml"/></Relationships>
</file>

<file path=word/charts/_rels/chart77.xml.rels><?xml version="1.0" encoding="UTF-8" standalone="yes"?>
<Relationships xmlns="http://schemas.openxmlformats.org/package/2006/relationships"><Relationship Id="rId3" Type="http://schemas.openxmlformats.org/officeDocument/2006/relationships/oleObject" Target="file:///C:\Users\Hayk.Ohanyan\Documents\SOE_data\SOEs%20data%202022_recovered%20(Repaired)%20(Recovered).xlsx" TargetMode="Externa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chartUserShapes" Target="../drawings/drawing27.xml"/></Relationships>
</file>

<file path=word/charts/_rels/chart78.xml.rels><?xml version="1.0" encoding="UTF-8" standalone="yes"?>
<Relationships xmlns="http://schemas.openxmlformats.org/package/2006/relationships"><Relationship Id="rId3" Type="http://schemas.openxmlformats.org/officeDocument/2006/relationships/oleObject" Target="file:///C:\Users\Hayk.Ohanyan\Desktop\Models%20of%20SOEs\SOEHCT-v1-3-Beta_without%20%20infection%20desease%20center_working.xlsm" TargetMode="External"/><Relationship Id="rId2" Type="http://schemas.microsoft.com/office/2011/relationships/chartColorStyle" Target="colors32.xml"/><Relationship Id="rId1" Type="http://schemas.microsoft.com/office/2011/relationships/chartStyle" Target="style32.xml"/></Relationships>
</file>

<file path=word/charts/_rels/chart79.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33.xml"/><Relationship Id="rId1" Type="http://schemas.microsoft.com/office/2011/relationships/chartStyle" Target="style33.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3" Type="http://schemas.openxmlformats.org/officeDocument/2006/relationships/oleObject" Target="file:///C:\Users\Hayk.Ohanyan\Desktop\Models%20of%20SOEs\SOEHCT-v1-3-Beta_without%20%20infection%20desease%20center_working.xlsm" TargetMode="External"/><Relationship Id="rId2" Type="http://schemas.microsoft.com/office/2011/relationships/chartColorStyle" Target="colors34.xml"/><Relationship Id="rId1" Type="http://schemas.microsoft.com/office/2011/relationships/chartStyle" Target="style34.xml"/></Relationships>
</file>

<file path=word/charts/_rels/chart81.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chartUserShapes" Target="../drawings/drawing28.xml"/></Relationships>
</file>

<file path=word/charts/_rels/chart82.xml.rels><?xml version="1.0" encoding="UTF-8" standalone="yes"?>
<Relationships xmlns="http://schemas.openxmlformats.org/package/2006/relationships"><Relationship Id="rId3" Type="http://schemas.openxmlformats.org/officeDocument/2006/relationships/oleObject" Target="file:///C:\Users\Gohar.Satunts\Desktop\&#1334;&#1381;&#1391;&#1400;&#1410;&#1397;&#1409;%202024\&#1402;&#1400;&#1408;&#1407;&#1414;&#1381;&#1388;%202022%202.xlsx" TargetMode="External"/><Relationship Id="rId2" Type="http://schemas.microsoft.com/office/2011/relationships/chartColorStyle" Target="colors36.xml"/><Relationship Id="rId1" Type="http://schemas.microsoft.com/office/2011/relationships/chartStyle" Target="style36.xml"/></Relationships>
</file>

<file path=word/charts/_rels/chart83.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37.xml"/><Relationship Id="rId1" Type="http://schemas.microsoft.com/office/2011/relationships/chartStyle" Target="style37.xml"/></Relationships>
</file>

<file path=word/charts/_rels/chart84.xml.rels><?xml version="1.0" encoding="UTF-8" standalone="yes"?>
<Relationships xmlns="http://schemas.openxmlformats.org/package/2006/relationships"><Relationship Id="rId3" Type="http://schemas.openxmlformats.org/officeDocument/2006/relationships/oleObject" Target="file:///C:\Users\Gohar.Satunts\Desktop\New%20Microsoft%20Excel%20Worksheet.xlsx" TargetMode="External"/><Relationship Id="rId2" Type="http://schemas.microsoft.com/office/2011/relationships/chartColorStyle" Target="colors38.xml"/><Relationship Id="rId1" Type="http://schemas.microsoft.com/office/2011/relationships/chartStyle" Target="style38.xml"/></Relationships>
</file>

<file path=word/charts/_rels/chart85.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39.xml"/><Relationship Id="rId1" Type="http://schemas.microsoft.com/office/2011/relationships/chartStyle" Target="style39.xml"/></Relationships>
</file>

<file path=word/charts/_rels/chart86.xml.rels><?xml version="1.0" encoding="UTF-8" standalone="yes"?>
<Relationships xmlns="http://schemas.openxmlformats.org/package/2006/relationships"><Relationship Id="rId3" Type="http://schemas.openxmlformats.org/officeDocument/2006/relationships/oleObject" Target="file:///C:\Users\Gohar.Satunts\Downloads\New%20Microsoft%20Excel%20Worksheet%20(4).xlsx" TargetMode="External"/><Relationship Id="rId2" Type="http://schemas.microsoft.com/office/2011/relationships/chartColorStyle" Target="colors40.xml"/><Relationship Id="rId1" Type="http://schemas.microsoft.com/office/2011/relationships/chartStyle" Target="style40.xml"/></Relationships>
</file>

<file path=word/charts/_rels/chart87.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41.xml"/><Relationship Id="rId1" Type="http://schemas.microsoft.com/office/2011/relationships/chartStyle" Target="style41.xml"/></Relationships>
</file>

<file path=word/charts/_rels/chart88.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42.xml"/><Relationship Id="rId1" Type="http://schemas.microsoft.com/office/2011/relationships/chartStyle" Target="style42.xml"/></Relationships>
</file>

<file path=word/charts/_rels/chart89.xml.rels><?xml version="1.0" encoding="UTF-8" standalone="yes"?>
<Relationships xmlns="http://schemas.openxmlformats.org/package/2006/relationships"><Relationship Id="rId3" Type="http://schemas.openxmlformats.org/officeDocument/2006/relationships/themeOverride" Target="../theme/themeOverride62.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oleObject" Target="../embeddings/oleObject8.bin"/></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44.xml"/><Relationship Id="rId1" Type="http://schemas.microsoft.com/office/2011/relationships/chartStyle" Target="style44.xml"/></Relationships>
</file>

<file path=word/charts/_rels/chart91.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45.xml"/><Relationship Id="rId1" Type="http://schemas.microsoft.com/office/2011/relationships/chartStyle" Target="style45.xml"/></Relationships>
</file>

<file path=word/charts/_rels/chart92.xml.rels><?xml version="1.0" encoding="UTF-8" standalone="yes"?>
<Relationships xmlns="http://schemas.openxmlformats.org/package/2006/relationships"><Relationship Id="rId3" Type="http://schemas.openxmlformats.org/officeDocument/2006/relationships/oleObject" Target="file:///C:\Users\Hayk.Ohanyan\Documents\Natural%20Disaster_Concept%20Note\Emergency%20events.xlsx" TargetMode="External"/><Relationship Id="rId2" Type="http://schemas.microsoft.com/office/2011/relationships/chartColorStyle" Target="colors46.xml"/><Relationship Id="rId1" Type="http://schemas.microsoft.com/office/2011/relationships/chartStyle" Target="style46.xml"/></Relationships>
</file>

<file path=word/charts/_rels/chart93.xml.rels><?xml version="1.0" encoding="UTF-8" standalone="yes"?>
<Relationships xmlns="http://schemas.openxmlformats.org/package/2006/relationships"><Relationship Id="rId3" Type="http://schemas.openxmlformats.org/officeDocument/2006/relationships/oleObject" Target="file:///C:\Users\Hayk.Ohanyan\Documents\Fiscal%20Risk%20Report\Emergency%20events.xlsx" TargetMode="External"/><Relationship Id="rId2" Type="http://schemas.microsoft.com/office/2011/relationships/chartColorStyle" Target="colors47.xml"/><Relationship Id="rId1" Type="http://schemas.microsoft.com/office/2011/relationships/chartStyle" Target="style47.xml"/></Relationships>
</file>

<file path=word/charts/_rels/chart94.xml.rels><?xml version="1.0" encoding="UTF-8" standalone="yes"?>
<Relationships xmlns="http://schemas.openxmlformats.org/package/2006/relationships"><Relationship Id="rId3" Type="http://schemas.openxmlformats.org/officeDocument/2006/relationships/oleObject" Target="file:///C:\Users\Meri.Zakaryan\Desktop\SOE%20zekujc\&#1406;&#1377;&#1408;&#1400;&#1410;&#1397;&#1385;.xlsx" TargetMode="External"/><Relationship Id="rId2" Type="http://schemas.microsoft.com/office/2011/relationships/chartColorStyle" Target="colors48.xml"/><Relationship Id="rId1" Type="http://schemas.microsoft.com/office/2011/relationships/chartStyle" Target="style48.xml"/></Relationships>
</file>

<file path=word/charts/_rels/chart95.xml.rels><?xml version="1.0" encoding="UTF-8" standalone="yes"?>
<Relationships xmlns="http://schemas.openxmlformats.org/package/2006/relationships"><Relationship Id="rId3" Type="http://schemas.openxmlformats.org/officeDocument/2006/relationships/oleObject" Target="file:///C:\Users\Meri.Zakaryan\Desktop\SOE%20zekujc\&#1406;&#1377;&#1408;&#1400;&#1410;&#1397;&#1385;.xlsx" TargetMode="External"/><Relationship Id="rId2" Type="http://schemas.microsoft.com/office/2011/relationships/chartColorStyle" Target="colors49.xml"/><Relationship Id="rId1" Type="http://schemas.microsoft.com/office/2011/relationships/chartStyle" Target="style4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65660472727729"/>
          <c:y val="7.1301466104615782E-2"/>
          <c:w val="0.8282812133118006"/>
          <c:h val="0.67818924149632864"/>
        </c:manualLayout>
      </c:layout>
      <c:barChart>
        <c:barDir val="col"/>
        <c:grouping val="clustered"/>
        <c:varyColors val="0"/>
        <c:ser>
          <c:idx val="1"/>
          <c:order val="1"/>
          <c:tx>
            <c:strRef>
              <c:f>Sheet1!$C$1</c:f>
              <c:strCache>
                <c:ptCount val="1"/>
                <c:pt idx="0">
                  <c:v>ՌԴ</c:v>
                </c:pt>
              </c:strCache>
            </c:strRef>
          </c:tx>
          <c:spPr>
            <a:solidFill>
              <a:srgbClr val="ED7D31">
                <a:lumMod val="60000"/>
                <a:lumOff val="40000"/>
              </a:srgbClr>
            </a:solidFill>
            <a:ln>
              <a:noFill/>
            </a:ln>
            <a:effectLst/>
          </c:spPr>
          <c:invertIfNegative val="0"/>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Sheet1!$C$2:$C$12</c:f>
              <c:numCache>
                <c:formatCode>0.0</c:formatCode>
                <c:ptCount val="9"/>
                <c:pt idx="0">
                  <c:v>2.198</c:v>
                </c:pt>
                <c:pt idx="1">
                  <c:v>-2.6539999999999999</c:v>
                </c:pt>
                <c:pt idx="2">
                  <c:v>5.6239999999999997</c:v>
                </c:pt>
                <c:pt idx="3">
                  <c:v>-2.0510000000000002</c:v>
                </c:pt>
                <c:pt idx="4">
                  <c:v>3.6</c:v>
                </c:pt>
                <c:pt idx="5">
                  <c:v>3.1619999999999999</c:v>
                </c:pt>
                <c:pt idx="6">
                  <c:v>1.8109999999999999</c:v>
                </c:pt>
                <c:pt idx="7">
                  <c:v>1.25</c:v>
                </c:pt>
                <c:pt idx="8">
                  <c:v>1.25</c:v>
                </c:pt>
              </c:numCache>
            </c:numRef>
          </c:val>
          <c:extLst>
            <c:ext xmlns:c16="http://schemas.microsoft.com/office/drawing/2014/chart" uri="{C3380CC4-5D6E-409C-BE32-E72D297353CC}">
              <c16:uniqueId val="{00000000-84BB-4072-9786-0217B8EA67F6}"/>
            </c:ext>
          </c:extLst>
        </c:ser>
        <c:ser>
          <c:idx val="2"/>
          <c:order val="2"/>
          <c:tx>
            <c:strRef>
              <c:f>Sheet1!$D$1</c:f>
              <c:strCache>
                <c:ptCount val="1"/>
                <c:pt idx="0">
                  <c:v>Եվրագոտի</c:v>
                </c:pt>
              </c:strCache>
            </c:strRef>
          </c:tx>
          <c:spPr>
            <a:solidFill>
              <a:schemeClr val="accent3"/>
            </a:solidFill>
            <a:ln>
              <a:noFill/>
            </a:ln>
            <a:effectLst/>
          </c:spPr>
          <c:invertIfNegative val="0"/>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Sheet1!$D$2:$D$12</c:f>
              <c:numCache>
                <c:formatCode>0.0</c:formatCode>
                <c:ptCount val="9"/>
                <c:pt idx="0">
                  <c:v>1.5</c:v>
                </c:pt>
                <c:pt idx="1">
                  <c:v>-6.3639999999999999</c:v>
                </c:pt>
                <c:pt idx="2">
                  <c:v>5.3360000000000003</c:v>
                </c:pt>
                <c:pt idx="3">
                  <c:v>3.5</c:v>
                </c:pt>
                <c:pt idx="4">
                  <c:v>0.4</c:v>
                </c:pt>
                <c:pt idx="5">
                  <c:v>0.79700000000000004</c:v>
                </c:pt>
                <c:pt idx="6">
                  <c:v>1.46</c:v>
                </c:pt>
                <c:pt idx="7">
                  <c:v>1.4470000000000001</c:v>
                </c:pt>
                <c:pt idx="8">
                  <c:v>1.3129999999999999</c:v>
                </c:pt>
              </c:numCache>
            </c:numRef>
          </c:val>
          <c:extLst>
            <c:ext xmlns:c16="http://schemas.microsoft.com/office/drawing/2014/chart" uri="{C3380CC4-5D6E-409C-BE32-E72D297353CC}">
              <c16:uniqueId val="{00000001-84BB-4072-9786-0217B8EA67F6}"/>
            </c:ext>
          </c:extLst>
        </c:ser>
        <c:ser>
          <c:idx val="3"/>
          <c:order val="3"/>
          <c:tx>
            <c:strRef>
              <c:f>Sheet1!$E$1</c:f>
              <c:strCache>
                <c:ptCount val="1"/>
                <c:pt idx="0">
                  <c:v>Չինաստան</c:v>
                </c:pt>
              </c:strCache>
            </c:strRef>
          </c:tx>
          <c:spPr>
            <a:solidFill>
              <a:srgbClr val="4472C4">
                <a:lumMod val="40000"/>
                <a:lumOff val="60000"/>
              </a:srgbClr>
            </a:solidFill>
            <a:ln>
              <a:noFill/>
            </a:ln>
            <a:effectLst/>
          </c:spPr>
          <c:invertIfNegative val="0"/>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Sheet1!$E$2:$E$12</c:f>
              <c:numCache>
                <c:formatCode>0.0</c:formatCode>
                <c:ptCount val="9"/>
                <c:pt idx="0">
                  <c:v>5.9509999999999996</c:v>
                </c:pt>
                <c:pt idx="1">
                  <c:v>2.242</c:v>
                </c:pt>
                <c:pt idx="2">
                  <c:v>8.4499999999999993</c:v>
                </c:pt>
                <c:pt idx="3">
                  <c:v>2.988</c:v>
                </c:pt>
                <c:pt idx="4">
                  <c:v>5.2380000000000004</c:v>
                </c:pt>
                <c:pt idx="5">
                  <c:v>4.6520000000000001</c:v>
                </c:pt>
                <c:pt idx="6">
                  <c:v>4.0860000000000003</c:v>
                </c:pt>
                <c:pt idx="7">
                  <c:v>3.77</c:v>
                </c:pt>
                <c:pt idx="8">
                  <c:v>3.577</c:v>
                </c:pt>
              </c:numCache>
            </c:numRef>
          </c:val>
          <c:extLst>
            <c:ext xmlns:c16="http://schemas.microsoft.com/office/drawing/2014/chart" uri="{C3380CC4-5D6E-409C-BE32-E72D297353CC}">
              <c16:uniqueId val="{00000002-84BB-4072-9786-0217B8EA67F6}"/>
            </c:ext>
          </c:extLst>
        </c:ser>
        <c:ser>
          <c:idx val="4"/>
          <c:order val="4"/>
          <c:tx>
            <c:strRef>
              <c:f>Sheet1!$F$1</c:f>
              <c:strCache>
                <c:ptCount val="1"/>
                <c:pt idx="0">
                  <c:v>ԱՄՆ</c:v>
                </c:pt>
              </c:strCache>
            </c:strRef>
          </c:tx>
          <c:spPr>
            <a:solidFill>
              <a:srgbClr val="5B9BD5">
                <a:lumMod val="75000"/>
              </a:srgbClr>
            </a:solidFill>
            <a:ln>
              <a:noFill/>
            </a:ln>
            <a:effectLst/>
          </c:spPr>
          <c:invertIfNegative val="0"/>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Sheet1!$F$2:$F$12</c:f>
              <c:numCache>
                <c:formatCode>0.0</c:formatCode>
                <c:ptCount val="9"/>
                <c:pt idx="0">
                  <c:v>2.2890000000000001</c:v>
                </c:pt>
                <c:pt idx="1">
                  <c:v>-2.7679999999999998</c:v>
                </c:pt>
                <c:pt idx="2">
                  <c:v>5.9470000000000001</c:v>
                </c:pt>
                <c:pt idx="3">
                  <c:v>2.0680000000000001</c:v>
                </c:pt>
                <c:pt idx="4">
                  <c:v>2.5</c:v>
                </c:pt>
                <c:pt idx="5">
                  <c:v>2.7250000000000001</c:v>
                </c:pt>
                <c:pt idx="6">
                  <c:v>1.881</c:v>
                </c:pt>
                <c:pt idx="7">
                  <c:v>2.028</c:v>
                </c:pt>
                <c:pt idx="8">
                  <c:v>2.12</c:v>
                </c:pt>
              </c:numCache>
            </c:numRef>
          </c:val>
          <c:extLst>
            <c:ext xmlns:c16="http://schemas.microsoft.com/office/drawing/2014/chart" uri="{C3380CC4-5D6E-409C-BE32-E72D297353CC}">
              <c16:uniqueId val="{00000003-84BB-4072-9786-0217B8EA67F6}"/>
            </c:ext>
          </c:extLst>
        </c:ser>
        <c:dLbls>
          <c:showLegendKey val="0"/>
          <c:showVal val="0"/>
          <c:showCatName val="0"/>
          <c:showSerName val="0"/>
          <c:showPercent val="0"/>
          <c:showBubbleSize val="0"/>
        </c:dLbls>
        <c:gapWidth val="150"/>
        <c:axId val="2025823488"/>
        <c:axId val="2025828384"/>
      </c:barChart>
      <c:lineChart>
        <c:grouping val="standard"/>
        <c:varyColors val="0"/>
        <c:ser>
          <c:idx val="0"/>
          <c:order val="0"/>
          <c:tx>
            <c:strRef>
              <c:f>Sheet1!$B$1</c:f>
              <c:strCache>
                <c:ptCount val="1"/>
                <c:pt idx="0">
                  <c:v>Աշխարհ</c:v>
                </c:pt>
              </c:strCache>
            </c:strRef>
          </c:tx>
          <c:spPr>
            <a:ln w="28575" cap="rnd">
              <a:solidFill>
                <a:srgbClr val="44546A"/>
              </a:solidFill>
              <a:round/>
            </a:ln>
            <a:effectLst/>
          </c:spPr>
          <c:marker>
            <c:symbol val="circle"/>
            <c:size val="5"/>
            <c:spPr>
              <a:solidFill>
                <a:srgbClr val="44546A"/>
              </a:solidFill>
              <a:ln w="9525">
                <a:solidFill>
                  <a:srgbClr val="44546A"/>
                </a:solidFill>
              </a:ln>
              <a:effectLst/>
            </c:spPr>
          </c:marker>
          <c:dLbls>
            <c:dLbl>
              <c:idx val="1"/>
              <c:layout>
                <c:manualLayout>
                  <c:x val="-7.2548439977426035E-2"/>
                  <c:y val="5.1597802851963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4BB-4072-9786-0217B8EA67F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Sheet1!$B$2:$B$12</c:f>
              <c:numCache>
                <c:formatCode>0.0</c:formatCode>
                <c:ptCount val="9"/>
                <c:pt idx="0">
                  <c:v>2.8</c:v>
                </c:pt>
                <c:pt idx="1">
                  <c:v>-3.0630000000000002</c:v>
                </c:pt>
                <c:pt idx="2">
                  <c:v>6.2</c:v>
                </c:pt>
                <c:pt idx="3">
                  <c:v>3.4</c:v>
                </c:pt>
                <c:pt idx="4">
                  <c:v>3.2</c:v>
                </c:pt>
                <c:pt idx="5">
                  <c:v>3.1789999999999998</c:v>
                </c:pt>
                <c:pt idx="6">
                  <c:v>3.234</c:v>
                </c:pt>
                <c:pt idx="7">
                  <c:v>3.157</c:v>
                </c:pt>
                <c:pt idx="8">
                  <c:v>3.137</c:v>
                </c:pt>
              </c:numCache>
            </c:numRef>
          </c:val>
          <c:smooth val="0"/>
          <c:extLst>
            <c:ext xmlns:c16="http://schemas.microsoft.com/office/drawing/2014/chart" uri="{C3380CC4-5D6E-409C-BE32-E72D297353CC}">
              <c16:uniqueId val="{00000005-84BB-4072-9786-0217B8EA67F6}"/>
            </c:ext>
          </c:extLst>
        </c:ser>
        <c:dLbls>
          <c:showLegendKey val="0"/>
          <c:showVal val="0"/>
          <c:showCatName val="0"/>
          <c:showSerName val="0"/>
          <c:showPercent val="0"/>
          <c:showBubbleSize val="0"/>
        </c:dLbls>
        <c:marker val="1"/>
        <c:smooth val="0"/>
        <c:axId val="2025823488"/>
        <c:axId val="2025828384"/>
      </c:lineChart>
      <c:catAx>
        <c:axId val="20258234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28384"/>
        <c:crosses val="autoZero"/>
        <c:auto val="1"/>
        <c:lblAlgn val="ctr"/>
        <c:lblOffset val="100"/>
        <c:noMultiLvlLbl val="0"/>
      </c:catAx>
      <c:valAx>
        <c:axId val="2025828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kern="1200" baseline="0">
                    <a:solidFill>
                      <a:sysClr val="windowText" lastClr="000000">
                        <a:lumMod val="65000"/>
                        <a:lumOff val="35000"/>
                      </a:sysClr>
                    </a:solidFill>
                    <a:latin typeface="+mn-lt"/>
                    <a:ea typeface="+mn-ea"/>
                    <a:cs typeface="+mn-cs"/>
                  </a:rPr>
                  <a:t>%</a:t>
                </a:r>
                <a:endParaRPr lang="en-US" sz="800"/>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23488"/>
        <c:crosses val="autoZero"/>
        <c:crossBetween val="between"/>
      </c:valAx>
      <c:spPr>
        <a:noFill/>
        <a:ln>
          <a:noFill/>
        </a:ln>
        <a:effectLst/>
      </c:spPr>
    </c:plotArea>
    <c:legend>
      <c:legendPos val="b"/>
      <c:layout>
        <c:manualLayout>
          <c:xMode val="edge"/>
          <c:yMode val="edge"/>
          <c:x val="1.8065984072810005E-2"/>
          <c:y val="0.86564105173444605"/>
          <c:w val="0.91522685944120463"/>
          <c:h val="0.1159192499968198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17611554748301"/>
          <c:y val="7.0365212113800715E-2"/>
          <c:w val="0.87260540551091115"/>
          <c:h val="0.65950464129861253"/>
        </c:manualLayout>
      </c:layout>
      <c:barChart>
        <c:barDir val="col"/>
        <c:grouping val="stacked"/>
        <c:varyColors val="0"/>
        <c:ser>
          <c:idx val="1"/>
          <c:order val="1"/>
          <c:tx>
            <c:strRef>
              <c:f>Sheet1!$D$1</c:f>
              <c:strCache>
                <c:ptCount val="1"/>
                <c:pt idx="0">
                  <c:v>Պետական սպառում</c:v>
                </c:pt>
              </c:strCache>
            </c:strRef>
          </c:tx>
          <c:spPr>
            <a:solidFill>
              <a:srgbClr val="ED7D31"/>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Sheet1!$D$2:$D$6</c:f>
              <c:numCache>
                <c:formatCode>0.0</c:formatCode>
                <c:ptCount val="5"/>
                <c:pt idx="0">
                  <c:v>2.3165618111733322</c:v>
                </c:pt>
                <c:pt idx="1">
                  <c:v>2.7346598009806642</c:v>
                </c:pt>
                <c:pt idx="2">
                  <c:v>3.2432623216128427</c:v>
                </c:pt>
                <c:pt idx="3">
                  <c:v>3.3044443762730626</c:v>
                </c:pt>
                <c:pt idx="4">
                  <c:v>-1.3546430477573481</c:v>
                </c:pt>
              </c:numCache>
            </c:numRef>
          </c:val>
          <c:extLst>
            <c:ext xmlns:c16="http://schemas.microsoft.com/office/drawing/2014/chart" uri="{C3380CC4-5D6E-409C-BE32-E72D297353CC}">
              <c16:uniqueId val="{00000000-934C-4275-B2C6-32D52D499AEA}"/>
            </c:ext>
          </c:extLst>
        </c:ser>
        <c:ser>
          <c:idx val="2"/>
          <c:order val="2"/>
          <c:tx>
            <c:strRef>
              <c:f>Sheet1!$E$1</c:f>
              <c:strCache>
                <c:ptCount val="1"/>
                <c:pt idx="0">
                  <c:v>Մասնավոր սպառում</c:v>
                </c:pt>
              </c:strCache>
            </c:strRef>
          </c:tx>
          <c:spPr>
            <a:solidFill>
              <a:srgbClr val="4472C4">
                <a:lumMod val="50000"/>
              </a:srgb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Sheet1!$E$2:$E$6</c:f>
              <c:numCache>
                <c:formatCode>0.0</c:formatCode>
                <c:ptCount val="5"/>
                <c:pt idx="0">
                  <c:v>4.8021177066608072</c:v>
                </c:pt>
                <c:pt idx="1">
                  <c:v>6.0891527191383545</c:v>
                </c:pt>
                <c:pt idx="2">
                  <c:v>4.6794044099685976</c:v>
                </c:pt>
                <c:pt idx="3">
                  <c:v>4.319811499436792</c:v>
                </c:pt>
                <c:pt idx="4">
                  <c:v>3.3207771391716738</c:v>
                </c:pt>
              </c:numCache>
            </c:numRef>
          </c:val>
          <c:extLst>
            <c:ext xmlns:c16="http://schemas.microsoft.com/office/drawing/2014/chart" uri="{C3380CC4-5D6E-409C-BE32-E72D297353CC}">
              <c16:uniqueId val="{00000001-934C-4275-B2C6-32D52D499AEA}"/>
            </c:ext>
          </c:extLst>
        </c:ser>
        <c:ser>
          <c:idx val="3"/>
          <c:order val="3"/>
          <c:tx>
            <c:strRef>
              <c:f>Sheet1!$F$1</c:f>
              <c:strCache>
                <c:ptCount val="1"/>
                <c:pt idx="0">
                  <c:v>Պետական ներդրումներ</c:v>
                </c:pt>
              </c:strCache>
            </c:strRef>
          </c:tx>
          <c:spPr>
            <a:solidFill>
              <a:sysClr val="window" lastClr="FFFFFF">
                <a:lumMod val="65000"/>
              </a:sys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Sheet1!$F$2:$F$6</c:f>
              <c:numCache>
                <c:formatCode>0.0</c:formatCode>
                <c:ptCount val="5"/>
                <c:pt idx="0">
                  <c:v>-0.31997299276219587</c:v>
                </c:pt>
                <c:pt idx="1">
                  <c:v>0.54173954929722934</c:v>
                </c:pt>
                <c:pt idx="2">
                  <c:v>1.0096313580291139</c:v>
                </c:pt>
                <c:pt idx="3">
                  <c:v>0.39308358728544734</c:v>
                </c:pt>
                <c:pt idx="4">
                  <c:v>0.20546036512547514</c:v>
                </c:pt>
              </c:numCache>
            </c:numRef>
          </c:val>
          <c:extLst>
            <c:ext xmlns:c16="http://schemas.microsoft.com/office/drawing/2014/chart" uri="{C3380CC4-5D6E-409C-BE32-E72D297353CC}">
              <c16:uniqueId val="{00000002-934C-4275-B2C6-32D52D499AEA}"/>
            </c:ext>
          </c:extLst>
        </c:ser>
        <c:ser>
          <c:idx val="4"/>
          <c:order val="4"/>
          <c:tx>
            <c:strRef>
              <c:f>Sheet1!$G$1</c:f>
              <c:strCache>
                <c:ptCount val="1"/>
                <c:pt idx="0">
                  <c:v>Մասնավոր ներդրումներ</c:v>
                </c:pt>
              </c:strCache>
            </c:strRef>
          </c:tx>
          <c:invertIfNegative val="0"/>
          <c:cat>
            <c:strRef>
              <c:f>Sheet1!$B$2:$B$6</c:f>
              <c:strCache>
                <c:ptCount val="5"/>
                <c:pt idx="0">
                  <c:v>I եռ.</c:v>
                </c:pt>
                <c:pt idx="1">
                  <c:v>II եռ.</c:v>
                </c:pt>
                <c:pt idx="2">
                  <c:v>III եռ.</c:v>
                </c:pt>
                <c:pt idx="3">
                  <c:v>IV եռ.</c:v>
                </c:pt>
                <c:pt idx="4">
                  <c:v>I եռ.</c:v>
                </c:pt>
              </c:strCache>
            </c:strRef>
          </c:cat>
          <c:val>
            <c:numRef>
              <c:f>Sheet1!$G$2:$G$6</c:f>
              <c:numCache>
                <c:formatCode>0.0</c:formatCode>
                <c:ptCount val="5"/>
                <c:pt idx="0">
                  <c:v>1.668686051364026</c:v>
                </c:pt>
                <c:pt idx="1">
                  <c:v>1.6384467299612449</c:v>
                </c:pt>
                <c:pt idx="2">
                  <c:v>1.0928721075655787</c:v>
                </c:pt>
                <c:pt idx="3">
                  <c:v>1.7348968486152816</c:v>
                </c:pt>
                <c:pt idx="4">
                  <c:v>0.84101898143025089</c:v>
                </c:pt>
              </c:numCache>
            </c:numRef>
          </c:val>
          <c:extLst>
            <c:ext xmlns:c16="http://schemas.microsoft.com/office/drawing/2014/chart" uri="{C3380CC4-5D6E-409C-BE32-E72D297353CC}">
              <c16:uniqueId val="{00000003-934C-4275-B2C6-32D52D499AEA}"/>
            </c:ext>
          </c:extLst>
        </c:ser>
        <c:ser>
          <c:idx val="5"/>
          <c:order val="5"/>
          <c:tx>
            <c:strRef>
              <c:f>Sheet1!$H$1</c:f>
              <c:strCache>
                <c:ptCount val="1"/>
                <c:pt idx="0">
                  <c:v>Արտահանում</c:v>
                </c:pt>
              </c:strCache>
            </c:strRef>
          </c:tx>
          <c:spPr>
            <a:solidFill>
              <a:srgbClr val="ED7D31">
                <a:lumMod val="60000"/>
                <a:lumOff val="40000"/>
              </a:srgbClr>
            </a:solidFill>
          </c:spPr>
          <c:invertIfNegative val="0"/>
          <c:cat>
            <c:strRef>
              <c:f>Sheet1!$B$2:$B$6</c:f>
              <c:strCache>
                <c:ptCount val="5"/>
                <c:pt idx="0">
                  <c:v>I եռ.</c:v>
                </c:pt>
                <c:pt idx="1">
                  <c:v>II եռ.</c:v>
                </c:pt>
                <c:pt idx="2">
                  <c:v>III եռ.</c:v>
                </c:pt>
                <c:pt idx="3">
                  <c:v>IV եռ.</c:v>
                </c:pt>
                <c:pt idx="4">
                  <c:v>I եռ.</c:v>
                </c:pt>
              </c:strCache>
            </c:strRef>
          </c:cat>
          <c:val>
            <c:numRef>
              <c:f>Sheet1!$H$2:$H$6</c:f>
              <c:numCache>
                <c:formatCode>0.0</c:formatCode>
                <c:ptCount val="5"/>
                <c:pt idx="0">
                  <c:v>29.014800992851182</c:v>
                </c:pt>
                <c:pt idx="1">
                  <c:v>20.72471340940815</c:v>
                </c:pt>
                <c:pt idx="2">
                  <c:v>13.606007746393924</c:v>
                </c:pt>
                <c:pt idx="3">
                  <c:v>14.754001947009176</c:v>
                </c:pt>
                <c:pt idx="4">
                  <c:v>64.473057893737376</c:v>
                </c:pt>
              </c:numCache>
            </c:numRef>
          </c:val>
          <c:extLst>
            <c:ext xmlns:c16="http://schemas.microsoft.com/office/drawing/2014/chart" uri="{C3380CC4-5D6E-409C-BE32-E72D297353CC}">
              <c16:uniqueId val="{00000004-934C-4275-B2C6-32D52D499AEA}"/>
            </c:ext>
          </c:extLst>
        </c:ser>
        <c:ser>
          <c:idx val="6"/>
          <c:order val="6"/>
          <c:tx>
            <c:strRef>
              <c:f>Sheet1!$I$1</c:f>
              <c:strCache>
                <c:ptCount val="1"/>
                <c:pt idx="0">
                  <c:v>Ներմուծում ("-" նշանով)</c:v>
                </c:pt>
              </c:strCache>
            </c:strRef>
          </c:tx>
          <c:spPr>
            <a:solidFill>
              <a:srgbClr val="4472C4">
                <a:lumMod val="40000"/>
                <a:lumOff val="60000"/>
              </a:srgbClr>
            </a:solidFill>
          </c:spPr>
          <c:invertIfNegative val="0"/>
          <c:cat>
            <c:strRef>
              <c:f>Sheet1!$B$2:$B$6</c:f>
              <c:strCache>
                <c:ptCount val="5"/>
                <c:pt idx="0">
                  <c:v>I եռ.</c:v>
                </c:pt>
                <c:pt idx="1">
                  <c:v>II եռ.</c:v>
                </c:pt>
                <c:pt idx="2">
                  <c:v>III եռ.</c:v>
                </c:pt>
                <c:pt idx="3">
                  <c:v>IV եռ.</c:v>
                </c:pt>
                <c:pt idx="4">
                  <c:v>I եռ.</c:v>
                </c:pt>
              </c:strCache>
            </c:strRef>
          </c:cat>
          <c:val>
            <c:numRef>
              <c:f>Sheet1!$I$2:$I$6</c:f>
              <c:numCache>
                <c:formatCode>0.0</c:formatCode>
                <c:ptCount val="5"/>
                <c:pt idx="0">
                  <c:v>-28.816010840234693</c:v>
                </c:pt>
                <c:pt idx="1">
                  <c:v>-22.585613558317235</c:v>
                </c:pt>
                <c:pt idx="2">
                  <c:v>-15.046322991822208</c:v>
                </c:pt>
                <c:pt idx="3">
                  <c:v>-15.144850107559298</c:v>
                </c:pt>
                <c:pt idx="4">
                  <c:v>-52.0332997334637</c:v>
                </c:pt>
              </c:numCache>
            </c:numRef>
          </c:val>
          <c:extLst>
            <c:ext xmlns:c16="http://schemas.microsoft.com/office/drawing/2014/chart" uri="{C3380CC4-5D6E-409C-BE32-E72D297353CC}">
              <c16:uniqueId val="{00000005-934C-4275-B2C6-32D52D499AEA}"/>
            </c:ext>
          </c:extLst>
        </c:ser>
        <c:ser>
          <c:idx val="7"/>
          <c:order val="7"/>
          <c:tx>
            <c:strRef>
              <c:f>Sheet1!$J$1</c:f>
              <c:strCache>
                <c:ptCount val="1"/>
                <c:pt idx="0">
                  <c:v>Վիճակագրական շեղում</c:v>
                </c:pt>
              </c:strCache>
            </c:strRef>
          </c:tx>
          <c:spPr>
            <a:solidFill>
              <a:srgbClr val="44546A">
                <a:lumMod val="40000"/>
                <a:lumOff val="60000"/>
              </a:srgbClr>
            </a:solidFill>
          </c:spPr>
          <c:invertIfNegative val="0"/>
          <c:cat>
            <c:strRef>
              <c:f>Sheet1!$B$2:$B$6</c:f>
              <c:strCache>
                <c:ptCount val="5"/>
                <c:pt idx="0">
                  <c:v>I եռ.</c:v>
                </c:pt>
                <c:pt idx="1">
                  <c:v>II եռ.</c:v>
                </c:pt>
                <c:pt idx="2">
                  <c:v>III եռ.</c:v>
                </c:pt>
                <c:pt idx="3">
                  <c:v>IV եռ.</c:v>
                </c:pt>
                <c:pt idx="4">
                  <c:v>I եռ.</c:v>
                </c:pt>
              </c:strCache>
            </c:strRef>
          </c:cat>
          <c:val>
            <c:numRef>
              <c:f>Sheet1!$J$2:$J$6</c:f>
              <c:numCache>
                <c:formatCode>0.0</c:formatCode>
                <c:ptCount val="5"/>
                <c:pt idx="0">
                  <c:v>3.1338172709475387</c:v>
                </c:pt>
                <c:pt idx="1">
                  <c:v>1.3512638820554441</c:v>
                </c:pt>
                <c:pt idx="2">
                  <c:v>0.6635526915642429</c:v>
                </c:pt>
                <c:pt idx="3">
                  <c:v>-0.66138815106045801</c:v>
                </c:pt>
                <c:pt idx="4">
                  <c:v>-6.2723715982436863</c:v>
                </c:pt>
              </c:numCache>
            </c:numRef>
          </c:val>
          <c:extLst>
            <c:ext xmlns:c16="http://schemas.microsoft.com/office/drawing/2014/chart" uri="{C3380CC4-5D6E-409C-BE32-E72D297353CC}">
              <c16:uniqueId val="{00000006-934C-4275-B2C6-32D52D499AEA}"/>
            </c:ext>
          </c:extLst>
        </c:ser>
        <c:dLbls>
          <c:showLegendKey val="0"/>
          <c:showVal val="0"/>
          <c:showCatName val="0"/>
          <c:showSerName val="0"/>
          <c:showPercent val="0"/>
          <c:showBubbleSize val="0"/>
        </c:dLbls>
        <c:gapWidth val="150"/>
        <c:overlap val="100"/>
        <c:axId val="220547328"/>
        <c:axId val="220553216"/>
      </c:barChart>
      <c:lineChart>
        <c:grouping val="standard"/>
        <c:varyColors val="0"/>
        <c:ser>
          <c:idx val="0"/>
          <c:order val="0"/>
          <c:tx>
            <c:strRef>
              <c:f>Sheet1!$C$1</c:f>
              <c:strCache>
                <c:ptCount val="1"/>
                <c:pt idx="0">
                  <c:v>ՀՆԱ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8160451004717681E-2"/>
                  <c:y val="-6.356435352123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4C-4275-B2C6-32D52D499AEA}"/>
                </c:ext>
              </c:extLst>
            </c:dLbl>
            <c:dLbl>
              <c:idx val="1"/>
              <c:layout>
                <c:manualLayout>
                  <c:x val="-6.2899967086107844E-2"/>
                  <c:y val="-5.3678710721907427E-2"/>
                </c:manualLayout>
              </c:layout>
              <c:spPr>
                <a:noFill/>
                <a:ln>
                  <a:noFill/>
                </a:ln>
                <a:effectLst/>
              </c:spPr>
              <c:txPr>
                <a:bodyPr rot="0" vert="horz"/>
                <a:lstStyle/>
                <a:p>
                  <a:pPr>
                    <a:defRPr sz="800" b="1">
                      <a:latin typeface="GHEA Grapalat" panose="02000506050000020003" pitchFamily="50" charset="0"/>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34C-4275-B2C6-32D52D499AEA}"/>
                </c:ext>
              </c:extLst>
            </c:dLbl>
            <c:dLbl>
              <c:idx val="2"/>
              <c:layout>
                <c:manualLayout>
                  <c:x val="-5.8141124642377903E-2"/>
                  <c:y val="-4.9322245934211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34C-4275-B2C6-32D52D499AEA}"/>
                </c:ext>
              </c:extLst>
            </c:dLbl>
            <c:dLbl>
              <c:idx val="3"/>
              <c:layout>
                <c:manualLayout>
                  <c:x val="-6.0503835734359572E-2"/>
                  <c:y val="-4.6440503348296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34C-4275-B2C6-32D52D499AEA}"/>
                </c:ext>
              </c:extLst>
            </c:dLbl>
            <c:dLbl>
              <c:idx val="4"/>
              <c:layout>
                <c:manualLayout>
                  <c:x val="-6.8545627937986853E-2"/>
                  <c:y val="-5.1973802340128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34C-4275-B2C6-32D52D499AEA}"/>
                </c:ext>
              </c:extLst>
            </c:dLbl>
            <c:spPr>
              <a:noFill/>
              <a:ln>
                <a:noFill/>
              </a:ln>
              <a:effectLst/>
            </c:spPr>
            <c:txPr>
              <a:bodyPr rot="0" vert="horz"/>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Sheet1!$A$2:$B$6</c:f>
              <c:multiLvlStrCache>
                <c:ptCount val="5"/>
                <c:lvl>
                  <c:pt idx="0">
                    <c:v>I եռ.</c:v>
                  </c:pt>
                  <c:pt idx="1">
                    <c:v>II եռ.</c:v>
                  </c:pt>
                  <c:pt idx="2">
                    <c:v>III եռ.</c:v>
                  </c:pt>
                  <c:pt idx="3">
                    <c:v>IV եռ.</c:v>
                  </c:pt>
                  <c:pt idx="4">
                    <c:v>I եռ.</c:v>
                  </c:pt>
                </c:lvl>
                <c:lvl>
                  <c:pt idx="0">
                    <c:v>2023</c:v>
                  </c:pt>
                  <c:pt idx="4">
                    <c:v>2024</c:v>
                  </c:pt>
                </c:lvl>
              </c:multiLvlStrCache>
            </c:multiLvlStrRef>
          </c:cat>
          <c:val>
            <c:numRef>
              <c:f>Sheet1!$C$2:$C$6</c:f>
              <c:numCache>
                <c:formatCode>0.0</c:formatCode>
                <c:ptCount val="5"/>
                <c:pt idx="0">
                  <c:v>11.799999999999997</c:v>
                </c:pt>
                <c:pt idx="1">
                  <c:v>10.494362532523851</c:v>
                </c:pt>
                <c:pt idx="2">
                  <c:v>9.2484076433120919</c:v>
                </c:pt>
                <c:pt idx="3">
                  <c:v>8.7000000000000028</c:v>
                </c:pt>
                <c:pt idx="4">
                  <c:v>9.18</c:v>
                </c:pt>
              </c:numCache>
            </c:numRef>
          </c:val>
          <c:smooth val="0"/>
          <c:extLst>
            <c:ext xmlns:c16="http://schemas.microsoft.com/office/drawing/2014/chart" uri="{C3380CC4-5D6E-409C-BE32-E72D297353CC}">
              <c16:uniqueId val="{0000000C-934C-4275-B2C6-32D52D499AEA}"/>
            </c:ext>
          </c:extLst>
        </c:ser>
        <c:dLbls>
          <c:showLegendKey val="0"/>
          <c:showVal val="0"/>
          <c:showCatName val="0"/>
          <c:showSerName val="0"/>
          <c:showPercent val="0"/>
          <c:showBubbleSize val="0"/>
        </c:dLbls>
        <c:marker val="1"/>
        <c:smooth val="0"/>
        <c:axId val="220547328"/>
        <c:axId val="220553216"/>
      </c:lineChart>
      <c:catAx>
        <c:axId val="220547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600"/>
            </a:pPr>
            <a:endParaRPr lang="en-US"/>
          </a:p>
        </c:txPr>
        <c:crossAx val="220553216"/>
        <c:crosses val="autoZero"/>
        <c:auto val="1"/>
        <c:lblAlgn val="ctr"/>
        <c:lblOffset val="100"/>
        <c:noMultiLvlLbl val="0"/>
      </c:catAx>
      <c:valAx>
        <c:axId val="220553216"/>
        <c:scaling>
          <c:orientation val="minMax"/>
          <c:max val="40"/>
          <c:min val="-7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sz="700">
                <a:solidFill>
                  <a:schemeClr val="tx1">
                    <a:lumMod val="65000"/>
                    <a:lumOff val="35000"/>
                  </a:schemeClr>
                </a:solidFill>
              </a:defRPr>
            </a:pPr>
            <a:endParaRPr lang="en-US"/>
          </a:p>
        </c:txPr>
        <c:crossAx val="220547328"/>
        <c:crosses val="autoZero"/>
        <c:crossBetween val="between"/>
        <c:majorUnit val="10"/>
        <c:minorUnit val="1"/>
      </c:valAx>
      <c:spPr>
        <a:noFill/>
        <a:ln w="25400">
          <a:noFill/>
        </a:ln>
        <a:effectLst/>
      </c:spPr>
    </c:plotArea>
    <c:legend>
      <c:legendPos val="b"/>
      <c:layout>
        <c:manualLayout>
          <c:xMode val="edge"/>
          <c:yMode val="edge"/>
          <c:x val="0"/>
          <c:y val="0.76134644084071024"/>
          <c:w val="0.97800643086816719"/>
          <c:h val="0.23865361689601883"/>
        </c:manualLayout>
      </c:layout>
      <c:overlay val="0"/>
      <c:spPr>
        <a:noFill/>
        <a:ln>
          <a:noFill/>
        </a:ln>
        <a:effectLst/>
      </c:spPr>
      <c:txPr>
        <a:bodyPr rot="0" vert="horz"/>
        <a:lstStyle/>
        <a:p>
          <a:pPr>
            <a:defRPr sz="6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a:solidFill>
        <a:srgbClr val="E7E6E6"/>
      </a:solidFill>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0.13604805675441231"/>
          <c:w val="0.87658476118247253"/>
          <c:h val="0.59151481174278364"/>
        </c:manualLayout>
      </c:layout>
      <c:barChart>
        <c:barDir val="col"/>
        <c:grouping val="clustered"/>
        <c:varyColors val="0"/>
        <c:ser>
          <c:idx val="1"/>
          <c:order val="1"/>
          <c:tx>
            <c:strRef>
              <c:f>Sheet1!$A$3</c:f>
              <c:strCache>
                <c:ptCount val="1"/>
                <c:pt idx="0">
                  <c:v>արդյունաբերություն</c:v>
                </c:pt>
              </c:strCache>
            </c:strRef>
          </c:tx>
          <c:spPr>
            <a:solidFill>
              <a:srgbClr val="B4C7E7"/>
            </a:solidFill>
            <a:ln>
              <a:noFill/>
            </a:ln>
            <a:effectLst/>
          </c:spPr>
          <c:invertIfNegative val="0"/>
          <c:cat>
            <c:strRef>
              <c:f>Sheet1!$B$1:$F$1</c:f>
              <c:strCache>
                <c:ptCount val="5"/>
                <c:pt idx="0">
                  <c:v>1</c:v>
                </c:pt>
                <c:pt idx="1">
                  <c:v>2</c:v>
                </c:pt>
                <c:pt idx="2">
                  <c:v>3</c:v>
                </c:pt>
                <c:pt idx="3">
                  <c:v>4</c:v>
                </c:pt>
                <c:pt idx="4">
                  <c:v>5</c:v>
                </c:pt>
              </c:strCache>
            </c:strRef>
          </c:cat>
          <c:val>
            <c:numRef>
              <c:f>Sheet1!$B$3:$F$3</c:f>
              <c:numCache>
                <c:formatCode>0.0</c:formatCode>
                <c:ptCount val="5"/>
                <c:pt idx="0">
                  <c:v>19.299999999999983</c:v>
                </c:pt>
                <c:pt idx="1">
                  <c:v>28.480160472444283</c:v>
                </c:pt>
                <c:pt idx="2">
                  <c:v>29.323247969888541</c:v>
                </c:pt>
                <c:pt idx="3">
                  <c:v>26.068838616538969</c:v>
                </c:pt>
                <c:pt idx="4">
                  <c:v>22</c:v>
                </c:pt>
              </c:numCache>
            </c:numRef>
          </c:val>
          <c:extLst>
            <c:ext xmlns:c16="http://schemas.microsoft.com/office/drawing/2014/chart" uri="{C3380CC4-5D6E-409C-BE32-E72D297353CC}">
              <c16:uniqueId val="{00000000-F006-4F97-8335-55C3C756185D}"/>
            </c:ext>
          </c:extLst>
        </c:ser>
        <c:ser>
          <c:idx val="2"/>
          <c:order val="2"/>
          <c:tx>
            <c:strRef>
              <c:f>Sheet1!$A$4</c:f>
              <c:strCache>
                <c:ptCount val="1"/>
                <c:pt idx="0">
                  <c:v>գյուղատնտեսություն*</c:v>
                </c:pt>
              </c:strCache>
            </c:strRef>
          </c:tx>
          <c:spPr>
            <a:solidFill>
              <a:srgbClr val="8064A2"/>
            </a:solidFill>
            <a:ln>
              <a:noFill/>
            </a:ln>
            <a:effectLst/>
          </c:spPr>
          <c:invertIfNegative val="0"/>
          <c:cat>
            <c:strRef>
              <c:f>Sheet1!$B$1:$F$1</c:f>
              <c:strCache>
                <c:ptCount val="5"/>
                <c:pt idx="0">
                  <c:v>1</c:v>
                </c:pt>
                <c:pt idx="1">
                  <c:v>2</c:v>
                </c:pt>
                <c:pt idx="2">
                  <c:v>3</c:v>
                </c:pt>
                <c:pt idx="3">
                  <c:v>4</c:v>
                </c:pt>
                <c:pt idx="4">
                  <c:v>5</c:v>
                </c:pt>
              </c:strCache>
            </c:strRef>
          </c:cat>
          <c:val>
            <c:numRef>
              <c:f>Sheet1!$B$4:$F$4</c:f>
              <c:numCache>
                <c:formatCode>General</c:formatCode>
                <c:ptCount val="5"/>
                <c:pt idx="2" formatCode="0.0">
                  <c:v>3.7000000000000028</c:v>
                </c:pt>
              </c:numCache>
            </c:numRef>
          </c:val>
          <c:extLst>
            <c:ext xmlns:c16="http://schemas.microsoft.com/office/drawing/2014/chart" uri="{C3380CC4-5D6E-409C-BE32-E72D297353CC}">
              <c16:uniqueId val="{00000001-F006-4F97-8335-55C3C756185D}"/>
            </c:ext>
          </c:extLst>
        </c:ser>
        <c:ser>
          <c:idx val="3"/>
          <c:order val="3"/>
          <c:tx>
            <c:strRef>
              <c:f>Sheet1!$A$5</c:f>
              <c:strCache>
                <c:ptCount val="1"/>
                <c:pt idx="0">
                  <c:v>շինարարություն</c:v>
                </c:pt>
              </c:strCache>
            </c:strRef>
          </c:tx>
          <c:spPr>
            <a:solidFill>
              <a:sysClr val="window" lastClr="FFFFFF">
                <a:lumMod val="65000"/>
              </a:sysClr>
            </a:solidFill>
            <a:ln>
              <a:noFill/>
            </a:ln>
            <a:effectLst/>
          </c:spPr>
          <c:invertIfNegative val="0"/>
          <c:cat>
            <c:strRef>
              <c:f>Sheet1!$B$1:$F$1</c:f>
              <c:strCache>
                <c:ptCount val="5"/>
                <c:pt idx="0">
                  <c:v>1</c:v>
                </c:pt>
                <c:pt idx="1">
                  <c:v>2</c:v>
                </c:pt>
                <c:pt idx="2">
                  <c:v>3</c:v>
                </c:pt>
                <c:pt idx="3">
                  <c:v>4</c:v>
                </c:pt>
                <c:pt idx="4">
                  <c:v>5</c:v>
                </c:pt>
              </c:strCache>
            </c:strRef>
          </c:cat>
          <c:val>
            <c:numRef>
              <c:f>Sheet1!$B$5:$F$5</c:f>
              <c:numCache>
                <c:formatCode>0.0</c:formatCode>
                <c:ptCount val="5"/>
                <c:pt idx="0">
                  <c:v>9.5</c:v>
                </c:pt>
                <c:pt idx="1">
                  <c:v>10.799999999999997</c:v>
                </c:pt>
                <c:pt idx="2">
                  <c:v>11.700000000000003</c:v>
                </c:pt>
                <c:pt idx="3">
                  <c:v>13.700000000000003</c:v>
                </c:pt>
                <c:pt idx="4">
                  <c:v>14.900000000000006</c:v>
                </c:pt>
              </c:numCache>
            </c:numRef>
          </c:val>
          <c:extLst>
            <c:ext xmlns:c16="http://schemas.microsoft.com/office/drawing/2014/chart" uri="{C3380CC4-5D6E-409C-BE32-E72D297353CC}">
              <c16:uniqueId val="{00000002-F006-4F97-8335-55C3C756185D}"/>
            </c:ext>
          </c:extLst>
        </c:ser>
        <c:ser>
          <c:idx val="4"/>
          <c:order val="4"/>
          <c:tx>
            <c:strRef>
              <c:f>Sheet1!$A$6</c:f>
              <c:strCache>
                <c:ptCount val="1"/>
                <c:pt idx="0">
                  <c:v>ծառայություններ</c:v>
                </c:pt>
              </c:strCache>
            </c:strRef>
          </c:tx>
          <c:spPr>
            <a:solidFill>
              <a:srgbClr val="ED7D31">
                <a:lumMod val="60000"/>
                <a:lumOff val="40000"/>
              </a:srgbClr>
            </a:solidFill>
            <a:ln>
              <a:noFill/>
            </a:ln>
          </c:spPr>
          <c:invertIfNegative val="0"/>
          <c:cat>
            <c:strRef>
              <c:f>Sheet1!$B$1:$F$1</c:f>
              <c:strCache>
                <c:ptCount val="5"/>
                <c:pt idx="0">
                  <c:v>1</c:v>
                </c:pt>
                <c:pt idx="1">
                  <c:v>2</c:v>
                </c:pt>
                <c:pt idx="2">
                  <c:v>3</c:v>
                </c:pt>
                <c:pt idx="3">
                  <c:v>4</c:v>
                </c:pt>
                <c:pt idx="4">
                  <c:v>5</c:v>
                </c:pt>
              </c:strCache>
            </c:strRef>
          </c:cat>
          <c:val>
            <c:numRef>
              <c:f>Sheet1!$B$6:$F$6</c:f>
              <c:numCache>
                <c:formatCode>0.0</c:formatCode>
                <c:ptCount val="5"/>
                <c:pt idx="0">
                  <c:v>4.4000000000000057</c:v>
                </c:pt>
                <c:pt idx="1">
                  <c:v>5.2000000000000028</c:v>
                </c:pt>
                <c:pt idx="2">
                  <c:v>5</c:v>
                </c:pt>
                <c:pt idx="3">
                  <c:v>3.9000000000000057</c:v>
                </c:pt>
                <c:pt idx="4">
                  <c:v>3.7000000000000028</c:v>
                </c:pt>
              </c:numCache>
            </c:numRef>
          </c:val>
          <c:extLst>
            <c:ext xmlns:c16="http://schemas.microsoft.com/office/drawing/2014/chart" uri="{C3380CC4-5D6E-409C-BE32-E72D297353CC}">
              <c16:uniqueId val="{00000003-F006-4F97-8335-55C3C756185D}"/>
            </c:ext>
          </c:extLst>
        </c:ser>
        <c:ser>
          <c:idx val="5"/>
          <c:order val="5"/>
          <c:tx>
            <c:strRef>
              <c:f>Sheet1!$A$7</c:f>
              <c:strCache>
                <c:ptCount val="1"/>
                <c:pt idx="0">
                  <c:v>առևտուր</c:v>
                </c:pt>
              </c:strCache>
            </c:strRef>
          </c:tx>
          <c:spPr>
            <a:solidFill>
              <a:srgbClr val="4472C4">
                <a:lumMod val="50000"/>
              </a:srgbClr>
            </a:solidFill>
            <a:ln>
              <a:noFill/>
            </a:ln>
          </c:spPr>
          <c:invertIfNegative val="0"/>
          <c:cat>
            <c:strRef>
              <c:f>Sheet1!$B$1:$F$1</c:f>
              <c:strCache>
                <c:ptCount val="5"/>
                <c:pt idx="0">
                  <c:v>1</c:v>
                </c:pt>
                <c:pt idx="1">
                  <c:v>2</c:v>
                </c:pt>
                <c:pt idx="2">
                  <c:v>3</c:v>
                </c:pt>
                <c:pt idx="3">
                  <c:v>4</c:v>
                </c:pt>
                <c:pt idx="4">
                  <c:v>5</c:v>
                </c:pt>
              </c:strCache>
            </c:strRef>
          </c:cat>
          <c:val>
            <c:numRef>
              <c:f>Sheet1!$B$7:$F$7</c:f>
              <c:numCache>
                <c:formatCode>0.0</c:formatCode>
                <c:ptCount val="5"/>
                <c:pt idx="0">
                  <c:v>19.299999999999997</c:v>
                </c:pt>
                <c:pt idx="1">
                  <c:v>24.099999999999994</c:v>
                </c:pt>
                <c:pt idx="2">
                  <c:v>26.5</c:v>
                </c:pt>
                <c:pt idx="3">
                  <c:v>26.700000000000003</c:v>
                </c:pt>
                <c:pt idx="4">
                  <c:v>24.599999999999994</c:v>
                </c:pt>
              </c:numCache>
            </c:numRef>
          </c:val>
          <c:extLst>
            <c:ext xmlns:c16="http://schemas.microsoft.com/office/drawing/2014/chart" uri="{C3380CC4-5D6E-409C-BE32-E72D297353CC}">
              <c16:uniqueId val="{00000004-F006-4F97-8335-55C3C756185D}"/>
            </c:ext>
          </c:extLst>
        </c:ser>
        <c:dLbls>
          <c:showLegendKey val="0"/>
          <c:showVal val="0"/>
          <c:showCatName val="0"/>
          <c:showSerName val="0"/>
          <c:showPercent val="0"/>
          <c:showBubbleSize val="0"/>
        </c:dLbls>
        <c:gapWidth val="219"/>
        <c:overlap val="-27"/>
        <c:axId val="220583808"/>
        <c:axId val="220585344"/>
      </c:barChart>
      <c:lineChart>
        <c:grouping val="standard"/>
        <c:varyColors val="0"/>
        <c:ser>
          <c:idx val="0"/>
          <c:order val="0"/>
          <c:tx>
            <c:strRef>
              <c:f>Sheet1!$A$2</c:f>
              <c:strCache>
                <c:ptCount val="1"/>
                <c:pt idx="0">
                  <c:v>ՏԱՑ (աջ առանցք)</c:v>
                </c:pt>
              </c:strCache>
            </c:strRef>
          </c:tx>
          <c:spPr>
            <a:ln>
              <a:solidFill>
                <a:srgbClr val="4472C4">
                  <a:lumMod val="50000"/>
                </a:srgbClr>
              </a:solidFill>
            </a:ln>
            <a:effectLst/>
          </c:spPr>
          <c:marker>
            <c:spPr>
              <a:solidFill>
                <a:srgbClr val="4472C4">
                  <a:lumMod val="50000"/>
                </a:srgbClr>
              </a:solidFill>
              <a:ln>
                <a:solidFill>
                  <a:srgbClr val="4472C4">
                    <a:lumMod val="50000"/>
                  </a:srgbClr>
                </a:solidFill>
              </a:ln>
            </c:spPr>
          </c:marker>
          <c:dLbls>
            <c:dLbl>
              <c:idx val="0"/>
              <c:layout>
                <c:manualLayout>
                  <c:x val="-6.7426440116038142E-2"/>
                  <c:y val="-5.72075849725086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006-4F97-8335-55C3C756185D}"/>
                </c:ext>
              </c:extLst>
            </c:dLbl>
            <c:dLbl>
              <c:idx val="1"/>
              <c:layout>
                <c:manualLayout>
                  <c:x val="-6.6867133734267545E-2"/>
                  <c:y val="-3.9699560461274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006-4F97-8335-55C3C756185D}"/>
                </c:ext>
              </c:extLst>
            </c:dLbl>
            <c:dLbl>
              <c:idx val="2"/>
              <c:layout>
                <c:manualLayout>
                  <c:x val="-6.5996847783169332E-2"/>
                  <c:y val="-3.9699560461274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006-4F97-8335-55C3C756185D}"/>
                </c:ext>
              </c:extLst>
            </c:dLbl>
            <c:dLbl>
              <c:idx val="3"/>
              <c:layout>
                <c:manualLayout>
                  <c:x val="-6.5717194592283923E-2"/>
                  <c:y val="-4.55355686316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006-4F97-8335-55C3C756185D}"/>
                </c:ext>
              </c:extLst>
            </c:dLbl>
            <c:dLbl>
              <c:idx val="4"/>
              <c:layout>
                <c:manualLayout>
                  <c:x val="-6.3106336738989272E-2"/>
                  <c:y val="-5.7207584972508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006-4F97-8335-55C3C756185D}"/>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c:v>
                </c:pt>
                <c:pt idx="1">
                  <c:v>2</c:v>
                </c:pt>
                <c:pt idx="2">
                  <c:v>3</c:v>
                </c:pt>
                <c:pt idx="3">
                  <c:v>4</c:v>
                </c:pt>
                <c:pt idx="4">
                  <c:v>5</c:v>
                </c:pt>
              </c:strCache>
            </c:strRef>
          </c:cat>
          <c:val>
            <c:numRef>
              <c:f>Sheet1!$B$2:$F$2</c:f>
              <c:numCache>
                <c:formatCode>0.0</c:formatCode>
                <c:ptCount val="5"/>
                <c:pt idx="0">
                  <c:v>10.400000000000006</c:v>
                </c:pt>
                <c:pt idx="1">
                  <c:v>13.482040446083062</c:v>
                </c:pt>
                <c:pt idx="2">
                  <c:v>13.999176354578765</c:v>
                </c:pt>
                <c:pt idx="3">
                  <c:v>12.896281749663657</c:v>
                </c:pt>
                <c:pt idx="4">
                  <c:v>11.200000000000003</c:v>
                </c:pt>
              </c:numCache>
            </c:numRef>
          </c:val>
          <c:smooth val="0"/>
          <c:extLst>
            <c:ext xmlns:c16="http://schemas.microsoft.com/office/drawing/2014/chart" uri="{C3380CC4-5D6E-409C-BE32-E72D297353CC}">
              <c16:uniqueId val="{0000000A-F006-4F97-8335-55C3C756185D}"/>
            </c:ext>
          </c:extLst>
        </c:ser>
        <c:dLbls>
          <c:showLegendKey val="0"/>
          <c:showVal val="0"/>
          <c:showCatName val="0"/>
          <c:showSerName val="0"/>
          <c:showPercent val="0"/>
          <c:showBubbleSize val="0"/>
        </c:dLbls>
        <c:marker val="1"/>
        <c:smooth val="0"/>
        <c:axId val="220863104"/>
        <c:axId val="220861568"/>
      </c:lineChart>
      <c:catAx>
        <c:axId val="2205838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0585344"/>
        <c:crosses val="autoZero"/>
        <c:auto val="1"/>
        <c:lblAlgn val="ctr"/>
        <c:lblOffset val="100"/>
        <c:noMultiLvlLbl val="0"/>
      </c:catAx>
      <c:valAx>
        <c:axId val="2205853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0583808"/>
        <c:crosses val="autoZero"/>
        <c:crossBetween val="between"/>
      </c:valAx>
      <c:valAx>
        <c:axId val="220861568"/>
        <c:scaling>
          <c:orientation val="minMax"/>
          <c:min val="0"/>
        </c:scaling>
        <c:delete val="0"/>
        <c:axPos val="r"/>
        <c:numFmt formatCode="0.0" sourceLinked="1"/>
        <c:majorTickMark val="out"/>
        <c:minorTickMark val="none"/>
        <c:tickLblPos val="nextTo"/>
        <c:spPr>
          <a:ln>
            <a:noFill/>
          </a:ln>
        </c:spPr>
        <c:txPr>
          <a:bodyPr/>
          <a:lstStyle/>
          <a:p>
            <a:pPr>
              <a:defRPr>
                <a:solidFill>
                  <a:schemeClr val="tx1">
                    <a:lumMod val="65000"/>
                    <a:lumOff val="35000"/>
                  </a:schemeClr>
                </a:solidFill>
              </a:defRPr>
            </a:pPr>
            <a:endParaRPr lang="en-US"/>
          </a:p>
        </c:txPr>
        <c:crossAx val="220863104"/>
        <c:crosses val="max"/>
        <c:crossBetween val="between"/>
      </c:valAx>
      <c:catAx>
        <c:axId val="220863104"/>
        <c:scaling>
          <c:orientation val="minMax"/>
        </c:scaling>
        <c:delete val="1"/>
        <c:axPos val="b"/>
        <c:numFmt formatCode="General" sourceLinked="1"/>
        <c:majorTickMark val="out"/>
        <c:minorTickMark val="none"/>
        <c:tickLblPos val="none"/>
        <c:crossAx val="220861568"/>
        <c:crosses val="autoZero"/>
        <c:auto val="1"/>
        <c:lblAlgn val="ctr"/>
        <c:lblOffset val="100"/>
        <c:noMultiLvlLbl val="0"/>
      </c:catAx>
      <c:spPr>
        <a:noFill/>
        <a:ln>
          <a:noFill/>
        </a:ln>
        <a:effectLst/>
      </c:spPr>
    </c:plotArea>
    <c:legend>
      <c:legendPos val="b"/>
      <c:layout>
        <c:manualLayout>
          <c:xMode val="edge"/>
          <c:yMode val="edge"/>
          <c:x val="0"/>
          <c:y val="0.82064339658692165"/>
          <c:w val="1"/>
          <c:h val="0.165724803001654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7385904891447945"/>
        </c:manualLayout>
      </c:layout>
      <c:barChart>
        <c:barDir val="col"/>
        <c:grouping val="clustered"/>
        <c:varyColors val="0"/>
        <c:ser>
          <c:idx val="1"/>
          <c:order val="1"/>
          <c:tx>
            <c:strRef>
              <c:f>Sheet1!$A$3</c:f>
              <c:strCache>
                <c:ptCount val="1"/>
                <c:pt idx="0">
                  <c:v>արդյունաբերություն</c:v>
                </c:pt>
              </c:strCache>
            </c:strRef>
          </c:tx>
          <c:spPr>
            <a:solidFill>
              <a:srgbClr val="B4C7E7"/>
            </a:solidFill>
            <a:ln>
              <a:noFill/>
            </a:ln>
            <a:effectLst/>
          </c:spPr>
          <c:invertIfNegative val="0"/>
          <c:cat>
            <c:strRef>
              <c:f>Sheet1!$B$1:$F$1</c:f>
              <c:strCache>
                <c:ptCount val="5"/>
                <c:pt idx="0">
                  <c:v>1</c:v>
                </c:pt>
                <c:pt idx="1">
                  <c:v>2</c:v>
                </c:pt>
                <c:pt idx="2">
                  <c:v>3</c:v>
                </c:pt>
                <c:pt idx="3">
                  <c:v>4</c:v>
                </c:pt>
                <c:pt idx="4">
                  <c:v>5</c:v>
                </c:pt>
              </c:strCache>
            </c:strRef>
          </c:cat>
          <c:val>
            <c:numRef>
              <c:f>Sheet1!$B$3:$F$3</c:f>
              <c:numCache>
                <c:formatCode>0.0</c:formatCode>
                <c:ptCount val="5"/>
                <c:pt idx="0">
                  <c:v>19.299999999999997</c:v>
                </c:pt>
                <c:pt idx="1">
                  <c:v>37.300000000000011</c:v>
                </c:pt>
                <c:pt idx="2">
                  <c:v>30.900000000000006</c:v>
                </c:pt>
                <c:pt idx="3">
                  <c:v>16.599999999999994</c:v>
                </c:pt>
                <c:pt idx="4">
                  <c:v>6.9000000000000057</c:v>
                </c:pt>
              </c:numCache>
            </c:numRef>
          </c:val>
          <c:extLst>
            <c:ext xmlns:c16="http://schemas.microsoft.com/office/drawing/2014/chart" uri="{C3380CC4-5D6E-409C-BE32-E72D297353CC}">
              <c16:uniqueId val="{00000000-EB2A-44A8-AEE4-0F9CE566B9BF}"/>
            </c:ext>
          </c:extLst>
        </c:ser>
        <c:ser>
          <c:idx val="2"/>
          <c:order val="2"/>
          <c:tx>
            <c:strRef>
              <c:f>Sheet1!$A$4</c:f>
              <c:strCache>
                <c:ptCount val="1"/>
                <c:pt idx="0">
                  <c:v>շինարարություն</c:v>
                </c:pt>
              </c:strCache>
            </c:strRef>
          </c:tx>
          <c:spPr>
            <a:solidFill>
              <a:sysClr val="window" lastClr="FFFFFF">
                <a:lumMod val="65000"/>
              </a:sysClr>
            </a:solidFill>
            <a:ln>
              <a:noFill/>
            </a:ln>
            <a:effectLst/>
          </c:spPr>
          <c:invertIfNegative val="0"/>
          <c:cat>
            <c:strRef>
              <c:f>Sheet1!$B$1:$F$1</c:f>
              <c:strCache>
                <c:ptCount val="5"/>
                <c:pt idx="0">
                  <c:v>1</c:v>
                </c:pt>
                <c:pt idx="1">
                  <c:v>2</c:v>
                </c:pt>
                <c:pt idx="2">
                  <c:v>3</c:v>
                </c:pt>
                <c:pt idx="3">
                  <c:v>4</c:v>
                </c:pt>
                <c:pt idx="4">
                  <c:v>5</c:v>
                </c:pt>
              </c:strCache>
            </c:strRef>
          </c:cat>
          <c:val>
            <c:numRef>
              <c:f>Sheet1!$B$4:$F$4</c:f>
              <c:numCache>
                <c:formatCode>0.0</c:formatCode>
                <c:ptCount val="5"/>
                <c:pt idx="0">
                  <c:v>9.5</c:v>
                </c:pt>
                <c:pt idx="1">
                  <c:v>11.700000000000003</c:v>
                </c:pt>
                <c:pt idx="2">
                  <c:v>13.099999999999994</c:v>
                </c:pt>
                <c:pt idx="3">
                  <c:v>17.799999999999997</c:v>
                </c:pt>
                <c:pt idx="4">
                  <c:v>18.099999999999994</c:v>
                </c:pt>
              </c:numCache>
            </c:numRef>
          </c:val>
          <c:extLst>
            <c:ext xmlns:c16="http://schemas.microsoft.com/office/drawing/2014/chart" uri="{C3380CC4-5D6E-409C-BE32-E72D297353CC}">
              <c16:uniqueId val="{00000001-EB2A-44A8-AEE4-0F9CE566B9BF}"/>
            </c:ext>
          </c:extLst>
        </c:ser>
        <c:ser>
          <c:idx val="3"/>
          <c:order val="3"/>
          <c:tx>
            <c:strRef>
              <c:f>Sheet1!$A$5</c:f>
              <c:strCache>
                <c:ptCount val="1"/>
                <c:pt idx="0">
                  <c:v>ծառայություններ</c:v>
                </c:pt>
              </c:strCache>
            </c:strRef>
          </c:tx>
          <c:spPr>
            <a:solidFill>
              <a:srgbClr val="ED7D31">
                <a:lumMod val="60000"/>
                <a:lumOff val="40000"/>
              </a:srgbClr>
            </a:solidFill>
            <a:ln>
              <a:noFill/>
            </a:ln>
            <a:effectLst/>
          </c:spPr>
          <c:invertIfNegative val="0"/>
          <c:cat>
            <c:strRef>
              <c:f>Sheet1!$B$1:$F$1</c:f>
              <c:strCache>
                <c:ptCount val="5"/>
                <c:pt idx="0">
                  <c:v>1</c:v>
                </c:pt>
                <c:pt idx="1">
                  <c:v>2</c:v>
                </c:pt>
                <c:pt idx="2">
                  <c:v>3</c:v>
                </c:pt>
                <c:pt idx="3">
                  <c:v>4</c:v>
                </c:pt>
                <c:pt idx="4">
                  <c:v>5</c:v>
                </c:pt>
              </c:strCache>
            </c:strRef>
          </c:cat>
          <c:val>
            <c:numRef>
              <c:f>Sheet1!$B$5:$F$5</c:f>
              <c:numCache>
                <c:formatCode>0.0</c:formatCode>
                <c:ptCount val="5"/>
                <c:pt idx="0">
                  <c:v>4.4000000000000057</c:v>
                </c:pt>
                <c:pt idx="1">
                  <c:v>6</c:v>
                </c:pt>
                <c:pt idx="2">
                  <c:v>4.7000000000000028</c:v>
                </c:pt>
                <c:pt idx="3">
                  <c:v>0.79999999999999716</c:v>
                </c:pt>
                <c:pt idx="4">
                  <c:v>2.7999999999999972</c:v>
                </c:pt>
              </c:numCache>
            </c:numRef>
          </c:val>
          <c:extLst>
            <c:ext xmlns:c16="http://schemas.microsoft.com/office/drawing/2014/chart" uri="{C3380CC4-5D6E-409C-BE32-E72D297353CC}">
              <c16:uniqueId val="{00000002-EB2A-44A8-AEE4-0F9CE566B9BF}"/>
            </c:ext>
          </c:extLst>
        </c:ser>
        <c:ser>
          <c:idx val="4"/>
          <c:order val="4"/>
          <c:tx>
            <c:strRef>
              <c:f>Sheet1!$A$6</c:f>
              <c:strCache>
                <c:ptCount val="1"/>
                <c:pt idx="0">
                  <c:v>առևտուր</c:v>
                </c:pt>
              </c:strCache>
            </c:strRef>
          </c:tx>
          <c:spPr>
            <a:solidFill>
              <a:srgbClr val="4472C4">
                <a:lumMod val="50000"/>
              </a:srgbClr>
            </a:solidFill>
            <a:ln>
              <a:noFill/>
            </a:ln>
          </c:spPr>
          <c:invertIfNegative val="0"/>
          <c:cat>
            <c:strRef>
              <c:f>Sheet1!$B$1:$F$1</c:f>
              <c:strCache>
                <c:ptCount val="5"/>
                <c:pt idx="0">
                  <c:v>1</c:v>
                </c:pt>
                <c:pt idx="1">
                  <c:v>2</c:v>
                </c:pt>
                <c:pt idx="2">
                  <c:v>3</c:v>
                </c:pt>
                <c:pt idx="3">
                  <c:v>4</c:v>
                </c:pt>
                <c:pt idx="4">
                  <c:v>5</c:v>
                </c:pt>
              </c:strCache>
            </c:strRef>
          </c:cat>
          <c:val>
            <c:numRef>
              <c:f>Sheet1!$B$6:$F$6</c:f>
              <c:numCache>
                <c:formatCode>0.0</c:formatCode>
                <c:ptCount val="5"/>
                <c:pt idx="0">
                  <c:v>19.299999999999997</c:v>
                </c:pt>
                <c:pt idx="1">
                  <c:v>28.300000000000011</c:v>
                </c:pt>
                <c:pt idx="2">
                  <c:v>30.400000000000006</c:v>
                </c:pt>
                <c:pt idx="3">
                  <c:v>27.200000000000003</c:v>
                </c:pt>
                <c:pt idx="4">
                  <c:v>17.599999999999994</c:v>
                </c:pt>
              </c:numCache>
            </c:numRef>
          </c:val>
          <c:extLst>
            <c:ext xmlns:c16="http://schemas.microsoft.com/office/drawing/2014/chart" uri="{C3380CC4-5D6E-409C-BE32-E72D297353CC}">
              <c16:uniqueId val="{00000003-EB2A-44A8-AEE4-0F9CE566B9BF}"/>
            </c:ext>
          </c:extLst>
        </c:ser>
        <c:dLbls>
          <c:showLegendKey val="0"/>
          <c:showVal val="0"/>
          <c:showCatName val="0"/>
          <c:showSerName val="0"/>
          <c:showPercent val="0"/>
          <c:showBubbleSize val="0"/>
        </c:dLbls>
        <c:gapWidth val="219"/>
        <c:overlap val="-27"/>
        <c:axId val="220999040"/>
        <c:axId val="221000832"/>
      </c:barChart>
      <c:lineChart>
        <c:grouping val="standard"/>
        <c:varyColors val="0"/>
        <c:ser>
          <c:idx val="0"/>
          <c:order val="0"/>
          <c:tx>
            <c:strRef>
              <c:f>Sheet1!$A$2</c:f>
              <c:strCache>
                <c:ptCount val="1"/>
                <c:pt idx="0">
                  <c:v>ՏԱՑ (աջ առանցք)</c:v>
                </c:pt>
              </c:strCache>
            </c:strRef>
          </c:tx>
          <c:spPr>
            <a:ln>
              <a:solidFill>
                <a:srgbClr val="4472C4">
                  <a:lumMod val="75000"/>
                </a:srgbClr>
              </a:solidFill>
            </a:ln>
            <a:effectLst/>
          </c:spPr>
          <c:marker>
            <c:spPr>
              <a:solidFill>
                <a:srgbClr val="4472C4">
                  <a:lumMod val="75000"/>
                </a:srgbClr>
              </a:solidFill>
              <a:ln>
                <a:solidFill>
                  <a:srgbClr val="4472C4">
                    <a:lumMod val="75000"/>
                  </a:srgbClr>
                </a:solidFill>
              </a:ln>
            </c:spPr>
          </c:marker>
          <c:dLbls>
            <c:dLbl>
              <c:idx val="0"/>
              <c:layout>
                <c:manualLayout>
                  <c:x val="-6.821802935010482E-2"/>
                  <c:y val="-3.9699560461274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2A-44A8-AEE4-0F9CE566B9BF}"/>
                </c:ext>
              </c:extLst>
            </c:dLbl>
            <c:dLbl>
              <c:idx val="1"/>
              <c:layout>
                <c:manualLayout>
                  <c:x val="-6.683438155136269E-2"/>
                  <c:y val="-3.9699560461274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B2A-44A8-AEE4-0F9CE566B9BF}"/>
                </c:ext>
              </c:extLst>
            </c:dLbl>
            <c:dLbl>
              <c:idx val="2"/>
              <c:layout>
                <c:manualLayout>
                  <c:x val="-7.134188415127346E-2"/>
                  <c:y val="-4.55355686316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2A-44A8-AEE4-0F9CE566B9BF}"/>
                </c:ext>
              </c:extLst>
            </c:dLbl>
            <c:dLbl>
              <c:idx val="3"/>
              <c:layout>
                <c:manualLayout>
                  <c:x val="-7.1530398322851158E-2"/>
                  <c:y val="-4.55355686316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2A-44A8-AEE4-0F9CE566B9BF}"/>
                </c:ext>
              </c:extLst>
            </c:dLbl>
            <c:dLbl>
              <c:idx val="4"/>
              <c:layout>
                <c:manualLayout>
                  <c:x val="-6.0524274088380459E-2"/>
                  <c:y val="-5.13715768020972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2A-44A8-AEE4-0F9CE566B9BF}"/>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c:v>
                </c:pt>
                <c:pt idx="1">
                  <c:v>2</c:v>
                </c:pt>
                <c:pt idx="2">
                  <c:v>3</c:v>
                </c:pt>
                <c:pt idx="3">
                  <c:v>4</c:v>
                </c:pt>
                <c:pt idx="4">
                  <c:v>5</c:v>
                </c:pt>
              </c:strCache>
            </c:strRef>
          </c:cat>
          <c:val>
            <c:numRef>
              <c:f>Sheet1!$B$2:$F$2</c:f>
              <c:numCache>
                <c:formatCode>0.0</c:formatCode>
                <c:ptCount val="5"/>
                <c:pt idx="0">
                  <c:v>10.400000000000006</c:v>
                </c:pt>
                <c:pt idx="1">
                  <c:v>16.400000000000006</c:v>
                </c:pt>
                <c:pt idx="2">
                  <c:v>14.900000000000006</c:v>
                </c:pt>
                <c:pt idx="3">
                  <c:v>10</c:v>
                </c:pt>
                <c:pt idx="4">
                  <c:v>5.2000000000000028</c:v>
                </c:pt>
              </c:numCache>
            </c:numRef>
          </c:val>
          <c:smooth val="0"/>
          <c:extLst>
            <c:ext xmlns:c16="http://schemas.microsoft.com/office/drawing/2014/chart" uri="{C3380CC4-5D6E-409C-BE32-E72D297353CC}">
              <c16:uniqueId val="{00000009-EB2A-44A8-AEE4-0F9CE566B9BF}"/>
            </c:ext>
          </c:extLst>
        </c:ser>
        <c:dLbls>
          <c:showLegendKey val="0"/>
          <c:showVal val="0"/>
          <c:showCatName val="0"/>
          <c:showSerName val="0"/>
          <c:showPercent val="0"/>
          <c:showBubbleSize val="0"/>
        </c:dLbls>
        <c:marker val="1"/>
        <c:smooth val="0"/>
        <c:axId val="221004160"/>
        <c:axId val="221002368"/>
      </c:lineChart>
      <c:catAx>
        <c:axId val="2209990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1000832"/>
        <c:crosses val="autoZero"/>
        <c:auto val="1"/>
        <c:lblAlgn val="ctr"/>
        <c:lblOffset val="100"/>
        <c:noMultiLvlLbl val="0"/>
      </c:catAx>
      <c:valAx>
        <c:axId val="2210008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0999040"/>
        <c:crosses val="autoZero"/>
        <c:crossBetween val="between"/>
      </c:valAx>
      <c:valAx>
        <c:axId val="221002368"/>
        <c:scaling>
          <c:orientation val="minMax"/>
        </c:scaling>
        <c:delete val="0"/>
        <c:axPos val="r"/>
        <c:numFmt formatCode="0.0" sourceLinked="1"/>
        <c:majorTickMark val="out"/>
        <c:minorTickMark val="none"/>
        <c:tickLblPos val="nextTo"/>
        <c:spPr>
          <a:ln>
            <a:noFill/>
          </a:ln>
        </c:spPr>
        <c:txPr>
          <a:bodyPr/>
          <a:lstStyle/>
          <a:p>
            <a:pPr>
              <a:defRPr>
                <a:solidFill>
                  <a:schemeClr val="tx1">
                    <a:lumMod val="65000"/>
                    <a:lumOff val="35000"/>
                  </a:schemeClr>
                </a:solidFill>
              </a:defRPr>
            </a:pPr>
            <a:endParaRPr lang="en-US"/>
          </a:p>
        </c:txPr>
        <c:crossAx val="221004160"/>
        <c:crosses val="max"/>
        <c:crossBetween val="between"/>
      </c:valAx>
      <c:catAx>
        <c:axId val="221004160"/>
        <c:scaling>
          <c:orientation val="minMax"/>
        </c:scaling>
        <c:delete val="1"/>
        <c:axPos val="b"/>
        <c:numFmt formatCode="General" sourceLinked="1"/>
        <c:majorTickMark val="out"/>
        <c:minorTickMark val="none"/>
        <c:tickLblPos val="none"/>
        <c:crossAx val="221002368"/>
        <c:crosses val="autoZero"/>
        <c:auto val="1"/>
        <c:lblAlgn val="ctr"/>
        <c:lblOffset val="100"/>
        <c:noMultiLvlLbl val="0"/>
      </c:catAx>
      <c:spPr>
        <a:noFill/>
        <a:ln>
          <a:noFill/>
        </a:ln>
        <a:effectLst/>
      </c:spPr>
    </c:plotArea>
    <c:legend>
      <c:legendPos val="b"/>
      <c:layout>
        <c:manualLayout>
          <c:xMode val="edge"/>
          <c:yMode val="edge"/>
          <c:x val="5.6696214859934934E-3"/>
          <c:y val="0.83531749952323964"/>
          <c:w val="0.97941332805097481"/>
          <c:h val="0.1646825004767605"/>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60619753682232735"/>
        </c:manualLayout>
      </c:layout>
      <c:barChart>
        <c:barDir val="col"/>
        <c:grouping val="stacked"/>
        <c:varyColors val="0"/>
        <c:ser>
          <c:idx val="1"/>
          <c:order val="1"/>
          <c:tx>
            <c:strRef>
              <c:f>Sheet1!$A$3</c:f>
              <c:strCache>
                <c:ptCount val="1"/>
                <c:pt idx="0">
                  <c:v>արդյունաբերություն</c:v>
                </c:pt>
              </c:strCache>
            </c:strRef>
          </c:tx>
          <c:spPr>
            <a:solidFill>
              <a:srgbClr val="B4C7E7"/>
            </a:solidFill>
            <a:ln>
              <a:noFill/>
            </a:ln>
            <a:effectLst/>
          </c:spPr>
          <c:invertIfNegative val="0"/>
          <c:cat>
            <c:strRef>
              <c:f>Sheet1!$B$1:$F$1</c:f>
              <c:strCache>
                <c:ptCount val="5"/>
                <c:pt idx="0">
                  <c:v>1</c:v>
                </c:pt>
                <c:pt idx="1">
                  <c:v>2</c:v>
                </c:pt>
                <c:pt idx="2">
                  <c:v>3</c:v>
                </c:pt>
                <c:pt idx="3">
                  <c:v>4</c:v>
                </c:pt>
                <c:pt idx="4">
                  <c:v>5</c:v>
                </c:pt>
              </c:strCache>
            </c:strRef>
          </c:cat>
          <c:val>
            <c:numRef>
              <c:f>Sheet1!$B$3:$F$3</c:f>
              <c:numCache>
                <c:formatCode>0.0</c:formatCode>
                <c:ptCount val="5"/>
                <c:pt idx="0">
                  <c:v>3.5738800866835225</c:v>
                </c:pt>
                <c:pt idx="1">
                  <c:v>5.2738175325398906</c:v>
                </c:pt>
                <c:pt idx="2">
                  <c:v>5.4299363728739785</c:v>
                </c:pt>
                <c:pt idx="3">
                  <c:v>4.8273006846950848</c:v>
                </c:pt>
                <c:pt idx="4">
                  <c:v>4.0738529485511688</c:v>
                </c:pt>
              </c:numCache>
            </c:numRef>
          </c:val>
          <c:extLst>
            <c:ext xmlns:c16="http://schemas.microsoft.com/office/drawing/2014/chart" uri="{C3380CC4-5D6E-409C-BE32-E72D297353CC}">
              <c16:uniqueId val="{00000000-EC6D-4830-9D89-89DE6D270EF3}"/>
            </c:ext>
          </c:extLst>
        </c:ser>
        <c:ser>
          <c:idx val="2"/>
          <c:order val="2"/>
          <c:tx>
            <c:strRef>
              <c:f>Sheet1!$A$4</c:f>
              <c:strCache>
                <c:ptCount val="1"/>
                <c:pt idx="0">
                  <c:v>գյուղատնտեսություն</c:v>
                </c:pt>
              </c:strCache>
            </c:strRef>
          </c:tx>
          <c:spPr>
            <a:solidFill>
              <a:srgbClr val="8064A2"/>
            </a:solidFill>
            <a:ln>
              <a:noFill/>
            </a:ln>
            <a:effectLst/>
          </c:spPr>
          <c:invertIfNegative val="0"/>
          <c:cat>
            <c:strRef>
              <c:f>Sheet1!$B$1:$F$1</c:f>
              <c:strCache>
                <c:ptCount val="5"/>
                <c:pt idx="0">
                  <c:v>1</c:v>
                </c:pt>
                <c:pt idx="1">
                  <c:v>2</c:v>
                </c:pt>
                <c:pt idx="2">
                  <c:v>3</c:v>
                </c:pt>
                <c:pt idx="3">
                  <c:v>4</c:v>
                </c:pt>
                <c:pt idx="4">
                  <c:v>5</c:v>
                </c:pt>
              </c:strCache>
            </c:strRef>
          </c:cat>
          <c:val>
            <c:numRef>
              <c:f>Sheet1!$B$4:$F$4</c:f>
              <c:numCache>
                <c:formatCode>General</c:formatCode>
                <c:ptCount val="5"/>
                <c:pt idx="2" formatCode="0.0">
                  <c:v>0.34171168148697456</c:v>
                </c:pt>
              </c:numCache>
            </c:numRef>
          </c:val>
          <c:extLst>
            <c:ext xmlns:c16="http://schemas.microsoft.com/office/drawing/2014/chart" uri="{C3380CC4-5D6E-409C-BE32-E72D297353CC}">
              <c16:uniqueId val="{00000001-EC6D-4830-9D89-89DE6D270EF3}"/>
            </c:ext>
          </c:extLst>
        </c:ser>
        <c:ser>
          <c:idx val="3"/>
          <c:order val="3"/>
          <c:tx>
            <c:strRef>
              <c:f>Sheet1!$A$5</c:f>
              <c:strCache>
                <c:ptCount val="1"/>
                <c:pt idx="0">
                  <c:v>շինարարություն</c:v>
                </c:pt>
              </c:strCache>
            </c:strRef>
          </c:tx>
          <c:spPr>
            <a:solidFill>
              <a:sysClr val="window" lastClr="FFFFFF">
                <a:lumMod val="65000"/>
              </a:sysClr>
            </a:solidFill>
            <a:ln>
              <a:noFill/>
            </a:ln>
            <a:effectLst/>
          </c:spPr>
          <c:invertIfNegative val="0"/>
          <c:cat>
            <c:strRef>
              <c:f>Sheet1!$B$1:$F$1</c:f>
              <c:strCache>
                <c:ptCount val="5"/>
                <c:pt idx="0">
                  <c:v>1</c:v>
                </c:pt>
                <c:pt idx="1">
                  <c:v>2</c:v>
                </c:pt>
                <c:pt idx="2">
                  <c:v>3</c:v>
                </c:pt>
                <c:pt idx="3">
                  <c:v>4</c:v>
                </c:pt>
                <c:pt idx="4">
                  <c:v>5</c:v>
                </c:pt>
              </c:strCache>
            </c:strRef>
          </c:cat>
          <c:val>
            <c:numRef>
              <c:f>Sheet1!$B$5:$F$5</c:f>
              <c:numCache>
                <c:formatCode>0.0</c:formatCode>
                <c:ptCount val="5"/>
                <c:pt idx="0">
                  <c:v>0.71574930986669694</c:v>
                </c:pt>
                <c:pt idx="1">
                  <c:v>0.81369395226950791</c:v>
                </c:pt>
                <c:pt idx="2">
                  <c:v>0.88150178162530068</c:v>
                </c:pt>
                <c:pt idx="3">
                  <c:v>1.0321858468603948</c:v>
                </c:pt>
                <c:pt idx="4">
                  <c:v>1.1225962860014513</c:v>
                </c:pt>
              </c:numCache>
            </c:numRef>
          </c:val>
          <c:extLst>
            <c:ext xmlns:c16="http://schemas.microsoft.com/office/drawing/2014/chart" uri="{C3380CC4-5D6E-409C-BE32-E72D297353CC}">
              <c16:uniqueId val="{00000002-EC6D-4830-9D89-89DE6D270EF3}"/>
            </c:ext>
          </c:extLst>
        </c:ser>
        <c:ser>
          <c:idx val="4"/>
          <c:order val="4"/>
          <c:tx>
            <c:strRef>
              <c:f>Sheet1!$A$6</c:f>
              <c:strCache>
                <c:ptCount val="1"/>
                <c:pt idx="0">
                  <c:v>ծառայություններ</c:v>
                </c:pt>
              </c:strCache>
            </c:strRef>
          </c:tx>
          <c:spPr>
            <a:solidFill>
              <a:srgbClr val="ED7D31">
                <a:lumMod val="60000"/>
                <a:lumOff val="40000"/>
              </a:srgbClr>
            </a:solidFill>
            <a:ln>
              <a:noFill/>
            </a:ln>
          </c:spPr>
          <c:invertIfNegative val="0"/>
          <c:cat>
            <c:strRef>
              <c:f>Sheet1!$B$1:$F$1</c:f>
              <c:strCache>
                <c:ptCount val="5"/>
                <c:pt idx="0">
                  <c:v>1</c:v>
                </c:pt>
                <c:pt idx="1">
                  <c:v>2</c:v>
                </c:pt>
                <c:pt idx="2">
                  <c:v>3</c:v>
                </c:pt>
                <c:pt idx="3">
                  <c:v>4</c:v>
                </c:pt>
                <c:pt idx="4">
                  <c:v>5</c:v>
                </c:pt>
              </c:strCache>
            </c:strRef>
          </c:cat>
          <c:val>
            <c:numRef>
              <c:f>Sheet1!$B$6:$F$6</c:f>
              <c:numCache>
                <c:formatCode>0.0</c:formatCode>
                <c:ptCount val="5"/>
                <c:pt idx="0">
                  <c:v>2.2388581610077321</c:v>
                </c:pt>
                <c:pt idx="1">
                  <c:v>2.6459232811909543</c:v>
                </c:pt>
                <c:pt idx="2">
                  <c:v>2.5441570011451469</c:v>
                </c:pt>
                <c:pt idx="3">
                  <c:v>1.9844424608932176</c:v>
                </c:pt>
                <c:pt idx="4">
                  <c:v>1.8826761808474102</c:v>
                </c:pt>
              </c:numCache>
            </c:numRef>
          </c:val>
          <c:extLst>
            <c:ext xmlns:c16="http://schemas.microsoft.com/office/drawing/2014/chart" uri="{C3380CC4-5D6E-409C-BE32-E72D297353CC}">
              <c16:uniqueId val="{00000003-EC6D-4830-9D89-89DE6D270EF3}"/>
            </c:ext>
          </c:extLst>
        </c:ser>
        <c:ser>
          <c:idx val="5"/>
          <c:order val="5"/>
          <c:tx>
            <c:strRef>
              <c:f>Sheet1!$A$7</c:f>
              <c:strCache>
                <c:ptCount val="1"/>
                <c:pt idx="0">
                  <c:v>առևտուր</c:v>
                </c:pt>
              </c:strCache>
            </c:strRef>
          </c:tx>
          <c:spPr>
            <a:solidFill>
              <a:srgbClr val="4472C4">
                <a:lumMod val="50000"/>
              </a:srgbClr>
            </a:solidFill>
            <a:ln>
              <a:noFill/>
            </a:ln>
          </c:spPr>
          <c:invertIfNegative val="0"/>
          <c:cat>
            <c:strRef>
              <c:f>Sheet1!$B$1:$F$1</c:f>
              <c:strCache>
                <c:ptCount val="5"/>
                <c:pt idx="0">
                  <c:v>1</c:v>
                </c:pt>
                <c:pt idx="1">
                  <c:v>2</c:v>
                </c:pt>
                <c:pt idx="2">
                  <c:v>3</c:v>
                </c:pt>
                <c:pt idx="3">
                  <c:v>4</c:v>
                </c:pt>
                <c:pt idx="4">
                  <c:v>5</c:v>
                </c:pt>
              </c:strCache>
            </c:strRef>
          </c:cat>
          <c:val>
            <c:numRef>
              <c:f>Sheet1!$B$7:$F$7</c:f>
              <c:numCache>
                <c:formatCode>0.0</c:formatCode>
                <c:ptCount val="5"/>
                <c:pt idx="0">
                  <c:v>2.6691306451346861</c:v>
                </c:pt>
                <c:pt idx="1">
                  <c:v>3.3329558833028976</c:v>
                </c:pt>
                <c:pt idx="2">
                  <c:v>3.6648685023870047</c:v>
                </c:pt>
                <c:pt idx="3">
                  <c:v>3.6925278873106806</c:v>
                </c:pt>
                <c:pt idx="4">
                  <c:v>3.4021043456120865</c:v>
                </c:pt>
              </c:numCache>
            </c:numRef>
          </c:val>
          <c:extLst>
            <c:ext xmlns:c16="http://schemas.microsoft.com/office/drawing/2014/chart" uri="{C3380CC4-5D6E-409C-BE32-E72D297353CC}">
              <c16:uniqueId val="{00000004-EC6D-4830-9D89-89DE6D270EF3}"/>
            </c:ext>
          </c:extLst>
        </c:ser>
        <c:ser>
          <c:idx val="6"/>
          <c:order val="6"/>
          <c:tx>
            <c:strRef>
              <c:f>Sheet1!$A$8</c:f>
              <c:strCache>
                <c:ptCount val="1"/>
                <c:pt idx="0">
                  <c:v>այլ </c:v>
                </c:pt>
              </c:strCache>
            </c:strRef>
          </c:tx>
          <c:spPr>
            <a:solidFill>
              <a:srgbClr val="5B9BD5">
                <a:lumMod val="75000"/>
              </a:srgbClr>
            </a:solidFill>
          </c:spPr>
          <c:invertIfNegative val="0"/>
          <c:cat>
            <c:strRef>
              <c:f>Sheet1!$B$1:$F$1</c:f>
              <c:strCache>
                <c:ptCount val="5"/>
                <c:pt idx="0">
                  <c:v>1</c:v>
                </c:pt>
                <c:pt idx="1">
                  <c:v>2</c:v>
                </c:pt>
                <c:pt idx="2">
                  <c:v>3</c:v>
                </c:pt>
                <c:pt idx="3">
                  <c:v>4</c:v>
                </c:pt>
                <c:pt idx="4">
                  <c:v>5</c:v>
                </c:pt>
              </c:strCache>
            </c:strRef>
          </c:cat>
          <c:val>
            <c:numRef>
              <c:f>Sheet1!$B$8:$F$8</c:f>
              <c:numCache>
                <c:formatCode>0.0</c:formatCode>
                <c:ptCount val="5"/>
                <c:pt idx="0">
                  <c:v>1.2023817973073676</c:v>
                </c:pt>
                <c:pt idx="1">
                  <c:v>1.4156497967798103</c:v>
                </c:pt>
                <c:pt idx="2">
                  <c:v>1.1370010150603593</c:v>
                </c:pt>
                <c:pt idx="3">
                  <c:v>1.3598248699042785</c:v>
                </c:pt>
                <c:pt idx="4">
                  <c:v>0.71877023898788606</c:v>
                </c:pt>
              </c:numCache>
            </c:numRef>
          </c:val>
          <c:extLst>
            <c:ext xmlns:c16="http://schemas.microsoft.com/office/drawing/2014/chart" uri="{C3380CC4-5D6E-409C-BE32-E72D297353CC}">
              <c16:uniqueId val="{00000005-EC6D-4830-9D89-89DE6D270EF3}"/>
            </c:ext>
          </c:extLst>
        </c:ser>
        <c:dLbls>
          <c:showLegendKey val="0"/>
          <c:showVal val="0"/>
          <c:showCatName val="0"/>
          <c:showSerName val="0"/>
          <c:showPercent val="0"/>
          <c:showBubbleSize val="0"/>
        </c:dLbls>
        <c:gapWidth val="150"/>
        <c:overlap val="100"/>
        <c:axId val="222515968"/>
        <c:axId val="222517504"/>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ln>
                <a:solidFill>
                  <a:srgbClr val="4472C4">
                    <a:lumMod val="75000"/>
                  </a:srgbClr>
                </a:solidFill>
              </a:ln>
            </c:spPr>
          </c:marker>
          <c:dLbls>
            <c:dLbl>
              <c:idx val="0"/>
              <c:layout>
                <c:manualLayout>
                  <c:x val="-6.6748717948717937E-2"/>
                  <c:y val="-4.642975117547974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6D-4830-9D89-89DE6D270EF3}"/>
                </c:ext>
              </c:extLst>
            </c:dLbl>
            <c:dLbl>
              <c:idx val="1"/>
              <c:layout>
                <c:manualLayout>
                  <c:x val="-6.6195033313143622E-2"/>
                  <c:y val="-4.642975117547974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6D-4830-9D89-89DE6D270EF3}"/>
                </c:ext>
              </c:extLst>
            </c:dLbl>
            <c:dLbl>
              <c:idx val="2"/>
              <c:layout>
                <c:manualLayout>
                  <c:x val="-6.5333494851605167E-2"/>
                  <c:y val="-4.642975117547974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6D-4830-9D89-89DE6D270EF3}"/>
                </c:ext>
              </c:extLst>
            </c:dLbl>
            <c:dLbl>
              <c:idx val="3"/>
              <c:layout>
                <c:manualLayout>
                  <c:x val="-6.5056329497274384E-2"/>
                  <c:y val="-4.642975117547974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6D-4830-9D89-89DE6D270EF3}"/>
                </c:ext>
              </c:extLst>
            </c:dLbl>
            <c:dLbl>
              <c:idx val="4"/>
              <c:layout>
                <c:manualLayout>
                  <c:x val="-5.8369150010094892E-2"/>
                  <c:y val="-5.2380361112998333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6D-4830-9D89-89DE6D270EF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c:v>
                </c:pt>
                <c:pt idx="1">
                  <c:v>2</c:v>
                </c:pt>
                <c:pt idx="2">
                  <c:v>3</c:v>
                </c:pt>
                <c:pt idx="3">
                  <c:v>4</c:v>
                </c:pt>
                <c:pt idx="4">
                  <c:v>5</c:v>
                </c:pt>
              </c:strCache>
            </c:strRef>
          </c:cat>
          <c:val>
            <c:numRef>
              <c:f>Sheet1!$B$2:$F$2</c:f>
              <c:numCache>
                <c:formatCode>0.0</c:formatCode>
                <c:ptCount val="5"/>
                <c:pt idx="0">
                  <c:v>10.400000000000006</c:v>
                </c:pt>
                <c:pt idx="1">
                  <c:v>13.482040446083062</c:v>
                </c:pt>
                <c:pt idx="2">
                  <c:v>13.999176354578765</c:v>
                </c:pt>
                <c:pt idx="3">
                  <c:v>12.896281749663657</c:v>
                </c:pt>
                <c:pt idx="4">
                  <c:v>11.200000000000003</c:v>
                </c:pt>
              </c:numCache>
            </c:numRef>
          </c:val>
          <c:smooth val="0"/>
          <c:extLst>
            <c:ext xmlns:c16="http://schemas.microsoft.com/office/drawing/2014/chart" uri="{C3380CC4-5D6E-409C-BE32-E72D297353CC}">
              <c16:uniqueId val="{0000000B-EC6D-4830-9D89-89DE6D270EF3}"/>
            </c:ext>
          </c:extLst>
        </c:ser>
        <c:dLbls>
          <c:showLegendKey val="0"/>
          <c:showVal val="0"/>
          <c:showCatName val="0"/>
          <c:showSerName val="0"/>
          <c:showPercent val="0"/>
          <c:showBubbleSize val="0"/>
        </c:dLbls>
        <c:marker val="1"/>
        <c:smooth val="0"/>
        <c:axId val="222515968"/>
        <c:axId val="222517504"/>
      </c:lineChart>
      <c:catAx>
        <c:axId val="222515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517504"/>
        <c:crosses val="autoZero"/>
        <c:auto val="1"/>
        <c:lblAlgn val="ctr"/>
        <c:lblOffset val="100"/>
        <c:noMultiLvlLbl val="0"/>
      </c:catAx>
      <c:valAx>
        <c:axId val="222517504"/>
        <c:scaling>
          <c:orientation val="minMax"/>
          <c:max val="16"/>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515968"/>
        <c:crosses val="autoZero"/>
        <c:crossBetween val="between"/>
        <c:majorUnit val="5"/>
      </c:valAx>
      <c:spPr>
        <a:noFill/>
        <a:ln>
          <a:noFill/>
        </a:ln>
        <a:effectLst/>
      </c:spPr>
    </c:plotArea>
    <c:legend>
      <c:legendPos val="b"/>
      <c:layout>
        <c:manualLayout>
          <c:xMode val="edge"/>
          <c:yMode val="edge"/>
          <c:x val="0"/>
          <c:y val="0.78849142667044636"/>
          <c:w val="1"/>
          <c:h val="0.2115085733295536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988642019423423"/>
        </c:manualLayout>
      </c:layout>
      <c:barChart>
        <c:barDir val="col"/>
        <c:grouping val="stacked"/>
        <c:varyColors val="0"/>
        <c:ser>
          <c:idx val="1"/>
          <c:order val="1"/>
          <c:tx>
            <c:strRef>
              <c:f>Sheet1!$A$3</c:f>
              <c:strCache>
                <c:ptCount val="1"/>
                <c:pt idx="0">
                  <c:v>արդյունաբերություն</c:v>
                </c:pt>
              </c:strCache>
            </c:strRef>
          </c:tx>
          <c:spPr>
            <a:solidFill>
              <a:srgbClr val="B4C7E7"/>
            </a:solidFill>
            <a:ln>
              <a:noFill/>
            </a:ln>
            <a:effectLst/>
          </c:spPr>
          <c:invertIfNegative val="0"/>
          <c:cat>
            <c:strRef>
              <c:f>Sheet1!$B$1:$F$1</c:f>
              <c:strCache>
                <c:ptCount val="5"/>
                <c:pt idx="0">
                  <c:v>1</c:v>
                </c:pt>
                <c:pt idx="1">
                  <c:v>2</c:v>
                </c:pt>
                <c:pt idx="2">
                  <c:v>3</c:v>
                </c:pt>
                <c:pt idx="3">
                  <c:v>4</c:v>
                </c:pt>
                <c:pt idx="4">
                  <c:v>5</c:v>
                </c:pt>
              </c:strCache>
            </c:strRef>
          </c:cat>
          <c:val>
            <c:numRef>
              <c:f>Sheet1!$B$3:$F$3</c:f>
              <c:numCache>
                <c:formatCode>0.0</c:formatCode>
                <c:ptCount val="5"/>
                <c:pt idx="0">
                  <c:v>3.5738800866835252</c:v>
                </c:pt>
                <c:pt idx="1">
                  <c:v>6.907032499134484</c:v>
                </c:pt>
                <c:pt idx="2">
                  <c:v>5.7219116413741435</c:v>
                </c:pt>
                <c:pt idx="3">
                  <c:v>3.0739072248158812</c:v>
                </c:pt>
                <c:pt idx="4">
                  <c:v>1.2777084247728678</c:v>
                </c:pt>
              </c:numCache>
            </c:numRef>
          </c:val>
          <c:extLst>
            <c:ext xmlns:c16="http://schemas.microsoft.com/office/drawing/2014/chart" uri="{C3380CC4-5D6E-409C-BE32-E72D297353CC}">
              <c16:uniqueId val="{00000000-CF4E-450C-BD4D-394CEA48F038}"/>
            </c:ext>
          </c:extLst>
        </c:ser>
        <c:ser>
          <c:idx val="2"/>
          <c:order val="2"/>
          <c:tx>
            <c:strRef>
              <c:f>Sheet1!$A$4</c:f>
              <c:strCache>
                <c:ptCount val="1"/>
                <c:pt idx="0">
                  <c:v>շինարարություն</c:v>
                </c:pt>
              </c:strCache>
            </c:strRef>
          </c:tx>
          <c:spPr>
            <a:solidFill>
              <a:sysClr val="window" lastClr="FFFFFF">
                <a:lumMod val="65000"/>
              </a:sysClr>
            </a:solidFill>
            <a:ln>
              <a:noFill/>
            </a:ln>
            <a:effectLst/>
          </c:spPr>
          <c:invertIfNegative val="0"/>
          <c:cat>
            <c:strRef>
              <c:f>Sheet1!$B$1:$F$1</c:f>
              <c:strCache>
                <c:ptCount val="5"/>
                <c:pt idx="0">
                  <c:v>1</c:v>
                </c:pt>
                <c:pt idx="1">
                  <c:v>2</c:v>
                </c:pt>
                <c:pt idx="2">
                  <c:v>3</c:v>
                </c:pt>
                <c:pt idx="3">
                  <c:v>4</c:v>
                </c:pt>
                <c:pt idx="4">
                  <c:v>5</c:v>
                </c:pt>
              </c:strCache>
            </c:strRef>
          </c:cat>
          <c:val>
            <c:numRef>
              <c:f>Sheet1!$B$4:$F$4</c:f>
              <c:numCache>
                <c:formatCode>0.0</c:formatCode>
                <c:ptCount val="5"/>
                <c:pt idx="0">
                  <c:v>0.71574930986669694</c:v>
                </c:pt>
                <c:pt idx="1">
                  <c:v>0.88150178162530068</c:v>
                </c:pt>
                <c:pt idx="2">
                  <c:v>0.98698062728986591</c:v>
                </c:pt>
                <c:pt idx="3">
                  <c:v>1.3410881805923371</c:v>
                </c:pt>
                <c:pt idx="4">
                  <c:v>1.363690790377601</c:v>
                </c:pt>
              </c:numCache>
            </c:numRef>
          </c:val>
          <c:extLst>
            <c:ext xmlns:c16="http://schemas.microsoft.com/office/drawing/2014/chart" uri="{C3380CC4-5D6E-409C-BE32-E72D297353CC}">
              <c16:uniqueId val="{00000001-CF4E-450C-BD4D-394CEA48F038}"/>
            </c:ext>
          </c:extLst>
        </c:ser>
        <c:ser>
          <c:idx val="3"/>
          <c:order val="3"/>
          <c:tx>
            <c:strRef>
              <c:f>Sheet1!$A$5</c:f>
              <c:strCache>
                <c:ptCount val="1"/>
                <c:pt idx="0">
                  <c:v>ծառայություններ</c:v>
                </c:pt>
              </c:strCache>
            </c:strRef>
          </c:tx>
          <c:spPr>
            <a:solidFill>
              <a:srgbClr val="ED7D31">
                <a:lumMod val="60000"/>
                <a:lumOff val="40000"/>
              </a:srgbClr>
            </a:solidFill>
            <a:ln>
              <a:noFill/>
            </a:ln>
            <a:effectLst/>
          </c:spPr>
          <c:invertIfNegative val="0"/>
          <c:cat>
            <c:strRef>
              <c:f>Sheet1!$B$1:$F$1</c:f>
              <c:strCache>
                <c:ptCount val="5"/>
                <c:pt idx="0">
                  <c:v>1</c:v>
                </c:pt>
                <c:pt idx="1">
                  <c:v>2</c:v>
                </c:pt>
                <c:pt idx="2">
                  <c:v>3</c:v>
                </c:pt>
                <c:pt idx="3">
                  <c:v>4</c:v>
                </c:pt>
                <c:pt idx="4">
                  <c:v>5</c:v>
                </c:pt>
              </c:strCache>
            </c:strRef>
          </c:cat>
          <c:val>
            <c:numRef>
              <c:f>Sheet1!$B$5:$F$5</c:f>
              <c:numCache>
                <c:formatCode>0.0</c:formatCode>
                <c:ptCount val="5"/>
                <c:pt idx="0">
                  <c:v>2.2388581610077321</c:v>
                </c:pt>
                <c:pt idx="1">
                  <c:v>3.0529884013741766</c:v>
                </c:pt>
                <c:pt idx="2">
                  <c:v>2.3915075810764397</c:v>
                </c:pt>
                <c:pt idx="3">
                  <c:v>0.40706512018322205</c:v>
                </c:pt>
                <c:pt idx="4">
                  <c:v>1.4247279206412808</c:v>
                </c:pt>
              </c:numCache>
            </c:numRef>
          </c:val>
          <c:extLst>
            <c:ext xmlns:c16="http://schemas.microsoft.com/office/drawing/2014/chart" uri="{C3380CC4-5D6E-409C-BE32-E72D297353CC}">
              <c16:uniqueId val="{00000002-CF4E-450C-BD4D-394CEA48F038}"/>
            </c:ext>
          </c:extLst>
        </c:ser>
        <c:ser>
          <c:idx val="4"/>
          <c:order val="4"/>
          <c:tx>
            <c:strRef>
              <c:f>Sheet1!$A$6</c:f>
              <c:strCache>
                <c:ptCount val="1"/>
                <c:pt idx="0">
                  <c:v>առևտուր</c:v>
                </c:pt>
              </c:strCache>
            </c:strRef>
          </c:tx>
          <c:spPr>
            <a:solidFill>
              <a:srgbClr val="4472C4">
                <a:lumMod val="50000"/>
              </a:srgbClr>
            </a:solidFill>
            <a:ln>
              <a:noFill/>
            </a:ln>
          </c:spPr>
          <c:invertIfNegative val="0"/>
          <c:cat>
            <c:strRef>
              <c:f>Sheet1!$B$1:$F$1</c:f>
              <c:strCache>
                <c:ptCount val="5"/>
                <c:pt idx="0">
                  <c:v>1</c:v>
                </c:pt>
                <c:pt idx="1">
                  <c:v>2</c:v>
                </c:pt>
                <c:pt idx="2">
                  <c:v>3</c:v>
                </c:pt>
                <c:pt idx="3">
                  <c:v>4</c:v>
                </c:pt>
                <c:pt idx="4">
                  <c:v>5</c:v>
                </c:pt>
              </c:strCache>
            </c:strRef>
          </c:cat>
          <c:val>
            <c:numRef>
              <c:f>Sheet1!$B$6:$F$6</c:f>
              <c:numCache>
                <c:formatCode>0.0</c:formatCode>
                <c:ptCount val="5"/>
                <c:pt idx="0">
                  <c:v>2.6691306451346861</c:v>
                </c:pt>
                <c:pt idx="1">
                  <c:v>3.9138029667000858</c:v>
                </c:pt>
                <c:pt idx="2">
                  <c:v>4.2042265083986781</c:v>
                </c:pt>
                <c:pt idx="3">
                  <c:v>3.7616763496198691</c:v>
                </c:pt>
                <c:pt idx="4">
                  <c:v>2.4340258732834439</c:v>
                </c:pt>
              </c:numCache>
            </c:numRef>
          </c:val>
          <c:extLst>
            <c:ext xmlns:c16="http://schemas.microsoft.com/office/drawing/2014/chart" uri="{C3380CC4-5D6E-409C-BE32-E72D297353CC}">
              <c16:uniqueId val="{00000003-CF4E-450C-BD4D-394CEA48F038}"/>
            </c:ext>
          </c:extLst>
        </c:ser>
        <c:dLbls>
          <c:showLegendKey val="0"/>
          <c:showVal val="0"/>
          <c:showCatName val="0"/>
          <c:showSerName val="0"/>
          <c:showPercent val="0"/>
          <c:showBubbleSize val="0"/>
        </c:dLbls>
        <c:gapWidth val="219"/>
        <c:overlap val="100"/>
        <c:axId val="222600576"/>
        <c:axId val="222610560"/>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ln>
                <a:solidFill>
                  <a:srgbClr val="4472C4">
                    <a:lumMod val="75000"/>
                  </a:srgbClr>
                </a:solidFill>
              </a:ln>
            </c:spPr>
          </c:marker>
          <c:dLbls>
            <c:dLbl>
              <c:idx val="0"/>
              <c:layout>
                <c:manualLayout>
                  <c:x val="-6.8433228180862282E-2"/>
                  <c:y val="-5.0583596013221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4E-450C-BD4D-394CEA48F038}"/>
                </c:ext>
              </c:extLst>
            </c:dLbl>
            <c:dLbl>
              <c:idx val="1"/>
              <c:layout>
                <c:manualLayout>
                  <c:x val="-6.7045215562565721E-2"/>
                  <c:y val="-5.0583596013221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4E-450C-BD4D-394CEA48F038}"/>
                </c:ext>
              </c:extLst>
            </c:dLbl>
            <c:dLbl>
              <c:idx val="2"/>
              <c:layout>
                <c:manualLayout>
                  <c:x val="-6.3154739726934764E-2"/>
                  <c:y val="-5.0583596013221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4E-450C-BD4D-394CEA48F038}"/>
                </c:ext>
              </c:extLst>
            </c:dLbl>
            <c:dLbl>
              <c:idx val="3"/>
              <c:layout>
                <c:manualLayout>
                  <c:x val="-6.7549947423764606E-2"/>
                  <c:y val="-5.0583596013221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4E-450C-BD4D-394CEA48F038}"/>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c:v>
                </c:pt>
                <c:pt idx="1">
                  <c:v>2</c:v>
                </c:pt>
                <c:pt idx="2">
                  <c:v>3</c:v>
                </c:pt>
                <c:pt idx="3">
                  <c:v>4</c:v>
                </c:pt>
                <c:pt idx="4">
                  <c:v>5</c:v>
                </c:pt>
              </c:strCache>
            </c:strRef>
          </c:cat>
          <c:val>
            <c:numRef>
              <c:f>Sheet1!$B$2:$F$2</c:f>
              <c:numCache>
                <c:formatCode>0.0</c:formatCode>
                <c:ptCount val="5"/>
                <c:pt idx="0">
                  <c:v>10.400000000000006</c:v>
                </c:pt>
                <c:pt idx="1">
                  <c:v>16.400000000000006</c:v>
                </c:pt>
                <c:pt idx="2">
                  <c:v>14.900000000000006</c:v>
                </c:pt>
                <c:pt idx="3">
                  <c:v>10</c:v>
                </c:pt>
                <c:pt idx="4">
                  <c:v>5.2000000000000028</c:v>
                </c:pt>
              </c:numCache>
            </c:numRef>
          </c:val>
          <c:smooth val="0"/>
          <c:extLst>
            <c:ext xmlns:c16="http://schemas.microsoft.com/office/drawing/2014/chart" uri="{C3380CC4-5D6E-409C-BE32-E72D297353CC}">
              <c16:uniqueId val="{00000008-CF4E-450C-BD4D-394CEA48F038}"/>
            </c:ext>
          </c:extLst>
        </c:ser>
        <c:dLbls>
          <c:showLegendKey val="0"/>
          <c:showVal val="0"/>
          <c:showCatName val="0"/>
          <c:showSerName val="0"/>
          <c:showPercent val="0"/>
          <c:showBubbleSize val="0"/>
        </c:dLbls>
        <c:marker val="1"/>
        <c:smooth val="0"/>
        <c:axId val="222600576"/>
        <c:axId val="222610560"/>
      </c:lineChart>
      <c:catAx>
        <c:axId val="2226005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610560"/>
        <c:crosses val="autoZero"/>
        <c:auto val="1"/>
        <c:lblAlgn val="ctr"/>
        <c:lblOffset val="100"/>
        <c:noMultiLvlLbl val="0"/>
      </c:catAx>
      <c:valAx>
        <c:axId val="222610560"/>
        <c:scaling>
          <c:orientation val="minMax"/>
          <c:max val="18"/>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600576"/>
        <c:crosses val="autoZero"/>
        <c:crossBetween val="between"/>
        <c:majorUnit val="5"/>
      </c:valAx>
      <c:spPr>
        <a:noFill/>
        <a:ln>
          <a:noFill/>
        </a:ln>
        <a:effectLst/>
      </c:spPr>
    </c:plotArea>
    <c:legend>
      <c:legendPos val="b"/>
      <c:layout>
        <c:manualLayout>
          <c:xMode val="edge"/>
          <c:yMode val="edge"/>
          <c:x val="1.3575432408488345E-3"/>
          <c:y val="0.81048201227682859"/>
          <c:w val="0.94885416925407984"/>
          <c:h val="0.1895179877231715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34798943660548E-2"/>
          <c:y val="7.5362318840579715E-2"/>
          <c:w val="0.85230096237970254"/>
          <c:h val="0.61548784662786715"/>
        </c:manualLayout>
      </c:layout>
      <c:barChart>
        <c:barDir val="col"/>
        <c:grouping val="clustered"/>
        <c:varyColors val="0"/>
        <c:ser>
          <c:idx val="1"/>
          <c:order val="1"/>
          <c:tx>
            <c:strRef>
              <c:f>Sheet1!$C$1</c:f>
              <c:strCache>
                <c:ptCount val="1"/>
                <c:pt idx="0">
                  <c:v>Անվանական ՀՆԱ, մլրդ դրամ</c:v>
                </c:pt>
              </c:strCache>
            </c:strRef>
          </c:tx>
          <c:spPr>
            <a:solidFill>
              <a:schemeClr val="accent5">
                <a:lumMod val="75000"/>
              </a:schemeClr>
            </a:solidFill>
            <a:ln>
              <a:noFill/>
            </a:ln>
            <a:effectLst/>
          </c:spPr>
          <c:invertIfNegative val="0"/>
          <c:cat>
            <c:numRef>
              <c:f>Sheet1!$A$2:$A$29</c:f>
              <c:numCache>
                <c:formatCode>General</c:formatCode>
                <c:ptCount val="28"/>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pt idx="24">
                  <c:v>2024</c:v>
                </c:pt>
                <c:pt idx="25">
                  <c:v>2025</c:v>
                </c:pt>
                <c:pt idx="26">
                  <c:v>2026</c:v>
                </c:pt>
                <c:pt idx="27">
                  <c:v>2027</c:v>
                </c:pt>
              </c:numCache>
            </c:numRef>
          </c:cat>
          <c:val>
            <c:numRef>
              <c:f>Sheet1!$C$2:$C$29</c:f>
              <c:numCache>
                <c:formatCode>0</c:formatCode>
                <c:ptCount val="28"/>
                <c:pt idx="0">
                  <c:v>1031.3383000000001</c:v>
                </c:pt>
                <c:pt idx="1">
                  <c:v>1175.8768043886819</c:v>
                </c:pt>
                <c:pt idx="2">
                  <c:v>1362.4717000000001</c:v>
                </c:pt>
                <c:pt idx="3">
                  <c:v>1624.6426999999999</c:v>
                </c:pt>
                <c:pt idx="4">
                  <c:v>1907.9453999999998</c:v>
                </c:pt>
                <c:pt idx="5">
                  <c:v>2242.8809000000001</c:v>
                </c:pt>
                <c:pt idx="6">
                  <c:v>2656.1898000000001</c:v>
                </c:pt>
                <c:pt idx="7">
                  <c:v>3149.2834000000007</c:v>
                </c:pt>
                <c:pt idx="8">
                  <c:v>3568.2276000000006</c:v>
                </c:pt>
                <c:pt idx="9">
                  <c:v>3141.6510000000003</c:v>
                </c:pt>
                <c:pt idx="10">
                  <c:v>3460.2027000000007</c:v>
                </c:pt>
                <c:pt idx="11">
                  <c:v>3777.9456</c:v>
                </c:pt>
                <c:pt idx="12">
                  <c:v>4266.4605000000001</c:v>
                </c:pt>
                <c:pt idx="13">
                  <c:v>4555.6382000000003</c:v>
                </c:pt>
                <c:pt idx="14">
                  <c:v>4828.6262999999999</c:v>
                </c:pt>
                <c:pt idx="15">
                  <c:v>5043.6332000000002</c:v>
                </c:pt>
                <c:pt idx="16">
                  <c:v>5067.2934999999998</c:v>
                </c:pt>
                <c:pt idx="17">
                  <c:v>5564.4933000000001</c:v>
                </c:pt>
                <c:pt idx="18">
                  <c:v>6017.0352000000003</c:v>
                </c:pt>
                <c:pt idx="19">
                  <c:v>6543.3218000000006</c:v>
                </c:pt>
                <c:pt idx="20">
                  <c:v>6181.9026000000013</c:v>
                </c:pt>
                <c:pt idx="21">
                  <c:v>6991.7778000000008</c:v>
                </c:pt>
                <c:pt idx="22">
                  <c:v>8501.4493999999995</c:v>
                </c:pt>
                <c:pt idx="23">
                  <c:v>9505.2216000000008</c:v>
                </c:pt>
                <c:pt idx="24">
                  <c:v>10235.403218090398</c:v>
                </c:pt>
                <c:pt idx="25">
                  <c:v>11197.244529300788</c:v>
                </c:pt>
                <c:pt idx="26">
                  <c:v>12308.906966169772</c:v>
                </c:pt>
                <c:pt idx="27">
                  <c:v>13505.332723281475</c:v>
                </c:pt>
              </c:numCache>
            </c:numRef>
          </c:val>
          <c:extLst>
            <c:ext xmlns:c16="http://schemas.microsoft.com/office/drawing/2014/chart" uri="{C3380CC4-5D6E-409C-BE32-E72D297353CC}">
              <c16:uniqueId val="{00000000-6B8C-443F-8CD8-FAFC1FDA364F}"/>
            </c:ext>
          </c:extLst>
        </c:ser>
        <c:dLbls>
          <c:showLegendKey val="0"/>
          <c:showVal val="0"/>
          <c:showCatName val="0"/>
          <c:showSerName val="0"/>
          <c:showPercent val="0"/>
          <c:showBubbleSize val="0"/>
        </c:dLbls>
        <c:gapWidth val="219"/>
        <c:overlap val="-27"/>
        <c:axId val="1411037151"/>
        <c:axId val="1411047135"/>
      </c:barChart>
      <c:lineChart>
        <c:grouping val="standard"/>
        <c:varyColors val="0"/>
        <c:ser>
          <c:idx val="0"/>
          <c:order val="0"/>
          <c:tx>
            <c:strRef>
              <c:f>Sheet1!$B$1</c:f>
              <c:strCache>
                <c:ptCount val="1"/>
                <c:pt idx="0">
                  <c:v>Տնտեսական աճ, %, (աջ առանցք)</c:v>
                </c:pt>
              </c:strCache>
            </c:strRef>
          </c:tx>
          <c:spPr>
            <a:ln w="28575" cap="rnd">
              <a:solidFill>
                <a:schemeClr val="accent2">
                  <a:lumMod val="60000"/>
                  <a:lumOff val="40000"/>
                </a:schemeClr>
              </a:solidFill>
              <a:round/>
            </a:ln>
            <a:effectLst/>
          </c:spPr>
          <c:marker>
            <c:symbol val="none"/>
          </c:marker>
          <c:cat>
            <c:numRef>
              <c:f>Sheet1!$A$2:$A$29</c:f>
              <c:numCache>
                <c:formatCode>General</c:formatCode>
                <c:ptCount val="28"/>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pt idx="24">
                  <c:v>2024</c:v>
                </c:pt>
                <c:pt idx="25">
                  <c:v>2025</c:v>
                </c:pt>
                <c:pt idx="26">
                  <c:v>2026</c:v>
                </c:pt>
                <c:pt idx="27">
                  <c:v>2027</c:v>
                </c:pt>
              </c:numCache>
            </c:numRef>
          </c:cat>
          <c:val>
            <c:numRef>
              <c:f>Sheet1!$B$2:$B$29</c:f>
              <c:numCache>
                <c:formatCode>0</c:formatCode>
                <c:ptCount val="28"/>
                <c:pt idx="0">
                  <c:v>5.8956981547403728</c:v>
                </c:pt>
                <c:pt idx="1">
                  <c:v>9.5566411137839395</c:v>
                </c:pt>
                <c:pt idx="2">
                  <c:v>13.196463821262512</c:v>
                </c:pt>
                <c:pt idx="3">
                  <c:v>14.040798058411056</c:v>
                </c:pt>
                <c:pt idx="4">
                  <c:v>10.46784009801047</c:v>
                </c:pt>
                <c:pt idx="5">
                  <c:v>13.865711251485493</c:v>
                </c:pt>
                <c:pt idx="6">
                  <c:v>13.198003514141135</c:v>
                </c:pt>
                <c:pt idx="7">
                  <c:v>13.749201958384148</c:v>
                </c:pt>
                <c:pt idx="8">
                  <c:v>6.9476535519159768</c:v>
                </c:pt>
                <c:pt idx="9">
                  <c:v>-14.149988638617103</c:v>
                </c:pt>
                <c:pt idx="10">
                  <c:v>2.2151091894039183</c:v>
                </c:pt>
                <c:pt idx="11">
                  <c:v>4.6507622226871206</c:v>
                </c:pt>
                <c:pt idx="12">
                  <c:v>7.1590508979271874</c:v>
                </c:pt>
                <c:pt idx="13">
                  <c:v>3.2999999999999972</c:v>
                </c:pt>
                <c:pt idx="14">
                  <c:v>3.5999999999999943</c:v>
                </c:pt>
                <c:pt idx="15">
                  <c:v>3.2000000000000028</c:v>
                </c:pt>
                <c:pt idx="16">
                  <c:v>0.20000000000000284</c:v>
                </c:pt>
                <c:pt idx="17">
                  <c:v>7.5</c:v>
                </c:pt>
                <c:pt idx="18">
                  <c:v>5.1947356482574918</c:v>
                </c:pt>
                <c:pt idx="19">
                  <c:v>7.6208632799755094</c:v>
                </c:pt>
                <c:pt idx="20">
                  <c:v>-7.1651595279938647</c:v>
                </c:pt>
                <c:pt idx="21">
                  <c:v>5.7882522574846149</c:v>
                </c:pt>
                <c:pt idx="22">
                  <c:v>12.599999999999994</c:v>
                </c:pt>
                <c:pt idx="23">
                  <c:v>8.7000000000000028</c:v>
                </c:pt>
                <c:pt idx="24">
                  <c:v>6.3000000000000114</c:v>
                </c:pt>
                <c:pt idx="25">
                  <c:v>5.7999999999999829</c:v>
                </c:pt>
                <c:pt idx="26">
                  <c:v>5.7000000000000171</c:v>
                </c:pt>
                <c:pt idx="27">
                  <c:v>5.5</c:v>
                </c:pt>
              </c:numCache>
            </c:numRef>
          </c:val>
          <c:smooth val="0"/>
          <c:extLst>
            <c:ext xmlns:c16="http://schemas.microsoft.com/office/drawing/2014/chart" uri="{C3380CC4-5D6E-409C-BE32-E72D297353CC}">
              <c16:uniqueId val="{00000001-6B8C-443F-8CD8-FAFC1FDA364F}"/>
            </c:ext>
          </c:extLst>
        </c:ser>
        <c:dLbls>
          <c:showLegendKey val="0"/>
          <c:showVal val="0"/>
          <c:showCatName val="0"/>
          <c:showSerName val="0"/>
          <c:showPercent val="0"/>
          <c:showBubbleSize val="0"/>
        </c:dLbls>
        <c:marker val="1"/>
        <c:smooth val="0"/>
        <c:axId val="877960191"/>
        <c:axId val="1737451055"/>
      </c:lineChart>
      <c:catAx>
        <c:axId val="14110371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1047135"/>
        <c:crosses val="autoZero"/>
        <c:auto val="1"/>
        <c:lblAlgn val="ctr"/>
        <c:lblOffset val="100"/>
        <c:noMultiLvlLbl val="0"/>
      </c:catAx>
      <c:valAx>
        <c:axId val="1411047135"/>
        <c:scaling>
          <c:orientation val="minMax"/>
          <c:max val="12600"/>
          <c:min val="6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1037151"/>
        <c:crosses val="autoZero"/>
        <c:crossBetween val="between"/>
      </c:valAx>
      <c:valAx>
        <c:axId val="1737451055"/>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7960191"/>
        <c:crosses val="max"/>
        <c:crossBetween val="between"/>
      </c:valAx>
      <c:catAx>
        <c:axId val="877960191"/>
        <c:scaling>
          <c:orientation val="minMax"/>
        </c:scaling>
        <c:delete val="1"/>
        <c:axPos val="b"/>
        <c:numFmt formatCode="General" sourceLinked="1"/>
        <c:majorTickMark val="out"/>
        <c:minorTickMark val="none"/>
        <c:tickLblPos val="nextTo"/>
        <c:crossAx val="173745105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57794177073183E-2"/>
          <c:y val="4.1115590668506716E-2"/>
          <c:w val="0.91791893726288765"/>
          <c:h val="0.6311948422554563"/>
        </c:manualLayout>
      </c:layout>
      <c:barChart>
        <c:barDir val="col"/>
        <c:grouping val="stacked"/>
        <c:varyColors val="0"/>
        <c:ser>
          <c:idx val="1"/>
          <c:order val="1"/>
          <c:tx>
            <c:strRef>
              <c:f>Sheet1!$A$3</c:f>
              <c:strCache>
                <c:ptCount val="1"/>
                <c:pt idx="0">
                  <c:v>արդյունաբերություն</c:v>
                </c:pt>
              </c:strCache>
            </c:strRef>
          </c:tx>
          <c:spPr>
            <a:solidFill>
              <a:srgbClr val="B4C7E7"/>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Sheet1!$B$3:$J$3</c:f>
              <c:numCache>
                <c:formatCode>0.0</c:formatCode>
                <c:ptCount val="9"/>
                <c:pt idx="0">
                  <c:v>2.168157050169826</c:v>
                </c:pt>
                <c:pt idx="1">
                  <c:v>-0.25862819095951967</c:v>
                </c:pt>
                <c:pt idx="2">
                  <c:v>0.48280829270910863</c:v>
                </c:pt>
                <c:pt idx="3">
                  <c:v>1.3628442826086375</c:v>
                </c:pt>
                <c:pt idx="4">
                  <c:v>4.1486866933541124E-3</c:v>
                </c:pt>
                <c:pt idx="5">
                  <c:v>1.1485969238506732</c:v>
                </c:pt>
                <c:pt idx="6">
                  <c:v>0.98067310363313376</c:v>
                </c:pt>
                <c:pt idx="7">
                  <c:v>0.76438956041899286</c:v>
                </c:pt>
                <c:pt idx="8">
                  <c:v>0.75571153324299645</c:v>
                </c:pt>
              </c:numCache>
            </c:numRef>
          </c:val>
          <c:extLst>
            <c:ext xmlns:c16="http://schemas.microsoft.com/office/drawing/2014/chart" uri="{C3380CC4-5D6E-409C-BE32-E72D297353CC}">
              <c16:uniqueId val="{00000000-F869-4CEB-850F-0466207D7066}"/>
            </c:ext>
          </c:extLst>
        </c:ser>
        <c:ser>
          <c:idx val="2"/>
          <c:order val="2"/>
          <c:tx>
            <c:strRef>
              <c:f>Sheet1!$A$4</c:f>
              <c:strCache>
                <c:ptCount val="1"/>
                <c:pt idx="0">
                  <c:v>գյուղատնտեսություն </c:v>
                </c:pt>
              </c:strCache>
            </c:strRef>
          </c:tx>
          <c:spPr>
            <a:solidFill>
              <a:srgbClr val="8064A2"/>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Sheet1!$B$4:$J$4</c:f>
              <c:numCache>
                <c:formatCode>0.0</c:formatCode>
                <c:ptCount val="9"/>
                <c:pt idx="0">
                  <c:v>-0.80865407601404715</c:v>
                </c:pt>
                <c:pt idx="1">
                  <c:v>-0.42644759730447657</c:v>
                </c:pt>
                <c:pt idx="2">
                  <c:v>-9.0798441243638853E-2</c:v>
                </c:pt>
                <c:pt idx="3">
                  <c:v>-0.31761935569519939</c:v>
                </c:pt>
                <c:pt idx="4">
                  <c:v>0.29425441384148049</c:v>
                </c:pt>
                <c:pt idx="5">
                  <c:v>0.22774819789577591</c:v>
                </c:pt>
                <c:pt idx="6">
                  <c:v>0.24774331684834838</c:v>
                </c:pt>
                <c:pt idx="7">
                  <c:v>0.24128044771317414</c:v>
                </c:pt>
                <c:pt idx="8">
                  <c:v>0.23211364088126846</c:v>
                </c:pt>
              </c:numCache>
            </c:numRef>
          </c:val>
          <c:extLst>
            <c:ext xmlns:c16="http://schemas.microsoft.com/office/drawing/2014/chart" uri="{C3380CC4-5D6E-409C-BE32-E72D297353CC}">
              <c16:uniqueId val="{00000001-F869-4CEB-850F-0466207D7066}"/>
            </c:ext>
          </c:extLst>
        </c:ser>
        <c:ser>
          <c:idx val="3"/>
          <c:order val="3"/>
          <c:tx>
            <c:strRef>
              <c:f>Sheet1!$A$5</c:f>
              <c:strCache>
                <c:ptCount val="1"/>
                <c:pt idx="0">
                  <c:v>շինարարություն</c:v>
                </c:pt>
              </c:strCache>
            </c:strRef>
          </c:tx>
          <c:spPr>
            <a:solidFill>
              <a:sysClr val="window" lastClr="FFFFFF">
                <a:lumMod val="65000"/>
              </a:sys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Sheet1!$B$5:$J$5</c:f>
              <c:numCache>
                <c:formatCode>0.0</c:formatCode>
                <c:ptCount val="9"/>
                <c:pt idx="0">
                  <c:v>0.42924919235971903</c:v>
                </c:pt>
                <c:pt idx="1">
                  <c:v>-0.37459956500993163</c:v>
                </c:pt>
                <c:pt idx="2">
                  <c:v>0.21415861518102824</c:v>
                </c:pt>
                <c:pt idx="3">
                  <c:v>1.2109559431365222</c:v>
                </c:pt>
                <c:pt idx="4">
                  <c:v>1.087820530932055</c:v>
                </c:pt>
                <c:pt idx="5">
                  <c:v>0.45416572087072615</c:v>
                </c:pt>
                <c:pt idx="6">
                  <c:v>0.43750559801612843</c:v>
                </c:pt>
                <c:pt idx="7">
                  <c:v>0.41199485226072097</c:v>
                </c:pt>
                <c:pt idx="8">
                  <c:v>0.38234288735152588</c:v>
                </c:pt>
              </c:numCache>
            </c:numRef>
          </c:val>
          <c:extLst>
            <c:ext xmlns:c16="http://schemas.microsoft.com/office/drawing/2014/chart" uri="{C3380CC4-5D6E-409C-BE32-E72D297353CC}">
              <c16:uniqueId val="{00000002-F869-4CEB-850F-0466207D7066}"/>
            </c:ext>
          </c:extLst>
        </c:ser>
        <c:ser>
          <c:idx val="4"/>
          <c:order val="4"/>
          <c:tx>
            <c:strRef>
              <c:f>Sheet1!$A$6</c:f>
              <c:strCache>
                <c:ptCount val="1"/>
                <c:pt idx="0">
                  <c:v>ծառայություններ</c:v>
                </c:pt>
              </c:strCache>
            </c:strRef>
          </c:tx>
          <c:spPr>
            <a:solidFill>
              <a:srgbClr val="ED7D31">
                <a:lumMod val="60000"/>
                <a:lumOff val="40000"/>
              </a:srgb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Sheet1!$B$6:$J$6</c:f>
              <c:numCache>
                <c:formatCode>0.0</c:formatCode>
                <c:ptCount val="9"/>
                <c:pt idx="0">
                  <c:v>5.0778366362224343</c:v>
                </c:pt>
                <c:pt idx="1">
                  <c:v>-4.9778368840120288</c:v>
                </c:pt>
                <c:pt idx="2">
                  <c:v>4.3753350982915755</c:v>
                </c:pt>
                <c:pt idx="3">
                  <c:v>9.4306308804607593</c:v>
                </c:pt>
                <c:pt idx="4">
                  <c:v>6.2181691971253761</c:v>
                </c:pt>
                <c:pt idx="5">
                  <c:v>3.7517545924148612</c:v>
                </c:pt>
                <c:pt idx="6">
                  <c:v>3.4630641736955226</c:v>
                </c:pt>
                <c:pt idx="7">
                  <c:v>3.6255176256858261</c:v>
                </c:pt>
                <c:pt idx="8">
                  <c:v>3.5002145532122322</c:v>
                </c:pt>
              </c:numCache>
            </c:numRef>
          </c:val>
          <c:extLst>
            <c:ext xmlns:c16="http://schemas.microsoft.com/office/drawing/2014/chart" uri="{C3380CC4-5D6E-409C-BE32-E72D297353CC}">
              <c16:uniqueId val="{00000003-F869-4CEB-850F-0466207D7066}"/>
            </c:ext>
          </c:extLst>
        </c:ser>
        <c:ser>
          <c:idx val="5"/>
          <c:order val="5"/>
          <c:tx>
            <c:strRef>
              <c:f>Sheet1!$A$7</c:f>
              <c:strCache>
                <c:ptCount val="1"/>
                <c:pt idx="0">
                  <c:v>զուտ հարկեր</c:v>
                </c:pt>
              </c:strCache>
            </c:strRef>
          </c:tx>
          <c:spPr>
            <a:solidFill>
              <a:srgbClr val="4472C4">
                <a:lumMod val="50000"/>
              </a:srgb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Sheet1!$B$7:$J$7</c:f>
              <c:numCache>
                <c:formatCode>0.0</c:formatCode>
                <c:ptCount val="9"/>
                <c:pt idx="0">
                  <c:v>0.75427447723755991</c:v>
                </c:pt>
                <c:pt idx="1">
                  <c:v>-1.1276472907079103</c:v>
                </c:pt>
                <c:pt idx="2">
                  <c:v>0.80674869254653181</c:v>
                </c:pt>
                <c:pt idx="3">
                  <c:v>0.88890396802941851</c:v>
                </c:pt>
                <c:pt idx="4">
                  <c:v>1.1423708056181576</c:v>
                </c:pt>
                <c:pt idx="5">
                  <c:v>0.71773456496795451</c:v>
                </c:pt>
                <c:pt idx="6">
                  <c:v>0.67101380780685238</c:v>
                </c:pt>
                <c:pt idx="7">
                  <c:v>0.65681751392131005</c:v>
                </c:pt>
                <c:pt idx="8">
                  <c:v>0.62961738531198153</c:v>
                </c:pt>
              </c:numCache>
            </c:numRef>
          </c:val>
          <c:extLst>
            <c:ext xmlns:c16="http://schemas.microsoft.com/office/drawing/2014/chart" uri="{C3380CC4-5D6E-409C-BE32-E72D297353CC}">
              <c16:uniqueId val="{00000004-F869-4CEB-850F-0466207D7066}"/>
            </c:ext>
          </c:extLst>
        </c:ser>
        <c:dLbls>
          <c:showLegendKey val="0"/>
          <c:showVal val="0"/>
          <c:showCatName val="0"/>
          <c:showSerName val="0"/>
          <c:showPercent val="0"/>
          <c:showBubbleSize val="0"/>
        </c:dLbls>
        <c:gapWidth val="150"/>
        <c:overlap val="100"/>
        <c:axId val="222898048"/>
        <c:axId val="222899584"/>
      </c:barChart>
      <c:lineChart>
        <c:grouping val="standard"/>
        <c:varyColors val="0"/>
        <c:ser>
          <c:idx val="0"/>
          <c:order val="0"/>
          <c:tx>
            <c:strRef>
              <c:f>Sheet1!$A$2</c:f>
              <c:strCache>
                <c:ptCount val="1"/>
                <c:pt idx="0">
                  <c:v>ՀՆԱ</c:v>
                </c:pt>
              </c:strCache>
            </c:strRef>
          </c:tx>
          <c:spPr>
            <a:ln w="25400" cap="rnd">
              <a:solidFill>
                <a:srgbClr val="4472C4">
                  <a:lumMod val="75000"/>
                </a:srgbClr>
              </a:solidFill>
              <a:round/>
            </a:ln>
            <a:effectLst/>
          </c:spPr>
          <c:marker>
            <c:symbol val="none"/>
          </c:marker>
          <c:dLbls>
            <c:dLbl>
              <c:idx val="1"/>
              <c:layout>
                <c:manualLayout>
                  <c:x val="-5.7608404245812275E-2"/>
                  <c:y val="3.36579823495217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869-4CEB-850F-0466207D7066}"/>
                </c:ext>
              </c:extLst>
            </c:dLbl>
            <c:dLbl>
              <c:idx val="3"/>
              <c:layout>
                <c:manualLayout>
                  <c:x val="-5.8942915868177258E-2"/>
                  <c:y val="-3.7776251122972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869-4CEB-850F-0466207D7066}"/>
                </c:ext>
              </c:extLst>
            </c:dLbl>
            <c:dLbl>
              <c:idx val="4"/>
              <c:layout>
                <c:manualLayout>
                  <c:x val="-5.3930222782681801E-2"/>
                  <c:y val="-4.7768324261480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869-4CEB-850F-0466207D7066}"/>
                </c:ext>
              </c:extLst>
            </c:dLbl>
            <c:dLbl>
              <c:idx val="5"/>
              <c:layout>
                <c:manualLayout>
                  <c:x val="-5.8732743526857374E-2"/>
                  <c:y val="-4.7768324261480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869-4CEB-850F-0466207D7066}"/>
                </c:ext>
              </c:extLst>
            </c:dLbl>
            <c:dLbl>
              <c:idx val="6"/>
              <c:layout>
                <c:manualLayout>
                  <c:x val="-6.7118785435553219E-2"/>
                  <c:y val="-4.10569148655075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869-4CEB-850F-0466207D7066}"/>
                </c:ext>
              </c:extLst>
            </c:dLbl>
            <c:dLbl>
              <c:idx val="7"/>
              <c:layout>
                <c:manualLayout>
                  <c:x val="-5.349961771802484E-2"/>
                  <c:y val="-4.7768324261480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869-4CEB-850F-0466207D7066}"/>
                </c:ext>
              </c:extLst>
            </c:dLbl>
            <c:dLbl>
              <c:idx val="8"/>
              <c:layout>
                <c:manualLayout>
                  <c:x val="-2.0825265694247235E-2"/>
                  <c:y val="-4.77683242614807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869-4CEB-850F-0466207D7066}"/>
                </c:ext>
              </c:extLst>
            </c:dLbl>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Sheet1!$B$2:$J$2</c:f>
              <c:numCache>
                <c:formatCode>0.0</c:formatCode>
                <c:ptCount val="9"/>
                <c:pt idx="0">
                  <c:v>7.6208632799754925</c:v>
                </c:pt>
                <c:pt idx="1">
                  <c:v>-7.1651595279938665</c:v>
                </c:pt>
                <c:pt idx="2">
                  <c:v>5.7882522574846051</c:v>
                </c:pt>
                <c:pt idx="3">
                  <c:v>12.57571571854014</c:v>
                </c:pt>
                <c:pt idx="4">
                  <c:v>8.7467636342104242</c:v>
                </c:pt>
                <c:pt idx="5">
                  <c:v>6.2999999999999909</c:v>
                </c:pt>
                <c:pt idx="6">
                  <c:v>5.7999999999999865</c:v>
                </c:pt>
                <c:pt idx="7">
                  <c:v>5.7000000000000171</c:v>
                </c:pt>
                <c:pt idx="8">
                  <c:v>5.5</c:v>
                </c:pt>
              </c:numCache>
            </c:numRef>
          </c:val>
          <c:smooth val="0"/>
          <c:extLst>
            <c:ext xmlns:c16="http://schemas.microsoft.com/office/drawing/2014/chart" uri="{C3380CC4-5D6E-409C-BE32-E72D297353CC}">
              <c16:uniqueId val="{0000000C-F869-4CEB-850F-0466207D7066}"/>
            </c:ext>
          </c:extLst>
        </c:ser>
        <c:dLbls>
          <c:showLegendKey val="0"/>
          <c:showVal val="0"/>
          <c:showCatName val="0"/>
          <c:showSerName val="0"/>
          <c:showPercent val="0"/>
          <c:showBubbleSize val="0"/>
        </c:dLbls>
        <c:marker val="1"/>
        <c:smooth val="0"/>
        <c:axId val="222898048"/>
        <c:axId val="222899584"/>
      </c:lineChart>
      <c:catAx>
        <c:axId val="22289804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899584"/>
        <c:crosses val="autoZero"/>
        <c:auto val="1"/>
        <c:lblAlgn val="ctr"/>
        <c:lblOffset val="100"/>
        <c:noMultiLvlLbl val="0"/>
      </c:catAx>
      <c:valAx>
        <c:axId val="2228995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898048"/>
        <c:crosses val="autoZero"/>
        <c:crossBetween val="between"/>
      </c:valAx>
      <c:spPr>
        <a:noFill/>
        <a:ln>
          <a:noFill/>
        </a:ln>
        <a:effectLst/>
      </c:spPr>
    </c:plotArea>
    <c:legend>
      <c:legendPos val="b"/>
      <c:layout>
        <c:manualLayout>
          <c:xMode val="edge"/>
          <c:yMode val="edge"/>
          <c:x val="0"/>
          <c:y val="0.82533372086878398"/>
          <c:w val="1"/>
          <c:h val="0.1581293808862133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latin typeface="GHEA Grapalat" panose="02000506050000020003" pitchFamily="50" charset="0"/>
        </a:defRPr>
      </a:pPr>
      <a:endParaRPr lang="en-US"/>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77909215911947"/>
          <c:y val="7.201309328968912E-2"/>
          <c:w val="0.87468581572658166"/>
          <c:h val="0.58559531940667808"/>
        </c:manualLayout>
      </c:layout>
      <c:barChart>
        <c:barDir val="col"/>
        <c:grouping val="stacked"/>
        <c:varyColors val="0"/>
        <c:ser>
          <c:idx val="1"/>
          <c:order val="1"/>
          <c:tx>
            <c:strRef>
              <c:f>Sheet1!$A$3</c:f>
              <c:strCache>
                <c:ptCount val="1"/>
                <c:pt idx="0">
                  <c:v>Սպառում</c:v>
                </c:pt>
              </c:strCache>
            </c:strRef>
          </c:tx>
          <c:spPr>
            <a:solidFill>
              <a:srgbClr val="ED7D31">
                <a:lumMod val="60000"/>
                <a:lumOff val="40000"/>
              </a:srgbClr>
            </a:solidFill>
            <a:ln>
              <a:noFill/>
            </a:ln>
            <a:effectLst/>
          </c:spPr>
          <c:invertIfNegative val="0"/>
          <c:cat>
            <c:strRef>
              <c:f>Sheet1!$B$1:$J$1</c:f>
              <c:strCache>
                <c:ptCount val="9"/>
                <c:pt idx="0">
                  <c:v>2019</c:v>
                </c:pt>
                <c:pt idx="1">
                  <c:v>2020</c:v>
                </c:pt>
                <c:pt idx="2">
                  <c:v>2021</c:v>
                </c:pt>
                <c:pt idx="3">
                  <c:v>2022</c:v>
                </c:pt>
                <c:pt idx="4">
                  <c:v>2023</c:v>
                </c:pt>
                <c:pt idx="5">
                  <c:v>2024</c:v>
                </c:pt>
                <c:pt idx="6">
                  <c:v>2025</c:v>
                </c:pt>
                <c:pt idx="7">
                  <c:v>2026</c:v>
                </c:pt>
                <c:pt idx="8">
                  <c:v>2027</c:v>
                </c:pt>
              </c:strCache>
            </c:strRef>
          </c:cat>
          <c:val>
            <c:numRef>
              <c:f>Sheet1!$B$3:$J$3</c:f>
              <c:numCache>
                <c:formatCode>0.0</c:formatCode>
                <c:ptCount val="9"/>
                <c:pt idx="0">
                  <c:v>10.680646817555598</c:v>
                </c:pt>
                <c:pt idx="1">
                  <c:v>-10.464438397329021</c:v>
                </c:pt>
                <c:pt idx="2">
                  <c:v>1.1738350099530821</c:v>
                </c:pt>
                <c:pt idx="3">
                  <c:v>3.735297835122855</c:v>
                </c:pt>
                <c:pt idx="4">
                  <c:v>7.6242558757098555</c:v>
                </c:pt>
                <c:pt idx="5">
                  <c:v>5.3196667663526824</c:v>
                </c:pt>
                <c:pt idx="6">
                  <c:v>5.2012450556331196</c:v>
                </c:pt>
                <c:pt idx="7">
                  <c:v>4.7981243105387952</c:v>
                </c:pt>
                <c:pt idx="8">
                  <c:v>5.2209365812622783</c:v>
                </c:pt>
              </c:numCache>
            </c:numRef>
          </c:val>
          <c:extLst>
            <c:ext xmlns:c16="http://schemas.microsoft.com/office/drawing/2014/chart" uri="{C3380CC4-5D6E-409C-BE32-E72D297353CC}">
              <c16:uniqueId val="{00000000-B705-499C-87AC-05A92152B3E6}"/>
            </c:ext>
          </c:extLst>
        </c:ser>
        <c:ser>
          <c:idx val="2"/>
          <c:order val="2"/>
          <c:tx>
            <c:strRef>
              <c:f>Sheet1!$A$4</c:f>
              <c:strCache>
                <c:ptCount val="1"/>
                <c:pt idx="0">
                  <c:v>Հիմնական միջոցներում կապիտալ ներդրումներ</c:v>
                </c:pt>
              </c:strCache>
            </c:strRef>
          </c:tx>
          <c:spPr>
            <a:solidFill>
              <a:schemeClr val="accent3"/>
            </a:solidFill>
            <a:ln>
              <a:noFill/>
            </a:ln>
            <a:effectLst/>
          </c:spPr>
          <c:invertIfNegative val="0"/>
          <c:cat>
            <c:strRef>
              <c:f>Sheet1!$B$1:$J$1</c:f>
              <c:strCache>
                <c:ptCount val="9"/>
                <c:pt idx="0">
                  <c:v>2019</c:v>
                </c:pt>
                <c:pt idx="1">
                  <c:v>2020</c:v>
                </c:pt>
                <c:pt idx="2">
                  <c:v>2021</c:v>
                </c:pt>
                <c:pt idx="3">
                  <c:v>2022</c:v>
                </c:pt>
                <c:pt idx="4">
                  <c:v>2023</c:v>
                </c:pt>
                <c:pt idx="5">
                  <c:v>2024</c:v>
                </c:pt>
                <c:pt idx="6">
                  <c:v>2025</c:v>
                </c:pt>
                <c:pt idx="7">
                  <c:v>2026</c:v>
                </c:pt>
                <c:pt idx="8">
                  <c:v>2027</c:v>
                </c:pt>
              </c:strCache>
            </c:strRef>
          </c:cat>
          <c:val>
            <c:numRef>
              <c:f>Sheet1!$B$4:$J$4</c:f>
              <c:numCache>
                <c:formatCode>0.0</c:formatCode>
                <c:ptCount val="9"/>
                <c:pt idx="0">
                  <c:v>0.73660007839076713</c:v>
                </c:pt>
                <c:pt idx="1">
                  <c:v>-0.23723397647965289</c:v>
                </c:pt>
                <c:pt idx="2">
                  <c:v>4.1946454154745165</c:v>
                </c:pt>
                <c:pt idx="3">
                  <c:v>2.9685518610159494</c:v>
                </c:pt>
                <c:pt idx="4">
                  <c:v>2.1279804359007288</c:v>
                </c:pt>
                <c:pt idx="5">
                  <c:v>2.8276213098127734</c:v>
                </c:pt>
                <c:pt idx="6">
                  <c:v>1.8552698989452425</c:v>
                </c:pt>
                <c:pt idx="7">
                  <c:v>2.5727742498992772</c:v>
                </c:pt>
                <c:pt idx="8">
                  <c:v>1.2985123978093007</c:v>
                </c:pt>
              </c:numCache>
            </c:numRef>
          </c:val>
          <c:extLst>
            <c:ext xmlns:c16="http://schemas.microsoft.com/office/drawing/2014/chart" uri="{C3380CC4-5D6E-409C-BE32-E72D297353CC}">
              <c16:uniqueId val="{00000001-B705-499C-87AC-05A92152B3E6}"/>
            </c:ext>
          </c:extLst>
        </c:ser>
        <c:ser>
          <c:idx val="3"/>
          <c:order val="3"/>
          <c:tx>
            <c:strRef>
              <c:f>Sheet1!$A$5</c:f>
              <c:strCache>
                <c:ptCount val="1"/>
                <c:pt idx="0">
                  <c:v>Արտահանում</c:v>
                </c:pt>
              </c:strCache>
            </c:strRef>
          </c:tx>
          <c:spPr>
            <a:solidFill>
              <a:srgbClr val="B4C7E7"/>
            </a:solidFill>
            <a:ln>
              <a:noFill/>
            </a:ln>
            <a:effectLst/>
          </c:spPr>
          <c:invertIfNegative val="0"/>
          <c:cat>
            <c:strRef>
              <c:f>Sheet1!$B$1:$J$1</c:f>
              <c:strCache>
                <c:ptCount val="9"/>
                <c:pt idx="0">
                  <c:v>2019</c:v>
                </c:pt>
                <c:pt idx="1">
                  <c:v>2020</c:v>
                </c:pt>
                <c:pt idx="2">
                  <c:v>2021</c:v>
                </c:pt>
                <c:pt idx="3">
                  <c:v>2022</c:v>
                </c:pt>
                <c:pt idx="4">
                  <c:v>2023</c:v>
                </c:pt>
                <c:pt idx="5">
                  <c:v>2024</c:v>
                </c:pt>
                <c:pt idx="6">
                  <c:v>2025</c:v>
                </c:pt>
                <c:pt idx="7">
                  <c:v>2026</c:v>
                </c:pt>
                <c:pt idx="8">
                  <c:v>2027</c:v>
                </c:pt>
              </c:strCache>
            </c:strRef>
          </c:cat>
          <c:val>
            <c:numRef>
              <c:f>Sheet1!$B$5:$J$5</c:f>
              <c:numCache>
                <c:formatCode>0.0</c:formatCode>
                <c:ptCount val="9"/>
                <c:pt idx="0">
                  <c:v>6.3028630445771689</c:v>
                </c:pt>
                <c:pt idx="1">
                  <c:v>-13.852518456298451</c:v>
                </c:pt>
                <c:pt idx="2">
                  <c:v>5.5362875662259698</c:v>
                </c:pt>
                <c:pt idx="3">
                  <c:v>21.292518914145131</c:v>
                </c:pt>
                <c:pt idx="4">
                  <c:v>14.754001947009177</c:v>
                </c:pt>
                <c:pt idx="5">
                  <c:v>4.1195229874199759</c:v>
                </c:pt>
                <c:pt idx="6">
                  <c:v>-8.0766881405634923</c:v>
                </c:pt>
                <c:pt idx="7">
                  <c:v>-0.2099412350550306</c:v>
                </c:pt>
                <c:pt idx="8">
                  <c:v>1.8935971856925651</c:v>
                </c:pt>
              </c:numCache>
            </c:numRef>
          </c:val>
          <c:extLst>
            <c:ext xmlns:c16="http://schemas.microsoft.com/office/drawing/2014/chart" uri="{C3380CC4-5D6E-409C-BE32-E72D297353CC}">
              <c16:uniqueId val="{00000002-B705-499C-87AC-05A92152B3E6}"/>
            </c:ext>
          </c:extLst>
        </c:ser>
        <c:ser>
          <c:idx val="4"/>
          <c:order val="4"/>
          <c:tx>
            <c:strRef>
              <c:f>Sheet1!$A$6</c:f>
              <c:strCache>
                <c:ptCount val="1"/>
                <c:pt idx="0">
                  <c:v>Ներմուծում ("-" նշանով)</c:v>
                </c:pt>
              </c:strCache>
            </c:strRef>
          </c:tx>
          <c:spPr>
            <a:solidFill>
              <a:srgbClr val="4472C4">
                <a:lumMod val="50000"/>
              </a:srgbClr>
            </a:solidFill>
          </c:spPr>
          <c:invertIfNegative val="0"/>
          <c:cat>
            <c:strRef>
              <c:f>Sheet1!$B$1:$J$1</c:f>
              <c:strCache>
                <c:ptCount val="9"/>
                <c:pt idx="0">
                  <c:v>2019</c:v>
                </c:pt>
                <c:pt idx="1">
                  <c:v>2020</c:v>
                </c:pt>
                <c:pt idx="2">
                  <c:v>2021</c:v>
                </c:pt>
                <c:pt idx="3">
                  <c:v>2022</c:v>
                </c:pt>
                <c:pt idx="4">
                  <c:v>2023</c:v>
                </c:pt>
                <c:pt idx="5">
                  <c:v>2024</c:v>
                </c:pt>
                <c:pt idx="6">
                  <c:v>2025</c:v>
                </c:pt>
                <c:pt idx="7">
                  <c:v>2026</c:v>
                </c:pt>
                <c:pt idx="8">
                  <c:v>2027</c:v>
                </c:pt>
              </c:strCache>
            </c:strRef>
          </c:cat>
          <c:val>
            <c:numRef>
              <c:f>Sheet1!$B$6:$J$6</c:f>
              <c:numCache>
                <c:formatCode>0.0</c:formatCode>
                <c:ptCount val="9"/>
                <c:pt idx="0">
                  <c:v>-6.1573047071421447</c:v>
                </c:pt>
                <c:pt idx="1">
                  <c:v>17.250456121537535</c:v>
                </c:pt>
                <c:pt idx="2">
                  <c:v>-5.1243728605494399</c:v>
                </c:pt>
                <c:pt idx="3">
                  <c:v>-15.098389847286052</c:v>
                </c:pt>
                <c:pt idx="4">
                  <c:v>-15.144850107559298</c:v>
                </c:pt>
                <c:pt idx="5">
                  <c:v>-5.9670044882123143</c:v>
                </c:pt>
                <c:pt idx="6">
                  <c:v>6.8119074914217945</c:v>
                </c:pt>
                <c:pt idx="7">
                  <c:v>-1.4653245186396409</c:v>
                </c:pt>
                <c:pt idx="8">
                  <c:v>-2.93913418618529</c:v>
                </c:pt>
              </c:numCache>
            </c:numRef>
          </c:val>
          <c:extLst>
            <c:ext xmlns:c16="http://schemas.microsoft.com/office/drawing/2014/chart" uri="{C3380CC4-5D6E-409C-BE32-E72D297353CC}">
              <c16:uniqueId val="{00000003-B705-499C-87AC-05A92152B3E6}"/>
            </c:ext>
          </c:extLst>
        </c:ser>
        <c:dLbls>
          <c:showLegendKey val="0"/>
          <c:showVal val="0"/>
          <c:showCatName val="0"/>
          <c:showSerName val="0"/>
          <c:showPercent val="0"/>
          <c:showBubbleSize val="0"/>
        </c:dLbls>
        <c:gapWidth val="150"/>
        <c:overlap val="100"/>
        <c:axId val="222975104"/>
        <c:axId val="222976640"/>
      </c:barChart>
      <c:lineChart>
        <c:grouping val="standard"/>
        <c:varyColors val="0"/>
        <c:ser>
          <c:idx val="0"/>
          <c:order val="0"/>
          <c:tx>
            <c:strRef>
              <c:f>Sheet1!$A$2</c:f>
              <c:strCache>
                <c:ptCount val="1"/>
                <c:pt idx="0">
                  <c:v>ՀՆԱ</c:v>
                </c:pt>
              </c:strCache>
            </c:strRef>
          </c:tx>
          <c:spPr>
            <a:ln w="25400" cap="rnd">
              <a:solidFill>
                <a:srgbClr val="4472C4">
                  <a:lumMod val="75000"/>
                </a:srgbClr>
              </a:solidFill>
              <a:round/>
            </a:ln>
            <a:effectLst/>
          </c:spPr>
          <c:marker>
            <c:symbol val="none"/>
          </c:marker>
          <c:dLbls>
            <c:dLbl>
              <c:idx val="0"/>
              <c:layout>
                <c:manualLayout>
                  <c:x val="-5.9544782964337239E-2"/>
                  <c:y val="-4.519021288212529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05-499C-87AC-05A92152B3E6}"/>
                </c:ext>
              </c:extLst>
            </c:dLbl>
            <c:dLbl>
              <c:idx val="1"/>
              <c:layout>
                <c:manualLayout>
                  <c:x val="-5.9249927566738643E-2"/>
                  <c:y val="4.9983138579465465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705-499C-87AC-05A92152B3E6}"/>
                </c:ext>
              </c:extLst>
            </c:dLbl>
            <c:dLbl>
              <c:idx val="2"/>
              <c:layout>
                <c:manualLayout>
                  <c:x val="-5.575328190705172E-2"/>
                  <c:y val="-3.9446088953360776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05-499C-87AC-05A92152B3E6}"/>
                </c:ext>
              </c:extLst>
            </c:dLbl>
            <c:dLbl>
              <c:idx val="3"/>
              <c:layout>
                <c:manualLayout>
                  <c:x val="-6.4820165419960843E-2"/>
                  <c:y val="-3.2647992420390008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05-499C-87AC-05A92152B3E6}"/>
                </c:ext>
              </c:extLst>
            </c:dLbl>
            <c:dLbl>
              <c:idx val="4"/>
              <c:layout>
                <c:manualLayout>
                  <c:x val="-5.5102743179668102E-2"/>
                  <c:y val="-4.6244185486331545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705-499C-87AC-05A92152B3E6}"/>
                </c:ext>
              </c:extLst>
            </c:dLbl>
            <c:dLbl>
              <c:idx val="5"/>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9-B705-499C-87AC-05A92152B3E6}"/>
                </c:ext>
              </c:extLst>
            </c:dLbl>
            <c:dLbl>
              <c:idx val="6"/>
              <c:layout>
                <c:manualLayout>
                  <c:x val="-5.5244888452777516E-2"/>
                  <c:y val="-0.1278213438819808"/>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705-499C-87AC-05A92152B3E6}"/>
                </c:ext>
              </c:extLst>
            </c:dLbl>
            <c:dLbl>
              <c:idx val="7"/>
              <c:layout>
                <c:manualLayout>
                  <c:x val="-5.4614839134130393E-2"/>
                  <c:y val="-5.3042282019302341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705-499C-87AC-05A92152B3E6}"/>
                </c:ext>
              </c:extLst>
            </c:dLbl>
            <c:dLbl>
              <c:idx val="8"/>
              <c:layout>
                <c:manualLayout>
                  <c:x val="-3.3256231261395236E-2"/>
                  <c:y val="-5.30422820193023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705-499C-87AC-05A92152B3E6}"/>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c:v>
                </c:pt>
                <c:pt idx="1">
                  <c:v>2020</c:v>
                </c:pt>
                <c:pt idx="2">
                  <c:v>2021</c:v>
                </c:pt>
                <c:pt idx="3">
                  <c:v>2022</c:v>
                </c:pt>
                <c:pt idx="4">
                  <c:v>2023</c:v>
                </c:pt>
                <c:pt idx="5">
                  <c:v>2024</c:v>
                </c:pt>
                <c:pt idx="6">
                  <c:v>2025</c:v>
                </c:pt>
                <c:pt idx="7">
                  <c:v>2026</c:v>
                </c:pt>
                <c:pt idx="8">
                  <c:v>2027</c:v>
                </c:pt>
              </c:strCache>
            </c:strRef>
          </c:cat>
          <c:val>
            <c:numRef>
              <c:f>Sheet1!$B$2:$J$2</c:f>
              <c:numCache>
                <c:formatCode>0.0</c:formatCode>
                <c:ptCount val="9"/>
                <c:pt idx="0">
                  <c:v>7.5999999999999943</c:v>
                </c:pt>
                <c:pt idx="1">
                  <c:v>-7.2000000000000028</c:v>
                </c:pt>
                <c:pt idx="2">
                  <c:v>5.7999999999999972</c:v>
                </c:pt>
                <c:pt idx="3">
                  <c:v>12.575715718540138</c:v>
                </c:pt>
                <c:pt idx="4">
                  <c:v>8.74676363421041</c:v>
                </c:pt>
                <c:pt idx="5">
                  <c:v>6.2998065753731183</c:v>
                </c:pt>
                <c:pt idx="6">
                  <c:v>5.7917343054366643</c:v>
                </c:pt>
                <c:pt idx="7">
                  <c:v>5.6956328067434008</c:v>
                </c:pt>
                <c:pt idx="8">
                  <c:v>5.4739119785788528</c:v>
                </c:pt>
              </c:numCache>
            </c:numRef>
          </c:val>
          <c:smooth val="0"/>
          <c:extLst>
            <c:ext xmlns:c16="http://schemas.microsoft.com/office/drawing/2014/chart" uri="{C3380CC4-5D6E-409C-BE32-E72D297353CC}">
              <c16:uniqueId val="{0000000D-B705-499C-87AC-05A92152B3E6}"/>
            </c:ext>
          </c:extLst>
        </c:ser>
        <c:dLbls>
          <c:showLegendKey val="0"/>
          <c:showVal val="0"/>
          <c:showCatName val="0"/>
          <c:showSerName val="0"/>
          <c:showPercent val="0"/>
          <c:showBubbleSize val="0"/>
        </c:dLbls>
        <c:marker val="1"/>
        <c:smooth val="0"/>
        <c:axId val="222975104"/>
        <c:axId val="222976640"/>
      </c:lineChart>
      <c:catAx>
        <c:axId val="2229751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976640"/>
        <c:crosses val="autoZero"/>
        <c:auto val="1"/>
        <c:lblAlgn val="ctr"/>
        <c:lblOffset val="100"/>
        <c:noMultiLvlLbl val="0"/>
      </c:catAx>
      <c:valAx>
        <c:axId val="2229766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22975104"/>
        <c:crosses val="autoZero"/>
        <c:crossBetween val="between"/>
      </c:valAx>
      <c:spPr>
        <a:noFill/>
        <a:ln>
          <a:noFill/>
        </a:ln>
        <a:effectLst/>
      </c:spPr>
    </c:plotArea>
    <c:legend>
      <c:legendPos val="b"/>
      <c:layout>
        <c:manualLayout>
          <c:xMode val="edge"/>
          <c:yMode val="edge"/>
          <c:x val="0"/>
          <c:y val="0.76103826800655461"/>
          <c:w val="1"/>
          <c:h val="0.2389616576649876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GHEA Grapalat" panose="02000506050000020003" pitchFamily="50" charset="0"/>
        </a:defRPr>
      </a:pPr>
      <a:endParaRPr lang="en-US"/>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987194652244407E-2"/>
          <c:y val="5.1694697277698022E-2"/>
          <c:w val="0.86196782708751662"/>
          <c:h val="0.68934504893948323"/>
        </c:manualLayout>
      </c:layout>
      <c:barChart>
        <c:barDir val="col"/>
        <c:grouping val="percentStacked"/>
        <c:varyColors val="0"/>
        <c:ser>
          <c:idx val="0"/>
          <c:order val="0"/>
          <c:tx>
            <c:strRef>
              <c:f>Sheet1!$A$2</c:f>
              <c:strCache>
                <c:ptCount val="1"/>
                <c:pt idx="0">
                  <c:v>Սպառում</c:v>
                </c:pt>
              </c:strCache>
            </c:strRef>
          </c:tx>
          <c:spPr>
            <a:solidFill>
              <a:srgbClr val="ED7D31">
                <a:lumMod val="60000"/>
                <a:lumOff val="40000"/>
              </a:srgb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Sheet1!$B$2:$J$2</c:f>
              <c:numCache>
                <c:formatCode>0.0</c:formatCode>
                <c:ptCount val="9"/>
                <c:pt idx="0">
                  <c:v>96.004021993844162</c:v>
                </c:pt>
                <c:pt idx="1">
                  <c:v>90.295000765621907</c:v>
                </c:pt>
                <c:pt idx="2">
                  <c:v>84.893132616428417</c:v>
                </c:pt>
                <c:pt idx="3">
                  <c:v>78.600576038245904</c:v>
                </c:pt>
                <c:pt idx="4">
                  <c:v>79.647816943057919</c:v>
                </c:pt>
                <c:pt idx="5">
                  <c:v>79.854890426952863</c:v>
                </c:pt>
                <c:pt idx="6">
                  <c:v>79.007713648422936</c:v>
                </c:pt>
                <c:pt idx="7">
                  <c:v>79.142980091527932</c:v>
                </c:pt>
                <c:pt idx="8">
                  <c:v>79.227731520342772</c:v>
                </c:pt>
              </c:numCache>
            </c:numRef>
          </c:val>
          <c:extLst>
            <c:ext xmlns:c16="http://schemas.microsoft.com/office/drawing/2014/chart" uri="{C3380CC4-5D6E-409C-BE32-E72D297353CC}">
              <c16:uniqueId val="{00000000-E576-4D66-BC7D-137BEAFEC614}"/>
            </c:ext>
          </c:extLst>
        </c:ser>
        <c:ser>
          <c:idx val="1"/>
          <c:order val="1"/>
          <c:tx>
            <c:strRef>
              <c:f>Sheet1!$A$3</c:f>
              <c:strCache>
                <c:ptCount val="1"/>
                <c:pt idx="0">
                  <c:v>Հիմնական միջոցներում կապիտալ ներդրումներ</c:v>
                </c:pt>
              </c:strCache>
            </c:strRef>
          </c:tx>
          <c:spPr>
            <a:solidFill>
              <a:sysClr val="window" lastClr="FFFFFF">
                <a:lumMod val="65000"/>
              </a:sysClr>
            </a:solidFill>
            <a:ln>
              <a:noFill/>
            </a:ln>
            <a:effectLst/>
          </c:spPr>
          <c:invertIfNegative val="0"/>
          <c:dLbls>
            <c:dLbl>
              <c:idx val="1"/>
              <c:layout>
                <c:manualLayout>
                  <c:x val="0"/>
                  <c:y val="-7.024938531787846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76-4D66-BC7D-137BEAFEC614}"/>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Sheet1!$B$3:$J$3</c:f>
              <c:numCache>
                <c:formatCode>0.0</c:formatCode>
                <c:ptCount val="9"/>
                <c:pt idx="0">
                  <c:v>15.815598431976859</c:v>
                </c:pt>
                <c:pt idx="1">
                  <c:v>17.77392125201067</c:v>
                </c:pt>
                <c:pt idx="2">
                  <c:v>21.203941864399638</c:v>
                </c:pt>
                <c:pt idx="3">
                  <c:v>21.069113226739901</c:v>
                </c:pt>
                <c:pt idx="4">
                  <c:v>20.75777801960977</c:v>
                </c:pt>
                <c:pt idx="5">
                  <c:v>22.180909222083297</c:v>
                </c:pt>
                <c:pt idx="6">
                  <c:v>22.272571881948107</c:v>
                </c:pt>
                <c:pt idx="7">
                  <c:v>23.464555922012529</c:v>
                </c:pt>
                <c:pt idx="8">
                  <c:v>23.205857429541123</c:v>
                </c:pt>
              </c:numCache>
            </c:numRef>
          </c:val>
          <c:extLst>
            <c:ext xmlns:c16="http://schemas.microsoft.com/office/drawing/2014/chart" uri="{C3380CC4-5D6E-409C-BE32-E72D297353CC}">
              <c16:uniqueId val="{00000002-E576-4D66-BC7D-137BEAFEC614}"/>
            </c:ext>
          </c:extLst>
        </c:ser>
        <c:ser>
          <c:idx val="2"/>
          <c:order val="2"/>
          <c:tx>
            <c:strRef>
              <c:f>Sheet1!$A$4</c:f>
              <c:strCache>
                <c:ptCount val="1"/>
                <c:pt idx="0">
                  <c:v>Ապրանք. և ծառ. արտահանում </c:v>
                </c:pt>
              </c:strCache>
            </c:strRef>
          </c:tx>
          <c:spPr>
            <a:solidFill>
              <a:srgbClr val="B4C7E7"/>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Sheet1!$B$4:$J$4</c:f>
              <c:numCache>
                <c:formatCode>0.0</c:formatCode>
                <c:ptCount val="9"/>
                <c:pt idx="0">
                  <c:v>41.35080136208493</c:v>
                </c:pt>
                <c:pt idx="1">
                  <c:v>29.764986915193397</c:v>
                </c:pt>
                <c:pt idx="2">
                  <c:v>35.906439990126685</c:v>
                </c:pt>
                <c:pt idx="3">
                  <c:v>50.013565922065006</c:v>
                </c:pt>
                <c:pt idx="4">
                  <c:v>58.515845648459162</c:v>
                </c:pt>
                <c:pt idx="5">
                  <c:v>59.255461114291109</c:v>
                </c:pt>
                <c:pt idx="6">
                  <c:v>46.97488430788998</c:v>
                </c:pt>
                <c:pt idx="7">
                  <c:v>43.839581245360321</c:v>
                </c:pt>
                <c:pt idx="8">
                  <c:v>42.55274937698961</c:v>
                </c:pt>
              </c:numCache>
            </c:numRef>
          </c:val>
          <c:extLst>
            <c:ext xmlns:c16="http://schemas.microsoft.com/office/drawing/2014/chart" uri="{C3380CC4-5D6E-409C-BE32-E72D297353CC}">
              <c16:uniqueId val="{00000003-E576-4D66-BC7D-137BEAFEC614}"/>
            </c:ext>
          </c:extLst>
        </c:ser>
        <c:ser>
          <c:idx val="3"/>
          <c:order val="3"/>
          <c:tx>
            <c:strRef>
              <c:f>Sheet1!$A$5</c:f>
              <c:strCache>
                <c:ptCount val="1"/>
                <c:pt idx="0">
                  <c:v>Ապրանք. և ծառ. ներմուծում ("-" նշանով)</c:v>
                </c:pt>
              </c:strCache>
            </c:strRef>
          </c:tx>
          <c:spPr>
            <a:solidFill>
              <a:srgbClr val="4472C4"/>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Sheet1!$B$5:$J$5</c:f>
              <c:numCache>
                <c:formatCode>0.0</c:formatCode>
                <c:ptCount val="9"/>
                <c:pt idx="0">
                  <c:v>-54.763352766785822</c:v>
                </c:pt>
                <c:pt idx="1">
                  <c:v>-39.723820624414245</c:v>
                </c:pt>
                <c:pt idx="2">
                  <c:v>-43.763448832713195</c:v>
                </c:pt>
                <c:pt idx="3">
                  <c:v>-50.992761304913479</c:v>
                </c:pt>
                <c:pt idx="4">
                  <c:v>-59.487514736110938</c:v>
                </c:pt>
                <c:pt idx="5">
                  <c:v>-61.672982619772689</c:v>
                </c:pt>
                <c:pt idx="6">
                  <c:v>-50.493582966421357</c:v>
                </c:pt>
                <c:pt idx="7">
                  <c:v>-48.619703890862986</c:v>
                </c:pt>
                <c:pt idx="8">
                  <c:v>-47.887381451101433</c:v>
                </c:pt>
              </c:numCache>
            </c:numRef>
          </c:val>
          <c:extLst>
            <c:ext xmlns:c16="http://schemas.microsoft.com/office/drawing/2014/chart" uri="{C3380CC4-5D6E-409C-BE32-E72D297353CC}">
              <c16:uniqueId val="{00000004-E576-4D66-BC7D-137BEAFEC614}"/>
            </c:ext>
          </c:extLst>
        </c:ser>
        <c:dLbls>
          <c:showLegendKey val="0"/>
          <c:showVal val="0"/>
          <c:showCatName val="0"/>
          <c:showSerName val="0"/>
          <c:showPercent val="0"/>
          <c:showBubbleSize val="0"/>
        </c:dLbls>
        <c:gapWidth val="40"/>
        <c:overlap val="100"/>
        <c:axId val="256640128"/>
        <c:axId val="256641664"/>
      </c:barChart>
      <c:catAx>
        <c:axId val="2566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56641664"/>
        <c:crosses val="autoZero"/>
        <c:auto val="1"/>
        <c:lblAlgn val="ctr"/>
        <c:lblOffset val="600"/>
        <c:noMultiLvlLbl val="0"/>
      </c:catAx>
      <c:valAx>
        <c:axId val="256641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56640128"/>
        <c:crosses val="autoZero"/>
        <c:crossBetween val="between"/>
      </c:valAx>
      <c:spPr>
        <a:noFill/>
        <a:ln>
          <a:noFill/>
        </a:ln>
        <a:effectLst/>
      </c:spPr>
    </c:plotArea>
    <c:legend>
      <c:legendPos val="b"/>
      <c:layout>
        <c:manualLayout>
          <c:xMode val="edge"/>
          <c:yMode val="edge"/>
          <c:x val="5.2434256574987008E-3"/>
          <c:y val="0.78567465684281557"/>
          <c:w val="0.99414235111728511"/>
          <c:h val="0.2143253431571843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GHEA Grapalat" panose="02000506050000020003" pitchFamily="50" charset="0"/>
        </a:defRPr>
      </a:pPr>
      <a:endParaRPr lang="en-US"/>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122703412073505E-2"/>
          <c:y val="5.0925925925925923E-2"/>
          <c:w val="0.87232174103237092"/>
          <c:h val="0.58299139690871971"/>
        </c:manualLayout>
      </c:layout>
      <c:barChart>
        <c:barDir val="col"/>
        <c:grouping val="percentStacked"/>
        <c:varyColors val="0"/>
        <c:ser>
          <c:idx val="0"/>
          <c:order val="0"/>
          <c:tx>
            <c:strRef>
              <c:f>Sheet1!$A$2</c:f>
              <c:strCache>
                <c:ptCount val="1"/>
                <c:pt idx="0">
                  <c:v>Արդյունաբերություն</c:v>
                </c:pt>
              </c:strCache>
            </c:strRef>
          </c:tx>
          <c:spPr>
            <a:solidFill>
              <a:srgbClr val="B4C7E7"/>
            </a:solidFill>
            <a:ln>
              <a:noFill/>
            </a:ln>
            <a:effectLst/>
          </c:spPr>
          <c:invertIfNegative val="0"/>
          <c:dLbls>
            <c:dLbl>
              <c:idx val="0"/>
              <c:layout>
                <c:manualLayout>
                  <c:x val="-4.0807998367680069E-3"/>
                  <c:y val="7.02493853178791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F6-4A1C-8662-6A1863BC87A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Sheet1!$B$2:$J$2</c:f>
              <c:numCache>
                <c:formatCode>0.0</c:formatCode>
                <c:ptCount val="9"/>
                <c:pt idx="0">
                  <c:v>18.62246328768364</c:v>
                </c:pt>
                <c:pt idx="1">
                  <c:v>19.908953272735175</c:v>
                </c:pt>
                <c:pt idx="2">
                  <c:v>19.853824588075444</c:v>
                </c:pt>
                <c:pt idx="3">
                  <c:v>18.638218325454016</c:v>
                </c:pt>
                <c:pt idx="4">
                  <c:v>16.91280927106423</c:v>
                </c:pt>
                <c:pt idx="5">
                  <c:v>16.990974783551181</c:v>
                </c:pt>
                <c:pt idx="6">
                  <c:v>16.98643467597762</c:v>
                </c:pt>
                <c:pt idx="7">
                  <c:v>16.793589627622143</c:v>
                </c:pt>
                <c:pt idx="8">
                  <c:v>16.634408683284494</c:v>
                </c:pt>
              </c:numCache>
            </c:numRef>
          </c:val>
          <c:extLst>
            <c:ext xmlns:c16="http://schemas.microsoft.com/office/drawing/2014/chart" uri="{C3380CC4-5D6E-409C-BE32-E72D297353CC}">
              <c16:uniqueId val="{00000001-76F6-4A1C-8662-6A1863BC87AB}"/>
            </c:ext>
          </c:extLst>
        </c:ser>
        <c:ser>
          <c:idx val="1"/>
          <c:order val="1"/>
          <c:tx>
            <c:strRef>
              <c:f>Sheet1!$A$3</c:f>
              <c:strCache>
                <c:ptCount val="1"/>
                <c:pt idx="0">
                  <c:v>Գյուղատնտեսություն</c:v>
                </c:pt>
              </c:strCache>
            </c:strRef>
          </c:tx>
          <c:spPr>
            <a:solidFill>
              <a:srgbClr val="8064A2"/>
            </a:solidFill>
            <a:ln>
              <a:noFill/>
            </a:ln>
            <a:effectLst/>
          </c:spPr>
          <c:invertIfNegative val="0"/>
          <c:dLbls>
            <c:dLbl>
              <c:idx val="0"/>
              <c:layout>
                <c:manualLayout>
                  <c:x val="-1.8703449854671282E-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F6-4A1C-8662-6A1863BC87A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Sheet1!$B$3:$J$3</c:f>
              <c:numCache>
                <c:formatCode>0.0</c:formatCode>
                <c:ptCount val="9"/>
                <c:pt idx="0">
                  <c:v>11.525610737958818</c:v>
                </c:pt>
                <c:pt idx="1">
                  <c:v>11.349805155454895</c:v>
                </c:pt>
                <c:pt idx="2">
                  <c:v>11.343548417685703</c:v>
                </c:pt>
                <c:pt idx="3">
                  <c:v>10.146703925568273</c:v>
                </c:pt>
                <c:pt idx="4">
                  <c:v>8.4351184405842812</c:v>
                </c:pt>
                <c:pt idx="5">
                  <c:v>8.1494512121167073</c:v>
                </c:pt>
                <c:pt idx="6">
                  <c:v>7.9368568326701858</c:v>
                </c:pt>
                <c:pt idx="7">
                  <c:v>7.7371213627089483</c:v>
                </c:pt>
                <c:pt idx="8">
                  <c:v>7.5537772545878834</c:v>
                </c:pt>
              </c:numCache>
            </c:numRef>
          </c:val>
          <c:extLst>
            <c:ext xmlns:c16="http://schemas.microsoft.com/office/drawing/2014/chart" uri="{C3380CC4-5D6E-409C-BE32-E72D297353CC}">
              <c16:uniqueId val="{00000003-76F6-4A1C-8662-6A1863BC87AB}"/>
            </c:ext>
          </c:extLst>
        </c:ser>
        <c:ser>
          <c:idx val="2"/>
          <c:order val="2"/>
          <c:tx>
            <c:strRef>
              <c:f>Sheet1!$A$4</c:f>
              <c:strCache>
                <c:ptCount val="1"/>
                <c:pt idx="0">
                  <c:v>Շինարարություն</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Sheet1!$B$4:$J$4</c:f>
              <c:numCache>
                <c:formatCode>0.0</c:formatCode>
                <c:ptCount val="9"/>
                <c:pt idx="0">
                  <c:v>6.3491451696598515</c:v>
                </c:pt>
                <c:pt idx="1">
                  <c:v>6.9083424251944709</c:v>
                </c:pt>
                <c:pt idx="2">
                  <c:v>6.5105158233146376</c:v>
                </c:pt>
                <c:pt idx="3">
                  <c:v>6.7988783183253449</c:v>
                </c:pt>
                <c:pt idx="4">
                  <c:v>6.8812988010716118</c:v>
                </c:pt>
                <c:pt idx="5">
                  <c:v>6.9007192116108564</c:v>
                </c:pt>
                <c:pt idx="6">
                  <c:v>6.9359402737495133</c:v>
                </c:pt>
                <c:pt idx="7">
                  <c:v>6.9516888609368346</c:v>
                </c:pt>
                <c:pt idx="8">
                  <c:v>6.9516888609368337</c:v>
                </c:pt>
              </c:numCache>
            </c:numRef>
          </c:val>
          <c:extLst>
            <c:ext xmlns:c16="http://schemas.microsoft.com/office/drawing/2014/chart" uri="{C3380CC4-5D6E-409C-BE32-E72D297353CC}">
              <c16:uniqueId val="{00000004-76F6-4A1C-8662-6A1863BC87AB}"/>
            </c:ext>
          </c:extLst>
        </c:ser>
        <c:ser>
          <c:idx val="3"/>
          <c:order val="3"/>
          <c:tx>
            <c:strRef>
              <c:f>Sheet1!$A$5</c:f>
              <c:strCache>
                <c:ptCount val="1"/>
                <c:pt idx="0">
                  <c:v>Ծառայություններ</c:v>
                </c:pt>
              </c:strCache>
            </c:strRef>
          </c:tx>
          <c:spPr>
            <a:solidFill>
              <a:srgbClr val="ED7D31">
                <a:lumMod val="60000"/>
                <a:lumOff val="40000"/>
              </a:srgb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Sheet1!$B$5:$J$5</c:f>
              <c:numCache>
                <c:formatCode>0.0</c:formatCode>
                <c:ptCount val="9"/>
                <c:pt idx="0">
                  <c:v>52.112404130880428</c:v>
                </c:pt>
                <c:pt idx="1">
                  <c:v>50.930889787878556</c:v>
                </c:pt>
                <c:pt idx="2">
                  <c:v>51.317988108832623</c:v>
                </c:pt>
                <c:pt idx="3">
                  <c:v>54.031010288669123</c:v>
                </c:pt>
                <c:pt idx="4">
                  <c:v>57.058317293728308</c:v>
                </c:pt>
                <c:pt idx="5">
                  <c:v>57.206088321865657</c:v>
                </c:pt>
                <c:pt idx="6">
                  <c:v>57.343244324727017</c:v>
                </c:pt>
                <c:pt idx="7">
                  <c:v>57.680947919028199</c:v>
                </c:pt>
                <c:pt idx="8">
                  <c:v>57.991623196436429</c:v>
                </c:pt>
              </c:numCache>
            </c:numRef>
          </c:val>
          <c:extLst>
            <c:ext xmlns:c16="http://schemas.microsoft.com/office/drawing/2014/chart" uri="{C3380CC4-5D6E-409C-BE32-E72D297353CC}">
              <c16:uniqueId val="{00000005-76F6-4A1C-8662-6A1863BC87AB}"/>
            </c:ext>
          </c:extLst>
        </c:ser>
        <c:ser>
          <c:idx val="4"/>
          <c:order val="4"/>
          <c:tx>
            <c:strRef>
              <c:f>Sheet1!$A$6</c:f>
              <c:strCache>
                <c:ptCount val="1"/>
                <c:pt idx="0">
                  <c:v>Զուտ հարկեր</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2019 </c:v>
                </c:pt>
                <c:pt idx="1">
                  <c:v>2020 </c:v>
                </c:pt>
                <c:pt idx="2">
                  <c:v>2021 </c:v>
                </c:pt>
                <c:pt idx="3">
                  <c:v>2022</c:v>
                </c:pt>
                <c:pt idx="4">
                  <c:v>2023</c:v>
                </c:pt>
                <c:pt idx="5">
                  <c:v>2024</c:v>
                </c:pt>
                <c:pt idx="6">
                  <c:v>2025</c:v>
                </c:pt>
                <c:pt idx="7">
                  <c:v>2026</c:v>
                </c:pt>
                <c:pt idx="8">
                  <c:v>2027</c:v>
                </c:pt>
              </c:strCache>
            </c:strRef>
          </c:cat>
          <c:val>
            <c:numRef>
              <c:f>Sheet1!$B$6:$J$6</c:f>
              <c:numCache>
                <c:formatCode>0.0</c:formatCode>
                <c:ptCount val="9"/>
                <c:pt idx="0">
                  <c:v>11.390376673817267</c:v>
                </c:pt>
                <c:pt idx="1">
                  <c:v>10.902009358736906</c:v>
                </c:pt>
                <c:pt idx="2">
                  <c:v>10.974123062091595</c:v>
                </c:pt>
                <c:pt idx="3">
                  <c:v>10.38518914198325</c:v>
                </c:pt>
                <c:pt idx="4">
                  <c:v>10.712456193551551</c:v>
                </c:pt>
                <c:pt idx="5">
                  <c:v>10.752766470855605</c:v>
                </c:pt>
                <c:pt idx="6">
                  <c:v>10.79752389287567</c:v>
                </c:pt>
                <c:pt idx="7">
                  <c:v>10.836652229703862</c:v>
                </c:pt>
                <c:pt idx="8">
                  <c:v>10.868502004754353</c:v>
                </c:pt>
              </c:numCache>
            </c:numRef>
          </c:val>
          <c:extLst>
            <c:ext xmlns:c16="http://schemas.microsoft.com/office/drawing/2014/chart" uri="{C3380CC4-5D6E-409C-BE32-E72D297353CC}">
              <c16:uniqueId val="{00000006-76F6-4A1C-8662-6A1863BC87AB}"/>
            </c:ext>
          </c:extLst>
        </c:ser>
        <c:dLbls>
          <c:showLegendKey val="0"/>
          <c:showVal val="0"/>
          <c:showCatName val="0"/>
          <c:showSerName val="0"/>
          <c:showPercent val="0"/>
          <c:showBubbleSize val="0"/>
        </c:dLbls>
        <c:gapWidth val="40"/>
        <c:overlap val="100"/>
        <c:axId val="256719488"/>
        <c:axId val="256721280"/>
      </c:barChart>
      <c:catAx>
        <c:axId val="25671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56721280"/>
        <c:crosses val="autoZero"/>
        <c:auto val="1"/>
        <c:lblAlgn val="ctr"/>
        <c:lblOffset val="100"/>
        <c:noMultiLvlLbl val="0"/>
      </c:catAx>
      <c:valAx>
        <c:axId val="2567212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56719488"/>
        <c:crosses val="autoZero"/>
        <c:crossBetween val="between"/>
      </c:valAx>
      <c:spPr>
        <a:noFill/>
        <a:ln>
          <a:noFill/>
        </a:ln>
        <a:effectLst/>
      </c:spPr>
    </c:plotArea>
    <c:legend>
      <c:legendPos val="b"/>
      <c:layout>
        <c:manualLayout>
          <c:xMode val="edge"/>
          <c:yMode val="edge"/>
          <c:x val="0"/>
          <c:y val="0.78483332365329994"/>
          <c:w val="0.97725437445319496"/>
          <c:h val="0.2084642212136549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GHEA Grapalat" panose="02000506050000020003" pitchFamily="50" charset="0"/>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058250315395659"/>
          <c:y val="7.1544715447154475E-2"/>
          <c:w val="0.62964307927250041"/>
          <c:h val="0.65965303117598106"/>
        </c:manualLayout>
      </c:layout>
      <c:lineChart>
        <c:grouping val="standard"/>
        <c:varyColors val="0"/>
        <c:ser>
          <c:idx val="1"/>
          <c:order val="1"/>
          <c:tx>
            <c:strRef>
              <c:f>Sheet1!$C$1</c:f>
              <c:strCache>
                <c:ptCount val="1"/>
                <c:pt idx="0">
                  <c:v>Պղինձ</c:v>
                </c:pt>
              </c:strCache>
            </c:strRef>
          </c:tx>
          <c:spPr>
            <a:ln w="28575" cap="rnd">
              <a:solidFill>
                <a:schemeClr val="accent2">
                  <a:lumMod val="60000"/>
                  <a:lumOff val="40000"/>
                </a:schemeClr>
              </a:solidFill>
              <a:round/>
            </a:ln>
            <a:effectLst/>
          </c:spPr>
          <c:marker>
            <c:symbol val="circle"/>
            <c:size val="5"/>
            <c:spPr>
              <a:solidFill>
                <a:schemeClr val="accent2">
                  <a:lumMod val="60000"/>
                  <a:lumOff val="40000"/>
                </a:schemeClr>
              </a:solidFill>
              <a:ln w="9525">
                <a:solidFill>
                  <a:schemeClr val="accent2">
                    <a:lumMod val="60000"/>
                    <a:lumOff val="40000"/>
                  </a:schemeClr>
                </a:solidFill>
              </a:ln>
              <a:effectLst/>
            </c:spPr>
          </c:marker>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Sheet1!$C$2:$C$12</c:f>
              <c:numCache>
                <c:formatCode>_(* #,##0_);_(* \(#,##0\);_(* "-"??_);_(@_)</c:formatCode>
                <c:ptCount val="9"/>
                <c:pt idx="0">
                  <c:v>6010.1450000000004</c:v>
                </c:pt>
                <c:pt idx="1">
                  <c:v>6173.7708333333303</c:v>
                </c:pt>
                <c:pt idx="2">
                  <c:v>9317.0499999999975</c:v>
                </c:pt>
                <c:pt idx="3">
                  <c:v>8822.3700000000008</c:v>
                </c:pt>
                <c:pt idx="4">
                  <c:v>9181</c:v>
                </c:pt>
                <c:pt idx="5" formatCode="0.0">
                  <c:v>9941.5295999999998</c:v>
                </c:pt>
                <c:pt idx="6" formatCode="0.0">
                  <c:v>10516.930899999999</c:v>
                </c:pt>
                <c:pt idx="7" formatCode="0.0">
                  <c:v>10401.0494</c:v>
                </c:pt>
                <c:pt idx="8" formatCode="0.0">
                  <c:v>10183.774299999999</c:v>
                </c:pt>
              </c:numCache>
            </c:numRef>
          </c:val>
          <c:smooth val="0"/>
          <c:extLst>
            <c:ext xmlns:c16="http://schemas.microsoft.com/office/drawing/2014/chart" uri="{C3380CC4-5D6E-409C-BE32-E72D297353CC}">
              <c16:uniqueId val="{00000000-3AD1-46CB-A5AB-0D81BAC9BD80}"/>
            </c:ext>
          </c:extLst>
        </c:ser>
        <c:dLbls>
          <c:showLegendKey val="0"/>
          <c:showVal val="0"/>
          <c:showCatName val="0"/>
          <c:showSerName val="0"/>
          <c:showPercent val="0"/>
          <c:showBubbleSize val="0"/>
        </c:dLbls>
        <c:marker val="1"/>
        <c:smooth val="0"/>
        <c:axId val="2025830016"/>
        <c:axId val="2025829472"/>
      </c:lineChart>
      <c:lineChart>
        <c:grouping val="standard"/>
        <c:varyColors val="0"/>
        <c:ser>
          <c:idx val="0"/>
          <c:order val="0"/>
          <c:tx>
            <c:strRef>
              <c:f>Sheet1!$B$1</c:f>
              <c:strCache>
                <c:ptCount val="1"/>
                <c:pt idx="0">
                  <c:v>Նավթ (աջ առանցք)</c:v>
                </c:pt>
              </c:strCache>
            </c:strRef>
          </c:tx>
          <c:spPr>
            <a:ln w="28575" cap="rnd">
              <a:solidFill>
                <a:srgbClr val="44546A"/>
              </a:solidFill>
              <a:round/>
            </a:ln>
            <a:effectLst/>
          </c:spPr>
          <c:marker>
            <c:symbol val="circle"/>
            <c:size val="5"/>
            <c:spPr>
              <a:solidFill>
                <a:schemeClr val="tx2"/>
              </a:solidFill>
              <a:ln w="9525">
                <a:solidFill>
                  <a:schemeClr val="tx2"/>
                </a:solidFill>
              </a:ln>
              <a:effectLst/>
            </c:spPr>
          </c:marker>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Sheet1!$B$2:$B$12</c:f>
              <c:numCache>
                <c:formatCode>_(* #,##0_);_(* \(#,##0\);_(* "-"??_);_(@_)</c:formatCode>
                <c:ptCount val="9"/>
                <c:pt idx="0">
                  <c:v>64.031666666666695</c:v>
                </c:pt>
                <c:pt idx="1">
                  <c:v>42.3</c:v>
                </c:pt>
                <c:pt idx="2">
                  <c:v>70.44</c:v>
                </c:pt>
                <c:pt idx="3">
                  <c:v>99.82</c:v>
                </c:pt>
                <c:pt idx="4">
                  <c:v>83.784825000002826</c:v>
                </c:pt>
                <c:pt idx="5" formatCode="0.0">
                  <c:v>82.783100000000005</c:v>
                </c:pt>
                <c:pt idx="6" formatCode="0.0">
                  <c:v>77.596699999999998</c:v>
                </c:pt>
                <c:pt idx="7" formatCode="0.0">
                  <c:v>74.328800000000001</c:v>
                </c:pt>
                <c:pt idx="8" formatCode="0.0">
                  <c:v>71.955299999999994</c:v>
                </c:pt>
              </c:numCache>
            </c:numRef>
          </c:val>
          <c:smooth val="0"/>
          <c:extLst>
            <c:ext xmlns:c16="http://schemas.microsoft.com/office/drawing/2014/chart" uri="{C3380CC4-5D6E-409C-BE32-E72D297353CC}">
              <c16:uniqueId val="{00000001-3AD1-46CB-A5AB-0D81BAC9BD80}"/>
            </c:ext>
          </c:extLst>
        </c:ser>
        <c:dLbls>
          <c:showLegendKey val="0"/>
          <c:showVal val="0"/>
          <c:showCatName val="0"/>
          <c:showSerName val="0"/>
          <c:showPercent val="0"/>
          <c:showBubbleSize val="0"/>
        </c:dLbls>
        <c:marker val="1"/>
        <c:smooth val="0"/>
        <c:axId val="2025822400"/>
        <c:axId val="2025816416"/>
      </c:lineChart>
      <c:catAx>
        <c:axId val="202583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29472"/>
        <c:crosses val="autoZero"/>
        <c:auto val="1"/>
        <c:lblAlgn val="ctr"/>
        <c:lblOffset val="100"/>
        <c:noMultiLvlLbl val="0"/>
      </c:catAx>
      <c:valAx>
        <c:axId val="2025829472"/>
        <c:scaling>
          <c:orientation val="minMax"/>
          <c:min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a:t>դոլար/տոննա</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30016"/>
        <c:crosses val="autoZero"/>
        <c:crossBetween val="between"/>
      </c:valAx>
      <c:valAx>
        <c:axId val="2025816416"/>
        <c:scaling>
          <c:orientation val="minMax"/>
          <c:min val="3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a:t>դոլար/բարել</a:t>
                </a:r>
                <a:endParaRPr lang="en-US"/>
              </a:p>
            </c:rich>
          </c:tx>
          <c:layout>
            <c:manualLayout>
              <c:xMode val="edge"/>
              <c:yMode val="edge"/>
              <c:x val="0.92395562709357459"/>
              <c:y val="0.1594525318481531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22400"/>
        <c:crosses val="max"/>
        <c:crossBetween val="between"/>
      </c:valAx>
      <c:catAx>
        <c:axId val="2025822400"/>
        <c:scaling>
          <c:orientation val="minMax"/>
        </c:scaling>
        <c:delete val="1"/>
        <c:axPos val="b"/>
        <c:numFmt formatCode="General" sourceLinked="1"/>
        <c:majorTickMark val="out"/>
        <c:minorTickMark val="none"/>
        <c:tickLblPos val="nextTo"/>
        <c:crossAx val="2025816416"/>
        <c:crosses val="autoZero"/>
        <c:auto val="1"/>
        <c:lblAlgn val="ctr"/>
        <c:lblOffset val="100"/>
        <c:noMultiLvlLbl val="0"/>
      </c:catAx>
      <c:spPr>
        <a:noFill/>
        <a:ln>
          <a:noFill/>
        </a:ln>
        <a:effectLst/>
      </c:spPr>
    </c:plotArea>
    <c:legend>
      <c:legendPos val="b"/>
      <c:layout>
        <c:manualLayout>
          <c:xMode val="edge"/>
          <c:yMode val="edge"/>
          <c:x val="9.6998825423065205E-2"/>
          <c:y val="0.89024313424236601"/>
          <c:w val="0.80600234915386959"/>
          <c:h val="0.109756865757633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99785949086462"/>
          <c:y val="5.5394509696540452E-2"/>
          <c:w val="0.87286681701195112"/>
          <c:h val="0.59911253742221104"/>
        </c:manualLayout>
      </c:layout>
      <c:lineChart>
        <c:grouping val="standard"/>
        <c:varyColors val="0"/>
        <c:ser>
          <c:idx val="0"/>
          <c:order val="0"/>
          <c:tx>
            <c:strRef>
              <c:f>Sheet1!$B$1</c:f>
              <c:strCache>
                <c:ptCount val="1"/>
                <c:pt idx="0">
                  <c:v>2025-2027 թթ. ՄԺԾԾ, կանխատեսվող</c:v>
                </c:pt>
              </c:strCache>
            </c:strRef>
          </c:tx>
          <c:spPr>
            <a:ln w="28575">
              <a:solidFill>
                <a:srgbClr val="4472C4"/>
              </a:solidFill>
            </a:ln>
            <a:effectLst/>
          </c:spPr>
          <c:marker>
            <c:symbol val="none"/>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Sheet1!$B$2:$B$11</c:f>
              <c:numCache>
                <c:formatCode>#,##0</c:formatCode>
                <c:ptCount val="8"/>
                <c:pt idx="0">
                  <c:v>100</c:v>
                </c:pt>
                <c:pt idx="1">
                  <c:v>105.8</c:v>
                </c:pt>
                <c:pt idx="2">
                  <c:v>119.17448946510019</c:v>
                </c:pt>
                <c:pt idx="3">
                  <c:v>129.54267004856393</c:v>
                </c:pt>
                <c:pt idx="4">
                  <c:v>137.70385826162345</c:v>
                </c:pt>
                <c:pt idx="5">
                  <c:v>145.69068204079755</c:v>
                </c:pt>
                <c:pt idx="6">
                  <c:v>153.995050917123</c:v>
                </c:pt>
                <c:pt idx="7">
                  <c:v>162.46477871756477</c:v>
                </c:pt>
              </c:numCache>
            </c:numRef>
          </c:val>
          <c:smooth val="0"/>
          <c:extLst>
            <c:ext xmlns:c16="http://schemas.microsoft.com/office/drawing/2014/chart" uri="{C3380CC4-5D6E-409C-BE32-E72D297353CC}">
              <c16:uniqueId val="{00000000-DCD4-45D5-BD10-4B243FB41D96}"/>
            </c:ext>
          </c:extLst>
        </c:ser>
        <c:ser>
          <c:idx val="1"/>
          <c:order val="1"/>
          <c:tx>
            <c:strRef>
              <c:f>Sheet1!$C$1</c:f>
              <c:strCache>
                <c:ptCount val="1"/>
                <c:pt idx="0">
                  <c:v>Կառավարության թիրախ, 2021-2027թ. 7%  տնտեսական աճ</c:v>
                </c:pt>
              </c:strCache>
            </c:strRef>
          </c:tx>
          <c:spPr>
            <a:ln w="28575" cap="rnd">
              <a:solidFill>
                <a:srgbClr val="ED7D31"/>
              </a:solidFill>
              <a:round/>
            </a:ln>
            <a:effectLst/>
          </c:spPr>
          <c:marker>
            <c:symbol val="none"/>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Sheet1!$C$2:$C$11</c:f>
              <c:numCache>
                <c:formatCode>#,##0</c:formatCode>
                <c:ptCount val="8"/>
                <c:pt idx="0">
                  <c:v>100</c:v>
                </c:pt>
                <c:pt idx="1">
                  <c:v>107</c:v>
                </c:pt>
                <c:pt idx="2">
                  <c:v>114.49000000000001</c:v>
                </c:pt>
                <c:pt idx="3">
                  <c:v>122.50430000000001</c:v>
                </c:pt>
                <c:pt idx="4">
                  <c:v>131.07960100000003</c:v>
                </c:pt>
                <c:pt idx="5">
                  <c:v>140.25517307000004</c:v>
                </c:pt>
                <c:pt idx="6">
                  <c:v>150.07303518490005</c:v>
                </c:pt>
                <c:pt idx="7">
                  <c:v>160.57814764784305</c:v>
                </c:pt>
              </c:numCache>
            </c:numRef>
          </c:val>
          <c:smooth val="0"/>
          <c:extLst>
            <c:ext xmlns:c16="http://schemas.microsoft.com/office/drawing/2014/chart" uri="{C3380CC4-5D6E-409C-BE32-E72D297353CC}">
              <c16:uniqueId val="{00000001-DCD4-45D5-BD10-4B243FB41D96}"/>
            </c:ext>
          </c:extLst>
        </c:ser>
        <c:ser>
          <c:idx val="2"/>
          <c:order val="2"/>
          <c:tx>
            <c:strRef>
              <c:f>Sheet1!$D$1</c:f>
              <c:strCache>
                <c:ptCount val="1"/>
                <c:pt idx="0">
                  <c:v>Թիրախային, 2025-2027 թթ. ՄԺԾԾ</c:v>
                </c:pt>
              </c:strCache>
            </c:strRef>
          </c:tx>
          <c:marker>
            <c:symbol val="circle"/>
            <c:size val="5"/>
            <c:spPr>
              <a:solidFill>
                <a:schemeClr val="accent6">
                  <a:lumMod val="75000"/>
                </a:schemeClr>
              </a:solidFill>
              <a:ln w="9525">
                <a:solidFill>
                  <a:schemeClr val="accent6">
                    <a:lumMod val="75000"/>
                  </a:schemeClr>
                </a:solidFill>
              </a:ln>
              <a:effectLst/>
            </c:spPr>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Sheet1!$D$2:$D$11</c:f>
            </c:numRef>
          </c:val>
          <c:smooth val="0"/>
          <c:extLst>
            <c:ext xmlns:c16="http://schemas.microsoft.com/office/drawing/2014/chart" uri="{C3380CC4-5D6E-409C-BE32-E72D297353CC}">
              <c16:uniqueId val="{00000002-DCD4-45D5-BD10-4B243FB41D96}"/>
            </c:ext>
          </c:extLst>
        </c:ser>
        <c:ser>
          <c:idx val="3"/>
          <c:order val="3"/>
          <c:tx>
            <c:strRef>
              <c:f>Sheet1!$E$1</c:f>
              <c:strCache>
                <c:ptCount val="1"/>
                <c:pt idx="0">
                  <c:v>Բյուջե 2024, կանխատեսվող</c:v>
                </c:pt>
              </c:strCache>
            </c:strRef>
          </c:tx>
          <c:marker>
            <c:spPr>
              <a:ln>
                <a:solidFill>
                  <a:srgbClr val="00B050"/>
                </a:solidFill>
              </a:ln>
            </c:spPr>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Sheet1!$E$2:$E$11</c:f>
            </c:numRef>
          </c:val>
          <c:smooth val="0"/>
          <c:extLst>
            <c:ext xmlns:c16="http://schemas.microsoft.com/office/drawing/2014/chart" uri="{C3380CC4-5D6E-409C-BE32-E72D297353CC}">
              <c16:uniqueId val="{00000003-DCD4-45D5-BD10-4B243FB41D96}"/>
            </c:ext>
          </c:extLst>
        </c:ser>
        <c:ser>
          <c:idx val="4"/>
          <c:order val="4"/>
          <c:tx>
            <c:strRef>
              <c:f>Sheet1!$F$1</c:f>
              <c:strCache>
                <c:ptCount val="1"/>
                <c:pt idx="0">
                  <c:v>2025-2027 թթ. ՄԺԾԾ, կանխատեսվող2</c:v>
                </c:pt>
              </c:strCache>
            </c:strRef>
          </c:tx>
          <c:marker>
            <c:spPr>
              <a:solidFill>
                <a:srgbClr val="4F81BD">
                  <a:lumMod val="60000"/>
                  <a:lumOff val="40000"/>
                </a:srgbClr>
              </a:solidFill>
              <a:ln>
                <a:solidFill>
                  <a:srgbClr val="4F81BD">
                    <a:lumMod val="60000"/>
                    <a:lumOff val="40000"/>
                  </a:srgbClr>
                </a:solidFill>
              </a:ln>
            </c:spPr>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Sheet1!$F$2:$F$11</c:f>
            </c:numRef>
          </c:val>
          <c:smooth val="0"/>
          <c:extLst>
            <c:ext xmlns:c16="http://schemas.microsoft.com/office/drawing/2014/chart" uri="{C3380CC4-5D6E-409C-BE32-E72D297353CC}">
              <c16:uniqueId val="{00000004-DCD4-45D5-BD10-4B243FB41D96}"/>
            </c:ext>
          </c:extLst>
        </c:ser>
        <c:ser>
          <c:idx val="5"/>
          <c:order val="5"/>
          <c:tx>
            <c:strRef>
              <c:f>Sheet1!$G$1</c:f>
              <c:strCache>
                <c:ptCount val="1"/>
                <c:pt idx="0">
                  <c:v>Աճի թիրախ</c:v>
                </c:pt>
              </c:strCache>
            </c:strRef>
          </c:tx>
          <c:marker>
            <c:spPr>
              <a:solidFill>
                <a:srgbClr val="F79646"/>
              </a:solidFill>
              <a:ln>
                <a:solidFill>
                  <a:srgbClr val="F79646">
                    <a:lumMod val="75000"/>
                  </a:srgbClr>
                </a:solidFill>
                <a:prstDash val="sysDash"/>
              </a:ln>
            </c:spPr>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Sheet1!$G$2:$G$11</c:f>
            </c:numRef>
          </c:val>
          <c:smooth val="0"/>
          <c:extLst>
            <c:ext xmlns:c16="http://schemas.microsoft.com/office/drawing/2014/chart" uri="{C3380CC4-5D6E-409C-BE32-E72D297353CC}">
              <c16:uniqueId val="{00000005-DCD4-45D5-BD10-4B243FB41D96}"/>
            </c:ext>
          </c:extLst>
        </c:ser>
        <c:ser>
          <c:idx val="6"/>
          <c:order val="6"/>
          <c:tx>
            <c:strRef>
              <c:f>Sheet1!$H$1</c:f>
              <c:strCache>
                <c:ptCount val="1"/>
                <c:pt idx="0">
                  <c:v>2025-2027 թթ. ՄԺԾԾ, կանխատեսվող, ոսկուց ճշգրտած </c:v>
                </c:pt>
              </c:strCache>
            </c:strRef>
          </c:tx>
          <c:marker>
            <c:spPr>
              <a:ln>
                <a:solidFill>
                  <a:srgbClr val="FF0000"/>
                </a:solidFill>
              </a:ln>
            </c:spPr>
          </c:marker>
          <c:cat>
            <c:numRef>
              <c:f>Sheet1!$A$2:$A$11</c:f>
              <c:numCache>
                <c:formatCode>General</c:formatCode>
                <c:ptCount val="8"/>
                <c:pt idx="0">
                  <c:v>2020</c:v>
                </c:pt>
                <c:pt idx="1">
                  <c:v>2021</c:v>
                </c:pt>
                <c:pt idx="2">
                  <c:v>2022</c:v>
                </c:pt>
                <c:pt idx="3">
                  <c:v>2023</c:v>
                </c:pt>
                <c:pt idx="4">
                  <c:v>2024</c:v>
                </c:pt>
                <c:pt idx="5">
                  <c:v>2025</c:v>
                </c:pt>
                <c:pt idx="6">
                  <c:v>2026</c:v>
                </c:pt>
                <c:pt idx="7">
                  <c:v>2027</c:v>
                </c:pt>
              </c:numCache>
            </c:numRef>
          </c:cat>
          <c:val>
            <c:numRef>
              <c:f>Sheet1!$H$2:$H$11</c:f>
            </c:numRef>
          </c:val>
          <c:smooth val="0"/>
          <c:extLst>
            <c:ext xmlns:c16="http://schemas.microsoft.com/office/drawing/2014/chart" uri="{C3380CC4-5D6E-409C-BE32-E72D297353CC}">
              <c16:uniqueId val="{00000006-DCD4-45D5-BD10-4B243FB41D96}"/>
            </c:ext>
          </c:extLst>
        </c:ser>
        <c:dLbls>
          <c:showLegendKey val="0"/>
          <c:showVal val="0"/>
          <c:showCatName val="0"/>
          <c:showSerName val="0"/>
          <c:showPercent val="0"/>
          <c:showBubbleSize val="0"/>
        </c:dLbls>
        <c:smooth val="0"/>
        <c:axId val="328037376"/>
        <c:axId val="328598080"/>
      </c:lineChart>
      <c:catAx>
        <c:axId val="328037376"/>
        <c:scaling>
          <c:orientation val="minMax"/>
        </c:scaling>
        <c:delete val="0"/>
        <c:axPos val="b"/>
        <c:numFmt formatCode="General" sourceLinked="1"/>
        <c:majorTickMark val="none"/>
        <c:minorTickMark val="none"/>
        <c:tickLblPos val="low"/>
        <c:spPr>
          <a:noFill/>
          <a:ln w="6350" cap="flat" cmpd="sng" algn="ctr">
            <a:solidFill>
              <a:schemeClr val="dk1"/>
            </a:solidFill>
            <a:prstDash val="solid"/>
            <a:miter lim="800000"/>
          </a:ln>
          <a:effectLst/>
        </c:spPr>
        <c:txPr>
          <a:bodyPr rot="-3120000" vert="horz"/>
          <a:lstStyle/>
          <a:p>
            <a:pPr>
              <a:defRPr/>
            </a:pPr>
            <a:endParaRPr lang="en-US"/>
          </a:p>
        </c:txPr>
        <c:crossAx val="328598080"/>
        <c:crosses val="autoZero"/>
        <c:auto val="1"/>
        <c:lblAlgn val="ctr"/>
        <c:lblOffset val="100"/>
        <c:noMultiLvlLbl val="0"/>
      </c:catAx>
      <c:valAx>
        <c:axId val="328598080"/>
        <c:scaling>
          <c:orientation val="minMax"/>
          <c:min val="90"/>
        </c:scaling>
        <c:delete val="0"/>
        <c:axPos val="l"/>
        <c:majorGridlines>
          <c:spPr>
            <a:ln>
              <a:solidFill>
                <a:sysClr val="window" lastClr="FFFFFF">
                  <a:lumMod val="85000"/>
                </a:sysClr>
              </a:solidFill>
            </a:ln>
          </c:spPr>
        </c:majorGridlines>
        <c:numFmt formatCode="#,##0" sourceLinked="0"/>
        <c:majorTickMark val="none"/>
        <c:minorTickMark val="none"/>
        <c:tickLblPos val="nextTo"/>
        <c:spPr>
          <a:noFill/>
          <a:ln w="6350" cap="flat" cmpd="sng" algn="ctr">
            <a:solidFill>
              <a:schemeClr val="dk1"/>
            </a:solidFill>
            <a:prstDash val="solid"/>
            <a:miter lim="800000"/>
          </a:ln>
          <a:effectLst/>
        </c:spPr>
        <c:txPr>
          <a:bodyPr rot="-60000000" vert="horz"/>
          <a:lstStyle/>
          <a:p>
            <a:pPr>
              <a:defRPr/>
            </a:pPr>
            <a:endParaRPr lang="en-US"/>
          </a:p>
        </c:txPr>
        <c:crossAx val="328037376"/>
        <c:crosses val="autoZero"/>
        <c:crossBetween val="between"/>
      </c:valAx>
      <c:spPr>
        <a:noFill/>
        <a:ln>
          <a:noFill/>
        </a:ln>
        <a:effectLst/>
      </c:spPr>
    </c:plotArea>
    <c:legend>
      <c:legendPos val="b"/>
      <c:layout>
        <c:manualLayout>
          <c:xMode val="edge"/>
          <c:yMode val="edge"/>
          <c:x val="1.1768278403549269E-2"/>
          <c:y val="0.83140626981842058"/>
          <c:w val="0.98311363091849391"/>
          <c:h val="0.16116304306247067"/>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lt1"/>
    </a:solidFill>
    <a:ln w="9525" cap="flat" cmpd="sng" algn="ctr">
      <a:solidFill>
        <a:sysClr val="window" lastClr="FFFFFF">
          <a:lumMod val="85000"/>
        </a:sysClr>
      </a:solidFill>
      <a:prstDash val="solid"/>
      <a:miter lim="800000"/>
    </a:ln>
    <a:effectLst/>
  </c:spPr>
  <c:txPr>
    <a:bodyPr/>
    <a:lstStyle/>
    <a:p>
      <a:pPr>
        <a:defRPr sz="1100">
          <a:solidFill>
            <a:schemeClr val="dk1"/>
          </a:solidFill>
          <a:latin typeface="GHEA Grapalat" panose="02000506050000020003" pitchFamily="50" charset="0"/>
          <a:ea typeface="+mn-ea"/>
          <a:cs typeface="+mn-cs"/>
        </a:defRPr>
      </a:pPr>
      <a:endParaRPr lang="en-US"/>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53434608552719"/>
          <c:y val="8.6783342365605115E-2"/>
          <c:w val="0.79438558816511551"/>
          <c:h val="0.57478912301954166"/>
        </c:manualLayout>
      </c:layout>
      <c:barChart>
        <c:barDir val="col"/>
        <c:grouping val="clustered"/>
        <c:varyColors val="0"/>
        <c:ser>
          <c:idx val="0"/>
          <c:order val="0"/>
          <c:tx>
            <c:strRef>
              <c:f>Лист1!$B$1</c:f>
              <c:strCache>
                <c:ptCount val="1"/>
                <c:pt idx="0">
                  <c:v>Գործազուրկներ, հազ. մարդ</c:v>
                </c:pt>
              </c:strCache>
            </c:strRef>
          </c:tx>
          <c:spPr>
            <a:solidFill>
              <a:srgbClr val="ED7D31">
                <a:lumMod val="60000"/>
                <a:lumOff val="40000"/>
              </a:srgbClr>
            </a:solidFill>
            <a:ln>
              <a:noFill/>
            </a:ln>
            <a:effectLst/>
          </c:spPr>
          <c:invertIfNegative val="0"/>
          <c:cat>
            <c:numRef>
              <c:f>Лист1!$A$2:$A$6</c:f>
              <c:numCache>
                <c:formatCode>General</c:formatCode>
                <c:ptCount val="5"/>
                <c:pt idx="0">
                  <c:v>2019</c:v>
                </c:pt>
                <c:pt idx="1">
                  <c:v>2020</c:v>
                </c:pt>
                <c:pt idx="2">
                  <c:v>2021</c:v>
                </c:pt>
                <c:pt idx="3">
                  <c:v>2022</c:v>
                </c:pt>
                <c:pt idx="4">
                  <c:v>2023</c:v>
                </c:pt>
              </c:numCache>
            </c:numRef>
          </c:cat>
          <c:val>
            <c:numRef>
              <c:f>Лист1!$B$2:$B$6</c:f>
              <c:numCache>
                <c:formatCode>0.0</c:formatCode>
                <c:ptCount val="5"/>
                <c:pt idx="0">
                  <c:v>240.8</c:v>
                </c:pt>
                <c:pt idx="1">
                  <c:v>234.4</c:v>
                </c:pt>
                <c:pt idx="2">
                  <c:v>199</c:v>
                </c:pt>
                <c:pt idx="3">
                  <c:v>176.6</c:v>
                </c:pt>
                <c:pt idx="4">
                  <c:v>171.2</c:v>
                </c:pt>
              </c:numCache>
            </c:numRef>
          </c:val>
          <c:extLst>
            <c:ext xmlns:c16="http://schemas.microsoft.com/office/drawing/2014/chart" uri="{C3380CC4-5D6E-409C-BE32-E72D297353CC}">
              <c16:uniqueId val="{00000000-280B-4EDA-9AA1-1A650907CDF0}"/>
            </c:ext>
          </c:extLst>
        </c:ser>
        <c:ser>
          <c:idx val="1"/>
          <c:order val="1"/>
          <c:tx>
            <c:strRef>
              <c:f>Лист1!$C$1</c:f>
              <c:strCache>
                <c:ptCount val="1"/>
                <c:pt idx="0">
                  <c:v>Զբաղվածներ, հազ. մարդ</c:v>
                </c:pt>
              </c:strCache>
            </c:strRef>
          </c:tx>
          <c:spPr>
            <a:solidFill>
              <a:sysClr val="window" lastClr="FFFFFF">
                <a:lumMod val="65000"/>
              </a:sysClr>
            </a:solidFill>
            <a:ln>
              <a:noFill/>
            </a:ln>
            <a:effectLst/>
          </c:spPr>
          <c:invertIfNegative val="0"/>
          <c:cat>
            <c:numRef>
              <c:f>Лист1!$A$2:$A$6</c:f>
              <c:numCache>
                <c:formatCode>General</c:formatCode>
                <c:ptCount val="5"/>
                <c:pt idx="0">
                  <c:v>2019</c:v>
                </c:pt>
                <c:pt idx="1">
                  <c:v>2020</c:v>
                </c:pt>
                <c:pt idx="2">
                  <c:v>2021</c:v>
                </c:pt>
                <c:pt idx="3">
                  <c:v>2022</c:v>
                </c:pt>
                <c:pt idx="4">
                  <c:v>2023</c:v>
                </c:pt>
              </c:numCache>
            </c:numRef>
          </c:cat>
          <c:val>
            <c:numRef>
              <c:f>Лист1!$C$2:$C$6</c:f>
              <c:numCache>
                <c:formatCode>General</c:formatCode>
                <c:ptCount val="5"/>
                <c:pt idx="0">
                  <c:v>1077.4000000000001</c:v>
                </c:pt>
                <c:pt idx="1">
                  <c:v>1052.4000000000001</c:v>
                </c:pt>
                <c:pt idx="2" formatCode="0.0">
                  <c:v>1088.3</c:v>
                </c:pt>
                <c:pt idx="3" formatCode="0.0">
                  <c:v>1134.8</c:v>
                </c:pt>
                <c:pt idx="4">
                  <c:v>1184.7</c:v>
                </c:pt>
              </c:numCache>
            </c:numRef>
          </c:val>
          <c:extLst>
            <c:ext xmlns:c16="http://schemas.microsoft.com/office/drawing/2014/chart" uri="{C3380CC4-5D6E-409C-BE32-E72D297353CC}">
              <c16:uniqueId val="{00000001-280B-4EDA-9AA1-1A650907CDF0}"/>
            </c:ext>
          </c:extLst>
        </c:ser>
        <c:ser>
          <c:idx val="2"/>
          <c:order val="2"/>
          <c:tx>
            <c:strRef>
              <c:f>Лист1!$D$1</c:f>
              <c:strCache>
                <c:ptCount val="1"/>
                <c:pt idx="0">
                  <c:v>Վարձու աշխատողներ, հազ. մարդ</c:v>
                </c:pt>
              </c:strCache>
            </c:strRef>
          </c:tx>
          <c:spPr>
            <a:solidFill>
              <a:srgbClr val="4472C4">
                <a:lumMod val="75000"/>
              </a:srgbClr>
            </a:solidFill>
            <a:ln w="28575" cap="rnd">
              <a:noFill/>
              <a:round/>
            </a:ln>
            <a:effectLst/>
          </c:spPr>
          <c:invertIfNegative val="0"/>
          <c:dPt>
            <c:idx val="0"/>
            <c:invertIfNegative val="0"/>
            <c:bubble3D val="0"/>
            <c:extLst>
              <c:ext xmlns:c16="http://schemas.microsoft.com/office/drawing/2014/chart" uri="{C3380CC4-5D6E-409C-BE32-E72D297353CC}">
                <c16:uniqueId val="{00000002-280B-4EDA-9AA1-1A650907CDF0}"/>
              </c:ext>
            </c:extLst>
          </c:dPt>
          <c:dPt>
            <c:idx val="1"/>
            <c:invertIfNegative val="0"/>
            <c:bubble3D val="0"/>
            <c:extLst>
              <c:ext xmlns:c16="http://schemas.microsoft.com/office/drawing/2014/chart" uri="{C3380CC4-5D6E-409C-BE32-E72D297353CC}">
                <c16:uniqueId val="{00000003-280B-4EDA-9AA1-1A650907CDF0}"/>
              </c:ext>
            </c:extLst>
          </c:dPt>
          <c:dPt>
            <c:idx val="2"/>
            <c:invertIfNegative val="0"/>
            <c:bubble3D val="0"/>
            <c:extLst>
              <c:ext xmlns:c16="http://schemas.microsoft.com/office/drawing/2014/chart" uri="{C3380CC4-5D6E-409C-BE32-E72D297353CC}">
                <c16:uniqueId val="{00000004-280B-4EDA-9AA1-1A650907CDF0}"/>
              </c:ext>
            </c:extLst>
          </c:dPt>
          <c:cat>
            <c:numRef>
              <c:f>Лист1!$A$2:$A$6</c:f>
              <c:numCache>
                <c:formatCode>General</c:formatCode>
                <c:ptCount val="5"/>
                <c:pt idx="0">
                  <c:v>2019</c:v>
                </c:pt>
                <c:pt idx="1">
                  <c:v>2020</c:v>
                </c:pt>
                <c:pt idx="2">
                  <c:v>2021</c:v>
                </c:pt>
                <c:pt idx="3">
                  <c:v>2022</c:v>
                </c:pt>
                <c:pt idx="4">
                  <c:v>2023</c:v>
                </c:pt>
              </c:numCache>
            </c:numRef>
          </c:cat>
          <c:val>
            <c:numRef>
              <c:f>Лист1!$D$2:$D$6</c:f>
              <c:numCache>
                <c:formatCode>0.0</c:formatCode>
                <c:ptCount val="5"/>
                <c:pt idx="0">
                  <c:v>597.81033333333301</c:v>
                </c:pt>
                <c:pt idx="1">
                  <c:v>623.17641666666702</c:v>
                </c:pt>
                <c:pt idx="2">
                  <c:v>649.6</c:v>
                </c:pt>
                <c:pt idx="3">
                  <c:v>684.99800000000005</c:v>
                </c:pt>
                <c:pt idx="4">
                  <c:v>722.673</c:v>
                </c:pt>
              </c:numCache>
            </c:numRef>
          </c:val>
          <c:extLst>
            <c:ext xmlns:c16="http://schemas.microsoft.com/office/drawing/2014/chart" uri="{C3380CC4-5D6E-409C-BE32-E72D297353CC}">
              <c16:uniqueId val="{00000005-280B-4EDA-9AA1-1A650907CDF0}"/>
            </c:ext>
          </c:extLst>
        </c:ser>
        <c:dLbls>
          <c:showLegendKey val="0"/>
          <c:showVal val="0"/>
          <c:showCatName val="0"/>
          <c:showSerName val="0"/>
          <c:showPercent val="0"/>
          <c:showBubbleSize val="0"/>
        </c:dLbls>
        <c:gapWidth val="150"/>
        <c:axId val="345051520"/>
        <c:axId val="345053056"/>
      </c:barChart>
      <c:lineChart>
        <c:grouping val="standard"/>
        <c:varyColors val="0"/>
        <c:ser>
          <c:idx val="3"/>
          <c:order val="3"/>
          <c:tx>
            <c:strRef>
              <c:f>Лист1!$E$1</c:f>
              <c:strCache>
                <c:ptCount val="1"/>
                <c:pt idx="0">
                  <c:v>Գործազրկության մակարդակ, %, աջ առանցք</c:v>
                </c:pt>
              </c:strCache>
            </c:strRef>
          </c:tx>
          <c:spPr>
            <a:ln>
              <a:solidFill>
                <a:srgbClr val="4472C4">
                  <a:lumMod val="50000"/>
                </a:srgbClr>
              </a:solidFill>
            </a:ln>
          </c:spPr>
          <c:marker>
            <c:symbol val="none"/>
          </c:marker>
          <c:dLbls>
            <c:dLbl>
              <c:idx val="0"/>
              <c:layout>
                <c:manualLayout>
                  <c:x val="-3.0081650193382038E-2"/>
                  <c:y val="-3.216295899222728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80B-4EDA-9AA1-1A650907CDF0}"/>
                </c:ext>
              </c:extLst>
            </c:dLbl>
            <c:dLbl>
              <c:idx val="1"/>
              <c:layout>
                <c:manualLayout>
                  <c:x val="-5.1568543188655003E-2"/>
                  <c:y val="-3.216295899222728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0B-4EDA-9AA1-1A650907CDF0}"/>
                </c:ext>
              </c:extLst>
            </c:dLbl>
            <c:dLbl>
              <c:idx val="2"/>
              <c:layout>
                <c:manualLayout>
                  <c:x val="-4.2973785990545764E-2"/>
                  <c:y val="-3.2162958992227313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80B-4EDA-9AA1-1A650907CDF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Лист1!$A$2:$A$6</c:f>
              <c:numCache>
                <c:formatCode>General</c:formatCode>
                <c:ptCount val="5"/>
                <c:pt idx="0">
                  <c:v>2019</c:v>
                </c:pt>
                <c:pt idx="1">
                  <c:v>2020</c:v>
                </c:pt>
                <c:pt idx="2">
                  <c:v>2021</c:v>
                </c:pt>
                <c:pt idx="3">
                  <c:v>2022</c:v>
                </c:pt>
                <c:pt idx="4">
                  <c:v>2023</c:v>
                </c:pt>
              </c:numCache>
            </c:numRef>
          </c:cat>
          <c:val>
            <c:numRef>
              <c:f>Лист1!$E$2:$E$6</c:f>
              <c:numCache>
                <c:formatCode>General</c:formatCode>
                <c:ptCount val="5"/>
                <c:pt idx="0">
                  <c:v>18.3</c:v>
                </c:pt>
                <c:pt idx="1">
                  <c:v>18.2</c:v>
                </c:pt>
                <c:pt idx="2" formatCode="0.0">
                  <c:v>15.5</c:v>
                </c:pt>
                <c:pt idx="3" formatCode="0.0">
                  <c:v>13.5</c:v>
                </c:pt>
                <c:pt idx="4" formatCode="0.0">
                  <c:v>12.626299874622021</c:v>
                </c:pt>
              </c:numCache>
            </c:numRef>
          </c:val>
          <c:smooth val="0"/>
          <c:extLst>
            <c:ext xmlns:c16="http://schemas.microsoft.com/office/drawing/2014/chart" uri="{C3380CC4-5D6E-409C-BE32-E72D297353CC}">
              <c16:uniqueId val="{00000009-280B-4EDA-9AA1-1A650907CDF0}"/>
            </c:ext>
          </c:extLst>
        </c:ser>
        <c:dLbls>
          <c:showLegendKey val="0"/>
          <c:showVal val="0"/>
          <c:showCatName val="0"/>
          <c:showSerName val="0"/>
          <c:showPercent val="0"/>
          <c:showBubbleSize val="0"/>
        </c:dLbls>
        <c:marker val="1"/>
        <c:smooth val="0"/>
        <c:axId val="345056384"/>
        <c:axId val="345054592"/>
      </c:lineChart>
      <c:catAx>
        <c:axId val="345051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053056"/>
        <c:crosses val="autoZero"/>
        <c:auto val="1"/>
        <c:lblAlgn val="ctr"/>
        <c:lblOffset val="100"/>
        <c:noMultiLvlLbl val="0"/>
      </c:catAx>
      <c:valAx>
        <c:axId val="345053056"/>
        <c:scaling>
          <c:orientation val="minMax"/>
          <c:max val="11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051520"/>
        <c:crosses val="autoZero"/>
        <c:crossBetween val="between"/>
        <c:majorUnit val="200"/>
      </c:valAx>
      <c:valAx>
        <c:axId val="34505459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056384"/>
        <c:crosses val="max"/>
        <c:crossBetween val="between"/>
      </c:valAx>
      <c:catAx>
        <c:axId val="345056384"/>
        <c:scaling>
          <c:orientation val="minMax"/>
        </c:scaling>
        <c:delete val="1"/>
        <c:axPos val="b"/>
        <c:numFmt formatCode="General" sourceLinked="1"/>
        <c:majorTickMark val="none"/>
        <c:minorTickMark val="none"/>
        <c:tickLblPos val="none"/>
        <c:crossAx val="345054592"/>
        <c:crosses val="autoZero"/>
        <c:auto val="1"/>
        <c:lblAlgn val="ctr"/>
        <c:lblOffset val="100"/>
        <c:noMultiLvlLbl val="0"/>
      </c:catAx>
      <c:spPr>
        <a:noFill/>
        <a:ln>
          <a:noFill/>
        </a:ln>
        <a:effectLst/>
      </c:spPr>
    </c:plotArea>
    <c:legend>
      <c:legendPos val="b"/>
      <c:legendEntry>
        <c:idx val="2"/>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0"/>
          <c:y val="0.74246804169721703"/>
          <c:w val="0.99420822397200348"/>
          <c:h val="0.2575319583027829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a:p>
            <a:pPr>
              <a:defRPr sz="1400" b="0" i="0" u="none" strike="noStrike" kern="1200" spc="0" baseline="0">
                <a:solidFill>
                  <a:schemeClr val="tx1">
                    <a:lumMod val="65000"/>
                    <a:lumOff val="35000"/>
                  </a:schemeClr>
                </a:solidFill>
                <a:latin typeface="+mn-lt"/>
                <a:ea typeface="+mn-ea"/>
                <a:cs typeface="+mn-cs"/>
              </a:defRPr>
            </a:pPr>
            <a:endParaRPr lang="ru-RU"/>
          </a:p>
        </c:rich>
      </c:tx>
      <c:layout>
        <c:manualLayout>
          <c:xMode val="edge"/>
          <c:yMode val="edge"/>
          <c:x val="9.3106574844288706E-2"/>
          <c:y val="0"/>
        </c:manualLayout>
      </c:layout>
      <c:overlay val="0"/>
      <c:spPr>
        <a:noFill/>
        <a:ln>
          <a:noFill/>
        </a:ln>
        <a:effectLst/>
      </c:spPr>
    </c:title>
    <c:autoTitleDeleted val="0"/>
    <c:plotArea>
      <c:layout>
        <c:manualLayout>
          <c:layoutTarget val="inner"/>
          <c:xMode val="edge"/>
          <c:yMode val="edge"/>
          <c:x val="0.11873917014291722"/>
          <c:y val="7.0087221630047492E-2"/>
          <c:w val="0.80804307316570445"/>
          <c:h val="0.61867847769029127"/>
        </c:manualLayout>
      </c:layout>
      <c:barChart>
        <c:barDir val="col"/>
        <c:grouping val="clustered"/>
        <c:varyColors val="0"/>
        <c:ser>
          <c:idx val="0"/>
          <c:order val="0"/>
          <c:tx>
            <c:strRef>
              <c:f>Лист1!$B$1</c:f>
              <c:strCache>
                <c:ptCount val="1"/>
                <c:pt idx="0">
                  <c:v>Աշխատուժի մասնակցության մակարդակ, %</c:v>
                </c:pt>
              </c:strCache>
            </c:strRef>
          </c:tx>
          <c:spPr>
            <a:solidFill>
              <a:srgbClr val="4472C4">
                <a:lumMod val="75000"/>
              </a:srgbClr>
            </a:solidFill>
            <a:ln>
              <a:noFill/>
            </a:ln>
            <a:effectLst/>
          </c:spPr>
          <c:invertIfNegative val="0"/>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59.9</c:v>
                </c:pt>
                <c:pt idx="1">
                  <c:v>58.5</c:v>
                </c:pt>
                <c:pt idx="2" formatCode="0.0">
                  <c:v>57.801625432176372</c:v>
                </c:pt>
                <c:pt idx="3" formatCode="0.0">
                  <c:v>58.842270585595692</c:v>
                </c:pt>
                <c:pt idx="4" formatCode="0.0">
                  <c:v>60.315836298932389</c:v>
                </c:pt>
              </c:numCache>
            </c:numRef>
          </c:val>
          <c:extLst>
            <c:ext xmlns:c16="http://schemas.microsoft.com/office/drawing/2014/chart" uri="{C3380CC4-5D6E-409C-BE32-E72D297353CC}">
              <c16:uniqueId val="{00000000-8076-4A6C-8D59-2B67FFA268D4}"/>
            </c:ext>
          </c:extLst>
        </c:ser>
        <c:dLbls>
          <c:showLegendKey val="0"/>
          <c:showVal val="0"/>
          <c:showCatName val="0"/>
          <c:showSerName val="0"/>
          <c:showPercent val="0"/>
          <c:showBubbleSize val="0"/>
        </c:dLbls>
        <c:gapWidth val="219"/>
        <c:overlap val="-27"/>
        <c:axId val="345270528"/>
        <c:axId val="345272320"/>
      </c:barChart>
      <c:lineChart>
        <c:grouping val="standard"/>
        <c:varyColors val="0"/>
        <c:ser>
          <c:idx val="1"/>
          <c:order val="1"/>
          <c:tx>
            <c:strRef>
              <c:f>Лист1!$C$1</c:f>
              <c:strCache>
                <c:ptCount val="1"/>
                <c:pt idx="0">
                  <c:v>Իրական աշխատավարձի փոփոխություն, % (աջ առանցք)</c:v>
                </c:pt>
              </c:strCache>
            </c:strRef>
          </c:tx>
          <c:spPr>
            <a:ln w="28575" cap="rnd">
              <a:solidFill>
                <a:srgbClr val="ED7D31">
                  <a:lumMod val="60000"/>
                  <a:lumOff val="40000"/>
                </a:srgbClr>
              </a:solidFill>
              <a:round/>
            </a:ln>
            <a:effectLst/>
          </c:spPr>
          <c:marker>
            <c:symbol val="none"/>
          </c:marker>
          <c:dLbls>
            <c:dLbl>
              <c:idx val="0"/>
              <c:layout>
                <c:manualLayout>
                  <c:x val="3.4013605442176832E-2"/>
                  <c:y val="-5.72232983656595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76-4A6C-8D59-2B67FFA268D4}"/>
                </c:ext>
              </c:extLst>
            </c:dLbl>
            <c:dLbl>
              <c:idx val="1"/>
              <c:layout>
                <c:manualLayout>
                  <c:x val="5.1020408163265231E-2"/>
                  <c:y val="-7.7444592588866174E-3"/>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76-4A6C-8D59-2B67FFA268D4}"/>
                </c:ext>
              </c:extLst>
            </c:dLbl>
            <c:dLbl>
              <c:idx val="2"/>
              <c:layout>
                <c:manualLayout>
                  <c:x val="8.5034013605442185E-3"/>
                  <c:y val="-2.1111837857328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76-4A6C-8D59-2B67FFA268D4}"/>
                </c:ext>
              </c:extLst>
            </c:dLbl>
            <c:spPr>
              <a:noFill/>
              <a:ln>
                <a:noFill/>
              </a:ln>
              <a:effectLst/>
            </c:spPr>
            <c:txPr>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Лист1!$A$2:$A$6</c:f>
              <c:numCache>
                <c:formatCode>General</c:formatCode>
                <c:ptCount val="5"/>
                <c:pt idx="0">
                  <c:v>2019</c:v>
                </c:pt>
                <c:pt idx="1">
                  <c:v>2020</c:v>
                </c:pt>
                <c:pt idx="2">
                  <c:v>2021</c:v>
                </c:pt>
                <c:pt idx="3">
                  <c:v>2022</c:v>
                </c:pt>
                <c:pt idx="4">
                  <c:v>2023</c:v>
                </c:pt>
              </c:numCache>
            </c:numRef>
          </c:cat>
          <c:val>
            <c:numRef>
              <c:f>Лист1!$C$2:$C$6</c:f>
              <c:numCache>
                <c:formatCode>0.0</c:formatCode>
                <c:ptCount val="5"/>
                <c:pt idx="0">
                  <c:v>4.2999999999999972</c:v>
                </c:pt>
                <c:pt idx="1">
                  <c:v>2.5999999999999943</c:v>
                </c:pt>
                <c:pt idx="2">
                  <c:v>0.29999999999999716</c:v>
                </c:pt>
                <c:pt idx="3">
                  <c:v>6.2999999999999972</c:v>
                </c:pt>
                <c:pt idx="4">
                  <c:v>12.374514024642465</c:v>
                </c:pt>
              </c:numCache>
            </c:numRef>
          </c:val>
          <c:smooth val="0"/>
          <c:extLst>
            <c:ext xmlns:c16="http://schemas.microsoft.com/office/drawing/2014/chart" uri="{C3380CC4-5D6E-409C-BE32-E72D297353CC}">
              <c16:uniqueId val="{00000004-8076-4A6C-8D59-2B67FFA268D4}"/>
            </c:ext>
          </c:extLst>
        </c:ser>
        <c:dLbls>
          <c:showLegendKey val="0"/>
          <c:showVal val="0"/>
          <c:showCatName val="0"/>
          <c:showSerName val="0"/>
          <c:showPercent val="0"/>
          <c:showBubbleSize val="0"/>
        </c:dLbls>
        <c:marker val="1"/>
        <c:smooth val="0"/>
        <c:axId val="345275392"/>
        <c:axId val="345273856"/>
      </c:lineChart>
      <c:catAx>
        <c:axId val="345270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272320"/>
        <c:crosses val="autoZero"/>
        <c:auto val="1"/>
        <c:lblAlgn val="ctr"/>
        <c:lblOffset val="100"/>
        <c:noMultiLvlLbl val="0"/>
      </c:catAx>
      <c:valAx>
        <c:axId val="345272320"/>
        <c:scaling>
          <c:orientation val="minMax"/>
          <c:min val="5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270528"/>
        <c:crosses val="autoZero"/>
        <c:crossBetween val="between"/>
        <c:majorUnit val="1"/>
      </c:valAx>
      <c:valAx>
        <c:axId val="345273856"/>
        <c:scaling>
          <c:orientation val="minMax"/>
          <c:max val="13"/>
          <c:min val="0"/>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45275392"/>
        <c:crosses val="max"/>
        <c:crossBetween val="between"/>
        <c:majorUnit val="1"/>
      </c:valAx>
      <c:catAx>
        <c:axId val="345275392"/>
        <c:scaling>
          <c:orientation val="minMax"/>
        </c:scaling>
        <c:delete val="1"/>
        <c:axPos val="b"/>
        <c:numFmt formatCode="General" sourceLinked="1"/>
        <c:majorTickMark val="none"/>
        <c:minorTickMark val="none"/>
        <c:tickLblPos val="none"/>
        <c:crossAx val="345273856"/>
        <c:crosses val="autoZero"/>
        <c:auto val="1"/>
        <c:lblAlgn val="ctr"/>
        <c:lblOffset val="100"/>
        <c:noMultiLvlLbl val="0"/>
      </c:catAx>
      <c:spPr>
        <a:noFill/>
        <a:ln>
          <a:noFill/>
        </a:ln>
        <a:effectLst/>
      </c:spPr>
    </c:plotArea>
    <c:legend>
      <c:legendPos val="b"/>
      <c:layout>
        <c:manualLayout>
          <c:xMode val="edge"/>
          <c:yMode val="edge"/>
          <c:x val="5.8843537414965986E-2"/>
          <c:y val="0.80372399534053762"/>
          <c:w val="0.82704081632653315"/>
          <c:h val="0.158440211999607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536449004193654"/>
        </c:manualLayout>
      </c:layout>
      <c:barChart>
        <c:barDir val="col"/>
        <c:grouping val="stacked"/>
        <c:varyColors val="0"/>
        <c:ser>
          <c:idx val="1"/>
          <c:order val="0"/>
          <c:tx>
            <c:strRef>
              <c:f>Sheet1!$A$2</c:f>
              <c:strCache>
                <c:ptCount val="1"/>
                <c:pt idx="0">
                  <c:v>Ապրանքների հաշվեկշիռ</c:v>
                </c:pt>
              </c:strCache>
            </c:strRef>
          </c:tx>
          <c:spPr>
            <a:solidFill>
              <a:sysClr val="window" lastClr="FFFFFF">
                <a:lumMod val="75000"/>
              </a:sys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Sheet1!$B$2:$J$2</c:f>
              <c:numCache>
                <c:formatCode>0.0</c:formatCode>
                <c:ptCount val="9"/>
                <c:pt idx="0">
                  <c:v>-12.6</c:v>
                </c:pt>
                <c:pt idx="1">
                  <c:v>-10.9</c:v>
                </c:pt>
                <c:pt idx="2">
                  <c:v>-10.842128104811581</c:v>
                </c:pt>
                <c:pt idx="3">
                  <c:v>-9.5613589731983932</c:v>
                </c:pt>
                <c:pt idx="4">
                  <c:v>-10.383248586182059</c:v>
                </c:pt>
                <c:pt idx="5">
                  <c:v>-11.274213742194537</c:v>
                </c:pt>
                <c:pt idx="6">
                  <c:v>-12.213138509291978</c:v>
                </c:pt>
                <c:pt idx="7">
                  <c:v>-13.178327505547898</c:v>
                </c:pt>
                <c:pt idx="8">
                  <c:v>-13.420717931823201</c:v>
                </c:pt>
              </c:numCache>
            </c:numRef>
          </c:val>
          <c:extLst>
            <c:ext xmlns:c16="http://schemas.microsoft.com/office/drawing/2014/chart" uri="{C3380CC4-5D6E-409C-BE32-E72D297353CC}">
              <c16:uniqueId val="{00000000-60E1-47A3-8825-4A76FFFBD41F}"/>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Sheet1!$B$4:$J$4</c:f>
              <c:numCache>
                <c:formatCode>0.0</c:formatCode>
                <c:ptCount val="9"/>
                <c:pt idx="0">
                  <c:v>-0.63789499938145677</c:v>
                </c:pt>
                <c:pt idx="1">
                  <c:v>0.93379329835219815</c:v>
                </c:pt>
                <c:pt idx="2">
                  <c:v>2.8597827856411508</c:v>
                </c:pt>
                <c:pt idx="3">
                  <c:v>8.8165342345572171</c:v>
                </c:pt>
                <c:pt idx="4">
                  <c:v>9.5440970879420224</c:v>
                </c:pt>
                <c:pt idx="5">
                  <c:v>8.9834721959383099</c:v>
                </c:pt>
                <c:pt idx="6">
                  <c:v>8.7866603654947575</c:v>
                </c:pt>
                <c:pt idx="7">
                  <c:v>8.4765333551807078</c:v>
                </c:pt>
                <c:pt idx="8">
                  <c:v>8.1585224334772874</c:v>
                </c:pt>
              </c:numCache>
            </c:numRef>
          </c:val>
          <c:extLst>
            <c:ext xmlns:c16="http://schemas.microsoft.com/office/drawing/2014/chart" uri="{C3380CC4-5D6E-409C-BE32-E72D297353CC}">
              <c16:uniqueId val="{00000001-60E1-47A3-8825-4A76FFFBD41F}"/>
            </c:ext>
          </c:extLst>
        </c:ser>
        <c:ser>
          <c:idx val="5"/>
          <c:order val="5"/>
          <c:tx>
            <c:strRef>
              <c:f>Sheet1!$A$7</c:f>
              <c:strCache>
                <c:ptCount val="1"/>
                <c:pt idx="0">
                  <c:v>Զուտ դրամական փոխանցումներ</c:v>
                </c:pt>
              </c:strCache>
            </c:strRef>
          </c:tx>
          <c:spPr>
            <a:solidFill>
              <a:srgbClr val="5B9BD5">
                <a:lumMod val="75000"/>
              </a:srgb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Sheet1!$B$7:$J$7</c:f>
              <c:numCache>
                <c:formatCode>0.0</c:formatCode>
                <c:ptCount val="9"/>
                <c:pt idx="0">
                  <c:v>8.7604602101862969</c:v>
                </c:pt>
                <c:pt idx="1">
                  <c:v>8.4809481790095216</c:v>
                </c:pt>
                <c:pt idx="2">
                  <c:v>9.179540974594449</c:v>
                </c:pt>
                <c:pt idx="3">
                  <c:v>7.4265404393241248</c:v>
                </c:pt>
                <c:pt idx="4">
                  <c:v>4.0423862743679768</c:v>
                </c:pt>
                <c:pt idx="5">
                  <c:v>4.0754021432757161</c:v>
                </c:pt>
                <c:pt idx="6">
                  <c:v>4.0398578669450425</c:v>
                </c:pt>
                <c:pt idx="7">
                  <c:v>3.9546102546593609</c:v>
                </c:pt>
                <c:pt idx="8">
                  <c:v>3.8604532824958802</c:v>
                </c:pt>
              </c:numCache>
            </c:numRef>
          </c:val>
          <c:extLst>
            <c:ext xmlns:c16="http://schemas.microsoft.com/office/drawing/2014/chart" uri="{C3380CC4-5D6E-409C-BE32-E72D297353CC}">
              <c16:uniqueId val="{00000002-60E1-47A3-8825-4A76FFFBD41F}"/>
            </c:ext>
          </c:extLst>
        </c:ser>
        <c:dLbls>
          <c:showLegendKey val="0"/>
          <c:showVal val="0"/>
          <c:showCatName val="0"/>
          <c:showSerName val="0"/>
          <c:showPercent val="0"/>
          <c:showBubbleSize val="0"/>
        </c:dLbls>
        <c:gapWidth val="150"/>
        <c:overlap val="100"/>
        <c:axId val="612018784"/>
        <c:axId val="1"/>
      </c:barChart>
      <c:barChart>
        <c:barDir val="col"/>
        <c:grouping val="stacked"/>
        <c:varyColors val="0"/>
        <c:ser>
          <c:idx val="3"/>
          <c:order val="3"/>
          <c:tx>
            <c:strRef>
              <c:f>Sheet1!$A$5</c:f>
              <c:strCache>
                <c:ptCount val="1"/>
                <c:pt idx="0">
                  <c:v>Սկզբնական եկամուտներ</c:v>
                </c:pt>
              </c:strCache>
            </c:strRef>
          </c:tx>
          <c:spPr>
            <a:solidFill>
              <a:srgbClr val="4F81BD"/>
            </a:solidFill>
            <a:ln w="25375">
              <a:noFill/>
            </a:ln>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Sheet1!$B$5:$J$5</c:f>
            </c:numRef>
          </c:val>
          <c:extLst>
            <c:ext xmlns:c16="http://schemas.microsoft.com/office/drawing/2014/chart" uri="{C3380CC4-5D6E-409C-BE32-E72D297353CC}">
              <c16:uniqueId val="{00000003-60E1-47A3-8825-4A76FFFBD41F}"/>
            </c:ext>
          </c:extLst>
        </c:ser>
        <c:ser>
          <c:idx val="4"/>
          <c:order val="4"/>
          <c:tx>
            <c:strRef>
              <c:f>Sheet1!$A$6</c:f>
              <c:strCache>
                <c:ptCount val="1"/>
                <c:pt idx="0">
                  <c:v>Երկրորդային եկամուտներ</c:v>
                </c:pt>
              </c:strCache>
            </c:strRef>
          </c:tx>
          <c:spPr>
            <a:solidFill>
              <a:srgbClr val="1F497D"/>
            </a:solidFill>
            <a:ln w="25375">
              <a:noFill/>
            </a:ln>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Sheet1!$B$6:$J$6</c:f>
            </c:numRef>
          </c:val>
          <c:extLst>
            <c:ext xmlns:c16="http://schemas.microsoft.com/office/drawing/2014/chart" uri="{C3380CC4-5D6E-409C-BE32-E72D297353CC}">
              <c16:uniqueId val="{00000004-60E1-47A3-8825-4A76FFFBD41F}"/>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w="25375">
                <a:noFill/>
              </a:ln>
            </c:spPr>
            <c:txPr>
              <a:bodyPr rot="0" spcFirstLastPara="1" vertOverflow="ellipsis" vert="horz" wrap="square" anchor="ctr" anchorCtr="1"/>
              <a:lstStyle/>
              <a:p>
                <a:pPr>
                  <a:defRPr sz="899"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Sheet1!$B$3:$J$3</c:f>
              <c:numCache>
                <c:formatCode>0.0</c:formatCode>
                <c:ptCount val="9"/>
                <c:pt idx="0">
                  <c:v>-7.1</c:v>
                </c:pt>
                <c:pt idx="1">
                  <c:v>-4</c:v>
                </c:pt>
                <c:pt idx="2">
                  <c:v>-3.4799761215677063</c:v>
                </c:pt>
                <c:pt idx="3">
                  <c:v>0.33169334653046795</c:v>
                </c:pt>
                <c:pt idx="4">
                  <c:v>-2.2971351462373852</c:v>
                </c:pt>
                <c:pt idx="5">
                  <c:v>-3.153725435364608</c:v>
                </c:pt>
                <c:pt idx="6">
                  <c:v>-3.4944649861649015</c:v>
                </c:pt>
                <c:pt idx="7">
                  <c:v>-4.5546813478818384</c:v>
                </c:pt>
                <c:pt idx="8">
                  <c:v>-5.0675095429179073</c:v>
                </c:pt>
              </c:numCache>
            </c:numRef>
          </c:val>
          <c:smooth val="0"/>
          <c:extLst>
            <c:ext xmlns:c16="http://schemas.microsoft.com/office/drawing/2014/chart" uri="{C3380CC4-5D6E-409C-BE32-E72D297353CC}">
              <c16:uniqueId val="{00000005-60E1-47A3-8825-4A76FFFBD41F}"/>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0"/>
          <c:y val="0.76396347216206117"/>
          <c:w val="0.99335345057915647"/>
          <c:h val="0.23333496621010014"/>
        </c:manualLayout>
      </c:layout>
      <c:overlay val="0"/>
      <c:spPr>
        <a:noFill/>
        <a:ln w="25375">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64150943396226412"/>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Sheet1!$B$2:$J$2</c:f>
              <c:numCache>
                <c:formatCode>0</c:formatCode>
                <c:ptCount val="9"/>
                <c:pt idx="0">
                  <c:v>2433.7090578842613</c:v>
                </c:pt>
                <c:pt idx="1">
                  <c:v>1099.3419549588284</c:v>
                </c:pt>
                <c:pt idx="2">
                  <c:v>1735.2489665453945</c:v>
                </c:pt>
                <c:pt idx="3">
                  <c:v>4368.655563789318</c:v>
                </c:pt>
                <c:pt idx="4">
                  <c:v>5630.3099036571548</c:v>
                </c:pt>
                <c:pt idx="5">
                  <c:v>5769.461627869804</c:v>
                </c:pt>
                <c:pt idx="6">
                  <c:v>6068.1385214037282</c:v>
                </c:pt>
                <c:pt idx="7">
                  <c:v>6380.4929177237245</c:v>
                </c:pt>
                <c:pt idx="8">
                  <c:v>6708.1018787814164</c:v>
                </c:pt>
              </c:numCache>
            </c:numRef>
          </c:val>
          <c:extLst>
            <c:ext xmlns:c16="http://schemas.microsoft.com/office/drawing/2014/chart" uri="{C3380CC4-5D6E-409C-BE32-E72D297353CC}">
              <c16:uniqueId val="{00000000-F0CC-432C-87B9-7EBEA11F3EF5}"/>
            </c:ext>
          </c:extLst>
        </c:ser>
        <c:ser>
          <c:idx val="2"/>
          <c:order val="2"/>
          <c:tx>
            <c:strRef>
              <c:f>Sheet1!$A$4</c:f>
              <c:strCache>
                <c:ptCount val="1"/>
                <c:pt idx="0">
                  <c:v>Ներմուծում</c:v>
                </c:pt>
              </c:strCache>
            </c:strRef>
          </c:tx>
          <c:spPr>
            <a:solidFill>
              <a:srgbClr val="1F497D"/>
            </a:solidFill>
            <a:ln w="25392">
              <a:noFill/>
            </a:ln>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Sheet1!$B$4:$J$4</c:f>
              <c:numCache>
                <c:formatCode>0</c:formatCode>
                <c:ptCount val="9"/>
                <c:pt idx="0">
                  <c:v>-2520.5858545116312</c:v>
                </c:pt>
                <c:pt idx="1">
                  <c:v>-981.29469506194107</c:v>
                </c:pt>
                <c:pt idx="2">
                  <c:v>-1338.3423267401668</c:v>
                </c:pt>
                <c:pt idx="3">
                  <c:v>-2648.2405781704801</c:v>
                </c:pt>
                <c:pt idx="4">
                  <c:v>-3318.88619307818</c:v>
                </c:pt>
                <c:pt idx="5">
                  <c:v>-3553.1833836180708</c:v>
                </c:pt>
                <c:pt idx="6">
                  <c:v>-3803.864219069555</c:v>
                </c:pt>
                <c:pt idx="7">
                  <c:v>-4071.70380839479</c:v>
                </c:pt>
                <c:pt idx="8">
                  <c:v>-4353.162125699756</c:v>
                </c:pt>
              </c:numCache>
            </c:numRef>
          </c:val>
          <c:extLst>
            <c:ext xmlns:c16="http://schemas.microsoft.com/office/drawing/2014/chart" uri="{C3380CC4-5D6E-409C-BE32-E72D297353CC}">
              <c16:uniqueId val="{00000001-F0CC-432C-87B9-7EBEA11F3EF5}"/>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Sheet1!$B$3:$J$3</c:f>
              <c:numCache>
                <c:formatCode>0</c:formatCode>
                <c:ptCount val="9"/>
                <c:pt idx="0">
                  <c:v>-86.876796627369913</c:v>
                </c:pt>
                <c:pt idx="1">
                  <c:v>118.04725989688734</c:v>
                </c:pt>
                <c:pt idx="2">
                  <c:v>396.90663980522777</c:v>
                </c:pt>
                <c:pt idx="3">
                  <c:v>1720.4149856188378</c:v>
                </c:pt>
                <c:pt idx="4">
                  <c:v>2311.4237105789748</c:v>
                </c:pt>
                <c:pt idx="5">
                  <c:v>2216.2782442517332</c:v>
                </c:pt>
                <c:pt idx="6">
                  <c:v>2264.2743023341732</c:v>
                </c:pt>
                <c:pt idx="7">
                  <c:v>2308.7891093289345</c:v>
                </c:pt>
                <c:pt idx="8">
                  <c:v>2354.9397530816605</c:v>
                </c:pt>
              </c:numCache>
            </c:numRef>
          </c:val>
          <c:smooth val="0"/>
          <c:extLst>
            <c:ext xmlns:c16="http://schemas.microsoft.com/office/drawing/2014/chart" uri="{C3380CC4-5D6E-409C-BE32-E72D297353CC}">
              <c16:uniqueId val="{00000002-F0CC-432C-87B9-7EBEA11F3EF5}"/>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ax val="8000"/>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valAx>
      <c:spPr>
        <a:noFill/>
        <a:ln w="25392">
          <a:noFill/>
        </a:ln>
      </c:spPr>
    </c:plotArea>
    <c:legend>
      <c:legendPos val="b"/>
      <c:layout>
        <c:manualLayout>
          <c:xMode val="edge"/>
          <c:yMode val="edge"/>
          <c:x val="2.6643914092781745E-2"/>
          <c:y val="0.78998287185932747"/>
          <c:w val="0.93878777536708835"/>
          <c:h val="0.17414266878612006"/>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034061083273679"/>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Sheet1!$B$2:$J$2</c:f>
              <c:numCache>
                <c:formatCode>0</c:formatCode>
                <c:ptCount val="9"/>
                <c:pt idx="0">
                  <c:v>3360.7164789775707</c:v>
                </c:pt>
                <c:pt idx="1">
                  <c:v>2718.8484999455832</c:v>
                </c:pt>
                <c:pt idx="2">
                  <c:v>3276.6246861539385</c:v>
                </c:pt>
                <c:pt idx="3">
                  <c:v>5711.3539106656481</c:v>
                </c:pt>
                <c:pt idx="4">
                  <c:v>8647.8554120987646</c:v>
                </c:pt>
                <c:pt idx="5">
                  <c:v>8959.1782069343208</c:v>
                </c:pt>
                <c:pt idx="6">
                  <c:v>6128.0778935430753</c:v>
                </c:pt>
                <c:pt idx="7">
                  <c:v>5650.0878178467156</c:v>
                </c:pt>
                <c:pt idx="8">
                  <c:v>5667.0380813002548</c:v>
                </c:pt>
              </c:numCache>
            </c:numRef>
          </c:val>
          <c:extLst>
            <c:ext xmlns:c16="http://schemas.microsoft.com/office/drawing/2014/chart" uri="{C3380CC4-5D6E-409C-BE32-E72D297353CC}">
              <c16:uniqueId val="{00000000-67F6-447E-8DF8-9FA0D162A293}"/>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Sheet1!$B$4:$J$4</c:f>
              <c:numCache>
                <c:formatCode>0</c:formatCode>
                <c:ptCount val="9"/>
                <c:pt idx="0">
                  <c:v>-5082.8234412135489</c:v>
                </c:pt>
                <c:pt idx="1">
                  <c:v>-4101.0019728661173</c:v>
                </c:pt>
                <c:pt idx="2">
                  <c:v>-4781.3937392531243</c:v>
                </c:pt>
                <c:pt idx="3">
                  <c:v>-7577.1103204685287</c:v>
                </c:pt>
                <c:pt idx="4">
                  <c:v>-11162.507846351393</c:v>
                </c:pt>
                <c:pt idx="5">
                  <c:v>-11740.596582021732</c:v>
                </c:pt>
                <c:pt idx="6">
                  <c:v>-9275.3368664783047</c:v>
                </c:pt>
                <c:pt idx="7">
                  <c:v>-9239.5244128650211</c:v>
                </c:pt>
                <c:pt idx="8">
                  <c:v>-9540.8991180561243</c:v>
                </c:pt>
              </c:numCache>
            </c:numRef>
          </c:val>
          <c:extLst>
            <c:ext xmlns:c16="http://schemas.microsoft.com/office/drawing/2014/chart" uri="{C3380CC4-5D6E-409C-BE32-E72D297353CC}">
              <c16:uniqueId val="{00000001-67F6-447E-8DF8-9FA0D162A293}"/>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Sheet1!$B$3:$J$3</c:f>
              <c:numCache>
                <c:formatCode>0</c:formatCode>
                <c:ptCount val="9"/>
                <c:pt idx="0">
                  <c:v>-1722.1069622359782</c:v>
                </c:pt>
                <c:pt idx="1">
                  <c:v>-1382.1534729205341</c:v>
                </c:pt>
                <c:pt idx="2">
                  <c:v>-1504.7690530991858</c:v>
                </c:pt>
                <c:pt idx="3">
                  <c:v>-1865.7564098028806</c:v>
                </c:pt>
                <c:pt idx="4">
                  <c:v>-2514.6524342526282</c:v>
                </c:pt>
                <c:pt idx="5">
                  <c:v>-2781.4183750874108</c:v>
                </c:pt>
                <c:pt idx="6">
                  <c:v>-3147.2589729352294</c:v>
                </c:pt>
                <c:pt idx="7">
                  <c:v>-3589.4365950183055</c:v>
                </c:pt>
                <c:pt idx="8">
                  <c:v>-3873.8610367558695</c:v>
                </c:pt>
              </c:numCache>
            </c:numRef>
          </c:val>
          <c:smooth val="0"/>
          <c:extLst>
            <c:ext xmlns:c16="http://schemas.microsoft.com/office/drawing/2014/chart" uri="{C3380CC4-5D6E-409C-BE32-E72D297353CC}">
              <c16:uniqueId val="{00000002-67F6-447E-8DF8-9FA0D162A293}"/>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2.4415891338268408E-2"/>
          <c:y val="0.80762262671711493"/>
          <c:w val="0.95923456584490496"/>
          <c:h val="0.17773587960595835"/>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64150943396226412"/>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Sheet1!$B$2:$J$2</c:f>
              <c:numCache>
                <c:formatCode>0</c:formatCode>
                <c:ptCount val="9"/>
                <c:pt idx="0">
                  <c:v>517.70303101684067</c:v>
                </c:pt>
                <c:pt idx="1">
                  <c:v>785.74527935314973</c:v>
                </c:pt>
                <c:pt idx="2">
                  <c:v>954.48578574101248</c:v>
                </c:pt>
                <c:pt idx="3">
                  <c:v>804.8193434808295</c:v>
                </c:pt>
                <c:pt idx="4">
                  <c:v>512.62328412682632</c:v>
                </c:pt>
                <c:pt idx="5">
                  <c:v>526.46411279825054</c:v>
                </c:pt>
                <c:pt idx="6">
                  <c:v>545.10741789989595</c:v>
                </c:pt>
                <c:pt idx="7">
                  <c:v>564.0089576537589</c:v>
                </c:pt>
                <c:pt idx="8">
                  <c:v>583.47420400299279</c:v>
                </c:pt>
              </c:numCache>
            </c:numRef>
          </c:val>
          <c:extLst>
            <c:ext xmlns:c16="http://schemas.microsoft.com/office/drawing/2014/chart" uri="{C3380CC4-5D6E-409C-BE32-E72D297353CC}">
              <c16:uniqueId val="{00000000-5367-4990-B65B-5AC8D11EA5CD}"/>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Sheet1!$B$4:$J$4</c:f>
              <c:numCache>
                <c:formatCode>0</c:formatCode>
                <c:ptCount val="9"/>
                <c:pt idx="0">
                  <c:v>675.4015659288516</c:v>
                </c:pt>
                <c:pt idx="1">
                  <c:v>286.39074659269698</c:v>
                </c:pt>
                <c:pt idx="2">
                  <c:v>319.53352658197639</c:v>
                </c:pt>
                <c:pt idx="3">
                  <c:v>644.35862514668361</c:v>
                </c:pt>
                <c:pt idx="4">
                  <c:v>466.37799334470776</c:v>
                </c:pt>
                <c:pt idx="5">
                  <c:v>478.97019916501483</c:v>
                </c:pt>
                <c:pt idx="6">
                  <c:v>495.93163554890606</c:v>
                </c:pt>
                <c:pt idx="7">
                  <c:v>513.12801045908452</c:v>
                </c:pt>
                <c:pt idx="8">
                  <c:v>530.83723829445159</c:v>
                </c:pt>
              </c:numCache>
            </c:numRef>
          </c:val>
          <c:extLst>
            <c:ext xmlns:c16="http://schemas.microsoft.com/office/drawing/2014/chart" uri="{C3380CC4-5D6E-409C-BE32-E72D297353CC}">
              <c16:uniqueId val="{00000001-5367-4990-B65B-5AC8D11EA5CD}"/>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Sheet1!$B$3:$J$3</c:f>
              <c:numCache>
                <c:formatCode>0</c:formatCode>
                <c:ptCount val="9"/>
                <c:pt idx="0">
                  <c:v>1193.1045969456923</c:v>
                </c:pt>
                <c:pt idx="1">
                  <c:v>1072.1360259458468</c:v>
                </c:pt>
                <c:pt idx="2">
                  <c:v>1274.0193123229888</c:v>
                </c:pt>
                <c:pt idx="3">
                  <c:v>1449.1779686275131</c:v>
                </c:pt>
                <c:pt idx="4">
                  <c:v>979.00127747153408</c:v>
                </c:pt>
                <c:pt idx="5">
                  <c:v>1005.4343119632654</c:v>
                </c:pt>
                <c:pt idx="6">
                  <c:v>1041.039053448802</c:v>
                </c:pt>
                <c:pt idx="7">
                  <c:v>1077.1369681128435</c:v>
                </c:pt>
                <c:pt idx="8">
                  <c:v>1114.3114422974445</c:v>
                </c:pt>
              </c:numCache>
            </c:numRef>
          </c:val>
          <c:smooth val="0"/>
          <c:extLst>
            <c:ext xmlns:c16="http://schemas.microsoft.com/office/drawing/2014/chart" uri="{C3380CC4-5D6E-409C-BE32-E72D297353CC}">
              <c16:uniqueId val="{00000002-5367-4990-B65B-5AC8D11EA5CD}"/>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9954388476560057"/>
          <c:w val="0.92742579004249859"/>
          <c:h val="0.18230192517801302"/>
        </c:manualLayout>
      </c:layout>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57249068965980843"/>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1"/>
              <c:layout>
                <c:manualLayout>
                  <c:x val="-7.4200426439232414E-2"/>
                  <c:y val="-7.968127490039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DE-4042-9452-2A0F862897D2}"/>
                </c:ext>
              </c:extLst>
            </c:dLbl>
            <c:dLbl>
              <c:idx val="2"/>
              <c:layout>
                <c:manualLayout>
                  <c:x val="-5.9217055127267847E-2"/>
                  <c:y val="-6.2606715993170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DE-4042-9452-2A0F862897D2}"/>
                </c:ext>
              </c:extLst>
            </c:dLbl>
            <c:dLbl>
              <c:idx val="3"/>
              <c:layout>
                <c:manualLayout>
                  <c:x val="-7.4617097557513584E-2"/>
                  <c:y val="-3.414911781445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DE-4042-9452-2A0F862897D2}"/>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Sheet1!$B$1:$R$1</c:f>
              <c:strCache>
                <c:ptCount val="5"/>
                <c:pt idx="0">
                  <c:v>2024-1</c:v>
                </c:pt>
                <c:pt idx="1">
                  <c:v>2024-2</c:v>
                </c:pt>
                <c:pt idx="2">
                  <c:v>2024-3</c:v>
                </c:pt>
                <c:pt idx="3">
                  <c:v>2024-4</c:v>
                </c:pt>
                <c:pt idx="4">
                  <c:v>2024-5</c:v>
                </c:pt>
              </c:strCache>
            </c:strRef>
          </c:cat>
          <c:val>
            <c:numRef>
              <c:f>Sheet1!$B$2:$R$2</c:f>
              <c:numCache>
                <c:formatCode>0.0</c:formatCode>
                <c:ptCount val="5"/>
                <c:pt idx="0">
                  <c:v>110</c:v>
                </c:pt>
                <c:pt idx="1">
                  <c:v>190</c:v>
                </c:pt>
                <c:pt idx="2">
                  <c:v>180</c:v>
                </c:pt>
                <c:pt idx="3">
                  <c:v>200</c:v>
                </c:pt>
                <c:pt idx="4">
                  <c:v>57.400000000000006</c:v>
                </c:pt>
              </c:numCache>
            </c:numRef>
          </c:val>
          <c:smooth val="0"/>
          <c:extLst>
            <c:ext xmlns:c16="http://schemas.microsoft.com/office/drawing/2014/chart" uri="{C3380CC4-5D6E-409C-BE32-E72D297353CC}">
              <c16:uniqueId val="{00000003-01DE-4042-9452-2A0F862897D2}"/>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6.2163362551187241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DE-4042-9452-2A0F862897D2}"/>
                </c:ext>
              </c:extLst>
            </c:dLbl>
            <c:dLbl>
              <c:idx val="2"/>
              <c:layout>
                <c:manualLayout>
                  <c:x val="-7.014940635812654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DE-4042-9452-2A0F862897D2}"/>
                </c:ext>
              </c:extLst>
            </c:dLbl>
            <c:dLbl>
              <c:idx val="3"/>
              <c:layout>
                <c:manualLayout>
                  <c:x val="-6.9548362085675525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1DE-4042-9452-2A0F862897D2}"/>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Sheet1!$B$1:$R$1</c:f>
              <c:strCache>
                <c:ptCount val="5"/>
                <c:pt idx="0">
                  <c:v>2024-1</c:v>
                </c:pt>
                <c:pt idx="1">
                  <c:v>2024-2</c:v>
                </c:pt>
                <c:pt idx="2">
                  <c:v>2024-3</c:v>
                </c:pt>
                <c:pt idx="3">
                  <c:v>2024-4</c:v>
                </c:pt>
                <c:pt idx="4">
                  <c:v>2024-5</c:v>
                </c:pt>
              </c:strCache>
            </c:strRef>
          </c:cat>
          <c:val>
            <c:numRef>
              <c:f>Sheet1!$B$3:$R$3</c:f>
              <c:numCache>
                <c:formatCode>0.0</c:formatCode>
                <c:ptCount val="5"/>
                <c:pt idx="0">
                  <c:v>109.99999999999997</c:v>
                </c:pt>
                <c:pt idx="1">
                  <c:v>154.42398551041316</c:v>
                </c:pt>
                <c:pt idx="2">
                  <c:v>164.54401068126049</c:v>
                </c:pt>
                <c:pt idx="3">
                  <c:v>173.37216948486054</c:v>
                </c:pt>
                <c:pt idx="4">
                  <c:v>148.5607938295463</c:v>
                </c:pt>
              </c:numCache>
            </c:numRef>
          </c:val>
          <c:smooth val="0"/>
          <c:extLst>
            <c:ext xmlns:c16="http://schemas.microsoft.com/office/drawing/2014/chart" uri="{C3380CC4-5D6E-409C-BE32-E72D297353CC}">
              <c16:uniqueId val="{00000007-01DE-4042-9452-2A0F862897D2}"/>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3563942227710003E-2"/>
          <c:y val="0.82180139063655933"/>
          <c:w val="0.98189815825260651"/>
          <c:h val="0.15998802023150455"/>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57039370078740159"/>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2024-4</c:v>
                </c:pt>
              </c:strCache>
            </c:strRef>
          </c:cat>
          <c:val>
            <c:numRef>
              <c:f>Sheet1!$B$2:$Q$2</c:f>
              <c:numCache>
                <c:formatCode>0.0</c:formatCode>
                <c:ptCount val="4"/>
                <c:pt idx="0">
                  <c:v>127.44833545523917</c:v>
                </c:pt>
                <c:pt idx="1">
                  <c:v>182.05055596667785</c:v>
                </c:pt>
                <c:pt idx="2">
                  <c:v>194.62494987078156</c:v>
                </c:pt>
                <c:pt idx="3">
                  <c:v>192.1154516017948</c:v>
                </c:pt>
              </c:numCache>
            </c:numRef>
          </c:val>
          <c:smooth val="0"/>
          <c:extLst>
            <c:ext xmlns:c16="http://schemas.microsoft.com/office/drawing/2014/chart" uri="{C3380CC4-5D6E-409C-BE32-E72D297353CC}">
              <c16:uniqueId val="{00000000-1070-4381-9A40-5F992DEDC39F}"/>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2024-4</c:v>
                </c:pt>
              </c:strCache>
            </c:strRef>
          </c:cat>
          <c:val>
            <c:numRef>
              <c:f>Sheet1!$B$3:$Q$3</c:f>
              <c:numCache>
                <c:formatCode>0.0</c:formatCode>
                <c:ptCount val="4"/>
                <c:pt idx="0">
                  <c:v>-5.2899293202955135</c:v>
                </c:pt>
                <c:pt idx="1">
                  <c:v>-6.9071077556503013</c:v>
                </c:pt>
                <c:pt idx="2">
                  <c:v>-4.8944816208233846</c:v>
                </c:pt>
                <c:pt idx="3">
                  <c:v>-3.3169805024956958</c:v>
                </c:pt>
              </c:numCache>
            </c:numRef>
          </c:val>
          <c:smooth val="0"/>
          <c:extLst>
            <c:ext xmlns:c16="http://schemas.microsoft.com/office/drawing/2014/chart" uri="{C3380CC4-5D6E-409C-BE32-E72D297353CC}">
              <c16:uniqueId val="{00000001-1070-4381-9A40-5F992DEDC39F}"/>
            </c:ext>
          </c:extLst>
        </c:ser>
        <c:ser>
          <c:idx val="2"/>
          <c:order val="2"/>
          <c:tx>
            <c:strRef>
              <c:f>Sheet1!$A$4</c:f>
              <c:strCache>
                <c:ptCount val="1"/>
                <c:pt idx="0">
                  <c:v>Փոխարժեքի փոփոխություն (կուտակային)</c:v>
                </c:pt>
              </c:strCache>
            </c:strRef>
          </c:tx>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2024-4</c:v>
                </c:pt>
              </c:strCache>
            </c:strRef>
          </c:cat>
          <c:val>
            <c:numRef>
              <c:f>Sheet1!$B$4:$Q$4</c:f>
              <c:numCache>
                <c:formatCode>0.0</c:formatCode>
                <c:ptCount val="4"/>
                <c:pt idx="0">
                  <c:v>-2.239727380482023</c:v>
                </c:pt>
                <c:pt idx="1">
                  <c:v>-2.4578920702396232</c:v>
                </c:pt>
                <c:pt idx="2">
                  <c:v>-2.6346463853180779</c:v>
                </c:pt>
                <c:pt idx="3">
                  <c:v>-2.1941223510595762</c:v>
                </c:pt>
              </c:numCache>
            </c:numRef>
          </c:val>
          <c:smooth val="0"/>
          <c:extLst>
            <c:ext xmlns:c16="http://schemas.microsoft.com/office/drawing/2014/chart" uri="{C3380CC4-5D6E-409C-BE32-E72D297353CC}">
              <c16:uniqueId val="{00000002-1070-4381-9A40-5F992DEDC39F}"/>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096125626342161"/>
          <c:w val="1"/>
          <c:h val="0.190387437365783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60729025251153945"/>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Sheet1!$B$1:$R$1</c:f>
              <c:strCache>
                <c:ptCount val="5"/>
                <c:pt idx="0">
                  <c:v>2024-1</c:v>
                </c:pt>
                <c:pt idx="1">
                  <c:v>2024-2</c:v>
                </c:pt>
                <c:pt idx="2">
                  <c:v>2024-3</c:v>
                </c:pt>
                <c:pt idx="3">
                  <c:v>2024-4</c:v>
                </c:pt>
                <c:pt idx="4">
                  <c:v>2024-5</c:v>
                </c:pt>
              </c:strCache>
            </c:strRef>
          </c:cat>
          <c:val>
            <c:numRef>
              <c:f>Sheet1!$B$2:$R$2</c:f>
              <c:numCache>
                <c:formatCode>0.0</c:formatCode>
                <c:ptCount val="5"/>
                <c:pt idx="0">
                  <c:v>76.75</c:v>
                </c:pt>
                <c:pt idx="1">
                  <c:v>116.80000000000001</c:v>
                </c:pt>
                <c:pt idx="2">
                  <c:v>90.9</c:v>
                </c:pt>
                <c:pt idx="3">
                  <c:v>206</c:v>
                </c:pt>
                <c:pt idx="4">
                  <c:v>17.200000000000003</c:v>
                </c:pt>
              </c:numCache>
            </c:numRef>
          </c:val>
          <c:smooth val="0"/>
          <c:extLst>
            <c:ext xmlns:c16="http://schemas.microsoft.com/office/drawing/2014/chart" uri="{C3380CC4-5D6E-409C-BE32-E72D297353CC}">
              <c16:uniqueId val="{00000000-3D59-4F8F-8A9F-B602568CB11C}"/>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Sheet1!$B$1:$R$1</c:f>
              <c:strCache>
                <c:ptCount val="5"/>
                <c:pt idx="0">
                  <c:v>2024-1</c:v>
                </c:pt>
                <c:pt idx="1">
                  <c:v>2024-2</c:v>
                </c:pt>
                <c:pt idx="2">
                  <c:v>2024-3</c:v>
                </c:pt>
                <c:pt idx="3">
                  <c:v>2024-4</c:v>
                </c:pt>
                <c:pt idx="4">
                  <c:v>2024-5</c:v>
                </c:pt>
              </c:strCache>
            </c:strRef>
          </c:cat>
          <c:val>
            <c:numRef>
              <c:f>Sheet1!$B$3:$R$3</c:f>
              <c:numCache>
                <c:formatCode>0.0</c:formatCode>
                <c:ptCount val="5"/>
                <c:pt idx="0">
                  <c:v>76.75</c:v>
                </c:pt>
                <c:pt idx="1">
                  <c:v>97.962862489724046</c:v>
                </c:pt>
                <c:pt idx="2">
                  <c:v>95.07704652425798</c:v>
                </c:pt>
                <c:pt idx="3">
                  <c:v>122.92108844355121</c:v>
                </c:pt>
                <c:pt idx="4">
                  <c:v>99.616681282495051</c:v>
                </c:pt>
              </c:numCache>
            </c:numRef>
          </c:val>
          <c:smooth val="0"/>
          <c:extLst>
            <c:ext xmlns:c16="http://schemas.microsoft.com/office/drawing/2014/chart" uri="{C3380CC4-5D6E-409C-BE32-E72D297353CC}">
              <c16:uniqueId val="{00000001-3D59-4F8F-8A9F-B602568CB11C}"/>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690881381768E-2"/>
          <c:y val="0.81415350969575029"/>
          <c:w val="0.88092668877720004"/>
          <c:h val="0.18584649030424982"/>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7614709925968"/>
          <c:y val="0.12727272727272718"/>
          <c:w val="0.82715542910077533"/>
          <c:h val="0.45733767572247186"/>
        </c:manualLayout>
      </c:layout>
      <c:barChart>
        <c:barDir val="col"/>
        <c:grouping val="clustered"/>
        <c:varyColors val="0"/>
        <c:ser>
          <c:idx val="1"/>
          <c:order val="1"/>
          <c:tx>
            <c:strRef>
              <c:f>Sheet1!$C$1</c:f>
              <c:strCache>
                <c:ptCount val="1"/>
                <c:pt idx="0">
                  <c:v>Արտահանում</c:v>
                </c:pt>
              </c:strCache>
            </c:strRef>
          </c:tx>
          <c:spPr>
            <a:solidFill>
              <a:srgbClr val="ED7D31">
                <a:lumMod val="60000"/>
                <a:lumOff val="40000"/>
              </a:srgbClr>
            </a:solidFill>
            <a:ln>
              <a:noFill/>
            </a:ln>
            <a:effectLst/>
          </c:spPr>
          <c:invertIfNegative val="0"/>
          <c:cat>
            <c:numRef>
              <c:f>Sheet1!$A$2:$A$11</c:f>
              <c:numCache>
                <c:formatCode>General</c:formatCode>
                <c:ptCount val="8"/>
                <c:pt idx="0">
                  <c:v>2019</c:v>
                </c:pt>
                <c:pt idx="1">
                  <c:v>2020</c:v>
                </c:pt>
                <c:pt idx="2">
                  <c:v>2021</c:v>
                </c:pt>
                <c:pt idx="3">
                  <c:v>2022</c:v>
                </c:pt>
                <c:pt idx="4">
                  <c:v>2023</c:v>
                </c:pt>
                <c:pt idx="5">
                  <c:v>2024</c:v>
                </c:pt>
                <c:pt idx="6">
                  <c:v>2025</c:v>
                </c:pt>
                <c:pt idx="7">
                  <c:v>2026</c:v>
                </c:pt>
              </c:numCache>
            </c:numRef>
          </c:cat>
          <c:val>
            <c:numRef>
              <c:f>Sheet1!$C$2:$C$12</c:f>
              <c:numCache>
                <c:formatCode>0.0</c:formatCode>
                <c:ptCount val="9"/>
                <c:pt idx="0">
                  <c:v>1.3360000000000001</c:v>
                </c:pt>
                <c:pt idx="1">
                  <c:v>-8.0280000000000005</c:v>
                </c:pt>
                <c:pt idx="2">
                  <c:v>11.054</c:v>
                </c:pt>
                <c:pt idx="3">
                  <c:v>5.2370000000000001</c:v>
                </c:pt>
                <c:pt idx="4">
                  <c:v>0.48399999999999999</c:v>
                </c:pt>
                <c:pt idx="5">
                  <c:v>2.9460000000000002</c:v>
                </c:pt>
                <c:pt idx="6">
                  <c:v>3.2930000000000001</c:v>
                </c:pt>
                <c:pt idx="7">
                  <c:v>3.4790000000000001</c:v>
                </c:pt>
                <c:pt idx="8">
                  <c:v>3.3660000000000001</c:v>
                </c:pt>
              </c:numCache>
            </c:numRef>
          </c:val>
          <c:extLst>
            <c:ext xmlns:c16="http://schemas.microsoft.com/office/drawing/2014/chart" uri="{C3380CC4-5D6E-409C-BE32-E72D297353CC}">
              <c16:uniqueId val="{00000000-11C7-493C-8C0A-3BD2B46155FA}"/>
            </c:ext>
          </c:extLst>
        </c:ser>
        <c:ser>
          <c:idx val="2"/>
          <c:order val="2"/>
          <c:tx>
            <c:strRef>
              <c:f>Sheet1!$D$1</c:f>
              <c:strCache>
                <c:ptCount val="1"/>
                <c:pt idx="0">
                  <c:v>Ներմուծում</c:v>
                </c:pt>
              </c:strCache>
            </c:strRef>
          </c:tx>
          <c:spPr>
            <a:solidFill>
              <a:srgbClr val="2E75B6"/>
            </a:solidFill>
            <a:ln>
              <a:solidFill>
                <a:schemeClr val="accent1"/>
              </a:solidFill>
            </a:ln>
            <a:effectLst/>
          </c:spPr>
          <c:invertIfNegative val="0"/>
          <c:cat>
            <c:numRef>
              <c:f>Sheet1!$A$2:$A$11</c:f>
              <c:numCache>
                <c:formatCode>General</c:formatCode>
                <c:ptCount val="8"/>
                <c:pt idx="0">
                  <c:v>2019</c:v>
                </c:pt>
                <c:pt idx="1">
                  <c:v>2020</c:v>
                </c:pt>
                <c:pt idx="2">
                  <c:v>2021</c:v>
                </c:pt>
                <c:pt idx="3">
                  <c:v>2022</c:v>
                </c:pt>
                <c:pt idx="4">
                  <c:v>2023</c:v>
                </c:pt>
                <c:pt idx="5">
                  <c:v>2024</c:v>
                </c:pt>
                <c:pt idx="6">
                  <c:v>2025</c:v>
                </c:pt>
                <c:pt idx="7">
                  <c:v>2026</c:v>
                </c:pt>
              </c:numCache>
            </c:numRef>
          </c:cat>
          <c:val>
            <c:numRef>
              <c:f>Sheet1!$D$2:$D$12</c:f>
              <c:numCache>
                <c:formatCode>0.0</c:formatCode>
                <c:ptCount val="9"/>
                <c:pt idx="0">
                  <c:v>1.173</c:v>
                </c:pt>
                <c:pt idx="1">
                  <c:v>-8.6649999999999991</c:v>
                </c:pt>
                <c:pt idx="2">
                  <c:v>10.936999999999999</c:v>
                </c:pt>
                <c:pt idx="3">
                  <c:v>5.9420000000000002</c:v>
                </c:pt>
                <c:pt idx="4">
                  <c:v>8.5999999999999993E-2</c:v>
                </c:pt>
                <c:pt idx="5">
                  <c:v>3.0640000000000001</c:v>
                </c:pt>
                <c:pt idx="6">
                  <c:v>3.3220000000000001</c:v>
                </c:pt>
                <c:pt idx="7">
                  <c:v>3.4350000000000001</c:v>
                </c:pt>
                <c:pt idx="8">
                  <c:v>3.4079999999999999</c:v>
                </c:pt>
              </c:numCache>
            </c:numRef>
          </c:val>
          <c:extLst>
            <c:ext xmlns:c16="http://schemas.microsoft.com/office/drawing/2014/chart" uri="{C3380CC4-5D6E-409C-BE32-E72D297353CC}">
              <c16:uniqueId val="{00000001-11C7-493C-8C0A-3BD2B46155FA}"/>
            </c:ext>
          </c:extLst>
        </c:ser>
        <c:dLbls>
          <c:showLegendKey val="0"/>
          <c:showVal val="0"/>
          <c:showCatName val="0"/>
          <c:showSerName val="0"/>
          <c:showPercent val="0"/>
          <c:showBubbleSize val="0"/>
        </c:dLbls>
        <c:gapWidth val="150"/>
        <c:axId val="2025831104"/>
        <c:axId val="2025814784"/>
      </c:barChart>
      <c:lineChart>
        <c:grouping val="standard"/>
        <c:varyColors val="0"/>
        <c:ser>
          <c:idx val="0"/>
          <c:order val="0"/>
          <c:tx>
            <c:strRef>
              <c:f>Sheet1!$B$1</c:f>
              <c:strCache>
                <c:ptCount val="1"/>
                <c:pt idx="0">
                  <c:v>Առևտրաշրջանառություն</c:v>
                </c:pt>
              </c:strCache>
            </c:strRef>
          </c:tx>
          <c:spPr>
            <a:ln w="28575" cap="rnd">
              <a:solidFill>
                <a:srgbClr val="44546A"/>
              </a:solidFill>
              <a:round/>
            </a:ln>
            <a:effectLst/>
          </c:spPr>
          <c:marker>
            <c:symbol val="circle"/>
            <c:size val="5"/>
            <c:spPr>
              <a:solidFill>
                <a:srgbClr val="4472C4">
                  <a:lumMod val="50000"/>
                </a:srgbClr>
              </a:solidFill>
              <a:ln w="9525">
                <a:solidFill>
                  <a:srgbClr val="4472C4">
                    <a:lumMod val="50000"/>
                  </a:srgbClr>
                </a:solidFill>
              </a:ln>
              <a:effectLst/>
            </c:spPr>
          </c:marker>
          <c:dLbls>
            <c:dLbl>
              <c:idx val="1"/>
              <c:layout>
                <c:manualLayout>
                  <c:x val="-6.9211198600175022E-2"/>
                  <c:y val="2.23762699519018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1C7-493C-8C0A-3BD2B46155F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Sheet1!$B$2:$B$12</c:f>
              <c:numCache>
                <c:formatCode>0.0</c:formatCode>
                <c:ptCount val="9"/>
                <c:pt idx="0">
                  <c:v>1.2549999999999999</c:v>
                </c:pt>
                <c:pt idx="1">
                  <c:v>-8.3460000000000001</c:v>
                </c:pt>
                <c:pt idx="2">
                  <c:v>10.996</c:v>
                </c:pt>
                <c:pt idx="3">
                  <c:v>5.5869999999999997</c:v>
                </c:pt>
                <c:pt idx="4">
                  <c:v>0.28599999999999998</c:v>
                </c:pt>
                <c:pt idx="5">
                  <c:v>3.0049999999999999</c:v>
                </c:pt>
                <c:pt idx="6">
                  <c:v>3.3079999999999998</c:v>
                </c:pt>
                <c:pt idx="7">
                  <c:v>3.4569999999999999</c:v>
                </c:pt>
                <c:pt idx="8">
                  <c:v>3.387</c:v>
                </c:pt>
              </c:numCache>
            </c:numRef>
          </c:val>
          <c:smooth val="0"/>
          <c:extLst>
            <c:ext xmlns:c16="http://schemas.microsoft.com/office/drawing/2014/chart" uri="{C3380CC4-5D6E-409C-BE32-E72D297353CC}">
              <c16:uniqueId val="{00000003-11C7-493C-8C0A-3BD2B46155FA}"/>
            </c:ext>
          </c:extLst>
        </c:ser>
        <c:dLbls>
          <c:showLegendKey val="0"/>
          <c:showVal val="0"/>
          <c:showCatName val="0"/>
          <c:showSerName val="0"/>
          <c:showPercent val="0"/>
          <c:showBubbleSize val="0"/>
        </c:dLbls>
        <c:marker val="1"/>
        <c:smooth val="0"/>
        <c:axId val="2025831104"/>
        <c:axId val="2025814784"/>
      </c:lineChart>
      <c:catAx>
        <c:axId val="20258311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14784"/>
        <c:crosses val="autoZero"/>
        <c:auto val="1"/>
        <c:lblAlgn val="ctr"/>
        <c:lblOffset val="100"/>
        <c:noMultiLvlLbl val="0"/>
      </c:catAx>
      <c:valAx>
        <c:axId val="202581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kern="1200" baseline="0">
                    <a:solidFill>
                      <a:sysClr val="windowText" lastClr="000000">
                        <a:lumMod val="65000"/>
                        <a:lumOff val="35000"/>
                      </a:sysClr>
                    </a:solidFill>
                    <a:latin typeface="+mn-lt"/>
                    <a:ea typeface="+mn-ea"/>
                    <a:cs typeface="+mn-cs"/>
                  </a:rPr>
                  <a:t>%</a:t>
                </a:r>
                <a:endParaRPr lang="en-US" sz="800"/>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831104"/>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1.9548556430446164E-3"/>
          <c:y val="0.80366684530925792"/>
          <c:w val="0.98445949256342957"/>
          <c:h val="0.1938294100671970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60614863381121187"/>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2023-4</c:v>
                </c:pt>
              </c:strCache>
            </c:strRef>
          </c:cat>
          <c:val>
            <c:numRef>
              <c:f>Sheet1!$B$2:$Q$2</c:f>
              <c:numCache>
                <c:formatCode>0.0</c:formatCode>
                <c:ptCount val="4"/>
                <c:pt idx="0">
                  <c:v>83.941564174370114</c:v>
                </c:pt>
                <c:pt idx="1">
                  <c:v>107.06364350017353</c:v>
                </c:pt>
                <c:pt idx="2">
                  <c:v>100.92572026569192</c:v>
                </c:pt>
                <c:pt idx="3">
                  <c:v>117.54209032999458</c:v>
                </c:pt>
              </c:numCache>
            </c:numRef>
          </c:val>
          <c:smooth val="0"/>
          <c:extLst>
            <c:ext xmlns:c16="http://schemas.microsoft.com/office/drawing/2014/chart" uri="{C3380CC4-5D6E-409C-BE32-E72D297353CC}">
              <c16:uniqueId val="{00000000-5DE5-497D-B58E-2F2B10D03E5C}"/>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2023-4</c:v>
                </c:pt>
              </c:strCache>
            </c:strRef>
          </c:cat>
          <c:val>
            <c:numRef>
              <c:f>Sheet1!$B$3:$Q$3</c:f>
              <c:numCache>
                <c:formatCode>0.0</c:formatCode>
                <c:ptCount val="4"/>
                <c:pt idx="0">
                  <c:v>-1.0970804416493678</c:v>
                </c:pt>
                <c:pt idx="1">
                  <c:v>-1.5119737352062543</c:v>
                </c:pt>
                <c:pt idx="2">
                  <c:v>0.15814006655449475</c:v>
                </c:pt>
                <c:pt idx="3">
                  <c:v>-0.47348097633057762</c:v>
                </c:pt>
              </c:numCache>
            </c:numRef>
          </c:val>
          <c:smooth val="0"/>
          <c:extLst>
            <c:ext xmlns:c16="http://schemas.microsoft.com/office/drawing/2014/chart" uri="{C3380CC4-5D6E-409C-BE32-E72D297353CC}">
              <c16:uniqueId val="{00000001-5DE5-497D-B58E-2F2B10D03E5C}"/>
            </c:ext>
          </c:extLst>
        </c:ser>
        <c:ser>
          <c:idx val="2"/>
          <c:order val="2"/>
          <c:tx>
            <c:strRef>
              <c:f>Sheet1!$A$4</c:f>
              <c:strCache>
                <c:ptCount val="1"/>
                <c:pt idx="0">
                  <c:v>Փոխարժեքի փոփոխություն (կուտակային)</c:v>
                </c:pt>
              </c:strCache>
            </c:strRef>
          </c:tx>
          <c:dLbls>
            <c:dLbl>
              <c:idx val="0"/>
              <c:layout>
                <c:manualLayout>
                  <c:x val="-6.7057492982983677E-2"/>
                  <c:y val="6.051519456482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E5-497D-B58E-2F2B10D03E5C}"/>
                </c:ext>
              </c:extLst>
            </c:dLbl>
            <c:dLbl>
              <c:idx val="1"/>
              <c:layout>
                <c:manualLayout>
                  <c:x val="-4.8371701162863462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E5-497D-B58E-2F2B10D03E5C}"/>
                </c:ext>
              </c:extLst>
            </c:dLbl>
            <c:dLbl>
              <c:idx val="2"/>
              <c:layout>
                <c:manualLayout>
                  <c:x val="-6.0467068482111377E-2"/>
                  <c:y val="8.32812731077937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E5-497D-B58E-2F2B10D03E5C}"/>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Sheet1!$B$1:$Q$1</c:f>
              <c:strCache>
                <c:ptCount val="4"/>
                <c:pt idx="0">
                  <c:v>2024-1</c:v>
                </c:pt>
                <c:pt idx="1">
                  <c:v>2024-2</c:v>
                </c:pt>
                <c:pt idx="2">
                  <c:v>2024-3</c:v>
                </c:pt>
                <c:pt idx="3">
                  <c:v>2023-4</c:v>
                </c:pt>
              </c:strCache>
            </c:strRef>
          </c:cat>
          <c:val>
            <c:numRef>
              <c:f>Sheet1!$B$4:$Q$4</c:f>
              <c:numCache>
                <c:formatCode>0.0</c:formatCode>
                <c:ptCount val="4"/>
                <c:pt idx="0">
                  <c:v>-2.239727380482023</c:v>
                </c:pt>
                <c:pt idx="1">
                  <c:v>-2.4578920702396232</c:v>
                </c:pt>
                <c:pt idx="2">
                  <c:v>-2.6346463853180779</c:v>
                </c:pt>
                <c:pt idx="3">
                  <c:v>-2.1941223510595762</c:v>
                </c:pt>
              </c:numCache>
            </c:numRef>
          </c:val>
          <c:smooth val="0"/>
          <c:extLst>
            <c:ext xmlns:c16="http://schemas.microsoft.com/office/drawing/2014/chart" uri="{C3380CC4-5D6E-409C-BE32-E72D297353CC}">
              <c16:uniqueId val="{00000005-5DE5-497D-B58E-2F2B10D03E5C}"/>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242028774181005"/>
          <c:w val="1"/>
          <c:h val="0.1757971225818994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Sheet1!$D$1</c:f>
              <c:strCache>
                <c:ptCount val="1"/>
                <c:pt idx="0">
                  <c:v>ՌԴ</c:v>
                </c:pt>
              </c:strCache>
            </c:strRef>
          </c:tx>
          <c:spPr>
            <a:solidFill>
              <a:schemeClr val="accent1">
                <a:lumMod val="75000"/>
              </a:schemeClr>
            </a:solidFill>
            <a:ln>
              <a:noFill/>
            </a:ln>
            <a:effectLst/>
          </c:spPr>
          <c:invertIfNegative val="0"/>
          <c:cat>
            <c:multiLvlStrRef>
              <c:f>Sheet1!$A$6:$B$25</c:f>
              <c:multiLvlStrCache>
                <c:ptCount val="20"/>
                <c:lvl>
                  <c:pt idx="0">
                    <c:v>1</c:v>
                  </c:pt>
                  <c:pt idx="1">
                    <c:v>2</c:v>
                  </c:pt>
                  <c:pt idx="2">
                    <c:v>3</c:v>
                  </c:pt>
                  <c:pt idx="3">
                    <c:v>4</c:v>
                  </c:pt>
                  <c:pt idx="4">
                    <c:v>1</c:v>
                  </c:pt>
                  <c:pt idx="5">
                    <c:v>2</c:v>
                  </c:pt>
                  <c:pt idx="6">
                    <c:v>3</c:v>
                  </c:pt>
                  <c:pt idx="7">
                    <c:v>4</c:v>
                  </c:pt>
                  <c:pt idx="8">
                    <c:v>1</c:v>
                  </c:pt>
                  <c:pt idx="9">
                    <c:v>2</c:v>
                  </c:pt>
                  <c:pt idx="10">
                    <c:v>3</c:v>
                  </c:pt>
                  <c:pt idx="11">
                    <c:v>4</c:v>
                  </c:pt>
                  <c:pt idx="12">
                    <c:v>1</c:v>
                  </c:pt>
                  <c:pt idx="13">
                    <c:v>2</c:v>
                  </c:pt>
                  <c:pt idx="14">
                    <c:v>3</c:v>
                  </c:pt>
                  <c:pt idx="15">
                    <c:v>4</c:v>
                  </c:pt>
                  <c:pt idx="16">
                    <c:v>1</c:v>
                  </c:pt>
                  <c:pt idx="17">
                    <c:v>2</c:v>
                  </c:pt>
                  <c:pt idx="18">
                    <c:v>3</c:v>
                  </c:pt>
                  <c:pt idx="19">
                    <c:v>4</c:v>
                  </c:pt>
                </c:lvl>
                <c:lvl>
                  <c:pt idx="0">
                    <c:v>2019</c:v>
                  </c:pt>
                  <c:pt idx="4">
                    <c:v>2020</c:v>
                  </c:pt>
                  <c:pt idx="8">
                    <c:v>2021</c:v>
                  </c:pt>
                  <c:pt idx="12">
                    <c:v>2022</c:v>
                  </c:pt>
                  <c:pt idx="16">
                    <c:v>2023</c:v>
                  </c:pt>
                </c:lvl>
              </c:multiLvlStrCache>
            </c:multiLvlStrRef>
          </c:cat>
          <c:val>
            <c:numRef>
              <c:f>Sheet1!$D$6:$D$29</c:f>
              <c:numCache>
                <c:formatCode>0</c:formatCode>
                <c:ptCount val="21"/>
                <c:pt idx="0">
                  <c:v>75.906300000000002</c:v>
                </c:pt>
                <c:pt idx="1">
                  <c:v>160.00910000000002</c:v>
                </c:pt>
                <c:pt idx="2">
                  <c:v>239.61420999999999</c:v>
                </c:pt>
                <c:pt idx="3">
                  <c:v>154.12681000000001</c:v>
                </c:pt>
                <c:pt idx="4">
                  <c:v>77.714060000000003</c:v>
                </c:pt>
                <c:pt idx="5">
                  <c:v>50.1432</c:v>
                </c:pt>
                <c:pt idx="6">
                  <c:v>114.17736000000001</c:v>
                </c:pt>
                <c:pt idx="7">
                  <c:v>122.73272</c:v>
                </c:pt>
                <c:pt idx="8">
                  <c:v>67.980919999999998</c:v>
                </c:pt>
                <c:pt idx="9">
                  <c:v>118.7869</c:v>
                </c:pt>
                <c:pt idx="10">
                  <c:v>158.30554999999998</c:v>
                </c:pt>
                <c:pt idx="11">
                  <c:v>118.69959999999998</c:v>
                </c:pt>
                <c:pt idx="12">
                  <c:v>118.26725</c:v>
                </c:pt>
                <c:pt idx="13">
                  <c:v>814.20412999999996</c:v>
                </c:pt>
                <c:pt idx="14">
                  <c:v>1090.5065999999999</c:v>
                </c:pt>
                <c:pt idx="15">
                  <c:v>1122.2293199999999</c:v>
                </c:pt>
                <c:pt idx="16">
                  <c:v>1079.4368399999998</c:v>
                </c:pt>
                <c:pt idx="17">
                  <c:v>709.71907999999996</c:v>
                </c:pt>
                <c:pt idx="18">
                  <c:v>707.88398000000007</c:v>
                </c:pt>
                <c:pt idx="19">
                  <c:v>807.40522999999996</c:v>
                </c:pt>
                <c:pt idx="20">
                  <c:v>656.62074999999993</c:v>
                </c:pt>
              </c:numCache>
            </c:numRef>
          </c:val>
          <c:extLst>
            <c:ext xmlns:c16="http://schemas.microsoft.com/office/drawing/2014/chart" uri="{C3380CC4-5D6E-409C-BE32-E72D297353CC}">
              <c16:uniqueId val="{00000000-7E8E-43DB-8708-98512613471F}"/>
            </c:ext>
          </c:extLst>
        </c:ser>
        <c:ser>
          <c:idx val="2"/>
          <c:order val="2"/>
          <c:tx>
            <c:strRef>
              <c:f>Sheet1!$E$1</c:f>
              <c:strCache>
                <c:ptCount val="1"/>
                <c:pt idx="0">
                  <c:v>Այլ</c:v>
                </c:pt>
              </c:strCache>
            </c:strRef>
          </c:tx>
          <c:spPr>
            <a:solidFill>
              <a:schemeClr val="accent3"/>
            </a:solidFill>
            <a:ln>
              <a:noFill/>
            </a:ln>
            <a:effectLst/>
          </c:spPr>
          <c:invertIfNegative val="0"/>
          <c:cat>
            <c:multiLvlStrRef>
              <c:f>Sheet1!$A$6:$B$25</c:f>
              <c:multiLvlStrCache>
                <c:ptCount val="20"/>
                <c:lvl>
                  <c:pt idx="0">
                    <c:v>1</c:v>
                  </c:pt>
                  <c:pt idx="1">
                    <c:v>2</c:v>
                  </c:pt>
                  <c:pt idx="2">
                    <c:v>3</c:v>
                  </c:pt>
                  <c:pt idx="3">
                    <c:v>4</c:v>
                  </c:pt>
                  <c:pt idx="4">
                    <c:v>1</c:v>
                  </c:pt>
                  <c:pt idx="5">
                    <c:v>2</c:v>
                  </c:pt>
                  <c:pt idx="6">
                    <c:v>3</c:v>
                  </c:pt>
                  <c:pt idx="7">
                    <c:v>4</c:v>
                  </c:pt>
                  <c:pt idx="8">
                    <c:v>1</c:v>
                  </c:pt>
                  <c:pt idx="9">
                    <c:v>2</c:v>
                  </c:pt>
                  <c:pt idx="10">
                    <c:v>3</c:v>
                  </c:pt>
                  <c:pt idx="11">
                    <c:v>4</c:v>
                  </c:pt>
                  <c:pt idx="12">
                    <c:v>1</c:v>
                  </c:pt>
                  <c:pt idx="13">
                    <c:v>2</c:v>
                  </c:pt>
                  <c:pt idx="14">
                    <c:v>3</c:v>
                  </c:pt>
                  <c:pt idx="15">
                    <c:v>4</c:v>
                  </c:pt>
                  <c:pt idx="16">
                    <c:v>1</c:v>
                  </c:pt>
                  <c:pt idx="17">
                    <c:v>2</c:v>
                  </c:pt>
                  <c:pt idx="18">
                    <c:v>3</c:v>
                  </c:pt>
                  <c:pt idx="19">
                    <c:v>4</c:v>
                  </c:pt>
                </c:lvl>
                <c:lvl>
                  <c:pt idx="0">
                    <c:v>2019</c:v>
                  </c:pt>
                  <c:pt idx="4">
                    <c:v>2020</c:v>
                  </c:pt>
                  <c:pt idx="8">
                    <c:v>2021</c:v>
                  </c:pt>
                  <c:pt idx="12">
                    <c:v>2022</c:v>
                  </c:pt>
                  <c:pt idx="16">
                    <c:v>2023</c:v>
                  </c:pt>
                </c:lvl>
              </c:multiLvlStrCache>
            </c:multiLvlStrRef>
          </c:cat>
          <c:val>
            <c:numRef>
              <c:f>Sheet1!$E$6:$E$29</c:f>
              <c:numCache>
                <c:formatCode>0</c:formatCode>
                <c:ptCount val="21"/>
                <c:pt idx="0">
                  <c:v>28.937740000000005</c:v>
                </c:pt>
                <c:pt idx="1">
                  <c:v>-34.662960000000012</c:v>
                </c:pt>
                <c:pt idx="2">
                  <c:v>-135.3861</c:v>
                </c:pt>
                <c:pt idx="3">
                  <c:v>15.474779999999981</c:v>
                </c:pt>
                <c:pt idx="4">
                  <c:v>9.6641899999999907</c:v>
                </c:pt>
                <c:pt idx="5">
                  <c:v>55.252929999999999</c:v>
                </c:pt>
                <c:pt idx="6">
                  <c:v>122.69107999999999</c:v>
                </c:pt>
                <c:pt idx="7">
                  <c:v>21.96302</c:v>
                </c:pt>
                <c:pt idx="8">
                  <c:v>61.103229999999996</c:v>
                </c:pt>
                <c:pt idx="9">
                  <c:v>135.01109000000002</c:v>
                </c:pt>
                <c:pt idx="10">
                  <c:v>129.02368999999999</c:v>
                </c:pt>
                <c:pt idx="11">
                  <c:v>94.40330000000003</c:v>
                </c:pt>
                <c:pt idx="12">
                  <c:v>72.026169999999993</c:v>
                </c:pt>
                <c:pt idx="13">
                  <c:v>-10.573099999999954</c:v>
                </c:pt>
                <c:pt idx="14">
                  <c:v>-354.89396999999997</c:v>
                </c:pt>
                <c:pt idx="15">
                  <c:v>-268.12218999999993</c:v>
                </c:pt>
                <c:pt idx="16">
                  <c:v>-526.24767999999995</c:v>
                </c:pt>
                <c:pt idx="17">
                  <c:v>-365.22444000000002</c:v>
                </c:pt>
                <c:pt idx="18">
                  <c:v>-275.18345999999997</c:v>
                </c:pt>
                <c:pt idx="19">
                  <c:v>-483.07689000000005</c:v>
                </c:pt>
                <c:pt idx="20">
                  <c:v>-378.06103000000007</c:v>
                </c:pt>
              </c:numCache>
            </c:numRef>
          </c:val>
          <c:extLst>
            <c:ext xmlns:c16="http://schemas.microsoft.com/office/drawing/2014/chart" uri="{C3380CC4-5D6E-409C-BE32-E72D297353CC}">
              <c16:uniqueId val="{00000001-7E8E-43DB-8708-98512613471F}"/>
            </c:ext>
          </c:extLst>
        </c:ser>
        <c:dLbls>
          <c:showLegendKey val="0"/>
          <c:showVal val="0"/>
          <c:showCatName val="0"/>
          <c:showSerName val="0"/>
          <c:showPercent val="0"/>
          <c:showBubbleSize val="0"/>
        </c:dLbls>
        <c:gapWidth val="80"/>
        <c:overlap val="100"/>
        <c:axId val="642403424"/>
        <c:axId val="642400544"/>
      </c:barChart>
      <c:lineChart>
        <c:grouping val="standard"/>
        <c:varyColors val="0"/>
        <c:ser>
          <c:idx val="0"/>
          <c:order val="0"/>
          <c:tx>
            <c:strRef>
              <c:f>Sheet1!$C$1</c:f>
              <c:strCache>
                <c:ptCount val="1"/>
                <c:pt idx="0">
                  <c:v>Ընդամենը</c:v>
                </c:pt>
              </c:strCache>
            </c:strRef>
          </c:tx>
          <c:spPr>
            <a:ln w="28575" cap="rnd">
              <a:solidFill>
                <a:schemeClr val="tx1"/>
              </a:solidFill>
              <a:round/>
            </a:ln>
            <a:effectLst/>
          </c:spPr>
          <c:marker>
            <c:symbol val="none"/>
          </c:marker>
          <c:cat>
            <c:multiLvlStrRef>
              <c:f>Sheet1!$A$2:$B$29</c:f>
              <c:multiLvlStrCache>
                <c:ptCount val="21"/>
                <c:lvl>
                  <c:pt idx="0">
                    <c:v>1</c:v>
                  </c:pt>
                  <c:pt idx="1">
                    <c:v>2</c:v>
                  </c:pt>
                  <c:pt idx="2">
                    <c:v>3</c:v>
                  </c:pt>
                  <c:pt idx="3">
                    <c:v>4</c:v>
                  </c:pt>
                  <c:pt idx="4">
                    <c:v>1</c:v>
                  </c:pt>
                  <c:pt idx="5">
                    <c:v>2</c:v>
                  </c:pt>
                  <c:pt idx="6">
                    <c:v>3</c:v>
                  </c:pt>
                  <c:pt idx="7">
                    <c:v>4</c:v>
                  </c:pt>
                  <c:pt idx="8">
                    <c:v>1</c:v>
                  </c:pt>
                  <c:pt idx="9">
                    <c:v>2</c:v>
                  </c:pt>
                  <c:pt idx="10">
                    <c:v>3</c:v>
                  </c:pt>
                  <c:pt idx="11">
                    <c:v>4</c:v>
                  </c:pt>
                  <c:pt idx="12">
                    <c:v>1</c:v>
                  </c:pt>
                  <c:pt idx="13">
                    <c:v>2</c:v>
                  </c:pt>
                  <c:pt idx="14">
                    <c:v>3</c:v>
                  </c:pt>
                  <c:pt idx="15">
                    <c:v>4</c:v>
                  </c:pt>
                  <c:pt idx="16">
                    <c:v>1</c:v>
                  </c:pt>
                  <c:pt idx="17">
                    <c:v>2</c:v>
                  </c:pt>
                  <c:pt idx="18">
                    <c:v>3</c:v>
                  </c:pt>
                  <c:pt idx="19">
                    <c:v>4</c:v>
                  </c:pt>
                  <c:pt idx="20">
                    <c:v>1</c:v>
                  </c:pt>
                </c:lvl>
                <c:lvl>
                  <c:pt idx="0">
                    <c:v>2019</c:v>
                  </c:pt>
                  <c:pt idx="4">
                    <c:v>2020</c:v>
                  </c:pt>
                  <c:pt idx="8">
                    <c:v>2021</c:v>
                  </c:pt>
                  <c:pt idx="12">
                    <c:v>2022</c:v>
                  </c:pt>
                  <c:pt idx="16">
                    <c:v>2023</c:v>
                  </c:pt>
                  <c:pt idx="20">
                    <c:v>2024</c:v>
                  </c:pt>
                </c:lvl>
              </c:multiLvlStrCache>
            </c:multiLvlStrRef>
          </c:cat>
          <c:val>
            <c:numRef>
              <c:f>Sheet1!$C$6:$C$29</c:f>
              <c:numCache>
                <c:formatCode>0</c:formatCode>
                <c:ptCount val="21"/>
                <c:pt idx="0">
                  <c:v>104.84404000000001</c:v>
                </c:pt>
                <c:pt idx="1">
                  <c:v>125.34614000000001</c:v>
                </c:pt>
                <c:pt idx="2">
                  <c:v>104.22811</c:v>
                </c:pt>
                <c:pt idx="3">
                  <c:v>169.60158999999999</c:v>
                </c:pt>
                <c:pt idx="4">
                  <c:v>87.378249999999994</c:v>
                </c:pt>
                <c:pt idx="5">
                  <c:v>105.39613</c:v>
                </c:pt>
                <c:pt idx="6">
                  <c:v>236.86843999999999</c:v>
                </c:pt>
                <c:pt idx="7">
                  <c:v>144.69574</c:v>
                </c:pt>
                <c:pt idx="8">
                  <c:v>129.08414999999999</c:v>
                </c:pt>
                <c:pt idx="9">
                  <c:v>253.79799000000003</c:v>
                </c:pt>
                <c:pt idx="10">
                  <c:v>287.32923999999997</c:v>
                </c:pt>
                <c:pt idx="11">
                  <c:v>213.10290000000001</c:v>
                </c:pt>
                <c:pt idx="12">
                  <c:v>190.29342</c:v>
                </c:pt>
                <c:pt idx="13">
                  <c:v>803.63103000000001</c:v>
                </c:pt>
                <c:pt idx="14">
                  <c:v>735.61262999999997</c:v>
                </c:pt>
                <c:pt idx="15">
                  <c:v>854.10712999999998</c:v>
                </c:pt>
                <c:pt idx="16">
                  <c:v>553.18916000000002</c:v>
                </c:pt>
                <c:pt idx="17">
                  <c:v>344.49464</c:v>
                </c:pt>
                <c:pt idx="18">
                  <c:v>432.70051999999998</c:v>
                </c:pt>
                <c:pt idx="19">
                  <c:v>324.32833999999991</c:v>
                </c:pt>
                <c:pt idx="20">
                  <c:v>278.55971999999997</c:v>
                </c:pt>
              </c:numCache>
            </c:numRef>
          </c:val>
          <c:smooth val="0"/>
          <c:extLst>
            <c:ext xmlns:c16="http://schemas.microsoft.com/office/drawing/2014/chart" uri="{C3380CC4-5D6E-409C-BE32-E72D297353CC}">
              <c16:uniqueId val="{00000002-7E8E-43DB-8708-98512613471F}"/>
            </c:ext>
          </c:extLst>
        </c:ser>
        <c:dLbls>
          <c:showLegendKey val="0"/>
          <c:showVal val="0"/>
          <c:showCatName val="0"/>
          <c:showSerName val="0"/>
          <c:showPercent val="0"/>
          <c:showBubbleSize val="0"/>
        </c:dLbls>
        <c:marker val="1"/>
        <c:smooth val="0"/>
        <c:axId val="642403424"/>
        <c:axId val="642400544"/>
      </c:lineChart>
      <c:catAx>
        <c:axId val="64240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0544"/>
        <c:crosses val="autoZero"/>
        <c:auto val="1"/>
        <c:lblAlgn val="ctr"/>
        <c:lblOffset val="100"/>
        <c:noMultiLvlLbl val="0"/>
      </c:catAx>
      <c:valAx>
        <c:axId val="64240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hy-AM" b="1"/>
                  <a:t>մլն ԱՄՆ դոլար</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268531088786318E-2"/>
          <c:y val="3.176785222289203E-2"/>
          <c:w val="0.90591154553956621"/>
          <c:h val="0.59461103273692995"/>
        </c:manualLayout>
      </c:layout>
      <c:barChart>
        <c:barDir val="col"/>
        <c:grouping val="stacked"/>
        <c:varyColors val="0"/>
        <c:ser>
          <c:idx val="0"/>
          <c:order val="0"/>
          <c:tx>
            <c:strRef>
              <c:f>Sheet1!$D$1</c:f>
              <c:strCache>
                <c:ptCount val="1"/>
                <c:pt idx="0">
                  <c:v>Եվրո</c:v>
                </c:pt>
              </c:strCache>
            </c:strRef>
          </c:tx>
          <c:spPr>
            <a:solidFill>
              <a:schemeClr val="accent6">
                <a:lumMod val="60000"/>
                <a:lumOff val="40000"/>
              </a:schemeClr>
            </a:solidFill>
            <a:ln>
              <a:noFill/>
            </a:ln>
            <a:effectLst>
              <a:outerShdw blurRad="40000" dist="23000" dir="5400000" rotWithShape="0">
                <a:srgbClr val="000000">
                  <a:alpha val="35000"/>
                </a:srgbClr>
              </a:outerShdw>
            </a:effectLst>
          </c:spPr>
          <c:invertIfNegative val="0"/>
          <c:cat>
            <c:multiLvlStrRef>
              <c:f>Sheet1!$A$10:$B$29</c:f>
              <c:multiLvlStrCache>
                <c:ptCount val="13"/>
                <c:lvl>
                  <c:pt idx="0">
                    <c:v>1</c:v>
                  </c:pt>
                  <c:pt idx="1">
                    <c:v>2</c:v>
                  </c:pt>
                  <c:pt idx="2">
                    <c:v>3</c:v>
                  </c:pt>
                  <c:pt idx="3">
                    <c:v>4</c:v>
                  </c:pt>
                  <c:pt idx="4">
                    <c:v>1</c:v>
                  </c:pt>
                  <c:pt idx="5">
                    <c:v>2</c:v>
                  </c:pt>
                  <c:pt idx="6">
                    <c:v>3</c:v>
                  </c:pt>
                  <c:pt idx="7">
                    <c:v>4</c:v>
                  </c:pt>
                  <c:pt idx="8">
                    <c:v>1</c:v>
                  </c:pt>
                  <c:pt idx="9">
                    <c:v>2</c:v>
                  </c:pt>
                  <c:pt idx="10">
                    <c:v>3</c:v>
                  </c:pt>
                  <c:pt idx="11">
                    <c:v>4</c:v>
                  </c:pt>
                  <c:pt idx="12">
                    <c:v>1</c:v>
                  </c:pt>
                </c:lvl>
                <c:lvl>
                  <c:pt idx="0">
                    <c:v>2021</c:v>
                  </c:pt>
                  <c:pt idx="4">
                    <c:v>2022</c:v>
                  </c:pt>
                  <c:pt idx="8">
                    <c:v>2023</c:v>
                  </c:pt>
                  <c:pt idx="12">
                    <c:v>2024</c:v>
                  </c:pt>
                </c:lvl>
              </c:multiLvlStrCache>
            </c:multiLvlStrRef>
          </c:cat>
          <c:val>
            <c:numRef>
              <c:f>Sheet1!$D$2:$D$29</c:f>
              <c:numCache>
                <c:formatCode>0</c:formatCode>
                <c:ptCount val="13"/>
                <c:pt idx="0">
                  <c:v>-37.588152999999991</c:v>
                </c:pt>
                <c:pt idx="1">
                  <c:v>-44.314930999999994</c:v>
                </c:pt>
                <c:pt idx="2">
                  <c:v>-3.6870990000000035</c:v>
                </c:pt>
                <c:pt idx="3">
                  <c:v>-47.701574000000008</c:v>
                </c:pt>
                <c:pt idx="4">
                  <c:v>38.055483617751023</c:v>
                </c:pt>
                <c:pt idx="5">
                  <c:v>-116.1097406218162</c:v>
                </c:pt>
                <c:pt idx="6">
                  <c:v>-151.48745476086947</c:v>
                </c:pt>
                <c:pt idx="7">
                  <c:v>-157.53865432476795</c:v>
                </c:pt>
                <c:pt idx="8">
                  <c:v>-174.38011295565173</c:v>
                </c:pt>
                <c:pt idx="9">
                  <c:v>-140.58972851489443</c:v>
                </c:pt>
                <c:pt idx="10">
                  <c:v>-123.25717668806097</c:v>
                </c:pt>
                <c:pt idx="11">
                  <c:v>-66.186420115155897</c:v>
                </c:pt>
                <c:pt idx="12">
                  <c:v>-260.11307755782582</c:v>
                </c:pt>
              </c:numCache>
            </c:numRef>
          </c:val>
          <c:extLst>
            <c:ext xmlns:c16="http://schemas.microsoft.com/office/drawing/2014/chart" uri="{C3380CC4-5D6E-409C-BE32-E72D297353CC}">
              <c16:uniqueId val="{00000000-E593-4ABB-BEA8-EB79941EE3B7}"/>
            </c:ext>
          </c:extLst>
        </c:ser>
        <c:ser>
          <c:idx val="1"/>
          <c:order val="1"/>
          <c:tx>
            <c:strRef>
              <c:f>Sheet1!$E$1</c:f>
              <c:strCache>
                <c:ptCount val="1"/>
                <c:pt idx="0">
                  <c:v>Ռուբլի</c:v>
                </c:pt>
              </c:strCache>
            </c:strRef>
          </c:tx>
          <c:spPr>
            <a:solidFill>
              <a:schemeClr val="accent1">
                <a:lumMod val="75000"/>
              </a:schemeClr>
            </a:solidFill>
            <a:ln>
              <a:noFill/>
            </a:ln>
            <a:effectLst>
              <a:outerShdw blurRad="40000" dist="23000" dir="5400000" rotWithShape="0">
                <a:srgbClr val="000000">
                  <a:alpha val="35000"/>
                </a:srgbClr>
              </a:outerShdw>
            </a:effectLst>
          </c:spPr>
          <c:invertIfNegative val="0"/>
          <c:cat>
            <c:multiLvlStrRef>
              <c:f>Sheet1!$A$10:$B$29</c:f>
              <c:multiLvlStrCache>
                <c:ptCount val="13"/>
                <c:lvl>
                  <c:pt idx="0">
                    <c:v>1</c:v>
                  </c:pt>
                  <c:pt idx="1">
                    <c:v>2</c:v>
                  </c:pt>
                  <c:pt idx="2">
                    <c:v>3</c:v>
                  </c:pt>
                  <c:pt idx="3">
                    <c:v>4</c:v>
                  </c:pt>
                  <c:pt idx="4">
                    <c:v>1</c:v>
                  </c:pt>
                  <c:pt idx="5">
                    <c:v>2</c:v>
                  </c:pt>
                  <c:pt idx="6">
                    <c:v>3</c:v>
                  </c:pt>
                  <c:pt idx="7">
                    <c:v>4</c:v>
                  </c:pt>
                  <c:pt idx="8">
                    <c:v>1</c:v>
                  </c:pt>
                  <c:pt idx="9">
                    <c:v>2</c:v>
                  </c:pt>
                  <c:pt idx="10">
                    <c:v>3</c:v>
                  </c:pt>
                  <c:pt idx="11">
                    <c:v>4</c:v>
                  </c:pt>
                  <c:pt idx="12">
                    <c:v>1</c:v>
                  </c:pt>
                </c:lvl>
                <c:lvl>
                  <c:pt idx="0">
                    <c:v>2021</c:v>
                  </c:pt>
                  <c:pt idx="4">
                    <c:v>2022</c:v>
                  </c:pt>
                  <c:pt idx="8">
                    <c:v>2023</c:v>
                  </c:pt>
                  <c:pt idx="12">
                    <c:v>2024</c:v>
                  </c:pt>
                </c:lvl>
              </c:multiLvlStrCache>
            </c:multiLvlStrRef>
          </c:cat>
          <c:val>
            <c:numRef>
              <c:f>Sheet1!$E$2:$E$29</c:f>
              <c:numCache>
                <c:formatCode>0</c:formatCode>
                <c:ptCount val="13"/>
                <c:pt idx="0">
                  <c:v>5.1814139999999966</c:v>
                </c:pt>
                <c:pt idx="1">
                  <c:v>56.355378999999999</c:v>
                </c:pt>
                <c:pt idx="2">
                  <c:v>9.5786869999999951</c:v>
                </c:pt>
                <c:pt idx="3">
                  <c:v>13.216616999999999</c:v>
                </c:pt>
                <c:pt idx="4">
                  <c:v>-31.598552698007609</c:v>
                </c:pt>
                <c:pt idx="5">
                  <c:v>190.46627119187258</c:v>
                </c:pt>
                <c:pt idx="6">
                  <c:v>423.24379297671146</c:v>
                </c:pt>
                <c:pt idx="7">
                  <c:v>550.39308050890099</c:v>
                </c:pt>
                <c:pt idx="8">
                  <c:v>436.38517693931055</c:v>
                </c:pt>
                <c:pt idx="9">
                  <c:v>376.39776191044848</c:v>
                </c:pt>
                <c:pt idx="10">
                  <c:v>295.20506021620588</c:v>
                </c:pt>
                <c:pt idx="11">
                  <c:v>329.02931109999389</c:v>
                </c:pt>
                <c:pt idx="12">
                  <c:v>510.11131165943925</c:v>
                </c:pt>
              </c:numCache>
            </c:numRef>
          </c:val>
          <c:extLst>
            <c:ext xmlns:c16="http://schemas.microsoft.com/office/drawing/2014/chart" uri="{C3380CC4-5D6E-409C-BE32-E72D297353CC}">
              <c16:uniqueId val="{00000001-E593-4ABB-BEA8-EB79941EE3B7}"/>
            </c:ext>
          </c:extLst>
        </c:ser>
        <c:ser>
          <c:idx val="3"/>
          <c:order val="3"/>
          <c:tx>
            <c:strRef>
              <c:f>Sheet1!$C$1</c:f>
              <c:strCache>
                <c:ptCount val="1"/>
                <c:pt idx="0">
                  <c:v>Դոլար</c:v>
                </c:pt>
              </c:strCache>
            </c:strRef>
          </c:tx>
          <c:spPr>
            <a:solidFill>
              <a:schemeClr val="bg1">
                <a:lumMod val="75000"/>
              </a:schemeClr>
            </a:solidFill>
            <a:ln>
              <a:noFill/>
            </a:ln>
            <a:effectLst>
              <a:outerShdw blurRad="40000" dist="23000" dir="5400000" rotWithShape="0">
                <a:srgbClr val="000000">
                  <a:alpha val="35000"/>
                </a:srgbClr>
              </a:outerShdw>
            </a:effectLst>
          </c:spPr>
          <c:invertIfNegative val="0"/>
          <c:cat>
            <c:multiLvlStrRef>
              <c:f>Sheet1!$A$10:$B$29</c:f>
              <c:multiLvlStrCache>
                <c:ptCount val="13"/>
                <c:lvl>
                  <c:pt idx="0">
                    <c:v>1</c:v>
                  </c:pt>
                  <c:pt idx="1">
                    <c:v>2</c:v>
                  </c:pt>
                  <c:pt idx="2">
                    <c:v>3</c:v>
                  </c:pt>
                  <c:pt idx="3">
                    <c:v>4</c:v>
                  </c:pt>
                  <c:pt idx="4">
                    <c:v>1</c:v>
                  </c:pt>
                  <c:pt idx="5">
                    <c:v>2</c:v>
                  </c:pt>
                  <c:pt idx="6">
                    <c:v>3</c:v>
                  </c:pt>
                  <c:pt idx="7">
                    <c:v>4</c:v>
                  </c:pt>
                  <c:pt idx="8">
                    <c:v>1</c:v>
                  </c:pt>
                  <c:pt idx="9">
                    <c:v>2</c:v>
                  </c:pt>
                  <c:pt idx="10">
                    <c:v>3</c:v>
                  </c:pt>
                  <c:pt idx="11">
                    <c:v>4</c:v>
                  </c:pt>
                  <c:pt idx="12">
                    <c:v>1</c:v>
                  </c:pt>
                </c:lvl>
                <c:lvl>
                  <c:pt idx="0">
                    <c:v>2021</c:v>
                  </c:pt>
                  <c:pt idx="4">
                    <c:v>2022</c:v>
                  </c:pt>
                  <c:pt idx="8">
                    <c:v>2023</c:v>
                  </c:pt>
                  <c:pt idx="12">
                    <c:v>2024</c:v>
                  </c:pt>
                </c:lvl>
              </c:multiLvlStrCache>
            </c:multiLvlStrRef>
          </c:cat>
          <c:val>
            <c:numRef>
              <c:f>Sheet1!$C$10:$C$26</c:f>
              <c:numCache>
                <c:formatCode>0</c:formatCode>
                <c:ptCount val="13"/>
                <c:pt idx="0">
                  <c:v>-44.764182000000062</c:v>
                </c:pt>
                <c:pt idx="1">
                  <c:v>-47.872495999999956</c:v>
                </c:pt>
                <c:pt idx="2">
                  <c:v>-37.628922000000017</c:v>
                </c:pt>
                <c:pt idx="3">
                  <c:v>22.342673000000104</c:v>
                </c:pt>
                <c:pt idx="4">
                  <c:v>82.827041122292655</c:v>
                </c:pt>
                <c:pt idx="5">
                  <c:v>-50.18449343652253</c:v>
                </c:pt>
                <c:pt idx="6">
                  <c:v>-228.23183459037764</c:v>
                </c:pt>
                <c:pt idx="7">
                  <c:v>-326.58099857808588</c:v>
                </c:pt>
                <c:pt idx="8">
                  <c:v>-198.37948549629041</c:v>
                </c:pt>
                <c:pt idx="9">
                  <c:v>-28.113131581315599</c:v>
                </c:pt>
                <c:pt idx="10">
                  <c:v>-65.451362078463404</c:v>
                </c:pt>
                <c:pt idx="11">
                  <c:v>-277.075267131891</c:v>
                </c:pt>
                <c:pt idx="12">
                  <c:v>-316.72390526903308</c:v>
                </c:pt>
              </c:numCache>
            </c:numRef>
          </c:val>
          <c:extLst>
            <c:ext xmlns:c16="http://schemas.microsoft.com/office/drawing/2014/chart" uri="{C3380CC4-5D6E-409C-BE32-E72D297353CC}">
              <c16:uniqueId val="{00000002-E593-4ABB-BEA8-EB79941EE3B7}"/>
            </c:ext>
          </c:extLst>
        </c:ser>
        <c:dLbls>
          <c:showLegendKey val="0"/>
          <c:showVal val="0"/>
          <c:showCatName val="0"/>
          <c:showSerName val="0"/>
          <c:showPercent val="0"/>
          <c:showBubbleSize val="0"/>
        </c:dLbls>
        <c:gapWidth val="100"/>
        <c:overlap val="100"/>
        <c:axId val="505862432"/>
        <c:axId val="505864952"/>
      </c:barChart>
      <c:lineChart>
        <c:grouping val="standard"/>
        <c:varyColors val="0"/>
        <c:ser>
          <c:idx val="2"/>
          <c:order val="2"/>
          <c:tx>
            <c:strRef>
              <c:f>Sheet1!$F$1</c:f>
              <c:strCache>
                <c:ptCount val="1"/>
                <c:pt idx="0">
                  <c:v>Զուտ առք</c:v>
                </c:pt>
              </c:strCache>
            </c:strRef>
          </c:tx>
          <c:spPr>
            <a:ln w="31750" cap="rnd">
              <a:solidFill>
                <a:sysClr val="windowText" lastClr="000000"/>
              </a:solidFill>
              <a:round/>
            </a:ln>
            <a:effectLst>
              <a:outerShdw blurRad="40000" dist="23000" dir="5400000" rotWithShape="0">
                <a:srgbClr val="000000">
                  <a:alpha val="35000"/>
                </a:srgbClr>
              </a:outerShdw>
            </a:effectLst>
          </c:spPr>
          <c:marker>
            <c:symbol val="none"/>
          </c:marker>
          <c:cat>
            <c:multiLvlStrRef>
              <c:f>Sheet1!$A$10:$B$32</c:f>
              <c:multiLvlStrCache>
                <c:ptCount val="13"/>
                <c:lvl>
                  <c:pt idx="0">
                    <c:v>1</c:v>
                  </c:pt>
                  <c:pt idx="1">
                    <c:v>2</c:v>
                  </c:pt>
                  <c:pt idx="2">
                    <c:v>3</c:v>
                  </c:pt>
                  <c:pt idx="3">
                    <c:v>4</c:v>
                  </c:pt>
                  <c:pt idx="4">
                    <c:v>1</c:v>
                  </c:pt>
                  <c:pt idx="5">
                    <c:v>2</c:v>
                  </c:pt>
                  <c:pt idx="6">
                    <c:v>3</c:v>
                  </c:pt>
                  <c:pt idx="7">
                    <c:v>4</c:v>
                  </c:pt>
                  <c:pt idx="8">
                    <c:v>1</c:v>
                  </c:pt>
                  <c:pt idx="9">
                    <c:v>2</c:v>
                  </c:pt>
                  <c:pt idx="10">
                    <c:v>3</c:v>
                  </c:pt>
                  <c:pt idx="11">
                    <c:v>4</c:v>
                  </c:pt>
                  <c:pt idx="12">
                    <c:v>1</c:v>
                  </c:pt>
                </c:lvl>
                <c:lvl>
                  <c:pt idx="0">
                    <c:v>2021</c:v>
                  </c:pt>
                  <c:pt idx="4">
                    <c:v>2022</c:v>
                  </c:pt>
                  <c:pt idx="8">
                    <c:v>2023</c:v>
                  </c:pt>
                  <c:pt idx="12">
                    <c:v>2024</c:v>
                  </c:pt>
                </c:lvl>
              </c:multiLvlStrCache>
            </c:multiLvlStrRef>
          </c:cat>
          <c:val>
            <c:numRef>
              <c:f>Sheet1!$F$2:$F$29</c:f>
              <c:numCache>
                <c:formatCode>0</c:formatCode>
                <c:ptCount val="13"/>
                <c:pt idx="0">
                  <c:v>-77.17092100000005</c:v>
                </c:pt>
                <c:pt idx="1">
                  <c:v>-35.832047999999958</c:v>
                </c:pt>
                <c:pt idx="2">
                  <c:v>-31.737334000000025</c:v>
                </c:pt>
                <c:pt idx="3">
                  <c:v>-12.142283999999904</c:v>
                </c:pt>
                <c:pt idx="4">
                  <c:v>89.283972042036069</c:v>
                </c:pt>
                <c:pt idx="5">
                  <c:v>24.172037133533848</c:v>
                </c:pt>
                <c:pt idx="6">
                  <c:v>43.524503625464376</c:v>
                </c:pt>
                <c:pt idx="7">
                  <c:v>66.273427606047164</c:v>
                </c:pt>
                <c:pt idx="8">
                  <c:v>63.625578487368443</c:v>
                </c:pt>
                <c:pt idx="9">
                  <c:v>207.69490181423845</c:v>
                </c:pt>
                <c:pt idx="10">
                  <c:v>106.4965214496815</c:v>
                </c:pt>
                <c:pt idx="11">
                  <c:v>-14.232376147053003</c:v>
                </c:pt>
                <c:pt idx="12">
                  <c:v>-66.725671167419705</c:v>
                </c:pt>
              </c:numCache>
            </c:numRef>
          </c:val>
          <c:smooth val="0"/>
          <c:extLst>
            <c:ext xmlns:c16="http://schemas.microsoft.com/office/drawing/2014/chart" uri="{C3380CC4-5D6E-409C-BE32-E72D297353CC}">
              <c16:uniqueId val="{00000003-E593-4ABB-BEA8-EB79941EE3B7}"/>
            </c:ext>
          </c:extLst>
        </c:ser>
        <c:dLbls>
          <c:showLegendKey val="0"/>
          <c:showVal val="0"/>
          <c:showCatName val="0"/>
          <c:showSerName val="0"/>
          <c:showPercent val="0"/>
          <c:showBubbleSize val="0"/>
        </c:dLbls>
        <c:marker val="1"/>
        <c:smooth val="0"/>
        <c:axId val="505862432"/>
        <c:axId val="505864952"/>
      </c:lineChart>
      <c:catAx>
        <c:axId val="505862432"/>
        <c:scaling>
          <c:orientation val="minMax"/>
        </c:scaling>
        <c:delete val="0"/>
        <c:axPos val="b"/>
        <c:numFmt formatCode="General" sourceLinked="1"/>
        <c:majorTickMark val="none"/>
        <c:minorTickMark val="none"/>
        <c:tickLblPos val="low"/>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alpha val="93000"/>
                  </a:schemeClr>
                </a:solidFill>
                <a:latin typeface="GHEA Grapalat" panose="02000506050000020003" pitchFamily="50" charset="0"/>
                <a:ea typeface="+mn-ea"/>
                <a:cs typeface="+mn-cs"/>
              </a:defRPr>
            </a:pPr>
            <a:endParaRPr lang="en-US"/>
          </a:p>
        </c:txPr>
        <c:crossAx val="505864952"/>
        <c:crosses val="autoZero"/>
        <c:auto val="0"/>
        <c:lblAlgn val="ctr"/>
        <c:lblOffset val="100"/>
        <c:noMultiLvlLbl val="0"/>
      </c:catAx>
      <c:valAx>
        <c:axId val="50586495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5862432"/>
        <c:crosses val="autoZero"/>
        <c:crossBetween val="between"/>
      </c:valAx>
      <c:spPr>
        <a:solidFill>
          <a:schemeClr val="bg1"/>
        </a:solidFill>
        <a:ln>
          <a:solidFill>
            <a:sysClr val="window" lastClr="FFFFFF">
              <a:lumMod val="75000"/>
            </a:sysClr>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9.5860821451372619E-2"/>
          <c:y val="0.88448211929309939"/>
          <c:w val="0.87009470100021302"/>
          <c:h val="0.115517880706900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lumMod val="75000"/>
        </a:sys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23133429076083"/>
          <c:y val="9.0331207537105523E-2"/>
          <c:w val="0.69786856831575295"/>
          <c:h val="0.52294092072846721"/>
        </c:manualLayout>
      </c:layout>
      <c:barChart>
        <c:barDir val="col"/>
        <c:grouping val="stacked"/>
        <c:varyColors val="0"/>
        <c:ser>
          <c:idx val="1"/>
          <c:order val="1"/>
          <c:tx>
            <c:strRef>
              <c:f>Sheet1!$C$1</c:f>
              <c:strCache>
                <c:ptCount val="1"/>
                <c:pt idx="0">
                  <c:v>ԿԲ միջամտություն, զուտ առք </c:v>
                </c:pt>
              </c:strCache>
            </c:strRef>
          </c:tx>
          <c:spPr>
            <a:solidFill>
              <a:srgbClr val="4472C4">
                <a:lumMod val="75000"/>
              </a:srgbClr>
            </a:solidFill>
            <a:ln>
              <a:solidFill>
                <a:srgbClr val="4472C4">
                  <a:lumMod val="75000"/>
                </a:srgbClr>
              </a:solidFill>
            </a:ln>
            <a:effectLst/>
          </c:spPr>
          <c:invertIfNegative val="0"/>
          <c:cat>
            <c:multiLvlStrRef>
              <c:f>Sheet1!$A$230:$B$289</c:f>
              <c:multiLvlStrCache>
                <c:ptCount val="4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lvl>
                <c:lvl>
                  <c:pt idx="0">
                    <c:v>2021</c:v>
                  </c:pt>
                  <c:pt idx="12">
                    <c:v>2022</c:v>
                  </c:pt>
                  <c:pt idx="24">
                    <c:v>2023</c:v>
                  </c:pt>
                  <c:pt idx="36">
                    <c:v>2024</c:v>
                  </c:pt>
                </c:lvl>
              </c:multiLvlStrCache>
            </c:multiLvlStrRef>
          </c:cat>
          <c:val>
            <c:numRef>
              <c:f>Sheet1!$C$230:$C$289</c:f>
              <c:numCache>
                <c:formatCode>0.0</c:formatCode>
                <c:ptCount val="41"/>
                <c:pt idx="0">
                  <c:v>-46.8</c:v>
                </c:pt>
                <c:pt idx="1">
                  <c:v>0</c:v>
                </c:pt>
                <c:pt idx="2">
                  <c:v>-34.799999999999997</c:v>
                </c:pt>
                <c:pt idx="3">
                  <c:v>-74.7</c:v>
                </c:pt>
                <c:pt idx="4">
                  <c:v>0</c:v>
                </c:pt>
                <c:pt idx="5">
                  <c:v>7</c:v>
                </c:pt>
                <c:pt idx="6">
                  <c:v>0</c:v>
                </c:pt>
                <c:pt idx="7">
                  <c:v>0</c:v>
                </c:pt>
                <c:pt idx="8">
                  <c:v>10</c:v>
                </c:pt>
                <c:pt idx="9">
                  <c:v>0</c:v>
                </c:pt>
                <c:pt idx="10">
                  <c:v>5</c:v>
                </c:pt>
                <c:pt idx="11">
                  <c:v>0</c:v>
                </c:pt>
                <c:pt idx="12">
                  <c:v>0</c:v>
                </c:pt>
                <c:pt idx="13">
                  <c:v>0</c:v>
                </c:pt>
                <c:pt idx="14">
                  <c:v>0</c:v>
                </c:pt>
                <c:pt idx="15">
                  <c:v>67</c:v>
                </c:pt>
                <c:pt idx="16">
                  <c:v>0</c:v>
                </c:pt>
                <c:pt idx="17">
                  <c:v>100</c:v>
                </c:pt>
                <c:pt idx="18">
                  <c:v>18.5</c:v>
                </c:pt>
                <c:pt idx="19">
                  <c:v>81.3</c:v>
                </c:pt>
                <c:pt idx="20">
                  <c:v>55</c:v>
                </c:pt>
                <c:pt idx="21">
                  <c:v>80</c:v>
                </c:pt>
                <c:pt idx="22">
                  <c:v>114.1</c:v>
                </c:pt>
                <c:pt idx="23">
                  <c:v>57.9</c:v>
                </c:pt>
                <c:pt idx="24">
                  <c:v>0</c:v>
                </c:pt>
                <c:pt idx="25">
                  <c:v>40</c:v>
                </c:pt>
                <c:pt idx="26">
                  <c:v>151.30000000000001</c:v>
                </c:pt>
                <c:pt idx="27">
                  <c:v>181.6</c:v>
                </c:pt>
                <c:pt idx="28">
                  <c:v>209.5</c:v>
                </c:pt>
                <c:pt idx="29">
                  <c:v>198.8</c:v>
                </c:pt>
                <c:pt idx="30">
                  <c:v>230</c:v>
                </c:pt>
                <c:pt idx="31">
                  <c:v>165.3</c:v>
                </c:pt>
                <c:pt idx="32">
                  <c:v>20</c:v>
                </c:pt>
                <c:pt idx="33">
                  <c:v>-50</c:v>
                </c:pt>
                <c:pt idx="34">
                  <c:v>0</c:v>
                </c:pt>
                <c:pt idx="35">
                  <c:v>0</c:v>
                </c:pt>
                <c:pt idx="36">
                  <c:v>0</c:v>
                </c:pt>
                <c:pt idx="37">
                  <c:v>0</c:v>
                </c:pt>
                <c:pt idx="38">
                  <c:v>0</c:v>
                </c:pt>
                <c:pt idx="39">
                  <c:v>20</c:v>
                </c:pt>
              </c:numCache>
            </c:numRef>
          </c:val>
          <c:extLst>
            <c:ext xmlns:c16="http://schemas.microsoft.com/office/drawing/2014/chart" uri="{C3380CC4-5D6E-409C-BE32-E72D297353CC}">
              <c16:uniqueId val="{00000000-A2A5-43A0-BAB6-FFFCBF079650}"/>
            </c:ext>
          </c:extLst>
        </c:ser>
        <c:dLbls>
          <c:showLegendKey val="0"/>
          <c:showVal val="0"/>
          <c:showCatName val="0"/>
          <c:showSerName val="0"/>
          <c:showPercent val="0"/>
          <c:showBubbleSize val="0"/>
        </c:dLbls>
        <c:gapWidth val="150"/>
        <c:overlap val="100"/>
        <c:axId val="175953408"/>
        <c:axId val="175954944"/>
      </c:barChart>
      <c:lineChart>
        <c:grouping val="standard"/>
        <c:varyColors val="0"/>
        <c:ser>
          <c:idx val="0"/>
          <c:order val="0"/>
          <c:tx>
            <c:strRef>
              <c:f>Sheet1!$D$1</c:f>
              <c:strCache>
                <c:ptCount val="1"/>
                <c:pt idx="0">
                  <c:v>Դրամ/դոլար (աջ առանցք)</c:v>
                </c:pt>
              </c:strCache>
            </c:strRef>
          </c:tx>
          <c:spPr>
            <a:ln w="28575" cap="rnd">
              <a:solidFill>
                <a:sysClr val="windowText" lastClr="000000"/>
              </a:solidFill>
              <a:round/>
            </a:ln>
            <a:effectLst/>
          </c:spPr>
          <c:marker>
            <c:symbol val="none"/>
          </c:marker>
          <c:cat>
            <c:multiLvlStrRef>
              <c:f>Sheet1!$A$230:$B$289</c:f>
              <c:multiLvlStrCache>
                <c:ptCount val="4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lvl>
                <c:lvl>
                  <c:pt idx="0">
                    <c:v>2021</c:v>
                  </c:pt>
                  <c:pt idx="12">
                    <c:v>2022</c:v>
                  </c:pt>
                  <c:pt idx="24">
                    <c:v>2023</c:v>
                  </c:pt>
                  <c:pt idx="36">
                    <c:v>2024</c:v>
                  </c:pt>
                </c:lvl>
              </c:multiLvlStrCache>
            </c:multiLvlStrRef>
          </c:cat>
          <c:val>
            <c:numRef>
              <c:f>Sheet1!$D$230:$D$289</c:f>
              <c:numCache>
                <c:formatCode>0.0</c:formatCode>
                <c:ptCount val="41"/>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formatCode="0.00">
                  <c:v>404.96</c:v>
                </c:pt>
                <c:pt idx="37" formatCode="0.00">
                  <c:v>404.27</c:v>
                </c:pt>
                <c:pt idx="38" formatCode="0.00">
                  <c:v>400.42</c:v>
                </c:pt>
                <c:pt idx="39" formatCode="0.00">
                  <c:v>390.99</c:v>
                </c:pt>
                <c:pt idx="40" formatCode="0.00">
                  <c:v>387.82</c:v>
                </c:pt>
              </c:numCache>
            </c:numRef>
          </c:val>
          <c:smooth val="0"/>
          <c:extLst>
            <c:ext xmlns:c16="http://schemas.microsoft.com/office/drawing/2014/chart" uri="{C3380CC4-5D6E-409C-BE32-E72D297353CC}">
              <c16:uniqueId val="{00000001-A2A5-43A0-BAB6-FFFCBF079650}"/>
            </c:ext>
          </c:extLst>
        </c:ser>
        <c:dLbls>
          <c:showLegendKey val="0"/>
          <c:showVal val="0"/>
          <c:showCatName val="0"/>
          <c:showSerName val="0"/>
          <c:showPercent val="0"/>
          <c:showBubbleSize val="0"/>
        </c:dLbls>
        <c:marker val="1"/>
        <c:smooth val="0"/>
        <c:axId val="1959953807"/>
        <c:axId val="1959952559"/>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1959952559"/>
        <c:scaling>
          <c:orientation val="minMax"/>
          <c:min val="38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59953807"/>
        <c:crosses val="max"/>
        <c:crossBetween val="between"/>
      </c:valAx>
      <c:catAx>
        <c:axId val="1959953807"/>
        <c:scaling>
          <c:orientation val="minMax"/>
        </c:scaling>
        <c:delete val="1"/>
        <c:axPos val="b"/>
        <c:numFmt formatCode="General" sourceLinked="1"/>
        <c:majorTickMark val="out"/>
        <c:minorTickMark val="none"/>
        <c:tickLblPos val="nextTo"/>
        <c:crossAx val="1959952559"/>
        <c:crosses val="autoZero"/>
        <c:auto val="1"/>
        <c:lblAlgn val="ctr"/>
        <c:lblOffset val="100"/>
        <c:noMultiLvlLbl val="0"/>
      </c:catAx>
      <c:spPr>
        <a:noFill/>
        <a:ln>
          <a:noFill/>
        </a:ln>
        <a:effectLst/>
      </c:spPr>
    </c:plotArea>
    <c:legend>
      <c:legendPos val="b"/>
      <c:layout>
        <c:manualLayout>
          <c:xMode val="edge"/>
          <c:yMode val="edge"/>
          <c:x val="5.2159352564150954E-2"/>
          <c:y val="0.87008304878442866"/>
          <c:w val="0.9056316195769647"/>
          <c:h val="0.11658031460157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009708123833919"/>
          <c:y val="7.5469950871525679E-2"/>
          <c:w val="0.78572621193435155"/>
          <c:h val="0.49928797361868227"/>
        </c:manualLayout>
      </c:layout>
      <c:lineChart>
        <c:grouping val="standard"/>
        <c:varyColors val="0"/>
        <c:ser>
          <c:idx val="0"/>
          <c:order val="0"/>
          <c:tx>
            <c:strRef>
              <c:f>Sheet1!$C$1</c:f>
              <c:strCache>
                <c:ptCount val="1"/>
                <c:pt idx="0">
                  <c:v>Դոլար</c:v>
                </c:pt>
              </c:strCache>
            </c:strRef>
          </c:tx>
          <c:spPr>
            <a:ln w="28575" cap="rnd">
              <a:solidFill>
                <a:schemeClr val="accent1">
                  <a:lumMod val="75000"/>
                </a:schemeClr>
              </a:solidFill>
              <a:round/>
            </a:ln>
            <a:effectLst/>
          </c:spPr>
          <c:marker>
            <c:symbol val="none"/>
          </c:marker>
          <c:cat>
            <c:multiLvlStrRef>
              <c:f>Sheet1!$A$2:$B$61</c:f>
              <c:multiLvlStrCache>
                <c:ptCount val="4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lvl>
                <c:lvl>
                  <c:pt idx="0">
                    <c:v>2021</c:v>
                  </c:pt>
                  <c:pt idx="12">
                    <c:v>2022</c:v>
                  </c:pt>
                  <c:pt idx="24">
                    <c:v>2023</c:v>
                  </c:pt>
                  <c:pt idx="36">
                    <c:v>2024</c:v>
                  </c:pt>
                </c:lvl>
              </c:multiLvlStrCache>
            </c:multiLvlStrRef>
          </c:cat>
          <c:val>
            <c:numRef>
              <c:f>Sheet1!$C$2:$C$61</c:f>
              <c:numCache>
                <c:formatCode>0</c:formatCode>
                <c:ptCount val="41"/>
                <c:pt idx="0">
                  <c:v>91.943591711435147</c:v>
                </c:pt>
                <c:pt idx="1">
                  <c:v>91.532643160025998</c:v>
                </c:pt>
                <c:pt idx="2">
                  <c:v>90.81622984062011</c:v>
                </c:pt>
                <c:pt idx="3">
                  <c:v>91.170427304897089</c:v>
                </c:pt>
                <c:pt idx="4">
                  <c:v>91.917138198906684</c:v>
                </c:pt>
                <c:pt idx="5">
                  <c:v>93.396869944843985</c:v>
                </c:pt>
                <c:pt idx="6">
                  <c:v>97.62462566463627</c:v>
                </c:pt>
                <c:pt idx="7">
                  <c:v>97.453887295873756</c:v>
                </c:pt>
                <c:pt idx="8">
                  <c:v>98.174629189543566</c:v>
                </c:pt>
                <c:pt idx="9">
                  <c:v>99.991653625456451</c:v>
                </c:pt>
                <c:pt idx="10">
                  <c:v>100.32449859732866</c:v>
                </c:pt>
                <c:pt idx="11">
                  <c:v>98.777672424454821</c:v>
                </c:pt>
                <c:pt idx="12">
                  <c:v>99.423224548227168</c:v>
                </c:pt>
                <c:pt idx="13">
                  <c:v>99.785523904714324</c:v>
                </c:pt>
                <c:pt idx="14">
                  <c:v>96.428283966516446</c:v>
                </c:pt>
                <c:pt idx="15">
                  <c:v>101.74525998428842</c:v>
                </c:pt>
                <c:pt idx="16">
                  <c:v>104.96561089937357</c:v>
                </c:pt>
                <c:pt idx="17">
                  <c:v>113.37150157325704</c:v>
                </c:pt>
                <c:pt idx="18">
                  <c:v>116.58759701238357</c:v>
                </c:pt>
                <c:pt idx="19">
                  <c:v>118.10474430067779</c:v>
                </c:pt>
                <c:pt idx="20">
                  <c:v>117.12330441158502</c:v>
                </c:pt>
                <c:pt idx="21">
                  <c:v>118.99039058426243</c:v>
                </c:pt>
                <c:pt idx="22">
                  <c:v>121.20238757650871</c:v>
                </c:pt>
                <c:pt idx="23">
                  <c:v>121.46043493688856</c:v>
                </c:pt>
                <c:pt idx="24">
                  <c:v>121.04625022102104</c:v>
                </c:pt>
                <c:pt idx="25">
                  <c:v>121.79692464099637</c:v>
                </c:pt>
                <c:pt idx="26">
                  <c:v>123.3678302955412</c:v>
                </c:pt>
                <c:pt idx="27">
                  <c:v>123.59055036880389</c:v>
                </c:pt>
                <c:pt idx="28">
                  <c:v>123.96781870860931</c:v>
                </c:pt>
                <c:pt idx="29">
                  <c:v>123.93255230558361</c:v>
                </c:pt>
                <c:pt idx="30">
                  <c:v>123.97423293837642</c:v>
                </c:pt>
                <c:pt idx="31">
                  <c:v>124.09301602920998</c:v>
                </c:pt>
                <c:pt idx="32">
                  <c:v>123.84607432676906</c:v>
                </c:pt>
                <c:pt idx="33">
                  <c:v>118.51952612964662</c:v>
                </c:pt>
                <c:pt idx="34">
                  <c:v>119.05246944251222</c:v>
                </c:pt>
                <c:pt idx="35">
                  <c:v>118.47850273197027</c:v>
                </c:pt>
                <c:pt idx="36">
                  <c:v>118.33514421177405</c:v>
                </c:pt>
                <c:pt idx="37">
                  <c:v>118.53711628367185</c:v>
                </c:pt>
                <c:pt idx="38">
                  <c:v>119.67683931871538</c:v>
                </c:pt>
                <c:pt idx="39">
                  <c:v>122.56323691143</c:v>
                </c:pt>
                <c:pt idx="40">
                  <c:v>123.56505595379305</c:v>
                </c:pt>
              </c:numCache>
            </c:numRef>
          </c:val>
          <c:smooth val="0"/>
          <c:extLst>
            <c:ext xmlns:c16="http://schemas.microsoft.com/office/drawing/2014/chart" uri="{C3380CC4-5D6E-409C-BE32-E72D297353CC}">
              <c16:uniqueId val="{00000000-1B41-4A3D-9685-E404CB3CFAE2}"/>
            </c:ext>
          </c:extLst>
        </c:ser>
        <c:ser>
          <c:idx val="1"/>
          <c:order val="1"/>
          <c:tx>
            <c:strRef>
              <c:f>Sheet1!$E$1</c:f>
              <c:strCache>
                <c:ptCount val="1"/>
                <c:pt idx="0">
                  <c:v>Ռուբլի</c:v>
                </c:pt>
              </c:strCache>
            </c:strRef>
          </c:tx>
          <c:spPr>
            <a:ln w="28575" cap="rnd">
              <a:solidFill>
                <a:schemeClr val="accent2">
                  <a:lumMod val="60000"/>
                  <a:lumOff val="40000"/>
                </a:schemeClr>
              </a:solidFill>
              <a:round/>
            </a:ln>
            <a:effectLst/>
          </c:spPr>
          <c:marker>
            <c:symbol val="none"/>
          </c:marker>
          <c:cat>
            <c:multiLvlStrRef>
              <c:f>Sheet1!$A$2:$B$61</c:f>
              <c:multiLvlStrCache>
                <c:ptCount val="4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lvl>
                <c:lvl>
                  <c:pt idx="0">
                    <c:v>2021</c:v>
                  </c:pt>
                  <c:pt idx="12">
                    <c:v>2022</c:v>
                  </c:pt>
                  <c:pt idx="24">
                    <c:v>2023</c:v>
                  </c:pt>
                  <c:pt idx="36">
                    <c:v>2024</c:v>
                  </c:pt>
                </c:lvl>
              </c:multiLvlStrCache>
            </c:multiLvlStrRef>
          </c:cat>
          <c:val>
            <c:numRef>
              <c:f>Sheet1!$E$2:$E$61</c:f>
              <c:numCache>
                <c:formatCode>0</c:formatCode>
                <c:ptCount val="41"/>
                <c:pt idx="0">
                  <c:v>110.55634807417977</c:v>
                </c:pt>
                <c:pt idx="1">
                  <c:v>110.08522727272729</c:v>
                </c:pt>
                <c:pt idx="2">
                  <c:v>109.30888575458394</c:v>
                </c:pt>
                <c:pt idx="3">
                  <c:v>112.1562952243126</c:v>
                </c:pt>
                <c:pt idx="4">
                  <c:v>110.08522727272728</c:v>
                </c:pt>
                <c:pt idx="5">
                  <c:v>109.61810466760963</c:v>
                </c:pt>
                <c:pt idx="6">
                  <c:v>116.71686746987955</c:v>
                </c:pt>
                <c:pt idx="7">
                  <c:v>116.01796407185631</c:v>
                </c:pt>
                <c:pt idx="8">
                  <c:v>115.67164179104479</c:v>
                </c:pt>
                <c:pt idx="9">
                  <c:v>115.49925484351716</c:v>
                </c:pt>
                <c:pt idx="10">
                  <c:v>118.14024390243905</c:v>
                </c:pt>
                <c:pt idx="11">
                  <c:v>117.78115501519758</c:v>
                </c:pt>
                <c:pt idx="12">
                  <c:v>122.62658227848102</c:v>
                </c:pt>
                <c:pt idx="13">
                  <c:v>125.81168831168833</c:v>
                </c:pt>
                <c:pt idx="14">
                  <c:v>160.45548654244311</c:v>
                </c:pt>
                <c:pt idx="15">
                  <c:v>127.0491803278689</c:v>
                </c:pt>
                <c:pt idx="16">
                  <c:v>108.08926080892611</c:v>
                </c:pt>
                <c:pt idx="17">
                  <c:v>103.60962566844923</c:v>
                </c:pt>
                <c:pt idx="18">
                  <c:v>110.08522727272731</c:v>
                </c:pt>
                <c:pt idx="19">
                  <c:v>115.32738095238099</c:v>
                </c:pt>
                <c:pt idx="20">
                  <c:v>112.31884057971017</c:v>
                </c:pt>
                <c:pt idx="21">
                  <c:v>118.14024390243907</c:v>
                </c:pt>
                <c:pt idx="22">
                  <c:v>119.23076923076927</c:v>
                </c:pt>
                <c:pt idx="23">
                  <c:v>129.38230383973291</c:v>
                </c:pt>
                <c:pt idx="24">
                  <c:v>135.72679509632229</c:v>
                </c:pt>
                <c:pt idx="25">
                  <c:v>144.32029795158292</c:v>
                </c:pt>
                <c:pt idx="26">
                  <c:v>151.96078431372555</c:v>
                </c:pt>
                <c:pt idx="27">
                  <c:v>162.13389121338918</c:v>
                </c:pt>
                <c:pt idx="28">
                  <c:v>158.81147540983613</c:v>
                </c:pt>
                <c:pt idx="29">
                  <c:v>167.38660907127436</c:v>
                </c:pt>
                <c:pt idx="30">
                  <c:v>181.49882903981273</c:v>
                </c:pt>
                <c:pt idx="31">
                  <c:v>191.83168316831689</c:v>
                </c:pt>
                <c:pt idx="32">
                  <c:v>193.75000000000006</c:v>
                </c:pt>
                <c:pt idx="33">
                  <c:v>185.40669856459337</c:v>
                </c:pt>
                <c:pt idx="34">
                  <c:v>173.76681614349781</c:v>
                </c:pt>
                <c:pt idx="35">
                  <c:v>174.15730337078654</c:v>
                </c:pt>
                <c:pt idx="36">
                  <c:v>170.704845814978</c:v>
                </c:pt>
                <c:pt idx="37">
                  <c:v>175.7369614512472</c:v>
                </c:pt>
                <c:pt idx="38">
                  <c:v>177.75229357798167</c:v>
                </c:pt>
                <c:pt idx="39">
                  <c:v>184.52380952380958</c:v>
                </c:pt>
                <c:pt idx="40">
                  <c:v>181.4988290398127</c:v>
                </c:pt>
              </c:numCache>
            </c:numRef>
          </c:val>
          <c:smooth val="0"/>
          <c:extLst>
            <c:ext xmlns:c16="http://schemas.microsoft.com/office/drawing/2014/chart" uri="{C3380CC4-5D6E-409C-BE32-E72D297353CC}">
              <c16:uniqueId val="{00000001-1B41-4A3D-9685-E404CB3CFAE2}"/>
            </c:ext>
          </c:extLst>
        </c:ser>
        <c:ser>
          <c:idx val="2"/>
          <c:order val="2"/>
          <c:tx>
            <c:strRef>
              <c:f>Sheet1!$D$1</c:f>
              <c:strCache>
                <c:ptCount val="1"/>
                <c:pt idx="0">
                  <c:v>Եվրո</c:v>
                </c:pt>
              </c:strCache>
            </c:strRef>
          </c:tx>
          <c:spPr>
            <a:ln w="28575" cap="rnd">
              <a:solidFill>
                <a:schemeClr val="accent3"/>
              </a:solidFill>
              <a:round/>
            </a:ln>
            <a:effectLst/>
          </c:spPr>
          <c:marker>
            <c:symbol val="none"/>
          </c:marker>
          <c:cat>
            <c:multiLvlStrRef>
              <c:f>Sheet1!$A$2:$B$61</c:f>
              <c:multiLvlStrCache>
                <c:ptCount val="4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lvl>
                <c:lvl>
                  <c:pt idx="0">
                    <c:v>2021</c:v>
                  </c:pt>
                  <c:pt idx="12">
                    <c:v>2022</c:v>
                  </c:pt>
                  <c:pt idx="24">
                    <c:v>2023</c:v>
                  </c:pt>
                  <c:pt idx="36">
                    <c:v>2024</c:v>
                  </c:pt>
                </c:lvl>
              </c:multiLvlStrCache>
            </c:multiLvlStrRef>
          </c:cat>
          <c:val>
            <c:numRef>
              <c:f>Sheet1!$D$2:$D$61</c:f>
              <c:numCache>
                <c:formatCode>0</c:formatCode>
                <c:ptCount val="41"/>
                <c:pt idx="0">
                  <c:v>83.948374458942865</c:v>
                </c:pt>
                <c:pt idx="1">
                  <c:v>83.895361687348071</c:v>
                </c:pt>
                <c:pt idx="2">
                  <c:v>84.615384615384642</c:v>
                </c:pt>
                <c:pt idx="3">
                  <c:v>84.560180765069077</c:v>
                </c:pt>
                <c:pt idx="4">
                  <c:v>83.923185041297543</c:v>
                </c:pt>
                <c:pt idx="5">
                  <c:v>85.930273923870544</c:v>
                </c:pt>
                <c:pt idx="6">
                  <c:v>91.576625480363305</c:v>
                </c:pt>
                <c:pt idx="7">
                  <c:v>91.810784195159073</c:v>
                </c:pt>
                <c:pt idx="8">
                  <c:v>92.448070700393188</c:v>
                </c:pt>
                <c:pt idx="9">
                  <c:v>95.60141042708598</c:v>
                </c:pt>
                <c:pt idx="10">
                  <c:v>97.474228695109915</c:v>
                </c:pt>
                <c:pt idx="11">
                  <c:v>96.935480928841159</c:v>
                </c:pt>
                <c:pt idx="12">
                  <c:v>97.283295194508028</c:v>
                </c:pt>
                <c:pt idx="13">
                  <c:v>97.601337080096258</c:v>
                </c:pt>
                <c:pt idx="14">
                  <c:v>97.008032128514088</c:v>
                </c:pt>
                <c:pt idx="15">
                  <c:v>104.22256217149135</c:v>
                </c:pt>
                <c:pt idx="16">
                  <c:v>110.02505227851509</c:v>
                </c:pt>
                <c:pt idx="17">
                  <c:v>118.88632855321148</c:v>
                </c:pt>
                <c:pt idx="18">
                  <c:v>127.0221818529496</c:v>
                </c:pt>
                <c:pt idx="19">
                  <c:v>129.30942184154176</c:v>
                </c:pt>
                <c:pt idx="20">
                  <c:v>131.079647763992</c:v>
                </c:pt>
                <c:pt idx="21">
                  <c:v>134.26903835464145</c:v>
                </c:pt>
                <c:pt idx="22">
                  <c:v>131.81773081311701</c:v>
                </c:pt>
                <c:pt idx="23">
                  <c:v>127.21984151684181</c:v>
                </c:pt>
                <c:pt idx="24">
                  <c:v>124.37043624789364</c:v>
                </c:pt>
                <c:pt idx="25">
                  <c:v>126.02210206791878</c:v>
                </c:pt>
                <c:pt idx="26">
                  <c:v>127.71822726398767</c:v>
                </c:pt>
                <c:pt idx="27">
                  <c:v>125.0111741043073</c:v>
                </c:pt>
                <c:pt idx="28">
                  <c:v>126.58646974749877</c:v>
                </c:pt>
                <c:pt idx="29">
                  <c:v>126.78882446973489</c:v>
                </c:pt>
                <c:pt idx="30">
                  <c:v>124.2163577288983</c:v>
                </c:pt>
                <c:pt idx="31">
                  <c:v>126.13577023498689</c:v>
                </c:pt>
                <c:pt idx="32">
                  <c:v>128.50579159915841</c:v>
                </c:pt>
                <c:pt idx="33">
                  <c:v>124.44907613404833</c:v>
                </c:pt>
                <c:pt idx="34">
                  <c:v>122.196927888153</c:v>
                </c:pt>
                <c:pt idx="35">
                  <c:v>120.36466591166472</c:v>
                </c:pt>
                <c:pt idx="36">
                  <c:v>120.39466231677196</c:v>
                </c:pt>
                <c:pt idx="37">
                  <c:v>121.81038830055466</c:v>
                </c:pt>
                <c:pt idx="38">
                  <c:v>122.13514134681675</c:v>
                </c:pt>
                <c:pt idx="39">
                  <c:v>126.64077022067579</c:v>
                </c:pt>
                <c:pt idx="40">
                  <c:v>126.719286531858</c:v>
                </c:pt>
              </c:numCache>
            </c:numRef>
          </c:val>
          <c:smooth val="0"/>
          <c:extLst>
            <c:ext xmlns:c16="http://schemas.microsoft.com/office/drawing/2014/chart" uri="{C3380CC4-5D6E-409C-BE32-E72D297353CC}">
              <c16:uniqueId val="{00000002-1B41-4A3D-9685-E404CB3CFAE2}"/>
            </c:ext>
          </c:extLst>
        </c:ser>
        <c:dLbls>
          <c:showLegendKey val="0"/>
          <c:showVal val="0"/>
          <c:showCatName val="0"/>
          <c:showSerName val="0"/>
          <c:showPercent val="0"/>
          <c:showBubbleSize val="0"/>
        </c:dLbls>
        <c:smooth val="0"/>
        <c:axId val="740360840"/>
        <c:axId val="740359040"/>
      </c:lineChart>
      <c:catAx>
        <c:axId val="740360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40359040"/>
        <c:crosses val="autoZero"/>
        <c:auto val="1"/>
        <c:lblAlgn val="ctr"/>
        <c:lblOffset val="100"/>
        <c:noMultiLvlLbl val="0"/>
      </c:catAx>
      <c:valAx>
        <c:axId val="740359040"/>
        <c:scaling>
          <c:orientation val="minMax"/>
          <c:min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hy-AM" sz="700"/>
                  <a:t>Ինդեքս, 2020թ. հունվար </a:t>
                </a:r>
                <a:r>
                  <a:rPr lang="en-US" sz="700"/>
                  <a:t>=</a:t>
                </a:r>
                <a:r>
                  <a:rPr lang="hy-AM" sz="700"/>
                  <a:t>100</a:t>
                </a:r>
                <a:endParaRPr 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40360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Իրական</c:v>
                </c:pt>
              </c:strCache>
            </c:strRef>
          </c:tx>
          <c:spPr>
            <a:ln w="28575" cap="rnd">
              <a:solidFill>
                <a:schemeClr val="accent1">
                  <a:lumMod val="75000"/>
                </a:schemeClr>
              </a:solidFill>
              <a:round/>
            </a:ln>
            <a:effectLst/>
          </c:spPr>
          <c:marker>
            <c:symbol val="none"/>
          </c:marker>
          <c:cat>
            <c:multiLvlStrRef>
              <c:f>Sheet1!$A$14:$B$73</c:f>
              <c:multiLvlStrCache>
                <c:ptCount val="4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lvl>
                <c:lvl>
                  <c:pt idx="0">
                    <c:v>2021</c:v>
                  </c:pt>
                  <c:pt idx="12">
                    <c:v>2022</c:v>
                  </c:pt>
                  <c:pt idx="24">
                    <c:v>2023</c:v>
                  </c:pt>
                  <c:pt idx="36">
                    <c:v>2024</c:v>
                  </c:pt>
                </c:lvl>
              </c:multiLvlStrCache>
            </c:multiLvlStrRef>
          </c:cat>
          <c:val>
            <c:numRef>
              <c:f>Sheet1!$C$2:$C$73</c:f>
              <c:numCache>
                <c:formatCode>0.0</c:formatCode>
                <c:ptCount val="40"/>
                <c:pt idx="0">
                  <c:v>8.2002902757619722</c:v>
                </c:pt>
                <c:pt idx="1">
                  <c:v>7.0840658462521873</c:v>
                </c:pt>
                <c:pt idx="2">
                  <c:v>5.9727411461348225</c:v>
                </c:pt>
                <c:pt idx="3">
                  <c:v>5.0957645593273213</c:v>
                </c:pt>
                <c:pt idx="4">
                  <c:v>4.1622264436516474</c:v>
                </c:pt>
                <c:pt idx="5">
                  <c:v>4.1696704428424454</c:v>
                </c:pt>
                <c:pt idx="6">
                  <c:v>5.2079990261285332</c:v>
                </c:pt>
                <c:pt idx="7">
                  <c:v>6.0573692489949877</c:v>
                </c:pt>
                <c:pt idx="8">
                  <c:v>6.611413113932386</c:v>
                </c:pt>
                <c:pt idx="9">
                  <c:v>7.20985809143491</c:v>
                </c:pt>
                <c:pt idx="10">
                  <c:v>8.1720811462618883</c:v>
                </c:pt>
                <c:pt idx="11">
                  <c:v>9.4081981993754198</c:v>
                </c:pt>
                <c:pt idx="12">
                  <c:v>27.490871152842985</c:v>
                </c:pt>
                <c:pt idx="13">
                  <c:v>27.31614491996568</c:v>
                </c:pt>
                <c:pt idx="14">
                  <c:v>29.084318204389746</c:v>
                </c:pt>
                <c:pt idx="15">
                  <c:v>28.964329369929999</c:v>
                </c:pt>
                <c:pt idx="16">
                  <c:v>29.188660221813677</c:v>
                </c:pt>
                <c:pt idx="17">
                  <c:v>30.179562278327722</c:v>
                </c:pt>
                <c:pt idx="18">
                  <c:v>30.525839670968878</c:v>
                </c:pt>
                <c:pt idx="19">
                  <c:v>31.224134773850921</c:v>
                </c:pt>
                <c:pt idx="20">
                  <c:v>31.842022065678208</c:v>
                </c:pt>
                <c:pt idx="21">
                  <c:v>32.523506988564151</c:v>
                </c:pt>
                <c:pt idx="22">
                  <c:v>32.959783870269689</c:v>
                </c:pt>
                <c:pt idx="23">
                  <c:v>33.422111813111343</c:v>
                </c:pt>
                <c:pt idx="24">
                  <c:v>35.54477437456157</c:v>
                </c:pt>
                <c:pt idx="25">
                  <c:v>37.919817126780373</c:v>
                </c:pt>
                <c:pt idx="26">
                  <c:v>37.462973648778586</c:v>
                </c:pt>
                <c:pt idx="27">
                  <c:v>37.948960981143983</c:v>
                </c:pt>
                <c:pt idx="28">
                  <c:v>37.945598530930766</c:v>
                </c:pt>
                <c:pt idx="29">
                  <c:v>37.11030947408392</c:v>
                </c:pt>
                <c:pt idx="30">
                  <c:v>36.103701435283284</c:v>
                </c:pt>
                <c:pt idx="31">
                  <c:v>35.222539299344845</c:v>
                </c:pt>
                <c:pt idx="32">
                  <c:v>34.682948124373638</c:v>
                </c:pt>
                <c:pt idx="33">
                  <c:v>33.307399818100151</c:v>
                </c:pt>
                <c:pt idx="34">
                  <c:v>31.679037309200311</c:v>
                </c:pt>
                <c:pt idx="35">
                  <c:v>30.038581006686769</c:v>
                </c:pt>
                <c:pt idx="36">
                  <c:v>8.4522834102376265</c:v>
                </c:pt>
                <c:pt idx="37">
                  <c:v>7.0971717558062863</c:v>
                </c:pt>
                <c:pt idx="38">
                  <c:v>6.3651755355618604</c:v>
                </c:pt>
                <c:pt idx="39">
                  <c:v>6.7</c:v>
                </c:pt>
              </c:numCache>
            </c:numRef>
          </c:val>
          <c:smooth val="0"/>
          <c:extLst>
            <c:ext xmlns:c16="http://schemas.microsoft.com/office/drawing/2014/chart" uri="{C3380CC4-5D6E-409C-BE32-E72D297353CC}">
              <c16:uniqueId val="{00000000-E983-4241-B6DE-1D1537756AD1}"/>
            </c:ext>
          </c:extLst>
        </c:ser>
        <c:ser>
          <c:idx val="1"/>
          <c:order val="1"/>
          <c:tx>
            <c:strRef>
              <c:f>Sheet1!$D$1</c:f>
              <c:strCache>
                <c:ptCount val="1"/>
                <c:pt idx="0">
                  <c:v>Անվանական</c:v>
                </c:pt>
              </c:strCache>
            </c:strRef>
          </c:tx>
          <c:spPr>
            <a:ln w="28575" cap="rnd">
              <a:solidFill>
                <a:schemeClr val="accent2"/>
              </a:solidFill>
              <a:round/>
            </a:ln>
            <a:effectLst/>
          </c:spPr>
          <c:marker>
            <c:symbol val="none"/>
          </c:marker>
          <c:cat>
            <c:multiLvlStrRef>
              <c:f>Sheet1!$A$14:$B$73</c:f>
              <c:multiLvlStrCache>
                <c:ptCount val="4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lvl>
                <c:lvl>
                  <c:pt idx="0">
                    <c:v>2021</c:v>
                  </c:pt>
                  <c:pt idx="12">
                    <c:v>2022</c:v>
                  </c:pt>
                  <c:pt idx="24">
                    <c:v>2023</c:v>
                  </c:pt>
                  <c:pt idx="36">
                    <c:v>2024</c:v>
                  </c:pt>
                </c:lvl>
              </c:multiLvlStrCache>
            </c:multiLvlStrRef>
          </c:cat>
          <c:val>
            <c:numRef>
              <c:f>Sheet1!$D$2:$D$73</c:f>
              <c:numCache>
                <c:formatCode>0.0</c:formatCode>
                <c:ptCount val="40"/>
                <c:pt idx="0">
                  <c:v>9.8454806508956807</c:v>
                </c:pt>
                <c:pt idx="1">
                  <c:v>8.5076897076221059</c:v>
                </c:pt>
                <c:pt idx="2">
                  <c:v>7.3187566797292618</c:v>
                </c:pt>
                <c:pt idx="3">
                  <c:v>6.3837510518587095</c:v>
                </c:pt>
                <c:pt idx="4">
                  <c:v>5.5298694154475072</c:v>
                </c:pt>
                <c:pt idx="5">
                  <c:v>5.5282127224025146</c:v>
                </c:pt>
                <c:pt idx="6">
                  <c:v>6.3751140574663339</c:v>
                </c:pt>
                <c:pt idx="7">
                  <c:v>7.0205827579757027</c:v>
                </c:pt>
                <c:pt idx="8">
                  <c:v>7.4422460085774844</c:v>
                </c:pt>
                <c:pt idx="9">
                  <c:v>7.966176261273489</c:v>
                </c:pt>
                <c:pt idx="10">
                  <c:v>8.8749911750170725</c:v>
                </c:pt>
                <c:pt idx="11">
                  <c:v>10.25753632617652</c:v>
                </c:pt>
                <c:pt idx="12">
                  <c:v>30.860201668119032</c:v>
                </c:pt>
                <c:pt idx="13">
                  <c:v>31.300230515232698</c:v>
                </c:pt>
                <c:pt idx="14">
                  <c:v>34.216477520280506</c:v>
                </c:pt>
                <c:pt idx="15">
                  <c:v>34.552391587567456</c:v>
                </c:pt>
                <c:pt idx="16">
                  <c:v>34.992739323081508</c:v>
                </c:pt>
                <c:pt idx="17">
                  <c:v>36.060465356240002</c:v>
                </c:pt>
                <c:pt idx="18">
                  <c:v>36.60776024297806</c:v>
                </c:pt>
                <c:pt idx="19">
                  <c:v>37.500759878419444</c:v>
                </c:pt>
                <c:pt idx="20">
                  <c:v>38.169864484100344</c:v>
                </c:pt>
                <c:pt idx="21">
                  <c:v>38.914423025066071</c:v>
                </c:pt>
                <c:pt idx="22">
                  <c:v>39.394889142264276</c:v>
                </c:pt>
                <c:pt idx="23">
                  <c:v>39.865951347125019</c:v>
                </c:pt>
                <c:pt idx="24">
                  <c:v>42.004375951293753</c:v>
                </c:pt>
                <c:pt idx="25">
                  <c:v>44.139976275207573</c:v>
                </c:pt>
                <c:pt idx="26">
                  <c:v>43.134284521803664</c:v>
                </c:pt>
                <c:pt idx="27">
                  <c:v>44.059063559028971</c:v>
                </c:pt>
                <c:pt idx="28">
                  <c:v>44.739576150416013</c:v>
                </c:pt>
                <c:pt idx="29">
                  <c:v>44.596285538778886</c:v>
                </c:pt>
                <c:pt idx="30">
                  <c:v>44.02427069384197</c:v>
                </c:pt>
                <c:pt idx="31">
                  <c:v>43.54217440080464</c:v>
                </c:pt>
                <c:pt idx="32">
                  <c:v>43.270407271456037</c:v>
                </c:pt>
                <c:pt idx="33">
                  <c:v>41.98189104430611</c:v>
                </c:pt>
                <c:pt idx="34">
                  <c:v>40.477981082338346</c:v>
                </c:pt>
                <c:pt idx="35">
                  <c:v>38.973033786872008</c:v>
                </c:pt>
                <c:pt idx="36">
                  <c:v>16.710768715458045</c:v>
                </c:pt>
                <c:pt idx="37">
                  <c:v>15.817628178750724</c:v>
                </c:pt>
                <c:pt idx="38">
                  <c:v>14.904692477995567</c:v>
                </c:pt>
                <c:pt idx="39">
                  <c:v>15.1</c:v>
                </c:pt>
              </c:numCache>
            </c:numRef>
          </c:val>
          <c:smooth val="0"/>
          <c:extLst>
            <c:ext xmlns:c16="http://schemas.microsoft.com/office/drawing/2014/chart" uri="{C3380CC4-5D6E-409C-BE32-E72D297353CC}">
              <c16:uniqueId val="{00000001-E983-4241-B6DE-1D1537756AD1}"/>
            </c:ext>
          </c:extLst>
        </c:ser>
        <c:dLbls>
          <c:showLegendKey val="0"/>
          <c:showVal val="0"/>
          <c:showCatName val="0"/>
          <c:showSerName val="0"/>
          <c:showPercent val="0"/>
          <c:showBubbleSize val="0"/>
        </c:dLbls>
        <c:smooth val="0"/>
        <c:axId val="642403424"/>
        <c:axId val="642403784"/>
      </c:lineChart>
      <c:catAx>
        <c:axId val="642403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784"/>
        <c:crosses val="autoZero"/>
        <c:auto val="1"/>
        <c:lblAlgn val="ctr"/>
        <c:lblOffset val="100"/>
        <c:noMultiLvlLbl val="0"/>
      </c:catAx>
      <c:valAx>
        <c:axId val="642403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hy-AM" sz="700"/>
                  <a:t>Տոկոս</a:t>
                </a:r>
                <a:endParaRPr 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42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66540504470839446"/>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Sheet1!$A$38:$B$77</c:f>
              <c:multiLvlStrCache>
                <c:ptCount val="4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lvl>
                <c:lvl>
                  <c:pt idx="0">
                    <c:v>2021</c:v>
                  </c:pt>
                  <c:pt idx="12">
                    <c:v>2022</c:v>
                  </c:pt>
                  <c:pt idx="24">
                    <c:v>2023</c:v>
                  </c:pt>
                  <c:pt idx="36">
                    <c:v>2024</c:v>
                  </c:pt>
                </c:lvl>
              </c:multiLvlStrCache>
            </c:multiLvlStrRef>
          </c:cat>
          <c:val>
            <c:numRef>
              <c:f>Sheet1!$D$2:$D$78</c:f>
              <c:numCache>
                <c:formatCode>0.0</c:formatCode>
                <c:ptCount val="41"/>
                <c:pt idx="0">
                  <c:v>4.5148886220006261</c:v>
                </c:pt>
                <c:pt idx="1">
                  <c:v>5.3267515218621924</c:v>
                </c:pt>
                <c:pt idx="2">
                  <c:v>5.7810093225161552</c:v>
                </c:pt>
                <c:pt idx="3">
                  <c:v>6.1569193415054002</c:v>
                </c:pt>
                <c:pt idx="4">
                  <c:v>5.9006948589342016</c:v>
                </c:pt>
                <c:pt idx="5">
                  <c:v>6.5046445234588646</c:v>
                </c:pt>
                <c:pt idx="6">
                  <c:v>8.2227275731544154</c:v>
                </c:pt>
                <c:pt idx="7">
                  <c:v>8.7823860822581139</c:v>
                </c:pt>
                <c:pt idx="8">
                  <c:v>8.8886539553763413</c:v>
                </c:pt>
                <c:pt idx="9">
                  <c:v>9.1040943851299545</c:v>
                </c:pt>
                <c:pt idx="10">
                  <c:v>9.5566762184085832</c:v>
                </c:pt>
                <c:pt idx="11">
                  <c:v>7.6754534627573037</c:v>
                </c:pt>
                <c:pt idx="12">
                  <c:v>7.0769205766379315</c:v>
                </c:pt>
                <c:pt idx="13">
                  <c:v>6.5432090002156116</c:v>
                </c:pt>
                <c:pt idx="14">
                  <c:v>7.3617969746003382</c:v>
                </c:pt>
                <c:pt idx="15">
                  <c:v>8.4252580519207356</c:v>
                </c:pt>
                <c:pt idx="16">
                  <c:v>8.9862917816955417</c:v>
                </c:pt>
                <c:pt idx="17">
                  <c:v>10.274467693331786</c:v>
                </c:pt>
                <c:pt idx="18">
                  <c:v>9.3216627279495867</c:v>
                </c:pt>
                <c:pt idx="19">
                  <c:v>9.1287829914562479</c:v>
                </c:pt>
                <c:pt idx="20">
                  <c:v>9.9151144159470022</c:v>
                </c:pt>
                <c:pt idx="21">
                  <c:v>9.5</c:v>
                </c:pt>
                <c:pt idx="22">
                  <c:v>8.8446621147540014</c:v>
                </c:pt>
                <c:pt idx="23">
                  <c:v>8.3026886372339987</c:v>
                </c:pt>
                <c:pt idx="24">
                  <c:v>8.0513101873760036</c:v>
                </c:pt>
                <c:pt idx="25">
                  <c:v>8.0504413480060038</c:v>
                </c:pt>
                <c:pt idx="26">
                  <c:v>5.4496798492630063</c:v>
                </c:pt>
                <c:pt idx="27">
                  <c:v>3.2368670906421926</c:v>
                </c:pt>
                <c:pt idx="28">
                  <c:v>1.2870999999999999</c:v>
                </c:pt>
                <c:pt idx="29">
                  <c:v>-0.50760000000000005</c:v>
                </c:pt>
                <c:pt idx="30">
                  <c:v>-0.10059999999999999</c:v>
                </c:pt>
                <c:pt idx="31">
                  <c:v>-0.16830000000000001</c:v>
                </c:pt>
                <c:pt idx="32">
                  <c:v>0.1</c:v>
                </c:pt>
                <c:pt idx="33">
                  <c:v>0.1</c:v>
                </c:pt>
                <c:pt idx="34">
                  <c:v>-0.5</c:v>
                </c:pt>
                <c:pt idx="35">
                  <c:v>-0.6</c:v>
                </c:pt>
                <c:pt idx="36">
                  <c:v>-0.9</c:v>
                </c:pt>
                <c:pt idx="37">
                  <c:v>-1.7</c:v>
                </c:pt>
                <c:pt idx="38">
                  <c:v>-1.2</c:v>
                </c:pt>
                <c:pt idx="39">
                  <c:v>-0.7</c:v>
                </c:pt>
                <c:pt idx="40">
                  <c:v>0.3</c:v>
                </c:pt>
              </c:numCache>
            </c:numRef>
          </c:val>
          <c:smooth val="0"/>
          <c:extLst>
            <c:ext xmlns:c16="http://schemas.microsoft.com/office/drawing/2014/chart" uri="{C3380CC4-5D6E-409C-BE32-E72D297353CC}">
              <c16:uniqueId val="{00000000-4277-4A69-A570-15BB90F164E6}"/>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Sheet1!$A$38:$B$77</c:f>
              <c:multiLvlStrCache>
                <c:ptCount val="4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lvl>
                <c:lvl>
                  <c:pt idx="0">
                    <c:v>2021</c:v>
                  </c:pt>
                  <c:pt idx="12">
                    <c:v>2022</c:v>
                  </c:pt>
                  <c:pt idx="24">
                    <c:v>2023</c:v>
                  </c:pt>
                  <c:pt idx="36">
                    <c:v>2024</c:v>
                  </c:pt>
                </c:lvl>
              </c:multiLvlStrCache>
            </c:multiLvlStrRef>
          </c:cat>
          <c:val>
            <c:numRef>
              <c:f>Sheet1!$E$2:$E$78</c:f>
              <c:numCache>
                <c:formatCode>0.0</c:formatCode>
                <c:ptCount val="41"/>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c:v>10</c:v>
                </c:pt>
                <c:pt idx="21">
                  <c:v>10</c:v>
                </c:pt>
                <c:pt idx="22">
                  <c:v>10.5</c:v>
                </c:pt>
                <c:pt idx="23">
                  <c:v>10.75</c:v>
                </c:pt>
                <c:pt idx="24">
                  <c:v>10.75</c:v>
                </c:pt>
                <c:pt idx="25">
                  <c:v>10.75</c:v>
                </c:pt>
                <c:pt idx="26">
                  <c:v>10.75</c:v>
                </c:pt>
                <c:pt idx="27">
                  <c:v>10.75</c:v>
                </c:pt>
                <c:pt idx="28">
                  <c:v>10.75</c:v>
                </c:pt>
                <c:pt idx="29">
                  <c:v>10.5</c:v>
                </c:pt>
                <c:pt idx="30">
                  <c:v>10.5</c:v>
                </c:pt>
                <c:pt idx="31">
                  <c:v>10.25</c:v>
                </c:pt>
                <c:pt idx="32">
                  <c:v>9.75</c:v>
                </c:pt>
                <c:pt idx="33">
                  <c:v>9.5</c:v>
                </c:pt>
                <c:pt idx="34">
                  <c:v>9.5</c:v>
                </c:pt>
                <c:pt idx="35">
                  <c:v>9.25</c:v>
                </c:pt>
                <c:pt idx="36">
                  <c:v>8.75</c:v>
                </c:pt>
                <c:pt idx="37">
                  <c:v>8.75</c:v>
                </c:pt>
                <c:pt idx="38">
                  <c:v>8.5</c:v>
                </c:pt>
                <c:pt idx="39">
                  <c:v>8.25</c:v>
                </c:pt>
                <c:pt idx="40">
                  <c:v>8.25</c:v>
                </c:pt>
              </c:numCache>
            </c:numRef>
          </c:val>
          <c:smooth val="0"/>
          <c:extLst>
            <c:ext xmlns:c16="http://schemas.microsoft.com/office/drawing/2014/chart" uri="{C3380CC4-5D6E-409C-BE32-E72D297353CC}">
              <c16:uniqueId val="{00000001-4277-4A69-A570-15BB90F164E6}"/>
            </c:ext>
          </c:extLst>
        </c:ser>
        <c:ser>
          <c:idx val="2"/>
          <c:order val="2"/>
          <c:tx>
            <c:strRef>
              <c:f>Sheet1!$C$1</c:f>
              <c:strCache>
                <c:ptCount val="1"/>
                <c:pt idx="0">
                  <c:v>Բնականոն գնաճ, %</c:v>
                </c:pt>
              </c:strCache>
            </c:strRef>
          </c:tx>
          <c:spPr>
            <a:ln>
              <a:solidFill>
                <a:srgbClr val="E7E6E6">
                  <a:lumMod val="75000"/>
                </a:srgbClr>
              </a:solidFill>
            </a:ln>
          </c:spPr>
          <c:marker>
            <c:symbol val="none"/>
          </c:marker>
          <c:cat>
            <c:multiLvlStrRef>
              <c:f>Sheet1!$A$38:$B$77</c:f>
              <c:multiLvlStrCache>
                <c:ptCount val="4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lvl>
                <c:lvl>
                  <c:pt idx="0">
                    <c:v>2021</c:v>
                  </c:pt>
                  <c:pt idx="12">
                    <c:v>2022</c:v>
                  </c:pt>
                  <c:pt idx="24">
                    <c:v>2023</c:v>
                  </c:pt>
                  <c:pt idx="36">
                    <c:v>2024</c:v>
                  </c:pt>
                </c:lvl>
              </c:multiLvlStrCache>
            </c:multiLvlStrRef>
          </c:cat>
          <c:val>
            <c:numRef>
              <c:f>Sheet1!$C$38:$C$78</c:f>
              <c:numCache>
                <c:formatCode>0.0</c:formatCode>
                <c:ptCount val="41"/>
                <c:pt idx="0">
                  <c:v>4.6779235852640682</c:v>
                </c:pt>
                <c:pt idx="1">
                  <c:v>5.4846481634119186</c:v>
                </c:pt>
                <c:pt idx="2">
                  <c:v>6.6300845552899972</c:v>
                </c:pt>
                <c:pt idx="3">
                  <c:v>6.7626395686116751</c:v>
                </c:pt>
                <c:pt idx="4">
                  <c:v>7.4114337608134804</c:v>
                </c:pt>
                <c:pt idx="5">
                  <c:v>7.8323845176300608</c:v>
                </c:pt>
                <c:pt idx="6">
                  <c:v>8.1093537485616309</c:v>
                </c:pt>
                <c:pt idx="7">
                  <c:v>8.0379242186285609</c:v>
                </c:pt>
                <c:pt idx="8">
                  <c:v>7.9880734583744442</c:v>
                </c:pt>
                <c:pt idx="9">
                  <c:v>7.8765202676341914</c:v>
                </c:pt>
                <c:pt idx="10">
                  <c:v>8.3772656385054063</c:v>
                </c:pt>
                <c:pt idx="11">
                  <c:v>7.2509011281681808</c:v>
                </c:pt>
                <c:pt idx="12">
                  <c:v>6.60162670741569</c:v>
                </c:pt>
                <c:pt idx="13">
                  <c:v>6.3614506423955959</c:v>
                </c:pt>
                <c:pt idx="14">
                  <c:v>6.9671454857929405</c:v>
                </c:pt>
                <c:pt idx="15">
                  <c:v>7.9799047833968757</c:v>
                </c:pt>
                <c:pt idx="16">
                  <c:v>8.3564098161367042</c:v>
                </c:pt>
                <c:pt idx="17">
                  <c:v>9.4404331247470736</c:v>
                </c:pt>
                <c:pt idx="18">
                  <c:v>10.10041008820204</c:v>
                </c:pt>
                <c:pt idx="19">
                  <c:v>10.230227924035546</c:v>
                </c:pt>
                <c:pt idx="20">
                  <c:v>10.540276376631112</c:v>
                </c:pt>
                <c:pt idx="21">
                  <c:v>10.488322377082326</c:v>
                </c:pt>
                <c:pt idx="22">
                  <c:v>9.8756503499295007</c:v>
                </c:pt>
                <c:pt idx="23">
                  <c:v>9.4793414473783173</c:v>
                </c:pt>
                <c:pt idx="24">
                  <c:v>9.0991561824239966</c:v>
                </c:pt>
                <c:pt idx="25">
                  <c:v>8.3569861398929959</c:v>
                </c:pt>
                <c:pt idx="26">
                  <c:v>6.4066571555730008</c:v>
                </c:pt>
                <c:pt idx="27">
                  <c:v>4.3045803295163267</c:v>
                </c:pt>
                <c:pt idx="28">
                  <c:v>3.0865032447455718</c:v>
                </c:pt>
                <c:pt idx="29">
                  <c:v>1.4518285160379776</c:v>
                </c:pt>
                <c:pt idx="30">
                  <c:v>0.59949055114458361</c:v>
                </c:pt>
                <c:pt idx="31">
                  <c:v>0.35313145780541788</c:v>
                </c:pt>
                <c:pt idx="32">
                  <c:v>-8.0847536483943827E-2</c:v>
                </c:pt>
                <c:pt idx="33">
                  <c:v>-4.6504096578033227E-2</c:v>
                </c:pt>
                <c:pt idx="34">
                  <c:v>-0.24390438070011555</c:v>
                </c:pt>
                <c:pt idx="35">
                  <c:v>-0.39353895237825043</c:v>
                </c:pt>
                <c:pt idx="36">
                  <c:v>-0.44083532430917671</c:v>
                </c:pt>
                <c:pt idx="37">
                  <c:v>-0.65415810312974543</c:v>
                </c:pt>
                <c:pt idx="38">
                  <c:v>-0.70986287761924416</c:v>
                </c:pt>
                <c:pt idx="39">
                  <c:v>-0.53692140460677251</c:v>
                </c:pt>
                <c:pt idx="40">
                  <c:v>-0.29513107679599698</c:v>
                </c:pt>
              </c:numCache>
            </c:numRef>
          </c:val>
          <c:smooth val="0"/>
          <c:extLst>
            <c:ext xmlns:c16="http://schemas.microsoft.com/office/drawing/2014/chart" uri="{C3380CC4-5D6E-409C-BE32-E72D297353CC}">
              <c16:uniqueId val="{00000002-4277-4A69-A570-15BB90F164E6}"/>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overlay val="0"/>
      <c:spPr>
        <a:noFill/>
        <a:ln w="2539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cap="none" spc="0" normalizeH="0" baseline="0">
                <a:solidFill>
                  <a:sysClr val="windowText" lastClr="000000"/>
                </a:solidFill>
                <a:latin typeface="GHEA Grapalat" panose="02000506050000020003" pitchFamily="50" charset="0"/>
                <a:ea typeface="+mj-ea"/>
                <a:cs typeface="+mj-cs"/>
              </a:defRPr>
            </a:pPr>
            <a:r>
              <a:rPr lang="en-US" sz="1100" b="1"/>
              <a:t>12</a:t>
            </a:r>
            <a:r>
              <a:rPr lang="hy-AM" sz="1100" b="1"/>
              <a:t> ամսյա գնաճը</a:t>
            </a:r>
            <a:r>
              <a:rPr lang="en-US" sz="1100" b="1"/>
              <a:t>,</a:t>
            </a:r>
            <a:r>
              <a:rPr lang="en-US" sz="1100" b="1" baseline="0"/>
              <a:t> %</a:t>
            </a:r>
            <a:endParaRPr lang="en-US" sz="1100" b="1"/>
          </a:p>
        </c:rich>
      </c:tx>
      <c:layout>
        <c:manualLayout>
          <c:xMode val="edge"/>
          <c:yMode val="edge"/>
          <c:x val="0.31856812122864797"/>
          <c:y val="0"/>
        </c:manualLayout>
      </c:layout>
      <c:overlay val="0"/>
      <c:spPr>
        <a:noFill/>
        <a:ln>
          <a:noFill/>
        </a:ln>
        <a:effectLst/>
      </c:spPr>
    </c:title>
    <c:autoTitleDeleted val="0"/>
    <c:plotArea>
      <c:layout>
        <c:manualLayout>
          <c:layoutTarget val="inner"/>
          <c:xMode val="edge"/>
          <c:yMode val="edge"/>
          <c:x val="8.0772313640435661E-2"/>
          <c:y val="0.1312423813132145"/>
          <c:w val="0.87483709745862603"/>
          <c:h val="0.5718040244969379"/>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Sheet1!$D$28:$D$69</c:f>
              <c:numCache>
                <c:formatCode>0.0</c:formatCode>
                <c:ptCount val="14"/>
                <c:pt idx="0">
                  <c:v>2.7530960000000007</c:v>
                </c:pt>
                <c:pt idx="1">
                  <c:v>3.2739520000000004</c:v>
                </c:pt>
                <c:pt idx="2">
                  <c:v>5.7294159999999996</c:v>
                </c:pt>
                <c:pt idx="3">
                  <c:v>4.7993160000000001</c:v>
                </c:pt>
                <c:pt idx="4">
                  <c:v>4.7621120000000001</c:v>
                </c:pt>
                <c:pt idx="5">
                  <c:v>6.3618840000000008</c:v>
                </c:pt>
                <c:pt idx="6">
                  <c:v>5.0969480000000003</c:v>
                </c:pt>
                <c:pt idx="7">
                  <c:v>3.7204000000000002</c:v>
                </c:pt>
                <c:pt idx="8">
                  <c:v>1.8974039999999999</c:v>
                </c:pt>
                <c:pt idx="9">
                  <c:v>-2.2747999999999999</c:v>
                </c:pt>
                <c:pt idx="10">
                  <c:v>-1.2821600000000002</c:v>
                </c:pt>
                <c:pt idx="11">
                  <c:v>-1.8119999999999998</c:v>
                </c:pt>
                <c:pt idx="12">
                  <c:v>-2.31616</c:v>
                </c:pt>
                <c:pt idx="13">
                  <c:v>-0.82719999999999994</c:v>
                </c:pt>
              </c:numCache>
            </c:numRef>
          </c:val>
          <c:extLst>
            <c:ext xmlns:c16="http://schemas.microsoft.com/office/drawing/2014/chart" uri="{C3380CC4-5D6E-409C-BE32-E72D297353CC}">
              <c16:uniqueId val="{00000000-DF2A-4E0E-895C-C87F4DABF63F}"/>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Sheet1!$E$28:$E$69</c:f>
              <c:numCache>
                <c:formatCode>0.0</c:formatCode>
                <c:ptCount val="14"/>
                <c:pt idx="0">
                  <c:v>0.41001639999999995</c:v>
                </c:pt>
                <c:pt idx="1">
                  <c:v>0.39218960000000003</c:v>
                </c:pt>
                <c:pt idx="2">
                  <c:v>0.41447310000000004</c:v>
                </c:pt>
                <c:pt idx="3">
                  <c:v>0.41001639999999995</c:v>
                </c:pt>
                <c:pt idx="4">
                  <c:v>0.32533909999999999</c:v>
                </c:pt>
                <c:pt idx="5">
                  <c:v>0.36099269999999994</c:v>
                </c:pt>
                <c:pt idx="6">
                  <c:v>0.39664629999999995</c:v>
                </c:pt>
                <c:pt idx="7">
                  <c:v>0.39664629999999995</c:v>
                </c:pt>
                <c:pt idx="8">
                  <c:v>0.36990610000000002</c:v>
                </c:pt>
                <c:pt idx="9">
                  <c:v>0.39043999999999995</c:v>
                </c:pt>
                <c:pt idx="10">
                  <c:v>0.37682000000000004</c:v>
                </c:pt>
                <c:pt idx="11">
                  <c:v>0.32256000000000001</c:v>
                </c:pt>
                <c:pt idx="12">
                  <c:v>0.33596000000000004</c:v>
                </c:pt>
                <c:pt idx="13">
                  <c:v>0.28602</c:v>
                </c:pt>
              </c:numCache>
            </c:numRef>
          </c:val>
          <c:extLst>
            <c:ext xmlns:c16="http://schemas.microsoft.com/office/drawing/2014/chart" uri="{C3380CC4-5D6E-409C-BE32-E72D297353CC}">
              <c16:uniqueId val="{00000001-DF2A-4E0E-895C-C87F4DABF63F}"/>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Sheet1!$F$28:$F$69</c:f>
              <c:numCache>
                <c:formatCode>0.0</c:formatCode>
                <c:ptCount val="14"/>
                <c:pt idx="0">
                  <c:v>1.8656400000000002</c:v>
                </c:pt>
                <c:pt idx="1">
                  <c:v>2.10995</c:v>
                </c:pt>
                <c:pt idx="2">
                  <c:v>2.1987900000000002</c:v>
                </c:pt>
                <c:pt idx="3">
                  <c:v>1.7768000000000002</c:v>
                </c:pt>
                <c:pt idx="4">
                  <c:v>1.0660800000000001</c:v>
                </c:pt>
                <c:pt idx="5">
                  <c:v>1.6657500000000001</c:v>
                </c:pt>
                <c:pt idx="6">
                  <c:v>1.79901</c:v>
                </c:pt>
                <c:pt idx="7">
                  <c:v>1.57691</c:v>
                </c:pt>
                <c:pt idx="8">
                  <c:v>1.02166</c:v>
                </c:pt>
                <c:pt idx="9">
                  <c:v>6.5040000000000001E-2</c:v>
                </c:pt>
                <c:pt idx="10">
                  <c:v>0</c:v>
                </c:pt>
                <c:pt idx="11">
                  <c:v>2.3259999999999999E-2</c:v>
                </c:pt>
                <c:pt idx="12">
                  <c:v>-2.1680000000000001E-2</c:v>
                </c:pt>
                <c:pt idx="13">
                  <c:v>0</c:v>
                </c:pt>
              </c:numCache>
            </c:numRef>
          </c:val>
          <c:extLst>
            <c:ext xmlns:c16="http://schemas.microsoft.com/office/drawing/2014/chart" uri="{C3380CC4-5D6E-409C-BE32-E72D297353CC}">
              <c16:uniqueId val="{00000002-DF2A-4E0E-895C-C87F4DABF63F}"/>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Sheet1!$G$28:$G$69</c:f>
              <c:numCache>
                <c:formatCode>0.0</c:formatCode>
                <c:ptCount val="14"/>
                <c:pt idx="0">
                  <c:v>0.79486000000000023</c:v>
                </c:pt>
                <c:pt idx="1">
                  <c:v>0.75873000000000002</c:v>
                </c:pt>
                <c:pt idx="2">
                  <c:v>0.57808000000000004</c:v>
                </c:pt>
                <c:pt idx="3">
                  <c:v>0.68647000000000002</c:v>
                </c:pt>
                <c:pt idx="4">
                  <c:v>1.1922900000000001</c:v>
                </c:pt>
                <c:pt idx="5">
                  <c:v>1.91489</c:v>
                </c:pt>
                <c:pt idx="6">
                  <c:v>2.6013600000000001</c:v>
                </c:pt>
                <c:pt idx="7">
                  <c:v>2.6013600000000001</c:v>
                </c:pt>
                <c:pt idx="8">
                  <c:v>2.1678000000000002</c:v>
                </c:pt>
                <c:pt idx="9">
                  <c:v>1.2643800000000001</c:v>
                </c:pt>
                <c:pt idx="10">
                  <c:v>1.0374400000000001</c:v>
                </c:pt>
                <c:pt idx="11">
                  <c:v>1.0545</c:v>
                </c:pt>
                <c:pt idx="12">
                  <c:v>0.81050000000000011</c:v>
                </c:pt>
                <c:pt idx="13">
                  <c:v>0.74565999999999999</c:v>
                </c:pt>
              </c:numCache>
            </c:numRef>
          </c:val>
          <c:extLst>
            <c:ext xmlns:c16="http://schemas.microsoft.com/office/drawing/2014/chart" uri="{C3380CC4-5D6E-409C-BE32-E72D297353CC}">
              <c16:uniqueId val="{00000003-DF2A-4E0E-895C-C87F4DABF63F}"/>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DF2A-4E0E-895C-C87F4DABF63F}"/>
              </c:ext>
            </c:extLst>
          </c:dPt>
          <c:dPt>
            <c:idx val="7"/>
            <c:bubble3D val="0"/>
            <c:extLst>
              <c:ext xmlns:c16="http://schemas.microsoft.com/office/drawing/2014/chart" uri="{C3380CC4-5D6E-409C-BE32-E72D297353CC}">
                <c16:uniqueId val="{00000005-DF2A-4E0E-895C-C87F4DABF63F}"/>
              </c:ext>
            </c:extLst>
          </c:dPt>
          <c:dLbls>
            <c:dLbl>
              <c:idx val="9"/>
              <c:layout>
                <c:manualLayout>
                  <c:x val="-5.9221714052210613E-2"/>
                  <c:y val="-0.1187082239720034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2A-4E0E-895C-C87F4DABF63F}"/>
                </c:ext>
              </c:extLst>
            </c:dLbl>
            <c:dLbl>
              <c:idx val="11"/>
              <c:layout>
                <c:manualLayout>
                  <c:x val="-6.3692771936442072E-2"/>
                  <c:y val="-0.1020415573053368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F2A-4E0E-895C-C87F4DABF63F}"/>
                </c:ext>
              </c:extLst>
            </c:dLbl>
            <c:dLbl>
              <c:idx val="12"/>
              <c:layout>
                <c:manualLayout>
                  <c:x val="-5.9012054630895837E-2"/>
                  <c:y val="-0.1020415573053368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F2A-4E0E-895C-C87F4DABF63F}"/>
                </c:ext>
              </c:extLst>
            </c:dLbl>
            <c:dLbl>
              <c:idx val="13"/>
              <c:layout>
                <c:manualLayout>
                  <c:x val="-3.5106165621512878E-2"/>
                  <c:y val="-0.1075971128608923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F2A-4E0E-895C-C87F4DABF63F}"/>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Sheet1!$C$28:$C$69</c:f>
              <c:numCache>
                <c:formatCode>0.0</c:formatCode>
                <c:ptCount val="14"/>
                <c:pt idx="0">
                  <c:v>5.8236124000000009</c:v>
                </c:pt>
                <c:pt idx="1">
                  <c:v>6.5348216000000008</c:v>
                </c:pt>
                <c:pt idx="2">
                  <c:v>8.9207590999999997</c:v>
                </c:pt>
                <c:pt idx="3">
                  <c:v>7.6726024000000006</c:v>
                </c:pt>
                <c:pt idx="4">
                  <c:v>7.4</c:v>
                </c:pt>
                <c:pt idx="5">
                  <c:v>10.303516699999999</c:v>
                </c:pt>
                <c:pt idx="6">
                  <c:v>9.8939643000000004</c:v>
                </c:pt>
                <c:pt idx="7">
                  <c:v>8.2953162999999996</c:v>
                </c:pt>
                <c:pt idx="8">
                  <c:v>5.4</c:v>
                </c:pt>
                <c:pt idx="9">
                  <c:v>-0.5</c:v>
                </c:pt>
                <c:pt idx="10">
                  <c:v>0.1</c:v>
                </c:pt>
                <c:pt idx="11">
                  <c:v>-0.6</c:v>
                </c:pt>
                <c:pt idx="12">
                  <c:v>-1.2</c:v>
                </c:pt>
                <c:pt idx="13">
                  <c:v>0.3</c:v>
                </c:pt>
              </c:numCache>
            </c:numRef>
          </c:val>
          <c:smooth val="0"/>
          <c:extLst>
            <c:ext xmlns:c16="http://schemas.microsoft.com/office/drawing/2014/chart" uri="{C3380CC4-5D6E-409C-BE32-E72D297353CC}">
              <c16:uniqueId val="{0000000A-DF2A-4E0E-895C-C87F4DABF63F}"/>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t" anchorCtr="0"/>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cap="none" spc="0" normalizeH="0" baseline="0">
                <a:solidFill>
                  <a:sysClr val="windowText" lastClr="000000"/>
                </a:solidFill>
                <a:latin typeface="GHEA Grapalat" panose="02000506050000020003" pitchFamily="50" charset="0"/>
                <a:ea typeface="+mj-ea"/>
                <a:cs typeface="+mj-cs"/>
              </a:defRPr>
            </a:pPr>
            <a:r>
              <a:rPr lang="en-US" sz="1100" b="1"/>
              <a:t>Մ</a:t>
            </a:r>
            <a:r>
              <a:rPr lang="hy-AM" sz="1100" b="1"/>
              <a:t>իջին գնաճը</a:t>
            </a:r>
            <a:r>
              <a:rPr lang="en-US" sz="1100" b="1"/>
              <a:t>,</a:t>
            </a:r>
            <a:r>
              <a:rPr lang="en-US" sz="1100" b="1" baseline="0"/>
              <a:t> %</a:t>
            </a:r>
            <a:endParaRPr lang="en-US" sz="1100" b="1"/>
          </a:p>
        </c:rich>
      </c:tx>
      <c:layout>
        <c:manualLayout>
          <c:xMode val="edge"/>
          <c:yMode val="edge"/>
          <c:x val="0.29028022694767946"/>
          <c:y val="0"/>
        </c:manualLayout>
      </c:layout>
      <c:overlay val="0"/>
      <c:spPr>
        <a:noFill/>
        <a:ln>
          <a:noFill/>
        </a:ln>
        <a:effectLst/>
      </c:spPr>
    </c:title>
    <c:autoTitleDeleted val="0"/>
    <c:plotArea>
      <c:layout>
        <c:manualLayout>
          <c:layoutTarget val="inner"/>
          <c:xMode val="edge"/>
          <c:yMode val="edge"/>
          <c:x val="8.8756345576563395E-2"/>
          <c:y val="0.14797878298685471"/>
          <c:w val="0.89713140647838197"/>
          <c:h val="0.55506780402449696"/>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Sheet1!$B$2:$B$69</c:f>
              <c:strCache>
                <c:ptCount val="14"/>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strCache>
            </c:strRef>
          </c:cat>
          <c:val>
            <c:numRef>
              <c:f>Sheet1!$D$2:$D$69</c:f>
              <c:numCache>
                <c:formatCode>0.0</c:formatCode>
                <c:ptCount val="14"/>
                <c:pt idx="0">
                  <c:v>2.6414839999999997</c:v>
                </c:pt>
                <c:pt idx="1">
                  <c:v>2.8647079999999998</c:v>
                </c:pt>
                <c:pt idx="2">
                  <c:v>3.6831960000000006</c:v>
                </c:pt>
                <c:pt idx="3">
                  <c:v>4.1668479999999999</c:v>
                </c:pt>
                <c:pt idx="4">
                  <c:v>4.501684</c:v>
                </c:pt>
                <c:pt idx="5">
                  <c:v>5.0969480000000003</c:v>
                </c:pt>
                <c:pt idx="6">
                  <c:v>5.0597440000000002</c:v>
                </c:pt>
                <c:pt idx="7">
                  <c:v>4.8365200000000002</c:v>
                </c:pt>
                <c:pt idx="8">
                  <c:v>3.0135239999999999</c:v>
                </c:pt>
                <c:pt idx="9">
                  <c:v>1.1994399999999998</c:v>
                </c:pt>
                <c:pt idx="10">
                  <c:v>0.28952</c:v>
                </c:pt>
                <c:pt idx="11">
                  <c:v>-0.18875</c:v>
                </c:pt>
                <c:pt idx="12">
                  <c:v>-2.60568</c:v>
                </c:pt>
                <c:pt idx="13">
                  <c:v>-2.1093599999999997</c:v>
                </c:pt>
              </c:numCache>
            </c:numRef>
          </c:val>
          <c:extLst>
            <c:ext xmlns:c16="http://schemas.microsoft.com/office/drawing/2014/chart" uri="{C3380CC4-5D6E-409C-BE32-E72D297353CC}">
              <c16:uniqueId val="{00000000-C143-482F-A3FB-1ABACEF18850}"/>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Sheet1!$B$2:$B$69</c:f>
              <c:strCache>
                <c:ptCount val="14"/>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strCache>
            </c:strRef>
          </c:cat>
          <c:val>
            <c:numRef>
              <c:f>Sheet1!$E$2:$E$69</c:f>
              <c:numCache>
                <c:formatCode>0.0</c:formatCode>
                <c:ptCount val="14"/>
                <c:pt idx="0">
                  <c:v>0.42338649999999994</c:v>
                </c:pt>
                <c:pt idx="1">
                  <c:v>0.40555969999999997</c:v>
                </c:pt>
                <c:pt idx="2">
                  <c:v>0.41001639999999995</c:v>
                </c:pt>
                <c:pt idx="3">
                  <c:v>0.41447310000000004</c:v>
                </c:pt>
                <c:pt idx="4">
                  <c:v>0.35207929999999998</c:v>
                </c:pt>
                <c:pt idx="5">
                  <c:v>0.3476226</c:v>
                </c:pt>
                <c:pt idx="6">
                  <c:v>0.35653599999999996</c:v>
                </c:pt>
                <c:pt idx="7">
                  <c:v>0.36544939999999998</c:v>
                </c:pt>
                <c:pt idx="8">
                  <c:v>0.40555969999999997</c:v>
                </c:pt>
                <c:pt idx="9">
                  <c:v>0.39043999999999995</c:v>
                </c:pt>
                <c:pt idx="10">
                  <c:v>0.38590000000000002</c:v>
                </c:pt>
                <c:pt idx="11">
                  <c:v>0.32640000000000002</c:v>
                </c:pt>
                <c:pt idx="12">
                  <c:v>0.33596000000000004</c:v>
                </c:pt>
                <c:pt idx="13">
                  <c:v>0.32234000000000002</c:v>
                </c:pt>
              </c:numCache>
            </c:numRef>
          </c:val>
          <c:extLst>
            <c:ext xmlns:c16="http://schemas.microsoft.com/office/drawing/2014/chart" uri="{C3380CC4-5D6E-409C-BE32-E72D297353CC}">
              <c16:uniqueId val="{00000001-C143-482F-A3FB-1ABACEF18850}"/>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Sheet1!$B$2:$B$69</c:f>
              <c:strCache>
                <c:ptCount val="14"/>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strCache>
            </c:strRef>
          </c:cat>
          <c:val>
            <c:numRef>
              <c:f>Sheet1!$F$2:$F$69</c:f>
              <c:numCache>
                <c:formatCode>0.0</c:formatCode>
                <c:ptCount val="14"/>
                <c:pt idx="0">
                  <c:v>1.5324900000000001</c:v>
                </c:pt>
                <c:pt idx="1">
                  <c:v>1.7545900000000001</c:v>
                </c:pt>
                <c:pt idx="2">
                  <c:v>1.88785</c:v>
                </c:pt>
                <c:pt idx="3">
                  <c:v>1.9322699999999999</c:v>
                </c:pt>
                <c:pt idx="4">
                  <c:v>1.2215499999999999</c:v>
                </c:pt>
                <c:pt idx="5">
                  <c:v>1.3548099999999998</c:v>
                </c:pt>
                <c:pt idx="6">
                  <c:v>1.5102799999999998</c:v>
                </c:pt>
                <c:pt idx="7">
                  <c:v>1.5547</c:v>
                </c:pt>
                <c:pt idx="8">
                  <c:v>1.1993400000000001</c:v>
                </c:pt>
                <c:pt idx="9">
                  <c:v>0.71543999999999996</c:v>
                </c:pt>
                <c:pt idx="10">
                  <c:v>0.47696000000000005</c:v>
                </c:pt>
                <c:pt idx="11">
                  <c:v>0.39541999999999999</c:v>
                </c:pt>
                <c:pt idx="12">
                  <c:v>8.6720000000000005E-2</c:v>
                </c:pt>
                <c:pt idx="13">
                  <c:v>2.1680000000000001E-2</c:v>
                </c:pt>
              </c:numCache>
            </c:numRef>
          </c:val>
          <c:extLst>
            <c:ext xmlns:c16="http://schemas.microsoft.com/office/drawing/2014/chart" uri="{C3380CC4-5D6E-409C-BE32-E72D297353CC}">
              <c16:uniqueId val="{00000002-C143-482F-A3FB-1ABACEF18850}"/>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Sheet1!$B$2:$B$69</c:f>
              <c:strCache>
                <c:ptCount val="14"/>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strCache>
            </c:strRef>
          </c:cat>
          <c:val>
            <c:numRef>
              <c:f>Sheet1!$G$2:$G$69</c:f>
              <c:numCache>
                <c:formatCode>0.0</c:formatCode>
                <c:ptCount val="14"/>
                <c:pt idx="0">
                  <c:v>0.61421000000000003</c:v>
                </c:pt>
                <c:pt idx="1">
                  <c:v>0.72260000000000002</c:v>
                </c:pt>
                <c:pt idx="2">
                  <c:v>0.68647000000000002</c:v>
                </c:pt>
                <c:pt idx="3">
                  <c:v>0.68647000000000002</c:v>
                </c:pt>
                <c:pt idx="4">
                  <c:v>0.90325</c:v>
                </c:pt>
                <c:pt idx="5">
                  <c:v>1.2645500000000001</c:v>
                </c:pt>
                <c:pt idx="6">
                  <c:v>1.62585</c:v>
                </c:pt>
                <c:pt idx="7">
                  <c:v>1.8787600000000004</c:v>
                </c:pt>
                <c:pt idx="8">
                  <c:v>2.4929700000000001</c:v>
                </c:pt>
                <c:pt idx="9">
                  <c:v>1.8479400000000001</c:v>
                </c:pt>
                <c:pt idx="10">
                  <c:v>1.6210000000000002</c:v>
                </c:pt>
                <c:pt idx="11">
                  <c:v>1.5817499999999998</c:v>
                </c:pt>
                <c:pt idx="12">
                  <c:v>0.97260000000000002</c:v>
                </c:pt>
                <c:pt idx="13">
                  <c:v>0.90776000000000001</c:v>
                </c:pt>
              </c:numCache>
            </c:numRef>
          </c:val>
          <c:extLst>
            <c:ext xmlns:c16="http://schemas.microsoft.com/office/drawing/2014/chart" uri="{C3380CC4-5D6E-409C-BE32-E72D297353CC}">
              <c16:uniqueId val="{00000003-C143-482F-A3FB-1ABACEF18850}"/>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noFill/>
                <a:ln w="15875">
                  <a:noFill/>
                  <a:round/>
                </a:ln>
                <a:effectLst/>
              </c:spPr>
            </c:marker>
            <c:bubble3D val="0"/>
            <c:extLst>
              <c:ext xmlns:c16="http://schemas.microsoft.com/office/drawing/2014/chart" uri="{C3380CC4-5D6E-409C-BE32-E72D297353CC}">
                <c16:uniqueId val="{00000004-C143-482F-A3FB-1ABACEF18850}"/>
              </c:ext>
            </c:extLst>
          </c:dPt>
          <c:dLbls>
            <c:dLbl>
              <c:idx val="12"/>
              <c:layout>
                <c:manualLayout>
                  <c:x val="-5.9012054630895691E-2"/>
                  <c:y val="-0.1353748906386702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43-482F-A3FB-1ABACEF18850}"/>
                </c:ext>
              </c:extLst>
            </c:dLbl>
            <c:dLbl>
              <c:idx val="13"/>
              <c:layout>
                <c:manualLayout>
                  <c:x val="-1.1152812485265689E-2"/>
                  <c:y val="-0.1298193350831146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43-482F-A3FB-1ABACEF18850}"/>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Sheet1!$A$28:$B$69</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Sheet1!$C$2:$C$69</c:f>
              <c:numCache>
                <c:formatCode>0.0</c:formatCode>
                <c:ptCount val="14"/>
                <c:pt idx="0">
                  <c:v>5.2115704999999997</c:v>
                </c:pt>
                <c:pt idx="1">
                  <c:v>5.7474577</c:v>
                </c:pt>
                <c:pt idx="2">
                  <c:v>6.6675324000000007</c:v>
                </c:pt>
                <c:pt idx="3">
                  <c:v>7.2000611000000001</c:v>
                </c:pt>
                <c:pt idx="4">
                  <c:v>6.9785632999999994</c:v>
                </c:pt>
                <c:pt idx="5">
                  <c:v>8.0639306000000008</c:v>
                </c:pt>
                <c:pt idx="6">
                  <c:v>8.5524100000000001</c:v>
                </c:pt>
                <c:pt idx="7">
                  <c:v>8.6354293999999996</c:v>
                </c:pt>
                <c:pt idx="8">
                  <c:v>7.2</c:v>
                </c:pt>
                <c:pt idx="9">
                  <c:v>4.2</c:v>
                </c:pt>
                <c:pt idx="10">
                  <c:v>2.8</c:v>
                </c:pt>
                <c:pt idx="11">
                  <c:v>2</c:v>
                </c:pt>
                <c:pt idx="12">
                  <c:v>-1.2</c:v>
                </c:pt>
                <c:pt idx="13">
                  <c:v>-0.8</c:v>
                </c:pt>
              </c:numCache>
            </c:numRef>
          </c:val>
          <c:smooth val="0"/>
          <c:extLst>
            <c:ext xmlns:c16="http://schemas.microsoft.com/office/drawing/2014/chart" uri="{C3380CC4-5D6E-409C-BE32-E72D297353CC}">
              <c16:uniqueId val="{00000007-C143-482F-A3FB-1ABACEF18850}"/>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593C-4CEE-A023-C0D7C7DC7B8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593C-4CEE-A023-C0D7C7DC7B8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593C-4CEE-A023-C0D7C7DC7B8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593C-4CEE-A023-C0D7C7DC7B81}"/>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593C-4CEE-A023-C0D7C7DC7B81}"/>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593C-4CEE-A023-C0D7C7DC7B81}"/>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593C-4CEE-A023-C0D7C7DC7B81}"/>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64343596021588"/>
          <c:y val="0.10019869487234935"/>
          <c:w val="0.73433217842989307"/>
          <c:h val="0.56427410224771979"/>
        </c:manualLayout>
      </c:layout>
      <c:lineChart>
        <c:grouping val="standard"/>
        <c:varyColors val="0"/>
        <c:ser>
          <c:idx val="0"/>
          <c:order val="0"/>
          <c:tx>
            <c:strRef>
              <c:f>Sheet1!$B$1</c:f>
              <c:strCache>
                <c:ptCount val="1"/>
                <c:pt idx="0">
                  <c:v>Զարգացող երկրների արժույթ</c:v>
                </c:pt>
              </c:strCache>
            </c:strRef>
          </c:tx>
          <c:spPr>
            <a:ln w="19050" cap="rnd">
              <a:solidFill>
                <a:srgbClr val="5B9BD5"/>
              </a:solidFill>
              <a:round/>
            </a:ln>
            <a:effectLst/>
          </c:spPr>
          <c:marker>
            <c:symbol val="none"/>
          </c:marker>
          <c:cat>
            <c:numRef>
              <c:f>Sheet1!$A$2:$A$1158</c:f>
              <c:numCache>
                <c:formatCode>m\/d\/yyyy</c:formatCode>
                <c:ptCount val="1157"/>
                <c:pt idx="0">
                  <c:v>43832</c:v>
                </c:pt>
                <c:pt idx="1">
                  <c:v>43833</c:v>
                </c:pt>
                <c:pt idx="2">
                  <c:v>43836</c:v>
                </c:pt>
                <c:pt idx="3">
                  <c:v>43837</c:v>
                </c:pt>
                <c:pt idx="4">
                  <c:v>43838</c:v>
                </c:pt>
                <c:pt idx="5">
                  <c:v>43839</c:v>
                </c:pt>
                <c:pt idx="6">
                  <c:v>43840</c:v>
                </c:pt>
                <c:pt idx="7">
                  <c:v>43843</c:v>
                </c:pt>
                <c:pt idx="8">
                  <c:v>43844</c:v>
                </c:pt>
                <c:pt idx="9">
                  <c:v>43845</c:v>
                </c:pt>
                <c:pt idx="10">
                  <c:v>43846</c:v>
                </c:pt>
                <c:pt idx="11">
                  <c:v>43847</c:v>
                </c:pt>
                <c:pt idx="12">
                  <c:v>43850</c:v>
                </c:pt>
                <c:pt idx="13">
                  <c:v>43851</c:v>
                </c:pt>
                <c:pt idx="14">
                  <c:v>43852</c:v>
                </c:pt>
                <c:pt idx="15">
                  <c:v>43853</c:v>
                </c:pt>
                <c:pt idx="16">
                  <c:v>43854</c:v>
                </c:pt>
                <c:pt idx="17">
                  <c:v>43857</c:v>
                </c:pt>
                <c:pt idx="18">
                  <c:v>43858</c:v>
                </c:pt>
                <c:pt idx="19">
                  <c:v>43859</c:v>
                </c:pt>
                <c:pt idx="20">
                  <c:v>43860</c:v>
                </c:pt>
                <c:pt idx="21">
                  <c:v>43861</c:v>
                </c:pt>
                <c:pt idx="22">
                  <c:v>43864</c:v>
                </c:pt>
                <c:pt idx="23">
                  <c:v>43865</c:v>
                </c:pt>
                <c:pt idx="24">
                  <c:v>43866</c:v>
                </c:pt>
                <c:pt idx="25">
                  <c:v>43867</c:v>
                </c:pt>
                <c:pt idx="26">
                  <c:v>43868</c:v>
                </c:pt>
                <c:pt idx="27">
                  <c:v>43871</c:v>
                </c:pt>
                <c:pt idx="28">
                  <c:v>43872</c:v>
                </c:pt>
                <c:pt idx="29">
                  <c:v>43873</c:v>
                </c:pt>
                <c:pt idx="30">
                  <c:v>43874</c:v>
                </c:pt>
                <c:pt idx="31">
                  <c:v>43875</c:v>
                </c:pt>
                <c:pt idx="32">
                  <c:v>43878</c:v>
                </c:pt>
                <c:pt idx="33">
                  <c:v>43879</c:v>
                </c:pt>
                <c:pt idx="34">
                  <c:v>43880</c:v>
                </c:pt>
                <c:pt idx="35">
                  <c:v>43881</c:v>
                </c:pt>
                <c:pt idx="36">
                  <c:v>43882</c:v>
                </c:pt>
                <c:pt idx="37">
                  <c:v>43885</c:v>
                </c:pt>
                <c:pt idx="38">
                  <c:v>43886</c:v>
                </c:pt>
                <c:pt idx="39">
                  <c:v>43887</c:v>
                </c:pt>
                <c:pt idx="40">
                  <c:v>43888</c:v>
                </c:pt>
                <c:pt idx="41">
                  <c:v>43889</c:v>
                </c:pt>
                <c:pt idx="42">
                  <c:v>43892</c:v>
                </c:pt>
                <c:pt idx="43">
                  <c:v>43893</c:v>
                </c:pt>
                <c:pt idx="44">
                  <c:v>43894</c:v>
                </c:pt>
                <c:pt idx="45">
                  <c:v>43895</c:v>
                </c:pt>
                <c:pt idx="46">
                  <c:v>43896</c:v>
                </c:pt>
                <c:pt idx="47">
                  <c:v>43899</c:v>
                </c:pt>
                <c:pt idx="48">
                  <c:v>43900</c:v>
                </c:pt>
                <c:pt idx="49">
                  <c:v>43901</c:v>
                </c:pt>
                <c:pt idx="50">
                  <c:v>43902</c:v>
                </c:pt>
                <c:pt idx="51">
                  <c:v>43903</c:v>
                </c:pt>
                <c:pt idx="52">
                  <c:v>43906</c:v>
                </c:pt>
                <c:pt idx="53">
                  <c:v>43907</c:v>
                </c:pt>
                <c:pt idx="54">
                  <c:v>43908</c:v>
                </c:pt>
                <c:pt idx="55">
                  <c:v>43909</c:v>
                </c:pt>
                <c:pt idx="56">
                  <c:v>43910</c:v>
                </c:pt>
                <c:pt idx="57">
                  <c:v>43913</c:v>
                </c:pt>
                <c:pt idx="58">
                  <c:v>43914</c:v>
                </c:pt>
                <c:pt idx="59">
                  <c:v>43915</c:v>
                </c:pt>
                <c:pt idx="60">
                  <c:v>43916</c:v>
                </c:pt>
                <c:pt idx="61">
                  <c:v>43917</c:v>
                </c:pt>
                <c:pt idx="62">
                  <c:v>43920</c:v>
                </c:pt>
                <c:pt idx="63">
                  <c:v>43921</c:v>
                </c:pt>
                <c:pt idx="64">
                  <c:v>43922</c:v>
                </c:pt>
                <c:pt idx="65">
                  <c:v>43923</c:v>
                </c:pt>
                <c:pt idx="66">
                  <c:v>43924</c:v>
                </c:pt>
                <c:pt idx="67">
                  <c:v>43927</c:v>
                </c:pt>
                <c:pt idx="68">
                  <c:v>43928</c:v>
                </c:pt>
                <c:pt idx="69">
                  <c:v>43929</c:v>
                </c:pt>
                <c:pt idx="70">
                  <c:v>43930</c:v>
                </c:pt>
                <c:pt idx="71">
                  <c:v>43934</c:v>
                </c:pt>
                <c:pt idx="72">
                  <c:v>43935</c:v>
                </c:pt>
                <c:pt idx="73">
                  <c:v>43936</c:v>
                </c:pt>
                <c:pt idx="74">
                  <c:v>43937</c:v>
                </c:pt>
                <c:pt idx="75">
                  <c:v>43938</c:v>
                </c:pt>
                <c:pt idx="76">
                  <c:v>43941</c:v>
                </c:pt>
                <c:pt idx="77">
                  <c:v>43942</c:v>
                </c:pt>
                <c:pt idx="78">
                  <c:v>43943</c:v>
                </c:pt>
                <c:pt idx="79">
                  <c:v>43944</c:v>
                </c:pt>
                <c:pt idx="80">
                  <c:v>43945</c:v>
                </c:pt>
                <c:pt idx="81">
                  <c:v>43948</c:v>
                </c:pt>
                <c:pt idx="82">
                  <c:v>43949</c:v>
                </c:pt>
                <c:pt idx="83">
                  <c:v>43950</c:v>
                </c:pt>
                <c:pt idx="84">
                  <c:v>43951</c:v>
                </c:pt>
                <c:pt idx="85">
                  <c:v>43952</c:v>
                </c:pt>
                <c:pt idx="86">
                  <c:v>43955</c:v>
                </c:pt>
                <c:pt idx="87">
                  <c:v>43956</c:v>
                </c:pt>
                <c:pt idx="88">
                  <c:v>43957</c:v>
                </c:pt>
                <c:pt idx="89">
                  <c:v>43958</c:v>
                </c:pt>
                <c:pt idx="90">
                  <c:v>43959</c:v>
                </c:pt>
                <c:pt idx="91">
                  <c:v>43962</c:v>
                </c:pt>
                <c:pt idx="92">
                  <c:v>43963</c:v>
                </c:pt>
                <c:pt idx="93">
                  <c:v>43964</c:v>
                </c:pt>
                <c:pt idx="94">
                  <c:v>43965</c:v>
                </c:pt>
                <c:pt idx="95">
                  <c:v>43966</c:v>
                </c:pt>
                <c:pt idx="96">
                  <c:v>43969</c:v>
                </c:pt>
                <c:pt idx="97">
                  <c:v>43970</c:v>
                </c:pt>
                <c:pt idx="98">
                  <c:v>43971</c:v>
                </c:pt>
                <c:pt idx="99">
                  <c:v>43972</c:v>
                </c:pt>
                <c:pt idx="100">
                  <c:v>43973</c:v>
                </c:pt>
                <c:pt idx="101">
                  <c:v>43976</c:v>
                </c:pt>
                <c:pt idx="102">
                  <c:v>43977</c:v>
                </c:pt>
                <c:pt idx="103">
                  <c:v>43978</c:v>
                </c:pt>
                <c:pt idx="104">
                  <c:v>43979</c:v>
                </c:pt>
                <c:pt idx="105">
                  <c:v>43980</c:v>
                </c:pt>
                <c:pt idx="106">
                  <c:v>43983</c:v>
                </c:pt>
                <c:pt idx="107">
                  <c:v>43984</c:v>
                </c:pt>
                <c:pt idx="108">
                  <c:v>43985</c:v>
                </c:pt>
                <c:pt idx="109">
                  <c:v>43986</c:v>
                </c:pt>
                <c:pt idx="110">
                  <c:v>43987</c:v>
                </c:pt>
                <c:pt idx="111">
                  <c:v>43990</c:v>
                </c:pt>
                <c:pt idx="112">
                  <c:v>43991</c:v>
                </c:pt>
                <c:pt idx="113">
                  <c:v>43992</c:v>
                </c:pt>
                <c:pt idx="114">
                  <c:v>43993</c:v>
                </c:pt>
                <c:pt idx="115">
                  <c:v>43994</c:v>
                </c:pt>
                <c:pt idx="116">
                  <c:v>43997</c:v>
                </c:pt>
                <c:pt idx="117">
                  <c:v>43998</c:v>
                </c:pt>
                <c:pt idx="118">
                  <c:v>43999</c:v>
                </c:pt>
                <c:pt idx="119">
                  <c:v>44000</c:v>
                </c:pt>
                <c:pt idx="120">
                  <c:v>44001</c:v>
                </c:pt>
                <c:pt idx="121">
                  <c:v>44004</c:v>
                </c:pt>
                <c:pt idx="122">
                  <c:v>44005</c:v>
                </c:pt>
                <c:pt idx="123">
                  <c:v>44006</c:v>
                </c:pt>
                <c:pt idx="124">
                  <c:v>44007</c:v>
                </c:pt>
                <c:pt idx="125">
                  <c:v>44008</c:v>
                </c:pt>
                <c:pt idx="126">
                  <c:v>44011</c:v>
                </c:pt>
                <c:pt idx="127">
                  <c:v>44012</c:v>
                </c:pt>
                <c:pt idx="128">
                  <c:v>44013</c:v>
                </c:pt>
                <c:pt idx="129">
                  <c:v>44014</c:v>
                </c:pt>
                <c:pt idx="130">
                  <c:v>44015</c:v>
                </c:pt>
                <c:pt idx="131">
                  <c:v>44018</c:v>
                </c:pt>
                <c:pt idx="132">
                  <c:v>44019</c:v>
                </c:pt>
                <c:pt idx="133">
                  <c:v>44020</c:v>
                </c:pt>
                <c:pt idx="134">
                  <c:v>44021</c:v>
                </c:pt>
                <c:pt idx="135">
                  <c:v>44022</c:v>
                </c:pt>
                <c:pt idx="136">
                  <c:v>44025</c:v>
                </c:pt>
                <c:pt idx="137">
                  <c:v>44026</c:v>
                </c:pt>
                <c:pt idx="138">
                  <c:v>44027</c:v>
                </c:pt>
                <c:pt idx="139">
                  <c:v>44028</c:v>
                </c:pt>
                <c:pt idx="140">
                  <c:v>44029</c:v>
                </c:pt>
                <c:pt idx="141">
                  <c:v>44032</c:v>
                </c:pt>
                <c:pt idx="142">
                  <c:v>44033</c:v>
                </c:pt>
                <c:pt idx="143">
                  <c:v>44034</c:v>
                </c:pt>
                <c:pt idx="144">
                  <c:v>44035</c:v>
                </c:pt>
                <c:pt idx="145">
                  <c:v>44036</c:v>
                </c:pt>
                <c:pt idx="146">
                  <c:v>44039</c:v>
                </c:pt>
                <c:pt idx="147">
                  <c:v>44040</c:v>
                </c:pt>
                <c:pt idx="148">
                  <c:v>44041</c:v>
                </c:pt>
                <c:pt idx="149">
                  <c:v>44042</c:v>
                </c:pt>
                <c:pt idx="150">
                  <c:v>44043</c:v>
                </c:pt>
                <c:pt idx="151">
                  <c:v>44046</c:v>
                </c:pt>
                <c:pt idx="152">
                  <c:v>44047</c:v>
                </c:pt>
                <c:pt idx="153">
                  <c:v>44048</c:v>
                </c:pt>
                <c:pt idx="154">
                  <c:v>44049</c:v>
                </c:pt>
                <c:pt idx="155">
                  <c:v>44050</c:v>
                </c:pt>
                <c:pt idx="156">
                  <c:v>44053</c:v>
                </c:pt>
                <c:pt idx="157">
                  <c:v>44054</c:v>
                </c:pt>
                <c:pt idx="158">
                  <c:v>44055</c:v>
                </c:pt>
                <c:pt idx="159">
                  <c:v>44056</c:v>
                </c:pt>
                <c:pt idx="160">
                  <c:v>44057</c:v>
                </c:pt>
                <c:pt idx="161">
                  <c:v>44060</c:v>
                </c:pt>
                <c:pt idx="162">
                  <c:v>44061</c:v>
                </c:pt>
                <c:pt idx="163">
                  <c:v>44062</c:v>
                </c:pt>
                <c:pt idx="164">
                  <c:v>44063</c:v>
                </c:pt>
                <c:pt idx="165">
                  <c:v>44064</c:v>
                </c:pt>
                <c:pt idx="166">
                  <c:v>44067</c:v>
                </c:pt>
                <c:pt idx="167">
                  <c:v>44068</c:v>
                </c:pt>
                <c:pt idx="168">
                  <c:v>44069</c:v>
                </c:pt>
                <c:pt idx="169">
                  <c:v>44070</c:v>
                </c:pt>
                <c:pt idx="170">
                  <c:v>44071</c:v>
                </c:pt>
                <c:pt idx="171">
                  <c:v>44074</c:v>
                </c:pt>
                <c:pt idx="172">
                  <c:v>44075</c:v>
                </c:pt>
                <c:pt idx="173">
                  <c:v>44076</c:v>
                </c:pt>
                <c:pt idx="174">
                  <c:v>44077</c:v>
                </c:pt>
                <c:pt idx="175">
                  <c:v>44078</c:v>
                </c:pt>
                <c:pt idx="176">
                  <c:v>44081</c:v>
                </c:pt>
                <c:pt idx="177">
                  <c:v>44082</c:v>
                </c:pt>
                <c:pt idx="178">
                  <c:v>44083</c:v>
                </c:pt>
                <c:pt idx="179">
                  <c:v>44084</c:v>
                </c:pt>
                <c:pt idx="180">
                  <c:v>44085</c:v>
                </c:pt>
                <c:pt idx="181">
                  <c:v>44088</c:v>
                </c:pt>
                <c:pt idx="182">
                  <c:v>44089</c:v>
                </c:pt>
                <c:pt idx="183">
                  <c:v>44090</c:v>
                </c:pt>
                <c:pt idx="184">
                  <c:v>44091</c:v>
                </c:pt>
                <c:pt idx="185">
                  <c:v>44092</c:v>
                </c:pt>
                <c:pt idx="186">
                  <c:v>44095</c:v>
                </c:pt>
                <c:pt idx="187">
                  <c:v>44096</c:v>
                </c:pt>
                <c:pt idx="188">
                  <c:v>44097</c:v>
                </c:pt>
                <c:pt idx="189">
                  <c:v>44098</c:v>
                </c:pt>
                <c:pt idx="190">
                  <c:v>44099</c:v>
                </c:pt>
                <c:pt idx="191">
                  <c:v>44102</c:v>
                </c:pt>
                <c:pt idx="192">
                  <c:v>44103</c:v>
                </c:pt>
                <c:pt idx="193">
                  <c:v>44104</c:v>
                </c:pt>
                <c:pt idx="194">
                  <c:v>44105</c:v>
                </c:pt>
                <c:pt idx="195">
                  <c:v>44106</c:v>
                </c:pt>
                <c:pt idx="196">
                  <c:v>44109</c:v>
                </c:pt>
                <c:pt idx="197">
                  <c:v>44110</c:v>
                </c:pt>
                <c:pt idx="198">
                  <c:v>44111</c:v>
                </c:pt>
                <c:pt idx="199">
                  <c:v>44112</c:v>
                </c:pt>
                <c:pt idx="200">
                  <c:v>44113</c:v>
                </c:pt>
                <c:pt idx="201">
                  <c:v>44116</c:v>
                </c:pt>
                <c:pt idx="202">
                  <c:v>44117</c:v>
                </c:pt>
                <c:pt idx="203">
                  <c:v>44118</c:v>
                </c:pt>
                <c:pt idx="204">
                  <c:v>44119</c:v>
                </c:pt>
                <c:pt idx="205">
                  <c:v>44120</c:v>
                </c:pt>
                <c:pt idx="206">
                  <c:v>44123</c:v>
                </c:pt>
                <c:pt idx="207">
                  <c:v>44124</c:v>
                </c:pt>
                <c:pt idx="208">
                  <c:v>44125</c:v>
                </c:pt>
                <c:pt idx="209">
                  <c:v>44126</c:v>
                </c:pt>
                <c:pt idx="210">
                  <c:v>44127</c:v>
                </c:pt>
                <c:pt idx="211">
                  <c:v>44130</c:v>
                </c:pt>
                <c:pt idx="212">
                  <c:v>44131</c:v>
                </c:pt>
                <c:pt idx="213">
                  <c:v>44132</c:v>
                </c:pt>
                <c:pt idx="214">
                  <c:v>44133</c:v>
                </c:pt>
                <c:pt idx="215">
                  <c:v>44134</c:v>
                </c:pt>
                <c:pt idx="216">
                  <c:v>44137</c:v>
                </c:pt>
                <c:pt idx="217">
                  <c:v>44138</c:v>
                </c:pt>
                <c:pt idx="218">
                  <c:v>44139</c:v>
                </c:pt>
                <c:pt idx="219">
                  <c:v>44140</c:v>
                </c:pt>
                <c:pt idx="220">
                  <c:v>44141</c:v>
                </c:pt>
                <c:pt idx="221">
                  <c:v>44144</c:v>
                </c:pt>
                <c:pt idx="222">
                  <c:v>44145</c:v>
                </c:pt>
                <c:pt idx="223">
                  <c:v>44146</c:v>
                </c:pt>
                <c:pt idx="224">
                  <c:v>44147</c:v>
                </c:pt>
                <c:pt idx="225">
                  <c:v>44148</c:v>
                </c:pt>
                <c:pt idx="226">
                  <c:v>44151</c:v>
                </c:pt>
                <c:pt idx="227">
                  <c:v>44152</c:v>
                </c:pt>
                <c:pt idx="228">
                  <c:v>44153</c:v>
                </c:pt>
                <c:pt idx="229">
                  <c:v>44154</c:v>
                </c:pt>
                <c:pt idx="230">
                  <c:v>44155</c:v>
                </c:pt>
                <c:pt idx="231">
                  <c:v>44158</c:v>
                </c:pt>
                <c:pt idx="232">
                  <c:v>44159</c:v>
                </c:pt>
                <c:pt idx="233">
                  <c:v>44160</c:v>
                </c:pt>
                <c:pt idx="234">
                  <c:v>44161</c:v>
                </c:pt>
                <c:pt idx="235">
                  <c:v>44162</c:v>
                </c:pt>
                <c:pt idx="236">
                  <c:v>44165</c:v>
                </c:pt>
                <c:pt idx="237">
                  <c:v>44166</c:v>
                </c:pt>
                <c:pt idx="238">
                  <c:v>44167</c:v>
                </c:pt>
                <c:pt idx="239">
                  <c:v>44168</c:v>
                </c:pt>
                <c:pt idx="240">
                  <c:v>44169</c:v>
                </c:pt>
                <c:pt idx="241">
                  <c:v>44172</c:v>
                </c:pt>
                <c:pt idx="242">
                  <c:v>44173</c:v>
                </c:pt>
                <c:pt idx="243">
                  <c:v>44174</c:v>
                </c:pt>
                <c:pt idx="244">
                  <c:v>44175</c:v>
                </c:pt>
                <c:pt idx="245">
                  <c:v>44176</c:v>
                </c:pt>
                <c:pt idx="246">
                  <c:v>44179</c:v>
                </c:pt>
                <c:pt idx="247">
                  <c:v>44180</c:v>
                </c:pt>
                <c:pt idx="248">
                  <c:v>44181</c:v>
                </c:pt>
                <c:pt idx="249">
                  <c:v>44182</c:v>
                </c:pt>
                <c:pt idx="250">
                  <c:v>44183</c:v>
                </c:pt>
                <c:pt idx="251">
                  <c:v>44186</c:v>
                </c:pt>
                <c:pt idx="252">
                  <c:v>44187</c:v>
                </c:pt>
                <c:pt idx="253">
                  <c:v>44188</c:v>
                </c:pt>
                <c:pt idx="254">
                  <c:v>44189</c:v>
                </c:pt>
                <c:pt idx="255">
                  <c:v>44193</c:v>
                </c:pt>
                <c:pt idx="256">
                  <c:v>44194</c:v>
                </c:pt>
                <c:pt idx="257">
                  <c:v>44195</c:v>
                </c:pt>
                <c:pt idx="258">
                  <c:v>44196</c:v>
                </c:pt>
                <c:pt idx="259">
                  <c:v>44200</c:v>
                </c:pt>
                <c:pt idx="260">
                  <c:v>44201</c:v>
                </c:pt>
                <c:pt idx="261">
                  <c:v>44202</c:v>
                </c:pt>
                <c:pt idx="262">
                  <c:v>44203</c:v>
                </c:pt>
                <c:pt idx="263">
                  <c:v>44204</c:v>
                </c:pt>
                <c:pt idx="264">
                  <c:v>44207</c:v>
                </c:pt>
                <c:pt idx="265">
                  <c:v>44208</c:v>
                </c:pt>
                <c:pt idx="266">
                  <c:v>44209</c:v>
                </c:pt>
                <c:pt idx="267">
                  <c:v>44210</c:v>
                </c:pt>
                <c:pt idx="268">
                  <c:v>44211</c:v>
                </c:pt>
                <c:pt idx="269">
                  <c:v>44214</c:v>
                </c:pt>
                <c:pt idx="270">
                  <c:v>44215</c:v>
                </c:pt>
                <c:pt idx="271">
                  <c:v>44216</c:v>
                </c:pt>
                <c:pt idx="272">
                  <c:v>44217</c:v>
                </c:pt>
                <c:pt idx="273">
                  <c:v>44218</c:v>
                </c:pt>
                <c:pt idx="274">
                  <c:v>44221</c:v>
                </c:pt>
                <c:pt idx="275">
                  <c:v>44222</c:v>
                </c:pt>
                <c:pt idx="276">
                  <c:v>44223</c:v>
                </c:pt>
                <c:pt idx="277">
                  <c:v>44224</c:v>
                </c:pt>
                <c:pt idx="278">
                  <c:v>44225</c:v>
                </c:pt>
                <c:pt idx="279">
                  <c:v>44228</c:v>
                </c:pt>
                <c:pt idx="280">
                  <c:v>44229</c:v>
                </c:pt>
                <c:pt idx="281">
                  <c:v>44230</c:v>
                </c:pt>
                <c:pt idx="282">
                  <c:v>44231</c:v>
                </c:pt>
                <c:pt idx="283">
                  <c:v>44232</c:v>
                </c:pt>
                <c:pt idx="284">
                  <c:v>44235</c:v>
                </c:pt>
                <c:pt idx="285">
                  <c:v>44236</c:v>
                </c:pt>
                <c:pt idx="286">
                  <c:v>44237</c:v>
                </c:pt>
                <c:pt idx="287">
                  <c:v>44238</c:v>
                </c:pt>
                <c:pt idx="288">
                  <c:v>44239</c:v>
                </c:pt>
                <c:pt idx="289">
                  <c:v>44242</c:v>
                </c:pt>
                <c:pt idx="290">
                  <c:v>44243</c:v>
                </c:pt>
                <c:pt idx="291">
                  <c:v>44244</c:v>
                </c:pt>
                <c:pt idx="292">
                  <c:v>44245</c:v>
                </c:pt>
                <c:pt idx="293">
                  <c:v>44246</c:v>
                </c:pt>
                <c:pt idx="294">
                  <c:v>44249</c:v>
                </c:pt>
                <c:pt idx="295">
                  <c:v>44250</c:v>
                </c:pt>
                <c:pt idx="296">
                  <c:v>44251</c:v>
                </c:pt>
                <c:pt idx="297">
                  <c:v>44252</c:v>
                </c:pt>
                <c:pt idx="298">
                  <c:v>44253</c:v>
                </c:pt>
                <c:pt idx="299">
                  <c:v>44256</c:v>
                </c:pt>
                <c:pt idx="300">
                  <c:v>44257</c:v>
                </c:pt>
                <c:pt idx="301">
                  <c:v>44258</c:v>
                </c:pt>
                <c:pt idx="302">
                  <c:v>44259</c:v>
                </c:pt>
                <c:pt idx="303">
                  <c:v>44260</c:v>
                </c:pt>
                <c:pt idx="304">
                  <c:v>44263</c:v>
                </c:pt>
                <c:pt idx="305">
                  <c:v>44264</c:v>
                </c:pt>
                <c:pt idx="306">
                  <c:v>44265</c:v>
                </c:pt>
                <c:pt idx="307">
                  <c:v>44266</c:v>
                </c:pt>
                <c:pt idx="308">
                  <c:v>44267</c:v>
                </c:pt>
                <c:pt idx="309">
                  <c:v>44270</c:v>
                </c:pt>
                <c:pt idx="310">
                  <c:v>44271</c:v>
                </c:pt>
                <c:pt idx="311">
                  <c:v>44272</c:v>
                </c:pt>
                <c:pt idx="312">
                  <c:v>44273</c:v>
                </c:pt>
                <c:pt idx="313">
                  <c:v>44274</c:v>
                </c:pt>
                <c:pt idx="314">
                  <c:v>44277</c:v>
                </c:pt>
                <c:pt idx="315">
                  <c:v>44278</c:v>
                </c:pt>
                <c:pt idx="316">
                  <c:v>44279</c:v>
                </c:pt>
                <c:pt idx="317">
                  <c:v>44280</c:v>
                </c:pt>
                <c:pt idx="318">
                  <c:v>44281</c:v>
                </c:pt>
                <c:pt idx="319">
                  <c:v>44284</c:v>
                </c:pt>
                <c:pt idx="320">
                  <c:v>44285</c:v>
                </c:pt>
                <c:pt idx="321">
                  <c:v>44286</c:v>
                </c:pt>
                <c:pt idx="322">
                  <c:v>44287</c:v>
                </c:pt>
                <c:pt idx="323">
                  <c:v>44288</c:v>
                </c:pt>
                <c:pt idx="324">
                  <c:v>44291</c:v>
                </c:pt>
                <c:pt idx="325">
                  <c:v>44292</c:v>
                </c:pt>
                <c:pt idx="326">
                  <c:v>44293</c:v>
                </c:pt>
                <c:pt idx="327">
                  <c:v>44294</c:v>
                </c:pt>
                <c:pt idx="328">
                  <c:v>44295</c:v>
                </c:pt>
                <c:pt idx="329">
                  <c:v>44298</c:v>
                </c:pt>
                <c:pt idx="330">
                  <c:v>44299</c:v>
                </c:pt>
                <c:pt idx="331">
                  <c:v>44300</c:v>
                </c:pt>
                <c:pt idx="332">
                  <c:v>44301</c:v>
                </c:pt>
                <c:pt idx="333">
                  <c:v>44302</c:v>
                </c:pt>
                <c:pt idx="334">
                  <c:v>44305</c:v>
                </c:pt>
                <c:pt idx="335">
                  <c:v>44306</c:v>
                </c:pt>
                <c:pt idx="336">
                  <c:v>44307</c:v>
                </c:pt>
                <c:pt idx="337">
                  <c:v>44308</c:v>
                </c:pt>
                <c:pt idx="338">
                  <c:v>44309</c:v>
                </c:pt>
                <c:pt idx="339">
                  <c:v>44312</c:v>
                </c:pt>
                <c:pt idx="340">
                  <c:v>44313</c:v>
                </c:pt>
                <c:pt idx="341">
                  <c:v>44314</c:v>
                </c:pt>
                <c:pt idx="342">
                  <c:v>44315</c:v>
                </c:pt>
                <c:pt idx="343">
                  <c:v>44316</c:v>
                </c:pt>
                <c:pt idx="344">
                  <c:v>44319</c:v>
                </c:pt>
                <c:pt idx="345">
                  <c:v>44320</c:v>
                </c:pt>
                <c:pt idx="346">
                  <c:v>44321</c:v>
                </c:pt>
                <c:pt idx="347">
                  <c:v>44322</c:v>
                </c:pt>
                <c:pt idx="348">
                  <c:v>44323</c:v>
                </c:pt>
                <c:pt idx="349">
                  <c:v>44326</c:v>
                </c:pt>
                <c:pt idx="350">
                  <c:v>44327</c:v>
                </c:pt>
                <c:pt idx="351">
                  <c:v>44328</c:v>
                </c:pt>
                <c:pt idx="352">
                  <c:v>44329</c:v>
                </c:pt>
                <c:pt idx="353">
                  <c:v>44330</c:v>
                </c:pt>
                <c:pt idx="354">
                  <c:v>44333</c:v>
                </c:pt>
                <c:pt idx="355">
                  <c:v>44334</c:v>
                </c:pt>
                <c:pt idx="356">
                  <c:v>44335</c:v>
                </c:pt>
                <c:pt idx="357">
                  <c:v>44336</c:v>
                </c:pt>
                <c:pt idx="358">
                  <c:v>44337</c:v>
                </c:pt>
                <c:pt idx="359">
                  <c:v>44340</c:v>
                </c:pt>
                <c:pt idx="360">
                  <c:v>44341</c:v>
                </c:pt>
                <c:pt idx="361">
                  <c:v>44342</c:v>
                </c:pt>
                <c:pt idx="362">
                  <c:v>44343</c:v>
                </c:pt>
                <c:pt idx="363">
                  <c:v>44344</c:v>
                </c:pt>
                <c:pt idx="364">
                  <c:v>44347</c:v>
                </c:pt>
                <c:pt idx="365">
                  <c:v>44348</c:v>
                </c:pt>
                <c:pt idx="366">
                  <c:v>44349</c:v>
                </c:pt>
                <c:pt idx="367">
                  <c:v>44350</c:v>
                </c:pt>
                <c:pt idx="368">
                  <c:v>44351</c:v>
                </c:pt>
                <c:pt idx="369">
                  <c:v>44354</c:v>
                </c:pt>
                <c:pt idx="370">
                  <c:v>44355</c:v>
                </c:pt>
                <c:pt idx="371">
                  <c:v>44356</c:v>
                </c:pt>
                <c:pt idx="372">
                  <c:v>44357</c:v>
                </c:pt>
                <c:pt idx="373">
                  <c:v>44358</c:v>
                </c:pt>
                <c:pt idx="374">
                  <c:v>44361</c:v>
                </c:pt>
                <c:pt idx="375">
                  <c:v>44362</c:v>
                </c:pt>
                <c:pt idx="376">
                  <c:v>44363</c:v>
                </c:pt>
                <c:pt idx="377">
                  <c:v>44364</c:v>
                </c:pt>
                <c:pt idx="378">
                  <c:v>44365</c:v>
                </c:pt>
                <c:pt idx="379">
                  <c:v>44368</c:v>
                </c:pt>
                <c:pt idx="380">
                  <c:v>44369</c:v>
                </c:pt>
                <c:pt idx="381">
                  <c:v>44370</c:v>
                </c:pt>
                <c:pt idx="382">
                  <c:v>44371</c:v>
                </c:pt>
                <c:pt idx="383">
                  <c:v>44372</c:v>
                </c:pt>
                <c:pt idx="384">
                  <c:v>44375</c:v>
                </c:pt>
                <c:pt idx="385">
                  <c:v>44376</c:v>
                </c:pt>
                <c:pt idx="386">
                  <c:v>44377</c:v>
                </c:pt>
                <c:pt idx="387">
                  <c:v>44378</c:v>
                </c:pt>
                <c:pt idx="388">
                  <c:v>44379</c:v>
                </c:pt>
                <c:pt idx="389">
                  <c:v>44382</c:v>
                </c:pt>
                <c:pt idx="390">
                  <c:v>44383</c:v>
                </c:pt>
                <c:pt idx="391">
                  <c:v>44384</c:v>
                </c:pt>
                <c:pt idx="392">
                  <c:v>44385</c:v>
                </c:pt>
                <c:pt idx="393">
                  <c:v>44386</c:v>
                </c:pt>
                <c:pt idx="394">
                  <c:v>44389</c:v>
                </c:pt>
                <c:pt idx="395">
                  <c:v>44390</c:v>
                </c:pt>
                <c:pt idx="396">
                  <c:v>44391</c:v>
                </c:pt>
                <c:pt idx="397">
                  <c:v>44392</c:v>
                </c:pt>
                <c:pt idx="398">
                  <c:v>44393</c:v>
                </c:pt>
                <c:pt idx="399">
                  <c:v>44396</c:v>
                </c:pt>
                <c:pt idx="400">
                  <c:v>44397</c:v>
                </c:pt>
                <c:pt idx="401">
                  <c:v>44398</c:v>
                </c:pt>
                <c:pt idx="402">
                  <c:v>44399</c:v>
                </c:pt>
                <c:pt idx="403">
                  <c:v>44400</c:v>
                </c:pt>
                <c:pt idx="404">
                  <c:v>44403</c:v>
                </c:pt>
                <c:pt idx="405">
                  <c:v>44404</c:v>
                </c:pt>
                <c:pt idx="406">
                  <c:v>44405</c:v>
                </c:pt>
                <c:pt idx="407">
                  <c:v>44406</c:v>
                </c:pt>
                <c:pt idx="408">
                  <c:v>44407</c:v>
                </c:pt>
                <c:pt idx="409">
                  <c:v>44410</c:v>
                </c:pt>
                <c:pt idx="410">
                  <c:v>44411</c:v>
                </c:pt>
                <c:pt idx="411">
                  <c:v>44412</c:v>
                </c:pt>
                <c:pt idx="412">
                  <c:v>44413</c:v>
                </c:pt>
                <c:pt idx="413">
                  <c:v>44414</c:v>
                </c:pt>
                <c:pt idx="414">
                  <c:v>44417</c:v>
                </c:pt>
                <c:pt idx="415">
                  <c:v>44418</c:v>
                </c:pt>
                <c:pt idx="416">
                  <c:v>44419</c:v>
                </c:pt>
                <c:pt idx="417">
                  <c:v>44420</c:v>
                </c:pt>
                <c:pt idx="418">
                  <c:v>44421</c:v>
                </c:pt>
                <c:pt idx="419">
                  <c:v>44424</c:v>
                </c:pt>
                <c:pt idx="420">
                  <c:v>44425</c:v>
                </c:pt>
                <c:pt idx="421">
                  <c:v>44426</c:v>
                </c:pt>
                <c:pt idx="422">
                  <c:v>44427</c:v>
                </c:pt>
                <c:pt idx="423">
                  <c:v>44428</c:v>
                </c:pt>
                <c:pt idx="424">
                  <c:v>44431</c:v>
                </c:pt>
                <c:pt idx="425">
                  <c:v>44432</c:v>
                </c:pt>
                <c:pt idx="426">
                  <c:v>44433</c:v>
                </c:pt>
                <c:pt idx="427">
                  <c:v>44434</c:v>
                </c:pt>
                <c:pt idx="428">
                  <c:v>44435</c:v>
                </c:pt>
                <c:pt idx="429">
                  <c:v>44438</c:v>
                </c:pt>
                <c:pt idx="430">
                  <c:v>44439</c:v>
                </c:pt>
                <c:pt idx="431">
                  <c:v>44440</c:v>
                </c:pt>
                <c:pt idx="432">
                  <c:v>44441</c:v>
                </c:pt>
                <c:pt idx="433">
                  <c:v>44442</c:v>
                </c:pt>
                <c:pt idx="434">
                  <c:v>44445</c:v>
                </c:pt>
                <c:pt idx="435">
                  <c:v>44446</c:v>
                </c:pt>
                <c:pt idx="436">
                  <c:v>44447</c:v>
                </c:pt>
                <c:pt idx="437">
                  <c:v>44448</c:v>
                </c:pt>
                <c:pt idx="438">
                  <c:v>44449</c:v>
                </c:pt>
                <c:pt idx="439">
                  <c:v>44452</c:v>
                </c:pt>
                <c:pt idx="440">
                  <c:v>44453</c:v>
                </c:pt>
                <c:pt idx="441">
                  <c:v>44454</c:v>
                </c:pt>
                <c:pt idx="442">
                  <c:v>44455</c:v>
                </c:pt>
                <c:pt idx="443">
                  <c:v>44456</c:v>
                </c:pt>
                <c:pt idx="444">
                  <c:v>44459</c:v>
                </c:pt>
                <c:pt idx="445">
                  <c:v>44460</c:v>
                </c:pt>
                <c:pt idx="446">
                  <c:v>44461</c:v>
                </c:pt>
                <c:pt idx="447">
                  <c:v>44462</c:v>
                </c:pt>
                <c:pt idx="448">
                  <c:v>44463</c:v>
                </c:pt>
                <c:pt idx="449">
                  <c:v>44466</c:v>
                </c:pt>
                <c:pt idx="450">
                  <c:v>44467</c:v>
                </c:pt>
                <c:pt idx="451">
                  <c:v>44468</c:v>
                </c:pt>
                <c:pt idx="452">
                  <c:v>44469</c:v>
                </c:pt>
                <c:pt idx="453">
                  <c:v>44470</c:v>
                </c:pt>
                <c:pt idx="454">
                  <c:v>44473</c:v>
                </c:pt>
                <c:pt idx="455">
                  <c:v>44474</c:v>
                </c:pt>
                <c:pt idx="456">
                  <c:v>44475</c:v>
                </c:pt>
                <c:pt idx="457">
                  <c:v>44476</c:v>
                </c:pt>
                <c:pt idx="458">
                  <c:v>44477</c:v>
                </c:pt>
                <c:pt idx="459">
                  <c:v>44480</c:v>
                </c:pt>
                <c:pt idx="460">
                  <c:v>44481</c:v>
                </c:pt>
                <c:pt idx="461">
                  <c:v>44482</c:v>
                </c:pt>
                <c:pt idx="462">
                  <c:v>44483</c:v>
                </c:pt>
                <c:pt idx="463">
                  <c:v>44484</c:v>
                </c:pt>
                <c:pt idx="464">
                  <c:v>44487</c:v>
                </c:pt>
                <c:pt idx="465">
                  <c:v>44488</c:v>
                </c:pt>
                <c:pt idx="466">
                  <c:v>44489</c:v>
                </c:pt>
                <c:pt idx="467">
                  <c:v>44490</c:v>
                </c:pt>
                <c:pt idx="468">
                  <c:v>44491</c:v>
                </c:pt>
                <c:pt idx="469">
                  <c:v>44494</c:v>
                </c:pt>
                <c:pt idx="470">
                  <c:v>44495</c:v>
                </c:pt>
                <c:pt idx="471">
                  <c:v>44496</c:v>
                </c:pt>
                <c:pt idx="472">
                  <c:v>44497</c:v>
                </c:pt>
                <c:pt idx="473">
                  <c:v>44498</c:v>
                </c:pt>
                <c:pt idx="474">
                  <c:v>44501</c:v>
                </c:pt>
                <c:pt idx="475">
                  <c:v>44502</c:v>
                </c:pt>
                <c:pt idx="476">
                  <c:v>44503</c:v>
                </c:pt>
                <c:pt idx="477">
                  <c:v>44504</c:v>
                </c:pt>
                <c:pt idx="478">
                  <c:v>44505</c:v>
                </c:pt>
                <c:pt idx="479">
                  <c:v>44508</c:v>
                </c:pt>
                <c:pt idx="480">
                  <c:v>44509</c:v>
                </c:pt>
                <c:pt idx="481">
                  <c:v>44510</c:v>
                </c:pt>
                <c:pt idx="482">
                  <c:v>44511</c:v>
                </c:pt>
                <c:pt idx="483">
                  <c:v>44512</c:v>
                </c:pt>
                <c:pt idx="484">
                  <c:v>44515</c:v>
                </c:pt>
                <c:pt idx="485">
                  <c:v>44516</c:v>
                </c:pt>
                <c:pt idx="486">
                  <c:v>44517</c:v>
                </c:pt>
                <c:pt idx="487">
                  <c:v>44518</c:v>
                </c:pt>
                <c:pt idx="488">
                  <c:v>44519</c:v>
                </c:pt>
                <c:pt idx="489">
                  <c:v>44522</c:v>
                </c:pt>
                <c:pt idx="490">
                  <c:v>44523</c:v>
                </c:pt>
                <c:pt idx="491">
                  <c:v>44524</c:v>
                </c:pt>
                <c:pt idx="492">
                  <c:v>44525</c:v>
                </c:pt>
                <c:pt idx="493">
                  <c:v>44526</c:v>
                </c:pt>
                <c:pt idx="494">
                  <c:v>44529</c:v>
                </c:pt>
                <c:pt idx="495">
                  <c:v>44530</c:v>
                </c:pt>
                <c:pt idx="496">
                  <c:v>44531</c:v>
                </c:pt>
                <c:pt idx="497">
                  <c:v>44532</c:v>
                </c:pt>
                <c:pt idx="498">
                  <c:v>44533</c:v>
                </c:pt>
                <c:pt idx="499">
                  <c:v>44536</c:v>
                </c:pt>
                <c:pt idx="500">
                  <c:v>44537</c:v>
                </c:pt>
                <c:pt idx="501">
                  <c:v>44538</c:v>
                </c:pt>
                <c:pt idx="502">
                  <c:v>44539</c:v>
                </c:pt>
                <c:pt idx="503">
                  <c:v>44540</c:v>
                </c:pt>
                <c:pt idx="504">
                  <c:v>44543</c:v>
                </c:pt>
                <c:pt idx="505">
                  <c:v>44544</c:v>
                </c:pt>
                <c:pt idx="506">
                  <c:v>44545</c:v>
                </c:pt>
                <c:pt idx="507">
                  <c:v>44546</c:v>
                </c:pt>
                <c:pt idx="508">
                  <c:v>44547</c:v>
                </c:pt>
                <c:pt idx="509">
                  <c:v>44550</c:v>
                </c:pt>
                <c:pt idx="510">
                  <c:v>44551</c:v>
                </c:pt>
                <c:pt idx="511">
                  <c:v>44552</c:v>
                </c:pt>
                <c:pt idx="512">
                  <c:v>44553</c:v>
                </c:pt>
                <c:pt idx="513">
                  <c:v>44557</c:v>
                </c:pt>
                <c:pt idx="514">
                  <c:v>44558</c:v>
                </c:pt>
                <c:pt idx="515">
                  <c:v>44559</c:v>
                </c:pt>
                <c:pt idx="516">
                  <c:v>44560</c:v>
                </c:pt>
                <c:pt idx="517">
                  <c:v>44561</c:v>
                </c:pt>
                <c:pt idx="518">
                  <c:v>44564</c:v>
                </c:pt>
                <c:pt idx="519">
                  <c:v>44565</c:v>
                </c:pt>
                <c:pt idx="520">
                  <c:v>44566</c:v>
                </c:pt>
                <c:pt idx="521">
                  <c:v>44567</c:v>
                </c:pt>
                <c:pt idx="522">
                  <c:v>44568</c:v>
                </c:pt>
                <c:pt idx="523">
                  <c:v>44571</c:v>
                </c:pt>
                <c:pt idx="524">
                  <c:v>44572</c:v>
                </c:pt>
                <c:pt idx="525">
                  <c:v>44573</c:v>
                </c:pt>
                <c:pt idx="526">
                  <c:v>44574</c:v>
                </c:pt>
                <c:pt idx="527">
                  <c:v>44575</c:v>
                </c:pt>
                <c:pt idx="528">
                  <c:v>44578</c:v>
                </c:pt>
                <c:pt idx="529">
                  <c:v>44579</c:v>
                </c:pt>
                <c:pt idx="530">
                  <c:v>44580</c:v>
                </c:pt>
                <c:pt idx="531">
                  <c:v>44581</c:v>
                </c:pt>
                <c:pt idx="532">
                  <c:v>44582</c:v>
                </c:pt>
                <c:pt idx="533">
                  <c:v>44585</c:v>
                </c:pt>
                <c:pt idx="534">
                  <c:v>44586</c:v>
                </c:pt>
                <c:pt idx="535">
                  <c:v>44587</c:v>
                </c:pt>
                <c:pt idx="536">
                  <c:v>44588</c:v>
                </c:pt>
                <c:pt idx="537">
                  <c:v>44589</c:v>
                </c:pt>
                <c:pt idx="538">
                  <c:v>44592</c:v>
                </c:pt>
                <c:pt idx="539">
                  <c:v>44593</c:v>
                </c:pt>
                <c:pt idx="540">
                  <c:v>44594</c:v>
                </c:pt>
                <c:pt idx="541">
                  <c:v>44595</c:v>
                </c:pt>
                <c:pt idx="542">
                  <c:v>44596</c:v>
                </c:pt>
                <c:pt idx="543">
                  <c:v>44599</c:v>
                </c:pt>
                <c:pt idx="544">
                  <c:v>44600</c:v>
                </c:pt>
                <c:pt idx="545">
                  <c:v>44601</c:v>
                </c:pt>
                <c:pt idx="546">
                  <c:v>44602</c:v>
                </c:pt>
                <c:pt idx="547">
                  <c:v>44603</c:v>
                </c:pt>
                <c:pt idx="548">
                  <c:v>44606</c:v>
                </c:pt>
                <c:pt idx="549">
                  <c:v>44607</c:v>
                </c:pt>
                <c:pt idx="550">
                  <c:v>44608</c:v>
                </c:pt>
                <c:pt idx="551">
                  <c:v>44609</c:v>
                </c:pt>
                <c:pt idx="552">
                  <c:v>44610</c:v>
                </c:pt>
                <c:pt idx="553">
                  <c:v>44613</c:v>
                </c:pt>
                <c:pt idx="554">
                  <c:v>44614</c:v>
                </c:pt>
                <c:pt idx="555">
                  <c:v>44615</c:v>
                </c:pt>
                <c:pt idx="556">
                  <c:v>44616</c:v>
                </c:pt>
                <c:pt idx="557">
                  <c:v>44617</c:v>
                </c:pt>
                <c:pt idx="558">
                  <c:v>44620</c:v>
                </c:pt>
                <c:pt idx="559">
                  <c:v>44621</c:v>
                </c:pt>
                <c:pt idx="560">
                  <c:v>44622</c:v>
                </c:pt>
                <c:pt idx="561">
                  <c:v>44623</c:v>
                </c:pt>
                <c:pt idx="562">
                  <c:v>44624</c:v>
                </c:pt>
                <c:pt idx="563">
                  <c:v>44627</c:v>
                </c:pt>
                <c:pt idx="564">
                  <c:v>44628</c:v>
                </c:pt>
                <c:pt idx="565">
                  <c:v>44629</c:v>
                </c:pt>
                <c:pt idx="566">
                  <c:v>44630</c:v>
                </c:pt>
                <c:pt idx="567">
                  <c:v>44631</c:v>
                </c:pt>
                <c:pt idx="568">
                  <c:v>44634</c:v>
                </c:pt>
                <c:pt idx="569">
                  <c:v>44635</c:v>
                </c:pt>
                <c:pt idx="570">
                  <c:v>44636</c:v>
                </c:pt>
                <c:pt idx="571">
                  <c:v>44637</c:v>
                </c:pt>
                <c:pt idx="572">
                  <c:v>44638</c:v>
                </c:pt>
                <c:pt idx="573">
                  <c:v>44641</c:v>
                </c:pt>
                <c:pt idx="574">
                  <c:v>44642</c:v>
                </c:pt>
                <c:pt idx="575">
                  <c:v>44643</c:v>
                </c:pt>
                <c:pt idx="576">
                  <c:v>44644</c:v>
                </c:pt>
                <c:pt idx="577">
                  <c:v>44645</c:v>
                </c:pt>
                <c:pt idx="578">
                  <c:v>44648</c:v>
                </c:pt>
                <c:pt idx="579">
                  <c:v>44649</c:v>
                </c:pt>
                <c:pt idx="580">
                  <c:v>44650</c:v>
                </c:pt>
                <c:pt idx="581">
                  <c:v>44651</c:v>
                </c:pt>
                <c:pt idx="582">
                  <c:v>44652</c:v>
                </c:pt>
                <c:pt idx="583">
                  <c:v>44655</c:v>
                </c:pt>
                <c:pt idx="584">
                  <c:v>44656</c:v>
                </c:pt>
                <c:pt idx="585">
                  <c:v>44657</c:v>
                </c:pt>
                <c:pt idx="586">
                  <c:v>44658</c:v>
                </c:pt>
                <c:pt idx="587">
                  <c:v>44659</c:v>
                </c:pt>
                <c:pt idx="588">
                  <c:v>44662</c:v>
                </c:pt>
                <c:pt idx="589">
                  <c:v>44663</c:v>
                </c:pt>
                <c:pt idx="590">
                  <c:v>44664</c:v>
                </c:pt>
                <c:pt idx="591">
                  <c:v>44665</c:v>
                </c:pt>
                <c:pt idx="592">
                  <c:v>44669</c:v>
                </c:pt>
                <c:pt idx="593">
                  <c:v>44670</c:v>
                </c:pt>
                <c:pt idx="594">
                  <c:v>44671</c:v>
                </c:pt>
                <c:pt idx="595">
                  <c:v>44672</c:v>
                </c:pt>
                <c:pt idx="596">
                  <c:v>44673</c:v>
                </c:pt>
                <c:pt idx="597">
                  <c:v>44676</c:v>
                </c:pt>
                <c:pt idx="598">
                  <c:v>44677</c:v>
                </c:pt>
                <c:pt idx="599">
                  <c:v>44678</c:v>
                </c:pt>
                <c:pt idx="600">
                  <c:v>44679</c:v>
                </c:pt>
                <c:pt idx="601">
                  <c:v>44680</c:v>
                </c:pt>
                <c:pt idx="602">
                  <c:v>44683</c:v>
                </c:pt>
                <c:pt idx="603">
                  <c:v>44684</c:v>
                </c:pt>
                <c:pt idx="604">
                  <c:v>44685</c:v>
                </c:pt>
                <c:pt idx="605">
                  <c:v>44686</c:v>
                </c:pt>
                <c:pt idx="606">
                  <c:v>44687</c:v>
                </c:pt>
                <c:pt idx="607">
                  <c:v>44690</c:v>
                </c:pt>
                <c:pt idx="608">
                  <c:v>44691</c:v>
                </c:pt>
                <c:pt idx="609">
                  <c:v>44692</c:v>
                </c:pt>
                <c:pt idx="610">
                  <c:v>44693</c:v>
                </c:pt>
                <c:pt idx="611">
                  <c:v>44694</c:v>
                </c:pt>
                <c:pt idx="612">
                  <c:v>44697</c:v>
                </c:pt>
                <c:pt idx="613">
                  <c:v>44698</c:v>
                </c:pt>
                <c:pt idx="614">
                  <c:v>44699</c:v>
                </c:pt>
                <c:pt idx="615">
                  <c:v>44700</c:v>
                </c:pt>
                <c:pt idx="616">
                  <c:v>44701</c:v>
                </c:pt>
                <c:pt idx="617">
                  <c:v>44704</c:v>
                </c:pt>
                <c:pt idx="618">
                  <c:v>44705</c:v>
                </c:pt>
                <c:pt idx="619">
                  <c:v>44706</c:v>
                </c:pt>
                <c:pt idx="620">
                  <c:v>44707</c:v>
                </c:pt>
                <c:pt idx="621">
                  <c:v>44708</c:v>
                </c:pt>
                <c:pt idx="622">
                  <c:v>44711</c:v>
                </c:pt>
                <c:pt idx="623">
                  <c:v>44712</c:v>
                </c:pt>
                <c:pt idx="624">
                  <c:v>44713</c:v>
                </c:pt>
                <c:pt idx="625">
                  <c:v>44714</c:v>
                </c:pt>
                <c:pt idx="626">
                  <c:v>44715</c:v>
                </c:pt>
                <c:pt idx="627">
                  <c:v>44718</c:v>
                </c:pt>
                <c:pt idx="628">
                  <c:v>44719</c:v>
                </c:pt>
                <c:pt idx="629">
                  <c:v>44720</c:v>
                </c:pt>
                <c:pt idx="630">
                  <c:v>44721</c:v>
                </c:pt>
                <c:pt idx="631">
                  <c:v>44722</c:v>
                </c:pt>
                <c:pt idx="632">
                  <c:v>44725</c:v>
                </c:pt>
                <c:pt idx="633">
                  <c:v>44726</c:v>
                </c:pt>
                <c:pt idx="634">
                  <c:v>44727</c:v>
                </c:pt>
                <c:pt idx="635">
                  <c:v>44728</c:v>
                </c:pt>
                <c:pt idx="636">
                  <c:v>44729</c:v>
                </c:pt>
                <c:pt idx="637">
                  <c:v>44732</c:v>
                </c:pt>
                <c:pt idx="638">
                  <c:v>44733</c:v>
                </c:pt>
                <c:pt idx="639">
                  <c:v>44734</c:v>
                </c:pt>
                <c:pt idx="640">
                  <c:v>44735</c:v>
                </c:pt>
                <c:pt idx="641">
                  <c:v>44736</c:v>
                </c:pt>
                <c:pt idx="642">
                  <c:v>44739</c:v>
                </c:pt>
                <c:pt idx="643">
                  <c:v>44740</c:v>
                </c:pt>
                <c:pt idx="644">
                  <c:v>44741</c:v>
                </c:pt>
                <c:pt idx="645">
                  <c:v>44742</c:v>
                </c:pt>
                <c:pt idx="646">
                  <c:v>44743</c:v>
                </c:pt>
                <c:pt idx="647">
                  <c:v>44746</c:v>
                </c:pt>
                <c:pt idx="648">
                  <c:v>44747</c:v>
                </c:pt>
                <c:pt idx="649">
                  <c:v>44748</c:v>
                </c:pt>
                <c:pt idx="650">
                  <c:v>44749</c:v>
                </c:pt>
                <c:pt idx="651">
                  <c:v>44750</c:v>
                </c:pt>
                <c:pt idx="652">
                  <c:v>44753</c:v>
                </c:pt>
                <c:pt idx="653">
                  <c:v>44754</c:v>
                </c:pt>
                <c:pt idx="654">
                  <c:v>44755</c:v>
                </c:pt>
                <c:pt idx="655">
                  <c:v>44756</c:v>
                </c:pt>
                <c:pt idx="656">
                  <c:v>44757</c:v>
                </c:pt>
                <c:pt idx="657">
                  <c:v>44760</c:v>
                </c:pt>
                <c:pt idx="658">
                  <c:v>44761</c:v>
                </c:pt>
                <c:pt idx="659">
                  <c:v>44762</c:v>
                </c:pt>
                <c:pt idx="660">
                  <c:v>44763</c:v>
                </c:pt>
                <c:pt idx="661">
                  <c:v>44764</c:v>
                </c:pt>
                <c:pt idx="662">
                  <c:v>44767</c:v>
                </c:pt>
                <c:pt idx="663">
                  <c:v>44768</c:v>
                </c:pt>
                <c:pt idx="664">
                  <c:v>44769</c:v>
                </c:pt>
                <c:pt idx="665">
                  <c:v>44770</c:v>
                </c:pt>
                <c:pt idx="666">
                  <c:v>44771</c:v>
                </c:pt>
                <c:pt idx="667">
                  <c:v>44774</c:v>
                </c:pt>
                <c:pt idx="668">
                  <c:v>44775</c:v>
                </c:pt>
                <c:pt idx="669">
                  <c:v>44776</c:v>
                </c:pt>
                <c:pt idx="670">
                  <c:v>44777</c:v>
                </c:pt>
                <c:pt idx="671">
                  <c:v>44778</c:v>
                </c:pt>
                <c:pt idx="672">
                  <c:v>44781</c:v>
                </c:pt>
                <c:pt idx="673">
                  <c:v>44782</c:v>
                </c:pt>
                <c:pt idx="674">
                  <c:v>44783</c:v>
                </c:pt>
                <c:pt idx="675">
                  <c:v>44784</c:v>
                </c:pt>
                <c:pt idx="676">
                  <c:v>44785</c:v>
                </c:pt>
                <c:pt idx="677">
                  <c:v>44788</c:v>
                </c:pt>
                <c:pt idx="678">
                  <c:v>44789</c:v>
                </c:pt>
                <c:pt idx="679">
                  <c:v>44790</c:v>
                </c:pt>
                <c:pt idx="680">
                  <c:v>44791</c:v>
                </c:pt>
                <c:pt idx="681">
                  <c:v>44792</c:v>
                </c:pt>
                <c:pt idx="682">
                  <c:v>44795</c:v>
                </c:pt>
                <c:pt idx="683">
                  <c:v>44796</c:v>
                </c:pt>
                <c:pt idx="684">
                  <c:v>44797</c:v>
                </c:pt>
                <c:pt idx="685">
                  <c:v>44798</c:v>
                </c:pt>
                <c:pt idx="686">
                  <c:v>44799</c:v>
                </c:pt>
                <c:pt idx="687">
                  <c:v>44802</c:v>
                </c:pt>
                <c:pt idx="688">
                  <c:v>44803</c:v>
                </c:pt>
                <c:pt idx="689">
                  <c:v>44804</c:v>
                </c:pt>
                <c:pt idx="690">
                  <c:v>44805</c:v>
                </c:pt>
                <c:pt idx="691">
                  <c:v>44806</c:v>
                </c:pt>
                <c:pt idx="692">
                  <c:v>44809</c:v>
                </c:pt>
                <c:pt idx="693">
                  <c:v>44810</c:v>
                </c:pt>
                <c:pt idx="694">
                  <c:v>44811</c:v>
                </c:pt>
                <c:pt idx="695">
                  <c:v>44812</c:v>
                </c:pt>
                <c:pt idx="696">
                  <c:v>44813</c:v>
                </c:pt>
                <c:pt idx="697">
                  <c:v>44816</c:v>
                </c:pt>
                <c:pt idx="698">
                  <c:v>44817</c:v>
                </c:pt>
                <c:pt idx="699">
                  <c:v>44818</c:v>
                </c:pt>
                <c:pt idx="700">
                  <c:v>44819</c:v>
                </c:pt>
                <c:pt idx="701">
                  <c:v>44820</c:v>
                </c:pt>
                <c:pt idx="702">
                  <c:v>44823</c:v>
                </c:pt>
                <c:pt idx="703">
                  <c:v>44824</c:v>
                </c:pt>
                <c:pt idx="704">
                  <c:v>44825</c:v>
                </c:pt>
                <c:pt idx="705">
                  <c:v>44826</c:v>
                </c:pt>
                <c:pt idx="706">
                  <c:v>44827</c:v>
                </c:pt>
                <c:pt idx="707">
                  <c:v>44830</c:v>
                </c:pt>
                <c:pt idx="708">
                  <c:v>44831</c:v>
                </c:pt>
                <c:pt idx="709">
                  <c:v>44832</c:v>
                </c:pt>
                <c:pt idx="710">
                  <c:v>44833</c:v>
                </c:pt>
                <c:pt idx="711">
                  <c:v>44834</c:v>
                </c:pt>
                <c:pt idx="712">
                  <c:v>44837</c:v>
                </c:pt>
                <c:pt idx="713">
                  <c:v>44838</c:v>
                </c:pt>
                <c:pt idx="714">
                  <c:v>44839</c:v>
                </c:pt>
                <c:pt idx="715">
                  <c:v>44840</c:v>
                </c:pt>
                <c:pt idx="716">
                  <c:v>44841</c:v>
                </c:pt>
                <c:pt idx="717">
                  <c:v>44844</c:v>
                </c:pt>
                <c:pt idx="718">
                  <c:v>44845</c:v>
                </c:pt>
                <c:pt idx="719">
                  <c:v>44846</c:v>
                </c:pt>
                <c:pt idx="720">
                  <c:v>44847</c:v>
                </c:pt>
                <c:pt idx="721">
                  <c:v>44848</c:v>
                </c:pt>
                <c:pt idx="722">
                  <c:v>44851</c:v>
                </c:pt>
                <c:pt idx="723">
                  <c:v>44852</c:v>
                </c:pt>
                <c:pt idx="724">
                  <c:v>44853</c:v>
                </c:pt>
                <c:pt idx="725">
                  <c:v>44854</c:v>
                </c:pt>
                <c:pt idx="726">
                  <c:v>44855</c:v>
                </c:pt>
                <c:pt idx="727">
                  <c:v>44858</c:v>
                </c:pt>
                <c:pt idx="728">
                  <c:v>44859</c:v>
                </c:pt>
                <c:pt idx="729">
                  <c:v>44860</c:v>
                </c:pt>
                <c:pt idx="730">
                  <c:v>44861</c:v>
                </c:pt>
                <c:pt idx="731">
                  <c:v>44862</c:v>
                </c:pt>
                <c:pt idx="732">
                  <c:v>44865</c:v>
                </c:pt>
                <c:pt idx="733">
                  <c:v>44866</c:v>
                </c:pt>
                <c:pt idx="734">
                  <c:v>44867</c:v>
                </c:pt>
                <c:pt idx="735">
                  <c:v>44868</c:v>
                </c:pt>
                <c:pt idx="736">
                  <c:v>44869</c:v>
                </c:pt>
                <c:pt idx="737">
                  <c:v>44872</c:v>
                </c:pt>
                <c:pt idx="738">
                  <c:v>44873</c:v>
                </c:pt>
                <c:pt idx="739">
                  <c:v>44874</c:v>
                </c:pt>
                <c:pt idx="740">
                  <c:v>44875</c:v>
                </c:pt>
                <c:pt idx="741">
                  <c:v>44876</c:v>
                </c:pt>
                <c:pt idx="742">
                  <c:v>44879</c:v>
                </c:pt>
                <c:pt idx="743">
                  <c:v>44880</c:v>
                </c:pt>
                <c:pt idx="744">
                  <c:v>44881</c:v>
                </c:pt>
                <c:pt idx="745">
                  <c:v>44882</c:v>
                </c:pt>
                <c:pt idx="746">
                  <c:v>44883</c:v>
                </c:pt>
                <c:pt idx="747">
                  <c:v>44886</c:v>
                </c:pt>
                <c:pt idx="748">
                  <c:v>44887</c:v>
                </c:pt>
                <c:pt idx="749">
                  <c:v>44888</c:v>
                </c:pt>
                <c:pt idx="750">
                  <c:v>44889</c:v>
                </c:pt>
                <c:pt idx="751">
                  <c:v>44890</c:v>
                </c:pt>
                <c:pt idx="752">
                  <c:v>44893</c:v>
                </c:pt>
                <c:pt idx="753">
                  <c:v>44894</c:v>
                </c:pt>
                <c:pt idx="754">
                  <c:v>44895</c:v>
                </c:pt>
                <c:pt idx="755">
                  <c:v>44896</c:v>
                </c:pt>
                <c:pt idx="756">
                  <c:v>44897</c:v>
                </c:pt>
                <c:pt idx="757">
                  <c:v>44900</c:v>
                </c:pt>
                <c:pt idx="758">
                  <c:v>44901</c:v>
                </c:pt>
                <c:pt idx="759">
                  <c:v>44902</c:v>
                </c:pt>
                <c:pt idx="760">
                  <c:v>44903</c:v>
                </c:pt>
                <c:pt idx="761">
                  <c:v>44904</c:v>
                </c:pt>
                <c:pt idx="762">
                  <c:v>44907</c:v>
                </c:pt>
                <c:pt idx="763">
                  <c:v>44908</c:v>
                </c:pt>
                <c:pt idx="764">
                  <c:v>44909</c:v>
                </c:pt>
                <c:pt idx="765">
                  <c:v>44910</c:v>
                </c:pt>
                <c:pt idx="766">
                  <c:v>44911</c:v>
                </c:pt>
                <c:pt idx="767">
                  <c:v>44914</c:v>
                </c:pt>
                <c:pt idx="768">
                  <c:v>44915</c:v>
                </c:pt>
                <c:pt idx="769">
                  <c:v>44916</c:v>
                </c:pt>
                <c:pt idx="770">
                  <c:v>44917</c:v>
                </c:pt>
                <c:pt idx="771">
                  <c:v>44918</c:v>
                </c:pt>
                <c:pt idx="772">
                  <c:v>44922</c:v>
                </c:pt>
                <c:pt idx="773">
                  <c:v>44923</c:v>
                </c:pt>
                <c:pt idx="774">
                  <c:v>44924</c:v>
                </c:pt>
                <c:pt idx="775">
                  <c:v>44925</c:v>
                </c:pt>
                <c:pt idx="776">
                  <c:v>44929</c:v>
                </c:pt>
                <c:pt idx="777">
                  <c:v>44930</c:v>
                </c:pt>
                <c:pt idx="778">
                  <c:v>44931</c:v>
                </c:pt>
                <c:pt idx="779">
                  <c:v>44932</c:v>
                </c:pt>
                <c:pt idx="780">
                  <c:v>44935</c:v>
                </c:pt>
                <c:pt idx="781">
                  <c:v>44936</c:v>
                </c:pt>
                <c:pt idx="782">
                  <c:v>44937</c:v>
                </c:pt>
                <c:pt idx="783">
                  <c:v>44938</c:v>
                </c:pt>
                <c:pt idx="784">
                  <c:v>44939</c:v>
                </c:pt>
                <c:pt idx="785">
                  <c:v>44942</c:v>
                </c:pt>
                <c:pt idx="786">
                  <c:v>44943</c:v>
                </c:pt>
                <c:pt idx="787">
                  <c:v>44944</c:v>
                </c:pt>
                <c:pt idx="788">
                  <c:v>44945</c:v>
                </c:pt>
                <c:pt idx="789">
                  <c:v>44946</c:v>
                </c:pt>
                <c:pt idx="790">
                  <c:v>44949</c:v>
                </c:pt>
                <c:pt idx="791">
                  <c:v>44950</c:v>
                </c:pt>
                <c:pt idx="792">
                  <c:v>44951</c:v>
                </c:pt>
                <c:pt idx="793">
                  <c:v>44952</c:v>
                </c:pt>
                <c:pt idx="794">
                  <c:v>44953</c:v>
                </c:pt>
                <c:pt idx="795">
                  <c:v>44956</c:v>
                </c:pt>
                <c:pt idx="796">
                  <c:v>44957</c:v>
                </c:pt>
                <c:pt idx="797">
                  <c:v>44958</c:v>
                </c:pt>
                <c:pt idx="798">
                  <c:v>44959</c:v>
                </c:pt>
                <c:pt idx="799">
                  <c:v>44960</c:v>
                </c:pt>
                <c:pt idx="800">
                  <c:v>44963</c:v>
                </c:pt>
                <c:pt idx="801">
                  <c:v>44964</c:v>
                </c:pt>
                <c:pt idx="802">
                  <c:v>44965</c:v>
                </c:pt>
                <c:pt idx="803">
                  <c:v>44966</c:v>
                </c:pt>
                <c:pt idx="804">
                  <c:v>44967</c:v>
                </c:pt>
                <c:pt idx="805">
                  <c:v>44970</c:v>
                </c:pt>
                <c:pt idx="806">
                  <c:v>44971</c:v>
                </c:pt>
                <c:pt idx="807">
                  <c:v>44972</c:v>
                </c:pt>
                <c:pt idx="808">
                  <c:v>44973</c:v>
                </c:pt>
                <c:pt idx="809">
                  <c:v>44974</c:v>
                </c:pt>
                <c:pt idx="810">
                  <c:v>44977</c:v>
                </c:pt>
                <c:pt idx="811">
                  <c:v>44978</c:v>
                </c:pt>
                <c:pt idx="812">
                  <c:v>44979</c:v>
                </c:pt>
                <c:pt idx="813">
                  <c:v>44980</c:v>
                </c:pt>
                <c:pt idx="814">
                  <c:v>44981</c:v>
                </c:pt>
                <c:pt idx="815">
                  <c:v>44984</c:v>
                </c:pt>
                <c:pt idx="816">
                  <c:v>44985</c:v>
                </c:pt>
                <c:pt idx="817">
                  <c:v>44986</c:v>
                </c:pt>
                <c:pt idx="818">
                  <c:v>44987</c:v>
                </c:pt>
                <c:pt idx="819">
                  <c:v>44988</c:v>
                </c:pt>
                <c:pt idx="820">
                  <c:v>44991</c:v>
                </c:pt>
                <c:pt idx="821">
                  <c:v>44992</c:v>
                </c:pt>
                <c:pt idx="822">
                  <c:v>44993</c:v>
                </c:pt>
                <c:pt idx="823">
                  <c:v>44994</c:v>
                </c:pt>
                <c:pt idx="824">
                  <c:v>44995</c:v>
                </c:pt>
                <c:pt idx="825">
                  <c:v>44998</c:v>
                </c:pt>
                <c:pt idx="826">
                  <c:v>44999</c:v>
                </c:pt>
                <c:pt idx="827">
                  <c:v>45000</c:v>
                </c:pt>
                <c:pt idx="828">
                  <c:v>45001</c:v>
                </c:pt>
                <c:pt idx="829">
                  <c:v>45002</c:v>
                </c:pt>
                <c:pt idx="830">
                  <c:v>45005</c:v>
                </c:pt>
                <c:pt idx="831">
                  <c:v>45006</c:v>
                </c:pt>
                <c:pt idx="832">
                  <c:v>45007</c:v>
                </c:pt>
                <c:pt idx="833">
                  <c:v>45008</c:v>
                </c:pt>
                <c:pt idx="834">
                  <c:v>45009</c:v>
                </c:pt>
                <c:pt idx="835">
                  <c:v>45012</c:v>
                </c:pt>
                <c:pt idx="836">
                  <c:v>45013</c:v>
                </c:pt>
                <c:pt idx="837">
                  <c:v>45014</c:v>
                </c:pt>
                <c:pt idx="838">
                  <c:v>45015</c:v>
                </c:pt>
                <c:pt idx="839">
                  <c:v>45016</c:v>
                </c:pt>
                <c:pt idx="840">
                  <c:v>45019</c:v>
                </c:pt>
                <c:pt idx="841">
                  <c:v>45020</c:v>
                </c:pt>
                <c:pt idx="842">
                  <c:v>45021</c:v>
                </c:pt>
                <c:pt idx="843">
                  <c:v>45022</c:v>
                </c:pt>
                <c:pt idx="844">
                  <c:v>45023</c:v>
                </c:pt>
                <c:pt idx="845">
                  <c:v>45026</c:v>
                </c:pt>
                <c:pt idx="846">
                  <c:v>45027</c:v>
                </c:pt>
                <c:pt idx="847">
                  <c:v>45028</c:v>
                </c:pt>
                <c:pt idx="848">
                  <c:v>45029</c:v>
                </c:pt>
                <c:pt idx="849">
                  <c:v>45030</c:v>
                </c:pt>
                <c:pt idx="850">
                  <c:v>45033</c:v>
                </c:pt>
                <c:pt idx="851">
                  <c:v>45034</c:v>
                </c:pt>
                <c:pt idx="852">
                  <c:v>45035</c:v>
                </c:pt>
                <c:pt idx="853">
                  <c:v>45036</c:v>
                </c:pt>
                <c:pt idx="854">
                  <c:v>45037</c:v>
                </c:pt>
                <c:pt idx="855">
                  <c:v>45040</c:v>
                </c:pt>
                <c:pt idx="856">
                  <c:v>45041</c:v>
                </c:pt>
                <c:pt idx="857">
                  <c:v>45042</c:v>
                </c:pt>
                <c:pt idx="858">
                  <c:v>45043</c:v>
                </c:pt>
                <c:pt idx="859">
                  <c:v>45044</c:v>
                </c:pt>
                <c:pt idx="860">
                  <c:v>45047</c:v>
                </c:pt>
                <c:pt idx="861">
                  <c:v>45048</c:v>
                </c:pt>
                <c:pt idx="862">
                  <c:v>45049</c:v>
                </c:pt>
                <c:pt idx="863">
                  <c:v>45050</c:v>
                </c:pt>
                <c:pt idx="864">
                  <c:v>45051</c:v>
                </c:pt>
                <c:pt idx="865">
                  <c:v>45054</c:v>
                </c:pt>
                <c:pt idx="866">
                  <c:v>45055</c:v>
                </c:pt>
                <c:pt idx="867">
                  <c:v>45056</c:v>
                </c:pt>
                <c:pt idx="868">
                  <c:v>45057</c:v>
                </c:pt>
                <c:pt idx="869">
                  <c:v>45058</c:v>
                </c:pt>
                <c:pt idx="870">
                  <c:v>45061</c:v>
                </c:pt>
                <c:pt idx="871">
                  <c:v>45062</c:v>
                </c:pt>
                <c:pt idx="872">
                  <c:v>45063</c:v>
                </c:pt>
                <c:pt idx="873">
                  <c:v>45064</c:v>
                </c:pt>
                <c:pt idx="874">
                  <c:v>45065</c:v>
                </c:pt>
                <c:pt idx="875">
                  <c:v>45068</c:v>
                </c:pt>
                <c:pt idx="876">
                  <c:v>45069</c:v>
                </c:pt>
                <c:pt idx="877">
                  <c:v>45070</c:v>
                </c:pt>
                <c:pt idx="878">
                  <c:v>45071</c:v>
                </c:pt>
                <c:pt idx="879">
                  <c:v>45072</c:v>
                </c:pt>
                <c:pt idx="880">
                  <c:v>45075</c:v>
                </c:pt>
                <c:pt idx="881">
                  <c:v>45076</c:v>
                </c:pt>
                <c:pt idx="882">
                  <c:v>45077</c:v>
                </c:pt>
                <c:pt idx="883">
                  <c:v>45078</c:v>
                </c:pt>
                <c:pt idx="884">
                  <c:v>45079</c:v>
                </c:pt>
                <c:pt idx="885">
                  <c:v>45082</c:v>
                </c:pt>
                <c:pt idx="886">
                  <c:v>45083</c:v>
                </c:pt>
                <c:pt idx="887">
                  <c:v>45084</c:v>
                </c:pt>
                <c:pt idx="888">
                  <c:v>45085</c:v>
                </c:pt>
                <c:pt idx="889">
                  <c:v>45086</c:v>
                </c:pt>
                <c:pt idx="890">
                  <c:v>45089</c:v>
                </c:pt>
                <c:pt idx="891">
                  <c:v>45090</c:v>
                </c:pt>
                <c:pt idx="892">
                  <c:v>45091</c:v>
                </c:pt>
                <c:pt idx="893">
                  <c:v>45092</c:v>
                </c:pt>
                <c:pt idx="894">
                  <c:v>45093</c:v>
                </c:pt>
                <c:pt idx="895">
                  <c:v>45096</c:v>
                </c:pt>
                <c:pt idx="896">
                  <c:v>45097</c:v>
                </c:pt>
                <c:pt idx="897">
                  <c:v>45098</c:v>
                </c:pt>
                <c:pt idx="898">
                  <c:v>45099</c:v>
                </c:pt>
                <c:pt idx="899">
                  <c:v>45100</c:v>
                </c:pt>
                <c:pt idx="900">
                  <c:v>45103</c:v>
                </c:pt>
                <c:pt idx="901">
                  <c:v>45104</c:v>
                </c:pt>
                <c:pt idx="902">
                  <c:v>45105</c:v>
                </c:pt>
                <c:pt idx="903">
                  <c:v>45106</c:v>
                </c:pt>
                <c:pt idx="904">
                  <c:v>45107</c:v>
                </c:pt>
                <c:pt idx="905">
                  <c:v>45110</c:v>
                </c:pt>
                <c:pt idx="906">
                  <c:v>45111</c:v>
                </c:pt>
                <c:pt idx="907">
                  <c:v>45112</c:v>
                </c:pt>
                <c:pt idx="908">
                  <c:v>45113</c:v>
                </c:pt>
                <c:pt idx="909">
                  <c:v>45114</c:v>
                </c:pt>
                <c:pt idx="910">
                  <c:v>45117</c:v>
                </c:pt>
                <c:pt idx="911">
                  <c:v>45118</c:v>
                </c:pt>
                <c:pt idx="912">
                  <c:v>45119</c:v>
                </c:pt>
                <c:pt idx="913">
                  <c:v>45120</c:v>
                </c:pt>
                <c:pt idx="914">
                  <c:v>45121</c:v>
                </c:pt>
                <c:pt idx="915">
                  <c:v>45124</c:v>
                </c:pt>
                <c:pt idx="916">
                  <c:v>45125</c:v>
                </c:pt>
                <c:pt idx="917">
                  <c:v>45126</c:v>
                </c:pt>
                <c:pt idx="918">
                  <c:v>45127</c:v>
                </c:pt>
                <c:pt idx="919">
                  <c:v>45128</c:v>
                </c:pt>
                <c:pt idx="920">
                  <c:v>45131</c:v>
                </c:pt>
                <c:pt idx="921">
                  <c:v>45132</c:v>
                </c:pt>
                <c:pt idx="922">
                  <c:v>45133</c:v>
                </c:pt>
                <c:pt idx="923">
                  <c:v>45134</c:v>
                </c:pt>
                <c:pt idx="924">
                  <c:v>45135</c:v>
                </c:pt>
                <c:pt idx="925">
                  <c:v>45138</c:v>
                </c:pt>
                <c:pt idx="926">
                  <c:v>45139</c:v>
                </c:pt>
                <c:pt idx="927">
                  <c:v>45140</c:v>
                </c:pt>
                <c:pt idx="928">
                  <c:v>45141</c:v>
                </c:pt>
                <c:pt idx="929">
                  <c:v>45142</c:v>
                </c:pt>
                <c:pt idx="930">
                  <c:v>45145</c:v>
                </c:pt>
                <c:pt idx="931">
                  <c:v>45146</c:v>
                </c:pt>
                <c:pt idx="932">
                  <c:v>45147</c:v>
                </c:pt>
                <c:pt idx="933">
                  <c:v>45148</c:v>
                </c:pt>
                <c:pt idx="934">
                  <c:v>45149</c:v>
                </c:pt>
                <c:pt idx="935">
                  <c:v>45152</c:v>
                </c:pt>
                <c:pt idx="936">
                  <c:v>45153</c:v>
                </c:pt>
                <c:pt idx="937">
                  <c:v>45154</c:v>
                </c:pt>
                <c:pt idx="938">
                  <c:v>45155</c:v>
                </c:pt>
                <c:pt idx="939">
                  <c:v>45156</c:v>
                </c:pt>
                <c:pt idx="940">
                  <c:v>45159</c:v>
                </c:pt>
                <c:pt idx="941">
                  <c:v>45160</c:v>
                </c:pt>
                <c:pt idx="942">
                  <c:v>45161</c:v>
                </c:pt>
                <c:pt idx="943">
                  <c:v>45162</c:v>
                </c:pt>
                <c:pt idx="944">
                  <c:v>45163</c:v>
                </c:pt>
                <c:pt idx="945">
                  <c:v>45166</c:v>
                </c:pt>
                <c:pt idx="946">
                  <c:v>45167</c:v>
                </c:pt>
                <c:pt idx="947">
                  <c:v>45168</c:v>
                </c:pt>
                <c:pt idx="948">
                  <c:v>45169</c:v>
                </c:pt>
                <c:pt idx="949">
                  <c:v>45170</c:v>
                </c:pt>
                <c:pt idx="950">
                  <c:v>45173</c:v>
                </c:pt>
                <c:pt idx="951">
                  <c:v>45174</c:v>
                </c:pt>
                <c:pt idx="952">
                  <c:v>45175</c:v>
                </c:pt>
                <c:pt idx="953">
                  <c:v>45176</c:v>
                </c:pt>
                <c:pt idx="954">
                  <c:v>45177</c:v>
                </c:pt>
                <c:pt idx="955">
                  <c:v>45180</c:v>
                </c:pt>
                <c:pt idx="956">
                  <c:v>45181</c:v>
                </c:pt>
                <c:pt idx="957">
                  <c:v>45182</c:v>
                </c:pt>
                <c:pt idx="958">
                  <c:v>45183</c:v>
                </c:pt>
                <c:pt idx="959">
                  <c:v>45184</c:v>
                </c:pt>
                <c:pt idx="960">
                  <c:v>45187</c:v>
                </c:pt>
                <c:pt idx="961">
                  <c:v>45188</c:v>
                </c:pt>
                <c:pt idx="962">
                  <c:v>45189</c:v>
                </c:pt>
                <c:pt idx="963">
                  <c:v>45190</c:v>
                </c:pt>
                <c:pt idx="964">
                  <c:v>45191</c:v>
                </c:pt>
                <c:pt idx="965">
                  <c:v>45194</c:v>
                </c:pt>
                <c:pt idx="966">
                  <c:v>45195</c:v>
                </c:pt>
                <c:pt idx="967">
                  <c:v>45196</c:v>
                </c:pt>
                <c:pt idx="968">
                  <c:v>45197</c:v>
                </c:pt>
                <c:pt idx="969">
                  <c:v>45198</c:v>
                </c:pt>
                <c:pt idx="970">
                  <c:v>45201</c:v>
                </c:pt>
                <c:pt idx="971">
                  <c:v>45202</c:v>
                </c:pt>
                <c:pt idx="972">
                  <c:v>45203</c:v>
                </c:pt>
                <c:pt idx="973">
                  <c:v>45204</c:v>
                </c:pt>
                <c:pt idx="974">
                  <c:v>45205</c:v>
                </c:pt>
                <c:pt idx="975">
                  <c:v>45208</c:v>
                </c:pt>
                <c:pt idx="976">
                  <c:v>45209</c:v>
                </c:pt>
                <c:pt idx="977">
                  <c:v>45210</c:v>
                </c:pt>
                <c:pt idx="978">
                  <c:v>45211</c:v>
                </c:pt>
                <c:pt idx="979">
                  <c:v>45212</c:v>
                </c:pt>
                <c:pt idx="980">
                  <c:v>45215</c:v>
                </c:pt>
                <c:pt idx="981">
                  <c:v>45216</c:v>
                </c:pt>
                <c:pt idx="982">
                  <c:v>45217</c:v>
                </c:pt>
                <c:pt idx="983">
                  <c:v>45218</c:v>
                </c:pt>
                <c:pt idx="984">
                  <c:v>45219</c:v>
                </c:pt>
                <c:pt idx="985">
                  <c:v>45222</c:v>
                </c:pt>
                <c:pt idx="986">
                  <c:v>45223</c:v>
                </c:pt>
                <c:pt idx="987">
                  <c:v>45224</c:v>
                </c:pt>
                <c:pt idx="988">
                  <c:v>45225</c:v>
                </c:pt>
                <c:pt idx="989">
                  <c:v>45226</c:v>
                </c:pt>
                <c:pt idx="990">
                  <c:v>45229</c:v>
                </c:pt>
                <c:pt idx="991">
                  <c:v>45230</c:v>
                </c:pt>
                <c:pt idx="992">
                  <c:v>45231</c:v>
                </c:pt>
                <c:pt idx="993">
                  <c:v>45232</c:v>
                </c:pt>
                <c:pt idx="994">
                  <c:v>45233</c:v>
                </c:pt>
                <c:pt idx="995">
                  <c:v>45236</c:v>
                </c:pt>
                <c:pt idx="996">
                  <c:v>45237</c:v>
                </c:pt>
                <c:pt idx="997">
                  <c:v>45238</c:v>
                </c:pt>
                <c:pt idx="998">
                  <c:v>45239</c:v>
                </c:pt>
                <c:pt idx="999">
                  <c:v>45240</c:v>
                </c:pt>
                <c:pt idx="1000">
                  <c:v>45243</c:v>
                </c:pt>
                <c:pt idx="1001">
                  <c:v>45244</c:v>
                </c:pt>
                <c:pt idx="1002">
                  <c:v>45245</c:v>
                </c:pt>
                <c:pt idx="1003">
                  <c:v>45246</c:v>
                </c:pt>
                <c:pt idx="1004">
                  <c:v>45247</c:v>
                </c:pt>
                <c:pt idx="1005">
                  <c:v>45250</c:v>
                </c:pt>
                <c:pt idx="1006">
                  <c:v>45251</c:v>
                </c:pt>
                <c:pt idx="1007">
                  <c:v>45252</c:v>
                </c:pt>
                <c:pt idx="1008">
                  <c:v>45253</c:v>
                </c:pt>
                <c:pt idx="1009">
                  <c:v>45254</c:v>
                </c:pt>
                <c:pt idx="1010">
                  <c:v>45257</c:v>
                </c:pt>
                <c:pt idx="1011">
                  <c:v>45258</c:v>
                </c:pt>
                <c:pt idx="1012">
                  <c:v>45259</c:v>
                </c:pt>
                <c:pt idx="1013">
                  <c:v>45260</c:v>
                </c:pt>
                <c:pt idx="1014">
                  <c:v>45261</c:v>
                </c:pt>
                <c:pt idx="1015">
                  <c:v>45264</c:v>
                </c:pt>
                <c:pt idx="1016">
                  <c:v>45265</c:v>
                </c:pt>
                <c:pt idx="1017">
                  <c:v>45266</c:v>
                </c:pt>
                <c:pt idx="1018">
                  <c:v>45267</c:v>
                </c:pt>
                <c:pt idx="1019">
                  <c:v>45268</c:v>
                </c:pt>
                <c:pt idx="1020">
                  <c:v>45271</c:v>
                </c:pt>
                <c:pt idx="1021">
                  <c:v>45272</c:v>
                </c:pt>
                <c:pt idx="1022">
                  <c:v>45273</c:v>
                </c:pt>
                <c:pt idx="1023">
                  <c:v>45274</c:v>
                </c:pt>
                <c:pt idx="1024">
                  <c:v>45275</c:v>
                </c:pt>
                <c:pt idx="1025">
                  <c:v>45278</c:v>
                </c:pt>
                <c:pt idx="1026">
                  <c:v>45279</c:v>
                </c:pt>
                <c:pt idx="1027">
                  <c:v>45280</c:v>
                </c:pt>
                <c:pt idx="1028">
                  <c:v>45281</c:v>
                </c:pt>
                <c:pt idx="1029">
                  <c:v>45282</c:v>
                </c:pt>
                <c:pt idx="1030">
                  <c:v>45286</c:v>
                </c:pt>
                <c:pt idx="1031">
                  <c:v>45287</c:v>
                </c:pt>
                <c:pt idx="1032">
                  <c:v>45288</c:v>
                </c:pt>
                <c:pt idx="1033">
                  <c:v>45289</c:v>
                </c:pt>
                <c:pt idx="1034">
                  <c:v>45293</c:v>
                </c:pt>
                <c:pt idx="1035">
                  <c:v>45294</c:v>
                </c:pt>
                <c:pt idx="1036">
                  <c:v>45295</c:v>
                </c:pt>
                <c:pt idx="1037">
                  <c:v>45296</c:v>
                </c:pt>
                <c:pt idx="1038">
                  <c:v>45299</c:v>
                </c:pt>
                <c:pt idx="1039">
                  <c:v>45300</c:v>
                </c:pt>
                <c:pt idx="1040">
                  <c:v>45301</c:v>
                </c:pt>
                <c:pt idx="1041">
                  <c:v>45302</c:v>
                </c:pt>
                <c:pt idx="1042">
                  <c:v>45303</c:v>
                </c:pt>
                <c:pt idx="1043">
                  <c:v>45306</c:v>
                </c:pt>
                <c:pt idx="1044">
                  <c:v>45307</c:v>
                </c:pt>
                <c:pt idx="1045">
                  <c:v>45308</c:v>
                </c:pt>
                <c:pt idx="1046">
                  <c:v>45309</c:v>
                </c:pt>
                <c:pt idx="1047">
                  <c:v>45310</c:v>
                </c:pt>
                <c:pt idx="1048">
                  <c:v>45313</c:v>
                </c:pt>
                <c:pt idx="1049">
                  <c:v>45314</c:v>
                </c:pt>
                <c:pt idx="1050">
                  <c:v>45315</c:v>
                </c:pt>
                <c:pt idx="1051">
                  <c:v>45316</c:v>
                </c:pt>
                <c:pt idx="1052">
                  <c:v>45317</c:v>
                </c:pt>
                <c:pt idx="1053">
                  <c:v>45320</c:v>
                </c:pt>
                <c:pt idx="1054">
                  <c:v>45321</c:v>
                </c:pt>
                <c:pt idx="1055">
                  <c:v>45322</c:v>
                </c:pt>
                <c:pt idx="1056">
                  <c:v>45323</c:v>
                </c:pt>
                <c:pt idx="1057">
                  <c:v>45324</c:v>
                </c:pt>
                <c:pt idx="1058">
                  <c:v>45327</c:v>
                </c:pt>
                <c:pt idx="1059">
                  <c:v>45328</c:v>
                </c:pt>
                <c:pt idx="1060">
                  <c:v>45329</c:v>
                </c:pt>
                <c:pt idx="1061">
                  <c:v>45330</c:v>
                </c:pt>
                <c:pt idx="1062">
                  <c:v>45331</c:v>
                </c:pt>
                <c:pt idx="1063">
                  <c:v>45334</c:v>
                </c:pt>
                <c:pt idx="1064">
                  <c:v>45335</c:v>
                </c:pt>
                <c:pt idx="1065">
                  <c:v>45336</c:v>
                </c:pt>
                <c:pt idx="1066">
                  <c:v>45337</c:v>
                </c:pt>
                <c:pt idx="1067">
                  <c:v>45338</c:v>
                </c:pt>
                <c:pt idx="1068">
                  <c:v>45341</c:v>
                </c:pt>
                <c:pt idx="1069">
                  <c:v>45342</c:v>
                </c:pt>
                <c:pt idx="1070">
                  <c:v>45343</c:v>
                </c:pt>
                <c:pt idx="1071">
                  <c:v>45344</c:v>
                </c:pt>
                <c:pt idx="1072">
                  <c:v>45345</c:v>
                </c:pt>
                <c:pt idx="1073">
                  <c:v>45348</c:v>
                </c:pt>
                <c:pt idx="1074">
                  <c:v>45349</c:v>
                </c:pt>
                <c:pt idx="1075">
                  <c:v>45350</c:v>
                </c:pt>
                <c:pt idx="1076">
                  <c:v>45351</c:v>
                </c:pt>
                <c:pt idx="1077">
                  <c:v>45352</c:v>
                </c:pt>
                <c:pt idx="1078">
                  <c:v>45355</c:v>
                </c:pt>
                <c:pt idx="1079">
                  <c:v>45356</c:v>
                </c:pt>
                <c:pt idx="1080">
                  <c:v>45357</c:v>
                </c:pt>
                <c:pt idx="1081">
                  <c:v>45358</c:v>
                </c:pt>
                <c:pt idx="1082">
                  <c:v>45359</c:v>
                </c:pt>
                <c:pt idx="1083">
                  <c:v>45362</c:v>
                </c:pt>
                <c:pt idx="1084">
                  <c:v>45363</c:v>
                </c:pt>
                <c:pt idx="1085">
                  <c:v>45364</c:v>
                </c:pt>
                <c:pt idx="1086">
                  <c:v>45365</c:v>
                </c:pt>
                <c:pt idx="1087">
                  <c:v>45366</c:v>
                </c:pt>
                <c:pt idx="1088">
                  <c:v>45369</c:v>
                </c:pt>
                <c:pt idx="1089">
                  <c:v>45370</c:v>
                </c:pt>
                <c:pt idx="1090">
                  <c:v>45371</c:v>
                </c:pt>
                <c:pt idx="1091">
                  <c:v>45372</c:v>
                </c:pt>
                <c:pt idx="1092">
                  <c:v>45373</c:v>
                </c:pt>
                <c:pt idx="1093">
                  <c:v>45376</c:v>
                </c:pt>
                <c:pt idx="1094">
                  <c:v>45377</c:v>
                </c:pt>
                <c:pt idx="1095">
                  <c:v>45378</c:v>
                </c:pt>
                <c:pt idx="1096">
                  <c:v>45379</c:v>
                </c:pt>
                <c:pt idx="1097">
                  <c:v>45383</c:v>
                </c:pt>
                <c:pt idx="1098">
                  <c:v>45384</c:v>
                </c:pt>
                <c:pt idx="1099">
                  <c:v>45385</c:v>
                </c:pt>
                <c:pt idx="1100">
                  <c:v>45386</c:v>
                </c:pt>
                <c:pt idx="1101">
                  <c:v>45387</c:v>
                </c:pt>
                <c:pt idx="1102">
                  <c:v>45390</c:v>
                </c:pt>
                <c:pt idx="1103">
                  <c:v>45391</c:v>
                </c:pt>
                <c:pt idx="1104">
                  <c:v>45392</c:v>
                </c:pt>
                <c:pt idx="1105">
                  <c:v>45393</c:v>
                </c:pt>
                <c:pt idx="1106">
                  <c:v>45394</c:v>
                </c:pt>
                <c:pt idx="1107">
                  <c:v>45397</c:v>
                </c:pt>
                <c:pt idx="1108">
                  <c:v>45398</c:v>
                </c:pt>
                <c:pt idx="1109">
                  <c:v>45399</c:v>
                </c:pt>
                <c:pt idx="1110">
                  <c:v>45400</c:v>
                </c:pt>
                <c:pt idx="1111">
                  <c:v>45401</c:v>
                </c:pt>
                <c:pt idx="1112">
                  <c:v>45404</c:v>
                </c:pt>
                <c:pt idx="1113">
                  <c:v>45405</c:v>
                </c:pt>
                <c:pt idx="1114">
                  <c:v>45406</c:v>
                </c:pt>
                <c:pt idx="1115">
                  <c:v>45407</c:v>
                </c:pt>
                <c:pt idx="1116">
                  <c:v>45408</c:v>
                </c:pt>
                <c:pt idx="1117">
                  <c:v>45411</c:v>
                </c:pt>
                <c:pt idx="1118">
                  <c:v>45412</c:v>
                </c:pt>
                <c:pt idx="1119">
                  <c:v>45413</c:v>
                </c:pt>
                <c:pt idx="1120">
                  <c:v>45414</c:v>
                </c:pt>
                <c:pt idx="1121">
                  <c:v>45415</c:v>
                </c:pt>
                <c:pt idx="1122">
                  <c:v>45418</c:v>
                </c:pt>
                <c:pt idx="1123">
                  <c:v>45419</c:v>
                </c:pt>
                <c:pt idx="1124">
                  <c:v>45420</c:v>
                </c:pt>
                <c:pt idx="1125">
                  <c:v>45421</c:v>
                </c:pt>
                <c:pt idx="1126">
                  <c:v>45422</c:v>
                </c:pt>
                <c:pt idx="1127">
                  <c:v>45425</c:v>
                </c:pt>
                <c:pt idx="1128">
                  <c:v>45426</c:v>
                </c:pt>
                <c:pt idx="1129">
                  <c:v>45427</c:v>
                </c:pt>
                <c:pt idx="1130">
                  <c:v>45428</c:v>
                </c:pt>
                <c:pt idx="1131">
                  <c:v>45429</c:v>
                </c:pt>
                <c:pt idx="1132">
                  <c:v>45432</c:v>
                </c:pt>
                <c:pt idx="1133">
                  <c:v>45433</c:v>
                </c:pt>
                <c:pt idx="1134">
                  <c:v>45434</c:v>
                </c:pt>
                <c:pt idx="1135">
                  <c:v>45435</c:v>
                </c:pt>
                <c:pt idx="1136">
                  <c:v>45436</c:v>
                </c:pt>
                <c:pt idx="1137">
                  <c:v>45439</c:v>
                </c:pt>
                <c:pt idx="1138">
                  <c:v>45440</c:v>
                </c:pt>
                <c:pt idx="1139">
                  <c:v>45441</c:v>
                </c:pt>
                <c:pt idx="1140">
                  <c:v>45442</c:v>
                </c:pt>
                <c:pt idx="1141">
                  <c:v>45443</c:v>
                </c:pt>
                <c:pt idx="1142">
                  <c:v>45446</c:v>
                </c:pt>
                <c:pt idx="1143">
                  <c:v>45447</c:v>
                </c:pt>
                <c:pt idx="1144">
                  <c:v>45448</c:v>
                </c:pt>
                <c:pt idx="1145">
                  <c:v>45449</c:v>
                </c:pt>
                <c:pt idx="1146">
                  <c:v>45450</c:v>
                </c:pt>
                <c:pt idx="1147">
                  <c:v>45453</c:v>
                </c:pt>
                <c:pt idx="1148">
                  <c:v>45454</c:v>
                </c:pt>
                <c:pt idx="1149">
                  <c:v>45455</c:v>
                </c:pt>
                <c:pt idx="1150">
                  <c:v>45456</c:v>
                </c:pt>
                <c:pt idx="1151">
                  <c:v>45457</c:v>
                </c:pt>
                <c:pt idx="1152">
                  <c:v>45460</c:v>
                </c:pt>
                <c:pt idx="1153">
                  <c:v>45461</c:v>
                </c:pt>
                <c:pt idx="1154">
                  <c:v>45462</c:v>
                </c:pt>
                <c:pt idx="1155">
                  <c:v>45463</c:v>
                </c:pt>
                <c:pt idx="1156">
                  <c:v>45464</c:v>
                </c:pt>
              </c:numCache>
            </c:numRef>
          </c:cat>
          <c:val>
            <c:numRef>
              <c:f>Sheet1!$B$2:$B$1158</c:f>
              <c:numCache>
                <c:formatCode>0.0</c:formatCode>
                <c:ptCount val="1157"/>
                <c:pt idx="0">
                  <c:v>100</c:v>
                </c:pt>
                <c:pt idx="1">
                  <c:v>99.50149876189235</c:v>
                </c:pt>
                <c:pt idx="2">
                  <c:v>99.594356835657479</c:v>
                </c:pt>
                <c:pt idx="3">
                  <c:v>99.346735305617088</c:v>
                </c:pt>
                <c:pt idx="4">
                  <c:v>99.988596376906045</c:v>
                </c:pt>
                <c:pt idx="5">
                  <c:v>99.760523915026724</c:v>
                </c:pt>
                <c:pt idx="6">
                  <c:v>99.653004040140758</c:v>
                </c:pt>
                <c:pt idx="7">
                  <c:v>99.604131369738042</c:v>
                </c:pt>
                <c:pt idx="8">
                  <c:v>99.607389547764896</c:v>
                </c:pt>
                <c:pt idx="9">
                  <c:v>99.508015117946059</c:v>
                </c:pt>
                <c:pt idx="10">
                  <c:v>99.349993483643956</c:v>
                </c:pt>
                <c:pt idx="11">
                  <c:v>99.392349797992978</c:v>
                </c:pt>
                <c:pt idx="12">
                  <c:v>99.224553629610327</c:v>
                </c:pt>
                <c:pt idx="13">
                  <c:v>99.074677440375353</c:v>
                </c:pt>
                <c:pt idx="14">
                  <c:v>99.191971849341854</c:v>
                </c:pt>
                <c:pt idx="15">
                  <c:v>99.045353838133721</c:v>
                </c:pt>
                <c:pt idx="16">
                  <c:v>98.901994004952428</c:v>
                </c:pt>
                <c:pt idx="17">
                  <c:v>98.25361657760979</c:v>
                </c:pt>
                <c:pt idx="18">
                  <c:v>98.551739867066331</c:v>
                </c:pt>
                <c:pt idx="19">
                  <c:v>98.128176723576175</c:v>
                </c:pt>
                <c:pt idx="20">
                  <c:v>97.82679525609278</c:v>
                </c:pt>
                <c:pt idx="21">
                  <c:v>97.421152091750287</c:v>
                </c:pt>
                <c:pt idx="22">
                  <c:v>97.857747947347846</c:v>
                </c:pt>
                <c:pt idx="23">
                  <c:v>97.971784178287507</c:v>
                </c:pt>
                <c:pt idx="24">
                  <c:v>98.183565750032571</c:v>
                </c:pt>
                <c:pt idx="25">
                  <c:v>97.733937182327651</c:v>
                </c:pt>
                <c:pt idx="26">
                  <c:v>97.049719796689701</c:v>
                </c:pt>
                <c:pt idx="27">
                  <c:v>97.245210478300535</c:v>
                </c:pt>
                <c:pt idx="28">
                  <c:v>97.442330248924804</c:v>
                </c:pt>
                <c:pt idx="29">
                  <c:v>97.188192362830705</c:v>
                </c:pt>
                <c:pt idx="30">
                  <c:v>97.18167600677701</c:v>
                </c:pt>
                <c:pt idx="31">
                  <c:v>97.325035839958275</c:v>
                </c:pt>
                <c:pt idx="32">
                  <c:v>97.145836048481684</c:v>
                </c:pt>
                <c:pt idx="33">
                  <c:v>96.932425387723185</c:v>
                </c:pt>
                <c:pt idx="34">
                  <c:v>96.701094747817024</c:v>
                </c:pt>
                <c:pt idx="35">
                  <c:v>96.161866284373772</c:v>
                </c:pt>
                <c:pt idx="36">
                  <c:v>96.378535123159125</c:v>
                </c:pt>
                <c:pt idx="37">
                  <c:v>96.047830053434112</c:v>
                </c:pt>
                <c:pt idx="38">
                  <c:v>95.821386680568224</c:v>
                </c:pt>
                <c:pt idx="39">
                  <c:v>95.464616186628433</c:v>
                </c:pt>
                <c:pt idx="40">
                  <c:v>94.928645901212036</c:v>
                </c:pt>
                <c:pt idx="41">
                  <c:v>94.900951387983838</c:v>
                </c:pt>
                <c:pt idx="42">
                  <c:v>95.412485338198877</c:v>
                </c:pt>
                <c:pt idx="43">
                  <c:v>95.50534341196402</c:v>
                </c:pt>
                <c:pt idx="44">
                  <c:v>95.202332855467219</c:v>
                </c:pt>
                <c:pt idx="45">
                  <c:v>94.311221165124465</c:v>
                </c:pt>
                <c:pt idx="46">
                  <c:v>94.345432034406343</c:v>
                </c:pt>
                <c:pt idx="47">
                  <c:v>92.902059168512963</c:v>
                </c:pt>
                <c:pt idx="48">
                  <c:v>93.270233285546709</c:v>
                </c:pt>
                <c:pt idx="49">
                  <c:v>91.707936921673394</c:v>
                </c:pt>
                <c:pt idx="50">
                  <c:v>90.736999869672871</c:v>
                </c:pt>
                <c:pt idx="51">
                  <c:v>91.212693861592584</c:v>
                </c:pt>
                <c:pt idx="52">
                  <c:v>89.88661540466569</c:v>
                </c:pt>
                <c:pt idx="53">
                  <c:v>89.541248533819868</c:v>
                </c:pt>
                <c:pt idx="54">
                  <c:v>86.472044832529633</c:v>
                </c:pt>
                <c:pt idx="55">
                  <c:v>87.200247621530025</c:v>
                </c:pt>
                <c:pt idx="56">
                  <c:v>86.739215430731122</c:v>
                </c:pt>
                <c:pt idx="57">
                  <c:v>86.392219470871865</c:v>
                </c:pt>
                <c:pt idx="58">
                  <c:v>87.038967809201068</c:v>
                </c:pt>
                <c:pt idx="59">
                  <c:v>87.695490681610821</c:v>
                </c:pt>
                <c:pt idx="60">
                  <c:v>88.817933011859736</c:v>
                </c:pt>
                <c:pt idx="61">
                  <c:v>88.063664798644552</c:v>
                </c:pt>
                <c:pt idx="62">
                  <c:v>86.918415222207685</c:v>
                </c:pt>
                <c:pt idx="63">
                  <c:v>86.954255180502997</c:v>
                </c:pt>
                <c:pt idx="64">
                  <c:v>86.019158086797802</c:v>
                </c:pt>
                <c:pt idx="65">
                  <c:v>86.025674442851496</c:v>
                </c:pt>
                <c:pt idx="66">
                  <c:v>85.255115339502098</c:v>
                </c:pt>
                <c:pt idx="67">
                  <c:v>86.001238107650153</c:v>
                </c:pt>
                <c:pt idx="68">
                  <c:v>86.529062947999435</c:v>
                </c:pt>
                <c:pt idx="69">
                  <c:v>87.048742343281589</c:v>
                </c:pt>
                <c:pt idx="70">
                  <c:v>87.811156001563873</c:v>
                </c:pt>
                <c:pt idx="71">
                  <c:v>87.651505278248351</c:v>
                </c:pt>
                <c:pt idx="72">
                  <c:v>87.576567183630857</c:v>
                </c:pt>
                <c:pt idx="73">
                  <c:v>86.239085103609995</c:v>
                </c:pt>
                <c:pt idx="74">
                  <c:v>86.656131891046471</c:v>
                </c:pt>
                <c:pt idx="75">
                  <c:v>86.687084582301523</c:v>
                </c:pt>
                <c:pt idx="76">
                  <c:v>86.085950736348181</c:v>
                </c:pt>
                <c:pt idx="77">
                  <c:v>85.585820409227097</c:v>
                </c:pt>
                <c:pt idx="78">
                  <c:v>85.509253225596183</c:v>
                </c:pt>
                <c:pt idx="79">
                  <c:v>85.344715235240386</c:v>
                </c:pt>
                <c:pt idx="80">
                  <c:v>85.246969894434969</c:v>
                </c:pt>
                <c:pt idx="81">
                  <c:v>85.212759025153076</c:v>
                </c:pt>
                <c:pt idx="82">
                  <c:v>86.126677961683768</c:v>
                </c:pt>
                <c:pt idx="83">
                  <c:v>87.135084060993037</c:v>
                </c:pt>
                <c:pt idx="84">
                  <c:v>86.294474130066391</c:v>
                </c:pt>
                <c:pt idx="85">
                  <c:v>86.027303531864916</c:v>
                </c:pt>
                <c:pt idx="86">
                  <c:v>86.204874234328102</c:v>
                </c:pt>
                <c:pt idx="87">
                  <c:v>86.245601459663703</c:v>
                </c:pt>
                <c:pt idx="88">
                  <c:v>85.541835005864655</c:v>
                </c:pt>
                <c:pt idx="89">
                  <c:v>85.885572787697058</c:v>
                </c:pt>
                <c:pt idx="90">
                  <c:v>86.436204874234278</c:v>
                </c:pt>
                <c:pt idx="91">
                  <c:v>85.965398149354826</c:v>
                </c:pt>
                <c:pt idx="92">
                  <c:v>86.009383552717267</c:v>
                </c:pt>
                <c:pt idx="93">
                  <c:v>85.805747426039304</c:v>
                </c:pt>
                <c:pt idx="94">
                  <c:v>85.963769060341406</c:v>
                </c:pt>
                <c:pt idx="95">
                  <c:v>85.861136452495714</c:v>
                </c:pt>
                <c:pt idx="96">
                  <c:v>86.641470089925662</c:v>
                </c:pt>
                <c:pt idx="97">
                  <c:v>86.959142447543286</c:v>
                </c:pt>
                <c:pt idx="98">
                  <c:v>87.58634171771142</c:v>
                </c:pt>
                <c:pt idx="99">
                  <c:v>88.022937573308965</c:v>
                </c:pt>
                <c:pt idx="100">
                  <c:v>87.95288674573176</c:v>
                </c:pt>
                <c:pt idx="101">
                  <c:v>88.327577218819215</c:v>
                </c:pt>
                <c:pt idx="102">
                  <c:v>88.927081975759151</c:v>
                </c:pt>
                <c:pt idx="103">
                  <c:v>88.756027629349646</c:v>
                </c:pt>
                <c:pt idx="104">
                  <c:v>88.873322038316161</c:v>
                </c:pt>
                <c:pt idx="105">
                  <c:v>89.230092532255952</c:v>
                </c:pt>
                <c:pt idx="106">
                  <c:v>89.51844128763193</c:v>
                </c:pt>
                <c:pt idx="107">
                  <c:v>90.707676267431211</c:v>
                </c:pt>
                <c:pt idx="108">
                  <c:v>90.727225335592294</c:v>
                </c:pt>
                <c:pt idx="109">
                  <c:v>90.987879577740088</c:v>
                </c:pt>
                <c:pt idx="110">
                  <c:v>91.540140753290729</c:v>
                </c:pt>
                <c:pt idx="111">
                  <c:v>91.857813110908353</c:v>
                </c:pt>
                <c:pt idx="112">
                  <c:v>91.71608236674048</c:v>
                </c:pt>
                <c:pt idx="113">
                  <c:v>91.400039098136276</c:v>
                </c:pt>
                <c:pt idx="114">
                  <c:v>90.174964160041668</c:v>
                </c:pt>
                <c:pt idx="115">
                  <c:v>90.352534862504854</c:v>
                </c:pt>
                <c:pt idx="116">
                  <c:v>90.554541900169397</c:v>
                </c:pt>
                <c:pt idx="117">
                  <c:v>89.915939006907308</c:v>
                </c:pt>
                <c:pt idx="118">
                  <c:v>89.730222859377008</c:v>
                </c:pt>
                <c:pt idx="119">
                  <c:v>88.917307441678588</c:v>
                </c:pt>
                <c:pt idx="120">
                  <c:v>89.101394500195468</c:v>
                </c:pt>
                <c:pt idx="121">
                  <c:v>89.414179590772818</c:v>
                </c:pt>
                <c:pt idx="122">
                  <c:v>89.841000912289829</c:v>
                </c:pt>
                <c:pt idx="123">
                  <c:v>88.936856509839686</c:v>
                </c:pt>
                <c:pt idx="124">
                  <c:v>89.218688909161969</c:v>
                </c:pt>
                <c:pt idx="125">
                  <c:v>88.467678873973639</c:v>
                </c:pt>
                <c:pt idx="126">
                  <c:v>88.523067900430036</c:v>
                </c:pt>
                <c:pt idx="127">
                  <c:v>88.443242538772282</c:v>
                </c:pt>
                <c:pt idx="128">
                  <c:v>89.21217255310826</c:v>
                </c:pt>
                <c:pt idx="129">
                  <c:v>89.520070376645336</c:v>
                </c:pt>
                <c:pt idx="130">
                  <c:v>89.433728658933887</c:v>
                </c:pt>
                <c:pt idx="131">
                  <c:v>89.568943047048052</c:v>
                </c:pt>
                <c:pt idx="132">
                  <c:v>89.305030626873418</c:v>
                </c:pt>
                <c:pt idx="133">
                  <c:v>89.65202658673266</c:v>
                </c:pt>
                <c:pt idx="134">
                  <c:v>89.544506711846708</c:v>
                </c:pt>
                <c:pt idx="135">
                  <c:v>89.751401016551526</c:v>
                </c:pt>
                <c:pt idx="136">
                  <c:v>89.510295842564801</c:v>
                </c:pt>
                <c:pt idx="137">
                  <c:v>89.845888179330089</c:v>
                </c:pt>
                <c:pt idx="138">
                  <c:v>89.953408054216041</c:v>
                </c:pt>
                <c:pt idx="139">
                  <c:v>89.849146357356929</c:v>
                </c:pt>
                <c:pt idx="140">
                  <c:v>89.746513749511251</c:v>
                </c:pt>
                <c:pt idx="141">
                  <c:v>90.039749771927518</c:v>
                </c:pt>
                <c:pt idx="142">
                  <c:v>91.038381337156238</c:v>
                </c:pt>
                <c:pt idx="143">
                  <c:v>91.092141274599214</c:v>
                </c:pt>
                <c:pt idx="144">
                  <c:v>90.697901733350676</c:v>
                </c:pt>
                <c:pt idx="145">
                  <c:v>90.732112602632583</c:v>
                </c:pt>
                <c:pt idx="146">
                  <c:v>91.206177505538875</c:v>
                </c:pt>
                <c:pt idx="147">
                  <c:v>91.111690342760298</c:v>
                </c:pt>
                <c:pt idx="148">
                  <c:v>91.21269386159257</c:v>
                </c:pt>
                <c:pt idx="149">
                  <c:v>91.162192102176434</c:v>
                </c:pt>
                <c:pt idx="150">
                  <c:v>90.574090968330481</c:v>
                </c:pt>
                <c:pt idx="151">
                  <c:v>90.222207741430964</c:v>
                </c:pt>
                <c:pt idx="152">
                  <c:v>90.192884139189331</c:v>
                </c:pt>
                <c:pt idx="153">
                  <c:v>90.261305877753131</c:v>
                </c:pt>
                <c:pt idx="154">
                  <c:v>89.575459403101746</c:v>
                </c:pt>
                <c:pt idx="155">
                  <c:v>89.215430731135115</c:v>
                </c:pt>
                <c:pt idx="156">
                  <c:v>88.97106737912155</c:v>
                </c:pt>
                <c:pt idx="157">
                  <c:v>89.275707024631785</c:v>
                </c:pt>
                <c:pt idx="158">
                  <c:v>89.288739736739174</c:v>
                </c:pt>
                <c:pt idx="159">
                  <c:v>89.511924931578221</c:v>
                </c:pt>
                <c:pt idx="160">
                  <c:v>89.52495764368561</c:v>
                </c:pt>
                <c:pt idx="161">
                  <c:v>89.006907337416891</c:v>
                </c:pt>
                <c:pt idx="162">
                  <c:v>89.441874104001016</c:v>
                </c:pt>
                <c:pt idx="163">
                  <c:v>89.446761371041291</c:v>
                </c:pt>
                <c:pt idx="164">
                  <c:v>89.404405056692283</c:v>
                </c:pt>
                <c:pt idx="165">
                  <c:v>89.01831096051086</c:v>
                </c:pt>
                <c:pt idx="166">
                  <c:v>89.375081454450651</c:v>
                </c:pt>
                <c:pt idx="167">
                  <c:v>89.45979408314868</c:v>
                </c:pt>
                <c:pt idx="168">
                  <c:v>89.274077935618379</c:v>
                </c:pt>
                <c:pt idx="169">
                  <c:v>89.420695946826527</c:v>
                </c:pt>
                <c:pt idx="170">
                  <c:v>90.491007428645901</c:v>
                </c:pt>
                <c:pt idx="171">
                  <c:v>90.331356705330379</c:v>
                </c:pt>
                <c:pt idx="172">
                  <c:v>90.548025544115745</c:v>
                </c:pt>
                <c:pt idx="173">
                  <c:v>90.207545940310197</c:v>
                </c:pt>
                <c:pt idx="174">
                  <c:v>90.264564055780042</c:v>
                </c:pt>
                <c:pt idx="175">
                  <c:v>90.401407532907626</c:v>
                </c:pt>
                <c:pt idx="176">
                  <c:v>90.086993353316871</c:v>
                </c:pt>
                <c:pt idx="177">
                  <c:v>89.687866545028072</c:v>
                </c:pt>
                <c:pt idx="178">
                  <c:v>90.481232894565409</c:v>
                </c:pt>
                <c:pt idx="179">
                  <c:v>90.316694904209626</c:v>
                </c:pt>
                <c:pt idx="180">
                  <c:v>90.464942004431194</c:v>
                </c:pt>
                <c:pt idx="181">
                  <c:v>90.908054216082434</c:v>
                </c:pt>
                <c:pt idx="182">
                  <c:v>90.9390069073375</c:v>
                </c:pt>
                <c:pt idx="183">
                  <c:v>90.945523263391195</c:v>
                </c:pt>
                <c:pt idx="184">
                  <c:v>91.215952039619523</c:v>
                </c:pt>
                <c:pt idx="185">
                  <c:v>90.56920370129032</c:v>
                </c:pt>
                <c:pt idx="186">
                  <c:v>89.878469959598675</c:v>
                </c:pt>
                <c:pt idx="187">
                  <c:v>89.334354229115164</c:v>
                </c:pt>
                <c:pt idx="188">
                  <c:v>88.374820800208596</c:v>
                </c:pt>
                <c:pt idx="189">
                  <c:v>88.801642121725607</c:v>
                </c:pt>
                <c:pt idx="190">
                  <c:v>88.308028150658231</c:v>
                </c:pt>
                <c:pt idx="191">
                  <c:v>87.990355793040607</c:v>
                </c:pt>
                <c:pt idx="192">
                  <c:v>88.08647204483259</c:v>
                </c:pt>
                <c:pt idx="193">
                  <c:v>88.809787566792707</c:v>
                </c:pt>
                <c:pt idx="194">
                  <c:v>88.918936530692093</c:v>
                </c:pt>
                <c:pt idx="195">
                  <c:v>88.941743776880017</c:v>
                </c:pt>
                <c:pt idx="196">
                  <c:v>89.254528867457367</c:v>
                </c:pt>
                <c:pt idx="197">
                  <c:v>88.817933011859836</c:v>
                </c:pt>
                <c:pt idx="198">
                  <c:v>89.005278248403542</c:v>
                </c:pt>
                <c:pt idx="199">
                  <c:v>89.262674312524496</c:v>
                </c:pt>
                <c:pt idx="200">
                  <c:v>89.803531864981167</c:v>
                </c:pt>
                <c:pt idx="201">
                  <c:v>89.332725140101715</c:v>
                </c:pt>
                <c:pt idx="202">
                  <c:v>89.148638081584849</c:v>
                </c:pt>
                <c:pt idx="203">
                  <c:v>88.980841913202198</c:v>
                </c:pt>
                <c:pt idx="204">
                  <c:v>88.759285807376585</c:v>
                </c:pt>
                <c:pt idx="205">
                  <c:v>89.031343672618348</c:v>
                </c:pt>
                <c:pt idx="206">
                  <c:v>89.32132151700776</c:v>
                </c:pt>
                <c:pt idx="207">
                  <c:v>89.656913853773034</c:v>
                </c:pt>
                <c:pt idx="208">
                  <c:v>89.585233937182394</c:v>
                </c:pt>
                <c:pt idx="209">
                  <c:v>89.681350188974378</c:v>
                </c:pt>
                <c:pt idx="210">
                  <c:v>89.803531864981153</c:v>
                </c:pt>
                <c:pt idx="211">
                  <c:v>89.555910334940748</c:v>
                </c:pt>
                <c:pt idx="212">
                  <c:v>89.205656197054665</c:v>
                </c:pt>
                <c:pt idx="213">
                  <c:v>88.562166036752302</c:v>
                </c:pt>
                <c:pt idx="214">
                  <c:v>88.467678873973725</c:v>
                </c:pt>
                <c:pt idx="215">
                  <c:v>88.439984360745513</c:v>
                </c:pt>
                <c:pt idx="216">
                  <c:v>88.294995438550799</c:v>
                </c:pt>
                <c:pt idx="217">
                  <c:v>88.470937052000565</c:v>
                </c:pt>
                <c:pt idx="218">
                  <c:v>89.436986836960813</c:v>
                </c:pt>
                <c:pt idx="219">
                  <c:v>90.15541509188067</c:v>
                </c:pt>
                <c:pt idx="220">
                  <c:v>90.678352665189664</c:v>
                </c:pt>
                <c:pt idx="221">
                  <c:v>91.092141274599285</c:v>
                </c:pt>
                <c:pt idx="222">
                  <c:v>91.189886615404703</c:v>
                </c:pt>
                <c:pt idx="223">
                  <c:v>91.142643034015421</c:v>
                </c:pt>
                <c:pt idx="224">
                  <c:v>90.986250488726739</c:v>
                </c:pt>
                <c:pt idx="225">
                  <c:v>91.189886615404703</c:v>
                </c:pt>
                <c:pt idx="226">
                  <c:v>91.530366219210265</c:v>
                </c:pt>
                <c:pt idx="227">
                  <c:v>91.673726052391558</c:v>
                </c:pt>
                <c:pt idx="228">
                  <c:v>91.717711455753985</c:v>
                </c:pt>
                <c:pt idx="229">
                  <c:v>92.063078326599822</c:v>
                </c:pt>
                <c:pt idx="230">
                  <c:v>91.799165906425188</c:v>
                </c:pt>
                <c:pt idx="231">
                  <c:v>91.33487553759943</c:v>
                </c:pt>
                <c:pt idx="232">
                  <c:v>91.569464355532446</c:v>
                </c:pt>
                <c:pt idx="233">
                  <c:v>91.978365697901793</c:v>
                </c:pt>
                <c:pt idx="234">
                  <c:v>91.952300273687015</c:v>
                </c:pt>
                <c:pt idx="235">
                  <c:v>91.815456796559431</c:v>
                </c:pt>
                <c:pt idx="236">
                  <c:v>91.820344063599705</c:v>
                </c:pt>
                <c:pt idx="237">
                  <c:v>92.473608757982603</c:v>
                </c:pt>
                <c:pt idx="238">
                  <c:v>92.432881532647002</c:v>
                </c:pt>
                <c:pt idx="239">
                  <c:v>93.144793431513165</c:v>
                </c:pt>
                <c:pt idx="240">
                  <c:v>93.20832790303669</c:v>
                </c:pt>
                <c:pt idx="241">
                  <c:v>93.297927798774992</c:v>
                </c:pt>
                <c:pt idx="242">
                  <c:v>93.568356575003321</c:v>
                </c:pt>
                <c:pt idx="243">
                  <c:v>93.314218688909222</c:v>
                </c:pt>
                <c:pt idx="244">
                  <c:v>93.695425518050371</c:v>
                </c:pt>
                <c:pt idx="245">
                  <c:v>93.482014857291858</c:v>
                </c:pt>
                <c:pt idx="246">
                  <c:v>93.314218688909222</c:v>
                </c:pt>
                <c:pt idx="247">
                  <c:v>93.737781832399378</c:v>
                </c:pt>
                <c:pt idx="248">
                  <c:v>93.991919718493463</c:v>
                </c:pt>
                <c:pt idx="249">
                  <c:v>94.306333898084247</c:v>
                </c:pt>
                <c:pt idx="250">
                  <c:v>94.280268473869455</c:v>
                </c:pt>
                <c:pt idx="251">
                  <c:v>93.687280072983242</c:v>
                </c:pt>
                <c:pt idx="252">
                  <c:v>93.506451192493216</c:v>
                </c:pt>
                <c:pt idx="253">
                  <c:v>93.824123550110841</c:v>
                </c:pt>
                <c:pt idx="254">
                  <c:v>93.983774273426363</c:v>
                </c:pt>
                <c:pt idx="255">
                  <c:v>94.135279551674756</c:v>
                </c:pt>
                <c:pt idx="256">
                  <c:v>94.410595594943359</c:v>
                </c:pt>
                <c:pt idx="257">
                  <c:v>94.47250097745345</c:v>
                </c:pt>
                <c:pt idx="258">
                  <c:v>94.361722924540643</c:v>
                </c:pt>
                <c:pt idx="259">
                  <c:v>94.483904600547405</c:v>
                </c:pt>
                <c:pt idx="260">
                  <c:v>94.532777270950106</c:v>
                </c:pt>
                <c:pt idx="261">
                  <c:v>94.720122507493826</c:v>
                </c:pt>
                <c:pt idx="262">
                  <c:v>93.710087319171137</c:v>
                </c:pt>
                <c:pt idx="263">
                  <c:v>93.701941874104023</c:v>
                </c:pt>
                <c:pt idx="264">
                  <c:v>92.931382770754624</c:v>
                </c:pt>
                <c:pt idx="265">
                  <c:v>93.884399843607483</c:v>
                </c:pt>
                <c:pt idx="266">
                  <c:v>93.615600156392574</c:v>
                </c:pt>
                <c:pt idx="267">
                  <c:v>94.231395803466739</c:v>
                </c:pt>
                <c:pt idx="268">
                  <c:v>93.563469307963032</c:v>
                </c:pt>
                <c:pt idx="269">
                  <c:v>93.687280072983242</c:v>
                </c:pt>
                <c:pt idx="270">
                  <c:v>93.780138146748385</c:v>
                </c:pt>
                <c:pt idx="271">
                  <c:v>94.351948390460109</c:v>
                </c:pt>
                <c:pt idx="272">
                  <c:v>94.105955949433124</c:v>
                </c:pt>
                <c:pt idx="273">
                  <c:v>93.299556887788398</c:v>
                </c:pt>
                <c:pt idx="274">
                  <c:v>92.954190016942562</c:v>
                </c:pt>
                <c:pt idx="275">
                  <c:v>93.519483904600591</c:v>
                </c:pt>
                <c:pt idx="276">
                  <c:v>92.739150267170643</c:v>
                </c:pt>
                <c:pt idx="277">
                  <c:v>92.859702854163999</c:v>
                </c:pt>
                <c:pt idx="278">
                  <c:v>92.968851818063399</c:v>
                </c:pt>
                <c:pt idx="279">
                  <c:v>93.348429558191128</c:v>
                </c:pt>
                <c:pt idx="280">
                  <c:v>93.609083800338908</c:v>
                </c:pt>
                <c:pt idx="281">
                  <c:v>93.555323862895932</c:v>
                </c:pt>
                <c:pt idx="282">
                  <c:v>93.227876971197773</c:v>
                </c:pt>
                <c:pt idx="283">
                  <c:v>93.845301707285358</c:v>
                </c:pt>
                <c:pt idx="284">
                  <c:v>94.02124332073511</c:v>
                </c:pt>
                <c:pt idx="285">
                  <c:v>94.180894044050632</c:v>
                </c:pt>
                <c:pt idx="286">
                  <c:v>94.356835657500397</c:v>
                </c:pt>
                <c:pt idx="287">
                  <c:v>94.451322820278975</c:v>
                </c:pt>
                <c:pt idx="288">
                  <c:v>94.62726443372874</c:v>
                </c:pt>
                <c:pt idx="289">
                  <c:v>94.930274990225556</c:v>
                </c:pt>
                <c:pt idx="290">
                  <c:v>94.374755636648061</c:v>
                </c:pt>
                <c:pt idx="291">
                  <c:v>94.404079238889679</c:v>
                </c:pt>
                <c:pt idx="292">
                  <c:v>94.338915678352734</c:v>
                </c:pt>
                <c:pt idx="293">
                  <c:v>94.44806464225212</c:v>
                </c:pt>
                <c:pt idx="294">
                  <c:v>94.223250358399653</c:v>
                </c:pt>
                <c:pt idx="295">
                  <c:v>94.376384725661481</c:v>
                </c:pt>
                <c:pt idx="296">
                  <c:v>94.553955428124667</c:v>
                </c:pt>
                <c:pt idx="297">
                  <c:v>92.815717450801571</c:v>
                </c:pt>
                <c:pt idx="298">
                  <c:v>92.4605760458752</c:v>
                </c:pt>
                <c:pt idx="299">
                  <c:v>92.58764498892225</c:v>
                </c:pt>
                <c:pt idx="300">
                  <c:v>92.713084842955865</c:v>
                </c:pt>
                <c:pt idx="301">
                  <c:v>92.447543333767797</c:v>
                </c:pt>
                <c:pt idx="302">
                  <c:v>91.851296754854729</c:v>
                </c:pt>
                <c:pt idx="303">
                  <c:v>91.447282679525657</c:v>
                </c:pt>
                <c:pt idx="304">
                  <c:v>90.570832790303697</c:v>
                </c:pt>
                <c:pt idx="305">
                  <c:v>91.211064772579221</c:v>
                </c:pt>
                <c:pt idx="306">
                  <c:v>92.172227290499208</c:v>
                </c:pt>
                <c:pt idx="307">
                  <c:v>92.916720969633829</c:v>
                </c:pt>
                <c:pt idx="308">
                  <c:v>92.540401407532954</c:v>
                </c:pt>
                <c:pt idx="309">
                  <c:v>92.602306790043059</c:v>
                </c:pt>
                <c:pt idx="310">
                  <c:v>92.471979668969155</c:v>
                </c:pt>
                <c:pt idx="311">
                  <c:v>92.947673660888867</c:v>
                </c:pt>
                <c:pt idx="312">
                  <c:v>92.85807376515055</c:v>
                </c:pt>
                <c:pt idx="313">
                  <c:v>93.306073243842064</c:v>
                </c:pt>
                <c:pt idx="314">
                  <c:v>92.441026977714074</c:v>
                </c:pt>
                <c:pt idx="315">
                  <c:v>91.835005864720458</c:v>
                </c:pt>
                <c:pt idx="316">
                  <c:v>91.481493548807521</c:v>
                </c:pt>
                <c:pt idx="317">
                  <c:v>91.546657109344466</c:v>
                </c:pt>
                <c:pt idx="318">
                  <c:v>91.233872018767116</c:v>
                </c:pt>
                <c:pt idx="319">
                  <c:v>90.968330509579047</c:v>
                </c:pt>
                <c:pt idx="320">
                  <c:v>90.794017985142702</c:v>
                </c:pt>
                <c:pt idx="321">
                  <c:v>91.458686302619569</c:v>
                </c:pt>
                <c:pt idx="322">
                  <c:v>91.68675876449889</c:v>
                </c:pt>
                <c:pt idx="323">
                  <c:v>91.567835266518955</c:v>
                </c:pt>
                <c:pt idx="324">
                  <c:v>91.75680959207611</c:v>
                </c:pt>
                <c:pt idx="325">
                  <c:v>92.012576567183629</c:v>
                </c:pt>
                <c:pt idx="326">
                  <c:v>91.914831226378197</c:v>
                </c:pt>
                <c:pt idx="327">
                  <c:v>92.123354620096435</c:v>
                </c:pt>
                <c:pt idx="328">
                  <c:v>91.760067770102964</c:v>
                </c:pt>
                <c:pt idx="329">
                  <c:v>91.597158868760602</c:v>
                </c:pt>
                <c:pt idx="330">
                  <c:v>92.002802033103109</c:v>
                </c:pt>
                <c:pt idx="331">
                  <c:v>92.195034536687118</c:v>
                </c:pt>
                <c:pt idx="332">
                  <c:v>92.662583083539715</c:v>
                </c:pt>
                <c:pt idx="333">
                  <c:v>92.690277596767913</c:v>
                </c:pt>
                <c:pt idx="334">
                  <c:v>92.986771797211034</c:v>
                </c:pt>
                <c:pt idx="335">
                  <c:v>92.612081324123579</c:v>
                </c:pt>
                <c:pt idx="336">
                  <c:v>92.630001303271257</c:v>
                </c:pt>
                <c:pt idx="337">
                  <c:v>92.696793952821622</c:v>
                </c:pt>
                <c:pt idx="338">
                  <c:v>92.688648507754493</c:v>
                </c:pt>
                <c:pt idx="339">
                  <c:v>92.942786393848593</c:v>
                </c:pt>
                <c:pt idx="340">
                  <c:v>92.923237325687509</c:v>
                </c:pt>
                <c:pt idx="341">
                  <c:v>93.581389287110696</c:v>
                </c:pt>
                <c:pt idx="342">
                  <c:v>93.284895086667589</c:v>
                </c:pt>
                <c:pt idx="343">
                  <c:v>92.616968591163868</c:v>
                </c:pt>
                <c:pt idx="344">
                  <c:v>92.916720969633829</c:v>
                </c:pt>
                <c:pt idx="345">
                  <c:v>92.840153786002901</c:v>
                </c:pt>
                <c:pt idx="346">
                  <c:v>92.90694643555328</c:v>
                </c:pt>
                <c:pt idx="347">
                  <c:v>93.58953473217781</c:v>
                </c:pt>
                <c:pt idx="348">
                  <c:v>94.257461227681532</c:v>
                </c:pt>
                <c:pt idx="349">
                  <c:v>94.047308744949873</c:v>
                </c:pt>
                <c:pt idx="350">
                  <c:v>93.832268995177955</c:v>
                </c:pt>
                <c:pt idx="351">
                  <c:v>93.350058647204534</c:v>
                </c:pt>
                <c:pt idx="352">
                  <c:v>93.451062166036792</c:v>
                </c:pt>
                <c:pt idx="353">
                  <c:v>93.829010817151101</c:v>
                </c:pt>
                <c:pt idx="354">
                  <c:v>94.001694252574026</c:v>
                </c:pt>
                <c:pt idx="355">
                  <c:v>94.097810504366038</c:v>
                </c:pt>
                <c:pt idx="356">
                  <c:v>93.710087319171194</c:v>
                </c:pt>
                <c:pt idx="357">
                  <c:v>93.900690733741754</c:v>
                </c:pt>
                <c:pt idx="358">
                  <c:v>93.698683696077211</c:v>
                </c:pt>
                <c:pt idx="359">
                  <c:v>93.936530692037067</c:v>
                </c:pt>
                <c:pt idx="360">
                  <c:v>93.899061644728334</c:v>
                </c:pt>
                <c:pt idx="361">
                  <c:v>93.94956340414447</c:v>
                </c:pt>
                <c:pt idx="362">
                  <c:v>94.167861331943243</c:v>
                </c:pt>
                <c:pt idx="363">
                  <c:v>94.229766714453334</c:v>
                </c:pt>
                <c:pt idx="364">
                  <c:v>94.400821060862825</c:v>
                </c:pt>
                <c:pt idx="365">
                  <c:v>94.14994135279558</c:v>
                </c:pt>
                <c:pt idx="366">
                  <c:v>94.689169816238831</c:v>
                </c:pt>
                <c:pt idx="367">
                  <c:v>94.215104913332524</c:v>
                </c:pt>
                <c:pt idx="368">
                  <c:v>94.710347973413334</c:v>
                </c:pt>
                <c:pt idx="369">
                  <c:v>94.835787827446964</c:v>
                </c:pt>
                <c:pt idx="370">
                  <c:v>94.866740518702002</c:v>
                </c:pt>
                <c:pt idx="371">
                  <c:v>94.754333376775776</c:v>
                </c:pt>
                <c:pt idx="372">
                  <c:v>95.101329336635018</c:v>
                </c:pt>
                <c:pt idx="373">
                  <c:v>94.59794083148708</c:v>
                </c:pt>
                <c:pt idx="374">
                  <c:v>94.5230027368696</c:v>
                </c:pt>
                <c:pt idx="375">
                  <c:v>94.273752117815775</c:v>
                </c:pt>
                <c:pt idx="376">
                  <c:v>93.566727485989901</c:v>
                </c:pt>
                <c:pt idx="377">
                  <c:v>93.092662583083595</c:v>
                </c:pt>
                <c:pt idx="378">
                  <c:v>92.392154307311401</c:v>
                </c:pt>
                <c:pt idx="379">
                  <c:v>92.660953994526309</c:v>
                </c:pt>
                <c:pt idx="380">
                  <c:v>93.042160823667459</c:v>
                </c:pt>
                <c:pt idx="381">
                  <c:v>93.310960510882353</c:v>
                </c:pt>
                <c:pt idx="382">
                  <c:v>93.693796429036908</c:v>
                </c:pt>
                <c:pt idx="383">
                  <c:v>93.687280072983214</c:v>
                </c:pt>
                <c:pt idx="384">
                  <c:v>93.610712889352314</c:v>
                </c:pt>
                <c:pt idx="385">
                  <c:v>93.565098396976452</c:v>
                </c:pt>
                <c:pt idx="386">
                  <c:v>93.268604196533346</c:v>
                </c:pt>
                <c:pt idx="387">
                  <c:v>92.858073765150564</c:v>
                </c:pt>
                <c:pt idx="388">
                  <c:v>93.193666101915852</c:v>
                </c:pt>
                <c:pt idx="389">
                  <c:v>93.157826143620525</c:v>
                </c:pt>
                <c:pt idx="390">
                  <c:v>92.297667144532824</c:v>
                </c:pt>
                <c:pt idx="391">
                  <c:v>92.028867457317915</c:v>
                </c:pt>
                <c:pt idx="392">
                  <c:v>91.96207480776755</c:v>
                </c:pt>
                <c:pt idx="393">
                  <c:v>92.343281636908671</c:v>
                </c:pt>
                <c:pt idx="394">
                  <c:v>92.522481428385277</c:v>
                </c:pt>
                <c:pt idx="395">
                  <c:v>92.033754724358175</c:v>
                </c:pt>
                <c:pt idx="396">
                  <c:v>92.553434119640343</c:v>
                </c:pt>
                <c:pt idx="397">
                  <c:v>92.219470871888475</c:v>
                </c:pt>
                <c:pt idx="398">
                  <c:v>92.328619835787862</c:v>
                </c:pt>
                <c:pt idx="399">
                  <c:v>91.621595203961974</c:v>
                </c:pt>
                <c:pt idx="400">
                  <c:v>91.67535514140495</c:v>
                </c:pt>
                <c:pt idx="401">
                  <c:v>91.976736608888331</c:v>
                </c:pt>
                <c:pt idx="402">
                  <c:v>91.960445718754087</c:v>
                </c:pt>
                <c:pt idx="403">
                  <c:v>91.777987749250642</c:v>
                </c:pt>
                <c:pt idx="404">
                  <c:v>91.903427603284271</c:v>
                </c:pt>
                <c:pt idx="405">
                  <c:v>91.807311351492274</c:v>
                </c:pt>
                <c:pt idx="406">
                  <c:v>92.1738563795126</c:v>
                </c:pt>
                <c:pt idx="407">
                  <c:v>92.631630392284663</c:v>
                </c:pt>
                <c:pt idx="408">
                  <c:v>92.369347061123463</c:v>
                </c:pt>
                <c:pt idx="409">
                  <c:v>92.568095920761152</c:v>
                </c:pt>
                <c:pt idx="410">
                  <c:v>92.499674182197353</c:v>
                </c:pt>
                <c:pt idx="411">
                  <c:v>92.336765280854976</c:v>
                </c:pt>
                <c:pt idx="412">
                  <c:v>92.152678222338096</c:v>
                </c:pt>
                <c:pt idx="413">
                  <c:v>91.650918806203592</c:v>
                </c:pt>
                <c:pt idx="414">
                  <c:v>91.496155349928344</c:v>
                </c:pt>
                <c:pt idx="415">
                  <c:v>91.562947999478709</c:v>
                </c:pt>
                <c:pt idx="416">
                  <c:v>91.913202137364806</c:v>
                </c:pt>
                <c:pt idx="417">
                  <c:v>91.766584126156673</c:v>
                </c:pt>
                <c:pt idx="418">
                  <c:v>91.966962074807782</c:v>
                </c:pt>
                <c:pt idx="419">
                  <c:v>91.68350058647205</c:v>
                </c:pt>
                <c:pt idx="420">
                  <c:v>91.598787957773993</c:v>
                </c:pt>
                <c:pt idx="421">
                  <c:v>91.152417568095913</c:v>
                </c:pt>
                <c:pt idx="422">
                  <c:v>90.836374299491709</c:v>
                </c:pt>
                <c:pt idx="423">
                  <c:v>90.885246969894425</c:v>
                </c:pt>
                <c:pt idx="424">
                  <c:v>91.19151570441808</c:v>
                </c:pt>
                <c:pt idx="425">
                  <c:v>91.644402450149869</c:v>
                </c:pt>
                <c:pt idx="426">
                  <c:v>91.751922325035835</c:v>
                </c:pt>
                <c:pt idx="427">
                  <c:v>91.574351622572664</c:v>
                </c:pt>
                <c:pt idx="428">
                  <c:v>92.195034536687103</c:v>
                </c:pt>
                <c:pt idx="429">
                  <c:v>92.372605239150289</c:v>
                </c:pt>
                <c:pt idx="430">
                  <c:v>92.696793952821608</c:v>
                </c:pt>
                <c:pt idx="431">
                  <c:v>92.918350058647235</c:v>
                </c:pt>
                <c:pt idx="432">
                  <c:v>92.98351361918418</c:v>
                </c:pt>
                <c:pt idx="433">
                  <c:v>93.135018897432587</c:v>
                </c:pt>
                <c:pt idx="434">
                  <c:v>93.125244363352053</c:v>
                </c:pt>
                <c:pt idx="435">
                  <c:v>92.719601199009546</c:v>
                </c:pt>
                <c:pt idx="436">
                  <c:v>92.217841782875055</c:v>
                </c:pt>
                <c:pt idx="437">
                  <c:v>92.370976150136883</c:v>
                </c:pt>
                <c:pt idx="438">
                  <c:v>92.452430600808071</c:v>
                </c:pt>
                <c:pt idx="439">
                  <c:v>92.625114036230997</c:v>
                </c:pt>
                <c:pt idx="440">
                  <c:v>92.450801511794666</c:v>
                </c:pt>
                <c:pt idx="441">
                  <c:v>92.656066727486049</c:v>
                </c:pt>
                <c:pt idx="442">
                  <c:v>92.172227290499222</c:v>
                </c:pt>
                <c:pt idx="443">
                  <c:v>91.673726052391572</c:v>
                </c:pt>
                <c:pt idx="444">
                  <c:v>91.349537338720253</c:v>
                </c:pt>
                <c:pt idx="445">
                  <c:v>91.631369738042551</c:v>
                </c:pt>
                <c:pt idx="446">
                  <c:v>91.453799035579365</c:v>
                </c:pt>
                <c:pt idx="447">
                  <c:v>91.470089925713609</c:v>
                </c:pt>
                <c:pt idx="448">
                  <c:v>91.049784960250292</c:v>
                </c:pt>
                <c:pt idx="449">
                  <c:v>90.973217776619393</c:v>
                </c:pt>
                <c:pt idx="450">
                  <c:v>90.378600286719745</c:v>
                </c:pt>
                <c:pt idx="451">
                  <c:v>90.060927929102121</c:v>
                </c:pt>
                <c:pt idx="452">
                  <c:v>89.985989834484627</c:v>
                </c:pt>
                <c:pt idx="453">
                  <c:v>90.616447282679587</c:v>
                </c:pt>
                <c:pt idx="454">
                  <c:v>90.256418610712942</c:v>
                </c:pt>
                <c:pt idx="455">
                  <c:v>90.08536426430345</c:v>
                </c:pt>
                <c:pt idx="456">
                  <c:v>90.018571614753071</c:v>
                </c:pt>
                <c:pt idx="457">
                  <c:v>89.955037143229546</c:v>
                </c:pt>
                <c:pt idx="458">
                  <c:v>89.751401016551583</c:v>
                </c:pt>
                <c:pt idx="459">
                  <c:v>89.48097224032324</c:v>
                </c:pt>
                <c:pt idx="460">
                  <c:v>89.588492115209206</c:v>
                </c:pt>
                <c:pt idx="461">
                  <c:v>89.85566271341068</c:v>
                </c:pt>
                <c:pt idx="462">
                  <c:v>89.85240453538384</c:v>
                </c:pt>
                <c:pt idx="463">
                  <c:v>90.140753290759832</c:v>
                </c:pt>
                <c:pt idx="464">
                  <c:v>90.044637038967835</c:v>
                </c:pt>
                <c:pt idx="465">
                  <c:v>90.202658673269937</c:v>
                </c:pt>
                <c:pt idx="466">
                  <c:v>90.433989313176099</c:v>
                </c:pt>
                <c:pt idx="467">
                  <c:v>89.658542942786426</c:v>
                </c:pt>
                <c:pt idx="468">
                  <c:v>89.653655675746151</c:v>
                </c:pt>
                <c:pt idx="469">
                  <c:v>90.031604326860446</c:v>
                </c:pt>
                <c:pt idx="470">
                  <c:v>90.049524306008109</c:v>
                </c:pt>
                <c:pt idx="471">
                  <c:v>89.785611885833461</c:v>
                </c:pt>
                <c:pt idx="472">
                  <c:v>89.762804639645537</c:v>
                </c:pt>
                <c:pt idx="473">
                  <c:v>89.288739736739245</c:v>
                </c:pt>
                <c:pt idx="474">
                  <c:v>88.993874625309559</c:v>
                </c:pt>
                <c:pt idx="475">
                  <c:v>89.021569138537771</c:v>
                </c:pt>
                <c:pt idx="476">
                  <c:v>89.334354229115121</c:v>
                </c:pt>
                <c:pt idx="477">
                  <c:v>89.187736217906973</c:v>
                </c:pt>
                <c:pt idx="478">
                  <c:v>89.697641079108593</c:v>
                </c:pt>
                <c:pt idx="479">
                  <c:v>89.875211781571764</c:v>
                </c:pt>
                <c:pt idx="480">
                  <c:v>90.059298840088644</c:v>
                </c:pt>
                <c:pt idx="481">
                  <c:v>89.257787045484193</c:v>
                </c:pt>
                <c:pt idx="482">
                  <c:v>89.378339632477548</c:v>
                </c:pt>
                <c:pt idx="483">
                  <c:v>89.114427212302914</c:v>
                </c:pt>
                <c:pt idx="484">
                  <c:v>89.137234458490852</c:v>
                </c:pt>
                <c:pt idx="485">
                  <c:v>88.216799165906465</c:v>
                </c:pt>
                <c:pt idx="486">
                  <c:v>87.882835918154598</c:v>
                </c:pt>
                <c:pt idx="487">
                  <c:v>87.41854554932884</c:v>
                </c:pt>
                <c:pt idx="488">
                  <c:v>87.029193275120576</c:v>
                </c:pt>
                <c:pt idx="489">
                  <c:v>86.703375472435852</c:v>
                </c:pt>
                <c:pt idx="490">
                  <c:v>85.856249185455525</c:v>
                </c:pt>
                <c:pt idx="491">
                  <c:v>86.213019679395316</c:v>
                </c:pt>
                <c:pt idx="492">
                  <c:v>85.564642252052693</c:v>
                </c:pt>
                <c:pt idx="493">
                  <c:v>85.201355402059207</c:v>
                </c:pt>
                <c:pt idx="494">
                  <c:v>85.246969894435068</c:v>
                </c:pt>
                <c:pt idx="495">
                  <c:v>85.401733350710316</c:v>
                </c:pt>
                <c:pt idx="496">
                  <c:v>85.11175550632089</c:v>
                </c:pt>
                <c:pt idx="497">
                  <c:v>85.057995568877928</c:v>
                </c:pt>
                <c:pt idx="498">
                  <c:v>84.937442981884558</c:v>
                </c:pt>
                <c:pt idx="499">
                  <c:v>84.782679525609311</c:v>
                </c:pt>
                <c:pt idx="500">
                  <c:v>85.290955297797495</c:v>
                </c:pt>
                <c:pt idx="501">
                  <c:v>85.584191320213762</c:v>
                </c:pt>
                <c:pt idx="502">
                  <c:v>85.051479212824219</c:v>
                </c:pt>
                <c:pt idx="503">
                  <c:v>85.100351883226935</c:v>
                </c:pt>
                <c:pt idx="504">
                  <c:v>84.847843086146256</c:v>
                </c:pt>
                <c:pt idx="505">
                  <c:v>84.342825491984911</c:v>
                </c:pt>
                <c:pt idx="506">
                  <c:v>84.098462139971346</c:v>
                </c:pt>
                <c:pt idx="507">
                  <c:v>83.986054998045105</c:v>
                </c:pt>
                <c:pt idx="508">
                  <c:v>83.606477257917376</c:v>
                </c:pt>
                <c:pt idx="509">
                  <c:v>84.743581389287101</c:v>
                </c:pt>
                <c:pt idx="510">
                  <c:v>85.378926104522336</c:v>
                </c:pt>
                <c:pt idx="511">
                  <c:v>86.027303531864973</c:v>
                </c:pt>
                <c:pt idx="512">
                  <c:v>86.496481167730991</c:v>
                </c:pt>
                <c:pt idx="513">
                  <c:v>86.532321126026318</c:v>
                </c:pt>
                <c:pt idx="514">
                  <c:v>86.323797732308094</c:v>
                </c:pt>
                <c:pt idx="515">
                  <c:v>85.742212954515836</c:v>
                </c:pt>
                <c:pt idx="516">
                  <c:v>85.786198357878277</c:v>
                </c:pt>
                <c:pt idx="517">
                  <c:v>85.634693079629884</c:v>
                </c:pt>
                <c:pt idx="518">
                  <c:v>85.662387592858067</c:v>
                </c:pt>
                <c:pt idx="519">
                  <c:v>85.344715235240457</c:v>
                </c:pt>
                <c:pt idx="520">
                  <c:v>85.154111820669897</c:v>
                </c:pt>
                <c:pt idx="521">
                  <c:v>85.416395151831111</c:v>
                </c:pt>
                <c:pt idx="522">
                  <c:v>85.823667405187038</c:v>
                </c:pt>
                <c:pt idx="523">
                  <c:v>85.79923106998568</c:v>
                </c:pt>
                <c:pt idx="524">
                  <c:v>86.286328684999361</c:v>
                </c:pt>
                <c:pt idx="525">
                  <c:v>86.863026195751345</c:v>
                </c:pt>
                <c:pt idx="526">
                  <c:v>86.688713671315014</c:v>
                </c:pt>
                <c:pt idx="527">
                  <c:v>86.542095660106867</c:v>
                </c:pt>
                <c:pt idx="528">
                  <c:v>86.550241105173995</c:v>
                </c:pt>
                <c:pt idx="529">
                  <c:v>86.157630652938892</c:v>
                </c:pt>
                <c:pt idx="530">
                  <c:v>86.786459012120446</c:v>
                </c:pt>
                <c:pt idx="531">
                  <c:v>86.880946174899023</c:v>
                </c:pt>
                <c:pt idx="532">
                  <c:v>86.819040792388918</c:v>
                </c:pt>
                <c:pt idx="533">
                  <c:v>86.270037794865146</c:v>
                </c:pt>
                <c:pt idx="534">
                  <c:v>86.566531995308253</c:v>
                </c:pt>
                <c:pt idx="535">
                  <c:v>86.025674442851582</c:v>
                </c:pt>
                <c:pt idx="536">
                  <c:v>86.139710673791242</c:v>
                </c:pt>
                <c:pt idx="537">
                  <c:v>85.999609018636804</c:v>
                </c:pt>
                <c:pt idx="538">
                  <c:v>86.91678613319435</c:v>
                </c:pt>
                <c:pt idx="539">
                  <c:v>87.030822364134011</c:v>
                </c:pt>
                <c:pt idx="540">
                  <c:v>86.858138928711099</c:v>
                </c:pt>
                <c:pt idx="541">
                  <c:v>86.965658803597066</c:v>
                </c:pt>
                <c:pt idx="542">
                  <c:v>86.638211911898907</c:v>
                </c:pt>
                <c:pt idx="543">
                  <c:v>86.804378991268109</c:v>
                </c:pt>
                <c:pt idx="544">
                  <c:v>86.939593379382273</c:v>
                </c:pt>
                <c:pt idx="545">
                  <c:v>87.309396585429468</c:v>
                </c:pt>
                <c:pt idx="546">
                  <c:v>87.149745862113946</c:v>
                </c:pt>
                <c:pt idx="547">
                  <c:v>86.794604457187575</c:v>
                </c:pt>
                <c:pt idx="548">
                  <c:v>86.998240583865538</c:v>
                </c:pt>
                <c:pt idx="549">
                  <c:v>87.493483643946334</c:v>
                </c:pt>
                <c:pt idx="550">
                  <c:v>87.60263260784572</c:v>
                </c:pt>
                <c:pt idx="551">
                  <c:v>87.661279812328971</c:v>
                </c:pt>
                <c:pt idx="552">
                  <c:v>87.364785611885864</c:v>
                </c:pt>
                <c:pt idx="553">
                  <c:v>87.117164081845459</c:v>
                </c:pt>
                <c:pt idx="554">
                  <c:v>87.553759937443004</c:v>
                </c:pt>
                <c:pt idx="555">
                  <c:v>86.545353838133735</c:v>
                </c:pt>
                <c:pt idx="556">
                  <c:v>85.817151049133344</c:v>
                </c:pt>
                <c:pt idx="557">
                  <c:v>86.36615404665713</c:v>
                </c:pt>
                <c:pt idx="558">
                  <c:v>84.422650853642665</c:v>
                </c:pt>
                <c:pt idx="559">
                  <c:v>83.666753551414061</c:v>
                </c:pt>
                <c:pt idx="560">
                  <c:v>84.328163690864088</c:v>
                </c:pt>
                <c:pt idx="561">
                  <c:v>83.725400755897311</c:v>
                </c:pt>
                <c:pt idx="562">
                  <c:v>82.407467744037547</c:v>
                </c:pt>
                <c:pt idx="563">
                  <c:v>81.377883487553774</c:v>
                </c:pt>
                <c:pt idx="564">
                  <c:v>81.575003258178029</c:v>
                </c:pt>
                <c:pt idx="565">
                  <c:v>81.921999218037286</c:v>
                </c:pt>
                <c:pt idx="566">
                  <c:v>81.809592076111059</c:v>
                </c:pt>
                <c:pt idx="567">
                  <c:v>81.662974064902926</c:v>
                </c:pt>
                <c:pt idx="568">
                  <c:v>82.286915157044191</c:v>
                </c:pt>
                <c:pt idx="569">
                  <c:v>83.085168773621788</c:v>
                </c:pt>
                <c:pt idx="570">
                  <c:v>84.596963378078982</c:v>
                </c:pt>
                <c:pt idx="571">
                  <c:v>84.191320213736475</c:v>
                </c:pt>
                <c:pt idx="572">
                  <c:v>84.106607585038432</c:v>
                </c:pt>
                <c:pt idx="573">
                  <c:v>84.07891307181022</c:v>
                </c:pt>
                <c:pt idx="574">
                  <c:v>84.412876319562088</c:v>
                </c:pt>
                <c:pt idx="575">
                  <c:v>84.987944741300652</c:v>
                </c:pt>
                <c:pt idx="576">
                  <c:v>85.017268343542284</c:v>
                </c:pt>
                <c:pt idx="577">
                  <c:v>85.347973413267297</c:v>
                </c:pt>
                <c:pt idx="578">
                  <c:v>85.629805812589595</c:v>
                </c:pt>
                <c:pt idx="579">
                  <c:v>86.762022676919059</c:v>
                </c:pt>
                <c:pt idx="580">
                  <c:v>87.115534992831996</c:v>
                </c:pt>
                <c:pt idx="581">
                  <c:v>87.146487684087049</c:v>
                </c:pt>
                <c:pt idx="582">
                  <c:v>86.996611494852061</c:v>
                </c:pt>
                <c:pt idx="583">
                  <c:v>87.355011077805273</c:v>
                </c:pt>
                <c:pt idx="584">
                  <c:v>86.760393587905625</c:v>
                </c:pt>
                <c:pt idx="585">
                  <c:v>86.502997523784686</c:v>
                </c:pt>
                <c:pt idx="586">
                  <c:v>86.520917502932349</c:v>
                </c:pt>
                <c:pt idx="587">
                  <c:v>86.550241105173981</c:v>
                </c:pt>
                <c:pt idx="588">
                  <c:v>86.331943177375209</c:v>
                </c:pt>
                <c:pt idx="589">
                  <c:v>86.48344845562363</c:v>
                </c:pt>
                <c:pt idx="590">
                  <c:v>86.845106216603668</c:v>
                </c:pt>
                <c:pt idx="591">
                  <c:v>86.361266779616841</c:v>
                </c:pt>
                <c:pt idx="592">
                  <c:v>86.639841000912298</c:v>
                </c:pt>
                <c:pt idx="593">
                  <c:v>86.353121334549726</c:v>
                </c:pt>
                <c:pt idx="594">
                  <c:v>86.260263260784598</c:v>
                </c:pt>
                <c:pt idx="595">
                  <c:v>85.996350840609949</c:v>
                </c:pt>
                <c:pt idx="596">
                  <c:v>85.504365958555994</c:v>
                </c:pt>
                <c:pt idx="597">
                  <c:v>85.349602502280746</c:v>
                </c:pt>
                <c:pt idx="598">
                  <c:v>84.649094226508552</c:v>
                </c:pt>
                <c:pt idx="599">
                  <c:v>84.535057995568891</c:v>
                </c:pt>
                <c:pt idx="600">
                  <c:v>84.505734393327259</c:v>
                </c:pt>
                <c:pt idx="601">
                  <c:v>84.815261305877769</c:v>
                </c:pt>
                <c:pt idx="602">
                  <c:v>84.222272904991542</c:v>
                </c:pt>
                <c:pt idx="603">
                  <c:v>85.150853642643057</c:v>
                </c:pt>
                <c:pt idx="604">
                  <c:v>86.063143490160328</c:v>
                </c:pt>
                <c:pt idx="605">
                  <c:v>85.064511924931608</c:v>
                </c:pt>
                <c:pt idx="606">
                  <c:v>84.600221556105836</c:v>
                </c:pt>
                <c:pt idx="607">
                  <c:v>83.973022285937731</c:v>
                </c:pt>
                <c:pt idx="608">
                  <c:v>83.920891437508175</c:v>
                </c:pt>
                <c:pt idx="609">
                  <c:v>84.157109344454611</c:v>
                </c:pt>
                <c:pt idx="610">
                  <c:v>84.134302098266687</c:v>
                </c:pt>
                <c:pt idx="611">
                  <c:v>84.122898475172704</c:v>
                </c:pt>
                <c:pt idx="612">
                  <c:v>84.336309135931216</c:v>
                </c:pt>
                <c:pt idx="613">
                  <c:v>84.85273035318653</c:v>
                </c:pt>
                <c:pt idx="614">
                  <c:v>84.637690603414612</c:v>
                </c:pt>
                <c:pt idx="615">
                  <c:v>85.465267822233855</c:v>
                </c:pt>
                <c:pt idx="616">
                  <c:v>85.60374038837486</c:v>
                </c:pt>
                <c:pt idx="617">
                  <c:v>86.46389938746259</c:v>
                </c:pt>
                <c:pt idx="618">
                  <c:v>86.714779095529821</c:v>
                </c:pt>
                <c:pt idx="619">
                  <c:v>85.887201876710577</c:v>
                </c:pt>
                <c:pt idx="620">
                  <c:v>85.595594943307745</c:v>
                </c:pt>
                <c:pt idx="621">
                  <c:v>85.602111299361439</c:v>
                </c:pt>
                <c:pt idx="622">
                  <c:v>86.095725270428815</c:v>
                </c:pt>
                <c:pt idx="623">
                  <c:v>85.989834484556269</c:v>
                </c:pt>
                <c:pt idx="624">
                  <c:v>85.836700117294441</c:v>
                </c:pt>
                <c:pt idx="625">
                  <c:v>86.317281376254428</c:v>
                </c:pt>
                <c:pt idx="626">
                  <c:v>86.061514401146908</c:v>
                </c:pt>
                <c:pt idx="627">
                  <c:v>86.133194317737548</c:v>
                </c:pt>
                <c:pt idx="628">
                  <c:v>85.861136452495785</c:v>
                </c:pt>
                <c:pt idx="629">
                  <c:v>85.901863677831372</c:v>
                </c:pt>
                <c:pt idx="630">
                  <c:v>85.576045875146633</c:v>
                </c:pt>
                <c:pt idx="631">
                  <c:v>84.74846865632739</c:v>
                </c:pt>
                <c:pt idx="632">
                  <c:v>83.973022285937716</c:v>
                </c:pt>
                <c:pt idx="633">
                  <c:v>83.697706242669113</c:v>
                </c:pt>
                <c:pt idx="634">
                  <c:v>84.465007167991672</c:v>
                </c:pt>
                <c:pt idx="635">
                  <c:v>84.246709240192899</c:v>
                </c:pt>
                <c:pt idx="636">
                  <c:v>83.845953342890667</c:v>
                </c:pt>
                <c:pt idx="637">
                  <c:v>84.280920109474792</c:v>
                </c:pt>
                <c:pt idx="638">
                  <c:v>84.499218037273579</c:v>
                </c:pt>
                <c:pt idx="639">
                  <c:v>84.481298058125901</c:v>
                </c:pt>
                <c:pt idx="640">
                  <c:v>84.131043920239804</c:v>
                </c:pt>
                <c:pt idx="641">
                  <c:v>84.212498370910993</c:v>
                </c:pt>
                <c:pt idx="642">
                  <c:v>84.377036361266775</c:v>
                </c:pt>
                <c:pt idx="643">
                  <c:v>84.326534601850639</c:v>
                </c:pt>
                <c:pt idx="644">
                  <c:v>84.05121855858205</c:v>
                </c:pt>
                <c:pt idx="645">
                  <c:v>84.132673009253239</c:v>
                </c:pt>
                <c:pt idx="646">
                  <c:v>83.093314218688931</c:v>
                </c:pt>
                <c:pt idx="647">
                  <c:v>83.197575915548043</c:v>
                </c:pt>
                <c:pt idx="648">
                  <c:v>81.35670533037927</c:v>
                </c:pt>
                <c:pt idx="649">
                  <c:v>80.892414961553527</c:v>
                </c:pt>
                <c:pt idx="650">
                  <c:v>81.361592597419545</c:v>
                </c:pt>
                <c:pt idx="651">
                  <c:v>81.001563925452913</c:v>
                </c:pt>
                <c:pt idx="652">
                  <c:v>80.713215170076921</c:v>
                </c:pt>
                <c:pt idx="653">
                  <c:v>80.416720969633801</c:v>
                </c:pt>
                <c:pt idx="654">
                  <c:v>80.685520656848709</c:v>
                </c:pt>
                <c:pt idx="655">
                  <c:v>80.105564968069871</c:v>
                </c:pt>
                <c:pt idx="656">
                  <c:v>81.324123550110798</c:v>
                </c:pt>
                <c:pt idx="657">
                  <c:v>81.640166818714988</c:v>
                </c:pt>
                <c:pt idx="658">
                  <c:v>81.977388244493682</c:v>
                </c:pt>
                <c:pt idx="659">
                  <c:v>81.954580998305758</c:v>
                </c:pt>
                <c:pt idx="660">
                  <c:v>81.438159781050445</c:v>
                </c:pt>
                <c:pt idx="661">
                  <c:v>81.407207089795392</c:v>
                </c:pt>
                <c:pt idx="662">
                  <c:v>81.824253877231854</c:v>
                </c:pt>
                <c:pt idx="663">
                  <c:v>81.464225205265222</c:v>
                </c:pt>
                <c:pt idx="664">
                  <c:v>82.052326339111175</c:v>
                </c:pt>
                <c:pt idx="665">
                  <c:v>82.29668969112474</c:v>
                </c:pt>
                <c:pt idx="666">
                  <c:v>82.138668056822652</c:v>
                </c:pt>
                <c:pt idx="667">
                  <c:v>82.506842173856413</c:v>
                </c:pt>
                <c:pt idx="668">
                  <c:v>81.952951909292352</c:v>
                </c:pt>
                <c:pt idx="669">
                  <c:v>81.993679134627939</c:v>
                </c:pt>
                <c:pt idx="670">
                  <c:v>82.358595073634845</c:v>
                </c:pt>
                <c:pt idx="671">
                  <c:v>82.1077153655676</c:v>
                </c:pt>
                <c:pt idx="672">
                  <c:v>82.503583995829558</c:v>
                </c:pt>
                <c:pt idx="673">
                  <c:v>82.508471262869833</c:v>
                </c:pt>
                <c:pt idx="674">
                  <c:v>83.210608627655461</c:v>
                </c:pt>
                <c:pt idx="675">
                  <c:v>83.103088752769494</c:v>
                </c:pt>
                <c:pt idx="676">
                  <c:v>83.345823015769625</c:v>
                </c:pt>
                <c:pt idx="677">
                  <c:v>82.824514531474037</c:v>
                </c:pt>
                <c:pt idx="678">
                  <c:v>82.713736478561231</c:v>
                </c:pt>
                <c:pt idx="679">
                  <c:v>82.316238759285852</c:v>
                </c:pt>
                <c:pt idx="680">
                  <c:v>81.702072201225121</c:v>
                </c:pt>
                <c:pt idx="681">
                  <c:v>81.482145184412929</c:v>
                </c:pt>
                <c:pt idx="682">
                  <c:v>81.363221686432993</c:v>
                </c:pt>
                <c:pt idx="683">
                  <c:v>81.557083279030408</c:v>
                </c:pt>
                <c:pt idx="684">
                  <c:v>81.778639384856021</c:v>
                </c:pt>
                <c:pt idx="685">
                  <c:v>81.938290108171543</c:v>
                </c:pt>
                <c:pt idx="686">
                  <c:v>81.819366610191608</c:v>
                </c:pt>
                <c:pt idx="687">
                  <c:v>81.974130066466856</c:v>
                </c:pt>
                <c:pt idx="688">
                  <c:v>82.049068161084335</c:v>
                </c:pt>
                <c:pt idx="689">
                  <c:v>81.547308744949845</c:v>
                </c:pt>
                <c:pt idx="690">
                  <c:v>81.433272514010184</c:v>
                </c:pt>
                <c:pt idx="691">
                  <c:v>81.734653981493551</c:v>
                </c:pt>
                <c:pt idx="692">
                  <c:v>81.693926756157964</c:v>
                </c:pt>
                <c:pt idx="693">
                  <c:v>81.024371171640823</c:v>
                </c:pt>
                <c:pt idx="694">
                  <c:v>81.395803466701423</c:v>
                </c:pt>
                <c:pt idx="695">
                  <c:v>81.723250358399582</c:v>
                </c:pt>
                <c:pt idx="696">
                  <c:v>81.676006777010301</c:v>
                </c:pt>
                <c:pt idx="697">
                  <c:v>82.158217124983707</c:v>
                </c:pt>
                <c:pt idx="698">
                  <c:v>81.296429036882571</c:v>
                </c:pt>
                <c:pt idx="699">
                  <c:v>81.218232764238238</c:v>
                </c:pt>
                <c:pt idx="700">
                  <c:v>80.825622312003134</c:v>
                </c:pt>
                <c:pt idx="701">
                  <c:v>80.892414961553513</c:v>
                </c:pt>
                <c:pt idx="702">
                  <c:v>81.177505538902651</c:v>
                </c:pt>
                <c:pt idx="703">
                  <c:v>80.837025935097103</c:v>
                </c:pt>
                <c:pt idx="704">
                  <c:v>80.345041053043147</c:v>
                </c:pt>
                <c:pt idx="705">
                  <c:v>80.532386289586867</c:v>
                </c:pt>
                <c:pt idx="706">
                  <c:v>79.724358138928721</c:v>
                </c:pt>
                <c:pt idx="707">
                  <c:v>79.022220774143108</c:v>
                </c:pt>
                <c:pt idx="708">
                  <c:v>78.763195621008734</c:v>
                </c:pt>
                <c:pt idx="709">
                  <c:v>79.36595855597551</c:v>
                </c:pt>
                <c:pt idx="710">
                  <c:v>79.36921673400235</c:v>
                </c:pt>
                <c:pt idx="711">
                  <c:v>78.904926365176607</c:v>
                </c:pt>
                <c:pt idx="712">
                  <c:v>80.188648507754465</c:v>
                </c:pt>
                <c:pt idx="713">
                  <c:v>80.354815587123696</c:v>
                </c:pt>
                <c:pt idx="714">
                  <c:v>79.968721490942286</c:v>
                </c:pt>
                <c:pt idx="715">
                  <c:v>79.449042095660118</c:v>
                </c:pt>
                <c:pt idx="716">
                  <c:v>79.136257005082769</c:v>
                </c:pt>
                <c:pt idx="717">
                  <c:v>78.904926365176607</c:v>
                </c:pt>
                <c:pt idx="718">
                  <c:v>78.789261045223512</c:v>
                </c:pt>
                <c:pt idx="719">
                  <c:v>78.577479473478434</c:v>
                </c:pt>
                <c:pt idx="720">
                  <c:v>78.846279160693342</c:v>
                </c:pt>
                <c:pt idx="721">
                  <c:v>78.665450280203302</c:v>
                </c:pt>
                <c:pt idx="722">
                  <c:v>79.173726052391501</c:v>
                </c:pt>
                <c:pt idx="723">
                  <c:v>79.05806073243842</c:v>
                </c:pt>
                <c:pt idx="724">
                  <c:v>78.738759285807362</c:v>
                </c:pt>
                <c:pt idx="725">
                  <c:v>78.896780920109464</c:v>
                </c:pt>
                <c:pt idx="726">
                  <c:v>79.357813110908367</c:v>
                </c:pt>
                <c:pt idx="727">
                  <c:v>78.735501107780522</c:v>
                </c:pt>
                <c:pt idx="728">
                  <c:v>79.054802554411566</c:v>
                </c:pt>
                <c:pt idx="729">
                  <c:v>79.507689300143355</c:v>
                </c:pt>
                <c:pt idx="730">
                  <c:v>79.672227290499151</c:v>
                </c:pt>
                <c:pt idx="731">
                  <c:v>79.510947478170209</c:v>
                </c:pt>
                <c:pt idx="732">
                  <c:v>79.528867457317858</c:v>
                </c:pt>
                <c:pt idx="733">
                  <c:v>79.857943438029451</c:v>
                </c:pt>
                <c:pt idx="734">
                  <c:v>79.642903688257519</c:v>
                </c:pt>
                <c:pt idx="735">
                  <c:v>79.597289195881658</c:v>
                </c:pt>
                <c:pt idx="736">
                  <c:v>80.538902645640562</c:v>
                </c:pt>
                <c:pt idx="737">
                  <c:v>80.739280594291671</c:v>
                </c:pt>
                <c:pt idx="738">
                  <c:v>80.838655024110523</c:v>
                </c:pt>
                <c:pt idx="739">
                  <c:v>80.62198618532517</c:v>
                </c:pt>
                <c:pt idx="740">
                  <c:v>81.226378209305366</c:v>
                </c:pt>
                <c:pt idx="741">
                  <c:v>81.522872409748473</c:v>
                </c:pt>
                <c:pt idx="742">
                  <c:v>81.513097875667924</c:v>
                </c:pt>
                <c:pt idx="743">
                  <c:v>81.369738042486631</c:v>
                </c:pt>
                <c:pt idx="744">
                  <c:v>81.032516616707923</c:v>
                </c:pt>
                <c:pt idx="745">
                  <c:v>80.755571484425886</c:v>
                </c:pt>
                <c:pt idx="746">
                  <c:v>80.724618793170848</c:v>
                </c:pt>
                <c:pt idx="747">
                  <c:v>80.636647986445965</c:v>
                </c:pt>
                <c:pt idx="748">
                  <c:v>80.832138668056814</c:v>
                </c:pt>
                <c:pt idx="749">
                  <c:v>81.241040010426161</c:v>
                </c:pt>
                <c:pt idx="750">
                  <c:v>81.273621790694634</c:v>
                </c:pt>
                <c:pt idx="751">
                  <c:v>80.879382249446095</c:v>
                </c:pt>
                <c:pt idx="752">
                  <c:v>81.166101915808667</c:v>
                </c:pt>
                <c:pt idx="753">
                  <c:v>81.552196011990077</c:v>
                </c:pt>
                <c:pt idx="754">
                  <c:v>81.912224683956708</c:v>
                </c:pt>
                <c:pt idx="755">
                  <c:v>81.941548286198341</c:v>
                </c:pt>
                <c:pt idx="756">
                  <c:v>81.69066857813111</c:v>
                </c:pt>
                <c:pt idx="757">
                  <c:v>81.170989182848942</c:v>
                </c:pt>
                <c:pt idx="758">
                  <c:v>81.32412355011077</c:v>
                </c:pt>
                <c:pt idx="759">
                  <c:v>81.705330379251919</c:v>
                </c:pt>
                <c:pt idx="760">
                  <c:v>81.837286589339229</c:v>
                </c:pt>
                <c:pt idx="761">
                  <c:v>81.550566922976657</c:v>
                </c:pt>
                <c:pt idx="762">
                  <c:v>81.20031278509056</c:v>
                </c:pt>
                <c:pt idx="763">
                  <c:v>81.765606672748589</c:v>
                </c:pt>
                <c:pt idx="764">
                  <c:v>81.545679655936382</c:v>
                </c:pt>
                <c:pt idx="765">
                  <c:v>81.206829141144254</c:v>
                </c:pt>
                <c:pt idx="766">
                  <c:v>80.990160302358916</c:v>
                </c:pt>
                <c:pt idx="767">
                  <c:v>80.814218688909151</c:v>
                </c:pt>
                <c:pt idx="768">
                  <c:v>80.946174898996475</c:v>
                </c:pt>
                <c:pt idx="769">
                  <c:v>81.130261957513355</c:v>
                </c:pt>
                <c:pt idx="770">
                  <c:v>81.224749120291932</c:v>
                </c:pt>
                <c:pt idx="771">
                  <c:v>81.475628828359177</c:v>
                </c:pt>
                <c:pt idx="772">
                  <c:v>81.117229245405966</c:v>
                </c:pt>
                <c:pt idx="773">
                  <c:v>81.19053825101004</c:v>
                </c:pt>
                <c:pt idx="774">
                  <c:v>81.293170858855731</c:v>
                </c:pt>
                <c:pt idx="775">
                  <c:v>81.291541769842297</c:v>
                </c:pt>
                <c:pt idx="776">
                  <c:v>81.216603675224803</c:v>
                </c:pt>
                <c:pt idx="777">
                  <c:v>81.19379642903688</c:v>
                </c:pt>
                <c:pt idx="778">
                  <c:v>81.335527173204738</c:v>
                </c:pt>
                <c:pt idx="779">
                  <c:v>81.931773752117806</c:v>
                </c:pt>
                <c:pt idx="780">
                  <c:v>82.427016812198602</c:v>
                </c:pt>
                <c:pt idx="781">
                  <c:v>82.585038446500704</c:v>
                </c:pt>
                <c:pt idx="782">
                  <c:v>83.034667014205638</c:v>
                </c:pt>
                <c:pt idx="783">
                  <c:v>83.57878274468915</c:v>
                </c:pt>
                <c:pt idx="784">
                  <c:v>83.551088231460938</c:v>
                </c:pt>
                <c:pt idx="785">
                  <c:v>83.132412355011041</c:v>
                </c:pt>
                <c:pt idx="786">
                  <c:v>83.280659455232595</c:v>
                </c:pt>
                <c:pt idx="787">
                  <c:v>83.050957904339839</c:v>
                </c:pt>
                <c:pt idx="788">
                  <c:v>82.961358008601536</c:v>
                </c:pt>
                <c:pt idx="789">
                  <c:v>83.228528606803025</c:v>
                </c:pt>
                <c:pt idx="790">
                  <c:v>83.178026847386889</c:v>
                </c:pt>
                <c:pt idx="791">
                  <c:v>83.5364264303401</c:v>
                </c:pt>
                <c:pt idx="792">
                  <c:v>83.731917111950963</c:v>
                </c:pt>
                <c:pt idx="793">
                  <c:v>83.650462661279775</c:v>
                </c:pt>
                <c:pt idx="794">
                  <c:v>83.497328294017947</c:v>
                </c:pt>
                <c:pt idx="795">
                  <c:v>83.252964942004397</c:v>
                </c:pt>
                <c:pt idx="796">
                  <c:v>83.461488335722635</c:v>
                </c:pt>
                <c:pt idx="797">
                  <c:v>84.106607585038418</c:v>
                </c:pt>
                <c:pt idx="798">
                  <c:v>84.000716799165886</c:v>
                </c:pt>
                <c:pt idx="799">
                  <c:v>82.977648898735794</c:v>
                </c:pt>
                <c:pt idx="800">
                  <c:v>82.46122768148048</c:v>
                </c:pt>
                <c:pt idx="801">
                  <c:v>82.643685650983926</c:v>
                </c:pt>
                <c:pt idx="802">
                  <c:v>82.506842173856342</c:v>
                </c:pt>
                <c:pt idx="803">
                  <c:v>82.326013293366316</c:v>
                </c:pt>
                <c:pt idx="804">
                  <c:v>82.394435031930115</c:v>
                </c:pt>
                <c:pt idx="805">
                  <c:v>82.681154698292687</c:v>
                </c:pt>
                <c:pt idx="806">
                  <c:v>82.674638342238993</c:v>
                </c:pt>
                <c:pt idx="807">
                  <c:v>82.436791346279136</c:v>
                </c:pt>
                <c:pt idx="808">
                  <c:v>82.128893522742047</c:v>
                </c:pt>
                <c:pt idx="809">
                  <c:v>82.625765671836277</c:v>
                </c:pt>
                <c:pt idx="810">
                  <c:v>82.337416916460285</c:v>
                </c:pt>
                <c:pt idx="811">
                  <c:v>82.145184412876276</c:v>
                </c:pt>
                <c:pt idx="812">
                  <c:v>82.272253355923326</c:v>
                </c:pt>
                <c:pt idx="813">
                  <c:v>82.073504496285636</c:v>
                </c:pt>
                <c:pt idx="814">
                  <c:v>81.491919718493378</c:v>
                </c:pt>
                <c:pt idx="815">
                  <c:v>81.716734002345845</c:v>
                </c:pt>
                <c:pt idx="816">
                  <c:v>81.812850254137842</c:v>
                </c:pt>
                <c:pt idx="817">
                  <c:v>82.316238759285767</c:v>
                </c:pt>
                <c:pt idx="818">
                  <c:v>82.205460706372961</c:v>
                </c:pt>
                <c:pt idx="819">
                  <c:v>82.498696728789227</c:v>
                </c:pt>
                <c:pt idx="820">
                  <c:v>82.53453668708454</c:v>
                </c:pt>
                <c:pt idx="821">
                  <c:v>81.868239280594253</c:v>
                </c:pt>
                <c:pt idx="822">
                  <c:v>82.08490811937962</c:v>
                </c:pt>
                <c:pt idx="823">
                  <c:v>81.933402841131212</c:v>
                </c:pt>
                <c:pt idx="824">
                  <c:v>81.866610191580847</c:v>
                </c:pt>
                <c:pt idx="825">
                  <c:v>81.527759676788733</c:v>
                </c:pt>
                <c:pt idx="826">
                  <c:v>81.891046526782219</c:v>
                </c:pt>
                <c:pt idx="827">
                  <c:v>80.915222207741422</c:v>
                </c:pt>
                <c:pt idx="828">
                  <c:v>81.263847256614099</c:v>
                </c:pt>
                <c:pt idx="829">
                  <c:v>80.965723967157572</c:v>
                </c:pt>
                <c:pt idx="830">
                  <c:v>81.045549328815326</c:v>
                </c:pt>
                <c:pt idx="831">
                  <c:v>81.372996220513485</c:v>
                </c:pt>
                <c:pt idx="832">
                  <c:v>82.052326339111147</c:v>
                </c:pt>
                <c:pt idx="833">
                  <c:v>81.993679134627911</c:v>
                </c:pt>
                <c:pt idx="834">
                  <c:v>81.848690212433198</c:v>
                </c:pt>
                <c:pt idx="835">
                  <c:v>82.086537208393068</c:v>
                </c:pt>
                <c:pt idx="836">
                  <c:v>82.355336895607962</c:v>
                </c:pt>
                <c:pt idx="837">
                  <c:v>82.446565880359699</c:v>
                </c:pt>
                <c:pt idx="838">
                  <c:v>82.878274468916985</c:v>
                </c:pt>
                <c:pt idx="839">
                  <c:v>82.796820018245796</c:v>
                </c:pt>
                <c:pt idx="840">
                  <c:v>82.493809461748981</c:v>
                </c:pt>
                <c:pt idx="841">
                  <c:v>82.484034927668432</c:v>
                </c:pt>
                <c:pt idx="842">
                  <c:v>82.172878926104502</c:v>
                </c:pt>
                <c:pt idx="843">
                  <c:v>82.083279030366199</c:v>
                </c:pt>
                <c:pt idx="844">
                  <c:v>82.132151700768901</c:v>
                </c:pt>
                <c:pt idx="845">
                  <c:v>81.895933793822479</c:v>
                </c:pt>
                <c:pt idx="846">
                  <c:v>82.161475303010533</c:v>
                </c:pt>
                <c:pt idx="847">
                  <c:v>82.501954906816096</c:v>
                </c:pt>
                <c:pt idx="848">
                  <c:v>82.928776228333092</c:v>
                </c:pt>
                <c:pt idx="849">
                  <c:v>82.782158217124959</c:v>
                </c:pt>
                <c:pt idx="850">
                  <c:v>82.58503844650069</c:v>
                </c:pt>
                <c:pt idx="851">
                  <c:v>82.567118467353026</c:v>
                </c:pt>
                <c:pt idx="852">
                  <c:v>82.198944350319266</c:v>
                </c:pt>
                <c:pt idx="853">
                  <c:v>82.441678613319397</c:v>
                </c:pt>
                <c:pt idx="854">
                  <c:v>82.352078717581094</c:v>
                </c:pt>
                <c:pt idx="855">
                  <c:v>82.251075198748808</c:v>
                </c:pt>
                <c:pt idx="856">
                  <c:v>81.90733741691642</c:v>
                </c:pt>
                <c:pt idx="857">
                  <c:v>82.130522611755467</c:v>
                </c:pt>
                <c:pt idx="858">
                  <c:v>82.365111429688469</c:v>
                </c:pt>
                <c:pt idx="859">
                  <c:v>82.508471262869762</c:v>
                </c:pt>
                <c:pt idx="860">
                  <c:v>82.368369607715337</c:v>
                </c:pt>
                <c:pt idx="861">
                  <c:v>82.288544246057583</c:v>
                </c:pt>
                <c:pt idx="862">
                  <c:v>82.741430991789372</c:v>
                </c:pt>
                <c:pt idx="863">
                  <c:v>82.912485338198863</c:v>
                </c:pt>
                <c:pt idx="864">
                  <c:v>83.106346930796292</c:v>
                </c:pt>
                <c:pt idx="865">
                  <c:v>82.886419913984085</c:v>
                </c:pt>
                <c:pt idx="866">
                  <c:v>82.941808940440495</c:v>
                </c:pt>
                <c:pt idx="867">
                  <c:v>83.151961423172153</c:v>
                </c:pt>
                <c:pt idx="868">
                  <c:v>82.778900039098119</c:v>
                </c:pt>
                <c:pt idx="869">
                  <c:v>82.658347452104749</c:v>
                </c:pt>
                <c:pt idx="870">
                  <c:v>82.780529128111539</c:v>
                </c:pt>
                <c:pt idx="871">
                  <c:v>82.285286068030729</c:v>
                </c:pt>
                <c:pt idx="872">
                  <c:v>82.211977062426669</c:v>
                </c:pt>
                <c:pt idx="873">
                  <c:v>81.698814023198196</c:v>
                </c:pt>
                <c:pt idx="874">
                  <c:v>81.625505017594122</c:v>
                </c:pt>
                <c:pt idx="875">
                  <c:v>81.718363091359279</c:v>
                </c:pt>
                <c:pt idx="876">
                  <c:v>81.531017854815545</c:v>
                </c:pt>
                <c:pt idx="877">
                  <c:v>81.493548807506812</c:v>
                </c:pt>
                <c:pt idx="878">
                  <c:v>81.140036491593875</c:v>
                </c:pt>
                <c:pt idx="879">
                  <c:v>81.628763195620976</c:v>
                </c:pt>
                <c:pt idx="880">
                  <c:v>81.271992701681185</c:v>
                </c:pt>
                <c:pt idx="881">
                  <c:v>81.452821582171225</c:v>
                </c:pt>
                <c:pt idx="882">
                  <c:v>80.83539684608364</c:v>
                </c:pt>
                <c:pt idx="883">
                  <c:v>81.237781832399293</c:v>
                </c:pt>
                <c:pt idx="884">
                  <c:v>81.245927277466421</c:v>
                </c:pt>
                <c:pt idx="885">
                  <c:v>81.356705330379228</c:v>
                </c:pt>
                <c:pt idx="886">
                  <c:v>81.170989182848942</c:v>
                </c:pt>
                <c:pt idx="887">
                  <c:v>80.854945914244738</c:v>
                </c:pt>
                <c:pt idx="888">
                  <c:v>80.970611234197833</c:v>
                </c:pt>
                <c:pt idx="889">
                  <c:v>81.140036491593889</c:v>
                </c:pt>
                <c:pt idx="890">
                  <c:v>80.988531213345482</c:v>
                </c:pt>
                <c:pt idx="891">
                  <c:v>80.866349537338706</c:v>
                </c:pt>
                <c:pt idx="892">
                  <c:v>81.063469307962961</c:v>
                </c:pt>
                <c:pt idx="893">
                  <c:v>81.462596116251774</c:v>
                </c:pt>
                <c:pt idx="894">
                  <c:v>81.45933793822492</c:v>
                </c:pt>
                <c:pt idx="895">
                  <c:v>81.402319822755089</c:v>
                </c:pt>
                <c:pt idx="896">
                  <c:v>81.131891046526746</c:v>
                </c:pt>
                <c:pt idx="897">
                  <c:v>81.420239801902738</c:v>
                </c:pt>
                <c:pt idx="898">
                  <c:v>80.656197054607034</c:v>
                </c:pt>
                <c:pt idx="899">
                  <c:v>80.524240844519724</c:v>
                </c:pt>
                <c:pt idx="900">
                  <c:v>80.403688257526369</c:v>
                </c:pt>
                <c:pt idx="901">
                  <c:v>80.364590121204202</c:v>
                </c:pt>
                <c:pt idx="902">
                  <c:v>80.02411051739864</c:v>
                </c:pt>
                <c:pt idx="903">
                  <c:v>79.846539814935454</c:v>
                </c:pt>
                <c:pt idx="904">
                  <c:v>79.95568877883484</c:v>
                </c:pt>
                <c:pt idx="905">
                  <c:v>79.963834223901955</c:v>
                </c:pt>
                <c:pt idx="906">
                  <c:v>79.831878013814631</c:v>
                </c:pt>
                <c:pt idx="907">
                  <c:v>79.486511142968823</c:v>
                </c:pt>
                <c:pt idx="908">
                  <c:v>78.961944480646395</c:v>
                </c:pt>
                <c:pt idx="909">
                  <c:v>79.255180503062661</c:v>
                </c:pt>
                <c:pt idx="910">
                  <c:v>79.473478430861448</c:v>
                </c:pt>
                <c:pt idx="911">
                  <c:v>79.771601720317975</c:v>
                </c:pt>
                <c:pt idx="912">
                  <c:v>80.292910204613563</c:v>
                </c:pt>
                <c:pt idx="913">
                  <c:v>80.714844259090299</c:v>
                </c:pt>
                <c:pt idx="914">
                  <c:v>80.525869933533158</c:v>
                </c:pt>
                <c:pt idx="915">
                  <c:v>80.434640948781436</c:v>
                </c:pt>
                <c:pt idx="916">
                  <c:v>80.224488466049777</c:v>
                </c:pt>
                <c:pt idx="917">
                  <c:v>80.336895607976018</c:v>
                </c:pt>
                <c:pt idx="918">
                  <c:v>80.092532255962468</c:v>
                </c:pt>
                <c:pt idx="919">
                  <c:v>79.872605239150275</c:v>
                </c:pt>
                <c:pt idx="920">
                  <c:v>80.255441157304844</c:v>
                </c:pt>
                <c:pt idx="921">
                  <c:v>80.1218558582041</c:v>
                </c:pt>
                <c:pt idx="922">
                  <c:v>80.351557409096841</c:v>
                </c:pt>
                <c:pt idx="923">
                  <c:v>79.885637951257664</c:v>
                </c:pt>
                <c:pt idx="924">
                  <c:v>79.975237846995967</c:v>
                </c:pt>
                <c:pt idx="925">
                  <c:v>79.660823667405197</c:v>
                </c:pt>
                <c:pt idx="926">
                  <c:v>79.129740649029074</c:v>
                </c:pt>
                <c:pt idx="927">
                  <c:v>78.704548416525483</c:v>
                </c:pt>
                <c:pt idx="928">
                  <c:v>78.155545419001712</c:v>
                </c:pt>
                <c:pt idx="929">
                  <c:v>78.443894174377704</c:v>
                </c:pt>
                <c:pt idx="930">
                  <c:v>78.121334549719805</c:v>
                </c:pt>
                <c:pt idx="931">
                  <c:v>77.916069334028421</c:v>
                </c:pt>
                <c:pt idx="932">
                  <c:v>77.950280203310314</c:v>
                </c:pt>
                <c:pt idx="933">
                  <c:v>78.166949042095666</c:v>
                </c:pt>
                <c:pt idx="934">
                  <c:v>77.850905773491462</c:v>
                </c:pt>
                <c:pt idx="935">
                  <c:v>77.637495112732964</c:v>
                </c:pt>
                <c:pt idx="936">
                  <c:v>77.402906294799948</c:v>
                </c:pt>
                <c:pt idx="937">
                  <c:v>77.256288283591815</c:v>
                </c:pt>
                <c:pt idx="938">
                  <c:v>77.686367783135651</c:v>
                </c:pt>
                <c:pt idx="939">
                  <c:v>77.743385898605482</c:v>
                </c:pt>
                <c:pt idx="940">
                  <c:v>77.855793040531708</c:v>
                </c:pt>
                <c:pt idx="941">
                  <c:v>77.958425648377414</c:v>
                </c:pt>
                <c:pt idx="942">
                  <c:v>78.512315912941474</c:v>
                </c:pt>
                <c:pt idx="943">
                  <c:v>78.583995829532114</c:v>
                </c:pt>
                <c:pt idx="944">
                  <c:v>78.569334028411291</c:v>
                </c:pt>
                <c:pt idx="945">
                  <c:v>78.592141274599228</c:v>
                </c:pt>
                <c:pt idx="946">
                  <c:v>78.543268604196513</c:v>
                </c:pt>
                <c:pt idx="947">
                  <c:v>78.482992310699842</c:v>
                </c:pt>
                <c:pt idx="948">
                  <c:v>78.153916329988249</c:v>
                </c:pt>
                <c:pt idx="949">
                  <c:v>77.976345627525077</c:v>
                </c:pt>
                <c:pt idx="950">
                  <c:v>77.679851427081957</c:v>
                </c:pt>
                <c:pt idx="951">
                  <c:v>77.106412094356827</c:v>
                </c:pt>
                <c:pt idx="952">
                  <c:v>76.940245014987596</c:v>
                </c:pt>
                <c:pt idx="953">
                  <c:v>76.845757852209019</c:v>
                </c:pt>
                <c:pt idx="954">
                  <c:v>76.725205265215664</c:v>
                </c:pt>
                <c:pt idx="955">
                  <c:v>77.428971719014712</c:v>
                </c:pt>
                <c:pt idx="956">
                  <c:v>77.370324514531461</c:v>
                </c:pt>
                <c:pt idx="957">
                  <c:v>77.624462400625546</c:v>
                </c:pt>
                <c:pt idx="958">
                  <c:v>77.419197184934163</c:v>
                </c:pt>
                <c:pt idx="959">
                  <c:v>77.494135279551656</c:v>
                </c:pt>
                <c:pt idx="960">
                  <c:v>77.446891698162361</c:v>
                </c:pt>
                <c:pt idx="961">
                  <c:v>77.492506190538222</c:v>
                </c:pt>
                <c:pt idx="962">
                  <c:v>77.409422650853628</c:v>
                </c:pt>
                <c:pt idx="963">
                  <c:v>77.2562882835918</c:v>
                </c:pt>
                <c:pt idx="964">
                  <c:v>77.114557539423927</c:v>
                </c:pt>
                <c:pt idx="965">
                  <c:v>76.734979799296212</c:v>
                </c:pt>
                <c:pt idx="966">
                  <c:v>76.51505278248402</c:v>
                </c:pt>
                <c:pt idx="967">
                  <c:v>76.163169555584503</c:v>
                </c:pt>
                <c:pt idx="968">
                  <c:v>76.464551023067884</c:v>
                </c:pt>
                <c:pt idx="969">
                  <c:v>76.619314479343132</c:v>
                </c:pt>
                <c:pt idx="970">
                  <c:v>75.926951648638067</c:v>
                </c:pt>
                <c:pt idx="971">
                  <c:v>75.386094096181395</c:v>
                </c:pt>
                <c:pt idx="972">
                  <c:v>75.643490160302335</c:v>
                </c:pt>
                <c:pt idx="973">
                  <c:v>75.363286849993457</c:v>
                </c:pt>
                <c:pt idx="974">
                  <c:v>75.430079499543822</c:v>
                </c:pt>
                <c:pt idx="975">
                  <c:v>75.565293887657987</c:v>
                </c:pt>
                <c:pt idx="976">
                  <c:v>75.794995438550743</c:v>
                </c:pt>
                <c:pt idx="977">
                  <c:v>75.977453408054188</c:v>
                </c:pt>
                <c:pt idx="978">
                  <c:v>75.715170076892974</c:v>
                </c:pt>
                <c:pt idx="979">
                  <c:v>75.584842955819084</c:v>
                </c:pt>
                <c:pt idx="980">
                  <c:v>75.814544506711826</c:v>
                </c:pt>
                <c:pt idx="981">
                  <c:v>75.915548025544098</c:v>
                </c:pt>
                <c:pt idx="982">
                  <c:v>75.487097615013667</c:v>
                </c:pt>
                <c:pt idx="983">
                  <c:v>75.609279291020428</c:v>
                </c:pt>
                <c:pt idx="984">
                  <c:v>75.808028150658117</c:v>
                </c:pt>
                <c:pt idx="985">
                  <c:v>76.205525869933496</c:v>
                </c:pt>
                <c:pt idx="986">
                  <c:v>76.150136843477085</c:v>
                </c:pt>
                <c:pt idx="987">
                  <c:v>75.909031669490375</c:v>
                </c:pt>
                <c:pt idx="988">
                  <c:v>76.107780529128078</c:v>
                </c:pt>
                <c:pt idx="989">
                  <c:v>76.280463964550989</c:v>
                </c:pt>
                <c:pt idx="990">
                  <c:v>76.352143881141643</c:v>
                </c:pt>
                <c:pt idx="991">
                  <c:v>76.484100091228953</c:v>
                </c:pt>
                <c:pt idx="992">
                  <c:v>76.950019549068131</c:v>
                </c:pt>
                <c:pt idx="993">
                  <c:v>77.143881141665545</c:v>
                </c:pt>
                <c:pt idx="994">
                  <c:v>77.657044180894005</c:v>
                </c:pt>
                <c:pt idx="995">
                  <c:v>77.52020070376642</c:v>
                </c:pt>
                <c:pt idx="996">
                  <c:v>77.570702463182556</c:v>
                </c:pt>
                <c:pt idx="997">
                  <c:v>77.298644597940793</c:v>
                </c:pt>
                <c:pt idx="998">
                  <c:v>76.832725140101616</c:v>
                </c:pt>
                <c:pt idx="999">
                  <c:v>76.979343151309749</c:v>
                </c:pt>
                <c:pt idx="1000">
                  <c:v>76.917437768799658</c:v>
                </c:pt>
                <c:pt idx="1001">
                  <c:v>78.008927407793522</c:v>
                </c:pt>
                <c:pt idx="1002">
                  <c:v>78.023589208914345</c:v>
                </c:pt>
                <c:pt idx="1003">
                  <c:v>78.113189104652648</c:v>
                </c:pt>
                <c:pt idx="1004">
                  <c:v>78.010556496806956</c:v>
                </c:pt>
                <c:pt idx="1005">
                  <c:v>78.58888309657236</c:v>
                </c:pt>
                <c:pt idx="1006">
                  <c:v>78.34940701159907</c:v>
                </c:pt>
                <c:pt idx="1007">
                  <c:v>78.118076371692908</c:v>
                </c:pt>
                <c:pt idx="1008">
                  <c:v>78.122963638733182</c:v>
                </c:pt>
                <c:pt idx="1009">
                  <c:v>78.181610843216433</c:v>
                </c:pt>
                <c:pt idx="1010">
                  <c:v>78.298905252182948</c:v>
                </c:pt>
                <c:pt idx="1011">
                  <c:v>78.567704939397856</c:v>
                </c:pt>
                <c:pt idx="1012">
                  <c:v>78.333116121464855</c:v>
                </c:pt>
                <c:pt idx="1013">
                  <c:v>78.043138277075428</c:v>
                </c:pt>
                <c:pt idx="1014">
                  <c:v>78.370585168773601</c:v>
                </c:pt>
                <c:pt idx="1015">
                  <c:v>77.725465919457818</c:v>
                </c:pt>
                <c:pt idx="1016">
                  <c:v>77.547895216994633</c:v>
                </c:pt>
                <c:pt idx="1017">
                  <c:v>77.582106086276525</c:v>
                </c:pt>
                <c:pt idx="1018">
                  <c:v>77.635866023719515</c:v>
                </c:pt>
                <c:pt idx="1019">
                  <c:v>77.5104261696859</c:v>
                </c:pt>
                <c:pt idx="1020">
                  <c:v>77.453408054216069</c:v>
                </c:pt>
                <c:pt idx="1021">
                  <c:v>77.546266127981212</c:v>
                </c:pt>
                <c:pt idx="1022">
                  <c:v>78.158803597028523</c:v>
                </c:pt>
                <c:pt idx="1023">
                  <c:v>78.442265085364255</c:v>
                </c:pt>
                <c:pt idx="1024">
                  <c:v>78.158803597028523</c:v>
                </c:pt>
                <c:pt idx="1025">
                  <c:v>78.129479994786905</c:v>
                </c:pt>
                <c:pt idx="1026">
                  <c:v>78.484621399713262</c:v>
                </c:pt>
                <c:pt idx="1027">
                  <c:v>78.232112602632583</c:v>
                </c:pt>
                <c:pt idx="1028">
                  <c:v>78.147399973934554</c:v>
                </c:pt>
                <c:pt idx="1029">
                  <c:v>78.121334549719776</c:v>
                </c:pt>
                <c:pt idx="1030">
                  <c:v>78.119705460706356</c:v>
                </c:pt>
                <c:pt idx="1031">
                  <c:v>78.450410530431355</c:v>
                </c:pt>
                <c:pt idx="1032">
                  <c:v>78.321712498370886</c:v>
                </c:pt>
                <c:pt idx="1033">
                  <c:v>78.422716017203157</c:v>
                </c:pt>
                <c:pt idx="1034">
                  <c:v>77.890003909813601</c:v>
                </c:pt>
                <c:pt idx="1035">
                  <c:v>77.795516747035023</c:v>
                </c:pt>
                <c:pt idx="1036">
                  <c:v>77.802033103088732</c:v>
                </c:pt>
                <c:pt idx="1037">
                  <c:v>77.982861983578758</c:v>
                </c:pt>
                <c:pt idx="1038">
                  <c:v>77.903036621921004</c:v>
                </c:pt>
                <c:pt idx="1039">
                  <c:v>77.601655154437623</c:v>
                </c:pt>
                <c:pt idx="1040">
                  <c:v>77.785742212954503</c:v>
                </c:pt>
                <c:pt idx="1041">
                  <c:v>77.93561840218949</c:v>
                </c:pt>
                <c:pt idx="1042">
                  <c:v>77.948651114296879</c:v>
                </c:pt>
                <c:pt idx="1043">
                  <c:v>77.816694904209569</c:v>
                </c:pt>
                <c:pt idx="1044">
                  <c:v>77.184608367001175</c:v>
                </c:pt>
                <c:pt idx="1045">
                  <c:v>77.106412094356841</c:v>
                </c:pt>
                <c:pt idx="1046">
                  <c:v>77.215561058256228</c:v>
                </c:pt>
                <c:pt idx="1047">
                  <c:v>77.37684087058517</c:v>
                </c:pt>
                <c:pt idx="1048">
                  <c:v>77.244884660497846</c:v>
                </c:pt>
                <c:pt idx="1049">
                  <c:v>77.14062296363872</c:v>
                </c:pt>
                <c:pt idx="1050">
                  <c:v>77.235110126417283</c:v>
                </c:pt>
                <c:pt idx="1051">
                  <c:v>77.251401016551526</c:v>
                </c:pt>
                <c:pt idx="1052">
                  <c:v>77.109670272383653</c:v>
                </c:pt>
                <c:pt idx="1053">
                  <c:v>76.914179590772804</c:v>
                </c:pt>
                <c:pt idx="1054">
                  <c:v>76.945132282027842</c:v>
                </c:pt>
                <c:pt idx="1055">
                  <c:v>77.007037664537947</c:v>
                </c:pt>
                <c:pt idx="1056">
                  <c:v>77.192753812068247</c:v>
                </c:pt>
                <c:pt idx="1057">
                  <c:v>76.611169034275989</c:v>
                </c:pt>
                <c:pt idx="1058">
                  <c:v>76.438485598853077</c:v>
                </c:pt>
                <c:pt idx="1059">
                  <c:v>76.624201746383378</c:v>
                </c:pt>
                <c:pt idx="1060">
                  <c:v>76.487358269255793</c:v>
                </c:pt>
                <c:pt idx="1061">
                  <c:v>76.244624006255663</c:v>
                </c:pt>
                <c:pt idx="1062">
                  <c:v>76.308158477779187</c:v>
                </c:pt>
                <c:pt idx="1063">
                  <c:v>76.306529388765767</c:v>
                </c:pt>
                <c:pt idx="1064">
                  <c:v>76.057278769711928</c:v>
                </c:pt>
                <c:pt idx="1065">
                  <c:v>76.228333116121419</c:v>
                </c:pt>
                <c:pt idx="1066">
                  <c:v>76.177831356705283</c:v>
                </c:pt>
                <c:pt idx="1067">
                  <c:v>76.177831356705283</c:v>
                </c:pt>
                <c:pt idx="1068">
                  <c:v>76.185976801772398</c:v>
                </c:pt>
                <c:pt idx="1069">
                  <c:v>76.428711064772529</c:v>
                </c:pt>
                <c:pt idx="1070">
                  <c:v>76.273947608497281</c:v>
                </c:pt>
                <c:pt idx="1071">
                  <c:v>76.000260654242098</c:v>
                </c:pt>
                <c:pt idx="1072">
                  <c:v>75.777075459403051</c:v>
                </c:pt>
                <c:pt idx="1073">
                  <c:v>75.881337156262163</c:v>
                </c:pt>
                <c:pt idx="1074">
                  <c:v>76.008406099309198</c:v>
                </c:pt>
                <c:pt idx="1075">
                  <c:v>75.97908249706758</c:v>
                </c:pt>
                <c:pt idx="1076">
                  <c:v>76.093118728007241</c:v>
                </c:pt>
                <c:pt idx="1077">
                  <c:v>76.124071419262279</c:v>
                </c:pt>
                <c:pt idx="1078">
                  <c:v>76.052391502671625</c:v>
                </c:pt>
                <c:pt idx="1079">
                  <c:v>76.091489638993792</c:v>
                </c:pt>
                <c:pt idx="1080">
                  <c:v>76.197380424866338</c:v>
                </c:pt>
                <c:pt idx="1081">
                  <c:v>76.327707545940228</c:v>
                </c:pt>
                <c:pt idx="1082">
                  <c:v>76.438485598853035</c:v>
                </c:pt>
                <c:pt idx="1083">
                  <c:v>76.414049263651677</c:v>
                </c:pt>
                <c:pt idx="1084">
                  <c:v>76.832725140101559</c:v>
                </c:pt>
                <c:pt idx="1085">
                  <c:v>76.599765411181977</c:v>
                </c:pt>
                <c:pt idx="1086">
                  <c:v>76.399387462530854</c:v>
                </c:pt>
                <c:pt idx="1087">
                  <c:v>76.407532907597982</c:v>
                </c:pt>
                <c:pt idx="1088">
                  <c:v>76.114296885181716</c:v>
                </c:pt>
                <c:pt idx="1089">
                  <c:v>75.905773491463478</c:v>
                </c:pt>
                <c:pt idx="1090">
                  <c:v>76.269060341456949</c:v>
                </c:pt>
                <c:pt idx="1091">
                  <c:v>75.88459533428896</c:v>
                </c:pt>
                <c:pt idx="1092">
                  <c:v>75.640231982275395</c:v>
                </c:pt>
                <c:pt idx="1093">
                  <c:v>75.819431773752001</c:v>
                </c:pt>
                <c:pt idx="1094">
                  <c:v>75.773817281376139</c:v>
                </c:pt>
                <c:pt idx="1095">
                  <c:v>75.850384465007053</c:v>
                </c:pt>
                <c:pt idx="1096">
                  <c:v>75.711911898866035</c:v>
                </c:pt>
                <c:pt idx="1097">
                  <c:v>75.570181154698162</c:v>
                </c:pt>
                <c:pt idx="1098">
                  <c:v>75.816173595725147</c:v>
                </c:pt>
                <c:pt idx="1099">
                  <c:v>76.189234979799167</c:v>
                </c:pt>
                <c:pt idx="1100">
                  <c:v>76.20715495894683</c:v>
                </c:pt>
                <c:pt idx="1101">
                  <c:v>76.259285807376386</c:v>
                </c:pt>
                <c:pt idx="1102">
                  <c:v>76.46129284504093</c:v>
                </c:pt>
                <c:pt idx="1103">
                  <c:v>76.526456405577875</c:v>
                </c:pt>
                <c:pt idx="1104">
                  <c:v>75.982340675094363</c:v>
                </c:pt>
                <c:pt idx="1105">
                  <c:v>75.899257135409769</c:v>
                </c:pt>
                <c:pt idx="1106">
                  <c:v>75.464290368825644</c:v>
                </c:pt>
                <c:pt idx="1107">
                  <c:v>75.009774534080421</c:v>
                </c:pt>
                <c:pt idx="1108">
                  <c:v>74.670924019288293</c:v>
                </c:pt>
                <c:pt idx="1109">
                  <c:v>74.967418219731414</c:v>
                </c:pt>
                <c:pt idx="1110">
                  <c:v>74.610647725791623</c:v>
                </c:pt>
                <c:pt idx="1111">
                  <c:v>75.115665319952967</c:v>
                </c:pt>
                <c:pt idx="1112">
                  <c:v>75.138472566140891</c:v>
                </c:pt>
                <c:pt idx="1113">
                  <c:v>75.348625048872549</c:v>
                </c:pt>
                <c:pt idx="1114">
                  <c:v>75.28020331030875</c:v>
                </c:pt>
                <c:pt idx="1115">
                  <c:v>75.319301446630917</c:v>
                </c:pt>
                <c:pt idx="1116">
                  <c:v>75.491984882053828</c:v>
                </c:pt>
                <c:pt idx="1117">
                  <c:v>75.617424736087443</c:v>
                </c:pt>
                <c:pt idx="1118">
                  <c:v>75.192232503583853</c:v>
                </c:pt>
                <c:pt idx="1119">
                  <c:v>75.456144923758487</c:v>
                </c:pt>
                <c:pt idx="1120">
                  <c:v>75.912289847517116</c:v>
                </c:pt>
                <c:pt idx="1121">
                  <c:v>76.166427733611215</c:v>
                </c:pt>
                <c:pt idx="1122">
                  <c:v>76.278834875537456</c:v>
                </c:pt>
                <c:pt idx="1123">
                  <c:v>76.111038707154819</c:v>
                </c:pt>
                <c:pt idx="1124">
                  <c:v>76.062166036752103</c:v>
                </c:pt>
                <c:pt idx="1125">
                  <c:v>76.150136843476986</c:v>
                </c:pt>
                <c:pt idx="1126">
                  <c:v>76.09800599504743</c:v>
                </c:pt>
                <c:pt idx="1127">
                  <c:v>76.260914896389792</c:v>
                </c:pt>
                <c:pt idx="1128">
                  <c:v>76.46943829010803</c:v>
                </c:pt>
                <c:pt idx="1129">
                  <c:v>76.795256092792769</c:v>
                </c:pt>
                <c:pt idx="1130">
                  <c:v>76.769190668577991</c:v>
                </c:pt>
                <c:pt idx="1131">
                  <c:v>77.028215821712351</c:v>
                </c:pt>
                <c:pt idx="1132">
                  <c:v>77.026586732698917</c:v>
                </c:pt>
                <c:pt idx="1133">
                  <c:v>77.068943047047938</c:v>
                </c:pt>
                <c:pt idx="1134">
                  <c:v>76.677961683826254</c:v>
                </c:pt>
                <c:pt idx="1135">
                  <c:v>76.492245536295954</c:v>
                </c:pt>
                <c:pt idx="1136">
                  <c:v>76.748012511403459</c:v>
                </c:pt>
                <c:pt idx="1137">
                  <c:v>76.891372344584738</c:v>
                </c:pt>
                <c:pt idx="1138">
                  <c:v>76.855532386289426</c:v>
                </c:pt>
                <c:pt idx="1139">
                  <c:v>76.256027629349504</c:v>
                </c:pt>
                <c:pt idx="1140">
                  <c:v>76.091489638993707</c:v>
                </c:pt>
                <c:pt idx="1141">
                  <c:v>76.013293366349373</c:v>
                </c:pt>
                <c:pt idx="1142">
                  <c:v>76.086602371953447</c:v>
                </c:pt>
                <c:pt idx="1143">
                  <c:v>75.707024631825732</c:v>
                </c:pt>
                <c:pt idx="1144">
                  <c:v>75.86015899908756</c:v>
                </c:pt>
                <c:pt idx="1145">
                  <c:v>75.702137364785457</c:v>
                </c:pt>
                <c:pt idx="1146">
                  <c:v>75.135214388114008</c:v>
                </c:pt>
                <c:pt idx="1147">
                  <c:v>75.115665319952925</c:v>
                </c:pt>
                <c:pt idx="1148">
                  <c:v>74.9755636647985</c:v>
                </c:pt>
                <c:pt idx="1149">
                  <c:v>75.006516356053552</c:v>
                </c:pt>
                <c:pt idx="1150">
                  <c:v>75.184087058516738</c:v>
                </c:pt>
                <c:pt idx="1151">
                  <c:v>74.799622051348749</c:v>
                </c:pt>
                <c:pt idx="1152">
                  <c:v>74.835462009644075</c:v>
                </c:pt>
                <c:pt idx="1153">
                  <c:v>75.239476084973163</c:v>
                </c:pt>
                <c:pt idx="1154">
                  <c:v>75.480581258959859</c:v>
                </c:pt>
                <c:pt idx="1155">
                  <c:v>75.050501759416008</c:v>
                </c:pt>
                <c:pt idx="1156">
                  <c:v>74.970676397758254</c:v>
                </c:pt>
              </c:numCache>
            </c:numRef>
          </c:val>
          <c:smooth val="0"/>
          <c:extLst>
            <c:ext xmlns:c16="http://schemas.microsoft.com/office/drawing/2014/chart" uri="{C3380CC4-5D6E-409C-BE32-E72D297353CC}">
              <c16:uniqueId val="{00000000-9550-444B-8B2D-F311323001EA}"/>
            </c:ext>
          </c:extLst>
        </c:ser>
        <c:ser>
          <c:idx val="1"/>
          <c:order val="1"/>
          <c:tx>
            <c:strRef>
              <c:f>Sheet1!$C$1</c:f>
              <c:strCache>
                <c:ptCount val="1"/>
                <c:pt idx="0">
                  <c:v>ՀՀ դրամ</c:v>
                </c:pt>
              </c:strCache>
            </c:strRef>
          </c:tx>
          <c:spPr>
            <a:ln w="19050" cap="rnd">
              <a:solidFill>
                <a:srgbClr val="1F497D"/>
              </a:solidFill>
              <a:round/>
            </a:ln>
            <a:effectLst/>
          </c:spPr>
          <c:marker>
            <c:symbol val="none"/>
          </c:marker>
          <c:cat>
            <c:numRef>
              <c:f>Sheet1!$A$2:$A$1158</c:f>
              <c:numCache>
                <c:formatCode>m\/d\/yyyy</c:formatCode>
                <c:ptCount val="1157"/>
                <c:pt idx="0">
                  <c:v>43832</c:v>
                </c:pt>
                <c:pt idx="1">
                  <c:v>43833</c:v>
                </c:pt>
                <c:pt idx="2">
                  <c:v>43836</c:v>
                </c:pt>
                <c:pt idx="3">
                  <c:v>43837</c:v>
                </c:pt>
                <c:pt idx="4">
                  <c:v>43838</c:v>
                </c:pt>
                <c:pt idx="5">
                  <c:v>43839</c:v>
                </c:pt>
                <c:pt idx="6">
                  <c:v>43840</c:v>
                </c:pt>
                <c:pt idx="7">
                  <c:v>43843</c:v>
                </c:pt>
                <c:pt idx="8">
                  <c:v>43844</c:v>
                </c:pt>
                <c:pt idx="9">
                  <c:v>43845</c:v>
                </c:pt>
                <c:pt idx="10">
                  <c:v>43846</c:v>
                </c:pt>
                <c:pt idx="11">
                  <c:v>43847</c:v>
                </c:pt>
                <c:pt idx="12">
                  <c:v>43850</c:v>
                </c:pt>
                <c:pt idx="13">
                  <c:v>43851</c:v>
                </c:pt>
                <c:pt idx="14">
                  <c:v>43852</c:v>
                </c:pt>
                <c:pt idx="15">
                  <c:v>43853</c:v>
                </c:pt>
                <c:pt idx="16">
                  <c:v>43854</c:v>
                </c:pt>
                <c:pt idx="17">
                  <c:v>43857</c:v>
                </c:pt>
                <c:pt idx="18">
                  <c:v>43858</c:v>
                </c:pt>
                <c:pt idx="19">
                  <c:v>43859</c:v>
                </c:pt>
                <c:pt idx="20">
                  <c:v>43860</c:v>
                </c:pt>
                <c:pt idx="21">
                  <c:v>43861</c:v>
                </c:pt>
                <c:pt idx="22">
                  <c:v>43864</c:v>
                </c:pt>
                <c:pt idx="23">
                  <c:v>43865</c:v>
                </c:pt>
                <c:pt idx="24">
                  <c:v>43866</c:v>
                </c:pt>
                <c:pt idx="25">
                  <c:v>43867</c:v>
                </c:pt>
                <c:pt idx="26">
                  <c:v>43868</c:v>
                </c:pt>
                <c:pt idx="27">
                  <c:v>43871</c:v>
                </c:pt>
                <c:pt idx="28">
                  <c:v>43872</c:v>
                </c:pt>
                <c:pt idx="29">
                  <c:v>43873</c:v>
                </c:pt>
                <c:pt idx="30">
                  <c:v>43874</c:v>
                </c:pt>
                <c:pt idx="31">
                  <c:v>43875</c:v>
                </c:pt>
                <c:pt idx="32">
                  <c:v>43878</c:v>
                </c:pt>
                <c:pt idx="33">
                  <c:v>43879</c:v>
                </c:pt>
                <c:pt idx="34">
                  <c:v>43880</c:v>
                </c:pt>
                <c:pt idx="35">
                  <c:v>43881</c:v>
                </c:pt>
                <c:pt idx="36">
                  <c:v>43882</c:v>
                </c:pt>
                <c:pt idx="37">
                  <c:v>43885</c:v>
                </c:pt>
                <c:pt idx="38">
                  <c:v>43886</c:v>
                </c:pt>
                <c:pt idx="39">
                  <c:v>43887</c:v>
                </c:pt>
                <c:pt idx="40">
                  <c:v>43888</c:v>
                </c:pt>
                <c:pt idx="41">
                  <c:v>43889</c:v>
                </c:pt>
                <c:pt idx="42">
                  <c:v>43892</c:v>
                </c:pt>
                <c:pt idx="43">
                  <c:v>43893</c:v>
                </c:pt>
                <c:pt idx="44">
                  <c:v>43894</c:v>
                </c:pt>
                <c:pt idx="45">
                  <c:v>43895</c:v>
                </c:pt>
                <c:pt idx="46">
                  <c:v>43896</c:v>
                </c:pt>
                <c:pt idx="47">
                  <c:v>43899</c:v>
                </c:pt>
                <c:pt idx="48">
                  <c:v>43900</c:v>
                </c:pt>
                <c:pt idx="49">
                  <c:v>43901</c:v>
                </c:pt>
                <c:pt idx="50">
                  <c:v>43902</c:v>
                </c:pt>
                <c:pt idx="51">
                  <c:v>43903</c:v>
                </c:pt>
                <c:pt idx="52">
                  <c:v>43906</c:v>
                </c:pt>
                <c:pt idx="53">
                  <c:v>43907</c:v>
                </c:pt>
                <c:pt idx="54">
                  <c:v>43908</c:v>
                </c:pt>
                <c:pt idx="55">
                  <c:v>43909</c:v>
                </c:pt>
                <c:pt idx="56">
                  <c:v>43910</c:v>
                </c:pt>
                <c:pt idx="57">
                  <c:v>43913</c:v>
                </c:pt>
                <c:pt idx="58">
                  <c:v>43914</c:v>
                </c:pt>
                <c:pt idx="59">
                  <c:v>43915</c:v>
                </c:pt>
                <c:pt idx="60">
                  <c:v>43916</c:v>
                </c:pt>
                <c:pt idx="61">
                  <c:v>43917</c:v>
                </c:pt>
                <c:pt idx="62">
                  <c:v>43920</c:v>
                </c:pt>
                <c:pt idx="63">
                  <c:v>43921</c:v>
                </c:pt>
                <c:pt idx="64">
                  <c:v>43922</c:v>
                </c:pt>
                <c:pt idx="65">
                  <c:v>43923</c:v>
                </c:pt>
                <c:pt idx="66">
                  <c:v>43924</c:v>
                </c:pt>
                <c:pt idx="67">
                  <c:v>43927</c:v>
                </c:pt>
                <c:pt idx="68">
                  <c:v>43928</c:v>
                </c:pt>
                <c:pt idx="69">
                  <c:v>43929</c:v>
                </c:pt>
                <c:pt idx="70">
                  <c:v>43930</c:v>
                </c:pt>
                <c:pt idx="71">
                  <c:v>43934</c:v>
                </c:pt>
                <c:pt idx="72">
                  <c:v>43935</c:v>
                </c:pt>
                <c:pt idx="73">
                  <c:v>43936</c:v>
                </c:pt>
                <c:pt idx="74">
                  <c:v>43937</c:v>
                </c:pt>
                <c:pt idx="75">
                  <c:v>43938</c:v>
                </c:pt>
                <c:pt idx="76">
                  <c:v>43941</c:v>
                </c:pt>
                <c:pt idx="77">
                  <c:v>43942</c:v>
                </c:pt>
                <c:pt idx="78">
                  <c:v>43943</c:v>
                </c:pt>
                <c:pt idx="79">
                  <c:v>43944</c:v>
                </c:pt>
                <c:pt idx="80">
                  <c:v>43945</c:v>
                </c:pt>
                <c:pt idx="81">
                  <c:v>43948</c:v>
                </c:pt>
                <c:pt idx="82">
                  <c:v>43949</c:v>
                </c:pt>
                <c:pt idx="83">
                  <c:v>43950</c:v>
                </c:pt>
                <c:pt idx="84">
                  <c:v>43951</c:v>
                </c:pt>
                <c:pt idx="85">
                  <c:v>43952</c:v>
                </c:pt>
                <c:pt idx="86">
                  <c:v>43955</c:v>
                </c:pt>
                <c:pt idx="87">
                  <c:v>43956</c:v>
                </c:pt>
                <c:pt idx="88">
                  <c:v>43957</c:v>
                </c:pt>
                <c:pt idx="89">
                  <c:v>43958</c:v>
                </c:pt>
                <c:pt idx="90">
                  <c:v>43959</c:v>
                </c:pt>
                <c:pt idx="91">
                  <c:v>43962</c:v>
                </c:pt>
                <c:pt idx="92">
                  <c:v>43963</c:v>
                </c:pt>
                <c:pt idx="93">
                  <c:v>43964</c:v>
                </c:pt>
                <c:pt idx="94">
                  <c:v>43965</c:v>
                </c:pt>
                <c:pt idx="95">
                  <c:v>43966</c:v>
                </c:pt>
                <c:pt idx="96">
                  <c:v>43969</c:v>
                </c:pt>
                <c:pt idx="97">
                  <c:v>43970</c:v>
                </c:pt>
                <c:pt idx="98">
                  <c:v>43971</c:v>
                </c:pt>
                <c:pt idx="99">
                  <c:v>43972</c:v>
                </c:pt>
                <c:pt idx="100">
                  <c:v>43973</c:v>
                </c:pt>
                <c:pt idx="101">
                  <c:v>43976</c:v>
                </c:pt>
                <c:pt idx="102">
                  <c:v>43977</c:v>
                </c:pt>
                <c:pt idx="103">
                  <c:v>43978</c:v>
                </c:pt>
                <c:pt idx="104">
                  <c:v>43979</c:v>
                </c:pt>
                <c:pt idx="105">
                  <c:v>43980</c:v>
                </c:pt>
                <c:pt idx="106">
                  <c:v>43983</c:v>
                </c:pt>
                <c:pt idx="107">
                  <c:v>43984</c:v>
                </c:pt>
                <c:pt idx="108">
                  <c:v>43985</c:v>
                </c:pt>
                <c:pt idx="109">
                  <c:v>43986</c:v>
                </c:pt>
                <c:pt idx="110">
                  <c:v>43987</c:v>
                </c:pt>
                <c:pt idx="111">
                  <c:v>43990</c:v>
                </c:pt>
                <c:pt idx="112">
                  <c:v>43991</c:v>
                </c:pt>
                <c:pt idx="113">
                  <c:v>43992</c:v>
                </c:pt>
                <c:pt idx="114">
                  <c:v>43993</c:v>
                </c:pt>
                <c:pt idx="115">
                  <c:v>43994</c:v>
                </c:pt>
                <c:pt idx="116">
                  <c:v>43997</c:v>
                </c:pt>
                <c:pt idx="117">
                  <c:v>43998</c:v>
                </c:pt>
                <c:pt idx="118">
                  <c:v>43999</c:v>
                </c:pt>
                <c:pt idx="119">
                  <c:v>44000</c:v>
                </c:pt>
                <c:pt idx="120">
                  <c:v>44001</c:v>
                </c:pt>
                <c:pt idx="121">
                  <c:v>44004</c:v>
                </c:pt>
                <c:pt idx="122">
                  <c:v>44005</c:v>
                </c:pt>
                <c:pt idx="123">
                  <c:v>44006</c:v>
                </c:pt>
                <c:pt idx="124">
                  <c:v>44007</c:v>
                </c:pt>
                <c:pt idx="125">
                  <c:v>44008</c:v>
                </c:pt>
                <c:pt idx="126">
                  <c:v>44011</c:v>
                </c:pt>
                <c:pt idx="127">
                  <c:v>44012</c:v>
                </c:pt>
                <c:pt idx="128">
                  <c:v>44013</c:v>
                </c:pt>
                <c:pt idx="129">
                  <c:v>44014</c:v>
                </c:pt>
                <c:pt idx="130">
                  <c:v>44015</c:v>
                </c:pt>
                <c:pt idx="131">
                  <c:v>44018</c:v>
                </c:pt>
                <c:pt idx="132">
                  <c:v>44019</c:v>
                </c:pt>
                <c:pt idx="133">
                  <c:v>44020</c:v>
                </c:pt>
                <c:pt idx="134">
                  <c:v>44021</c:v>
                </c:pt>
                <c:pt idx="135">
                  <c:v>44022</c:v>
                </c:pt>
                <c:pt idx="136">
                  <c:v>44025</c:v>
                </c:pt>
                <c:pt idx="137">
                  <c:v>44026</c:v>
                </c:pt>
                <c:pt idx="138">
                  <c:v>44027</c:v>
                </c:pt>
                <c:pt idx="139">
                  <c:v>44028</c:v>
                </c:pt>
                <c:pt idx="140">
                  <c:v>44029</c:v>
                </c:pt>
                <c:pt idx="141">
                  <c:v>44032</c:v>
                </c:pt>
                <c:pt idx="142">
                  <c:v>44033</c:v>
                </c:pt>
                <c:pt idx="143">
                  <c:v>44034</c:v>
                </c:pt>
                <c:pt idx="144">
                  <c:v>44035</c:v>
                </c:pt>
                <c:pt idx="145">
                  <c:v>44036</c:v>
                </c:pt>
                <c:pt idx="146">
                  <c:v>44039</c:v>
                </c:pt>
                <c:pt idx="147">
                  <c:v>44040</c:v>
                </c:pt>
                <c:pt idx="148">
                  <c:v>44041</c:v>
                </c:pt>
                <c:pt idx="149">
                  <c:v>44042</c:v>
                </c:pt>
                <c:pt idx="150">
                  <c:v>44043</c:v>
                </c:pt>
                <c:pt idx="151">
                  <c:v>44046</c:v>
                </c:pt>
                <c:pt idx="152">
                  <c:v>44047</c:v>
                </c:pt>
                <c:pt idx="153">
                  <c:v>44048</c:v>
                </c:pt>
                <c:pt idx="154">
                  <c:v>44049</c:v>
                </c:pt>
                <c:pt idx="155">
                  <c:v>44050</c:v>
                </c:pt>
                <c:pt idx="156">
                  <c:v>44053</c:v>
                </c:pt>
                <c:pt idx="157">
                  <c:v>44054</c:v>
                </c:pt>
                <c:pt idx="158">
                  <c:v>44055</c:v>
                </c:pt>
                <c:pt idx="159">
                  <c:v>44056</c:v>
                </c:pt>
                <c:pt idx="160">
                  <c:v>44057</c:v>
                </c:pt>
                <c:pt idx="161">
                  <c:v>44060</c:v>
                </c:pt>
                <c:pt idx="162">
                  <c:v>44061</c:v>
                </c:pt>
                <c:pt idx="163">
                  <c:v>44062</c:v>
                </c:pt>
                <c:pt idx="164">
                  <c:v>44063</c:v>
                </c:pt>
                <c:pt idx="165">
                  <c:v>44064</c:v>
                </c:pt>
                <c:pt idx="166">
                  <c:v>44067</c:v>
                </c:pt>
                <c:pt idx="167">
                  <c:v>44068</c:v>
                </c:pt>
                <c:pt idx="168">
                  <c:v>44069</c:v>
                </c:pt>
                <c:pt idx="169">
                  <c:v>44070</c:v>
                </c:pt>
                <c:pt idx="170">
                  <c:v>44071</c:v>
                </c:pt>
                <c:pt idx="171">
                  <c:v>44074</c:v>
                </c:pt>
                <c:pt idx="172">
                  <c:v>44075</c:v>
                </c:pt>
                <c:pt idx="173">
                  <c:v>44076</c:v>
                </c:pt>
                <c:pt idx="174">
                  <c:v>44077</c:v>
                </c:pt>
                <c:pt idx="175">
                  <c:v>44078</c:v>
                </c:pt>
                <c:pt idx="176">
                  <c:v>44081</c:v>
                </c:pt>
                <c:pt idx="177">
                  <c:v>44082</c:v>
                </c:pt>
                <c:pt idx="178">
                  <c:v>44083</c:v>
                </c:pt>
                <c:pt idx="179">
                  <c:v>44084</c:v>
                </c:pt>
                <c:pt idx="180">
                  <c:v>44085</c:v>
                </c:pt>
                <c:pt idx="181">
                  <c:v>44088</c:v>
                </c:pt>
                <c:pt idx="182">
                  <c:v>44089</c:v>
                </c:pt>
                <c:pt idx="183">
                  <c:v>44090</c:v>
                </c:pt>
                <c:pt idx="184">
                  <c:v>44091</c:v>
                </c:pt>
                <c:pt idx="185">
                  <c:v>44092</c:v>
                </c:pt>
                <c:pt idx="186">
                  <c:v>44095</c:v>
                </c:pt>
                <c:pt idx="187">
                  <c:v>44096</c:v>
                </c:pt>
                <c:pt idx="188">
                  <c:v>44097</c:v>
                </c:pt>
                <c:pt idx="189">
                  <c:v>44098</c:v>
                </c:pt>
                <c:pt idx="190">
                  <c:v>44099</c:v>
                </c:pt>
                <c:pt idx="191">
                  <c:v>44102</c:v>
                </c:pt>
                <c:pt idx="192">
                  <c:v>44103</c:v>
                </c:pt>
                <c:pt idx="193">
                  <c:v>44104</c:v>
                </c:pt>
                <c:pt idx="194">
                  <c:v>44105</c:v>
                </c:pt>
                <c:pt idx="195">
                  <c:v>44106</c:v>
                </c:pt>
                <c:pt idx="196">
                  <c:v>44109</c:v>
                </c:pt>
                <c:pt idx="197">
                  <c:v>44110</c:v>
                </c:pt>
                <c:pt idx="198">
                  <c:v>44111</c:v>
                </c:pt>
                <c:pt idx="199">
                  <c:v>44112</c:v>
                </c:pt>
                <c:pt idx="200">
                  <c:v>44113</c:v>
                </c:pt>
                <c:pt idx="201">
                  <c:v>44116</c:v>
                </c:pt>
                <c:pt idx="202">
                  <c:v>44117</c:v>
                </c:pt>
                <c:pt idx="203">
                  <c:v>44118</c:v>
                </c:pt>
                <c:pt idx="204">
                  <c:v>44119</c:v>
                </c:pt>
                <c:pt idx="205">
                  <c:v>44120</c:v>
                </c:pt>
                <c:pt idx="206">
                  <c:v>44123</c:v>
                </c:pt>
                <c:pt idx="207">
                  <c:v>44124</c:v>
                </c:pt>
                <c:pt idx="208">
                  <c:v>44125</c:v>
                </c:pt>
                <c:pt idx="209">
                  <c:v>44126</c:v>
                </c:pt>
                <c:pt idx="210">
                  <c:v>44127</c:v>
                </c:pt>
                <c:pt idx="211">
                  <c:v>44130</c:v>
                </c:pt>
                <c:pt idx="212">
                  <c:v>44131</c:v>
                </c:pt>
                <c:pt idx="213">
                  <c:v>44132</c:v>
                </c:pt>
                <c:pt idx="214">
                  <c:v>44133</c:v>
                </c:pt>
                <c:pt idx="215">
                  <c:v>44134</c:v>
                </c:pt>
                <c:pt idx="216">
                  <c:v>44137</c:v>
                </c:pt>
                <c:pt idx="217">
                  <c:v>44138</c:v>
                </c:pt>
                <c:pt idx="218">
                  <c:v>44139</c:v>
                </c:pt>
                <c:pt idx="219">
                  <c:v>44140</c:v>
                </c:pt>
                <c:pt idx="220">
                  <c:v>44141</c:v>
                </c:pt>
                <c:pt idx="221">
                  <c:v>44144</c:v>
                </c:pt>
                <c:pt idx="222">
                  <c:v>44145</c:v>
                </c:pt>
                <c:pt idx="223">
                  <c:v>44146</c:v>
                </c:pt>
                <c:pt idx="224">
                  <c:v>44147</c:v>
                </c:pt>
                <c:pt idx="225">
                  <c:v>44148</c:v>
                </c:pt>
                <c:pt idx="226">
                  <c:v>44151</c:v>
                </c:pt>
                <c:pt idx="227">
                  <c:v>44152</c:v>
                </c:pt>
                <c:pt idx="228">
                  <c:v>44153</c:v>
                </c:pt>
                <c:pt idx="229">
                  <c:v>44154</c:v>
                </c:pt>
                <c:pt idx="230">
                  <c:v>44155</c:v>
                </c:pt>
                <c:pt idx="231">
                  <c:v>44158</c:v>
                </c:pt>
                <c:pt idx="232">
                  <c:v>44159</c:v>
                </c:pt>
                <c:pt idx="233">
                  <c:v>44160</c:v>
                </c:pt>
                <c:pt idx="234">
                  <c:v>44161</c:v>
                </c:pt>
                <c:pt idx="235">
                  <c:v>44162</c:v>
                </c:pt>
                <c:pt idx="236">
                  <c:v>44165</c:v>
                </c:pt>
                <c:pt idx="237">
                  <c:v>44166</c:v>
                </c:pt>
                <c:pt idx="238">
                  <c:v>44167</c:v>
                </c:pt>
                <c:pt idx="239">
                  <c:v>44168</c:v>
                </c:pt>
                <c:pt idx="240">
                  <c:v>44169</c:v>
                </c:pt>
                <c:pt idx="241">
                  <c:v>44172</c:v>
                </c:pt>
                <c:pt idx="242">
                  <c:v>44173</c:v>
                </c:pt>
                <c:pt idx="243">
                  <c:v>44174</c:v>
                </c:pt>
                <c:pt idx="244">
                  <c:v>44175</c:v>
                </c:pt>
                <c:pt idx="245">
                  <c:v>44176</c:v>
                </c:pt>
                <c:pt idx="246">
                  <c:v>44179</c:v>
                </c:pt>
                <c:pt idx="247">
                  <c:v>44180</c:v>
                </c:pt>
                <c:pt idx="248">
                  <c:v>44181</c:v>
                </c:pt>
                <c:pt idx="249">
                  <c:v>44182</c:v>
                </c:pt>
                <c:pt idx="250">
                  <c:v>44183</c:v>
                </c:pt>
                <c:pt idx="251">
                  <c:v>44186</c:v>
                </c:pt>
                <c:pt idx="252">
                  <c:v>44187</c:v>
                </c:pt>
                <c:pt idx="253">
                  <c:v>44188</c:v>
                </c:pt>
                <c:pt idx="254">
                  <c:v>44189</c:v>
                </c:pt>
                <c:pt idx="255">
                  <c:v>44193</c:v>
                </c:pt>
                <c:pt idx="256">
                  <c:v>44194</c:v>
                </c:pt>
                <c:pt idx="257">
                  <c:v>44195</c:v>
                </c:pt>
                <c:pt idx="258">
                  <c:v>44196</c:v>
                </c:pt>
                <c:pt idx="259">
                  <c:v>44200</c:v>
                </c:pt>
                <c:pt idx="260">
                  <c:v>44201</c:v>
                </c:pt>
                <c:pt idx="261">
                  <c:v>44202</c:v>
                </c:pt>
                <c:pt idx="262">
                  <c:v>44203</c:v>
                </c:pt>
                <c:pt idx="263">
                  <c:v>44204</c:v>
                </c:pt>
                <c:pt idx="264">
                  <c:v>44207</c:v>
                </c:pt>
                <c:pt idx="265">
                  <c:v>44208</c:v>
                </c:pt>
                <c:pt idx="266">
                  <c:v>44209</c:v>
                </c:pt>
                <c:pt idx="267">
                  <c:v>44210</c:v>
                </c:pt>
                <c:pt idx="268">
                  <c:v>44211</c:v>
                </c:pt>
                <c:pt idx="269">
                  <c:v>44214</c:v>
                </c:pt>
                <c:pt idx="270">
                  <c:v>44215</c:v>
                </c:pt>
                <c:pt idx="271">
                  <c:v>44216</c:v>
                </c:pt>
                <c:pt idx="272">
                  <c:v>44217</c:v>
                </c:pt>
                <c:pt idx="273">
                  <c:v>44218</c:v>
                </c:pt>
                <c:pt idx="274">
                  <c:v>44221</c:v>
                </c:pt>
                <c:pt idx="275">
                  <c:v>44222</c:v>
                </c:pt>
                <c:pt idx="276">
                  <c:v>44223</c:v>
                </c:pt>
                <c:pt idx="277">
                  <c:v>44224</c:v>
                </c:pt>
                <c:pt idx="278">
                  <c:v>44225</c:v>
                </c:pt>
                <c:pt idx="279">
                  <c:v>44228</c:v>
                </c:pt>
                <c:pt idx="280">
                  <c:v>44229</c:v>
                </c:pt>
                <c:pt idx="281">
                  <c:v>44230</c:v>
                </c:pt>
                <c:pt idx="282">
                  <c:v>44231</c:v>
                </c:pt>
                <c:pt idx="283">
                  <c:v>44232</c:v>
                </c:pt>
                <c:pt idx="284">
                  <c:v>44235</c:v>
                </c:pt>
                <c:pt idx="285">
                  <c:v>44236</c:v>
                </c:pt>
                <c:pt idx="286">
                  <c:v>44237</c:v>
                </c:pt>
                <c:pt idx="287">
                  <c:v>44238</c:v>
                </c:pt>
                <c:pt idx="288">
                  <c:v>44239</c:v>
                </c:pt>
                <c:pt idx="289">
                  <c:v>44242</c:v>
                </c:pt>
                <c:pt idx="290">
                  <c:v>44243</c:v>
                </c:pt>
                <c:pt idx="291">
                  <c:v>44244</c:v>
                </c:pt>
                <c:pt idx="292">
                  <c:v>44245</c:v>
                </c:pt>
                <c:pt idx="293">
                  <c:v>44246</c:v>
                </c:pt>
                <c:pt idx="294">
                  <c:v>44249</c:v>
                </c:pt>
                <c:pt idx="295">
                  <c:v>44250</c:v>
                </c:pt>
                <c:pt idx="296">
                  <c:v>44251</c:v>
                </c:pt>
                <c:pt idx="297">
                  <c:v>44252</c:v>
                </c:pt>
                <c:pt idx="298">
                  <c:v>44253</c:v>
                </c:pt>
                <c:pt idx="299">
                  <c:v>44256</c:v>
                </c:pt>
                <c:pt idx="300">
                  <c:v>44257</c:v>
                </c:pt>
                <c:pt idx="301">
                  <c:v>44258</c:v>
                </c:pt>
                <c:pt idx="302">
                  <c:v>44259</c:v>
                </c:pt>
                <c:pt idx="303">
                  <c:v>44260</c:v>
                </c:pt>
                <c:pt idx="304">
                  <c:v>44263</c:v>
                </c:pt>
                <c:pt idx="305">
                  <c:v>44264</c:v>
                </c:pt>
                <c:pt idx="306">
                  <c:v>44265</c:v>
                </c:pt>
                <c:pt idx="307">
                  <c:v>44266</c:v>
                </c:pt>
                <c:pt idx="308">
                  <c:v>44267</c:v>
                </c:pt>
                <c:pt idx="309">
                  <c:v>44270</c:v>
                </c:pt>
                <c:pt idx="310">
                  <c:v>44271</c:v>
                </c:pt>
                <c:pt idx="311">
                  <c:v>44272</c:v>
                </c:pt>
                <c:pt idx="312">
                  <c:v>44273</c:v>
                </c:pt>
                <c:pt idx="313">
                  <c:v>44274</c:v>
                </c:pt>
                <c:pt idx="314">
                  <c:v>44277</c:v>
                </c:pt>
                <c:pt idx="315">
                  <c:v>44278</c:v>
                </c:pt>
                <c:pt idx="316">
                  <c:v>44279</c:v>
                </c:pt>
                <c:pt idx="317">
                  <c:v>44280</c:v>
                </c:pt>
                <c:pt idx="318">
                  <c:v>44281</c:v>
                </c:pt>
                <c:pt idx="319">
                  <c:v>44284</c:v>
                </c:pt>
                <c:pt idx="320">
                  <c:v>44285</c:v>
                </c:pt>
                <c:pt idx="321">
                  <c:v>44286</c:v>
                </c:pt>
                <c:pt idx="322">
                  <c:v>44287</c:v>
                </c:pt>
                <c:pt idx="323">
                  <c:v>44288</c:v>
                </c:pt>
                <c:pt idx="324">
                  <c:v>44291</c:v>
                </c:pt>
                <c:pt idx="325">
                  <c:v>44292</c:v>
                </c:pt>
                <c:pt idx="326">
                  <c:v>44293</c:v>
                </c:pt>
                <c:pt idx="327">
                  <c:v>44294</c:v>
                </c:pt>
                <c:pt idx="328">
                  <c:v>44295</c:v>
                </c:pt>
                <c:pt idx="329">
                  <c:v>44298</c:v>
                </c:pt>
                <c:pt idx="330">
                  <c:v>44299</c:v>
                </c:pt>
                <c:pt idx="331">
                  <c:v>44300</c:v>
                </c:pt>
                <c:pt idx="332">
                  <c:v>44301</c:v>
                </c:pt>
                <c:pt idx="333">
                  <c:v>44302</c:v>
                </c:pt>
                <c:pt idx="334">
                  <c:v>44305</c:v>
                </c:pt>
                <c:pt idx="335">
                  <c:v>44306</c:v>
                </c:pt>
                <c:pt idx="336">
                  <c:v>44307</c:v>
                </c:pt>
                <c:pt idx="337">
                  <c:v>44308</c:v>
                </c:pt>
                <c:pt idx="338">
                  <c:v>44309</c:v>
                </c:pt>
                <c:pt idx="339">
                  <c:v>44312</c:v>
                </c:pt>
                <c:pt idx="340">
                  <c:v>44313</c:v>
                </c:pt>
                <c:pt idx="341">
                  <c:v>44314</c:v>
                </c:pt>
                <c:pt idx="342">
                  <c:v>44315</c:v>
                </c:pt>
                <c:pt idx="343">
                  <c:v>44316</c:v>
                </c:pt>
                <c:pt idx="344">
                  <c:v>44319</c:v>
                </c:pt>
                <c:pt idx="345">
                  <c:v>44320</c:v>
                </c:pt>
                <c:pt idx="346">
                  <c:v>44321</c:v>
                </c:pt>
                <c:pt idx="347">
                  <c:v>44322</c:v>
                </c:pt>
                <c:pt idx="348">
                  <c:v>44323</c:v>
                </c:pt>
                <c:pt idx="349">
                  <c:v>44326</c:v>
                </c:pt>
                <c:pt idx="350">
                  <c:v>44327</c:v>
                </c:pt>
                <c:pt idx="351">
                  <c:v>44328</c:v>
                </c:pt>
                <c:pt idx="352">
                  <c:v>44329</c:v>
                </c:pt>
                <c:pt idx="353">
                  <c:v>44330</c:v>
                </c:pt>
                <c:pt idx="354">
                  <c:v>44333</c:v>
                </c:pt>
                <c:pt idx="355">
                  <c:v>44334</c:v>
                </c:pt>
                <c:pt idx="356">
                  <c:v>44335</c:v>
                </c:pt>
                <c:pt idx="357">
                  <c:v>44336</c:v>
                </c:pt>
                <c:pt idx="358">
                  <c:v>44337</c:v>
                </c:pt>
                <c:pt idx="359">
                  <c:v>44340</c:v>
                </c:pt>
                <c:pt idx="360">
                  <c:v>44341</c:v>
                </c:pt>
                <c:pt idx="361">
                  <c:v>44342</c:v>
                </c:pt>
                <c:pt idx="362">
                  <c:v>44343</c:v>
                </c:pt>
                <c:pt idx="363">
                  <c:v>44344</c:v>
                </c:pt>
                <c:pt idx="364">
                  <c:v>44347</c:v>
                </c:pt>
                <c:pt idx="365">
                  <c:v>44348</c:v>
                </c:pt>
                <c:pt idx="366">
                  <c:v>44349</c:v>
                </c:pt>
                <c:pt idx="367">
                  <c:v>44350</c:v>
                </c:pt>
                <c:pt idx="368">
                  <c:v>44351</c:v>
                </c:pt>
                <c:pt idx="369">
                  <c:v>44354</c:v>
                </c:pt>
                <c:pt idx="370">
                  <c:v>44355</c:v>
                </c:pt>
                <c:pt idx="371">
                  <c:v>44356</c:v>
                </c:pt>
                <c:pt idx="372">
                  <c:v>44357</c:v>
                </c:pt>
                <c:pt idx="373">
                  <c:v>44358</c:v>
                </c:pt>
                <c:pt idx="374">
                  <c:v>44361</c:v>
                </c:pt>
                <c:pt idx="375">
                  <c:v>44362</c:v>
                </c:pt>
                <c:pt idx="376">
                  <c:v>44363</c:v>
                </c:pt>
                <c:pt idx="377">
                  <c:v>44364</c:v>
                </c:pt>
                <c:pt idx="378">
                  <c:v>44365</c:v>
                </c:pt>
                <c:pt idx="379">
                  <c:v>44368</c:v>
                </c:pt>
                <c:pt idx="380">
                  <c:v>44369</c:v>
                </c:pt>
                <c:pt idx="381">
                  <c:v>44370</c:v>
                </c:pt>
                <c:pt idx="382">
                  <c:v>44371</c:v>
                </c:pt>
                <c:pt idx="383">
                  <c:v>44372</c:v>
                </c:pt>
                <c:pt idx="384">
                  <c:v>44375</c:v>
                </c:pt>
                <c:pt idx="385">
                  <c:v>44376</c:v>
                </c:pt>
                <c:pt idx="386">
                  <c:v>44377</c:v>
                </c:pt>
                <c:pt idx="387">
                  <c:v>44378</c:v>
                </c:pt>
                <c:pt idx="388">
                  <c:v>44379</c:v>
                </c:pt>
                <c:pt idx="389">
                  <c:v>44382</c:v>
                </c:pt>
                <c:pt idx="390">
                  <c:v>44383</c:v>
                </c:pt>
                <c:pt idx="391">
                  <c:v>44384</c:v>
                </c:pt>
                <c:pt idx="392">
                  <c:v>44385</c:v>
                </c:pt>
                <c:pt idx="393">
                  <c:v>44386</c:v>
                </c:pt>
                <c:pt idx="394">
                  <c:v>44389</c:v>
                </c:pt>
                <c:pt idx="395">
                  <c:v>44390</c:v>
                </c:pt>
                <c:pt idx="396">
                  <c:v>44391</c:v>
                </c:pt>
                <c:pt idx="397">
                  <c:v>44392</c:v>
                </c:pt>
                <c:pt idx="398">
                  <c:v>44393</c:v>
                </c:pt>
                <c:pt idx="399">
                  <c:v>44396</c:v>
                </c:pt>
                <c:pt idx="400">
                  <c:v>44397</c:v>
                </c:pt>
                <c:pt idx="401">
                  <c:v>44398</c:v>
                </c:pt>
                <c:pt idx="402">
                  <c:v>44399</c:v>
                </c:pt>
                <c:pt idx="403">
                  <c:v>44400</c:v>
                </c:pt>
                <c:pt idx="404">
                  <c:v>44403</c:v>
                </c:pt>
                <c:pt idx="405">
                  <c:v>44404</c:v>
                </c:pt>
                <c:pt idx="406">
                  <c:v>44405</c:v>
                </c:pt>
                <c:pt idx="407">
                  <c:v>44406</c:v>
                </c:pt>
                <c:pt idx="408">
                  <c:v>44407</c:v>
                </c:pt>
                <c:pt idx="409">
                  <c:v>44410</c:v>
                </c:pt>
                <c:pt idx="410">
                  <c:v>44411</c:v>
                </c:pt>
                <c:pt idx="411">
                  <c:v>44412</c:v>
                </c:pt>
                <c:pt idx="412">
                  <c:v>44413</c:v>
                </c:pt>
                <c:pt idx="413">
                  <c:v>44414</c:v>
                </c:pt>
                <c:pt idx="414">
                  <c:v>44417</c:v>
                </c:pt>
                <c:pt idx="415">
                  <c:v>44418</c:v>
                </c:pt>
                <c:pt idx="416">
                  <c:v>44419</c:v>
                </c:pt>
                <c:pt idx="417">
                  <c:v>44420</c:v>
                </c:pt>
                <c:pt idx="418">
                  <c:v>44421</c:v>
                </c:pt>
                <c:pt idx="419">
                  <c:v>44424</c:v>
                </c:pt>
                <c:pt idx="420">
                  <c:v>44425</c:v>
                </c:pt>
                <c:pt idx="421">
                  <c:v>44426</c:v>
                </c:pt>
                <c:pt idx="422">
                  <c:v>44427</c:v>
                </c:pt>
                <c:pt idx="423">
                  <c:v>44428</c:v>
                </c:pt>
                <c:pt idx="424">
                  <c:v>44431</c:v>
                </c:pt>
                <c:pt idx="425">
                  <c:v>44432</c:v>
                </c:pt>
                <c:pt idx="426">
                  <c:v>44433</c:v>
                </c:pt>
                <c:pt idx="427">
                  <c:v>44434</c:v>
                </c:pt>
                <c:pt idx="428">
                  <c:v>44435</c:v>
                </c:pt>
                <c:pt idx="429">
                  <c:v>44438</c:v>
                </c:pt>
                <c:pt idx="430">
                  <c:v>44439</c:v>
                </c:pt>
                <c:pt idx="431">
                  <c:v>44440</c:v>
                </c:pt>
                <c:pt idx="432">
                  <c:v>44441</c:v>
                </c:pt>
                <c:pt idx="433">
                  <c:v>44442</c:v>
                </c:pt>
                <c:pt idx="434">
                  <c:v>44445</c:v>
                </c:pt>
                <c:pt idx="435">
                  <c:v>44446</c:v>
                </c:pt>
                <c:pt idx="436">
                  <c:v>44447</c:v>
                </c:pt>
                <c:pt idx="437">
                  <c:v>44448</c:v>
                </c:pt>
                <c:pt idx="438">
                  <c:v>44449</c:v>
                </c:pt>
                <c:pt idx="439">
                  <c:v>44452</c:v>
                </c:pt>
                <c:pt idx="440">
                  <c:v>44453</c:v>
                </c:pt>
                <c:pt idx="441">
                  <c:v>44454</c:v>
                </c:pt>
                <c:pt idx="442">
                  <c:v>44455</c:v>
                </c:pt>
                <c:pt idx="443">
                  <c:v>44456</c:v>
                </c:pt>
                <c:pt idx="444">
                  <c:v>44459</c:v>
                </c:pt>
                <c:pt idx="445">
                  <c:v>44460</c:v>
                </c:pt>
                <c:pt idx="446">
                  <c:v>44461</c:v>
                </c:pt>
                <c:pt idx="447">
                  <c:v>44462</c:v>
                </c:pt>
                <c:pt idx="448">
                  <c:v>44463</c:v>
                </c:pt>
                <c:pt idx="449">
                  <c:v>44466</c:v>
                </c:pt>
                <c:pt idx="450">
                  <c:v>44467</c:v>
                </c:pt>
                <c:pt idx="451">
                  <c:v>44468</c:v>
                </c:pt>
                <c:pt idx="452">
                  <c:v>44469</c:v>
                </c:pt>
                <c:pt idx="453">
                  <c:v>44470</c:v>
                </c:pt>
                <c:pt idx="454">
                  <c:v>44473</c:v>
                </c:pt>
                <c:pt idx="455">
                  <c:v>44474</c:v>
                </c:pt>
                <c:pt idx="456">
                  <c:v>44475</c:v>
                </c:pt>
                <c:pt idx="457">
                  <c:v>44476</c:v>
                </c:pt>
                <c:pt idx="458">
                  <c:v>44477</c:v>
                </c:pt>
                <c:pt idx="459">
                  <c:v>44480</c:v>
                </c:pt>
                <c:pt idx="460">
                  <c:v>44481</c:v>
                </c:pt>
                <c:pt idx="461">
                  <c:v>44482</c:v>
                </c:pt>
                <c:pt idx="462">
                  <c:v>44483</c:v>
                </c:pt>
                <c:pt idx="463">
                  <c:v>44484</c:v>
                </c:pt>
                <c:pt idx="464">
                  <c:v>44487</c:v>
                </c:pt>
                <c:pt idx="465">
                  <c:v>44488</c:v>
                </c:pt>
                <c:pt idx="466">
                  <c:v>44489</c:v>
                </c:pt>
                <c:pt idx="467">
                  <c:v>44490</c:v>
                </c:pt>
                <c:pt idx="468">
                  <c:v>44491</c:v>
                </c:pt>
                <c:pt idx="469">
                  <c:v>44494</c:v>
                </c:pt>
                <c:pt idx="470">
                  <c:v>44495</c:v>
                </c:pt>
                <c:pt idx="471">
                  <c:v>44496</c:v>
                </c:pt>
                <c:pt idx="472">
                  <c:v>44497</c:v>
                </c:pt>
                <c:pt idx="473">
                  <c:v>44498</c:v>
                </c:pt>
                <c:pt idx="474">
                  <c:v>44501</c:v>
                </c:pt>
                <c:pt idx="475">
                  <c:v>44502</c:v>
                </c:pt>
                <c:pt idx="476">
                  <c:v>44503</c:v>
                </c:pt>
                <c:pt idx="477">
                  <c:v>44504</c:v>
                </c:pt>
                <c:pt idx="478">
                  <c:v>44505</c:v>
                </c:pt>
                <c:pt idx="479">
                  <c:v>44508</c:v>
                </c:pt>
                <c:pt idx="480">
                  <c:v>44509</c:v>
                </c:pt>
                <c:pt idx="481">
                  <c:v>44510</c:v>
                </c:pt>
                <c:pt idx="482">
                  <c:v>44511</c:v>
                </c:pt>
                <c:pt idx="483">
                  <c:v>44512</c:v>
                </c:pt>
                <c:pt idx="484">
                  <c:v>44515</c:v>
                </c:pt>
                <c:pt idx="485">
                  <c:v>44516</c:v>
                </c:pt>
                <c:pt idx="486">
                  <c:v>44517</c:v>
                </c:pt>
                <c:pt idx="487">
                  <c:v>44518</c:v>
                </c:pt>
                <c:pt idx="488">
                  <c:v>44519</c:v>
                </c:pt>
                <c:pt idx="489">
                  <c:v>44522</c:v>
                </c:pt>
                <c:pt idx="490">
                  <c:v>44523</c:v>
                </c:pt>
                <c:pt idx="491">
                  <c:v>44524</c:v>
                </c:pt>
                <c:pt idx="492">
                  <c:v>44525</c:v>
                </c:pt>
                <c:pt idx="493">
                  <c:v>44526</c:v>
                </c:pt>
                <c:pt idx="494">
                  <c:v>44529</c:v>
                </c:pt>
                <c:pt idx="495">
                  <c:v>44530</c:v>
                </c:pt>
                <c:pt idx="496">
                  <c:v>44531</c:v>
                </c:pt>
                <c:pt idx="497">
                  <c:v>44532</c:v>
                </c:pt>
                <c:pt idx="498">
                  <c:v>44533</c:v>
                </c:pt>
                <c:pt idx="499">
                  <c:v>44536</c:v>
                </c:pt>
                <c:pt idx="500">
                  <c:v>44537</c:v>
                </c:pt>
                <c:pt idx="501">
                  <c:v>44538</c:v>
                </c:pt>
                <c:pt idx="502">
                  <c:v>44539</c:v>
                </c:pt>
                <c:pt idx="503">
                  <c:v>44540</c:v>
                </c:pt>
                <c:pt idx="504">
                  <c:v>44543</c:v>
                </c:pt>
                <c:pt idx="505">
                  <c:v>44544</c:v>
                </c:pt>
                <c:pt idx="506">
                  <c:v>44545</c:v>
                </c:pt>
                <c:pt idx="507">
                  <c:v>44546</c:v>
                </c:pt>
                <c:pt idx="508">
                  <c:v>44547</c:v>
                </c:pt>
                <c:pt idx="509">
                  <c:v>44550</c:v>
                </c:pt>
                <c:pt idx="510">
                  <c:v>44551</c:v>
                </c:pt>
                <c:pt idx="511">
                  <c:v>44552</c:v>
                </c:pt>
                <c:pt idx="512">
                  <c:v>44553</c:v>
                </c:pt>
                <c:pt idx="513">
                  <c:v>44557</c:v>
                </c:pt>
                <c:pt idx="514">
                  <c:v>44558</c:v>
                </c:pt>
                <c:pt idx="515">
                  <c:v>44559</c:v>
                </c:pt>
                <c:pt idx="516">
                  <c:v>44560</c:v>
                </c:pt>
                <c:pt idx="517">
                  <c:v>44561</c:v>
                </c:pt>
                <c:pt idx="518">
                  <c:v>44564</c:v>
                </c:pt>
                <c:pt idx="519">
                  <c:v>44565</c:v>
                </c:pt>
                <c:pt idx="520">
                  <c:v>44566</c:v>
                </c:pt>
                <c:pt idx="521">
                  <c:v>44567</c:v>
                </c:pt>
                <c:pt idx="522">
                  <c:v>44568</c:v>
                </c:pt>
                <c:pt idx="523">
                  <c:v>44571</c:v>
                </c:pt>
                <c:pt idx="524">
                  <c:v>44572</c:v>
                </c:pt>
                <c:pt idx="525">
                  <c:v>44573</c:v>
                </c:pt>
                <c:pt idx="526">
                  <c:v>44574</c:v>
                </c:pt>
                <c:pt idx="527">
                  <c:v>44575</c:v>
                </c:pt>
                <c:pt idx="528">
                  <c:v>44578</c:v>
                </c:pt>
                <c:pt idx="529">
                  <c:v>44579</c:v>
                </c:pt>
                <c:pt idx="530">
                  <c:v>44580</c:v>
                </c:pt>
                <c:pt idx="531">
                  <c:v>44581</c:v>
                </c:pt>
                <c:pt idx="532">
                  <c:v>44582</c:v>
                </c:pt>
                <c:pt idx="533">
                  <c:v>44585</c:v>
                </c:pt>
                <c:pt idx="534">
                  <c:v>44586</c:v>
                </c:pt>
                <c:pt idx="535">
                  <c:v>44587</c:v>
                </c:pt>
                <c:pt idx="536">
                  <c:v>44588</c:v>
                </c:pt>
                <c:pt idx="537">
                  <c:v>44589</c:v>
                </c:pt>
                <c:pt idx="538">
                  <c:v>44592</c:v>
                </c:pt>
                <c:pt idx="539">
                  <c:v>44593</c:v>
                </c:pt>
                <c:pt idx="540">
                  <c:v>44594</c:v>
                </c:pt>
                <c:pt idx="541">
                  <c:v>44595</c:v>
                </c:pt>
                <c:pt idx="542">
                  <c:v>44596</c:v>
                </c:pt>
                <c:pt idx="543">
                  <c:v>44599</c:v>
                </c:pt>
                <c:pt idx="544">
                  <c:v>44600</c:v>
                </c:pt>
                <c:pt idx="545">
                  <c:v>44601</c:v>
                </c:pt>
                <c:pt idx="546">
                  <c:v>44602</c:v>
                </c:pt>
                <c:pt idx="547">
                  <c:v>44603</c:v>
                </c:pt>
                <c:pt idx="548">
                  <c:v>44606</c:v>
                </c:pt>
                <c:pt idx="549">
                  <c:v>44607</c:v>
                </c:pt>
                <c:pt idx="550">
                  <c:v>44608</c:v>
                </c:pt>
                <c:pt idx="551">
                  <c:v>44609</c:v>
                </c:pt>
                <c:pt idx="552">
                  <c:v>44610</c:v>
                </c:pt>
                <c:pt idx="553">
                  <c:v>44613</c:v>
                </c:pt>
                <c:pt idx="554">
                  <c:v>44614</c:v>
                </c:pt>
                <c:pt idx="555">
                  <c:v>44615</c:v>
                </c:pt>
                <c:pt idx="556">
                  <c:v>44616</c:v>
                </c:pt>
                <c:pt idx="557">
                  <c:v>44617</c:v>
                </c:pt>
                <c:pt idx="558">
                  <c:v>44620</c:v>
                </c:pt>
                <c:pt idx="559">
                  <c:v>44621</c:v>
                </c:pt>
                <c:pt idx="560">
                  <c:v>44622</c:v>
                </c:pt>
                <c:pt idx="561">
                  <c:v>44623</c:v>
                </c:pt>
                <c:pt idx="562">
                  <c:v>44624</c:v>
                </c:pt>
                <c:pt idx="563">
                  <c:v>44627</c:v>
                </c:pt>
                <c:pt idx="564">
                  <c:v>44628</c:v>
                </c:pt>
                <c:pt idx="565">
                  <c:v>44629</c:v>
                </c:pt>
                <c:pt idx="566">
                  <c:v>44630</c:v>
                </c:pt>
                <c:pt idx="567">
                  <c:v>44631</c:v>
                </c:pt>
                <c:pt idx="568">
                  <c:v>44634</c:v>
                </c:pt>
                <c:pt idx="569">
                  <c:v>44635</c:v>
                </c:pt>
                <c:pt idx="570">
                  <c:v>44636</c:v>
                </c:pt>
                <c:pt idx="571">
                  <c:v>44637</c:v>
                </c:pt>
                <c:pt idx="572">
                  <c:v>44638</c:v>
                </c:pt>
                <c:pt idx="573">
                  <c:v>44641</c:v>
                </c:pt>
                <c:pt idx="574">
                  <c:v>44642</c:v>
                </c:pt>
                <c:pt idx="575">
                  <c:v>44643</c:v>
                </c:pt>
                <c:pt idx="576">
                  <c:v>44644</c:v>
                </c:pt>
                <c:pt idx="577">
                  <c:v>44645</c:v>
                </c:pt>
                <c:pt idx="578">
                  <c:v>44648</c:v>
                </c:pt>
                <c:pt idx="579">
                  <c:v>44649</c:v>
                </c:pt>
                <c:pt idx="580">
                  <c:v>44650</c:v>
                </c:pt>
                <c:pt idx="581">
                  <c:v>44651</c:v>
                </c:pt>
                <c:pt idx="582">
                  <c:v>44652</c:v>
                </c:pt>
                <c:pt idx="583">
                  <c:v>44655</c:v>
                </c:pt>
                <c:pt idx="584">
                  <c:v>44656</c:v>
                </c:pt>
                <c:pt idx="585">
                  <c:v>44657</c:v>
                </c:pt>
                <c:pt idx="586">
                  <c:v>44658</c:v>
                </c:pt>
                <c:pt idx="587">
                  <c:v>44659</c:v>
                </c:pt>
                <c:pt idx="588">
                  <c:v>44662</c:v>
                </c:pt>
                <c:pt idx="589">
                  <c:v>44663</c:v>
                </c:pt>
                <c:pt idx="590">
                  <c:v>44664</c:v>
                </c:pt>
                <c:pt idx="591">
                  <c:v>44665</c:v>
                </c:pt>
                <c:pt idx="592">
                  <c:v>44669</c:v>
                </c:pt>
                <c:pt idx="593">
                  <c:v>44670</c:v>
                </c:pt>
                <c:pt idx="594">
                  <c:v>44671</c:v>
                </c:pt>
                <c:pt idx="595">
                  <c:v>44672</c:v>
                </c:pt>
                <c:pt idx="596">
                  <c:v>44673</c:v>
                </c:pt>
                <c:pt idx="597">
                  <c:v>44676</c:v>
                </c:pt>
                <c:pt idx="598">
                  <c:v>44677</c:v>
                </c:pt>
                <c:pt idx="599">
                  <c:v>44678</c:v>
                </c:pt>
                <c:pt idx="600">
                  <c:v>44679</c:v>
                </c:pt>
                <c:pt idx="601">
                  <c:v>44680</c:v>
                </c:pt>
                <c:pt idx="602">
                  <c:v>44683</c:v>
                </c:pt>
                <c:pt idx="603">
                  <c:v>44684</c:v>
                </c:pt>
                <c:pt idx="604">
                  <c:v>44685</c:v>
                </c:pt>
                <c:pt idx="605">
                  <c:v>44686</c:v>
                </c:pt>
                <c:pt idx="606">
                  <c:v>44687</c:v>
                </c:pt>
                <c:pt idx="607">
                  <c:v>44690</c:v>
                </c:pt>
                <c:pt idx="608">
                  <c:v>44691</c:v>
                </c:pt>
                <c:pt idx="609">
                  <c:v>44692</c:v>
                </c:pt>
                <c:pt idx="610">
                  <c:v>44693</c:v>
                </c:pt>
                <c:pt idx="611">
                  <c:v>44694</c:v>
                </c:pt>
                <c:pt idx="612">
                  <c:v>44697</c:v>
                </c:pt>
                <c:pt idx="613">
                  <c:v>44698</c:v>
                </c:pt>
                <c:pt idx="614">
                  <c:v>44699</c:v>
                </c:pt>
                <c:pt idx="615">
                  <c:v>44700</c:v>
                </c:pt>
                <c:pt idx="616">
                  <c:v>44701</c:v>
                </c:pt>
                <c:pt idx="617">
                  <c:v>44704</c:v>
                </c:pt>
                <c:pt idx="618">
                  <c:v>44705</c:v>
                </c:pt>
                <c:pt idx="619">
                  <c:v>44706</c:v>
                </c:pt>
                <c:pt idx="620">
                  <c:v>44707</c:v>
                </c:pt>
                <c:pt idx="621">
                  <c:v>44708</c:v>
                </c:pt>
                <c:pt idx="622">
                  <c:v>44711</c:v>
                </c:pt>
                <c:pt idx="623">
                  <c:v>44712</c:v>
                </c:pt>
                <c:pt idx="624">
                  <c:v>44713</c:v>
                </c:pt>
                <c:pt idx="625">
                  <c:v>44714</c:v>
                </c:pt>
                <c:pt idx="626">
                  <c:v>44715</c:v>
                </c:pt>
                <c:pt idx="627">
                  <c:v>44718</c:v>
                </c:pt>
                <c:pt idx="628">
                  <c:v>44719</c:v>
                </c:pt>
                <c:pt idx="629">
                  <c:v>44720</c:v>
                </c:pt>
                <c:pt idx="630">
                  <c:v>44721</c:v>
                </c:pt>
                <c:pt idx="631">
                  <c:v>44722</c:v>
                </c:pt>
                <c:pt idx="632">
                  <c:v>44725</c:v>
                </c:pt>
                <c:pt idx="633">
                  <c:v>44726</c:v>
                </c:pt>
                <c:pt idx="634">
                  <c:v>44727</c:v>
                </c:pt>
                <c:pt idx="635">
                  <c:v>44728</c:v>
                </c:pt>
                <c:pt idx="636">
                  <c:v>44729</c:v>
                </c:pt>
                <c:pt idx="637">
                  <c:v>44732</c:v>
                </c:pt>
                <c:pt idx="638">
                  <c:v>44733</c:v>
                </c:pt>
                <c:pt idx="639">
                  <c:v>44734</c:v>
                </c:pt>
                <c:pt idx="640">
                  <c:v>44735</c:v>
                </c:pt>
                <c:pt idx="641">
                  <c:v>44736</c:v>
                </c:pt>
                <c:pt idx="642">
                  <c:v>44739</c:v>
                </c:pt>
                <c:pt idx="643">
                  <c:v>44740</c:v>
                </c:pt>
                <c:pt idx="644">
                  <c:v>44741</c:v>
                </c:pt>
                <c:pt idx="645">
                  <c:v>44742</c:v>
                </c:pt>
                <c:pt idx="646">
                  <c:v>44743</c:v>
                </c:pt>
                <c:pt idx="647">
                  <c:v>44746</c:v>
                </c:pt>
                <c:pt idx="648">
                  <c:v>44747</c:v>
                </c:pt>
                <c:pt idx="649">
                  <c:v>44748</c:v>
                </c:pt>
                <c:pt idx="650">
                  <c:v>44749</c:v>
                </c:pt>
                <c:pt idx="651">
                  <c:v>44750</c:v>
                </c:pt>
                <c:pt idx="652">
                  <c:v>44753</c:v>
                </c:pt>
                <c:pt idx="653">
                  <c:v>44754</c:v>
                </c:pt>
                <c:pt idx="654">
                  <c:v>44755</c:v>
                </c:pt>
                <c:pt idx="655">
                  <c:v>44756</c:v>
                </c:pt>
                <c:pt idx="656">
                  <c:v>44757</c:v>
                </c:pt>
                <c:pt idx="657">
                  <c:v>44760</c:v>
                </c:pt>
                <c:pt idx="658">
                  <c:v>44761</c:v>
                </c:pt>
                <c:pt idx="659">
                  <c:v>44762</c:v>
                </c:pt>
                <c:pt idx="660">
                  <c:v>44763</c:v>
                </c:pt>
                <c:pt idx="661">
                  <c:v>44764</c:v>
                </c:pt>
                <c:pt idx="662">
                  <c:v>44767</c:v>
                </c:pt>
                <c:pt idx="663">
                  <c:v>44768</c:v>
                </c:pt>
                <c:pt idx="664">
                  <c:v>44769</c:v>
                </c:pt>
                <c:pt idx="665">
                  <c:v>44770</c:v>
                </c:pt>
                <c:pt idx="666">
                  <c:v>44771</c:v>
                </c:pt>
                <c:pt idx="667">
                  <c:v>44774</c:v>
                </c:pt>
                <c:pt idx="668">
                  <c:v>44775</c:v>
                </c:pt>
                <c:pt idx="669">
                  <c:v>44776</c:v>
                </c:pt>
                <c:pt idx="670">
                  <c:v>44777</c:v>
                </c:pt>
                <c:pt idx="671">
                  <c:v>44778</c:v>
                </c:pt>
                <c:pt idx="672">
                  <c:v>44781</c:v>
                </c:pt>
                <c:pt idx="673">
                  <c:v>44782</c:v>
                </c:pt>
                <c:pt idx="674">
                  <c:v>44783</c:v>
                </c:pt>
                <c:pt idx="675">
                  <c:v>44784</c:v>
                </c:pt>
                <c:pt idx="676">
                  <c:v>44785</c:v>
                </c:pt>
                <c:pt idx="677">
                  <c:v>44788</c:v>
                </c:pt>
                <c:pt idx="678">
                  <c:v>44789</c:v>
                </c:pt>
                <c:pt idx="679">
                  <c:v>44790</c:v>
                </c:pt>
                <c:pt idx="680">
                  <c:v>44791</c:v>
                </c:pt>
                <c:pt idx="681">
                  <c:v>44792</c:v>
                </c:pt>
                <c:pt idx="682">
                  <c:v>44795</c:v>
                </c:pt>
                <c:pt idx="683">
                  <c:v>44796</c:v>
                </c:pt>
                <c:pt idx="684">
                  <c:v>44797</c:v>
                </c:pt>
                <c:pt idx="685">
                  <c:v>44798</c:v>
                </c:pt>
                <c:pt idx="686">
                  <c:v>44799</c:v>
                </c:pt>
                <c:pt idx="687">
                  <c:v>44802</c:v>
                </c:pt>
                <c:pt idx="688">
                  <c:v>44803</c:v>
                </c:pt>
                <c:pt idx="689">
                  <c:v>44804</c:v>
                </c:pt>
                <c:pt idx="690">
                  <c:v>44805</c:v>
                </c:pt>
                <c:pt idx="691">
                  <c:v>44806</c:v>
                </c:pt>
                <c:pt idx="692">
                  <c:v>44809</c:v>
                </c:pt>
                <c:pt idx="693">
                  <c:v>44810</c:v>
                </c:pt>
                <c:pt idx="694">
                  <c:v>44811</c:v>
                </c:pt>
                <c:pt idx="695">
                  <c:v>44812</c:v>
                </c:pt>
                <c:pt idx="696">
                  <c:v>44813</c:v>
                </c:pt>
                <c:pt idx="697">
                  <c:v>44816</c:v>
                </c:pt>
                <c:pt idx="698">
                  <c:v>44817</c:v>
                </c:pt>
                <c:pt idx="699">
                  <c:v>44818</c:v>
                </c:pt>
                <c:pt idx="700">
                  <c:v>44819</c:v>
                </c:pt>
                <c:pt idx="701">
                  <c:v>44820</c:v>
                </c:pt>
                <c:pt idx="702">
                  <c:v>44823</c:v>
                </c:pt>
                <c:pt idx="703">
                  <c:v>44824</c:v>
                </c:pt>
                <c:pt idx="704">
                  <c:v>44825</c:v>
                </c:pt>
                <c:pt idx="705">
                  <c:v>44826</c:v>
                </c:pt>
                <c:pt idx="706">
                  <c:v>44827</c:v>
                </c:pt>
                <c:pt idx="707">
                  <c:v>44830</c:v>
                </c:pt>
                <c:pt idx="708">
                  <c:v>44831</c:v>
                </c:pt>
                <c:pt idx="709">
                  <c:v>44832</c:v>
                </c:pt>
                <c:pt idx="710">
                  <c:v>44833</c:v>
                </c:pt>
                <c:pt idx="711">
                  <c:v>44834</c:v>
                </c:pt>
                <c:pt idx="712">
                  <c:v>44837</c:v>
                </c:pt>
                <c:pt idx="713">
                  <c:v>44838</c:v>
                </c:pt>
                <c:pt idx="714">
                  <c:v>44839</c:v>
                </c:pt>
                <c:pt idx="715">
                  <c:v>44840</c:v>
                </c:pt>
                <c:pt idx="716">
                  <c:v>44841</c:v>
                </c:pt>
                <c:pt idx="717">
                  <c:v>44844</c:v>
                </c:pt>
                <c:pt idx="718">
                  <c:v>44845</c:v>
                </c:pt>
                <c:pt idx="719">
                  <c:v>44846</c:v>
                </c:pt>
                <c:pt idx="720">
                  <c:v>44847</c:v>
                </c:pt>
                <c:pt idx="721">
                  <c:v>44848</c:v>
                </c:pt>
                <c:pt idx="722">
                  <c:v>44851</c:v>
                </c:pt>
                <c:pt idx="723">
                  <c:v>44852</c:v>
                </c:pt>
                <c:pt idx="724">
                  <c:v>44853</c:v>
                </c:pt>
                <c:pt idx="725">
                  <c:v>44854</c:v>
                </c:pt>
                <c:pt idx="726">
                  <c:v>44855</c:v>
                </c:pt>
                <c:pt idx="727">
                  <c:v>44858</c:v>
                </c:pt>
                <c:pt idx="728">
                  <c:v>44859</c:v>
                </c:pt>
                <c:pt idx="729">
                  <c:v>44860</c:v>
                </c:pt>
                <c:pt idx="730">
                  <c:v>44861</c:v>
                </c:pt>
                <c:pt idx="731">
                  <c:v>44862</c:v>
                </c:pt>
                <c:pt idx="732">
                  <c:v>44865</c:v>
                </c:pt>
                <c:pt idx="733">
                  <c:v>44866</c:v>
                </c:pt>
                <c:pt idx="734">
                  <c:v>44867</c:v>
                </c:pt>
                <c:pt idx="735">
                  <c:v>44868</c:v>
                </c:pt>
                <c:pt idx="736">
                  <c:v>44869</c:v>
                </c:pt>
                <c:pt idx="737">
                  <c:v>44872</c:v>
                </c:pt>
                <c:pt idx="738">
                  <c:v>44873</c:v>
                </c:pt>
                <c:pt idx="739">
                  <c:v>44874</c:v>
                </c:pt>
                <c:pt idx="740">
                  <c:v>44875</c:v>
                </c:pt>
                <c:pt idx="741">
                  <c:v>44876</c:v>
                </c:pt>
                <c:pt idx="742">
                  <c:v>44879</c:v>
                </c:pt>
                <c:pt idx="743">
                  <c:v>44880</c:v>
                </c:pt>
                <c:pt idx="744">
                  <c:v>44881</c:v>
                </c:pt>
                <c:pt idx="745">
                  <c:v>44882</c:v>
                </c:pt>
                <c:pt idx="746">
                  <c:v>44883</c:v>
                </c:pt>
                <c:pt idx="747">
                  <c:v>44886</c:v>
                </c:pt>
                <c:pt idx="748">
                  <c:v>44887</c:v>
                </c:pt>
                <c:pt idx="749">
                  <c:v>44888</c:v>
                </c:pt>
                <c:pt idx="750">
                  <c:v>44889</c:v>
                </c:pt>
                <c:pt idx="751">
                  <c:v>44890</c:v>
                </c:pt>
                <c:pt idx="752">
                  <c:v>44893</c:v>
                </c:pt>
                <c:pt idx="753">
                  <c:v>44894</c:v>
                </c:pt>
                <c:pt idx="754">
                  <c:v>44895</c:v>
                </c:pt>
                <c:pt idx="755">
                  <c:v>44896</c:v>
                </c:pt>
                <c:pt idx="756">
                  <c:v>44897</c:v>
                </c:pt>
                <c:pt idx="757">
                  <c:v>44900</c:v>
                </c:pt>
                <c:pt idx="758">
                  <c:v>44901</c:v>
                </c:pt>
                <c:pt idx="759">
                  <c:v>44902</c:v>
                </c:pt>
                <c:pt idx="760">
                  <c:v>44903</c:v>
                </c:pt>
                <c:pt idx="761">
                  <c:v>44904</c:v>
                </c:pt>
                <c:pt idx="762">
                  <c:v>44907</c:v>
                </c:pt>
                <c:pt idx="763">
                  <c:v>44908</c:v>
                </c:pt>
                <c:pt idx="764">
                  <c:v>44909</c:v>
                </c:pt>
                <c:pt idx="765">
                  <c:v>44910</c:v>
                </c:pt>
                <c:pt idx="766">
                  <c:v>44911</c:v>
                </c:pt>
                <c:pt idx="767">
                  <c:v>44914</c:v>
                </c:pt>
                <c:pt idx="768">
                  <c:v>44915</c:v>
                </c:pt>
                <c:pt idx="769">
                  <c:v>44916</c:v>
                </c:pt>
                <c:pt idx="770">
                  <c:v>44917</c:v>
                </c:pt>
                <c:pt idx="771">
                  <c:v>44918</c:v>
                </c:pt>
                <c:pt idx="772">
                  <c:v>44922</c:v>
                </c:pt>
                <c:pt idx="773">
                  <c:v>44923</c:v>
                </c:pt>
                <c:pt idx="774">
                  <c:v>44924</c:v>
                </c:pt>
                <c:pt idx="775">
                  <c:v>44925</c:v>
                </c:pt>
                <c:pt idx="776">
                  <c:v>44929</c:v>
                </c:pt>
                <c:pt idx="777">
                  <c:v>44930</c:v>
                </c:pt>
                <c:pt idx="778">
                  <c:v>44931</c:v>
                </c:pt>
                <c:pt idx="779">
                  <c:v>44932</c:v>
                </c:pt>
                <c:pt idx="780">
                  <c:v>44935</c:v>
                </c:pt>
                <c:pt idx="781">
                  <c:v>44936</c:v>
                </c:pt>
                <c:pt idx="782">
                  <c:v>44937</c:v>
                </c:pt>
                <c:pt idx="783">
                  <c:v>44938</c:v>
                </c:pt>
                <c:pt idx="784">
                  <c:v>44939</c:v>
                </c:pt>
                <c:pt idx="785">
                  <c:v>44942</c:v>
                </c:pt>
                <c:pt idx="786">
                  <c:v>44943</c:v>
                </c:pt>
                <c:pt idx="787">
                  <c:v>44944</c:v>
                </c:pt>
                <c:pt idx="788">
                  <c:v>44945</c:v>
                </c:pt>
                <c:pt idx="789">
                  <c:v>44946</c:v>
                </c:pt>
                <c:pt idx="790">
                  <c:v>44949</c:v>
                </c:pt>
                <c:pt idx="791">
                  <c:v>44950</c:v>
                </c:pt>
                <c:pt idx="792">
                  <c:v>44951</c:v>
                </c:pt>
                <c:pt idx="793">
                  <c:v>44952</c:v>
                </c:pt>
                <c:pt idx="794">
                  <c:v>44953</c:v>
                </c:pt>
                <c:pt idx="795">
                  <c:v>44956</c:v>
                </c:pt>
                <c:pt idx="796">
                  <c:v>44957</c:v>
                </c:pt>
                <c:pt idx="797">
                  <c:v>44958</c:v>
                </c:pt>
                <c:pt idx="798">
                  <c:v>44959</c:v>
                </c:pt>
                <c:pt idx="799">
                  <c:v>44960</c:v>
                </c:pt>
                <c:pt idx="800">
                  <c:v>44963</c:v>
                </c:pt>
                <c:pt idx="801">
                  <c:v>44964</c:v>
                </c:pt>
                <c:pt idx="802">
                  <c:v>44965</c:v>
                </c:pt>
                <c:pt idx="803">
                  <c:v>44966</c:v>
                </c:pt>
                <c:pt idx="804">
                  <c:v>44967</c:v>
                </c:pt>
                <c:pt idx="805">
                  <c:v>44970</c:v>
                </c:pt>
                <c:pt idx="806">
                  <c:v>44971</c:v>
                </c:pt>
                <c:pt idx="807">
                  <c:v>44972</c:v>
                </c:pt>
                <c:pt idx="808">
                  <c:v>44973</c:v>
                </c:pt>
                <c:pt idx="809">
                  <c:v>44974</c:v>
                </c:pt>
                <c:pt idx="810">
                  <c:v>44977</c:v>
                </c:pt>
                <c:pt idx="811">
                  <c:v>44978</c:v>
                </c:pt>
                <c:pt idx="812">
                  <c:v>44979</c:v>
                </c:pt>
                <c:pt idx="813">
                  <c:v>44980</c:v>
                </c:pt>
                <c:pt idx="814">
                  <c:v>44981</c:v>
                </c:pt>
                <c:pt idx="815">
                  <c:v>44984</c:v>
                </c:pt>
                <c:pt idx="816">
                  <c:v>44985</c:v>
                </c:pt>
                <c:pt idx="817">
                  <c:v>44986</c:v>
                </c:pt>
                <c:pt idx="818">
                  <c:v>44987</c:v>
                </c:pt>
                <c:pt idx="819">
                  <c:v>44988</c:v>
                </c:pt>
                <c:pt idx="820">
                  <c:v>44991</c:v>
                </c:pt>
                <c:pt idx="821">
                  <c:v>44992</c:v>
                </c:pt>
                <c:pt idx="822">
                  <c:v>44993</c:v>
                </c:pt>
                <c:pt idx="823">
                  <c:v>44994</c:v>
                </c:pt>
                <c:pt idx="824">
                  <c:v>44995</c:v>
                </c:pt>
                <c:pt idx="825">
                  <c:v>44998</c:v>
                </c:pt>
                <c:pt idx="826">
                  <c:v>44999</c:v>
                </c:pt>
                <c:pt idx="827">
                  <c:v>45000</c:v>
                </c:pt>
                <c:pt idx="828">
                  <c:v>45001</c:v>
                </c:pt>
                <c:pt idx="829">
                  <c:v>45002</c:v>
                </c:pt>
                <c:pt idx="830">
                  <c:v>45005</c:v>
                </c:pt>
                <c:pt idx="831">
                  <c:v>45006</c:v>
                </c:pt>
                <c:pt idx="832">
                  <c:v>45007</c:v>
                </c:pt>
                <c:pt idx="833">
                  <c:v>45008</c:v>
                </c:pt>
                <c:pt idx="834">
                  <c:v>45009</c:v>
                </c:pt>
                <c:pt idx="835">
                  <c:v>45012</c:v>
                </c:pt>
                <c:pt idx="836">
                  <c:v>45013</c:v>
                </c:pt>
                <c:pt idx="837">
                  <c:v>45014</c:v>
                </c:pt>
                <c:pt idx="838">
                  <c:v>45015</c:v>
                </c:pt>
                <c:pt idx="839">
                  <c:v>45016</c:v>
                </c:pt>
                <c:pt idx="840">
                  <c:v>45019</c:v>
                </c:pt>
                <c:pt idx="841">
                  <c:v>45020</c:v>
                </c:pt>
                <c:pt idx="842">
                  <c:v>45021</c:v>
                </c:pt>
                <c:pt idx="843">
                  <c:v>45022</c:v>
                </c:pt>
                <c:pt idx="844">
                  <c:v>45023</c:v>
                </c:pt>
                <c:pt idx="845">
                  <c:v>45026</c:v>
                </c:pt>
                <c:pt idx="846">
                  <c:v>45027</c:v>
                </c:pt>
                <c:pt idx="847">
                  <c:v>45028</c:v>
                </c:pt>
                <c:pt idx="848">
                  <c:v>45029</c:v>
                </c:pt>
                <c:pt idx="849">
                  <c:v>45030</c:v>
                </c:pt>
                <c:pt idx="850">
                  <c:v>45033</c:v>
                </c:pt>
                <c:pt idx="851">
                  <c:v>45034</c:v>
                </c:pt>
                <c:pt idx="852">
                  <c:v>45035</c:v>
                </c:pt>
                <c:pt idx="853">
                  <c:v>45036</c:v>
                </c:pt>
                <c:pt idx="854">
                  <c:v>45037</c:v>
                </c:pt>
                <c:pt idx="855">
                  <c:v>45040</c:v>
                </c:pt>
                <c:pt idx="856">
                  <c:v>45041</c:v>
                </c:pt>
                <c:pt idx="857">
                  <c:v>45042</c:v>
                </c:pt>
                <c:pt idx="858">
                  <c:v>45043</c:v>
                </c:pt>
                <c:pt idx="859">
                  <c:v>45044</c:v>
                </c:pt>
                <c:pt idx="860">
                  <c:v>45047</c:v>
                </c:pt>
                <c:pt idx="861">
                  <c:v>45048</c:v>
                </c:pt>
                <c:pt idx="862">
                  <c:v>45049</c:v>
                </c:pt>
                <c:pt idx="863">
                  <c:v>45050</c:v>
                </c:pt>
                <c:pt idx="864">
                  <c:v>45051</c:v>
                </c:pt>
                <c:pt idx="865">
                  <c:v>45054</c:v>
                </c:pt>
                <c:pt idx="866">
                  <c:v>45055</c:v>
                </c:pt>
                <c:pt idx="867">
                  <c:v>45056</c:v>
                </c:pt>
                <c:pt idx="868">
                  <c:v>45057</c:v>
                </c:pt>
                <c:pt idx="869">
                  <c:v>45058</c:v>
                </c:pt>
                <c:pt idx="870">
                  <c:v>45061</c:v>
                </c:pt>
                <c:pt idx="871">
                  <c:v>45062</c:v>
                </c:pt>
                <c:pt idx="872">
                  <c:v>45063</c:v>
                </c:pt>
                <c:pt idx="873">
                  <c:v>45064</c:v>
                </c:pt>
                <c:pt idx="874">
                  <c:v>45065</c:v>
                </c:pt>
                <c:pt idx="875">
                  <c:v>45068</c:v>
                </c:pt>
                <c:pt idx="876">
                  <c:v>45069</c:v>
                </c:pt>
                <c:pt idx="877">
                  <c:v>45070</c:v>
                </c:pt>
                <c:pt idx="878">
                  <c:v>45071</c:v>
                </c:pt>
                <c:pt idx="879">
                  <c:v>45072</c:v>
                </c:pt>
                <c:pt idx="880">
                  <c:v>45075</c:v>
                </c:pt>
                <c:pt idx="881">
                  <c:v>45076</c:v>
                </c:pt>
                <c:pt idx="882">
                  <c:v>45077</c:v>
                </c:pt>
                <c:pt idx="883">
                  <c:v>45078</c:v>
                </c:pt>
                <c:pt idx="884">
                  <c:v>45079</c:v>
                </c:pt>
                <c:pt idx="885">
                  <c:v>45082</c:v>
                </c:pt>
                <c:pt idx="886">
                  <c:v>45083</c:v>
                </c:pt>
                <c:pt idx="887">
                  <c:v>45084</c:v>
                </c:pt>
                <c:pt idx="888">
                  <c:v>45085</c:v>
                </c:pt>
                <c:pt idx="889">
                  <c:v>45086</c:v>
                </c:pt>
                <c:pt idx="890">
                  <c:v>45089</c:v>
                </c:pt>
                <c:pt idx="891">
                  <c:v>45090</c:v>
                </c:pt>
                <c:pt idx="892">
                  <c:v>45091</c:v>
                </c:pt>
                <c:pt idx="893">
                  <c:v>45092</c:v>
                </c:pt>
                <c:pt idx="894">
                  <c:v>45093</c:v>
                </c:pt>
                <c:pt idx="895">
                  <c:v>45096</c:v>
                </c:pt>
                <c:pt idx="896">
                  <c:v>45097</c:v>
                </c:pt>
                <c:pt idx="897">
                  <c:v>45098</c:v>
                </c:pt>
                <c:pt idx="898">
                  <c:v>45099</c:v>
                </c:pt>
                <c:pt idx="899">
                  <c:v>45100</c:v>
                </c:pt>
                <c:pt idx="900">
                  <c:v>45103</c:v>
                </c:pt>
                <c:pt idx="901">
                  <c:v>45104</c:v>
                </c:pt>
                <c:pt idx="902">
                  <c:v>45105</c:v>
                </c:pt>
                <c:pt idx="903">
                  <c:v>45106</c:v>
                </c:pt>
                <c:pt idx="904">
                  <c:v>45107</c:v>
                </c:pt>
                <c:pt idx="905">
                  <c:v>45110</c:v>
                </c:pt>
                <c:pt idx="906">
                  <c:v>45111</c:v>
                </c:pt>
                <c:pt idx="907">
                  <c:v>45112</c:v>
                </c:pt>
                <c:pt idx="908">
                  <c:v>45113</c:v>
                </c:pt>
                <c:pt idx="909">
                  <c:v>45114</c:v>
                </c:pt>
                <c:pt idx="910">
                  <c:v>45117</c:v>
                </c:pt>
                <c:pt idx="911">
                  <c:v>45118</c:v>
                </c:pt>
                <c:pt idx="912">
                  <c:v>45119</c:v>
                </c:pt>
                <c:pt idx="913">
                  <c:v>45120</c:v>
                </c:pt>
                <c:pt idx="914">
                  <c:v>45121</c:v>
                </c:pt>
                <c:pt idx="915">
                  <c:v>45124</c:v>
                </c:pt>
                <c:pt idx="916">
                  <c:v>45125</c:v>
                </c:pt>
                <c:pt idx="917">
                  <c:v>45126</c:v>
                </c:pt>
                <c:pt idx="918">
                  <c:v>45127</c:v>
                </c:pt>
                <c:pt idx="919">
                  <c:v>45128</c:v>
                </c:pt>
                <c:pt idx="920">
                  <c:v>45131</c:v>
                </c:pt>
                <c:pt idx="921">
                  <c:v>45132</c:v>
                </c:pt>
                <c:pt idx="922">
                  <c:v>45133</c:v>
                </c:pt>
                <c:pt idx="923">
                  <c:v>45134</c:v>
                </c:pt>
                <c:pt idx="924">
                  <c:v>45135</c:v>
                </c:pt>
                <c:pt idx="925">
                  <c:v>45138</c:v>
                </c:pt>
                <c:pt idx="926">
                  <c:v>45139</c:v>
                </c:pt>
                <c:pt idx="927">
                  <c:v>45140</c:v>
                </c:pt>
                <c:pt idx="928">
                  <c:v>45141</c:v>
                </c:pt>
                <c:pt idx="929">
                  <c:v>45142</c:v>
                </c:pt>
                <c:pt idx="930">
                  <c:v>45145</c:v>
                </c:pt>
                <c:pt idx="931">
                  <c:v>45146</c:v>
                </c:pt>
                <c:pt idx="932">
                  <c:v>45147</c:v>
                </c:pt>
                <c:pt idx="933">
                  <c:v>45148</c:v>
                </c:pt>
                <c:pt idx="934">
                  <c:v>45149</c:v>
                </c:pt>
                <c:pt idx="935">
                  <c:v>45152</c:v>
                </c:pt>
                <c:pt idx="936">
                  <c:v>45153</c:v>
                </c:pt>
                <c:pt idx="937">
                  <c:v>45154</c:v>
                </c:pt>
                <c:pt idx="938">
                  <c:v>45155</c:v>
                </c:pt>
                <c:pt idx="939">
                  <c:v>45156</c:v>
                </c:pt>
                <c:pt idx="940">
                  <c:v>45159</c:v>
                </c:pt>
                <c:pt idx="941">
                  <c:v>45160</c:v>
                </c:pt>
                <c:pt idx="942">
                  <c:v>45161</c:v>
                </c:pt>
                <c:pt idx="943">
                  <c:v>45162</c:v>
                </c:pt>
                <c:pt idx="944">
                  <c:v>45163</c:v>
                </c:pt>
                <c:pt idx="945">
                  <c:v>45166</c:v>
                </c:pt>
                <c:pt idx="946">
                  <c:v>45167</c:v>
                </c:pt>
                <c:pt idx="947">
                  <c:v>45168</c:v>
                </c:pt>
                <c:pt idx="948">
                  <c:v>45169</c:v>
                </c:pt>
                <c:pt idx="949">
                  <c:v>45170</c:v>
                </c:pt>
                <c:pt idx="950">
                  <c:v>45173</c:v>
                </c:pt>
                <c:pt idx="951">
                  <c:v>45174</c:v>
                </c:pt>
                <c:pt idx="952">
                  <c:v>45175</c:v>
                </c:pt>
                <c:pt idx="953">
                  <c:v>45176</c:v>
                </c:pt>
                <c:pt idx="954">
                  <c:v>45177</c:v>
                </c:pt>
                <c:pt idx="955">
                  <c:v>45180</c:v>
                </c:pt>
                <c:pt idx="956">
                  <c:v>45181</c:v>
                </c:pt>
                <c:pt idx="957">
                  <c:v>45182</c:v>
                </c:pt>
                <c:pt idx="958">
                  <c:v>45183</c:v>
                </c:pt>
                <c:pt idx="959">
                  <c:v>45184</c:v>
                </c:pt>
                <c:pt idx="960">
                  <c:v>45187</c:v>
                </c:pt>
                <c:pt idx="961">
                  <c:v>45188</c:v>
                </c:pt>
                <c:pt idx="962">
                  <c:v>45189</c:v>
                </c:pt>
                <c:pt idx="963">
                  <c:v>45190</c:v>
                </c:pt>
                <c:pt idx="964">
                  <c:v>45191</c:v>
                </c:pt>
                <c:pt idx="965">
                  <c:v>45194</c:v>
                </c:pt>
                <c:pt idx="966">
                  <c:v>45195</c:v>
                </c:pt>
                <c:pt idx="967">
                  <c:v>45196</c:v>
                </c:pt>
                <c:pt idx="968">
                  <c:v>45197</c:v>
                </c:pt>
                <c:pt idx="969">
                  <c:v>45198</c:v>
                </c:pt>
                <c:pt idx="970">
                  <c:v>45201</c:v>
                </c:pt>
                <c:pt idx="971">
                  <c:v>45202</c:v>
                </c:pt>
                <c:pt idx="972">
                  <c:v>45203</c:v>
                </c:pt>
                <c:pt idx="973">
                  <c:v>45204</c:v>
                </c:pt>
                <c:pt idx="974">
                  <c:v>45205</c:v>
                </c:pt>
                <c:pt idx="975">
                  <c:v>45208</c:v>
                </c:pt>
                <c:pt idx="976">
                  <c:v>45209</c:v>
                </c:pt>
                <c:pt idx="977">
                  <c:v>45210</c:v>
                </c:pt>
                <c:pt idx="978">
                  <c:v>45211</c:v>
                </c:pt>
                <c:pt idx="979">
                  <c:v>45212</c:v>
                </c:pt>
                <c:pt idx="980">
                  <c:v>45215</c:v>
                </c:pt>
                <c:pt idx="981">
                  <c:v>45216</c:v>
                </c:pt>
                <c:pt idx="982">
                  <c:v>45217</c:v>
                </c:pt>
                <c:pt idx="983">
                  <c:v>45218</c:v>
                </c:pt>
                <c:pt idx="984">
                  <c:v>45219</c:v>
                </c:pt>
                <c:pt idx="985">
                  <c:v>45222</c:v>
                </c:pt>
                <c:pt idx="986">
                  <c:v>45223</c:v>
                </c:pt>
                <c:pt idx="987">
                  <c:v>45224</c:v>
                </c:pt>
                <c:pt idx="988">
                  <c:v>45225</c:v>
                </c:pt>
                <c:pt idx="989">
                  <c:v>45226</c:v>
                </c:pt>
                <c:pt idx="990">
                  <c:v>45229</c:v>
                </c:pt>
                <c:pt idx="991">
                  <c:v>45230</c:v>
                </c:pt>
                <c:pt idx="992">
                  <c:v>45231</c:v>
                </c:pt>
                <c:pt idx="993">
                  <c:v>45232</c:v>
                </c:pt>
                <c:pt idx="994">
                  <c:v>45233</c:v>
                </c:pt>
                <c:pt idx="995">
                  <c:v>45236</c:v>
                </c:pt>
                <c:pt idx="996">
                  <c:v>45237</c:v>
                </c:pt>
                <c:pt idx="997">
                  <c:v>45238</c:v>
                </c:pt>
                <c:pt idx="998">
                  <c:v>45239</c:v>
                </c:pt>
                <c:pt idx="999">
                  <c:v>45240</c:v>
                </c:pt>
                <c:pt idx="1000">
                  <c:v>45243</c:v>
                </c:pt>
                <c:pt idx="1001">
                  <c:v>45244</c:v>
                </c:pt>
                <c:pt idx="1002">
                  <c:v>45245</c:v>
                </c:pt>
                <c:pt idx="1003">
                  <c:v>45246</c:v>
                </c:pt>
                <c:pt idx="1004">
                  <c:v>45247</c:v>
                </c:pt>
                <c:pt idx="1005">
                  <c:v>45250</c:v>
                </c:pt>
                <c:pt idx="1006">
                  <c:v>45251</c:v>
                </c:pt>
                <c:pt idx="1007">
                  <c:v>45252</c:v>
                </c:pt>
                <c:pt idx="1008">
                  <c:v>45253</c:v>
                </c:pt>
                <c:pt idx="1009">
                  <c:v>45254</c:v>
                </c:pt>
                <c:pt idx="1010">
                  <c:v>45257</c:v>
                </c:pt>
                <c:pt idx="1011">
                  <c:v>45258</c:v>
                </c:pt>
                <c:pt idx="1012">
                  <c:v>45259</c:v>
                </c:pt>
                <c:pt idx="1013">
                  <c:v>45260</c:v>
                </c:pt>
                <c:pt idx="1014">
                  <c:v>45261</c:v>
                </c:pt>
                <c:pt idx="1015">
                  <c:v>45264</c:v>
                </c:pt>
                <c:pt idx="1016">
                  <c:v>45265</c:v>
                </c:pt>
                <c:pt idx="1017">
                  <c:v>45266</c:v>
                </c:pt>
                <c:pt idx="1018">
                  <c:v>45267</c:v>
                </c:pt>
                <c:pt idx="1019">
                  <c:v>45268</c:v>
                </c:pt>
                <c:pt idx="1020">
                  <c:v>45271</c:v>
                </c:pt>
                <c:pt idx="1021">
                  <c:v>45272</c:v>
                </c:pt>
                <c:pt idx="1022">
                  <c:v>45273</c:v>
                </c:pt>
                <c:pt idx="1023">
                  <c:v>45274</c:v>
                </c:pt>
                <c:pt idx="1024">
                  <c:v>45275</c:v>
                </c:pt>
                <c:pt idx="1025">
                  <c:v>45278</c:v>
                </c:pt>
                <c:pt idx="1026">
                  <c:v>45279</c:v>
                </c:pt>
                <c:pt idx="1027">
                  <c:v>45280</c:v>
                </c:pt>
                <c:pt idx="1028">
                  <c:v>45281</c:v>
                </c:pt>
                <c:pt idx="1029">
                  <c:v>45282</c:v>
                </c:pt>
                <c:pt idx="1030">
                  <c:v>45286</c:v>
                </c:pt>
                <c:pt idx="1031">
                  <c:v>45287</c:v>
                </c:pt>
                <c:pt idx="1032">
                  <c:v>45288</c:v>
                </c:pt>
                <c:pt idx="1033">
                  <c:v>45289</c:v>
                </c:pt>
                <c:pt idx="1034">
                  <c:v>45293</c:v>
                </c:pt>
                <c:pt idx="1035">
                  <c:v>45294</c:v>
                </c:pt>
                <c:pt idx="1036">
                  <c:v>45295</c:v>
                </c:pt>
                <c:pt idx="1037">
                  <c:v>45296</c:v>
                </c:pt>
                <c:pt idx="1038">
                  <c:v>45299</c:v>
                </c:pt>
                <c:pt idx="1039">
                  <c:v>45300</c:v>
                </c:pt>
                <c:pt idx="1040">
                  <c:v>45301</c:v>
                </c:pt>
                <c:pt idx="1041">
                  <c:v>45302</c:v>
                </c:pt>
                <c:pt idx="1042">
                  <c:v>45303</c:v>
                </c:pt>
                <c:pt idx="1043">
                  <c:v>45306</c:v>
                </c:pt>
                <c:pt idx="1044">
                  <c:v>45307</c:v>
                </c:pt>
                <c:pt idx="1045">
                  <c:v>45308</c:v>
                </c:pt>
                <c:pt idx="1046">
                  <c:v>45309</c:v>
                </c:pt>
                <c:pt idx="1047">
                  <c:v>45310</c:v>
                </c:pt>
                <c:pt idx="1048">
                  <c:v>45313</c:v>
                </c:pt>
                <c:pt idx="1049">
                  <c:v>45314</c:v>
                </c:pt>
                <c:pt idx="1050">
                  <c:v>45315</c:v>
                </c:pt>
                <c:pt idx="1051">
                  <c:v>45316</c:v>
                </c:pt>
                <c:pt idx="1052">
                  <c:v>45317</c:v>
                </c:pt>
                <c:pt idx="1053">
                  <c:v>45320</c:v>
                </c:pt>
                <c:pt idx="1054">
                  <c:v>45321</c:v>
                </c:pt>
                <c:pt idx="1055">
                  <c:v>45322</c:v>
                </c:pt>
                <c:pt idx="1056">
                  <c:v>45323</c:v>
                </c:pt>
                <c:pt idx="1057">
                  <c:v>45324</c:v>
                </c:pt>
                <c:pt idx="1058">
                  <c:v>45327</c:v>
                </c:pt>
                <c:pt idx="1059">
                  <c:v>45328</c:v>
                </c:pt>
                <c:pt idx="1060">
                  <c:v>45329</c:v>
                </c:pt>
                <c:pt idx="1061">
                  <c:v>45330</c:v>
                </c:pt>
                <c:pt idx="1062">
                  <c:v>45331</c:v>
                </c:pt>
                <c:pt idx="1063">
                  <c:v>45334</c:v>
                </c:pt>
                <c:pt idx="1064">
                  <c:v>45335</c:v>
                </c:pt>
                <c:pt idx="1065">
                  <c:v>45336</c:v>
                </c:pt>
                <c:pt idx="1066">
                  <c:v>45337</c:v>
                </c:pt>
                <c:pt idx="1067">
                  <c:v>45338</c:v>
                </c:pt>
                <c:pt idx="1068">
                  <c:v>45341</c:v>
                </c:pt>
                <c:pt idx="1069">
                  <c:v>45342</c:v>
                </c:pt>
                <c:pt idx="1070">
                  <c:v>45343</c:v>
                </c:pt>
                <c:pt idx="1071">
                  <c:v>45344</c:v>
                </c:pt>
                <c:pt idx="1072">
                  <c:v>45345</c:v>
                </c:pt>
                <c:pt idx="1073">
                  <c:v>45348</c:v>
                </c:pt>
                <c:pt idx="1074">
                  <c:v>45349</c:v>
                </c:pt>
                <c:pt idx="1075">
                  <c:v>45350</c:v>
                </c:pt>
                <c:pt idx="1076">
                  <c:v>45351</c:v>
                </c:pt>
                <c:pt idx="1077">
                  <c:v>45352</c:v>
                </c:pt>
                <c:pt idx="1078">
                  <c:v>45355</c:v>
                </c:pt>
                <c:pt idx="1079">
                  <c:v>45356</c:v>
                </c:pt>
                <c:pt idx="1080">
                  <c:v>45357</c:v>
                </c:pt>
                <c:pt idx="1081">
                  <c:v>45358</c:v>
                </c:pt>
                <c:pt idx="1082">
                  <c:v>45359</c:v>
                </c:pt>
                <c:pt idx="1083">
                  <c:v>45362</c:v>
                </c:pt>
                <c:pt idx="1084">
                  <c:v>45363</c:v>
                </c:pt>
                <c:pt idx="1085">
                  <c:v>45364</c:v>
                </c:pt>
                <c:pt idx="1086">
                  <c:v>45365</c:v>
                </c:pt>
                <c:pt idx="1087">
                  <c:v>45366</c:v>
                </c:pt>
                <c:pt idx="1088">
                  <c:v>45369</c:v>
                </c:pt>
                <c:pt idx="1089">
                  <c:v>45370</c:v>
                </c:pt>
                <c:pt idx="1090">
                  <c:v>45371</c:v>
                </c:pt>
                <c:pt idx="1091">
                  <c:v>45372</c:v>
                </c:pt>
                <c:pt idx="1092">
                  <c:v>45373</c:v>
                </c:pt>
                <c:pt idx="1093">
                  <c:v>45376</c:v>
                </c:pt>
                <c:pt idx="1094">
                  <c:v>45377</c:v>
                </c:pt>
                <c:pt idx="1095">
                  <c:v>45378</c:v>
                </c:pt>
                <c:pt idx="1096">
                  <c:v>45379</c:v>
                </c:pt>
                <c:pt idx="1097">
                  <c:v>45383</c:v>
                </c:pt>
                <c:pt idx="1098">
                  <c:v>45384</c:v>
                </c:pt>
                <c:pt idx="1099">
                  <c:v>45385</c:v>
                </c:pt>
                <c:pt idx="1100">
                  <c:v>45386</c:v>
                </c:pt>
                <c:pt idx="1101">
                  <c:v>45387</c:v>
                </c:pt>
                <c:pt idx="1102">
                  <c:v>45390</c:v>
                </c:pt>
                <c:pt idx="1103">
                  <c:v>45391</c:v>
                </c:pt>
                <c:pt idx="1104">
                  <c:v>45392</c:v>
                </c:pt>
                <c:pt idx="1105">
                  <c:v>45393</c:v>
                </c:pt>
                <c:pt idx="1106">
                  <c:v>45394</c:v>
                </c:pt>
                <c:pt idx="1107">
                  <c:v>45397</c:v>
                </c:pt>
                <c:pt idx="1108">
                  <c:v>45398</c:v>
                </c:pt>
                <c:pt idx="1109">
                  <c:v>45399</c:v>
                </c:pt>
                <c:pt idx="1110">
                  <c:v>45400</c:v>
                </c:pt>
                <c:pt idx="1111">
                  <c:v>45401</c:v>
                </c:pt>
                <c:pt idx="1112">
                  <c:v>45404</c:v>
                </c:pt>
                <c:pt idx="1113">
                  <c:v>45405</c:v>
                </c:pt>
                <c:pt idx="1114">
                  <c:v>45406</c:v>
                </c:pt>
                <c:pt idx="1115">
                  <c:v>45407</c:v>
                </c:pt>
                <c:pt idx="1116">
                  <c:v>45408</c:v>
                </c:pt>
                <c:pt idx="1117">
                  <c:v>45411</c:v>
                </c:pt>
                <c:pt idx="1118">
                  <c:v>45412</c:v>
                </c:pt>
                <c:pt idx="1119">
                  <c:v>45413</c:v>
                </c:pt>
                <c:pt idx="1120">
                  <c:v>45414</c:v>
                </c:pt>
                <c:pt idx="1121">
                  <c:v>45415</c:v>
                </c:pt>
                <c:pt idx="1122">
                  <c:v>45418</c:v>
                </c:pt>
                <c:pt idx="1123">
                  <c:v>45419</c:v>
                </c:pt>
                <c:pt idx="1124">
                  <c:v>45420</c:v>
                </c:pt>
                <c:pt idx="1125">
                  <c:v>45421</c:v>
                </c:pt>
                <c:pt idx="1126">
                  <c:v>45422</c:v>
                </c:pt>
                <c:pt idx="1127">
                  <c:v>45425</c:v>
                </c:pt>
                <c:pt idx="1128">
                  <c:v>45426</c:v>
                </c:pt>
                <c:pt idx="1129">
                  <c:v>45427</c:v>
                </c:pt>
                <c:pt idx="1130">
                  <c:v>45428</c:v>
                </c:pt>
                <c:pt idx="1131">
                  <c:v>45429</c:v>
                </c:pt>
                <c:pt idx="1132">
                  <c:v>45432</c:v>
                </c:pt>
                <c:pt idx="1133">
                  <c:v>45433</c:v>
                </c:pt>
                <c:pt idx="1134">
                  <c:v>45434</c:v>
                </c:pt>
                <c:pt idx="1135">
                  <c:v>45435</c:v>
                </c:pt>
                <c:pt idx="1136">
                  <c:v>45436</c:v>
                </c:pt>
                <c:pt idx="1137">
                  <c:v>45439</c:v>
                </c:pt>
                <c:pt idx="1138">
                  <c:v>45440</c:v>
                </c:pt>
                <c:pt idx="1139">
                  <c:v>45441</c:v>
                </c:pt>
                <c:pt idx="1140">
                  <c:v>45442</c:v>
                </c:pt>
                <c:pt idx="1141">
                  <c:v>45443</c:v>
                </c:pt>
                <c:pt idx="1142">
                  <c:v>45446</c:v>
                </c:pt>
                <c:pt idx="1143">
                  <c:v>45447</c:v>
                </c:pt>
                <c:pt idx="1144">
                  <c:v>45448</c:v>
                </c:pt>
                <c:pt idx="1145">
                  <c:v>45449</c:v>
                </c:pt>
                <c:pt idx="1146">
                  <c:v>45450</c:v>
                </c:pt>
                <c:pt idx="1147">
                  <c:v>45453</c:v>
                </c:pt>
                <c:pt idx="1148">
                  <c:v>45454</c:v>
                </c:pt>
                <c:pt idx="1149">
                  <c:v>45455</c:v>
                </c:pt>
                <c:pt idx="1150">
                  <c:v>45456</c:v>
                </c:pt>
                <c:pt idx="1151">
                  <c:v>45457</c:v>
                </c:pt>
                <c:pt idx="1152">
                  <c:v>45460</c:v>
                </c:pt>
                <c:pt idx="1153">
                  <c:v>45461</c:v>
                </c:pt>
                <c:pt idx="1154">
                  <c:v>45462</c:v>
                </c:pt>
                <c:pt idx="1155">
                  <c:v>45463</c:v>
                </c:pt>
                <c:pt idx="1156">
                  <c:v>45464</c:v>
                </c:pt>
              </c:numCache>
            </c:numRef>
          </c:cat>
          <c:val>
            <c:numRef>
              <c:f>Sheet1!$C$2:$C$1158</c:f>
              <c:numCache>
                <c:formatCode>0.0</c:formatCode>
                <c:ptCount val="1157"/>
                <c:pt idx="0">
                  <c:v>100</c:v>
                </c:pt>
                <c:pt idx="1">
                  <c:v>99.895397489539747</c:v>
                </c:pt>
                <c:pt idx="2">
                  <c:v>99.895397489539747</c:v>
                </c:pt>
                <c:pt idx="3">
                  <c:v>99.895397489539747</c:v>
                </c:pt>
                <c:pt idx="4">
                  <c:v>99.895397489539747</c:v>
                </c:pt>
                <c:pt idx="5">
                  <c:v>99.895397489539747</c:v>
                </c:pt>
                <c:pt idx="6">
                  <c:v>99.895397489539747</c:v>
                </c:pt>
                <c:pt idx="7">
                  <c:v>99.895397489539747</c:v>
                </c:pt>
                <c:pt idx="8">
                  <c:v>100</c:v>
                </c:pt>
                <c:pt idx="9">
                  <c:v>100</c:v>
                </c:pt>
                <c:pt idx="10">
                  <c:v>100</c:v>
                </c:pt>
                <c:pt idx="11">
                  <c:v>100</c:v>
                </c:pt>
                <c:pt idx="12">
                  <c:v>99.895397489539747</c:v>
                </c:pt>
                <c:pt idx="13">
                  <c:v>99.68619246861924</c:v>
                </c:pt>
                <c:pt idx="14">
                  <c:v>99.68619246861924</c:v>
                </c:pt>
                <c:pt idx="15">
                  <c:v>99.790794979079493</c:v>
                </c:pt>
                <c:pt idx="16">
                  <c:v>99.96861924686192</c:v>
                </c:pt>
                <c:pt idx="17">
                  <c:v>99.790794979079493</c:v>
                </c:pt>
                <c:pt idx="18">
                  <c:v>99.790794979079493</c:v>
                </c:pt>
                <c:pt idx="19">
                  <c:v>99.790794979079493</c:v>
                </c:pt>
                <c:pt idx="20">
                  <c:v>99.790794979079493</c:v>
                </c:pt>
                <c:pt idx="21">
                  <c:v>99.581589958158986</c:v>
                </c:pt>
                <c:pt idx="22">
                  <c:v>99.958158995815893</c:v>
                </c:pt>
                <c:pt idx="23">
                  <c:v>99.790794979079493</c:v>
                </c:pt>
                <c:pt idx="24">
                  <c:v>99.790794979079493</c:v>
                </c:pt>
                <c:pt idx="25">
                  <c:v>99.790794979079493</c:v>
                </c:pt>
                <c:pt idx="26">
                  <c:v>99.790794979079493</c:v>
                </c:pt>
                <c:pt idx="27">
                  <c:v>99.790794979079493</c:v>
                </c:pt>
                <c:pt idx="28">
                  <c:v>99.790794979079493</c:v>
                </c:pt>
                <c:pt idx="29">
                  <c:v>99.790794979079493</c:v>
                </c:pt>
                <c:pt idx="30">
                  <c:v>100.02092050209204</c:v>
                </c:pt>
                <c:pt idx="31">
                  <c:v>99.790794979079493</c:v>
                </c:pt>
                <c:pt idx="32">
                  <c:v>99.790794979079493</c:v>
                </c:pt>
                <c:pt idx="33">
                  <c:v>99.790794979079493</c:v>
                </c:pt>
                <c:pt idx="34">
                  <c:v>99.790794979079493</c:v>
                </c:pt>
                <c:pt idx="35">
                  <c:v>99.68619246861924</c:v>
                </c:pt>
                <c:pt idx="36">
                  <c:v>99.68619246861924</c:v>
                </c:pt>
                <c:pt idx="37">
                  <c:v>99.68619246861924</c:v>
                </c:pt>
                <c:pt idx="38">
                  <c:v>99.68619246861924</c:v>
                </c:pt>
                <c:pt idx="39">
                  <c:v>99.68619246861924</c:v>
                </c:pt>
                <c:pt idx="40">
                  <c:v>99.68619246861924</c:v>
                </c:pt>
                <c:pt idx="41">
                  <c:v>99.790794979079493</c:v>
                </c:pt>
                <c:pt idx="42">
                  <c:v>99.895397489539747</c:v>
                </c:pt>
                <c:pt idx="43">
                  <c:v>99.895397489539747</c:v>
                </c:pt>
                <c:pt idx="44">
                  <c:v>100</c:v>
                </c:pt>
                <c:pt idx="45">
                  <c:v>100</c:v>
                </c:pt>
                <c:pt idx="46">
                  <c:v>100</c:v>
                </c:pt>
                <c:pt idx="47">
                  <c:v>99.895397489539747</c:v>
                </c:pt>
                <c:pt idx="48">
                  <c:v>100.62761506276151</c:v>
                </c:pt>
                <c:pt idx="49">
                  <c:v>100.83682008368201</c:v>
                </c:pt>
                <c:pt idx="50">
                  <c:v>101.15062761506276</c:v>
                </c:pt>
                <c:pt idx="51">
                  <c:v>101.77824267782427</c:v>
                </c:pt>
                <c:pt idx="52">
                  <c:v>101.67364016736401</c:v>
                </c:pt>
                <c:pt idx="53">
                  <c:v>101.98744769874476</c:v>
                </c:pt>
                <c:pt idx="54">
                  <c:v>102.19665271966525</c:v>
                </c:pt>
                <c:pt idx="55">
                  <c:v>102.61506276150625</c:v>
                </c:pt>
                <c:pt idx="56">
                  <c:v>103.03347280334725</c:v>
                </c:pt>
                <c:pt idx="57">
                  <c:v>103.03347280334727</c:v>
                </c:pt>
                <c:pt idx="58">
                  <c:v>103.03347280334727</c:v>
                </c:pt>
                <c:pt idx="59">
                  <c:v>103.13807531380751</c:v>
                </c:pt>
                <c:pt idx="60">
                  <c:v>103.34728033472801</c:v>
                </c:pt>
                <c:pt idx="61">
                  <c:v>103.45188284518827</c:v>
                </c:pt>
                <c:pt idx="62">
                  <c:v>103.87029288702927</c:v>
                </c:pt>
                <c:pt idx="63">
                  <c:v>104.70711297071128</c:v>
                </c:pt>
                <c:pt idx="64">
                  <c:v>104.70711297071128</c:v>
                </c:pt>
                <c:pt idx="65">
                  <c:v>104.70711297071128</c:v>
                </c:pt>
                <c:pt idx="66">
                  <c:v>104.49790794979077</c:v>
                </c:pt>
                <c:pt idx="67">
                  <c:v>104.49790794979077</c:v>
                </c:pt>
                <c:pt idx="68">
                  <c:v>104.2573221757322</c:v>
                </c:pt>
                <c:pt idx="69">
                  <c:v>104.18410041841001</c:v>
                </c:pt>
                <c:pt idx="70">
                  <c:v>102.93933054393302</c:v>
                </c:pt>
                <c:pt idx="71">
                  <c:v>101.56903765690373</c:v>
                </c:pt>
                <c:pt idx="72">
                  <c:v>101.35983263598322</c:v>
                </c:pt>
                <c:pt idx="73">
                  <c:v>101.48535564853553</c:v>
                </c:pt>
                <c:pt idx="74">
                  <c:v>101.16108786610876</c:v>
                </c:pt>
                <c:pt idx="75">
                  <c:v>101.03556485355645</c:v>
                </c:pt>
                <c:pt idx="76">
                  <c:v>100.62761506276146</c:v>
                </c:pt>
                <c:pt idx="77">
                  <c:v>100.38702928870291</c:v>
                </c:pt>
                <c:pt idx="78">
                  <c:v>100.16736401673637</c:v>
                </c:pt>
                <c:pt idx="79">
                  <c:v>100.13598326359829</c:v>
                </c:pt>
                <c:pt idx="80">
                  <c:v>100.14016736401672</c:v>
                </c:pt>
                <c:pt idx="81">
                  <c:v>100.11506276150627</c:v>
                </c:pt>
                <c:pt idx="82">
                  <c:v>99.999999999999986</c:v>
                </c:pt>
                <c:pt idx="83">
                  <c:v>99.790794979079479</c:v>
                </c:pt>
                <c:pt idx="84">
                  <c:v>100.05230125523011</c:v>
                </c:pt>
                <c:pt idx="85">
                  <c:v>100.05230125523011</c:v>
                </c:pt>
                <c:pt idx="86">
                  <c:v>100.20920502092048</c:v>
                </c:pt>
                <c:pt idx="87">
                  <c:v>100.3451882845188</c:v>
                </c:pt>
                <c:pt idx="88">
                  <c:v>100.41841004184097</c:v>
                </c:pt>
                <c:pt idx="89">
                  <c:v>100.86192468619244</c:v>
                </c:pt>
                <c:pt idx="90">
                  <c:v>101.06694560669453</c:v>
                </c:pt>
                <c:pt idx="91">
                  <c:v>101.46443514644349</c:v>
                </c:pt>
                <c:pt idx="92">
                  <c:v>101.46443514644349</c:v>
                </c:pt>
                <c:pt idx="93">
                  <c:v>101.81171548117152</c:v>
                </c:pt>
                <c:pt idx="94">
                  <c:v>102.06694560669453</c:v>
                </c:pt>
                <c:pt idx="95">
                  <c:v>101.85774058577404</c:v>
                </c:pt>
                <c:pt idx="96">
                  <c:v>101.43933054393304</c:v>
                </c:pt>
                <c:pt idx="97">
                  <c:v>101.18200836820083</c:v>
                </c:pt>
                <c:pt idx="98">
                  <c:v>100.96234309623431</c:v>
                </c:pt>
                <c:pt idx="99">
                  <c:v>100.55439330543932</c:v>
                </c:pt>
                <c:pt idx="100">
                  <c:v>100.62343096234309</c:v>
                </c:pt>
                <c:pt idx="101">
                  <c:v>100.62552301255229</c:v>
                </c:pt>
                <c:pt idx="102">
                  <c:v>101.0041841004184</c:v>
                </c:pt>
                <c:pt idx="103">
                  <c:v>101.02719665271965</c:v>
                </c:pt>
                <c:pt idx="104">
                  <c:v>101.02510460251044</c:v>
                </c:pt>
                <c:pt idx="105">
                  <c:v>101.02510460251044</c:v>
                </c:pt>
                <c:pt idx="106">
                  <c:v>100.83682008368199</c:v>
                </c:pt>
                <c:pt idx="107">
                  <c:v>100.7217573221757</c:v>
                </c:pt>
                <c:pt idx="108">
                  <c:v>100.70711297071128</c:v>
                </c:pt>
                <c:pt idx="109">
                  <c:v>100.62761506276149</c:v>
                </c:pt>
                <c:pt idx="110">
                  <c:v>100.56903765690376</c:v>
                </c:pt>
                <c:pt idx="111">
                  <c:v>100.5020920502092</c:v>
                </c:pt>
                <c:pt idx="112">
                  <c:v>100.46652719665272</c:v>
                </c:pt>
                <c:pt idx="113">
                  <c:v>100.42259414225941</c:v>
                </c:pt>
                <c:pt idx="114">
                  <c:v>100.54393305439332</c:v>
                </c:pt>
                <c:pt idx="115">
                  <c:v>100.5794979079498</c:v>
                </c:pt>
                <c:pt idx="116">
                  <c:v>100.50209205020921</c:v>
                </c:pt>
                <c:pt idx="117">
                  <c:v>100.47071129707115</c:v>
                </c:pt>
                <c:pt idx="118">
                  <c:v>100.27196652719667</c:v>
                </c:pt>
                <c:pt idx="119">
                  <c:v>100.18828451882845</c:v>
                </c:pt>
                <c:pt idx="120">
                  <c:v>100</c:v>
                </c:pt>
                <c:pt idx="121">
                  <c:v>99.995815899581586</c:v>
                </c:pt>
                <c:pt idx="122">
                  <c:v>100.0899581589958</c:v>
                </c:pt>
                <c:pt idx="123">
                  <c:v>100.21966527196651</c:v>
                </c:pt>
                <c:pt idx="124">
                  <c:v>100.48117154811713</c:v>
                </c:pt>
                <c:pt idx="125">
                  <c:v>100.61087866108785</c:v>
                </c:pt>
                <c:pt idx="126">
                  <c:v>100.71966527196651</c:v>
                </c:pt>
                <c:pt idx="127">
                  <c:v>100.70083682008367</c:v>
                </c:pt>
                <c:pt idx="128">
                  <c:v>100.41841004184099</c:v>
                </c:pt>
                <c:pt idx="129">
                  <c:v>100.91213389121337</c:v>
                </c:pt>
                <c:pt idx="130">
                  <c:v>101.01255230125521</c:v>
                </c:pt>
                <c:pt idx="131">
                  <c:v>101.11506276150625</c:v>
                </c:pt>
                <c:pt idx="132">
                  <c:v>101.27615062761505</c:v>
                </c:pt>
                <c:pt idx="133">
                  <c:v>101.27615062761505</c:v>
                </c:pt>
                <c:pt idx="134">
                  <c:v>101.58577405857739</c:v>
                </c:pt>
                <c:pt idx="135">
                  <c:v>101.61715481171547</c:v>
                </c:pt>
                <c:pt idx="136">
                  <c:v>101.61087866108785</c:v>
                </c:pt>
                <c:pt idx="137">
                  <c:v>101.38075313807531</c:v>
                </c:pt>
                <c:pt idx="138">
                  <c:v>101.15062761506275</c:v>
                </c:pt>
                <c:pt idx="139">
                  <c:v>100.97071129707112</c:v>
                </c:pt>
                <c:pt idx="140">
                  <c:v>100.75732217573221</c:v>
                </c:pt>
                <c:pt idx="141">
                  <c:v>100.75313807531381</c:v>
                </c:pt>
                <c:pt idx="142">
                  <c:v>100.418410041841</c:v>
                </c:pt>
                <c:pt idx="143">
                  <c:v>101.07740585774057</c:v>
                </c:pt>
                <c:pt idx="144">
                  <c:v>101.29497907949791</c:v>
                </c:pt>
                <c:pt idx="145">
                  <c:v>101.31380753138075</c:v>
                </c:pt>
                <c:pt idx="146">
                  <c:v>101.24476987447699</c:v>
                </c:pt>
                <c:pt idx="147">
                  <c:v>101.17991631799163</c:v>
                </c:pt>
                <c:pt idx="148">
                  <c:v>101.12970711297071</c:v>
                </c:pt>
                <c:pt idx="149">
                  <c:v>101.28870292887029</c:v>
                </c:pt>
                <c:pt idx="150">
                  <c:v>101.32426778242677</c:v>
                </c:pt>
                <c:pt idx="151">
                  <c:v>101.42259414225941</c:v>
                </c:pt>
                <c:pt idx="152">
                  <c:v>101.31799163179917</c:v>
                </c:pt>
                <c:pt idx="153">
                  <c:v>101.36401673640168</c:v>
                </c:pt>
                <c:pt idx="154">
                  <c:v>101.28661087866109</c:v>
                </c:pt>
                <c:pt idx="155">
                  <c:v>101.25523012552303</c:v>
                </c:pt>
                <c:pt idx="156">
                  <c:v>101.30334728033475</c:v>
                </c:pt>
                <c:pt idx="157">
                  <c:v>101.31799163179917</c:v>
                </c:pt>
                <c:pt idx="158">
                  <c:v>101.25523012552303</c:v>
                </c:pt>
                <c:pt idx="159">
                  <c:v>101.28661087866109</c:v>
                </c:pt>
                <c:pt idx="160">
                  <c:v>101.21966527196653</c:v>
                </c:pt>
                <c:pt idx="161">
                  <c:v>101.17782426778244</c:v>
                </c:pt>
                <c:pt idx="162">
                  <c:v>101.08995815899583</c:v>
                </c:pt>
                <c:pt idx="163">
                  <c:v>101.10460251046027</c:v>
                </c:pt>
                <c:pt idx="164">
                  <c:v>101.19246861924688</c:v>
                </c:pt>
                <c:pt idx="165">
                  <c:v>101.26569037656905</c:v>
                </c:pt>
                <c:pt idx="166">
                  <c:v>101.30753138075315</c:v>
                </c:pt>
                <c:pt idx="167">
                  <c:v>101.40376569037657</c:v>
                </c:pt>
                <c:pt idx="168">
                  <c:v>101.70502092050209</c:v>
                </c:pt>
                <c:pt idx="169">
                  <c:v>101.67991631799163</c:v>
                </c:pt>
                <c:pt idx="170">
                  <c:v>101.72384937238495</c:v>
                </c:pt>
                <c:pt idx="171">
                  <c:v>101.71548117154812</c:v>
                </c:pt>
                <c:pt idx="172">
                  <c:v>101.64435146443516</c:v>
                </c:pt>
                <c:pt idx="173">
                  <c:v>101.73430962343099</c:v>
                </c:pt>
                <c:pt idx="174">
                  <c:v>101.77405857740588</c:v>
                </c:pt>
                <c:pt idx="175">
                  <c:v>101.88284518828455</c:v>
                </c:pt>
                <c:pt idx="176">
                  <c:v>101.88702928870296</c:v>
                </c:pt>
                <c:pt idx="177">
                  <c:v>101.99790794979083</c:v>
                </c:pt>
                <c:pt idx="178">
                  <c:v>102.05230125523016</c:v>
                </c:pt>
                <c:pt idx="179">
                  <c:v>101.94560669456071</c:v>
                </c:pt>
                <c:pt idx="180">
                  <c:v>101.81380753138079</c:v>
                </c:pt>
                <c:pt idx="181">
                  <c:v>101.54184100418414</c:v>
                </c:pt>
                <c:pt idx="182">
                  <c:v>101.04602510460255</c:v>
                </c:pt>
                <c:pt idx="183">
                  <c:v>101.23640167364022</c:v>
                </c:pt>
                <c:pt idx="184">
                  <c:v>101.12970711297075</c:v>
                </c:pt>
                <c:pt idx="185">
                  <c:v>101.30753138075318</c:v>
                </c:pt>
                <c:pt idx="186">
                  <c:v>101.30962343096238</c:v>
                </c:pt>
                <c:pt idx="187">
                  <c:v>101.31589958159</c:v>
                </c:pt>
                <c:pt idx="188">
                  <c:v>101.34309623430967</c:v>
                </c:pt>
                <c:pt idx="189">
                  <c:v>101.32217573221762</c:v>
                </c:pt>
                <c:pt idx="190">
                  <c:v>101.31171548117159</c:v>
                </c:pt>
                <c:pt idx="191">
                  <c:v>101.3933054393306</c:v>
                </c:pt>
                <c:pt idx="192">
                  <c:v>101.25523012552307</c:v>
                </c:pt>
                <c:pt idx="193">
                  <c:v>101.29707112970718</c:v>
                </c:pt>
                <c:pt idx="194">
                  <c:v>101.56903765690383</c:v>
                </c:pt>
                <c:pt idx="195">
                  <c:v>102.0083682008369</c:v>
                </c:pt>
                <c:pt idx="196">
                  <c:v>102.0083682008369</c:v>
                </c:pt>
                <c:pt idx="197">
                  <c:v>102.33054393305446</c:v>
                </c:pt>
                <c:pt idx="198">
                  <c:v>102.33682008368208</c:v>
                </c:pt>
                <c:pt idx="199">
                  <c:v>101.88284518828459</c:v>
                </c:pt>
                <c:pt idx="200">
                  <c:v>102.30125523012561</c:v>
                </c:pt>
                <c:pt idx="201">
                  <c:v>102.22803347280343</c:v>
                </c:pt>
                <c:pt idx="202">
                  <c:v>102.50836820083691</c:v>
                </c:pt>
                <c:pt idx="203">
                  <c:v>102.58158995815909</c:v>
                </c:pt>
                <c:pt idx="204">
                  <c:v>102.65271966527206</c:v>
                </c:pt>
                <c:pt idx="205">
                  <c:v>102.05020920502101</c:v>
                </c:pt>
                <c:pt idx="206">
                  <c:v>102.51046025104611</c:v>
                </c:pt>
                <c:pt idx="207">
                  <c:v>102.99790794979087</c:v>
                </c:pt>
                <c:pt idx="208">
                  <c:v>103.21548117154821</c:v>
                </c:pt>
                <c:pt idx="209">
                  <c:v>103.20292887029298</c:v>
                </c:pt>
                <c:pt idx="210">
                  <c:v>103.13807531380762</c:v>
                </c:pt>
                <c:pt idx="211">
                  <c:v>102.97907949790803</c:v>
                </c:pt>
                <c:pt idx="212">
                  <c:v>102.95397489539756</c:v>
                </c:pt>
                <c:pt idx="213">
                  <c:v>102.86610878661095</c:v>
                </c:pt>
                <c:pt idx="214">
                  <c:v>102.96025104602518</c:v>
                </c:pt>
                <c:pt idx="215">
                  <c:v>103.05439330543942</c:v>
                </c:pt>
                <c:pt idx="216">
                  <c:v>103.0878661087867</c:v>
                </c:pt>
                <c:pt idx="217">
                  <c:v>103.06694560669466</c:v>
                </c:pt>
                <c:pt idx="218">
                  <c:v>103.02301255230134</c:v>
                </c:pt>
                <c:pt idx="219">
                  <c:v>103.11087866108795</c:v>
                </c:pt>
                <c:pt idx="220">
                  <c:v>103.07949790794987</c:v>
                </c:pt>
                <c:pt idx="221">
                  <c:v>102.7196652719666</c:v>
                </c:pt>
                <c:pt idx="222">
                  <c:v>102.9288702928871</c:v>
                </c:pt>
                <c:pt idx="223">
                  <c:v>103.29707112970718</c:v>
                </c:pt>
                <c:pt idx="224">
                  <c:v>103.46861924686199</c:v>
                </c:pt>
                <c:pt idx="225">
                  <c:v>103.54393305439338</c:v>
                </c:pt>
                <c:pt idx="226">
                  <c:v>103.1380753138076</c:v>
                </c:pt>
                <c:pt idx="227">
                  <c:v>103.1380753138076</c:v>
                </c:pt>
                <c:pt idx="228">
                  <c:v>103.45188284518835</c:v>
                </c:pt>
                <c:pt idx="229">
                  <c:v>103.87029288702935</c:v>
                </c:pt>
                <c:pt idx="230">
                  <c:v>103.87029288702935</c:v>
                </c:pt>
                <c:pt idx="231">
                  <c:v>103.87029288702935</c:v>
                </c:pt>
                <c:pt idx="232">
                  <c:v>103.5564853556486</c:v>
                </c:pt>
                <c:pt idx="233">
                  <c:v>105.64853556485363</c:v>
                </c:pt>
                <c:pt idx="234">
                  <c:v>105.33472803347289</c:v>
                </c:pt>
                <c:pt idx="235">
                  <c:v>105.33472803347289</c:v>
                </c:pt>
                <c:pt idx="236">
                  <c:v>105.33472803347289</c:v>
                </c:pt>
                <c:pt idx="237">
                  <c:v>105.85355648535574</c:v>
                </c:pt>
                <c:pt idx="238">
                  <c:v>105.96234309623439</c:v>
                </c:pt>
                <c:pt idx="239">
                  <c:v>105.96234309623439</c:v>
                </c:pt>
                <c:pt idx="240">
                  <c:v>106.38075313807539</c:v>
                </c:pt>
                <c:pt idx="241">
                  <c:v>106.38075313807539</c:v>
                </c:pt>
                <c:pt idx="242">
                  <c:v>106.69456066945614</c:v>
                </c:pt>
                <c:pt idx="243">
                  <c:v>106.90376569037664</c:v>
                </c:pt>
                <c:pt idx="244">
                  <c:v>107.32217573221764</c:v>
                </c:pt>
                <c:pt idx="245">
                  <c:v>107.11297071129714</c:v>
                </c:pt>
                <c:pt idx="246">
                  <c:v>108.6820083682009</c:v>
                </c:pt>
                <c:pt idx="247">
                  <c:v>108.6820083682009</c:v>
                </c:pt>
                <c:pt idx="248">
                  <c:v>108.78661087866114</c:v>
                </c:pt>
                <c:pt idx="249">
                  <c:v>108.6820083682009</c:v>
                </c:pt>
                <c:pt idx="250">
                  <c:v>108.6820083682009</c:v>
                </c:pt>
                <c:pt idx="251">
                  <c:v>108.6820083682009</c:v>
                </c:pt>
                <c:pt idx="252">
                  <c:v>108.6820083682009</c:v>
                </c:pt>
                <c:pt idx="253">
                  <c:v>108.6820083682009</c:v>
                </c:pt>
                <c:pt idx="254">
                  <c:v>108.6820083682009</c:v>
                </c:pt>
                <c:pt idx="255">
                  <c:v>108.6820083682009</c:v>
                </c:pt>
                <c:pt idx="256">
                  <c:v>108.6820083682009</c:v>
                </c:pt>
                <c:pt idx="257">
                  <c:v>108.6820083682009</c:v>
                </c:pt>
                <c:pt idx="258">
                  <c:v>108.6820083682009</c:v>
                </c:pt>
                <c:pt idx="259">
                  <c:v>108.6820083682009</c:v>
                </c:pt>
                <c:pt idx="260">
                  <c:v>108.57740585774064</c:v>
                </c:pt>
                <c:pt idx="261">
                  <c:v>108.78661087866115</c:v>
                </c:pt>
                <c:pt idx="262">
                  <c:v>109.11924686192475</c:v>
                </c:pt>
                <c:pt idx="263">
                  <c:v>108.6820083682009</c:v>
                </c:pt>
                <c:pt idx="264">
                  <c:v>109.1004184100419</c:v>
                </c:pt>
                <c:pt idx="265">
                  <c:v>109.3096234309624</c:v>
                </c:pt>
                <c:pt idx="266">
                  <c:v>109.72803347280342</c:v>
                </c:pt>
                <c:pt idx="267">
                  <c:v>109.70711297071136</c:v>
                </c:pt>
                <c:pt idx="268">
                  <c:v>109.10460251046031</c:v>
                </c:pt>
                <c:pt idx="269">
                  <c:v>109.03556485355656</c:v>
                </c:pt>
                <c:pt idx="270">
                  <c:v>109.02719665271974</c:v>
                </c:pt>
                <c:pt idx="271">
                  <c:v>108.40794979079507</c:v>
                </c:pt>
                <c:pt idx="272">
                  <c:v>108.34518828451891</c:v>
                </c:pt>
                <c:pt idx="273">
                  <c:v>108.2510460251047</c:v>
                </c:pt>
                <c:pt idx="274">
                  <c:v>108.2510460251047</c:v>
                </c:pt>
                <c:pt idx="275">
                  <c:v>108.15899581589966</c:v>
                </c:pt>
                <c:pt idx="276">
                  <c:v>108.19246861924694</c:v>
                </c:pt>
                <c:pt idx="277">
                  <c:v>108.19246861924694</c:v>
                </c:pt>
                <c:pt idx="278">
                  <c:v>108.15899581589967</c:v>
                </c:pt>
                <c:pt idx="279">
                  <c:v>108.34309623430971</c:v>
                </c:pt>
                <c:pt idx="280">
                  <c:v>108.41004184100429</c:v>
                </c:pt>
                <c:pt idx="281">
                  <c:v>108.60878661087875</c:v>
                </c:pt>
                <c:pt idx="282">
                  <c:v>108.70292887029299</c:v>
                </c:pt>
                <c:pt idx="283">
                  <c:v>108.78661087866119</c:v>
                </c:pt>
                <c:pt idx="284">
                  <c:v>108.78661087866119</c:v>
                </c:pt>
                <c:pt idx="285">
                  <c:v>109.12133891213401</c:v>
                </c:pt>
                <c:pt idx="286">
                  <c:v>109.23221757322186</c:v>
                </c:pt>
                <c:pt idx="287">
                  <c:v>109.42887029288715</c:v>
                </c:pt>
                <c:pt idx="288">
                  <c:v>109.47280334728043</c:v>
                </c:pt>
                <c:pt idx="289">
                  <c:v>109.53974895397501</c:v>
                </c:pt>
                <c:pt idx="290">
                  <c:v>109.60669456066955</c:v>
                </c:pt>
                <c:pt idx="291">
                  <c:v>109.48326359832647</c:v>
                </c:pt>
                <c:pt idx="292">
                  <c:v>109.48326359832647</c:v>
                </c:pt>
                <c:pt idx="293">
                  <c:v>109.51464435146454</c:v>
                </c:pt>
                <c:pt idx="294">
                  <c:v>109.41422594142269</c:v>
                </c:pt>
                <c:pt idx="295">
                  <c:v>109.51882845188294</c:v>
                </c:pt>
                <c:pt idx="296">
                  <c:v>109.62343096234318</c:v>
                </c:pt>
                <c:pt idx="297">
                  <c:v>110.03556485355658</c:v>
                </c:pt>
                <c:pt idx="298">
                  <c:v>109.93723849372394</c:v>
                </c:pt>
                <c:pt idx="299">
                  <c:v>110.04184100418419</c:v>
                </c:pt>
                <c:pt idx="300">
                  <c:v>109.72803347280343</c:v>
                </c:pt>
                <c:pt idx="301">
                  <c:v>109.41422594142269</c:v>
                </c:pt>
                <c:pt idx="302">
                  <c:v>109.61924686192479</c:v>
                </c:pt>
                <c:pt idx="303">
                  <c:v>109.71966527196663</c:v>
                </c:pt>
                <c:pt idx="304">
                  <c:v>109.71966527196663</c:v>
                </c:pt>
                <c:pt idx="305">
                  <c:v>109.68410041841014</c:v>
                </c:pt>
                <c:pt idx="306">
                  <c:v>109.51882845188295</c:v>
                </c:pt>
                <c:pt idx="307">
                  <c:v>109.72803347280346</c:v>
                </c:pt>
                <c:pt idx="308">
                  <c:v>109.72803347280346</c:v>
                </c:pt>
                <c:pt idx="309">
                  <c:v>109.83263598326371</c:v>
                </c:pt>
                <c:pt idx="310">
                  <c:v>109.83263598326371</c:v>
                </c:pt>
                <c:pt idx="311">
                  <c:v>110.18619246861938</c:v>
                </c:pt>
                <c:pt idx="312">
                  <c:v>109.93723849372397</c:v>
                </c:pt>
                <c:pt idx="313">
                  <c:v>109.93723849372397</c:v>
                </c:pt>
                <c:pt idx="314">
                  <c:v>109.93723849372397</c:v>
                </c:pt>
                <c:pt idx="315">
                  <c:v>109.93723849372397</c:v>
                </c:pt>
                <c:pt idx="316">
                  <c:v>110.04184100418422</c:v>
                </c:pt>
                <c:pt idx="317">
                  <c:v>109.83263598326371</c:v>
                </c:pt>
                <c:pt idx="318">
                  <c:v>110.14644351464447</c:v>
                </c:pt>
                <c:pt idx="319">
                  <c:v>110.35564853556497</c:v>
                </c:pt>
                <c:pt idx="320">
                  <c:v>110.46025104602521</c:v>
                </c:pt>
                <c:pt idx="321">
                  <c:v>110.56485355648546</c:v>
                </c:pt>
                <c:pt idx="322">
                  <c:v>110.77405857740595</c:v>
                </c:pt>
                <c:pt idx="323">
                  <c:v>110.98326359832646</c:v>
                </c:pt>
                <c:pt idx="324">
                  <c:v>111.19246861924695</c:v>
                </c:pt>
                <c:pt idx="325">
                  <c:v>111.19246861924695</c:v>
                </c:pt>
                <c:pt idx="326">
                  <c:v>111.71548117154821</c:v>
                </c:pt>
                <c:pt idx="327">
                  <c:v>111.71548117154821</c:v>
                </c:pt>
                <c:pt idx="328">
                  <c:v>111.25104602510469</c:v>
                </c:pt>
                <c:pt idx="329">
                  <c:v>111.25104602510469</c:v>
                </c:pt>
                <c:pt idx="330">
                  <c:v>108.57740585774067</c:v>
                </c:pt>
                <c:pt idx="331">
                  <c:v>108.43933054393315</c:v>
                </c:pt>
                <c:pt idx="332">
                  <c:v>108.82845188284529</c:v>
                </c:pt>
                <c:pt idx="333">
                  <c:v>109.03765690376578</c:v>
                </c:pt>
                <c:pt idx="334">
                  <c:v>109.03974895397498</c:v>
                </c:pt>
                <c:pt idx="335">
                  <c:v>108.9707112970712</c:v>
                </c:pt>
                <c:pt idx="336">
                  <c:v>109.04184100418418</c:v>
                </c:pt>
                <c:pt idx="337">
                  <c:v>108.99581589958167</c:v>
                </c:pt>
                <c:pt idx="338">
                  <c:v>108.97071129707122</c:v>
                </c:pt>
                <c:pt idx="339">
                  <c:v>108.36820083682017</c:v>
                </c:pt>
                <c:pt idx="340">
                  <c:v>108.6380753138076</c:v>
                </c:pt>
                <c:pt idx="341">
                  <c:v>108.53765690376575</c:v>
                </c:pt>
                <c:pt idx="342">
                  <c:v>108.70711297071136</c:v>
                </c:pt>
                <c:pt idx="343">
                  <c:v>108.72175732217582</c:v>
                </c:pt>
                <c:pt idx="344">
                  <c:v>108.70920502092058</c:v>
                </c:pt>
                <c:pt idx="345">
                  <c:v>108.7615062761507</c:v>
                </c:pt>
                <c:pt idx="346">
                  <c:v>108.7615062761507</c:v>
                </c:pt>
                <c:pt idx="347">
                  <c:v>108.88075313807539</c:v>
                </c:pt>
                <c:pt idx="348">
                  <c:v>108.88075313807539</c:v>
                </c:pt>
                <c:pt idx="349">
                  <c:v>109.07322175732224</c:v>
                </c:pt>
                <c:pt idx="350">
                  <c:v>109.01673640167371</c:v>
                </c:pt>
                <c:pt idx="351">
                  <c:v>109.05230125523018</c:v>
                </c:pt>
                <c:pt idx="352">
                  <c:v>109.2259414225942</c:v>
                </c:pt>
                <c:pt idx="353">
                  <c:v>109.0962343096235</c:v>
                </c:pt>
                <c:pt idx="354">
                  <c:v>108.9769874476988</c:v>
                </c:pt>
                <c:pt idx="355">
                  <c:v>108.90167364016742</c:v>
                </c:pt>
                <c:pt idx="356">
                  <c:v>108.72803347280342</c:v>
                </c:pt>
                <c:pt idx="357">
                  <c:v>108.73221757322182</c:v>
                </c:pt>
                <c:pt idx="358">
                  <c:v>108.69037656903771</c:v>
                </c:pt>
                <c:pt idx="359">
                  <c:v>108.69874476987455</c:v>
                </c:pt>
                <c:pt idx="360">
                  <c:v>108.69246861924692</c:v>
                </c:pt>
                <c:pt idx="361">
                  <c:v>108.71966527196659</c:v>
                </c:pt>
                <c:pt idx="362">
                  <c:v>108.74058577405864</c:v>
                </c:pt>
                <c:pt idx="363">
                  <c:v>108.74058577405864</c:v>
                </c:pt>
                <c:pt idx="364">
                  <c:v>108.70502092050216</c:v>
                </c:pt>
                <c:pt idx="365">
                  <c:v>108.71757322175738</c:v>
                </c:pt>
                <c:pt idx="366">
                  <c:v>108.71338912133898</c:v>
                </c:pt>
                <c:pt idx="367">
                  <c:v>108.61924686192476</c:v>
                </c:pt>
                <c:pt idx="368">
                  <c:v>108.58158995815906</c:v>
                </c:pt>
                <c:pt idx="369">
                  <c:v>108.58368200836826</c:v>
                </c:pt>
                <c:pt idx="370">
                  <c:v>108.54184100418416</c:v>
                </c:pt>
                <c:pt idx="371">
                  <c:v>108.48744769874483</c:v>
                </c:pt>
                <c:pt idx="372">
                  <c:v>108.42677824267787</c:v>
                </c:pt>
                <c:pt idx="373">
                  <c:v>108.28661087866114</c:v>
                </c:pt>
                <c:pt idx="374">
                  <c:v>107.94769874476992</c:v>
                </c:pt>
                <c:pt idx="375">
                  <c:v>107.67364016736406</c:v>
                </c:pt>
                <c:pt idx="376">
                  <c:v>107.50418410041846</c:v>
                </c:pt>
                <c:pt idx="377">
                  <c:v>107.34518828451887</c:v>
                </c:pt>
                <c:pt idx="378">
                  <c:v>107.26569037656908</c:v>
                </c:pt>
                <c:pt idx="379">
                  <c:v>107.17364016736406</c:v>
                </c:pt>
                <c:pt idx="380">
                  <c:v>107.12343096234314</c:v>
                </c:pt>
                <c:pt idx="381">
                  <c:v>106.69456066945611</c:v>
                </c:pt>
                <c:pt idx="382">
                  <c:v>106.04602510460255</c:v>
                </c:pt>
                <c:pt idx="383">
                  <c:v>104.26359832635988</c:v>
                </c:pt>
                <c:pt idx="384">
                  <c:v>103.7301255230126</c:v>
                </c:pt>
                <c:pt idx="385">
                  <c:v>103.42468619246867</c:v>
                </c:pt>
                <c:pt idx="386">
                  <c:v>103.52719665271972</c:v>
                </c:pt>
                <c:pt idx="387">
                  <c:v>103.52301255230131</c:v>
                </c:pt>
                <c:pt idx="388">
                  <c:v>103.44979079497914</c:v>
                </c:pt>
                <c:pt idx="389">
                  <c:v>103.44979079497914</c:v>
                </c:pt>
                <c:pt idx="390">
                  <c:v>103.47071129707119</c:v>
                </c:pt>
                <c:pt idx="391">
                  <c:v>103.3912133891214</c:v>
                </c:pt>
                <c:pt idx="392">
                  <c:v>103.4267782426779</c:v>
                </c:pt>
                <c:pt idx="393">
                  <c:v>103.5083682008369</c:v>
                </c:pt>
                <c:pt idx="394">
                  <c:v>103.55648535564862</c:v>
                </c:pt>
                <c:pt idx="395">
                  <c:v>103.5899581589959</c:v>
                </c:pt>
                <c:pt idx="396">
                  <c:v>103.47489539748962</c:v>
                </c:pt>
                <c:pt idx="397">
                  <c:v>103.43933054393312</c:v>
                </c:pt>
                <c:pt idx="398">
                  <c:v>103.30125523012559</c:v>
                </c:pt>
                <c:pt idx="399">
                  <c:v>103.29497907949798</c:v>
                </c:pt>
                <c:pt idx="400">
                  <c:v>102.54184100418416</c:v>
                </c:pt>
                <c:pt idx="401">
                  <c:v>101.79288702928878</c:v>
                </c:pt>
                <c:pt idx="402">
                  <c:v>101.13389121338921</c:v>
                </c:pt>
                <c:pt idx="403">
                  <c:v>100.9246861924687</c:v>
                </c:pt>
                <c:pt idx="404">
                  <c:v>100.73640167364024</c:v>
                </c:pt>
                <c:pt idx="405">
                  <c:v>101.46443514644359</c:v>
                </c:pt>
                <c:pt idx="406">
                  <c:v>100.69456066945614</c:v>
                </c:pt>
                <c:pt idx="407">
                  <c:v>100.69456066945614</c:v>
                </c:pt>
                <c:pt idx="408">
                  <c:v>101.51464435146451</c:v>
                </c:pt>
                <c:pt idx="409">
                  <c:v>101.92259414225948</c:v>
                </c:pt>
                <c:pt idx="410">
                  <c:v>102.49581589958167</c:v>
                </c:pt>
                <c:pt idx="411">
                  <c:v>101.88284518828461</c:v>
                </c:pt>
                <c:pt idx="412">
                  <c:v>103.00209205020928</c:v>
                </c:pt>
                <c:pt idx="413">
                  <c:v>102.84937238493731</c:v>
                </c:pt>
                <c:pt idx="414">
                  <c:v>102.57112970711306</c:v>
                </c:pt>
                <c:pt idx="415">
                  <c:v>102.43514644351472</c:v>
                </c:pt>
                <c:pt idx="416">
                  <c:v>102.52510460251054</c:v>
                </c:pt>
                <c:pt idx="417">
                  <c:v>102.66736401673649</c:v>
                </c:pt>
                <c:pt idx="418">
                  <c:v>102.77405857740594</c:v>
                </c:pt>
                <c:pt idx="419">
                  <c:v>102.82845188284526</c:v>
                </c:pt>
                <c:pt idx="420">
                  <c:v>102.74895397489547</c:v>
                </c:pt>
                <c:pt idx="421">
                  <c:v>102.52719665271974</c:v>
                </c:pt>
                <c:pt idx="422">
                  <c:v>102.44560669456075</c:v>
                </c:pt>
                <c:pt idx="423">
                  <c:v>102.30125523012561</c:v>
                </c:pt>
                <c:pt idx="424">
                  <c:v>102.41841004184108</c:v>
                </c:pt>
                <c:pt idx="425">
                  <c:v>102.5062761506277</c:v>
                </c:pt>
                <c:pt idx="426">
                  <c:v>102.77824267782435</c:v>
                </c:pt>
                <c:pt idx="427">
                  <c:v>102.94142259414234</c:v>
                </c:pt>
                <c:pt idx="428">
                  <c:v>103.07740585774066</c:v>
                </c:pt>
                <c:pt idx="429">
                  <c:v>103.03138075313815</c:v>
                </c:pt>
                <c:pt idx="430">
                  <c:v>102.95397489539756</c:v>
                </c:pt>
                <c:pt idx="431">
                  <c:v>103.0543933054394</c:v>
                </c:pt>
                <c:pt idx="432">
                  <c:v>103.04184100418418</c:v>
                </c:pt>
                <c:pt idx="433">
                  <c:v>103.06485355648543</c:v>
                </c:pt>
                <c:pt idx="434">
                  <c:v>103.06485355648543</c:v>
                </c:pt>
                <c:pt idx="435">
                  <c:v>103.06485355648543</c:v>
                </c:pt>
                <c:pt idx="436">
                  <c:v>103.06694560669465</c:v>
                </c:pt>
                <c:pt idx="437">
                  <c:v>102.96443514644361</c:v>
                </c:pt>
                <c:pt idx="438">
                  <c:v>102.89748953974905</c:v>
                </c:pt>
                <c:pt idx="439">
                  <c:v>102.69456066945617</c:v>
                </c:pt>
                <c:pt idx="440">
                  <c:v>102.34100418410053</c:v>
                </c:pt>
                <c:pt idx="441">
                  <c:v>101.67364016736413</c:v>
                </c:pt>
                <c:pt idx="442">
                  <c:v>101.61087866108798</c:v>
                </c:pt>
                <c:pt idx="443">
                  <c:v>102.30125523012565</c:v>
                </c:pt>
                <c:pt idx="444">
                  <c:v>101.44979079497919</c:v>
                </c:pt>
                <c:pt idx="445">
                  <c:v>101.44979079497918</c:v>
                </c:pt>
                <c:pt idx="446">
                  <c:v>101.30753138075323</c:v>
                </c:pt>
                <c:pt idx="447">
                  <c:v>101.62133891213399</c:v>
                </c:pt>
                <c:pt idx="448">
                  <c:v>102.11297071129718</c:v>
                </c:pt>
                <c:pt idx="449">
                  <c:v>102.30125523012563</c:v>
                </c:pt>
                <c:pt idx="450">
                  <c:v>102.21757322175743</c:v>
                </c:pt>
                <c:pt idx="451">
                  <c:v>102.09205020920513</c:v>
                </c:pt>
                <c:pt idx="452">
                  <c:v>101.98744769874487</c:v>
                </c:pt>
                <c:pt idx="453">
                  <c:v>102.09205020920513</c:v>
                </c:pt>
                <c:pt idx="454">
                  <c:v>102.05020920502103</c:v>
                </c:pt>
                <c:pt idx="455">
                  <c:v>102.05020920502103</c:v>
                </c:pt>
                <c:pt idx="456">
                  <c:v>102.05020920502103</c:v>
                </c:pt>
                <c:pt idx="457">
                  <c:v>101.58995815899593</c:v>
                </c:pt>
                <c:pt idx="458">
                  <c:v>101.58995815899593</c:v>
                </c:pt>
                <c:pt idx="459">
                  <c:v>101.58995815899593</c:v>
                </c:pt>
                <c:pt idx="460">
                  <c:v>99.341004184100527</c:v>
                </c:pt>
                <c:pt idx="461">
                  <c:v>99.38284518828462</c:v>
                </c:pt>
                <c:pt idx="462">
                  <c:v>99.4979079497909</c:v>
                </c:pt>
                <c:pt idx="463">
                  <c:v>99.665271966527285</c:v>
                </c:pt>
                <c:pt idx="464">
                  <c:v>99.581589958159086</c:v>
                </c:pt>
                <c:pt idx="465">
                  <c:v>99.288702928870393</c:v>
                </c:pt>
                <c:pt idx="466">
                  <c:v>99.372384937238593</c:v>
                </c:pt>
                <c:pt idx="467">
                  <c:v>99.288702928870393</c:v>
                </c:pt>
                <c:pt idx="468">
                  <c:v>99.278242677824366</c:v>
                </c:pt>
                <c:pt idx="469">
                  <c:v>99.571129707113059</c:v>
                </c:pt>
                <c:pt idx="470">
                  <c:v>99.205020920502179</c:v>
                </c:pt>
                <c:pt idx="471">
                  <c:v>99.194560669456152</c:v>
                </c:pt>
                <c:pt idx="472">
                  <c:v>99.246861924686286</c:v>
                </c:pt>
                <c:pt idx="473">
                  <c:v>99.205020920502193</c:v>
                </c:pt>
                <c:pt idx="474">
                  <c:v>99.3305439330545</c:v>
                </c:pt>
                <c:pt idx="475">
                  <c:v>99.372384937238593</c:v>
                </c:pt>
                <c:pt idx="476">
                  <c:v>99.3305439330545</c:v>
                </c:pt>
                <c:pt idx="477">
                  <c:v>99.309623430962446</c:v>
                </c:pt>
                <c:pt idx="478">
                  <c:v>99.225941422594246</c:v>
                </c:pt>
                <c:pt idx="479">
                  <c:v>99.121338912134007</c:v>
                </c:pt>
                <c:pt idx="480">
                  <c:v>99.115062761506394</c:v>
                </c:pt>
                <c:pt idx="481">
                  <c:v>99.079497907949929</c:v>
                </c:pt>
                <c:pt idx="482">
                  <c:v>98.870292887029422</c:v>
                </c:pt>
                <c:pt idx="483">
                  <c:v>98.849372384937368</c:v>
                </c:pt>
                <c:pt idx="484">
                  <c:v>98.845188284518969</c:v>
                </c:pt>
                <c:pt idx="485">
                  <c:v>98.891213389121475</c:v>
                </c:pt>
                <c:pt idx="486">
                  <c:v>99.016736401673782</c:v>
                </c:pt>
                <c:pt idx="487">
                  <c:v>99.058577405857875</c:v>
                </c:pt>
                <c:pt idx="488">
                  <c:v>99.184100418410182</c:v>
                </c:pt>
                <c:pt idx="489">
                  <c:v>99.142259414226075</c:v>
                </c:pt>
                <c:pt idx="490">
                  <c:v>99.100418410041968</c:v>
                </c:pt>
                <c:pt idx="491">
                  <c:v>99.163179916318114</c:v>
                </c:pt>
                <c:pt idx="492">
                  <c:v>100.20920502092062</c:v>
                </c:pt>
                <c:pt idx="493">
                  <c:v>100.73221757322187</c:v>
                </c:pt>
                <c:pt idx="494">
                  <c:v>100.73221757322187</c:v>
                </c:pt>
                <c:pt idx="495">
                  <c:v>101.51673640167375</c:v>
                </c:pt>
                <c:pt idx="496">
                  <c:v>101.56903765690387</c:v>
                </c:pt>
                <c:pt idx="497">
                  <c:v>101.88284518828462</c:v>
                </c:pt>
                <c:pt idx="498">
                  <c:v>102.09205020920513</c:v>
                </c:pt>
                <c:pt idx="499">
                  <c:v>102.40585774058587</c:v>
                </c:pt>
                <c:pt idx="500">
                  <c:v>102.51046025104613</c:v>
                </c:pt>
                <c:pt idx="501">
                  <c:v>102.92887029288713</c:v>
                </c:pt>
                <c:pt idx="502">
                  <c:v>103.03347280334738</c:v>
                </c:pt>
                <c:pt idx="503">
                  <c:v>103.34728033472814</c:v>
                </c:pt>
                <c:pt idx="504">
                  <c:v>103.13807531380765</c:v>
                </c:pt>
                <c:pt idx="505">
                  <c:v>103.17991631799174</c:v>
                </c:pt>
                <c:pt idx="506">
                  <c:v>102.67782426778254</c:v>
                </c:pt>
                <c:pt idx="507">
                  <c:v>102.84518828451895</c:v>
                </c:pt>
                <c:pt idx="508">
                  <c:v>102.84518828451895</c:v>
                </c:pt>
                <c:pt idx="509">
                  <c:v>102.8242677824269</c:v>
                </c:pt>
                <c:pt idx="510">
                  <c:v>102.81380753138087</c:v>
                </c:pt>
                <c:pt idx="511">
                  <c:v>102.71966527196665</c:v>
                </c:pt>
                <c:pt idx="512">
                  <c:v>102.8242677824269</c:v>
                </c:pt>
                <c:pt idx="513">
                  <c:v>102.82426778242689</c:v>
                </c:pt>
                <c:pt idx="514">
                  <c:v>102.80334728033483</c:v>
                </c:pt>
                <c:pt idx="515">
                  <c:v>100.17782426778254</c:v>
                </c:pt>
                <c:pt idx="516">
                  <c:v>100.0000000000001</c:v>
                </c:pt>
                <c:pt idx="517">
                  <c:v>100.20920502092061</c:v>
                </c:pt>
                <c:pt idx="518">
                  <c:v>100.18828451882855</c:v>
                </c:pt>
                <c:pt idx="519">
                  <c:v>100.20920502092061</c:v>
                </c:pt>
                <c:pt idx="520">
                  <c:v>100.41841004184111</c:v>
                </c:pt>
                <c:pt idx="521">
                  <c:v>100.41841004184111</c:v>
                </c:pt>
                <c:pt idx="522">
                  <c:v>100.73221757322186</c:v>
                </c:pt>
                <c:pt idx="523">
                  <c:v>100.31380753138086</c:v>
                </c:pt>
                <c:pt idx="524">
                  <c:v>100.31380753138086</c:v>
                </c:pt>
                <c:pt idx="525">
                  <c:v>100.52092050209217</c:v>
                </c:pt>
                <c:pt idx="526">
                  <c:v>100.31380753138086</c:v>
                </c:pt>
                <c:pt idx="527">
                  <c:v>100.39121338912145</c:v>
                </c:pt>
                <c:pt idx="528">
                  <c:v>100.39121338912145</c:v>
                </c:pt>
                <c:pt idx="529">
                  <c:v>100.52719665271977</c:v>
                </c:pt>
                <c:pt idx="530">
                  <c:v>100.55439330543943</c:v>
                </c:pt>
                <c:pt idx="531">
                  <c:v>100.55648535564865</c:v>
                </c:pt>
                <c:pt idx="532">
                  <c:v>100.31380753138086</c:v>
                </c:pt>
                <c:pt idx="533">
                  <c:v>100.55020920502102</c:v>
                </c:pt>
                <c:pt idx="534">
                  <c:v>100.68200836820094</c:v>
                </c:pt>
                <c:pt idx="535">
                  <c:v>100.72594142259425</c:v>
                </c:pt>
                <c:pt idx="536">
                  <c:v>100.41841004184111</c:v>
                </c:pt>
                <c:pt idx="537">
                  <c:v>100.41841004184111</c:v>
                </c:pt>
                <c:pt idx="538">
                  <c:v>100.41841004184111</c:v>
                </c:pt>
                <c:pt idx="539">
                  <c:v>100.41841004184111</c:v>
                </c:pt>
                <c:pt idx="540">
                  <c:v>100.47071129707123</c:v>
                </c:pt>
                <c:pt idx="541">
                  <c:v>100.41841004184111</c:v>
                </c:pt>
                <c:pt idx="542">
                  <c:v>100.54811715481182</c:v>
                </c:pt>
                <c:pt idx="543">
                  <c:v>100.31380753138086</c:v>
                </c:pt>
                <c:pt idx="544">
                  <c:v>99.686192468619353</c:v>
                </c:pt>
                <c:pt idx="545">
                  <c:v>100.02301255230137</c:v>
                </c:pt>
                <c:pt idx="546">
                  <c:v>100.00836820083694</c:v>
                </c:pt>
                <c:pt idx="547">
                  <c:v>99.790794979079607</c:v>
                </c:pt>
                <c:pt idx="548">
                  <c:v>99.790794979079607</c:v>
                </c:pt>
                <c:pt idx="549">
                  <c:v>99.895397489539846</c:v>
                </c:pt>
                <c:pt idx="550">
                  <c:v>99.895397489539832</c:v>
                </c:pt>
                <c:pt idx="551">
                  <c:v>99.790794979079593</c:v>
                </c:pt>
                <c:pt idx="552">
                  <c:v>99.790794979079593</c:v>
                </c:pt>
                <c:pt idx="553">
                  <c:v>99.790794979079593</c:v>
                </c:pt>
                <c:pt idx="554">
                  <c:v>99.581589958159086</c:v>
                </c:pt>
                <c:pt idx="555">
                  <c:v>99.686192468619339</c:v>
                </c:pt>
                <c:pt idx="556">
                  <c:v>99.790794979079593</c:v>
                </c:pt>
                <c:pt idx="557">
                  <c:v>100.4184100418411</c:v>
                </c:pt>
                <c:pt idx="558">
                  <c:v>100.31380753138085</c:v>
                </c:pt>
                <c:pt idx="559">
                  <c:v>101.35983263598335</c:v>
                </c:pt>
                <c:pt idx="560">
                  <c:v>102.77196652719675</c:v>
                </c:pt>
                <c:pt idx="561">
                  <c:v>103.66108786610889</c:v>
                </c:pt>
                <c:pt idx="562">
                  <c:v>105.03765690376578</c:v>
                </c:pt>
                <c:pt idx="563">
                  <c:v>106.52301255230135</c:v>
                </c:pt>
                <c:pt idx="564">
                  <c:v>106.52301255230135</c:v>
                </c:pt>
                <c:pt idx="565">
                  <c:v>106.98953974895407</c:v>
                </c:pt>
                <c:pt idx="566">
                  <c:v>107.74267782426787</c:v>
                </c:pt>
                <c:pt idx="567">
                  <c:v>108.21757322175741</c:v>
                </c:pt>
                <c:pt idx="568">
                  <c:v>107.52510460251055</c:v>
                </c:pt>
                <c:pt idx="569">
                  <c:v>106.05439330543942</c:v>
                </c:pt>
                <c:pt idx="570">
                  <c:v>104.19246861924695</c:v>
                </c:pt>
                <c:pt idx="571">
                  <c:v>102.30125523012561</c:v>
                </c:pt>
                <c:pt idx="572">
                  <c:v>102.00836820083691</c:v>
                </c:pt>
                <c:pt idx="573">
                  <c:v>102.04393305439338</c:v>
                </c:pt>
                <c:pt idx="574">
                  <c:v>102.06276150627623</c:v>
                </c:pt>
                <c:pt idx="575">
                  <c:v>102.12343096234316</c:v>
                </c:pt>
                <c:pt idx="576">
                  <c:v>102.12343096234316</c:v>
                </c:pt>
                <c:pt idx="577">
                  <c:v>102.36401673640174</c:v>
                </c:pt>
                <c:pt idx="578">
                  <c:v>102.37866108786616</c:v>
                </c:pt>
                <c:pt idx="579">
                  <c:v>102.38493723849376</c:v>
                </c:pt>
                <c:pt idx="580">
                  <c:v>101.83472803347284</c:v>
                </c:pt>
                <c:pt idx="581">
                  <c:v>101.44560669456071</c:v>
                </c:pt>
                <c:pt idx="582">
                  <c:v>101.20920502092052</c:v>
                </c:pt>
                <c:pt idx="583">
                  <c:v>100.86820083682011</c:v>
                </c:pt>
                <c:pt idx="584">
                  <c:v>100.54184100418412</c:v>
                </c:pt>
                <c:pt idx="585">
                  <c:v>100.07949790794981</c:v>
                </c:pt>
                <c:pt idx="586">
                  <c:v>99.564853556485374</c:v>
                </c:pt>
                <c:pt idx="587">
                  <c:v>99.307531380753147</c:v>
                </c:pt>
                <c:pt idx="588">
                  <c:v>99.129707112970721</c:v>
                </c:pt>
                <c:pt idx="589">
                  <c:v>98.771966527196668</c:v>
                </c:pt>
                <c:pt idx="590">
                  <c:v>98.625523012552321</c:v>
                </c:pt>
                <c:pt idx="591">
                  <c:v>98.433054393305454</c:v>
                </c:pt>
                <c:pt idx="592">
                  <c:v>98.399581589958174</c:v>
                </c:pt>
                <c:pt idx="593">
                  <c:v>98.290794979079493</c:v>
                </c:pt>
                <c:pt idx="594">
                  <c:v>97.95188284518828</c:v>
                </c:pt>
                <c:pt idx="595">
                  <c:v>97.65062761506276</c:v>
                </c:pt>
                <c:pt idx="596">
                  <c:v>97.54811715481172</c:v>
                </c:pt>
                <c:pt idx="597">
                  <c:v>97.389121338912133</c:v>
                </c:pt>
                <c:pt idx="598">
                  <c:v>96.677824267782427</c:v>
                </c:pt>
                <c:pt idx="599">
                  <c:v>96.020920502092054</c:v>
                </c:pt>
                <c:pt idx="600">
                  <c:v>95.328451882845187</c:v>
                </c:pt>
                <c:pt idx="601">
                  <c:v>94.61506276150628</c:v>
                </c:pt>
                <c:pt idx="602">
                  <c:v>93.859832635983267</c:v>
                </c:pt>
                <c:pt idx="603">
                  <c:v>94.098326359832654</c:v>
                </c:pt>
                <c:pt idx="604">
                  <c:v>94.901673640167388</c:v>
                </c:pt>
                <c:pt idx="605">
                  <c:v>96.964435146443549</c:v>
                </c:pt>
                <c:pt idx="606">
                  <c:v>96.966527196652748</c:v>
                </c:pt>
                <c:pt idx="607">
                  <c:v>99.027196652719695</c:v>
                </c:pt>
                <c:pt idx="608">
                  <c:v>98.669456066945628</c:v>
                </c:pt>
                <c:pt idx="609">
                  <c:v>97.462343096234335</c:v>
                </c:pt>
                <c:pt idx="610">
                  <c:v>96.052301255230148</c:v>
                </c:pt>
                <c:pt idx="611">
                  <c:v>95.175732217573241</c:v>
                </c:pt>
                <c:pt idx="612">
                  <c:v>94.976987447698761</c:v>
                </c:pt>
                <c:pt idx="613">
                  <c:v>94.949790794979094</c:v>
                </c:pt>
                <c:pt idx="614">
                  <c:v>95.500000000000014</c:v>
                </c:pt>
                <c:pt idx="615">
                  <c:v>95.89958158995816</c:v>
                </c:pt>
                <c:pt idx="616">
                  <c:v>95.397489539748946</c:v>
                </c:pt>
                <c:pt idx="617">
                  <c:v>95.131799163179906</c:v>
                </c:pt>
                <c:pt idx="618">
                  <c:v>94.497907949790772</c:v>
                </c:pt>
                <c:pt idx="619">
                  <c:v>94.081589958158972</c:v>
                </c:pt>
                <c:pt idx="620">
                  <c:v>93.341004184100413</c:v>
                </c:pt>
                <c:pt idx="621">
                  <c:v>93.55230125523012</c:v>
                </c:pt>
                <c:pt idx="622">
                  <c:v>93.552301255230134</c:v>
                </c:pt>
                <c:pt idx="623">
                  <c:v>93.552301255230134</c:v>
                </c:pt>
                <c:pt idx="624">
                  <c:v>93.020920502092054</c:v>
                </c:pt>
                <c:pt idx="625">
                  <c:v>93.020920502092054</c:v>
                </c:pt>
                <c:pt idx="626">
                  <c:v>91.872384937238493</c:v>
                </c:pt>
                <c:pt idx="627">
                  <c:v>91.343096234309627</c:v>
                </c:pt>
                <c:pt idx="628">
                  <c:v>90.558577405857747</c:v>
                </c:pt>
                <c:pt idx="629">
                  <c:v>89.9142259414226</c:v>
                </c:pt>
                <c:pt idx="630">
                  <c:v>89.089958158995827</c:v>
                </c:pt>
                <c:pt idx="631">
                  <c:v>88.064853556485346</c:v>
                </c:pt>
                <c:pt idx="632">
                  <c:v>87.372384937238493</c:v>
                </c:pt>
                <c:pt idx="633">
                  <c:v>87.579497907949786</c:v>
                </c:pt>
                <c:pt idx="634">
                  <c:v>88.581589958158986</c:v>
                </c:pt>
                <c:pt idx="635">
                  <c:v>88.581589958158986</c:v>
                </c:pt>
                <c:pt idx="636">
                  <c:v>88.76569037656904</c:v>
                </c:pt>
                <c:pt idx="637">
                  <c:v>88.765690376569026</c:v>
                </c:pt>
                <c:pt idx="638">
                  <c:v>87.031380753138066</c:v>
                </c:pt>
                <c:pt idx="639">
                  <c:v>86.112970711297066</c:v>
                </c:pt>
                <c:pt idx="640">
                  <c:v>85.73640167364016</c:v>
                </c:pt>
                <c:pt idx="641">
                  <c:v>85.263598326359826</c:v>
                </c:pt>
                <c:pt idx="642">
                  <c:v>87.866108786610866</c:v>
                </c:pt>
                <c:pt idx="643">
                  <c:v>85.228033472803332</c:v>
                </c:pt>
                <c:pt idx="644">
                  <c:v>85.228033472803347</c:v>
                </c:pt>
                <c:pt idx="645">
                  <c:v>84.981171548117146</c:v>
                </c:pt>
                <c:pt idx="646">
                  <c:v>85.13598326359832</c:v>
                </c:pt>
                <c:pt idx="647">
                  <c:v>85.13598326359832</c:v>
                </c:pt>
                <c:pt idx="648">
                  <c:v>85.046025104602492</c:v>
                </c:pt>
                <c:pt idx="649">
                  <c:v>85.188284518828425</c:v>
                </c:pt>
                <c:pt idx="650">
                  <c:v>85.435146443514611</c:v>
                </c:pt>
                <c:pt idx="651">
                  <c:v>85.705020920502065</c:v>
                </c:pt>
                <c:pt idx="652">
                  <c:v>85.765690376568998</c:v>
                </c:pt>
                <c:pt idx="653">
                  <c:v>85.765690376568983</c:v>
                </c:pt>
                <c:pt idx="654">
                  <c:v>85.949790794979023</c:v>
                </c:pt>
                <c:pt idx="655">
                  <c:v>86.115062761506223</c:v>
                </c:pt>
                <c:pt idx="656">
                  <c:v>86.280334728033424</c:v>
                </c:pt>
                <c:pt idx="657">
                  <c:v>86.621338912133837</c:v>
                </c:pt>
                <c:pt idx="658">
                  <c:v>86.684100418409983</c:v>
                </c:pt>
                <c:pt idx="659">
                  <c:v>86.736401673640117</c:v>
                </c:pt>
                <c:pt idx="660">
                  <c:v>86.57740585774053</c:v>
                </c:pt>
                <c:pt idx="661">
                  <c:v>86.213389121338864</c:v>
                </c:pt>
                <c:pt idx="662">
                  <c:v>85.84100418410037</c:v>
                </c:pt>
                <c:pt idx="663">
                  <c:v>85.414225941422544</c:v>
                </c:pt>
                <c:pt idx="664">
                  <c:v>85.115062761506238</c:v>
                </c:pt>
                <c:pt idx="665">
                  <c:v>84.872384937238451</c:v>
                </c:pt>
                <c:pt idx="666">
                  <c:v>85.085774058577357</c:v>
                </c:pt>
                <c:pt idx="667">
                  <c:v>84.937238493723811</c:v>
                </c:pt>
                <c:pt idx="668">
                  <c:v>84.930962343096198</c:v>
                </c:pt>
                <c:pt idx="669">
                  <c:v>84.822175732217531</c:v>
                </c:pt>
                <c:pt idx="670">
                  <c:v>84.690376569037625</c:v>
                </c:pt>
                <c:pt idx="671">
                  <c:v>84.757322175732185</c:v>
                </c:pt>
                <c:pt idx="672">
                  <c:v>84.855648535564825</c:v>
                </c:pt>
                <c:pt idx="673">
                  <c:v>84.786610878661051</c:v>
                </c:pt>
                <c:pt idx="674">
                  <c:v>84.682008368200798</c:v>
                </c:pt>
                <c:pt idx="675">
                  <c:v>84.746861924686158</c:v>
                </c:pt>
                <c:pt idx="676">
                  <c:v>84.709205020920479</c:v>
                </c:pt>
                <c:pt idx="677">
                  <c:v>84.767782426778211</c:v>
                </c:pt>
                <c:pt idx="678">
                  <c:v>84.746861924686158</c:v>
                </c:pt>
                <c:pt idx="679">
                  <c:v>84.719665271966505</c:v>
                </c:pt>
                <c:pt idx="680">
                  <c:v>84.68410041841004</c:v>
                </c:pt>
                <c:pt idx="681">
                  <c:v>84.55020920502092</c:v>
                </c:pt>
                <c:pt idx="682">
                  <c:v>84.61506276150628</c:v>
                </c:pt>
                <c:pt idx="683">
                  <c:v>84.504184100418414</c:v>
                </c:pt>
                <c:pt idx="684">
                  <c:v>84.491631799163187</c:v>
                </c:pt>
                <c:pt idx="685">
                  <c:v>84.506276150627627</c:v>
                </c:pt>
                <c:pt idx="686">
                  <c:v>84.48117154811716</c:v>
                </c:pt>
                <c:pt idx="687">
                  <c:v>84.543933054393307</c:v>
                </c:pt>
                <c:pt idx="688">
                  <c:v>84.470711297071134</c:v>
                </c:pt>
                <c:pt idx="689">
                  <c:v>84.426778242677827</c:v>
                </c:pt>
                <c:pt idx="690">
                  <c:v>84.46443514644352</c:v>
                </c:pt>
                <c:pt idx="691">
                  <c:v>84.433054393305426</c:v>
                </c:pt>
                <c:pt idx="692">
                  <c:v>83.744769874476987</c:v>
                </c:pt>
                <c:pt idx="693">
                  <c:v>84.476987447698747</c:v>
                </c:pt>
                <c:pt idx="694">
                  <c:v>84.497907949790786</c:v>
                </c:pt>
                <c:pt idx="695">
                  <c:v>84.10041841004184</c:v>
                </c:pt>
                <c:pt idx="696">
                  <c:v>84.585774058577414</c:v>
                </c:pt>
                <c:pt idx="697">
                  <c:v>84.585774058577428</c:v>
                </c:pt>
                <c:pt idx="698">
                  <c:v>84.667364016736428</c:v>
                </c:pt>
                <c:pt idx="699">
                  <c:v>84.665271966527229</c:v>
                </c:pt>
                <c:pt idx="700">
                  <c:v>85.803347280334748</c:v>
                </c:pt>
                <c:pt idx="701">
                  <c:v>86.928870292887055</c:v>
                </c:pt>
                <c:pt idx="702">
                  <c:v>86.968619246861948</c:v>
                </c:pt>
                <c:pt idx="703">
                  <c:v>87.186192468619268</c:v>
                </c:pt>
                <c:pt idx="704">
                  <c:v>86.968619246861948</c:v>
                </c:pt>
                <c:pt idx="705">
                  <c:v>87.020920502092082</c:v>
                </c:pt>
                <c:pt idx="706">
                  <c:v>86.876569037656935</c:v>
                </c:pt>
                <c:pt idx="707">
                  <c:v>86.202928870292922</c:v>
                </c:pt>
                <c:pt idx="708">
                  <c:v>85.527196652719695</c:v>
                </c:pt>
                <c:pt idx="709">
                  <c:v>85.154811715481216</c:v>
                </c:pt>
                <c:pt idx="710">
                  <c:v>84.713389121338949</c:v>
                </c:pt>
                <c:pt idx="711">
                  <c:v>84.654811715481202</c:v>
                </c:pt>
                <c:pt idx="712">
                  <c:v>84.771966527196682</c:v>
                </c:pt>
                <c:pt idx="713">
                  <c:v>84.830543933054429</c:v>
                </c:pt>
                <c:pt idx="714">
                  <c:v>84.661087866108815</c:v>
                </c:pt>
                <c:pt idx="715">
                  <c:v>84.615062761506294</c:v>
                </c:pt>
                <c:pt idx="716">
                  <c:v>83.891213389121347</c:v>
                </c:pt>
                <c:pt idx="717">
                  <c:v>84.372384937238493</c:v>
                </c:pt>
                <c:pt idx="718">
                  <c:v>84.313807531380746</c:v>
                </c:pt>
                <c:pt idx="719">
                  <c:v>84.2531380753138</c:v>
                </c:pt>
                <c:pt idx="720">
                  <c:v>84.290794979079493</c:v>
                </c:pt>
                <c:pt idx="721">
                  <c:v>84.297071129707106</c:v>
                </c:pt>
                <c:pt idx="722">
                  <c:v>84.336820083682014</c:v>
                </c:pt>
                <c:pt idx="723">
                  <c:v>84.30125523012552</c:v>
                </c:pt>
                <c:pt idx="724">
                  <c:v>84.307531380753147</c:v>
                </c:pt>
                <c:pt idx="725">
                  <c:v>84.223849372384947</c:v>
                </c:pt>
                <c:pt idx="726">
                  <c:v>84.223849372384947</c:v>
                </c:pt>
                <c:pt idx="727">
                  <c:v>83.960251046025121</c:v>
                </c:pt>
                <c:pt idx="728">
                  <c:v>83.663179916318029</c:v>
                </c:pt>
                <c:pt idx="729">
                  <c:v>83.343096234309655</c:v>
                </c:pt>
                <c:pt idx="730">
                  <c:v>82.782426778242694</c:v>
                </c:pt>
                <c:pt idx="731">
                  <c:v>82.537656903765708</c:v>
                </c:pt>
                <c:pt idx="732">
                  <c:v>84.058577405857761</c:v>
                </c:pt>
                <c:pt idx="733">
                  <c:v>84.037656903765722</c:v>
                </c:pt>
                <c:pt idx="734">
                  <c:v>82.504184100418456</c:v>
                </c:pt>
                <c:pt idx="735">
                  <c:v>82.497907949790843</c:v>
                </c:pt>
                <c:pt idx="736">
                  <c:v>82.744769874477043</c:v>
                </c:pt>
                <c:pt idx="737">
                  <c:v>82.744769874477043</c:v>
                </c:pt>
                <c:pt idx="738">
                  <c:v>82.897489539749017</c:v>
                </c:pt>
                <c:pt idx="739">
                  <c:v>82.355648535564924</c:v>
                </c:pt>
                <c:pt idx="740">
                  <c:v>82.483263598326417</c:v>
                </c:pt>
                <c:pt idx="741">
                  <c:v>82.661087866108844</c:v>
                </c:pt>
                <c:pt idx="742">
                  <c:v>82.62133891213395</c:v>
                </c:pt>
                <c:pt idx="743">
                  <c:v>82.62133891213395</c:v>
                </c:pt>
                <c:pt idx="744">
                  <c:v>82.45606694560675</c:v>
                </c:pt>
                <c:pt idx="745">
                  <c:v>82.537656903765736</c:v>
                </c:pt>
                <c:pt idx="746">
                  <c:v>82.74058577405863</c:v>
                </c:pt>
                <c:pt idx="747">
                  <c:v>82.74058577405863</c:v>
                </c:pt>
                <c:pt idx="748">
                  <c:v>82.382845188284577</c:v>
                </c:pt>
                <c:pt idx="749">
                  <c:v>82.412133891213443</c:v>
                </c:pt>
                <c:pt idx="750">
                  <c:v>82.412133891213443</c:v>
                </c:pt>
                <c:pt idx="751">
                  <c:v>82.43723849372391</c:v>
                </c:pt>
                <c:pt idx="752">
                  <c:v>82.619246861924751</c:v>
                </c:pt>
                <c:pt idx="753">
                  <c:v>82.451882845188351</c:v>
                </c:pt>
                <c:pt idx="754">
                  <c:v>82.451882845188351</c:v>
                </c:pt>
                <c:pt idx="755">
                  <c:v>82.500000000000071</c:v>
                </c:pt>
                <c:pt idx="756">
                  <c:v>82.217573221757391</c:v>
                </c:pt>
                <c:pt idx="757">
                  <c:v>82.617154811715565</c:v>
                </c:pt>
                <c:pt idx="758">
                  <c:v>82.550209205020991</c:v>
                </c:pt>
                <c:pt idx="759">
                  <c:v>82.577405857740672</c:v>
                </c:pt>
                <c:pt idx="760">
                  <c:v>82.458158995815978</c:v>
                </c:pt>
                <c:pt idx="761">
                  <c:v>82.820083682008445</c:v>
                </c:pt>
                <c:pt idx="762">
                  <c:v>82.537656903765765</c:v>
                </c:pt>
                <c:pt idx="763">
                  <c:v>82.792887029288778</c:v>
                </c:pt>
                <c:pt idx="764">
                  <c:v>82.244769874477058</c:v>
                </c:pt>
                <c:pt idx="765">
                  <c:v>82.271966527196724</c:v>
                </c:pt>
                <c:pt idx="766">
                  <c:v>82.311715481171618</c:v>
                </c:pt>
                <c:pt idx="767">
                  <c:v>82.278242677824338</c:v>
                </c:pt>
                <c:pt idx="768">
                  <c:v>82.161087866108858</c:v>
                </c:pt>
                <c:pt idx="769">
                  <c:v>82.211297071129778</c:v>
                </c:pt>
                <c:pt idx="770">
                  <c:v>82.232217573221817</c:v>
                </c:pt>
                <c:pt idx="771">
                  <c:v>82.177824267782484</c:v>
                </c:pt>
                <c:pt idx="772">
                  <c:v>82.133891213389191</c:v>
                </c:pt>
                <c:pt idx="773">
                  <c:v>82.064853556485417</c:v>
                </c:pt>
                <c:pt idx="774">
                  <c:v>82.094142259414298</c:v>
                </c:pt>
                <c:pt idx="775">
                  <c:v>82.008368200836884</c:v>
                </c:pt>
                <c:pt idx="776">
                  <c:v>82.361924686192538</c:v>
                </c:pt>
                <c:pt idx="777">
                  <c:v>82.320083682008445</c:v>
                </c:pt>
                <c:pt idx="778">
                  <c:v>82.845188284518898</c:v>
                </c:pt>
                <c:pt idx="779">
                  <c:v>82.845188284518898</c:v>
                </c:pt>
                <c:pt idx="780">
                  <c:v>82.412133891213458</c:v>
                </c:pt>
                <c:pt idx="781">
                  <c:v>82.744769874477058</c:v>
                </c:pt>
                <c:pt idx="782">
                  <c:v>82.949790794979151</c:v>
                </c:pt>
                <c:pt idx="783">
                  <c:v>82.845188284518898</c:v>
                </c:pt>
                <c:pt idx="784">
                  <c:v>82.845188284518898</c:v>
                </c:pt>
                <c:pt idx="785">
                  <c:v>82.845188284518898</c:v>
                </c:pt>
                <c:pt idx="786">
                  <c:v>82.949790794979151</c:v>
                </c:pt>
                <c:pt idx="787">
                  <c:v>82.849372384937311</c:v>
                </c:pt>
                <c:pt idx="788">
                  <c:v>82.792887029288792</c:v>
                </c:pt>
                <c:pt idx="789">
                  <c:v>82.797071129707192</c:v>
                </c:pt>
                <c:pt idx="790">
                  <c:v>82.769874476987525</c:v>
                </c:pt>
                <c:pt idx="791">
                  <c:v>82.740585774058658</c:v>
                </c:pt>
                <c:pt idx="792">
                  <c:v>82.640167364016818</c:v>
                </c:pt>
                <c:pt idx="793">
                  <c:v>82.562761506276232</c:v>
                </c:pt>
                <c:pt idx="794">
                  <c:v>82.872384937238579</c:v>
                </c:pt>
                <c:pt idx="795">
                  <c:v>82.872384937238579</c:v>
                </c:pt>
                <c:pt idx="796">
                  <c:v>82.897489539749031</c:v>
                </c:pt>
                <c:pt idx="797">
                  <c:v>82.897489539749031</c:v>
                </c:pt>
                <c:pt idx="798">
                  <c:v>82.976987447698818</c:v>
                </c:pt>
                <c:pt idx="799">
                  <c:v>82.976987447698818</c:v>
                </c:pt>
                <c:pt idx="800">
                  <c:v>82.976987447698818</c:v>
                </c:pt>
                <c:pt idx="801">
                  <c:v>82.976987447698818</c:v>
                </c:pt>
                <c:pt idx="802">
                  <c:v>83.002092050209285</c:v>
                </c:pt>
                <c:pt idx="803">
                  <c:v>82.792887029288792</c:v>
                </c:pt>
                <c:pt idx="804">
                  <c:v>82.897489539749046</c:v>
                </c:pt>
                <c:pt idx="805">
                  <c:v>82.820083682008459</c:v>
                </c:pt>
                <c:pt idx="806">
                  <c:v>82.740585774058673</c:v>
                </c:pt>
                <c:pt idx="807">
                  <c:v>82.740585774058673</c:v>
                </c:pt>
                <c:pt idx="808">
                  <c:v>82.117154811715565</c:v>
                </c:pt>
                <c:pt idx="809">
                  <c:v>81.985355648535645</c:v>
                </c:pt>
                <c:pt idx="810">
                  <c:v>81.985355648535645</c:v>
                </c:pt>
                <c:pt idx="811">
                  <c:v>81.732217573221845</c:v>
                </c:pt>
                <c:pt idx="812">
                  <c:v>81.481171548117246</c:v>
                </c:pt>
                <c:pt idx="813">
                  <c:v>81.380753138075406</c:v>
                </c:pt>
                <c:pt idx="814">
                  <c:v>81.259414225941526</c:v>
                </c:pt>
                <c:pt idx="815">
                  <c:v>81.184100418410139</c:v>
                </c:pt>
                <c:pt idx="816">
                  <c:v>81.234309623431059</c:v>
                </c:pt>
                <c:pt idx="817">
                  <c:v>81.173640167364113</c:v>
                </c:pt>
                <c:pt idx="818">
                  <c:v>81.161087866108886</c:v>
                </c:pt>
                <c:pt idx="819">
                  <c:v>80.9979079497909</c:v>
                </c:pt>
                <c:pt idx="820">
                  <c:v>81.06485355648546</c:v>
                </c:pt>
                <c:pt idx="821">
                  <c:v>81.087866108786713</c:v>
                </c:pt>
                <c:pt idx="822">
                  <c:v>81.087866108786713</c:v>
                </c:pt>
                <c:pt idx="823">
                  <c:v>81.064853556485446</c:v>
                </c:pt>
                <c:pt idx="824">
                  <c:v>81.000000000000085</c:v>
                </c:pt>
                <c:pt idx="825">
                  <c:v>81.054393305439419</c:v>
                </c:pt>
                <c:pt idx="826">
                  <c:v>81.127615062761592</c:v>
                </c:pt>
                <c:pt idx="827">
                  <c:v>81.046025104602577</c:v>
                </c:pt>
                <c:pt idx="828">
                  <c:v>81.094142259414298</c:v>
                </c:pt>
                <c:pt idx="829">
                  <c:v>81.02092050209211</c:v>
                </c:pt>
                <c:pt idx="830">
                  <c:v>81.062761506276217</c:v>
                </c:pt>
                <c:pt idx="831">
                  <c:v>81.035564853556551</c:v>
                </c:pt>
                <c:pt idx="832">
                  <c:v>80.997907949790857</c:v>
                </c:pt>
                <c:pt idx="833">
                  <c:v>81.031380753138123</c:v>
                </c:pt>
                <c:pt idx="834">
                  <c:v>80.976987447698789</c:v>
                </c:pt>
                <c:pt idx="835">
                  <c:v>81.073221757322216</c:v>
                </c:pt>
                <c:pt idx="836">
                  <c:v>81.02301255230131</c:v>
                </c:pt>
                <c:pt idx="837">
                  <c:v>81.006276150627656</c:v>
                </c:pt>
                <c:pt idx="838">
                  <c:v>81.02510460251051</c:v>
                </c:pt>
                <c:pt idx="839">
                  <c:v>81.02510460251051</c:v>
                </c:pt>
                <c:pt idx="840">
                  <c:v>81.062761506276203</c:v>
                </c:pt>
                <c:pt idx="841">
                  <c:v>80.993723849372429</c:v>
                </c:pt>
                <c:pt idx="842">
                  <c:v>81.029288702928909</c:v>
                </c:pt>
                <c:pt idx="843">
                  <c:v>81.006276150627656</c:v>
                </c:pt>
                <c:pt idx="844">
                  <c:v>81.006276150627656</c:v>
                </c:pt>
                <c:pt idx="845">
                  <c:v>81.012552301255283</c:v>
                </c:pt>
                <c:pt idx="846">
                  <c:v>81.012552301255283</c:v>
                </c:pt>
                <c:pt idx="847">
                  <c:v>81.012552301255283</c:v>
                </c:pt>
                <c:pt idx="848">
                  <c:v>80.95606694560675</c:v>
                </c:pt>
                <c:pt idx="849">
                  <c:v>81.004184100418456</c:v>
                </c:pt>
                <c:pt idx="850">
                  <c:v>80.949790794979137</c:v>
                </c:pt>
                <c:pt idx="851">
                  <c:v>80.916317991631843</c:v>
                </c:pt>
                <c:pt idx="852">
                  <c:v>80.889121338912176</c:v>
                </c:pt>
                <c:pt idx="853">
                  <c:v>80.797071129707163</c:v>
                </c:pt>
                <c:pt idx="854">
                  <c:v>80.851464435146497</c:v>
                </c:pt>
                <c:pt idx="855">
                  <c:v>80.851464435146497</c:v>
                </c:pt>
                <c:pt idx="856">
                  <c:v>80.594142259414284</c:v>
                </c:pt>
                <c:pt idx="857">
                  <c:v>80.82217573221763</c:v>
                </c:pt>
                <c:pt idx="858">
                  <c:v>80.633891213389177</c:v>
                </c:pt>
                <c:pt idx="859">
                  <c:v>80.677824267782484</c:v>
                </c:pt>
                <c:pt idx="860">
                  <c:v>80.677824267782484</c:v>
                </c:pt>
                <c:pt idx="861">
                  <c:v>80.721757322175804</c:v>
                </c:pt>
                <c:pt idx="862">
                  <c:v>80.748953974895471</c:v>
                </c:pt>
                <c:pt idx="863">
                  <c:v>80.817991631799231</c:v>
                </c:pt>
                <c:pt idx="864">
                  <c:v>80.617154811715551</c:v>
                </c:pt>
                <c:pt idx="865">
                  <c:v>80.635983263598391</c:v>
                </c:pt>
                <c:pt idx="866">
                  <c:v>80.635983263598391</c:v>
                </c:pt>
                <c:pt idx="867">
                  <c:v>80.627615062761564</c:v>
                </c:pt>
                <c:pt idx="868">
                  <c:v>80.753138075313871</c:v>
                </c:pt>
                <c:pt idx="869">
                  <c:v>80.543933054393364</c:v>
                </c:pt>
                <c:pt idx="870">
                  <c:v>80.801255230125591</c:v>
                </c:pt>
                <c:pt idx="871">
                  <c:v>80.617154811715551</c:v>
                </c:pt>
                <c:pt idx="872">
                  <c:v>80.608786610878738</c:v>
                </c:pt>
                <c:pt idx="873">
                  <c:v>80.759414225941484</c:v>
                </c:pt>
                <c:pt idx="874">
                  <c:v>80.631799163179977</c:v>
                </c:pt>
                <c:pt idx="875">
                  <c:v>80.734309623431031</c:v>
                </c:pt>
                <c:pt idx="876">
                  <c:v>80.596234309623483</c:v>
                </c:pt>
                <c:pt idx="877">
                  <c:v>80.596234309623483</c:v>
                </c:pt>
                <c:pt idx="878">
                  <c:v>80.627615062761564</c:v>
                </c:pt>
                <c:pt idx="879">
                  <c:v>80.652719665272031</c:v>
                </c:pt>
                <c:pt idx="880">
                  <c:v>80.125523012552364</c:v>
                </c:pt>
                <c:pt idx="881">
                  <c:v>80.652719665272016</c:v>
                </c:pt>
                <c:pt idx="882">
                  <c:v>80.67364016736407</c:v>
                </c:pt>
                <c:pt idx="883">
                  <c:v>80.748953974895457</c:v>
                </c:pt>
                <c:pt idx="884">
                  <c:v>80.799163179916377</c:v>
                </c:pt>
                <c:pt idx="885">
                  <c:v>80.811715481171603</c:v>
                </c:pt>
                <c:pt idx="886">
                  <c:v>80.761506276150698</c:v>
                </c:pt>
                <c:pt idx="887">
                  <c:v>80.700836820083751</c:v>
                </c:pt>
                <c:pt idx="888">
                  <c:v>80.753138075313871</c:v>
                </c:pt>
                <c:pt idx="889">
                  <c:v>80.334728033472871</c:v>
                </c:pt>
                <c:pt idx="890">
                  <c:v>80.627615062761564</c:v>
                </c:pt>
                <c:pt idx="891">
                  <c:v>80.797071129707177</c:v>
                </c:pt>
                <c:pt idx="892">
                  <c:v>80.669456066945685</c:v>
                </c:pt>
                <c:pt idx="893">
                  <c:v>80.656903765690458</c:v>
                </c:pt>
                <c:pt idx="894">
                  <c:v>80.656903765690458</c:v>
                </c:pt>
                <c:pt idx="895">
                  <c:v>80.600418410041911</c:v>
                </c:pt>
                <c:pt idx="896">
                  <c:v>80.769874476987511</c:v>
                </c:pt>
                <c:pt idx="897">
                  <c:v>80.577405857740658</c:v>
                </c:pt>
                <c:pt idx="898">
                  <c:v>80.573221757322244</c:v>
                </c:pt>
                <c:pt idx="899">
                  <c:v>80.774058577405938</c:v>
                </c:pt>
                <c:pt idx="900">
                  <c:v>80.658995815899658</c:v>
                </c:pt>
                <c:pt idx="901">
                  <c:v>80.692468619246924</c:v>
                </c:pt>
                <c:pt idx="902">
                  <c:v>80.65481171548123</c:v>
                </c:pt>
                <c:pt idx="903">
                  <c:v>80.610878661087924</c:v>
                </c:pt>
                <c:pt idx="904">
                  <c:v>80.55648535564859</c:v>
                </c:pt>
                <c:pt idx="905">
                  <c:v>80.748953974895457</c:v>
                </c:pt>
                <c:pt idx="906">
                  <c:v>80.748953974895457</c:v>
                </c:pt>
                <c:pt idx="907">
                  <c:v>80.596234309623483</c:v>
                </c:pt>
                <c:pt idx="908">
                  <c:v>80.602510460251096</c:v>
                </c:pt>
                <c:pt idx="909">
                  <c:v>80.543933054393364</c:v>
                </c:pt>
                <c:pt idx="910">
                  <c:v>80.77196652719671</c:v>
                </c:pt>
                <c:pt idx="911">
                  <c:v>80.788702928870364</c:v>
                </c:pt>
                <c:pt idx="912">
                  <c:v>80.598326359832697</c:v>
                </c:pt>
                <c:pt idx="913">
                  <c:v>81.213389121338977</c:v>
                </c:pt>
                <c:pt idx="914">
                  <c:v>80.546025104602577</c:v>
                </c:pt>
                <c:pt idx="915">
                  <c:v>80.573221757322244</c:v>
                </c:pt>
                <c:pt idx="916">
                  <c:v>80.604602510460325</c:v>
                </c:pt>
                <c:pt idx="917">
                  <c:v>80.811715481171603</c:v>
                </c:pt>
                <c:pt idx="918">
                  <c:v>80.60460251046031</c:v>
                </c:pt>
                <c:pt idx="919">
                  <c:v>80.644351464435204</c:v>
                </c:pt>
                <c:pt idx="920">
                  <c:v>80.771966527196696</c:v>
                </c:pt>
                <c:pt idx="921">
                  <c:v>80.698744769874523</c:v>
                </c:pt>
                <c:pt idx="922">
                  <c:v>80.627615062761549</c:v>
                </c:pt>
                <c:pt idx="923">
                  <c:v>80.619246861924736</c:v>
                </c:pt>
                <c:pt idx="924">
                  <c:v>80.58995815899587</c:v>
                </c:pt>
                <c:pt idx="925">
                  <c:v>80.573221757322216</c:v>
                </c:pt>
                <c:pt idx="926">
                  <c:v>80.581589958159043</c:v>
                </c:pt>
                <c:pt idx="927">
                  <c:v>80.723480996461262</c:v>
                </c:pt>
                <c:pt idx="928">
                  <c:v>80.581589958159057</c:v>
                </c:pt>
                <c:pt idx="929">
                  <c:v>80.604542920237364</c:v>
                </c:pt>
                <c:pt idx="930">
                  <c:v>80.562810261913185</c:v>
                </c:pt>
                <c:pt idx="931">
                  <c:v>80.640015679812919</c:v>
                </c:pt>
                <c:pt idx="932">
                  <c:v>80.558636996080779</c:v>
                </c:pt>
                <c:pt idx="933">
                  <c:v>80.554463730248358</c:v>
                </c:pt>
                <c:pt idx="934">
                  <c:v>80.544030565667313</c:v>
                </c:pt>
                <c:pt idx="935">
                  <c:v>80.671315173556067</c:v>
                </c:pt>
                <c:pt idx="936">
                  <c:v>80.681748338137112</c:v>
                </c:pt>
                <c:pt idx="937">
                  <c:v>80.537770666918689</c:v>
                </c:pt>
                <c:pt idx="938">
                  <c:v>80.575330059410447</c:v>
                </c:pt>
                <c:pt idx="939">
                  <c:v>80.571156793578027</c:v>
                </c:pt>
                <c:pt idx="940">
                  <c:v>80.518990970672803</c:v>
                </c:pt>
                <c:pt idx="941">
                  <c:v>80.500211274426931</c:v>
                </c:pt>
                <c:pt idx="942">
                  <c:v>80.710961198964043</c:v>
                </c:pt>
                <c:pt idx="943">
                  <c:v>80.535684034002472</c:v>
                </c:pt>
                <c:pt idx="944">
                  <c:v>80.539857299834893</c:v>
                </c:pt>
                <c:pt idx="945">
                  <c:v>80.541943932751096</c:v>
                </c:pt>
                <c:pt idx="946">
                  <c:v>80.575330059410433</c:v>
                </c:pt>
                <c:pt idx="947">
                  <c:v>80.539857299834893</c:v>
                </c:pt>
                <c:pt idx="948">
                  <c:v>80.498124641510699</c:v>
                </c:pt>
                <c:pt idx="949">
                  <c:v>80.52316423650521</c:v>
                </c:pt>
                <c:pt idx="950">
                  <c:v>80.500211274426917</c:v>
                </c:pt>
                <c:pt idx="951">
                  <c:v>80.504384540259338</c:v>
                </c:pt>
                <c:pt idx="952">
                  <c:v>80.508557806091744</c:v>
                </c:pt>
                <c:pt idx="953">
                  <c:v>80.47725831234861</c:v>
                </c:pt>
                <c:pt idx="954">
                  <c:v>80.473085046516189</c:v>
                </c:pt>
                <c:pt idx="955">
                  <c:v>80.564896894829388</c:v>
                </c:pt>
                <c:pt idx="956">
                  <c:v>80.510644439007947</c:v>
                </c:pt>
                <c:pt idx="957">
                  <c:v>80.592023122740116</c:v>
                </c:pt>
                <c:pt idx="958">
                  <c:v>80.55237709733214</c:v>
                </c:pt>
                <c:pt idx="959">
                  <c:v>80.617062717734626</c:v>
                </c:pt>
                <c:pt idx="960">
                  <c:v>80.504384540259338</c:v>
                </c:pt>
                <c:pt idx="961">
                  <c:v>80.57324342649423</c:v>
                </c:pt>
                <c:pt idx="962">
                  <c:v>80.617062717734626</c:v>
                </c:pt>
                <c:pt idx="963">
                  <c:v>80.802773047277228</c:v>
                </c:pt>
                <c:pt idx="964">
                  <c:v>80.857025503098669</c:v>
                </c:pt>
                <c:pt idx="965">
                  <c:v>80.900844794339051</c:v>
                </c:pt>
                <c:pt idx="966">
                  <c:v>81.084468490965435</c:v>
                </c:pt>
                <c:pt idx="967">
                  <c:v>81.562307428777302</c:v>
                </c:pt>
                <c:pt idx="968">
                  <c:v>82.088138923661973</c:v>
                </c:pt>
                <c:pt idx="969">
                  <c:v>83.926462522842101</c:v>
                </c:pt>
                <c:pt idx="970">
                  <c:v>86.271837920661014</c:v>
                </c:pt>
                <c:pt idx="971">
                  <c:v>89.545764966192934</c:v>
                </c:pt>
                <c:pt idx="972">
                  <c:v>87.329760809178978</c:v>
                </c:pt>
                <c:pt idx="973">
                  <c:v>85.576989159563425</c:v>
                </c:pt>
                <c:pt idx="974">
                  <c:v>84.320836144005597</c:v>
                </c:pt>
                <c:pt idx="975">
                  <c:v>82.947831685140059</c:v>
                </c:pt>
                <c:pt idx="976">
                  <c:v>82.467906114412003</c:v>
                </c:pt>
                <c:pt idx="977">
                  <c:v>82.987477710548021</c:v>
                </c:pt>
                <c:pt idx="978">
                  <c:v>83.926462522842073</c:v>
                </c:pt>
                <c:pt idx="979">
                  <c:v>83.719885864137382</c:v>
                </c:pt>
                <c:pt idx="980">
                  <c:v>83.805437813701943</c:v>
                </c:pt>
                <c:pt idx="981">
                  <c:v>83.813784345366784</c:v>
                </c:pt>
                <c:pt idx="982">
                  <c:v>83.845083839109904</c:v>
                </c:pt>
                <c:pt idx="983">
                  <c:v>83.769965054126374</c:v>
                </c:pt>
                <c:pt idx="984">
                  <c:v>83.926462522842058</c:v>
                </c:pt>
                <c:pt idx="985">
                  <c:v>83.957762016585193</c:v>
                </c:pt>
                <c:pt idx="986">
                  <c:v>83.96610854825002</c:v>
                </c:pt>
                <c:pt idx="987">
                  <c:v>83.982801611579688</c:v>
                </c:pt>
                <c:pt idx="988">
                  <c:v>83.99740804199314</c:v>
                </c:pt>
                <c:pt idx="989">
                  <c:v>83.936895687423075</c:v>
                </c:pt>
                <c:pt idx="990">
                  <c:v>84.091306523222556</c:v>
                </c:pt>
                <c:pt idx="991">
                  <c:v>83.964021915333802</c:v>
                </c:pt>
                <c:pt idx="992">
                  <c:v>83.959848649501396</c:v>
                </c:pt>
                <c:pt idx="993">
                  <c:v>83.928549155758262</c:v>
                </c:pt>
                <c:pt idx="994">
                  <c:v>83.953588750752758</c:v>
                </c:pt>
                <c:pt idx="995">
                  <c:v>84.020361004071461</c:v>
                </c:pt>
                <c:pt idx="996">
                  <c:v>83.989061510328327</c:v>
                </c:pt>
                <c:pt idx="997">
                  <c:v>84.024534269903882</c:v>
                </c:pt>
                <c:pt idx="998">
                  <c:v>84.005754573657995</c:v>
                </c:pt>
                <c:pt idx="999">
                  <c:v>84.089219890306353</c:v>
                </c:pt>
                <c:pt idx="1000">
                  <c:v>84.130952548630532</c:v>
                </c:pt>
                <c:pt idx="1001">
                  <c:v>84.074613459892902</c:v>
                </c:pt>
                <c:pt idx="1002">
                  <c:v>84.032880801568723</c:v>
                </c:pt>
                <c:pt idx="1003">
                  <c:v>83.968195181166237</c:v>
                </c:pt>
                <c:pt idx="1004">
                  <c:v>83.924375889925841</c:v>
                </c:pt>
                <c:pt idx="1005">
                  <c:v>83.999494674909371</c:v>
                </c:pt>
                <c:pt idx="1006">
                  <c:v>83.968195181166237</c:v>
                </c:pt>
                <c:pt idx="1007">
                  <c:v>83.9348090545069</c:v>
                </c:pt>
                <c:pt idx="1008">
                  <c:v>83.920202624093449</c:v>
                </c:pt>
                <c:pt idx="1009">
                  <c:v>83.947328852004162</c:v>
                </c:pt>
                <c:pt idx="1010">
                  <c:v>83.943155586171741</c:v>
                </c:pt>
                <c:pt idx="1011">
                  <c:v>83.986974877412138</c:v>
                </c:pt>
                <c:pt idx="1012">
                  <c:v>84.018274371155272</c:v>
                </c:pt>
                <c:pt idx="1013">
                  <c:v>84.066266928228075</c:v>
                </c:pt>
                <c:pt idx="1014">
                  <c:v>84.101739687803615</c:v>
                </c:pt>
                <c:pt idx="1015">
                  <c:v>84.080873358641512</c:v>
                </c:pt>
                <c:pt idx="1016">
                  <c:v>84.11217285238466</c:v>
                </c:pt>
                <c:pt idx="1017">
                  <c:v>84.181031738619566</c:v>
                </c:pt>
                <c:pt idx="1018">
                  <c:v>84.141385713211591</c:v>
                </c:pt>
                <c:pt idx="1019">
                  <c:v>84.203984700697873</c:v>
                </c:pt>
                <c:pt idx="1020">
                  <c:v>84.214417865278918</c:v>
                </c:pt>
                <c:pt idx="1021">
                  <c:v>84.325009409837989</c:v>
                </c:pt>
                <c:pt idx="1022">
                  <c:v>84.420994523983595</c:v>
                </c:pt>
                <c:pt idx="1023">
                  <c:v>84.571232093950655</c:v>
                </c:pt>
                <c:pt idx="1024">
                  <c:v>84.706863233504222</c:v>
                </c:pt>
                <c:pt idx="1025">
                  <c:v>84.677650372677306</c:v>
                </c:pt>
                <c:pt idx="1026">
                  <c:v>84.621311283939662</c:v>
                </c:pt>
                <c:pt idx="1027">
                  <c:v>84.638004347269316</c:v>
                </c:pt>
                <c:pt idx="1028">
                  <c:v>84.638004347269316</c:v>
                </c:pt>
                <c:pt idx="1029">
                  <c:v>84.577491992699251</c:v>
                </c:pt>
                <c:pt idx="1030">
                  <c:v>84.550365764788538</c:v>
                </c:pt>
                <c:pt idx="1031">
                  <c:v>84.546192498956117</c:v>
                </c:pt>
                <c:pt idx="1032">
                  <c:v>84.539932600207493</c:v>
                </c:pt>
                <c:pt idx="1033">
                  <c:v>84.464813815223962</c:v>
                </c:pt>
                <c:pt idx="1034">
                  <c:v>84.567058828118192</c:v>
                </c:pt>
                <c:pt idx="1035">
                  <c:v>84.596271688945123</c:v>
                </c:pt>
                <c:pt idx="1036">
                  <c:v>84.554539030620944</c:v>
                </c:pt>
                <c:pt idx="1037">
                  <c:v>84.556625663537147</c:v>
                </c:pt>
                <c:pt idx="1038">
                  <c:v>84.635917714353099</c:v>
                </c:pt>
                <c:pt idx="1039">
                  <c:v>84.608791486442385</c:v>
                </c:pt>
                <c:pt idx="1040">
                  <c:v>84.510719739380562</c:v>
                </c:pt>
                <c:pt idx="1041">
                  <c:v>84.581665258531672</c:v>
                </c:pt>
                <c:pt idx="1042">
                  <c:v>84.610878119358603</c:v>
                </c:pt>
                <c:pt idx="1043">
                  <c:v>84.635917714353113</c:v>
                </c:pt>
                <c:pt idx="1044">
                  <c:v>84.610878119358603</c:v>
                </c:pt>
                <c:pt idx="1045">
                  <c:v>84.560798929369582</c:v>
                </c:pt>
                <c:pt idx="1046">
                  <c:v>84.596271688945137</c:v>
                </c:pt>
                <c:pt idx="1047">
                  <c:v>84.539932600207493</c:v>
                </c:pt>
                <c:pt idx="1048">
                  <c:v>84.533672701458869</c:v>
                </c:pt>
                <c:pt idx="1049">
                  <c:v>84.458553916475338</c:v>
                </c:pt>
                <c:pt idx="1050">
                  <c:v>84.343789106083833</c:v>
                </c:pt>
                <c:pt idx="1051">
                  <c:v>84.218591131111296</c:v>
                </c:pt>
                <c:pt idx="1052">
                  <c:v>84.260323789435475</c:v>
                </c:pt>
                <c:pt idx="1053">
                  <c:v>84.291623283178609</c:v>
                </c:pt>
                <c:pt idx="1054">
                  <c:v>84.237370827357168</c:v>
                </c:pt>
                <c:pt idx="1055">
                  <c:v>84.274930219848926</c:v>
                </c:pt>
                <c:pt idx="1056">
                  <c:v>84.299969814843436</c:v>
                </c:pt>
                <c:pt idx="1057">
                  <c:v>84.30622971359206</c:v>
                </c:pt>
                <c:pt idx="1058">
                  <c:v>84.350049004832456</c:v>
                </c:pt>
                <c:pt idx="1059">
                  <c:v>84.354222270664877</c:v>
                </c:pt>
                <c:pt idx="1060">
                  <c:v>84.398041561905274</c:v>
                </c:pt>
                <c:pt idx="1061">
                  <c:v>84.414734625234942</c:v>
                </c:pt>
                <c:pt idx="1062">
                  <c:v>84.410561359402521</c:v>
                </c:pt>
                <c:pt idx="1063">
                  <c:v>84.347962371916267</c:v>
                </c:pt>
                <c:pt idx="1064">
                  <c:v>84.210244599446469</c:v>
                </c:pt>
                <c:pt idx="1065">
                  <c:v>84.352135637748688</c:v>
                </c:pt>
                <c:pt idx="1066">
                  <c:v>84.387608397324243</c:v>
                </c:pt>
                <c:pt idx="1067">
                  <c:v>84.377175232743184</c:v>
                </c:pt>
                <c:pt idx="1068">
                  <c:v>84.398041561905274</c:v>
                </c:pt>
                <c:pt idx="1069">
                  <c:v>84.370915333994546</c:v>
                </c:pt>
                <c:pt idx="1070">
                  <c:v>84.375088599826967</c:v>
                </c:pt>
                <c:pt idx="1071">
                  <c:v>84.373001966910749</c:v>
                </c:pt>
                <c:pt idx="1072">
                  <c:v>84.387608397324215</c:v>
                </c:pt>
                <c:pt idx="1073">
                  <c:v>84.385521764407997</c:v>
                </c:pt>
                <c:pt idx="1074">
                  <c:v>84.366742068162111</c:v>
                </c:pt>
                <c:pt idx="1075">
                  <c:v>84.333355941502774</c:v>
                </c:pt>
                <c:pt idx="1076">
                  <c:v>84.295796549011015</c:v>
                </c:pt>
                <c:pt idx="1077">
                  <c:v>84.329182675670353</c:v>
                </c:pt>
                <c:pt idx="1078">
                  <c:v>84.306229713592046</c:v>
                </c:pt>
                <c:pt idx="1079">
                  <c:v>84.287450017346174</c:v>
                </c:pt>
                <c:pt idx="1080">
                  <c:v>84.239457460273357</c:v>
                </c:pt>
                <c:pt idx="1081">
                  <c:v>84.212331232362644</c:v>
                </c:pt>
                <c:pt idx="1082">
                  <c:v>84.170598574038465</c:v>
                </c:pt>
                <c:pt idx="1083">
                  <c:v>84.070440194060438</c:v>
                </c:pt>
                <c:pt idx="1084">
                  <c:v>84.018274371155215</c:v>
                </c:pt>
                <c:pt idx="1085">
                  <c:v>84.014101105322794</c:v>
                </c:pt>
                <c:pt idx="1086">
                  <c:v>83.874296699936792</c:v>
                </c:pt>
                <c:pt idx="1087">
                  <c:v>83.73031902871837</c:v>
                </c:pt>
                <c:pt idx="1088">
                  <c:v>83.417324091287028</c:v>
                </c:pt>
                <c:pt idx="1089">
                  <c:v>83.148148445096083</c:v>
                </c:pt>
                <c:pt idx="1090">
                  <c:v>82.997910875129037</c:v>
                </c:pt>
                <c:pt idx="1091">
                  <c:v>82.641096646457299</c:v>
                </c:pt>
                <c:pt idx="1092">
                  <c:v>82.563891228557566</c:v>
                </c:pt>
                <c:pt idx="1093">
                  <c:v>82.361487835685296</c:v>
                </c:pt>
                <c:pt idx="1094">
                  <c:v>82.309322012780072</c:v>
                </c:pt>
                <c:pt idx="1095">
                  <c:v>82.063099328667406</c:v>
                </c:pt>
                <c:pt idx="1096">
                  <c:v>81.78975041664404</c:v>
                </c:pt>
                <c:pt idx="1097">
                  <c:v>81.585260390855552</c:v>
                </c:pt>
                <c:pt idx="1098">
                  <c:v>81.320258010497014</c:v>
                </c:pt>
                <c:pt idx="1099">
                  <c:v>81.084468490965378</c:v>
                </c:pt>
                <c:pt idx="1100">
                  <c:v>81.059428895970882</c:v>
                </c:pt>
                <c:pt idx="1101">
                  <c:v>81.178366972194794</c:v>
                </c:pt>
                <c:pt idx="1102">
                  <c:v>81.297305048418707</c:v>
                </c:pt>
                <c:pt idx="1103">
                  <c:v>81.455889150050581</c:v>
                </c:pt>
                <c:pt idx="1104">
                  <c:v>81.683332137917347</c:v>
                </c:pt>
                <c:pt idx="1105">
                  <c:v>82.179950771975086</c:v>
                </c:pt>
                <c:pt idx="1106">
                  <c:v>82.58058429188722</c:v>
                </c:pt>
                <c:pt idx="1107">
                  <c:v>82.472079380244352</c:v>
                </c:pt>
                <c:pt idx="1108">
                  <c:v>82.442866519417436</c:v>
                </c:pt>
                <c:pt idx="1109">
                  <c:v>82.227943329047903</c:v>
                </c:pt>
                <c:pt idx="1110">
                  <c:v>81.921208290365186</c:v>
                </c:pt>
                <c:pt idx="1111">
                  <c:v>81.67915887208494</c:v>
                </c:pt>
                <c:pt idx="1112">
                  <c:v>81.387030263815689</c:v>
                </c:pt>
                <c:pt idx="1113">
                  <c:v>81.086555123881595</c:v>
                </c:pt>
                <c:pt idx="1114">
                  <c:v>80.978050212238713</c:v>
                </c:pt>
                <c:pt idx="1115">
                  <c:v>80.921711123501083</c:v>
                </c:pt>
                <c:pt idx="1116">
                  <c:v>80.961357148909045</c:v>
                </c:pt>
                <c:pt idx="1117">
                  <c:v>80.884151731009311</c:v>
                </c:pt>
                <c:pt idx="1118">
                  <c:v>80.819466110606825</c:v>
                </c:pt>
                <c:pt idx="1119">
                  <c:v>80.944664085579362</c:v>
                </c:pt>
                <c:pt idx="1120">
                  <c:v>80.905018060171386</c:v>
                </c:pt>
                <c:pt idx="1121">
                  <c:v>80.963443781825234</c:v>
                </c:pt>
                <c:pt idx="1122">
                  <c:v>80.963443781825234</c:v>
                </c:pt>
                <c:pt idx="1123">
                  <c:v>80.8862383639255</c:v>
                </c:pt>
                <c:pt idx="1124">
                  <c:v>80.896671528506545</c:v>
                </c:pt>
                <c:pt idx="1125">
                  <c:v>80.86119876893099</c:v>
                </c:pt>
                <c:pt idx="1126">
                  <c:v>80.980136845154902</c:v>
                </c:pt>
                <c:pt idx="1127">
                  <c:v>80.877891832260673</c:v>
                </c:pt>
                <c:pt idx="1128">
                  <c:v>80.955097250160406</c:v>
                </c:pt>
                <c:pt idx="1129">
                  <c:v>81.011436338898051</c:v>
                </c:pt>
                <c:pt idx="1130">
                  <c:v>81.038562566808764</c:v>
                </c:pt>
                <c:pt idx="1131">
                  <c:v>80.873718566428252</c:v>
                </c:pt>
                <c:pt idx="1132">
                  <c:v>80.913364591836228</c:v>
                </c:pt>
                <c:pt idx="1133">
                  <c:v>80.967617047657654</c:v>
                </c:pt>
                <c:pt idx="1134">
                  <c:v>80.857025503098583</c:v>
                </c:pt>
                <c:pt idx="1135">
                  <c:v>81.028129402227719</c:v>
                </c:pt>
                <c:pt idx="1136">
                  <c:v>80.831985908104073</c:v>
                </c:pt>
                <c:pt idx="1137">
                  <c:v>80.86119876893099</c:v>
                </c:pt>
                <c:pt idx="1138">
                  <c:v>80.823639376439218</c:v>
                </c:pt>
                <c:pt idx="1139">
                  <c:v>80.996829908484571</c:v>
                </c:pt>
                <c:pt idx="1140">
                  <c:v>80.888324996841689</c:v>
                </c:pt>
                <c:pt idx="1141">
                  <c:v>80.900844794338951</c:v>
                </c:pt>
                <c:pt idx="1142">
                  <c:v>80.865372034763411</c:v>
                </c:pt>
                <c:pt idx="1143">
                  <c:v>80.873718566428238</c:v>
                </c:pt>
                <c:pt idx="1144">
                  <c:v>80.879978465176876</c:v>
                </c:pt>
                <c:pt idx="1145">
                  <c:v>80.969703680573872</c:v>
                </c:pt>
                <c:pt idx="1146">
                  <c:v>81.063602161803274</c:v>
                </c:pt>
                <c:pt idx="1147">
                  <c:v>81.124114516373325</c:v>
                </c:pt>
                <c:pt idx="1148">
                  <c:v>81.113681351792295</c:v>
                </c:pt>
                <c:pt idx="1149">
                  <c:v>81.082381858049146</c:v>
                </c:pt>
                <c:pt idx="1150">
                  <c:v>80.994743275568382</c:v>
                </c:pt>
                <c:pt idx="1151">
                  <c:v>81.069862060551898</c:v>
                </c:pt>
                <c:pt idx="1152">
                  <c:v>80.971790313490075</c:v>
                </c:pt>
                <c:pt idx="1153">
                  <c:v>81.003089807233209</c:v>
                </c:pt>
                <c:pt idx="1154">
                  <c:v>81.030216035143923</c:v>
                </c:pt>
                <c:pt idx="1155">
                  <c:v>80.986396743903541</c:v>
                </c:pt>
                <c:pt idx="1156">
                  <c:v>80.994743275568382</c:v>
                </c:pt>
              </c:numCache>
            </c:numRef>
          </c:val>
          <c:smooth val="0"/>
          <c:extLst>
            <c:ext xmlns:c16="http://schemas.microsoft.com/office/drawing/2014/chart" uri="{C3380CC4-5D6E-409C-BE32-E72D297353CC}">
              <c16:uniqueId val="{00000001-9550-444B-8B2D-F311323001EA}"/>
            </c:ext>
          </c:extLst>
        </c:ser>
        <c:ser>
          <c:idx val="3"/>
          <c:order val="2"/>
          <c:tx>
            <c:strRef>
              <c:f>Sheet1!$D$1</c:f>
              <c:strCache>
                <c:ptCount val="1"/>
                <c:pt idx="0">
                  <c:v>Ռուսական ռուբլի</c:v>
                </c:pt>
              </c:strCache>
            </c:strRef>
          </c:tx>
          <c:spPr>
            <a:ln w="19050" cap="rnd">
              <a:solidFill>
                <a:sysClr val="window" lastClr="FFFFFF">
                  <a:lumMod val="65000"/>
                </a:sysClr>
              </a:solidFill>
              <a:round/>
            </a:ln>
            <a:effectLst/>
          </c:spPr>
          <c:marker>
            <c:symbol val="picture"/>
            <c:spPr>
              <a:ln w="6350">
                <a:noFill/>
              </a:ln>
            </c:spPr>
          </c:marker>
          <c:cat>
            <c:numRef>
              <c:f>Sheet1!$A$2:$A$1158</c:f>
              <c:numCache>
                <c:formatCode>m\/d\/yyyy</c:formatCode>
                <c:ptCount val="1157"/>
                <c:pt idx="0">
                  <c:v>43832</c:v>
                </c:pt>
                <c:pt idx="1">
                  <c:v>43833</c:v>
                </c:pt>
                <c:pt idx="2">
                  <c:v>43836</c:v>
                </c:pt>
                <c:pt idx="3">
                  <c:v>43837</c:v>
                </c:pt>
                <c:pt idx="4">
                  <c:v>43838</c:v>
                </c:pt>
                <c:pt idx="5">
                  <c:v>43839</c:v>
                </c:pt>
                <c:pt idx="6">
                  <c:v>43840</c:v>
                </c:pt>
                <c:pt idx="7">
                  <c:v>43843</c:v>
                </c:pt>
                <c:pt idx="8">
                  <c:v>43844</c:v>
                </c:pt>
                <c:pt idx="9">
                  <c:v>43845</c:v>
                </c:pt>
                <c:pt idx="10">
                  <c:v>43846</c:v>
                </c:pt>
                <c:pt idx="11">
                  <c:v>43847</c:v>
                </c:pt>
                <c:pt idx="12">
                  <c:v>43850</c:v>
                </c:pt>
                <c:pt idx="13">
                  <c:v>43851</c:v>
                </c:pt>
                <c:pt idx="14">
                  <c:v>43852</c:v>
                </c:pt>
                <c:pt idx="15">
                  <c:v>43853</c:v>
                </c:pt>
                <c:pt idx="16">
                  <c:v>43854</c:v>
                </c:pt>
                <c:pt idx="17">
                  <c:v>43857</c:v>
                </c:pt>
                <c:pt idx="18">
                  <c:v>43858</c:v>
                </c:pt>
                <c:pt idx="19">
                  <c:v>43859</c:v>
                </c:pt>
                <c:pt idx="20">
                  <c:v>43860</c:v>
                </c:pt>
                <c:pt idx="21">
                  <c:v>43861</c:v>
                </c:pt>
                <c:pt idx="22">
                  <c:v>43864</c:v>
                </c:pt>
                <c:pt idx="23">
                  <c:v>43865</c:v>
                </c:pt>
                <c:pt idx="24">
                  <c:v>43866</c:v>
                </c:pt>
                <c:pt idx="25">
                  <c:v>43867</c:v>
                </c:pt>
                <c:pt idx="26">
                  <c:v>43868</c:v>
                </c:pt>
                <c:pt idx="27">
                  <c:v>43871</c:v>
                </c:pt>
                <c:pt idx="28">
                  <c:v>43872</c:v>
                </c:pt>
                <c:pt idx="29">
                  <c:v>43873</c:v>
                </c:pt>
                <c:pt idx="30">
                  <c:v>43874</c:v>
                </c:pt>
                <c:pt idx="31">
                  <c:v>43875</c:v>
                </c:pt>
                <c:pt idx="32">
                  <c:v>43878</c:v>
                </c:pt>
                <c:pt idx="33">
                  <c:v>43879</c:v>
                </c:pt>
                <c:pt idx="34">
                  <c:v>43880</c:v>
                </c:pt>
                <c:pt idx="35">
                  <c:v>43881</c:v>
                </c:pt>
                <c:pt idx="36">
                  <c:v>43882</c:v>
                </c:pt>
                <c:pt idx="37">
                  <c:v>43885</c:v>
                </c:pt>
                <c:pt idx="38">
                  <c:v>43886</c:v>
                </c:pt>
                <c:pt idx="39">
                  <c:v>43887</c:v>
                </c:pt>
                <c:pt idx="40">
                  <c:v>43888</c:v>
                </c:pt>
                <c:pt idx="41">
                  <c:v>43889</c:v>
                </c:pt>
                <c:pt idx="42">
                  <c:v>43892</c:v>
                </c:pt>
                <c:pt idx="43">
                  <c:v>43893</c:v>
                </c:pt>
                <c:pt idx="44">
                  <c:v>43894</c:v>
                </c:pt>
                <c:pt idx="45">
                  <c:v>43895</c:v>
                </c:pt>
                <c:pt idx="46">
                  <c:v>43896</c:v>
                </c:pt>
                <c:pt idx="47">
                  <c:v>43899</c:v>
                </c:pt>
                <c:pt idx="48">
                  <c:v>43900</c:v>
                </c:pt>
                <c:pt idx="49">
                  <c:v>43901</c:v>
                </c:pt>
                <c:pt idx="50">
                  <c:v>43902</c:v>
                </c:pt>
                <c:pt idx="51">
                  <c:v>43903</c:v>
                </c:pt>
                <c:pt idx="52">
                  <c:v>43906</c:v>
                </c:pt>
                <c:pt idx="53">
                  <c:v>43907</c:v>
                </c:pt>
                <c:pt idx="54">
                  <c:v>43908</c:v>
                </c:pt>
                <c:pt idx="55">
                  <c:v>43909</c:v>
                </c:pt>
                <c:pt idx="56">
                  <c:v>43910</c:v>
                </c:pt>
                <c:pt idx="57">
                  <c:v>43913</c:v>
                </c:pt>
                <c:pt idx="58">
                  <c:v>43914</c:v>
                </c:pt>
                <c:pt idx="59">
                  <c:v>43915</c:v>
                </c:pt>
                <c:pt idx="60">
                  <c:v>43916</c:v>
                </c:pt>
                <c:pt idx="61">
                  <c:v>43917</c:v>
                </c:pt>
                <c:pt idx="62">
                  <c:v>43920</c:v>
                </c:pt>
                <c:pt idx="63">
                  <c:v>43921</c:v>
                </c:pt>
                <c:pt idx="64">
                  <c:v>43922</c:v>
                </c:pt>
                <c:pt idx="65">
                  <c:v>43923</c:v>
                </c:pt>
                <c:pt idx="66">
                  <c:v>43924</c:v>
                </c:pt>
                <c:pt idx="67">
                  <c:v>43927</c:v>
                </c:pt>
                <c:pt idx="68">
                  <c:v>43928</c:v>
                </c:pt>
                <c:pt idx="69">
                  <c:v>43929</c:v>
                </c:pt>
                <c:pt idx="70">
                  <c:v>43930</c:v>
                </c:pt>
                <c:pt idx="71">
                  <c:v>43934</c:v>
                </c:pt>
                <c:pt idx="72">
                  <c:v>43935</c:v>
                </c:pt>
                <c:pt idx="73">
                  <c:v>43936</c:v>
                </c:pt>
                <c:pt idx="74">
                  <c:v>43937</c:v>
                </c:pt>
                <c:pt idx="75">
                  <c:v>43938</c:v>
                </c:pt>
                <c:pt idx="76">
                  <c:v>43941</c:v>
                </c:pt>
                <c:pt idx="77">
                  <c:v>43942</c:v>
                </c:pt>
                <c:pt idx="78">
                  <c:v>43943</c:v>
                </c:pt>
                <c:pt idx="79">
                  <c:v>43944</c:v>
                </c:pt>
                <c:pt idx="80">
                  <c:v>43945</c:v>
                </c:pt>
                <c:pt idx="81">
                  <c:v>43948</c:v>
                </c:pt>
                <c:pt idx="82">
                  <c:v>43949</c:v>
                </c:pt>
                <c:pt idx="83">
                  <c:v>43950</c:v>
                </c:pt>
                <c:pt idx="84">
                  <c:v>43951</c:v>
                </c:pt>
                <c:pt idx="85">
                  <c:v>43952</c:v>
                </c:pt>
                <c:pt idx="86">
                  <c:v>43955</c:v>
                </c:pt>
                <c:pt idx="87">
                  <c:v>43956</c:v>
                </c:pt>
                <c:pt idx="88">
                  <c:v>43957</c:v>
                </c:pt>
                <c:pt idx="89">
                  <c:v>43958</c:v>
                </c:pt>
                <c:pt idx="90">
                  <c:v>43959</c:v>
                </c:pt>
                <c:pt idx="91">
                  <c:v>43962</c:v>
                </c:pt>
                <c:pt idx="92">
                  <c:v>43963</c:v>
                </c:pt>
                <c:pt idx="93">
                  <c:v>43964</c:v>
                </c:pt>
                <c:pt idx="94">
                  <c:v>43965</c:v>
                </c:pt>
                <c:pt idx="95">
                  <c:v>43966</c:v>
                </c:pt>
                <c:pt idx="96">
                  <c:v>43969</c:v>
                </c:pt>
                <c:pt idx="97">
                  <c:v>43970</c:v>
                </c:pt>
                <c:pt idx="98">
                  <c:v>43971</c:v>
                </c:pt>
                <c:pt idx="99">
                  <c:v>43972</c:v>
                </c:pt>
                <c:pt idx="100">
                  <c:v>43973</c:v>
                </c:pt>
                <c:pt idx="101">
                  <c:v>43976</c:v>
                </c:pt>
                <c:pt idx="102">
                  <c:v>43977</c:v>
                </c:pt>
                <c:pt idx="103">
                  <c:v>43978</c:v>
                </c:pt>
                <c:pt idx="104">
                  <c:v>43979</c:v>
                </c:pt>
                <c:pt idx="105">
                  <c:v>43980</c:v>
                </c:pt>
                <c:pt idx="106">
                  <c:v>43983</c:v>
                </c:pt>
                <c:pt idx="107">
                  <c:v>43984</c:v>
                </c:pt>
                <c:pt idx="108">
                  <c:v>43985</c:v>
                </c:pt>
                <c:pt idx="109">
                  <c:v>43986</c:v>
                </c:pt>
                <c:pt idx="110">
                  <c:v>43987</c:v>
                </c:pt>
                <c:pt idx="111">
                  <c:v>43990</c:v>
                </c:pt>
                <c:pt idx="112">
                  <c:v>43991</c:v>
                </c:pt>
                <c:pt idx="113">
                  <c:v>43992</c:v>
                </c:pt>
                <c:pt idx="114">
                  <c:v>43993</c:v>
                </c:pt>
                <c:pt idx="115">
                  <c:v>43994</c:v>
                </c:pt>
                <c:pt idx="116">
                  <c:v>43997</c:v>
                </c:pt>
                <c:pt idx="117">
                  <c:v>43998</c:v>
                </c:pt>
                <c:pt idx="118">
                  <c:v>43999</c:v>
                </c:pt>
                <c:pt idx="119">
                  <c:v>44000</c:v>
                </c:pt>
                <c:pt idx="120">
                  <c:v>44001</c:v>
                </c:pt>
                <c:pt idx="121">
                  <c:v>44004</c:v>
                </c:pt>
                <c:pt idx="122">
                  <c:v>44005</c:v>
                </c:pt>
                <c:pt idx="123">
                  <c:v>44006</c:v>
                </c:pt>
                <c:pt idx="124">
                  <c:v>44007</c:v>
                </c:pt>
                <c:pt idx="125">
                  <c:v>44008</c:v>
                </c:pt>
                <c:pt idx="126">
                  <c:v>44011</c:v>
                </c:pt>
                <c:pt idx="127">
                  <c:v>44012</c:v>
                </c:pt>
                <c:pt idx="128">
                  <c:v>44013</c:v>
                </c:pt>
                <c:pt idx="129">
                  <c:v>44014</c:v>
                </c:pt>
                <c:pt idx="130">
                  <c:v>44015</c:v>
                </c:pt>
                <c:pt idx="131">
                  <c:v>44018</c:v>
                </c:pt>
                <c:pt idx="132">
                  <c:v>44019</c:v>
                </c:pt>
                <c:pt idx="133">
                  <c:v>44020</c:v>
                </c:pt>
                <c:pt idx="134">
                  <c:v>44021</c:v>
                </c:pt>
                <c:pt idx="135">
                  <c:v>44022</c:v>
                </c:pt>
                <c:pt idx="136">
                  <c:v>44025</c:v>
                </c:pt>
                <c:pt idx="137">
                  <c:v>44026</c:v>
                </c:pt>
                <c:pt idx="138">
                  <c:v>44027</c:v>
                </c:pt>
                <c:pt idx="139">
                  <c:v>44028</c:v>
                </c:pt>
                <c:pt idx="140">
                  <c:v>44029</c:v>
                </c:pt>
                <c:pt idx="141">
                  <c:v>44032</c:v>
                </c:pt>
                <c:pt idx="142">
                  <c:v>44033</c:v>
                </c:pt>
                <c:pt idx="143">
                  <c:v>44034</c:v>
                </c:pt>
                <c:pt idx="144">
                  <c:v>44035</c:v>
                </c:pt>
                <c:pt idx="145">
                  <c:v>44036</c:v>
                </c:pt>
                <c:pt idx="146">
                  <c:v>44039</c:v>
                </c:pt>
                <c:pt idx="147">
                  <c:v>44040</c:v>
                </c:pt>
                <c:pt idx="148">
                  <c:v>44041</c:v>
                </c:pt>
                <c:pt idx="149">
                  <c:v>44042</c:v>
                </c:pt>
                <c:pt idx="150">
                  <c:v>44043</c:v>
                </c:pt>
                <c:pt idx="151">
                  <c:v>44046</c:v>
                </c:pt>
                <c:pt idx="152">
                  <c:v>44047</c:v>
                </c:pt>
                <c:pt idx="153">
                  <c:v>44048</c:v>
                </c:pt>
                <c:pt idx="154">
                  <c:v>44049</c:v>
                </c:pt>
                <c:pt idx="155">
                  <c:v>44050</c:v>
                </c:pt>
                <c:pt idx="156">
                  <c:v>44053</c:v>
                </c:pt>
                <c:pt idx="157">
                  <c:v>44054</c:v>
                </c:pt>
                <c:pt idx="158">
                  <c:v>44055</c:v>
                </c:pt>
                <c:pt idx="159">
                  <c:v>44056</c:v>
                </c:pt>
                <c:pt idx="160">
                  <c:v>44057</c:v>
                </c:pt>
                <c:pt idx="161">
                  <c:v>44060</c:v>
                </c:pt>
                <c:pt idx="162">
                  <c:v>44061</c:v>
                </c:pt>
                <c:pt idx="163">
                  <c:v>44062</c:v>
                </c:pt>
                <c:pt idx="164">
                  <c:v>44063</c:v>
                </c:pt>
                <c:pt idx="165">
                  <c:v>44064</c:v>
                </c:pt>
                <c:pt idx="166">
                  <c:v>44067</c:v>
                </c:pt>
                <c:pt idx="167">
                  <c:v>44068</c:v>
                </c:pt>
                <c:pt idx="168">
                  <c:v>44069</c:v>
                </c:pt>
                <c:pt idx="169">
                  <c:v>44070</c:v>
                </c:pt>
                <c:pt idx="170">
                  <c:v>44071</c:v>
                </c:pt>
                <c:pt idx="171">
                  <c:v>44074</c:v>
                </c:pt>
                <c:pt idx="172">
                  <c:v>44075</c:v>
                </c:pt>
                <c:pt idx="173">
                  <c:v>44076</c:v>
                </c:pt>
                <c:pt idx="174">
                  <c:v>44077</c:v>
                </c:pt>
                <c:pt idx="175">
                  <c:v>44078</c:v>
                </c:pt>
                <c:pt idx="176">
                  <c:v>44081</c:v>
                </c:pt>
                <c:pt idx="177">
                  <c:v>44082</c:v>
                </c:pt>
                <c:pt idx="178">
                  <c:v>44083</c:v>
                </c:pt>
                <c:pt idx="179">
                  <c:v>44084</c:v>
                </c:pt>
                <c:pt idx="180">
                  <c:v>44085</c:v>
                </c:pt>
                <c:pt idx="181">
                  <c:v>44088</c:v>
                </c:pt>
                <c:pt idx="182">
                  <c:v>44089</c:v>
                </c:pt>
                <c:pt idx="183">
                  <c:v>44090</c:v>
                </c:pt>
                <c:pt idx="184">
                  <c:v>44091</c:v>
                </c:pt>
                <c:pt idx="185">
                  <c:v>44092</c:v>
                </c:pt>
                <c:pt idx="186">
                  <c:v>44095</c:v>
                </c:pt>
                <c:pt idx="187">
                  <c:v>44096</c:v>
                </c:pt>
                <c:pt idx="188">
                  <c:v>44097</c:v>
                </c:pt>
                <c:pt idx="189">
                  <c:v>44098</c:v>
                </c:pt>
                <c:pt idx="190">
                  <c:v>44099</c:v>
                </c:pt>
                <c:pt idx="191">
                  <c:v>44102</c:v>
                </c:pt>
                <c:pt idx="192">
                  <c:v>44103</c:v>
                </c:pt>
                <c:pt idx="193">
                  <c:v>44104</c:v>
                </c:pt>
                <c:pt idx="194">
                  <c:v>44105</c:v>
                </c:pt>
                <c:pt idx="195">
                  <c:v>44106</c:v>
                </c:pt>
                <c:pt idx="196">
                  <c:v>44109</c:v>
                </c:pt>
                <c:pt idx="197">
                  <c:v>44110</c:v>
                </c:pt>
                <c:pt idx="198">
                  <c:v>44111</c:v>
                </c:pt>
                <c:pt idx="199">
                  <c:v>44112</c:v>
                </c:pt>
                <c:pt idx="200">
                  <c:v>44113</c:v>
                </c:pt>
                <c:pt idx="201">
                  <c:v>44116</c:v>
                </c:pt>
                <c:pt idx="202">
                  <c:v>44117</c:v>
                </c:pt>
                <c:pt idx="203">
                  <c:v>44118</c:v>
                </c:pt>
                <c:pt idx="204">
                  <c:v>44119</c:v>
                </c:pt>
                <c:pt idx="205">
                  <c:v>44120</c:v>
                </c:pt>
                <c:pt idx="206">
                  <c:v>44123</c:v>
                </c:pt>
                <c:pt idx="207">
                  <c:v>44124</c:v>
                </c:pt>
                <c:pt idx="208">
                  <c:v>44125</c:v>
                </c:pt>
                <c:pt idx="209">
                  <c:v>44126</c:v>
                </c:pt>
                <c:pt idx="210">
                  <c:v>44127</c:v>
                </c:pt>
                <c:pt idx="211">
                  <c:v>44130</c:v>
                </c:pt>
                <c:pt idx="212">
                  <c:v>44131</c:v>
                </c:pt>
                <c:pt idx="213">
                  <c:v>44132</c:v>
                </c:pt>
                <c:pt idx="214">
                  <c:v>44133</c:v>
                </c:pt>
                <c:pt idx="215">
                  <c:v>44134</c:v>
                </c:pt>
                <c:pt idx="216">
                  <c:v>44137</c:v>
                </c:pt>
                <c:pt idx="217">
                  <c:v>44138</c:v>
                </c:pt>
                <c:pt idx="218">
                  <c:v>44139</c:v>
                </c:pt>
                <c:pt idx="219">
                  <c:v>44140</c:v>
                </c:pt>
                <c:pt idx="220">
                  <c:v>44141</c:v>
                </c:pt>
                <c:pt idx="221">
                  <c:v>44144</c:v>
                </c:pt>
                <c:pt idx="222">
                  <c:v>44145</c:v>
                </c:pt>
                <c:pt idx="223">
                  <c:v>44146</c:v>
                </c:pt>
                <c:pt idx="224">
                  <c:v>44147</c:v>
                </c:pt>
                <c:pt idx="225">
                  <c:v>44148</c:v>
                </c:pt>
                <c:pt idx="226">
                  <c:v>44151</c:v>
                </c:pt>
                <c:pt idx="227">
                  <c:v>44152</c:v>
                </c:pt>
                <c:pt idx="228">
                  <c:v>44153</c:v>
                </c:pt>
                <c:pt idx="229">
                  <c:v>44154</c:v>
                </c:pt>
                <c:pt idx="230">
                  <c:v>44155</c:v>
                </c:pt>
                <c:pt idx="231">
                  <c:v>44158</c:v>
                </c:pt>
                <c:pt idx="232">
                  <c:v>44159</c:v>
                </c:pt>
                <c:pt idx="233">
                  <c:v>44160</c:v>
                </c:pt>
                <c:pt idx="234">
                  <c:v>44161</c:v>
                </c:pt>
                <c:pt idx="235">
                  <c:v>44162</c:v>
                </c:pt>
                <c:pt idx="236">
                  <c:v>44165</c:v>
                </c:pt>
                <c:pt idx="237">
                  <c:v>44166</c:v>
                </c:pt>
                <c:pt idx="238">
                  <c:v>44167</c:v>
                </c:pt>
                <c:pt idx="239">
                  <c:v>44168</c:v>
                </c:pt>
                <c:pt idx="240">
                  <c:v>44169</c:v>
                </c:pt>
                <c:pt idx="241">
                  <c:v>44172</c:v>
                </c:pt>
                <c:pt idx="242">
                  <c:v>44173</c:v>
                </c:pt>
                <c:pt idx="243">
                  <c:v>44174</c:v>
                </c:pt>
                <c:pt idx="244">
                  <c:v>44175</c:v>
                </c:pt>
                <c:pt idx="245">
                  <c:v>44176</c:v>
                </c:pt>
                <c:pt idx="246">
                  <c:v>44179</c:v>
                </c:pt>
                <c:pt idx="247">
                  <c:v>44180</c:v>
                </c:pt>
                <c:pt idx="248">
                  <c:v>44181</c:v>
                </c:pt>
                <c:pt idx="249">
                  <c:v>44182</c:v>
                </c:pt>
                <c:pt idx="250">
                  <c:v>44183</c:v>
                </c:pt>
                <c:pt idx="251">
                  <c:v>44186</c:v>
                </c:pt>
                <c:pt idx="252">
                  <c:v>44187</c:v>
                </c:pt>
                <c:pt idx="253">
                  <c:v>44188</c:v>
                </c:pt>
                <c:pt idx="254">
                  <c:v>44189</c:v>
                </c:pt>
                <c:pt idx="255">
                  <c:v>44193</c:v>
                </c:pt>
                <c:pt idx="256">
                  <c:v>44194</c:v>
                </c:pt>
                <c:pt idx="257">
                  <c:v>44195</c:v>
                </c:pt>
                <c:pt idx="258">
                  <c:v>44196</c:v>
                </c:pt>
                <c:pt idx="259">
                  <c:v>44200</c:v>
                </c:pt>
                <c:pt idx="260">
                  <c:v>44201</c:v>
                </c:pt>
                <c:pt idx="261">
                  <c:v>44202</c:v>
                </c:pt>
                <c:pt idx="262">
                  <c:v>44203</c:v>
                </c:pt>
                <c:pt idx="263">
                  <c:v>44204</c:v>
                </c:pt>
                <c:pt idx="264">
                  <c:v>44207</c:v>
                </c:pt>
                <c:pt idx="265">
                  <c:v>44208</c:v>
                </c:pt>
                <c:pt idx="266">
                  <c:v>44209</c:v>
                </c:pt>
                <c:pt idx="267">
                  <c:v>44210</c:v>
                </c:pt>
                <c:pt idx="268">
                  <c:v>44211</c:v>
                </c:pt>
                <c:pt idx="269">
                  <c:v>44214</c:v>
                </c:pt>
                <c:pt idx="270">
                  <c:v>44215</c:v>
                </c:pt>
                <c:pt idx="271">
                  <c:v>44216</c:v>
                </c:pt>
                <c:pt idx="272">
                  <c:v>44217</c:v>
                </c:pt>
                <c:pt idx="273">
                  <c:v>44218</c:v>
                </c:pt>
                <c:pt idx="274">
                  <c:v>44221</c:v>
                </c:pt>
                <c:pt idx="275">
                  <c:v>44222</c:v>
                </c:pt>
                <c:pt idx="276">
                  <c:v>44223</c:v>
                </c:pt>
                <c:pt idx="277">
                  <c:v>44224</c:v>
                </c:pt>
                <c:pt idx="278">
                  <c:v>44225</c:v>
                </c:pt>
                <c:pt idx="279">
                  <c:v>44228</c:v>
                </c:pt>
                <c:pt idx="280">
                  <c:v>44229</c:v>
                </c:pt>
                <c:pt idx="281">
                  <c:v>44230</c:v>
                </c:pt>
                <c:pt idx="282">
                  <c:v>44231</c:v>
                </c:pt>
                <c:pt idx="283">
                  <c:v>44232</c:v>
                </c:pt>
                <c:pt idx="284">
                  <c:v>44235</c:v>
                </c:pt>
                <c:pt idx="285">
                  <c:v>44236</c:v>
                </c:pt>
                <c:pt idx="286">
                  <c:v>44237</c:v>
                </c:pt>
                <c:pt idx="287">
                  <c:v>44238</c:v>
                </c:pt>
                <c:pt idx="288">
                  <c:v>44239</c:v>
                </c:pt>
                <c:pt idx="289">
                  <c:v>44242</c:v>
                </c:pt>
                <c:pt idx="290">
                  <c:v>44243</c:v>
                </c:pt>
                <c:pt idx="291">
                  <c:v>44244</c:v>
                </c:pt>
                <c:pt idx="292">
                  <c:v>44245</c:v>
                </c:pt>
                <c:pt idx="293">
                  <c:v>44246</c:v>
                </c:pt>
                <c:pt idx="294">
                  <c:v>44249</c:v>
                </c:pt>
                <c:pt idx="295">
                  <c:v>44250</c:v>
                </c:pt>
                <c:pt idx="296">
                  <c:v>44251</c:v>
                </c:pt>
                <c:pt idx="297">
                  <c:v>44252</c:v>
                </c:pt>
                <c:pt idx="298">
                  <c:v>44253</c:v>
                </c:pt>
                <c:pt idx="299">
                  <c:v>44256</c:v>
                </c:pt>
                <c:pt idx="300">
                  <c:v>44257</c:v>
                </c:pt>
                <c:pt idx="301">
                  <c:v>44258</c:v>
                </c:pt>
                <c:pt idx="302">
                  <c:v>44259</c:v>
                </c:pt>
                <c:pt idx="303">
                  <c:v>44260</c:v>
                </c:pt>
                <c:pt idx="304">
                  <c:v>44263</c:v>
                </c:pt>
                <c:pt idx="305">
                  <c:v>44264</c:v>
                </c:pt>
                <c:pt idx="306">
                  <c:v>44265</c:v>
                </c:pt>
                <c:pt idx="307">
                  <c:v>44266</c:v>
                </c:pt>
                <c:pt idx="308">
                  <c:v>44267</c:v>
                </c:pt>
                <c:pt idx="309">
                  <c:v>44270</c:v>
                </c:pt>
                <c:pt idx="310">
                  <c:v>44271</c:v>
                </c:pt>
                <c:pt idx="311">
                  <c:v>44272</c:v>
                </c:pt>
                <c:pt idx="312">
                  <c:v>44273</c:v>
                </c:pt>
                <c:pt idx="313">
                  <c:v>44274</c:v>
                </c:pt>
                <c:pt idx="314">
                  <c:v>44277</c:v>
                </c:pt>
                <c:pt idx="315">
                  <c:v>44278</c:v>
                </c:pt>
                <c:pt idx="316">
                  <c:v>44279</c:v>
                </c:pt>
                <c:pt idx="317">
                  <c:v>44280</c:v>
                </c:pt>
                <c:pt idx="318">
                  <c:v>44281</c:v>
                </c:pt>
                <c:pt idx="319">
                  <c:v>44284</c:v>
                </c:pt>
                <c:pt idx="320">
                  <c:v>44285</c:v>
                </c:pt>
                <c:pt idx="321">
                  <c:v>44286</c:v>
                </c:pt>
                <c:pt idx="322">
                  <c:v>44287</c:v>
                </c:pt>
                <c:pt idx="323">
                  <c:v>44288</c:v>
                </c:pt>
                <c:pt idx="324">
                  <c:v>44291</c:v>
                </c:pt>
                <c:pt idx="325">
                  <c:v>44292</c:v>
                </c:pt>
                <c:pt idx="326">
                  <c:v>44293</c:v>
                </c:pt>
                <c:pt idx="327">
                  <c:v>44294</c:v>
                </c:pt>
                <c:pt idx="328">
                  <c:v>44295</c:v>
                </c:pt>
                <c:pt idx="329">
                  <c:v>44298</c:v>
                </c:pt>
                <c:pt idx="330">
                  <c:v>44299</c:v>
                </c:pt>
                <c:pt idx="331">
                  <c:v>44300</c:v>
                </c:pt>
                <c:pt idx="332">
                  <c:v>44301</c:v>
                </c:pt>
                <c:pt idx="333">
                  <c:v>44302</c:v>
                </c:pt>
                <c:pt idx="334">
                  <c:v>44305</c:v>
                </c:pt>
                <c:pt idx="335">
                  <c:v>44306</c:v>
                </c:pt>
                <c:pt idx="336">
                  <c:v>44307</c:v>
                </c:pt>
                <c:pt idx="337">
                  <c:v>44308</c:v>
                </c:pt>
                <c:pt idx="338">
                  <c:v>44309</c:v>
                </c:pt>
                <c:pt idx="339">
                  <c:v>44312</c:v>
                </c:pt>
                <c:pt idx="340">
                  <c:v>44313</c:v>
                </c:pt>
                <c:pt idx="341">
                  <c:v>44314</c:v>
                </c:pt>
                <c:pt idx="342">
                  <c:v>44315</c:v>
                </c:pt>
                <c:pt idx="343">
                  <c:v>44316</c:v>
                </c:pt>
                <c:pt idx="344">
                  <c:v>44319</c:v>
                </c:pt>
                <c:pt idx="345">
                  <c:v>44320</c:v>
                </c:pt>
                <c:pt idx="346">
                  <c:v>44321</c:v>
                </c:pt>
                <c:pt idx="347">
                  <c:v>44322</c:v>
                </c:pt>
                <c:pt idx="348">
                  <c:v>44323</c:v>
                </c:pt>
                <c:pt idx="349">
                  <c:v>44326</c:v>
                </c:pt>
                <c:pt idx="350">
                  <c:v>44327</c:v>
                </c:pt>
                <c:pt idx="351">
                  <c:v>44328</c:v>
                </c:pt>
                <c:pt idx="352">
                  <c:v>44329</c:v>
                </c:pt>
                <c:pt idx="353">
                  <c:v>44330</c:v>
                </c:pt>
                <c:pt idx="354">
                  <c:v>44333</c:v>
                </c:pt>
                <c:pt idx="355">
                  <c:v>44334</c:v>
                </c:pt>
                <c:pt idx="356">
                  <c:v>44335</c:v>
                </c:pt>
                <c:pt idx="357">
                  <c:v>44336</c:v>
                </c:pt>
                <c:pt idx="358">
                  <c:v>44337</c:v>
                </c:pt>
                <c:pt idx="359">
                  <c:v>44340</c:v>
                </c:pt>
                <c:pt idx="360">
                  <c:v>44341</c:v>
                </c:pt>
                <c:pt idx="361">
                  <c:v>44342</c:v>
                </c:pt>
                <c:pt idx="362">
                  <c:v>44343</c:v>
                </c:pt>
                <c:pt idx="363">
                  <c:v>44344</c:v>
                </c:pt>
                <c:pt idx="364">
                  <c:v>44347</c:v>
                </c:pt>
                <c:pt idx="365">
                  <c:v>44348</c:v>
                </c:pt>
                <c:pt idx="366">
                  <c:v>44349</c:v>
                </c:pt>
                <c:pt idx="367">
                  <c:v>44350</c:v>
                </c:pt>
                <c:pt idx="368">
                  <c:v>44351</c:v>
                </c:pt>
                <c:pt idx="369">
                  <c:v>44354</c:v>
                </c:pt>
                <c:pt idx="370">
                  <c:v>44355</c:v>
                </c:pt>
                <c:pt idx="371">
                  <c:v>44356</c:v>
                </c:pt>
                <c:pt idx="372">
                  <c:v>44357</c:v>
                </c:pt>
                <c:pt idx="373">
                  <c:v>44358</c:v>
                </c:pt>
                <c:pt idx="374">
                  <c:v>44361</c:v>
                </c:pt>
                <c:pt idx="375">
                  <c:v>44362</c:v>
                </c:pt>
                <c:pt idx="376">
                  <c:v>44363</c:v>
                </c:pt>
                <c:pt idx="377">
                  <c:v>44364</c:v>
                </c:pt>
                <c:pt idx="378">
                  <c:v>44365</c:v>
                </c:pt>
                <c:pt idx="379">
                  <c:v>44368</c:v>
                </c:pt>
                <c:pt idx="380">
                  <c:v>44369</c:v>
                </c:pt>
                <c:pt idx="381">
                  <c:v>44370</c:v>
                </c:pt>
                <c:pt idx="382">
                  <c:v>44371</c:v>
                </c:pt>
                <c:pt idx="383">
                  <c:v>44372</c:v>
                </c:pt>
                <c:pt idx="384">
                  <c:v>44375</c:v>
                </c:pt>
                <c:pt idx="385">
                  <c:v>44376</c:v>
                </c:pt>
                <c:pt idx="386">
                  <c:v>44377</c:v>
                </c:pt>
                <c:pt idx="387">
                  <c:v>44378</c:v>
                </c:pt>
                <c:pt idx="388">
                  <c:v>44379</c:v>
                </c:pt>
                <c:pt idx="389">
                  <c:v>44382</c:v>
                </c:pt>
                <c:pt idx="390">
                  <c:v>44383</c:v>
                </c:pt>
                <c:pt idx="391">
                  <c:v>44384</c:v>
                </c:pt>
                <c:pt idx="392">
                  <c:v>44385</c:v>
                </c:pt>
                <c:pt idx="393">
                  <c:v>44386</c:v>
                </c:pt>
                <c:pt idx="394">
                  <c:v>44389</c:v>
                </c:pt>
                <c:pt idx="395">
                  <c:v>44390</c:v>
                </c:pt>
                <c:pt idx="396">
                  <c:v>44391</c:v>
                </c:pt>
                <c:pt idx="397">
                  <c:v>44392</c:v>
                </c:pt>
                <c:pt idx="398">
                  <c:v>44393</c:v>
                </c:pt>
                <c:pt idx="399">
                  <c:v>44396</c:v>
                </c:pt>
                <c:pt idx="400">
                  <c:v>44397</c:v>
                </c:pt>
                <c:pt idx="401">
                  <c:v>44398</c:v>
                </c:pt>
                <c:pt idx="402">
                  <c:v>44399</c:v>
                </c:pt>
                <c:pt idx="403">
                  <c:v>44400</c:v>
                </c:pt>
                <c:pt idx="404">
                  <c:v>44403</c:v>
                </c:pt>
                <c:pt idx="405">
                  <c:v>44404</c:v>
                </c:pt>
                <c:pt idx="406">
                  <c:v>44405</c:v>
                </c:pt>
                <c:pt idx="407">
                  <c:v>44406</c:v>
                </c:pt>
                <c:pt idx="408">
                  <c:v>44407</c:v>
                </c:pt>
                <c:pt idx="409">
                  <c:v>44410</c:v>
                </c:pt>
                <c:pt idx="410">
                  <c:v>44411</c:v>
                </c:pt>
                <c:pt idx="411">
                  <c:v>44412</c:v>
                </c:pt>
                <c:pt idx="412">
                  <c:v>44413</c:v>
                </c:pt>
                <c:pt idx="413">
                  <c:v>44414</c:v>
                </c:pt>
                <c:pt idx="414">
                  <c:v>44417</c:v>
                </c:pt>
                <c:pt idx="415">
                  <c:v>44418</c:v>
                </c:pt>
                <c:pt idx="416">
                  <c:v>44419</c:v>
                </c:pt>
                <c:pt idx="417">
                  <c:v>44420</c:v>
                </c:pt>
                <c:pt idx="418">
                  <c:v>44421</c:v>
                </c:pt>
                <c:pt idx="419">
                  <c:v>44424</c:v>
                </c:pt>
                <c:pt idx="420">
                  <c:v>44425</c:v>
                </c:pt>
                <c:pt idx="421">
                  <c:v>44426</c:v>
                </c:pt>
                <c:pt idx="422">
                  <c:v>44427</c:v>
                </c:pt>
                <c:pt idx="423">
                  <c:v>44428</c:v>
                </c:pt>
                <c:pt idx="424">
                  <c:v>44431</c:v>
                </c:pt>
                <c:pt idx="425">
                  <c:v>44432</c:v>
                </c:pt>
                <c:pt idx="426">
                  <c:v>44433</c:v>
                </c:pt>
                <c:pt idx="427">
                  <c:v>44434</c:v>
                </c:pt>
                <c:pt idx="428">
                  <c:v>44435</c:v>
                </c:pt>
                <c:pt idx="429">
                  <c:v>44438</c:v>
                </c:pt>
                <c:pt idx="430">
                  <c:v>44439</c:v>
                </c:pt>
                <c:pt idx="431">
                  <c:v>44440</c:v>
                </c:pt>
                <c:pt idx="432">
                  <c:v>44441</c:v>
                </c:pt>
                <c:pt idx="433">
                  <c:v>44442</c:v>
                </c:pt>
                <c:pt idx="434">
                  <c:v>44445</c:v>
                </c:pt>
                <c:pt idx="435">
                  <c:v>44446</c:v>
                </c:pt>
                <c:pt idx="436">
                  <c:v>44447</c:v>
                </c:pt>
                <c:pt idx="437">
                  <c:v>44448</c:v>
                </c:pt>
                <c:pt idx="438">
                  <c:v>44449</c:v>
                </c:pt>
                <c:pt idx="439">
                  <c:v>44452</c:v>
                </c:pt>
                <c:pt idx="440">
                  <c:v>44453</c:v>
                </c:pt>
                <c:pt idx="441">
                  <c:v>44454</c:v>
                </c:pt>
                <c:pt idx="442">
                  <c:v>44455</c:v>
                </c:pt>
                <c:pt idx="443">
                  <c:v>44456</c:v>
                </c:pt>
                <c:pt idx="444">
                  <c:v>44459</c:v>
                </c:pt>
                <c:pt idx="445">
                  <c:v>44460</c:v>
                </c:pt>
                <c:pt idx="446">
                  <c:v>44461</c:v>
                </c:pt>
                <c:pt idx="447">
                  <c:v>44462</c:v>
                </c:pt>
                <c:pt idx="448">
                  <c:v>44463</c:v>
                </c:pt>
                <c:pt idx="449">
                  <c:v>44466</c:v>
                </c:pt>
                <c:pt idx="450">
                  <c:v>44467</c:v>
                </c:pt>
                <c:pt idx="451">
                  <c:v>44468</c:v>
                </c:pt>
                <c:pt idx="452">
                  <c:v>44469</c:v>
                </c:pt>
                <c:pt idx="453">
                  <c:v>44470</c:v>
                </c:pt>
                <c:pt idx="454">
                  <c:v>44473</c:v>
                </c:pt>
                <c:pt idx="455">
                  <c:v>44474</c:v>
                </c:pt>
                <c:pt idx="456">
                  <c:v>44475</c:v>
                </c:pt>
                <c:pt idx="457">
                  <c:v>44476</c:v>
                </c:pt>
                <c:pt idx="458">
                  <c:v>44477</c:v>
                </c:pt>
                <c:pt idx="459">
                  <c:v>44480</c:v>
                </c:pt>
                <c:pt idx="460">
                  <c:v>44481</c:v>
                </c:pt>
                <c:pt idx="461">
                  <c:v>44482</c:v>
                </c:pt>
                <c:pt idx="462">
                  <c:v>44483</c:v>
                </c:pt>
                <c:pt idx="463">
                  <c:v>44484</c:v>
                </c:pt>
                <c:pt idx="464">
                  <c:v>44487</c:v>
                </c:pt>
                <c:pt idx="465">
                  <c:v>44488</c:v>
                </c:pt>
                <c:pt idx="466">
                  <c:v>44489</c:v>
                </c:pt>
                <c:pt idx="467">
                  <c:v>44490</c:v>
                </c:pt>
                <c:pt idx="468">
                  <c:v>44491</c:v>
                </c:pt>
                <c:pt idx="469">
                  <c:v>44494</c:v>
                </c:pt>
                <c:pt idx="470">
                  <c:v>44495</c:v>
                </c:pt>
                <c:pt idx="471">
                  <c:v>44496</c:v>
                </c:pt>
                <c:pt idx="472">
                  <c:v>44497</c:v>
                </c:pt>
                <c:pt idx="473">
                  <c:v>44498</c:v>
                </c:pt>
                <c:pt idx="474">
                  <c:v>44501</c:v>
                </c:pt>
                <c:pt idx="475">
                  <c:v>44502</c:v>
                </c:pt>
                <c:pt idx="476">
                  <c:v>44503</c:v>
                </c:pt>
                <c:pt idx="477">
                  <c:v>44504</c:v>
                </c:pt>
                <c:pt idx="478">
                  <c:v>44505</c:v>
                </c:pt>
                <c:pt idx="479">
                  <c:v>44508</c:v>
                </c:pt>
                <c:pt idx="480">
                  <c:v>44509</c:v>
                </c:pt>
                <c:pt idx="481">
                  <c:v>44510</c:v>
                </c:pt>
                <c:pt idx="482">
                  <c:v>44511</c:v>
                </c:pt>
                <c:pt idx="483">
                  <c:v>44512</c:v>
                </c:pt>
                <c:pt idx="484">
                  <c:v>44515</c:v>
                </c:pt>
                <c:pt idx="485">
                  <c:v>44516</c:v>
                </c:pt>
                <c:pt idx="486">
                  <c:v>44517</c:v>
                </c:pt>
                <c:pt idx="487">
                  <c:v>44518</c:v>
                </c:pt>
                <c:pt idx="488">
                  <c:v>44519</c:v>
                </c:pt>
                <c:pt idx="489">
                  <c:v>44522</c:v>
                </c:pt>
                <c:pt idx="490">
                  <c:v>44523</c:v>
                </c:pt>
                <c:pt idx="491">
                  <c:v>44524</c:v>
                </c:pt>
                <c:pt idx="492">
                  <c:v>44525</c:v>
                </c:pt>
                <c:pt idx="493">
                  <c:v>44526</c:v>
                </c:pt>
                <c:pt idx="494">
                  <c:v>44529</c:v>
                </c:pt>
                <c:pt idx="495">
                  <c:v>44530</c:v>
                </c:pt>
                <c:pt idx="496">
                  <c:v>44531</c:v>
                </c:pt>
                <c:pt idx="497">
                  <c:v>44532</c:v>
                </c:pt>
                <c:pt idx="498">
                  <c:v>44533</c:v>
                </c:pt>
                <c:pt idx="499">
                  <c:v>44536</c:v>
                </c:pt>
                <c:pt idx="500">
                  <c:v>44537</c:v>
                </c:pt>
                <c:pt idx="501">
                  <c:v>44538</c:v>
                </c:pt>
                <c:pt idx="502">
                  <c:v>44539</c:v>
                </c:pt>
                <c:pt idx="503">
                  <c:v>44540</c:v>
                </c:pt>
                <c:pt idx="504">
                  <c:v>44543</c:v>
                </c:pt>
                <c:pt idx="505">
                  <c:v>44544</c:v>
                </c:pt>
                <c:pt idx="506">
                  <c:v>44545</c:v>
                </c:pt>
                <c:pt idx="507">
                  <c:v>44546</c:v>
                </c:pt>
                <c:pt idx="508">
                  <c:v>44547</c:v>
                </c:pt>
                <c:pt idx="509">
                  <c:v>44550</c:v>
                </c:pt>
                <c:pt idx="510">
                  <c:v>44551</c:v>
                </c:pt>
                <c:pt idx="511">
                  <c:v>44552</c:v>
                </c:pt>
                <c:pt idx="512">
                  <c:v>44553</c:v>
                </c:pt>
                <c:pt idx="513">
                  <c:v>44557</c:v>
                </c:pt>
                <c:pt idx="514">
                  <c:v>44558</c:v>
                </c:pt>
                <c:pt idx="515">
                  <c:v>44559</c:v>
                </c:pt>
                <c:pt idx="516">
                  <c:v>44560</c:v>
                </c:pt>
                <c:pt idx="517">
                  <c:v>44561</c:v>
                </c:pt>
                <c:pt idx="518">
                  <c:v>44564</c:v>
                </c:pt>
                <c:pt idx="519">
                  <c:v>44565</c:v>
                </c:pt>
                <c:pt idx="520">
                  <c:v>44566</c:v>
                </c:pt>
                <c:pt idx="521">
                  <c:v>44567</c:v>
                </c:pt>
                <c:pt idx="522">
                  <c:v>44568</c:v>
                </c:pt>
                <c:pt idx="523">
                  <c:v>44571</c:v>
                </c:pt>
                <c:pt idx="524">
                  <c:v>44572</c:v>
                </c:pt>
                <c:pt idx="525">
                  <c:v>44573</c:v>
                </c:pt>
                <c:pt idx="526">
                  <c:v>44574</c:v>
                </c:pt>
                <c:pt idx="527">
                  <c:v>44575</c:v>
                </c:pt>
                <c:pt idx="528">
                  <c:v>44578</c:v>
                </c:pt>
                <c:pt idx="529">
                  <c:v>44579</c:v>
                </c:pt>
                <c:pt idx="530">
                  <c:v>44580</c:v>
                </c:pt>
                <c:pt idx="531">
                  <c:v>44581</c:v>
                </c:pt>
                <c:pt idx="532">
                  <c:v>44582</c:v>
                </c:pt>
                <c:pt idx="533">
                  <c:v>44585</c:v>
                </c:pt>
                <c:pt idx="534">
                  <c:v>44586</c:v>
                </c:pt>
                <c:pt idx="535">
                  <c:v>44587</c:v>
                </c:pt>
                <c:pt idx="536">
                  <c:v>44588</c:v>
                </c:pt>
                <c:pt idx="537">
                  <c:v>44589</c:v>
                </c:pt>
                <c:pt idx="538">
                  <c:v>44592</c:v>
                </c:pt>
                <c:pt idx="539">
                  <c:v>44593</c:v>
                </c:pt>
                <c:pt idx="540">
                  <c:v>44594</c:v>
                </c:pt>
                <c:pt idx="541">
                  <c:v>44595</c:v>
                </c:pt>
                <c:pt idx="542">
                  <c:v>44596</c:v>
                </c:pt>
                <c:pt idx="543">
                  <c:v>44599</c:v>
                </c:pt>
                <c:pt idx="544">
                  <c:v>44600</c:v>
                </c:pt>
                <c:pt idx="545">
                  <c:v>44601</c:v>
                </c:pt>
                <c:pt idx="546">
                  <c:v>44602</c:v>
                </c:pt>
                <c:pt idx="547">
                  <c:v>44603</c:v>
                </c:pt>
                <c:pt idx="548">
                  <c:v>44606</c:v>
                </c:pt>
                <c:pt idx="549">
                  <c:v>44607</c:v>
                </c:pt>
                <c:pt idx="550">
                  <c:v>44608</c:v>
                </c:pt>
                <c:pt idx="551">
                  <c:v>44609</c:v>
                </c:pt>
                <c:pt idx="552">
                  <c:v>44610</c:v>
                </c:pt>
                <c:pt idx="553">
                  <c:v>44613</c:v>
                </c:pt>
                <c:pt idx="554">
                  <c:v>44614</c:v>
                </c:pt>
                <c:pt idx="555">
                  <c:v>44615</c:v>
                </c:pt>
                <c:pt idx="556">
                  <c:v>44616</c:v>
                </c:pt>
                <c:pt idx="557">
                  <c:v>44617</c:v>
                </c:pt>
                <c:pt idx="558">
                  <c:v>44620</c:v>
                </c:pt>
                <c:pt idx="559">
                  <c:v>44621</c:v>
                </c:pt>
                <c:pt idx="560">
                  <c:v>44622</c:v>
                </c:pt>
                <c:pt idx="561">
                  <c:v>44623</c:v>
                </c:pt>
                <c:pt idx="562">
                  <c:v>44624</c:v>
                </c:pt>
                <c:pt idx="563">
                  <c:v>44627</c:v>
                </c:pt>
                <c:pt idx="564">
                  <c:v>44628</c:v>
                </c:pt>
                <c:pt idx="565">
                  <c:v>44629</c:v>
                </c:pt>
                <c:pt idx="566">
                  <c:v>44630</c:v>
                </c:pt>
                <c:pt idx="567">
                  <c:v>44631</c:v>
                </c:pt>
                <c:pt idx="568">
                  <c:v>44634</c:v>
                </c:pt>
                <c:pt idx="569">
                  <c:v>44635</c:v>
                </c:pt>
                <c:pt idx="570">
                  <c:v>44636</c:v>
                </c:pt>
                <c:pt idx="571">
                  <c:v>44637</c:v>
                </c:pt>
                <c:pt idx="572">
                  <c:v>44638</c:v>
                </c:pt>
                <c:pt idx="573">
                  <c:v>44641</c:v>
                </c:pt>
                <c:pt idx="574">
                  <c:v>44642</c:v>
                </c:pt>
                <c:pt idx="575">
                  <c:v>44643</c:v>
                </c:pt>
                <c:pt idx="576">
                  <c:v>44644</c:v>
                </c:pt>
                <c:pt idx="577">
                  <c:v>44645</c:v>
                </c:pt>
                <c:pt idx="578">
                  <c:v>44648</c:v>
                </c:pt>
                <c:pt idx="579">
                  <c:v>44649</c:v>
                </c:pt>
                <c:pt idx="580">
                  <c:v>44650</c:v>
                </c:pt>
                <c:pt idx="581">
                  <c:v>44651</c:v>
                </c:pt>
                <c:pt idx="582">
                  <c:v>44652</c:v>
                </c:pt>
                <c:pt idx="583">
                  <c:v>44655</c:v>
                </c:pt>
                <c:pt idx="584">
                  <c:v>44656</c:v>
                </c:pt>
                <c:pt idx="585">
                  <c:v>44657</c:v>
                </c:pt>
                <c:pt idx="586">
                  <c:v>44658</c:v>
                </c:pt>
                <c:pt idx="587">
                  <c:v>44659</c:v>
                </c:pt>
                <c:pt idx="588">
                  <c:v>44662</c:v>
                </c:pt>
                <c:pt idx="589">
                  <c:v>44663</c:v>
                </c:pt>
                <c:pt idx="590">
                  <c:v>44664</c:v>
                </c:pt>
                <c:pt idx="591">
                  <c:v>44665</c:v>
                </c:pt>
                <c:pt idx="592">
                  <c:v>44669</c:v>
                </c:pt>
                <c:pt idx="593">
                  <c:v>44670</c:v>
                </c:pt>
                <c:pt idx="594">
                  <c:v>44671</c:v>
                </c:pt>
                <c:pt idx="595">
                  <c:v>44672</c:v>
                </c:pt>
                <c:pt idx="596">
                  <c:v>44673</c:v>
                </c:pt>
                <c:pt idx="597">
                  <c:v>44676</c:v>
                </c:pt>
                <c:pt idx="598">
                  <c:v>44677</c:v>
                </c:pt>
                <c:pt idx="599">
                  <c:v>44678</c:v>
                </c:pt>
                <c:pt idx="600">
                  <c:v>44679</c:v>
                </c:pt>
                <c:pt idx="601">
                  <c:v>44680</c:v>
                </c:pt>
                <c:pt idx="602">
                  <c:v>44683</c:v>
                </c:pt>
                <c:pt idx="603">
                  <c:v>44684</c:v>
                </c:pt>
                <c:pt idx="604">
                  <c:v>44685</c:v>
                </c:pt>
                <c:pt idx="605">
                  <c:v>44686</c:v>
                </c:pt>
                <c:pt idx="606">
                  <c:v>44687</c:v>
                </c:pt>
                <c:pt idx="607">
                  <c:v>44690</c:v>
                </c:pt>
                <c:pt idx="608">
                  <c:v>44691</c:v>
                </c:pt>
                <c:pt idx="609">
                  <c:v>44692</c:v>
                </c:pt>
                <c:pt idx="610">
                  <c:v>44693</c:v>
                </c:pt>
                <c:pt idx="611">
                  <c:v>44694</c:v>
                </c:pt>
                <c:pt idx="612">
                  <c:v>44697</c:v>
                </c:pt>
                <c:pt idx="613">
                  <c:v>44698</c:v>
                </c:pt>
                <c:pt idx="614">
                  <c:v>44699</c:v>
                </c:pt>
                <c:pt idx="615">
                  <c:v>44700</c:v>
                </c:pt>
                <c:pt idx="616">
                  <c:v>44701</c:v>
                </c:pt>
                <c:pt idx="617">
                  <c:v>44704</c:v>
                </c:pt>
                <c:pt idx="618">
                  <c:v>44705</c:v>
                </c:pt>
                <c:pt idx="619">
                  <c:v>44706</c:v>
                </c:pt>
                <c:pt idx="620">
                  <c:v>44707</c:v>
                </c:pt>
                <c:pt idx="621">
                  <c:v>44708</c:v>
                </c:pt>
                <c:pt idx="622">
                  <c:v>44711</c:v>
                </c:pt>
                <c:pt idx="623">
                  <c:v>44712</c:v>
                </c:pt>
                <c:pt idx="624">
                  <c:v>44713</c:v>
                </c:pt>
                <c:pt idx="625">
                  <c:v>44714</c:v>
                </c:pt>
                <c:pt idx="626">
                  <c:v>44715</c:v>
                </c:pt>
                <c:pt idx="627">
                  <c:v>44718</c:v>
                </c:pt>
                <c:pt idx="628">
                  <c:v>44719</c:v>
                </c:pt>
                <c:pt idx="629">
                  <c:v>44720</c:v>
                </c:pt>
                <c:pt idx="630">
                  <c:v>44721</c:v>
                </c:pt>
                <c:pt idx="631">
                  <c:v>44722</c:v>
                </c:pt>
                <c:pt idx="632">
                  <c:v>44725</c:v>
                </c:pt>
                <c:pt idx="633">
                  <c:v>44726</c:v>
                </c:pt>
                <c:pt idx="634">
                  <c:v>44727</c:v>
                </c:pt>
                <c:pt idx="635">
                  <c:v>44728</c:v>
                </c:pt>
                <c:pt idx="636">
                  <c:v>44729</c:v>
                </c:pt>
                <c:pt idx="637">
                  <c:v>44732</c:v>
                </c:pt>
                <c:pt idx="638">
                  <c:v>44733</c:v>
                </c:pt>
                <c:pt idx="639">
                  <c:v>44734</c:v>
                </c:pt>
                <c:pt idx="640">
                  <c:v>44735</c:v>
                </c:pt>
                <c:pt idx="641">
                  <c:v>44736</c:v>
                </c:pt>
                <c:pt idx="642">
                  <c:v>44739</c:v>
                </c:pt>
                <c:pt idx="643">
                  <c:v>44740</c:v>
                </c:pt>
                <c:pt idx="644">
                  <c:v>44741</c:v>
                </c:pt>
                <c:pt idx="645">
                  <c:v>44742</c:v>
                </c:pt>
                <c:pt idx="646">
                  <c:v>44743</c:v>
                </c:pt>
                <c:pt idx="647">
                  <c:v>44746</c:v>
                </c:pt>
                <c:pt idx="648">
                  <c:v>44747</c:v>
                </c:pt>
                <c:pt idx="649">
                  <c:v>44748</c:v>
                </c:pt>
                <c:pt idx="650">
                  <c:v>44749</c:v>
                </c:pt>
                <c:pt idx="651">
                  <c:v>44750</c:v>
                </c:pt>
                <c:pt idx="652">
                  <c:v>44753</c:v>
                </c:pt>
                <c:pt idx="653">
                  <c:v>44754</c:v>
                </c:pt>
                <c:pt idx="654">
                  <c:v>44755</c:v>
                </c:pt>
                <c:pt idx="655">
                  <c:v>44756</c:v>
                </c:pt>
                <c:pt idx="656">
                  <c:v>44757</c:v>
                </c:pt>
                <c:pt idx="657">
                  <c:v>44760</c:v>
                </c:pt>
                <c:pt idx="658">
                  <c:v>44761</c:v>
                </c:pt>
                <c:pt idx="659">
                  <c:v>44762</c:v>
                </c:pt>
                <c:pt idx="660">
                  <c:v>44763</c:v>
                </c:pt>
                <c:pt idx="661">
                  <c:v>44764</c:v>
                </c:pt>
                <c:pt idx="662">
                  <c:v>44767</c:v>
                </c:pt>
                <c:pt idx="663">
                  <c:v>44768</c:v>
                </c:pt>
                <c:pt idx="664">
                  <c:v>44769</c:v>
                </c:pt>
                <c:pt idx="665">
                  <c:v>44770</c:v>
                </c:pt>
                <c:pt idx="666">
                  <c:v>44771</c:v>
                </c:pt>
                <c:pt idx="667">
                  <c:v>44774</c:v>
                </c:pt>
                <c:pt idx="668">
                  <c:v>44775</c:v>
                </c:pt>
                <c:pt idx="669">
                  <c:v>44776</c:v>
                </c:pt>
                <c:pt idx="670">
                  <c:v>44777</c:v>
                </c:pt>
                <c:pt idx="671">
                  <c:v>44778</c:v>
                </c:pt>
                <c:pt idx="672">
                  <c:v>44781</c:v>
                </c:pt>
                <c:pt idx="673">
                  <c:v>44782</c:v>
                </c:pt>
                <c:pt idx="674">
                  <c:v>44783</c:v>
                </c:pt>
                <c:pt idx="675">
                  <c:v>44784</c:v>
                </c:pt>
                <c:pt idx="676">
                  <c:v>44785</c:v>
                </c:pt>
                <c:pt idx="677">
                  <c:v>44788</c:v>
                </c:pt>
                <c:pt idx="678">
                  <c:v>44789</c:v>
                </c:pt>
                <c:pt idx="679">
                  <c:v>44790</c:v>
                </c:pt>
                <c:pt idx="680">
                  <c:v>44791</c:v>
                </c:pt>
                <c:pt idx="681">
                  <c:v>44792</c:v>
                </c:pt>
                <c:pt idx="682">
                  <c:v>44795</c:v>
                </c:pt>
                <c:pt idx="683">
                  <c:v>44796</c:v>
                </c:pt>
                <c:pt idx="684">
                  <c:v>44797</c:v>
                </c:pt>
                <c:pt idx="685">
                  <c:v>44798</c:v>
                </c:pt>
                <c:pt idx="686">
                  <c:v>44799</c:v>
                </c:pt>
                <c:pt idx="687">
                  <c:v>44802</c:v>
                </c:pt>
                <c:pt idx="688">
                  <c:v>44803</c:v>
                </c:pt>
                <c:pt idx="689">
                  <c:v>44804</c:v>
                </c:pt>
                <c:pt idx="690">
                  <c:v>44805</c:v>
                </c:pt>
                <c:pt idx="691">
                  <c:v>44806</c:v>
                </c:pt>
                <c:pt idx="692">
                  <c:v>44809</c:v>
                </c:pt>
                <c:pt idx="693">
                  <c:v>44810</c:v>
                </c:pt>
                <c:pt idx="694">
                  <c:v>44811</c:v>
                </c:pt>
                <c:pt idx="695">
                  <c:v>44812</c:v>
                </c:pt>
                <c:pt idx="696">
                  <c:v>44813</c:v>
                </c:pt>
                <c:pt idx="697">
                  <c:v>44816</c:v>
                </c:pt>
                <c:pt idx="698">
                  <c:v>44817</c:v>
                </c:pt>
                <c:pt idx="699">
                  <c:v>44818</c:v>
                </c:pt>
                <c:pt idx="700">
                  <c:v>44819</c:v>
                </c:pt>
                <c:pt idx="701">
                  <c:v>44820</c:v>
                </c:pt>
                <c:pt idx="702">
                  <c:v>44823</c:v>
                </c:pt>
                <c:pt idx="703">
                  <c:v>44824</c:v>
                </c:pt>
                <c:pt idx="704">
                  <c:v>44825</c:v>
                </c:pt>
                <c:pt idx="705">
                  <c:v>44826</c:v>
                </c:pt>
                <c:pt idx="706">
                  <c:v>44827</c:v>
                </c:pt>
                <c:pt idx="707">
                  <c:v>44830</c:v>
                </c:pt>
                <c:pt idx="708">
                  <c:v>44831</c:v>
                </c:pt>
                <c:pt idx="709">
                  <c:v>44832</c:v>
                </c:pt>
                <c:pt idx="710">
                  <c:v>44833</c:v>
                </c:pt>
                <c:pt idx="711">
                  <c:v>44834</c:v>
                </c:pt>
                <c:pt idx="712">
                  <c:v>44837</c:v>
                </c:pt>
                <c:pt idx="713">
                  <c:v>44838</c:v>
                </c:pt>
                <c:pt idx="714">
                  <c:v>44839</c:v>
                </c:pt>
                <c:pt idx="715">
                  <c:v>44840</c:v>
                </c:pt>
                <c:pt idx="716">
                  <c:v>44841</c:v>
                </c:pt>
                <c:pt idx="717">
                  <c:v>44844</c:v>
                </c:pt>
                <c:pt idx="718">
                  <c:v>44845</c:v>
                </c:pt>
                <c:pt idx="719">
                  <c:v>44846</c:v>
                </c:pt>
                <c:pt idx="720">
                  <c:v>44847</c:v>
                </c:pt>
                <c:pt idx="721">
                  <c:v>44848</c:v>
                </c:pt>
                <c:pt idx="722">
                  <c:v>44851</c:v>
                </c:pt>
                <c:pt idx="723">
                  <c:v>44852</c:v>
                </c:pt>
                <c:pt idx="724">
                  <c:v>44853</c:v>
                </c:pt>
                <c:pt idx="725">
                  <c:v>44854</c:v>
                </c:pt>
                <c:pt idx="726">
                  <c:v>44855</c:v>
                </c:pt>
                <c:pt idx="727">
                  <c:v>44858</c:v>
                </c:pt>
                <c:pt idx="728">
                  <c:v>44859</c:v>
                </c:pt>
                <c:pt idx="729">
                  <c:v>44860</c:v>
                </c:pt>
                <c:pt idx="730">
                  <c:v>44861</c:v>
                </c:pt>
                <c:pt idx="731">
                  <c:v>44862</c:v>
                </c:pt>
                <c:pt idx="732">
                  <c:v>44865</c:v>
                </c:pt>
                <c:pt idx="733">
                  <c:v>44866</c:v>
                </c:pt>
                <c:pt idx="734">
                  <c:v>44867</c:v>
                </c:pt>
                <c:pt idx="735">
                  <c:v>44868</c:v>
                </c:pt>
                <c:pt idx="736">
                  <c:v>44869</c:v>
                </c:pt>
                <c:pt idx="737">
                  <c:v>44872</c:v>
                </c:pt>
                <c:pt idx="738">
                  <c:v>44873</c:v>
                </c:pt>
                <c:pt idx="739">
                  <c:v>44874</c:v>
                </c:pt>
                <c:pt idx="740">
                  <c:v>44875</c:v>
                </c:pt>
                <c:pt idx="741">
                  <c:v>44876</c:v>
                </c:pt>
                <c:pt idx="742">
                  <c:v>44879</c:v>
                </c:pt>
                <c:pt idx="743">
                  <c:v>44880</c:v>
                </c:pt>
                <c:pt idx="744">
                  <c:v>44881</c:v>
                </c:pt>
                <c:pt idx="745">
                  <c:v>44882</c:v>
                </c:pt>
                <c:pt idx="746">
                  <c:v>44883</c:v>
                </c:pt>
                <c:pt idx="747">
                  <c:v>44886</c:v>
                </c:pt>
                <c:pt idx="748">
                  <c:v>44887</c:v>
                </c:pt>
                <c:pt idx="749">
                  <c:v>44888</c:v>
                </c:pt>
                <c:pt idx="750">
                  <c:v>44889</c:v>
                </c:pt>
                <c:pt idx="751">
                  <c:v>44890</c:v>
                </c:pt>
                <c:pt idx="752">
                  <c:v>44893</c:v>
                </c:pt>
                <c:pt idx="753">
                  <c:v>44894</c:v>
                </c:pt>
                <c:pt idx="754">
                  <c:v>44895</c:v>
                </c:pt>
                <c:pt idx="755">
                  <c:v>44896</c:v>
                </c:pt>
                <c:pt idx="756">
                  <c:v>44897</c:v>
                </c:pt>
                <c:pt idx="757">
                  <c:v>44900</c:v>
                </c:pt>
                <c:pt idx="758">
                  <c:v>44901</c:v>
                </c:pt>
                <c:pt idx="759">
                  <c:v>44902</c:v>
                </c:pt>
                <c:pt idx="760">
                  <c:v>44903</c:v>
                </c:pt>
                <c:pt idx="761">
                  <c:v>44904</c:v>
                </c:pt>
                <c:pt idx="762">
                  <c:v>44907</c:v>
                </c:pt>
                <c:pt idx="763">
                  <c:v>44908</c:v>
                </c:pt>
                <c:pt idx="764">
                  <c:v>44909</c:v>
                </c:pt>
                <c:pt idx="765">
                  <c:v>44910</c:v>
                </c:pt>
                <c:pt idx="766">
                  <c:v>44911</c:v>
                </c:pt>
                <c:pt idx="767">
                  <c:v>44914</c:v>
                </c:pt>
                <c:pt idx="768">
                  <c:v>44915</c:v>
                </c:pt>
                <c:pt idx="769">
                  <c:v>44916</c:v>
                </c:pt>
                <c:pt idx="770">
                  <c:v>44917</c:v>
                </c:pt>
                <c:pt idx="771">
                  <c:v>44918</c:v>
                </c:pt>
                <c:pt idx="772">
                  <c:v>44922</c:v>
                </c:pt>
                <c:pt idx="773">
                  <c:v>44923</c:v>
                </c:pt>
                <c:pt idx="774">
                  <c:v>44924</c:v>
                </c:pt>
                <c:pt idx="775">
                  <c:v>44925</c:v>
                </c:pt>
                <c:pt idx="776">
                  <c:v>44929</c:v>
                </c:pt>
                <c:pt idx="777">
                  <c:v>44930</c:v>
                </c:pt>
                <c:pt idx="778">
                  <c:v>44931</c:v>
                </c:pt>
                <c:pt idx="779">
                  <c:v>44932</c:v>
                </c:pt>
                <c:pt idx="780">
                  <c:v>44935</c:v>
                </c:pt>
                <c:pt idx="781">
                  <c:v>44936</c:v>
                </c:pt>
                <c:pt idx="782">
                  <c:v>44937</c:v>
                </c:pt>
                <c:pt idx="783">
                  <c:v>44938</c:v>
                </c:pt>
                <c:pt idx="784">
                  <c:v>44939</c:v>
                </c:pt>
                <c:pt idx="785">
                  <c:v>44942</c:v>
                </c:pt>
                <c:pt idx="786">
                  <c:v>44943</c:v>
                </c:pt>
                <c:pt idx="787">
                  <c:v>44944</c:v>
                </c:pt>
                <c:pt idx="788">
                  <c:v>44945</c:v>
                </c:pt>
                <c:pt idx="789">
                  <c:v>44946</c:v>
                </c:pt>
                <c:pt idx="790">
                  <c:v>44949</c:v>
                </c:pt>
                <c:pt idx="791">
                  <c:v>44950</c:v>
                </c:pt>
                <c:pt idx="792">
                  <c:v>44951</c:v>
                </c:pt>
                <c:pt idx="793">
                  <c:v>44952</c:v>
                </c:pt>
                <c:pt idx="794">
                  <c:v>44953</c:v>
                </c:pt>
                <c:pt idx="795">
                  <c:v>44956</c:v>
                </c:pt>
                <c:pt idx="796">
                  <c:v>44957</c:v>
                </c:pt>
                <c:pt idx="797">
                  <c:v>44958</c:v>
                </c:pt>
                <c:pt idx="798">
                  <c:v>44959</c:v>
                </c:pt>
                <c:pt idx="799">
                  <c:v>44960</c:v>
                </c:pt>
                <c:pt idx="800">
                  <c:v>44963</c:v>
                </c:pt>
                <c:pt idx="801">
                  <c:v>44964</c:v>
                </c:pt>
                <c:pt idx="802">
                  <c:v>44965</c:v>
                </c:pt>
                <c:pt idx="803">
                  <c:v>44966</c:v>
                </c:pt>
                <c:pt idx="804">
                  <c:v>44967</c:v>
                </c:pt>
                <c:pt idx="805">
                  <c:v>44970</c:v>
                </c:pt>
                <c:pt idx="806">
                  <c:v>44971</c:v>
                </c:pt>
                <c:pt idx="807">
                  <c:v>44972</c:v>
                </c:pt>
                <c:pt idx="808">
                  <c:v>44973</c:v>
                </c:pt>
                <c:pt idx="809">
                  <c:v>44974</c:v>
                </c:pt>
                <c:pt idx="810">
                  <c:v>44977</c:v>
                </c:pt>
                <c:pt idx="811">
                  <c:v>44978</c:v>
                </c:pt>
                <c:pt idx="812">
                  <c:v>44979</c:v>
                </c:pt>
                <c:pt idx="813">
                  <c:v>44980</c:v>
                </c:pt>
                <c:pt idx="814">
                  <c:v>44981</c:v>
                </c:pt>
                <c:pt idx="815">
                  <c:v>44984</c:v>
                </c:pt>
                <c:pt idx="816">
                  <c:v>44985</c:v>
                </c:pt>
                <c:pt idx="817">
                  <c:v>44986</c:v>
                </c:pt>
                <c:pt idx="818">
                  <c:v>44987</c:v>
                </c:pt>
                <c:pt idx="819">
                  <c:v>44988</c:v>
                </c:pt>
                <c:pt idx="820">
                  <c:v>44991</c:v>
                </c:pt>
                <c:pt idx="821">
                  <c:v>44992</c:v>
                </c:pt>
                <c:pt idx="822">
                  <c:v>44993</c:v>
                </c:pt>
                <c:pt idx="823">
                  <c:v>44994</c:v>
                </c:pt>
                <c:pt idx="824">
                  <c:v>44995</c:v>
                </c:pt>
                <c:pt idx="825">
                  <c:v>44998</c:v>
                </c:pt>
                <c:pt idx="826">
                  <c:v>44999</c:v>
                </c:pt>
                <c:pt idx="827">
                  <c:v>45000</c:v>
                </c:pt>
                <c:pt idx="828">
                  <c:v>45001</c:v>
                </c:pt>
                <c:pt idx="829">
                  <c:v>45002</c:v>
                </c:pt>
                <c:pt idx="830">
                  <c:v>45005</c:v>
                </c:pt>
                <c:pt idx="831">
                  <c:v>45006</c:v>
                </c:pt>
                <c:pt idx="832">
                  <c:v>45007</c:v>
                </c:pt>
                <c:pt idx="833">
                  <c:v>45008</c:v>
                </c:pt>
                <c:pt idx="834">
                  <c:v>45009</c:v>
                </c:pt>
                <c:pt idx="835">
                  <c:v>45012</c:v>
                </c:pt>
                <c:pt idx="836">
                  <c:v>45013</c:v>
                </c:pt>
                <c:pt idx="837">
                  <c:v>45014</c:v>
                </c:pt>
                <c:pt idx="838">
                  <c:v>45015</c:v>
                </c:pt>
                <c:pt idx="839">
                  <c:v>45016</c:v>
                </c:pt>
                <c:pt idx="840">
                  <c:v>45019</c:v>
                </c:pt>
                <c:pt idx="841">
                  <c:v>45020</c:v>
                </c:pt>
                <c:pt idx="842">
                  <c:v>45021</c:v>
                </c:pt>
                <c:pt idx="843">
                  <c:v>45022</c:v>
                </c:pt>
                <c:pt idx="844">
                  <c:v>45023</c:v>
                </c:pt>
                <c:pt idx="845">
                  <c:v>45026</c:v>
                </c:pt>
                <c:pt idx="846">
                  <c:v>45027</c:v>
                </c:pt>
                <c:pt idx="847">
                  <c:v>45028</c:v>
                </c:pt>
                <c:pt idx="848">
                  <c:v>45029</c:v>
                </c:pt>
                <c:pt idx="849">
                  <c:v>45030</c:v>
                </c:pt>
                <c:pt idx="850">
                  <c:v>45033</c:v>
                </c:pt>
                <c:pt idx="851">
                  <c:v>45034</c:v>
                </c:pt>
                <c:pt idx="852">
                  <c:v>45035</c:v>
                </c:pt>
                <c:pt idx="853">
                  <c:v>45036</c:v>
                </c:pt>
                <c:pt idx="854">
                  <c:v>45037</c:v>
                </c:pt>
                <c:pt idx="855">
                  <c:v>45040</c:v>
                </c:pt>
                <c:pt idx="856">
                  <c:v>45041</c:v>
                </c:pt>
                <c:pt idx="857">
                  <c:v>45042</c:v>
                </c:pt>
                <c:pt idx="858">
                  <c:v>45043</c:v>
                </c:pt>
                <c:pt idx="859">
                  <c:v>45044</c:v>
                </c:pt>
                <c:pt idx="860">
                  <c:v>45047</c:v>
                </c:pt>
                <c:pt idx="861">
                  <c:v>45048</c:v>
                </c:pt>
                <c:pt idx="862">
                  <c:v>45049</c:v>
                </c:pt>
                <c:pt idx="863">
                  <c:v>45050</c:v>
                </c:pt>
                <c:pt idx="864">
                  <c:v>45051</c:v>
                </c:pt>
                <c:pt idx="865">
                  <c:v>45054</c:v>
                </c:pt>
                <c:pt idx="866">
                  <c:v>45055</c:v>
                </c:pt>
                <c:pt idx="867">
                  <c:v>45056</c:v>
                </c:pt>
                <c:pt idx="868">
                  <c:v>45057</c:v>
                </c:pt>
                <c:pt idx="869">
                  <c:v>45058</c:v>
                </c:pt>
                <c:pt idx="870">
                  <c:v>45061</c:v>
                </c:pt>
                <c:pt idx="871">
                  <c:v>45062</c:v>
                </c:pt>
                <c:pt idx="872">
                  <c:v>45063</c:v>
                </c:pt>
                <c:pt idx="873">
                  <c:v>45064</c:v>
                </c:pt>
                <c:pt idx="874">
                  <c:v>45065</c:v>
                </c:pt>
                <c:pt idx="875">
                  <c:v>45068</c:v>
                </c:pt>
                <c:pt idx="876">
                  <c:v>45069</c:v>
                </c:pt>
                <c:pt idx="877">
                  <c:v>45070</c:v>
                </c:pt>
                <c:pt idx="878">
                  <c:v>45071</c:v>
                </c:pt>
                <c:pt idx="879">
                  <c:v>45072</c:v>
                </c:pt>
                <c:pt idx="880">
                  <c:v>45075</c:v>
                </c:pt>
                <c:pt idx="881">
                  <c:v>45076</c:v>
                </c:pt>
                <c:pt idx="882">
                  <c:v>45077</c:v>
                </c:pt>
                <c:pt idx="883">
                  <c:v>45078</c:v>
                </c:pt>
                <c:pt idx="884">
                  <c:v>45079</c:v>
                </c:pt>
                <c:pt idx="885">
                  <c:v>45082</c:v>
                </c:pt>
                <c:pt idx="886">
                  <c:v>45083</c:v>
                </c:pt>
                <c:pt idx="887">
                  <c:v>45084</c:v>
                </c:pt>
                <c:pt idx="888">
                  <c:v>45085</c:v>
                </c:pt>
                <c:pt idx="889">
                  <c:v>45086</c:v>
                </c:pt>
                <c:pt idx="890">
                  <c:v>45089</c:v>
                </c:pt>
                <c:pt idx="891">
                  <c:v>45090</c:v>
                </c:pt>
                <c:pt idx="892">
                  <c:v>45091</c:v>
                </c:pt>
                <c:pt idx="893">
                  <c:v>45092</c:v>
                </c:pt>
                <c:pt idx="894">
                  <c:v>45093</c:v>
                </c:pt>
                <c:pt idx="895">
                  <c:v>45096</c:v>
                </c:pt>
                <c:pt idx="896">
                  <c:v>45097</c:v>
                </c:pt>
                <c:pt idx="897">
                  <c:v>45098</c:v>
                </c:pt>
                <c:pt idx="898">
                  <c:v>45099</c:v>
                </c:pt>
                <c:pt idx="899">
                  <c:v>45100</c:v>
                </c:pt>
                <c:pt idx="900">
                  <c:v>45103</c:v>
                </c:pt>
                <c:pt idx="901">
                  <c:v>45104</c:v>
                </c:pt>
                <c:pt idx="902">
                  <c:v>45105</c:v>
                </c:pt>
                <c:pt idx="903">
                  <c:v>45106</c:v>
                </c:pt>
                <c:pt idx="904">
                  <c:v>45107</c:v>
                </c:pt>
                <c:pt idx="905">
                  <c:v>45110</c:v>
                </c:pt>
                <c:pt idx="906">
                  <c:v>45111</c:v>
                </c:pt>
                <c:pt idx="907">
                  <c:v>45112</c:v>
                </c:pt>
                <c:pt idx="908">
                  <c:v>45113</c:v>
                </c:pt>
                <c:pt idx="909">
                  <c:v>45114</c:v>
                </c:pt>
                <c:pt idx="910">
                  <c:v>45117</c:v>
                </c:pt>
                <c:pt idx="911">
                  <c:v>45118</c:v>
                </c:pt>
                <c:pt idx="912">
                  <c:v>45119</c:v>
                </c:pt>
                <c:pt idx="913">
                  <c:v>45120</c:v>
                </c:pt>
                <c:pt idx="914">
                  <c:v>45121</c:v>
                </c:pt>
                <c:pt idx="915">
                  <c:v>45124</c:v>
                </c:pt>
                <c:pt idx="916">
                  <c:v>45125</c:v>
                </c:pt>
                <c:pt idx="917">
                  <c:v>45126</c:v>
                </c:pt>
                <c:pt idx="918">
                  <c:v>45127</c:v>
                </c:pt>
                <c:pt idx="919">
                  <c:v>45128</c:v>
                </c:pt>
                <c:pt idx="920">
                  <c:v>45131</c:v>
                </c:pt>
                <c:pt idx="921">
                  <c:v>45132</c:v>
                </c:pt>
                <c:pt idx="922">
                  <c:v>45133</c:v>
                </c:pt>
                <c:pt idx="923">
                  <c:v>45134</c:v>
                </c:pt>
                <c:pt idx="924">
                  <c:v>45135</c:v>
                </c:pt>
                <c:pt idx="925">
                  <c:v>45138</c:v>
                </c:pt>
                <c:pt idx="926">
                  <c:v>45139</c:v>
                </c:pt>
                <c:pt idx="927">
                  <c:v>45140</c:v>
                </c:pt>
                <c:pt idx="928">
                  <c:v>45141</c:v>
                </c:pt>
                <c:pt idx="929">
                  <c:v>45142</c:v>
                </c:pt>
                <c:pt idx="930">
                  <c:v>45145</c:v>
                </c:pt>
                <c:pt idx="931">
                  <c:v>45146</c:v>
                </c:pt>
                <c:pt idx="932">
                  <c:v>45147</c:v>
                </c:pt>
                <c:pt idx="933">
                  <c:v>45148</c:v>
                </c:pt>
                <c:pt idx="934">
                  <c:v>45149</c:v>
                </c:pt>
                <c:pt idx="935">
                  <c:v>45152</c:v>
                </c:pt>
                <c:pt idx="936">
                  <c:v>45153</c:v>
                </c:pt>
                <c:pt idx="937">
                  <c:v>45154</c:v>
                </c:pt>
                <c:pt idx="938">
                  <c:v>45155</c:v>
                </c:pt>
                <c:pt idx="939">
                  <c:v>45156</c:v>
                </c:pt>
                <c:pt idx="940">
                  <c:v>45159</c:v>
                </c:pt>
                <c:pt idx="941">
                  <c:v>45160</c:v>
                </c:pt>
                <c:pt idx="942">
                  <c:v>45161</c:v>
                </c:pt>
                <c:pt idx="943">
                  <c:v>45162</c:v>
                </c:pt>
                <c:pt idx="944">
                  <c:v>45163</c:v>
                </c:pt>
                <c:pt idx="945">
                  <c:v>45166</c:v>
                </c:pt>
                <c:pt idx="946">
                  <c:v>45167</c:v>
                </c:pt>
                <c:pt idx="947">
                  <c:v>45168</c:v>
                </c:pt>
                <c:pt idx="948">
                  <c:v>45169</c:v>
                </c:pt>
                <c:pt idx="949">
                  <c:v>45170</c:v>
                </c:pt>
                <c:pt idx="950">
                  <c:v>45173</c:v>
                </c:pt>
                <c:pt idx="951">
                  <c:v>45174</c:v>
                </c:pt>
                <c:pt idx="952">
                  <c:v>45175</c:v>
                </c:pt>
                <c:pt idx="953">
                  <c:v>45176</c:v>
                </c:pt>
                <c:pt idx="954">
                  <c:v>45177</c:v>
                </c:pt>
                <c:pt idx="955">
                  <c:v>45180</c:v>
                </c:pt>
                <c:pt idx="956">
                  <c:v>45181</c:v>
                </c:pt>
                <c:pt idx="957">
                  <c:v>45182</c:v>
                </c:pt>
                <c:pt idx="958">
                  <c:v>45183</c:v>
                </c:pt>
                <c:pt idx="959">
                  <c:v>45184</c:v>
                </c:pt>
                <c:pt idx="960">
                  <c:v>45187</c:v>
                </c:pt>
                <c:pt idx="961">
                  <c:v>45188</c:v>
                </c:pt>
                <c:pt idx="962">
                  <c:v>45189</c:v>
                </c:pt>
                <c:pt idx="963">
                  <c:v>45190</c:v>
                </c:pt>
                <c:pt idx="964">
                  <c:v>45191</c:v>
                </c:pt>
                <c:pt idx="965">
                  <c:v>45194</c:v>
                </c:pt>
                <c:pt idx="966">
                  <c:v>45195</c:v>
                </c:pt>
                <c:pt idx="967">
                  <c:v>45196</c:v>
                </c:pt>
                <c:pt idx="968">
                  <c:v>45197</c:v>
                </c:pt>
                <c:pt idx="969">
                  <c:v>45198</c:v>
                </c:pt>
                <c:pt idx="970">
                  <c:v>45201</c:v>
                </c:pt>
                <c:pt idx="971">
                  <c:v>45202</c:v>
                </c:pt>
                <c:pt idx="972">
                  <c:v>45203</c:v>
                </c:pt>
                <c:pt idx="973">
                  <c:v>45204</c:v>
                </c:pt>
                <c:pt idx="974">
                  <c:v>45205</c:v>
                </c:pt>
                <c:pt idx="975">
                  <c:v>45208</c:v>
                </c:pt>
                <c:pt idx="976">
                  <c:v>45209</c:v>
                </c:pt>
                <c:pt idx="977">
                  <c:v>45210</c:v>
                </c:pt>
                <c:pt idx="978">
                  <c:v>45211</c:v>
                </c:pt>
                <c:pt idx="979">
                  <c:v>45212</c:v>
                </c:pt>
                <c:pt idx="980">
                  <c:v>45215</c:v>
                </c:pt>
                <c:pt idx="981">
                  <c:v>45216</c:v>
                </c:pt>
                <c:pt idx="982">
                  <c:v>45217</c:v>
                </c:pt>
                <c:pt idx="983">
                  <c:v>45218</c:v>
                </c:pt>
                <c:pt idx="984">
                  <c:v>45219</c:v>
                </c:pt>
                <c:pt idx="985">
                  <c:v>45222</c:v>
                </c:pt>
                <c:pt idx="986">
                  <c:v>45223</c:v>
                </c:pt>
                <c:pt idx="987">
                  <c:v>45224</c:v>
                </c:pt>
                <c:pt idx="988">
                  <c:v>45225</c:v>
                </c:pt>
                <c:pt idx="989">
                  <c:v>45226</c:v>
                </c:pt>
                <c:pt idx="990">
                  <c:v>45229</c:v>
                </c:pt>
                <c:pt idx="991">
                  <c:v>45230</c:v>
                </c:pt>
                <c:pt idx="992">
                  <c:v>45231</c:v>
                </c:pt>
                <c:pt idx="993">
                  <c:v>45232</c:v>
                </c:pt>
                <c:pt idx="994">
                  <c:v>45233</c:v>
                </c:pt>
                <c:pt idx="995">
                  <c:v>45236</c:v>
                </c:pt>
                <c:pt idx="996">
                  <c:v>45237</c:v>
                </c:pt>
                <c:pt idx="997">
                  <c:v>45238</c:v>
                </c:pt>
                <c:pt idx="998">
                  <c:v>45239</c:v>
                </c:pt>
                <c:pt idx="999">
                  <c:v>45240</c:v>
                </c:pt>
                <c:pt idx="1000">
                  <c:v>45243</c:v>
                </c:pt>
                <c:pt idx="1001">
                  <c:v>45244</c:v>
                </c:pt>
                <c:pt idx="1002">
                  <c:v>45245</c:v>
                </c:pt>
                <c:pt idx="1003">
                  <c:v>45246</c:v>
                </c:pt>
                <c:pt idx="1004">
                  <c:v>45247</c:v>
                </c:pt>
                <c:pt idx="1005">
                  <c:v>45250</c:v>
                </c:pt>
                <c:pt idx="1006">
                  <c:v>45251</c:v>
                </c:pt>
                <c:pt idx="1007">
                  <c:v>45252</c:v>
                </c:pt>
                <c:pt idx="1008">
                  <c:v>45253</c:v>
                </c:pt>
                <c:pt idx="1009">
                  <c:v>45254</c:v>
                </c:pt>
                <c:pt idx="1010">
                  <c:v>45257</c:v>
                </c:pt>
                <c:pt idx="1011">
                  <c:v>45258</c:v>
                </c:pt>
                <c:pt idx="1012">
                  <c:v>45259</c:v>
                </c:pt>
                <c:pt idx="1013">
                  <c:v>45260</c:v>
                </c:pt>
                <c:pt idx="1014">
                  <c:v>45261</c:v>
                </c:pt>
                <c:pt idx="1015">
                  <c:v>45264</c:v>
                </c:pt>
                <c:pt idx="1016">
                  <c:v>45265</c:v>
                </c:pt>
                <c:pt idx="1017">
                  <c:v>45266</c:v>
                </c:pt>
                <c:pt idx="1018">
                  <c:v>45267</c:v>
                </c:pt>
                <c:pt idx="1019">
                  <c:v>45268</c:v>
                </c:pt>
                <c:pt idx="1020">
                  <c:v>45271</c:v>
                </c:pt>
                <c:pt idx="1021">
                  <c:v>45272</c:v>
                </c:pt>
                <c:pt idx="1022">
                  <c:v>45273</c:v>
                </c:pt>
                <c:pt idx="1023">
                  <c:v>45274</c:v>
                </c:pt>
                <c:pt idx="1024">
                  <c:v>45275</c:v>
                </c:pt>
                <c:pt idx="1025">
                  <c:v>45278</c:v>
                </c:pt>
                <c:pt idx="1026">
                  <c:v>45279</c:v>
                </c:pt>
                <c:pt idx="1027">
                  <c:v>45280</c:v>
                </c:pt>
                <c:pt idx="1028">
                  <c:v>45281</c:v>
                </c:pt>
                <c:pt idx="1029">
                  <c:v>45282</c:v>
                </c:pt>
                <c:pt idx="1030">
                  <c:v>45286</c:v>
                </c:pt>
                <c:pt idx="1031">
                  <c:v>45287</c:v>
                </c:pt>
                <c:pt idx="1032">
                  <c:v>45288</c:v>
                </c:pt>
                <c:pt idx="1033">
                  <c:v>45289</c:v>
                </c:pt>
                <c:pt idx="1034">
                  <c:v>45293</c:v>
                </c:pt>
                <c:pt idx="1035">
                  <c:v>45294</c:v>
                </c:pt>
                <c:pt idx="1036">
                  <c:v>45295</c:v>
                </c:pt>
                <c:pt idx="1037">
                  <c:v>45296</c:v>
                </c:pt>
                <c:pt idx="1038">
                  <c:v>45299</c:v>
                </c:pt>
                <c:pt idx="1039">
                  <c:v>45300</c:v>
                </c:pt>
                <c:pt idx="1040">
                  <c:v>45301</c:v>
                </c:pt>
                <c:pt idx="1041">
                  <c:v>45302</c:v>
                </c:pt>
                <c:pt idx="1042">
                  <c:v>45303</c:v>
                </c:pt>
                <c:pt idx="1043">
                  <c:v>45306</c:v>
                </c:pt>
                <c:pt idx="1044">
                  <c:v>45307</c:v>
                </c:pt>
                <c:pt idx="1045">
                  <c:v>45308</c:v>
                </c:pt>
                <c:pt idx="1046">
                  <c:v>45309</c:v>
                </c:pt>
                <c:pt idx="1047">
                  <c:v>45310</c:v>
                </c:pt>
                <c:pt idx="1048">
                  <c:v>45313</c:v>
                </c:pt>
                <c:pt idx="1049">
                  <c:v>45314</c:v>
                </c:pt>
                <c:pt idx="1050">
                  <c:v>45315</c:v>
                </c:pt>
                <c:pt idx="1051">
                  <c:v>45316</c:v>
                </c:pt>
                <c:pt idx="1052">
                  <c:v>45317</c:v>
                </c:pt>
                <c:pt idx="1053">
                  <c:v>45320</c:v>
                </c:pt>
                <c:pt idx="1054">
                  <c:v>45321</c:v>
                </c:pt>
                <c:pt idx="1055">
                  <c:v>45322</c:v>
                </c:pt>
                <c:pt idx="1056">
                  <c:v>45323</c:v>
                </c:pt>
                <c:pt idx="1057">
                  <c:v>45324</c:v>
                </c:pt>
                <c:pt idx="1058">
                  <c:v>45327</c:v>
                </c:pt>
                <c:pt idx="1059">
                  <c:v>45328</c:v>
                </c:pt>
                <c:pt idx="1060">
                  <c:v>45329</c:v>
                </c:pt>
                <c:pt idx="1061">
                  <c:v>45330</c:v>
                </c:pt>
                <c:pt idx="1062">
                  <c:v>45331</c:v>
                </c:pt>
                <c:pt idx="1063">
                  <c:v>45334</c:v>
                </c:pt>
                <c:pt idx="1064">
                  <c:v>45335</c:v>
                </c:pt>
                <c:pt idx="1065">
                  <c:v>45336</c:v>
                </c:pt>
                <c:pt idx="1066">
                  <c:v>45337</c:v>
                </c:pt>
                <c:pt idx="1067">
                  <c:v>45338</c:v>
                </c:pt>
                <c:pt idx="1068">
                  <c:v>45341</c:v>
                </c:pt>
                <c:pt idx="1069">
                  <c:v>45342</c:v>
                </c:pt>
                <c:pt idx="1070">
                  <c:v>45343</c:v>
                </c:pt>
                <c:pt idx="1071">
                  <c:v>45344</c:v>
                </c:pt>
                <c:pt idx="1072">
                  <c:v>45345</c:v>
                </c:pt>
                <c:pt idx="1073">
                  <c:v>45348</c:v>
                </c:pt>
                <c:pt idx="1074">
                  <c:v>45349</c:v>
                </c:pt>
                <c:pt idx="1075">
                  <c:v>45350</c:v>
                </c:pt>
                <c:pt idx="1076">
                  <c:v>45351</c:v>
                </c:pt>
                <c:pt idx="1077">
                  <c:v>45352</c:v>
                </c:pt>
                <c:pt idx="1078">
                  <c:v>45355</c:v>
                </c:pt>
                <c:pt idx="1079">
                  <c:v>45356</c:v>
                </c:pt>
                <c:pt idx="1080">
                  <c:v>45357</c:v>
                </c:pt>
                <c:pt idx="1081">
                  <c:v>45358</c:v>
                </c:pt>
                <c:pt idx="1082">
                  <c:v>45359</c:v>
                </c:pt>
                <c:pt idx="1083">
                  <c:v>45362</c:v>
                </c:pt>
                <c:pt idx="1084">
                  <c:v>45363</c:v>
                </c:pt>
                <c:pt idx="1085">
                  <c:v>45364</c:v>
                </c:pt>
                <c:pt idx="1086">
                  <c:v>45365</c:v>
                </c:pt>
                <c:pt idx="1087">
                  <c:v>45366</c:v>
                </c:pt>
                <c:pt idx="1088">
                  <c:v>45369</c:v>
                </c:pt>
                <c:pt idx="1089">
                  <c:v>45370</c:v>
                </c:pt>
                <c:pt idx="1090">
                  <c:v>45371</c:v>
                </c:pt>
                <c:pt idx="1091">
                  <c:v>45372</c:v>
                </c:pt>
                <c:pt idx="1092">
                  <c:v>45373</c:v>
                </c:pt>
                <c:pt idx="1093">
                  <c:v>45376</c:v>
                </c:pt>
                <c:pt idx="1094">
                  <c:v>45377</c:v>
                </c:pt>
                <c:pt idx="1095">
                  <c:v>45378</c:v>
                </c:pt>
                <c:pt idx="1096">
                  <c:v>45379</c:v>
                </c:pt>
                <c:pt idx="1097">
                  <c:v>45383</c:v>
                </c:pt>
                <c:pt idx="1098">
                  <c:v>45384</c:v>
                </c:pt>
                <c:pt idx="1099">
                  <c:v>45385</c:v>
                </c:pt>
                <c:pt idx="1100">
                  <c:v>45386</c:v>
                </c:pt>
                <c:pt idx="1101">
                  <c:v>45387</c:v>
                </c:pt>
                <c:pt idx="1102">
                  <c:v>45390</c:v>
                </c:pt>
                <c:pt idx="1103">
                  <c:v>45391</c:v>
                </c:pt>
                <c:pt idx="1104">
                  <c:v>45392</c:v>
                </c:pt>
                <c:pt idx="1105">
                  <c:v>45393</c:v>
                </c:pt>
                <c:pt idx="1106">
                  <c:v>45394</c:v>
                </c:pt>
                <c:pt idx="1107">
                  <c:v>45397</c:v>
                </c:pt>
                <c:pt idx="1108">
                  <c:v>45398</c:v>
                </c:pt>
                <c:pt idx="1109">
                  <c:v>45399</c:v>
                </c:pt>
                <c:pt idx="1110">
                  <c:v>45400</c:v>
                </c:pt>
                <c:pt idx="1111">
                  <c:v>45401</c:v>
                </c:pt>
                <c:pt idx="1112">
                  <c:v>45404</c:v>
                </c:pt>
                <c:pt idx="1113">
                  <c:v>45405</c:v>
                </c:pt>
                <c:pt idx="1114">
                  <c:v>45406</c:v>
                </c:pt>
                <c:pt idx="1115">
                  <c:v>45407</c:v>
                </c:pt>
                <c:pt idx="1116">
                  <c:v>45408</c:v>
                </c:pt>
                <c:pt idx="1117">
                  <c:v>45411</c:v>
                </c:pt>
                <c:pt idx="1118">
                  <c:v>45412</c:v>
                </c:pt>
                <c:pt idx="1119">
                  <c:v>45413</c:v>
                </c:pt>
                <c:pt idx="1120">
                  <c:v>45414</c:v>
                </c:pt>
                <c:pt idx="1121">
                  <c:v>45415</c:v>
                </c:pt>
                <c:pt idx="1122">
                  <c:v>45418</c:v>
                </c:pt>
                <c:pt idx="1123">
                  <c:v>45419</c:v>
                </c:pt>
                <c:pt idx="1124">
                  <c:v>45420</c:v>
                </c:pt>
                <c:pt idx="1125">
                  <c:v>45421</c:v>
                </c:pt>
                <c:pt idx="1126">
                  <c:v>45422</c:v>
                </c:pt>
                <c:pt idx="1127">
                  <c:v>45425</c:v>
                </c:pt>
                <c:pt idx="1128">
                  <c:v>45426</c:v>
                </c:pt>
                <c:pt idx="1129">
                  <c:v>45427</c:v>
                </c:pt>
                <c:pt idx="1130">
                  <c:v>45428</c:v>
                </c:pt>
                <c:pt idx="1131">
                  <c:v>45429</c:v>
                </c:pt>
                <c:pt idx="1132">
                  <c:v>45432</c:v>
                </c:pt>
                <c:pt idx="1133">
                  <c:v>45433</c:v>
                </c:pt>
                <c:pt idx="1134">
                  <c:v>45434</c:v>
                </c:pt>
                <c:pt idx="1135">
                  <c:v>45435</c:v>
                </c:pt>
                <c:pt idx="1136">
                  <c:v>45436</c:v>
                </c:pt>
                <c:pt idx="1137">
                  <c:v>45439</c:v>
                </c:pt>
                <c:pt idx="1138">
                  <c:v>45440</c:v>
                </c:pt>
                <c:pt idx="1139">
                  <c:v>45441</c:v>
                </c:pt>
                <c:pt idx="1140">
                  <c:v>45442</c:v>
                </c:pt>
                <c:pt idx="1141">
                  <c:v>45443</c:v>
                </c:pt>
                <c:pt idx="1142">
                  <c:v>45446</c:v>
                </c:pt>
                <c:pt idx="1143">
                  <c:v>45447</c:v>
                </c:pt>
                <c:pt idx="1144">
                  <c:v>45448</c:v>
                </c:pt>
                <c:pt idx="1145">
                  <c:v>45449</c:v>
                </c:pt>
                <c:pt idx="1146">
                  <c:v>45450</c:v>
                </c:pt>
                <c:pt idx="1147">
                  <c:v>45453</c:v>
                </c:pt>
                <c:pt idx="1148">
                  <c:v>45454</c:v>
                </c:pt>
                <c:pt idx="1149">
                  <c:v>45455</c:v>
                </c:pt>
                <c:pt idx="1150">
                  <c:v>45456</c:v>
                </c:pt>
                <c:pt idx="1151">
                  <c:v>45457</c:v>
                </c:pt>
                <c:pt idx="1152">
                  <c:v>45460</c:v>
                </c:pt>
                <c:pt idx="1153">
                  <c:v>45461</c:v>
                </c:pt>
                <c:pt idx="1154">
                  <c:v>45462</c:v>
                </c:pt>
                <c:pt idx="1155">
                  <c:v>45463</c:v>
                </c:pt>
                <c:pt idx="1156">
                  <c:v>45464</c:v>
                </c:pt>
              </c:numCache>
            </c:numRef>
          </c:cat>
          <c:val>
            <c:numRef>
              <c:f>Sheet1!$D$2:$D$1158</c:f>
              <c:numCache>
                <c:formatCode>0.0</c:formatCode>
                <c:ptCount val="1157"/>
                <c:pt idx="0">
                  <c:v>100</c:v>
                </c:pt>
                <c:pt idx="1">
                  <c:v>100.61367588125769</c:v>
                </c:pt>
                <c:pt idx="2">
                  <c:v>100.15183900204345</c:v>
                </c:pt>
                <c:pt idx="3">
                  <c:v>100.49700130124569</c:v>
                </c:pt>
                <c:pt idx="4">
                  <c:v>99.312592266095848</c:v>
                </c:pt>
                <c:pt idx="5">
                  <c:v>99.344353679543573</c:v>
                </c:pt>
                <c:pt idx="6">
                  <c:v>98.889808961580059</c:v>
                </c:pt>
                <c:pt idx="7">
                  <c:v>99.193486965666921</c:v>
                </c:pt>
                <c:pt idx="8">
                  <c:v>99.483228839363434</c:v>
                </c:pt>
                <c:pt idx="9">
                  <c:v>99.465079460250465</c:v>
                </c:pt>
                <c:pt idx="10">
                  <c:v>99.951223543633901</c:v>
                </c:pt>
                <c:pt idx="11">
                  <c:v>99.786582747394718</c:v>
                </c:pt>
                <c:pt idx="12">
                  <c:v>99.813968864091976</c:v>
                </c:pt>
                <c:pt idx="13">
                  <c:v>100.30805330083733</c:v>
                </c:pt>
                <c:pt idx="14">
                  <c:v>100.36444601450981</c:v>
                </c:pt>
                <c:pt idx="15">
                  <c:v>100.35115807623066</c:v>
                </c:pt>
                <c:pt idx="16">
                  <c:v>100.5995777028396</c:v>
                </c:pt>
                <c:pt idx="17">
                  <c:v>101.98476424442678</c:v>
                </c:pt>
                <c:pt idx="18">
                  <c:v>100.88024488697963</c:v>
                </c:pt>
                <c:pt idx="19">
                  <c:v>101.36946788289114</c:v>
                </c:pt>
                <c:pt idx="20">
                  <c:v>102.48597879439509</c:v>
                </c:pt>
                <c:pt idx="21">
                  <c:v>103.66811915715581</c:v>
                </c:pt>
                <c:pt idx="22">
                  <c:v>103.20693047005274</c:v>
                </c:pt>
                <c:pt idx="23">
                  <c:v>101.96499438503585</c:v>
                </c:pt>
                <c:pt idx="24">
                  <c:v>101.87797459411021</c:v>
                </c:pt>
                <c:pt idx="25">
                  <c:v>102.58450399529414</c:v>
                </c:pt>
                <c:pt idx="26">
                  <c:v>103.97811703432667</c:v>
                </c:pt>
                <c:pt idx="27">
                  <c:v>103.86209064642583</c:v>
                </c:pt>
                <c:pt idx="28">
                  <c:v>102.64932320641195</c:v>
                </c:pt>
                <c:pt idx="29">
                  <c:v>102.6036256625739</c:v>
                </c:pt>
                <c:pt idx="30">
                  <c:v>103.10030286776397</c:v>
                </c:pt>
                <c:pt idx="31">
                  <c:v>102.95008434599849</c:v>
                </c:pt>
                <c:pt idx="32">
                  <c:v>102.89239524810365</c:v>
                </c:pt>
                <c:pt idx="33">
                  <c:v>103.48678741405381</c:v>
                </c:pt>
                <c:pt idx="34">
                  <c:v>103.03564570467398</c:v>
                </c:pt>
                <c:pt idx="35">
                  <c:v>103.98816401204994</c:v>
                </c:pt>
                <c:pt idx="36">
                  <c:v>103.88137436173338</c:v>
                </c:pt>
                <c:pt idx="37">
                  <c:v>105.81736214979399</c:v>
                </c:pt>
                <c:pt idx="38">
                  <c:v>105.83810429735169</c:v>
                </c:pt>
                <c:pt idx="39">
                  <c:v>106.09365403718358</c:v>
                </c:pt>
                <c:pt idx="40">
                  <c:v>107.47576166624269</c:v>
                </c:pt>
                <c:pt idx="41">
                  <c:v>108.13902424400547</c:v>
                </c:pt>
                <c:pt idx="42">
                  <c:v>107.58206517247585</c:v>
                </c:pt>
                <c:pt idx="43">
                  <c:v>107.28567932963976</c:v>
                </c:pt>
                <c:pt idx="44">
                  <c:v>107.39327922009528</c:v>
                </c:pt>
                <c:pt idx="45">
                  <c:v>109.49034274778361</c:v>
                </c:pt>
                <c:pt idx="46">
                  <c:v>111.10012785589397</c:v>
                </c:pt>
                <c:pt idx="47">
                  <c:v>121.05635868358668</c:v>
                </c:pt>
                <c:pt idx="48">
                  <c:v>115.48271676759563</c:v>
                </c:pt>
                <c:pt idx="49">
                  <c:v>118.78833448657518</c:v>
                </c:pt>
                <c:pt idx="50">
                  <c:v>108.01716412710404</c:v>
                </c:pt>
                <c:pt idx="51">
                  <c:v>117.36328413015055</c:v>
                </c:pt>
                <c:pt idx="52">
                  <c:v>120.91294617898859</c:v>
                </c:pt>
                <c:pt idx="53">
                  <c:v>121.76369832490961</c:v>
                </c:pt>
                <c:pt idx="54">
                  <c:v>131.1163002490679</c:v>
                </c:pt>
                <c:pt idx="55">
                  <c:v>128.42711322781852</c:v>
                </c:pt>
                <c:pt idx="56">
                  <c:v>129.65884028708436</c:v>
                </c:pt>
                <c:pt idx="57">
                  <c:v>128.77470624743768</c:v>
                </c:pt>
                <c:pt idx="58">
                  <c:v>126.76531070278617</c:v>
                </c:pt>
                <c:pt idx="59">
                  <c:v>126.93140993127548</c:v>
                </c:pt>
                <c:pt idx="60">
                  <c:v>125.35176575633491</c:v>
                </c:pt>
                <c:pt idx="61">
                  <c:v>127.85589392984301</c:v>
                </c:pt>
                <c:pt idx="62">
                  <c:v>129.029121651075</c:v>
                </c:pt>
                <c:pt idx="63">
                  <c:v>127.24610720125237</c:v>
                </c:pt>
                <c:pt idx="64">
                  <c:v>127.79512591942004</c:v>
                </c:pt>
                <c:pt idx="65">
                  <c:v>125.00563116896591</c:v>
                </c:pt>
                <c:pt idx="66">
                  <c:v>124.07207248084191</c:v>
                </c:pt>
                <c:pt idx="67">
                  <c:v>123.15488064352516</c:v>
                </c:pt>
                <c:pt idx="68">
                  <c:v>122.08374317980366</c:v>
                </c:pt>
                <c:pt idx="69">
                  <c:v>121.66403878781597</c:v>
                </c:pt>
                <c:pt idx="70">
                  <c:v>120.55935738234103</c:v>
                </c:pt>
                <c:pt idx="71">
                  <c:v>118.74863271976552</c:v>
                </c:pt>
                <c:pt idx="72">
                  <c:v>118.38094574469984</c:v>
                </c:pt>
                <c:pt idx="73">
                  <c:v>121.45337635168313</c:v>
                </c:pt>
                <c:pt idx="74">
                  <c:v>119.43425792536394</c:v>
                </c:pt>
                <c:pt idx="75">
                  <c:v>119.90128034146764</c:v>
                </c:pt>
                <c:pt idx="76">
                  <c:v>122.32713931755099</c:v>
                </c:pt>
                <c:pt idx="77">
                  <c:v>124.8264060502252</c:v>
                </c:pt>
                <c:pt idx="78">
                  <c:v>122.9774380530902</c:v>
                </c:pt>
                <c:pt idx="79">
                  <c:v>121.10140803531354</c:v>
                </c:pt>
                <c:pt idx="80">
                  <c:v>120.79870231939346</c:v>
                </c:pt>
                <c:pt idx="81">
                  <c:v>120.6387609159603</c:v>
                </c:pt>
                <c:pt idx="82">
                  <c:v>119.98554531592076</c:v>
                </c:pt>
                <c:pt idx="83">
                  <c:v>118.46034927831913</c:v>
                </c:pt>
                <c:pt idx="84">
                  <c:v>120.5410459552002</c:v>
                </c:pt>
                <c:pt idx="85">
                  <c:v>122.12150037027975</c:v>
                </c:pt>
                <c:pt idx="86">
                  <c:v>120.92234496460061</c:v>
                </c:pt>
                <c:pt idx="87">
                  <c:v>119.54153371976385</c:v>
                </c:pt>
                <c:pt idx="88">
                  <c:v>120.89106969523628</c:v>
                </c:pt>
                <c:pt idx="89">
                  <c:v>119.85477255749061</c:v>
                </c:pt>
                <c:pt idx="90">
                  <c:v>119.01455353337623</c:v>
                </c:pt>
                <c:pt idx="91">
                  <c:v>119.46018560981103</c:v>
                </c:pt>
                <c:pt idx="92">
                  <c:v>119.30137854257245</c:v>
                </c:pt>
                <c:pt idx="93">
                  <c:v>120.03108081173099</c:v>
                </c:pt>
                <c:pt idx="94">
                  <c:v>118.97339333431644</c:v>
                </c:pt>
                <c:pt idx="95">
                  <c:v>119.04210169810131</c:v>
                </c:pt>
                <c:pt idx="96">
                  <c:v>117.79287345183367</c:v>
                </c:pt>
                <c:pt idx="97">
                  <c:v>117.50588639460966</c:v>
                </c:pt>
                <c:pt idx="98">
                  <c:v>115.39618312075335</c:v>
                </c:pt>
                <c:pt idx="99">
                  <c:v>115.06252623152453</c:v>
                </c:pt>
                <c:pt idx="100">
                  <c:v>115.98587589389747</c:v>
                </c:pt>
                <c:pt idx="101">
                  <c:v>116.12458900568954</c:v>
                </c:pt>
                <c:pt idx="102">
                  <c:v>114.74312956874161</c:v>
                </c:pt>
                <c:pt idx="103">
                  <c:v>114.84878488286361</c:v>
                </c:pt>
                <c:pt idx="104">
                  <c:v>114.28453365008323</c:v>
                </c:pt>
                <c:pt idx="105">
                  <c:v>113.74556190963879</c:v>
                </c:pt>
                <c:pt idx="106">
                  <c:v>111.9790763586512</c:v>
                </c:pt>
                <c:pt idx="107">
                  <c:v>111.32910171916754</c:v>
                </c:pt>
                <c:pt idx="108">
                  <c:v>110.9040497422626</c:v>
                </c:pt>
                <c:pt idx="109">
                  <c:v>111.96238541178835</c:v>
                </c:pt>
                <c:pt idx="110">
                  <c:v>111.33752821661285</c:v>
                </c:pt>
                <c:pt idx="111">
                  <c:v>110.40315928834988</c:v>
                </c:pt>
                <c:pt idx="112">
                  <c:v>111.15101093662138</c:v>
                </c:pt>
                <c:pt idx="113">
                  <c:v>110.95558101510125</c:v>
                </c:pt>
                <c:pt idx="114">
                  <c:v>113.60522831756876</c:v>
                </c:pt>
                <c:pt idx="115">
                  <c:v>113.22295702000159</c:v>
                </c:pt>
                <c:pt idx="116">
                  <c:v>112.80001166745798</c:v>
                </c:pt>
                <c:pt idx="117">
                  <c:v>112.55013360859893</c:v>
                </c:pt>
                <c:pt idx="118">
                  <c:v>112.89950915652382</c:v>
                </c:pt>
                <c:pt idx="119">
                  <c:v>113.14015047779863</c:v>
                </c:pt>
                <c:pt idx="120">
                  <c:v>112.50103305617721</c:v>
                </c:pt>
                <c:pt idx="121">
                  <c:v>111.77748861207486</c:v>
                </c:pt>
                <c:pt idx="122">
                  <c:v>111.4303817365391</c:v>
                </c:pt>
                <c:pt idx="123">
                  <c:v>112.58691851090829</c:v>
                </c:pt>
                <c:pt idx="124">
                  <c:v>111.89594572039265</c:v>
                </c:pt>
                <c:pt idx="125">
                  <c:v>113.07630355484761</c:v>
                </c:pt>
                <c:pt idx="126">
                  <c:v>113.70926315141286</c:v>
                </c:pt>
                <c:pt idx="127">
                  <c:v>115.37025543630624</c:v>
                </c:pt>
                <c:pt idx="128">
                  <c:v>114.53133279641423</c:v>
                </c:pt>
                <c:pt idx="129">
                  <c:v>114.2300855127443</c:v>
                </c:pt>
                <c:pt idx="130">
                  <c:v>115.66096959816953</c:v>
                </c:pt>
                <c:pt idx="131">
                  <c:v>116.41757183994194</c:v>
                </c:pt>
                <c:pt idx="132">
                  <c:v>115.77505140973686</c:v>
                </c:pt>
                <c:pt idx="133">
                  <c:v>115.50232457895876</c:v>
                </c:pt>
                <c:pt idx="134">
                  <c:v>114.69937660123712</c:v>
                </c:pt>
                <c:pt idx="135">
                  <c:v>114.81345841280445</c:v>
                </c:pt>
                <c:pt idx="136">
                  <c:v>114.94001792251193</c:v>
                </c:pt>
                <c:pt idx="137">
                  <c:v>115.04421480438378</c:v>
                </c:pt>
                <c:pt idx="138">
                  <c:v>115.11972918533601</c:v>
                </c:pt>
                <c:pt idx="139">
                  <c:v>115.9737222918129</c:v>
                </c:pt>
                <c:pt idx="140">
                  <c:v>116.47120973714196</c:v>
                </c:pt>
                <c:pt idx="141">
                  <c:v>115.54072996154606</c:v>
                </c:pt>
                <c:pt idx="142">
                  <c:v>114.61397729058945</c:v>
                </c:pt>
                <c:pt idx="143">
                  <c:v>115.37608916530689</c:v>
                </c:pt>
                <c:pt idx="144">
                  <c:v>115.62937023274968</c:v>
                </c:pt>
                <c:pt idx="145">
                  <c:v>116.13982152030229</c:v>
                </c:pt>
                <c:pt idx="146">
                  <c:v>115.98603794192535</c:v>
                </c:pt>
                <c:pt idx="147">
                  <c:v>117.50102495377593</c:v>
                </c:pt>
                <c:pt idx="148">
                  <c:v>117.50232133799827</c:v>
                </c:pt>
                <c:pt idx="149">
                  <c:v>118.87276150905616</c:v>
                </c:pt>
                <c:pt idx="150">
                  <c:v>120.53618451436647</c:v>
                </c:pt>
                <c:pt idx="151">
                  <c:v>118.41124872589751</c:v>
                </c:pt>
                <c:pt idx="152">
                  <c:v>118.98198187978967</c:v>
                </c:pt>
                <c:pt idx="153">
                  <c:v>118.06252137008379</c:v>
                </c:pt>
                <c:pt idx="154">
                  <c:v>118.62985151539226</c:v>
                </c:pt>
                <c:pt idx="155">
                  <c:v>119.51042049842745</c:v>
                </c:pt>
                <c:pt idx="156">
                  <c:v>119.17255036047597</c:v>
                </c:pt>
                <c:pt idx="157">
                  <c:v>118.41238306209208</c:v>
                </c:pt>
                <c:pt idx="158">
                  <c:v>119.61251075593798</c:v>
                </c:pt>
                <c:pt idx="159">
                  <c:v>118.21662904451634</c:v>
                </c:pt>
                <c:pt idx="160">
                  <c:v>118.04145512647052</c:v>
                </c:pt>
                <c:pt idx="161">
                  <c:v>119.37300377085775</c:v>
                </c:pt>
                <c:pt idx="162">
                  <c:v>118.46521071915308</c:v>
                </c:pt>
                <c:pt idx="163">
                  <c:v>118.76759233901757</c:v>
                </c:pt>
                <c:pt idx="164">
                  <c:v>119.73923231367326</c:v>
                </c:pt>
                <c:pt idx="165">
                  <c:v>121.24595487610631</c:v>
                </c:pt>
                <c:pt idx="166">
                  <c:v>120.94438349638079</c:v>
                </c:pt>
                <c:pt idx="167">
                  <c:v>122.09330401344364</c:v>
                </c:pt>
                <c:pt idx="168">
                  <c:v>122.54444572282345</c:v>
                </c:pt>
                <c:pt idx="169">
                  <c:v>121.56162443424995</c:v>
                </c:pt>
                <c:pt idx="170">
                  <c:v>120.03869706903745</c:v>
                </c:pt>
                <c:pt idx="171">
                  <c:v>119.66890346961047</c:v>
                </c:pt>
                <c:pt idx="172">
                  <c:v>119.25859786323484</c:v>
                </c:pt>
                <c:pt idx="173">
                  <c:v>122.34253388019154</c:v>
                </c:pt>
                <c:pt idx="174">
                  <c:v>122.07158957771918</c:v>
                </c:pt>
                <c:pt idx="175">
                  <c:v>122.10642990369499</c:v>
                </c:pt>
                <c:pt idx="176">
                  <c:v>122.75624249515083</c:v>
                </c:pt>
                <c:pt idx="177">
                  <c:v>123.63032955707425</c:v>
                </c:pt>
                <c:pt idx="178">
                  <c:v>122.1176112176128</c:v>
                </c:pt>
                <c:pt idx="179">
                  <c:v>121.94924331673431</c:v>
                </c:pt>
                <c:pt idx="180">
                  <c:v>121.36587041667418</c:v>
                </c:pt>
                <c:pt idx="181">
                  <c:v>121.98570412298807</c:v>
                </c:pt>
                <c:pt idx="182">
                  <c:v>121.91894033553673</c:v>
                </c:pt>
                <c:pt idx="183">
                  <c:v>121.36587041667418</c:v>
                </c:pt>
                <c:pt idx="184">
                  <c:v>121.53958590246988</c:v>
                </c:pt>
                <c:pt idx="185">
                  <c:v>122.72918047450914</c:v>
                </c:pt>
                <c:pt idx="186">
                  <c:v>123.20398119594695</c:v>
                </c:pt>
                <c:pt idx="187">
                  <c:v>123.24384501078438</c:v>
                </c:pt>
                <c:pt idx="188">
                  <c:v>124.51057444405383</c:v>
                </c:pt>
                <c:pt idx="189">
                  <c:v>124.87647889081379</c:v>
                </c:pt>
                <c:pt idx="190">
                  <c:v>126.63567228055064</c:v>
                </c:pt>
                <c:pt idx="191">
                  <c:v>128.37201689836849</c:v>
                </c:pt>
                <c:pt idx="192">
                  <c:v>128.01745581355416</c:v>
                </c:pt>
                <c:pt idx="193">
                  <c:v>125.8473086253305</c:v>
                </c:pt>
                <c:pt idx="194">
                  <c:v>125.1811291830674</c:v>
                </c:pt>
                <c:pt idx="195">
                  <c:v>126.71264509375303</c:v>
                </c:pt>
                <c:pt idx="196">
                  <c:v>126.6312969838002</c:v>
                </c:pt>
                <c:pt idx="197">
                  <c:v>127.06347907392806</c:v>
                </c:pt>
                <c:pt idx="198">
                  <c:v>126.57247354971081</c:v>
                </c:pt>
                <c:pt idx="199">
                  <c:v>125.28824292943956</c:v>
                </c:pt>
                <c:pt idx="200">
                  <c:v>124.40670165823759</c:v>
                </c:pt>
                <c:pt idx="201">
                  <c:v>124.83386025950384</c:v>
                </c:pt>
                <c:pt idx="202">
                  <c:v>124.86902468153524</c:v>
                </c:pt>
                <c:pt idx="203">
                  <c:v>125.99298980231772</c:v>
                </c:pt>
                <c:pt idx="204">
                  <c:v>126.36262135371692</c:v>
                </c:pt>
                <c:pt idx="205">
                  <c:v>125.99720305104037</c:v>
                </c:pt>
                <c:pt idx="206">
                  <c:v>125.78686471096313</c:v>
                </c:pt>
                <c:pt idx="207">
                  <c:v>125.29083569788423</c:v>
                </c:pt>
                <c:pt idx="208">
                  <c:v>124.3140101863391</c:v>
                </c:pt>
                <c:pt idx="209">
                  <c:v>124.06964176042506</c:v>
                </c:pt>
                <c:pt idx="210">
                  <c:v>123.52110918634074</c:v>
                </c:pt>
                <c:pt idx="211">
                  <c:v>123.94162381846742</c:v>
                </c:pt>
                <c:pt idx="212">
                  <c:v>125.29796581110719</c:v>
                </c:pt>
                <c:pt idx="213">
                  <c:v>128.15892374181868</c:v>
                </c:pt>
                <c:pt idx="214">
                  <c:v>127.79366748716991</c:v>
                </c:pt>
                <c:pt idx="215">
                  <c:v>128.62076062103293</c:v>
                </c:pt>
                <c:pt idx="216">
                  <c:v>130.58121766129051</c:v>
                </c:pt>
                <c:pt idx="217">
                  <c:v>128.15535868520718</c:v>
                </c:pt>
                <c:pt idx="218">
                  <c:v>125.74716294415343</c:v>
                </c:pt>
                <c:pt idx="219">
                  <c:v>124.65074598809601</c:v>
                </c:pt>
                <c:pt idx="220">
                  <c:v>125.46730600015239</c:v>
                </c:pt>
                <c:pt idx="221">
                  <c:v>123.64037653479744</c:v>
                </c:pt>
                <c:pt idx="222">
                  <c:v>123.96285211010849</c:v>
                </c:pt>
                <c:pt idx="223">
                  <c:v>124.91067102467838</c:v>
                </c:pt>
                <c:pt idx="224">
                  <c:v>124.9544239921829</c:v>
                </c:pt>
                <c:pt idx="225">
                  <c:v>125.38628198625518</c:v>
                </c:pt>
                <c:pt idx="226">
                  <c:v>123.6693831317727</c:v>
                </c:pt>
                <c:pt idx="227">
                  <c:v>123.55270855176067</c:v>
                </c:pt>
                <c:pt idx="228">
                  <c:v>123.01940849228905</c:v>
                </c:pt>
                <c:pt idx="229">
                  <c:v>123.5864145415419</c:v>
                </c:pt>
                <c:pt idx="230">
                  <c:v>123.44008517244349</c:v>
                </c:pt>
                <c:pt idx="231">
                  <c:v>123.19960589919648</c:v>
                </c:pt>
                <c:pt idx="232">
                  <c:v>122.27512190062899</c:v>
                </c:pt>
                <c:pt idx="233">
                  <c:v>122.54671439521253</c:v>
                </c:pt>
                <c:pt idx="234">
                  <c:v>122.64588778822275</c:v>
                </c:pt>
                <c:pt idx="235">
                  <c:v>123.28419496970521</c:v>
                </c:pt>
                <c:pt idx="236">
                  <c:v>123.86935039807105</c:v>
                </c:pt>
                <c:pt idx="237">
                  <c:v>123.08925119226843</c:v>
                </c:pt>
                <c:pt idx="238">
                  <c:v>121.77244891841052</c:v>
                </c:pt>
                <c:pt idx="239">
                  <c:v>120.76434813750107</c:v>
                </c:pt>
                <c:pt idx="240">
                  <c:v>120.11323916182288</c:v>
                </c:pt>
                <c:pt idx="241">
                  <c:v>119.62385411788355</c:v>
                </c:pt>
                <c:pt idx="242">
                  <c:v>118.90371268236493</c:v>
                </c:pt>
                <c:pt idx="243">
                  <c:v>119.3415664534656</c:v>
                </c:pt>
                <c:pt idx="244">
                  <c:v>118.47720227320985</c:v>
                </c:pt>
                <c:pt idx="245">
                  <c:v>118.44851977229024</c:v>
                </c:pt>
                <c:pt idx="246">
                  <c:v>119.60700112299295</c:v>
                </c:pt>
                <c:pt idx="247">
                  <c:v>118.83792118308035</c:v>
                </c:pt>
                <c:pt idx="248">
                  <c:v>118.91554218839393</c:v>
                </c:pt>
                <c:pt idx="249">
                  <c:v>118.49745827668416</c:v>
                </c:pt>
                <c:pt idx="250">
                  <c:v>118.98943608906819</c:v>
                </c:pt>
                <c:pt idx="251">
                  <c:v>121.33346081111532</c:v>
                </c:pt>
                <c:pt idx="252">
                  <c:v>123.01098199484376</c:v>
                </c:pt>
                <c:pt idx="253">
                  <c:v>121.62530930917316</c:v>
                </c:pt>
                <c:pt idx="254">
                  <c:v>120.02087178598003</c:v>
                </c:pt>
                <c:pt idx="255">
                  <c:v>119.7551130203971</c:v>
                </c:pt>
                <c:pt idx="256">
                  <c:v>120.00693565558971</c:v>
                </c:pt>
                <c:pt idx="257">
                  <c:v>120.52111404778159</c:v>
                </c:pt>
                <c:pt idx="258">
                  <c:v>119.95362185444533</c:v>
                </c:pt>
                <c:pt idx="259">
                  <c:v>120.74263370177665</c:v>
                </c:pt>
                <c:pt idx="260">
                  <c:v>120.31904015712189</c:v>
                </c:pt>
                <c:pt idx="261">
                  <c:v>120.12053132307364</c:v>
                </c:pt>
                <c:pt idx="262">
                  <c:v>120.88086066948533</c:v>
                </c:pt>
                <c:pt idx="263">
                  <c:v>120.05085067112203</c:v>
                </c:pt>
                <c:pt idx="264">
                  <c:v>120.98991899219102</c:v>
                </c:pt>
                <c:pt idx="265">
                  <c:v>119.06511251804821</c:v>
                </c:pt>
                <c:pt idx="266">
                  <c:v>119.72740280764424</c:v>
                </c:pt>
                <c:pt idx="267">
                  <c:v>118.83257359816314</c:v>
                </c:pt>
                <c:pt idx="268">
                  <c:v>119.10530042894125</c:v>
                </c:pt>
                <c:pt idx="269">
                  <c:v>119.85930990226896</c:v>
                </c:pt>
                <c:pt idx="270">
                  <c:v>119.60116739399236</c:v>
                </c:pt>
                <c:pt idx="271">
                  <c:v>119.0863408096893</c:v>
                </c:pt>
                <c:pt idx="272">
                  <c:v>119.89350203613363</c:v>
                </c:pt>
                <c:pt idx="273">
                  <c:v>122.02216492924188</c:v>
                </c:pt>
                <c:pt idx="274">
                  <c:v>122.04015226032706</c:v>
                </c:pt>
                <c:pt idx="275">
                  <c:v>121.70487489082031</c:v>
                </c:pt>
                <c:pt idx="276">
                  <c:v>122.96820131550604</c:v>
                </c:pt>
                <c:pt idx="277">
                  <c:v>123.47816645897525</c:v>
                </c:pt>
                <c:pt idx="278">
                  <c:v>122.86319419349522</c:v>
                </c:pt>
                <c:pt idx="279">
                  <c:v>123.46309599239036</c:v>
                </c:pt>
                <c:pt idx="280">
                  <c:v>123.52597062717462</c:v>
                </c:pt>
                <c:pt idx="281">
                  <c:v>123.02670065353983</c:v>
                </c:pt>
                <c:pt idx="282">
                  <c:v>122.38790732797401</c:v>
                </c:pt>
                <c:pt idx="283">
                  <c:v>120.9680425084388</c:v>
                </c:pt>
                <c:pt idx="284">
                  <c:v>120.46423519002575</c:v>
                </c:pt>
                <c:pt idx="285">
                  <c:v>119.77245215937111</c:v>
                </c:pt>
                <c:pt idx="286">
                  <c:v>119.74133893803459</c:v>
                </c:pt>
                <c:pt idx="287">
                  <c:v>119.38758809335926</c:v>
                </c:pt>
                <c:pt idx="288">
                  <c:v>119.35647487202273</c:v>
                </c:pt>
                <c:pt idx="289">
                  <c:v>118.88977655197463</c:v>
                </c:pt>
                <c:pt idx="290">
                  <c:v>119.22894307414846</c:v>
                </c:pt>
                <c:pt idx="291">
                  <c:v>119.51236507476099</c:v>
                </c:pt>
                <c:pt idx="292">
                  <c:v>119.69645163433553</c:v>
                </c:pt>
                <c:pt idx="293">
                  <c:v>120.03707658875953</c:v>
                </c:pt>
                <c:pt idx="294">
                  <c:v>120.34156483298536</c:v>
                </c:pt>
                <c:pt idx="295">
                  <c:v>120.08650123723685</c:v>
                </c:pt>
                <c:pt idx="296">
                  <c:v>119.16185519064153</c:v>
                </c:pt>
                <c:pt idx="297">
                  <c:v>121.10173213136925</c:v>
                </c:pt>
                <c:pt idx="298">
                  <c:v>120.50944658978042</c:v>
                </c:pt>
                <c:pt idx="299">
                  <c:v>120.38256298401735</c:v>
                </c:pt>
                <c:pt idx="300">
                  <c:v>119.618830629022</c:v>
                </c:pt>
                <c:pt idx="301">
                  <c:v>119.98846218042121</c:v>
                </c:pt>
                <c:pt idx="302">
                  <c:v>120.88053657342982</c:v>
                </c:pt>
                <c:pt idx="303">
                  <c:v>120.47460626380465</c:v>
                </c:pt>
                <c:pt idx="304">
                  <c:v>120.73939274122081</c:v>
                </c:pt>
                <c:pt idx="305">
                  <c:v>120.03513201242603</c:v>
                </c:pt>
                <c:pt idx="306">
                  <c:v>119.20009852520107</c:v>
                </c:pt>
                <c:pt idx="307">
                  <c:v>118.83484227055231</c:v>
                </c:pt>
                <c:pt idx="308">
                  <c:v>118.71638516223457</c:v>
                </c:pt>
                <c:pt idx="309">
                  <c:v>117.92283597012502</c:v>
                </c:pt>
                <c:pt idx="310">
                  <c:v>118.13625322273035</c:v>
                </c:pt>
                <c:pt idx="311">
                  <c:v>119.41286758569524</c:v>
                </c:pt>
                <c:pt idx="312">
                  <c:v>120.48303276124996</c:v>
                </c:pt>
                <c:pt idx="313">
                  <c:v>120.34577808170803</c:v>
                </c:pt>
                <c:pt idx="314">
                  <c:v>121.33751201181023</c:v>
                </c:pt>
                <c:pt idx="315">
                  <c:v>123.73096138233468</c:v>
                </c:pt>
                <c:pt idx="316">
                  <c:v>124.23525484483109</c:v>
                </c:pt>
                <c:pt idx="317">
                  <c:v>123.44656709355537</c:v>
                </c:pt>
                <c:pt idx="318">
                  <c:v>122.75786297542885</c:v>
                </c:pt>
                <c:pt idx="319">
                  <c:v>122.65350404552919</c:v>
                </c:pt>
                <c:pt idx="320">
                  <c:v>122.99493924009215</c:v>
                </c:pt>
                <c:pt idx="321">
                  <c:v>122.6974190610615</c:v>
                </c:pt>
                <c:pt idx="322">
                  <c:v>123.63292232551902</c:v>
                </c:pt>
                <c:pt idx="323">
                  <c:v>124.01535567111401</c:v>
                </c:pt>
                <c:pt idx="324">
                  <c:v>123.91650637415937</c:v>
                </c:pt>
                <c:pt idx="325">
                  <c:v>124.83450845161509</c:v>
                </c:pt>
                <c:pt idx="326">
                  <c:v>125.00627936107722</c:v>
                </c:pt>
                <c:pt idx="327">
                  <c:v>124.47751664638386</c:v>
                </c:pt>
                <c:pt idx="328">
                  <c:v>125.46487527973559</c:v>
                </c:pt>
                <c:pt idx="329">
                  <c:v>125.28662244916165</c:v>
                </c:pt>
                <c:pt idx="330">
                  <c:v>123.08309336721234</c:v>
                </c:pt>
                <c:pt idx="331">
                  <c:v>123.23606670545031</c:v>
                </c:pt>
                <c:pt idx="332">
                  <c:v>123.34042563534996</c:v>
                </c:pt>
                <c:pt idx="333">
                  <c:v>122.91748028280637</c:v>
                </c:pt>
                <c:pt idx="334">
                  <c:v>123.65155784871533</c:v>
                </c:pt>
                <c:pt idx="335">
                  <c:v>124.54687320227983</c:v>
                </c:pt>
                <c:pt idx="336">
                  <c:v>124.14337361307155</c:v>
                </c:pt>
                <c:pt idx="337">
                  <c:v>122.39941273794739</c:v>
                </c:pt>
                <c:pt idx="338">
                  <c:v>121.33913249208813</c:v>
                </c:pt>
                <c:pt idx="339">
                  <c:v>121.55254974469344</c:v>
                </c:pt>
                <c:pt idx="340">
                  <c:v>121.23493561021627</c:v>
                </c:pt>
                <c:pt idx="341">
                  <c:v>120.56113991064682</c:v>
                </c:pt>
                <c:pt idx="342">
                  <c:v>121.15423569237461</c:v>
                </c:pt>
                <c:pt idx="343">
                  <c:v>121.87632170422681</c:v>
                </c:pt>
                <c:pt idx="344">
                  <c:v>121.35452705472862</c:v>
                </c:pt>
                <c:pt idx="345">
                  <c:v>121.19166878679516</c:v>
                </c:pt>
                <c:pt idx="346">
                  <c:v>121.27269280069241</c:v>
                </c:pt>
                <c:pt idx="347">
                  <c:v>120.27787995806212</c:v>
                </c:pt>
                <c:pt idx="348">
                  <c:v>119.51852289981719</c:v>
                </c:pt>
                <c:pt idx="349">
                  <c:v>120.42032017449347</c:v>
                </c:pt>
                <c:pt idx="350">
                  <c:v>120.24336372814189</c:v>
                </c:pt>
                <c:pt idx="351">
                  <c:v>120.94535578454756</c:v>
                </c:pt>
                <c:pt idx="352">
                  <c:v>119.96820617694686</c:v>
                </c:pt>
                <c:pt idx="353">
                  <c:v>119.88475144263269</c:v>
                </c:pt>
                <c:pt idx="354">
                  <c:v>119.61996496521652</c:v>
                </c:pt>
                <c:pt idx="355">
                  <c:v>119.42194227525168</c:v>
                </c:pt>
                <c:pt idx="356">
                  <c:v>119.53748251906914</c:v>
                </c:pt>
                <c:pt idx="357">
                  <c:v>119.11356487835879</c:v>
                </c:pt>
                <c:pt idx="358">
                  <c:v>119.29894782215567</c:v>
                </c:pt>
                <c:pt idx="359">
                  <c:v>119.06284384565912</c:v>
                </c:pt>
                <c:pt idx="360">
                  <c:v>119.08585466560594</c:v>
                </c:pt>
                <c:pt idx="361">
                  <c:v>119.22521596950919</c:v>
                </c:pt>
                <c:pt idx="362">
                  <c:v>119.06511251804827</c:v>
                </c:pt>
                <c:pt idx="363">
                  <c:v>118.62077682583579</c:v>
                </c:pt>
                <c:pt idx="364">
                  <c:v>118.99721439440236</c:v>
                </c:pt>
                <c:pt idx="365">
                  <c:v>119.18681058692189</c:v>
                </c:pt>
                <c:pt idx="366">
                  <c:v>118.58723288408234</c:v>
                </c:pt>
                <c:pt idx="367">
                  <c:v>118.69920807128831</c:v>
                </c:pt>
                <c:pt idx="368">
                  <c:v>118.07418882808501</c:v>
                </c:pt>
                <c:pt idx="369">
                  <c:v>118.01568949005123</c:v>
                </c:pt>
                <c:pt idx="370">
                  <c:v>117.12539762534836</c:v>
                </c:pt>
                <c:pt idx="371">
                  <c:v>117.22068186569152</c:v>
                </c:pt>
                <c:pt idx="372">
                  <c:v>116.30932375737538</c:v>
                </c:pt>
                <c:pt idx="373">
                  <c:v>116.59193551784892</c:v>
                </c:pt>
                <c:pt idx="374">
                  <c:v>116.76435461942225</c:v>
                </c:pt>
                <c:pt idx="375">
                  <c:v>117.0707874399816</c:v>
                </c:pt>
                <c:pt idx="376">
                  <c:v>117.64686817879095</c:v>
                </c:pt>
                <c:pt idx="377">
                  <c:v>117.32763356403584</c:v>
                </c:pt>
                <c:pt idx="378">
                  <c:v>117.97015399424093</c:v>
                </c:pt>
                <c:pt idx="379">
                  <c:v>118.49599984443402</c:v>
                </c:pt>
                <c:pt idx="380">
                  <c:v>118.12815082134057</c:v>
                </c:pt>
                <c:pt idx="381">
                  <c:v>117.75997770219149</c:v>
                </c:pt>
                <c:pt idx="382">
                  <c:v>117.20123610235613</c:v>
                </c:pt>
                <c:pt idx="383">
                  <c:v>116.99867606761303</c:v>
                </c:pt>
                <c:pt idx="384">
                  <c:v>117.04550794764563</c:v>
                </c:pt>
                <c:pt idx="385">
                  <c:v>117.90209382256724</c:v>
                </c:pt>
                <c:pt idx="386">
                  <c:v>118.44009327484493</c:v>
                </c:pt>
                <c:pt idx="387">
                  <c:v>119.12312571199864</c:v>
                </c:pt>
                <c:pt idx="388">
                  <c:v>118.61267442444603</c:v>
                </c:pt>
                <c:pt idx="389">
                  <c:v>118.99397343384643</c:v>
                </c:pt>
                <c:pt idx="390">
                  <c:v>120.72902166744191</c:v>
                </c:pt>
                <c:pt idx="391">
                  <c:v>121.08990262534023</c:v>
                </c:pt>
                <c:pt idx="392">
                  <c:v>121.12847005595532</c:v>
                </c:pt>
                <c:pt idx="393">
                  <c:v>120.58998445959426</c:v>
                </c:pt>
                <c:pt idx="394">
                  <c:v>120.56681159161965</c:v>
                </c:pt>
                <c:pt idx="395">
                  <c:v>120.51203935822511</c:v>
                </c:pt>
                <c:pt idx="396">
                  <c:v>120.17903066110745</c:v>
                </c:pt>
                <c:pt idx="397">
                  <c:v>120.56924231203655</c:v>
                </c:pt>
                <c:pt idx="398">
                  <c:v>120.0451789901492</c:v>
                </c:pt>
                <c:pt idx="399">
                  <c:v>121.07256348636619</c:v>
                </c:pt>
                <c:pt idx="400">
                  <c:v>120.53472608211632</c:v>
                </c:pt>
                <c:pt idx="401">
                  <c:v>119.88005204982665</c:v>
                </c:pt>
                <c:pt idx="402">
                  <c:v>119.41335372977856</c:v>
                </c:pt>
                <c:pt idx="403">
                  <c:v>119.60359811440928</c:v>
                </c:pt>
                <c:pt idx="404">
                  <c:v>119.45418983278276</c:v>
                </c:pt>
                <c:pt idx="405">
                  <c:v>119.46585729078396</c:v>
                </c:pt>
                <c:pt idx="406">
                  <c:v>119.06089926932555</c:v>
                </c:pt>
                <c:pt idx="407">
                  <c:v>118.59971058222247</c:v>
                </c:pt>
                <c:pt idx="408">
                  <c:v>118.53813233166058</c:v>
                </c:pt>
                <c:pt idx="409">
                  <c:v>118.28371692802322</c:v>
                </c:pt>
                <c:pt idx="410">
                  <c:v>118.25390009090904</c:v>
                </c:pt>
                <c:pt idx="411">
                  <c:v>118.64232921353239</c:v>
                </c:pt>
                <c:pt idx="412">
                  <c:v>118.55628171077353</c:v>
                </c:pt>
                <c:pt idx="413">
                  <c:v>119.14386785955631</c:v>
                </c:pt>
                <c:pt idx="414">
                  <c:v>119.35615077596708</c:v>
                </c:pt>
                <c:pt idx="415">
                  <c:v>119.83451655401639</c:v>
                </c:pt>
                <c:pt idx="416">
                  <c:v>119.00239993129173</c:v>
                </c:pt>
                <c:pt idx="417">
                  <c:v>119.22489187345357</c:v>
                </c:pt>
                <c:pt idx="418">
                  <c:v>118.80470133738247</c:v>
                </c:pt>
                <c:pt idx="419">
                  <c:v>118.80081218471541</c:v>
                </c:pt>
                <c:pt idx="420">
                  <c:v>119.31709720126862</c:v>
                </c:pt>
                <c:pt idx="421">
                  <c:v>119.71865221414335</c:v>
                </c:pt>
                <c:pt idx="422">
                  <c:v>120.41788945407652</c:v>
                </c:pt>
                <c:pt idx="423">
                  <c:v>120.36716842137683</c:v>
                </c:pt>
                <c:pt idx="424">
                  <c:v>120.08812171751474</c:v>
                </c:pt>
                <c:pt idx="425">
                  <c:v>119.57523970954524</c:v>
                </c:pt>
                <c:pt idx="426">
                  <c:v>119.62385411788357</c:v>
                </c:pt>
                <c:pt idx="427">
                  <c:v>120.40573585199192</c:v>
                </c:pt>
                <c:pt idx="428">
                  <c:v>119.18146300200463</c:v>
                </c:pt>
                <c:pt idx="429">
                  <c:v>119.02670713546091</c:v>
                </c:pt>
                <c:pt idx="430">
                  <c:v>118.79352002346467</c:v>
                </c:pt>
                <c:pt idx="431">
                  <c:v>118.32147411849935</c:v>
                </c:pt>
                <c:pt idx="432">
                  <c:v>118.37835297625521</c:v>
                </c:pt>
                <c:pt idx="433">
                  <c:v>118.03416296521974</c:v>
                </c:pt>
                <c:pt idx="434">
                  <c:v>118.30024582685827</c:v>
                </c:pt>
                <c:pt idx="435">
                  <c:v>118.88929040789117</c:v>
                </c:pt>
                <c:pt idx="436">
                  <c:v>118.74992910398791</c:v>
                </c:pt>
                <c:pt idx="437">
                  <c:v>118.0871526703085</c:v>
                </c:pt>
                <c:pt idx="438">
                  <c:v>118.59809010194448</c:v>
                </c:pt>
                <c:pt idx="439">
                  <c:v>117.77488612074853</c:v>
                </c:pt>
                <c:pt idx="440">
                  <c:v>118.1568333222601</c:v>
                </c:pt>
                <c:pt idx="441">
                  <c:v>117.12118437662559</c:v>
                </c:pt>
                <c:pt idx="442">
                  <c:v>117.4964876089976</c:v>
                </c:pt>
                <c:pt idx="443">
                  <c:v>118.15116164128727</c:v>
                </c:pt>
                <c:pt idx="444">
                  <c:v>118.93514999975696</c:v>
                </c:pt>
                <c:pt idx="445">
                  <c:v>118.35420782011376</c:v>
                </c:pt>
                <c:pt idx="446">
                  <c:v>118.2154947083217</c:v>
                </c:pt>
                <c:pt idx="447">
                  <c:v>117.82188004880891</c:v>
                </c:pt>
                <c:pt idx="448">
                  <c:v>117.80891620658535</c:v>
                </c:pt>
                <c:pt idx="449">
                  <c:v>117.67862959223859</c:v>
                </c:pt>
                <c:pt idx="450">
                  <c:v>118.07629545244623</c:v>
                </c:pt>
                <c:pt idx="451">
                  <c:v>118.10270928097673</c:v>
                </c:pt>
                <c:pt idx="452">
                  <c:v>117.89139865273273</c:v>
                </c:pt>
                <c:pt idx="453">
                  <c:v>117.77650660102645</c:v>
                </c:pt>
                <c:pt idx="454">
                  <c:v>117.5220911973891</c:v>
                </c:pt>
                <c:pt idx="455">
                  <c:v>117.2026945346062</c:v>
                </c:pt>
                <c:pt idx="456">
                  <c:v>117.37122448351245</c:v>
                </c:pt>
                <c:pt idx="457">
                  <c:v>116.38046284157701</c:v>
                </c:pt>
                <c:pt idx="458">
                  <c:v>116.48141876289296</c:v>
                </c:pt>
                <c:pt idx="459">
                  <c:v>116.51172174409055</c:v>
                </c:pt>
                <c:pt idx="460">
                  <c:v>116.46553805616911</c:v>
                </c:pt>
                <c:pt idx="461">
                  <c:v>116.68997457466448</c:v>
                </c:pt>
                <c:pt idx="462">
                  <c:v>115.70634304595201</c:v>
                </c:pt>
                <c:pt idx="463">
                  <c:v>115.06463285588588</c:v>
                </c:pt>
                <c:pt idx="464">
                  <c:v>115.41708731633886</c:v>
                </c:pt>
                <c:pt idx="465">
                  <c:v>114.83306622416757</c:v>
                </c:pt>
                <c:pt idx="466">
                  <c:v>114.81767166152709</c:v>
                </c:pt>
                <c:pt idx="467">
                  <c:v>115.25050194376614</c:v>
                </c:pt>
                <c:pt idx="468">
                  <c:v>113.95622434577166</c:v>
                </c:pt>
                <c:pt idx="469">
                  <c:v>113.17580104391345</c:v>
                </c:pt>
                <c:pt idx="470">
                  <c:v>112.5699034679899</c:v>
                </c:pt>
                <c:pt idx="471">
                  <c:v>114.47575032288076</c:v>
                </c:pt>
                <c:pt idx="472">
                  <c:v>113.7293571068594</c:v>
                </c:pt>
                <c:pt idx="473">
                  <c:v>114.95687091740255</c:v>
                </c:pt>
                <c:pt idx="474">
                  <c:v>116.05960774654399</c:v>
                </c:pt>
                <c:pt idx="475">
                  <c:v>116.09039687182491</c:v>
                </c:pt>
                <c:pt idx="476">
                  <c:v>116.24272201795173</c:v>
                </c:pt>
                <c:pt idx="477">
                  <c:v>115.76856948862508</c:v>
                </c:pt>
                <c:pt idx="478">
                  <c:v>115.29474105535401</c:v>
                </c:pt>
                <c:pt idx="479">
                  <c:v>115.46716015692733</c:v>
                </c:pt>
                <c:pt idx="480">
                  <c:v>114.6319646216746</c:v>
                </c:pt>
                <c:pt idx="481">
                  <c:v>115.49746313812489</c:v>
                </c:pt>
                <c:pt idx="482">
                  <c:v>116.02476742056811</c:v>
                </c:pt>
                <c:pt idx="483">
                  <c:v>118.1322020220353</c:v>
                </c:pt>
                <c:pt idx="484">
                  <c:v>117.51512313219391</c:v>
                </c:pt>
                <c:pt idx="485">
                  <c:v>118.5097739267964</c:v>
                </c:pt>
                <c:pt idx="486">
                  <c:v>117.62726036742768</c:v>
                </c:pt>
                <c:pt idx="487">
                  <c:v>118.47493360082059</c:v>
                </c:pt>
                <c:pt idx="488">
                  <c:v>119.13527931408309</c:v>
                </c:pt>
                <c:pt idx="489">
                  <c:v>121.54460939133138</c:v>
                </c:pt>
                <c:pt idx="490">
                  <c:v>120.41270391718693</c:v>
                </c:pt>
                <c:pt idx="491">
                  <c:v>121.50685220085525</c:v>
                </c:pt>
                <c:pt idx="492">
                  <c:v>120.82835710847978</c:v>
                </c:pt>
                <c:pt idx="493">
                  <c:v>122.43538740011762</c:v>
                </c:pt>
                <c:pt idx="494">
                  <c:v>120.68316207557591</c:v>
                </c:pt>
                <c:pt idx="495">
                  <c:v>120.14483852724265</c:v>
                </c:pt>
                <c:pt idx="496">
                  <c:v>120.37089552601597</c:v>
                </c:pt>
                <c:pt idx="497">
                  <c:v>119.35566463188354</c:v>
                </c:pt>
                <c:pt idx="498">
                  <c:v>119.87178760040895</c:v>
                </c:pt>
                <c:pt idx="499">
                  <c:v>120.53650861042189</c:v>
                </c:pt>
                <c:pt idx="500">
                  <c:v>119.95524233472311</c:v>
                </c:pt>
                <c:pt idx="501">
                  <c:v>119.2041497258957</c:v>
                </c:pt>
                <c:pt idx="502">
                  <c:v>119.41383987386175</c:v>
                </c:pt>
                <c:pt idx="503">
                  <c:v>119.03237881643355</c:v>
                </c:pt>
                <c:pt idx="504">
                  <c:v>119.1012492282462</c:v>
                </c:pt>
                <c:pt idx="505">
                  <c:v>119.63746615221814</c:v>
                </c:pt>
                <c:pt idx="506">
                  <c:v>119.32617189082497</c:v>
                </c:pt>
                <c:pt idx="507">
                  <c:v>119.36506341749563</c:v>
                </c:pt>
                <c:pt idx="508">
                  <c:v>120.19734208824808</c:v>
                </c:pt>
                <c:pt idx="509">
                  <c:v>120.07564401937442</c:v>
                </c:pt>
                <c:pt idx="510">
                  <c:v>119.76094674939756</c:v>
                </c:pt>
                <c:pt idx="511">
                  <c:v>119.34221464557663</c:v>
                </c:pt>
                <c:pt idx="512">
                  <c:v>118.83581455871888</c:v>
                </c:pt>
                <c:pt idx="513">
                  <c:v>118.93352951947897</c:v>
                </c:pt>
                <c:pt idx="514">
                  <c:v>119.43344768522493</c:v>
                </c:pt>
                <c:pt idx="515">
                  <c:v>119.86692615957517</c:v>
                </c:pt>
                <c:pt idx="516">
                  <c:v>120.83354264536925</c:v>
                </c:pt>
                <c:pt idx="517">
                  <c:v>121.19831275593461</c:v>
                </c:pt>
                <c:pt idx="518">
                  <c:v>120.68688918021523</c:v>
                </c:pt>
                <c:pt idx="519">
                  <c:v>122.01892396868585</c:v>
                </c:pt>
                <c:pt idx="520">
                  <c:v>124.28532768541942</c:v>
                </c:pt>
                <c:pt idx="521">
                  <c:v>123.78621975981241</c:v>
                </c:pt>
                <c:pt idx="522">
                  <c:v>122.70876242300693</c:v>
                </c:pt>
                <c:pt idx="523">
                  <c:v>121.35938849556233</c:v>
                </c:pt>
                <c:pt idx="524">
                  <c:v>120.70730723171737</c:v>
                </c:pt>
                <c:pt idx="525">
                  <c:v>120.88718054256923</c:v>
                </c:pt>
                <c:pt idx="526">
                  <c:v>123.69531081621975</c:v>
                </c:pt>
                <c:pt idx="527">
                  <c:v>123.53731398912014</c:v>
                </c:pt>
                <c:pt idx="528">
                  <c:v>123.31352566273598</c:v>
                </c:pt>
                <c:pt idx="529">
                  <c:v>124.52337623824955</c:v>
                </c:pt>
                <c:pt idx="530">
                  <c:v>123.7291788540288</c:v>
                </c:pt>
                <c:pt idx="531">
                  <c:v>124.42242031693358</c:v>
                </c:pt>
                <c:pt idx="532">
                  <c:v>125.7333888617909</c:v>
                </c:pt>
                <c:pt idx="533">
                  <c:v>127.51316235105766</c:v>
                </c:pt>
                <c:pt idx="534">
                  <c:v>127.64636582990472</c:v>
                </c:pt>
                <c:pt idx="535">
                  <c:v>128.3981066308433</c:v>
                </c:pt>
                <c:pt idx="536">
                  <c:v>126.57166330957173</c:v>
                </c:pt>
                <c:pt idx="537">
                  <c:v>126.71232099769733</c:v>
                </c:pt>
                <c:pt idx="538">
                  <c:v>125.33248204102735</c:v>
                </c:pt>
                <c:pt idx="539">
                  <c:v>124.3339420937578</c:v>
                </c:pt>
                <c:pt idx="540">
                  <c:v>123.49356102161563</c:v>
                </c:pt>
                <c:pt idx="541">
                  <c:v>123.87988351987765</c:v>
                </c:pt>
                <c:pt idx="542">
                  <c:v>122.73857926012114</c:v>
                </c:pt>
                <c:pt idx="543">
                  <c:v>122.26896407557274</c:v>
                </c:pt>
                <c:pt idx="544">
                  <c:v>121.65026470545342</c:v>
                </c:pt>
                <c:pt idx="545">
                  <c:v>121.12296042301018</c:v>
                </c:pt>
                <c:pt idx="546">
                  <c:v>121.63989363167458</c:v>
                </c:pt>
                <c:pt idx="547">
                  <c:v>125.24157309743465</c:v>
                </c:pt>
                <c:pt idx="548">
                  <c:v>123.99996110847337</c:v>
                </c:pt>
                <c:pt idx="549">
                  <c:v>122.35922482705429</c:v>
                </c:pt>
                <c:pt idx="550">
                  <c:v>121.67732672609512</c:v>
                </c:pt>
                <c:pt idx="551">
                  <c:v>123.42161169727488</c:v>
                </c:pt>
                <c:pt idx="552">
                  <c:v>125.34658021944549</c:v>
                </c:pt>
                <c:pt idx="553">
                  <c:v>130.31659323190209</c:v>
                </c:pt>
                <c:pt idx="554">
                  <c:v>127.76595727441702</c:v>
                </c:pt>
                <c:pt idx="555">
                  <c:v>131.5197998382761</c:v>
                </c:pt>
                <c:pt idx="556">
                  <c:v>137.65979961140886</c:v>
                </c:pt>
                <c:pt idx="557">
                  <c:v>170.58957933952468</c:v>
                </c:pt>
                <c:pt idx="558">
                  <c:v>170.16420326656419</c:v>
                </c:pt>
                <c:pt idx="559">
                  <c:v>175.8456071210386</c:v>
                </c:pt>
                <c:pt idx="560">
                  <c:v>166.50434855882591</c:v>
                </c:pt>
                <c:pt idx="561">
                  <c:v>177.44259043495316</c:v>
                </c:pt>
                <c:pt idx="562">
                  <c:v>194.45763335337332</c:v>
                </c:pt>
                <c:pt idx="563">
                  <c:v>206.61123543795915</c:v>
                </c:pt>
                <c:pt idx="564">
                  <c:v>210.66243613282109</c:v>
                </c:pt>
                <c:pt idx="565">
                  <c:v>220.38531780048976</c:v>
                </c:pt>
                <c:pt idx="566">
                  <c:v>216.33411710562783</c:v>
                </c:pt>
                <c:pt idx="567">
                  <c:v>217.1443572446002</c:v>
                </c:pt>
                <c:pt idx="568">
                  <c:v>194.45763335337332</c:v>
                </c:pt>
                <c:pt idx="569">
                  <c:v>186.35523196364946</c:v>
                </c:pt>
                <c:pt idx="570">
                  <c:v>156.37634682167109</c:v>
                </c:pt>
                <c:pt idx="571">
                  <c:v>167.11202866305524</c:v>
                </c:pt>
                <c:pt idx="572">
                  <c:v>163.83055610021708</c:v>
                </c:pt>
                <c:pt idx="573">
                  <c:v>172.82422164281061</c:v>
                </c:pt>
                <c:pt idx="574">
                  <c:v>171.77090946214651</c:v>
                </c:pt>
                <c:pt idx="575">
                  <c:v>156.78146689115732</c:v>
                </c:pt>
                <c:pt idx="576">
                  <c:v>165.69410841985359</c:v>
                </c:pt>
                <c:pt idx="577">
                  <c:v>168.52994890625695</c:v>
                </c:pt>
                <c:pt idx="578">
                  <c:v>156.37634682167112</c:v>
                </c:pt>
                <c:pt idx="579">
                  <c:v>144.22274473708526</c:v>
                </c:pt>
                <c:pt idx="580">
                  <c:v>135.31010320838899</c:v>
                </c:pt>
                <c:pt idx="581">
                  <c:v>132.47426272198564</c:v>
                </c:pt>
                <c:pt idx="582">
                  <c:v>138.95618383376475</c:v>
                </c:pt>
                <c:pt idx="583">
                  <c:v>135.7152232778752</c:v>
                </c:pt>
                <c:pt idx="584">
                  <c:v>136.12034334736137</c:v>
                </c:pt>
                <c:pt idx="585">
                  <c:v>133.08194282621491</c:v>
                </c:pt>
                <c:pt idx="586">
                  <c:v>128.42306202712368</c:v>
                </c:pt>
                <c:pt idx="587">
                  <c:v>130.04354230506846</c:v>
                </c:pt>
                <c:pt idx="588">
                  <c:v>135.31010320838899</c:v>
                </c:pt>
                <c:pt idx="589">
                  <c:v>138.34850372953545</c:v>
                </c:pt>
                <c:pt idx="590">
                  <c:v>133.56808690959835</c:v>
                </c:pt>
                <c:pt idx="591">
                  <c:v>133.89218296518732</c:v>
                </c:pt>
                <c:pt idx="592">
                  <c:v>131.46146254827016</c:v>
                </c:pt>
                <c:pt idx="593">
                  <c:v>131.25890251352706</c:v>
                </c:pt>
                <c:pt idx="594">
                  <c:v>134.13525500687905</c:v>
                </c:pt>
                <c:pt idx="595">
                  <c:v>131.05634247878396</c:v>
                </c:pt>
                <c:pt idx="596">
                  <c:v>125.38466150597725</c:v>
                </c:pt>
                <c:pt idx="597">
                  <c:v>122.79189306126561</c:v>
                </c:pt>
                <c:pt idx="598">
                  <c:v>122.54882101957388</c:v>
                </c:pt>
                <c:pt idx="599">
                  <c:v>119.71298053317051</c:v>
                </c:pt>
                <c:pt idx="600">
                  <c:v>117.88994022048263</c:v>
                </c:pt>
                <c:pt idx="601">
                  <c:v>118.86222838724949</c:v>
                </c:pt>
                <c:pt idx="602">
                  <c:v>114.40590762290134</c:v>
                </c:pt>
                <c:pt idx="603">
                  <c:v>110.59777896973111</c:v>
                </c:pt>
                <c:pt idx="604">
                  <c:v>107.15425837909845</c:v>
                </c:pt>
                <c:pt idx="605">
                  <c:v>105.04763401777025</c:v>
                </c:pt>
                <c:pt idx="606">
                  <c:v>111.81313917818969</c:v>
                </c:pt>
                <c:pt idx="607">
                  <c:v>113.23105942139136</c:v>
                </c:pt>
                <c:pt idx="608">
                  <c:v>113.23105942139136</c:v>
                </c:pt>
                <c:pt idx="609">
                  <c:v>108.16705855281393</c:v>
                </c:pt>
                <c:pt idx="610">
                  <c:v>105.53377810115367</c:v>
                </c:pt>
                <c:pt idx="611">
                  <c:v>107.76193848332775</c:v>
                </c:pt>
                <c:pt idx="612">
                  <c:v>104.7235379621813</c:v>
                </c:pt>
                <c:pt idx="613">
                  <c:v>105.3312180664106</c:v>
                </c:pt>
                <c:pt idx="614">
                  <c:v>104.11585785795202</c:v>
                </c:pt>
                <c:pt idx="615">
                  <c:v>100.67233726731936</c:v>
                </c:pt>
                <c:pt idx="616">
                  <c:v>100.46977723257626</c:v>
                </c:pt>
                <c:pt idx="617">
                  <c:v>94.919632280615403</c:v>
                </c:pt>
                <c:pt idx="618">
                  <c:v>93.987856120797147</c:v>
                </c:pt>
                <c:pt idx="619">
                  <c:v>98.768272940734249</c:v>
                </c:pt>
                <c:pt idx="620">
                  <c:v>104.11585785795202</c:v>
                </c:pt>
                <c:pt idx="621">
                  <c:v>107.76193848332778</c:v>
                </c:pt>
                <c:pt idx="622">
                  <c:v>103.71073778846583</c:v>
                </c:pt>
                <c:pt idx="623">
                  <c:v>101.68513744103487</c:v>
                </c:pt>
                <c:pt idx="624">
                  <c:v>102.90049764949346</c:v>
                </c:pt>
                <c:pt idx="625">
                  <c:v>102.90049764949346</c:v>
                </c:pt>
                <c:pt idx="626">
                  <c:v>102.6736304105812</c:v>
                </c:pt>
                <c:pt idx="627">
                  <c:v>99.456977058860815</c:v>
                </c:pt>
                <c:pt idx="628">
                  <c:v>100.0646571630901</c:v>
                </c:pt>
                <c:pt idx="629">
                  <c:v>98.833092151852071</c:v>
                </c:pt>
                <c:pt idx="630">
                  <c:v>93.987856120797176</c:v>
                </c:pt>
                <c:pt idx="631">
                  <c:v>94.392976190283363</c:v>
                </c:pt>
                <c:pt idx="632">
                  <c:v>93.582736051310974</c:v>
                </c:pt>
                <c:pt idx="633">
                  <c:v>94.595536225026464</c:v>
                </c:pt>
                <c:pt idx="634">
                  <c:v>92.772495912338599</c:v>
                </c:pt>
                <c:pt idx="635">
                  <c:v>94.798096259769579</c:v>
                </c:pt>
                <c:pt idx="636">
                  <c:v>93.1776159818248</c:v>
                </c:pt>
                <c:pt idx="637">
                  <c:v>88.721295217476651</c:v>
                </c:pt>
                <c:pt idx="638">
                  <c:v>87.303374974274973</c:v>
                </c:pt>
                <c:pt idx="639">
                  <c:v>89.126415286962853</c:v>
                </c:pt>
                <c:pt idx="640">
                  <c:v>88.316175147990464</c:v>
                </c:pt>
                <c:pt idx="641">
                  <c:v>86.533646842251201</c:v>
                </c:pt>
                <c:pt idx="642">
                  <c:v>86.088014765816382</c:v>
                </c:pt>
                <c:pt idx="643">
                  <c:v>88.316175147990464</c:v>
                </c:pt>
                <c:pt idx="644">
                  <c:v>84.264974453128517</c:v>
                </c:pt>
                <c:pt idx="645">
                  <c:v>88.923855252219766</c:v>
                </c:pt>
                <c:pt idx="646">
                  <c:v>87.505935009018074</c:v>
                </c:pt>
                <c:pt idx="647">
                  <c:v>92.367375842852411</c:v>
                </c:pt>
                <c:pt idx="648">
                  <c:v>97.228816676686748</c:v>
                </c:pt>
                <c:pt idx="649">
                  <c:v>102.98152166339072</c:v>
                </c:pt>
                <c:pt idx="650">
                  <c:v>102.21179353136695</c:v>
                </c:pt>
                <c:pt idx="651">
                  <c:v>105.16917003861619</c:v>
                </c:pt>
                <c:pt idx="652">
                  <c:v>101.28001737154871</c:v>
                </c:pt>
                <c:pt idx="653">
                  <c:v>94.676560238923727</c:v>
                </c:pt>
                <c:pt idx="654">
                  <c:v>94.757584252820962</c:v>
                </c:pt>
                <c:pt idx="655">
                  <c:v>94.433488197232009</c:v>
                </c:pt>
                <c:pt idx="656">
                  <c:v>92.367375842852411</c:v>
                </c:pt>
                <c:pt idx="657">
                  <c:v>93.582736051311002</c:v>
                </c:pt>
                <c:pt idx="658">
                  <c:v>91.557135703880036</c:v>
                </c:pt>
                <c:pt idx="659">
                  <c:v>90.746895564907646</c:v>
                </c:pt>
                <c:pt idx="660">
                  <c:v>93.987856120797204</c:v>
                </c:pt>
                <c:pt idx="661">
                  <c:v>94.190416155540305</c:v>
                </c:pt>
                <c:pt idx="662">
                  <c:v>94.798096259769608</c:v>
                </c:pt>
                <c:pt idx="663">
                  <c:v>97.431376711429877</c:v>
                </c:pt>
                <c:pt idx="664">
                  <c:v>96.2160165029713</c:v>
                </c:pt>
                <c:pt idx="665">
                  <c:v>101.28001737154874</c:v>
                </c:pt>
                <c:pt idx="666">
                  <c:v>100.87489730206254</c:v>
                </c:pt>
                <c:pt idx="667">
                  <c:v>104.7235379621814</c:v>
                </c:pt>
                <c:pt idx="668">
                  <c:v>98.565712905991234</c:v>
                </c:pt>
                <c:pt idx="669">
                  <c:v>99.837789924177883</c:v>
                </c:pt>
                <c:pt idx="670">
                  <c:v>97.633936746172978</c:v>
                </c:pt>
                <c:pt idx="671">
                  <c:v>98.079568822607783</c:v>
                </c:pt>
                <c:pt idx="672">
                  <c:v>100.26721719783323</c:v>
                </c:pt>
                <c:pt idx="673">
                  <c:v>97.998544808710534</c:v>
                </c:pt>
                <c:pt idx="674">
                  <c:v>99.659537093603944</c:v>
                </c:pt>
                <c:pt idx="675">
                  <c:v>98.241616850402266</c:v>
                </c:pt>
                <c:pt idx="676">
                  <c:v>99.659537093603944</c:v>
                </c:pt>
                <c:pt idx="677">
                  <c:v>99.659537093603944</c:v>
                </c:pt>
                <c:pt idx="678">
                  <c:v>99.659537093603944</c:v>
                </c:pt>
                <c:pt idx="679">
                  <c:v>98.039056815659166</c:v>
                </c:pt>
                <c:pt idx="680">
                  <c:v>97.228816676686776</c:v>
                </c:pt>
                <c:pt idx="681">
                  <c:v>96.418576537714387</c:v>
                </c:pt>
                <c:pt idx="682">
                  <c:v>97.431376711429877</c:v>
                </c:pt>
                <c:pt idx="683">
                  <c:v>97.633936746172978</c:v>
                </c:pt>
                <c:pt idx="684">
                  <c:v>96.945232628046455</c:v>
                </c:pt>
                <c:pt idx="685">
                  <c:v>97.836496780916093</c:v>
                </c:pt>
                <c:pt idx="686">
                  <c:v>97.714960760070227</c:v>
                </c:pt>
                <c:pt idx="687">
                  <c:v>100.06465716309016</c:v>
                </c:pt>
                <c:pt idx="688">
                  <c:v>97.22881667668679</c:v>
                </c:pt>
                <c:pt idx="689">
                  <c:v>97.431376711429891</c:v>
                </c:pt>
                <c:pt idx="690">
                  <c:v>97.569117535055199</c:v>
                </c:pt>
                <c:pt idx="691">
                  <c:v>97.674448753121595</c:v>
                </c:pt>
                <c:pt idx="692">
                  <c:v>98.86550175741101</c:v>
                </c:pt>
                <c:pt idx="693">
                  <c:v>99.294929031066374</c:v>
                </c:pt>
                <c:pt idx="694">
                  <c:v>101.25571016737956</c:v>
                </c:pt>
                <c:pt idx="695">
                  <c:v>99.659537093603959</c:v>
                </c:pt>
                <c:pt idx="696">
                  <c:v>99.659537093603959</c:v>
                </c:pt>
                <c:pt idx="697">
                  <c:v>97.342250296142922</c:v>
                </c:pt>
                <c:pt idx="698">
                  <c:v>100.36444601450994</c:v>
                </c:pt>
                <c:pt idx="699">
                  <c:v>96.783184600251971</c:v>
                </c:pt>
                <c:pt idx="700">
                  <c:v>96.621136572457488</c:v>
                </c:pt>
                <c:pt idx="701">
                  <c:v>98.039056815659166</c:v>
                </c:pt>
                <c:pt idx="702">
                  <c:v>97.350352697532628</c:v>
                </c:pt>
                <c:pt idx="703">
                  <c:v>100.10516917003875</c:v>
                </c:pt>
                <c:pt idx="704">
                  <c:v>99.821585121398414</c:v>
                </c:pt>
                <c:pt idx="705">
                  <c:v>99.659537093603944</c:v>
                </c:pt>
                <c:pt idx="706">
                  <c:v>93.785296086054117</c:v>
                </c:pt>
                <c:pt idx="707">
                  <c:v>94.798096259769608</c:v>
                </c:pt>
                <c:pt idx="708">
                  <c:v>95.446288370947514</c:v>
                </c:pt>
                <c:pt idx="709">
                  <c:v>93.825808093002735</c:v>
                </c:pt>
                <c:pt idx="710">
                  <c:v>93.177615981824829</c:v>
                </c:pt>
                <c:pt idx="711">
                  <c:v>97.552912732275743</c:v>
                </c:pt>
                <c:pt idx="712">
                  <c:v>94.028368127745836</c:v>
                </c:pt>
                <c:pt idx="713">
                  <c:v>95.648848405690615</c:v>
                </c:pt>
                <c:pt idx="714">
                  <c:v>98.444176885145367</c:v>
                </c:pt>
                <c:pt idx="715">
                  <c:v>98.079568822607797</c:v>
                </c:pt>
                <c:pt idx="716">
                  <c:v>99.983633149192926</c:v>
                </c:pt>
                <c:pt idx="717">
                  <c:v>102.39004636194093</c:v>
                </c:pt>
                <c:pt idx="718">
                  <c:v>106.1414582053831</c:v>
                </c:pt>
                <c:pt idx="719">
                  <c:v>103.26510571203112</c:v>
                </c:pt>
                <c:pt idx="720">
                  <c:v>104.84507398302729</c:v>
                </c:pt>
                <c:pt idx="721">
                  <c:v>101.52308941324048</c:v>
                </c:pt>
                <c:pt idx="722">
                  <c:v>100.55080124647361</c:v>
                </c:pt>
                <c:pt idx="723">
                  <c:v>99.659537093603987</c:v>
                </c:pt>
                <c:pt idx="724">
                  <c:v>98.849296954631583</c:v>
                </c:pt>
                <c:pt idx="725">
                  <c:v>99.902609135295677</c:v>
                </c:pt>
                <c:pt idx="726">
                  <c:v>99.902609135295691</c:v>
                </c:pt>
                <c:pt idx="727">
                  <c:v>99.254417024117771</c:v>
                </c:pt>
                <c:pt idx="728">
                  <c:v>100.87489730206255</c:v>
                </c:pt>
                <c:pt idx="729">
                  <c:v>99.294929031066388</c:v>
                </c:pt>
                <c:pt idx="730">
                  <c:v>99.375953044963637</c:v>
                </c:pt>
                <c:pt idx="731">
                  <c:v>99.70004910055259</c:v>
                </c:pt>
                <c:pt idx="732">
                  <c:v>100.5508012464736</c:v>
                </c:pt>
                <c:pt idx="733">
                  <c:v>102.69793761475043</c:v>
                </c:pt>
                <c:pt idx="734">
                  <c:v>98.849296954631583</c:v>
                </c:pt>
                <c:pt idx="735">
                  <c:v>101.03694532985705</c:v>
                </c:pt>
                <c:pt idx="736">
                  <c:v>100.46977723257636</c:v>
                </c:pt>
                <c:pt idx="737">
                  <c:v>102.41435356611011</c:v>
                </c:pt>
                <c:pt idx="738">
                  <c:v>98.849296954631583</c:v>
                </c:pt>
                <c:pt idx="739">
                  <c:v>98.849296954631569</c:v>
                </c:pt>
                <c:pt idx="740">
                  <c:v>98.241616850402281</c:v>
                </c:pt>
                <c:pt idx="741">
                  <c:v>98.484688892093985</c:v>
                </c:pt>
                <c:pt idx="742">
                  <c:v>96.532010157170532</c:v>
                </c:pt>
                <c:pt idx="743">
                  <c:v>98.03905681565918</c:v>
                </c:pt>
                <c:pt idx="744">
                  <c:v>98.484688892093985</c:v>
                </c:pt>
                <c:pt idx="745">
                  <c:v>97.998544808710562</c:v>
                </c:pt>
                <c:pt idx="746">
                  <c:v>98.606224912939865</c:v>
                </c:pt>
                <c:pt idx="747">
                  <c:v>99.254417024117785</c:v>
                </c:pt>
                <c:pt idx="748">
                  <c:v>98.079568822607825</c:v>
                </c:pt>
                <c:pt idx="749">
                  <c:v>98.525200899042645</c:v>
                </c:pt>
                <c:pt idx="750">
                  <c:v>97.820291978136666</c:v>
                </c:pt>
                <c:pt idx="751">
                  <c:v>98.039056815659208</c:v>
                </c:pt>
                <c:pt idx="752">
                  <c:v>98.784477743513804</c:v>
                </c:pt>
                <c:pt idx="753">
                  <c:v>98.598122511550145</c:v>
                </c:pt>
                <c:pt idx="754">
                  <c:v>98.889808961580201</c:v>
                </c:pt>
                <c:pt idx="755">
                  <c:v>99.197700214389712</c:v>
                </c:pt>
                <c:pt idx="756">
                  <c:v>101.28001737154875</c:v>
                </c:pt>
                <c:pt idx="757">
                  <c:v>98.120080829556414</c:v>
                </c:pt>
                <c:pt idx="758">
                  <c:v>98.120080829556414</c:v>
                </c:pt>
                <c:pt idx="759">
                  <c:v>100.46977723257635</c:v>
                </c:pt>
                <c:pt idx="760">
                  <c:v>100.58321085203249</c:v>
                </c:pt>
                <c:pt idx="761">
                  <c:v>101.32052937849737</c:v>
                </c:pt>
                <c:pt idx="762">
                  <c:v>101.53929421601991</c:v>
                </c:pt>
                <c:pt idx="763">
                  <c:v>102.43866077027928</c:v>
                </c:pt>
                <c:pt idx="764">
                  <c:v>104.92609799692451</c:v>
                </c:pt>
                <c:pt idx="765">
                  <c:v>104.76404996913004</c:v>
                </c:pt>
                <c:pt idx="766">
                  <c:v>105.12865803166761</c:v>
                </c:pt>
                <c:pt idx="767">
                  <c:v>113.02849938664842</c:v>
                </c:pt>
                <c:pt idx="768">
                  <c:v>116.26945994253798</c:v>
                </c:pt>
                <c:pt idx="769">
                  <c:v>115.66177983830868</c:v>
                </c:pt>
                <c:pt idx="770">
                  <c:v>110.59777896973124</c:v>
                </c:pt>
                <c:pt idx="771">
                  <c:v>113.83873952562081</c:v>
                </c:pt>
                <c:pt idx="772">
                  <c:v>113.43361945613461</c:v>
                </c:pt>
                <c:pt idx="773">
                  <c:v>117.88994022048274</c:v>
                </c:pt>
                <c:pt idx="774">
                  <c:v>119.91554056791372</c:v>
                </c:pt>
                <c:pt idx="775">
                  <c:v>119.51042049842754</c:v>
                </c:pt>
                <c:pt idx="776">
                  <c:v>118.37608430386618</c:v>
                </c:pt>
                <c:pt idx="777">
                  <c:v>115.86433987305176</c:v>
                </c:pt>
                <c:pt idx="778">
                  <c:v>116.91765205371588</c:v>
                </c:pt>
                <c:pt idx="779">
                  <c:v>117.48482015099654</c:v>
                </c:pt>
                <c:pt idx="780">
                  <c:v>113.29587863250929</c:v>
                </c:pt>
                <c:pt idx="781">
                  <c:v>112.90696336580253</c:v>
                </c:pt>
                <c:pt idx="782">
                  <c:v>113.91976353951802</c:v>
                </c:pt>
                <c:pt idx="783">
                  <c:v>109.84425564048689</c:v>
                </c:pt>
                <c:pt idx="784">
                  <c:v>106.95169834435548</c:v>
                </c:pt>
                <c:pt idx="785">
                  <c:v>111.40801910870363</c:v>
                </c:pt>
                <c:pt idx="786">
                  <c:v>111.00289903921744</c:v>
                </c:pt>
                <c:pt idx="787">
                  <c:v>111.57816953788785</c:v>
                </c:pt>
                <c:pt idx="788">
                  <c:v>112.46133128936775</c:v>
                </c:pt>
                <c:pt idx="789">
                  <c:v>110.59777896973124</c:v>
                </c:pt>
                <c:pt idx="790">
                  <c:v>111.7726271712412</c:v>
                </c:pt>
                <c:pt idx="791">
                  <c:v>112.54235530326498</c:v>
                </c:pt>
                <c:pt idx="792">
                  <c:v>112.78542734495669</c:v>
                </c:pt>
                <c:pt idx="793">
                  <c:v>112.87455376024366</c:v>
                </c:pt>
                <c:pt idx="794">
                  <c:v>114.61251885833944</c:v>
                </c:pt>
                <c:pt idx="795">
                  <c:v>113.2958786325093</c:v>
                </c:pt>
                <c:pt idx="796">
                  <c:v>114.38160041873228</c:v>
                </c:pt>
                <c:pt idx="797">
                  <c:v>113.69289630060574</c:v>
                </c:pt>
                <c:pt idx="798">
                  <c:v>113.91976353951802</c:v>
                </c:pt>
                <c:pt idx="799">
                  <c:v>114.4869316367987</c:v>
                </c:pt>
                <c:pt idx="800">
                  <c:v>115.86433987305175</c:v>
                </c:pt>
                <c:pt idx="801">
                  <c:v>115.09461174102798</c:v>
                </c:pt>
                <c:pt idx="802">
                  <c:v>117.48482015099651</c:v>
                </c:pt>
                <c:pt idx="803">
                  <c:v>118.38418670525589</c:v>
                </c:pt>
                <c:pt idx="804">
                  <c:v>118.47331312054283</c:v>
                </c:pt>
                <c:pt idx="805">
                  <c:v>118.61915634555787</c:v>
                </c:pt>
                <c:pt idx="806">
                  <c:v>119.26734845673577</c:v>
                </c:pt>
                <c:pt idx="807">
                  <c:v>119.91554056791369</c:v>
                </c:pt>
                <c:pt idx="808">
                  <c:v>121.07418396664421</c:v>
                </c:pt>
                <c:pt idx="809">
                  <c:v>119.91554056791369</c:v>
                </c:pt>
                <c:pt idx="810">
                  <c:v>119.51042049842751</c:v>
                </c:pt>
                <c:pt idx="811">
                  <c:v>121.41448482501262</c:v>
                </c:pt>
                <c:pt idx="812">
                  <c:v>122.24903216815417</c:v>
                </c:pt>
                <c:pt idx="813">
                  <c:v>122.71086904736843</c:v>
                </c:pt>
                <c:pt idx="814">
                  <c:v>123.18080832797243</c:v>
                </c:pt>
                <c:pt idx="815">
                  <c:v>121.41448482501261</c:v>
                </c:pt>
                <c:pt idx="816">
                  <c:v>121.61704485975572</c:v>
                </c:pt>
                <c:pt idx="817">
                  <c:v>121.96544811951385</c:v>
                </c:pt>
                <c:pt idx="818">
                  <c:v>122.38677299177951</c:v>
                </c:pt>
                <c:pt idx="819">
                  <c:v>122.18421295703641</c:v>
                </c:pt>
                <c:pt idx="820">
                  <c:v>122.46779700567674</c:v>
                </c:pt>
                <c:pt idx="821">
                  <c:v>122.50830901262535</c:v>
                </c:pt>
                <c:pt idx="822">
                  <c:v>123.2375251377005</c:v>
                </c:pt>
                <c:pt idx="823">
                  <c:v>122.91342908211153</c:v>
                </c:pt>
                <c:pt idx="824">
                  <c:v>123.48059717939222</c:v>
                </c:pt>
                <c:pt idx="825">
                  <c:v>121.57653285280711</c:v>
                </c:pt>
                <c:pt idx="826">
                  <c:v>122.75138105431706</c:v>
                </c:pt>
                <c:pt idx="827">
                  <c:v>123.31854915159774</c:v>
                </c:pt>
                <c:pt idx="828">
                  <c:v>124.45288534615909</c:v>
                </c:pt>
                <c:pt idx="829">
                  <c:v>124.71216219063024</c:v>
                </c:pt>
                <c:pt idx="830">
                  <c:v>125.18210147123423</c:v>
                </c:pt>
                <c:pt idx="831">
                  <c:v>125.18210147123425</c:v>
                </c:pt>
                <c:pt idx="832">
                  <c:v>124.70405978924053</c:v>
                </c:pt>
                <c:pt idx="833">
                  <c:v>123.15650112380327</c:v>
                </c:pt>
                <c:pt idx="834">
                  <c:v>125.23071587957259</c:v>
                </c:pt>
                <c:pt idx="835">
                  <c:v>124.0234580725037</c:v>
                </c:pt>
                <c:pt idx="836">
                  <c:v>124.06397007945232</c:v>
                </c:pt>
                <c:pt idx="837">
                  <c:v>125.30363749208009</c:v>
                </c:pt>
                <c:pt idx="838">
                  <c:v>125.22261347818285</c:v>
                </c:pt>
                <c:pt idx="839">
                  <c:v>126.3974616796928</c:v>
                </c:pt>
                <c:pt idx="840">
                  <c:v>127.4507738603569</c:v>
                </c:pt>
                <c:pt idx="841">
                  <c:v>128.504086041021</c:v>
                </c:pt>
                <c:pt idx="842">
                  <c:v>129.96251829117131</c:v>
                </c:pt>
                <c:pt idx="843">
                  <c:v>131.58299856911609</c:v>
                </c:pt>
                <c:pt idx="844">
                  <c:v>131.42095054132162</c:v>
                </c:pt>
                <c:pt idx="845">
                  <c:v>132.3284194969707</c:v>
                </c:pt>
                <c:pt idx="846">
                  <c:v>131.42095054132162</c:v>
                </c:pt>
                <c:pt idx="847">
                  <c:v>132.96040680536916</c:v>
                </c:pt>
                <c:pt idx="848">
                  <c:v>132.39323870808849</c:v>
                </c:pt>
                <c:pt idx="849">
                  <c:v>132.15016666639676</c:v>
                </c:pt>
                <c:pt idx="850">
                  <c:v>132.96040680536913</c:v>
                </c:pt>
                <c:pt idx="851">
                  <c:v>132.55528673588293</c:v>
                </c:pt>
                <c:pt idx="852">
                  <c:v>132.39323870808846</c:v>
                </c:pt>
                <c:pt idx="853">
                  <c:v>132.55528673588293</c:v>
                </c:pt>
                <c:pt idx="854">
                  <c:v>131.98811863860226</c:v>
                </c:pt>
                <c:pt idx="855">
                  <c:v>132.06104025110977</c:v>
                </c:pt>
                <c:pt idx="856">
                  <c:v>132.39323870808846</c:v>
                </c:pt>
                <c:pt idx="857">
                  <c:v>132.55528673588293</c:v>
                </c:pt>
                <c:pt idx="858">
                  <c:v>132.63631074978016</c:v>
                </c:pt>
                <c:pt idx="859">
                  <c:v>130.36763836065751</c:v>
                </c:pt>
                <c:pt idx="860">
                  <c:v>130.77275843014371</c:v>
                </c:pt>
                <c:pt idx="861">
                  <c:v>129.81667506615628</c:v>
                </c:pt>
                <c:pt idx="862">
                  <c:v>128.82818209660996</c:v>
                </c:pt>
                <c:pt idx="863">
                  <c:v>127.45077386035692</c:v>
                </c:pt>
                <c:pt idx="864">
                  <c:v>126.0895704268833</c:v>
                </c:pt>
                <c:pt idx="865">
                  <c:v>125.95182960325798</c:v>
                </c:pt>
                <c:pt idx="866">
                  <c:v>126.3974616796928</c:v>
                </c:pt>
                <c:pt idx="867">
                  <c:v>123.33475395437716</c:v>
                </c:pt>
                <c:pt idx="868">
                  <c:v>124.77698140174802</c:v>
                </c:pt>
                <c:pt idx="869">
                  <c:v>125.36035430180813</c:v>
                </c:pt>
                <c:pt idx="870">
                  <c:v>129.23330216609617</c:v>
                </c:pt>
                <c:pt idx="871">
                  <c:v>130.4324575717753</c:v>
                </c:pt>
                <c:pt idx="872">
                  <c:v>129.23330216609617</c:v>
                </c:pt>
                <c:pt idx="873">
                  <c:v>130.28661434676027</c:v>
                </c:pt>
                <c:pt idx="874">
                  <c:v>129.80047026337684</c:v>
                </c:pt>
                <c:pt idx="875">
                  <c:v>130.44866237455477</c:v>
                </c:pt>
                <c:pt idx="876">
                  <c:v>130.10836151618639</c:v>
                </c:pt>
                <c:pt idx="877">
                  <c:v>129.80047026337687</c:v>
                </c:pt>
                <c:pt idx="878">
                  <c:v>129.67893424253103</c:v>
                </c:pt>
                <c:pt idx="879">
                  <c:v>128.01794195763762</c:v>
                </c:pt>
                <c:pt idx="880">
                  <c:v>130.59126463901393</c:v>
                </c:pt>
                <c:pt idx="881">
                  <c:v>121.83580969727829</c:v>
                </c:pt>
                <c:pt idx="882">
                  <c:v>132.15016666639681</c:v>
                </c:pt>
                <c:pt idx="883">
                  <c:v>131.25890251352718</c:v>
                </c:pt>
                <c:pt idx="884">
                  <c:v>130.93480645793821</c:v>
                </c:pt>
                <c:pt idx="885">
                  <c:v>130.61071040234924</c:v>
                </c:pt>
                <c:pt idx="886">
                  <c:v>131.82607061080785</c:v>
                </c:pt>
                <c:pt idx="887">
                  <c:v>132.15016666639681</c:v>
                </c:pt>
                <c:pt idx="888">
                  <c:v>132.89558759425142</c:v>
                </c:pt>
                <c:pt idx="889">
                  <c:v>134.05423099298193</c:v>
                </c:pt>
                <c:pt idx="890">
                  <c:v>135.91778331261844</c:v>
                </c:pt>
                <c:pt idx="891">
                  <c:v>136.03931933346431</c:v>
                </c:pt>
                <c:pt idx="892">
                  <c:v>136.12034334736154</c:v>
                </c:pt>
                <c:pt idx="893">
                  <c:v>135.26959120144051</c:v>
                </c:pt>
                <c:pt idx="894">
                  <c:v>135.31010320838914</c:v>
                </c:pt>
                <c:pt idx="895">
                  <c:v>135.87727130566981</c:v>
                </c:pt>
                <c:pt idx="896">
                  <c:v>135.87727130566981</c:v>
                </c:pt>
                <c:pt idx="897">
                  <c:v>135.55317525008087</c:v>
                </c:pt>
                <c:pt idx="898">
                  <c:v>131.23459530935801</c:v>
                </c:pt>
                <c:pt idx="899">
                  <c:v>135.55317525008084</c:v>
                </c:pt>
                <c:pt idx="900">
                  <c:v>136.78474026131886</c:v>
                </c:pt>
                <c:pt idx="901">
                  <c:v>138.34850372953557</c:v>
                </c:pt>
                <c:pt idx="902">
                  <c:v>139.36130390325104</c:v>
                </c:pt>
                <c:pt idx="903">
                  <c:v>140.75491694228356</c:v>
                </c:pt>
                <c:pt idx="904">
                  <c:v>142.52124044524339</c:v>
                </c:pt>
                <c:pt idx="905">
                  <c:v>145.03298487605778</c:v>
                </c:pt>
                <c:pt idx="906">
                  <c:v>147.46370529297496</c:v>
                </c:pt>
                <c:pt idx="907">
                  <c:v>147.86882536246117</c:v>
                </c:pt>
                <c:pt idx="908">
                  <c:v>147.86882536246117</c:v>
                </c:pt>
                <c:pt idx="909">
                  <c:v>147.88503016524061</c:v>
                </c:pt>
                <c:pt idx="910">
                  <c:v>147.62575332076941</c:v>
                </c:pt>
                <c:pt idx="911">
                  <c:v>146.65346515400256</c:v>
                </c:pt>
                <c:pt idx="912">
                  <c:v>146.65346515400256</c:v>
                </c:pt>
                <c:pt idx="913">
                  <c:v>146.04578504977329</c:v>
                </c:pt>
                <c:pt idx="914">
                  <c:v>146.24834508451639</c:v>
                </c:pt>
                <c:pt idx="915">
                  <c:v>146.82361558318678</c:v>
                </c:pt>
                <c:pt idx="916">
                  <c:v>147.46370529297496</c:v>
                </c:pt>
                <c:pt idx="917">
                  <c:v>149.00316155702251</c:v>
                </c:pt>
                <c:pt idx="918">
                  <c:v>146.00527304282465</c:v>
                </c:pt>
                <c:pt idx="919">
                  <c:v>146.65346515400259</c:v>
                </c:pt>
                <c:pt idx="920">
                  <c:v>146.57244114010535</c:v>
                </c:pt>
                <c:pt idx="921">
                  <c:v>146.16732107061918</c:v>
                </c:pt>
                <c:pt idx="922">
                  <c:v>145.84322501503021</c:v>
                </c:pt>
                <c:pt idx="923">
                  <c:v>146.97756120959156</c:v>
                </c:pt>
                <c:pt idx="924">
                  <c:v>149.18141438759645</c:v>
                </c:pt>
                <c:pt idx="925">
                  <c:v>148.5170174736391</c:v>
                </c:pt>
                <c:pt idx="926">
                  <c:v>149.73237768209768</c:v>
                </c:pt>
                <c:pt idx="927">
                  <c:v>152.16464930998868</c:v>
                </c:pt>
                <c:pt idx="928">
                  <c:v>153.37550122667426</c:v>
                </c:pt>
                <c:pt idx="929">
                  <c:v>155.3085877766371</c:v>
                </c:pt>
                <c:pt idx="930">
                  <c:v>157.55660007896148</c:v>
                </c:pt>
                <c:pt idx="931">
                  <c:v>156.53358871509971</c:v>
                </c:pt>
                <c:pt idx="932">
                  <c:v>159.1398367954838</c:v>
                </c:pt>
                <c:pt idx="933">
                  <c:v>159.13159270312775</c:v>
                </c:pt>
                <c:pt idx="934">
                  <c:v>160.73456392603592</c:v>
                </c:pt>
                <c:pt idx="935">
                  <c:v>165.63653859969224</c:v>
                </c:pt>
                <c:pt idx="936">
                  <c:v>160.19208847186616</c:v>
                </c:pt>
                <c:pt idx="937">
                  <c:v>157.50763017036641</c:v>
                </c:pt>
                <c:pt idx="938">
                  <c:v>152.62090560121939</c:v>
                </c:pt>
                <c:pt idx="939">
                  <c:v>152.98342075905487</c:v>
                </c:pt>
                <c:pt idx="940">
                  <c:v>153.63014901358059</c:v>
                </c:pt>
                <c:pt idx="941">
                  <c:v>153.59431737314517</c:v>
                </c:pt>
                <c:pt idx="942">
                  <c:v>153.99642800469829</c:v>
                </c:pt>
                <c:pt idx="943">
                  <c:v>154.03770107056249</c:v>
                </c:pt>
                <c:pt idx="944">
                  <c:v>154.42324607459085</c:v>
                </c:pt>
                <c:pt idx="945">
                  <c:v>155.5711524165915</c:v>
                </c:pt>
                <c:pt idx="946">
                  <c:v>156.79709953558111</c:v>
                </c:pt>
                <c:pt idx="947">
                  <c:v>156.72807064286832</c:v>
                </c:pt>
                <c:pt idx="948">
                  <c:v>157.43009448175746</c:v>
                </c:pt>
                <c:pt idx="949">
                  <c:v>157.47906439035253</c:v>
                </c:pt>
                <c:pt idx="950">
                  <c:v>157.82874717541225</c:v>
                </c:pt>
                <c:pt idx="951">
                  <c:v>159.43527793306959</c:v>
                </c:pt>
                <c:pt idx="952">
                  <c:v>159.84822193943018</c:v>
                </c:pt>
                <c:pt idx="953">
                  <c:v>160.60131247407639</c:v>
                </c:pt>
                <c:pt idx="954">
                  <c:v>159.77779144483489</c:v>
                </c:pt>
                <c:pt idx="955">
                  <c:v>157.5606809046777</c:v>
                </c:pt>
                <c:pt idx="956">
                  <c:v>154.74651541627026</c:v>
                </c:pt>
                <c:pt idx="957">
                  <c:v>156.05319964256338</c:v>
                </c:pt>
                <c:pt idx="958">
                  <c:v>157.14333760636424</c:v>
                </c:pt>
                <c:pt idx="959">
                  <c:v>157.66270154758411</c:v>
                </c:pt>
                <c:pt idx="960">
                  <c:v>157.44233695890622</c:v>
                </c:pt>
                <c:pt idx="961">
                  <c:v>157.18404409729945</c:v>
                </c:pt>
                <c:pt idx="962">
                  <c:v>157.66270154758408</c:v>
                </c:pt>
                <c:pt idx="963">
                  <c:v>156.84952360926144</c:v>
                </c:pt>
                <c:pt idx="964">
                  <c:v>156.95483524064869</c:v>
                </c:pt>
                <c:pt idx="965">
                  <c:v>157.0398946352307</c:v>
                </c:pt>
                <c:pt idx="966">
                  <c:v>157.39633400300303</c:v>
                </c:pt>
                <c:pt idx="967">
                  <c:v>158.32388644868325</c:v>
                </c:pt>
                <c:pt idx="968">
                  <c:v>159.74097878362699</c:v>
                </c:pt>
                <c:pt idx="969">
                  <c:v>161.31193231800233</c:v>
                </c:pt>
                <c:pt idx="970">
                  <c:v>161.84339495313199</c:v>
                </c:pt>
                <c:pt idx="971">
                  <c:v>162.52858912988134</c:v>
                </c:pt>
                <c:pt idx="972">
                  <c:v>162.6578265493165</c:v>
                </c:pt>
                <c:pt idx="973">
                  <c:v>163.68002374095508</c:v>
                </c:pt>
                <c:pt idx="974">
                  <c:v>165.3194658585864</c:v>
                </c:pt>
                <c:pt idx="975">
                  <c:v>162.62755275452923</c:v>
                </c:pt>
                <c:pt idx="976">
                  <c:v>162.91150904838776</c:v>
                </c:pt>
                <c:pt idx="977">
                  <c:v>158.34001908414811</c:v>
                </c:pt>
                <c:pt idx="978">
                  <c:v>158.96841756277715</c:v>
                </c:pt>
                <c:pt idx="979">
                  <c:v>158.96202853170678</c:v>
                </c:pt>
                <c:pt idx="980">
                  <c:v>158.73917989542326</c:v>
                </c:pt>
                <c:pt idx="981">
                  <c:v>158.75498938972353</c:v>
                </c:pt>
                <c:pt idx="982">
                  <c:v>158.81427499334953</c:v>
                </c:pt>
                <c:pt idx="983">
                  <c:v>156.02745638556965</c:v>
                </c:pt>
                <c:pt idx="984">
                  <c:v>154.47989753747521</c:v>
                </c:pt>
                <c:pt idx="985">
                  <c:v>152.74056141331283</c:v>
                </c:pt>
                <c:pt idx="986">
                  <c:v>152.04854335386693</c:v>
                </c:pt>
                <c:pt idx="987">
                  <c:v>152.78611481665709</c:v>
                </c:pt>
                <c:pt idx="988">
                  <c:v>151.40427576766837</c:v>
                </c:pt>
                <c:pt idx="989">
                  <c:v>151.9956437612488</c:v>
                </c:pt>
                <c:pt idx="990">
                  <c:v>150.18929348415685</c:v>
                </c:pt>
                <c:pt idx="991">
                  <c:v>151.69362216763054</c:v>
                </c:pt>
                <c:pt idx="992">
                  <c:v>152.03720772687734</c:v>
                </c:pt>
                <c:pt idx="993">
                  <c:v>151.62953529725976</c:v>
                </c:pt>
                <c:pt idx="994">
                  <c:v>150.63113932832914</c:v>
                </c:pt>
                <c:pt idx="995">
                  <c:v>150.75094338605413</c:v>
                </c:pt>
                <c:pt idx="996">
                  <c:v>150.3499459085173</c:v>
                </c:pt>
                <c:pt idx="997">
                  <c:v>150.41344617137895</c:v>
                </c:pt>
                <c:pt idx="998">
                  <c:v>150.37982838515808</c:v>
                </c:pt>
                <c:pt idx="999">
                  <c:v>150.1855667026808</c:v>
                </c:pt>
                <c:pt idx="1000">
                  <c:v>148.56416438262809</c:v>
                </c:pt>
                <c:pt idx="1001">
                  <c:v>145.50852191099264</c:v>
                </c:pt>
                <c:pt idx="1002">
                  <c:v>145.11524348352893</c:v>
                </c:pt>
                <c:pt idx="1003">
                  <c:v>145.32434305123238</c:v>
                </c:pt>
                <c:pt idx="1004">
                  <c:v>144.29082224866036</c:v>
                </c:pt>
                <c:pt idx="1005">
                  <c:v>143.47399129575231</c:v>
                </c:pt>
                <c:pt idx="1006">
                  <c:v>144.04956811218648</c:v>
                </c:pt>
                <c:pt idx="1007">
                  <c:v>143.99229336529163</c:v>
                </c:pt>
                <c:pt idx="1008">
                  <c:v>145.24128199683068</c:v>
                </c:pt>
                <c:pt idx="1009">
                  <c:v>144.96750498077702</c:v>
                </c:pt>
                <c:pt idx="1010">
                  <c:v>144.64100241347796</c:v>
                </c:pt>
                <c:pt idx="1011">
                  <c:v>145.35684520295476</c:v>
                </c:pt>
                <c:pt idx="1012">
                  <c:v>144.77043829522705</c:v>
                </c:pt>
                <c:pt idx="1013">
                  <c:v>147.12152703047576</c:v>
                </c:pt>
                <c:pt idx="1014">
                  <c:v>148.17809053489461</c:v>
                </c:pt>
                <c:pt idx="1015">
                  <c:v>149.48806566960948</c:v>
                </c:pt>
                <c:pt idx="1016">
                  <c:v>151.26260654925457</c:v>
                </c:pt>
                <c:pt idx="1017">
                  <c:v>151.38643850202374</c:v>
                </c:pt>
                <c:pt idx="1018">
                  <c:v>149.25643191142123</c:v>
                </c:pt>
                <c:pt idx="1019">
                  <c:v>148.35823509354017</c:v>
                </c:pt>
                <c:pt idx="1020">
                  <c:v>147.05182596643826</c:v>
                </c:pt>
                <c:pt idx="1021">
                  <c:v>146.91699674420713</c:v>
                </c:pt>
                <c:pt idx="1022">
                  <c:v>146.43197057944153</c:v>
                </c:pt>
                <c:pt idx="1023">
                  <c:v>146.36802325654057</c:v>
                </c:pt>
                <c:pt idx="1024">
                  <c:v>147.58228948904011</c:v>
                </c:pt>
                <c:pt idx="1025">
                  <c:v>147.53139277632064</c:v>
                </c:pt>
                <c:pt idx="1026">
                  <c:v>147.76232687239374</c:v>
                </c:pt>
                <c:pt idx="1027">
                  <c:v>150.47859336619183</c:v>
                </c:pt>
                <c:pt idx="1028">
                  <c:v>149.79769475367516</c:v>
                </c:pt>
                <c:pt idx="1029">
                  <c:v>150.03003061863001</c:v>
                </c:pt>
                <c:pt idx="1030">
                  <c:v>149.64258644590794</c:v>
                </c:pt>
                <c:pt idx="1031">
                  <c:v>149.63520033601426</c:v>
                </c:pt>
                <c:pt idx="1032">
                  <c:v>147.29145113064317</c:v>
                </c:pt>
                <c:pt idx="1033">
                  <c:v>146.8335503718771</c:v>
                </c:pt>
                <c:pt idx="1034">
                  <c:v>149.33427054488337</c:v>
                </c:pt>
                <c:pt idx="1035">
                  <c:v>149.04940197160892</c:v>
                </c:pt>
                <c:pt idx="1036">
                  <c:v>148.64109633632427</c:v>
                </c:pt>
                <c:pt idx="1037">
                  <c:v>148.311480268948</c:v>
                </c:pt>
                <c:pt idx="1038">
                  <c:v>146.80476441427476</c:v>
                </c:pt>
                <c:pt idx="1039">
                  <c:v>145.78794814342152</c:v>
                </c:pt>
                <c:pt idx="1040">
                  <c:v>144.98028274922751</c:v>
                </c:pt>
                <c:pt idx="1041">
                  <c:v>143.84023513780184</c:v>
                </c:pt>
                <c:pt idx="1042">
                  <c:v>142.64948445560319</c:v>
                </c:pt>
                <c:pt idx="1043">
                  <c:v>143.30941288060151</c:v>
                </c:pt>
                <c:pt idx="1044">
                  <c:v>144.51825499432286</c:v>
                </c:pt>
                <c:pt idx="1045">
                  <c:v>144.74876337094923</c:v>
                </c:pt>
                <c:pt idx="1046">
                  <c:v>144.4933067148348</c:v>
                </c:pt>
                <c:pt idx="1047">
                  <c:v>143.14688648843887</c:v>
                </c:pt>
                <c:pt idx="1048">
                  <c:v>143.75861862347665</c:v>
                </c:pt>
                <c:pt idx="1049">
                  <c:v>143.94379232349706</c:v>
                </c:pt>
                <c:pt idx="1050">
                  <c:v>144.6939090147533</c:v>
                </c:pt>
                <c:pt idx="1051">
                  <c:v>146.40551709674963</c:v>
                </c:pt>
                <c:pt idx="1052">
                  <c:v>146.15328004272149</c:v>
                </c:pt>
                <c:pt idx="1053">
                  <c:v>145.88410233089584</c:v>
                </c:pt>
                <c:pt idx="1054">
                  <c:v>146.43816370247967</c:v>
                </c:pt>
                <c:pt idx="1055">
                  <c:v>147.48670159121457</c:v>
                </c:pt>
                <c:pt idx="1056">
                  <c:v>147.86130846347746</c:v>
                </c:pt>
                <c:pt idx="1057">
                  <c:v>148.873680734922</c:v>
                </c:pt>
                <c:pt idx="1058">
                  <c:v>148.28161685749888</c:v>
                </c:pt>
                <c:pt idx="1059">
                  <c:v>148.95842925995487</c:v>
                </c:pt>
                <c:pt idx="1060">
                  <c:v>149.03580834802838</c:v>
                </c:pt>
                <c:pt idx="1061">
                  <c:v>148.395329753862</c:v>
                </c:pt>
                <c:pt idx="1062">
                  <c:v>148.72220063039543</c:v>
                </c:pt>
                <c:pt idx="1063">
                  <c:v>148.94737510451583</c:v>
                </c:pt>
                <c:pt idx="1064">
                  <c:v>149.37857907571728</c:v>
                </c:pt>
                <c:pt idx="1065">
                  <c:v>150.31196317055469</c:v>
                </c:pt>
                <c:pt idx="1066">
                  <c:v>151.40986570354141</c:v>
                </c:pt>
                <c:pt idx="1067">
                  <c:v>150.6998625463734</c:v>
                </c:pt>
                <c:pt idx="1068">
                  <c:v>150.73713036113375</c:v>
                </c:pt>
                <c:pt idx="1069">
                  <c:v>151.03350756167512</c:v>
                </c:pt>
                <c:pt idx="1070">
                  <c:v>151.73541945982771</c:v>
                </c:pt>
                <c:pt idx="1071">
                  <c:v>151.73166697641045</c:v>
                </c:pt>
                <c:pt idx="1072">
                  <c:v>150.71849645375357</c:v>
                </c:pt>
                <c:pt idx="1073">
                  <c:v>150.37145584614481</c:v>
                </c:pt>
                <c:pt idx="1074">
                  <c:v>149.6561862672994</c:v>
                </c:pt>
                <c:pt idx="1075">
                  <c:v>148.25227159392134</c:v>
                </c:pt>
                <c:pt idx="1076">
                  <c:v>149.19203374239356</c:v>
                </c:pt>
                <c:pt idx="1077">
                  <c:v>149.25112262154298</c:v>
                </c:pt>
                <c:pt idx="1078">
                  <c:v>148.53837965218571</c:v>
                </c:pt>
                <c:pt idx="1079">
                  <c:v>147.50861206485894</c:v>
                </c:pt>
                <c:pt idx="1080">
                  <c:v>148.08720448629745</c:v>
                </c:pt>
                <c:pt idx="1081">
                  <c:v>148.0395184329839</c:v>
                </c:pt>
                <c:pt idx="1082">
                  <c:v>148.6341740337422</c:v>
                </c:pt>
                <c:pt idx="1083">
                  <c:v>149.46951646180827</c:v>
                </c:pt>
                <c:pt idx="1084">
                  <c:v>149.37677042280245</c:v>
                </c:pt>
                <c:pt idx="1085">
                  <c:v>150.05140256954357</c:v>
                </c:pt>
                <c:pt idx="1086">
                  <c:v>150.14450388161188</c:v>
                </c:pt>
                <c:pt idx="1087">
                  <c:v>150.92285116704082</c:v>
                </c:pt>
                <c:pt idx="1088">
                  <c:v>151.40526186431623</c:v>
                </c:pt>
                <c:pt idx="1089">
                  <c:v>149.52895921048608</c:v>
                </c:pt>
                <c:pt idx="1090">
                  <c:v>151.69992868208701</c:v>
                </c:pt>
                <c:pt idx="1091">
                  <c:v>151.40150116379689</c:v>
                </c:pt>
                <c:pt idx="1092">
                  <c:v>151.26005802421702</c:v>
                </c:pt>
                <c:pt idx="1093">
                  <c:v>150.8892476312644</c:v>
                </c:pt>
                <c:pt idx="1094">
                  <c:v>150.7936779423591</c:v>
                </c:pt>
                <c:pt idx="1095">
                  <c:v>150.69550588633803</c:v>
                </c:pt>
                <c:pt idx="1096">
                  <c:v>150.54694174128977</c:v>
                </c:pt>
                <c:pt idx="1097">
                  <c:v>150.88057180134959</c:v>
                </c:pt>
                <c:pt idx="1098">
                  <c:v>150.39048682171401</c:v>
                </c:pt>
                <c:pt idx="1099">
                  <c:v>150.30976920191995</c:v>
                </c:pt>
                <c:pt idx="1100">
                  <c:v>150.62027230349688</c:v>
                </c:pt>
                <c:pt idx="1101">
                  <c:v>150.84127664157444</c:v>
                </c:pt>
                <c:pt idx="1102">
                  <c:v>151.42195307722261</c:v>
                </c:pt>
                <c:pt idx="1103">
                  <c:v>152.07942098856253</c:v>
                </c:pt>
                <c:pt idx="1104">
                  <c:v>152.86890285989594</c:v>
                </c:pt>
                <c:pt idx="1105">
                  <c:v>152.70236580433289</c:v>
                </c:pt>
                <c:pt idx="1106">
                  <c:v>152.7212846776186</c:v>
                </c:pt>
                <c:pt idx="1107">
                  <c:v>153.61005296127269</c:v>
                </c:pt>
                <c:pt idx="1108">
                  <c:v>153.92212319743075</c:v>
                </c:pt>
                <c:pt idx="1109">
                  <c:v>153.52085823440024</c:v>
                </c:pt>
                <c:pt idx="1110">
                  <c:v>152.22158443728696</c:v>
                </c:pt>
                <c:pt idx="1111">
                  <c:v>152.1331827020559</c:v>
                </c:pt>
                <c:pt idx="1112">
                  <c:v>152.31437917405049</c:v>
                </c:pt>
                <c:pt idx="1113">
                  <c:v>150.31363728316757</c:v>
                </c:pt>
                <c:pt idx="1114">
                  <c:v>150.11249705829044</c:v>
                </c:pt>
                <c:pt idx="1115">
                  <c:v>151.8067166447554</c:v>
                </c:pt>
                <c:pt idx="1116">
                  <c:v>152.24619018342921</c:v>
                </c:pt>
                <c:pt idx="1117">
                  <c:v>149.93843340214681</c:v>
                </c:pt>
                <c:pt idx="1118">
                  <c:v>149.46434197830817</c:v>
                </c:pt>
                <c:pt idx="1119">
                  <c:v>148.64168186388389</c:v>
                </c:pt>
                <c:pt idx="1120">
                  <c:v>148.56887840040136</c:v>
                </c:pt>
                <c:pt idx="1121">
                  <c:v>150.44191792539917</c:v>
                </c:pt>
                <c:pt idx="1122">
                  <c:v>150.80011296807868</c:v>
                </c:pt>
                <c:pt idx="1123">
                  <c:v>149.23502647639725</c:v>
                </c:pt>
                <c:pt idx="1124">
                  <c:v>149.25427565430414</c:v>
                </c:pt>
                <c:pt idx="1125">
                  <c:v>148.83779591189273</c:v>
                </c:pt>
                <c:pt idx="1126">
                  <c:v>148.3585622690517</c:v>
                </c:pt>
                <c:pt idx="1127">
                  <c:v>148.51906550433438</c:v>
                </c:pt>
                <c:pt idx="1128">
                  <c:v>147.62125437167145</c:v>
                </c:pt>
                <c:pt idx="1129">
                  <c:v>147.72398844564714</c:v>
                </c:pt>
                <c:pt idx="1130">
                  <c:v>147.08772931997024</c:v>
                </c:pt>
                <c:pt idx="1131">
                  <c:v>147.47286070926208</c:v>
                </c:pt>
                <c:pt idx="1132">
                  <c:v>146.18215131574362</c:v>
                </c:pt>
                <c:pt idx="1133">
                  <c:v>144.61030161453436</c:v>
                </c:pt>
                <c:pt idx="1134">
                  <c:v>146.41851528236435</c:v>
                </c:pt>
                <c:pt idx="1135">
                  <c:v>146.7283557534135</c:v>
                </c:pt>
                <c:pt idx="1136">
                  <c:v>147.05397822917064</c:v>
                </c:pt>
                <c:pt idx="1137">
                  <c:v>145.7512978399871</c:v>
                </c:pt>
                <c:pt idx="1138">
                  <c:v>145.01532412247099</c:v>
                </c:pt>
                <c:pt idx="1139">
                  <c:v>144.66247655519885</c:v>
                </c:pt>
                <c:pt idx="1140">
                  <c:v>145.13138430339208</c:v>
                </c:pt>
                <c:pt idx="1141">
                  <c:v>144.82168772997244</c:v>
                </c:pt>
                <c:pt idx="1142">
                  <c:v>144.75818746711079</c:v>
                </c:pt>
                <c:pt idx="1143">
                  <c:v>145.43875228568604</c:v>
                </c:pt>
                <c:pt idx="1144">
                  <c:v>145.11640879617644</c:v>
                </c:pt>
                <c:pt idx="1145">
                  <c:v>145.2773954987444</c:v>
                </c:pt>
                <c:pt idx="1146">
                  <c:v>144.12363477351175</c:v>
                </c:pt>
                <c:pt idx="1147">
                  <c:v>145.2213658550429</c:v>
                </c:pt>
                <c:pt idx="1148">
                  <c:v>145.20268930714244</c:v>
                </c:pt>
                <c:pt idx="1149">
                  <c:v>142.21769119489619</c:v>
                </c:pt>
                <c:pt idx="1150">
                  <c:v>134.80964340615017</c:v>
                </c:pt>
                <c:pt idx="1151">
                  <c:v>139.38306877187841</c:v>
                </c:pt>
                <c:pt idx="1152">
                  <c:v>143.63396092457833</c:v>
                </c:pt>
                <c:pt idx="1153">
                  <c:v>142.71860748206436</c:v>
                </c:pt>
                <c:pt idx="1154">
                  <c:v>142.44557756350812</c:v>
                </c:pt>
                <c:pt idx="1155">
                  <c:v>143.33484859670716</c:v>
                </c:pt>
                <c:pt idx="1156">
                  <c:v>138.6444910303951</c:v>
                </c:pt>
              </c:numCache>
            </c:numRef>
          </c:val>
          <c:smooth val="0"/>
          <c:extLst>
            <c:ext xmlns:c16="http://schemas.microsoft.com/office/drawing/2014/chart" uri="{C3380CC4-5D6E-409C-BE32-E72D297353CC}">
              <c16:uniqueId val="{00000002-9550-444B-8B2D-F311323001EA}"/>
            </c:ext>
          </c:extLst>
        </c:ser>
        <c:ser>
          <c:idx val="2"/>
          <c:order val="3"/>
          <c:tx>
            <c:strRef>
              <c:f>Sheet1!$E$1</c:f>
              <c:strCache>
                <c:ptCount val="1"/>
                <c:pt idx="0">
                  <c:v>Դոլարի ինդեքս</c:v>
                </c:pt>
              </c:strCache>
            </c:strRef>
          </c:tx>
          <c:spPr>
            <a:ln w="19050">
              <a:solidFill>
                <a:srgbClr val="ED7D31">
                  <a:lumMod val="60000"/>
                  <a:lumOff val="40000"/>
                </a:srgbClr>
              </a:solidFill>
            </a:ln>
          </c:spPr>
          <c:marker>
            <c:symbol val="none"/>
          </c:marker>
          <c:cat>
            <c:numRef>
              <c:f>Sheet1!$A$2:$A$1158</c:f>
              <c:numCache>
                <c:formatCode>m\/d\/yyyy</c:formatCode>
                <c:ptCount val="1157"/>
                <c:pt idx="0">
                  <c:v>43832</c:v>
                </c:pt>
                <c:pt idx="1">
                  <c:v>43833</c:v>
                </c:pt>
                <c:pt idx="2">
                  <c:v>43836</c:v>
                </c:pt>
                <c:pt idx="3">
                  <c:v>43837</c:v>
                </c:pt>
                <c:pt idx="4">
                  <c:v>43838</c:v>
                </c:pt>
                <c:pt idx="5">
                  <c:v>43839</c:v>
                </c:pt>
                <c:pt idx="6">
                  <c:v>43840</c:v>
                </c:pt>
                <c:pt idx="7">
                  <c:v>43843</c:v>
                </c:pt>
                <c:pt idx="8">
                  <c:v>43844</c:v>
                </c:pt>
                <c:pt idx="9">
                  <c:v>43845</c:v>
                </c:pt>
                <c:pt idx="10">
                  <c:v>43846</c:v>
                </c:pt>
                <c:pt idx="11">
                  <c:v>43847</c:v>
                </c:pt>
                <c:pt idx="12">
                  <c:v>43850</c:v>
                </c:pt>
                <c:pt idx="13">
                  <c:v>43851</c:v>
                </c:pt>
                <c:pt idx="14">
                  <c:v>43852</c:v>
                </c:pt>
                <c:pt idx="15">
                  <c:v>43853</c:v>
                </c:pt>
                <c:pt idx="16">
                  <c:v>43854</c:v>
                </c:pt>
                <c:pt idx="17">
                  <c:v>43857</c:v>
                </c:pt>
                <c:pt idx="18">
                  <c:v>43858</c:v>
                </c:pt>
                <c:pt idx="19">
                  <c:v>43859</c:v>
                </c:pt>
                <c:pt idx="20">
                  <c:v>43860</c:v>
                </c:pt>
                <c:pt idx="21">
                  <c:v>43861</c:v>
                </c:pt>
                <c:pt idx="22">
                  <c:v>43864</c:v>
                </c:pt>
                <c:pt idx="23">
                  <c:v>43865</c:v>
                </c:pt>
                <c:pt idx="24">
                  <c:v>43866</c:v>
                </c:pt>
                <c:pt idx="25">
                  <c:v>43867</c:v>
                </c:pt>
                <c:pt idx="26">
                  <c:v>43868</c:v>
                </c:pt>
                <c:pt idx="27">
                  <c:v>43871</c:v>
                </c:pt>
                <c:pt idx="28">
                  <c:v>43872</c:v>
                </c:pt>
                <c:pt idx="29">
                  <c:v>43873</c:v>
                </c:pt>
                <c:pt idx="30">
                  <c:v>43874</c:v>
                </c:pt>
                <c:pt idx="31">
                  <c:v>43875</c:v>
                </c:pt>
                <c:pt idx="32">
                  <c:v>43878</c:v>
                </c:pt>
                <c:pt idx="33">
                  <c:v>43879</c:v>
                </c:pt>
                <c:pt idx="34">
                  <c:v>43880</c:v>
                </c:pt>
                <c:pt idx="35">
                  <c:v>43881</c:v>
                </c:pt>
                <c:pt idx="36">
                  <c:v>43882</c:v>
                </c:pt>
                <c:pt idx="37">
                  <c:v>43885</c:v>
                </c:pt>
                <c:pt idx="38">
                  <c:v>43886</c:v>
                </c:pt>
                <c:pt idx="39">
                  <c:v>43887</c:v>
                </c:pt>
                <c:pt idx="40">
                  <c:v>43888</c:v>
                </c:pt>
                <c:pt idx="41">
                  <c:v>43889</c:v>
                </c:pt>
                <c:pt idx="42">
                  <c:v>43892</c:v>
                </c:pt>
                <c:pt idx="43">
                  <c:v>43893</c:v>
                </c:pt>
                <c:pt idx="44">
                  <c:v>43894</c:v>
                </c:pt>
                <c:pt idx="45">
                  <c:v>43895</c:v>
                </c:pt>
                <c:pt idx="46">
                  <c:v>43896</c:v>
                </c:pt>
                <c:pt idx="47">
                  <c:v>43899</c:v>
                </c:pt>
                <c:pt idx="48">
                  <c:v>43900</c:v>
                </c:pt>
                <c:pt idx="49">
                  <c:v>43901</c:v>
                </c:pt>
                <c:pt idx="50">
                  <c:v>43902</c:v>
                </c:pt>
                <c:pt idx="51">
                  <c:v>43903</c:v>
                </c:pt>
                <c:pt idx="52">
                  <c:v>43906</c:v>
                </c:pt>
                <c:pt idx="53">
                  <c:v>43907</c:v>
                </c:pt>
                <c:pt idx="54">
                  <c:v>43908</c:v>
                </c:pt>
                <c:pt idx="55">
                  <c:v>43909</c:v>
                </c:pt>
                <c:pt idx="56">
                  <c:v>43910</c:v>
                </c:pt>
                <c:pt idx="57">
                  <c:v>43913</c:v>
                </c:pt>
                <c:pt idx="58">
                  <c:v>43914</c:v>
                </c:pt>
                <c:pt idx="59">
                  <c:v>43915</c:v>
                </c:pt>
                <c:pt idx="60">
                  <c:v>43916</c:v>
                </c:pt>
                <c:pt idx="61">
                  <c:v>43917</c:v>
                </c:pt>
                <c:pt idx="62">
                  <c:v>43920</c:v>
                </c:pt>
                <c:pt idx="63">
                  <c:v>43921</c:v>
                </c:pt>
                <c:pt idx="64">
                  <c:v>43922</c:v>
                </c:pt>
                <c:pt idx="65">
                  <c:v>43923</c:v>
                </c:pt>
                <c:pt idx="66">
                  <c:v>43924</c:v>
                </c:pt>
                <c:pt idx="67">
                  <c:v>43927</c:v>
                </c:pt>
                <c:pt idx="68">
                  <c:v>43928</c:v>
                </c:pt>
                <c:pt idx="69">
                  <c:v>43929</c:v>
                </c:pt>
                <c:pt idx="70">
                  <c:v>43930</c:v>
                </c:pt>
                <c:pt idx="71">
                  <c:v>43934</c:v>
                </c:pt>
                <c:pt idx="72">
                  <c:v>43935</c:v>
                </c:pt>
                <c:pt idx="73">
                  <c:v>43936</c:v>
                </c:pt>
                <c:pt idx="74">
                  <c:v>43937</c:v>
                </c:pt>
                <c:pt idx="75">
                  <c:v>43938</c:v>
                </c:pt>
                <c:pt idx="76">
                  <c:v>43941</c:v>
                </c:pt>
                <c:pt idx="77">
                  <c:v>43942</c:v>
                </c:pt>
                <c:pt idx="78">
                  <c:v>43943</c:v>
                </c:pt>
                <c:pt idx="79">
                  <c:v>43944</c:v>
                </c:pt>
                <c:pt idx="80">
                  <c:v>43945</c:v>
                </c:pt>
                <c:pt idx="81">
                  <c:v>43948</c:v>
                </c:pt>
                <c:pt idx="82">
                  <c:v>43949</c:v>
                </c:pt>
                <c:pt idx="83">
                  <c:v>43950</c:v>
                </c:pt>
                <c:pt idx="84">
                  <c:v>43951</c:v>
                </c:pt>
                <c:pt idx="85">
                  <c:v>43952</c:v>
                </c:pt>
                <c:pt idx="86">
                  <c:v>43955</c:v>
                </c:pt>
                <c:pt idx="87">
                  <c:v>43956</c:v>
                </c:pt>
                <c:pt idx="88">
                  <c:v>43957</c:v>
                </c:pt>
                <c:pt idx="89">
                  <c:v>43958</c:v>
                </c:pt>
                <c:pt idx="90">
                  <c:v>43959</c:v>
                </c:pt>
                <c:pt idx="91">
                  <c:v>43962</c:v>
                </c:pt>
                <c:pt idx="92">
                  <c:v>43963</c:v>
                </c:pt>
                <c:pt idx="93">
                  <c:v>43964</c:v>
                </c:pt>
                <c:pt idx="94">
                  <c:v>43965</c:v>
                </c:pt>
                <c:pt idx="95">
                  <c:v>43966</c:v>
                </c:pt>
                <c:pt idx="96">
                  <c:v>43969</c:v>
                </c:pt>
                <c:pt idx="97">
                  <c:v>43970</c:v>
                </c:pt>
                <c:pt idx="98">
                  <c:v>43971</c:v>
                </c:pt>
                <c:pt idx="99">
                  <c:v>43972</c:v>
                </c:pt>
                <c:pt idx="100">
                  <c:v>43973</c:v>
                </c:pt>
                <c:pt idx="101">
                  <c:v>43976</c:v>
                </c:pt>
                <c:pt idx="102">
                  <c:v>43977</c:v>
                </c:pt>
                <c:pt idx="103">
                  <c:v>43978</c:v>
                </c:pt>
                <c:pt idx="104">
                  <c:v>43979</c:v>
                </c:pt>
                <c:pt idx="105">
                  <c:v>43980</c:v>
                </c:pt>
                <c:pt idx="106">
                  <c:v>43983</c:v>
                </c:pt>
                <c:pt idx="107">
                  <c:v>43984</c:v>
                </c:pt>
                <c:pt idx="108">
                  <c:v>43985</c:v>
                </c:pt>
                <c:pt idx="109">
                  <c:v>43986</c:v>
                </c:pt>
                <c:pt idx="110">
                  <c:v>43987</c:v>
                </c:pt>
                <c:pt idx="111">
                  <c:v>43990</c:v>
                </c:pt>
                <c:pt idx="112">
                  <c:v>43991</c:v>
                </c:pt>
                <c:pt idx="113">
                  <c:v>43992</c:v>
                </c:pt>
                <c:pt idx="114">
                  <c:v>43993</c:v>
                </c:pt>
                <c:pt idx="115">
                  <c:v>43994</c:v>
                </c:pt>
                <c:pt idx="116">
                  <c:v>43997</c:v>
                </c:pt>
                <c:pt idx="117">
                  <c:v>43998</c:v>
                </c:pt>
                <c:pt idx="118">
                  <c:v>43999</c:v>
                </c:pt>
                <c:pt idx="119">
                  <c:v>44000</c:v>
                </c:pt>
                <c:pt idx="120">
                  <c:v>44001</c:v>
                </c:pt>
                <c:pt idx="121">
                  <c:v>44004</c:v>
                </c:pt>
                <c:pt idx="122">
                  <c:v>44005</c:v>
                </c:pt>
                <c:pt idx="123">
                  <c:v>44006</c:v>
                </c:pt>
                <c:pt idx="124">
                  <c:v>44007</c:v>
                </c:pt>
                <c:pt idx="125">
                  <c:v>44008</c:v>
                </c:pt>
                <c:pt idx="126">
                  <c:v>44011</c:v>
                </c:pt>
                <c:pt idx="127">
                  <c:v>44012</c:v>
                </c:pt>
                <c:pt idx="128">
                  <c:v>44013</c:v>
                </c:pt>
                <c:pt idx="129">
                  <c:v>44014</c:v>
                </c:pt>
                <c:pt idx="130">
                  <c:v>44015</c:v>
                </c:pt>
                <c:pt idx="131">
                  <c:v>44018</c:v>
                </c:pt>
                <c:pt idx="132">
                  <c:v>44019</c:v>
                </c:pt>
                <c:pt idx="133">
                  <c:v>44020</c:v>
                </c:pt>
                <c:pt idx="134">
                  <c:v>44021</c:v>
                </c:pt>
                <c:pt idx="135">
                  <c:v>44022</c:v>
                </c:pt>
                <c:pt idx="136">
                  <c:v>44025</c:v>
                </c:pt>
                <c:pt idx="137">
                  <c:v>44026</c:v>
                </c:pt>
                <c:pt idx="138">
                  <c:v>44027</c:v>
                </c:pt>
                <c:pt idx="139">
                  <c:v>44028</c:v>
                </c:pt>
                <c:pt idx="140">
                  <c:v>44029</c:v>
                </c:pt>
                <c:pt idx="141">
                  <c:v>44032</c:v>
                </c:pt>
                <c:pt idx="142">
                  <c:v>44033</c:v>
                </c:pt>
                <c:pt idx="143">
                  <c:v>44034</c:v>
                </c:pt>
                <c:pt idx="144">
                  <c:v>44035</c:v>
                </c:pt>
                <c:pt idx="145">
                  <c:v>44036</c:v>
                </c:pt>
                <c:pt idx="146">
                  <c:v>44039</c:v>
                </c:pt>
                <c:pt idx="147">
                  <c:v>44040</c:v>
                </c:pt>
                <c:pt idx="148">
                  <c:v>44041</c:v>
                </c:pt>
                <c:pt idx="149">
                  <c:v>44042</c:v>
                </c:pt>
                <c:pt idx="150">
                  <c:v>44043</c:v>
                </c:pt>
                <c:pt idx="151">
                  <c:v>44046</c:v>
                </c:pt>
                <c:pt idx="152">
                  <c:v>44047</c:v>
                </c:pt>
                <c:pt idx="153">
                  <c:v>44048</c:v>
                </c:pt>
                <c:pt idx="154">
                  <c:v>44049</c:v>
                </c:pt>
                <c:pt idx="155">
                  <c:v>44050</c:v>
                </c:pt>
                <c:pt idx="156">
                  <c:v>44053</c:v>
                </c:pt>
                <c:pt idx="157">
                  <c:v>44054</c:v>
                </c:pt>
                <c:pt idx="158">
                  <c:v>44055</c:v>
                </c:pt>
                <c:pt idx="159">
                  <c:v>44056</c:v>
                </c:pt>
                <c:pt idx="160">
                  <c:v>44057</c:v>
                </c:pt>
                <c:pt idx="161">
                  <c:v>44060</c:v>
                </c:pt>
                <c:pt idx="162">
                  <c:v>44061</c:v>
                </c:pt>
                <c:pt idx="163">
                  <c:v>44062</c:v>
                </c:pt>
                <c:pt idx="164">
                  <c:v>44063</c:v>
                </c:pt>
                <c:pt idx="165">
                  <c:v>44064</c:v>
                </c:pt>
                <c:pt idx="166">
                  <c:v>44067</c:v>
                </c:pt>
                <c:pt idx="167">
                  <c:v>44068</c:v>
                </c:pt>
                <c:pt idx="168">
                  <c:v>44069</c:v>
                </c:pt>
                <c:pt idx="169">
                  <c:v>44070</c:v>
                </c:pt>
                <c:pt idx="170">
                  <c:v>44071</c:v>
                </c:pt>
                <c:pt idx="171">
                  <c:v>44074</c:v>
                </c:pt>
                <c:pt idx="172">
                  <c:v>44075</c:v>
                </c:pt>
                <c:pt idx="173">
                  <c:v>44076</c:v>
                </c:pt>
                <c:pt idx="174">
                  <c:v>44077</c:v>
                </c:pt>
                <c:pt idx="175">
                  <c:v>44078</c:v>
                </c:pt>
                <c:pt idx="176">
                  <c:v>44081</c:v>
                </c:pt>
                <c:pt idx="177">
                  <c:v>44082</c:v>
                </c:pt>
                <c:pt idx="178">
                  <c:v>44083</c:v>
                </c:pt>
                <c:pt idx="179">
                  <c:v>44084</c:v>
                </c:pt>
                <c:pt idx="180">
                  <c:v>44085</c:v>
                </c:pt>
                <c:pt idx="181">
                  <c:v>44088</c:v>
                </c:pt>
                <c:pt idx="182">
                  <c:v>44089</c:v>
                </c:pt>
                <c:pt idx="183">
                  <c:v>44090</c:v>
                </c:pt>
                <c:pt idx="184">
                  <c:v>44091</c:v>
                </c:pt>
                <c:pt idx="185">
                  <c:v>44092</c:v>
                </c:pt>
                <c:pt idx="186">
                  <c:v>44095</c:v>
                </c:pt>
                <c:pt idx="187">
                  <c:v>44096</c:v>
                </c:pt>
                <c:pt idx="188">
                  <c:v>44097</c:v>
                </c:pt>
                <c:pt idx="189">
                  <c:v>44098</c:v>
                </c:pt>
                <c:pt idx="190">
                  <c:v>44099</c:v>
                </c:pt>
                <c:pt idx="191">
                  <c:v>44102</c:v>
                </c:pt>
                <c:pt idx="192">
                  <c:v>44103</c:v>
                </c:pt>
                <c:pt idx="193">
                  <c:v>44104</c:v>
                </c:pt>
                <c:pt idx="194">
                  <c:v>44105</c:v>
                </c:pt>
                <c:pt idx="195">
                  <c:v>44106</c:v>
                </c:pt>
                <c:pt idx="196">
                  <c:v>44109</c:v>
                </c:pt>
                <c:pt idx="197">
                  <c:v>44110</c:v>
                </c:pt>
                <c:pt idx="198">
                  <c:v>44111</c:v>
                </c:pt>
                <c:pt idx="199">
                  <c:v>44112</c:v>
                </c:pt>
                <c:pt idx="200">
                  <c:v>44113</c:v>
                </c:pt>
                <c:pt idx="201">
                  <c:v>44116</c:v>
                </c:pt>
                <c:pt idx="202">
                  <c:v>44117</c:v>
                </c:pt>
                <c:pt idx="203">
                  <c:v>44118</c:v>
                </c:pt>
                <c:pt idx="204">
                  <c:v>44119</c:v>
                </c:pt>
                <c:pt idx="205">
                  <c:v>44120</c:v>
                </c:pt>
                <c:pt idx="206">
                  <c:v>44123</c:v>
                </c:pt>
                <c:pt idx="207">
                  <c:v>44124</c:v>
                </c:pt>
                <c:pt idx="208">
                  <c:v>44125</c:v>
                </c:pt>
                <c:pt idx="209">
                  <c:v>44126</c:v>
                </c:pt>
                <c:pt idx="210">
                  <c:v>44127</c:v>
                </c:pt>
                <c:pt idx="211">
                  <c:v>44130</c:v>
                </c:pt>
                <c:pt idx="212">
                  <c:v>44131</c:v>
                </c:pt>
                <c:pt idx="213">
                  <c:v>44132</c:v>
                </c:pt>
                <c:pt idx="214">
                  <c:v>44133</c:v>
                </c:pt>
                <c:pt idx="215">
                  <c:v>44134</c:v>
                </c:pt>
                <c:pt idx="216">
                  <c:v>44137</c:v>
                </c:pt>
                <c:pt idx="217">
                  <c:v>44138</c:v>
                </c:pt>
                <c:pt idx="218">
                  <c:v>44139</c:v>
                </c:pt>
                <c:pt idx="219">
                  <c:v>44140</c:v>
                </c:pt>
                <c:pt idx="220">
                  <c:v>44141</c:v>
                </c:pt>
                <c:pt idx="221">
                  <c:v>44144</c:v>
                </c:pt>
                <c:pt idx="222">
                  <c:v>44145</c:v>
                </c:pt>
                <c:pt idx="223">
                  <c:v>44146</c:v>
                </c:pt>
                <c:pt idx="224">
                  <c:v>44147</c:v>
                </c:pt>
                <c:pt idx="225">
                  <c:v>44148</c:v>
                </c:pt>
                <c:pt idx="226">
                  <c:v>44151</c:v>
                </c:pt>
                <c:pt idx="227">
                  <c:v>44152</c:v>
                </c:pt>
                <c:pt idx="228">
                  <c:v>44153</c:v>
                </c:pt>
                <c:pt idx="229">
                  <c:v>44154</c:v>
                </c:pt>
                <c:pt idx="230">
                  <c:v>44155</c:v>
                </c:pt>
                <c:pt idx="231">
                  <c:v>44158</c:v>
                </c:pt>
                <c:pt idx="232">
                  <c:v>44159</c:v>
                </c:pt>
                <c:pt idx="233">
                  <c:v>44160</c:v>
                </c:pt>
                <c:pt idx="234">
                  <c:v>44161</c:v>
                </c:pt>
                <c:pt idx="235">
                  <c:v>44162</c:v>
                </c:pt>
                <c:pt idx="236">
                  <c:v>44165</c:v>
                </c:pt>
                <c:pt idx="237">
                  <c:v>44166</c:v>
                </c:pt>
                <c:pt idx="238">
                  <c:v>44167</c:v>
                </c:pt>
                <c:pt idx="239">
                  <c:v>44168</c:v>
                </c:pt>
                <c:pt idx="240">
                  <c:v>44169</c:v>
                </c:pt>
                <c:pt idx="241">
                  <c:v>44172</c:v>
                </c:pt>
                <c:pt idx="242">
                  <c:v>44173</c:v>
                </c:pt>
                <c:pt idx="243">
                  <c:v>44174</c:v>
                </c:pt>
                <c:pt idx="244">
                  <c:v>44175</c:v>
                </c:pt>
                <c:pt idx="245">
                  <c:v>44176</c:v>
                </c:pt>
                <c:pt idx="246">
                  <c:v>44179</c:v>
                </c:pt>
                <c:pt idx="247">
                  <c:v>44180</c:v>
                </c:pt>
                <c:pt idx="248">
                  <c:v>44181</c:v>
                </c:pt>
                <c:pt idx="249">
                  <c:v>44182</c:v>
                </c:pt>
                <c:pt idx="250">
                  <c:v>44183</c:v>
                </c:pt>
                <c:pt idx="251">
                  <c:v>44186</c:v>
                </c:pt>
                <c:pt idx="252">
                  <c:v>44187</c:v>
                </c:pt>
                <c:pt idx="253">
                  <c:v>44188</c:v>
                </c:pt>
                <c:pt idx="254">
                  <c:v>44189</c:v>
                </c:pt>
                <c:pt idx="255">
                  <c:v>44193</c:v>
                </c:pt>
                <c:pt idx="256">
                  <c:v>44194</c:v>
                </c:pt>
                <c:pt idx="257">
                  <c:v>44195</c:v>
                </c:pt>
                <c:pt idx="258">
                  <c:v>44196</c:v>
                </c:pt>
                <c:pt idx="259">
                  <c:v>44200</c:v>
                </c:pt>
                <c:pt idx="260">
                  <c:v>44201</c:v>
                </c:pt>
                <c:pt idx="261">
                  <c:v>44202</c:v>
                </c:pt>
                <c:pt idx="262">
                  <c:v>44203</c:v>
                </c:pt>
                <c:pt idx="263">
                  <c:v>44204</c:v>
                </c:pt>
                <c:pt idx="264">
                  <c:v>44207</c:v>
                </c:pt>
                <c:pt idx="265">
                  <c:v>44208</c:v>
                </c:pt>
                <c:pt idx="266">
                  <c:v>44209</c:v>
                </c:pt>
                <c:pt idx="267">
                  <c:v>44210</c:v>
                </c:pt>
                <c:pt idx="268">
                  <c:v>44211</c:v>
                </c:pt>
                <c:pt idx="269">
                  <c:v>44214</c:v>
                </c:pt>
                <c:pt idx="270">
                  <c:v>44215</c:v>
                </c:pt>
                <c:pt idx="271">
                  <c:v>44216</c:v>
                </c:pt>
                <c:pt idx="272">
                  <c:v>44217</c:v>
                </c:pt>
                <c:pt idx="273">
                  <c:v>44218</c:v>
                </c:pt>
                <c:pt idx="274">
                  <c:v>44221</c:v>
                </c:pt>
                <c:pt idx="275">
                  <c:v>44222</c:v>
                </c:pt>
                <c:pt idx="276">
                  <c:v>44223</c:v>
                </c:pt>
                <c:pt idx="277">
                  <c:v>44224</c:v>
                </c:pt>
                <c:pt idx="278">
                  <c:v>44225</c:v>
                </c:pt>
                <c:pt idx="279">
                  <c:v>44228</c:v>
                </c:pt>
                <c:pt idx="280">
                  <c:v>44229</c:v>
                </c:pt>
                <c:pt idx="281">
                  <c:v>44230</c:v>
                </c:pt>
                <c:pt idx="282">
                  <c:v>44231</c:v>
                </c:pt>
                <c:pt idx="283">
                  <c:v>44232</c:v>
                </c:pt>
                <c:pt idx="284">
                  <c:v>44235</c:v>
                </c:pt>
                <c:pt idx="285">
                  <c:v>44236</c:v>
                </c:pt>
                <c:pt idx="286">
                  <c:v>44237</c:v>
                </c:pt>
                <c:pt idx="287">
                  <c:v>44238</c:v>
                </c:pt>
                <c:pt idx="288">
                  <c:v>44239</c:v>
                </c:pt>
                <c:pt idx="289">
                  <c:v>44242</c:v>
                </c:pt>
                <c:pt idx="290">
                  <c:v>44243</c:v>
                </c:pt>
                <c:pt idx="291">
                  <c:v>44244</c:v>
                </c:pt>
                <c:pt idx="292">
                  <c:v>44245</c:v>
                </c:pt>
                <c:pt idx="293">
                  <c:v>44246</c:v>
                </c:pt>
                <c:pt idx="294">
                  <c:v>44249</c:v>
                </c:pt>
                <c:pt idx="295">
                  <c:v>44250</c:v>
                </c:pt>
                <c:pt idx="296">
                  <c:v>44251</c:v>
                </c:pt>
                <c:pt idx="297">
                  <c:v>44252</c:v>
                </c:pt>
                <c:pt idx="298">
                  <c:v>44253</c:v>
                </c:pt>
                <c:pt idx="299">
                  <c:v>44256</c:v>
                </c:pt>
                <c:pt idx="300">
                  <c:v>44257</c:v>
                </c:pt>
                <c:pt idx="301">
                  <c:v>44258</c:v>
                </c:pt>
                <c:pt idx="302">
                  <c:v>44259</c:v>
                </c:pt>
                <c:pt idx="303">
                  <c:v>44260</c:v>
                </c:pt>
                <c:pt idx="304">
                  <c:v>44263</c:v>
                </c:pt>
                <c:pt idx="305">
                  <c:v>44264</c:v>
                </c:pt>
                <c:pt idx="306">
                  <c:v>44265</c:v>
                </c:pt>
                <c:pt idx="307">
                  <c:v>44266</c:v>
                </c:pt>
                <c:pt idx="308">
                  <c:v>44267</c:v>
                </c:pt>
                <c:pt idx="309">
                  <c:v>44270</c:v>
                </c:pt>
                <c:pt idx="310">
                  <c:v>44271</c:v>
                </c:pt>
                <c:pt idx="311">
                  <c:v>44272</c:v>
                </c:pt>
                <c:pt idx="312">
                  <c:v>44273</c:v>
                </c:pt>
                <c:pt idx="313">
                  <c:v>44274</c:v>
                </c:pt>
                <c:pt idx="314">
                  <c:v>44277</c:v>
                </c:pt>
                <c:pt idx="315">
                  <c:v>44278</c:v>
                </c:pt>
                <c:pt idx="316">
                  <c:v>44279</c:v>
                </c:pt>
                <c:pt idx="317">
                  <c:v>44280</c:v>
                </c:pt>
                <c:pt idx="318">
                  <c:v>44281</c:v>
                </c:pt>
                <c:pt idx="319">
                  <c:v>44284</c:v>
                </c:pt>
                <c:pt idx="320">
                  <c:v>44285</c:v>
                </c:pt>
                <c:pt idx="321">
                  <c:v>44286</c:v>
                </c:pt>
                <c:pt idx="322">
                  <c:v>44287</c:v>
                </c:pt>
                <c:pt idx="323">
                  <c:v>44288</c:v>
                </c:pt>
                <c:pt idx="324">
                  <c:v>44291</c:v>
                </c:pt>
                <c:pt idx="325">
                  <c:v>44292</c:v>
                </c:pt>
                <c:pt idx="326">
                  <c:v>44293</c:v>
                </c:pt>
                <c:pt idx="327">
                  <c:v>44294</c:v>
                </c:pt>
                <c:pt idx="328">
                  <c:v>44295</c:v>
                </c:pt>
                <c:pt idx="329">
                  <c:v>44298</c:v>
                </c:pt>
                <c:pt idx="330">
                  <c:v>44299</c:v>
                </c:pt>
                <c:pt idx="331">
                  <c:v>44300</c:v>
                </c:pt>
                <c:pt idx="332">
                  <c:v>44301</c:v>
                </c:pt>
                <c:pt idx="333">
                  <c:v>44302</c:v>
                </c:pt>
                <c:pt idx="334">
                  <c:v>44305</c:v>
                </c:pt>
                <c:pt idx="335">
                  <c:v>44306</c:v>
                </c:pt>
                <c:pt idx="336">
                  <c:v>44307</c:v>
                </c:pt>
                <c:pt idx="337">
                  <c:v>44308</c:v>
                </c:pt>
                <c:pt idx="338">
                  <c:v>44309</c:v>
                </c:pt>
                <c:pt idx="339">
                  <c:v>44312</c:v>
                </c:pt>
                <c:pt idx="340">
                  <c:v>44313</c:v>
                </c:pt>
                <c:pt idx="341">
                  <c:v>44314</c:v>
                </c:pt>
                <c:pt idx="342">
                  <c:v>44315</c:v>
                </c:pt>
                <c:pt idx="343">
                  <c:v>44316</c:v>
                </c:pt>
                <c:pt idx="344">
                  <c:v>44319</c:v>
                </c:pt>
                <c:pt idx="345">
                  <c:v>44320</c:v>
                </c:pt>
                <c:pt idx="346">
                  <c:v>44321</c:v>
                </c:pt>
                <c:pt idx="347">
                  <c:v>44322</c:v>
                </c:pt>
                <c:pt idx="348">
                  <c:v>44323</c:v>
                </c:pt>
                <c:pt idx="349">
                  <c:v>44326</c:v>
                </c:pt>
                <c:pt idx="350">
                  <c:v>44327</c:v>
                </c:pt>
                <c:pt idx="351">
                  <c:v>44328</c:v>
                </c:pt>
                <c:pt idx="352">
                  <c:v>44329</c:v>
                </c:pt>
                <c:pt idx="353">
                  <c:v>44330</c:v>
                </c:pt>
                <c:pt idx="354">
                  <c:v>44333</c:v>
                </c:pt>
                <c:pt idx="355">
                  <c:v>44334</c:v>
                </c:pt>
                <c:pt idx="356">
                  <c:v>44335</c:v>
                </c:pt>
                <c:pt idx="357">
                  <c:v>44336</c:v>
                </c:pt>
                <c:pt idx="358">
                  <c:v>44337</c:v>
                </c:pt>
                <c:pt idx="359">
                  <c:v>44340</c:v>
                </c:pt>
                <c:pt idx="360">
                  <c:v>44341</c:v>
                </c:pt>
                <c:pt idx="361">
                  <c:v>44342</c:v>
                </c:pt>
                <c:pt idx="362">
                  <c:v>44343</c:v>
                </c:pt>
                <c:pt idx="363">
                  <c:v>44344</c:v>
                </c:pt>
                <c:pt idx="364">
                  <c:v>44347</c:v>
                </c:pt>
                <c:pt idx="365">
                  <c:v>44348</c:v>
                </c:pt>
                <c:pt idx="366">
                  <c:v>44349</c:v>
                </c:pt>
                <c:pt idx="367">
                  <c:v>44350</c:v>
                </c:pt>
                <c:pt idx="368">
                  <c:v>44351</c:v>
                </c:pt>
                <c:pt idx="369">
                  <c:v>44354</c:v>
                </c:pt>
                <c:pt idx="370">
                  <c:v>44355</c:v>
                </c:pt>
                <c:pt idx="371">
                  <c:v>44356</c:v>
                </c:pt>
                <c:pt idx="372">
                  <c:v>44357</c:v>
                </c:pt>
                <c:pt idx="373">
                  <c:v>44358</c:v>
                </c:pt>
                <c:pt idx="374">
                  <c:v>44361</c:v>
                </c:pt>
                <c:pt idx="375">
                  <c:v>44362</c:v>
                </c:pt>
                <c:pt idx="376">
                  <c:v>44363</c:v>
                </c:pt>
                <c:pt idx="377">
                  <c:v>44364</c:v>
                </c:pt>
                <c:pt idx="378">
                  <c:v>44365</c:v>
                </c:pt>
                <c:pt idx="379">
                  <c:v>44368</c:v>
                </c:pt>
                <c:pt idx="380">
                  <c:v>44369</c:v>
                </c:pt>
                <c:pt idx="381">
                  <c:v>44370</c:v>
                </c:pt>
                <c:pt idx="382">
                  <c:v>44371</c:v>
                </c:pt>
                <c:pt idx="383">
                  <c:v>44372</c:v>
                </c:pt>
                <c:pt idx="384">
                  <c:v>44375</c:v>
                </c:pt>
                <c:pt idx="385">
                  <c:v>44376</c:v>
                </c:pt>
                <c:pt idx="386">
                  <c:v>44377</c:v>
                </c:pt>
                <c:pt idx="387">
                  <c:v>44378</c:v>
                </c:pt>
                <c:pt idx="388">
                  <c:v>44379</c:v>
                </c:pt>
                <c:pt idx="389">
                  <c:v>44382</c:v>
                </c:pt>
                <c:pt idx="390">
                  <c:v>44383</c:v>
                </c:pt>
                <c:pt idx="391">
                  <c:v>44384</c:v>
                </c:pt>
                <c:pt idx="392">
                  <c:v>44385</c:v>
                </c:pt>
                <c:pt idx="393">
                  <c:v>44386</c:v>
                </c:pt>
                <c:pt idx="394">
                  <c:v>44389</c:v>
                </c:pt>
                <c:pt idx="395">
                  <c:v>44390</c:v>
                </c:pt>
                <c:pt idx="396">
                  <c:v>44391</c:v>
                </c:pt>
                <c:pt idx="397">
                  <c:v>44392</c:v>
                </c:pt>
                <c:pt idx="398">
                  <c:v>44393</c:v>
                </c:pt>
                <c:pt idx="399">
                  <c:v>44396</c:v>
                </c:pt>
                <c:pt idx="400">
                  <c:v>44397</c:v>
                </c:pt>
                <c:pt idx="401">
                  <c:v>44398</c:v>
                </c:pt>
                <c:pt idx="402">
                  <c:v>44399</c:v>
                </c:pt>
                <c:pt idx="403">
                  <c:v>44400</c:v>
                </c:pt>
                <c:pt idx="404">
                  <c:v>44403</c:v>
                </c:pt>
                <c:pt idx="405">
                  <c:v>44404</c:v>
                </c:pt>
                <c:pt idx="406">
                  <c:v>44405</c:v>
                </c:pt>
                <c:pt idx="407">
                  <c:v>44406</c:v>
                </c:pt>
                <c:pt idx="408">
                  <c:v>44407</c:v>
                </c:pt>
                <c:pt idx="409">
                  <c:v>44410</c:v>
                </c:pt>
                <c:pt idx="410">
                  <c:v>44411</c:v>
                </c:pt>
                <c:pt idx="411">
                  <c:v>44412</c:v>
                </c:pt>
                <c:pt idx="412">
                  <c:v>44413</c:v>
                </c:pt>
                <c:pt idx="413">
                  <c:v>44414</c:v>
                </c:pt>
                <c:pt idx="414">
                  <c:v>44417</c:v>
                </c:pt>
                <c:pt idx="415">
                  <c:v>44418</c:v>
                </c:pt>
                <c:pt idx="416">
                  <c:v>44419</c:v>
                </c:pt>
                <c:pt idx="417">
                  <c:v>44420</c:v>
                </c:pt>
                <c:pt idx="418">
                  <c:v>44421</c:v>
                </c:pt>
                <c:pt idx="419">
                  <c:v>44424</c:v>
                </c:pt>
                <c:pt idx="420">
                  <c:v>44425</c:v>
                </c:pt>
                <c:pt idx="421">
                  <c:v>44426</c:v>
                </c:pt>
                <c:pt idx="422">
                  <c:v>44427</c:v>
                </c:pt>
                <c:pt idx="423">
                  <c:v>44428</c:v>
                </c:pt>
                <c:pt idx="424">
                  <c:v>44431</c:v>
                </c:pt>
                <c:pt idx="425">
                  <c:v>44432</c:v>
                </c:pt>
                <c:pt idx="426">
                  <c:v>44433</c:v>
                </c:pt>
                <c:pt idx="427">
                  <c:v>44434</c:v>
                </c:pt>
                <c:pt idx="428">
                  <c:v>44435</c:v>
                </c:pt>
                <c:pt idx="429">
                  <c:v>44438</c:v>
                </c:pt>
                <c:pt idx="430">
                  <c:v>44439</c:v>
                </c:pt>
                <c:pt idx="431">
                  <c:v>44440</c:v>
                </c:pt>
                <c:pt idx="432">
                  <c:v>44441</c:v>
                </c:pt>
                <c:pt idx="433">
                  <c:v>44442</c:v>
                </c:pt>
                <c:pt idx="434">
                  <c:v>44445</c:v>
                </c:pt>
                <c:pt idx="435">
                  <c:v>44446</c:v>
                </c:pt>
                <c:pt idx="436">
                  <c:v>44447</c:v>
                </c:pt>
                <c:pt idx="437">
                  <c:v>44448</c:v>
                </c:pt>
                <c:pt idx="438">
                  <c:v>44449</c:v>
                </c:pt>
                <c:pt idx="439">
                  <c:v>44452</c:v>
                </c:pt>
                <c:pt idx="440">
                  <c:v>44453</c:v>
                </c:pt>
                <c:pt idx="441">
                  <c:v>44454</c:v>
                </c:pt>
                <c:pt idx="442">
                  <c:v>44455</c:v>
                </c:pt>
                <c:pt idx="443">
                  <c:v>44456</c:v>
                </c:pt>
                <c:pt idx="444">
                  <c:v>44459</c:v>
                </c:pt>
                <c:pt idx="445">
                  <c:v>44460</c:v>
                </c:pt>
                <c:pt idx="446">
                  <c:v>44461</c:v>
                </c:pt>
                <c:pt idx="447">
                  <c:v>44462</c:v>
                </c:pt>
                <c:pt idx="448">
                  <c:v>44463</c:v>
                </c:pt>
                <c:pt idx="449">
                  <c:v>44466</c:v>
                </c:pt>
                <c:pt idx="450">
                  <c:v>44467</c:v>
                </c:pt>
                <c:pt idx="451">
                  <c:v>44468</c:v>
                </c:pt>
                <c:pt idx="452">
                  <c:v>44469</c:v>
                </c:pt>
                <c:pt idx="453">
                  <c:v>44470</c:v>
                </c:pt>
                <c:pt idx="454">
                  <c:v>44473</c:v>
                </c:pt>
                <c:pt idx="455">
                  <c:v>44474</c:v>
                </c:pt>
                <c:pt idx="456">
                  <c:v>44475</c:v>
                </c:pt>
                <c:pt idx="457">
                  <c:v>44476</c:v>
                </c:pt>
                <c:pt idx="458">
                  <c:v>44477</c:v>
                </c:pt>
                <c:pt idx="459">
                  <c:v>44480</c:v>
                </c:pt>
                <c:pt idx="460">
                  <c:v>44481</c:v>
                </c:pt>
                <c:pt idx="461">
                  <c:v>44482</c:v>
                </c:pt>
                <c:pt idx="462">
                  <c:v>44483</c:v>
                </c:pt>
                <c:pt idx="463">
                  <c:v>44484</c:v>
                </c:pt>
                <c:pt idx="464">
                  <c:v>44487</c:v>
                </c:pt>
                <c:pt idx="465">
                  <c:v>44488</c:v>
                </c:pt>
                <c:pt idx="466">
                  <c:v>44489</c:v>
                </c:pt>
                <c:pt idx="467">
                  <c:v>44490</c:v>
                </c:pt>
                <c:pt idx="468">
                  <c:v>44491</c:v>
                </c:pt>
                <c:pt idx="469">
                  <c:v>44494</c:v>
                </c:pt>
                <c:pt idx="470">
                  <c:v>44495</c:v>
                </c:pt>
                <c:pt idx="471">
                  <c:v>44496</c:v>
                </c:pt>
                <c:pt idx="472">
                  <c:v>44497</c:v>
                </c:pt>
                <c:pt idx="473">
                  <c:v>44498</c:v>
                </c:pt>
                <c:pt idx="474">
                  <c:v>44501</c:v>
                </c:pt>
                <c:pt idx="475">
                  <c:v>44502</c:v>
                </c:pt>
                <c:pt idx="476">
                  <c:v>44503</c:v>
                </c:pt>
                <c:pt idx="477">
                  <c:v>44504</c:v>
                </c:pt>
                <c:pt idx="478">
                  <c:v>44505</c:v>
                </c:pt>
                <c:pt idx="479">
                  <c:v>44508</c:v>
                </c:pt>
                <c:pt idx="480">
                  <c:v>44509</c:v>
                </c:pt>
                <c:pt idx="481">
                  <c:v>44510</c:v>
                </c:pt>
                <c:pt idx="482">
                  <c:v>44511</c:v>
                </c:pt>
                <c:pt idx="483">
                  <c:v>44512</c:v>
                </c:pt>
                <c:pt idx="484">
                  <c:v>44515</c:v>
                </c:pt>
                <c:pt idx="485">
                  <c:v>44516</c:v>
                </c:pt>
                <c:pt idx="486">
                  <c:v>44517</c:v>
                </c:pt>
                <c:pt idx="487">
                  <c:v>44518</c:v>
                </c:pt>
                <c:pt idx="488">
                  <c:v>44519</c:v>
                </c:pt>
                <c:pt idx="489">
                  <c:v>44522</c:v>
                </c:pt>
                <c:pt idx="490">
                  <c:v>44523</c:v>
                </c:pt>
                <c:pt idx="491">
                  <c:v>44524</c:v>
                </c:pt>
                <c:pt idx="492">
                  <c:v>44525</c:v>
                </c:pt>
                <c:pt idx="493">
                  <c:v>44526</c:v>
                </c:pt>
                <c:pt idx="494">
                  <c:v>44529</c:v>
                </c:pt>
                <c:pt idx="495">
                  <c:v>44530</c:v>
                </c:pt>
                <c:pt idx="496">
                  <c:v>44531</c:v>
                </c:pt>
                <c:pt idx="497">
                  <c:v>44532</c:v>
                </c:pt>
                <c:pt idx="498">
                  <c:v>44533</c:v>
                </c:pt>
                <c:pt idx="499">
                  <c:v>44536</c:v>
                </c:pt>
                <c:pt idx="500">
                  <c:v>44537</c:v>
                </c:pt>
                <c:pt idx="501">
                  <c:v>44538</c:v>
                </c:pt>
                <c:pt idx="502">
                  <c:v>44539</c:v>
                </c:pt>
                <c:pt idx="503">
                  <c:v>44540</c:v>
                </c:pt>
                <c:pt idx="504">
                  <c:v>44543</c:v>
                </c:pt>
                <c:pt idx="505">
                  <c:v>44544</c:v>
                </c:pt>
                <c:pt idx="506">
                  <c:v>44545</c:v>
                </c:pt>
                <c:pt idx="507">
                  <c:v>44546</c:v>
                </c:pt>
                <c:pt idx="508">
                  <c:v>44547</c:v>
                </c:pt>
                <c:pt idx="509">
                  <c:v>44550</c:v>
                </c:pt>
                <c:pt idx="510">
                  <c:v>44551</c:v>
                </c:pt>
                <c:pt idx="511">
                  <c:v>44552</c:v>
                </c:pt>
                <c:pt idx="512">
                  <c:v>44553</c:v>
                </c:pt>
                <c:pt idx="513">
                  <c:v>44557</c:v>
                </c:pt>
                <c:pt idx="514">
                  <c:v>44558</c:v>
                </c:pt>
                <c:pt idx="515">
                  <c:v>44559</c:v>
                </c:pt>
                <c:pt idx="516">
                  <c:v>44560</c:v>
                </c:pt>
                <c:pt idx="517">
                  <c:v>44561</c:v>
                </c:pt>
                <c:pt idx="518">
                  <c:v>44564</c:v>
                </c:pt>
                <c:pt idx="519">
                  <c:v>44565</c:v>
                </c:pt>
                <c:pt idx="520">
                  <c:v>44566</c:v>
                </c:pt>
                <c:pt idx="521">
                  <c:v>44567</c:v>
                </c:pt>
                <c:pt idx="522">
                  <c:v>44568</c:v>
                </c:pt>
                <c:pt idx="523">
                  <c:v>44571</c:v>
                </c:pt>
                <c:pt idx="524">
                  <c:v>44572</c:v>
                </c:pt>
                <c:pt idx="525">
                  <c:v>44573</c:v>
                </c:pt>
                <c:pt idx="526">
                  <c:v>44574</c:v>
                </c:pt>
                <c:pt idx="527">
                  <c:v>44575</c:v>
                </c:pt>
                <c:pt idx="528">
                  <c:v>44578</c:v>
                </c:pt>
                <c:pt idx="529">
                  <c:v>44579</c:v>
                </c:pt>
                <c:pt idx="530">
                  <c:v>44580</c:v>
                </c:pt>
                <c:pt idx="531">
                  <c:v>44581</c:v>
                </c:pt>
                <c:pt idx="532">
                  <c:v>44582</c:v>
                </c:pt>
                <c:pt idx="533">
                  <c:v>44585</c:v>
                </c:pt>
                <c:pt idx="534">
                  <c:v>44586</c:v>
                </c:pt>
                <c:pt idx="535">
                  <c:v>44587</c:v>
                </c:pt>
                <c:pt idx="536">
                  <c:v>44588</c:v>
                </c:pt>
                <c:pt idx="537">
                  <c:v>44589</c:v>
                </c:pt>
                <c:pt idx="538">
                  <c:v>44592</c:v>
                </c:pt>
                <c:pt idx="539">
                  <c:v>44593</c:v>
                </c:pt>
                <c:pt idx="540">
                  <c:v>44594</c:v>
                </c:pt>
                <c:pt idx="541">
                  <c:v>44595</c:v>
                </c:pt>
                <c:pt idx="542">
                  <c:v>44596</c:v>
                </c:pt>
                <c:pt idx="543">
                  <c:v>44599</c:v>
                </c:pt>
                <c:pt idx="544">
                  <c:v>44600</c:v>
                </c:pt>
                <c:pt idx="545">
                  <c:v>44601</c:v>
                </c:pt>
                <c:pt idx="546">
                  <c:v>44602</c:v>
                </c:pt>
                <c:pt idx="547">
                  <c:v>44603</c:v>
                </c:pt>
                <c:pt idx="548">
                  <c:v>44606</c:v>
                </c:pt>
                <c:pt idx="549">
                  <c:v>44607</c:v>
                </c:pt>
                <c:pt idx="550">
                  <c:v>44608</c:v>
                </c:pt>
                <c:pt idx="551">
                  <c:v>44609</c:v>
                </c:pt>
                <c:pt idx="552">
                  <c:v>44610</c:v>
                </c:pt>
                <c:pt idx="553">
                  <c:v>44613</c:v>
                </c:pt>
                <c:pt idx="554">
                  <c:v>44614</c:v>
                </c:pt>
                <c:pt idx="555">
                  <c:v>44615</c:v>
                </c:pt>
                <c:pt idx="556">
                  <c:v>44616</c:v>
                </c:pt>
                <c:pt idx="557">
                  <c:v>44617</c:v>
                </c:pt>
                <c:pt idx="558">
                  <c:v>44620</c:v>
                </c:pt>
                <c:pt idx="559">
                  <c:v>44621</c:v>
                </c:pt>
                <c:pt idx="560">
                  <c:v>44622</c:v>
                </c:pt>
                <c:pt idx="561">
                  <c:v>44623</c:v>
                </c:pt>
                <c:pt idx="562">
                  <c:v>44624</c:v>
                </c:pt>
                <c:pt idx="563">
                  <c:v>44627</c:v>
                </c:pt>
                <c:pt idx="564">
                  <c:v>44628</c:v>
                </c:pt>
                <c:pt idx="565">
                  <c:v>44629</c:v>
                </c:pt>
                <c:pt idx="566">
                  <c:v>44630</c:v>
                </c:pt>
                <c:pt idx="567">
                  <c:v>44631</c:v>
                </c:pt>
                <c:pt idx="568">
                  <c:v>44634</c:v>
                </c:pt>
                <c:pt idx="569">
                  <c:v>44635</c:v>
                </c:pt>
                <c:pt idx="570">
                  <c:v>44636</c:v>
                </c:pt>
                <c:pt idx="571">
                  <c:v>44637</c:v>
                </c:pt>
                <c:pt idx="572">
                  <c:v>44638</c:v>
                </c:pt>
                <c:pt idx="573">
                  <c:v>44641</c:v>
                </c:pt>
                <c:pt idx="574">
                  <c:v>44642</c:v>
                </c:pt>
                <c:pt idx="575">
                  <c:v>44643</c:v>
                </c:pt>
                <c:pt idx="576">
                  <c:v>44644</c:v>
                </c:pt>
                <c:pt idx="577">
                  <c:v>44645</c:v>
                </c:pt>
                <c:pt idx="578">
                  <c:v>44648</c:v>
                </c:pt>
                <c:pt idx="579">
                  <c:v>44649</c:v>
                </c:pt>
                <c:pt idx="580">
                  <c:v>44650</c:v>
                </c:pt>
                <c:pt idx="581">
                  <c:v>44651</c:v>
                </c:pt>
                <c:pt idx="582">
                  <c:v>44652</c:v>
                </c:pt>
                <c:pt idx="583">
                  <c:v>44655</c:v>
                </c:pt>
                <c:pt idx="584">
                  <c:v>44656</c:v>
                </c:pt>
                <c:pt idx="585">
                  <c:v>44657</c:v>
                </c:pt>
                <c:pt idx="586">
                  <c:v>44658</c:v>
                </c:pt>
                <c:pt idx="587">
                  <c:v>44659</c:v>
                </c:pt>
                <c:pt idx="588">
                  <c:v>44662</c:v>
                </c:pt>
                <c:pt idx="589">
                  <c:v>44663</c:v>
                </c:pt>
                <c:pt idx="590">
                  <c:v>44664</c:v>
                </c:pt>
                <c:pt idx="591">
                  <c:v>44665</c:v>
                </c:pt>
                <c:pt idx="592">
                  <c:v>44669</c:v>
                </c:pt>
                <c:pt idx="593">
                  <c:v>44670</c:v>
                </c:pt>
                <c:pt idx="594">
                  <c:v>44671</c:v>
                </c:pt>
                <c:pt idx="595">
                  <c:v>44672</c:v>
                </c:pt>
                <c:pt idx="596">
                  <c:v>44673</c:v>
                </c:pt>
                <c:pt idx="597">
                  <c:v>44676</c:v>
                </c:pt>
                <c:pt idx="598">
                  <c:v>44677</c:v>
                </c:pt>
                <c:pt idx="599">
                  <c:v>44678</c:v>
                </c:pt>
                <c:pt idx="600">
                  <c:v>44679</c:v>
                </c:pt>
                <c:pt idx="601">
                  <c:v>44680</c:v>
                </c:pt>
                <c:pt idx="602">
                  <c:v>44683</c:v>
                </c:pt>
                <c:pt idx="603">
                  <c:v>44684</c:v>
                </c:pt>
                <c:pt idx="604">
                  <c:v>44685</c:v>
                </c:pt>
                <c:pt idx="605">
                  <c:v>44686</c:v>
                </c:pt>
                <c:pt idx="606">
                  <c:v>44687</c:v>
                </c:pt>
                <c:pt idx="607">
                  <c:v>44690</c:v>
                </c:pt>
                <c:pt idx="608">
                  <c:v>44691</c:v>
                </c:pt>
                <c:pt idx="609">
                  <c:v>44692</c:v>
                </c:pt>
                <c:pt idx="610">
                  <c:v>44693</c:v>
                </c:pt>
                <c:pt idx="611">
                  <c:v>44694</c:v>
                </c:pt>
                <c:pt idx="612">
                  <c:v>44697</c:v>
                </c:pt>
                <c:pt idx="613">
                  <c:v>44698</c:v>
                </c:pt>
                <c:pt idx="614">
                  <c:v>44699</c:v>
                </c:pt>
                <c:pt idx="615">
                  <c:v>44700</c:v>
                </c:pt>
                <c:pt idx="616">
                  <c:v>44701</c:v>
                </c:pt>
                <c:pt idx="617">
                  <c:v>44704</c:v>
                </c:pt>
                <c:pt idx="618">
                  <c:v>44705</c:v>
                </c:pt>
                <c:pt idx="619">
                  <c:v>44706</c:v>
                </c:pt>
                <c:pt idx="620">
                  <c:v>44707</c:v>
                </c:pt>
                <c:pt idx="621">
                  <c:v>44708</c:v>
                </c:pt>
                <c:pt idx="622">
                  <c:v>44711</c:v>
                </c:pt>
                <c:pt idx="623">
                  <c:v>44712</c:v>
                </c:pt>
                <c:pt idx="624">
                  <c:v>44713</c:v>
                </c:pt>
                <c:pt idx="625">
                  <c:v>44714</c:v>
                </c:pt>
                <c:pt idx="626">
                  <c:v>44715</c:v>
                </c:pt>
                <c:pt idx="627">
                  <c:v>44718</c:v>
                </c:pt>
                <c:pt idx="628">
                  <c:v>44719</c:v>
                </c:pt>
                <c:pt idx="629">
                  <c:v>44720</c:v>
                </c:pt>
                <c:pt idx="630">
                  <c:v>44721</c:v>
                </c:pt>
                <c:pt idx="631">
                  <c:v>44722</c:v>
                </c:pt>
                <c:pt idx="632">
                  <c:v>44725</c:v>
                </c:pt>
                <c:pt idx="633">
                  <c:v>44726</c:v>
                </c:pt>
                <c:pt idx="634">
                  <c:v>44727</c:v>
                </c:pt>
                <c:pt idx="635">
                  <c:v>44728</c:v>
                </c:pt>
                <c:pt idx="636">
                  <c:v>44729</c:v>
                </c:pt>
                <c:pt idx="637">
                  <c:v>44732</c:v>
                </c:pt>
                <c:pt idx="638">
                  <c:v>44733</c:v>
                </c:pt>
                <c:pt idx="639">
                  <c:v>44734</c:v>
                </c:pt>
                <c:pt idx="640">
                  <c:v>44735</c:v>
                </c:pt>
                <c:pt idx="641">
                  <c:v>44736</c:v>
                </c:pt>
                <c:pt idx="642">
                  <c:v>44739</c:v>
                </c:pt>
                <c:pt idx="643">
                  <c:v>44740</c:v>
                </c:pt>
                <c:pt idx="644">
                  <c:v>44741</c:v>
                </c:pt>
                <c:pt idx="645">
                  <c:v>44742</c:v>
                </c:pt>
                <c:pt idx="646">
                  <c:v>44743</c:v>
                </c:pt>
                <c:pt idx="647">
                  <c:v>44746</c:v>
                </c:pt>
                <c:pt idx="648">
                  <c:v>44747</c:v>
                </c:pt>
                <c:pt idx="649">
                  <c:v>44748</c:v>
                </c:pt>
                <c:pt idx="650">
                  <c:v>44749</c:v>
                </c:pt>
                <c:pt idx="651">
                  <c:v>44750</c:v>
                </c:pt>
                <c:pt idx="652">
                  <c:v>44753</c:v>
                </c:pt>
                <c:pt idx="653">
                  <c:v>44754</c:v>
                </c:pt>
                <c:pt idx="654">
                  <c:v>44755</c:v>
                </c:pt>
                <c:pt idx="655">
                  <c:v>44756</c:v>
                </c:pt>
                <c:pt idx="656">
                  <c:v>44757</c:v>
                </c:pt>
                <c:pt idx="657">
                  <c:v>44760</c:v>
                </c:pt>
                <c:pt idx="658">
                  <c:v>44761</c:v>
                </c:pt>
                <c:pt idx="659">
                  <c:v>44762</c:v>
                </c:pt>
                <c:pt idx="660">
                  <c:v>44763</c:v>
                </c:pt>
                <c:pt idx="661">
                  <c:v>44764</c:v>
                </c:pt>
                <c:pt idx="662">
                  <c:v>44767</c:v>
                </c:pt>
                <c:pt idx="663">
                  <c:v>44768</c:v>
                </c:pt>
                <c:pt idx="664">
                  <c:v>44769</c:v>
                </c:pt>
                <c:pt idx="665">
                  <c:v>44770</c:v>
                </c:pt>
                <c:pt idx="666">
                  <c:v>44771</c:v>
                </c:pt>
                <c:pt idx="667">
                  <c:v>44774</c:v>
                </c:pt>
                <c:pt idx="668">
                  <c:v>44775</c:v>
                </c:pt>
                <c:pt idx="669">
                  <c:v>44776</c:v>
                </c:pt>
                <c:pt idx="670">
                  <c:v>44777</c:v>
                </c:pt>
                <c:pt idx="671">
                  <c:v>44778</c:v>
                </c:pt>
                <c:pt idx="672">
                  <c:v>44781</c:v>
                </c:pt>
                <c:pt idx="673">
                  <c:v>44782</c:v>
                </c:pt>
                <c:pt idx="674">
                  <c:v>44783</c:v>
                </c:pt>
                <c:pt idx="675">
                  <c:v>44784</c:v>
                </c:pt>
                <c:pt idx="676">
                  <c:v>44785</c:v>
                </c:pt>
                <c:pt idx="677">
                  <c:v>44788</c:v>
                </c:pt>
                <c:pt idx="678">
                  <c:v>44789</c:v>
                </c:pt>
                <c:pt idx="679">
                  <c:v>44790</c:v>
                </c:pt>
                <c:pt idx="680">
                  <c:v>44791</c:v>
                </c:pt>
                <c:pt idx="681">
                  <c:v>44792</c:v>
                </c:pt>
                <c:pt idx="682">
                  <c:v>44795</c:v>
                </c:pt>
                <c:pt idx="683">
                  <c:v>44796</c:v>
                </c:pt>
                <c:pt idx="684">
                  <c:v>44797</c:v>
                </c:pt>
                <c:pt idx="685">
                  <c:v>44798</c:v>
                </c:pt>
                <c:pt idx="686">
                  <c:v>44799</c:v>
                </c:pt>
                <c:pt idx="687">
                  <c:v>44802</c:v>
                </c:pt>
                <c:pt idx="688">
                  <c:v>44803</c:v>
                </c:pt>
                <c:pt idx="689">
                  <c:v>44804</c:v>
                </c:pt>
                <c:pt idx="690">
                  <c:v>44805</c:v>
                </c:pt>
                <c:pt idx="691">
                  <c:v>44806</c:v>
                </c:pt>
                <c:pt idx="692">
                  <c:v>44809</c:v>
                </c:pt>
                <c:pt idx="693">
                  <c:v>44810</c:v>
                </c:pt>
                <c:pt idx="694">
                  <c:v>44811</c:v>
                </c:pt>
                <c:pt idx="695">
                  <c:v>44812</c:v>
                </c:pt>
                <c:pt idx="696">
                  <c:v>44813</c:v>
                </c:pt>
                <c:pt idx="697">
                  <c:v>44816</c:v>
                </c:pt>
                <c:pt idx="698">
                  <c:v>44817</c:v>
                </c:pt>
                <c:pt idx="699">
                  <c:v>44818</c:v>
                </c:pt>
                <c:pt idx="700">
                  <c:v>44819</c:v>
                </c:pt>
                <c:pt idx="701">
                  <c:v>44820</c:v>
                </c:pt>
                <c:pt idx="702">
                  <c:v>44823</c:v>
                </c:pt>
                <c:pt idx="703">
                  <c:v>44824</c:v>
                </c:pt>
                <c:pt idx="704">
                  <c:v>44825</c:v>
                </c:pt>
                <c:pt idx="705">
                  <c:v>44826</c:v>
                </c:pt>
                <c:pt idx="706">
                  <c:v>44827</c:v>
                </c:pt>
                <c:pt idx="707">
                  <c:v>44830</c:v>
                </c:pt>
                <c:pt idx="708">
                  <c:v>44831</c:v>
                </c:pt>
                <c:pt idx="709">
                  <c:v>44832</c:v>
                </c:pt>
                <c:pt idx="710">
                  <c:v>44833</c:v>
                </c:pt>
                <c:pt idx="711">
                  <c:v>44834</c:v>
                </c:pt>
                <c:pt idx="712">
                  <c:v>44837</c:v>
                </c:pt>
                <c:pt idx="713">
                  <c:v>44838</c:v>
                </c:pt>
                <c:pt idx="714">
                  <c:v>44839</c:v>
                </c:pt>
                <c:pt idx="715">
                  <c:v>44840</c:v>
                </c:pt>
                <c:pt idx="716">
                  <c:v>44841</c:v>
                </c:pt>
                <c:pt idx="717">
                  <c:v>44844</c:v>
                </c:pt>
                <c:pt idx="718">
                  <c:v>44845</c:v>
                </c:pt>
                <c:pt idx="719">
                  <c:v>44846</c:v>
                </c:pt>
                <c:pt idx="720">
                  <c:v>44847</c:v>
                </c:pt>
                <c:pt idx="721">
                  <c:v>44848</c:v>
                </c:pt>
                <c:pt idx="722">
                  <c:v>44851</c:v>
                </c:pt>
                <c:pt idx="723">
                  <c:v>44852</c:v>
                </c:pt>
                <c:pt idx="724">
                  <c:v>44853</c:v>
                </c:pt>
                <c:pt idx="725">
                  <c:v>44854</c:v>
                </c:pt>
                <c:pt idx="726">
                  <c:v>44855</c:v>
                </c:pt>
                <c:pt idx="727">
                  <c:v>44858</c:v>
                </c:pt>
                <c:pt idx="728">
                  <c:v>44859</c:v>
                </c:pt>
                <c:pt idx="729">
                  <c:v>44860</c:v>
                </c:pt>
                <c:pt idx="730">
                  <c:v>44861</c:v>
                </c:pt>
                <c:pt idx="731">
                  <c:v>44862</c:v>
                </c:pt>
                <c:pt idx="732">
                  <c:v>44865</c:v>
                </c:pt>
                <c:pt idx="733">
                  <c:v>44866</c:v>
                </c:pt>
                <c:pt idx="734">
                  <c:v>44867</c:v>
                </c:pt>
                <c:pt idx="735">
                  <c:v>44868</c:v>
                </c:pt>
                <c:pt idx="736">
                  <c:v>44869</c:v>
                </c:pt>
                <c:pt idx="737">
                  <c:v>44872</c:v>
                </c:pt>
                <c:pt idx="738">
                  <c:v>44873</c:v>
                </c:pt>
                <c:pt idx="739">
                  <c:v>44874</c:v>
                </c:pt>
                <c:pt idx="740">
                  <c:v>44875</c:v>
                </c:pt>
                <c:pt idx="741">
                  <c:v>44876</c:v>
                </c:pt>
                <c:pt idx="742">
                  <c:v>44879</c:v>
                </c:pt>
                <c:pt idx="743">
                  <c:v>44880</c:v>
                </c:pt>
                <c:pt idx="744">
                  <c:v>44881</c:v>
                </c:pt>
                <c:pt idx="745">
                  <c:v>44882</c:v>
                </c:pt>
                <c:pt idx="746">
                  <c:v>44883</c:v>
                </c:pt>
                <c:pt idx="747">
                  <c:v>44886</c:v>
                </c:pt>
                <c:pt idx="748">
                  <c:v>44887</c:v>
                </c:pt>
                <c:pt idx="749">
                  <c:v>44888</c:v>
                </c:pt>
                <c:pt idx="750">
                  <c:v>44889</c:v>
                </c:pt>
                <c:pt idx="751">
                  <c:v>44890</c:v>
                </c:pt>
                <c:pt idx="752">
                  <c:v>44893</c:v>
                </c:pt>
                <c:pt idx="753">
                  <c:v>44894</c:v>
                </c:pt>
                <c:pt idx="754">
                  <c:v>44895</c:v>
                </c:pt>
                <c:pt idx="755">
                  <c:v>44896</c:v>
                </c:pt>
                <c:pt idx="756">
                  <c:v>44897</c:v>
                </c:pt>
                <c:pt idx="757">
                  <c:v>44900</c:v>
                </c:pt>
                <c:pt idx="758">
                  <c:v>44901</c:v>
                </c:pt>
                <c:pt idx="759">
                  <c:v>44902</c:v>
                </c:pt>
                <c:pt idx="760">
                  <c:v>44903</c:v>
                </c:pt>
                <c:pt idx="761">
                  <c:v>44904</c:v>
                </c:pt>
                <c:pt idx="762">
                  <c:v>44907</c:v>
                </c:pt>
                <c:pt idx="763">
                  <c:v>44908</c:v>
                </c:pt>
                <c:pt idx="764">
                  <c:v>44909</c:v>
                </c:pt>
                <c:pt idx="765">
                  <c:v>44910</c:v>
                </c:pt>
                <c:pt idx="766">
                  <c:v>44911</c:v>
                </c:pt>
                <c:pt idx="767">
                  <c:v>44914</c:v>
                </c:pt>
                <c:pt idx="768">
                  <c:v>44915</c:v>
                </c:pt>
                <c:pt idx="769">
                  <c:v>44916</c:v>
                </c:pt>
                <c:pt idx="770">
                  <c:v>44917</c:v>
                </c:pt>
                <c:pt idx="771">
                  <c:v>44918</c:v>
                </c:pt>
                <c:pt idx="772">
                  <c:v>44922</c:v>
                </c:pt>
                <c:pt idx="773">
                  <c:v>44923</c:v>
                </c:pt>
                <c:pt idx="774">
                  <c:v>44924</c:v>
                </c:pt>
                <c:pt idx="775">
                  <c:v>44925</c:v>
                </c:pt>
                <c:pt idx="776">
                  <c:v>44929</c:v>
                </c:pt>
                <c:pt idx="777">
                  <c:v>44930</c:v>
                </c:pt>
                <c:pt idx="778">
                  <c:v>44931</c:v>
                </c:pt>
                <c:pt idx="779">
                  <c:v>44932</c:v>
                </c:pt>
                <c:pt idx="780">
                  <c:v>44935</c:v>
                </c:pt>
                <c:pt idx="781">
                  <c:v>44936</c:v>
                </c:pt>
                <c:pt idx="782">
                  <c:v>44937</c:v>
                </c:pt>
                <c:pt idx="783">
                  <c:v>44938</c:v>
                </c:pt>
                <c:pt idx="784">
                  <c:v>44939</c:v>
                </c:pt>
                <c:pt idx="785">
                  <c:v>44942</c:v>
                </c:pt>
                <c:pt idx="786">
                  <c:v>44943</c:v>
                </c:pt>
                <c:pt idx="787">
                  <c:v>44944</c:v>
                </c:pt>
                <c:pt idx="788">
                  <c:v>44945</c:v>
                </c:pt>
                <c:pt idx="789">
                  <c:v>44946</c:v>
                </c:pt>
                <c:pt idx="790">
                  <c:v>44949</c:v>
                </c:pt>
                <c:pt idx="791">
                  <c:v>44950</c:v>
                </c:pt>
                <c:pt idx="792">
                  <c:v>44951</c:v>
                </c:pt>
                <c:pt idx="793">
                  <c:v>44952</c:v>
                </c:pt>
                <c:pt idx="794">
                  <c:v>44953</c:v>
                </c:pt>
                <c:pt idx="795">
                  <c:v>44956</c:v>
                </c:pt>
                <c:pt idx="796">
                  <c:v>44957</c:v>
                </c:pt>
                <c:pt idx="797">
                  <c:v>44958</c:v>
                </c:pt>
                <c:pt idx="798">
                  <c:v>44959</c:v>
                </c:pt>
                <c:pt idx="799">
                  <c:v>44960</c:v>
                </c:pt>
                <c:pt idx="800">
                  <c:v>44963</c:v>
                </c:pt>
                <c:pt idx="801">
                  <c:v>44964</c:v>
                </c:pt>
                <c:pt idx="802">
                  <c:v>44965</c:v>
                </c:pt>
                <c:pt idx="803">
                  <c:v>44966</c:v>
                </c:pt>
                <c:pt idx="804">
                  <c:v>44967</c:v>
                </c:pt>
                <c:pt idx="805">
                  <c:v>44970</c:v>
                </c:pt>
                <c:pt idx="806">
                  <c:v>44971</c:v>
                </c:pt>
                <c:pt idx="807">
                  <c:v>44972</c:v>
                </c:pt>
                <c:pt idx="808">
                  <c:v>44973</c:v>
                </c:pt>
                <c:pt idx="809">
                  <c:v>44974</c:v>
                </c:pt>
                <c:pt idx="810">
                  <c:v>44977</c:v>
                </c:pt>
                <c:pt idx="811">
                  <c:v>44978</c:v>
                </c:pt>
                <c:pt idx="812">
                  <c:v>44979</c:v>
                </c:pt>
                <c:pt idx="813">
                  <c:v>44980</c:v>
                </c:pt>
                <c:pt idx="814">
                  <c:v>44981</c:v>
                </c:pt>
                <c:pt idx="815">
                  <c:v>44984</c:v>
                </c:pt>
                <c:pt idx="816">
                  <c:v>44985</c:v>
                </c:pt>
                <c:pt idx="817">
                  <c:v>44986</c:v>
                </c:pt>
                <c:pt idx="818">
                  <c:v>44987</c:v>
                </c:pt>
                <c:pt idx="819">
                  <c:v>44988</c:v>
                </c:pt>
                <c:pt idx="820">
                  <c:v>44991</c:v>
                </c:pt>
                <c:pt idx="821">
                  <c:v>44992</c:v>
                </c:pt>
                <c:pt idx="822">
                  <c:v>44993</c:v>
                </c:pt>
                <c:pt idx="823">
                  <c:v>44994</c:v>
                </c:pt>
                <c:pt idx="824">
                  <c:v>44995</c:v>
                </c:pt>
                <c:pt idx="825">
                  <c:v>44998</c:v>
                </c:pt>
                <c:pt idx="826">
                  <c:v>44999</c:v>
                </c:pt>
                <c:pt idx="827">
                  <c:v>45000</c:v>
                </c:pt>
                <c:pt idx="828">
                  <c:v>45001</c:v>
                </c:pt>
                <c:pt idx="829">
                  <c:v>45002</c:v>
                </c:pt>
                <c:pt idx="830">
                  <c:v>45005</c:v>
                </c:pt>
                <c:pt idx="831">
                  <c:v>45006</c:v>
                </c:pt>
                <c:pt idx="832">
                  <c:v>45007</c:v>
                </c:pt>
                <c:pt idx="833">
                  <c:v>45008</c:v>
                </c:pt>
                <c:pt idx="834">
                  <c:v>45009</c:v>
                </c:pt>
                <c:pt idx="835">
                  <c:v>45012</c:v>
                </c:pt>
                <c:pt idx="836">
                  <c:v>45013</c:v>
                </c:pt>
                <c:pt idx="837">
                  <c:v>45014</c:v>
                </c:pt>
                <c:pt idx="838">
                  <c:v>45015</c:v>
                </c:pt>
                <c:pt idx="839">
                  <c:v>45016</c:v>
                </c:pt>
                <c:pt idx="840">
                  <c:v>45019</c:v>
                </c:pt>
                <c:pt idx="841">
                  <c:v>45020</c:v>
                </c:pt>
                <c:pt idx="842">
                  <c:v>45021</c:v>
                </c:pt>
                <c:pt idx="843">
                  <c:v>45022</c:v>
                </c:pt>
                <c:pt idx="844">
                  <c:v>45023</c:v>
                </c:pt>
                <c:pt idx="845">
                  <c:v>45026</c:v>
                </c:pt>
                <c:pt idx="846">
                  <c:v>45027</c:v>
                </c:pt>
                <c:pt idx="847">
                  <c:v>45028</c:v>
                </c:pt>
                <c:pt idx="848">
                  <c:v>45029</c:v>
                </c:pt>
                <c:pt idx="849">
                  <c:v>45030</c:v>
                </c:pt>
                <c:pt idx="850">
                  <c:v>45033</c:v>
                </c:pt>
                <c:pt idx="851">
                  <c:v>45034</c:v>
                </c:pt>
                <c:pt idx="852">
                  <c:v>45035</c:v>
                </c:pt>
                <c:pt idx="853">
                  <c:v>45036</c:v>
                </c:pt>
                <c:pt idx="854">
                  <c:v>45037</c:v>
                </c:pt>
                <c:pt idx="855">
                  <c:v>45040</c:v>
                </c:pt>
                <c:pt idx="856">
                  <c:v>45041</c:v>
                </c:pt>
                <c:pt idx="857">
                  <c:v>45042</c:v>
                </c:pt>
                <c:pt idx="858">
                  <c:v>45043</c:v>
                </c:pt>
                <c:pt idx="859">
                  <c:v>45044</c:v>
                </c:pt>
                <c:pt idx="860">
                  <c:v>45047</c:v>
                </c:pt>
                <c:pt idx="861">
                  <c:v>45048</c:v>
                </c:pt>
                <c:pt idx="862">
                  <c:v>45049</c:v>
                </c:pt>
                <c:pt idx="863">
                  <c:v>45050</c:v>
                </c:pt>
                <c:pt idx="864">
                  <c:v>45051</c:v>
                </c:pt>
                <c:pt idx="865">
                  <c:v>45054</c:v>
                </c:pt>
                <c:pt idx="866">
                  <c:v>45055</c:v>
                </c:pt>
                <c:pt idx="867">
                  <c:v>45056</c:v>
                </c:pt>
                <c:pt idx="868">
                  <c:v>45057</c:v>
                </c:pt>
                <c:pt idx="869">
                  <c:v>45058</c:v>
                </c:pt>
                <c:pt idx="870">
                  <c:v>45061</c:v>
                </c:pt>
                <c:pt idx="871">
                  <c:v>45062</c:v>
                </c:pt>
                <c:pt idx="872">
                  <c:v>45063</c:v>
                </c:pt>
                <c:pt idx="873">
                  <c:v>45064</c:v>
                </c:pt>
                <c:pt idx="874">
                  <c:v>45065</c:v>
                </c:pt>
                <c:pt idx="875">
                  <c:v>45068</c:v>
                </c:pt>
                <c:pt idx="876">
                  <c:v>45069</c:v>
                </c:pt>
                <c:pt idx="877">
                  <c:v>45070</c:v>
                </c:pt>
                <c:pt idx="878">
                  <c:v>45071</c:v>
                </c:pt>
                <c:pt idx="879">
                  <c:v>45072</c:v>
                </c:pt>
                <c:pt idx="880">
                  <c:v>45075</c:v>
                </c:pt>
                <c:pt idx="881">
                  <c:v>45076</c:v>
                </c:pt>
                <c:pt idx="882">
                  <c:v>45077</c:v>
                </c:pt>
                <c:pt idx="883">
                  <c:v>45078</c:v>
                </c:pt>
                <c:pt idx="884">
                  <c:v>45079</c:v>
                </c:pt>
                <c:pt idx="885">
                  <c:v>45082</c:v>
                </c:pt>
                <c:pt idx="886">
                  <c:v>45083</c:v>
                </c:pt>
                <c:pt idx="887">
                  <c:v>45084</c:v>
                </c:pt>
                <c:pt idx="888">
                  <c:v>45085</c:v>
                </c:pt>
                <c:pt idx="889">
                  <c:v>45086</c:v>
                </c:pt>
                <c:pt idx="890">
                  <c:v>45089</c:v>
                </c:pt>
                <c:pt idx="891">
                  <c:v>45090</c:v>
                </c:pt>
                <c:pt idx="892">
                  <c:v>45091</c:v>
                </c:pt>
                <c:pt idx="893">
                  <c:v>45092</c:v>
                </c:pt>
                <c:pt idx="894">
                  <c:v>45093</c:v>
                </c:pt>
                <c:pt idx="895">
                  <c:v>45096</c:v>
                </c:pt>
                <c:pt idx="896">
                  <c:v>45097</c:v>
                </c:pt>
                <c:pt idx="897">
                  <c:v>45098</c:v>
                </c:pt>
                <c:pt idx="898">
                  <c:v>45099</c:v>
                </c:pt>
                <c:pt idx="899">
                  <c:v>45100</c:v>
                </c:pt>
                <c:pt idx="900">
                  <c:v>45103</c:v>
                </c:pt>
                <c:pt idx="901">
                  <c:v>45104</c:v>
                </c:pt>
                <c:pt idx="902">
                  <c:v>45105</c:v>
                </c:pt>
                <c:pt idx="903">
                  <c:v>45106</c:v>
                </c:pt>
                <c:pt idx="904">
                  <c:v>45107</c:v>
                </c:pt>
                <c:pt idx="905">
                  <c:v>45110</c:v>
                </c:pt>
                <c:pt idx="906">
                  <c:v>45111</c:v>
                </c:pt>
                <c:pt idx="907">
                  <c:v>45112</c:v>
                </c:pt>
                <c:pt idx="908">
                  <c:v>45113</c:v>
                </c:pt>
                <c:pt idx="909">
                  <c:v>45114</c:v>
                </c:pt>
                <c:pt idx="910">
                  <c:v>45117</c:v>
                </c:pt>
                <c:pt idx="911">
                  <c:v>45118</c:v>
                </c:pt>
                <c:pt idx="912">
                  <c:v>45119</c:v>
                </c:pt>
                <c:pt idx="913">
                  <c:v>45120</c:v>
                </c:pt>
                <c:pt idx="914">
                  <c:v>45121</c:v>
                </c:pt>
                <c:pt idx="915">
                  <c:v>45124</c:v>
                </c:pt>
                <c:pt idx="916">
                  <c:v>45125</c:v>
                </c:pt>
                <c:pt idx="917">
                  <c:v>45126</c:v>
                </c:pt>
                <c:pt idx="918">
                  <c:v>45127</c:v>
                </c:pt>
                <c:pt idx="919">
                  <c:v>45128</c:v>
                </c:pt>
                <c:pt idx="920">
                  <c:v>45131</c:v>
                </c:pt>
                <c:pt idx="921">
                  <c:v>45132</c:v>
                </c:pt>
                <c:pt idx="922">
                  <c:v>45133</c:v>
                </c:pt>
                <c:pt idx="923">
                  <c:v>45134</c:v>
                </c:pt>
                <c:pt idx="924">
                  <c:v>45135</c:v>
                </c:pt>
                <c:pt idx="925">
                  <c:v>45138</c:v>
                </c:pt>
                <c:pt idx="926">
                  <c:v>45139</c:v>
                </c:pt>
                <c:pt idx="927">
                  <c:v>45140</c:v>
                </c:pt>
                <c:pt idx="928">
                  <c:v>45141</c:v>
                </c:pt>
                <c:pt idx="929">
                  <c:v>45142</c:v>
                </c:pt>
                <c:pt idx="930">
                  <c:v>45145</c:v>
                </c:pt>
                <c:pt idx="931">
                  <c:v>45146</c:v>
                </c:pt>
                <c:pt idx="932">
                  <c:v>45147</c:v>
                </c:pt>
                <c:pt idx="933">
                  <c:v>45148</c:v>
                </c:pt>
                <c:pt idx="934">
                  <c:v>45149</c:v>
                </c:pt>
                <c:pt idx="935">
                  <c:v>45152</c:v>
                </c:pt>
                <c:pt idx="936">
                  <c:v>45153</c:v>
                </c:pt>
                <c:pt idx="937">
                  <c:v>45154</c:v>
                </c:pt>
                <c:pt idx="938">
                  <c:v>45155</c:v>
                </c:pt>
                <c:pt idx="939">
                  <c:v>45156</c:v>
                </c:pt>
                <c:pt idx="940">
                  <c:v>45159</c:v>
                </c:pt>
                <c:pt idx="941">
                  <c:v>45160</c:v>
                </c:pt>
                <c:pt idx="942">
                  <c:v>45161</c:v>
                </c:pt>
                <c:pt idx="943">
                  <c:v>45162</c:v>
                </c:pt>
                <c:pt idx="944">
                  <c:v>45163</c:v>
                </c:pt>
                <c:pt idx="945">
                  <c:v>45166</c:v>
                </c:pt>
                <c:pt idx="946">
                  <c:v>45167</c:v>
                </c:pt>
                <c:pt idx="947">
                  <c:v>45168</c:v>
                </c:pt>
                <c:pt idx="948">
                  <c:v>45169</c:v>
                </c:pt>
                <c:pt idx="949">
                  <c:v>45170</c:v>
                </c:pt>
                <c:pt idx="950">
                  <c:v>45173</c:v>
                </c:pt>
                <c:pt idx="951">
                  <c:v>45174</c:v>
                </c:pt>
                <c:pt idx="952">
                  <c:v>45175</c:v>
                </c:pt>
                <c:pt idx="953">
                  <c:v>45176</c:v>
                </c:pt>
                <c:pt idx="954">
                  <c:v>45177</c:v>
                </c:pt>
                <c:pt idx="955">
                  <c:v>45180</c:v>
                </c:pt>
                <c:pt idx="956">
                  <c:v>45181</c:v>
                </c:pt>
                <c:pt idx="957">
                  <c:v>45182</c:v>
                </c:pt>
                <c:pt idx="958">
                  <c:v>45183</c:v>
                </c:pt>
                <c:pt idx="959">
                  <c:v>45184</c:v>
                </c:pt>
                <c:pt idx="960">
                  <c:v>45187</c:v>
                </c:pt>
                <c:pt idx="961">
                  <c:v>45188</c:v>
                </c:pt>
                <c:pt idx="962">
                  <c:v>45189</c:v>
                </c:pt>
                <c:pt idx="963">
                  <c:v>45190</c:v>
                </c:pt>
                <c:pt idx="964">
                  <c:v>45191</c:v>
                </c:pt>
                <c:pt idx="965">
                  <c:v>45194</c:v>
                </c:pt>
                <c:pt idx="966">
                  <c:v>45195</c:v>
                </c:pt>
                <c:pt idx="967">
                  <c:v>45196</c:v>
                </c:pt>
                <c:pt idx="968">
                  <c:v>45197</c:v>
                </c:pt>
                <c:pt idx="969">
                  <c:v>45198</c:v>
                </c:pt>
                <c:pt idx="970">
                  <c:v>45201</c:v>
                </c:pt>
                <c:pt idx="971">
                  <c:v>45202</c:v>
                </c:pt>
                <c:pt idx="972">
                  <c:v>45203</c:v>
                </c:pt>
                <c:pt idx="973">
                  <c:v>45204</c:v>
                </c:pt>
                <c:pt idx="974">
                  <c:v>45205</c:v>
                </c:pt>
                <c:pt idx="975">
                  <c:v>45208</c:v>
                </c:pt>
                <c:pt idx="976">
                  <c:v>45209</c:v>
                </c:pt>
                <c:pt idx="977">
                  <c:v>45210</c:v>
                </c:pt>
                <c:pt idx="978">
                  <c:v>45211</c:v>
                </c:pt>
                <c:pt idx="979">
                  <c:v>45212</c:v>
                </c:pt>
                <c:pt idx="980">
                  <c:v>45215</c:v>
                </c:pt>
                <c:pt idx="981">
                  <c:v>45216</c:v>
                </c:pt>
                <c:pt idx="982">
                  <c:v>45217</c:v>
                </c:pt>
                <c:pt idx="983">
                  <c:v>45218</c:v>
                </c:pt>
                <c:pt idx="984">
                  <c:v>45219</c:v>
                </c:pt>
                <c:pt idx="985">
                  <c:v>45222</c:v>
                </c:pt>
                <c:pt idx="986">
                  <c:v>45223</c:v>
                </c:pt>
                <c:pt idx="987">
                  <c:v>45224</c:v>
                </c:pt>
                <c:pt idx="988">
                  <c:v>45225</c:v>
                </c:pt>
                <c:pt idx="989">
                  <c:v>45226</c:v>
                </c:pt>
                <c:pt idx="990">
                  <c:v>45229</c:v>
                </c:pt>
                <c:pt idx="991">
                  <c:v>45230</c:v>
                </c:pt>
                <c:pt idx="992">
                  <c:v>45231</c:v>
                </c:pt>
                <c:pt idx="993">
                  <c:v>45232</c:v>
                </c:pt>
                <c:pt idx="994">
                  <c:v>45233</c:v>
                </c:pt>
                <c:pt idx="995">
                  <c:v>45236</c:v>
                </c:pt>
                <c:pt idx="996">
                  <c:v>45237</c:v>
                </c:pt>
                <c:pt idx="997">
                  <c:v>45238</c:v>
                </c:pt>
                <c:pt idx="998">
                  <c:v>45239</c:v>
                </c:pt>
                <c:pt idx="999">
                  <c:v>45240</c:v>
                </c:pt>
                <c:pt idx="1000">
                  <c:v>45243</c:v>
                </c:pt>
                <c:pt idx="1001">
                  <c:v>45244</c:v>
                </c:pt>
                <c:pt idx="1002">
                  <c:v>45245</c:v>
                </c:pt>
                <c:pt idx="1003">
                  <c:v>45246</c:v>
                </c:pt>
                <c:pt idx="1004">
                  <c:v>45247</c:v>
                </c:pt>
                <c:pt idx="1005">
                  <c:v>45250</c:v>
                </c:pt>
                <c:pt idx="1006">
                  <c:v>45251</c:v>
                </c:pt>
                <c:pt idx="1007">
                  <c:v>45252</c:v>
                </c:pt>
                <c:pt idx="1008">
                  <c:v>45253</c:v>
                </c:pt>
                <c:pt idx="1009">
                  <c:v>45254</c:v>
                </c:pt>
                <c:pt idx="1010">
                  <c:v>45257</c:v>
                </c:pt>
                <c:pt idx="1011">
                  <c:v>45258</c:v>
                </c:pt>
                <c:pt idx="1012">
                  <c:v>45259</c:v>
                </c:pt>
                <c:pt idx="1013">
                  <c:v>45260</c:v>
                </c:pt>
                <c:pt idx="1014">
                  <c:v>45261</c:v>
                </c:pt>
                <c:pt idx="1015">
                  <c:v>45264</c:v>
                </c:pt>
                <c:pt idx="1016">
                  <c:v>45265</c:v>
                </c:pt>
                <c:pt idx="1017">
                  <c:v>45266</c:v>
                </c:pt>
                <c:pt idx="1018">
                  <c:v>45267</c:v>
                </c:pt>
                <c:pt idx="1019">
                  <c:v>45268</c:v>
                </c:pt>
                <c:pt idx="1020">
                  <c:v>45271</c:v>
                </c:pt>
                <c:pt idx="1021">
                  <c:v>45272</c:v>
                </c:pt>
                <c:pt idx="1022">
                  <c:v>45273</c:v>
                </c:pt>
                <c:pt idx="1023">
                  <c:v>45274</c:v>
                </c:pt>
                <c:pt idx="1024">
                  <c:v>45275</c:v>
                </c:pt>
                <c:pt idx="1025">
                  <c:v>45278</c:v>
                </c:pt>
                <c:pt idx="1026">
                  <c:v>45279</c:v>
                </c:pt>
                <c:pt idx="1027">
                  <c:v>45280</c:v>
                </c:pt>
                <c:pt idx="1028">
                  <c:v>45281</c:v>
                </c:pt>
                <c:pt idx="1029">
                  <c:v>45282</c:v>
                </c:pt>
                <c:pt idx="1030">
                  <c:v>45286</c:v>
                </c:pt>
                <c:pt idx="1031">
                  <c:v>45287</c:v>
                </c:pt>
                <c:pt idx="1032">
                  <c:v>45288</c:v>
                </c:pt>
                <c:pt idx="1033">
                  <c:v>45289</c:v>
                </c:pt>
                <c:pt idx="1034">
                  <c:v>45293</c:v>
                </c:pt>
                <c:pt idx="1035">
                  <c:v>45294</c:v>
                </c:pt>
                <c:pt idx="1036">
                  <c:v>45295</c:v>
                </c:pt>
                <c:pt idx="1037">
                  <c:v>45296</c:v>
                </c:pt>
                <c:pt idx="1038">
                  <c:v>45299</c:v>
                </c:pt>
                <c:pt idx="1039">
                  <c:v>45300</c:v>
                </c:pt>
                <c:pt idx="1040">
                  <c:v>45301</c:v>
                </c:pt>
                <c:pt idx="1041">
                  <c:v>45302</c:v>
                </c:pt>
                <c:pt idx="1042">
                  <c:v>45303</c:v>
                </c:pt>
                <c:pt idx="1043">
                  <c:v>45306</c:v>
                </c:pt>
                <c:pt idx="1044">
                  <c:v>45307</c:v>
                </c:pt>
                <c:pt idx="1045">
                  <c:v>45308</c:v>
                </c:pt>
                <c:pt idx="1046">
                  <c:v>45309</c:v>
                </c:pt>
                <c:pt idx="1047">
                  <c:v>45310</c:v>
                </c:pt>
                <c:pt idx="1048">
                  <c:v>45313</c:v>
                </c:pt>
                <c:pt idx="1049">
                  <c:v>45314</c:v>
                </c:pt>
                <c:pt idx="1050">
                  <c:v>45315</c:v>
                </c:pt>
                <c:pt idx="1051">
                  <c:v>45316</c:v>
                </c:pt>
                <c:pt idx="1052">
                  <c:v>45317</c:v>
                </c:pt>
                <c:pt idx="1053">
                  <c:v>45320</c:v>
                </c:pt>
                <c:pt idx="1054">
                  <c:v>45321</c:v>
                </c:pt>
                <c:pt idx="1055">
                  <c:v>45322</c:v>
                </c:pt>
                <c:pt idx="1056">
                  <c:v>45323</c:v>
                </c:pt>
                <c:pt idx="1057">
                  <c:v>45324</c:v>
                </c:pt>
                <c:pt idx="1058">
                  <c:v>45327</c:v>
                </c:pt>
                <c:pt idx="1059">
                  <c:v>45328</c:v>
                </c:pt>
                <c:pt idx="1060">
                  <c:v>45329</c:v>
                </c:pt>
                <c:pt idx="1061">
                  <c:v>45330</c:v>
                </c:pt>
                <c:pt idx="1062">
                  <c:v>45331</c:v>
                </c:pt>
                <c:pt idx="1063">
                  <c:v>45334</c:v>
                </c:pt>
                <c:pt idx="1064">
                  <c:v>45335</c:v>
                </c:pt>
                <c:pt idx="1065">
                  <c:v>45336</c:v>
                </c:pt>
                <c:pt idx="1066">
                  <c:v>45337</c:v>
                </c:pt>
                <c:pt idx="1067">
                  <c:v>45338</c:v>
                </c:pt>
                <c:pt idx="1068">
                  <c:v>45341</c:v>
                </c:pt>
                <c:pt idx="1069">
                  <c:v>45342</c:v>
                </c:pt>
                <c:pt idx="1070">
                  <c:v>45343</c:v>
                </c:pt>
                <c:pt idx="1071">
                  <c:v>45344</c:v>
                </c:pt>
                <c:pt idx="1072">
                  <c:v>45345</c:v>
                </c:pt>
                <c:pt idx="1073">
                  <c:v>45348</c:v>
                </c:pt>
                <c:pt idx="1074">
                  <c:v>45349</c:v>
                </c:pt>
                <c:pt idx="1075">
                  <c:v>45350</c:v>
                </c:pt>
                <c:pt idx="1076">
                  <c:v>45351</c:v>
                </c:pt>
                <c:pt idx="1077">
                  <c:v>45352</c:v>
                </c:pt>
                <c:pt idx="1078">
                  <c:v>45355</c:v>
                </c:pt>
                <c:pt idx="1079">
                  <c:v>45356</c:v>
                </c:pt>
                <c:pt idx="1080">
                  <c:v>45357</c:v>
                </c:pt>
                <c:pt idx="1081">
                  <c:v>45358</c:v>
                </c:pt>
                <c:pt idx="1082">
                  <c:v>45359</c:v>
                </c:pt>
                <c:pt idx="1083">
                  <c:v>45362</c:v>
                </c:pt>
                <c:pt idx="1084">
                  <c:v>45363</c:v>
                </c:pt>
                <c:pt idx="1085">
                  <c:v>45364</c:v>
                </c:pt>
                <c:pt idx="1086">
                  <c:v>45365</c:v>
                </c:pt>
                <c:pt idx="1087">
                  <c:v>45366</c:v>
                </c:pt>
                <c:pt idx="1088">
                  <c:v>45369</c:v>
                </c:pt>
                <c:pt idx="1089">
                  <c:v>45370</c:v>
                </c:pt>
                <c:pt idx="1090">
                  <c:v>45371</c:v>
                </c:pt>
                <c:pt idx="1091">
                  <c:v>45372</c:v>
                </c:pt>
                <c:pt idx="1092">
                  <c:v>45373</c:v>
                </c:pt>
                <c:pt idx="1093">
                  <c:v>45376</c:v>
                </c:pt>
                <c:pt idx="1094">
                  <c:v>45377</c:v>
                </c:pt>
                <c:pt idx="1095">
                  <c:v>45378</c:v>
                </c:pt>
                <c:pt idx="1096">
                  <c:v>45379</c:v>
                </c:pt>
                <c:pt idx="1097">
                  <c:v>45383</c:v>
                </c:pt>
                <c:pt idx="1098">
                  <c:v>45384</c:v>
                </c:pt>
                <c:pt idx="1099">
                  <c:v>45385</c:v>
                </c:pt>
                <c:pt idx="1100">
                  <c:v>45386</c:v>
                </c:pt>
                <c:pt idx="1101">
                  <c:v>45387</c:v>
                </c:pt>
                <c:pt idx="1102">
                  <c:v>45390</c:v>
                </c:pt>
                <c:pt idx="1103">
                  <c:v>45391</c:v>
                </c:pt>
                <c:pt idx="1104">
                  <c:v>45392</c:v>
                </c:pt>
                <c:pt idx="1105">
                  <c:v>45393</c:v>
                </c:pt>
                <c:pt idx="1106">
                  <c:v>45394</c:v>
                </c:pt>
                <c:pt idx="1107">
                  <c:v>45397</c:v>
                </c:pt>
                <c:pt idx="1108">
                  <c:v>45398</c:v>
                </c:pt>
                <c:pt idx="1109">
                  <c:v>45399</c:v>
                </c:pt>
                <c:pt idx="1110">
                  <c:v>45400</c:v>
                </c:pt>
                <c:pt idx="1111">
                  <c:v>45401</c:v>
                </c:pt>
                <c:pt idx="1112">
                  <c:v>45404</c:v>
                </c:pt>
                <c:pt idx="1113">
                  <c:v>45405</c:v>
                </c:pt>
                <c:pt idx="1114">
                  <c:v>45406</c:v>
                </c:pt>
                <c:pt idx="1115">
                  <c:v>45407</c:v>
                </c:pt>
                <c:pt idx="1116">
                  <c:v>45408</c:v>
                </c:pt>
                <c:pt idx="1117">
                  <c:v>45411</c:v>
                </c:pt>
                <c:pt idx="1118">
                  <c:v>45412</c:v>
                </c:pt>
                <c:pt idx="1119">
                  <c:v>45413</c:v>
                </c:pt>
                <c:pt idx="1120">
                  <c:v>45414</c:v>
                </c:pt>
                <c:pt idx="1121">
                  <c:v>45415</c:v>
                </c:pt>
                <c:pt idx="1122">
                  <c:v>45418</c:v>
                </c:pt>
                <c:pt idx="1123">
                  <c:v>45419</c:v>
                </c:pt>
                <c:pt idx="1124">
                  <c:v>45420</c:v>
                </c:pt>
                <c:pt idx="1125">
                  <c:v>45421</c:v>
                </c:pt>
                <c:pt idx="1126">
                  <c:v>45422</c:v>
                </c:pt>
                <c:pt idx="1127">
                  <c:v>45425</c:v>
                </c:pt>
                <c:pt idx="1128">
                  <c:v>45426</c:v>
                </c:pt>
                <c:pt idx="1129">
                  <c:v>45427</c:v>
                </c:pt>
                <c:pt idx="1130">
                  <c:v>45428</c:v>
                </c:pt>
                <c:pt idx="1131">
                  <c:v>45429</c:v>
                </c:pt>
                <c:pt idx="1132">
                  <c:v>45432</c:v>
                </c:pt>
                <c:pt idx="1133">
                  <c:v>45433</c:v>
                </c:pt>
                <c:pt idx="1134">
                  <c:v>45434</c:v>
                </c:pt>
                <c:pt idx="1135">
                  <c:v>45435</c:v>
                </c:pt>
                <c:pt idx="1136">
                  <c:v>45436</c:v>
                </c:pt>
                <c:pt idx="1137">
                  <c:v>45439</c:v>
                </c:pt>
                <c:pt idx="1138">
                  <c:v>45440</c:v>
                </c:pt>
                <c:pt idx="1139">
                  <c:v>45441</c:v>
                </c:pt>
                <c:pt idx="1140">
                  <c:v>45442</c:v>
                </c:pt>
                <c:pt idx="1141">
                  <c:v>45443</c:v>
                </c:pt>
                <c:pt idx="1142">
                  <c:v>45446</c:v>
                </c:pt>
                <c:pt idx="1143">
                  <c:v>45447</c:v>
                </c:pt>
                <c:pt idx="1144">
                  <c:v>45448</c:v>
                </c:pt>
                <c:pt idx="1145">
                  <c:v>45449</c:v>
                </c:pt>
                <c:pt idx="1146">
                  <c:v>45450</c:v>
                </c:pt>
                <c:pt idx="1147">
                  <c:v>45453</c:v>
                </c:pt>
                <c:pt idx="1148">
                  <c:v>45454</c:v>
                </c:pt>
                <c:pt idx="1149">
                  <c:v>45455</c:v>
                </c:pt>
                <c:pt idx="1150">
                  <c:v>45456</c:v>
                </c:pt>
                <c:pt idx="1151">
                  <c:v>45457</c:v>
                </c:pt>
                <c:pt idx="1152">
                  <c:v>45460</c:v>
                </c:pt>
                <c:pt idx="1153">
                  <c:v>45461</c:v>
                </c:pt>
                <c:pt idx="1154">
                  <c:v>45462</c:v>
                </c:pt>
                <c:pt idx="1155">
                  <c:v>45463</c:v>
                </c:pt>
                <c:pt idx="1156">
                  <c:v>45464</c:v>
                </c:pt>
              </c:numCache>
            </c:numRef>
          </c:cat>
          <c:val>
            <c:numRef>
              <c:f>Sheet1!$E$2:$E$1158</c:f>
              <c:numCache>
                <c:formatCode>0.0</c:formatCode>
                <c:ptCount val="1157"/>
                <c:pt idx="0">
                  <c:v>100</c:v>
                </c:pt>
                <c:pt idx="1">
                  <c:v>99.997920306130936</c:v>
                </c:pt>
                <c:pt idx="2">
                  <c:v>99.820106480326103</c:v>
                </c:pt>
                <c:pt idx="3">
                  <c:v>100.18613260128109</c:v>
                </c:pt>
                <c:pt idx="4">
                  <c:v>100.48664836536061</c:v>
                </c:pt>
                <c:pt idx="5">
                  <c:v>100.65822310955826</c:v>
                </c:pt>
                <c:pt idx="6">
                  <c:v>100.5563181099742</c:v>
                </c:pt>
                <c:pt idx="7">
                  <c:v>100.53760086515264</c:v>
                </c:pt>
                <c:pt idx="8">
                  <c:v>100.57399550786123</c:v>
                </c:pt>
                <c:pt idx="9">
                  <c:v>100.42737709009232</c:v>
                </c:pt>
                <c:pt idx="10">
                  <c:v>100.53448132434904</c:v>
                </c:pt>
                <c:pt idx="11">
                  <c:v>100.84331586390481</c:v>
                </c:pt>
                <c:pt idx="12">
                  <c:v>100.84331586390479</c:v>
                </c:pt>
                <c:pt idx="13">
                  <c:v>100.76948673155307</c:v>
                </c:pt>
                <c:pt idx="14">
                  <c:v>100.78196489476744</c:v>
                </c:pt>
                <c:pt idx="15">
                  <c:v>100.97121703685212</c:v>
                </c:pt>
                <c:pt idx="16">
                  <c:v>101.14071208718072</c:v>
                </c:pt>
                <c:pt idx="17">
                  <c:v>101.26237417852087</c:v>
                </c:pt>
                <c:pt idx="18">
                  <c:v>101.333083770069</c:v>
                </c:pt>
                <c:pt idx="19">
                  <c:v>101.31644621911649</c:v>
                </c:pt>
                <c:pt idx="20">
                  <c:v>101.19894351551446</c:v>
                </c:pt>
                <c:pt idx="21">
                  <c:v>100.70189668080855</c:v>
                </c:pt>
                <c:pt idx="22">
                  <c:v>101.14071208718072</c:v>
                </c:pt>
                <c:pt idx="23">
                  <c:v>101.32476499459274</c:v>
                </c:pt>
                <c:pt idx="24">
                  <c:v>101.68455203394055</c:v>
                </c:pt>
                <c:pt idx="25">
                  <c:v>101.91435820647195</c:v>
                </c:pt>
                <c:pt idx="26">
                  <c:v>102.11400881790193</c:v>
                </c:pt>
                <c:pt idx="27">
                  <c:v>102.2627069295399</c:v>
                </c:pt>
                <c:pt idx="28">
                  <c:v>102.14104483819976</c:v>
                </c:pt>
                <c:pt idx="29">
                  <c:v>102.47899509192241</c:v>
                </c:pt>
                <c:pt idx="30">
                  <c:v>102.51642958156552</c:v>
                </c:pt>
                <c:pt idx="31">
                  <c:v>102.56530238748849</c:v>
                </c:pt>
                <c:pt idx="32">
                  <c:v>102.5653023874885</c:v>
                </c:pt>
                <c:pt idx="33">
                  <c:v>102.90637218201474</c:v>
                </c:pt>
                <c:pt idx="34">
                  <c:v>103.180891772731</c:v>
                </c:pt>
                <c:pt idx="35">
                  <c:v>103.3670243740121</c:v>
                </c:pt>
                <c:pt idx="36">
                  <c:v>102.74727560103148</c:v>
                </c:pt>
                <c:pt idx="37">
                  <c:v>102.85022044755007</c:v>
                </c:pt>
                <c:pt idx="38">
                  <c:v>102.46235754096992</c:v>
                </c:pt>
                <c:pt idx="39">
                  <c:v>102.52162881623821</c:v>
                </c:pt>
                <c:pt idx="40">
                  <c:v>102.04121953248476</c:v>
                </c:pt>
                <c:pt idx="41">
                  <c:v>101.68247234007148</c:v>
                </c:pt>
                <c:pt idx="42">
                  <c:v>100.91298560851837</c:v>
                </c:pt>
                <c:pt idx="43">
                  <c:v>100.76324764994587</c:v>
                </c:pt>
                <c:pt idx="44">
                  <c:v>100.97017718991758</c:v>
                </c:pt>
                <c:pt idx="45">
                  <c:v>100.43673571250305</c:v>
                </c:pt>
                <c:pt idx="46">
                  <c:v>99.601738624074471</c:v>
                </c:pt>
                <c:pt idx="47">
                  <c:v>98.519257965227453</c:v>
                </c:pt>
                <c:pt idx="48">
                  <c:v>100.11542300973291</c:v>
                </c:pt>
                <c:pt idx="49">
                  <c:v>100.2849180600615</c:v>
                </c:pt>
                <c:pt idx="50">
                  <c:v>101.54521254471337</c:v>
                </c:pt>
                <c:pt idx="51">
                  <c:v>102.84502121287741</c:v>
                </c:pt>
                <c:pt idx="52">
                  <c:v>102.06305631810993</c:v>
                </c:pt>
                <c:pt idx="53">
                  <c:v>103.69249646452036</c:v>
                </c:pt>
                <c:pt idx="54">
                  <c:v>105.67236502786785</c:v>
                </c:pt>
                <c:pt idx="55">
                  <c:v>107.91531486565172</c:v>
                </c:pt>
                <c:pt idx="56">
                  <c:v>107.70942517261454</c:v>
                </c:pt>
                <c:pt idx="57">
                  <c:v>107.43698527576736</c:v>
                </c:pt>
                <c:pt idx="58">
                  <c:v>106.38881956575987</c:v>
                </c:pt>
                <c:pt idx="59">
                  <c:v>105.08173196905412</c:v>
                </c:pt>
                <c:pt idx="60">
                  <c:v>103.43149488395305</c:v>
                </c:pt>
                <c:pt idx="61">
                  <c:v>102.45195907162461</c:v>
                </c:pt>
                <c:pt idx="62">
                  <c:v>103.20064886448711</c:v>
                </c:pt>
                <c:pt idx="63">
                  <c:v>103.0405124365693</c:v>
                </c:pt>
                <c:pt idx="64">
                  <c:v>103.72785126029446</c:v>
                </c:pt>
                <c:pt idx="65">
                  <c:v>104.26649197238163</c:v>
                </c:pt>
                <c:pt idx="66">
                  <c:v>104.68866982780132</c:v>
                </c:pt>
                <c:pt idx="67">
                  <c:v>104.78537559271271</c:v>
                </c:pt>
                <c:pt idx="68">
                  <c:v>103.91086432077195</c:v>
                </c:pt>
                <c:pt idx="69">
                  <c:v>104.14586972797601</c:v>
                </c:pt>
                <c:pt idx="70">
                  <c:v>103.44085350636382</c:v>
                </c:pt>
                <c:pt idx="71">
                  <c:v>103.26303968055898</c:v>
                </c:pt>
                <c:pt idx="72">
                  <c:v>102.79094917228181</c:v>
                </c:pt>
                <c:pt idx="73">
                  <c:v>103.41381748606602</c:v>
                </c:pt>
                <c:pt idx="74">
                  <c:v>104.05228350386821</c:v>
                </c:pt>
                <c:pt idx="75">
                  <c:v>103.78712253556276</c:v>
                </c:pt>
                <c:pt idx="76">
                  <c:v>104.02004824889777</c:v>
                </c:pt>
                <c:pt idx="77">
                  <c:v>104.35279926794776</c:v>
                </c:pt>
                <c:pt idx="78">
                  <c:v>104.51293569586556</c:v>
                </c:pt>
                <c:pt idx="79">
                  <c:v>104.53269278762167</c:v>
                </c:pt>
                <c:pt idx="80">
                  <c:v>104.42558855336496</c:v>
                </c:pt>
                <c:pt idx="81">
                  <c:v>104.09595707511855</c:v>
                </c:pt>
                <c:pt idx="82">
                  <c:v>103.92646202478996</c:v>
                </c:pt>
                <c:pt idx="83">
                  <c:v>103.6249064137759</c:v>
                </c:pt>
                <c:pt idx="84">
                  <c:v>103.0051576407953</c:v>
                </c:pt>
                <c:pt idx="85">
                  <c:v>103.08002662008154</c:v>
                </c:pt>
                <c:pt idx="86">
                  <c:v>103.54067881207888</c:v>
                </c:pt>
                <c:pt idx="87">
                  <c:v>103.76320605606857</c:v>
                </c:pt>
                <c:pt idx="88">
                  <c:v>104.15210880958325</c:v>
                </c:pt>
                <c:pt idx="89">
                  <c:v>103.92334248398639</c:v>
                </c:pt>
                <c:pt idx="90">
                  <c:v>103.75072789285421</c:v>
                </c:pt>
                <c:pt idx="91">
                  <c:v>104.25505365610186</c:v>
                </c:pt>
                <c:pt idx="92">
                  <c:v>103.93270110639718</c:v>
                </c:pt>
                <c:pt idx="93">
                  <c:v>104.28208967639966</c:v>
                </c:pt>
                <c:pt idx="94">
                  <c:v>104.5066966142584</c:v>
                </c:pt>
                <c:pt idx="95">
                  <c:v>104.43078778803763</c:v>
                </c:pt>
                <c:pt idx="96">
                  <c:v>103.6644205972881</c:v>
                </c:pt>
                <c:pt idx="97">
                  <c:v>103.32751019049999</c:v>
                </c:pt>
                <c:pt idx="98">
                  <c:v>103.08730554862328</c:v>
                </c:pt>
                <c:pt idx="99">
                  <c:v>103.35974544547047</c:v>
                </c:pt>
                <c:pt idx="100">
                  <c:v>103.85991182097999</c:v>
                </c:pt>
                <c:pt idx="101">
                  <c:v>103.85991182097999</c:v>
                </c:pt>
                <c:pt idx="102">
                  <c:v>102.86061891689548</c:v>
                </c:pt>
                <c:pt idx="103">
                  <c:v>102.99475917145001</c:v>
                </c:pt>
                <c:pt idx="104">
                  <c:v>102.27934448049253</c:v>
                </c:pt>
                <c:pt idx="105">
                  <c:v>102.24087014391486</c:v>
                </c:pt>
                <c:pt idx="106">
                  <c:v>101.68663172780971</c:v>
                </c:pt>
                <c:pt idx="107">
                  <c:v>101.52129606521925</c:v>
                </c:pt>
                <c:pt idx="108">
                  <c:v>101.10535729140675</c:v>
                </c:pt>
                <c:pt idx="109">
                  <c:v>100.47417020214628</c:v>
                </c:pt>
                <c:pt idx="110">
                  <c:v>100.75284918060066</c:v>
                </c:pt>
                <c:pt idx="111">
                  <c:v>100.40242076366364</c:v>
                </c:pt>
                <c:pt idx="112">
                  <c:v>100.10710423425677</c:v>
                </c:pt>
                <c:pt idx="113">
                  <c:v>99.718201480742081</c:v>
                </c:pt>
                <c:pt idx="114">
                  <c:v>100.57711504866488</c:v>
                </c:pt>
                <c:pt idx="115">
                  <c:v>101.20830213792533</c:v>
                </c:pt>
                <c:pt idx="116">
                  <c:v>100.5012062224441</c:v>
                </c:pt>
                <c:pt idx="117">
                  <c:v>100.7642874968805</c:v>
                </c:pt>
                <c:pt idx="118">
                  <c:v>100.98473504700112</c:v>
                </c:pt>
                <c:pt idx="119">
                  <c:v>101.26029448465189</c:v>
                </c:pt>
                <c:pt idx="120">
                  <c:v>101.44954662673659</c:v>
                </c:pt>
                <c:pt idx="121">
                  <c:v>100.83915647616675</c:v>
                </c:pt>
                <c:pt idx="122">
                  <c:v>100.45233341652113</c:v>
                </c:pt>
                <c:pt idx="123">
                  <c:v>100.9940936694119</c:v>
                </c:pt>
                <c:pt idx="124">
                  <c:v>101.27589218866987</c:v>
                </c:pt>
                <c:pt idx="125">
                  <c:v>101.29876882122956</c:v>
                </c:pt>
                <c:pt idx="126">
                  <c:v>101.39651443307548</c:v>
                </c:pt>
                <c:pt idx="127">
                  <c:v>101.23845769902672</c:v>
                </c:pt>
                <c:pt idx="128">
                  <c:v>101.03672739372769</c:v>
                </c:pt>
                <c:pt idx="129">
                  <c:v>101.17918642375848</c:v>
                </c:pt>
                <c:pt idx="130">
                  <c:v>101.17918642375848</c:v>
                </c:pt>
                <c:pt idx="131">
                  <c:v>100.5344813243491</c:v>
                </c:pt>
                <c:pt idx="132">
                  <c:v>100.6977372930705</c:v>
                </c:pt>
                <c:pt idx="133">
                  <c:v>100.2079693869063</c:v>
                </c:pt>
                <c:pt idx="134">
                  <c:v>100.50432576324771</c:v>
                </c:pt>
                <c:pt idx="135">
                  <c:v>100.4377755594377</c:v>
                </c:pt>
                <c:pt idx="136">
                  <c:v>100.22876632559692</c:v>
                </c:pt>
                <c:pt idx="137">
                  <c:v>100.02807586723237</c:v>
                </c:pt>
                <c:pt idx="138">
                  <c:v>99.851301888362073</c:v>
                </c:pt>
                <c:pt idx="139">
                  <c:v>100.13102071375097</c:v>
                </c:pt>
                <c:pt idx="140">
                  <c:v>99.683886531902544</c:v>
                </c:pt>
                <c:pt idx="141">
                  <c:v>99.577822144580352</c:v>
                </c:pt>
                <c:pt idx="142">
                  <c:v>98.836411280259583</c:v>
                </c:pt>
                <c:pt idx="143">
                  <c:v>98.704350719574094</c:v>
                </c:pt>
                <c:pt idx="144">
                  <c:v>98.410074037101751</c:v>
                </c:pt>
                <c:pt idx="145">
                  <c:v>98.137634140254576</c:v>
                </c:pt>
                <c:pt idx="146">
                  <c:v>97.33487230679647</c:v>
                </c:pt>
                <c:pt idx="147">
                  <c:v>97.382705265784907</c:v>
                </c:pt>
                <c:pt idx="148">
                  <c:v>97.160178021795232</c:v>
                </c:pt>
                <c:pt idx="149">
                  <c:v>96.730721237833833</c:v>
                </c:pt>
                <c:pt idx="150">
                  <c:v>97.060352716080232</c:v>
                </c:pt>
                <c:pt idx="151">
                  <c:v>97.253764245903056</c:v>
                </c:pt>
                <c:pt idx="152">
                  <c:v>97.119623991348519</c:v>
                </c:pt>
                <c:pt idx="153">
                  <c:v>96.570584809916042</c:v>
                </c:pt>
                <c:pt idx="154">
                  <c:v>96.485317361284487</c:v>
                </c:pt>
                <c:pt idx="155">
                  <c:v>97.154978787122616</c:v>
                </c:pt>
                <c:pt idx="156">
                  <c:v>97.323433990516662</c:v>
                </c:pt>
                <c:pt idx="157">
                  <c:v>97.355669245487135</c:v>
                </c:pt>
                <c:pt idx="158">
                  <c:v>97.156018634057148</c:v>
                </c:pt>
                <c:pt idx="159">
                  <c:v>97.061392563014806</c:v>
                </c:pt>
                <c:pt idx="160">
                  <c:v>96.820148074203544</c:v>
                </c:pt>
                <c:pt idx="161">
                  <c:v>96.572664503785106</c:v>
                </c:pt>
                <c:pt idx="162">
                  <c:v>95.96331420014981</c:v>
                </c:pt>
                <c:pt idx="163">
                  <c:v>96.612178687297302</c:v>
                </c:pt>
                <c:pt idx="164">
                  <c:v>96.506114299975124</c:v>
                </c:pt>
                <c:pt idx="165">
                  <c:v>96.986523583728541</c:v>
                </c:pt>
                <c:pt idx="166">
                  <c:v>97.037476083520573</c:v>
                </c:pt>
                <c:pt idx="167">
                  <c:v>96.756717411197158</c:v>
                </c:pt>
                <c:pt idx="168">
                  <c:v>96.732800931702926</c:v>
                </c:pt>
                <c:pt idx="169">
                  <c:v>96.712003993012303</c:v>
                </c:pt>
                <c:pt idx="170">
                  <c:v>96.07041843440652</c:v>
                </c:pt>
                <c:pt idx="171">
                  <c:v>95.812536394642777</c:v>
                </c:pt>
                <c:pt idx="172">
                  <c:v>96.021545628483565</c:v>
                </c:pt>
                <c:pt idx="173">
                  <c:v>96.538349554945597</c:v>
                </c:pt>
                <c:pt idx="174">
                  <c:v>96.430205473754356</c:v>
                </c:pt>
                <c:pt idx="175">
                  <c:v>96.403169453456542</c:v>
                </c:pt>
                <c:pt idx="176">
                  <c:v>96.403169453456542</c:v>
                </c:pt>
                <c:pt idx="177">
                  <c:v>97.147699858580893</c:v>
                </c:pt>
                <c:pt idx="178">
                  <c:v>96.959487563430741</c:v>
                </c:pt>
                <c:pt idx="179">
                  <c:v>97.034356542716992</c:v>
                </c:pt>
                <c:pt idx="180">
                  <c:v>97.057233175276664</c:v>
                </c:pt>
                <c:pt idx="181">
                  <c:v>96.768155727476994</c:v>
                </c:pt>
                <c:pt idx="182">
                  <c:v>96.731761084768408</c:v>
                </c:pt>
                <c:pt idx="183">
                  <c:v>96.883578737209973</c:v>
                </c:pt>
                <c:pt idx="184">
                  <c:v>96.621537309708089</c:v>
                </c:pt>
                <c:pt idx="185">
                  <c:v>96.609059146493706</c:v>
                </c:pt>
                <c:pt idx="186">
                  <c:v>97.370227102570581</c:v>
                </c:pt>
                <c:pt idx="187">
                  <c:v>97.72273521337668</c:v>
                </c:pt>
                <c:pt idx="188">
                  <c:v>98.159470925879802</c:v>
                </c:pt>
                <c:pt idx="189">
                  <c:v>98.117877048498556</c:v>
                </c:pt>
                <c:pt idx="190">
                  <c:v>98.418392812578091</c:v>
                </c:pt>
                <c:pt idx="191">
                  <c:v>98.025330671325293</c:v>
                </c:pt>
                <c:pt idx="192">
                  <c:v>97.636427917810593</c:v>
                </c:pt>
                <c:pt idx="193">
                  <c:v>97.638507611679671</c:v>
                </c:pt>
                <c:pt idx="194">
                  <c:v>97.459653938940292</c:v>
                </c:pt>
                <c:pt idx="195">
                  <c:v>97.614591132185453</c:v>
                </c:pt>
                <c:pt idx="196">
                  <c:v>97.256883786706709</c:v>
                </c:pt>
                <c:pt idx="197">
                  <c:v>97.453414857333115</c:v>
                </c:pt>
                <c:pt idx="198">
                  <c:v>97.38478495965407</c:v>
                </c:pt>
                <c:pt idx="199">
                  <c:v>97.353589551618128</c:v>
                </c:pt>
                <c:pt idx="200">
                  <c:v>96.747358788786414</c:v>
                </c:pt>
                <c:pt idx="201">
                  <c:v>96.774394809084228</c:v>
                </c:pt>
                <c:pt idx="202">
                  <c:v>97.226728225605314</c:v>
                </c:pt>
                <c:pt idx="203">
                  <c:v>97.065551950752976</c:v>
                </c:pt>
                <c:pt idx="204">
                  <c:v>97.567798020131562</c:v>
                </c:pt>
                <c:pt idx="205">
                  <c:v>97.375426337243297</c:v>
                </c:pt>
                <c:pt idx="206">
                  <c:v>97.115464603610491</c:v>
                </c:pt>
                <c:pt idx="207">
                  <c:v>96.722402462357692</c:v>
                </c:pt>
                <c:pt idx="208">
                  <c:v>96.252391647949565</c:v>
                </c:pt>
                <c:pt idx="209">
                  <c:v>96.631935779053464</c:v>
                </c:pt>
                <c:pt idx="210">
                  <c:v>96.425006239081753</c:v>
                </c:pt>
                <c:pt idx="211">
                  <c:v>96.715123533815969</c:v>
                </c:pt>
                <c:pt idx="212">
                  <c:v>96.598660677148473</c:v>
                </c:pt>
                <c:pt idx="213">
                  <c:v>97.099866899592527</c:v>
                </c:pt>
                <c:pt idx="214">
                  <c:v>97.68530072373359</c:v>
                </c:pt>
                <c:pt idx="215">
                  <c:v>97.752890774478146</c:v>
                </c:pt>
                <c:pt idx="216">
                  <c:v>97.854795774062197</c:v>
                </c:pt>
                <c:pt idx="217">
                  <c:v>97.256883786706737</c:v>
                </c:pt>
                <c:pt idx="218">
                  <c:v>97.101946593461591</c:v>
                </c:pt>
                <c:pt idx="219">
                  <c:v>96.171283587056152</c:v>
                </c:pt>
                <c:pt idx="220">
                  <c:v>95.868688129107554</c:v>
                </c:pt>
                <c:pt idx="221">
                  <c:v>96.378213127027877</c:v>
                </c:pt>
                <c:pt idx="222">
                  <c:v>96.400049912653046</c:v>
                </c:pt>
                <c:pt idx="223">
                  <c:v>96.699525829798048</c:v>
                </c:pt>
                <c:pt idx="224">
                  <c:v>96.617377921970075</c:v>
                </c:pt>
                <c:pt idx="225">
                  <c:v>96.402129606522109</c:v>
                </c:pt>
                <c:pt idx="226">
                  <c:v>96.269029198902118</c:v>
                </c:pt>
                <c:pt idx="227">
                  <c:v>96.02778471009087</c:v>
                </c:pt>
                <c:pt idx="228">
                  <c:v>95.937318026786656</c:v>
                </c:pt>
                <c:pt idx="229">
                  <c:v>95.90924215955431</c:v>
                </c:pt>
                <c:pt idx="230">
                  <c:v>96.01426669994197</c:v>
                </c:pt>
                <c:pt idx="231">
                  <c:v>96.117211546460553</c:v>
                </c:pt>
                <c:pt idx="232">
                  <c:v>95.837492721071669</c:v>
                </c:pt>
                <c:pt idx="233">
                  <c:v>95.56817236502809</c:v>
                </c:pt>
                <c:pt idx="234">
                  <c:v>95.56817236502809</c:v>
                </c:pt>
                <c:pt idx="235">
                  <c:v>95.39659762083042</c:v>
                </c:pt>
                <c:pt idx="236">
                  <c:v>95.449629814491516</c:v>
                </c:pt>
                <c:pt idx="237">
                  <c:v>94.862116296481375</c:v>
                </c:pt>
                <c:pt idx="238">
                  <c:v>94.680143082938415</c:v>
                </c:pt>
                <c:pt idx="239">
                  <c:v>94.256925380584178</c:v>
                </c:pt>
                <c:pt idx="240">
                  <c:v>94.219490890941046</c:v>
                </c:pt>
                <c:pt idx="241">
                  <c:v>94.316196655852451</c:v>
                </c:pt>
                <c:pt idx="242">
                  <c:v>94.501289410199007</c:v>
                </c:pt>
                <c:pt idx="243">
                  <c:v>94.637509358622594</c:v>
                </c:pt>
                <c:pt idx="244">
                  <c:v>94.367149155644469</c:v>
                </c:pt>
                <c:pt idx="245">
                  <c:v>94.54704267531838</c:v>
                </c:pt>
                <c:pt idx="246">
                  <c:v>94.267323849929468</c:v>
                </c:pt>
                <c:pt idx="247">
                  <c:v>93.969927626653529</c:v>
                </c:pt>
                <c:pt idx="248">
                  <c:v>93.92625405540322</c:v>
                </c:pt>
                <c:pt idx="249">
                  <c:v>93.280509109059338</c:v>
                </c:pt>
                <c:pt idx="250">
                  <c:v>93.503036353049012</c:v>
                </c:pt>
                <c:pt idx="251">
                  <c:v>93.496797271441821</c:v>
                </c:pt>
                <c:pt idx="252">
                  <c:v>94.117585891356967</c:v>
                </c:pt>
                <c:pt idx="253">
                  <c:v>93.904417269778065</c:v>
                </c:pt>
                <c:pt idx="254">
                  <c:v>93.809791198735738</c:v>
                </c:pt>
                <c:pt idx="255">
                  <c:v>93.835787372099006</c:v>
                </c:pt>
                <c:pt idx="256">
                  <c:v>93.464562016471348</c:v>
                </c:pt>
                <c:pt idx="257">
                  <c:v>93.184843191082464</c:v>
                </c:pt>
                <c:pt idx="258">
                  <c:v>93.439605690042598</c:v>
                </c:pt>
                <c:pt idx="259">
                  <c:v>93.398011812661366</c:v>
                </c:pt>
                <c:pt idx="260">
                  <c:v>92.950877630812926</c:v>
                </c:pt>
                <c:pt idx="261">
                  <c:v>93.047583395724331</c:v>
                </c:pt>
                <c:pt idx="262">
                  <c:v>93.348099159803851</c:v>
                </c:pt>
                <c:pt idx="263">
                  <c:v>93.63613676066899</c:v>
                </c:pt>
                <c:pt idx="264">
                  <c:v>94.025039514183675</c:v>
                </c:pt>
                <c:pt idx="265">
                  <c:v>93.631977372930862</c:v>
                </c:pt>
                <c:pt idx="266">
                  <c:v>93.912736045254292</c:v>
                </c:pt>
                <c:pt idx="267">
                  <c:v>93.782755178437881</c:v>
                </c:pt>
                <c:pt idx="268">
                  <c:v>94.342192829215705</c:v>
                </c:pt>
                <c:pt idx="269">
                  <c:v>94.342192829215705</c:v>
                </c:pt>
                <c:pt idx="270">
                  <c:v>94.049995840612425</c:v>
                </c:pt>
                <c:pt idx="271">
                  <c:v>94.042716912070702</c:v>
                </c:pt>
                <c:pt idx="272">
                  <c:v>93.687089260461008</c:v>
                </c:pt>
                <c:pt idx="273">
                  <c:v>93.775476249896158</c:v>
                </c:pt>
                <c:pt idx="274">
                  <c:v>93.942891606355687</c:v>
                </c:pt>
                <c:pt idx="275">
                  <c:v>93.708926046086148</c:v>
                </c:pt>
                <c:pt idx="276">
                  <c:v>94.215331503202876</c:v>
                </c:pt>
                <c:pt idx="277">
                  <c:v>94.004242575493024</c:v>
                </c:pt>
                <c:pt idx="278">
                  <c:v>94.147741452458348</c:v>
                </c:pt>
                <c:pt idx="279">
                  <c:v>94.563680226270833</c:v>
                </c:pt>
                <c:pt idx="280">
                  <c:v>94.787247317195039</c:v>
                </c:pt>
                <c:pt idx="281">
                  <c:v>94.753972215290048</c:v>
                </c:pt>
                <c:pt idx="282">
                  <c:v>95.14079527493567</c:v>
                </c:pt>
                <c:pt idx="283">
                  <c:v>94.633349970884424</c:v>
                </c:pt>
                <c:pt idx="284">
                  <c:v>94.515847267282396</c:v>
                </c:pt>
                <c:pt idx="285">
                  <c:v>94.001123034689428</c:v>
                </c:pt>
                <c:pt idx="286">
                  <c:v>93.927293902337723</c:v>
                </c:pt>
                <c:pt idx="287">
                  <c:v>93.979286249064288</c:v>
                </c:pt>
                <c:pt idx="288">
                  <c:v>94.03855752433256</c:v>
                </c:pt>
                <c:pt idx="289">
                  <c:v>94.038557524332575</c:v>
                </c:pt>
                <c:pt idx="290">
                  <c:v>94.078071707844771</c:v>
                </c:pt>
                <c:pt idx="291">
                  <c:v>94.541843440645707</c:v>
                </c:pt>
                <c:pt idx="292">
                  <c:v>94.178936860494289</c:v>
                </c:pt>
                <c:pt idx="293">
                  <c:v>93.942891606355701</c:v>
                </c:pt>
                <c:pt idx="294">
                  <c:v>93.564387322186334</c:v>
                </c:pt>
                <c:pt idx="295">
                  <c:v>93.733882372514927</c:v>
                </c:pt>
                <c:pt idx="296">
                  <c:v>93.737001913318508</c:v>
                </c:pt>
                <c:pt idx="297">
                  <c:v>93.711005739955226</c:v>
                </c:pt>
                <c:pt idx="298">
                  <c:v>94.482572165377391</c:v>
                </c:pt>
                <c:pt idx="299">
                  <c:v>94.644788287164275</c:v>
                </c:pt>
                <c:pt idx="300">
                  <c:v>94.39730471674585</c:v>
                </c:pt>
                <c:pt idx="301">
                  <c:v>94.550162216121947</c:v>
                </c:pt>
                <c:pt idx="302">
                  <c:v>95.274935529490207</c:v>
                </c:pt>
                <c:pt idx="303">
                  <c:v>95.654479660594106</c:v>
                </c:pt>
                <c:pt idx="304">
                  <c:v>96.023625322352686</c:v>
                </c:pt>
                <c:pt idx="305">
                  <c:v>95.624324099492696</c:v>
                </c:pt>
                <c:pt idx="306">
                  <c:v>95.487064304134577</c:v>
                </c:pt>
                <c:pt idx="307">
                  <c:v>95.057607520173178</c:v>
                </c:pt>
                <c:pt idx="308">
                  <c:v>95.330047417020367</c:v>
                </c:pt>
                <c:pt idx="309">
                  <c:v>95.491223691872705</c:v>
                </c:pt>
                <c:pt idx="310">
                  <c:v>95.520339406039582</c:v>
                </c:pt>
                <c:pt idx="311">
                  <c:v>95.055527826304129</c:v>
                </c:pt>
                <c:pt idx="312">
                  <c:v>95.504741702021633</c:v>
                </c:pt>
                <c:pt idx="313">
                  <c:v>95.567132518093516</c:v>
                </c:pt>
                <c:pt idx="314">
                  <c:v>95.375800682139754</c:v>
                </c:pt>
                <c:pt idx="315">
                  <c:v>96.006987771400219</c:v>
                </c:pt>
                <c:pt idx="316">
                  <c:v>96.196239913484902</c:v>
                </c:pt>
                <c:pt idx="317">
                  <c:v>96.504034606106146</c:v>
                </c:pt>
                <c:pt idx="318">
                  <c:v>96.451002412445064</c:v>
                </c:pt>
                <c:pt idx="319">
                  <c:v>96.639214707595244</c:v>
                </c:pt>
                <c:pt idx="320">
                  <c:v>97.018758838699128</c:v>
                </c:pt>
                <c:pt idx="321">
                  <c:v>96.935571083936637</c:v>
                </c:pt>
                <c:pt idx="322">
                  <c:v>96.635055319857102</c:v>
                </c:pt>
                <c:pt idx="323">
                  <c:v>96.743199401048344</c:v>
                </c:pt>
                <c:pt idx="324">
                  <c:v>96.274228433574748</c:v>
                </c:pt>
                <c:pt idx="325">
                  <c:v>96.012187006072878</c:v>
                </c:pt>
                <c:pt idx="326">
                  <c:v>96.141128025954742</c:v>
                </c:pt>
                <c:pt idx="327">
                  <c:v>95.722069711338676</c:v>
                </c:pt>
                <c:pt idx="328">
                  <c:v>95.821895017053677</c:v>
                </c:pt>
                <c:pt idx="329">
                  <c:v>95.800058231428523</c:v>
                </c:pt>
                <c:pt idx="330">
                  <c:v>95.493303385741811</c:v>
                </c:pt>
                <c:pt idx="331">
                  <c:v>95.316529406871496</c:v>
                </c:pt>
                <c:pt idx="332">
                  <c:v>95.253098743865095</c:v>
                </c:pt>
                <c:pt idx="333">
                  <c:v>95.176150070709781</c:v>
                </c:pt>
                <c:pt idx="334">
                  <c:v>94.667664919724004</c:v>
                </c:pt>
                <c:pt idx="335">
                  <c:v>94.846518592463369</c:v>
                </c:pt>
                <c:pt idx="336">
                  <c:v>94.748772980617431</c:v>
                </c:pt>
                <c:pt idx="337">
                  <c:v>94.944264204309292</c:v>
                </c:pt>
                <c:pt idx="338">
                  <c:v>94.448257216537883</c:v>
                </c:pt>
                <c:pt idx="339">
                  <c:v>94.376507778055242</c:v>
                </c:pt>
                <c:pt idx="340">
                  <c:v>94.492970634722738</c:v>
                </c:pt>
                <c:pt idx="341">
                  <c:v>94.182056401297899</c:v>
                </c:pt>
                <c:pt idx="342">
                  <c:v>94.182056401297899</c:v>
                </c:pt>
                <c:pt idx="343">
                  <c:v>94.87979369436836</c:v>
                </c:pt>
                <c:pt idx="344">
                  <c:v>94.527285583562261</c:v>
                </c:pt>
                <c:pt idx="345">
                  <c:v>94.882913235171955</c:v>
                </c:pt>
                <c:pt idx="346">
                  <c:v>94.899550786124465</c:v>
                </c:pt>
                <c:pt idx="347">
                  <c:v>94.533524665169466</c:v>
                </c:pt>
                <c:pt idx="348">
                  <c:v>93.795233341652292</c:v>
                </c:pt>
                <c:pt idx="349">
                  <c:v>93.762998086681833</c:v>
                </c:pt>
                <c:pt idx="350">
                  <c:v>93.699567423675433</c:v>
                </c:pt>
                <c:pt idx="351">
                  <c:v>94.283961400882006</c:v>
                </c:pt>
                <c:pt idx="352">
                  <c:v>94.366109308709966</c:v>
                </c:pt>
                <c:pt idx="353">
                  <c:v>93.936652524748567</c:v>
                </c:pt>
                <c:pt idx="354">
                  <c:v>93.744280841860288</c:v>
                </c:pt>
                <c:pt idx="355">
                  <c:v>93.325222527244193</c:v>
                </c:pt>
                <c:pt idx="356">
                  <c:v>93.795233341652306</c:v>
                </c:pt>
                <c:pt idx="357">
                  <c:v>93.383453955577963</c:v>
                </c:pt>
                <c:pt idx="358">
                  <c:v>93.59974211796046</c:v>
                </c:pt>
                <c:pt idx="359">
                  <c:v>93.433366608435449</c:v>
                </c:pt>
                <c:pt idx="360">
                  <c:v>93.20460028283857</c:v>
                </c:pt>
                <c:pt idx="361">
                  <c:v>93.617419515847473</c:v>
                </c:pt>
                <c:pt idx="362">
                  <c:v>93.543590383495768</c:v>
                </c:pt>
                <c:pt idx="363">
                  <c:v>93.584144413942482</c:v>
                </c:pt>
                <c:pt idx="364">
                  <c:v>93.584144413942482</c:v>
                </c:pt>
                <c:pt idx="365">
                  <c:v>93.393852424923267</c:v>
                </c:pt>
                <c:pt idx="366">
                  <c:v>93.488478495965609</c:v>
                </c:pt>
                <c:pt idx="367">
                  <c:v>94.111346809749818</c:v>
                </c:pt>
                <c:pt idx="368">
                  <c:v>93.731802678645934</c:v>
                </c:pt>
                <c:pt idx="369">
                  <c:v>93.496797271441878</c:v>
                </c:pt>
                <c:pt idx="370">
                  <c:v>93.618459362782048</c:v>
                </c:pt>
                <c:pt idx="371">
                  <c:v>93.68292987272298</c:v>
                </c:pt>
                <c:pt idx="372">
                  <c:v>93.618459362782048</c:v>
                </c:pt>
                <c:pt idx="373">
                  <c:v>94.134223442309533</c:v>
                </c:pt>
                <c:pt idx="374">
                  <c:v>94.093669411862805</c:v>
                </c:pt>
                <c:pt idx="375">
                  <c:v>94.092629564928274</c:v>
                </c:pt>
                <c:pt idx="376">
                  <c:v>94.815323184427484</c:v>
                </c:pt>
                <c:pt idx="377">
                  <c:v>95.507861242825285</c:v>
                </c:pt>
                <c:pt idx="378">
                  <c:v>95.862449047500434</c:v>
                </c:pt>
                <c:pt idx="379">
                  <c:v>95.521379252974199</c:v>
                </c:pt>
                <c:pt idx="380">
                  <c:v>95.38619915148513</c:v>
                </c:pt>
                <c:pt idx="381">
                  <c:v>95.426753181931858</c:v>
                </c:pt>
                <c:pt idx="382">
                  <c:v>95.437151651277162</c:v>
                </c:pt>
                <c:pt idx="383">
                  <c:v>95.48810415106918</c:v>
                </c:pt>
                <c:pt idx="384">
                  <c:v>95.51618001830154</c:v>
                </c:pt>
                <c:pt idx="385">
                  <c:v>95.687754762499196</c:v>
                </c:pt>
                <c:pt idx="386">
                  <c:v>96.103693536311695</c:v>
                </c:pt>
                <c:pt idx="387">
                  <c:v>96.272148739705742</c:v>
                </c:pt>
                <c:pt idx="388">
                  <c:v>96.074577822144818</c:v>
                </c:pt>
                <c:pt idx="389">
                  <c:v>96.074577822144818</c:v>
                </c:pt>
                <c:pt idx="390">
                  <c:v>96.204558688961228</c:v>
                </c:pt>
                <c:pt idx="391">
                  <c:v>96.315822310956065</c:v>
                </c:pt>
                <c:pt idx="392">
                  <c:v>96.076657516013867</c:v>
                </c:pt>
                <c:pt idx="393">
                  <c:v>95.773022211130737</c:v>
                </c:pt>
                <c:pt idx="394">
                  <c:v>95.911321853423388</c:v>
                </c:pt>
                <c:pt idx="395">
                  <c:v>96.429165626819938</c:v>
                </c:pt>
                <c:pt idx="396">
                  <c:v>96.066259046668534</c:v>
                </c:pt>
                <c:pt idx="397">
                  <c:v>96.296065219199932</c:v>
                </c:pt>
                <c:pt idx="398">
                  <c:v>96.359495882206332</c:v>
                </c:pt>
                <c:pt idx="399">
                  <c:v>96.580983279261474</c:v>
                </c:pt>
                <c:pt idx="400">
                  <c:v>96.663131187089462</c:v>
                </c:pt>
                <c:pt idx="401">
                  <c:v>96.440603943099788</c:v>
                </c:pt>
                <c:pt idx="402">
                  <c:v>96.508193993844316</c:v>
                </c:pt>
                <c:pt idx="403">
                  <c:v>96.610098993428366</c:v>
                </c:pt>
                <c:pt idx="404">
                  <c:v>96.322061392563214</c:v>
                </c:pt>
                <c:pt idx="405">
                  <c:v>96.093295066966334</c:v>
                </c:pt>
                <c:pt idx="406">
                  <c:v>95.969553281757115</c:v>
                </c:pt>
                <c:pt idx="407">
                  <c:v>95.510980783628838</c:v>
                </c:pt>
                <c:pt idx="408">
                  <c:v>95.840612261875251</c:v>
                </c:pt>
                <c:pt idx="409">
                  <c:v>95.707511854255259</c:v>
                </c:pt>
                <c:pt idx="410">
                  <c:v>95.731428333749477</c:v>
                </c:pt>
                <c:pt idx="411">
                  <c:v>95.935238332917592</c:v>
                </c:pt>
                <c:pt idx="412">
                  <c:v>95.914441394226969</c:v>
                </c:pt>
                <c:pt idx="413">
                  <c:v>96.476998585808374</c:v>
                </c:pt>
                <c:pt idx="414">
                  <c:v>96.617377921970089</c:v>
                </c:pt>
                <c:pt idx="415">
                  <c:v>96.731761084768536</c:v>
                </c:pt>
                <c:pt idx="416">
                  <c:v>96.599700524083062</c:v>
                </c:pt>
                <c:pt idx="417">
                  <c:v>96.719282921554168</c:v>
                </c:pt>
                <c:pt idx="418">
                  <c:v>96.186881291074172</c:v>
                </c:pt>
                <c:pt idx="419">
                  <c:v>96.288786290658223</c:v>
                </c:pt>
                <c:pt idx="420">
                  <c:v>96.830546543548991</c:v>
                </c:pt>
                <c:pt idx="421">
                  <c:v>96.834705931287118</c:v>
                </c:pt>
                <c:pt idx="422">
                  <c:v>97.29639797021899</c:v>
                </c:pt>
                <c:pt idx="423">
                  <c:v>97.218409450129144</c:v>
                </c:pt>
                <c:pt idx="424">
                  <c:v>96.654812411613207</c:v>
                </c:pt>
                <c:pt idx="425">
                  <c:v>96.58722236086868</c:v>
                </c:pt>
                <c:pt idx="426">
                  <c:v>96.518592463189606</c:v>
                </c:pt>
                <c:pt idx="427">
                  <c:v>96.776474502953349</c:v>
                </c:pt>
                <c:pt idx="428">
                  <c:v>96.388611596373195</c:v>
                </c:pt>
                <c:pt idx="429">
                  <c:v>96.349097412861013</c:v>
                </c:pt>
                <c:pt idx="430">
                  <c:v>96.326220780301341</c:v>
                </c:pt>
                <c:pt idx="431">
                  <c:v>96.138008485151175</c:v>
                </c:pt>
                <c:pt idx="432">
                  <c:v>95.908202312619792</c:v>
                </c:pt>
                <c:pt idx="433">
                  <c:v>95.685675068630104</c:v>
                </c:pt>
                <c:pt idx="434">
                  <c:v>95.685675068630104</c:v>
                </c:pt>
                <c:pt idx="435">
                  <c:v>96.195200066550399</c:v>
                </c:pt>
                <c:pt idx="436">
                  <c:v>96.335579402712128</c:v>
                </c:pt>
                <c:pt idx="437">
                  <c:v>96.158805423841827</c:v>
                </c:pt>
                <c:pt idx="438">
                  <c:v>96.262790117294941</c:v>
                </c:pt>
                <c:pt idx="439">
                  <c:v>96.341818484319319</c:v>
                </c:pt>
                <c:pt idx="440">
                  <c:v>96.236793943931673</c:v>
                </c:pt>
                <c:pt idx="441">
                  <c:v>96.158805423841812</c:v>
                </c:pt>
                <c:pt idx="442">
                  <c:v>96.559146493636334</c:v>
                </c:pt>
                <c:pt idx="443">
                  <c:v>96.831586390483508</c:v>
                </c:pt>
                <c:pt idx="444">
                  <c:v>96.914774145246014</c:v>
                </c:pt>
                <c:pt idx="445">
                  <c:v>96.856542716912273</c:v>
                </c:pt>
                <c:pt idx="446">
                  <c:v>97.11130521587242</c:v>
                </c:pt>
                <c:pt idx="447">
                  <c:v>96.674569503369298</c:v>
                </c:pt>
                <c:pt idx="448">
                  <c:v>96.991722818401328</c:v>
                </c:pt>
                <c:pt idx="449">
                  <c:v>97.039555777389751</c:v>
                </c:pt>
                <c:pt idx="450">
                  <c:v>97.444056234922414</c:v>
                </c:pt>
                <c:pt idx="451">
                  <c:v>98.050286997754128</c:v>
                </c:pt>
                <c:pt idx="452">
                  <c:v>97.932784294152086</c:v>
                </c:pt>
                <c:pt idx="453">
                  <c:v>97.732093835787552</c:v>
                </c:pt>
                <c:pt idx="454">
                  <c:v>97.459653938940377</c:v>
                </c:pt>
                <c:pt idx="455">
                  <c:v>97.65410531569772</c:v>
                </c:pt>
                <c:pt idx="456">
                  <c:v>97.976457865402395</c:v>
                </c:pt>
                <c:pt idx="457">
                  <c:v>97.913027202395995</c:v>
                </c:pt>
                <c:pt idx="458">
                  <c:v>97.760169703019898</c:v>
                </c:pt>
                <c:pt idx="459">
                  <c:v>98.027410365194427</c:v>
                </c:pt>
                <c:pt idx="460">
                  <c:v>98.228100823558947</c:v>
                </c:pt>
                <c:pt idx="461">
                  <c:v>97.771608019299748</c:v>
                </c:pt>
                <c:pt idx="462">
                  <c:v>97.653065468763174</c:v>
                </c:pt>
                <c:pt idx="463">
                  <c:v>97.623949754596296</c:v>
                </c:pt>
                <c:pt idx="464">
                  <c:v>97.631228683138019</c:v>
                </c:pt>
                <c:pt idx="465">
                  <c:v>97.410781133017394</c:v>
                </c:pt>
                <c:pt idx="466">
                  <c:v>97.210090674652875</c:v>
                </c:pt>
                <c:pt idx="467">
                  <c:v>97.441976541053336</c:v>
                </c:pt>
                <c:pt idx="468">
                  <c:v>97.303676898760699</c:v>
                </c:pt>
                <c:pt idx="469">
                  <c:v>97.489809500041787</c:v>
                </c:pt>
                <c:pt idx="470">
                  <c:v>97.616670826054602</c:v>
                </c:pt>
                <c:pt idx="471">
                  <c:v>97.478371183761922</c:v>
                </c:pt>
                <c:pt idx="472">
                  <c:v>96.982364195990527</c:v>
                </c:pt>
                <c:pt idx="473">
                  <c:v>97.809042508942866</c:v>
                </c:pt>
                <c:pt idx="474">
                  <c:v>97.56259878545896</c:v>
                </c:pt>
                <c:pt idx="475">
                  <c:v>97.770568172365216</c:v>
                </c:pt>
                <c:pt idx="476">
                  <c:v>97.540761999833805</c:v>
                </c:pt>
                <c:pt idx="477">
                  <c:v>98.037808834539746</c:v>
                </c:pt>
                <c:pt idx="478">
                  <c:v>98.007653273438322</c:v>
                </c:pt>
                <c:pt idx="479">
                  <c:v>97.726894601114907</c:v>
                </c:pt>
                <c:pt idx="480">
                  <c:v>97.637467764745224</c:v>
                </c:pt>
                <c:pt idx="481">
                  <c:v>98.549413526329118</c:v>
                </c:pt>
                <c:pt idx="482">
                  <c:v>98.905041177938813</c:v>
                </c:pt>
                <c:pt idx="483">
                  <c:v>98.850969137343199</c:v>
                </c:pt>
                <c:pt idx="484">
                  <c:v>99.139006738208352</c:v>
                </c:pt>
                <c:pt idx="485">
                  <c:v>99.670368521753815</c:v>
                </c:pt>
                <c:pt idx="486">
                  <c:v>99.579901838449601</c:v>
                </c:pt>
                <c:pt idx="487">
                  <c:v>99.281465768239144</c:v>
                </c:pt>
                <c:pt idx="488">
                  <c:v>99.781632143748666</c:v>
                </c:pt>
                <c:pt idx="489">
                  <c:v>100.31819316196679</c:v>
                </c:pt>
                <c:pt idx="490">
                  <c:v>100.26620081524024</c:v>
                </c:pt>
                <c:pt idx="491">
                  <c:v>100.65926295649304</c:v>
                </c:pt>
                <c:pt idx="492">
                  <c:v>100.65926295649305</c:v>
                </c:pt>
                <c:pt idx="493">
                  <c:v>99.860660510773059</c:v>
                </c:pt>
                <c:pt idx="494">
                  <c:v>100.10398469345336</c:v>
                </c:pt>
                <c:pt idx="495">
                  <c:v>99.759795358123512</c:v>
                </c:pt>
                <c:pt idx="496">
                  <c:v>99.787871225355858</c:v>
                </c:pt>
                <c:pt idx="497">
                  <c:v>99.937609183928359</c:v>
                </c:pt>
                <c:pt idx="498">
                  <c:v>99.90225438815429</c:v>
                </c:pt>
                <c:pt idx="499">
                  <c:v>100.14245903003102</c:v>
                </c:pt>
                <c:pt idx="500">
                  <c:v>100.18405290741225</c:v>
                </c:pt>
                <c:pt idx="501">
                  <c:v>99.684926378837247</c:v>
                </c:pt>
                <c:pt idx="502">
                  <c:v>100.06655020381022</c:v>
                </c:pt>
                <c:pt idx="503">
                  <c:v>99.90225438815429</c:v>
                </c:pt>
                <c:pt idx="504">
                  <c:v>100.10814408119148</c:v>
                </c:pt>
                <c:pt idx="505">
                  <c:v>100.35874719241352</c:v>
                </c:pt>
                <c:pt idx="506">
                  <c:v>100.31091423342507</c:v>
                </c:pt>
                <c:pt idx="507">
                  <c:v>99.804508776308367</c:v>
                </c:pt>
                <c:pt idx="508">
                  <c:v>100.35874719241352</c:v>
                </c:pt>
                <c:pt idx="509">
                  <c:v>100.36082688628257</c:v>
                </c:pt>
                <c:pt idx="510">
                  <c:v>100.29739622327615</c:v>
                </c:pt>
                <c:pt idx="511">
                  <c:v>99.865859745445704</c:v>
                </c:pt>
                <c:pt idx="512">
                  <c:v>99.778512602945071</c:v>
                </c:pt>
                <c:pt idx="513">
                  <c:v>99.878337908660072</c:v>
                </c:pt>
                <c:pt idx="514">
                  <c:v>100.00000000000023</c:v>
                </c:pt>
                <c:pt idx="515">
                  <c:v>99.706763164462416</c:v>
                </c:pt>
                <c:pt idx="516">
                  <c:v>99.741078113301953</c:v>
                </c:pt>
                <c:pt idx="517">
                  <c:v>99.360494135263522</c:v>
                </c:pt>
                <c:pt idx="518">
                  <c:v>99.997920306131164</c:v>
                </c:pt>
                <c:pt idx="519">
                  <c:v>100.06343066300663</c:v>
                </c:pt>
                <c:pt idx="520">
                  <c:v>99.957366275684436</c:v>
                </c:pt>
                <c:pt idx="521">
                  <c:v>100.11750270360226</c:v>
                </c:pt>
                <c:pt idx="522">
                  <c:v>99.484235920472713</c:v>
                </c:pt>
                <c:pt idx="523">
                  <c:v>99.757715664254448</c:v>
                </c:pt>
                <c:pt idx="524">
                  <c:v>99.37297229847789</c:v>
                </c:pt>
                <c:pt idx="525">
                  <c:v>98.625322352549944</c:v>
                </c:pt>
                <c:pt idx="526">
                  <c:v>98.489102404126356</c:v>
                </c:pt>
                <c:pt idx="527">
                  <c:v>98.895682555528055</c:v>
                </c:pt>
                <c:pt idx="528">
                  <c:v>98.895682555528055</c:v>
                </c:pt>
                <c:pt idx="529">
                  <c:v>99.46967806338931</c:v>
                </c:pt>
                <c:pt idx="530">
                  <c:v>99.242991431661494</c:v>
                </c:pt>
                <c:pt idx="531">
                  <c:v>99.466558522585728</c:v>
                </c:pt>
                <c:pt idx="532">
                  <c:v>99.374012145412465</c:v>
                </c:pt>
                <c:pt idx="533">
                  <c:v>99.654770817735908</c:v>
                </c:pt>
                <c:pt idx="534">
                  <c:v>99.682846684968254</c:v>
                </c:pt>
                <c:pt idx="535">
                  <c:v>100.173654438067</c:v>
                </c:pt>
                <c:pt idx="536">
                  <c:v>101.02840861825169</c:v>
                </c:pt>
                <c:pt idx="537">
                  <c:v>101.04816571000779</c:v>
                </c:pt>
                <c:pt idx="538">
                  <c:v>100.30571499875249</c:v>
                </c:pt>
                <c:pt idx="539">
                  <c:v>100.14245903003109</c:v>
                </c:pt>
                <c:pt idx="540">
                  <c:v>99.674527909492028</c:v>
                </c:pt>
                <c:pt idx="541">
                  <c:v>99.122369187255941</c:v>
                </c:pt>
                <c:pt idx="542">
                  <c:v>99.211796023625638</c:v>
                </c:pt>
                <c:pt idx="543">
                  <c:v>99.125488728059537</c:v>
                </c:pt>
                <c:pt idx="544">
                  <c:v>99.374012145412493</c:v>
                </c:pt>
                <c:pt idx="545">
                  <c:v>99.22635388070907</c:v>
                </c:pt>
                <c:pt idx="546">
                  <c:v>99.261708676483124</c:v>
                </c:pt>
                <c:pt idx="547">
                  <c:v>99.823226021130012</c:v>
                </c:pt>
                <c:pt idx="548">
                  <c:v>100.12790117294765</c:v>
                </c:pt>
                <c:pt idx="549">
                  <c:v>99.745237501040151</c:v>
                </c:pt>
                <c:pt idx="550">
                  <c:v>99.437442808418893</c:v>
                </c:pt>
                <c:pt idx="551">
                  <c:v>99.537268114133894</c:v>
                </c:pt>
                <c:pt idx="552">
                  <c:v>99.775393062141546</c:v>
                </c:pt>
                <c:pt idx="553">
                  <c:v>99.783711837617787</c:v>
                </c:pt>
                <c:pt idx="554">
                  <c:v>99.758755511189065</c:v>
                </c:pt>
                <c:pt idx="555">
                  <c:v>99.927210714583126</c:v>
                </c:pt>
                <c:pt idx="556">
                  <c:v>100.90986606771514</c:v>
                </c:pt>
                <c:pt idx="557">
                  <c:v>100.39098244738405</c:v>
                </c:pt>
                <c:pt idx="558">
                  <c:v>100.46897096747388</c:v>
                </c:pt>
                <c:pt idx="559">
                  <c:v>101.25405540304496</c:v>
                </c:pt>
                <c:pt idx="560">
                  <c:v>101.28525081108089</c:v>
                </c:pt>
                <c:pt idx="561">
                  <c:v>101.68975126861355</c:v>
                </c:pt>
                <c:pt idx="562">
                  <c:v>102.60273687713199</c:v>
                </c:pt>
                <c:pt idx="563">
                  <c:v>103.3982197820484</c:v>
                </c:pt>
                <c:pt idx="564">
                  <c:v>103.2256051909162</c:v>
                </c:pt>
                <c:pt idx="565">
                  <c:v>101.9767490225442</c:v>
                </c:pt>
                <c:pt idx="566">
                  <c:v>102.48419432659544</c:v>
                </c:pt>
                <c:pt idx="567">
                  <c:v>103.135138507612</c:v>
                </c:pt>
                <c:pt idx="568">
                  <c:v>102.96980284502152</c:v>
                </c:pt>
                <c:pt idx="569">
                  <c:v>102.82422427418715</c:v>
                </c:pt>
                <c:pt idx="570">
                  <c:v>102.3167789701359</c:v>
                </c:pt>
                <c:pt idx="571">
                  <c:v>101.6606355544467</c:v>
                </c:pt>
                <c:pt idx="572">
                  <c:v>101.93307545129389</c:v>
                </c:pt>
                <c:pt idx="573">
                  <c:v>102.20031611346842</c:v>
                </c:pt>
                <c:pt idx="574">
                  <c:v>102.21487397055185</c:v>
                </c:pt>
                <c:pt idx="575">
                  <c:v>102.3001414191834</c:v>
                </c:pt>
                <c:pt idx="576">
                  <c:v>102.49251310207168</c:v>
                </c:pt>
                <c:pt idx="577">
                  <c:v>102.51019049995871</c:v>
                </c:pt>
                <c:pt idx="578">
                  <c:v>102.74727560103184</c:v>
                </c:pt>
                <c:pt idx="579">
                  <c:v>102.10880958322966</c:v>
                </c:pt>
                <c:pt idx="580">
                  <c:v>101.52025621828497</c:v>
                </c:pt>
                <c:pt idx="581">
                  <c:v>102.02458198153261</c:v>
                </c:pt>
                <c:pt idx="582">
                  <c:v>102.29702187837978</c:v>
                </c:pt>
                <c:pt idx="583">
                  <c:v>102.66304799933478</c:v>
                </c:pt>
                <c:pt idx="584">
                  <c:v>103.12474003826665</c:v>
                </c:pt>
                <c:pt idx="585">
                  <c:v>103.27759753764272</c:v>
                </c:pt>
                <c:pt idx="586">
                  <c:v>103.469969220531</c:v>
                </c:pt>
                <c:pt idx="587">
                  <c:v>103.45437151651304</c:v>
                </c:pt>
                <c:pt idx="588">
                  <c:v>103.63530488312148</c:v>
                </c:pt>
                <c:pt idx="589">
                  <c:v>104.02836702437429</c:v>
                </c:pt>
                <c:pt idx="590">
                  <c:v>103.63426503618695</c:v>
                </c:pt>
                <c:pt idx="591">
                  <c:v>104.0481241161304</c:v>
                </c:pt>
                <c:pt idx="592">
                  <c:v>104.51085600199679</c:v>
                </c:pt>
                <c:pt idx="593">
                  <c:v>104.70634722568866</c:v>
                </c:pt>
                <c:pt idx="594">
                  <c:v>104.1323517178274</c:v>
                </c:pt>
                <c:pt idx="595">
                  <c:v>104.33720156393007</c:v>
                </c:pt>
                <c:pt idx="596">
                  <c:v>104.96006987771428</c:v>
                </c:pt>
                <c:pt idx="597">
                  <c:v>105.53822477331363</c:v>
                </c:pt>
                <c:pt idx="598">
                  <c:v>106.14029614840722</c:v>
                </c:pt>
                <c:pt idx="599">
                  <c:v>106.7850012478166</c:v>
                </c:pt>
                <c:pt idx="600">
                  <c:v>107.50873471425034</c:v>
                </c:pt>
                <c:pt idx="601">
                  <c:v>106.80059895183456</c:v>
                </c:pt>
                <c:pt idx="602">
                  <c:v>107.6511937442811</c:v>
                </c:pt>
                <c:pt idx="603">
                  <c:v>107.33923966392173</c:v>
                </c:pt>
                <c:pt idx="604">
                  <c:v>106.4324931370105</c:v>
                </c:pt>
                <c:pt idx="605">
                  <c:v>107.68862823392423</c:v>
                </c:pt>
                <c:pt idx="606">
                  <c:v>107.61271940770347</c:v>
                </c:pt>
                <c:pt idx="607">
                  <c:v>107.62831711172144</c:v>
                </c:pt>
                <c:pt idx="608">
                  <c:v>107.88723899841972</c:v>
                </c:pt>
                <c:pt idx="609">
                  <c:v>107.78429415190112</c:v>
                </c:pt>
                <c:pt idx="610">
                  <c:v>108.85325680059924</c:v>
                </c:pt>
                <c:pt idx="611">
                  <c:v>108.5558605773233</c:v>
                </c:pt>
                <c:pt idx="612">
                  <c:v>108.16487812993955</c:v>
                </c:pt>
                <c:pt idx="613">
                  <c:v>107.29348639880239</c:v>
                </c:pt>
                <c:pt idx="614">
                  <c:v>107.81340986606801</c:v>
                </c:pt>
                <c:pt idx="615">
                  <c:v>106.66853839114913</c:v>
                </c:pt>
                <c:pt idx="616">
                  <c:v>107.11255303219396</c:v>
                </c:pt>
                <c:pt idx="617">
                  <c:v>105.97288079194773</c:v>
                </c:pt>
                <c:pt idx="618">
                  <c:v>105.71083936444586</c:v>
                </c:pt>
                <c:pt idx="619">
                  <c:v>105.9416853839118</c:v>
                </c:pt>
                <c:pt idx="620">
                  <c:v>105.71915813992211</c:v>
                </c:pt>
                <c:pt idx="621">
                  <c:v>105.54758339572444</c:v>
                </c:pt>
                <c:pt idx="622">
                  <c:v>105.10772814241773</c:v>
                </c:pt>
                <c:pt idx="623">
                  <c:v>105.61309375259992</c:v>
                </c:pt>
                <c:pt idx="624">
                  <c:v>106.38050079028397</c:v>
                </c:pt>
                <c:pt idx="625">
                  <c:v>105.66612594626102</c:v>
                </c:pt>
                <c:pt idx="626">
                  <c:v>106.01343482239444</c:v>
                </c:pt>
                <c:pt idx="627">
                  <c:v>106.3711421678732</c:v>
                </c:pt>
                <c:pt idx="628">
                  <c:v>106.24636053572945</c:v>
                </c:pt>
                <c:pt idx="629">
                  <c:v>106.48656517760618</c:v>
                </c:pt>
                <c:pt idx="630">
                  <c:v>107.18846185841477</c:v>
                </c:pt>
                <c:pt idx="631">
                  <c:v>108.15759920139787</c:v>
                </c:pt>
                <c:pt idx="632">
                  <c:v>109.14857333000614</c:v>
                </c:pt>
                <c:pt idx="633">
                  <c:v>109.17560935030397</c:v>
                </c:pt>
                <c:pt idx="634">
                  <c:v>108.77318858664039</c:v>
                </c:pt>
                <c:pt idx="635">
                  <c:v>107.19470094002196</c:v>
                </c:pt>
                <c:pt idx="636">
                  <c:v>108.32397471092288</c:v>
                </c:pt>
                <c:pt idx="637">
                  <c:v>108.32397471092288</c:v>
                </c:pt>
                <c:pt idx="638">
                  <c:v>108.02033940603975</c:v>
                </c:pt>
                <c:pt idx="639">
                  <c:v>107.76037767240695</c:v>
                </c:pt>
                <c:pt idx="640">
                  <c:v>107.96938690624771</c:v>
                </c:pt>
                <c:pt idx="641">
                  <c:v>107.72710257050194</c:v>
                </c:pt>
                <c:pt idx="642">
                  <c:v>107.43490558189866</c:v>
                </c:pt>
                <c:pt idx="643">
                  <c:v>108.02033940603975</c:v>
                </c:pt>
                <c:pt idx="644">
                  <c:v>108.64736710756208</c:v>
                </c:pt>
                <c:pt idx="645">
                  <c:v>108.23142833374959</c:v>
                </c:pt>
                <c:pt idx="646">
                  <c:v>108.71495715830662</c:v>
                </c:pt>
                <c:pt idx="647">
                  <c:v>108.7149571583066</c:v>
                </c:pt>
                <c:pt idx="648">
                  <c:v>110.17178271358486</c:v>
                </c:pt>
                <c:pt idx="649">
                  <c:v>110.80920888445252</c:v>
                </c:pt>
                <c:pt idx="650">
                  <c:v>110.84144413942298</c:v>
                </c:pt>
                <c:pt idx="651">
                  <c:v>110.6823475584397</c:v>
                </c:pt>
                <c:pt idx="652">
                  <c:v>111.75650944181046</c:v>
                </c:pt>
                <c:pt idx="653">
                  <c:v>111.85321520672186</c:v>
                </c:pt>
                <c:pt idx="654">
                  <c:v>111.6650029115717</c:v>
                </c:pt>
                <c:pt idx="655">
                  <c:v>112.3367440312789</c:v>
                </c:pt>
                <c:pt idx="656">
                  <c:v>111.87297229847796</c:v>
                </c:pt>
                <c:pt idx="657">
                  <c:v>111.15547791365141</c:v>
                </c:pt>
                <c:pt idx="658">
                  <c:v>110.48373679394422</c:v>
                </c:pt>
                <c:pt idx="659">
                  <c:v>110.85600199650641</c:v>
                </c:pt>
                <c:pt idx="660">
                  <c:v>110.72186174195187</c:v>
                </c:pt>
                <c:pt idx="661">
                  <c:v>110.55236669162328</c:v>
                </c:pt>
                <c:pt idx="662">
                  <c:v>110.26536893769266</c:v>
                </c:pt>
                <c:pt idx="663">
                  <c:v>110.9662257715667</c:v>
                </c:pt>
                <c:pt idx="664">
                  <c:v>110.24041261126391</c:v>
                </c:pt>
                <c:pt idx="665">
                  <c:v>110.14162715248344</c:v>
                </c:pt>
                <c:pt idx="666">
                  <c:v>109.67681557274797</c:v>
                </c:pt>
                <c:pt idx="667">
                  <c:v>109.20056567673267</c:v>
                </c:pt>
                <c:pt idx="668">
                  <c:v>109.97837118376204</c:v>
                </c:pt>
                <c:pt idx="669">
                  <c:v>110.26224939688908</c:v>
                </c:pt>
                <c:pt idx="670">
                  <c:v>109.46052741036549</c:v>
                </c:pt>
                <c:pt idx="671">
                  <c:v>110.35895516180047</c:v>
                </c:pt>
                <c:pt idx="672">
                  <c:v>110.19049995840641</c:v>
                </c:pt>
                <c:pt idx="673">
                  <c:v>110.12187006072733</c:v>
                </c:pt>
                <c:pt idx="674">
                  <c:v>108.90316945345671</c:v>
                </c:pt>
                <c:pt idx="675">
                  <c:v>108.81374261708703</c:v>
                </c:pt>
                <c:pt idx="676">
                  <c:v>109.33470593128717</c:v>
                </c:pt>
                <c:pt idx="677">
                  <c:v>110.29448465185952</c:v>
                </c:pt>
                <c:pt idx="678">
                  <c:v>110.26848847849624</c:v>
                </c:pt>
                <c:pt idx="679">
                  <c:v>110.39119041677093</c:v>
                </c:pt>
                <c:pt idx="680">
                  <c:v>111.37280592296841</c:v>
                </c:pt>
                <c:pt idx="681">
                  <c:v>112.09861908327122</c:v>
                </c:pt>
                <c:pt idx="682">
                  <c:v>113.01160469178964</c:v>
                </c:pt>
                <c:pt idx="683">
                  <c:v>112.57278928541746</c:v>
                </c:pt>
                <c:pt idx="684">
                  <c:v>112.64245903003103</c:v>
                </c:pt>
                <c:pt idx="685">
                  <c:v>112.44176857166651</c:v>
                </c:pt>
                <c:pt idx="686">
                  <c:v>112.77243989684746</c:v>
                </c:pt>
                <c:pt idx="687">
                  <c:v>112.86498627402075</c:v>
                </c:pt>
                <c:pt idx="688">
                  <c:v>112.79635637634169</c:v>
                </c:pt>
                <c:pt idx="689">
                  <c:v>112.71940770318639</c:v>
                </c:pt>
                <c:pt idx="690">
                  <c:v>113.76237417852123</c:v>
                </c:pt>
                <c:pt idx="691">
                  <c:v>113.6084768322106</c:v>
                </c:pt>
                <c:pt idx="692">
                  <c:v>113.6084768322106</c:v>
                </c:pt>
                <c:pt idx="693">
                  <c:v>114.29893519673934</c:v>
                </c:pt>
                <c:pt idx="694">
                  <c:v>113.93290907578434</c:v>
                </c:pt>
                <c:pt idx="695">
                  <c:v>113.81956575992044</c:v>
                </c:pt>
                <c:pt idx="696">
                  <c:v>113.06463688545077</c:v>
                </c:pt>
                <c:pt idx="697">
                  <c:v>112.40329423508889</c:v>
                </c:pt>
                <c:pt idx="698">
                  <c:v>113.89235504533762</c:v>
                </c:pt>
                <c:pt idx="699">
                  <c:v>113.72909907661621</c:v>
                </c:pt>
                <c:pt idx="700">
                  <c:v>113.81332667831325</c:v>
                </c:pt>
                <c:pt idx="701">
                  <c:v>113.86947841277794</c:v>
                </c:pt>
                <c:pt idx="702">
                  <c:v>113.68958489310404</c:v>
                </c:pt>
                <c:pt idx="703">
                  <c:v>114.32285167623357</c:v>
                </c:pt>
                <c:pt idx="704">
                  <c:v>114.74294983778421</c:v>
                </c:pt>
                <c:pt idx="705">
                  <c:v>115.53219366109342</c:v>
                </c:pt>
                <c:pt idx="706">
                  <c:v>117.46318941851794</c:v>
                </c:pt>
                <c:pt idx="707">
                  <c:v>118.56334747525199</c:v>
                </c:pt>
                <c:pt idx="708">
                  <c:v>118.59142334248433</c:v>
                </c:pt>
                <c:pt idx="709">
                  <c:v>116.99109891024077</c:v>
                </c:pt>
                <c:pt idx="710">
                  <c:v>116.6729057482742</c:v>
                </c:pt>
                <c:pt idx="711">
                  <c:v>116.55020380999953</c:v>
                </c:pt>
                <c:pt idx="712">
                  <c:v>116.10514932202017</c:v>
                </c:pt>
                <c:pt idx="713">
                  <c:v>114.36340570668033</c:v>
                </c:pt>
                <c:pt idx="714">
                  <c:v>115.43444804924751</c:v>
                </c:pt>
                <c:pt idx="715">
                  <c:v>116.65314865651813</c:v>
                </c:pt>
                <c:pt idx="716">
                  <c:v>117.17307212378375</c:v>
                </c:pt>
                <c:pt idx="717">
                  <c:v>117.57653273438187</c:v>
                </c:pt>
                <c:pt idx="718">
                  <c:v>117.63580400965016</c:v>
                </c:pt>
                <c:pt idx="719">
                  <c:v>117.73562931536517</c:v>
                </c:pt>
                <c:pt idx="720">
                  <c:v>116.72593794193534</c:v>
                </c:pt>
                <c:pt idx="721">
                  <c:v>117.71275268280549</c:v>
                </c:pt>
                <c:pt idx="722">
                  <c:v>116.36719074952207</c:v>
                </c:pt>
                <c:pt idx="723">
                  <c:v>116.45661758589175</c:v>
                </c:pt>
                <c:pt idx="724">
                  <c:v>117.3768821229519</c:v>
                </c:pt>
                <c:pt idx="725">
                  <c:v>117.3134514599455</c:v>
                </c:pt>
                <c:pt idx="726">
                  <c:v>116.44205972880832</c:v>
                </c:pt>
                <c:pt idx="727">
                  <c:v>116.3682305964566</c:v>
                </c:pt>
                <c:pt idx="728">
                  <c:v>115.24623575409738</c:v>
                </c:pt>
                <c:pt idx="729">
                  <c:v>113.91731137176646</c:v>
                </c:pt>
                <c:pt idx="730">
                  <c:v>114.8542134597791</c:v>
                </c:pt>
                <c:pt idx="731">
                  <c:v>115.01331004076238</c:v>
                </c:pt>
                <c:pt idx="732">
                  <c:v>115.85974544547082</c:v>
                </c:pt>
                <c:pt idx="733">
                  <c:v>115.79631478246441</c:v>
                </c:pt>
                <c:pt idx="734">
                  <c:v>115.65801514017176</c:v>
                </c:pt>
                <c:pt idx="735">
                  <c:v>117.29889360286205</c:v>
                </c:pt>
                <c:pt idx="736">
                  <c:v>115.18800432576364</c:v>
                </c:pt>
                <c:pt idx="737">
                  <c:v>114.37588386989474</c:v>
                </c:pt>
                <c:pt idx="738">
                  <c:v>113.90691290242114</c:v>
                </c:pt>
                <c:pt idx="739">
                  <c:v>114.86149238832081</c:v>
                </c:pt>
                <c:pt idx="740">
                  <c:v>112.39913484735084</c:v>
                </c:pt>
                <c:pt idx="741">
                  <c:v>110.39430995757461</c:v>
                </c:pt>
                <c:pt idx="742">
                  <c:v>110.77593378254757</c:v>
                </c:pt>
                <c:pt idx="743">
                  <c:v>110.53052990599818</c:v>
                </c:pt>
                <c:pt idx="744">
                  <c:v>110.38183179436022</c:v>
                </c:pt>
                <c:pt idx="745">
                  <c:v>110.83936444555397</c:v>
                </c:pt>
                <c:pt idx="746">
                  <c:v>111.08268862823428</c:v>
                </c:pt>
                <c:pt idx="747">
                  <c:v>112.0247899509196</c:v>
                </c:pt>
                <c:pt idx="748">
                  <c:v>111.38320439231381</c:v>
                </c:pt>
                <c:pt idx="749">
                  <c:v>110.18946011147194</c:v>
                </c:pt>
                <c:pt idx="750">
                  <c:v>110.18946011147194</c:v>
                </c:pt>
                <c:pt idx="751">
                  <c:v>110.13746776474538</c:v>
                </c:pt>
                <c:pt idx="752">
                  <c:v>110.88095832293521</c:v>
                </c:pt>
                <c:pt idx="753">
                  <c:v>111.02237750603146</c:v>
                </c:pt>
                <c:pt idx="754">
                  <c:v>110.11667082605476</c:v>
                </c:pt>
                <c:pt idx="755">
                  <c:v>108.86053572914101</c:v>
                </c:pt>
                <c:pt idx="756">
                  <c:v>108.66400465851461</c:v>
                </c:pt>
                <c:pt idx="757">
                  <c:v>109.4324515431332</c:v>
                </c:pt>
                <c:pt idx="758">
                  <c:v>109.74752516429616</c:v>
                </c:pt>
                <c:pt idx="759">
                  <c:v>109.24215955411398</c:v>
                </c:pt>
                <c:pt idx="760">
                  <c:v>108.93020547375461</c:v>
                </c:pt>
                <c:pt idx="761">
                  <c:v>108.97491889193947</c:v>
                </c:pt>
                <c:pt idx="762">
                  <c:v>109.2920722069715</c:v>
                </c:pt>
                <c:pt idx="763">
                  <c:v>108.08480991598073</c:v>
                </c:pt>
                <c:pt idx="764">
                  <c:v>107.87268114133636</c:v>
                </c:pt>
                <c:pt idx="765">
                  <c:v>108.69727976041962</c:v>
                </c:pt>
                <c:pt idx="766">
                  <c:v>108.83142001497416</c:v>
                </c:pt>
                <c:pt idx="767">
                  <c:v>108.76279011729508</c:v>
                </c:pt>
                <c:pt idx="768">
                  <c:v>107.73438149904369</c:v>
                </c:pt>
                <c:pt idx="769">
                  <c:v>107.98498461026571</c:v>
                </c:pt>
                <c:pt idx="770">
                  <c:v>108.27614175193446</c:v>
                </c:pt>
                <c:pt idx="771">
                  <c:v>108.15447966059432</c:v>
                </c:pt>
                <c:pt idx="772">
                  <c:v>108.03281756925415</c:v>
                </c:pt>
                <c:pt idx="773">
                  <c:v>108.33333333333367</c:v>
                </c:pt>
                <c:pt idx="774">
                  <c:v>107.71358456035306</c:v>
                </c:pt>
                <c:pt idx="775">
                  <c:v>107.38395308210667</c:v>
                </c:pt>
                <c:pt idx="776">
                  <c:v>108.46851343482275</c:v>
                </c:pt>
                <c:pt idx="777">
                  <c:v>108.16591797687417</c:v>
                </c:pt>
                <c:pt idx="778">
                  <c:v>109.00507445304089</c:v>
                </c:pt>
                <c:pt idx="779">
                  <c:v>107.77597537642495</c:v>
                </c:pt>
                <c:pt idx="780">
                  <c:v>106.83699359454324</c:v>
                </c:pt>
                <c:pt idx="781">
                  <c:v>107.08343731802717</c:v>
                </c:pt>
                <c:pt idx="782">
                  <c:v>107.02936527743152</c:v>
                </c:pt>
                <c:pt idx="783">
                  <c:v>106.05918808751387</c:v>
                </c:pt>
                <c:pt idx="784">
                  <c:v>106.00823558772184</c:v>
                </c:pt>
                <c:pt idx="785">
                  <c:v>106.00823558772184</c:v>
                </c:pt>
                <c:pt idx="786">
                  <c:v>106.21100573995544</c:v>
                </c:pt>
                <c:pt idx="787">
                  <c:v>106.17565094418137</c:v>
                </c:pt>
                <c:pt idx="788">
                  <c:v>105.88865319025076</c:v>
                </c:pt>
                <c:pt idx="789">
                  <c:v>105.83666084352421</c:v>
                </c:pt>
                <c:pt idx="790">
                  <c:v>105.97704017968593</c:v>
                </c:pt>
                <c:pt idx="791">
                  <c:v>105.72643706846389</c:v>
                </c:pt>
                <c:pt idx="792">
                  <c:v>105.4571167124203</c:v>
                </c:pt>
                <c:pt idx="793">
                  <c:v>105.68796273188623</c:v>
                </c:pt>
                <c:pt idx="794">
                  <c:v>105.77427002745232</c:v>
                </c:pt>
                <c:pt idx="795">
                  <c:v>106.15381415855622</c:v>
                </c:pt>
                <c:pt idx="796">
                  <c:v>105.97600033275138</c:v>
                </c:pt>
                <c:pt idx="797">
                  <c:v>105.05365610182217</c:v>
                </c:pt>
                <c:pt idx="798">
                  <c:v>105.62245237501075</c:v>
                </c:pt>
                <c:pt idx="799">
                  <c:v>106.84947175775761</c:v>
                </c:pt>
                <c:pt idx="800">
                  <c:v>107.62207803011434</c:v>
                </c:pt>
                <c:pt idx="801">
                  <c:v>107.4141086432081</c:v>
                </c:pt>
                <c:pt idx="802">
                  <c:v>107.38707262291028</c:v>
                </c:pt>
                <c:pt idx="803">
                  <c:v>107.21445803177808</c:v>
                </c:pt>
                <c:pt idx="804">
                  <c:v>107.66055236669199</c:v>
                </c:pt>
                <c:pt idx="805">
                  <c:v>107.36211629648153</c:v>
                </c:pt>
                <c:pt idx="806">
                  <c:v>107.23213542966514</c:v>
                </c:pt>
                <c:pt idx="807">
                  <c:v>107.97666583478949</c:v>
                </c:pt>
                <c:pt idx="808">
                  <c:v>107.92675318193199</c:v>
                </c:pt>
                <c:pt idx="809">
                  <c:v>107.91531486565215</c:v>
                </c:pt>
                <c:pt idx="810">
                  <c:v>107.91531486565215</c:v>
                </c:pt>
                <c:pt idx="811">
                  <c:v>108.26054404791651</c:v>
                </c:pt>
                <c:pt idx="812">
                  <c:v>108.68792113800886</c:v>
                </c:pt>
                <c:pt idx="813">
                  <c:v>108.70455868896137</c:v>
                </c:pt>
                <c:pt idx="814">
                  <c:v>109.3482239414362</c:v>
                </c:pt>
                <c:pt idx="815">
                  <c:v>108.79294567839652</c:v>
                </c:pt>
                <c:pt idx="816">
                  <c:v>109.00195491223731</c:v>
                </c:pt>
                <c:pt idx="817">
                  <c:v>108.59329506696653</c:v>
                </c:pt>
                <c:pt idx="818">
                  <c:v>109.17872889110761</c:v>
                </c:pt>
                <c:pt idx="819">
                  <c:v>108.65152649530027</c:v>
                </c:pt>
                <c:pt idx="820">
                  <c:v>108.4820314449717</c:v>
                </c:pt>
                <c:pt idx="821">
                  <c:v>109.79951751102278</c:v>
                </c:pt>
                <c:pt idx="822">
                  <c:v>109.84319108227309</c:v>
                </c:pt>
                <c:pt idx="823">
                  <c:v>109.50108144081231</c:v>
                </c:pt>
                <c:pt idx="824">
                  <c:v>108.71807669911028</c:v>
                </c:pt>
                <c:pt idx="825">
                  <c:v>107.84564512103856</c:v>
                </c:pt>
                <c:pt idx="826">
                  <c:v>107.32780134764201</c:v>
                </c:pt>
                <c:pt idx="827">
                  <c:v>108.43107894517965</c:v>
                </c:pt>
                <c:pt idx="828">
                  <c:v>108.2397471092259</c:v>
                </c:pt>
                <c:pt idx="829">
                  <c:v>107.47857915314903</c:v>
                </c:pt>
                <c:pt idx="830">
                  <c:v>107.0345645121042</c:v>
                </c:pt>
                <c:pt idx="831">
                  <c:v>106.99713002246108</c:v>
                </c:pt>
                <c:pt idx="832">
                  <c:v>106.03527160801967</c:v>
                </c:pt>
                <c:pt idx="833">
                  <c:v>106.27963563763451</c:v>
                </c:pt>
                <c:pt idx="834">
                  <c:v>106.85883038016841</c:v>
                </c:pt>
                <c:pt idx="835">
                  <c:v>106.60302803427373</c:v>
                </c:pt>
                <c:pt idx="836">
                  <c:v>106.17461109724685</c:v>
                </c:pt>
                <c:pt idx="837">
                  <c:v>106.37426170867685</c:v>
                </c:pt>
                <c:pt idx="838">
                  <c:v>105.87825472090546</c:v>
                </c:pt>
                <c:pt idx="839">
                  <c:v>106.25779885200937</c:v>
                </c:pt>
                <c:pt idx="840">
                  <c:v>105.84289992513141</c:v>
                </c:pt>
                <c:pt idx="841">
                  <c:v>105.30217951917516</c:v>
                </c:pt>
                <c:pt idx="842">
                  <c:v>105.59125696697484</c:v>
                </c:pt>
                <c:pt idx="843">
                  <c:v>105.56422094667703</c:v>
                </c:pt>
                <c:pt idx="844">
                  <c:v>105.79090757840481</c:v>
                </c:pt>
                <c:pt idx="845">
                  <c:v>106.32330920888481</c:v>
                </c:pt>
                <c:pt idx="846">
                  <c:v>105.94376507778091</c:v>
                </c:pt>
                <c:pt idx="847">
                  <c:v>105.20235421346014</c:v>
                </c:pt>
                <c:pt idx="848">
                  <c:v>104.71258630729592</c:v>
                </c:pt>
                <c:pt idx="849">
                  <c:v>105.27930288661544</c:v>
                </c:pt>
                <c:pt idx="850">
                  <c:v>105.85225854754216</c:v>
                </c:pt>
                <c:pt idx="851">
                  <c:v>105.49039181432528</c:v>
                </c:pt>
                <c:pt idx="852">
                  <c:v>105.71915813992216</c:v>
                </c:pt>
                <c:pt idx="853">
                  <c:v>105.61309375259997</c:v>
                </c:pt>
                <c:pt idx="854">
                  <c:v>105.59853589551653</c:v>
                </c:pt>
                <c:pt idx="855">
                  <c:v>105.10044921387605</c:v>
                </c:pt>
                <c:pt idx="856">
                  <c:v>105.64012977289777</c:v>
                </c:pt>
                <c:pt idx="857">
                  <c:v>105.23770900923418</c:v>
                </c:pt>
                <c:pt idx="858">
                  <c:v>105.28658181515715</c:v>
                </c:pt>
                <c:pt idx="859">
                  <c:v>105.44359870227137</c:v>
                </c:pt>
                <c:pt idx="860">
                  <c:v>105.98119956742401</c:v>
                </c:pt>
                <c:pt idx="861">
                  <c:v>105.77842941519042</c:v>
                </c:pt>
                <c:pt idx="862">
                  <c:v>105.14412278512636</c:v>
                </c:pt>
                <c:pt idx="863">
                  <c:v>105.21587222360901</c:v>
                </c:pt>
                <c:pt idx="864">
                  <c:v>105.02350054072073</c:v>
                </c:pt>
                <c:pt idx="865">
                  <c:v>105.18571666250762</c:v>
                </c:pt>
                <c:pt idx="866">
                  <c:v>105.43943931453325</c:v>
                </c:pt>
                <c:pt idx="867">
                  <c:v>105.30425921304419</c:v>
                </c:pt>
                <c:pt idx="868">
                  <c:v>105.93232676150106</c:v>
                </c:pt>
                <c:pt idx="869">
                  <c:v>106.59366941186293</c:v>
                </c:pt>
                <c:pt idx="870">
                  <c:v>106.34618584144449</c:v>
                </c:pt>
                <c:pt idx="871">
                  <c:v>106.48448548373715</c:v>
                </c:pt>
                <c:pt idx="872">
                  <c:v>106.8193161966562</c:v>
                </c:pt>
                <c:pt idx="873">
                  <c:v>107.57736461192948</c:v>
                </c:pt>
                <c:pt idx="874">
                  <c:v>107.18638216454573</c:v>
                </c:pt>
                <c:pt idx="875">
                  <c:v>107.18638216454573</c:v>
                </c:pt>
                <c:pt idx="876">
                  <c:v>107.5045753265123</c:v>
                </c:pt>
                <c:pt idx="877">
                  <c:v>107.93507195740823</c:v>
                </c:pt>
                <c:pt idx="878">
                  <c:v>108.32605440479196</c:v>
                </c:pt>
                <c:pt idx="879">
                  <c:v>108.28550037434525</c:v>
                </c:pt>
                <c:pt idx="880">
                  <c:v>108.28550037434525</c:v>
                </c:pt>
                <c:pt idx="881">
                  <c:v>108.22518925214243</c:v>
                </c:pt>
                <c:pt idx="882">
                  <c:v>108.39884369020915</c:v>
                </c:pt>
                <c:pt idx="883">
                  <c:v>107.62623741785244</c:v>
                </c:pt>
                <c:pt idx="884">
                  <c:v>108.0941685383915</c:v>
                </c:pt>
                <c:pt idx="885">
                  <c:v>108.077530987439</c:v>
                </c:pt>
                <c:pt idx="886">
                  <c:v>108.22102986440431</c:v>
                </c:pt>
                <c:pt idx="887">
                  <c:v>108.20127277264824</c:v>
                </c:pt>
                <c:pt idx="888">
                  <c:v>107.43282588802965</c:v>
                </c:pt>
                <c:pt idx="889">
                  <c:v>107.65847267282292</c:v>
                </c:pt>
                <c:pt idx="890">
                  <c:v>107.76037767240699</c:v>
                </c:pt>
                <c:pt idx="891">
                  <c:v>107.43490558189872</c:v>
                </c:pt>
                <c:pt idx="892">
                  <c:v>107.01688711421717</c:v>
                </c:pt>
                <c:pt idx="893">
                  <c:v>106.17669079111593</c:v>
                </c:pt>
                <c:pt idx="894">
                  <c:v>106.33266783129562</c:v>
                </c:pt>
                <c:pt idx="895">
                  <c:v>105.8959321187925</c:v>
                </c:pt>
                <c:pt idx="896">
                  <c:v>106.19436818900297</c:v>
                </c:pt>
                <c:pt idx="897">
                  <c:v>105.72747691539844</c:v>
                </c:pt>
                <c:pt idx="898">
                  <c:v>106.05814824057938</c:v>
                </c:pt>
                <c:pt idx="899">
                  <c:v>106.6279843607025</c:v>
                </c:pt>
                <c:pt idx="900">
                  <c:v>106.41169619832</c:v>
                </c:pt>
                <c:pt idx="901">
                  <c:v>106.19644788287204</c:v>
                </c:pt>
                <c:pt idx="902">
                  <c:v>106.6342234423097</c:v>
                </c:pt>
                <c:pt idx="903">
                  <c:v>107.11255303219407</c:v>
                </c:pt>
                <c:pt idx="904">
                  <c:v>106.67477747275643</c:v>
                </c:pt>
                <c:pt idx="905">
                  <c:v>106.74444721737002</c:v>
                </c:pt>
                <c:pt idx="906">
                  <c:v>106.74444721737004</c:v>
                </c:pt>
                <c:pt idx="907">
                  <c:v>107.14062889942645</c:v>
                </c:pt>
                <c:pt idx="908">
                  <c:v>106.96593461442521</c:v>
                </c:pt>
                <c:pt idx="909">
                  <c:v>106.01239497546005</c:v>
                </c:pt>
                <c:pt idx="910">
                  <c:v>105.69212211962441</c:v>
                </c:pt>
                <c:pt idx="911">
                  <c:v>105.44359870227146</c:v>
                </c:pt>
                <c:pt idx="912">
                  <c:v>104.18538391148864</c:v>
                </c:pt>
                <c:pt idx="913">
                  <c:v>103.41901672073912</c:v>
                </c:pt>
                <c:pt idx="914">
                  <c:v>103.57395391398427</c:v>
                </c:pt>
                <c:pt idx="915">
                  <c:v>103.49492554695989</c:v>
                </c:pt>
                <c:pt idx="916">
                  <c:v>103.59475085267489</c:v>
                </c:pt>
                <c:pt idx="917">
                  <c:v>103.97221528990973</c:v>
                </c:pt>
                <c:pt idx="918">
                  <c:v>104.60548207303925</c:v>
                </c:pt>
                <c:pt idx="919">
                  <c:v>104.81449130688004</c:v>
                </c:pt>
                <c:pt idx="920">
                  <c:v>105.11084768322144</c:v>
                </c:pt>
                <c:pt idx="921">
                  <c:v>105.12436569337035</c:v>
                </c:pt>
                <c:pt idx="922">
                  <c:v>104.64603610348597</c:v>
                </c:pt>
                <c:pt idx="923">
                  <c:v>105.59021712004034</c:v>
                </c:pt>
                <c:pt idx="924">
                  <c:v>105.43943931453332</c:v>
                </c:pt>
                <c:pt idx="925">
                  <c:v>105.67548456867192</c:v>
                </c:pt>
                <c:pt idx="926">
                  <c:v>106.15277431162174</c:v>
                </c:pt>
                <c:pt idx="927">
                  <c:v>106.46888777971924</c:v>
                </c:pt>
                <c:pt idx="928">
                  <c:v>106.42833374927251</c:v>
                </c:pt>
                <c:pt idx="929">
                  <c:v>105.89385242492345</c:v>
                </c:pt>
                <c:pt idx="930">
                  <c:v>105.91984859828673</c:v>
                </c:pt>
                <c:pt idx="931">
                  <c:v>106.41793527992719</c:v>
                </c:pt>
                <c:pt idx="932">
                  <c:v>106.38881956576031</c:v>
                </c:pt>
                <c:pt idx="933">
                  <c:v>106.44601114715954</c:v>
                </c:pt>
                <c:pt idx="934">
                  <c:v>106.78084186007858</c:v>
                </c:pt>
                <c:pt idx="935">
                  <c:v>107.16454537892064</c:v>
                </c:pt>
                <c:pt idx="936">
                  <c:v>107.20301971549827</c:v>
                </c:pt>
                <c:pt idx="937">
                  <c:v>107.43594542883328</c:v>
                </c:pt>
                <c:pt idx="938">
                  <c:v>107.59296231594749</c:v>
                </c:pt>
                <c:pt idx="939">
                  <c:v>107.39123201064844</c:v>
                </c:pt>
                <c:pt idx="940">
                  <c:v>107.31844272523126</c:v>
                </c:pt>
                <c:pt idx="941">
                  <c:v>107.5960818567511</c:v>
                </c:pt>
                <c:pt idx="942">
                  <c:v>107.45050328591672</c:v>
                </c:pt>
                <c:pt idx="943">
                  <c:v>108.05985358955202</c:v>
                </c:pt>
                <c:pt idx="944">
                  <c:v>108.15759920139797</c:v>
                </c:pt>
                <c:pt idx="945">
                  <c:v>108.13576241577282</c:v>
                </c:pt>
                <c:pt idx="946">
                  <c:v>107.59400216288205</c:v>
                </c:pt>
                <c:pt idx="947">
                  <c:v>107.20094002162924</c:v>
                </c:pt>
                <c:pt idx="948">
                  <c:v>107.71462440728767</c:v>
                </c:pt>
                <c:pt idx="949">
                  <c:v>108.34269195574454</c:v>
                </c:pt>
                <c:pt idx="950">
                  <c:v>108.34269195574454</c:v>
                </c:pt>
                <c:pt idx="951">
                  <c:v>108.93748440229642</c:v>
                </c:pt>
                <c:pt idx="952">
                  <c:v>108.99779552449922</c:v>
                </c:pt>
                <c:pt idx="953">
                  <c:v>109.21304383994719</c:v>
                </c:pt>
                <c:pt idx="954">
                  <c:v>109.25255802345937</c:v>
                </c:pt>
                <c:pt idx="955">
                  <c:v>108.70455868896141</c:v>
                </c:pt>
                <c:pt idx="956">
                  <c:v>108.86157557607562</c:v>
                </c:pt>
                <c:pt idx="957">
                  <c:v>108.92292654521296</c:v>
                </c:pt>
                <c:pt idx="958">
                  <c:v>109.59466766492015</c:v>
                </c:pt>
                <c:pt idx="959">
                  <c:v>109.52187837950298</c:v>
                </c:pt>
                <c:pt idx="960">
                  <c:v>109.48756343066346</c:v>
                </c:pt>
                <c:pt idx="961">
                  <c:v>109.00923384077907</c:v>
                </c:pt>
                <c:pt idx="962">
                  <c:v>108.9634805756597</c:v>
                </c:pt>
                <c:pt idx="963">
                  <c:v>109.22968139089969</c:v>
                </c:pt>
                <c:pt idx="964">
                  <c:v>109.45428832875845</c:v>
                </c:pt>
                <c:pt idx="965">
                  <c:v>109.90142251060688</c:v>
                </c:pt>
                <c:pt idx="966">
                  <c:v>110.15098577489438</c:v>
                </c:pt>
                <c:pt idx="967">
                  <c:v>110.60435903834998</c:v>
                </c:pt>
                <c:pt idx="968">
                  <c:v>110.15410531569798</c:v>
                </c:pt>
                <c:pt idx="969">
                  <c:v>110.03140337742329</c:v>
                </c:pt>
                <c:pt idx="970">
                  <c:v>110.85392230263749</c:v>
                </c:pt>
                <c:pt idx="971">
                  <c:v>110.97142500623951</c:v>
                </c:pt>
                <c:pt idx="972">
                  <c:v>110.77489393561312</c:v>
                </c:pt>
                <c:pt idx="973">
                  <c:v>110.29136511105608</c:v>
                </c:pt>
                <c:pt idx="974">
                  <c:v>109.9991681224528</c:v>
                </c:pt>
                <c:pt idx="975">
                  <c:v>110.02724398968515</c:v>
                </c:pt>
                <c:pt idx="976">
                  <c:v>109.76312286831421</c:v>
                </c:pt>
                <c:pt idx="977">
                  <c:v>109.77560103152859</c:v>
                </c:pt>
                <c:pt idx="978">
                  <c:v>110.60539888528453</c:v>
                </c:pt>
                <c:pt idx="979">
                  <c:v>110.67506862989812</c:v>
                </c:pt>
                <c:pt idx="980">
                  <c:v>110.25912985608564</c:v>
                </c:pt>
                <c:pt idx="981">
                  <c:v>110.27160801930002</c:v>
                </c:pt>
                <c:pt idx="982">
                  <c:v>110.59188087513563</c:v>
                </c:pt>
                <c:pt idx="983">
                  <c:v>110.27160801930002</c:v>
                </c:pt>
                <c:pt idx="984">
                  <c:v>110.2112968970972</c:v>
                </c:pt>
                <c:pt idx="985">
                  <c:v>109.53123700191377</c:v>
                </c:pt>
                <c:pt idx="986">
                  <c:v>110.30696281507406</c:v>
                </c:pt>
                <c:pt idx="987">
                  <c:v>110.58980118126657</c:v>
                </c:pt>
                <c:pt idx="988">
                  <c:v>110.66259046668374</c:v>
                </c:pt>
                <c:pt idx="989">
                  <c:v>110.61891689543343</c:v>
                </c:pt>
                <c:pt idx="990">
                  <c:v>110.15514516263249</c:v>
                </c:pt>
                <c:pt idx="991">
                  <c:v>110.73745944596999</c:v>
                </c:pt>
                <c:pt idx="992">
                  <c:v>110.9672656185014</c:v>
                </c:pt>
                <c:pt idx="993">
                  <c:v>110.19985858081735</c:v>
                </c:pt>
                <c:pt idx="994">
                  <c:v>109.03730970801142</c:v>
                </c:pt>
                <c:pt idx="995">
                  <c:v>109.23176108476878</c:v>
                </c:pt>
                <c:pt idx="996">
                  <c:v>109.57179103236049</c:v>
                </c:pt>
                <c:pt idx="997">
                  <c:v>109.64977955245033</c:v>
                </c:pt>
                <c:pt idx="998">
                  <c:v>109.9950087347147</c:v>
                </c:pt>
                <c:pt idx="999">
                  <c:v>109.93781715331548</c:v>
                </c:pt>
                <c:pt idx="1000">
                  <c:v>109.70697113384955</c:v>
                </c:pt>
                <c:pt idx="1001">
                  <c:v>108.04737542633768</c:v>
                </c:pt>
                <c:pt idx="1002">
                  <c:v>108.41964062889987</c:v>
                </c:pt>
                <c:pt idx="1003">
                  <c:v>108.38636552699487</c:v>
                </c:pt>
                <c:pt idx="1004">
                  <c:v>107.93091256967018</c:v>
                </c:pt>
                <c:pt idx="1005">
                  <c:v>107.43386573496424</c:v>
                </c:pt>
                <c:pt idx="1006">
                  <c:v>107.57112553032238</c:v>
                </c:pt>
                <c:pt idx="1007">
                  <c:v>107.96210797770613</c:v>
                </c:pt>
                <c:pt idx="1008">
                  <c:v>107.96210797770613</c:v>
                </c:pt>
                <c:pt idx="1009">
                  <c:v>107.42034772481536</c:v>
                </c:pt>
                <c:pt idx="1010">
                  <c:v>107.21341818484365</c:v>
                </c:pt>
                <c:pt idx="1011">
                  <c:v>106.73924798269741</c:v>
                </c:pt>
                <c:pt idx="1012">
                  <c:v>106.76732384992974</c:v>
                </c:pt>
                <c:pt idx="1013">
                  <c:v>107.54928874469722</c:v>
                </c:pt>
                <c:pt idx="1014">
                  <c:v>107.3122036436241</c:v>
                </c:pt>
                <c:pt idx="1015">
                  <c:v>107.77701522335956</c:v>
                </c:pt>
                <c:pt idx="1016">
                  <c:v>108.13888195657643</c:v>
                </c:pt>
                <c:pt idx="1017">
                  <c:v>108.25638466017845</c:v>
                </c:pt>
                <c:pt idx="1018">
                  <c:v>107.62831711172159</c:v>
                </c:pt>
                <c:pt idx="1019">
                  <c:v>108.12640379336206</c:v>
                </c:pt>
                <c:pt idx="1020">
                  <c:v>108.21063139505908</c:v>
                </c:pt>
                <c:pt idx="1021">
                  <c:v>107.97666583478956</c:v>
                </c:pt>
                <c:pt idx="1022">
                  <c:v>106.94617752266909</c:v>
                </c:pt>
                <c:pt idx="1023">
                  <c:v>106.00199650611471</c:v>
                </c:pt>
                <c:pt idx="1024">
                  <c:v>106.6342234423097</c:v>
                </c:pt>
                <c:pt idx="1025">
                  <c:v>106.62174527909534</c:v>
                </c:pt>
                <c:pt idx="1026">
                  <c:v>105.85225854754222</c:v>
                </c:pt>
                <c:pt idx="1027">
                  <c:v>106.10598119956785</c:v>
                </c:pt>
                <c:pt idx="1028">
                  <c:v>105.52158722236128</c:v>
                </c:pt>
                <c:pt idx="1029">
                  <c:v>105.3760086515269</c:v>
                </c:pt>
                <c:pt idx="1030">
                  <c:v>105.13268446884659</c:v>
                </c:pt>
                <c:pt idx="1031">
                  <c:v>104.66475334830754</c:v>
                </c:pt>
                <c:pt idx="1032">
                  <c:v>104.93407370435112</c:v>
                </c:pt>
                <c:pt idx="1033">
                  <c:v>105.05469594875674</c:v>
                </c:pt>
                <c:pt idx="1034">
                  <c:v>105.95104400632269</c:v>
                </c:pt>
                <c:pt idx="1035">
                  <c:v>106.26715747442016</c:v>
                </c:pt>
                <c:pt idx="1036">
                  <c:v>106.2047666583483</c:v>
                </c:pt>
                <c:pt idx="1037">
                  <c:v>106.19852757674113</c:v>
                </c:pt>
                <c:pt idx="1038">
                  <c:v>105.98951834290035</c:v>
                </c:pt>
                <c:pt idx="1039">
                  <c:v>106.35970385159348</c:v>
                </c:pt>
                <c:pt idx="1040">
                  <c:v>106.1475750769491</c:v>
                </c:pt>
                <c:pt idx="1041">
                  <c:v>106.08934364861535</c:v>
                </c:pt>
                <c:pt idx="1042">
                  <c:v>106.22140420930083</c:v>
                </c:pt>
                <c:pt idx="1043">
                  <c:v>106.22140420930083</c:v>
                </c:pt>
                <c:pt idx="1044">
                  <c:v>107.22069711338536</c:v>
                </c:pt>
                <c:pt idx="1045">
                  <c:v>107.31844272523131</c:v>
                </c:pt>
                <c:pt idx="1046">
                  <c:v>107.42866650029163</c:v>
                </c:pt>
                <c:pt idx="1047">
                  <c:v>107.17598369520054</c:v>
                </c:pt>
                <c:pt idx="1048">
                  <c:v>107.22693619499256</c:v>
                </c:pt>
                <c:pt idx="1049">
                  <c:v>107.52225272439945</c:v>
                </c:pt>
                <c:pt idx="1050">
                  <c:v>107.1447882871646</c:v>
                </c:pt>
                <c:pt idx="1051">
                  <c:v>107.48897762249445</c:v>
                </c:pt>
                <c:pt idx="1052">
                  <c:v>107.34755843939818</c:v>
                </c:pt>
                <c:pt idx="1053">
                  <c:v>107.54200981615554</c:v>
                </c:pt>
                <c:pt idx="1054">
                  <c:v>107.32780134764209</c:v>
                </c:pt>
                <c:pt idx="1055">
                  <c:v>107.19678063389117</c:v>
                </c:pt>
                <c:pt idx="1056">
                  <c:v>106.9711338490979</c:v>
                </c:pt>
                <c:pt idx="1057">
                  <c:v>107.91635471258681</c:v>
                </c:pt>
                <c:pt idx="1058">
                  <c:v>108.47579236336462</c:v>
                </c:pt>
                <c:pt idx="1059">
                  <c:v>108.21479078279728</c:v>
                </c:pt>
                <c:pt idx="1060">
                  <c:v>108.05777389568307</c:v>
                </c:pt>
                <c:pt idx="1061">
                  <c:v>108.18255552782682</c:v>
                </c:pt>
                <c:pt idx="1062">
                  <c:v>108.13680226270743</c:v>
                </c:pt>
                <c:pt idx="1063">
                  <c:v>108.19295399717213</c:v>
                </c:pt>
                <c:pt idx="1064">
                  <c:v>109.02795108560071</c:v>
                </c:pt>
                <c:pt idx="1065">
                  <c:v>108.78046751518227</c:v>
                </c:pt>
                <c:pt idx="1066">
                  <c:v>108.3520505781554</c:v>
                </c:pt>
                <c:pt idx="1067">
                  <c:v>108.33333333333384</c:v>
                </c:pt>
                <c:pt idx="1068">
                  <c:v>108.33333333333384</c:v>
                </c:pt>
                <c:pt idx="1069">
                  <c:v>108.12120455868946</c:v>
                </c:pt>
                <c:pt idx="1070">
                  <c:v>108.0525746610104</c:v>
                </c:pt>
                <c:pt idx="1071">
                  <c:v>108.01410032443273</c:v>
                </c:pt>
                <c:pt idx="1072">
                  <c:v>107.99746277348024</c:v>
                </c:pt>
                <c:pt idx="1073">
                  <c:v>107.88515930455087</c:v>
                </c:pt>
                <c:pt idx="1074">
                  <c:v>107.89347808002711</c:v>
                </c:pt>
                <c:pt idx="1075">
                  <c:v>108.04425588553414</c:v>
                </c:pt>
                <c:pt idx="1076">
                  <c:v>108.24598619083321</c:v>
                </c:pt>
                <c:pt idx="1077">
                  <c:v>107.93507195740838</c:v>
                </c:pt>
                <c:pt idx="1078">
                  <c:v>107.91323517178323</c:v>
                </c:pt>
                <c:pt idx="1079">
                  <c:v>107.88723899841995</c:v>
                </c:pt>
                <c:pt idx="1080">
                  <c:v>107.43802512270244</c:v>
                </c:pt>
                <c:pt idx="1081">
                  <c:v>106.86714915564481</c:v>
                </c:pt>
                <c:pt idx="1082">
                  <c:v>106.77980201314418</c:v>
                </c:pt>
                <c:pt idx="1083">
                  <c:v>106.95033691040732</c:v>
                </c:pt>
                <c:pt idx="1084">
                  <c:v>107.03560435903887</c:v>
                </c:pt>
                <c:pt idx="1085">
                  <c:v>106.86091007403763</c:v>
                </c:pt>
                <c:pt idx="1086">
                  <c:v>107.45986190832762</c:v>
                </c:pt>
                <c:pt idx="1087">
                  <c:v>107.53473088761388</c:v>
                </c:pt>
                <c:pt idx="1088">
                  <c:v>107.58360369353684</c:v>
                </c:pt>
                <c:pt idx="1089">
                  <c:v>107.60752017303105</c:v>
                </c:pt>
                <c:pt idx="1090">
                  <c:v>107.15206721570638</c:v>
                </c:pt>
                <c:pt idx="1091">
                  <c:v>107.79677231511573</c:v>
                </c:pt>
                <c:pt idx="1092">
                  <c:v>108.32813409866121</c:v>
                </c:pt>
                <c:pt idx="1093">
                  <c:v>108.0754512935701</c:v>
                </c:pt>
                <c:pt idx="1094">
                  <c:v>108.13472256883837</c:v>
                </c:pt>
                <c:pt idx="1095">
                  <c:v>108.21063139505915</c:v>
                </c:pt>
                <c:pt idx="1096">
                  <c:v>108.42380001663808</c:v>
                </c:pt>
                <c:pt idx="1097">
                  <c:v>108.93852424923104</c:v>
                </c:pt>
                <c:pt idx="1098">
                  <c:v>108.72847516845573</c:v>
                </c:pt>
                <c:pt idx="1099">
                  <c:v>108.14096165044558</c:v>
                </c:pt>
                <c:pt idx="1100">
                  <c:v>108.03073787538527</c:v>
                </c:pt>
                <c:pt idx="1101">
                  <c:v>108.21791032360089</c:v>
                </c:pt>
                <c:pt idx="1102">
                  <c:v>108.04217619166511</c:v>
                </c:pt>
                <c:pt idx="1103">
                  <c:v>108.06297313035572</c:v>
                </c:pt>
                <c:pt idx="1104">
                  <c:v>109.21616338075087</c:v>
                </c:pt>
                <c:pt idx="1105">
                  <c:v>109.25047832959039</c:v>
                </c:pt>
                <c:pt idx="1106">
                  <c:v>110.04908077531039</c:v>
                </c:pt>
                <c:pt idx="1107">
                  <c:v>110.22169536644257</c:v>
                </c:pt>
                <c:pt idx="1108">
                  <c:v>110.29136511105617</c:v>
                </c:pt>
                <c:pt idx="1109">
                  <c:v>109.97837118376226</c:v>
                </c:pt>
                <c:pt idx="1110">
                  <c:v>110.20505781549008</c:v>
                </c:pt>
                <c:pt idx="1111">
                  <c:v>110.20713750935913</c:v>
                </c:pt>
                <c:pt idx="1112">
                  <c:v>110.13330837700742</c:v>
                </c:pt>
                <c:pt idx="1113">
                  <c:v>109.70905082771867</c:v>
                </c:pt>
                <c:pt idx="1114">
                  <c:v>109.91182097995227</c:v>
                </c:pt>
                <c:pt idx="1115">
                  <c:v>109.65289909325398</c:v>
                </c:pt>
                <c:pt idx="1116">
                  <c:v>110.01996506114351</c:v>
                </c:pt>
                <c:pt idx="1117">
                  <c:v>109.64977955245037</c:v>
                </c:pt>
                <c:pt idx="1118">
                  <c:v>110.32775975376474</c:v>
                </c:pt>
                <c:pt idx="1119">
                  <c:v>109.836952000666</c:v>
                </c:pt>
                <c:pt idx="1120">
                  <c:v>109.36902088012694</c:v>
                </c:pt>
                <c:pt idx="1121">
                  <c:v>109.09866067714883</c:v>
                </c:pt>
                <c:pt idx="1122">
                  <c:v>109.09970052408336</c:v>
                </c:pt>
                <c:pt idx="1123">
                  <c:v>109.49588220613977</c:v>
                </c:pt>
                <c:pt idx="1124">
                  <c:v>109.62690291989071</c:v>
                </c:pt>
                <c:pt idx="1125">
                  <c:v>109.29207220697165</c:v>
                </c:pt>
                <c:pt idx="1126">
                  <c:v>109.36590133932337</c:v>
                </c:pt>
                <c:pt idx="1127">
                  <c:v>109.29103236003711</c:v>
                </c:pt>
                <c:pt idx="1128">
                  <c:v>109.07162465685101</c:v>
                </c:pt>
                <c:pt idx="1129">
                  <c:v>108.36452874136978</c:v>
                </c:pt>
                <c:pt idx="1130">
                  <c:v>108.50282838366243</c:v>
                </c:pt>
                <c:pt idx="1131">
                  <c:v>108.48723067964445</c:v>
                </c:pt>
                <c:pt idx="1132">
                  <c:v>108.62241078113351</c:v>
                </c:pt>
                <c:pt idx="1133">
                  <c:v>108.72223608684853</c:v>
                </c:pt>
                <c:pt idx="1134">
                  <c:v>109.01339322851729</c:v>
                </c:pt>
                <c:pt idx="1135">
                  <c:v>109.22136261542354</c:v>
                </c:pt>
                <c:pt idx="1136">
                  <c:v>108.80750353548011</c:v>
                </c:pt>
                <c:pt idx="1137">
                  <c:v>108.80750353548011</c:v>
                </c:pt>
                <c:pt idx="1138">
                  <c:v>108.70455868896151</c:v>
                </c:pt>
                <c:pt idx="1139">
                  <c:v>109.21928292155448</c:v>
                </c:pt>
                <c:pt idx="1140">
                  <c:v>108.82830047417072</c:v>
                </c:pt>
                <c:pt idx="1141">
                  <c:v>108.79606521920024</c:v>
                </c:pt>
                <c:pt idx="1142">
                  <c:v>108.2251892521426</c:v>
                </c:pt>
                <c:pt idx="1143">
                  <c:v>108.19711338491025</c:v>
                </c:pt>
                <c:pt idx="1144">
                  <c:v>108.37388736378057</c:v>
                </c:pt>
                <c:pt idx="1145">
                  <c:v>108.20335246651743</c:v>
                </c:pt>
                <c:pt idx="1146">
                  <c:v>109.03315032027336</c:v>
                </c:pt>
                <c:pt idx="1147">
                  <c:v>109.30039098244788</c:v>
                </c:pt>
                <c:pt idx="1148">
                  <c:v>109.39085766575211</c:v>
                </c:pt>
                <c:pt idx="1149">
                  <c:v>108.78358705598586</c:v>
                </c:pt>
                <c:pt idx="1150">
                  <c:v>109.37837950253774</c:v>
                </c:pt>
                <c:pt idx="1151">
                  <c:v>109.75064470509993</c:v>
                </c:pt>
                <c:pt idx="1152">
                  <c:v>109.77040179685601</c:v>
                </c:pt>
                <c:pt idx="1153">
                  <c:v>109.05498710589852</c:v>
                </c:pt>
                <c:pt idx="1154">
                  <c:v>109.05498710589852</c:v>
                </c:pt>
                <c:pt idx="1155">
                  <c:v>109.41997337991899</c:v>
                </c:pt>
                <c:pt idx="1156">
                  <c:v>109.64458031777774</c:v>
                </c:pt>
              </c:numCache>
            </c:numRef>
          </c:val>
          <c:smooth val="0"/>
          <c:extLst>
            <c:ext xmlns:c16="http://schemas.microsoft.com/office/drawing/2014/chart" uri="{C3380CC4-5D6E-409C-BE32-E72D297353CC}">
              <c16:uniqueId val="{00000003-9550-444B-8B2D-F311323001EA}"/>
            </c:ext>
          </c:extLst>
        </c:ser>
        <c:dLbls>
          <c:showLegendKey val="0"/>
          <c:showVal val="0"/>
          <c:showCatName val="0"/>
          <c:showSerName val="0"/>
          <c:showPercent val="0"/>
          <c:showBubbleSize val="0"/>
        </c:dLbls>
        <c:smooth val="0"/>
        <c:axId val="1701959712"/>
        <c:axId val="1701944480"/>
      </c:lineChart>
      <c:dateAx>
        <c:axId val="1701959712"/>
        <c:scaling>
          <c:orientation val="minMax"/>
        </c:scaling>
        <c:delete val="0"/>
        <c:axPos val="b"/>
        <c:numFmt formatCode="m\/d\/yy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1944480"/>
        <c:crosses val="autoZero"/>
        <c:auto val="1"/>
        <c:lblOffset val="100"/>
        <c:baseTimeUnit val="days"/>
      </c:dateAx>
      <c:valAx>
        <c:axId val="1701944480"/>
        <c:scaling>
          <c:orientation val="minMax"/>
          <c:max val="230"/>
          <c:min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baseline="0">
                    <a:effectLst/>
                  </a:rPr>
                  <a:t>Ինդեքս՝ </a:t>
                </a:r>
                <a:r>
                  <a:rPr lang="en-US" sz="800" b="0" i="0" u="none" strike="noStrike" baseline="0">
                    <a:effectLst/>
                  </a:rPr>
                  <a:t>2020</a:t>
                </a:r>
                <a:r>
                  <a:rPr lang="hy-AM" sz="800" b="0" i="0" u="none" strike="noStrike" baseline="0">
                    <a:effectLst/>
                  </a:rPr>
                  <a:t> թ. հունվարի </a:t>
                </a:r>
                <a:r>
                  <a:rPr lang="en-US" sz="800" b="0" i="0" u="none" strike="noStrike" baseline="0">
                    <a:effectLst/>
                  </a:rPr>
                  <a:t>2</a:t>
                </a:r>
                <a:r>
                  <a:rPr lang="hy-AM" sz="800" b="0" i="0" u="none" strike="noStrike" baseline="0">
                    <a:effectLst/>
                  </a:rPr>
                  <a:t>=100</a:t>
                </a:r>
                <a:endParaRPr lang="en-US" sz="800"/>
              </a:p>
            </c:rich>
          </c:tx>
          <c:layout>
            <c:manualLayout>
              <c:xMode val="edge"/>
              <c:yMode val="edge"/>
              <c:x val="7.751937984496143E-3"/>
              <c:y val="8.4670206921809224E-2"/>
            </c:manualLayout>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1959712"/>
        <c:crosses val="autoZero"/>
        <c:crossBetween val="between"/>
      </c:valAx>
      <c:spPr>
        <a:noFill/>
        <a:ln>
          <a:noFill/>
        </a:ln>
        <a:effectLst/>
      </c:spPr>
    </c:plotArea>
    <c:legend>
      <c:legendPos val="b"/>
      <c:layout>
        <c:manualLayout>
          <c:xMode val="edge"/>
          <c:yMode val="edge"/>
          <c:x val="0"/>
          <c:y val="0.8741543909882078"/>
          <c:w val="1"/>
          <c:h val="0.125845609011792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y-AM"/>
              <a:t>Ֆինանսական շուկայի տոկոսադրույքների միտումները, </a:t>
            </a:r>
            <a:r>
              <a:rPr lang="en-US"/>
              <a:t>%</a:t>
            </a:r>
          </a:p>
        </c:rich>
      </c:tx>
      <c:layout>
        <c:manualLayout>
          <c:xMode val="edge"/>
          <c:yMode val="edge"/>
          <c:x val="0.1060351151758204"/>
          <c:y val="1.2903225806451613E-2"/>
        </c:manualLayout>
      </c:layout>
      <c:overlay val="0"/>
    </c:title>
    <c:autoTitleDeleted val="0"/>
    <c:plotArea>
      <c:layout>
        <c:manualLayout>
          <c:layoutTarget val="inner"/>
          <c:xMode val="edge"/>
          <c:yMode val="edge"/>
          <c:x val="5.8833111477111205E-2"/>
          <c:y val="0.14663313859961052"/>
          <c:w val="0.87373013155964196"/>
          <c:h val="0.37484853103039545"/>
        </c:manualLayout>
      </c:layout>
      <c:lineChart>
        <c:grouping val="standard"/>
        <c:varyColors val="0"/>
        <c:ser>
          <c:idx val="1"/>
          <c:order val="1"/>
          <c:tx>
            <c:strRef>
              <c:f>Sheet1!$E$1</c:f>
              <c:strCache>
                <c:ptCount val="1"/>
                <c:pt idx="0">
                  <c:v>Պետական պարտատոմսեր, 1տ․</c:v>
                </c:pt>
              </c:strCache>
            </c:strRef>
          </c:tx>
          <c:spPr>
            <a:ln w="12700" cap="rnd">
              <a:solidFill>
                <a:srgbClr val="ED7D31"/>
              </a:solidFill>
              <a:prstDash val="solid"/>
              <a:round/>
            </a:ln>
            <a:effectLst/>
          </c:spPr>
          <c:marker>
            <c:symbol val="none"/>
          </c:marker>
          <c:cat>
            <c:multiLvlStrRef>
              <c:f>Sheet1!$A$16:$B$67</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Sheet1!$E$2:$E$67</c:f>
              <c:numCache>
                <c:formatCode>0.0</c:formatCode>
                <c:ptCount val="14"/>
                <c:pt idx="0">
                  <c:v>6.8712428571428568</c:v>
                </c:pt>
                <c:pt idx="1">
                  <c:v>7.3503850130953534</c:v>
                </c:pt>
                <c:pt idx="2">
                  <c:v>8.4334571428571437</c:v>
                </c:pt>
                <c:pt idx="3">
                  <c:v>9.0296000000000003</c:v>
                </c:pt>
                <c:pt idx="4">
                  <c:v>9.6898681818181824</c:v>
                </c:pt>
                <c:pt idx="5">
                  <c:v>10.307509090909091</c:v>
                </c:pt>
                <c:pt idx="6">
                  <c:v>10.583795238095238</c:v>
                </c:pt>
                <c:pt idx="7">
                  <c:v>11.7258</c:v>
                </c:pt>
                <c:pt idx="8">
                  <c:v>11.59599090909091</c:v>
                </c:pt>
                <c:pt idx="9">
                  <c:v>11.119063636363636</c:v>
                </c:pt>
                <c:pt idx="10">
                  <c:v>10.312649999999998</c:v>
                </c:pt>
                <c:pt idx="11">
                  <c:v>10.537519047619048</c:v>
                </c:pt>
                <c:pt idx="12">
                  <c:v>9.6918150000000018</c:v>
                </c:pt>
                <c:pt idx="13">
                  <c:v>9.4342949999999988</c:v>
                </c:pt>
              </c:numCache>
            </c:numRef>
          </c:val>
          <c:smooth val="0"/>
          <c:extLst>
            <c:ext xmlns:c16="http://schemas.microsoft.com/office/drawing/2014/chart" uri="{C3380CC4-5D6E-409C-BE32-E72D297353CC}">
              <c16:uniqueId val="{00000000-5647-413E-8B74-D0E0A1E506DF}"/>
            </c:ext>
          </c:extLst>
        </c:ser>
        <c:ser>
          <c:idx val="2"/>
          <c:order val="2"/>
          <c:tx>
            <c:strRef>
              <c:f>Sheet1!$F$1</c:f>
              <c:strCache>
                <c:ptCount val="1"/>
                <c:pt idx="0">
                  <c:v>Պետական պարտատոմսեր, 10տ․</c:v>
                </c:pt>
              </c:strCache>
            </c:strRef>
          </c:tx>
          <c:spPr>
            <a:ln w="12700" cap="rnd">
              <a:solidFill>
                <a:srgbClr val="A5A5A5"/>
              </a:solidFill>
              <a:round/>
            </a:ln>
            <a:effectLst/>
          </c:spPr>
          <c:marker>
            <c:symbol val="none"/>
          </c:marker>
          <c:cat>
            <c:multiLvlStrRef>
              <c:f>Sheet1!$A$16:$B$67</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Sheet1!$F$2:$F$67</c:f>
              <c:numCache>
                <c:formatCode>0.0</c:formatCode>
                <c:ptCount val="14"/>
                <c:pt idx="0">
                  <c:v>8.8150272727272725</c:v>
                </c:pt>
                <c:pt idx="1">
                  <c:v>9.0018772727272722</c:v>
                </c:pt>
                <c:pt idx="2">
                  <c:v>10.014661904761903</c:v>
                </c:pt>
                <c:pt idx="3">
                  <c:v>10.023227272727274</c:v>
                </c:pt>
                <c:pt idx="4">
                  <c:v>10.728454545454547</c:v>
                </c:pt>
                <c:pt idx="5">
                  <c:v>11.198654545454545</c:v>
                </c:pt>
                <c:pt idx="6">
                  <c:v>11.536523809523809</c:v>
                </c:pt>
                <c:pt idx="7">
                  <c:v>11.9946</c:v>
                </c:pt>
                <c:pt idx="8">
                  <c:v>11.654004545454546</c:v>
                </c:pt>
                <c:pt idx="9">
                  <c:v>10.890645454545453</c:v>
                </c:pt>
                <c:pt idx="10">
                  <c:v>10.219114999999999</c:v>
                </c:pt>
                <c:pt idx="11">
                  <c:v>10.752557142857144</c:v>
                </c:pt>
                <c:pt idx="12">
                  <c:v>9.7728300000000008</c:v>
                </c:pt>
                <c:pt idx="13">
                  <c:v>9.6871050000000007</c:v>
                </c:pt>
              </c:numCache>
            </c:numRef>
          </c:val>
          <c:smooth val="0"/>
          <c:extLst>
            <c:ext xmlns:c16="http://schemas.microsoft.com/office/drawing/2014/chart" uri="{C3380CC4-5D6E-409C-BE32-E72D297353CC}">
              <c16:uniqueId val="{00000001-5647-413E-8B74-D0E0A1E506DF}"/>
            </c:ext>
          </c:extLst>
        </c:ser>
        <c:ser>
          <c:idx val="3"/>
          <c:order val="3"/>
          <c:tx>
            <c:strRef>
              <c:f>Sheet1!$G$1</c:f>
              <c:strCache>
                <c:ptCount val="1"/>
                <c:pt idx="0">
                  <c:v>Վարկեր, մինչև 1 տ․</c:v>
                </c:pt>
              </c:strCache>
            </c:strRef>
          </c:tx>
          <c:spPr>
            <a:ln w="12700" cap="rnd">
              <a:solidFill>
                <a:srgbClr val="FFC000"/>
              </a:solidFill>
              <a:round/>
            </a:ln>
            <a:effectLst/>
          </c:spPr>
          <c:marker>
            <c:symbol val="none"/>
          </c:marker>
          <c:cat>
            <c:multiLvlStrRef>
              <c:f>Sheet1!$A$16:$B$67</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Sheet1!$G$2:$G$67</c:f>
              <c:numCache>
                <c:formatCode>0.0</c:formatCode>
                <c:ptCount val="14"/>
                <c:pt idx="0">
                  <c:v>11.961990666081375</c:v>
                </c:pt>
                <c:pt idx="1">
                  <c:v>10.411636000567436</c:v>
                </c:pt>
                <c:pt idx="2">
                  <c:v>12.208102534160609</c:v>
                </c:pt>
                <c:pt idx="3">
                  <c:v>12.277436640171302</c:v>
                </c:pt>
                <c:pt idx="4">
                  <c:v>12.491087907189435</c:v>
                </c:pt>
                <c:pt idx="5">
                  <c:v>11.274733470496635</c:v>
                </c:pt>
                <c:pt idx="6">
                  <c:v>11.773619839763745</c:v>
                </c:pt>
                <c:pt idx="7">
                  <c:v>12.026777148567596</c:v>
                </c:pt>
                <c:pt idx="8">
                  <c:v>12.280686192171711</c:v>
                </c:pt>
                <c:pt idx="9">
                  <c:v>12.139632381709292</c:v>
                </c:pt>
                <c:pt idx="10">
                  <c:v>12.732583194951411</c:v>
                </c:pt>
                <c:pt idx="11">
                  <c:v>12.501984365787607</c:v>
                </c:pt>
                <c:pt idx="12">
                  <c:v>12.283746075334658</c:v>
                </c:pt>
                <c:pt idx="13">
                  <c:v>12.859224711990501</c:v>
                </c:pt>
              </c:numCache>
            </c:numRef>
          </c:val>
          <c:smooth val="0"/>
          <c:extLst>
            <c:ext xmlns:c16="http://schemas.microsoft.com/office/drawing/2014/chart" uri="{C3380CC4-5D6E-409C-BE32-E72D297353CC}">
              <c16:uniqueId val="{00000002-5647-413E-8B74-D0E0A1E506DF}"/>
            </c:ext>
          </c:extLst>
        </c:ser>
        <c:ser>
          <c:idx val="4"/>
          <c:order val="4"/>
          <c:tx>
            <c:strRef>
              <c:f>Sheet1!$H$1</c:f>
              <c:strCache>
                <c:ptCount val="1"/>
                <c:pt idx="0">
                  <c:v>Ավանդներ, մինչև 1տ․</c:v>
                </c:pt>
              </c:strCache>
            </c:strRef>
          </c:tx>
          <c:spPr>
            <a:ln w="12700" cap="rnd">
              <a:solidFill>
                <a:srgbClr val="4472C4">
                  <a:lumMod val="50000"/>
                </a:srgbClr>
              </a:solidFill>
              <a:round/>
            </a:ln>
            <a:effectLst/>
          </c:spPr>
          <c:marker>
            <c:symbol val="none"/>
          </c:marker>
          <c:cat>
            <c:multiLvlStrRef>
              <c:f>Sheet1!$A$16:$B$67</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f>Sheet1!$H$2:$H$67</c:f>
              <c:numCache>
                <c:formatCode>0.0</c:formatCode>
                <c:ptCount val="14"/>
                <c:pt idx="0">
                  <c:v>7.7422870380906073</c:v>
                </c:pt>
                <c:pt idx="1">
                  <c:v>8.0158616246163845</c:v>
                </c:pt>
                <c:pt idx="2">
                  <c:v>8.2773469777009598</c:v>
                </c:pt>
                <c:pt idx="3">
                  <c:v>8.2678332122473623</c:v>
                </c:pt>
                <c:pt idx="4">
                  <c:v>9.2964040296125265</c:v>
                </c:pt>
                <c:pt idx="5">
                  <c:v>8.1287571727719037</c:v>
                </c:pt>
                <c:pt idx="6">
                  <c:v>7.6374793222786144</c:v>
                </c:pt>
                <c:pt idx="7">
                  <c:v>8.6201560403887179</c:v>
                </c:pt>
                <c:pt idx="8">
                  <c:v>8.1887607485517133</c:v>
                </c:pt>
                <c:pt idx="9">
                  <c:v>8.3546599768074685</c:v>
                </c:pt>
                <c:pt idx="10">
                  <c:v>8.6042796009191385</c:v>
                </c:pt>
                <c:pt idx="11">
                  <c:v>8.1553455505810319</c:v>
                </c:pt>
                <c:pt idx="12">
                  <c:v>8.034297791459613</c:v>
                </c:pt>
                <c:pt idx="13">
                  <c:v>8.430409859886856</c:v>
                </c:pt>
              </c:numCache>
            </c:numRef>
          </c:val>
          <c:smooth val="0"/>
          <c:extLst>
            <c:ext xmlns:c16="http://schemas.microsoft.com/office/drawing/2014/chart" uri="{C3380CC4-5D6E-409C-BE32-E72D297353CC}">
              <c16:uniqueId val="{00000003-5647-413E-8B74-D0E0A1E506DF}"/>
            </c:ext>
          </c:extLst>
        </c:ser>
        <c:ser>
          <c:idx val="7"/>
          <c:order val="5"/>
          <c:tx>
            <c:strRef>
              <c:f>Sheet1!$C$1</c:f>
              <c:strCache>
                <c:ptCount val="1"/>
                <c:pt idx="0">
                  <c:v>ԿԲ ռեպո</c:v>
                </c:pt>
              </c:strCache>
            </c:strRef>
          </c:tx>
          <c:marker>
            <c:symbol val="none"/>
          </c:marker>
          <c:val>
            <c:numRef>
              <c:f>Sheet1!$C$40:$C$67</c:f>
              <c:numCache>
                <c:formatCode>0.0</c:formatCode>
                <c:ptCount val="14"/>
                <c:pt idx="0">
                  <c:v>5.5</c:v>
                </c:pt>
                <c:pt idx="1">
                  <c:v>6.5</c:v>
                </c:pt>
                <c:pt idx="2">
                  <c:v>7.25</c:v>
                </c:pt>
                <c:pt idx="3">
                  <c:v>7.75</c:v>
                </c:pt>
                <c:pt idx="4">
                  <c:v>9.25</c:v>
                </c:pt>
                <c:pt idx="5">
                  <c:v>9.25</c:v>
                </c:pt>
                <c:pt idx="6">
                  <c:v>10</c:v>
                </c:pt>
                <c:pt idx="7">
                  <c:v>10.75</c:v>
                </c:pt>
                <c:pt idx="8">
                  <c:v>10.75</c:v>
                </c:pt>
                <c:pt idx="9" formatCode="0.00">
                  <c:v>10.5</c:v>
                </c:pt>
                <c:pt idx="10" formatCode="0.00">
                  <c:v>9.75</c:v>
                </c:pt>
                <c:pt idx="11" formatCode="0.00">
                  <c:v>9.25</c:v>
                </c:pt>
                <c:pt idx="12" formatCode="0.00">
                  <c:v>8.5</c:v>
                </c:pt>
                <c:pt idx="13">
                  <c:v>8.25</c:v>
                </c:pt>
              </c:numCache>
            </c:numRef>
          </c:val>
          <c:smooth val="0"/>
          <c:extLst>
            <c:ext xmlns:c16="http://schemas.microsoft.com/office/drawing/2014/chart" uri="{C3380CC4-5D6E-409C-BE32-E72D297353CC}">
              <c16:uniqueId val="{00000004-5647-413E-8B74-D0E0A1E506DF}"/>
            </c:ext>
          </c:extLst>
        </c:ser>
        <c:dLbls>
          <c:showLegendKey val="0"/>
          <c:showVal val="0"/>
          <c:showCatName val="0"/>
          <c:showSerName val="0"/>
          <c:showPercent val="0"/>
          <c:showBubbleSize val="0"/>
        </c:dLbls>
        <c:smooth val="0"/>
        <c:axId val="803037520"/>
        <c:axId val="1"/>
        <c:extLst>
          <c:ext xmlns:c15="http://schemas.microsoft.com/office/drawing/2012/chart" uri="{02D57815-91ED-43cb-92C2-25804820EDAC}">
            <c15:filteredLineSeries>
              <c15:ser>
                <c:idx val="0"/>
                <c:order val="0"/>
                <c:tx>
                  <c:strRef>
                    <c:extLst>
                      <c:ext uri="{02D57815-91ED-43cb-92C2-25804820EDAC}">
                        <c15:formulaRef>
                          <c15:sqref>Sheet1!$D$1</c15:sqref>
                        </c15:formulaRef>
                      </c:ext>
                    </c:extLst>
                    <c:strCache>
                      <c:ptCount val="1"/>
                      <c:pt idx="0">
                        <c:v>Միջբանկային ռեպո</c:v>
                      </c:pt>
                    </c:strCache>
                  </c:strRef>
                </c:tx>
                <c:spPr>
                  <a:ln w="12700" cap="rnd">
                    <a:solidFill>
                      <a:sysClr val="windowText" lastClr="000000"/>
                    </a:solidFill>
                    <a:round/>
                  </a:ln>
                  <a:effectLst/>
                </c:spPr>
                <c:marker>
                  <c:symbol val="none"/>
                </c:marker>
                <c:cat>
                  <c:multiLvlStrRef>
                    <c:extLst>
                      <c:ext uri="{02D57815-91ED-43cb-92C2-25804820EDAC}">
                        <c15:formulaRef>
                          <c15:sqref>Sheet1!$A$16:$B$67</c15:sqref>
                        </c15:formulaRef>
                      </c:ext>
                    </c:extLst>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մայիս</c:v>
                        </c:pt>
                      </c:lvl>
                      <c:lvl>
                        <c:pt idx="0">
                          <c:v>2021</c:v>
                        </c:pt>
                        <c:pt idx="4">
                          <c:v>2022</c:v>
                        </c:pt>
                        <c:pt idx="8">
                          <c:v>2023</c:v>
                        </c:pt>
                        <c:pt idx="12">
                          <c:v>2024</c:v>
                        </c:pt>
                      </c:lvl>
                    </c:multiLvlStrCache>
                  </c:multiLvlStrRef>
                </c:cat>
                <c:val>
                  <c:numRef>
                    <c:extLst>
                      <c:ext uri="{02D57815-91ED-43cb-92C2-25804820EDAC}">
                        <c15:formulaRef>
                          <c15:sqref>Sheet1!$D$2:$D$67</c15:sqref>
                        </c15:formulaRef>
                      </c:ext>
                    </c:extLst>
                    <c:numCache>
                      <c:formatCode>0.0</c:formatCode>
                      <c:ptCount val="14"/>
                      <c:pt idx="0">
                        <c:v>5.54</c:v>
                      </c:pt>
                      <c:pt idx="1">
                        <c:v>6.48</c:v>
                      </c:pt>
                      <c:pt idx="2">
                        <c:v>7.17</c:v>
                      </c:pt>
                      <c:pt idx="3">
                        <c:v>7.25</c:v>
                      </c:pt>
                      <c:pt idx="4">
                        <c:v>8.36</c:v>
                      </c:pt>
                      <c:pt idx="5">
                        <c:v>9.3699999999999992</c:v>
                      </c:pt>
                      <c:pt idx="6">
                        <c:v>10</c:v>
                      </c:pt>
                      <c:pt idx="7">
                        <c:v>10.89</c:v>
                      </c:pt>
                      <c:pt idx="8">
                        <c:v>10.94</c:v>
                      </c:pt>
                      <c:pt idx="9">
                        <c:v>10.74</c:v>
                      </c:pt>
                      <c:pt idx="10">
                        <c:v>10.09</c:v>
                      </c:pt>
                      <c:pt idx="11">
                        <c:v>9.58</c:v>
                      </c:pt>
                      <c:pt idx="12">
                        <c:v>8.76</c:v>
                      </c:pt>
                    </c:numCache>
                  </c:numRef>
                </c:val>
                <c:smooth val="0"/>
                <c:extLst>
                  <c:ext xmlns:c16="http://schemas.microsoft.com/office/drawing/2014/chart" uri="{C3380CC4-5D6E-409C-BE32-E72D297353CC}">
                    <c16:uniqueId val="{00000005-5647-413E-8B74-D0E0A1E506DF}"/>
                  </c:ext>
                </c:extLst>
              </c15:ser>
            </c15:filteredLineSeries>
          </c:ext>
        </c:extLst>
      </c:lineChart>
      <c:catAx>
        <c:axId val="803037520"/>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max val="15"/>
          <c:min val="4"/>
        </c:scaling>
        <c:delete val="0"/>
        <c:axPos val="l"/>
        <c:majorGridlines>
          <c:spPr>
            <a:ln>
              <a:solidFill>
                <a:srgbClr val="A5A5A5">
                  <a:lumMod val="40000"/>
                  <a:lumOff val="60000"/>
                </a:srgbClr>
              </a:solidFill>
            </a:ln>
          </c:spPr>
        </c:majorGridlines>
        <c:numFmt formatCode="0" sourceLinked="0"/>
        <c:majorTickMark val="none"/>
        <c:minorTickMark val="none"/>
        <c:tickLblPos val="nextTo"/>
        <c:spPr>
          <a:ln w="9524">
            <a:noFill/>
          </a:ln>
        </c:spPr>
        <c:txPr>
          <a:bodyPr rot="-60000000" vert="horz"/>
          <a:lstStyle/>
          <a:p>
            <a:pPr>
              <a:defRPr/>
            </a:pPr>
            <a:endParaRPr lang="en-US"/>
          </a:p>
        </c:txPr>
        <c:crossAx val="803037520"/>
        <c:crosses val="autoZero"/>
        <c:crossBetween val="between"/>
        <c:majorUnit val="3"/>
      </c:valAx>
      <c:spPr>
        <a:solidFill>
          <a:schemeClr val="bg1"/>
        </a:solidFill>
        <a:ln>
          <a:noFill/>
        </a:ln>
        <a:effectLst/>
      </c:spPr>
    </c:plotArea>
    <c:legend>
      <c:legendPos val="b"/>
      <c:layout>
        <c:manualLayout>
          <c:xMode val="edge"/>
          <c:yMode val="edge"/>
          <c:x val="3.5822696076033979E-2"/>
          <c:y val="0.77593091186182372"/>
          <c:w val="0.95681159420289852"/>
          <c:h val="0.22406908813817628"/>
        </c:manualLayout>
      </c:layout>
      <c:overlay val="0"/>
      <c:spPr>
        <a:noFill/>
        <a:ln w="25398">
          <a:noFill/>
        </a:ln>
      </c:spPr>
      <c:txPr>
        <a:bodyPr rot="0" vert="horz"/>
        <a:lstStyle/>
        <a:p>
          <a:pPr>
            <a:defRPr sz="800"/>
          </a:pPr>
          <a:endParaRPr lang="en-US"/>
        </a:p>
      </c:txPr>
    </c:legend>
    <c:plotVisOnly val="1"/>
    <c:dispBlanksAs val="gap"/>
    <c:showDLblsOverMax val="0"/>
  </c:chart>
  <c:spPr>
    <a:noFill/>
    <a:ln w="9524"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GHEA Grapalat" panose="02000506050000020003" pitchFamily="50" charset="0"/>
                <a:ea typeface="+mj-ea"/>
                <a:cs typeface="+mj-cs"/>
              </a:defRPr>
            </a:pPr>
            <a:r>
              <a:rPr lang="hy-AM" sz="1000" i="0"/>
              <a:t>Գնաճի կանխատեսումները և նպատակային միջակայքը</a:t>
            </a:r>
            <a:r>
              <a:rPr lang="en-US" sz="1000" i="0"/>
              <a:t>, %</a:t>
            </a:r>
          </a:p>
        </c:rich>
      </c:tx>
      <c:layout>
        <c:manualLayout>
          <c:xMode val="edge"/>
          <c:yMode val="edge"/>
          <c:x val="0.24812967543322215"/>
          <c:y val="3.4892896452459569E-3"/>
        </c:manualLayout>
      </c:layout>
      <c:overlay val="0"/>
      <c:spPr>
        <a:noFill/>
        <a:ln>
          <a:noFill/>
        </a:ln>
        <a:effectLst/>
      </c:spPr>
    </c:title>
    <c:autoTitleDeleted val="0"/>
    <c:plotArea>
      <c:layout>
        <c:manualLayout>
          <c:layoutTarget val="inner"/>
          <c:xMode val="edge"/>
          <c:yMode val="edge"/>
          <c:x val="4.286978223573857E-2"/>
          <c:y val="0.15820767267105321"/>
          <c:w val="0.9349795935193983"/>
          <c:h val="0.60057783583806246"/>
        </c:manualLayout>
      </c:layout>
      <c:areaChart>
        <c:grouping val="standard"/>
        <c:varyColors val="0"/>
        <c:ser>
          <c:idx val="5"/>
          <c:order val="5"/>
          <c:tx>
            <c:strRef>
              <c:f>Sheet1!$G$1</c:f>
              <c:strCache>
                <c:ptCount val="1"/>
                <c:pt idx="0">
                  <c:v>Column5</c:v>
                </c:pt>
              </c:strCache>
            </c:strRef>
          </c:tx>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Sheet1!$G$2:$G$12</c:f>
              <c:numCache>
                <c:formatCode>General</c:formatCode>
                <c:ptCount val="7"/>
                <c:pt idx="2">
                  <c:v>0</c:v>
                </c:pt>
                <c:pt idx="3">
                  <c:v>0</c:v>
                </c:pt>
                <c:pt idx="4">
                  <c:v>0</c:v>
                </c:pt>
                <c:pt idx="5">
                  <c:v>0</c:v>
                </c:pt>
                <c:pt idx="6">
                  <c:v>0</c:v>
                </c:pt>
              </c:numCache>
            </c:numRef>
          </c:val>
          <c:extLst>
            <c:ext xmlns:c16="http://schemas.microsoft.com/office/drawing/2014/chart" uri="{C3380CC4-5D6E-409C-BE32-E72D297353CC}">
              <c16:uniqueId val="{00000000-C9E5-45A9-A9AA-E092B8A3D0A2}"/>
            </c:ext>
          </c:extLst>
        </c:ser>
        <c:dLbls>
          <c:showLegendKey val="0"/>
          <c:showVal val="0"/>
          <c:showCatName val="0"/>
          <c:showSerName val="0"/>
          <c:showPercent val="0"/>
          <c:showBubbleSize val="0"/>
        </c:dLbls>
        <c:axId val="177840128"/>
        <c:axId val="177841664"/>
      </c:areaChart>
      <c:lineChart>
        <c:grouping val="standard"/>
        <c:varyColors val="0"/>
        <c:ser>
          <c:idx val="0"/>
          <c:order val="0"/>
          <c:tx>
            <c:strRef>
              <c:f>Sheet1!$B$1</c:f>
              <c:strCache>
                <c:ptCount val="1"/>
                <c:pt idx="0">
                  <c:v>12 ամսյա գնաճ</c:v>
                </c:pt>
              </c:strCache>
            </c:strRef>
          </c:tx>
          <c:spPr>
            <a:ln w="25400" cap="rnd">
              <a:solidFill>
                <a:srgbClr val="4472C4">
                  <a:lumMod val="75000"/>
                </a:srgbClr>
              </a:solidFill>
              <a:round/>
            </a:ln>
            <a:effectLst/>
          </c:spPr>
          <c:marker>
            <c:symbol val="circle"/>
            <c:size val="5"/>
            <c:spPr>
              <a:solidFill>
                <a:srgbClr val="4472C4">
                  <a:lumMod val="75000"/>
                </a:srgbClr>
              </a:solidFill>
              <a:ln w="15875">
                <a:noFill/>
                <a:round/>
              </a:ln>
              <a:effectLst/>
            </c:spPr>
          </c:marker>
          <c:dLbls>
            <c:dLbl>
              <c:idx val="0"/>
              <c:layout>
                <c:manualLayout>
                  <c:x val="-1.5141407035936069E-2"/>
                  <c:y val="2.892523918381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E5-45A9-A9AA-E092B8A3D0A2}"/>
                </c:ext>
              </c:extLst>
            </c:dLbl>
            <c:dLbl>
              <c:idx val="1"/>
              <c:layout>
                <c:manualLayout>
                  <c:x val="-3.3729359645589999E-2"/>
                  <c:y val="4.33464052287580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E5-45A9-A9AA-E092B8A3D0A2}"/>
                </c:ext>
              </c:extLst>
            </c:dLbl>
            <c:dLbl>
              <c:idx val="2"/>
              <c:layout>
                <c:manualLayout>
                  <c:x val="-6.7918433272763978E-2"/>
                  <c:y val="3.13548387096773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E5-45A9-A9AA-E092B8A3D0A2}"/>
                </c:ext>
              </c:extLst>
            </c:dLbl>
            <c:dLbl>
              <c:idx val="4"/>
              <c:layout>
                <c:manualLayout>
                  <c:x val="-6.399303055016374E-2"/>
                  <c:y val="4.4258064516129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E5-45A9-A9AA-E092B8A3D0A2}"/>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Sheet1!$B$2:$B$12</c:f>
              <c:numCache>
                <c:formatCode>0.0</c:formatCode>
                <c:ptCount val="7"/>
                <c:pt idx="0">
                  <c:v>7.7</c:v>
                </c:pt>
                <c:pt idx="1">
                  <c:v>8.3000000000000007</c:v>
                </c:pt>
                <c:pt idx="2">
                  <c:v>-0.6</c:v>
                </c:pt>
                <c:pt idx="3">
                  <c:v>3</c:v>
                </c:pt>
                <c:pt idx="4">
                  <c:v>4</c:v>
                </c:pt>
                <c:pt idx="5">
                  <c:v>4</c:v>
                </c:pt>
                <c:pt idx="6">
                  <c:v>4</c:v>
                </c:pt>
              </c:numCache>
            </c:numRef>
          </c:val>
          <c:smooth val="0"/>
          <c:extLst>
            <c:ext xmlns:c16="http://schemas.microsoft.com/office/drawing/2014/chart" uri="{C3380CC4-5D6E-409C-BE32-E72D297353CC}">
              <c16:uniqueId val="{00000005-C9E5-45A9-A9AA-E092B8A3D0A2}"/>
            </c:ext>
          </c:extLst>
        </c:ser>
        <c:ser>
          <c:idx val="1"/>
          <c:order val="1"/>
          <c:tx>
            <c:strRef>
              <c:f>Sheet1!$C$1</c:f>
              <c:strCache>
                <c:ptCount val="1"/>
                <c:pt idx="0">
                  <c:v>Միջին գնաճ</c:v>
                </c:pt>
              </c:strCache>
            </c:strRef>
          </c:tx>
          <c:spPr>
            <a:ln w="25400" cap="rnd">
              <a:solidFill>
                <a:srgbClr val="ED7D31">
                  <a:lumMod val="60000"/>
                  <a:lumOff val="40000"/>
                </a:srgbClr>
              </a:solidFill>
              <a:round/>
            </a:ln>
            <a:effectLst/>
          </c:spPr>
          <c:marker>
            <c:symbol val="square"/>
            <c:size val="5"/>
            <c:spPr>
              <a:solidFill>
                <a:srgbClr val="ED7D31">
                  <a:lumMod val="40000"/>
                  <a:lumOff val="60000"/>
                </a:srgbClr>
              </a:solidFill>
              <a:ln w="15875">
                <a:noFill/>
                <a:round/>
              </a:ln>
              <a:effectLst/>
            </c:spPr>
          </c:marker>
          <c:dLbls>
            <c:dLbl>
              <c:idx val="0"/>
              <c:layout>
                <c:manualLayout>
                  <c:x val="-3.3296494905514985E-2"/>
                  <c:y val="-5.90326797385622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E5-45A9-A9AA-E092B8A3D0A2}"/>
                </c:ext>
              </c:extLst>
            </c:dLbl>
            <c:dLbl>
              <c:idx val="1"/>
              <c:layout>
                <c:manualLayout>
                  <c:x val="6.6889045209406464E-3"/>
                  <c:y val="4.555753111506143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E5-45A9-A9AA-E092B8A3D0A2}"/>
                </c:ext>
              </c:extLst>
            </c:dLbl>
            <c:dLbl>
              <c:idx val="2"/>
              <c:layout>
                <c:manualLayout>
                  <c:x val="-0.12418752016991214"/>
                  <c:y val="4.1763440860215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9E5-45A9-A9AA-E092B8A3D0A2}"/>
                </c:ext>
              </c:extLst>
            </c:dLbl>
            <c:dLbl>
              <c:idx val="4"/>
              <c:layout>
                <c:manualLayout>
                  <c:x val="-2.1133525456292025E-2"/>
                  <c:y val="-5.7161290322580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9E5-45A9-A9AA-E092B8A3D0A2}"/>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Sheet1!$C$2:$C$12</c:f>
              <c:numCache>
                <c:formatCode>0.0</c:formatCode>
                <c:ptCount val="7"/>
                <c:pt idx="0">
                  <c:v>7.2</c:v>
                </c:pt>
                <c:pt idx="1">
                  <c:v>8.6</c:v>
                </c:pt>
                <c:pt idx="2">
                  <c:v>2</c:v>
                </c:pt>
                <c:pt idx="3">
                  <c:v>0.66023930733869918</c:v>
                </c:pt>
                <c:pt idx="4">
                  <c:v>3.5</c:v>
                </c:pt>
                <c:pt idx="5">
                  <c:v>4</c:v>
                </c:pt>
                <c:pt idx="6">
                  <c:v>4</c:v>
                </c:pt>
              </c:numCache>
            </c:numRef>
          </c:val>
          <c:smooth val="0"/>
          <c:extLst>
            <c:ext xmlns:c16="http://schemas.microsoft.com/office/drawing/2014/chart" uri="{C3380CC4-5D6E-409C-BE32-E72D297353CC}">
              <c16:uniqueId val="{0000000A-C9E5-45A9-A9AA-E092B8A3D0A2}"/>
            </c:ext>
          </c:extLst>
        </c:ser>
        <c:ser>
          <c:idx val="2"/>
          <c:order val="2"/>
          <c:tx>
            <c:strRef>
              <c:f>Sheet1!$D$1</c:f>
              <c:strCache>
                <c:ptCount val="1"/>
                <c:pt idx="0">
                  <c:v>Column2</c:v>
                </c:pt>
              </c:strCache>
            </c:strRef>
          </c:tx>
          <c:spPr>
            <a:ln w="19050" cap="rnd">
              <a:solidFill>
                <a:srgbClr val="C00000"/>
              </a:solidFill>
              <a:prstDash val="dash"/>
              <a:round/>
            </a:ln>
            <a:effectLst/>
          </c:spPr>
          <c:marker>
            <c:symbol val="none"/>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Sheet1!$D$2:$D$12</c:f>
              <c:numCache>
                <c:formatCode>General</c:formatCode>
                <c:ptCount val="7"/>
                <c:pt idx="0">
                  <c:v>4</c:v>
                </c:pt>
                <c:pt idx="1">
                  <c:v>4</c:v>
                </c:pt>
                <c:pt idx="2">
                  <c:v>4</c:v>
                </c:pt>
                <c:pt idx="3">
                  <c:v>4</c:v>
                </c:pt>
                <c:pt idx="4">
                  <c:v>4</c:v>
                </c:pt>
                <c:pt idx="5">
                  <c:v>4</c:v>
                </c:pt>
                <c:pt idx="6">
                  <c:v>4</c:v>
                </c:pt>
              </c:numCache>
            </c:numRef>
          </c:val>
          <c:smooth val="0"/>
          <c:extLst>
            <c:ext xmlns:c16="http://schemas.microsoft.com/office/drawing/2014/chart" uri="{C3380CC4-5D6E-409C-BE32-E72D297353CC}">
              <c16:uniqueId val="{0000000B-C9E5-45A9-A9AA-E092B8A3D0A2}"/>
            </c:ext>
          </c:extLst>
        </c:ser>
        <c:ser>
          <c:idx val="3"/>
          <c:order val="3"/>
          <c:tx>
            <c:strRef>
              <c:f>Sheet1!$E$1</c:f>
              <c:strCache>
                <c:ptCount val="1"/>
                <c:pt idx="0">
                  <c:v>Column3</c:v>
                </c:pt>
              </c:strCache>
            </c:strRef>
          </c:tx>
          <c:spPr>
            <a:ln w="15875" cap="rnd">
              <a:solidFill>
                <a:srgbClr val="ED7D31"/>
              </a:solidFill>
              <a:prstDash val="sysDash"/>
              <a:round/>
            </a:ln>
            <a:effectLst/>
          </c:spPr>
          <c:marker>
            <c:symbol val="none"/>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Sheet1!$E$2:$E$12</c:f>
              <c:numCache>
                <c:formatCode>General</c:formatCode>
                <c:ptCount val="7"/>
                <c:pt idx="0">
                  <c:v>5.5</c:v>
                </c:pt>
                <c:pt idx="1">
                  <c:v>5.5</c:v>
                </c:pt>
                <c:pt idx="2">
                  <c:v>5.5</c:v>
                </c:pt>
                <c:pt idx="3">
                  <c:v>5.5</c:v>
                </c:pt>
                <c:pt idx="4">
                  <c:v>5.5</c:v>
                </c:pt>
                <c:pt idx="5">
                  <c:v>5.5</c:v>
                </c:pt>
                <c:pt idx="6">
                  <c:v>5.5</c:v>
                </c:pt>
              </c:numCache>
            </c:numRef>
          </c:val>
          <c:smooth val="0"/>
          <c:extLst>
            <c:ext xmlns:c16="http://schemas.microsoft.com/office/drawing/2014/chart" uri="{C3380CC4-5D6E-409C-BE32-E72D297353CC}">
              <c16:uniqueId val="{0000000C-C9E5-45A9-A9AA-E092B8A3D0A2}"/>
            </c:ext>
          </c:extLst>
        </c:ser>
        <c:ser>
          <c:idx val="4"/>
          <c:order val="4"/>
          <c:tx>
            <c:strRef>
              <c:f>Sheet1!$F$1</c:f>
              <c:strCache>
                <c:ptCount val="1"/>
                <c:pt idx="0">
                  <c:v>Column4</c:v>
                </c:pt>
              </c:strCache>
            </c:strRef>
          </c:tx>
          <c:spPr>
            <a:ln w="15875" cap="rnd">
              <a:solidFill>
                <a:schemeClr val="accent2"/>
              </a:solidFill>
              <a:prstDash val="sysDash"/>
              <a:round/>
            </a:ln>
            <a:effectLst/>
          </c:spPr>
          <c:marker>
            <c:symbol val="none"/>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Sheet1!$F$2:$F$12</c:f>
              <c:numCache>
                <c:formatCode>General</c:formatCode>
                <c:ptCount val="7"/>
                <c:pt idx="0">
                  <c:v>2.5</c:v>
                </c:pt>
                <c:pt idx="1">
                  <c:v>2.5</c:v>
                </c:pt>
                <c:pt idx="2">
                  <c:v>2.5</c:v>
                </c:pt>
                <c:pt idx="3">
                  <c:v>2.5</c:v>
                </c:pt>
                <c:pt idx="4">
                  <c:v>2.5</c:v>
                </c:pt>
                <c:pt idx="5">
                  <c:v>2.5</c:v>
                </c:pt>
                <c:pt idx="6">
                  <c:v>2.5</c:v>
                </c:pt>
              </c:numCache>
            </c:numRef>
          </c:val>
          <c:smooth val="0"/>
          <c:extLst>
            <c:ext xmlns:c16="http://schemas.microsoft.com/office/drawing/2014/chart" uri="{C3380CC4-5D6E-409C-BE32-E72D297353CC}">
              <c16:uniqueId val="{0000000D-C9E5-45A9-A9AA-E092B8A3D0A2}"/>
            </c:ext>
          </c:extLst>
        </c:ser>
        <c:dLbls>
          <c:showLegendKey val="0"/>
          <c:showVal val="0"/>
          <c:showCatName val="0"/>
          <c:showSerName val="0"/>
          <c:showPercent val="0"/>
          <c:showBubbleSize val="0"/>
        </c:dLbls>
        <c:marker val="1"/>
        <c:smooth val="0"/>
        <c:axId val="177840128"/>
        <c:axId val="177841664"/>
      </c:lineChart>
      <c:catAx>
        <c:axId val="177840128"/>
        <c:scaling>
          <c:orientation val="minMax"/>
        </c:scaling>
        <c:delete val="0"/>
        <c:axPos val="b"/>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177841664"/>
        <c:crosses val="autoZero"/>
        <c:auto val="1"/>
        <c:lblAlgn val="ctr"/>
        <c:lblOffset val="100"/>
        <c:noMultiLvlLbl val="0"/>
      </c:catAx>
      <c:valAx>
        <c:axId val="177841664"/>
        <c:scaling>
          <c:orientation val="minMax"/>
          <c:max val="10"/>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77840128"/>
        <c:crosses val="autoZero"/>
        <c:crossBetween val="between"/>
      </c:valAx>
      <c:spPr>
        <a:pattFill prst="ltDnDiag">
          <a:fgClr>
            <a:srgbClr val="000000">
              <a:alpha val="0"/>
            </a:srgbClr>
          </a:fgClr>
          <a:bgClr>
            <a:srgbClr val="FFFFFF"/>
          </a:bgClr>
        </a:pattFill>
        <a:ln w="25400">
          <a:noFill/>
        </a:ln>
        <a:effectLst/>
      </c:spPr>
    </c:plotArea>
    <c:legend>
      <c:legendPos val="b"/>
      <c:legendEntry>
        <c:idx val="0"/>
        <c:delete val="1"/>
      </c:legendEntry>
      <c:legendEntry>
        <c:idx val="3"/>
        <c:delete val="1"/>
      </c:legendEntry>
      <c:legendEntry>
        <c:idx val="4"/>
        <c:delete val="1"/>
      </c:legendEntry>
      <c:legendEntry>
        <c:idx val="5"/>
        <c:delete val="1"/>
      </c:legendEntry>
      <c:layout>
        <c:manualLayout>
          <c:xMode val="edge"/>
          <c:yMode val="edge"/>
          <c:x val="0.14766603676674128"/>
          <c:y val="0.86064068445478081"/>
          <c:w val="0.69595407202341786"/>
          <c:h val="7.1516721700110059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userShapes r:id="rId3"/>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areaChart>
        <c:grouping val="stacked"/>
        <c:varyColors val="0"/>
        <c:ser>
          <c:idx val="0"/>
          <c:order val="0"/>
          <c:tx>
            <c:strRef>
              <c:f>Sheet22!$B$3</c:f>
              <c:strCache>
                <c:ptCount val="1"/>
              </c:strCache>
            </c:strRef>
          </c:tx>
          <c:spPr>
            <a:no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Sheet22!$B$4:$B$115</c:f>
              <c:numCache>
                <c:formatCode>General</c:formatCode>
                <c:ptCount val="8"/>
                <c:pt idx="0">
                  <c:v>-7.2000000000000028</c:v>
                </c:pt>
                <c:pt idx="1">
                  <c:v>5.7999999999999972</c:v>
                </c:pt>
                <c:pt idx="2">
                  <c:v>12.599999999999994</c:v>
                </c:pt>
                <c:pt idx="3">
                  <c:v>8.7000000000000028</c:v>
                </c:pt>
                <c:pt idx="4">
                  <c:v>0.19478541892946843</c:v>
                </c:pt>
                <c:pt idx="5">
                  <c:v>-0.32714638158670706</c:v>
                </c:pt>
                <c:pt idx="6">
                  <c:v>-0.54097085659120037</c:v>
                </c:pt>
                <c:pt idx="7">
                  <c:v>-0.76488628107616741</c:v>
                </c:pt>
              </c:numCache>
            </c:numRef>
          </c:val>
          <c:extLst>
            <c:ext xmlns:c16="http://schemas.microsoft.com/office/drawing/2014/chart" uri="{C3380CC4-5D6E-409C-BE32-E72D297353CC}">
              <c16:uniqueId val="{00000000-CB37-4E12-B5DD-158008D6D4F3}"/>
            </c:ext>
          </c:extLst>
        </c:ser>
        <c:ser>
          <c:idx val="1"/>
          <c:order val="1"/>
          <c:tx>
            <c:strRef>
              <c:f>Sheet22!$C$3</c:f>
              <c:strCache>
                <c:ptCount val="1"/>
              </c:strCache>
            </c:strRef>
          </c:tx>
          <c:spPr>
            <a:solidFill>
              <a:srgbClr val="FF0000">
                <a:alpha val="2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Sheet22!$C$4:$C$115</c:f>
              <c:numCache>
                <c:formatCode>General</c:formatCode>
                <c:ptCount val="8"/>
                <c:pt idx="4">
                  <c:v>1.1496860002509042</c:v>
                </c:pt>
                <c:pt idx="5">
                  <c:v>1.3533148934946411</c:v>
                </c:pt>
                <c:pt idx="6">
                  <c:v>1.3784555295549641</c:v>
                </c:pt>
                <c:pt idx="7">
                  <c:v>1.3837377764810395</c:v>
                </c:pt>
              </c:numCache>
            </c:numRef>
          </c:val>
          <c:extLst>
            <c:ext xmlns:c16="http://schemas.microsoft.com/office/drawing/2014/chart" uri="{C3380CC4-5D6E-409C-BE32-E72D297353CC}">
              <c16:uniqueId val="{00000001-CB37-4E12-B5DD-158008D6D4F3}"/>
            </c:ext>
          </c:extLst>
        </c:ser>
        <c:ser>
          <c:idx val="2"/>
          <c:order val="2"/>
          <c:tx>
            <c:strRef>
              <c:f>Sheet22!$D$3</c:f>
              <c:strCache>
                <c:ptCount val="1"/>
              </c:strCache>
            </c:strRef>
          </c:tx>
          <c:spPr>
            <a:solidFill>
              <a:srgbClr val="FF0000">
                <a:alpha val="3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Sheet22!$D$4:$D$115</c:f>
              <c:numCache>
                <c:formatCode>General</c:formatCode>
                <c:ptCount val="8"/>
                <c:pt idx="4">
                  <c:v>0.77568768622275686</c:v>
                </c:pt>
                <c:pt idx="5">
                  <c:v>0.91307513376396665</c:v>
                </c:pt>
                <c:pt idx="6">
                  <c:v>0.93003740155842962</c:v>
                </c:pt>
                <c:pt idx="7">
                  <c:v>0.93360130848192835</c:v>
                </c:pt>
              </c:numCache>
            </c:numRef>
          </c:val>
          <c:extLst>
            <c:ext xmlns:c16="http://schemas.microsoft.com/office/drawing/2014/chart" uri="{C3380CC4-5D6E-409C-BE32-E72D297353CC}">
              <c16:uniqueId val="{00000002-CB37-4E12-B5DD-158008D6D4F3}"/>
            </c:ext>
          </c:extLst>
        </c:ser>
        <c:ser>
          <c:idx val="3"/>
          <c:order val="3"/>
          <c:tx>
            <c:strRef>
              <c:f>Sheet22!$E$3</c:f>
              <c:strCache>
                <c:ptCount val="1"/>
              </c:strCache>
            </c:strRef>
          </c:tx>
          <c:spPr>
            <a:solidFill>
              <a:srgbClr val="FF0000">
                <a:alpha val="4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Sheet22!$E$4:$E$115</c:f>
              <c:numCache>
                <c:formatCode>General</c:formatCode>
                <c:ptCount val="8"/>
                <c:pt idx="4">
                  <c:v>0.61649198320978815</c:v>
                </c:pt>
                <c:pt idx="5">
                  <c:v>0.72568317124482418</c:v>
                </c:pt>
                <c:pt idx="6">
                  <c:v>0.73916424397303127</c:v>
                </c:pt>
                <c:pt idx="7">
                  <c:v>0.74199672421768037</c:v>
                </c:pt>
              </c:numCache>
            </c:numRef>
          </c:val>
          <c:extLst>
            <c:ext xmlns:c16="http://schemas.microsoft.com/office/drawing/2014/chart" uri="{C3380CC4-5D6E-409C-BE32-E72D297353CC}">
              <c16:uniqueId val="{00000003-CB37-4E12-B5DD-158008D6D4F3}"/>
            </c:ext>
          </c:extLst>
        </c:ser>
        <c:ser>
          <c:idx val="4"/>
          <c:order val="4"/>
          <c:tx>
            <c:strRef>
              <c:f>Sheet22!$F$3</c:f>
              <c:strCache>
                <c:ptCount val="1"/>
              </c:strCache>
            </c:strRef>
          </c:tx>
          <c:spPr>
            <a:solidFill>
              <a:srgbClr val="FF0000">
                <a:alpha val="5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Sheet22!$F$4:$F$115</c:f>
              <c:numCache>
                <c:formatCode>General</c:formatCode>
                <c:ptCount val="8"/>
                <c:pt idx="4">
                  <c:v>0.52889522810694523</c:v>
                </c:pt>
                <c:pt idx="5">
                  <c:v>0.62257154487326893</c:v>
                </c:pt>
                <c:pt idx="6">
                  <c:v>0.63413710489659403</c:v>
                </c:pt>
                <c:pt idx="7">
                  <c:v>0.63656712073767885</c:v>
                </c:pt>
              </c:numCache>
            </c:numRef>
          </c:val>
          <c:extLst>
            <c:ext xmlns:c16="http://schemas.microsoft.com/office/drawing/2014/chart" uri="{C3380CC4-5D6E-409C-BE32-E72D297353CC}">
              <c16:uniqueId val="{00000004-CB37-4E12-B5DD-158008D6D4F3}"/>
            </c:ext>
          </c:extLst>
        </c:ser>
        <c:ser>
          <c:idx val="5"/>
          <c:order val="5"/>
          <c:tx>
            <c:strRef>
              <c:f>Sheet22!$G$3</c:f>
              <c:strCache>
                <c:ptCount val="1"/>
              </c:strCache>
            </c:strRef>
          </c:tx>
          <c:spPr>
            <a:solidFill>
              <a:srgbClr val="FF0000">
                <a:alpha val="6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Sheet22!$G$4:$G$115</c:f>
              <c:numCache>
                <c:formatCode>General</c:formatCode>
                <c:ptCount val="8"/>
                <c:pt idx="4">
                  <c:v>0.47496426103424794</c:v>
                </c:pt>
                <c:pt idx="5">
                  <c:v>0.55908848867868777</c:v>
                </c:pt>
                <c:pt idx="6">
                  <c:v>0.56947471902829339</c:v>
                </c:pt>
                <c:pt idx="7">
                  <c:v>0.57165694835638492</c:v>
                </c:pt>
              </c:numCache>
            </c:numRef>
          </c:val>
          <c:extLst>
            <c:ext xmlns:c16="http://schemas.microsoft.com/office/drawing/2014/chart" uri="{C3380CC4-5D6E-409C-BE32-E72D297353CC}">
              <c16:uniqueId val="{00000005-CB37-4E12-B5DD-158008D6D4F3}"/>
            </c:ext>
          </c:extLst>
        </c:ser>
        <c:ser>
          <c:idx val="6"/>
          <c:order val="6"/>
          <c:tx>
            <c:strRef>
              <c:f>Sheet22!$H$3</c:f>
              <c:strCache>
                <c:ptCount val="1"/>
              </c:strCache>
            </c:strRef>
          </c:tx>
          <c:spPr>
            <a:solidFill>
              <a:srgbClr val="FF0000">
                <a:alpha val="7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Sheet22!$H$4:$H$115</c:f>
              <c:numCache>
                <c:formatCode>General</c:formatCode>
                <c:ptCount val="8"/>
                <c:pt idx="4">
                  <c:v>0.44012517167312915</c:v>
                </c:pt>
                <c:pt idx="5">
                  <c:v>0.51807880560182884</c:v>
                </c:pt>
                <c:pt idx="6">
                  <c:v>0.52770319587848302</c:v>
                </c:pt>
                <c:pt idx="7">
                  <c:v>0.52972535656814301</c:v>
                </c:pt>
              </c:numCache>
            </c:numRef>
          </c:val>
          <c:extLst>
            <c:ext xmlns:c16="http://schemas.microsoft.com/office/drawing/2014/chart" uri="{C3380CC4-5D6E-409C-BE32-E72D297353CC}">
              <c16:uniqueId val="{00000006-CB37-4E12-B5DD-158008D6D4F3}"/>
            </c:ext>
          </c:extLst>
        </c:ser>
        <c:ser>
          <c:idx val="7"/>
          <c:order val="7"/>
          <c:tx>
            <c:strRef>
              <c:f>Sheet22!$I$3</c:f>
              <c:strCache>
                <c:ptCount val="1"/>
              </c:strCache>
            </c:strRef>
          </c:tx>
          <c:spPr>
            <a:solidFill>
              <a:srgbClr val="FF0000">
                <a:alpha val="8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Sheet22!$I$4:$I$115</c:f>
              <c:numCache>
                <c:formatCode>General</c:formatCode>
                <c:ptCount val="8"/>
                <c:pt idx="4">
                  <c:v>0.4176357479834234</c:v>
                </c:pt>
                <c:pt idx="5">
                  <c:v>0.49160612347927657</c:v>
                </c:pt>
                <c:pt idx="6">
                  <c:v>0.50073872868064573</c:v>
                </c:pt>
                <c:pt idx="7">
                  <c:v>0.50265756142760587</c:v>
                </c:pt>
              </c:numCache>
            </c:numRef>
          </c:val>
          <c:extLst>
            <c:ext xmlns:c16="http://schemas.microsoft.com/office/drawing/2014/chart" uri="{C3380CC4-5D6E-409C-BE32-E72D297353CC}">
              <c16:uniqueId val="{00000007-CB37-4E12-B5DD-158008D6D4F3}"/>
            </c:ext>
          </c:extLst>
        </c:ser>
        <c:ser>
          <c:idx val="8"/>
          <c:order val="8"/>
          <c:tx>
            <c:strRef>
              <c:f>Sheet22!$J$3</c:f>
              <c:strCache>
                <c:ptCount val="1"/>
              </c:strCache>
            </c:strRef>
          </c:tx>
          <c:spPr>
            <a:solidFill>
              <a:srgbClr val="FF0000">
                <a:alpha val="9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Sheet22!$J$4:$J$115</c:f>
              <c:numCache>
                <c:formatCode>General</c:formatCode>
                <c:ptCount val="8"/>
                <c:pt idx="4">
                  <c:v>0.40406741943309665</c:v>
                </c:pt>
                <c:pt idx="5">
                  <c:v>0.47563461377751448</c:v>
                </c:pt>
                <c:pt idx="6">
                  <c:v>0.48447051500061722</c:v>
                </c:pt>
                <c:pt idx="7">
                  <c:v>0.48632700788977345</c:v>
                </c:pt>
              </c:numCache>
            </c:numRef>
          </c:val>
          <c:extLst>
            <c:ext xmlns:c16="http://schemas.microsoft.com/office/drawing/2014/chart" uri="{C3380CC4-5D6E-409C-BE32-E72D297353CC}">
              <c16:uniqueId val="{00000008-CB37-4E12-B5DD-158008D6D4F3}"/>
            </c:ext>
          </c:extLst>
        </c:ser>
        <c:ser>
          <c:idx val="9"/>
          <c:order val="9"/>
          <c:tx>
            <c:strRef>
              <c:f>Sheet22!$K$3</c:f>
              <c:strCache>
                <c:ptCount val="1"/>
              </c:strCache>
            </c:strRef>
          </c:tx>
          <c:spPr>
            <a:solidFill>
              <a:srgbClr val="FF0000"/>
            </a:solidFill>
            <a:ln>
              <a:solidFill>
                <a:srgbClr val="FF0000"/>
              </a:solidFill>
              <a:prstDash val="solid"/>
            </a:ln>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Sheet22!$K$4:$K$115</c:f>
              <c:numCache>
                <c:formatCode>General</c:formatCode>
                <c:ptCount val="8"/>
                <c:pt idx="4">
                  <c:v>0.63782902378490913</c:v>
                </c:pt>
                <c:pt idx="5">
                  <c:v>0.7471954423123055</c:v>
                </c:pt>
                <c:pt idx="6">
                  <c:v>0.76458706500720375</c:v>
                </c:pt>
                <c:pt idx="7">
                  <c:v>0.76824118279878029</c:v>
                </c:pt>
              </c:numCache>
            </c:numRef>
          </c:val>
          <c:extLst>
            <c:ext xmlns:c16="http://schemas.microsoft.com/office/drawing/2014/chart" uri="{C3380CC4-5D6E-409C-BE32-E72D297353CC}">
              <c16:uniqueId val="{00000009-CB37-4E12-B5DD-158008D6D4F3}"/>
            </c:ext>
          </c:extLst>
        </c:ser>
        <c:ser>
          <c:idx val="10"/>
          <c:order val="10"/>
          <c:tx>
            <c:strRef>
              <c:f>Sheet22!$L$3</c:f>
              <c:strCache>
                <c:ptCount val="1"/>
              </c:strCache>
            </c:strRef>
          </c:tx>
          <c:spPr>
            <a:solidFill>
              <a:srgbClr val="FF0000">
                <a:alpha val="9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Sheet22!$L$4:$L$115</c:f>
              <c:numCache>
                <c:formatCode>General</c:formatCode>
                <c:ptCount val="8"/>
                <c:pt idx="4">
                  <c:v>0.24403705595264302</c:v>
                </c:pt>
                <c:pt idx="5">
                  <c:v>0.28359817760097084</c:v>
                </c:pt>
                <c:pt idx="6">
                  <c:v>0.29243407882407269</c:v>
                </c:pt>
                <c:pt idx="7">
                  <c:v>0.29429057171322892</c:v>
                </c:pt>
              </c:numCache>
            </c:numRef>
          </c:val>
          <c:extLst>
            <c:ext xmlns:c16="http://schemas.microsoft.com/office/drawing/2014/chart" uri="{C3380CC4-5D6E-409C-BE32-E72D297353CC}">
              <c16:uniqueId val="{0000000A-CB37-4E12-B5DD-158008D6D4F3}"/>
            </c:ext>
          </c:extLst>
        </c:ser>
        <c:ser>
          <c:idx val="11"/>
          <c:order val="11"/>
          <c:tx>
            <c:strRef>
              <c:f>Sheet22!$M$3</c:f>
              <c:strCache>
                <c:ptCount val="1"/>
              </c:strCache>
            </c:strRef>
          </c:tx>
          <c:spPr>
            <a:solidFill>
              <a:srgbClr val="FF0000">
                <a:alpha val="8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Sheet22!$M$4:$M$115</c:f>
              <c:numCache>
                <c:formatCode>General</c:formatCode>
                <c:ptCount val="8"/>
                <c:pt idx="4">
                  <c:v>0.2522316660458408</c:v>
                </c:pt>
                <c:pt idx="5">
                  <c:v>0.29312122515417727</c:v>
                </c:pt>
                <c:pt idx="6">
                  <c:v>0.30225383035554643</c:v>
                </c:pt>
                <c:pt idx="7">
                  <c:v>0.30417266310250746</c:v>
                </c:pt>
              </c:numCache>
            </c:numRef>
          </c:val>
          <c:extLst>
            <c:ext xmlns:c16="http://schemas.microsoft.com/office/drawing/2014/chart" uri="{C3380CC4-5D6E-409C-BE32-E72D297353CC}">
              <c16:uniqueId val="{0000000B-CB37-4E12-B5DD-158008D6D4F3}"/>
            </c:ext>
          </c:extLst>
        </c:ser>
        <c:ser>
          <c:idx val="12"/>
          <c:order val="12"/>
          <c:tx>
            <c:strRef>
              <c:f>Sheet22!$N$3</c:f>
              <c:strCache>
                <c:ptCount val="1"/>
              </c:strCache>
            </c:strRef>
          </c:tx>
          <c:spPr>
            <a:solidFill>
              <a:srgbClr val="FF0000">
                <a:alpha val="7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Sheet22!$N$4:$N$115</c:f>
              <c:numCache>
                <c:formatCode>General</c:formatCode>
                <c:ptCount val="8"/>
                <c:pt idx="4">
                  <c:v>0.26581418342625263</c:v>
                </c:pt>
                <c:pt idx="5">
                  <c:v>0.30890561970557684</c:v>
                </c:pt>
                <c:pt idx="6">
                  <c:v>0.31853000998223102</c:v>
                </c:pt>
                <c:pt idx="7">
                  <c:v>0.32055217067189101</c:v>
                </c:pt>
              </c:numCache>
            </c:numRef>
          </c:val>
          <c:extLst>
            <c:ext xmlns:c16="http://schemas.microsoft.com/office/drawing/2014/chart" uri="{C3380CC4-5D6E-409C-BE32-E72D297353CC}">
              <c16:uniqueId val="{0000000C-CB37-4E12-B5DD-158008D6D4F3}"/>
            </c:ext>
          </c:extLst>
        </c:ser>
        <c:ser>
          <c:idx val="13"/>
          <c:order val="13"/>
          <c:tx>
            <c:strRef>
              <c:f>Sheet22!$O$3</c:f>
              <c:strCache>
                <c:ptCount val="1"/>
              </c:strCache>
            </c:strRef>
          </c:tx>
          <c:spPr>
            <a:solidFill>
              <a:srgbClr val="FF0000">
                <a:alpha val="6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Sheet22!$O$4:$O$115</c:f>
              <c:numCache>
                <c:formatCode>General</c:formatCode>
                <c:ptCount val="8"/>
                <c:pt idx="4">
                  <c:v>0.2868552978315817</c:v>
                </c:pt>
                <c:pt idx="5">
                  <c:v>0.33335773283548864</c:v>
                </c:pt>
                <c:pt idx="6">
                  <c:v>0.34374396318509426</c:v>
                </c:pt>
                <c:pt idx="7">
                  <c:v>0.34592619251318535</c:v>
                </c:pt>
              </c:numCache>
            </c:numRef>
          </c:val>
          <c:extLst>
            <c:ext xmlns:c16="http://schemas.microsoft.com/office/drawing/2014/chart" uri="{C3380CC4-5D6E-409C-BE32-E72D297353CC}">
              <c16:uniqueId val="{0000000D-CB37-4E12-B5DD-158008D6D4F3}"/>
            </c:ext>
          </c:extLst>
        </c:ser>
        <c:ser>
          <c:idx val="14"/>
          <c:order val="14"/>
          <c:tx>
            <c:strRef>
              <c:f>Sheet22!$P$3</c:f>
              <c:strCache>
                <c:ptCount val="1"/>
              </c:strCache>
            </c:strRef>
          </c:tx>
          <c:spPr>
            <a:solidFill>
              <a:srgbClr val="FF0000">
                <a:alpha val="5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Sheet22!$P$4:$P$115</c:f>
              <c:numCache>
                <c:formatCode>General</c:formatCode>
                <c:ptCount val="8"/>
                <c:pt idx="4">
                  <c:v>0.31942697720025137</c:v>
                </c:pt>
                <c:pt idx="5">
                  <c:v>0.37120964378523613</c:v>
                </c:pt>
                <c:pt idx="6">
                  <c:v>0.38277520380856078</c:v>
                </c:pt>
                <c:pt idx="7">
                  <c:v>0.38520521964964605</c:v>
                </c:pt>
              </c:numCache>
            </c:numRef>
          </c:val>
          <c:extLst>
            <c:ext xmlns:c16="http://schemas.microsoft.com/office/drawing/2014/chart" uri="{C3380CC4-5D6E-409C-BE32-E72D297353CC}">
              <c16:uniqueId val="{0000000E-CB37-4E12-B5DD-158008D6D4F3}"/>
            </c:ext>
          </c:extLst>
        </c:ser>
        <c:ser>
          <c:idx val="15"/>
          <c:order val="15"/>
          <c:tx>
            <c:strRef>
              <c:f>Sheet22!$Q$3</c:f>
              <c:strCache>
                <c:ptCount val="1"/>
              </c:strCache>
            </c:strRef>
          </c:tx>
          <c:spPr>
            <a:solidFill>
              <a:srgbClr val="FF0000">
                <a:alpha val="4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Sheet22!$Q$4:$Q$115</c:f>
              <c:numCache>
                <c:formatCode>General</c:formatCode>
                <c:ptCount val="8"/>
                <c:pt idx="4">
                  <c:v>0.37233115407324302</c:v>
                </c:pt>
                <c:pt idx="5">
                  <c:v>0.43269017628097028</c:v>
                </c:pt>
                <c:pt idx="6">
                  <c:v>0.44617124900917648</c:v>
                </c:pt>
                <c:pt idx="7">
                  <c:v>0.44900372925382648</c:v>
                </c:pt>
              </c:numCache>
            </c:numRef>
          </c:val>
          <c:extLst>
            <c:ext xmlns:c16="http://schemas.microsoft.com/office/drawing/2014/chart" uri="{C3380CC4-5D6E-409C-BE32-E72D297353CC}">
              <c16:uniqueId val="{0000000F-CB37-4E12-B5DD-158008D6D4F3}"/>
            </c:ext>
          </c:extLst>
        </c:ser>
        <c:ser>
          <c:idx val="16"/>
          <c:order val="16"/>
          <c:tx>
            <c:strRef>
              <c:f>Sheet22!$R$3</c:f>
              <c:strCache>
                <c:ptCount val="1"/>
              </c:strCache>
            </c:strRef>
          </c:tx>
          <c:spPr>
            <a:solidFill>
              <a:srgbClr val="FF0000">
                <a:alpha val="3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Sheet22!$R$4:$R$115</c:f>
              <c:numCache>
                <c:formatCode>General</c:formatCode>
                <c:ptCount val="8"/>
                <c:pt idx="4">
                  <c:v>0.46847761086528372</c:v>
                </c:pt>
                <c:pt idx="5">
                  <c:v>0.54442304333500147</c:v>
                </c:pt>
                <c:pt idx="6">
                  <c:v>0.5613853111294631</c:v>
                </c:pt>
                <c:pt idx="7">
                  <c:v>0.56494921805296272</c:v>
                </c:pt>
              </c:numCache>
            </c:numRef>
          </c:val>
          <c:extLst>
            <c:ext xmlns:c16="http://schemas.microsoft.com/office/drawing/2014/chart" uri="{C3380CC4-5D6E-409C-BE32-E72D297353CC}">
              <c16:uniqueId val="{00000010-CB37-4E12-B5DD-158008D6D4F3}"/>
            </c:ext>
          </c:extLst>
        </c:ser>
        <c:ser>
          <c:idx val="17"/>
          <c:order val="17"/>
          <c:tx>
            <c:strRef>
              <c:f>Sheet22!$S$3</c:f>
              <c:strCache>
                <c:ptCount val="1"/>
              </c:strCache>
            </c:strRef>
          </c:tx>
          <c:spPr>
            <a:solidFill>
              <a:srgbClr val="FF0000">
                <a:alpha val="20000"/>
              </a:srgbClr>
            </a:solidFill>
          </c:spP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Sheet22!$S$4:$S$115</c:f>
              <c:numCache>
                <c:formatCode>General</c:formatCode>
                <c:ptCount val="8"/>
                <c:pt idx="4">
                  <c:v>0.69435439057380854</c:v>
                </c:pt>
                <c:pt idx="5">
                  <c:v>0.80691696188212525</c:v>
                </c:pt>
                <c:pt idx="6">
                  <c:v>0.83205759794244827</c:v>
                </c:pt>
                <c:pt idx="7">
                  <c:v>0.83733984486852364</c:v>
                </c:pt>
              </c:numCache>
            </c:numRef>
          </c:val>
          <c:extLst>
            <c:ext xmlns:c16="http://schemas.microsoft.com/office/drawing/2014/chart" uri="{C3380CC4-5D6E-409C-BE32-E72D297353CC}">
              <c16:uniqueId val="{00000011-CB37-4E12-B5DD-158008D6D4F3}"/>
            </c:ext>
          </c:extLst>
        </c:ser>
        <c:dLbls>
          <c:showLegendKey val="0"/>
          <c:showVal val="0"/>
          <c:showCatName val="0"/>
          <c:showSerName val="0"/>
          <c:showPercent val="0"/>
          <c:showBubbleSize val="0"/>
        </c:dLbls>
        <c:axId val="779339560"/>
        <c:axId val="779339888"/>
      </c:areaChart>
      <c:lineChart>
        <c:grouping val="standard"/>
        <c:varyColors val="0"/>
        <c:ser>
          <c:idx val="18"/>
          <c:order val="18"/>
          <c:tx>
            <c:strRef>
              <c:f>Sheet22!$T$3</c:f>
              <c:strCache>
                <c:ptCount val="1"/>
              </c:strCache>
            </c:strRef>
          </c:tx>
          <c:marker>
            <c:symbol val="none"/>
          </c:marker>
          <c:cat>
            <c:strRef>
              <c:f>Sheet22!$A$4:$A$115</c:f>
              <c:strCache>
                <c:ptCount val="8"/>
                <c:pt idx="0">
                  <c:v>2020/4</c:v>
                </c:pt>
                <c:pt idx="1">
                  <c:v>2021/4*</c:v>
                </c:pt>
                <c:pt idx="2">
                  <c:v>2022/4*</c:v>
                </c:pt>
                <c:pt idx="3">
                  <c:v>2023/4*</c:v>
                </c:pt>
                <c:pt idx="4">
                  <c:v>2024/4*</c:v>
                </c:pt>
                <c:pt idx="5">
                  <c:v>2025/4*</c:v>
                </c:pt>
                <c:pt idx="6">
                  <c:v>2026/4*</c:v>
                </c:pt>
                <c:pt idx="7">
                  <c:v>2027/4*</c:v>
                </c:pt>
              </c:strCache>
            </c:strRef>
          </c:cat>
          <c:val>
            <c:numRef>
              <c:f>Sheet22!$T$4:$T$115</c:f>
              <c:numCache>
                <c:formatCode>General</c:formatCode>
                <c:ptCount val="8"/>
                <c:pt idx="0">
                  <c:v>5.5</c:v>
                </c:pt>
                <c:pt idx="1">
                  <c:v>5.5</c:v>
                </c:pt>
                <c:pt idx="2">
                  <c:v>5.5</c:v>
                </c:pt>
                <c:pt idx="3">
                  <c:v>5.5</c:v>
                </c:pt>
                <c:pt idx="4">
                  <c:v>5.5</c:v>
                </c:pt>
                <c:pt idx="5">
                  <c:v>5.5</c:v>
                </c:pt>
                <c:pt idx="6">
                  <c:v>5.5</c:v>
                </c:pt>
                <c:pt idx="7">
                  <c:v>5.5</c:v>
                </c:pt>
              </c:numCache>
            </c:numRef>
          </c:val>
          <c:smooth val="0"/>
          <c:extLst>
            <c:ext xmlns:c16="http://schemas.microsoft.com/office/drawing/2014/chart" uri="{C3380CC4-5D6E-409C-BE32-E72D297353CC}">
              <c16:uniqueId val="{00000012-CB37-4E12-B5DD-158008D6D4F3}"/>
            </c:ext>
          </c:extLst>
        </c:ser>
        <c:dLbls>
          <c:showLegendKey val="0"/>
          <c:showVal val="0"/>
          <c:showCatName val="0"/>
          <c:showSerName val="0"/>
          <c:showPercent val="0"/>
          <c:showBubbleSize val="0"/>
        </c:dLbls>
        <c:marker val="1"/>
        <c:smooth val="0"/>
        <c:axId val="779339560"/>
        <c:axId val="779339888"/>
      </c:lineChart>
      <c:catAx>
        <c:axId val="779339560"/>
        <c:scaling>
          <c:orientation val="minMax"/>
        </c:scaling>
        <c:delete val="0"/>
        <c:axPos val="b"/>
        <c:numFmt formatCode="General" sourceLinked="1"/>
        <c:majorTickMark val="out"/>
        <c:minorTickMark val="none"/>
        <c:tickLblPos val="nextTo"/>
        <c:crossAx val="779339888"/>
        <c:crosses val="autoZero"/>
        <c:auto val="1"/>
        <c:lblAlgn val="ctr"/>
        <c:lblOffset val="100"/>
        <c:noMultiLvlLbl val="0"/>
      </c:catAx>
      <c:valAx>
        <c:axId val="779339888"/>
        <c:scaling>
          <c:orientation val="minMax"/>
          <c:min val="-8"/>
        </c:scaling>
        <c:delete val="0"/>
        <c:axPos val="l"/>
        <c:majorGridlines/>
        <c:numFmt formatCode="General" sourceLinked="1"/>
        <c:majorTickMark val="out"/>
        <c:minorTickMark val="none"/>
        <c:tickLblPos val="nextTo"/>
        <c:crossAx val="779339560"/>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9.0829931972789116E-2"/>
          <c:w val="0.89217968048592944"/>
          <c:h val="0.61646182448347797"/>
        </c:manualLayout>
      </c:layout>
      <c:barChart>
        <c:barDir val="col"/>
        <c:grouping val="clustered"/>
        <c:varyColors val="0"/>
        <c:ser>
          <c:idx val="0"/>
          <c:order val="0"/>
          <c:tx>
            <c:strRef>
              <c:f>Sheet1!$C$1</c:f>
              <c:strCache>
                <c:ptCount val="1"/>
                <c:pt idx="0">
                  <c:v>հարկային եկամուտներ, մլրդ դրամ</c:v>
                </c:pt>
              </c:strCache>
            </c:strRef>
          </c:tx>
          <c:spPr>
            <a:solidFill>
              <a:srgbClr val="5B9BD5">
                <a:lumMod val="75000"/>
              </a:srgbClr>
            </a:solidFill>
          </c:spPr>
          <c:invertIfNegative val="0"/>
          <c:cat>
            <c:multiLvlStrRef>
              <c:f>Sheet1!$A$2:$B$18</c:f>
              <c:multiLvlStrCache>
                <c:ptCount val="1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lvl>
                <c:lvl>
                  <c:pt idx="0">
                    <c:v>2023</c:v>
                  </c:pt>
                  <c:pt idx="12">
                    <c:v>2024</c:v>
                  </c:pt>
                </c:lvl>
              </c:multiLvlStrCache>
            </c:multiLvlStrRef>
          </c:cat>
          <c:val>
            <c:numRef>
              <c:f>Sheet1!$C$2:$C$18</c:f>
              <c:numCache>
                <c:formatCode>0.0</c:formatCode>
                <c:ptCount val="17"/>
                <c:pt idx="0">
                  <c:v>177.09425397199999</c:v>
                </c:pt>
                <c:pt idx="1">
                  <c:v>298.65483477399999</c:v>
                </c:pt>
                <c:pt idx="2">
                  <c:v>473.20156282300002</c:v>
                </c:pt>
                <c:pt idx="3">
                  <c:v>781.00599860900002</c:v>
                </c:pt>
                <c:pt idx="4">
                  <c:v>936.08885146500006</c:v>
                </c:pt>
                <c:pt idx="5">
                  <c:v>1127.5440604460002</c:v>
                </c:pt>
                <c:pt idx="6">
                  <c:v>1301.2721615320002</c:v>
                </c:pt>
                <c:pt idx="7">
                  <c:v>1460.1704261199998</c:v>
                </c:pt>
                <c:pt idx="8">
                  <c:v>1654.5633375479999</c:v>
                </c:pt>
                <c:pt idx="9">
                  <c:v>1844.3327110239995</c:v>
                </c:pt>
                <c:pt idx="10">
                  <c:v>2006.5024044573997</c:v>
                </c:pt>
                <c:pt idx="11">
                  <c:v>2273.8712139587001</c:v>
                </c:pt>
                <c:pt idx="12">
                  <c:v>177.59116196000002</c:v>
                </c:pt>
                <c:pt idx="13">
                  <c:v>309.75939012999999</c:v>
                </c:pt>
                <c:pt idx="14">
                  <c:v>500.60774258999993</c:v>
                </c:pt>
                <c:pt idx="15">
                  <c:v>828.7562270200001</c:v>
                </c:pt>
                <c:pt idx="16">
                  <c:v>984.11054227500006</c:v>
                </c:pt>
              </c:numCache>
            </c:numRef>
          </c:val>
          <c:extLst>
            <c:ext xmlns:c16="http://schemas.microsoft.com/office/drawing/2014/chart" uri="{C3380CC4-5D6E-409C-BE32-E72D297353CC}">
              <c16:uniqueId val="{00000000-F412-4795-94CA-C7CE14BF9A1F}"/>
            </c:ext>
          </c:extLst>
        </c:ser>
        <c:dLbls>
          <c:showLegendKey val="0"/>
          <c:showVal val="0"/>
          <c:showCatName val="0"/>
          <c:showSerName val="0"/>
          <c:showPercent val="0"/>
          <c:showBubbleSize val="0"/>
        </c:dLbls>
        <c:gapWidth val="150"/>
        <c:axId val="317155200"/>
        <c:axId val="317156736"/>
      </c:barChart>
      <c:lineChart>
        <c:grouping val="standard"/>
        <c:varyColors val="0"/>
        <c:ser>
          <c:idx val="2"/>
          <c:order val="1"/>
          <c:tx>
            <c:strRef>
              <c:f>Sheet1!$D$1</c:f>
              <c:strCache>
                <c:ptCount val="1"/>
                <c:pt idx="0">
                  <c:v>հարկային եկամուտների աճը, %</c:v>
                </c:pt>
              </c:strCache>
            </c:strRef>
          </c:tx>
          <c:spPr>
            <a:ln>
              <a:solidFill>
                <a:srgbClr val="ED7D31"/>
              </a:solidFill>
            </a:ln>
          </c:spPr>
          <c:marker>
            <c:symbol val="none"/>
          </c:marker>
          <c:cat>
            <c:numRef>
              <c:f>Sheet1!$B$2:$B$18</c:f>
              <c:numCache>
                <c:formatCode>0</c:formatCode>
                <c:ptCount val="17"/>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numCache>
            </c:numRef>
          </c:cat>
          <c:val>
            <c:numRef>
              <c:f>Sheet1!$D$2:$D$18</c:f>
              <c:numCache>
                <c:formatCode>0.0</c:formatCode>
                <c:ptCount val="17"/>
                <c:pt idx="0">
                  <c:v>17.971492181252554</c:v>
                </c:pt>
                <c:pt idx="1">
                  <c:v>13.947507725878522</c:v>
                </c:pt>
                <c:pt idx="2">
                  <c:v>15.942906330278307</c:v>
                </c:pt>
                <c:pt idx="3">
                  <c:v>20.734633182737312</c:v>
                </c:pt>
                <c:pt idx="4">
                  <c:v>20.344750666697276</c:v>
                </c:pt>
                <c:pt idx="5">
                  <c:v>19.429439936988175</c:v>
                </c:pt>
                <c:pt idx="6">
                  <c:v>17.081151936657538</c:v>
                </c:pt>
                <c:pt idx="7">
                  <c:v>16.090259432630749</c:v>
                </c:pt>
                <c:pt idx="8">
                  <c:v>15.574719884311689</c:v>
                </c:pt>
                <c:pt idx="9">
                  <c:v>15.657519192635204</c:v>
                </c:pt>
                <c:pt idx="10">
                  <c:v>14.726107925978313</c:v>
                </c:pt>
                <c:pt idx="11">
                  <c:v>15.867840863049112</c:v>
                </c:pt>
                <c:pt idx="12">
                  <c:v>0.28058955999701146</c:v>
                </c:pt>
                <c:pt idx="13">
                  <c:v>3.718190386706155</c:v>
                </c:pt>
                <c:pt idx="14">
                  <c:v>5.791650307218263</c:v>
                </c:pt>
                <c:pt idx="15">
                  <c:v>6.1139387528450424</c:v>
                </c:pt>
                <c:pt idx="16">
                  <c:v>5.1300355446859998</c:v>
                </c:pt>
              </c:numCache>
            </c:numRef>
          </c:val>
          <c:smooth val="0"/>
          <c:extLst>
            <c:ext xmlns:c16="http://schemas.microsoft.com/office/drawing/2014/chart" uri="{C3380CC4-5D6E-409C-BE32-E72D297353CC}">
              <c16:uniqueId val="{00000001-F412-4795-94CA-C7CE14BF9A1F}"/>
            </c:ext>
          </c:extLst>
        </c:ser>
        <c:dLbls>
          <c:showLegendKey val="0"/>
          <c:showVal val="0"/>
          <c:showCatName val="0"/>
          <c:showSerName val="0"/>
          <c:showPercent val="0"/>
          <c:showBubbleSize val="0"/>
        </c:dLbls>
        <c:marker val="1"/>
        <c:smooth val="0"/>
        <c:axId val="1863500351"/>
        <c:axId val="1863513247"/>
      </c:lineChart>
      <c:catAx>
        <c:axId val="317155200"/>
        <c:scaling>
          <c:orientation val="minMax"/>
        </c:scaling>
        <c:delete val="0"/>
        <c:axPos val="b"/>
        <c:numFmt formatCode="General" sourceLinked="0"/>
        <c:majorTickMark val="none"/>
        <c:minorTickMark val="none"/>
        <c:tickLblPos val="nextTo"/>
        <c:txPr>
          <a:bodyPr rot="0" vert="horz"/>
          <a:lstStyle/>
          <a:p>
            <a:pPr>
              <a:defRPr sz="800" b="0" i="0" u="none" strike="noStrike" baseline="0">
                <a:solidFill>
                  <a:srgbClr val="000000"/>
                </a:solidFill>
                <a:latin typeface="GHEA Grapalat"/>
                <a:ea typeface="GHEA Grapalat"/>
                <a:cs typeface="GHEA Grapalat"/>
              </a:defRPr>
            </a:pPr>
            <a:endParaRPr lang="en-US"/>
          </a:p>
        </c:txPr>
        <c:crossAx val="317156736"/>
        <c:crosses val="autoZero"/>
        <c:auto val="1"/>
        <c:lblAlgn val="ctr"/>
        <c:lblOffset val="100"/>
        <c:tickLblSkip val="1"/>
        <c:noMultiLvlLbl val="0"/>
      </c:catAx>
      <c:valAx>
        <c:axId val="317156736"/>
        <c:scaling>
          <c:orientation val="minMax"/>
        </c:scaling>
        <c:delete val="0"/>
        <c:axPos val="l"/>
        <c:numFmt formatCode="0.0" sourceLinked="1"/>
        <c:majorTickMark val="none"/>
        <c:minorTickMark val="none"/>
        <c:tickLblPos val="nextTo"/>
        <c:spPr>
          <a:ln>
            <a:noFill/>
          </a:ln>
        </c:spPr>
        <c:txPr>
          <a:bodyPr rot="0" vert="horz"/>
          <a:lstStyle/>
          <a:p>
            <a:pPr>
              <a:defRPr sz="900" b="0" i="0" u="none" strike="noStrike" baseline="0">
                <a:solidFill>
                  <a:srgbClr val="000000"/>
                </a:solidFill>
                <a:latin typeface="GHEA Grapalat"/>
                <a:ea typeface="GHEA Grapalat"/>
                <a:cs typeface="GHEA Grapalat"/>
              </a:defRPr>
            </a:pPr>
            <a:endParaRPr lang="en-US"/>
          </a:p>
        </c:txPr>
        <c:crossAx val="317155200"/>
        <c:crosses val="autoZero"/>
        <c:crossBetween val="between"/>
      </c:valAx>
      <c:valAx>
        <c:axId val="1863513247"/>
        <c:scaling>
          <c:orientation val="minMax"/>
        </c:scaling>
        <c:delete val="0"/>
        <c:axPos val="r"/>
        <c:majorGridlines>
          <c:spPr>
            <a:ln>
              <a:solidFill>
                <a:srgbClr val="A5A5A5">
                  <a:lumMod val="40000"/>
                  <a:lumOff val="60000"/>
                </a:srgbClr>
              </a:solidFill>
            </a:ln>
          </c:spPr>
        </c:majorGridlines>
        <c:numFmt formatCode="0.0" sourceLinked="1"/>
        <c:majorTickMark val="out"/>
        <c:minorTickMark val="none"/>
        <c:tickLblPos val="nextTo"/>
        <c:spPr>
          <a:ln>
            <a:noFill/>
          </a:ln>
        </c:spPr>
        <c:crossAx val="1863500351"/>
        <c:crosses val="max"/>
        <c:crossBetween val="between"/>
      </c:valAx>
      <c:catAx>
        <c:axId val="1863500351"/>
        <c:scaling>
          <c:orientation val="minMax"/>
        </c:scaling>
        <c:delete val="1"/>
        <c:axPos val="b"/>
        <c:numFmt formatCode="0" sourceLinked="1"/>
        <c:majorTickMark val="out"/>
        <c:minorTickMark val="none"/>
        <c:tickLblPos val="nextTo"/>
        <c:crossAx val="1863513247"/>
        <c:crosses val="autoZero"/>
        <c:auto val="1"/>
        <c:lblAlgn val="ctr"/>
        <c:lblOffset val="100"/>
        <c:noMultiLvlLbl val="0"/>
      </c:catAx>
      <c:spPr>
        <a:ln w="25332">
          <a:noFill/>
        </a:ln>
      </c:spPr>
    </c:plotArea>
    <c:legend>
      <c:legendPos val="r"/>
      <c:layout>
        <c:manualLayout>
          <c:xMode val="edge"/>
          <c:yMode val="edge"/>
          <c:x val="5.1009457478459344E-3"/>
          <c:y val="0.89607294663388315"/>
          <c:w val="0.95524351924587592"/>
          <c:h val="0.10392705336611685"/>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rgbClr val="A5A5A5">
          <a:alpha val="30000"/>
        </a:srgb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9.0829931972789116E-2"/>
          <c:w val="0.89217968048592944"/>
          <c:h val="0.57317176262058156"/>
        </c:manualLayout>
      </c:layout>
      <c:barChart>
        <c:barDir val="col"/>
        <c:grouping val="stacked"/>
        <c:varyColors val="0"/>
        <c:ser>
          <c:idx val="0"/>
          <c:order val="0"/>
          <c:tx>
            <c:strRef>
              <c:f>Sheet1!$C$1</c:f>
              <c:strCache>
                <c:ptCount val="1"/>
                <c:pt idx="0">
                  <c:v>Կապիտալ ծախսեր, %</c:v>
                </c:pt>
              </c:strCache>
            </c:strRef>
          </c:tx>
          <c:spPr>
            <a:solidFill>
              <a:srgbClr val="4472C4">
                <a:lumMod val="40000"/>
                <a:lumOff val="60000"/>
              </a:srgbClr>
            </a:solidFill>
            <a:ln>
              <a:solidFill>
                <a:srgbClr val="A5A5A5">
                  <a:lumMod val="40000"/>
                  <a:lumOff val="60000"/>
                </a:srgbClr>
              </a:solidFill>
            </a:ln>
          </c:spPr>
          <c:invertIfNegative val="0"/>
          <c:cat>
            <c:multiLvlStrRef>
              <c:f>Sheet1!$A$2:$B$18</c:f>
              <c:multiLvlStrCache>
                <c:ptCount val="1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lvl>
                <c:lvl>
                  <c:pt idx="0">
                    <c:v>2023</c:v>
                  </c:pt>
                  <c:pt idx="12">
                    <c:v>2024</c:v>
                  </c:pt>
                </c:lvl>
              </c:multiLvlStrCache>
            </c:multiLvlStrRef>
          </c:cat>
          <c:val>
            <c:numRef>
              <c:f>Sheet1!$C$2:$C$18</c:f>
              <c:numCache>
                <c:formatCode>0.0</c:formatCode>
                <c:ptCount val="17"/>
                <c:pt idx="0">
                  <c:v>-4.394678129617926</c:v>
                </c:pt>
                <c:pt idx="1">
                  <c:v>-3.1981665470768785</c:v>
                </c:pt>
                <c:pt idx="2">
                  <c:v>-1.5095247386901531</c:v>
                </c:pt>
                <c:pt idx="3">
                  <c:v>1.5613875929589813</c:v>
                </c:pt>
                <c:pt idx="4">
                  <c:v>1.6727489896700625</c:v>
                </c:pt>
                <c:pt idx="5">
                  <c:v>1.8818851500339642</c:v>
                </c:pt>
                <c:pt idx="6">
                  <c:v>2.8628038454126594</c:v>
                </c:pt>
                <c:pt idx="7">
                  <c:v>3.32807099035931</c:v>
                </c:pt>
                <c:pt idx="8">
                  <c:v>3.959752974496344</c:v>
                </c:pt>
                <c:pt idx="9">
                  <c:v>3.8380772053039833</c:v>
                </c:pt>
                <c:pt idx="10">
                  <c:v>1.9217573133070283</c:v>
                </c:pt>
                <c:pt idx="11">
                  <c:v>4.0455870701776737</c:v>
                </c:pt>
                <c:pt idx="12">
                  <c:v>-2.0811534599553543</c:v>
                </c:pt>
                <c:pt idx="13">
                  <c:v>10.158357962241119</c:v>
                </c:pt>
                <c:pt idx="14">
                  <c:v>8.3699179889882096</c:v>
                </c:pt>
                <c:pt idx="15">
                  <c:v>1.3689432347907868</c:v>
                </c:pt>
                <c:pt idx="16">
                  <c:v>3.0200301063856232</c:v>
                </c:pt>
              </c:numCache>
            </c:numRef>
          </c:val>
          <c:extLst>
            <c:ext xmlns:c16="http://schemas.microsoft.com/office/drawing/2014/chart" uri="{C3380CC4-5D6E-409C-BE32-E72D297353CC}">
              <c16:uniqueId val="{00000000-8147-4F9B-AC50-F95CB763142C}"/>
            </c:ext>
          </c:extLst>
        </c:ser>
        <c:ser>
          <c:idx val="2"/>
          <c:order val="1"/>
          <c:tx>
            <c:strRef>
              <c:f>Sheet1!$D$1</c:f>
              <c:strCache>
                <c:ptCount val="1"/>
                <c:pt idx="0">
                  <c:v>Ընթացիկ ծախսեր, %</c:v>
                </c:pt>
              </c:strCache>
            </c:strRef>
          </c:tx>
          <c:spPr>
            <a:solidFill>
              <a:srgbClr val="4472C4"/>
            </a:solidFill>
          </c:spPr>
          <c:invertIfNegative val="0"/>
          <c:cat>
            <c:multiLvlStrRef>
              <c:f>Sheet1!$A$2:$B$18</c:f>
              <c:multiLvlStrCache>
                <c:ptCount val="1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lvl>
                <c:lvl>
                  <c:pt idx="0">
                    <c:v>2023</c:v>
                  </c:pt>
                  <c:pt idx="12">
                    <c:v>2024</c:v>
                  </c:pt>
                </c:lvl>
              </c:multiLvlStrCache>
            </c:multiLvlStrRef>
          </c:cat>
          <c:val>
            <c:numRef>
              <c:f>Sheet1!$D$2:$D$18</c:f>
              <c:numCache>
                <c:formatCode>0.0</c:formatCode>
                <c:ptCount val="17"/>
                <c:pt idx="0">
                  <c:v>15.031655552935128</c:v>
                </c:pt>
                <c:pt idx="1">
                  <c:v>11.156953305600156</c:v>
                </c:pt>
                <c:pt idx="2">
                  <c:v>8.9554928723852427</c:v>
                </c:pt>
                <c:pt idx="3">
                  <c:v>1.388111692759173</c:v>
                </c:pt>
                <c:pt idx="4">
                  <c:v>11.750693791750802</c:v>
                </c:pt>
                <c:pt idx="5">
                  <c:v>11.486296106996859</c:v>
                </c:pt>
                <c:pt idx="6">
                  <c:v>10.904934882248551</c:v>
                </c:pt>
                <c:pt idx="7">
                  <c:v>11.011137925396699</c:v>
                </c:pt>
                <c:pt idx="8">
                  <c:v>9.3524951703715651</c:v>
                </c:pt>
                <c:pt idx="9">
                  <c:v>11.017707351893398</c:v>
                </c:pt>
                <c:pt idx="10">
                  <c:v>9.6929694121102052</c:v>
                </c:pt>
                <c:pt idx="11">
                  <c:v>10.017248150860334</c:v>
                </c:pt>
                <c:pt idx="12">
                  <c:v>12.608009508609129</c:v>
                </c:pt>
                <c:pt idx="13">
                  <c:v>14.311326212197878</c:v>
                </c:pt>
                <c:pt idx="14">
                  <c:v>12.658041552856536</c:v>
                </c:pt>
                <c:pt idx="15">
                  <c:v>25.792701617885811</c:v>
                </c:pt>
                <c:pt idx="16">
                  <c:v>14.147720944018527</c:v>
                </c:pt>
              </c:numCache>
            </c:numRef>
          </c:val>
          <c:extLst>
            <c:ext xmlns:c16="http://schemas.microsoft.com/office/drawing/2014/chart" uri="{C3380CC4-5D6E-409C-BE32-E72D297353CC}">
              <c16:uniqueId val="{00000001-8147-4F9B-AC50-F95CB763142C}"/>
            </c:ext>
          </c:extLst>
        </c:ser>
        <c:dLbls>
          <c:showLegendKey val="0"/>
          <c:showVal val="0"/>
          <c:showCatName val="0"/>
          <c:showSerName val="0"/>
          <c:showPercent val="0"/>
          <c:showBubbleSize val="0"/>
        </c:dLbls>
        <c:gapWidth val="150"/>
        <c:overlap val="100"/>
        <c:axId val="317155200"/>
        <c:axId val="317156736"/>
      </c:barChart>
      <c:lineChart>
        <c:grouping val="standard"/>
        <c:varyColors val="0"/>
        <c:ser>
          <c:idx val="1"/>
          <c:order val="2"/>
          <c:tx>
            <c:strRef>
              <c:f>Sheet1!$E$1</c:f>
              <c:strCache>
                <c:ptCount val="1"/>
                <c:pt idx="0">
                  <c:v>Ծախսերի աճը, %</c:v>
                </c:pt>
              </c:strCache>
            </c:strRef>
          </c:tx>
          <c:spPr>
            <a:ln>
              <a:solidFill>
                <a:srgbClr val="ED7D31"/>
              </a:solidFill>
            </a:ln>
          </c:spPr>
          <c:marker>
            <c:symbol val="none"/>
          </c:marker>
          <c:cat>
            <c:multiLvlStrRef>
              <c:f>Sheet1!$A$2:$B$18</c:f>
              <c:multiLvlStrCache>
                <c:ptCount val="1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lvl>
                <c:lvl>
                  <c:pt idx="0">
                    <c:v>2023</c:v>
                  </c:pt>
                  <c:pt idx="12">
                    <c:v>2024</c:v>
                  </c:pt>
                </c:lvl>
              </c:multiLvlStrCache>
            </c:multiLvlStrRef>
          </c:cat>
          <c:val>
            <c:numRef>
              <c:f>Sheet1!$E$2:$E$18</c:f>
              <c:numCache>
                <c:formatCode>0.0</c:formatCode>
                <c:ptCount val="17"/>
                <c:pt idx="0">
                  <c:v>10.636977423317191</c:v>
                </c:pt>
                <c:pt idx="1">
                  <c:v>7.9587867585232877</c:v>
                </c:pt>
                <c:pt idx="2">
                  <c:v>7.4459681336950894</c:v>
                </c:pt>
                <c:pt idx="3">
                  <c:v>2.9494992857181757</c:v>
                </c:pt>
                <c:pt idx="4">
                  <c:v>13.423442781420874</c:v>
                </c:pt>
                <c:pt idx="5">
                  <c:v>13.368181257030827</c:v>
                </c:pt>
                <c:pt idx="6">
                  <c:v>13.767738727661198</c:v>
                </c:pt>
                <c:pt idx="7">
                  <c:v>14.339208915755989</c:v>
                </c:pt>
                <c:pt idx="8">
                  <c:v>13.312248144867908</c:v>
                </c:pt>
                <c:pt idx="9">
                  <c:v>14.85578455719738</c:v>
                </c:pt>
                <c:pt idx="10">
                  <c:v>11.614726725417214</c:v>
                </c:pt>
                <c:pt idx="11">
                  <c:v>14.062835221037998</c:v>
                </c:pt>
                <c:pt idx="12">
                  <c:v>10.526856048653769</c:v>
                </c:pt>
                <c:pt idx="13">
                  <c:v>24.469684174438974</c:v>
                </c:pt>
                <c:pt idx="14">
                  <c:v>21.027959541844734</c:v>
                </c:pt>
                <c:pt idx="15">
                  <c:v>27.161644852676574</c:v>
                </c:pt>
                <c:pt idx="16">
                  <c:v>17.167751050404149</c:v>
                </c:pt>
              </c:numCache>
            </c:numRef>
          </c:val>
          <c:smooth val="0"/>
          <c:extLst>
            <c:ext xmlns:c16="http://schemas.microsoft.com/office/drawing/2014/chart" uri="{C3380CC4-5D6E-409C-BE32-E72D297353CC}">
              <c16:uniqueId val="{00000002-8147-4F9B-AC50-F95CB763142C}"/>
            </c:ext>
          </c:extLst>
        </c:ser>
        <c:dLbls>
          <c:showLegendKey val="0"/>
          <c:showVal val="0"/>
          <c:showCatName val="0"/>
          <c:showSerName val="0"/>
          <c:showPercent val="0"/>
          <c:showBubbleSize val="0"/>
        </c:dLbls>
        <c:marker val="1"/>
        <c:smooth val="0"/>
        <c:axId val="317155200"/>
        <c:axId val="317156736"/>
      </c:lineChart>
      <c:catAx>
        <c:axId val="317155200"/>
        <c:scaling>
          <c:orientation val="minMax"/>
        </c:scaling>
        <c:delete val="0"/>
        <c:axPos val="b"/>
        <c:numFmt formatCode="General" sourceLinked="0"/>
        <c:majorTickMark val="none"/>
        <c:minorTickMark val="none"/>
        <c:tickLblPos val="low"/>
        <c:txPr>
          <a:bodyPr rot="0" vert="horz"/>
          <a:lstStyle/>
          <a:p>
            <a:pPr>
              <a:defRPr sz="800" b="0" i="0" u="none" strike="noStrike" baseline="0">
                <a:solidFill>
                  <a:srgbClr val="000000"/>
                </a:solidFill>
                <a:latin typeface="GHEA Grapalat"/>
                <a:ea typeface="GHEA Grapalat"/>
                <a:cs typeface="GHEA Grapalat"/>
              </a:defRPr>
            </a:pPr>
            <a:endParaRPr lang="en-US"/>
          </a:p>
        </c:txPr>
        <c:crossAx val="317156736"/>
        <c:crosses val="autoZero"/>
        <c:auto val="1"/>
        <c:lblAlgn val="ctr"/>
        <c:lblOffset val="100"/>
        <c:tickLblSkip val="1"/>
        <c:noMultiLvlLbl val="0"/>
      </c:catAx>
      <c:valAx>
        <c:axId val="317156736"/>
        <c:scaling>
          <c:orientation val="minMax"/>
          <c:max val="26"/>
          <c:min val="-5"/>
        </c:scaling>
        <c:delete val="0"/>
        <c:axPos val="l"/>
        <c:majorGridlines>
          <c:spPr>
            <a:ln>
              <a:solidFill>
                <a:srgbClr val="A5A5A5">
                  <a:lumMod val="40000"/>
                  <a:lumOff val="60000"/>
                </a:srgbClr>
              </a:solidFill>
            </a:ln>
          </c:spPr>
        </c:majorGridlines>
        <c:numFmt formatCode="0.0" sourceLinked="1"/>
        <c:majorTickMark val="none"/>
        <c:minorTickMark val="none"/>
        <c:tickLblPos val="nextTo"/>
        <c:spPr>
          <a:ln>
            <a:noFill/>
          </a:ln>
        </c:spPr>
        <c:txPr>
          <a:bodyPr rot="0" vert="horz"/>
          <a:lstStyle/>
          <a:p>
            <a:pPr>
              <a:defRPr sz="900" b="0" i="0" u="none" strike="noStrike" baseline="0">
                <a:solidFill>
                  <a:srgbClr val="000000"/>
                </a:solidFill>
                <a:latin typeface="GHEA Grapalat"/>
                <a:ea typeface="GHEA Grapalat"/>
                <a:cs typeface="GHEA Grapalat"/>
              </a:defRPr>
            </a:pPr>
            <a:endParaRPr lang="en-US"/>
          </a:p>
        </c:txPr>
        <c:crossAx val="317155200"/>
        <c:crosses val="autoZero"/>
        <c:crossBetween val="between"/>
        <c:majorUnit val="3"/>
        <c:minorUnit val="1"/>
      </c:valAx>
      <c:spPr>
        <a:ln w="25332">
          <a:noFill/>
        </a:ln>
      </c:spPr>
    </c:plotArea>
    <c:legend>
      <c:legendPos val="r"/>
      <c:layout>
        <c:manualLayout>
          <c:xMode val="edge"/>
          <c:yMode val="edge"/>
          <c:x val="5.1009457478459344E-3"/>
          <c:y val="0.8311378123189147"/>
          <c:w val="0.96377101970843593"/>
          <c:h val="0.16886218768108535"/>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rgbClr val="A5A5A5">
          <a:alpha val="30000"/>
        </a:srgb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97139780604335"/>
          <c:y val="4.1079906678331876E-2"/>
          <c:w val="0.784643986809341"/>
          <c:h val="0.69521804686532596"/>
        </c:manualLayout>
      </c:layout>
      <c:areaChart>
        <c:grouping val="standard"/>
        <c:varyColors val="0"/>
        <c:ser>
          <c:idx val="3"/>
          <c:order val="3"/>
          <c:tx>
            <c:strRef>
              <c:f>Sheet1!$E$1</c:f>
              <c:strCache>
                <c:ptCount val="1"/>
                <c:pt idx="0">
                  <c:v>Column1</c:v>
                </c:pt>
              </c:strCache>
            </c:strRef>
          </c:tx>
          <c:spPr>
            <a:solidFill>
              <a:srgbClr val="A5A5A5">
                <a:lumMod val="20000"/>
                <a:lumOff val="80000"/>
              </a:srgbClr>
            </a:solidFill>
          </c:spPr>
          <c:cat>
            <c:strRef>
              <c:f>Sheet1!$A$2:$A$10</c:f>
              <c:strCache>
                <c:ptCount val="7"/>
                <c:pt idx="0">
                  <c:v>2021</c:v>
                </c:pt>
                <c:pt idx="1">
                  <c:v>2022</c:v>
                </c:pt>
                <c:pt idx="2">
                  <c:v>2023</c:v>
                </c:pt>
                <c:pt idx="3">
                  <c:v>2024*</c:v>
                </c:pt>
                <c:pt idx="4">
                  <c:v>2025*</c:v>
                </c:pt>
                <c:pt idx="5">
                  <c:v>2026*</c:v>
                </c:pt>
                <c:pt idx="6">
                  <c:v>2027*</c:v>
                </c:pt>
              </c:strCache>
            </c:strRef>
          </c:cat>
          <c:val>
            <c:numRef>
              <c:f>Sheet1!$E$2:$E$10</c:f>
              <c:numCache>
                <c:formatCode>General</c:formatCode>
                <c:ptCount val="7"/>
                <c:pt idx="3" formatCode="0.0">
                  <c:v>-1000</c:v>
                </c:pt>
                <c:pt idx="4" formatCode="0.0">
                  <c:v>-1000</c:v>
                </c:pt>
                <c:pt idx="5" formatCode="0.0">
                  <c:v>-1000</c:v>
                </c:pt>
                <c:pt idx="6" formatCode="0.0">
                  <c:v>-1000</c:v>
                </c:pt>
              </c:numCache>
            </c:numRef>
          </c:val>
          <c:extLst>
            <c:ext xmlns:c16="http://schemas.microsoft.com/office/drawing/2014/chart" uri="{C3380CC4-5D6E-409C-BE32-E72D297353CC}">
              <c16:uniqueId val="{00000000-093A-4EDE-93B0-050D48E0F718}"/>
            </c:ext>
          </c:extLst>
        </c:ser>
        <c:ser>
          <c:idx val="4"/>
          <c:order val="4"/>
          <c:tx>
            <c:strRef>
              <c:f>Sheet1!$F$1</c:f>
              <c:strCache>
                <c:ptCount val="1"/>
                <c:pt idx="0">
                  <c:v>Column12</c:v>
                </c:pt>
              </c:strCache>
            </c:strRef>
          </c:tx>
          <c:spPr>
            <a:solidFill>
              <a:srgbClr val="A5A5A5">
                <a:lumMod val="20000"/>
                <a:lumOff val="80000"/>
              </a:srgbClr>
            </a:solidFill>
            <a:ln>
              <a:solidFill>
                <a:srgbClr val="44546A">
                  <a:lumMod val="15000"/>
                  <a:lumOff val="85000"/>
                </a:srgbClr>
              </a:solidFill>
            </a:ln>
          </c:spPr>
          <c:cat>
            <c:strRef>
              <c:f>Sheet1!$A$2:$A$10</c:f>
              <c:strCache>
                <c:ptCount val="7"/>
                <c:pt idx="0">
                  <c:v>2021</c:v>
                </c:pt>
                <c:pt idx="1">
                  <c:v>2022</c:v>
                </c:pt>
                <c:pt idx="2">
                  <c:v>2023</c:v>
                </c:pt>
                <c:pt idx="3">
                  <c:v>2024*</c:v>
                </c:pt>
                <c:pt idx="4">
                  <c:v>2025*</c:v>
                </c:pt>
                <c:pt idx="5">
                  <c:v>2026*</c:v>
                </c:pt>
                <c:pt idx="6">
                  <c:v>2027*</c:v>
                </c:pt>
              </c:strCache>
            </c:strRef>
          </c:cat>
          <c:val>
            <c:numRef>
              <c:f>Sheet1!$F$2:$F$10</c:f>
              <c:numCache>
                <c:formatCode>General</c:formatCode>
                <c:ptCount val="7"/>
                <c:pt idx="3" formatCode="0.0">
                  <c:v>4500</c:v>
                </c:pt>
                <c:pt idx="4" formatCode="0.0">
                  <c:v>4500</c:v>
                </c:pt>
                <c:pt idx="5" formatCode="0.0">
                  <c:v>4500</c:v>
                </c:pt>
                <c:pt idx="6" formatCode="0.0">
                  <c:v>4500</c:v>
                </c:pt>
              </c:numCache>
            </c:numRef>
          </c:val>
          <c:extLst>
            <c:ext xmlns:c16="http://schemas.microsoft.com/office/drawing/2014/chart" uri="{C3380CC4-5D6E-409C-BE32-E72D297353CC}">
              <c16:uniqueId val="{00000001-093A-4EDE-93B0-050D48E0F718}"/>
            </c:ext>
          </c:extLst>
        </c:ser>
        <c:dLbls>
          <c:showLegendKey val="0"/>
          <c:showVal val="0"/>
          <c:showCatName val="0"/>
          <c:showSerName val="0"/>
          <c:showPercent val="0"/>
          <c:showBubbleSize val="0"/>
        </c:dLbls>
        <c:axId val="665841664"/>
        <c:axId val="665843200"/>
      </c:areaChart>
      <c:barChart>
        <c:barDir val="col"/>
        <c:grouping val="clustered"/>
        <c:varyColors val="0"/>
        <c:ser>
          <c:idx val="0"/>
          <c:order val="0"/>
          <c:tx>
            <c:strRef>
              <c:f>Sheet1!$B$1</c:f>
              <c:strCache>
                <c:ptCount val="1"/>
                <c:pt idx="0">
                  <c:v>Եկամուտներ</c:v>
                </c:pt>
              </c:strCache>
            </c:strRef>
          </c:tx>
          <c:spPr>
            <a:solidFill>
              <a:srgbClr val="A5A5A5">
                <a:lumMod val="75000"/>
              </a:srgbClr>
            </a:solidFill>
            <a:ln>
              <a:no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sz="8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Sheet1!$B$2:$B$10</c:f>
              <c:numCache>
                <c:formatCode>0.0</c:formatCode>
                <c:ptCount val="7"/>
                <c:pt idx="0">
                  <c:v>1706.57382925</c:v>
                </c:pt>
                <c:pt idx="1">
                  <c:v>2099.5970693250001</c:v>
                </c:pt>
                <c:pt idx="2">
                  <c:v>2410.6799114426999</c:v>
                </c:pt>
                <c:pt idx="3">
                  <c:v>2634.6597327506424</c:v>
                </c:pt>
                <c:pt idx="4">
                  <c:v>2897.5926634530265</c:v>
                </c:pt>
                <c:pt idx="5">
                  <c:v>3258.2440503860885</c:v>
                </c:pt>
                <c:pt idx="6">
                  <c:v>3614.0656578065632</c:v>
                </c:pt>
              </c:numCache>
            </c:numRef>
          </c:val>
          <c:extLst>
            <c:ext xmlns:c16="http://schemas.microsoft.com/office/drawing/2014/chart" uri="{C3380CC4-5D6E-409C-BE32-E72D297353CC}">
              <c16:uniqueId val="{00000002-093A-4EDE-93B0-050D48E0F718}"/>
            </c:ext>
          </c:extLst>
        </c:ser>
        <c:ser>
          <c:idx val="1"/>
          <c:order val="1"/>
          <c:tx>
            <c:strRef>
              <c:f>Sheet1!$C$1</c:f>
              <c:strCache>
                <c:ptCount val="1"/>
                <c:pt idx="0">
                  <c:v>Ծախսեր</c:v>
                </c:pt>
              </c:strCache>
            </c:strRef>
          </c:tx>
          <c:spPr>
            <a:solidFill>
              <a:srgbClr val="4472C4"/>
            </a:solidFill>
            <a:ln>
              <a:solidFill>
                <a:srgbClr val="4472C4"/>
              </a:solid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Sheet1!$C$2:$C$10</c:f>
              <c:numCache>
                <c:formatCode>0.0</c:formatCode>
                <c:ptCount val="7"/>
                <c:pt idx="0">
                  <c:v>2027.0433564700002</c:v>
                </c:pt>
                <c:pt idx="1">
                  <c:v>2279.1271803100003</c:v>
                </c:pt>
                <c:pt idx="2">
                  <c:v>2599.5711782929998</c:v>
                </c:pt>
                <c:pt idx="3">
                  <c:v>3117.5854945506426</c:v>
                </c:pt>
                <c:pt idx="4">
                  <c:v>3513.4401056429219</c:v>
                </c:pt>
                <c:pt idx="5">
                  <c:v>3812.1439582274133</c:v>
                </c:pt>
                <c:pt idx="6">
                  <c:v>4086.7515302715087</c:v>
                </c:pt>
              </c:numCache>
            </c:numRef>
          </c:val>
          <c:extLst>
            <c:ext xmlns:c16="http://schemas.microsoft.com/office/drawing/2014/chart" uri="{C3380CC4-5D6E-409C-BE32-E72D297353CC}">
              <c16:uniqueId val="{00000003-093A-4EDE-93B0-050D48E0F718}"/>
            </c:ext>
          </c:extLst>
        </c:ser>
        <c:ser>
          <c:idx val="2"/>
          <c:order val="2"/>
          <c:tx>
            <c:strRef>
              <c:f>Sheet1!$D$1</c:f>
              <c:strCache>
                <c:ptCount val="1"/>
                <c:pt idx="0">
                  <c:v>Բյուջեի հաշվեկշիռ</c:v>
                </c:pt>
              </c:strCache>
            </c:strRef>
          </c:tx>
          <c:spPr>
            <a:solidFill>
              <a:srgbClr val="ED7D31"/>
            </a:solidFill>
            <a:ln w="31765" cap="rnd">
              <a:solidFill>
                <a:srgbClr val="ED7D31"/>
              </a:solidFill>
              <a:round/>
            </a:ln>
            <a:effectLst>
              <a:outerShdw blurRad="40000" dist="23000" dir="5400000" rotWithShape="0">
                <a:srgbClr val="000000">
                  <a:alpha val="35000"/>
                </a:srgbClr>
              </a:outerShdw>
            </a:effectLst>
          </c:spPr>
          <c:invertIfNegative val="0"/>
          <c:dLbls>
            <c:dLbl>
              <c:idx val="1"/>
              <c:layout>
                <c:manualLayout>
                  <c:x val="0"/>
                  <c:y val="5.38035900852201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3A-4EDE-93B0-050D48E0F718}"/>
                </c:ext>
              </c:extLst>
            </c:dLbl>
            <c:dLbl>
              <c:idx val="2"/>
              <c:layout>
                <c:manualLayout>
                  <c:x val="0"/>
                  <c:y val="2.58208015260228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3A-4EDE-93B0-050D48E0F718}"/>
                </c:ext>
              </c:extLst>
            </c:dLbl>
            <c:dLbl>
              <c:idx val="3"/>
              <c:layout>
                <c:manualLayout>
                  <c:x val="0"/>
                  <c:y val="8.20055260082782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3A-4EDE-93B0-050D48E0F718}"/>
                </c:ext>
              </c:extLst>
            </c:dLbl>
            <c:dLbl>
              <c:idx val="4"/>
              <c:layout>
                <c:manualLayout>
                  <c:x val="0"/>
                  <c:y val="1.559805024371956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3A-4EDE-93B0-050D48E0F718}"/>
                </c:ext>
              </c:extLst>
            </c:dLbl>
            <c:spPr>
              <a:noFill/>
              <a:ln>
                <a:noFill/>
              </a:ln>
              <a:effectLst/>
            </c:spPr>
            <c:txPr>
              <a:bodyPr wrap="square" lIns="38100" tIns="19050" rIns="38100" bIns="19050" anchor="ctr">
                <a:spAutoFit/>
              </a:bodyPr>
              <a:lstStyle/>
              <a:p>
                <a:pPr>
                  <a:defRPr sz="8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Sheet1!$D$2:$D$10</c:f>
              <c:numCache>
                <c:formatCode>0.0</c:formatCode>
                <c:ptCount val="7"/>
                <c:pt idx="0">
                  <c:v>-320.46952722000015</c:v>
                </c:pt>
                <c:pt idx="1">
                  <c:v>-179.53011098500019</c:v>
                </c:pt>
                <c:pt idx="2">
                  <c:v>-188.89126685029987</c:v>
                </c:pt>
                <c:pt idx="3">
                  <c:v>-482.92576180000015</c:v>
                </c:pt>
                <c:pt idx="4">
                  <c:v>-615.84744218989545</c:v>
                </c:pt>
                <c:pt idx="5">
                  <c:v>-553.89990784132488</c:v>
                </c:pt>
                <c:pt idx="6">
                  <c:v>-472.68587246494553</c:v>
                </c:pt>
              </c:numCache>
            </c:numRef>
          </c:val>
          <c:extLst>
            <c:ext xmlns:c16="http://schemas.microsoft.com/office/drawing/2014/chart" uri="{C3380CC4-5D6E-409C-BE32-E72D297353CC}">
              <c16:uniqueId val="{00000008-093A-4EDE-93B0-050D48E0F718}"/>
            </c:ext>
          </c:extLst>
        </c:ser>
        <c:dLbls>
          <c:showLegendKey val="0"/>
          <c:showVal val="0"/>
          <c:showCatName val="0"/>
          <c:showSerName val="0"/>
          <c:showPercent val="0"/>
          <c:showBubbleSize val="0"/>
        </c:dLbls>
        <c:gapWidth val="150"/>
        <c:axId val="665841664"/>
        <c:axId val="665843200"/>
      </c:barChart>
      <c:catAx>
        <c:axId val="665841664"/>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665843200"/>
        <c:crosses val="autoZero"/>
        <c:auto val="1"/>
        <c:lblAlgn val="ctr"/>
        <c:lblOffset val="100"/>
        <c:noMultiLvlLbl val="0"/>
      </c:catAx>
      <c:valAx>
        <c:axId val="665843200"/>
        <c:scaling>
          <c:orientation val="minMax"/>
          <c:max val="4500"/>
          <c:min val="-1000"/>
        </c:scaling>
        <c:delete val="0"/>
        <c:axPos val="l"/>
        <c:majorGridlines>
          <c:spPr>
            <a:ln w="9530" cap="flat" cmpd="sng" algn="ctr">
              <a:solidFill>
                <a:schemeClr val="tx2">
                  <a:lumMod val="15000"/>
                  <a:lumOff val="85000"/>
                </a:schemeClr>
              </a:solidFill>
              <a:round/>
            </a:ln>
            <a:effectLst/>
          </c:spPr>
        </c:majorGridlines>
        <c:numFmt formatCode="General" sourceLinked="1"/>
        <c:majorTickMark val="none"/>
        <c:minorTickMark val="none"/>
        <c:tickLblPos val="nextTo"/>
        <c:spPr>
          <a:ln w="6353">
            <a:noFill/>
          </a:ln>
        </c:spPr>
        <c:txPr>
          <a:bodyPr rot="-60000000" vert="horz"/>
          <a:lstStyle/>
          <a:p>
            <a:pPr>
              <a:defRPr/>
            </a:pPr>
            <a:endParaRPr lang="en-US"/>
          </a:p>
        </c:txPr>
        <c:crossAx val="665841664"/>
        <c:crosses val="autoZero"/>
        <c:crossBetween val="between"/>
      </c:valAx>
      <c:spPr>
        <a:noFill/>
        <a:ln w="25412">
          <a:noFill/>
        </a:ln>
      </c:spPr>
    </c:plotArea>
    <c:legend>
      <c:legendPos val="b"/>
      <c:legendEntry>
        <c:idx val="0"/>
        <c:delete val="1"/>
      </c:legendEntry>
      <c:legendEntry>
        <c:idx val="1"/>
        <c:delete val="1"/>
      </c:legendEntry>
      <c:overlay val="0"/>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97139780604335"/>
          <c:y val="4.1079906678331876E-2"/>
          <c:w val="0.784643986809341"/>
          <c:h val="0.69100966257334173"/>
        </c:manualLayout>
      </c:layout>
      <c:areaChart>
        <c:grouping val="standard"/>
        <c:varyColors val="0"/>
        <c:ser>
          <c:idx val="4"/>
          <c:order val="4"/>
          <c:tx>
            <c:strRef>
              <c:f>Sheet1!$F$1</c:f>
              <c:strCache>
                <c:ptCount val="1"/>
                <c:pt idx="0">
                  <c:v>Column1</c:v>
                </c:pt>
              </c:strCache>
            </c:strRef>
          </c:tx>
          <c:spPr>
            <a:solidFill>
              <a:srgbClr val="A5A5A5">
                <a:lumMod val="20000"/>
                <a:lumOff val="80000"/>
              </a:srgbClr>
            </a:solidFill>
          </c:spPr>
          <c:cat>
            <c:strRef>
              <c:f>Sheet1!$A$2:$A$10</c:f>
              <c:strCache>
                <c:ptCount val="7"/>
                <c:pt idx="0">
                  <c:v>2021</c:v>
                </c:pt>
                <c:pt idx="1">
                  <c:v>2022</c:v>
                </c:pt>
                <c:pt idx="2">
                  <c:v>2023</c:v>
                </c:pt>
                <c:pt idx="3">
                  <c:v>2024*</c:v>
                </c:pt>
                <c:pt idx="4">
                  <c:v>2025*</c:v>
                </c:pt>
                <c:pt idx="5">
                  <c:v>2026*</c:v>
                </c:pt>
                <c:pt idx="6">
                  <c:v>2027*</c:v>
                </c:pt>
              </c:strCache>
            </c:strRef>
          </c:cat>
          <c:val>
            <c:numRef>
              <c:f>Sheet1!$F$2:$F$10</c:f>
              <c:numCache>
                <c:formatCode>General</c:formatCode>
                <c:ptCount val="7"/>
                <c:pt idx="3" formatCode="0.0">
                  <c:v>-2</c:v>
                </c:pt>
                <c:pt idx="4" formatCode="0.0">
                  <c:v>-2</c:v>
                </c:pt>
                <c:pt idx="5" formatCode="0.0">
                  <c:v>-2</c:v>
                </c:pt>
                <c:pt idx="6" formatCode="0.0">
                  <c:v>-2</c:v>
                </c:pt>
              </c:numCache>
            </c:numRef>
          </c:val>
          <c:extLst>
            <c:ext xmlns:c16="http://schemas.microsoft.com/office/drawing/2014/chart" uri="{C3380CC4-5D6E-409C-BE32-E72D297353CC}">
              <c16:uniqueId val="{00000000-8DFC-4C87-AA77-830E8741660C}"/>
            </c:ext>
          </c:extLst>
        </c:ser>
        <c:ser>
          <c:idx val="5"/>
          <c:order val="5"/>
          <c:tx>
            <c:strRef>
              <c:f>Sheet1!$G$1</c:f>
              <c:strCache>
                <c:ptCount val="1"/>
                <c:pt idx="0">
                  <c:v>Column2</c:v>
                </c:pt>
              </c:strCache>
            </c:strRef>
          </c:tx>
          <c:spPr>
            <a:solidFill>
              <a:srgbClr val="A5A5A5">
                <a:lumMod val="20000"/>
                <a:lumOff val="80000"/>
              </a:srgbClr>
            </a:solidFill>
          </c:spPr>
          <c:cat>
            <c:strRef>
              <c:f>Sheet1!$A$2:$A$10</c:f>
              <c:strCache>
                <c:ptCount val="7"/>
                <c:pt idx="0">
                  <c:v>2021</c:v>
                </c:pt>
                <c:pt idx="1">
                  <c:v>2022</c:v>
                </c:pt>
                <c:pt idx="2">
                  <c:v>2023</c:v>
                </c:pt>
                <c:pt idx="3">
                  <c:v>2024*</c:v>
                </c:pt>
                <c:pt idx="4">
                  <c:v>2025*</c:v>
                </c:pt>
                <c:pt idx="5">
                  <c:v>2026*</c:v>
                </c:pt>
                <c:pt idx="6">
                  <c:v>2027*</c:v>
                </c:pt>
              </c:strCache>
            </c:strRef>
          </c:cat>
          <c:val>
            <c:numRef>
              <c:f>Sheet1!$G$2:$G$10</c:f>
              <c:numCache>
                <c:formatCode>General</c:formatCode>
                <c:ptCount val="7"/>
                <c:pt idx="3" formatCode="0.0">
                  <c:v>8</c:v>
                </c:pt>
                <c:pt idx="4" formatCode="0.0">
                  <c:v>8</c:v>
                </c:pt>
                <c:pt idx="5" formatCode="0.0">
                  <c:v>8</c:v>
                </c:pt>
                <c:pt idx="6" formatCode="0.0">
                  <c:v>8</c:v>
                </c:pt>
              </c:numCache>
            </c:numRef>
          </c:val>
          <c:extLst>
            <c:ext xmlns:c16="http://schemas.microsoft.com/office/drawing/2014/chart" uri="{C3380CC4-5D6E-409C-BE32-E72D297353CC}">
              <c16:uniqueId val="{00000001-8DFC-4C87-AA77-830E8741660C}"/>
            </c:ext>
          </c:extLst>
        </c:ser>
        <c:dLbls>
          <c:showLegendKey val="0"/>
          <c:showVal val="0"/>
          <c:showCatName val="0"/>
          <c:showSerName val="0"/>
          <c:showPercent val="0"/>
          <c:showBubbleSize val="0"/>
        </c:dLbls>
        <c:axId val="665841664"/>
        <c:axId val="665843200"/>
      </c:areaChart>
      <c:lineChart>
        <c:grouping val="standard"/>
        <c:varyColors val="0"/>
        <c:ser>
          <c:idx val="0"/>
          <c:order val="0"/>
          <c:tx>
            <c:strRef>
              <c:f>Sheet1!$B$1</c:f>
              <c:strCache>
                <c:ptCount val="1"/>
                <c:pt idx="0">
                  <c:v>Բյուջեի պակասուրդ</c:v>
                </c:pt>
              </c:strCache>
            </c:strRef>
          </c:tx>
          <c:spPr>
            <a:effectLst>
              <a:outerShdw blurRad="40000" dist="23000" dir="5400000" rotWithShape="0">
                <a:srgbClr val="000000">
                  <a:alpha val="35000"/>
                </a:srgbClr>
              </a:outerShdw>
            </a:effectLst>
          </c:spPr>
          <c:marker>
            <c:symbol val="circle"/>
            <c:size val="5"/>
          </c:marker>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Sheet1!$B$2:$B$10</c:f>
              <c:numCache>
                <c:formatCode>0.0</c:formatCode>
                <c:ptCount val="7"/>
                <c:pt idx="0">
                  <c:v>4.583519905624005</c:v>
                </c:pt>
                <c:pt idx="1">
                  <c:v>2.1117623133763717</c:v>
                </c:pt>
                <c:pt idx="2">
                  <c:v>1.9872401048589925</c:v>
                </c:pt>
                <c:pt idx="3">
                  <c:v>4.7182715728397486</c:v>
                </c:pt>
                <c:pt idx="4">
                  <c:v>5.4999999999999956</c:v>
                </c:pt>
                <c:pt idx="5">
                  <c:v>4.5000000000000009</c:v>
                </c:pt>
                <c:pt idx="6">
                  <c:v>3.5000000000000022</c:v>
                </c:pt>
              </c:numCache>
            </c:numRef>
          </c:val>
          <c:smooth val="0"/>
          <c:extLst>
            <c:ext xmlns:c16="http://schemas.microsoft.com/office/drawing/2014/chart" uri="{C3380CC4-5D6E-409C-BE32-E72D297353CC}">
              <c16:uniqueId val="{00000002-8DFC-4C87-AA77-830E8741660C}"/>
            </c:ext>
          </c:extLst>
        </c:ser>
        <c:ser>
          <c:idx val="1"/>
          <c:order val="1"/>
          <c:tx>
            <c:strRef>
              <c:f>Sheet1!$C$1</c:f>
              <c:strCache>
                <c:ptCount val="1"/>
                <c:pt idx="0">
                  <c:v>Առաջնային պակասուրդ</c:v>
                </c:pt>
              </c:strCache>
            </c:strRef>
          </c:tx>
          <c:spPr>
            <a:ln>
              <a:solidFill>
                <a:srgbClr val="4472C4"/>
              </a:solidFill>
            </a:ln>
            <a:effectLst>
              <a:outerShdw blurRad="40000" dist="23000" dir="5400000" rotWithShape="0">
                <a:srgbClr val="000000">
                  <a:alpha val="35000"/>
                </a:srgbClr>
              </a:outerShdw>
            </a:effectLst>
          </c:spPr>
          <c:marker>
            <c:symbol val="circle"/>
            <c:size val="5"/>
            <c:spPr>
              <a:solidFill>
                <a:srgbClr val="4472C4"/>
              </a:solidFill>
              <a:ln>
                <a:noFill/>
              </a:ln>
            </c:spPr>
          </c:marker>
          <c:dLbls>
            <c:spPr>
              <a:noFill/>
              <a:ln>
                <a:noFill/>
              </a:ln>
              <a:effectLst/>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Sheet1!$C$2:$C$10</c:f>
              <c:numCache>
                <c:formatCode>0.0</c:formatCode>
                <c:ptCount val="7"/>
                <c:pt idx="0">
                  <c:v>1.9971078347198099</c:v>
                </c:pt>
                <c:pt idx="1">
                  <c:v>-0.220936625643985</c:v>
                </c:pt>
                <c:pt idx="2">
                  <c:v>-0.67880129205457496</c:v>
                </c:pt>
                <c:pt idx="3">
                  <c:v>1.5612304710197149</c:v>
                </c:pt>
                <c:pt idx="4">
                  <c:v>1.9642658353310054</c:v>
                </c:pt>
                <c:pt idx="5">
                  <c:v>0.86601242764333719</c:v>
                </c:pt>
                <c:pt idx="6">
                  <c:v>-0.17140519125351839</c:v>
                </c:pt>
              </c:numCache>
            </c:numRef>
          </c:val>
          <c:smooth val="0"/>
          <c:extLst>
            <c:ext xmlns:c16="http://schemas.microsoft.com/office/drawing/2014/chart" uri="{C3380CC4-5D6E-409C-BE32-E72D297353CC}">
              <c16:uniqueId val="{00000003-8DFC-4C87-AA77-830E8741660C}"/>
            </c:ext>
          </c:extLst>
        </c:ser>
        <c:ser>
          <c:idx val="2"/>
          <c:order val="2"/>
          <c:tx>
            <c:strRef>
              <c:f>Sheet1!$D$1</c:f>
              <c:strCache>
                <c:ptCount val="1"/>
                <c:pt idx="0">
                  <c:v>Պակասուրդ և ԼՂ վարկավորում</c:v>
                </c:pt>
              </c:strCache>
            </c:strRef>
          </c:tx>
          <c:spPr>
            <a:ln w="31765" cap="rnd">
              <a:solidFill>
                <a:srgbClr val="5B9BD5"/>
              </a:solidFill>
              <a:prstDash val="sysDot"/>
              <a:round/>
            </a:ln>
            <a:effectLst>
              <a:outerShdw blurRad="40000" dist="23000" dir="5400000" rotWithShape="0">
                <a:srgbClr val="000000">
                  <a:alpha val="35000"/>
                </a:srgbClr>
              </a:outerShdw>
            </a:effectLst>
          </c:spPr>
          <c:marker>
            <c:symbol val="none"/>
          </c:marker>
          <c:dLbls>
            <c:spPr>
              <a:noFill/>
              <a:ln>
                <a:noFill/>
              </a:ln>
              <a:effectLst/>
            </c:spPr>
            <c:txPr>
              <a:bodyPr wrap="square" lIns="38100" tIns="19050" rIns="38100" bIns="19050" anchor="ctr">
                <a:spAutoFit/>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Sheet1!$D$2:$D$10</c:f>
              <c:numCache>
                <c:formatCode>0.0</c:formatCode>
                <c:ptCount val="7"/>
                <c:pt idx="0">
                  <c:v>6.4250015642659601</c:v>
                </c:pt>
                <c:pt idx="1">
                  <c:v>4.1820009219031302</c:v>
                </c:pt>
                <c:pt idx="2">
                  <c:v>3.5757505123734066</c:v>
                </c:pt>
                <c:pt idx="3">
                  <c:v>4.7182715728397486</c:v>
                </c:pt>
              </c:numCache>
            </c:numRef>
          </c:val>
          <c:smooth val="0"/>
          <c:extLst>
            <c:ext xmlns:c16="http://schemas.microsoft.com/office/drawing/2014/chart" uri="{C3380CC4-5D6E-409C-BE32-E72D297353CC}">
              <c16:uniqueId val="{00000004-8DFC-4C87-AA77-830E8741660C}"/>
            </c:ext>
          </c:extLst>
        </c:ser>
        <c:ser>
          <c:idx val="3"/>
          <c:order val="3"/>
          <c:tx>
            <c:strRef>
              <c:f>Sheet1!$E$1</c:f>
              <c:strCache>
                <c:ptCount val="1"/>
                <c:pt idx="0">
                  <c:v>Առաջնային պակասուրդ և ԼՂ վարկավորում</c:v>
                </c:pt>
              </c:strCache>
            </c:strRef>
          </c:tx>
          <c:spPr>
            <a:ln>
              <a:solidFill>
                <a:srgbClr val="4472C4"/>
              </a:solidFill>
              <a:prstDash val="sysDash"/>
            </a:ln>
          </c:spPr>
          <c:marker>
            <c:symbol val="none"/>
          </c:marker>
          <c:dLbls>
            <c:dLbl>
              <c:idx val="3"/>
              <c:delete val="1"/>
              <c:extLst>
                <c:ext xmlns:c15="http://schemas.microsoft.com/office/drawing/2012/chart" uri="{CE6537A1-D6FC-4f65-9D91-7224C49458BB}"/>
                <c:ext xmlns:c16="http://schemas.microsoft.com/office/drawing/2014/chart" uri="{C3380CC4-5D6E-409C-BE32-E72D297353CC}">
                  <c16:uniqueId val="{00000005-8DFC-4C87-AA77-830E8741660C}"/>
                </c:ext>
              </c:extLst>
            </c:dLbl>
            <c:spPr>
              <a:noFill/>
              <a:ln>
                <a:noFill/>
              </a:ln>
              <a:effectLst/>
            </c:spPr>
            <c:txPr>
              <a:bodyPr wrap="square" lIns="38100" tIns="19050" rIns="38100" bIns="19050" anchor="ctr">
                <a:spAutoFit/>
              </a:bodyPr>
              <a:lstStyle/>
              <a:p>
                <a:pPr>
                  <a:defRPr sz="9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7"/>
                <c:pt idx="0">
                  <c:v>2021</c:v>
                </c:pt>
                <c:pt idx="1">
                  <c:v>2022</c:v>
                </c:pt>
                <c:pt idx="2">
                  <c:v>2023</c:v>
                </c:pt>
                <c:pt idx="3">
                  <c:v>2024*</c:v>
                </c:pt>
                <c:pt idx="4">
                  <c:v>2025*</c:v>
                </c:pt>
                <c:pt idx="5">
                  <c:v>2026*</c:v>
                </c:pt>
                <c:pt idx="6">
                  <c:v>2027*</c:v>
                </c:pt>
              </c:strCache>
            </c:strRef>
          </c:cat>
          <c:val>
            <c:numRef>
              <c:f>Sheet1!$E$2:$E$10</c:f>
              <c:numCache>
                <c:formatCode>0.0</c:formatCode>
                <c:ptCount val="7"/>
                <c:pt idx="0">
                  <c:v>3.8385894933617646</c:v>
                </c:pt>
                <c:pt idx="1">
                  <c:v>1.8493019828827739</c:v>
                </c:pt>
                <c:pt idx="2">
                  <c:v>0.90970911545983912</c:v>
                </c:pt>
                <c:pt idx="3">
                  <c:v>1.5612304710197149</c:v>
                </c:pt>
              </c:numCache>
            </c:numRef>
          </c:val>
          <c:smooth val="0"/>
          <c:extLst>
            <c:ext xmlns:c16="http://schemas.microsoft.com/office/drawing/2014/chart" uri="{C3380CC4-5D6E-409C-BE32-E72D297353CC}">
              <c16:uniqueId val="{00000006-8DFC-4C87-AA77-830E8741660C}"/>
            </c:ext>
          </c:extLst>
        </c:ser>
        <c:dLbls>
          <c:showLegendKey val="0"/>
          <c:showVal val="0"/>
          <c:showCatName val="0"/>
          <c:showSerName val="0"/>
          <c:showPercent val="0"/>
          <c:showBubbleSize val="0"/>
        </c:dLbls>
        <c:marker val="1"/>
        <c:smooth val="0"/>
        <c:axId val="665841664"/>
        <c:axId val="665843200"/>
      </c:lineChart>
      <c:catAx>
        <c:axId val="665841664"/>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665843200"/>
        <c:crosses val="autoZero"/>
        <c:auto val="1"/>
        <c:lblAlgn val="ctr"/>
        <c:lblOffset val="100"/>
        <c:noMultiLvlLbl val="0"/>
      </c:catAx>
      <c:valAx>
        <c:axId val="665843200"/>
        <c:scaling>
          <c:orientation val="minMax"/>
          <c:max val="8"/>
          <c:min val="-2"/>
        </c:scaling>
        <c:delete val="0"/>
        <c:axPos val="l"/>
        <c:majorGridlines>
          <c:spPr>
            <a:ln w="9530" cap="flat" cmpd="sng" algn="ctr">
              <a:solidFill>
                <a:schemeClr val="tx2">
                  <a:lumMod val="15000"/>
                  <a:lumOff val="85000"/>
                </a:schemeClr>
              </a:solidFill>
              <a:round/>
            </a:ln>
            <a:effectLst/>
          </c:spPr>
        </c:majorGridlines>
        <c:numFmt formatCode="General" sourceLinked="1"/>
        <c:majorTickMark val="none"/>
        <c:minorTickMark val="none"/>
        <c:tickLblPos val="nextTo"/>
        <c:spPr>
          <a:ln w="6353">
            <a:noFill/>
          </a:ln>
        </c:spPr>
        <c:txPr>
          <a:bodyPr rot="-60000000" vert="horz"/>
          <a:lstStyle/>
          <a:p>
            <a:pPr>
              <a:defRPr/>
            </a:pPr>
            <a:endParaRPr lang="en-US"/>
          </a:p>
        </c:txPr>
        <c:crossAx val="665841664"/>
        <c:crosses val="autoZero"/>
        <c:crossBetween val="between"/>
        <c:majorUnit val="2"/>
      </c:valAx>
      <c:spPr>
        <a:noFill/>
        <a:ln w="25412">
          <a:noFill/>
        </a:ln>
      </c:spPr>
    </c:plotArea>
    <c:legend>
      <c:legendPos val="b"/>
      <c:legendEntry>
        <c:idx val="0"/>
        <c:delete val="1"/>
      </c:legendEntry>
      <c:legendEntry>
        <c:idx val="1"/>
        <c:delete val="1"/>
      </c:legendEntry>
      <c:layout>
        <c:manualLayout>
          <c:xMode val="edge"/>
          <c:yMode val="edge"/>
          <c:x val="0"/>
          <c:y val="0.80328076718941999"/>
          <c:w val="1"/>
          <c:h val="0.19671923281058012"/>
        </c:manualLayout>
      </c:layout>
      <c:overlay val="0"/>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9123632273238574E-2"/>
          <c:y val="6.0752269779507137E-2"/>
          <c:w val="0.85646777107407024"/>
          <c:h val="0.67246913201997605"/>
        </c:manualLayout>
      </c:layout>
      <c:barChart>
        <c:barDir val="col"/>
        <c:grouping val="clustered"/>
        <c:varyColors val="0"/>
        <c:ser>
          <c:idx val="0"/>
          <c:order val="0"/>
          <c:tx>
            <c:strRef>
              <c:f>Sheet1!$B$1</c:f>
              <c:strCache>
                <c:ptCount val="1"/>
                <c:pt idx="0">
                  <c:v>Եկամուտների ազդակ</c:v>
                </c:pt>
              </c:strCache>
            </c:strRef>
          </c:tx>
          <c:spPr>
            <a:solidFill>
              <a:schemeClr val="accent1"/>
            </a:solidFill>
            <a:ln>
              <a:noFill/>
            </a:ln>
            <a:effectLst/>
          </c:spPr>
          <c:invertIfNegative val="0"/>
          <c:cat>
            <c:strRef>
              <c:f>Sheet1!$A$2:$A$10</c:f>
              <c:strCache>
                <c:ptCount val="7"/>
                <c:pt idx="0">
                  <c:v>2021</c:v>
                </c:pt>
                <c:pt idx="1">
                  <c:v>2022</c:v>
                </c:pt>
                <c:pt idx="2">
                  <c:v>2023</c:v>
                </c:pt>
                <c:pt idx="3">
                  <c:v>2024*</c:v>
                </c:pt>
                <c:pt idx="4">
                  <c:v>2025*</c:v>
                </c:pt>
                <c:pt idx="5">
                  <c:v>2026*</c:v>
                </c:pt>
                <c:pt idx="6">
                  <c:v>2027*</c:v>
                </c:pt>
              </c:strCache>
            </c:strRef>
          </c:cat>
          <c:val>
            <c:numRef>
              <c:f>Sheet1!$B$2:$B$10</c:f>
              <c:numCache>
                <c:formatCode>0.0</c:formatCode>
                <c:ptCount val="7"/>
                <c:pt idx="0">
                  <c:v>-0.88740289184529153</c:v>
                </c:pt>
                <c:pt idx="1">
                  <c:v>-0.37454792427576306</c:v>
                </c:pt>
                <c:pt idx="2">
                  <c:v>-0.27393550822123985</c:v>
                </c:pt>
                <c:pt idx="3">
                  <c:v>-0.17016064354805799</c:v>
                </c:pt>
                <c:pt idx="4">
                  <c:v>-0.29970028593651266</c:v>
                </c:pt>
                <c:pt idx="5">
                  <c:v>-0.69082495840025171</c:v>
                </c:pt>
                <c:pt idx="6">
                  <c:v>-0.3312235209949132</c:v>
                </c:pt>
              </c:numCache>
            </c:numRef>
          </c:val>
          <c:extLst>
            <c:ext xmlns:c16="http://schemas.microsoft.com/office/drawing/2014/chart" uri="{C3380CC4-5D6E-409C-BE32-E72D297353CC}">
              <c16:uniqueId val="{00000000-738D-420A-8E69-AD9A6F63BB06}"/>
            </c:ext>
          </c:extLst>
        </c:ser>
        <c:ser>
          <c:idx val="1"/>
          <c:order val="1"/>
          <c:tx>
            <c:strRef>
              <c:f>Sheet1!$C$1</c:f>
              <c:strCache>
                <c:ptCount val="1"/>
                <c:pt idx="0">
                  <c:v>Ծախսերի ազդակ</c:v>
                </c:pt>
              </c:strCache>
            </c:strRef>
          </c:tx>
          <c:spPr>
            <a:solidFill>
              <a:schemeClr val="accent2"/>
            </a:solidFill>
            <a:ln>
              <a:noFill/>
            </a:ln>
            <a:effectLst/>
          </c:spPr>
          <c:invertIfNegative val="0"/>
          <c:cat>
            <c:strRef>
              <c:f>Sheet1!$A$2:$A$10</c:f>
              <c:strCache>
                <c:ptCount val="7"/>
                <c:pt idx="0">
                  <c:v>2021</c:v>
                </c:pt>
                <c:pt idx="1">
                  <c:v>2022</c:v>
                </c:pt>
                <c:pt idx="2">
                  <c:v>2023</c:v>
                </c:pt>
                <c:pt idx="3">
                  <c:v>2024*</c:v>
                </c:pt>
                <c:pt idx="4">
                  <c:v>2025*</c:v>
                </c:pt>
                <c:pt idx="5">
                  <c:v>2026*</c:v>
                </c:pt>
                <c:pt idx="6">
                  <c:v>2027*</c:v>
                </c:pt>
              </c:strCache>
            </c:strRef>
          </c:cat>
          <c:val>
            <c:numRef>
              <c:f>Sheet1!$C$2:$C$10</c:f>
              <c:numCache>
                <c:formatCode>0.0</c:formatCode>
                <c:ptCount val="7"/>
                <c:pt idx="0">
                  <c:v>-0.52965750761226038</c:v>
                </c:pt>
                <c:pt idx="1">
                  <c:v>-1.2215576128820993</c:v>
                </c:pt>
                <c:pt idx="2">
                  <c:v>-0.50086431197324299</c:v>
                </c:pt>
                <c:pt idx="3">
                  <c:v>0.49419170875629626</c:v>
                </c:pt>
                <c:pt idx="4">
                  <c:v>0.5569771877971974</c:v>
                </c:pt>
                <c:pt idx="5">
                  <c:v>0.36305341104069644</c:v>
                </c:pt>
                <c:pt idx="6">
                  <c:v>-2.6099130251168366E-2</c:v>
                </c:pt>
              </c:numCache>
            </c:numRef>
          </c:val>
          <c:extLst>
            <c:ext xmlns:c16="http://schemas.microsoft.com/office/drawing/2014/chart" uri="{C3380CC4-5D6E-409C-BE32-E72D297353CC}">
              <c16:uniqueId val="{00000001-738D-420A-8E69-AD9A6F63BB06}"/>
            </c:ext>
          </c:extLst>
        </c:ser>
        <c:dLbls>
          <c:showLegendKey val="0"/>
          <c:showVal val="0"/>
          <c:showCatName val="0"/>
          <c:showSerName val="0"/>
          <c:showPercent val="0"/>
          <c:showBubbleSize val="0"/>
        </c:dLbls>
        <c:gapWidth val="150"/>
        <c:axId val="666198400"/>
        <c:axId val="666199936"/>
      </c:barChart>
      <c:lineChart>
        <c:grouping val="standard"/>
        <c:varyColors val="0"/>
        <c:ser>
          <c:idx val="2"/>
          <c:order val="2"/>
          <c:tx>
            <c:strRef>
              <c:f>Sheet1!$D$1</c:f>
              <c:strCache>
                <c:ptCount val="1"/>
                <c:pt idx="0">
                  <c:v>Հարկաբյուջետային ազդակ</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7"/>
                <c:pt idx="0">
                  <c:v>2021</c:v>
                </c:pt>
                <c:pt idx="1">
                  <c:v>2022</c:v>
                </c:pt>
                <c:pt idx="2">
                  <c:v>2023</c:v>
                </c:pt>
                <c:pt idx="3">
                  <c:v>2024*</c:v>
                </c:pt>
                <c:pt idx="4">
                  <c:v>2025*</c:v>
                </c:pt>
                <c:pt idx="5">
                  <c:v>2026*</c:v>
                </c:pt>
                <c:pt idx="6">
                  <c:v>2027*</c:v>
                </c:pt>
              </c:strCache>
            </c:strRef>
          </c:cat>
          <c:val>
            <c:numRef>
              <c:f>Sheet1!$D$2:$D$10</c:f>
              <c:numCache>
                <c:formatCode>0.0</c:formatCode>
                <c:ptCount val="7"/>
                <c:pt idx="0">
                  <c:v>-1.4170603994575519</c:v>
                </c:pt>
                <c:pt idx="1">
                  <c:v>-1.5961055371578623</c:v>
                </c:pt>
                <c:pt idx="2">
                  <c:v>-0.77479982019448279</c:v>
                </c:pt>
                <c:pt idx="3">
                  <c:v>0.32403106520823827</c:v>
                </c:pt>
                <c:pt idx="4">
                  <c:v>0.25727690186068475</c:v>
                </c:pt>
                <c:pt idx="5">
                  <c:v>-0.32777154735955527</c:v>
                </c:pt>
                <c:pt idx="6">
                  <c:v>-0.35732265124608159</c:v>
                </c:pt>
              </c:numCache>
            </c:numRef>
          </c:val>
          <c:smooth val="0"/>
          <c:extLst>
            <c:ext xmlns:c16="http://schemas.microsoft.com/office/drawing/2014/chart" uri="{C3380CC4-5D6E-409C-BE32-E72D297353CC}">
              <c16:uniqueId val="{00000002-738D-420A-8E69-AD9A6F63BB06}"/>
            </c:ext>
          </c:extLst>
        </c:ser>
        <c:dLbls>
          <c:showLegendKey val="0"/>
          <c:showVal val="0"/>
          <c:showCatName val="0"/>
          <c:showSerName val="0"/>
          <c:showPercent val="0"/>
          <c:showBubbleSize val="0"/>
        </c:dLbls>
        <c:marker val="1"/>
        <c:smooth val="0"/>
        <c:axId val="666198400"/>
        <c:axId val="666199936"/>
      </c:lineChart>
      <c:catAx>
        <c:axId val="6661984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crossAx val="666199936"/>
        <c:crosses val="autoZero"/>
        <c:auto val="1"/>
        <c:lblAlgn val="ctr"/>
        <c:lblOffset val="100"/>
        <c:noMultiLvlLbl val="0"/>
      </c:catAx>
      <c:valAx>
        <c:axId val="66619993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crossAx val="666198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GHEA Grapalat" panose="02000506050000020003" pitchFamily="50" charset="0"/>
        </a:defRPr>
      </a:pPr>
      <a:endParaRPr lang="en-US"/>
    </a:p>
  </c:txPr>
  <c:externalData r:id="rId4">
    <c:autoUpdate val="0"/>
  </c:externalData>
  <c:userShapes r:id="rId5"/>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2362300089968"/>
          <c:y val="6.0752269779507137E-2"/>
          <c:w val="0.80235521125059406"/>
          <c:h val="0.51682710867367265"/>
        </c:manualLayout>
      </c:layout>
      <c:barChart>
        <c:barDir val="col"/>
        <c:grouping val="clustered"/>
        <c:varyColors val="0"/>
        <c:ser>
          <c:idx val="0"/>
          <c:order val="0"/>
          <c:tx>
            <c:strRef>
              <c:f>Sheet1!$B$1</c:f>
              <c:strCache>
                <c:ptCount val="1"/>
                <c:pt idx="0">
                  <c:v>Ընթացիկ ծախսեր/ՀՆԱ%</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0</c:formatCode>
                <c:ptCount val="7"/>
                <c:pt idx="0">
                  <c:v>2021</c:v>
                </c:pt>
                <c:pt idx="1">
                  <c:v>2022</c:v>
                </c:pt>
                <c:pt idx="2">
                  <c:v>2023</c:v>
                </c:pt>
                <c:pt idx="3">
                  <c:v>2024</c:v>
                </c:pt>
                <c:pt idx="4">
                  <c:v>2025</c:v>
                </c:pt>
                <c:pt idx="5">
                  <c:v>2026</c:v>
                </c:pt>
                <c:pt idx="6">
                  <c:v>2027</c:v>
                </c:pt>
              </c:numCache>
            </c:numRef>
          </c:cat>
          <c:val>
            <c:numRef>
              <c:f>Sheet1!$B$2:$B$10</c:f>
              <c:numCache>
                <c:formatCode>0.0</c:formatCode>
                <c:ptCount val="7"/>
                <c:pt idx="0">
                  <c:v>25.897687436663109</c:v>
                </c:pt>
                <c:pt idx="1">
                  <c:v>22.334263995415824</c:v>
                </c:pt>
                <c:pt idx="2">
                  <c:v>22.37701760142275</c:v>
                </c:pt>
                <c:pt idx="3">
                  <c:v>23.948289632828139</c:v>
                </c:pt>
                <c:pt idx="4">
                  <c:v>24.367565390687634</c:v>
                </c:pt>
                <c:pt idx="5">
                  <c:v>23.870895419498275</c:v>
                </c:pt>
                <c:pt idx="6">
                  <c:v>23.902677527426828</c:v>
                </c:pt>
              </c:numCache>
            </c:numRef>
          </c:val>
          <c:extLst>
            <c:ext xmlns:c16="http://schemas.microsoft.com/office/drawing/2014/chart" uri="{C3380CC4-5D6E-409C-BE32-E72D297353CC}">
              <c16:uniqueId val="{00000000-F200-4021-B7BC-9D01570DE3BC}"/>
            </c:ext>
          </c:extLst>
        </c:ser>
        <c:dLbls>
          <c:showLegendKey val="0"/>
          <c:showVal val="0"/>
          <c:showCatName val="0"/>
          <c:showSerName val="0"/>
          <c:showPercent val="0"/>
          <c:showBubbleSize val="0"/>
        </c:dLbls>
        <c:gapWidth val="219"/>
        <c:overlap val="-27"/>
        <c:axId val="666334720"/>
        <c:axId val="666336256"/>
      </c:barChart>
      <c:lineChart>
        <c:grouping val="standard"/>
        <c:varyColors val="0"/>
        <c:ser>
          <c:idx val="1"/>
          <c:order val="1"/>
          <c:tx>
            <c:strRef>
              <c:f>Sheet1!$C$1</c:f>
              <c:strCache>
                <c:ptCount val="1"/>
                <c:pt idx="0">
                  <c:v>Հարկային եկամուտներ/ՀՆԱ%</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0</c:formatCode>
                <c:ptCount val="7"/>
                <c:pt idx="0">
                  <c:v>2021</c:v>
                </c:pt>
                <c:pt idx="1">
                  <c:v>2022</c:v>
                </c:pt>
                <c:pt idx="2">
                  <c:v>2023</c:v>
                </c:pt>
                <c:pt idx="3">
                  <c:v>2024</c:v>
                </c:pt>
                <c:pt idx="4">
                  <c:v>2025</c:v>
                </c:pt>
                <c:pt idx="5">
                  <c:v>2026</c:v>
                </c:pt>
                <c:pt idx="6">
                  <c:v>2027</c:v>
                </c:pt>
              </c:numCache>
            </c:numRef>
          </c:cat>
          <c:val>
            <c:numRef>
              <c:f>Sheet1!$C$2:$C$10</c:f>
              <c:numCache>
                <c:formatCode>0.0</c:formatCode>
                <c:ptCount val="7"/>
                <c:pt idx="0">
                  <c:v>23.021935319368989</c:v>
                </c:pt>
                <c:pt idx="1">
                  <c:v>23.08398862434467</c:v>
                </c:pt>
                <c:pt idx="2">
                  <c:v>23.922376853721595</c:v>
                </c:pt>
                <c:pt idx="3">
                  <c:v>24.394615244726598</c:v>
                </c:pt>
                <c:pt idx="4">
                  <c:v>25.115758153737239</c:v>
                </c:pt>
                <c:pt idx="5">
                  <c:v>25.851003540689977</c:v>
                </c:pt>
                <c:pt idx="6">
                  <c:v>26.220864269731536</c:v>
                </c:pt>
              </c:numCache>
            </c:numRef>
          </c:val>
          <c:smooth val="0"/>
          <c:extLst>
            <c:ext xmlns:c16="http://schemas.microsoft.com/office/drawing/2014/chart" uri="{C3380CC4-5D6E-409C-BE32-E72D297353CC}">
              <c16:uniqueId val="{00000001-F200-4021-B7BC-9D01570DE3BC}"/>
            </c:ext>
          </c:extLst>
        </c:ser>
        <c:ser>
          <c:idx val="2"/>
          <c:order val="2"/>
          <c:tx>
            <c:strRef>
              <c:f>Sheet1!$D$1</c:f>
              <c:strCache>
                <c:ptCount val="1"/>
                <c:pt idx="0">
                  <c:v>Պահուստային ֆոնդ/ՀՆԱ</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0</c:formatCode>
                <c:ptCount val="7"/>
                <c:pt idx="0">
                  <c:v>2021</c:v>
                </c:pt>
                <c:pt idx="1">
                  <c:v>2022</c:v>
                </c:pt>
                <c:pt idx="2">
                  <c:v>2023</c:v>
                </c:pt>
                <c:pt idx="3">
                  <c:v>2024</c:v>
                </c:pt>
                <c:pt idx="4">
                  <c:v>2025</c:v>
                </c:pt>
                <c:pt idx="5">
                  <c:v>2026</c:v>
                </c:pt>
                <c:pt idx="6">
                  <c:v>2027</c:v>
                </c:pt>
              </c:numCache>
            </c:numRef>
          </c:cat>
          <c:val>
            <c:numRef>
              <c:f>Sheet1!$D$2:$D$10</c:f>
            </c:numRef>
          </c:val>
          <c:smooth val="0"/>
          <c:extLst>
            <c:ext xmlns:c16="http://schemas.microsoft.com/office/drawing/2014/chart" uri="{C3380CC4-5D6E-409C-BE32-E72D297353CC}">
              <c16:uniqueId val="{00000002-F200-4021-B7BC-9D01570DE3BC}"/>
            </c:ext>
          </c:extLst>
        </c:ser>
        <c:dLbls>
          <c:showLegendKey val="0"/>
          <c:showVal val="0"/>
          <c:showCatName val="0"/>
          <c:showSerName val="0"/>
          <c:showPercent val="0"/>
          <c:showBubbleSize val="0"/>
        </c:dLbls>
        <c:marker val="1"/>
        <c:smooth val="0"/>
        <c:axId val="666334720"/>
        <c:axId val="666336256"/>
      </c:lineChart>
      <c:catAx>
        <c:axId val="666334720"/>
        <c:scaling>
          <c:orientation val="minMax"/>
        </c:scaling>
        <c:delete val="0"/>
        <c:axPos val="b"/>
        <c:numFmt formatCode="0"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crossAx val="666336256"/>
        <c:crosses val="autoZero"/>
        <c:auto val="1"/>
        <c:lblAlgn val="ctr"/>
        <c:lblOffset val="100"/>
        <c:noMultiLvlLbl val="0"/>
      </c:catAx>
      <c:valAx>
        <c:axId val="6663362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crossAx val="666334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GHEA Grapalat" panose="02000506050000020003" pitchFamily="50" charset="0"/>
        </a:defRPr>
      </a:pPr>
      <a:endParaRPr lang="en-US"/>
    </a:p>
  </c:txPr>
  <c:externalData r:id="rId4">
    <c:autoUpdate val="0"/>
  </c:externalData>
  <c:userShapes r:id="rId5"/>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82080812768812"/>
          <c:y val="6.3554952510176385E-2"/>
          <c:w val="0.8257706331319018"/>
          <c:h val="0.48519542061133408"/>
        </c:manualLayout>
      </c:layout>
      <c:barChart>
        <c:barDir val="col"/>
        <c:grouping val="clustered"/>
        <c:varyColors val="0"/>
        <c:ser>
          <c:idx val="1"/>
          <c:order val="1"/>
          <c:tx>
            <c:strRef>
              <c:f>Sheet1!$C$1</c:f>
              <c:strCache>
                <c:ptCount val="1"/>
                <c:pt idx="0">
                  <c:v>Ոչ ֆին. ակիվ.գծով ծախսեր/ՀՆԱ%</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GHEA Grapalat" panose="02000506050000020003" pitchFamily="50" charset="0"/>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0</c:formatCode>
                <c:ptCount val="7"/>
                <c:pt idx="0">
                  <c:v>2021</c:v>
                </c:pt>
                <c:pt idx="1">
                  <c:v>2022</c:v>
                </c:pt>
                <c:pt idx="2">
                  <c:v>2023</c:v>
                </c:pt>
                <c:pt idx="3">
                  <c:v>2024</c:v>
                </c:pt>
                <c:pt idx="4">
                  <c:v>2025</c:v>
                </c:pt>
                <c:pt idx="5">
                  <c:v>2026</c:v>
                </c:pt>
                <c:pt idx="6">
                  <c:v>2027</c:v>
                </c:pt>
              </c:numCache>
            </c:numRef>
          </c:cat>
          <c:val>
            <c:numRef>
              <c:f>Sheet1!$C$2:$C$10</c:f>
              <c:numCache>
                <c:formatCode>0.0</c:formatCode>
                <c:ptCount val="7"/>
                <c:pt idx="0">
                  <c:v>3.0941285857225038</c:v>
                </c:pt>
                <c:pt idx="1">
                  <c:v>4.4744694274278718</c:v>
                </c:pt>
                <c:pt idx="2">
                  <c:v>4.9719021611490835</c:v>
                </c:pt>
                <c:pt idx="3">
                  <c:v>6.5106780740936818</c:v>
                </c:pt>
                <c:pt idx="4">
                  <c:v>7.0102065338590691</c:v>
                </c:pt>
                <c:pt idx="5">
                  <c:v>7.0997683567525645</c:v>
                </c:pt>
                <c:pt idx="6">
                  <c:v>6.3576521952702612</c:v>
                </c:pt>
              </c:numCache>
            </c:numRef>
          </c:val>
          <c:extLst>
            <c:ext xmlns:c16="http://schemas.microsoft.com/office/drawing/2014/chart" uri="{C3380CC4-5D6E-409C-BE32-E72D297353CC}">
              <c16:uniqueId val="{00000000-16A8-4CEC-A41B-FBCBBE195F6B}"/>
            </c:ext>
          </c:extLst>
        </c:ser>
        <c:dLbls>
          <c:showLegendKey val="0"/>
          <c:showVal val="0"/>
          <c:showCatName val="0"/>
          <c:showSerName val="0"/>
          <c:showPercent val="0"/>
          <c:showBubbleSize val="0"/>
        </c:dLbls>
        <c:gapWidth val="219"/>
        <c:axId val="666356736"/>
        <c:axId val="666448640"/>
      </c:barChart>
      <c:lineChart>
        <c:grouping val="standard"/>
        <c:varyColors val="0"/>
        <c:ser>
          <c:idx val="0"/>
          <c:order val="0"/>
          <c:tx>
            <c:strRef>
              <c:f>Sheet1!$B$1</c:f>
              <c:strCache>
                <c:ptCount val="1"/>
                <c:pt idx="0">
                  <c:v>Պակասուրդ/ՀՆԱ%</c:v>
                </c:pt>
              </c:strCache>
            </c:strRef>
          </c:tx>
          <c:spPr>
            <a:ln w="28575" cap="rnd">
              <a:solidFill>
                <a:schemeClr val="accent2"/>
              </a:solidFill>
              <a:round/>
            </a:ln>
            <a:effectLst/>
          </c:spPr>
          <c:marker>
            <c:symbol val="circle"/>
            <c:size val="5"/>
            <c:spPr>
              <a:solidFill>
                <a:schemeClr val="accent2"/>
              </a:solidFill>
              <a:ln w="9525">
                <a:noFill/>
              </a:ln>
              <a:effectLst/>
            </c:spPr>
          </c:marker>
          <c:dLbls>
            <c:dLbl>
              <c:idx val="1"/>
              <c:layout>
                <c:manualLayout>
                  <c:x val="-6.4230924505450135E-2"/>
                  <c:y val="-5.0211097153712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A8-4CEC-A41B-FBCBBE195F6B}"/>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0</c:formatCode>
                <c:ptCount val="7"/>
                <c:pt idx="0">
                  <c:v>2021</c:v>
                </c:pt>
                <c:pt idx="1">
                  <c:v>2022</c:v>
                </c:pt>
                <c:pt idx="2">
                  <c:v>2023</c:v>
                </c:pt>
                <c:pt idx="3">
                  <c:v>2024</c:v>
                </c:pt>
                <c:pt idx="4">
                  <c:v>2025</c:v>
                </c:pt>
                <c:pt idx="5">
                  <c:v>2026</c:v>
                </c:pt>
                <c:pt idx="6">
                  <c:v>2027</c:v>
                </c:pt>
              </c:numCache>
            </c:numRef>
          </c:cat>
          <c:val>
            <c:numRef>
              <c:f>Sheet1!$B$2:$B$10</c:f>
              <c:numCache>
                <c:formatCode>0.0</c:formatCode>
                <c:ptCount val="7"/>
                <c:pt idx="0">
                  <c:v>4.583519905624005</c:v>
                </c:pt>
                <c:pt idx="1">
                  <c:v>2.1117623133763717</c:v>
                </c:pt>
                <c:pt idx="2">
                  <c:v>1.9872401048589925</c:v>
                </c:pt>
                <c:pt idx="3">
                  <c:v>4.7182715728397486</c:v>
                </c:pt>
                <c:pt idx="4">
                  <c:v>5.4999999999999956</c:v>
                </c:pt>
                <c:pt idx="5">
                  <c:v>4.5000000000000009</c:v>
                </c:pt>
                <c:pt idx="6">
                  <c:v>3.5000000000000022</c:v>
                </c:pt>
              </c:numCache>
            </c:numRef>
          </c:val>
          <c:smooth val="0"/>
          <c:extLst>
            <c:ext xmlns:c16="http://schemas.microsoft.com/office/drawing/2014/chart" uri="{C3380CC4-5D6E-409C-BE32-E72D297353CC}">
              <c16:uniqueId val="{00000002-16A8-4CEC-A41B-FBCBBE195F6B}"/>
            </c:ext>
          </c:extLst>
        </c:ser>
        <c:dLbls>
          <c:showLegendKey val="0"/>
          <c:showVal val="0"/>
          <c:showCatName val="0"/>
          <c:showSerName val="0"/>
          <c:showPercent val="0"/>
          <c:showBubbleSize val="0"/>
        </c:dLbls>
        <c:marker val="1"/>
        <c:smooth val="0"/>
        <c:axId val="666356736"/>
        <c:axId val="666448640"/>
      </c:lineChart>
      <c:catAx>
        <c:axId val="666356736"/>
        <c:scaling>
          <c:orientation val="minMax"/>
        </c:scaling>
        <c:delete val="0"/>
        <c:axPos val="b"/>
        <c:numFmt formatCode="0"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GHEA Grapalat" panose="02000506050000020003" pitchFamily="50" charset="0"/>
                <a:ea typeface="+mn-ea"/>
                <a:cs typeface="+mn-cs"/>
              </a:defRPr>
            </a:pPr>
            <a:endParaRPr lang="en-US"/>
          </a:p>
        </c:txPr>
        <c:crossAx val="666448640"/>
        <c:crosses val="autoZero"/>
        <c:auto val="1"/>
        <c:lblAlgn val="ctr"/>
        <c:lblOffset val="100"/>
        <c:noMultiLvlLbl val="0"/>
      </c:catAx>
      <c:valAx>
        <c:axId val="666448640"/>
        <c:scaling>
          <c:orientation val="minMax"/>
          <c:max val="9"/>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GHEA Grapalat" panose="02000506050000020003" pitchFamily="50" charset="0"/>
                <a:ea typeface="+mn-ea"/>
                <a:cs typeface="+mn-cs"/>
              </a:defRPr>
            </a:pPr>
            <a:endParaRPr lang="en-US"/>
          </a:p>
        </c:txPr>
        <c:crossAx val="666356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GHEA Grapalat" panose="02000506050000020003" pitchFamily="50"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5792361102607"/>
          <c:y val="5.299927728258251E-2"/>
          <c:w val="0.81060411772012164"/>
          <c:h val="0.62234744889522087"/>
        </c:manualLayout>
      </c:layout>
      <c:lineChart>
        <c:grouping val="standard"/>
        <c:varyColors val="0"/>
        <c:ser>
          <c:idx val="1"/>
          <c:order val="0"/>
          <c:tx>
            <c:strRef>
              <c:f>Sheet1!$D$1</c:f>
              <c:strCache>
                <c:ptCount val="1"/>
                <c:pt idx="0">
                  <c:v>DAX (Գերմանիա)</c:v>
                </c:pt>
              </c:strCache>
            </c:strRef>
          </c:tx>
          <c:spPr>
            <a:ln w="28575" cap="rnd">
              <a:solidFill>
                <a:schemeClr val="accent2"/>
              </a:solidFill>
              <a:round/>
            </a:ln>
            <a:effectLst/>
          </c:spPr>
          <c:marker>
            <c:symbol val="none"/>
          </c:marker>
          <c:cat>
            <c:multiLvlStrRef>
              <c:f>Sheet1!$A$2:$B$66</c:f>
              <c:multiLvlStrCache>
                <c:ptCount val="65"/>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lvl>
                <c:lvl>
                  <c:pt idx="0">
                    <c:v>2019</c:v>
                  </c:pt>
                  <c:pt idx="12">
                    <c:v>2020</c:v>
                  </c:pt>
                  <c:pt idx="24">
                    <c:v>2021</c:v>
                  </c:pt>
                  <c:pt idx="36">
                    <c:v>2022</c:v>
                  </c:pt>
                  <c:pt idx="48">
                    <c:v>2023</c:v>
                  </c:pt>
                  <c:pt idx="60">
                    <c:v>2024</c:v>
                  </c:pt>
                </c:lvl>
              </c:multiLvlStrCache>
            </c:multiLvlStrRef>
          </c:cat>
          <c:val>
            <c:numRef>
              <c:f>Sheet1!$D$2:$D$66</c:f>
              <c:numCache>
                <c:formatCode>0.0</c:formatCode>
                <c:ptCount val="65"/>
                <c:pt idx="0" formatCode="General">
                  <c:v>100</c:v>
                </c:pt>
                <c:pt idx="1">
                  <c:v>103.06575614645891</c:v>
                </c:pt>
                <c:pt idx="2">
                  <c:v>103.15883684921822</c:v>
                </c:pt>
                <c:pt idx="3">
                  <c:v>110.48035012664344</c:v>
                </c:pt>
                <c:pt idx="4">
                  <c:v>104.95601041787864</c:v>
                </c:pt>
                <c:pt idx="5">
                  <c:v>110.97009782423855</c:v>
                </c:pt>
                <c:pt idx="6">
                  <c:v>109.09273165012395</c:v>
                </c:pt>
                <c:pt idx="7">
                  <c:v>106.85736277308894</c:v>
                </c:pt>
                <c:pt idx="8">
                  <c:v>111.2321558027763</c:v>
                </c:pt>
                <c:pt idx="9">
                  <c:v>115.1586399477316</c:v>
                </c:pt>
                <c:pt idx="10">
                  <c:v>118.46649542204042</c:v>
                </c:pt>
                <c:pt idx="11">
                  <c:v>118.57953477548756</c:v>
                </c:pt>
                <c:pt idx="12">
                  <c:v>116.18950873079092</c:v>
                </c:pt>
                <c:pt idx="13">
                  <c:v>106.41943596674156</c:v>
                </c:pt>
                <c:pt idx="14">
                  <c:v>88.926439394617447</c:v>
                </c:pt>
                <c:pt idx="15">
                  <c:v>97.212411953710259</c:v>
                </c:pt>
                <c:pt idx="16">
                  <c:v>103.70309045833297</c:v>
                </c:pt>
                <c:pt idx="17">
                  <c:v>110.18365538659816</c:v>
                </c:pt>
                <c:pt idx="18">
                  <c:v>110.20540405080058</c:v>
                </c:pt>
                <c:pt idx="19">
                  <c:v>115.86202575829446</c:v>
                </c:pt>
                <c:pt idx="20">
                  <c:v>114.20939578093814</c:v>
                </c:pt>
                <c:pt idx="21">
                  <c:v>103.43127690614064</c:v>
                </c:pt>
                <c:pt idx="22">
                  <c:v>118.95678012368992</c:v>
                </c:pt>
                <c:pt idx="23">
                  <c:v>122.78400801926054</c:v>
                </c:pt>
                <c:pt idx="24">
                  <c:v>120.2250941994612</c:v>
                </c:pt>
                <c:pt idx="25">
                  <c:v>123.38822708111447</c:v>
                </c:pt>
                <c:pt idx="26">
                  <c:v>134.32565715871152</c:v>
                </c:pt>
                <c:pt idx="27">
                  <c:v>135.46741727900041</c:v>
                </c:pt>
                <c:pt idx="28">
                  <c:v>138.02015555217437</c:v>
                </c:pt>
                <c:pt idx="29">
                  <c:v>139.00385747912395</c:v>
                </c:pt>
                <c:pt idx="30">
                  <c:v>139.12334088122364</c:v>
                </c:pt>
                <c:pt idx="31">
                  <c:v>141.72512552469772</c:v>
                </c:pt>
                <c:pt idx="32">
                  <c:v>136.5842067107607</c:v>
                </c:pt>
                <c:pt idx="33">
                  <c:v>140.41555163741489</c:v>
                </c:pt>
                <c:pt idx="34">
                  <c:v>135.14718386123818</c:v>
                </c:pt>
                <c:pt idx="35">
                  <c:v>142.17057038780646</c:v>
                </c:pt>
                <c:pt idx="36">
                  <c:v>138.46828543555506</c:v>
                </c:pt>
                <c:pt idx="37">
                  <c:v>129.42710617465164</c:v>
                </c:pt>
                <c:pt idx="38">
                  <c:v>129.01298654804847</c:v>
                </c:pt>
                <c:pt idx="39">
                  <c:v>126.17697863618874</c:v>
                </c:pt>
                <c:pt idx="40">
                  <c:v>128.77670476412101</c:v>
                </c:pt>
                <c:pt idx="41">
                  <c:v>114.41560533782032</c:v>
                </c:pt>
                <c:pt idx="42">
                  <c:v>120.68315865784788</c:v>
                </c:pt>
                <c:pt idx="43">
                  <c:v>114.87375929688271</c:v>
                </c:pt>
                <c:pt idx="44">
                  <c:v>108.42434060377158</c:v>
                </c:pt>
                <c:pt idx="45">
                  <c:v>118.62186859510791</c:v>
                </c:pt>
                <c:pt idx="46">
                  <c:v>128.85448085133046</c:v>
                </c:pt>
                <c:pt idx="47">
                  <c:v>124.61707135888879</c:v>
                </c:pt>
                <c:pt idx="48">
                  <c:v>135.39903876274269</c:v>
                </c:pt>
                <c:pt idx="49">
                  <c:v>137.51904126876158</c:v>
                </c:pt>
                <c:pt idx="50">
                  <c:v>139.87917408776437</c:v>
                </c:pt>
                <c:pt idx="51">
                  <c:v>142.50637692314575</c:v>
                </c:pt>
                <c:pt idx="52">
                  <c:v>140.19403746498284</c:v>
                </c:pt>
                <c:pt idx="53">
                  <c:v>144.524796162211</c:v>
                </c:pt>
                <c:pt idx="54">
                  <c:v>147.20023986181096</c:v>
                </c:pt>
                <c:pt idx="55">
                  <c:v>142.72744359219911</c:v>
                </c:pt>
                <c:pt idx="56">
                  <c:v>137.71093071752691</c:v>
                </c:pt>
                <c:pt idx="57">
                  <c:v>132.55354377925553</c:v>
                </c:pt>
                <c:pt idx="58">
                  <c:v>145.12919422541643</c:v>
                </c:pt>
                <c:pt idx="59">
                  <c:v>149.92830995874019</c:v>
                </c:pt>
                <c:pt idx="60">
                  <c:v>151.2897942379465</c:v>
                </c:pt>
                <c:pt idx="61">
                  <c:v>158.22099506851276</c:v>
                </c:pt>
                <c:pt idx="62">
                  <c:v>165.50903509321498</c:v>
                </c:pt>
                <c:pt idx="63">
                  <c:v>160.49413323070587</c:v>
                </c:pt>
                <c:pt idx="64">
                  <c:v>165.55781296148785</c:v>
                </c:pt>
              </c:numCache>
            </c:numRef>
          </c:val>
          <c:smooth val="0"/>
          <c:extLst>
            <c:ext xmlns:c16="http://schemas.microsoft.com/office/drawing/2014/chart" uri="{C3380CC4-5D6E-409C-BE32-E72D297353CC}">
              <c16:uniqueId val="{00000000-8CD6-4AB0-BEFA-69D6A7BD0CCC}"/>
            </c:ext>
          </c:extLst>
        </c:ser>
        <c:ser>
          <c:idx val="2"/>
          <c:order val="1"/>
          <c:tx>
            <c:strRef>
              <c:f>Sheet1!$E$1</c:f>
              <c:strCache>
                <c:ptCount val="1"/>
                <c:pt idx="0">
                  <c:v>MOEX (ՌԴ)</c:v>
                </c:pt>
              </c:strCache>
            </c:strRef>
          </c:tx>
          <c:spPr>
            <a:ln w="28575" cap="rnd">
              <a:solidFill>
                <a:srgbClr val="4472C4">
                  <a:lumMod val="75000"/>
                </a:srgbClr>
              </a:solidFill>
              <a:round/>
            </a:ln>
            <a:effectLst/>
          </c:spPr>
          <c:marker>
            <c:symbol val="none"/>
          </c:marker>
          <c:cat>
            <c:multiLvlStrRef>
              <c:f>Sheet1!$A$2:$B$66</c:f>
              <c:multiLvlStrCache>
                <c:ptCount val="65"/>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lvl>
                <c:lvl>
                  <c:pt idx="0">
                    <c:v>2019</c:v>
                  </c:pt>
                  <c:pt idx="12">
                    <c:v>2020</c:v>
                  </c:pt>
                  <c:pt idx="24">
                    <c:v>2021</c:v>
                  </c:pt>
                  <c:pt idx="36">
                    <c:v>2022</c:v>
                  </c:pt>
                  <c:pt idx="48">
                    <c:v>2023</c:v>
                  </c:pt>
                  <c:pt idx="60">
                    <c:v>2024</c:v>
                  </c:pt>
                </c:lvl>
              </c:multiLvlStrCache>
            </c:multiLvlStrRef>
          </c:cat>
          <c:val>
            <c:numRef>
              <c:f>Sheet1!$E$2:$E$66</c:f>
              <c:numCache>
                <c:formatCode>0.0</c:formatCode>
                <c:ptCount val="65"/>
                <c:pt idx="0" formatCode="General">
                  <c:v>100</c:v>
                </c:pt>
                <c:pt idx="1">
                  <c:v>98.578794970449408</c:v>
                </c:pt>
                <c:pt idx="2">
                  <c:v>99.048034588076632</c:v>
                </c:pt>
                <c:pt idx="3">
                  <c:v>101.51600491848797</c:v>
                </c:pt>
                <c:pt idx="4">
                  <c:v>105.72091547340446</c:v>
                </c:pt>
                <c:pt idx="5">
                  <c:v>109.70806394034351</c:v>
                </c:pt>
                <c:pt idx="6">
                  <c:v>108.66288524850265</c:v>
                </c:pt>
                <c:pt idx="7">
                  <c:v>108.68430447027093</c:v>
                </c:pt>
                <c:pt idx="8">
                  <c:v>108.96751418031812</c:v>
                </c:pt>
                <c:pt idx="9">
                  <c:v>114.79036928324939</c:v>
                </c:pt>
                <c:pt idx="10">
                  <c:v>116.43211296656223</c:v>
                </c:pt>
                <c:pt idx="11">
                  <c:v>120.8151203839594</c:v>
                </c:pt>
                <c:pt idx="12">
                  <c:v>122.03601602475112</c:v>
                </c:pt>
                <c:pt idx="13">
                  <c:v>110.47082622664711</c:v>
                </c:pt>
                <c:pt idx="14">
                  <c:v>99.512514378644241</c:v>
                </c:pt>
                <c:pt idx="15">
                  <c:v>105.13506009281662</c:v>
                </c:pt>
                <c:pt idx="16">
                  <c:v>108.47764864543252</c:v>
                </c:pt>
                <c:pt idx="17">
                  <c:v>108.80964658284078</c:v>
                </c:pt>
                <c:pt idx="18">
                  <c:v>115.48808059973817</c:v>
                </c:pt>
                <c:pt idx="19">
                  <c:v>117.65499186862871</c:v>
                </c:pt>
                <c:pt idx="20">
                  <c:v>115.25960890087654</c:v>
                </c:pt>
                <c:pt idx="21">
                  <c:v>106.72285906945376</c:v>
                </c:pt>
                <c:pt idx="22">
                  <c:v>123.26286144936728</c:v>
                </c:pt>
                <c:pt idx="23">
                  <c:v>130.45971996350792</c:v>
                </c:pt>
                <c:pt idx="24">
                  <c:v>129.98611717107605</c:v>
                </c:pt>
                <c:pt idx="25">
                  <c:v>132.74523025663393</c:v>
                </c:pt>
                <c:pt idx="26">
                  <c:v>140.48312244655102</c:v>
                </c:pt>
                <c:pt idx="27">
                  <c:v>140.57355916068374</c:v>
                </c:pt>
                <c:pt idx="28">
                  <c:v>147.61929316568157</c:v>
                </c:pt>
                <c:pt idx="29">
                  <c:v>152.38784657490768</c:v>
                </c:pt>
                <c:pt idx="30">
                  <c:v>149.60057117924705</c:v>
                </c:pt>
                <c:pt idx="31">
                  <c:v>155.44643211296645</c:v>
                </c:pt>
                <c:pt idx="32">
                  <c:v>162.76704613065715</c:v>
                </c:pt>
                <c:pt idx="33">
                  <c:v>164.61068581174871</c:v>
                </c:pt>
                <c:pt idx="34">
                  <c:v>154.32112966562204</c:v>
                </c:pt>
                <c:pt idx="35">
                  <c:v>150.22252191503699</c:v>
                </c:pt>
                <c:pt idx="36">
                  <c:v>140.03331878941722</c:v>
                </c:pt>
                <c:pt idx="37">
                  <c:v>97.992146285351566</c:v>
                </c:pt>
                <c:pt idx="38">
                  <c:v>107.2353337828725</c:v>
                </c:pt>
                <c:pt idx="39">
                  <c:v>96.988219428027406</c:v>
                </c:pt>
                <c:pt idx="40">
                  <c:v>93.441354964102928</c:v>
                </c:pt>
                <c:pt idx="41">
                  <c:v>87.455872436634763</c:v>
                </c:pt>
                <c:pt idx="42">
                  <c:v>87.811272857086152</c:v>
                </c:pt>
                <c:pt idx="43">
                  <c:v>95.199714410376373</c:v>
                </c:pt>
                <c:pt idx="44">
                  <c:v>77.637142517155169</c:v>
                </c:pt>
                <c:pt idx="45">
                  <c:v>85.939074213636857</c:v>
                </c:pt>
                <c:pt idx="46">
                  <c:v>86.253222799571574</c:v>
                </c:pt>
                <c:pt idx="47">
                  <c:v>85.443655547181734</c:v>
                </c:pt>
                <c:pt idx="48">
                  <c:v>88.278925865693495</c:v>
                </c:pt>
                <c:pt idx="49">
                  <c:v>89.372099480385486</c:v>
                </c:pt>
                <c:pt idx="50">
                  <c:v>97.206378168259832</c:v>
                </c:pt>
                <c:pt idx="51">
                  <c:v>104.51548927055644</c:v>
                </c:pt>
                <c:pt idx="52">
                  <c:v>107.79580341914236</c:v>
                </c:pt>
                <c:pt idx="53">
                  <c:v>110.95831184800278</c:v>
                </c:pt>
                <c:pt idx="54">
                  <c:v>121.91107056443607</c:v>
                </c:pt>
                <c:pt idx="55">
                  <c:v>128.03895125143777</c:v>
                </c:pt>
                <c:pt idx="56">
                  <c:v>124.28146444012528</c:v>
                </c:pt>
                <c:pt idx="57">
                  <c:v>126.96719685851406</c:v>
                </c:pt>
                <c:pt idx="58">
                  <c:v>125.57177422553639</c:v>
                </c:pt>
                <c:pt idx="59">
                  <c:v>122.9268969894093</c:v>
                </c:pt>
                <c:pt idx="60">
                  <c:v>127.49157113958184</c:v>
                </c:pt>
                <c:pt idx="61">
                  <c:v>129.18170639800078</c:v>
                </c:pt>
                <c:pt idx="62">
                  <c:v>132.18555392487397</c:v>
                </c:pt>
                <c:pt idx="63">
                  <c:v>137.68355083098635</c:v>
                </c:pt>
                <c:pt idx="64">
                  <c:v>127.42057038594254</c:v>
                </c:pt>
              </c:numCache>
            </c:numRef>
          </c:val>
          <c:smooth val="0"/>
          <c:extLst>
            <c:ext xmlns:c16="http://schemas.microsoft.com/office/drawing/2014/chart" uri="{C3380CC4-5D6E-409C-BE32-E72D297353CC}">
              <c16:uniqueId val="{00000001-8CD6-4AB0-BEFA-69D6A7BD0CCC}"/>
            </c:ext>
          </c:extLst>
        </c:ser>
        <c:ser>
          <c:idx val="0"/>
          <c:order val="2"/>
          <c:tx>
            <c:strRef>
              <c:f>Sheet1!$C$1</c:f>
              <c:strCache>
                <c:ptCount val="1"/>
                <c:pt idx="0">
                  <c:v>S&amp;P 500 (ԱՄՆ)</c:v>
                </c:pt>
              </c:strCache>
            </c:strRef>
          </c:tx>
          <c:spPr>
            <a:ln w="28575" cap="rnd">
              <a:solidFill>
                <a:schemeClr val="accent1"/>
              </a:solidFill>
              <a:round/>
            </a:ln>
            <a:effectLst/>
          </c:spPr>
          <c:marker>
            <c:symbol val="none"/>
          </c:marker>
          <c:cat>
            <c:multiLvlStrRef>
              <c:f>Sheet1!$A$2:$B$66</c:f>
              <c:multiLvlStrCache>
                <c:ptCount val="65"/>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lvl>
                <c:lvl>
                  <c:pt idx="0">
                    <c:v>2019</c:v>
                  </c:pt>
                  <c:pt idx="12">
                    <c:v>2020</c:v>
                  </c:pt>
                  <c:pt idx="24">
                    <c:v>2021</c:v>
                  </c:pt>
                  <c:pt idx="36">
                    <c:v>2022</c:v>
                  </c:pt>
                  <c:pt idx="48">
                    <c:v>2023</c:v>
                  </c:pt>
                  <c:pt idx="60">
                    <c:v>2024</c:v>
                  </c:pt>
                </c:lvl>
              </c:multiLvlStrCache>
            </c:multiLvlStrRef>
          </c:cat>
          <c:val>
            <c:numRef>
              <c:f>Sheet1!$C$2:$C$66</c:f>
              <c:numCache>
                <c:formatCode>0.0</c:formatCode>
                <c:ptCount val="65"/>
                <c:pt idx="0" formatCode="General">
                  <c:v>100</c:v>
                </c:pt>
                <c:pt idx="1">
                  <c:v>102.97289301431161</c:v>
                </c:pt>
                <c:pt idx="2">
                  <c:v>104.81860877926114</c:v>
                </c:pt>
                <c:pt idx="3">
                  <c:v>108.93938833623017</c:v>
                </c:pt>
                <c:pt idx="4">
                  <c:v>101.77360304722457</c:v>
                </c:pt>
                <c:pt idx="5">
                  <c:v>108.78887615102991</c:v>
                </c:pt>
                <c:pt idx="6">
                  <c:v>110.21707777079249</c:v>
                </c:pt>
                <c:pt idx="7">
                  <c:v>108.22306867349579</c:v>
                </c:pt>
                <c:pt idx="8">
                  <c:v>110.08246736437259</c:v>
                </c:pt>
                <c:pt idx="9">
                  <c:v>112.33164453977291</c:v>
                </c:pt>
                <c:pt idx="10">
                  <c:v>116.15620724085645</c:v>
                </c:pt>
                <c:pt idx="11">
                  <c:v>119.47709034429198</c:v>
                </c:pt>
                <c:pt idx="12">
                  <c:v>119.28257091083906</c:v>
                </c:pt>
                <c:pt idx="13">
                  <c:v>109.24965792685178</c:v>
                </c:pt>
                <c:pt idx="14">
                  <c:v>95.580414925483495</c:v>
                </c:pt>
                <c:pt idx="15">
                  <c:v>107.70422691468507</c:v>
                </c:pt>
                <c:pt idx="16">
                  <c:v>112.58126548574383</c:v>
                </c:pt>
                <c:pt idx="17">
                  <c:v>114.65145519766277</c:v>
                </c:pt>
                <c:pt idx="18">
                  <c:v>120.96889907917601</c:v>
                </c:pt>
                <c:pt idx="19">
                  <c:v>129.44454716911352</c:v>
                </c:pt>
                <c:pt idx="20">
                  <c:v>124.36670241485147</c:v>
                </c:pt>
                <c:pt idx="21">
                  <c:v>120.92600125734991</c:v>
                </c:pt>
                <c:pt idx="22">
                  <c:v>133.9310676380311</c:v>
                </c:pt>
                <c:pt idx="23">
                  <c:v>138.90277726415439</c:v>
                </c:pt>
                <c:pt idx="24">
                  <c:v>137.35586701675228</c:v>
                </c:pt>
                <c:pt idx="25">
                  <c:v>140.93968418327719</c:v>
                </c:pt>
                <c:pt idx="26">
                  <c:v>146.92097185754957</c:v>
                </c:pt>
                <c:pt idx="27">
                  <c:v>154.62334972819045</c:v>
                </c:pt>
                <c:pt idx="28">
                  <c:v>155.47169113568276</c:v>
                </c:pt>
                <c:pt idx="29">
                  <c:v>158.92533560149394</c:v>
                </c:pt>
                <c:pt idx="30">
                  <c:v>162.54058651677076</c:v>
                </c:pt>
                <c:pt idx="31">
                  <c:v>167.25269035908428</c:v>
                </c:pt>
                <c:pt idx="32">
                  <c:v>159.29662364557515</c:v>
                </c:pt>
                <c:pt idx="33">
                  <c:v>170.31100920823926</c:v>
                </c:pt>
                <c:pt idx="34">
                  <c:v>168.89168299988896</c:v>
                </c:pt>
                <c:pt idx="35">
                  <c:v>176.25753485448016</c:v>
                </c:pt>
                <c:pt idx="36">
                  <c:v>166.9890166783772</c:v>
                </c:pt>
                <c:pt idx="37">
                  <c:v>161.74660700417874</c:v>
                </c:pt>
                <c:pt idx="38">
                  <c:v>167.53855256832207</c:v>
                </c:pt>
                <c:pt idx="39">
                  <c:v>152.80241115343358</c:v>
                </c:pt>
                <c:pt idx="40">
                  <c:v>152.81054694722818</c:v>
                </c:pt>
                <c:pt idx="41">
                  <c:v>139.98668688288149</c:v>
                </c:pt>
                <c:pt idx="42">
                  <c:v>152.7417625087829</c:v>
                </c:pt>
                <c:pt idx="43">
                  <c:v>146.25938389852442</c:v>
                </c:pt>
                <c:pt idx="44">
                  <c:v>132.59938611737726</c:v>
                </c:pt>
                <c:pt idx="45">
                  <c:v>143.18923116748635</c:v>
                </c:pt>
                <c:pt idx="46">
                  <c:v>150.88606190599452</c:v>
                </c:pt>
                <c:pt idx="47">
                  <c:v>141.98809215635509</c:v>
                </c:pt>
                <c:pt idx="48">
                  <c:v>150.75625901408964</c:v>
                </c:pt>
                <c:pt idx="49">
                  <c:v>146.81964424392581</c:v>
                </c:pt>
                <c:pt idx="50">
                  <c:v>151.96590362782433</c:v>
                </c:pt>
                <c:pt idx="51">
                  <c:v>154.19104323064963</c:v>
                </c:pt>
                <c:pt idx="52">
                  <c:v>154.57379534780506</c:v>
                </c:pt>
                <c:pt idx="53">
                  <c:v>164.57897267112889</c:v>
                </c:pt>
                <c:pt idx="54">
                  <c:v>169.70378314411437</c:v>
                </c:pt>
                <c:pt idx="55">
                  <c:v>166.6972375281978</c:v>
                </c:pt>
                <c:pt idx="56">
                  <c:v>158.57771532117886</c:v>
                </c:pt>
                <c:pt idx="57">
                  <c:v>155.09041825376272</c:v>
                </c:pt>
                <c:pt idx="58">
                  <c:v>168.92126770459663</c:v>
                </c:pt>
                <c:pt idx="59">
                  <c:v>176.39140564328233</c:v>
                </c:pt>
                <c:pt idx="60">
                  <c:v>179.1945564143337</c:v>
                </c:pt>
                <c:pt idx="61">
                  <c:v>188.46566325209855</c:v>
                </c:pt>
                <c:pt idx="62">
                  <c:v>194.31234051995105</c:v>
                </c:pt>
                <c:pt idx="63">
                  <c:v>186.22425206168398</c:v>
                </c:pt>
                <c:pt idx="64">
                  <c:v>195.16696867719378</c:v>
                </c:pt>
              </c:numCache>
            </c:numRef>
          </c:val>
          <c:smooth val="0"/>
          <c:extLst>
            <c:ext xmlns:c16="http://schemas.microsoft.com/office/drawing/2014/chart" uri="{C3380CC4-5D6E-409C-BE32-E72D297353CC}">
              <c16:uniqueId val="{00000002-8CD6-4AB0-BEFA-69D6A7BD0CCC}"/>
            </c:ext>
          </c:extLst>
        </c:ser>
        <c:dLbls>
          <c:showLegendKey val="0"/>
          <c:showVal val="0"/>
          <c:showCatName val="0"/>
          <c:showSerName val="0"/>
          <c:showPercent val="0"/>
          <c:showBubbleSize val="0"/>
        </c:dLbls>
        <c:smooth val="0"/>
        <c:axId val="-246681968"/>
        <c:axId val="-279164944"/>
      </c:lineChart>
      <c:catAx>
        <c:axId val="-246681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79164944"/>
        <c:crosses val="autoZero"/>
        <c:auto val="1"/>
        <c:lblAlgn val="ctr"/>
        <c:lblOffset val="10"/>
        <c:noMultiLvlLbl val="0"/>
      </c:catAx>
      <c:valAx>
        <c:axId val="-279164944"/>
        <c:scaling>
          <c:orientation val="minMax"/>
          <c:min val="6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y-AM" sz="900"/>
                  <a:t>Ինդեքս՝ 2019թ. հունվար</a:t>
                </a:r>
                <a:r>
                  <a:rPr lang="en-US" sz="900"/>
                  <a:t>=100</a:t>
                </a:r>
              </a:p>
            </c:rich>
          </c:tx>
          <c:layout>
            <c:manualLayout>
              <c:xMode val="edge"/>
              <c:yMode val="edge"/>
              <c:x val="5.822678075038442E-3"/>
              <c:y val="9.9954846172578923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6681968"/>
        <c:crosses val="autoZero"/>
        <c:crossBetween val="between"/>
      </c:valAx>
      <c:spPr>
        <a:noFill/>
        <a:ln>
          <a:noFill/>
        </a:ln>
        <a:effectLst/>
      </c:spPr>
    </c:plotArea>
    <c:legend>
      <c:legendPos val="b"/>
      <c:layout>
        <c:manualLayout>
          <c:xMode val="edge"/>
          <c:yMode val="edge"/>
          <c:x val="0"/>
          <c:y val="0.86752623611870805"/>
          <c:w val="0.98848167539267018"/>
          <c:h val="0.132473763881291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900" b="1">
                <a:solidFill>
                  <a:sysClr val="windowText" lastClr="000000"/>
                </a:solidFill>
                <a:latin typeface="GHEA Grapalat" panose="02000506050000020003" pitchFamily="50" charset="0"/>
              </a:rPr>
              <a:t>ՀՀ կ</a:t>
            </a:r>
            <a:r>
              <a:rPr lang="hy-AM" sz="900" b="1">
                <a:solidFill>
                  <a:sysClr val="windowText" lastClr="000000"/>
                </a:solidFill>
                <a:latin typeface="GHEA Grapalat" panose="02000506050000020003" pitchFamily="50" charset="0"/>
              </a:rPr>
              <a:t>առավարության պարտքի</a:t>
            </a:r>
            <a:r>
              <a:rPr lang="hy-AM" sz="900" b="1" baseline="0">
                <a:solidFill>
                  <a:sysClr val="windowText" lastClr="000000"/>
                </a:solidFill>
                <a:latin typeface="GHEA Grapalat" panose="02000506050000020003" pitchFamily="50" charset="0"/>
              </a:rPr>
              <a:t> դինամիկան</a:t>
            </a:r>
            <a:endParaRPr lang="en-US" sz="900" b="1">
              <a:solidFill>
                <a:sysClr val="windowText" lastClr="000000"/>
              </a:solidFill>
              <a:latin typeface="GHEA Grapalat" panose="02000506050000020003" pitchFamily="50" charset="0"/>
            </a:endParaRPr>
          </a:p>
        </c:rich>
      </c:tx>
      <c:overlay val="0"/>
      <c:spPr>
        <a:noFill/>
        <a:ln>
          <a:noFill/>
        </a:ln>
        <a:effectLst/>
      </c:spPr>
    </c:title>
    <c:autoTitleDeleted val="0"/>
    <c:plotArea>
      <c:layout>
        <c:manualLayout>
          <c:layoutTarget val="inner"/>
          <c:xMode val="edge"/>
          <c:yMode val="edge"/>
          <c:x val="0.17386382342451095"/>
          <c:y val="0.14090407938257993"/>
          <c:w val="0.69199360750637873"/>
          <c:h val="0.5688022293795415"/>
        </c:manualLayout>
      </c:layout>
      <c:barChart>
        <c:barDir val="col"/>
        <c:grouping val="clustered"/>
        <c:varyColors val="0"/>
        <c:ser>
          <c:idx val="1"/>
          <c:order val="1"/>
          <c:tx>
            <c:strRef>
              <c:f>Sheet1!$C$1</c:f>
              <c:strCache>
                <c:ptCount val="1"/>
                <c:pt idx="0">
                  <c:v>ՀՀ կառավարության պարտք, մլրդ դրամ</c:v>
                </c:pt>
              </c:strCache>
            </c:strRef>
          </c:tx>
          <c:spPr>
            <a:solidFill>
              <a:schemeClr val="accent2"/>
            </a:solidFill>
            <a:ln>
              <a:noFill/>
            </a:ln>
            <a:effectLst/>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Sheet1!$C$2:$C$12</c:f>
              <c:numCache>
                <c:formatCode>0.0</c:formatCode>
                <c:ptCount val="7"/>
                <c:pt idx="0">
                  <c:v>4209.8379084372009</c:v>
                </c:pt>
                <c:pt idx="1">
                  <c:v>3969.6861616886908</c:v>
                </c:pt>
                <c:pt idx="2">
                  <c:v>4571.9458306086499</c:v>
                </c:pt>
                <c:pt idx="3">
                  <c:v>5172.9512314077219</c:v>
                </c:pt>
                <c:pt idx="4">
                  <c:v>6017.5487375595849</c:v>
                </c:pt>
                <c:pt idx="5">
                  <c:v>6774.8495734403605</c:v>
                </c:pt>
                <c:pt idx="6">
                  <c:v>7421.5737991731858</c:v>
                </c:pt>
              </c:numCache>
            </c:numRef>
          </c:val>
          <c:extLst>
            <c:ext xmlns:c16="http://schemas.microsoft.com/office/drawing/2014/chart" uri="{C3380CC4-5D6E-409C-BE32-E72D297353CC}">
              <c16:uniqueId val="{00000000-450A-456D-A78E-2C4D517DB3FA}"/>
            </c:ext>
          </c:extLst>
        </c:ser>
        <c:dLbls>
          <c:showLegendKey val="0"/>
          <c:showVal val="0"/>
          <c:showCatName val="0"/>
          <c:showSerName val="0"/>
          <c:showPercent val="0"/>
          <c:showBubbleSize val="0"/>
        </c:dLbls>
        <c:gapWidth val="219"/>
        <c:axId val="666657152"/>
        <c:axId val="666658688"/>
      </c:barChart>
      <c:lineChart>
        <c:grouping val="standard"/>
        <c:varyColors val="0"/>
        <c:ser>
          <c:idx val="0"/>
          <c:order val="0"/>
          <c:tx>
            <c:strRef>
              <c:f>Sheet1!$B$1</c:f>
              <c:strCache>
                <c:ptCount val="1"/>
                <c:pt idx="0">
                  <c:v>Կառավարության պարտք/ՀՆԱ, % (աջ առանցք)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8.6185312833690797E-2"/>
                  <c:y val="-2.8632942381651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0A-456D-A78E-2C4D517DB3F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Sheet1!$B$2:$B$12</c:f>
              <c:numCache>
                <c:formatCode>0.0</c:formatCode>
                <c:ptCount val="7"/>
                <c:pt idx="0">
                  <c:v>60.211265701788832</c:v>
                </c:pt>
                <c:pt idx="1">
                  <c:v>46.69430429353595</c:v>
                </c:pt>
                <c:pt idx="2">
                  <c:v>48.099386823578513</c:v>
                </c:pt>
                <c:pt idx="3">
                  <c:v>50.539872040733968</c:v>
                </c:pt>
                <c:pt idx="4">
                  <c:v>53.741423263673262</c:v>
                </c:pt>
                <c:pt idx="5">
                  <c:v>55.040310801451064</c:v>
                </c:pt>
                <c:pt idx="6">
                  <c:v>54.953003273929014</c:v>
                </c:pt>
              </c:numCache>
            </c:numRef>
          </c:val>
          <c:smooth val="0"/>
          <c:extLst>
            <c:ext xmlns:c16="http://schemas.microsoft.com/office/drawing/2014/chart" uri="{C3380CC4-5D6E-409C-BE32-E72D297353CC}">
              <c16:uniqueId val="{00000002-450A-456D-A78E-2C4D517DB3FA}"/>
            </c:ext>
          </c:extLst>
        </c:ser>
        <c:ser>
          <c:idx val="2"/>
          <c:order val="2"/>
          <c:tx>
            <c:strRef>
              <c:f>Sheet1!$D$1</c:f>
              <c:strCache>
                <c:ptCount val="1"/>
                <c:pt idx="0">
                  <c:v>50% շեմ</c:v>
                </c:pt>
              </c:strCache>
            </c:strRef>
          </c:tx>
          <c:spPr>
            <a:ln w="28575">
              <a:solidFill>
                <a:srgbClr val="FFC000"/>
              </a:solidFill>
              <a:prstDash val="dash"/>
            </a:ln>
          </c:spPr>
          <c:marker>
            <c:symbol val="none"/>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Sheet1!$D$2:$D$12</c:f>
              <c:numCache>
                <c:formatCode>General</c:formatCode>
                <c:ptCount val="7"/>
                <c:pt idx="0">
                  <c:v>50</c:v>
                </c:pt>
                <c:pt idx="1">
                  <c:v>50</c:v>
                </c:pt>
                <c:pt idx="2">
                  <c:v>50</c:v>
                </c:pt>
                <c:pt idx="3">
                  <c:v>50</c:v>
                </c:pt>
                <c:pt idx="4">
                  <c:v>50</c:v>
                </c:pt>
                <c:pt idx="5">
                  <c:v>50</c:v>
                </c:pt>
                <c:pt idx="6">
                  <c:v>50</c:v>
                </c:pt>
              </c:numCache>
            </c:numRef>
          </c:val>
          <c:smooth val="0"/>
          <c:extLst>
            <c:ext xmlns:c16="http://schemas.microsoft.com/office/drawing/2014/chart" uri="{C3380CC4-5D6E-409C-BE32-E72D297353CC}">
              <c16:uniqueId val="{00000003-450A-456D-A78E-2C4D517DB3FA}"/>
            </c:ext>
          </c:extLst>
        </c:ser>
        <c:ser>
          <c:idx val="3"/>
          <c:order val="3"/>
          <c:tx>
            <c:strRef>
              <c:f>Sheet1!$E$1</c:f>
              <c:strCache>
                <c:ptCount val="1"/>
                <c:pt idx="0">
                  <c:v>60% (սահմանային շեմ)</c:v>
                </c:pt>
              </c:strCache>
            </c:strRef>
          </c:tx>
          <c:spPr>
            <a:ln w="28575">
              <a:solidFill>
                <a:srgbClr val="C00000"/>
              </a:solidFill>
              <a:prstDash val="dash"/>
            </a:ln>
          </c:spPr>
          <c:marker>
            <c:symbol val="none"/>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Sheet1!$E$2:$E$12</c:f>
              <c:numCache>
                <c:formatCode>General</c:formatCode>
                <c:ptCount val="7"/>
                <c:pt idx="0">
                  <c:v>60</c:v>
                </c:pt>
                <c:pt idx="1">
                  <c:v>60</c:v>
                </c:pt>
                <c:pt idx="2">
                  <c:v>60</c:v>
                </c:pt>
                <c:pt idx="3">
                  <c:v>60</c:v>
                </c:pt>
                <c:pt idx="4">
                  <c:v>60</c:v>
                </c:pt>
                <c:pt idx="5">
                  <c:v>60</c:v>
                </c:pt>
                <c:pt idx="6">
                  <c:v>60</c:v>
                </c:pt>
              </c:numCache>
            </c:numRef>
          </c:val>
          <c:smooth val="0"/>
          <c:extLst>
            <c:ext xmlns:c16="http://schemas.microsoft.com/office/drawing/2014/chart" uri="{C3380CC4-5D6E-409C-BE32-E72D297353CC}">
              <c16:uniqueId val="{00000004-450A-456D-A78E-2C4D517DB3FA}"/>
            </c:ext>
          </c:extLst>
        </c:ser>
        <c:dLbls>
          <c:showLegendKey val="0"/>
          <c:showVal val="0"/>
          <c:showCatName val="0"/>
          <c:showSerName val="0"/>
          <c:showPercent val="0"/>
          <c:showBubbleSize val="0"/>
        </c:dLbls>
        <c:marker val="1"/>
        <c:smooth val="0"/>
        <c:axId val="666735744"/>
        <c:axId val="666660224"/>
      </c:lineChart>
      <c:catAx>
        <c:axId val="66665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6658688"/>
        <c:crosses val="autoZero"/>
        <c:auto val="1"/>
        <c:lblAlgn val="ctr"/>
        <c:lblOffset val="100"/>
        <c:noMultiLvlLbl val="0"/>
      </c:catAx>
      <c:valAx>
        <c:axId val="6666586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66657152"/>
        <c:crosses val="autoZero"/>
        <c:crossBetween val="between"/>
      </c:valAx>
      <c:valAx>
        <c:axId val="666660224"/>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6735744"/>
        <c:crosses val="max"/>
        <c:crossBetween val="between"/>
      </c:valAx>
      <c:catAx>
        <c:axId val="666735744"/>
        <c:scaling>
          <c:orientation val="minMax"/>
        </c:scaling>
        <c:delete val="1"/>
        <c:axPos val="b"/>
        <c:numFmt formatCode="General" sourceLinked="1"/>
        <c:majorTickMark val="out"/>
        <c:minorTickMark val="none"/>
        <c:tickLblPos val="none"/>
        <c:crossAx val="666660224"/>
        <c:crosses val="autoZero"/>
        <c:auto val="1"/>
        <c:lblAlgn val="ctr"/>
        <c:lblOffset val="100"/>
        <c:noMultiLvlLbl val="0"/>
      </c:catAx>
      <c:spPr>
        <a:noFill/>
        <a:ln>
          <a:noFill/>
        </a:ln>
        <a:effectLst/>
      </c:spPr>
    </c:plotArea>
    <c:legend>
      <c:legendPos val="b"/>
      <c:layout>
        <c:manualLayout>
          <c:xMode val="edge"/>
          <c:yMode val="edge"/>
          <c:x val="0"/>
          <c:y val="0.82498745539938712"/>
          <c:w val="0.9975609756097561"/>
          <c:h val="0.1750125446006129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99" b="0" i="0" u="none" strike="noStrike" kern="1200" spc="0" baseline="0">
                <a:solidFill>
                  <a:schemeClr val="tx1">
                    <a:lumMod val="65000"/>
                    <a:lumOff val="35000"/>
                  </a:schemeClr>
                </a:solidFill>
                <a:latin typeface="GHEA Grapalat" panose="02000506050000020003" pitchFamily="50" charset="0"/>
                <a:ea typeface="+mn-ea"/>
                <a:cs typeface="+mn-cs"/>
              </a:defRPr>
            </a:pPr>
            <a:r>
              <a:rPr lang="en-US" sz="899" b="1" baseline="0">
                <a:solidFill>
                  <a:sysClr val="windowText" lastClr="000000"/>
                </a:solidFill>
              </a:rPr>
              <a:t>ՀՀ կ</a:t>
            </a:r>
            <a:r>
              <a:rPr lang="hy-AM" sz="899" b="1" baseline="0">
                <a:solidFill>
                  <a:sysClr val="windowText" lastClr="000000"/>
                </a:solidFill>
              </a:rPr>
              <a:t>առավարության պարտքի բեռի փոփոխությանը նպաստող գործոնները, </a:t>
            </a:r>
            <a:r>
              <a:rPr lang="en-US" sz="899" b="1" baseline="0">
                <a:solidFill>
                  <a:sysClr val="windowText" lastClr="000000"/>
                </a:solidFill>
              </a:rPr>
              <a:t>%-</a:t>
            </a:r>
            <a:r>
              <a:rPr lang="hy-AM" sz="899" b="1" baseline="0">
                <a:solidFill>
                  <a:sysClr val="windowText" lastClr="000000"/>
                </a:solidFill>
              </a:rPr>
              <a:t>ային կետ</a:t>
            </a:r>
            <a:endParaRPr lang="en-US" sz="900" b="1">
              <a:solidFill>
                <a:sysClr val="windowText" lastClr="000000"/>
              </a:solidFill>
            </a:endParaRPr>
          </a:p>
        </c:rich>
      </c:tx>
      <c:layout>
        <c:manualLayout>
          <c:xMode val="edge"/>
          <c:yMode val="edge"/>
          <c:x val="8.4826303261163777E-2"/>
          <c:y val="3.4761154855643046E-3"/>
        </c:manualLayout>
      </c:layout>
      <c:overlay val="0"/>
      <c:spPr>
        <a:noFill/>
        <a:ln w="25384">
          <a:noFill/>
        </a:ln>
      </c:spPr>
    </c:title>
    <c:autoTitleDeleted val="0"/>
    <c:plotArea>
      <c:layout>
        <c:manualLayout>
          <c:layoutTarget val="inner"/>
          <c:xMode val="edge"/>
          <c:yMode val="edge"/>
          <c:x val="0.11882213353467802"/>
          <c:y val="0.21861594033419091"/>
          <c:w val="0.49000876204041866"/>
          <c:h val="0.65598537806536561"/>
        </c:manualLayout>
      </c:layout>
      <c:barChart>
        <c:barDir val="col"/>
        <c:grouping val="stacked"/>
        <c:varyColors val="0"/>
        <c:ser>
          <c:idx val="0"/>
          <c:order val="0"/>
          <c:tx>
            <c:strRef>
              <c:f>Sheet1!$B$1</c:f>
              <c:strCache>
                <c:ptCount val="1"/>
                <c:pt idx="0">
                  <c:v>Առաջնային պակասուրդ</c:v>
                </c:pt>
              </c:strCache>
            </c:strRef>
          </c:tx>
          <c:spPr>
            <a:solidFill>
              <a:srgbClr val="4F81BD"/>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Sheet1!$B$2:$B$12</c:f>
              <c:numCache>
                <c:formatCode>0.0</c:formatCode>
                <c:ptCount val="7"/>
                <c:pt idx="0">
                  <c:v>2.1826159296250589</c:v>
                </c:pt>
                <c:pt idx="1">
                  <c:v>-0.37885727665999891</c:v>
                </c:pt>
                <c:pt idx="2">
                  <c:v>-0.86030980234267851</c:v>
                </c:pt>
                <c:pt idx="3">
                  <c:v>1.451169371797189</c:v>
                </c:pt>
                <c:pt idx="4">
                  <c:v>2.1514165668272538</c:v>
                </c:pt>
                <c:pt idx="5">
                  <c:v>1.0086857608783071</c:v>
                </c:pt>
                <c:pt idx="6">
                  <c:v>-5.8008857763532096E-2</c:v>
                </c:pt>
              </c:numCache>
            </c:numRef>
          </c:val>
          <c:extLst>
            <c:ext xmlns:c16="http://schemas.microsoft.com/office/drawing/2014/chart" uri="{C3380CC4-5D6E-409C-BE32-E72D297353CC}">
              <c16:uniqueId val="{00000000-ED5F-49F2-AA43-7D36628264A4}"/>
            </c:ext>
          </c:extLst>
        </c:ser>
        <c:ser>
          <c:idx val="1"/>
          <c:order val="1"/>
          <c:tx>
            <c:strRef>
              <c:f>Sheet1!$C$1</c:f>
              <c:strCache>
                <c:ptCount val="1"/>
                <c:pt idx="0">
                  <c:v>Իրական տոկոսադրույք</c:v>
                </c:pt>
              </c:strCache>
            </c:strRef>
          </c:tx>
          <c:spPr>
            <a:solidFill>
              <a:srgbClr val="C0504D"/>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Sheet1!$C$2:$C$12</c:f>
              <c:numCache>
                <c:formatCode>0.0</c:formatCode>
                <c:ptCount val="7"/>
                <c:pt idx="0">
                  <c:v>-1.5186370629788788</c:v>
                </c:pt>
                <c:pt idx="1">
                  <c:v>-1.6238836096552529</c:v>
                </c:pt>
                <c:pt idx="2">
                  <c:v>1.6530813545415604</c:v>
                </c:pt>
                <c:pt idx="3">
                  <c:v>2.7851097194617869</c:v>
                </c:pt>
                <c:pt idx="4">
                  <c:v>1.6500712008844804</c:v>
                </c:pt>
                <c:pt idx="5">
                  <c:v>1.3534749898593303</c:v>
                </c:pt>
                <c:pt idx="6">
                  <c:v>1.3159870057253464</c:v>
                </c:pt>
              </c:numCache>
            </c:numRef>
          </c:val>
          <c:extLst>
            <c:ext xmlns:c16="http://schemas.microsoft.com/office/drawing/2014/chart" uri="{C3380CC4-5D6E-409C-BE32-E72D297353CC}">
              <c16:uniqueId val="{00000001-ED5F-49F2-AA43-7D36628264A4}"/>
            </c:ext>
          </c:extLst>
        </c:ser>
        <c:ser>
          <c:idx val="2"/>
          <c:order val="2"/>
          <c:tx>
            <c:strRef>
              <c:f>Sheet1!$D$1</c:f>
              <c:strCache>
                <c:ptCount val="1"/>
                <c:pt idx="0">
                  <c:v>Իրական ՀՆԱ աճ</c:v>
                </c:pt>
              </c:strCache>
            </c:strRef>
          </c:tx>
          <c:spPr>
            <a:solidFill>
              <a:srgbClr val="9BBB59"/>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Sheet1!$D$2:$D$12</c:f>
              <c:numCache>
                <c:formatCode>0.0</c:formatCode>
                <c:ptCount val="7"/>
                <c:pt idx="0">
                  <c:v>-3.1805094702168866</c:v>
                </c:pt>
                <c:pt idx="1">
                  <c:v>-6.2472885197173937</c:v>
                </c:pt>
                <c:pt idx="2">
                  <c:v>-3.6353973622164042</c:v>
                </c:pt>
                <c:pt idx="3">
                  <c:v>-2.9205776953808189</c:v>
                </c:pt>
                <c:pt idx="4">
                  <c:v>-2.6467355050579804</c:v>
                </c:pt>
                <c:pt idx="5">
                  <c:v>-2.5844116853473236</c:v>
                </c:pt>
                <c:pt idx="6">
                  <c:v>-2.3826499390229161</c:v>
                </c:pt>
              </c:numCache>
            </c:numRef>
          </c:val>
          <c:extLst>
            <c:ext xmlns:c16="http://schemas.microsoft.com/office/drawing/2014/chart" uri="{C3380CC4-5D6E-409C-BE32-E72D297353CC}">
              <c16:uniqueId val="{00000002-ED5F-49F2-AA43-7D36628264A4}"/>
            </c:ext>
          </c:extLst>
        </c:ser>
        <c:ser>
          <c:idx val="3"/>
          <c:order val="3"/>
          <c:tx>
            <c:strRef>
              <c:f>Sheet1!$E$1</c:f>
              <c:strCache>
                <c:ptCount val="1"/>
                <c:pt idx="0">
                  <c:v>Փոխարժեքի արժեզրկում</c:v>
                </c:pt>
              </c:strCache>
            </c:strRef>
          </c:tx>
          <c:spPr>
            <a:solidFill>
              <a:srgbClr val="8064A2"/>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Sheet1!$E$2:$E$12</c:f>
              <c:numCache>
                <c:formatCode>0.0</c:formatCode>
                <c:ptCount val="7"/>
                <c:pt idx="0">
                  <c:v>-4.106412737413172</c:v>
                </c:pt>
                <c:pt idx="1">
                  <c:v>-11.127434343887799</c:v>
                </c:pt>
                <c:pt idx="2">
                  <c:v>1.8626070786372748</c:v>
                </c:pt>
              </c:numCache>
            </c:numRef>
          </c:val>
          <c:extLst>
            <c:ext xmlns:c16="http://schemas.microsoft.com/office/drawing/2014/chart" uri="{C3380CC4-5D6E-409C-BE32-E72D297353CC}">
              <c16:uniqueId val="{00000003-ED5F-49F2-AA43-7D36628264A4}"/>
            </c:ext>
          </c:extLst>
        </c:ser>
        <c:ser>
          <c:idx val="4"/>
          <c:order val="4"/>
          <c:tx>
            <c:strRef>
              <c:f>Sheet1!$F$1</c:f>
              <c:strCache>
                <c:ptCount val="1"/>
                <c:pt idx="0">
                  <c:v>Պարտք ձևավորող այլ հոսքեր</c:v>
                </c:pt>
              </c:strCache>
            </c:strRef>
          </c:tx>
          <c:spPr>
            <a:solidFill>
              <a:srgbClr val="4BACC6"/>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Sheet1!$F$2:$F$12</c:f>
              <c:numCache>
                <c:formatCode>0.0</c:formatCode>
                <c:ptCount val="7"/>
                <c:pt idx="0">
                  <c:v>1.8936427014800208</c:v>
                </c:pt>
                <c:pt idx="1">
                  <c:v>1.9356766900099158</c:v>
                </c:pt>
                <c:pt idx="2">
                  <c:v>1.7255789383740325</c:v>
                </c:pt>
                <c:pt idx="3">
                  <c:v>8.9858316686249023E-2</c:v>
                </c:pt>
                <c:pt idx="4">
                  <c:v>0.36727491098555831</c:v>
                </c:pt>
                <c:pt idx="5">
                  <c:v>0.26346700103880261</c:v>
                </c:pt>
                <c:pt idx="6">
                  <c:v>0.68968015568451202</c:v>
                </c:pt>
              </c:numCache>
            </c:numRef>
          </c:val>
          <c:extLst>
            <c:ext xmlns:c16="http://schemas.microsoft.com/office/drawing/2014/chart" uri="{C3380CC4-5D6E-409C-BE32-E72D297353CC}">
              <c16:uniqueId val="{00000004-ED5F-49F2-AA43-7D36628264A4}"/>
            </c:ext>
          </c:extLst>
        </c:ser>
        <c:ser>
          <c:idx val="5"/>
          <c:order val="5"/>
          <c:tx>
            <c:strRef>
              <c:f>Sheet1!$G$1</c:f>
              <c:strCache>
                <c:ptCount val="1"/>
                <c:pt idx="0">
                  <c:v>Մնացորդ</c:v>
                </c:pt>
              </c:strCache>
            </c:strRef>
          </c:tx>
          <c:spPr>
            <a:solidFill>
              <a:srgbClr val="F79646"/>
            </a:solidFill>
            <a:ln w="25384">
              <a:noFill/>
            </a:ln>
          </c:spPr>
          <c:invertIfNegative val="0"/>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Sheet1!$G$2:$G$12</c:f>
              <c:numCache>
                <c:formatCode>0.0</c:formatCode>
                <c:ptCount val="7"/>
                <c:pt idx="0">
                  <c:v>1.4667570464403532</c:v>
                </c:pt>
                <c:pt idx="1">
                  <c:v>3.9248256516576454</c:v>
                </c:pt>
                <c:pt idx="2">
                  <c:v>0.65952232304877789</c:v>
                </c:pt>
                <c:pt idx="3">
                  <c:v>1.034925504591049</c:v>
                </c:pt>
                <c:pt idx="4">
                  <c:v>1.6795240492999821</c:v>
                </c:pt>
                <c:pt idx="5">
                  <c:v>1.2576714713486847</c:v>
                </c:pt>
                <c:pt idx="6">
                  <c:v>0.34768410785453963</c:v>
                </c:pt>
              </c:numCache>
            </c:numRef>
          </c:val>
          <c:extLst>
            <c:ext xmlns:c16="http://schemas.microsoft.com/office/drawing/2014/chart" uri="{C3380CC4-5D6E-409C-BE32-E72D297353CC}">
              <c16:uniqueId val="{00000005-ED5F-49F2-AA43-7D36628264A4}"/>
            </c:ext>
          </c:extLst>
        </c:ser>
        <c:dLbls>
          <c:showLegendKey val="0"/>
          <c:showVal val="0"/>
          <c:showCatName val="0"/>
          <c:showSerName val="0"/>
          <c:showPercent val="0"/>
          <c:showBubbleSize val="0"/>
        </c:dLbls>
        <c:gapWidth val="81"/>
        <c:overlap val="100"/>
        <c:axId val="667022464"/>
        <c:axId val="667024384"/>
      </c:barChart>
      <c:lineChart>
        <c:grouping val="standard"/>
        <c:varyColors val="0"/>
        <c:ser>
          <c:idx val="6"/>
          <c:order val="6"/>
          <c:tx>
            <c:strRef>
              <c:f>Sheet1!$H$1</c:f>
              <c:strCache>
                <c:ptCount val="1"/>
                <c:pt idx="0">
                  <c:v>Պարտք/ՀՆԱ փոփոխություն, %-ային կետ </c:v>
                </c:pt>
              </c:strCache>
            </c:strRef>
          </c:tx>
          <c:spPr>
            <a:ln w="28557" cap="rnd">
              <a:solidFill>
                <a:schemeClr val="accent1">
                  <a:lumMod val="60000"/>
                </a:schemeClr>
              </a:solidFill>
              <a:round/>
            </a:ln>
            <a:effectLst/>
          </c:spPr>
          <c:marker>
            <c:symbol val="circle"/>
            <c:size val="4"/>
            <c:spPr>
              <a:solidFill>
                <a:schemeClr val="accent1">
                  <a:lumMod val="60000"/>
                </a:schemeClr>
              </a:solidFill>
              <a:ln w="9519">
                <a:solidFill>
                  <a:schemeClr val="accent1">
                    <a:lumMod val="60000"/>
                  </a:schemeClr>
                </a:solidFill>
              </a:ln>
              <a:effectLst/>
            </c:spPr>
          </c:marker>
          <c:cat>
            <c:numRef>
              <c:f>Sheet1!$A$2:$A$12</c:f>
              <c:numCache>
                <c:formatCode>General</c:formatCode>
                <c:ptCount val="7"/>
                <c:pt idx="0">
                  <c:v>2021</c:v>
                </c:pt>
                <c:pt idx="1">
                  <c:v>2022</c:v>
                </c:pt>
                <c:pt idx="2">
                  <c:v>2023</c:v>
                </c:pt>
                <c:pt idx="3">
                  <c:v>2024</c:v>
                </c:pt>
                <c:pt idx="4">
                  <c:v>2025</c:v>
                </c:pt>
                <c:pt idx="5">
                  <c:v>2026</c:v>
                </c:pt>
                <c:pt idx="6">
                  <c:v>2027</c:v>
                </c:pt>
              </c:numCache>
            </c:numRef>
          </c:cat>
          <c:val>
            <c:numRef>
              <c:f>Sheet1!$H$2:$H$12</c:f>
              <c:numCache>
                <c:formatCode>0.0</c:formatCode>
                <c:ptCount val="7"/>
                <c:pt idx="0">
                  <c:v>-3.2625435930635049</c:v>
                </c:pt>
                <c:pt idx="1">
                  <c:v>-13.516961408252882</c:v>
                </c:pt>
                <c:pt idx="2">
                  <c:v>1.4050825300425629</c:v>
                </c:pt>
                <c:pt idx="3">
                  <c:v>2.4404852171554552</c:v>
                </c:pt>
                <c:pt idx="4">
                  <c:v>3.201551222939294</c:v>
                </c:pt>
                <c:pt idx="5">
                  <c:v>1.2988875377778015</c:v>
                </c:pt>
                <c:pt idx="6">
                  <c:v>-8.7307527522050066E-2</c:v>
                </c:pt>
              </c:numCache>
            </c:numRef>
          </c:val>
          <c:smooth val="0"/>
          <c:extLst>
            <c:ext xmlns:c16="http://schemas.microsoft.com/office/drawing/2014/chart" uri="{C3380CC4-5D6E-409C-BE32-E72D297353CC}">
              <c16:uniqueId val="{00000006-ED5F-49F2-AA43-7D36628264A4}"/>
            </c:ext>
          </c:extLst>
        </c:ser>
        <c:dLbls>
          <c:showLegendKey val="0"/>
          <c:showVal val="0"/>
          <c:showCatName val="0"/>
          <c:showSerName val="0"/>
          <c:showPercent val="0"/>
          <c:showBubbleSize val="0"/>
        </c:dLbls>
        <c:marker val="1"/>
        <c:smooth val="0"/>
        <c:axId val="667022464"/>
        <c:axId val="667024384"/>
      </c:lineChart>
      <c:catAx>
        <c:axId val="667022464"/>
        <c:scaling>
          <c:orientation val="minMax"/>
        </c:scaling>
        <c:delete val="0"/>
        <c:axPos val="b"/>
        <c:numFmt formatCode="General" sourceLinked="1"/>
        <c:majorTickMark val="none"/>
        <c:minorTickMark val="none"/>
        <c:tickLblPos val="low"/>
        <c:spPr>
          <a:noFill/>
          <a:ln w="9519"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67024384"/>
        <c:crosses val="autoZero"/>
        <c:auto val="1"/>
        <c:lblAlgn val="ctr"/>
        <c:lblOffset val="100"/>
        <c:noMultiLvlLbl val="0"/>
      </c:catAx>
      <c:valAx>
        <c:axId val="667024384"/>
        <c:scaling>
          <c:orientation val="minMax"/>
        </c:scaling>
        <c:delete val="0"/>
        <c:axPos val="l"/>
        <c:majorGridlines>
          <c:spPr>
            <a:ln w="9519" cap="flat" cmpd="sng" algn="ctr">
              <a:solidFill>
                <a:schemeClr val="tx1">
                  <a:lumMod val="15000"/>
                  <a:lumOff val="85000"/>
                </a:schemeClr>
              </a:solidFill>
              <a:round/>
            </a:ln>
            <a:effectLst/>
          </c:spPr>
        </c:majorGridlines>
        <c:numFmt formatCode="0.0" sourceLinked="1"/>
        <c:majorTickMark val="none"/>
        <c:minorTickMark val="none"/>
        <c:tickLblPos val="nextTo"/>
        <c:spPr>
          <a:ln w="9519">
            <a:noFill/>
          </a:ln>
        </c:spPr>
        <c:txPr>
          <a:bodyPr rot="-6000000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crossAx val="667022464"/>
        <c:crosses val="autoZero"/>
        <c:crossBetween val="between"/>
      </c:valAx>
      <c:spPr>
        <a:noFill/>
        <a:ln w="25384">
          <a:noFill/>
        </a:ln>
      </c:spPr>
    </c:plotArea>
    <c:legend>
      <c:legendPos val="r"/>
      <c:legendEntry>
        <c:idx val="1"/>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0.6235197988129122"/>
          <c:y val="0.18021083998163598"/>
          <c:w val="0.36942919665535395"/>
          <c:h val="0.81790771203104562"/>
        </c:manualLayout>
      </c:layout>
      <c:overlay val="0"/>
      <c:spPr>
        <a:noFill/>
        <a:ln w="25384">
          <a:noFill/>
        </a:ln>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1862904752121121"/>
          <c:y val="4.3931262569693146E-2"/>
          <c:w val="0.75180333178147163"/>
          <c:h val="0.71448108460126658"/>
        </c:manualLayout>
      </c:layout>
      <c:barChart>
        <c:barDir val="col"/>
        <c:grouping val="clustered"/>
        <c:varyColors val="0"/>
        <c:ser>
          <c:idx val="0"/>
          <c:order val="0"/>
          <c:tx>
            <c:strRef>
              <c:f>Sheet1!$A$2</c:f>
              <c:strCache>
                <c:ptCount val="1"/>
                <c:pt idx="0">
                  <c:v> Հարկային եկամուտներ, մլրդ դրամ</c:v>
                </c:pt>
              </c:strCache>
            </c:strRef>
          </c:tx>
          <c:spPr>
            <a:solidFill>
              <a:schemeClr val="accent5">
                <a:shade val="76000"/>
              </a:schemeClr>
            </a:solidFill>
            <a:ln>
              <a:noFill/>
            </a:ln>
            <a:effectLst/>
          </c:spPr>
          <c:invertIfNegative val="0"/>
          <c:dLbls>
            <c:dLbl>
              <c:idx val="3"/>
              <c:layout>
                <c:manualLayout>
                  <c:x val="-2.029426686961008E-3"/>
                  <c:y val="-1.81818181818181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50-4DC3-B7A3-44C9FAF9F31D}"/>
                </c:ext>
              </c:extLst>
            </c:dLbl>
            <c:dLbl>
              <c:idx val="4"/>
              <c:layout>
                <c:manualLayout>
                  <c:x val="-7.4411452247788086E-17"/>
                  <c:y val="-3.6363636363636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256-428F-B9B3-29572FD2A345}"/>
                </c:ext>
              </c:extLst>
            </c:dLbl>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Sheet1!$B$1:$H$1</c:f>
              <c:strCache>
                <c:ptCount val="7"/>
                <c:pt idx="0">
                  <c:v>2021 փաստ</c:v>
                </c:pt>
                <c:pt idx="1">
                  <c:v>2022 փաստ</c:v>
                </c:pt>
                <c:pt idx="2">
                  <c:v>2023 փաստ</c:v>
                </c:pt>
                <c:pt idx="3">
                  <c:v>2024 բյուջե</c:v>
                </c:pt>
                <c:pt idx="4">
                  <c:v>2025
</c:v>
                </c:pt>
                <c:pt idx="5">
                  <c:v>2026
</c:v>
                </c:pt>
                <c:pt idx="6">
                  <c:v>2027</c:v>
                </c:pt>
              </c:strCache>
            </c:strRef>
          </c:cat>
          <c:val>
            <c:numRef>
              <c:f>Sheet1!$B$2:$H$2</c:f>
              <c:numCache>
                <c:formatCode>#,##0.0</c:formatCode>
                <c:ptCount val="7"/>
                <c:pt idx="0">
                  <c:v>1586.9001966899998</c:v>
                </c:pt>
                <c:pt idx="1">
                  <c:v>1925.968677026</c:v>
                </c:pt>
                <c:pt idx="2">
                  <c:v>2221.94</c:v>
                </c:pt>
                <c:pt idx="3">
                  <c:v>2613.6</c:v>
                </c:pt>
                <c:pt idx="4">
                  <c:v>2812.3</c:v>
                </c:pt>
                <c:pt idx="5">
                  <c:v>3182</c:v>
                </c:pt>
                <c:pt idx="6">
                  <c:v>3541.2</c:v>
                </c:pt>
              </c:numCache>
            </c:numRef>
          </c:val>
          <c:extLst>
            <c:ext xmlns:c16="http://schemas.microsoft.com/office/drawing/2014/chart" uri="{C3380CC4-5D6E-409C-BE32-E72D297353CC}">
              <c16:uniqueId val="{00000001-B750-4DC3-B7A3-44C9FAF9F31D}"/>
            </c:ext>
          </c:extLst>
        </c:ser>
        <c:dLbls>
          <c:showLegendKey val="0"/>
          <c:showVal val="0"/>
          <c:showCatName val="0"/>
          <c:showSerName val="0"/>
          <c:showPercent val="0"/>
          <c:showBubbleSize val="0"/>
        </c:dLbls>
        <c:gapWidth val="308"/>
        <c:overlap val="17"/>
        <c:axId val="158018864"/>
        <c:axId val="1"/>
      </c:barChart>
      <c:lineChart>
        <c:grouping val="standard"/>
        <c:varyColors val="0"/>
        <c:ser>
          <c:idx val="1"/>
          <c:order val="1"/>
          <c:tx>
            <c:strRef>
              <c:f>Sheet1!$A$3</c:f>
              <c:strCache>
                <c:ptCount val="1"/>
                <c:pt idx="0">
                  <c:v> հարաբերությունը ՀՆԱ-ի նկատմամբ (%-ով) աջ առանցք</c:v>
                </c:pt>
              </c:strCache>
            </c:strRef>
          </c:tx>
          <c:spPr>
            <a:ln w="28575" cap="rnd" cmpd="sng" algn="ctr">
              <a:solidFill>
                <a:schemeClr val="accent5">
                  <a:tint val="77000"/>
                  <a:shade val="95000"/>
                  <a:satMod val="105000"/>
                </a:schemeClr>
              </a:solidFill>
              <a:prstDash val="solid"/>
              <a:round/>
            </a:ln>
            <a:effectLst/>
          </c:spPr>
          <c:marker>
            <c:symbol val="none"/>
          </c:marker>
          <c:cat>
            <c:strRef>
              <c:f>Sheet1!$B$1:$H$1</c:f>
              <c:strCache>
                <c:ptCount val="7"/>
                <c:pt idx="0">
                  <c:v>2021 փաստ</c:v>
                </c:pt>
                <c:pt idx="1">
                  <c:v>2022 փաստ</c:v>
                </c:pt>
                <c:pt idx="2">
                  <c:v>2023 փաստ</c:v>
                </c:pt>
                <c:pt idx="3">
                  <c:v>2024 բյուջե</c:v>
                </c:pt>
                <c:pt idx="4">
                  <c:v>2025
</c:v>
                </c:pt>
                <c:pt idx="5">
                  <c:v>2026
</c:v>
                </c:pt>
                <c:pt idx="6">
                  <c:v>2027</c:v>
                </c:pt>
              </c:strCache>
            </c:strRef>
          </c:cat>
          <c:val>
            <c:numRef>
              <c:f>Sheet1!$B$3:$H$3</c:f>
              <c:numCache>
                <c:formatCode>0.0%</c:formatCode>
                <c:ptCount val="7"/>
                <c:pt idx="0">
                  <c:v>0.22725192563224972</c:v>
                </c:pt>
                <c:pt idx="1">
                  <c:v>0.22666988478321254</c:v>
                </c:pt>
                <c:pt idx="2">
                  <c:v>0.23376046795438285</c:v>
                </c:pt>
                <c:pt idx="3">
                  <c:v>0.24853320147202859</c:v>
                </c:pt>
                <c:pt idx="4">
                  <c:v>0.25116100453684848</c:v>
                </c:pt>
                <c:pt idx="5">
                  <c:v>0.25851213349690061</c:v>
                </c:pt>
                <c:pt idx="6">
                  <c:v>0.26220817012580244</c:v>
                </c:pt>
              </c:numCache>
            </c:numRef>
          </c:val>
          <c:smooth val="0"/>
          <c:extLst>
            <c:ext xmlns:c16="http://schemas.microsoft.com/office/drawing/2014/chart" uri="{C3380CC4-5D6E-409C-BE32-E72D297353CC}">
              <c16:uniqueId val="{00000002-B750-4DC3-B7A3-44C9FAF9F31D}"/>
            </c:ext>
          </c:extLst>
        </c:ser>
        <c:dLbls>
          <c:showLegendKey val="0"/>
          <c:showVal val="0"/>
          <c:showCatName val="0"/>
          <c:showSerName val="0"/>
          <c:showPercent val="0"/>
          <c:showBubbleSize val="0"/>
        </c:dLbls>
        <c:marker val="1"/>
        <c:smooth val="0"/>
        <c:axId val="3"/>
        <c:axId val="4"/>
      </c:lineChart>
      <c:catAx>
        <c:axId val="158018864"/>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1"/>
        <c:crosses val="autoZero"/>
        <c:auto val="1"/>
        <c:lblAlgn val="ctr"/>
        <c:lblOffset val="100"/>
        <c:noMultiLvlLbl val="0"/>
      </c:catAx>
      <c:valAx>
        <c:axId val="1"/>
        <c:scaling>
          <c:orientation val="minMax"/>
          <c:max val="4000"/>
        </c:scaling>
        <c:delete val="0"/>
        <c:axPos val="l"/>
        <c:majorGridlines>
          <c:spPr>
            <a:ln w="9525" cap="flat" cmpd="sng" algn="ctr">
              <a:solidFill>
                <a:schemeClr val="tx1">
                  <a:tint val="75000"/>
                  <a:shade val="95000"/>
                  <a:satMod val="105000"/>
                </a:schemeClr>
              </a:solidFill>
              <a:prstDash val="solid"/>
              <a:round/>
            </a:ln>
            <a:effectLst/>
          </c:spPr>
        </c:majorGridlines>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158018864"/>
        <c:crosses val="autoZero"/>
        <c:crossBetween val="between"/>
        <c:majorUnit val="5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26500000000000001"/>
          <c:min val="0.21000000000000002"/>
        </c:scaling>
        <c:delete val="0"/>
        <c:axPos val="r"/>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3"/>
        <c:crosses val="max"/>
        <c:crossBetween val="between"/>
        <c:majorUnit val="1.0000000000000005E-2"/>
        <c:minorUnit val="3.0000000000000009E-3"/>
      </c:valAx>
      <c:spPr>
        <a:solidFill>
          <a:schemeClr val="bg1"/>
        </a:solidFill>
        <a:ln>
          <a:noFill/>
        </a:ln>
        <a:effectLst/>
      </c:spPr>
    </c:plotArea>
    <c:legend>
      <c:legendPos val="r"/>
      <c:layout>
        <c:manualLayout>
          <c:xMode val="edge"/>
          <c:yMode val="edge"/>
          <c:x val="0.13291127635320699"/>
          <c:y val="0.8800871635231643"/>
          <c:w val="0.73575971473426716"/>
          <c:h val="9.0283586644692604E-2"/>
        </c:manualLayout>
      </c:layout>
      <c:overlay val="0"/>
      <c:spPr>
        <a:noFill/>
        <a:ln>
          <a:noFill/>
        </a:ln>
        <a:effectLst/>
      </c:spPr>
      <c:txPr>
        <a:bodyPr rot="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lang="en-US"/>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Sheet1!$A$2</c:f>
              <c:strCache>
                <c:ptCount val="1"/>
                <c:pt idx="0">
                  <c:v>ՄԺԾԾ 2024-2026թթ. հաստատված*</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2025</c:v>
                </c:pt>
                <c:pt idx="1">
                  <c:v>2026</c:v>
                </c:pt>
                <c:pt idx="2">
                  <c:v>2027</c:v>
                </c:pt>
              </c:strCache>
            </c:strRef>
          </c:cat>
          <c:val>
            <c:numRef>
              <c:f>Sheet1!$B$2:$D$2</c:f>
              <c:numCache>
                <c:formatCode>_(* #,##0.0_);_(* \(#,##0.0\);_(* "-"??_);_(@_)</c:formatCode>
                <c:ptCount val="3"/>
                <c:pt idx="0">
                  <c:v>3353.4</c:v>
                </c:pt>
                <c:pt idx="1">
                  <c:v>3795.5</c:v>
                </c:pt>
                <c:pt idx="2">
                  <c:v>0</c:v>
                </c:pt>
              </c:numCache>
            </c:numRef>
          </c:val>
          <c:extLst>
            <c:ext xmlns:c16="http://schemas.microsoft.com/office/drawing/2014/chart" uri="{C3380CC4-5D6E-409C-BE32-E72D297353CC}">
              <c16:uniqueId val="{00000000-5B05-4063-9B5E-9A359FAD0E63}"/>
            </c:ext>
          </c:extLst>
        </c:ser>
        <c:ser>
          <c:idx val="1"/>
          <c:order val="1"/>
          <c:tx>
            <c:strRef>
              <c:f>Sheet1!$A$3</c:f>
              <c:strCache>
                <c:ptCount val="1"/>
                <c:pt idx="0">
                  <c:v>2025-2027թթ. ՄԺԾԾ</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2025</c:v>
                </c:pt>
                <c:pt idx="1">
                  <c:v>2026</c:v>
                </c:pt>
                <c:pt idx="2">
                  <c:v>2027</c:v>
                </c:pt>
              </c:strCache>
            </c:strRef>
          </c:cat>
          <c:val>
            <c:numRef>
              <c:f>Sheet1!$B$3:$D$3</c:f>
              <c:numCache>
                <c:formatCode>_(* #,##0.0_);_(* \(#,##0.0\);_(* "-"??_);_(@_)</c:formatCode>
                <c:ptCount val="3"/>
                <c:pt idx="0">
                  <c:v>3513.4401057</c:v>
                </c:pt>
                <c:pt idx="1">
                  <c:v>3812.1439581</c:v>
                </c:pt>
                <c:pt idx="2">
                  <c:v>4086.7515302999996</c:v>
                </c:pt>
              </c:numCache>
            </c:numRef>
          </c:val>
          <c:extLst>
            <c:ext xmlns:c16="http://schemas.microsoft.com/office/drawing/2014/chart" uri="{C3380CC4-5D6E-409C-BE32-E72D297353CC}">
              <c16:uniqueId val="{00000001-5B05-4063-9B5E-9A359FAD0E63}"/>
            </c:ext>
          </c:extLst>
        </c:ser>
        <c:ser>
          <c:idx val="2"/>
          <c:order val="2"/>
          <c:tx>
            <c:strRef>
              <c:f>Sheet1!$A$4</c:f>
              <c:strCache>
                <c:ptCount val="1"/>
                <c:pt idx="0">
                  <c:v>տարբերություն</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2025</c:v>
                </c:pt>
                <c:pt idx="1">
                  <c:v>2026</c:v>
                </c:pt>
                <c:pt idx="2">
                  <c:v>2027</c:v>
                </c:pt>
              </c:strCache>
            </c:strRef>
          </c:cat>
          <c:val>
            <c:numRef>
              <c:f>Sheet1!$B$4:$D$4</c:f>
              <c:numCache>
                <c:formatCode>0.0</c:formatCode>
                <c:ptCount val="3"/>
                <c:pt idx="0">
                  <c:v>160.04010569999991</c:v>
                </c:pt>
                <c:pt idx="1">
                  <c:v>16.643958099999963</c:v>
                </c:pt>
                <c:pt idx="2">
                  <c:v>0</c:v>
                </c:pt>
              </c:numCache>
            </c:numRef>
          </c:val>
          <c:extLst>
            <c:ext xmlns:c16="http://schemas.microsoft.com/office/drawing/2014/chart" uri="{C3380CC4-5D6E-409C-BE32-E72D297353CC}">
              <c16:uniqueId val="{00000002-5B05-4063-9B5E-9A359FAD0E63}"/>
            </c:ext>
          </c:extLst>
        </c:ser>
        <c:dLbls>
          <c:dLblPos val="outEnd"/>
          <c:showLegendKey val="0"/>
          <c:showVal val="1"/>
          <c:showCatName val="0"/>
          <c:showSerName val="0"/>
          <c:showPercent val="0"/>
          <c:showBubbleSize val="0"/>
        </c:dLbls>
        <c:gapWidth val="219"/>
        <c:overlap val="-27"/>
        <c:axId val="1197296703"/>
        <c:axId val="1"/>
      </c:barChart>
      <c:catAx>
        <c:axId val="1197296703"/>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72967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Sheet1!$B$1</c:f>
              <c:strCache>
                <c:ptCount val="1"/>
                <c:pt idx="0">
                  <c:v>Սոցիալական ոլորտ</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2021</c:v>
                </c:pt>
                <c:pt idx="1">
                  <c:v>2022</c:v>
                </c:pt>
                <c:pt idx="2">
                  <c:v>2023</c:v>
                </c:pt>
                <c:pt idx="3">
                  <c:v>2024</c:v>
                </c:pt>
                <c:pt idx="4">
                  <c:v>2025</c:v>
                </c:pt>
                <c:pt idx="5">
                  <c:v>2026</c:v>
                </c:pt>
                <c:pt idx="6">
                  <c:v>2027</c:v>
                </c:pt>
              </c:numCache>
            </c:numRef>
          </c:cat>
          <c:val>
            <c:numRef>
              <c:f>Sheet1!$B$2:$B$8</c:f>
              <c:numCache>
                <c:formatCode>0%</c:formatCode>
                <c:ptCount val="7"/>
                <c:pt idx="0">
                  <c:v>0.47899999999999998</c:v>
                </c:pt>
                <c:pt idx="1">
                  <c:v>0.43099999999999999</c:v>
                </c:pt>
                <c:pt idx="2">
                  <c:v>0.42200000000000004</c:v>
                </c:pt>
                <c:pt idx="3">
                  <c:v>0.40399999999999997</c:v>
                </c:pt>
                <c:pt idx="4">
                  <c:v>0.42499999999999999</c:v>
                </c:pt>
                <c:pt idx="5">
                  <c:v>0.42399999999999999</c:v>
                </c:pt>
                <c:pt idx="6">
                  <c:v>0.42399999999999999</c:v>
                </c:pt>
              </c:numCache>
            </c:numRef>
          </c:val>
          <c:extLst>
            <c:ext xmlns:c16="http://schemas.microsoft.com/office/drawing/2014/chart" uri="{C3380CC4-5D6E-409C-BE32-E72D297353CC}">
              <c16:uniqueId val="{00000000-9FAD-4FB3-80FC-47DD97432B90}"/>
            </c:ext>
          </c:extLst>
        </c:ser>
        <c:ser>
          <c:idx val="1"/>
          <c:order val="1"/>
          <c:tx>
            <c:strRef>
              <c:f>Sheet1!$C$1</c:f>
              <c:strCache>
                <c:ptCount val="1"/>
                <c:pt idx="0">
                  <c:v>Տնտեսական ոլորտ</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2021</c:v>
                </c:pt>
                <c:pt idx="1">
                  <c:v>2022</c:v>
                </c:pt>
                <c:pt idx="2">
                  <c:v>2023</c:v>
                </c:pt>
                <c:pt idx="3">
                  <c:v>2024</c:v>
                </c:pt>
                <c:pt idx="4">
                  <c:v>2025</c:v>
                </c:pt>
                <c:pt idx="5">
                  <c:v>2026</c:v>
                </c:pt>
                <c:pt idx="6">
                  <c:v>2027</c:v>
                </c:pt>
              </c:numCache>
            </c:numRef>
          </c:cat>
          <c:val>
            <c:numRef>
              <c:f>Sheet1!$C$2:$C$8</c:f>
              <c:numCache>
                <c:formatCode>0%</c:formatCode>
                <c:ptCount val="7"/>
                <c:pt idx="0">
                  <c:v>8.3000000000000004E-2</c:v>
                </c:pt>
                <c:pt idx="1">
                  <c:v>8.5999999999999993E-2</c:v>
                </c:pt>
                <c:pt idx="2">
                  <c:v>8.5000000000000006E-2</c:v>
                </c:pt>
                <c:pt idx="3">
                  <c:v>9.1999999999999998E-2</c:v>
                </c:pt>
                <c:pt idx="4">
                  <c:v>8.5999999999999993E-2</c:v>
                </c:pt>
                <c:pt idx="5">
                  <c:v>9.1999999999999998E-2</c:v>
                </c:pt>
                <c:pt idx="6">
                  <c:v>9.5000000000000001E-2</c:v>
                </c:pt>
              </c:numCache>
            </c:numRef>
          </c:val>
          <c:extLst>
            <c:ext xmlns:c16="http://schemas.microsoft.com/office/drawing/2014/chart" uri="{C3380CC4-5D6E-409C-BE32-E72D297353CC}">
              <c16:uniqueId val="{00000001-9FAD-4FB3-80FC-47DD97432B90}"/>
            </c:ext>
          </c:extLst>
        </c:ser>
        <c:ser>
          <c:idx val="2"/>
          <c:order val="2"/>
          <c:tx>
            <c:strRef>
              <c:f>Sheet1!$D$1</c:f>
              <c:strCache>
                <c:ptCount val="1"/>
                <c:pt idx="0">
                  <c:v>Պաշտպանություն, հասարակական կարգ, անվտանգություն և դատական գործունեություն</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2021</c:v>
                </c:pt>
                <c:pt idx="1">
                  <c:v>2022</c:v>
                </c:pt>
                <c:pt idx="2">
                  <c:v>2023</c:v>
                </c:pt>
                <c:pt idx="3">
                  <c:v>2024</c:v>
                </c:pt>
                <c:pt idx="4">
                  <c:v>2025</c:v>
                </c:pt>
                <c:pt idx="5">
                  <c:v>2026</c:v>
                </c:pt>
                <c:pt idx="6">
                  <c:v>2027</c:v>
                </c:pt>
              </c:numCache>
            </c:numRef>
          </c:cat>
          <c:val>
            <c:numRef>
              <c:f>Sheet1!$D$2:$D$8</c:f>
              <c:numCache>
                <c:formatCode>0%</c:formatCode>
                <c:ptCount val="7"/>
                <c:pt idx="0">
                  <c:v>0.247</c:v>
                </c:pt>
                <c:pt idx="1">
                  <c:v>0.30199999999999999</c:v>
                </c:pt>
                <c:pt idx="2">
                  <c:v>0.28800000000000003</c:v>
                </c:pt>
                <c:pt idx="3">
                  <c:v>0.24299999999999999</c:v>
                </c:pt>
                <c:pt idx="4">
                  <c:v>0.25900000000000001</c:v>
                </c:pt>
                <c:pt idx="5">
                  <c:v>0.23100000000000001</c:v>
                </c:pt>
                <c:pt idx="6">
                  <c:v>0.219</c:v>
                </c:pt>
              </c:numCache>
            </c:numRef>
          </c:val>
          <c:extLst>
            <c:ext xmlns:c16="http://schemas.microsoft.com/office/drawing/2014/chart" uri="{C3380CC4-5D6E-409C-BE32-E72D297353CC}">
              <c16:uniqueId val="{00000002-9FAD-4FB3-80FC-47DD97432B90}"/>
            </c:ext>
          </c:extLst>
        </c:ser>
        <c:ser>
          <c:idx val="3"/>
          <c:order val="3"/>
          <c:tx>
            <c:strRef>
              <c:f>Sheet1!$E$1</c:f>
              <c:strCache>
                <c:ptCount val="1"/>
                <c:pt idx="0">
                  <c:v>Ընդհանուր բնույթի հանրային ծառայություններ և պահուսային ֆոնդեր</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2021</c:v>
                </c:pt>
                <c:pt idx="1">
                  <c:v>2022</c:v>
                </c:pt>
                <c:pt idx="2">
                  <c:v>2023</c:v>
                </c:pt>
                <c:pt idx="3">
                  <c:v>2024</c:v>
                </c:pt>
                <c:pt idx="4">
                  <c:v>2025</c:v>
                </c:pt>
                <c:pt idx="5">
                  <c:v>2026</c:v>
                </c:pt>
                <c:pt idx="6">
                  <c:v>2027</c:v>
                </c:pt>
              </c:numCache>
            </c:numRef>
          </c:cat>
          <c:val>
            <c:numRef>
              <c:f>Sheet1!$E$2:$E$8</c:f>
              <c:numCache>
                <c:formatCode>0%</c:formatCode>
                <c:ptCount val="7"/>
                <c:pt idx="0">
                  <c:v>0.19</c:v>
                </c:pt>
                <c:pt idx="1">
                  <c:v>0.182</c:v>
                </c:pt>
                <c:pt idx="2">
                  <c:v>0.20499999999999999</c:v>
                </c:pt>
                <c:pt idx="3">
                  <c:v>0.26</c:v>
                </c:pt>
                <c:pt idx="4">
                  <c:v>0.22900000000000001</c:v>
                </c:pt>
                <c:pt idx="5">
                  <c:v>0.253</c:v>
                </c:pt>
                <c:pt idx="6">
                  <c:v>0.26200000000000001</c:v>
                </c:pt>
              </c:numCache>
            </c:numRef>
          </c:val>
          <c:extLst>
            <c:ext xmlns:c16="http://schemas.microsoft.com/office/drawing/2014/chart" uri="{C3380CC4-5D6E-409C-BE32-E72D297353CC}">
              <c16:uniqueId val="{00000003-9FAD-4FB3-80FC-47DD97432B90}"/>
            </c:ext>
          </c:extLst>
        </c:ser>
        <c:dLbls>
          <c:dLblPos val="ctr"/>
          <c:showLegendKey val="0"/>
          <c:showVal val="1"/>
          <c:showCatName val="0"/>
          <c:showSerName val="0"/>
          <c:showPercent val="0"/>
          <c:showBubbleSize val="0"/>
        </c:dLbls>
        <c:gapWidth val="150"/>
        <c:overlap val="100"/>
        <c:axId val="515745248"/>
        <c:axId val="515745904"/>
      </c:barChart>
      <c:catAx>
        <c:axId val="515745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5745904"/>
        <c:crosses val="autoZero"/>
        <c:auto val="1"/>
        <c:lblAlgn val="ctr"/>
        <c:lblOffset val="100"/>
        <c:noMultiLvlLbl val="0"/>
      </c:catAx>
      <c:valAx>
        <c:axId val="515745904"/>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5745248"/>
        <c:crosses val="autoZero"/>
        <c:crossBetween val="between"/>
        <c:majorUnit val="0.25"/>
      </c:valAx>
      <c:spPr>
        <a:noFill/>
        <a:ln>
          <a:noFill/>
        </a:ln>
        <a:effectLst/>
      </c:spPr>
    </c:plotArea>
    <c:legend>
      <c:legendPos val="b"/>
      <c:layout>
        <c:manualLayout>
          <c:xMode val="edge"/>
          <c:yMode val="edge"/>
          <c:x val="2.7033820522876562E-2"/>
          <c:y val="0.76516479960552874"/>
          <c:w val="0.95841026266642337"/>
          <c:h val="0.215265728770205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6.5049145169911685E-2"/>
          <c:y val="3.8224051749485448E-2"/>
          <c:w val="0.9038111413154527"/>
          <c:h val="0.77345685729301483"/>
        </c:manualLayout>
      </c:layout>
      <c:barChart>
        <c:barDir val="col"/>
        <c:grouping val="stacked"/>
        <c:varyColors val="0"/>
        <c:ser>
          <c:idx val="0"/>
          <c:order val="0"/>
          <c:tx>
            <c:strRef>
              <c:f>Sheet1!$B$1</c:f>
              <c:strCache>
                <c:ptCount val="1"/>
                <c:pt idx="0">
                  <c:v> Ընդամենը ծախսեր </c:v>
                </c:pt>
              </c:strCache>
            </c:strRef>
          </c:tx>
          <c:spPr>
            <a:solidFill>
              <a:schemeClr val="accent5">
                <a:shade val="58000"/>
              </a:schemeClr>
            </a:solidFill>
            <a:ln>
              <a:noFill/>
            </a:ln>
            <a:effectLst>
              <a:outerShdw blurRad="50800" dist="50800" dir="5400000" algn="ctr" rotWithShape="0">
                <a:schemeClr val="bg1"/>
              </a:outerShdw>
            </a:effectLst>
          </c:spPr>
          <c:invertIfNegative val="0"/>
          <c:dLbls>
            <c:dLbl>
              <c:idx val="0"/>
              <c:layout>
                <c:manualLayout>
                  <c:x val="-4.863221884498482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7D-47CE-8C64-2FE39AF42C72}"/>
                </c:ext>
              </c:extLst>
            </c:dLbl>
            <c:dLbl>
              <c:idx val="1"/>
              <c:layout>
                <c:manualLayout>
                  <c:x val="-5.2684903748733573E-2"/>
                  <c:y val="-3.16622691292876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7D-47CE-8C64-2FE39AF42C72}"/>
                </c:ext>
              </c:extLst>
            </c:dLbl>
            <c:dLbl>
              <c:idx val="2"/>
              <c:layout>
                <c:manualLayout>
                  <c:x val="-5.4711246200607938E-2"/>
                  <c:y val="-4.22163588390501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7D-47CE-8C64-2FE39AF42C72}"/>
                </c:ext>
              </c:extLst>
            </c:dLbl>
            <c:dLbl>
              <c:idx val="3"/>
              <c:layout>
                <c:manualLayout>
                  <c:x val="-4.9313516661481142E-2"/>
                  <c:y val="-4.147397142639491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57D-47CE-8C64-2FE39AF42C72}"/>
                </c:ext>
              </c:extLst>
            </c:dLbl>
            <c:dLbl>
              <c:idx val="4"/>
              <c:layout>
                <c:manualLayout>
                  <c:x val="-5.7208753161174075E-2"/>
                  <c:y val="-1.296851086226358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7D-47CE-8C64-2FE39AF42C72}"/>
                </c:ext>
              </c:extLst>
            </c:dLbl>
            <c:dLbl>
              <c:idx val="5"/>
              <c:layout>
                <c:manualLayout>
                  <c:x val="-4.9833664408970302E-2"/>
                  <c:y val="1.7332530003670386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7D-47CE-8C64-2FE39AF42C72}"/>
                </c:ext>
              </c:extLst>
            </c:dLbl>
            <c:dLbl>
              <c:idx val="6"/>
              <c:layout>
                <c:manualLayout>
                  <c:x val="-5.242770185641688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57D-47CE-8C64-2FE39AF42C72}"/>
                </c:ext>
              </c:extLst>
            </c:dLbl>
            <c:spPr>
              <a:noFill/>
              <a:ln>
                <a:noFill/>
              </a:ln>
              <a:effectLst/>
            </c:spPr>
            <c:txPr>
              <a:bodyPr rot="-5400000" spcFirstLastPara="1" vertOverflow="ellipsis"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bg1"/>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Sheet1!$B$2:$B$8</c:f>
              <c:numCache>
                <c:formatCode>#,##0</c:formatCode>
                <c:ptCount val="7"/>
                <c:pt idx="0">
                  <c:v>2004.33459556</c:v>
                </c:pt>
                <c:pt idx="1">
                  <c:v>2242.5941323400002</c:v>
                </c:pt>
                <c:pt idx="2">
                  <c:v>2547.6895454599999</c:v>
                </c:pt>
                <c:pt idx="3">
                  <c:v>3206</c:v>
                </c:pt>
                <c:pt idx="4">
                  <c:v>3513</c:v>
                </c:pt>
                <c:pt idx="5">
                  <c:v>3812</c:v>
                </c:pt>
                <c:pt idx="6">
                  <c:v>4086</c:v>
                </c:pt>
              </c:numCache>
            </c:numRef>
          </c:val>
          <c:extLst>
            <c:ext xmlns:c16="http://schemas.microsoft.com/office/drawing/2014/chart" uri="{C3380CC4-5D6E-409C-BE32-E72D297353CC}">
              <c16:uniqueId val="{00000007-C57D-47CE-8C64-2FE39AF42C72}"/>
            </c:ext>
          </c:extLst>
        </c:ser>
        <c:dLbls>
          <c:showLegendKey val="0"/>
          <c:showVal val="0"/>
          <c:showCatName val="0"/>
          <c:showSerName val="0"/>
          <c:showPercent val="0"/>
          <c:showBubbleSize val="0"/>
        </c:dLbls>
        <c:gapWidth val="150"/>
        <c:overlap val="100"/>
        <c:axId val="1235484096"/>
        <c:axId val="1235486176"/>
      </c:barChart>
      <c:barChart>
        <c:barDir val="col"/>
        <c:grouping val="stacked"/>
        <c:varyColors val="0"/>
        <c:ser>
          <c:idx val="1"/>
          <c:order val="1"/>
          <c:tx>
            <c:strRef>
              <c:f>Sheet1!$C$1</c:f>
              <c:strCache>
                <c:ptCount val="1"/>
                <c:pt idx="0">
                  <c:v> Ընթացիկ ծախսեր </c:v>
                </c:pt>
              </c:strCache>
            </c:strRef>
          </c:tx>
          <c:spPr>
            <a:solidFill>
              <a:schemeClr val="accent5">
                <a:shade val="86000"/>
              </a:schemeClr>
            </a:solidFill>
            <a:ln>
              <a:noFill/>
            </a:ln>
            <a:effectLst/>
          </c:spPr>
          <c:invertIfNegative val="0"/>
          <c:dLbls>
            <c:dLbl>
              <c:idx val="3"/>
              <c:layout>
                <c:manualLayout>
                  <c:x val="-7.8593182041457911E-3"/>
                  <c:y val="5.292561011467215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57D-47CE-8C64-2FE39AF42C72}"/>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Sheet1!$C$2:$C$8</c:f>
              <c:numCache>
                <c:formatCode>#,##0</c:formatCode>
                <c:ptCount val="7"/>
                <c:pt idx="0">
                  <c:v>1788</c:v>
                </c:pt>
                <c:pt idx="1">
                  <c:v>1862.2</c:v>
                </c:pt>
                <c:pt idx="2">
                  <c:v>2075.1</c:v>
                </c:pt>
                <c:pt idx="3">
                  <c:v>2511</c:v>
                </c:pt>
                <c:pt idx="4">
                  <c:v>2728</c:v>
                </c:pt>
                <c:pt idx="5">
                  <c:v>2938</c:v>
                </c:pt>
                <c:pt idx="6">
                  <c:v>3228</c:v>
                </c:pt>
              </c:numCache>
            </c:numRef>
          </c:val>
          <c:extLst>
            <c:ext xmlns:c16="http://schemas.microsoft.com/office/drawing/2014/chart" uri="{C3380CC4-5D6E-409C-BE32-E72D297353CC}">
              <c16:uniqueId val="{00000009-C57D-47CE-8C64-2FE39AF42C72}"/>
            </c:ext>
          </c:extLst>
        </c:ser>
        <c:ser>
          <c:idx val="2"/>
          <c:order val="2"/>
          <c:tx>
            <c:strRef>
              <c:f>Sheet1!$D$1</c:f>
              <c:strCache>
                <c:ptCount val="1"/>
                <c:pt idx="0">
                  <c:v> Ոչ ֆինանսական ակտիվների գծով ծախս </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Sheet1!$D$2:$D$8</c:f>
              <c:numCache>
                <c:formatCode>#,##0</c:formatCode>
                <c:ptCount val="7"/>
                <c:pt idx="0">
                  <c:v>218.39952757</c:v>
                </c:pt>
                <c:pt idx="1">
                  <c:v>389.11973379</c:v>
                </c:pt>
                <c:pt idx="2">
                  <c:v>494.35393634000002</c:v>
                </c:pt>
                <c:pt idx="3">
                  <c:v>710</c:v>
                </c:pt>
                <c:pt idx="4">
                  <c:v>799</c:v>
                </c:pt>
                <c:pt idx="5">
                  <c:v>888</c:v>
                </c:pt>
                <c:pt idx="6">
                  <c:v>873</c:v>
                </c:pt>
              </c:numCache>
            </c:numRef>
          </c:val>
          <c:extLst>
            <c:ext xmlns:c16="http://schemas.microsoft.com/office/drawing/2014/chart" uri="{C3380CC4-5D6E-409C-BE32-E72D297353CC}">
              <c16:uniqueId val="{0000000A-C57D-47CE-8C64-2FE39AF42C72}"/>
            </c:ext>
          </c:extLst>
        </c:ser>
        <c:ser>
          <c:idx val="3"/>
          <c:order val="3"/>
          <c:tx>
            <c:strRef>
              <c:f>Sheet1!$E$1</c:f>
              <c:strCache>
                <c:ptCount val="1"/>
                <c:pt idx="0">
                  <c:v>  Ոչ ֆինանսական ակտիվների օտարումից մուտքեր </c:v>
                </c:pt>
              </c:strCache>
            </c:strRef>
          </c:tx>
          <c:spPr>
            <a:solidFill>
              <a:schemeClr val="accent5">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Sheet1!$E$2:$E$8</c:f>
              <c:numCache>
                <c:formatCode>#,##0</c:formatCode>
                <c:ptCount val="7"/>
                <c:pt idx="0">
                  <c:v>-2.0649320100000002</c:v>
                </c:pt>
                <c:pt idx="1">
                  <c:v>-8.7256014499999992</c:v>
                </c:pt>
                <c:pt idx="2">
                  <c:v>-21.764390880000001</c:v>
                </c:pt>
                <c:pt idx="3">
                  <c:v>-15</c:v>
                </c:pt>
                <c:pt idx="4">
                  <c:v>-15</c:v>
                </c:pt>
                <c:pt idx="5">
                  <c:v>-15</c:v>
                </c:pt>
                <c:pt idx="6">
                  <c:v>-15</c:v>
                </c:pt>
              </c:numCache>
            </c:numRef>
          </c:val>
          <c:extLst>
            <c:ext xmlns:c16="http://schemas.microsoft.com/office/drawing/2014/chart" uri="{C3380CC4-5D6E-409C-BE32-E72D297353CC}">
              <c16:uniqueId val="{0000000B-C57D-47CE-8C64-2FE39AF42C72}"/>
            </c:ext>
          </c:extLst>
        </c:ser>
        <c:dLbls>
          <c:showLegendKey val="0"/>
          <c:showVal val="0"/>
          <c:showCatName val="0"/>
          <c:showSerName val="0"/>
          <c:showPercent val="0"/>
          <c:showBubbleSize val="0"/>
        </c:dLbls>
        <c:gapWidth val="150"/>
        <c:overlap val="100"/>
        <c:axId val="1121503088"/>
        <c:axId val="1121511408"/>
      </c:barChart>
      <c:catAx>
        <c:axId val="123548409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5486176"/>
        <c:crosses val="autoZero"/>
        <c:auto val="1"/>
        <c:lblAlgn val="ctr"/>
        <c:lblOffset val="100"/>
        <c:noMultiLvlLbl val="0"/>
      </c:catAx>
      <c:valAx>
        <c:axId val="1235486176"/>
        <c:scaling>
          <c:orientation val="minMax"/>
          <c:max val="4100"/>
          <c:min val="-100"/>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5484096"/>
        <c:crosses val="autoZero"/>
        <c:crossBetween val="between"/>
      </c:valAx>
      <c:valAx>
        <c:axId val="1121511408"/>
        <c:scaling>
          <c:orientation val="minMax"/>
        </c:scaling>
        <c:delete val="1"/>
        <c:axPos val="r"/>
        <c:numFmt formatCode="#,##0" sourceLinked="1"/>
        <c:majorTickMark val="out"/>
        <c:minorTickMark val="none"/>
        <c:tickLblPos val="nextTo"/>
        <c:crossAx val="1121503088"/>
        <c:crosses val="max"/>
        <c:crossBetween val="between"/>
      </c:valAx>
      <c:catAx>
        <c:axId val="1121503088"/>
        <c:scaling>
          <c:orientation val="minMax"/>
        </c:scaling>
        <c:delete val="1"/>
        <c:axPos val="t"/>
        <c:numFmt formatCode="General" sourceLinked="1"/>
        <c:majorTickMark val="out"/>
        <c:minorTickMark val="none"/>
        <c:tickLblPos val="nextTo"/>
        <c:crossAx val="1121511408"/>
        <c:crosses val="max"/>
        <c:auto val="1"/>
        <c:lblAlgn val="ctr"/>
        <c:lblOffset val="100"/>
        <c:noMultiLvlLbl val="0"/>
      </c:catAx>
      <c:spPr>
        <a:noFill/>
        <a:ln>
          <a:noFill/>
        </a:ln>
        <a:effectLst/>
      </c:spPr>
    </c:plotArea>
    <c:legend>
      <c:legendPos val="b"/>
      <c:legendEntry>
        <c:idx val="0"/>
        <c:delete val="1"/>
      </c:legendEntry>
      <c:layout>
        <c:manualLayout>
          <c:xMode val="edge"/>
          <c:yMode val="edge"/>
          <c:x val="3.0209118296584098E-2"/>
          <c:y val="0.89414739064703053"/>
          <c:w val="0.95411362971366176"/>
          <c:h val="8.821073931474529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Sheet1!$B$1</c:f>
              <c:strCache>
                <c:ptCount val="1"/>
                <c:pt idx="0">
                  <c:v> Ընդամենը ծախսեր </c:v>
                </c:pt>
              </c:strCache>
            </c:strRef>
          </c:tx>
          <c:spPr>
            <a:solidFill>
              <a:schemeClr val="accent5">
                <a:shade val="45000"/>
              </a:schemeClr>
            </a:solidFill>
            <a:ln>
              <a:noFill/>
            </a:ln>
            <a:effectLst/>
          </c:spPr>
          <c:invertIfNegative val="0"/>
          <c:dPt>
            <c:idx val="6"/>
            <c:invertIfNegative val="0"/>
            <c:bubble3D val="0"/>
            <c:spPr>
              <a:solidFill>
                <a:schemeClr val="accent5">
                  <a:shade val="45000"/>
                </a:schemeClr>
              </a:solidFill>
              <a:ln>
                <a:noFill/>
              </a:ln>
              <a:effectLst/>
            </c:spPr>
            <c:extLst>
              <c:ext xmlns:c16="http://schemas.microsoft.com/office/drawing/2014/chart" uri="{C3380CC4-5D6E-409C-BE32-E72D297353CC}">
                <c16:uniqueId val="{00000001-13C2-4A2A-9D2C-921DF5F28BF2}"/>
              </c:ext>
            </c:extLst>
          </c:dPt>
          <c:dLbls>
            <c:dLbl>
              <c:idx val="0"/>
              <c:layout>
                <c:manualLayout>
                  <c:x val="-5.4961832061068715E-2"/>
                  <c:y val="-6.20155038759689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C2-4A2A-9D2C-921DF5F28BF2}"/>
                </c:ext>
              </c:extLst>
            </c:dLbl>
            <c:dLbl>
              <c:idx val="1"/>
              <c:layout>
                <c:manualLayout>
                  <c:x val="-6.5139949109414799E-2"/>
                  <c:y val="-5.684688851953112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C2-4A2A-9D2C-921DF5F28BF2}"/>
                </c:ext>
              </c:extLst>
            </c:dLbl>
            <c:dLbl>
              <c:idx val="2"/>
              <c:layout>
                <c:manualLayout>
                  <c:x val="-5.292620865139949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C2-4A2A-9D2C-921DF5F28BF2}"/>
                </c:ext>
              </c:extLst>
            </c:dLbl>
            <c:dLbl>
              <c:idx val="3"/>
              <c:layout>
                <c:manualLayout>
                  <c:x val="-5.6509707278956614E-2"/>
                  <c:y val="-1.236647744613318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C2-4A2A-9D2C-921DF5F28BF2}"/>
                </c:ext>
              </c:extLst>
            </c:dLbl>
            <c:dLbl>
              <c:idx val="4"/>
              <c:layout>
                <c:manualLayout>
                  <c:x val="-6.1418605117108456E-2"/>
                  <c:y val="-3.1007751937984496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3C2-4A2A-9D2C-921DF5F28BF2}"/>
                </c:ext>
              </c:extLst>
            </c:dLbl>
            <c:dLbl>
              <c:idx val="5"/>
              <c:layout>
                <c:manualLayout>
                  <c:x val="-6.1697822123379618E-2"/>
                  <c:y val="8.4348409937129946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3C2-4A2A-9D2C-921DF5F28BF2}"/>
                </c:ext>
              </c:extLst>
            </c:dLbl>
            <c:dLbl>
              <c:idx val="6"/>
              <c:layout>
                <c:manualLayout>
                  <c:x val="-5.9022500050089306E-2"/>
                  <c:y val="1.066813159982909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C2-4A2A-9D2C-921DF5F28BF2}"/>
                </c:ext>
              </c:extLst>
            </c:dLbl>
            <c:spPr>
              <a:noFill/>
              <a:ln>
                <a:noFill/>
              </a:ln>
              <a:effectLst/>
            </c:spPr>
            <c:txPr>
              <a:bodyPr rot="-5400000" spcFirstLastPara="1" vertOverflow="ellipsis"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bg1"/>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Sheet1!$B$2:$B$8</c:f>
              <c:numCache>
                <c:formatCode>0.0</c:formatCode>
                <c:ptCount val="7"/>
                <c:pt idx="0">
                  <c:v>15.887425791071163</c:v>
                </c:pt>
                <c:pt idx="1">
                  <c:v>16.086295602974683</c:v>
                </c:pt>
                <c:pt idx="2">
                  <c:v>21.624281309970637</c:v>
                </c:pt>
                <c:pt idx="3">
                  <c:v>23.879534770608778</c:v>
                </c:pt>
                <c:pt idx="4">
                  <c:v>24.367565390687634</c:v>
                </c:pt>
                <c:pt idx="5">
                  <c:v>23.870895419498279</c:v>
                </c:pt>
                <c:pt idx="6">
                  <c:v>23.902677527426825</c:v>
                </c:pt>
              </c:numCache>
            </c:numRef>
          </c:val>
          <c:extLst>
            <c:ext xmlns:c16="http://schemas.microsoft.com/office/drawing/2014/chart" uri="{C3380CC4-5D6E-409C-BE32-E72D297353CC}">
              <c16:uniqueId val="{00000008-13C2-4A2A-9D2C-921DF5F28BF2}"/>
            </c:ext>
          </c:extLst>
        </c:ser>
        <c:dLbls>
          <c:showLegendKey val="0"/>
          <c:showVal val="0"/>
          <c:showCatName val="0"/>
          <c:showSerName val="0"/>
          <c:showPercent val="0"/>
          <c:showBubbleSize val="0"/>
        </c:dLbls>
        <c:gapWidth val="150"/>
        <c:overlap val="100"/>
        <c:axId val="1385159728"/>
        <c:axId val="1385160976"/>
      </c:barChart>
      <c:barChart>
        <c:barDir val="col"/>
        <c:grouping val="stacked"/>
        <c:varyColors val="0"/>
        <c:ser>
          <c:idx val="1"/>
          <c:order val="1"/>
          <c:tx>
            <c:strRef>
              <c:f>Sheet1!$C$1</c:f>
              <c:strCache>
                <c:ptCount val="1"/>
                <c:pt idx="0">
                  <c:v> Աշխատանքի վարձատրություն </c:v>
                </c:pt>
              </c:strCache>
            </c:strRef>
          </c:tx>
          <c:spPr>
            <a:solidFill>
              <a:schemeClr val="accent5">
                <a:shade val="61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Sheet1!$C$2:$C$8</c:f>
              <c:numCache>
                <c:formatCode>_(* #,##0.0_);_(* \(#,##0.0\);_(* "-"??_);_(@_)</c:formatCode>
                <c:ptCount val="7"/>
                <c:pt idx="0">
                  <c:v>2.5979157553831915</c:v>
                </c:pt>
                <c:pt idx="1">
                  <c:v>2.8423482463209564</c:v>
                </c:pt>
                <c:pt idx="2">
                  <c:v>2.589677160517474</c:v>
                </c:pt>
                <c:pt idx="3" formatCode="0.0">
                  <c:v>2.2867747757804469</c:v>
                </c:pt>
                <c:pt idx="4">
                  <c:v>2.2811945141063226</c:v>
                </c:pt>
                <c:pt idx="5">
                  <c:v>2.1392913794985722</c:v>
                </c:pt>
                <c:pt idx="6" formatCode="_(* #,##0.00_);_(* \(#,##0.00\);_(* &quot;-&quot;??_);_(@_)">
                  <c:v>2.0041023503833455</c:v>
                </c:pt>
              </c:numCache>
            </c:numRef>
          </c:val>
          <c:extLst>
            <c:ext xmlns:c16="http://schemas.microsoft.com/office/drawing/2014/chart" uri="{C3380CC4-5D6E-409C-BE32-E72D297353CC}">
              <c16:uniqueId val="{00000009-13C2-4A2A-9D2C-921DF5F28BF2}"/>
            </c:ext>
          </c:extLst>
        </c:ser>
        <c:ser>
          <c:idx val="2"/>
          <c:order val="2"/>
          <c:tx>
            <c:strRef>
              <c:f>Sheet1!$D$1</c:f>
              <c:strCache>
                <c:ptCount val="1"/>
                <c:pt idx="0">
                  <c:v> Ծառայությունների և ապրանքների ձեռքբերում </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Sheet1!$D$2:$D$8</c:f>
              <c:numCache>
                <c:formatCode>_(* #,##0.0_);_(* \(#,##0.0\);_(* "-"??_);_(@_)</c:formatCode>
                <c:ptCount val="7"/>
                <c:pt idx="0">
                  <c:v>2.2842685725609</c:v>
                </c:pt>
                <c:pt idx="1">
                  <c:v>2.4157016394414645</c:v>
                </c:pt>
                <c:pt idx="2">
                  <c:v>2.3339776329801447</c:v>
                </c:pt>
                <c:pt idx="3" formatCode="0.0">
                  <c:v>1.9379986706788004</c:v>
                </c:pt>
                <c:pt idx="4">
                  <c:v>2.0801544988880352</c:v>
                </c:pt>
                <c:pt idx="5">
                  <c:v>2.4550881448955963</c:v>
                </c:pt>
                <c:pt idx="6" formatCode="_(* #,##0.00_);_(* \(#,##0.00\);_(* &quot;-&quot;??_);_(@_)">
                  <c:v>2.3441871963968497</c:v>
                </c:pt>
              </c:numCache>
            </c:numRef>
          </c:val>
          <c:extLst>
            <c:ext xmlns:c16="http://schemas.microsoft.com/office/drawing/2014/chart" uri="{C3380CC4-5D6E-409C-BE32-E72D297353CC}">
              <c16:uniqueId val="{0000000A-13C2-4A2A-9D2C-921DF5F28BF2}"/>
            </c:ext>
          </c:extLst>
        </c:ser>
        <c:ser>
          <c:idx val="3"/>
          <c:order val="3"/>
          <c:tx>
            <c:strRef>
              <c:f>Sheet1!$E$1</c:f>
              <c:strCache>
                <c:ptCount val="1"/>
                <c:pt idx="0">
                  <c:v> Տոկոսավճարներ </c:v>
                </c:pt>
              </c:strCache>
            </c:strRef>
          </c:tx>
          <c:spPr>
            <a:solidFill>
              <a:schemeClr val="accent5">
                <a:shade val="92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Sheet1!$E$2:$E$8</c:f>
              <c:numCache>
                <c:formatCode>_(* #,##0.0_);_(* \(#,##0.0\);_(* "-"??_);_(@_)</c:formatCode>
                <c:ptCount val="7"/>
                <c:pt idx="0">
                  <c:v>2.2938784433583832</c:v>
                </c:pt>
                <c:pt idx="1">
                  <c:v>2.0108172063529817</c:v>
                </c:pt>
                <c:pt idx="2">
                  <c:v>2.6660413969135677</c:v>
                </c:pt>
                <c:pt idx="3" formatCode="0.0">
                  <c:v>3.2819763149696377</c:v>
                </c:pt>
                <c:pt idx="4">
                  <c:v>3.515622708768837</c:v>
                </c:pt>
                <c:pt idx="5">
                  <c:v>3.5785740399831059</c:v>
                </c:pt>
                <c:pt idx="6" formatCode="_(* #,##0.00_);_(* \(#,##0.00\);_(* &quot;-&quot;??_);_(@_)">
                  <c:v>3.6584120558378714</c:v>
                </c:pt>
              </c:numCache>
            </c:numRef>
          </c:val>
          <c:extLst>
            <c:ext xmlns:c16="http://schemas.microsoft.com/office/drawing/2014/chart" uri="{C3380CC4-5D6E-409C-BE32-E72D297353CC}">
              <c16:uniqueId val="{0000000B-13C2-4A2A-9D2C-921DF5F28BF2}"/>
            </c:ext>
          </c:extLst>
        </c:ser>
        <c:ser>
          <c:idx val="4"/>
          <c:order val="4"/>
          <c:tx>
            <c:strRef>
              <c:f>Sheet1!$F$1</c:f>
              <c:strCache>
                <c:ptCount val="1"/>
                <c:pt idx="0">
                  <c:v> Սուբսիդիաներ </c:v>
                </c:pt>
              </c:strCache>
            </c:strRef>
          </c:tx>
          <c:spPr>
            <a:solidFill>
              <a:schemeClr val="accent5">
                <a:tint val="9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Sheet1!$F$2:$F$8</c:f>
              <c:numCache>
                <c:formatCode>_(* #,##0.0_);_(* \(#,##0.0\);_(* "-"??_);_(@_)</c:formatCode>
                <c:ptCount val="7"/>
                <c:pt idx="0">
                  <c:v>2.2867747757804473</c:v>
                </c:pt>
                <c:pt idx="1">
                  <c:v>1.9379986706788004</c:v>
                </c:pt>
                <c:pt idx="2">
                  <c:v>3.2819763149696377</c:v>
                </c:pt>
                <c:pt idx="3" formatCode="0.0">
                  <c:v>1.7586856071568742</c:v>
                </c:pt>
                <c:pt idx="4">
                  <c:v>1.7110510300294128</c:v>
                </c:pt>
                <c:pt idx="5">
                  <c:v>1.5200091366348225</c:v>
                </c:pt>
                <c:pt idx="6" formatCode="_(* #,##0.00_);_(* \(#,##0.00\);_(* &quot;-&quot;??_);_(@_)">
                  <c:v>1.3765997186604213</c:v>
                </c:pt>
              </c:numCache>
            </c:numRef>
          </c:val>
          <c:extLst>
            <c:ext xmlns:c16="http://schemas.microsoft.com/office/drawing/2014/chart" uri="{C3380CC4-5D6E-409C-BE32-E72D297353CC}">
              <c16:uniqueId val="{0000000C-13C2-4A2A-9D2C-921DF5F28BF2}"/>
            </c:ext>
          </c:extLst>
        </c:ser>
        <c:ser>
          <c:idx val="5"/>
          <c:order val="5"/>
          <c:tx>
            <c:strRef>
              <c:f>Sheet1!$G$1</c:f>
              <c:strCache>
                <c:ptCount val="1"/>
                <c:pt idx="0">
                  <c:v> Դրամաշնորհներ </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Sheet1!$G$2:$G$8</c:f>
              <c:numCache>
                <c:formatCode>_(* #,##0.0_);_(* \(#,##0.0\);_(* "-"??_);_(@_)</c:formatCode>
                <c:ptCount val="7"/>
                <c:pt idx="0">
                  <c:v>2.2811945141063226</c:v>
                </c:pt>
                <c:pt idx="1">
                  <c:v>2.0801544988880352</c:v>
                </c:pt>
                <c:pt idx="2">
                  <c:v>3.5156227087688374</c:v>
                </c:pt>
                <c:pt idx="3" formatCode="0.0">
                  <c:v>2.7889228629659515</c:v>
                </c:pt>
                <c:pt idx="4">
                  <c:v>3.0960867284272444</c:v>
                </c:pt>
                <c:pt idx="5">
                  <c:v>2.776401301082263</c:v>
                </c:pt>
                <c:pt idx="6" formatCode="_(* #,##0.00_);_(* \(#,##0.00\);_(* &quot;-&quot;??_);_(@_)">
                  <c:v>2.8500769942091035</c:v>
                </c:pt>
              </c:numCache>
            </c:numRef>
          </c:val>
          <c:extLst>
            <c:ext xmlns:c16="http://schemas.microsoft.com/office/drawing/2014/chart" uri="{C3380CC4-5D6E-409C-BE32-E72D297353CC}">
              <c16:uniqueId val="{0000000D-13C2-4A2A-9D2C-921DF5F28BF2}"/>
            </c:ext>
          </c:extLst>
        </c:ser>
        <c:ser>
          <c:idx val="6"/>
          <c:order val="6"/>
          <c:tx>
            <c:strRef>
              <c:f>Sheet1!$H$1</c:f>
              <c:strCache>
                <c:ptCount val="1"/>
                <c:pt idx="0">
                  <c:v> Սոցիալական նպաստներ և կենսաթոշակներ </c:v>
                </c:pt>
              </c:strCache>
            </c:strRef>
          </c:tx>
          <c:spPr>
            <a:solidFill>
              <a:schemeClr val="accent5">
                <a:tint val="62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Sheet1!$H$2:$H$8</c:f>
              <c:numCache>
                <c:formatCode>_(* #,##0.0_);_(* \(#,##0.0\);_(* "-"??_);_(@_)</c:formatCode>
                <c:ptCount val="7"/>
                <c:pt idx="0">
                  <c:v>2.1392913794985722</c:v>
                </c:pt>
                <c:pt idx="1">
                  <c:v>2.4550881448955963</c:v>
                </c:pt>
                <c:pt idx="2">
                  <c:v>3.5785740399831059</c:v>
                </c:pt>
                <c:pt idx="3" formatCode="0.0">
                  <c:v>8.3539656928209372</c:v>
                </c:pt>
                <c:pt idx="4">
                  <c:v>8.9984217372802551</c:v>
                </c:pt>
                <c:pt idx="5">
                  <c:v>8.8151366222085432</c:v>
                </c:pt>
                <c:pt idx="6" formatCode="_(* #,##0.00_);_(* \(#,##0.00\);_(* &quot;-&quot;??_);_(@_)">
                  <c:v>8.6308962045455466</c:v>
                </c:pt>
              </c:numCache>
            </c:numRef>
          </c:val>
          <c:extLst>
            <c:ext xmlns:c16="http://schemas.microsoft.com/office/drawing/2014/chart" uri="{C3380CC4-5D6E-409C-BE32-E72D297353CC}">
              <c16:uniqueId val="{0000000E-13C2-4A2A-9D2C-921DF5F28BF2}"/>
            </c:ext>
          </c:extLst>
        </c:ser>
        <c:ser>
          <c:idx val="7"/>
          <c:order val="7"/>
          <c:tx>
            <c:strRef>
              <c:f>Sheet1!$I$1</c:f>
              <c:strCache>
                <c:ptCount val="1"/>
                <c:pt idx="0">
                  <c:v> Այլ ծախսեր </c:v>
                </c:pt>
              </c:strCache>
            </c:strRef>
          </c:tx>
          <c:spPr>
            <a:solidFill>
              <a:schemeClr val="accent5">
                <a:tint val="4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2021թ</c:v>
                </c:pt>
                <c:pt idx="1">
                  <c:v>2022թ</c:v>
                </c:pt>
                <c:pt idx="2">
                  <c:v>2023թ</c:v>
                </c:pt>
                <c:pt idx="3">
                  <c:v>2024 թ</c:v>
                </c:pt>
                <c:pt idx="4">
                  <c:v> 2025 թ </c:v>
                </c:pt>
                <c:pt idx="5">
                  <c:v> 2026 թ </c:v>
                </c:pt>
                <c:pt idx="6">
                  <c:v> 2027 թ </c:v>
                </c:pt>
              </c:strCache>
            </c:strRef>
          </c:cat>
          <c:val>
            <c:numRef>
              <c:f>Sheet1!$I$2:$I$8</c:f>
              <c:numCache>
                <c:formatCode>_(* #,##0.0_);_(* \(#,##0.0\);_(* "-"??_);_(@_)</c:formatCode>
                <c:ptCount val="7"/>
                <c:pt idx="0">
                  <c:v>2.0041023503833455</c:v>
                </c:pt>
                <c:pt idx="1">
                  <c:v>2.3441871963968497</c:v>
                </c:pt>
                <c:pt idx="2">
                  <c:v>3.6584120558378714</c:v>
                </c:pt>
                <c:pt idx="3" formatCode="0.0">
                  <c:v>3.4712108462361315</c:v>
                </c:pt>
                <c:pt idx="4">
                  <c:v>2.6850341731875282</c:v>
                </c:pt>
                <c:pt idx="5">
                  <c:v>2.5863947951953739</c:v>
                </c:pt>
                <c:pt idx="6" formatCode="_(* #,##0.00_);_(* \(#,##0.00\);_(* &quot;-&quot;??_);_(@_)">
                  <c:v>3.0384030073936872</c:v>
                </c:pt>
              </c:numCache>
            </c:numRef>
          </c:val>
          <c:extLst>
            <c:ext xmlns:c16="http://schemas.microsoft.com/office/drawing/2014/chart" uri="{C3380CC4-5D6E-409C-BE32-E72D297353CC}">
              <c16:uniqueId val="{0000000F-13C2-4A2A-9D2C-921DF5F28BF2}"/>
            </c:ext>
          </c:extLst>
        </c:ser>
        <c:dLbls>
          <c:showLegendKey val="0"/>
          <c:showVal val="0"/>
          <c:showCatName val="0"/>
          <c:showSerName val="0"/>
          <c:showPercent val="0"/>
          <c:showBubbleSize val="0"/>
        </c:dLbls>
        <c:gapWidth val="150"/>
        <c:overlap val="100"/>
        <c:axId val="1385151824"/>
        <c:axId val="1385162224"/>
      </c:barChart>
      <c:catAx>
        <c:axId val="138515972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160976"/>
        <c:crosses val="autoZero"/>
        <c:auto val="1"/>
        <c:lblAlgn val="ctr"/>
        <c:lblOffset val="100"/>
        <c:noMultiLvlLbl val="0"/>
      </c:catAx>
      <c:valAx>
        <c:axId val="13851609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159728"/>
        <c:crosses val="autoZero"/>
        <c:crossBetween val="between"/>
      </c:valAx>
      <c:valAx>
        <c:axId val="1385162224"/>
        <c:scaling>
          <c:orientation val="minMax"/>
        </c:scaling>
        <c:delete val="1"/>
        <c:axPos val="r"/>
        <c:numFmt formatCode="_(* #,##0.0_);_(* \(#,##0.0\);_(* &quot;-&quot;??_);_(@_)" sourceLinked="1"/>
        <c:majorTickMark val="out"/>
        <c:minorTickMark val="none"/>
        <c:tickLblPos val="nextTo"/>
        <c:crossAx val="1385151824"/>
        <c:crosses val="max"/>
        <c:crossBetween val="between"/>
      </c:valAx>
      <c:catAx>
        <c:axId val="1385151824"/>
        <c:scaling>
          <c:orientation val="minMax"/>
        </c:scaling>
        <c:delete val="1"/>
        <c:axPos val="b"/>
        <c:numFmt formatCode="General" sourceLinked="1"/>
        <c:majorTickMark val="out"/>
        <c:minorTickMark val="none"/>
        <c:tickLblPos val="nextTo"/>
        <c:crossAx val="1385162224"/>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2.0264289880431618E-2"/>
          <c:y val="0.77967602808697511"/>
          <c:w val="0.9409527194517352"/>
          <c:h val="0.19651437055373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6.5049145169911685E-2"/>
          <c:y val="3.8224051749485448E-2"/>
          <c:w val="0.9038111413154527"/>
          <c:h val="0.65802108854732866"/>
        </c:manualLayout>
      </c:layout>
      <c:barChart>
        <c:barDir val="col"/>
        <c:grouping val="stacked"/>
        <c:varyColors val="0"/>
        <c:ser>
          <c:idx val="0"/>
          <c:order val="0"/>
          <c:tx>
            <c:strRef>
              <c:f>Sheet1!$B$1</c:f>
              <c:strCache>
                <c:ptCount val="1"/>
                <c:pt idx="0">
                  <c:v> Ընդամենը ծախսեր </c:v>
                </c:pt>
              </c:strCache>
            </c:strRef>
          </c:tx>
          <c:spPr>
            <a:solidFill>
              <a:schemeClr val="accent5">
                <a:shade val="65000"/>
              </a:schemeClr>
            </a:solidFill>
            <a:ln>
              <a:noFill/>
            </a:ln>
            <a:effectLst>
              <a:outerShdw blurRad="50800" dist="50800" dir="5400000" algn="ctr" rotWithShape="0">
                <a:schemeClr val="bg1"/>
              </a:outerShdw>
            </a:effectLst>
          </c:spPr>
          <c:invertIfNegative val="0"/>
          <c:dLbls>
            <c:dLbl>
              <c:idx val="0"/>
              <c:layout>
                <c:manualLayout>
                  <c:x val="-4.8484848484848485E-2"/>
                  <c:y val="-8.830022075055295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2E-4C58-982B-FA4FBD98EA7F}"/>
                </c:ext>
              </c:extLst>
            </c:dLbl>
            <c:dLbl>
              <c:idx val="1"/>
              <c:layout>
                <c:manualLayout>
                  <c:x val="-5.2525252525252523E-2"/>
                  <c:y val="-1.17733627667402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2E-4C58-982B-FA4FBD98EA7F}"/>
                </c:ext>
              </c:extLst>
            </c:dLbl>
            <c:dLbl>
              <c:idx val="2"/>
              <c:layout>
                <c:manualLayout>
                  <c:x val="-5.050505050505050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2E-4C58-982B-FA4FBD98EA7F}"/>
                </c:ext>
              </c:extLst>
            </c:dLbl>
            <c:dLbl>
              <c:idx val="3"/>
              <c:layout>
                <c:manualLayout>
                  <c:x val="-5.9636045494313214E-2"/>
                  <c:y val="2.65109245450278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B2E-4C58-982B-FA4FBD98EA7F}"/>
                </c:ext>
              </c:extLst>
            </c:dLbl>
            <c:dLbl>
              <c:idx val="4"/>
              <c:layout>
                <c:manualLayout>
                  <c:x val="-5.5410164638511172E-2"/>
                  <c:y val="2.063397704426019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B2E-4C58-982B-FA4FBD98EA7F}"/>
                </c:ext>
              </c:extLst>
            </c:dLbl>
            <c:dLbl>
              <c:idx val="5"/>
              <c:layout>
                <c:manualLayout>
                  <c:x val="-6.2157480314960628E-2"/>
                  <c:y val="1.178240137201392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B2E-4C58-982B-FA4FBD98EA7F}"/>
                </c:ext>
              </c:extLst>
            </c:dLbl>
            <c:dLbl>
              <c:idx val="6"/>
              <c:layout>
                <c:manualLayout>
                  <c:x val="-5.665235027439766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B2E-4C58-982B-FA4FBD98EA7F}"/>
                </c:ext>
              </c:extLst>
            </c:dLbl>
            <c:spPr>
              <a:noFill/>
              <a:ln>
                <a:noFill/>
              </a:ln>
              <a:effectLst/>
            </c:spPr>
            <c:txPr>
              <a:bodyPr rot="-5400000" spcFirstLastPara="1" vertOverflow="ellipsis"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bg1"/>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Sheet1!$B$2:$B$8</c:f>
              <c:numCache>
                <c:formatCode>#,##0</c:formatCode>
                <c:ptCount val="7"/>
                <c:pt idx="0">
                  <c:v>215.9</c:v>
                </c:pt>
                <c:pt idx="1">
                  <c:v>352</c:v>
                </c:pt>
                <c:pt idx="2">
                  <c:v>494.3</c:v>
                </c:pt>
                <c:pt idx="3">
                  <c:v>710.01577140000006</c:v>
                </c:pt>
                <c:pt idx="4">
                  <c:v>799.9486842</c:v>
                </c:pt>
                <c:pt idx="5">
                  <c:v>888.90245300000004</c:v>
                </c:pt>
                <c:pt idx="6">
                  <c:v>873.62067850000005</c:v>
                </c:pt>
              </c:numCache>
            </c:numRef>
          </c:val>
          <c:extLst>
            <c:ext xmlns:c16="http://schemas.microsoft.com/office/drawing/2014/chart" uri="{C3380CC4-5D6E-409C-BE32-E72D297353CC}">
              <c16:uniqueId val="{00000007-DB2E-4C58-982B-FA4FBD98EA7F}"/>
            </c:ext>
          </c:extLst>
        </c:ser>
        <c:dLbls>
          <c:showLegendKey val="0"/>
          <c:showVal val="0"/>
          <c:showCatName val="0"/>
          <c:showSerName val="0"/>
          <c:showPercent val="0"/>
          <c:showBubbleSize val="0"/>
        </c:dLbls>
        <c:gapWidth val="150"/>
        <c:overlap val="100"/>
        <c:axId val="1235484096"/>
        <c:axId val="1235486176"/>
      </c:barChart>
      <c:barChart>
        <c:barDir val="col"/>
        <c:grouping val="stacked"/>
        <c:varyColors val="0"/>
        <c:ser>
          <c:idx val="1"/>
          <c:order val="1"/>
          <c:tx>
            <c:strRef>
              <c:f>Sheet1!$F$1</c:f>
              <c:strCache>
                <c:ptCount val="1"/>
                <c:pt idx="0">
                  <c:v> արտաքին ռեսուրսների հաշվին իրականացվող ծրագրեր (ներառյալ ՀՀ կառավարության համաֆինանսավորումը) </c:v>
                </c:pt>
              </c:strCache>
            </c:strRef>
          </c:tx>
          <c:spPr>
            <a:solidFill>
              <a:schemeClr val="accent5"/>
            </a:solidFill>
            <a:ln>
              <a:noFill/>
            </a:ln>
            <a:effectLst/>
          </c:spPr>
          <c:invertIfNegative val="0"/>
          <c:dLbls>
            <c:dLbl>
              <c:idx val="3"/>
              <c:layout>
                <c:manualLayout>
                  <c:x val="-5.7833231713795979E-3"/>
                  <c:y val="-8.82093501911213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B2E-4C58-982B-FA4FBD98EA7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Sheet1!$F$2:$F$8</c:f>
              <c:numCache>
                <c:formatCode>#,##0</c:formatCode>
                <c:ptCount val="7"/>
                <c:pt idx="0">
                  <c:v>82.9</c:v>
                </c:pt>
                <c:pt idx="1">
                  <c:v>130.4</c:v>
                </c:pt>
                <c:pt idx="2">
                  <c:v>76.2</c:v>
                </c:pt>
                <c:pt idx="3">
                  <c:v>121.9187714</c:v>
                </c:pt>
                <c:pt idx="4">
                  <c:v>244.6</c:v>
                </c:pt>
                <c:pt idx="5">
                  <c:v>281.39999999999998</c:v>
                </c:pt>
                <c:pt idx="6">
                  <c:v>337</c:v>
                </c:pt>
              </c:numCache>
            </c:numRef>
          </c:val>
          <c:extLst>
            <c:ext xmlns:c16="http://schemas.microsoft.com/office/drawing/2014/chart" uri="{C3380CC4-5D6E-409C-BE32-E72D297353CC}">
              <c16:uniqueId val="{00000009-DB2E-4C58-982B-FA4FBD98EA7F}"/>
            </c:ext>
          </c:extLst>
        </c:ser>
        <c:ser>
          <c:idx val="2"/>
          <c:order val="2"/>
          <c:tx>
            <c:strRef>
              <c:f>Sheet1!$G$1</c:f>
              <c:strCache>
                <c:ptCount val="1"/>
                <c:pt idx="0">
                  <c:v> ներքին ռեսուրսների հաշվին իրականացվող ծրագրեր </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 2021թ </c:v>
                </c:pt>
                <c:pt idx="1">
                  <c:v> 2022թ </c:v>
                </c:pt>
                <c:pt idx="2">
                  <c:v> 2023թ </c:v>
                </c:pt>
                <c:pt idx="3">
                  <c:v> 2024թ </c:v>
                </c:pt>
                <c:pt idx="4">
                  <c:v> 2025 թ </c:v>
                </c:pt>
                <c:pt idx="5">
                  <c:v> 2026 թ </c:v>
                </c:pt>
                <c:pt idx="6">
                  <c:v> 2027 թ </c:v>
                </c:pt>
              </c:strCache>
            </c:strRef>
          </c:cat>
          <c:val>
            <c:numRef>
              <c:f>Sheet1!$G$2:$G$8</c:f>
              <c:numCache>
                <c:formatCode>#,##0</c:formatCode>
                <c:ptCount val="7"/>
                <c:pt idx="0">
                  <c:v>133</c:v>
                </c:pt>
                <c:pt idx="1">
                  <c:v>221.6</c:v>
                </c:pt>
                <c:pt idx="2">
                  <c:v>418.1</c:v>
                </c:pt>
                <c:pt idx="3">
                  <c:v>588.09700000000009</c:v>
                </c:pt>
                <c:pt idx="4">
                  <c:v>555.34868419999998</c:v>
                </c:pt>
                <c:pt idx="5">
                  <c:v>607.50245300000006</c:v>
                </c:pt>
                <c:pt idx="6">
                  <c:v>536.62067850000005</c:v>
                </c:pt>
              </c:numCache>
            </c:numRef>
          </c:val>
          <c:extLst>
            <c:ext xmlns:c16="http://schemas.microsoft.com/office/drawing/2014/chart" uri="{C3380CC4-5D6E-409C-BE32-E72D297353CC}">
              <c16:uniqueId val="{0000000A-DB2E-4C58-982B-FA4FBD98EA7F}"/>
            </c:ext>
          </c:extLst>
        </c:ser>
        <c:dLbls>
          <c:showLegendKey val="0"/>
          <c:showVal val="0"/>
          <c:showCatName val="0"/>
          <c:showSerName val="0"/>
          <c:showPercent val="0"/>
          <c:showBubbleSize val="0"/>
        </c:dLbls>
        <c:gapWidth val="150"/>
        <c:overlap val="100"/>
        <c:axId val="1121503088"/>
        <c:axId val="1121511408"/>
      </c:barChart>
      <c:catAx>
        <c:axId val="123548409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5486176"/>
        <c:crosses val="autoZero"/>
        <c:auto val="1"/>
        <c:lblAlgn val="ctr"/>
        <c:lblOffset val="100"/>
        <c:noMultiLvlLbl val="0"/>
      </c:catAx>
      <c:valAx>
        <c:axId val="1235486176"/>
        <c:scaling>
          <c:orientation val="minMax"/>
          <c:max val="9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5484096"/>
        <c:crosses val="autoZero"/>
        <c:crossBetween val="between"/>
        <c:majorUnit val="300"/>
      </c:valAx>
      <c:valAx>
        <c:axId val="1121511408"/>
        <c:scaling>
          <c:orientation val="minMax"/>
        </c:scaling>
        <c:delete val="1"/>
        <c:axPos val="r"/>
        <c:numFmt formatCode="#,##0" sourceLinked="1"/>
        <c:majorTickMark val="out"/>
        <c:minorTickMark val="none"/>
        <c:tickLblPos val="nextTo"/>
        <c:crossAx val="1121503088"/>
        <c:crosses val="max"/>
        <c:crossBetween val="between"/>
      </c:valAx>
      <c:catAx>
        <c:axId val="1121503088"/>
        <c:scaling>
          <c:orientation val="minMax"/>
        </c:scaling>
        <c:delete val="1"/>
        <c:axPos val="t"/>
        <c:numFmt formatCode="General" sourceLinked="1"/>
        <c:majorTickMark val="out"/>
        <c:minorTickMark val="none"/>
        <c:tickLblPos val="nextTo"/>
        <c:crossAx val="1121511408"/>
        <c:crosses val="max"/>
        <c:auto val="1"/>
        <c:lblAlgn val="ctr"/>
        <c:lblOffset val="100"/>
        <c:noMultiLvlLbl val="0"/>
      </c:catAx>
      <c:spPr>
        <a:noFill/>
        <a:ln>
          <a:noFill/>
        </a:ln>
        <a:effectLst/>
      </c:spPr>
    </c:plotArea>
    <c:legend>
      <c:legendPos val="b"/>
      <c:legendEntry>
        <c:idx val="0"/>
        <c:delete val="1"/>
      </c:legendEntry>
      <c:layout>
        <c:manualLayout>
          <c:xMode val="edge"/>
          <c:yMode val="edge"/>
          <c:x val="4.8456990416160604E-2"/>
          <c:y val="0.83564608883707026"/>
          <c:w val="0.92176984727646016"/>
          <c:h val="0.134937033371270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339096880351629E-2"/>
          <c:y val="3.8550405033244466E-2"/>
          <c:w val="0.8845661242940871"/>
          <c:h val="0.67610545819513956"/>
        </c:manualLayout>
      </c:layout>
      <c:lineChart>
        <c:grouping val="standard"/>
        <c:varyColors val="0"/>
        <c:ser>
          <c:idx val="0"/>
          <c:order val="0"/>
          <c:tx>
            <c:strRef>
              <c:f>'[2025-2027 Strategy data.xlsx]Graf yield'!$B$3</c:f>
              <c:strCache>
                <c:ptCount val="1"/>
                <c:pt idx="0">
                  <c:v>Ծավալ</c:v>
                </c:pt>
              </c:strCache>
            </c:strRef>
          </c:tx>
          <c:cat>
            <c:numRef>
              <c:f>'[2025-2027 Strategy data.xlsx]Graf yield'!$A$572:$A$1580</c:f>
              <c:numCache>
                <c:formatCode>dd\.mm\.yy;@</c:formatCode>
                <c:ptCount val="1009"/>
                <c:pt idx="0">
                  <c:v>43830</c:v>
                </c:pt>
                <c:pt idx="1">
                  <c:v>43838</c:v>
                </c:pt>
                <c:pt idx="2">
                  <c:v>43839</c:v>
                </c:pt>
                <c:pt idx="3">
                  <c:v>43840</c:v>
                </c:pt>
                <c:pt idx="4">
                  <c:v>43843</c:v>
                </c:pt>
                <c:pt idx="5">
                  <c:v>43844</c:v>
                </c:pt>
                <c:pt idx="6">
                  <c:v>43845</c:v>
                </c:pt>
                <c:pt idx="7">
                  <c:v>43846</c:v>
                </c:pt>
                <c:pt idx="8">
                  <c:v>43847</c:v>
                </c:pt>
                <c:pt idx="9">
                  <c:v>43850</c:v>
                </c:pt>
                <c:pt idx="10">
                  <c:v>43851</c:v>
                </c:pt>
                <c:pt idx="11">
                  <c:v>43852</c:v>
                </c:pt>
                <c:pt idx="12">
                  <c:v>43853</c:v>
                </c:pt>
                <c:pt idx="13">
                  <c:v>43854</c:v>
                </c:pt>
                <c:pt idx="14">
                  <c:v>43859</c:v>
                </c:pt>
                <c:pt idx="15">
                  <c:v>43860</c:v>
                </c:pt>
                <c:pt idx="16">
                  <c:v>43861</c:v>
                </c:pt>
                <c:pt idx="17">
                  <c:v>43862</c:v>
                </c:pt>
                <c:pt idx="18">
                  <c:v>43864</c:v>
                </c:pt>
                <c:pt idx="19">
                  <c:v>43865</c:v>
                </c:pt>
                <c:pt idx="20">
                  <c:v>43866</c:v>
                </c:pt>
                <c:pt idx="21">
                  <c:v>43867</c:v>
                </c:pt>
                <c:pt idx="22">
                  <c:v>43868</c:v>
                </c:pt>
                <c:pt idx="23">
                  <c:v>43871</c:v>
                </c:pt>
                <c:pt idx="24">
                  <c:v>43872</c:v>
                </c:pt>
                <c:pt idx="25">
                  <c:v>43873</c:v>
                </c:pt>
                <c:pt idx="26">
                  <c:v>43874</c:v>
                </c:pt>
                <c:pt idx="27">
                  <c:v>43875</c:v>
                </c:pt>
                <c:pt idx="28">
                  <c:v>43878</c:v>
                </c:pt>
                <c:pt idx="29">
                  <c:v>43879</c:v>
                </c:pt>
                <c:pt idx="30">
                  <c:v>43880</c:v>
                </c:pt>
                <c:pt idx="31">
                  <c:v>43881</c:v>
                </c:pt>
                <c:pt idx="32">
                  <c:v>43882</c:v>
                </c:pt>
                <c:pt idx="33">
                  <c:v>43885</c:v>
                </c:pt>
                <c:pt idx="34">
                  <c:v>43886</c:v>
                </c:pt>
                <c:pt idx="35">
                  <c:v>43887</c:v>
                </c:pt>
                <c:pt idx="36">
                  <c:v>43888</c:v>
                </c:pt>
                <c:pt idx="37">
                  <c:v>43889</c:v>
                </c:pt>
                <c:pt idx="38">
                  <c:v>43892</c:v>
                </c:pt>
                <c:pt idx="39">
                  <c:v>43893</c:v>
                </c:pt>
                <c:pt idx="40">
                  <c:v>43894</c:v>
                </c:pt>
                <c:pt idx="41">
                  <c:v>43895</c:v>
                </c:pt>
                <c:pt idx="42">
                  <c:v>43896</c:v>
                </c:pt>
                <c:pt idx="43">
                  <c:v>43899</c:v>
                </c:pt>
                <c:pt idx="44">
                  <c:v>43900</c:v>
                </c:pt>
                <c:pt idx="45">
                  <c:v>43901</c:v>
                </c:pt>
                <c:pt idx="46">
                  <c:v>43902</c:v>
                </c:pt>
                <c:pt idx="47">
                  <c:v>43903</c:v>
                </c:pt>
                <c:pt idx="48">
                  <c:v>43906</c:v>
                </c:pt>
                <c:pt idx="49">
                  <c:v>43907</c:v>
                </c:pt>
                <c:pt idx="50">
                  <c:v>43908</c:v>
                </c:pt>
                <c:pt idx="51">
                  <c:v>43909</c:v>
                </c:pt>
                <c:pt idx="52">
                  <c:v>43910</c:v>
                </c:pt>
                <c:pt idx="53">
                  <c:v>43913</c:v>
                </c:pt>
                <c:pt idx="54">
                  <c:v>43914</c:v>
                </c:pt>
                <c:pt idx="55">
                  <c:v>43915</c:v>
                </c:pt>
                <c:pt idx="56">
                  <c:v>43916</c:v>
                </c:pt>
                <c:pt idx="57">
                  <c:v>43917</c:v>
                </c:pt>
                <c:pt idx="58">
                  <c:v>43920</c:v>
                </c:pt>
                <c:pt idx="59">
                  <c:v>43921</c:v>
                </c:pt>
                <c:pt idx="60">
                  <c:v>43922</c:v>
                </c:pt>
                <c:pt idx="61">
                  <c:v>43923</c:v>
                </c:pt>
                <c:pt idx="62">
                  <c:v>43924</c:v>
                </c:pt>
                <c:pt idx="63">
                  <c:v>43927</c:v>
                </c:pt>
                <c:pt idx="64">
                  <c:v>43928</c:v>
                </c:pt>
                <c:pt idx="65">
                  <c:v>43929</c:v>
                </c:pt>
                <c:pt idx="66">
                  <c:v>43930</c:v>
                </c:pt>
                <c:pt idx="67">
                  <c:v>43931</c:v>
                </c:pt>
                <c:pt idx="68">
                  <c:v>43934</c:v>
                </c:pt>
                <c:pt idx="69">
                  <c:v>43935</c:v>
                </c:pt>
                <c:pt idx="70">
                  <c:v>43936</c:v>
                </c:pt>
                <c:pt idx="71">
                  <c:v>43937</c:v>
                </c:pt>
                <c:pt idx="72">
                  <c:v>43938</c:v>
                </c:pt>
                <c:pt idx="73">
                  <c:v>43941</c:v>
                </c:pt>
                <c:pt idx="74">
                  <c:v>43942</c:v>
                </c:pt>
                <c:pt idx="75">
                  <c:v>43943</c:v>
                </c:pt>
                <c:pt idx="76">
                  <c:v>43944</c:v>
                </c:pt>
                <c:pt idx="77">
                  <c:v>43948</c:v>
                </c:pt>
                <c:pt idx="78">
                  <c:v>43949</c:v>
                </c:pt>
                <c:pt idx="79">
                  <c:v>43950</c:v>
                </c:pt>
                <c:pt idx="80">
                  <c:v>43951</c:v>
                </c:pt>
                <c:pt idx="81">
                  <c:v>43955</c:v>
                </c:pt>
                <c:pt idx="82">
                  <c:v>43956</c:v>
                </c:pt>
                <c:pt idx="83">
                  <c:v>43957</c:v>
                </c:pt>
                <c:pt idx="84">
                  <c:v>43958</c:v>
                </c:pt>
                <c:pt idx="85">
                  <c:v>43959</c:v>
                </c:pt>
                <c:pt idx="86">
                  <c:v>43962</c:v>
                </c:pt>
                <c:pt idx="87">
                  <c:v>43963</c:v>
                </c:pt>
                <c:pt idx="88">
                  <c:v>43964</c:v>
                </c:pt>
                <c:pt idx="89">
                  <c:v>43965</c:v>
                </c:pt>
                <c:pt idx="90">
                  <c:v>43966</c:v>
                </c:pt>
                <c:pt idx="91">
                  <c:v>43969</c:v>
                </c:pt>
                <c:pt idx="92">
                  <c:v>43970</c:v>
                </c:pt>
                <c:pt idx="93">
                  <c:v>43971</c:v>
                </c:pt>
                <c:pt idx="94">
                  <c:v>43972</c:v>
                </c:pt>
                <c:pt idx="95">
                  <c:v>43973</c:v>
                </c:pt>
                <c:pt idx="96">
                  <c:v>43974</c:v>
                </c:pt>
                <c:pt idx="97">
                  <c:v>43976</c:v>
                </c:pt>
                <c:pt idx="98">
                  <c:v>43977</c:v>
                </c:pt>
                <c:pt idx="99">
                  <c:v>43978</c:v>
                </c:pt>
                <c:pt idx="100">
                  <c:v>43983</c:v>
                </c:pt>
                <c:pt idx="101">
                  <c:v>43984</c:v>
                </c:pt>
                <c:pt idx="102">
                  <c:v>43985</c:v>
                </c:pt>
                <c:pt idx="103">
                  <c:v>43986</c:v>
                </c:pt>
                <c:pt idx="104">
                  <c:v>43987</c:v>
                </c:pt>
                <c:pt idx="105">
                  <c:v>43990</c:v>
                </c:pt>
                <c:pt idx="106">
                  <c:v>43991</c:v>
                </c:pt>
                <c:pt idx="107">
                  <c:v>43992</c:v>
                </c:pt>
                <c:pt idx="108">
                  <c:v>43993</c:v>
                </c:pt>
                <c:pt idx="109">
                  <c:v>43994</c:v>
                </c:pt>
                <c:pt idx="110">
                  <c:v>43997</c:v>
                </c:pt>
                <c:pt idx="111">
                  <c:v>43998</c:v>
                </c:pt>
                <c:pt idx="112">
                  <c:v>43999</c:v>
                </c:pt>
                <c:pt idx="113">
                  <c:v>44000</c:v>
                </c:pt>
                <c:pt idx="114">
                  <c:v>44001</c:v>
                </c:pt>
                <c:pt idx="115">
                  <c:v>44004</c:v>
                </c:pt>
                <c:pt idx="116">
                  <c:v>44005</c:v>
                </c:pt>
                <c:pt idx="117">
                  <c:v>44006</c:v>
                </c:pt>
                <c:pt idx="118">
                  <c:v>44007</c:v>
                </c:pt>
                <c:pt idx="119">
                  <c:v>44008</c:v>
                </c:pt>
                <c:pt idx="120">
                  <c:v>44011</c:v>
                </c:pt>
                <c:pt idx="121">
                  <c:v>44012</c:v>
                </c:pt>
                <c:pt idx="122">
                  <c:v>44013</c:v>
                </c:pt>
                <c:pt idx="123">
                  <c:v>44014</c:v>
                </c:pt>
                <c:pt idx="124">
                  <c:v>44015</c:v>
                </c:pt>
                <c:pt idx="125">
                  <c:v>44018</c:v>
                </c:pt>
                <c:pt idx="126">
                  <c:v>44019</c:v>
                </c:pt>
                <c:pt idx="127">
                  <c:v>44020</c:v>
                </c:pt>
                <c:pt idx="128">
                  <c:v>44021</c:v>
                </c:pt>
                <c:pt idx="129">
                  <c:v>44022</c:v>
                </c:pt>
                <c:pt idx="130">
                  <c:v>44025</c:v>
                </c:pt>
                <c:pt idx="131">
                  <c:v>44026</c:v>
                </c:pt>
                <c:pt idx="132">
                  <c:v>44027</c:v>
                </c:pt>
                <c:pt idx="133">
                  <c:v>44028</c:v>
                </c:pt>
                <c:pt idx="134">
                  <c:v>44029</c:v>
                </c:pt>
                <c:pt idx="135">
                  <c:v>44032</c:v>
                </c:pt>
                <c:pt idx="136">
                  <c:v>44033</c:v>
                </c:pt>
                <c:pt idx="137">
                  <c:v>44034</c:v>
                </c:pt>
                <c:pt idx="138">
                  <c:v>44035</c:v>
                </c:pt>
                <c:pt idx="139">
                  <c:v>44036</c:v>
                </c:pt>
                <c:pt idx="140">
                  <c:v>44039</c:v>
                </c:pt>
                <c:pt idx="141">
                  <c:v>44040</c:v>
                </c:pt>
                <c:pt idx="142">
                  <c:v>44041</c:v>
                </c:pt>
                <c:pt idx="143">
                  <c:v>44042</c:v>
                </c:pt>
                <c:pt idx="144">
                  <c:v>44043</c:v>
                </c:pt>
                <c:pt idx="145">
                  <c:v>44046</c:v>
                </c:pt>
                <c:pt idx="146">
                  <c:v>44047</c:v>
                </c:pt>
                <c:pt idx="147">
                  <c:v>44048</c:v>
                </c:pt>
                <c:pt idx="148">
                  <c:v>44049</c:v>
                </c:pt>
                <c:pt idx="149">
                  <c:v>44050</c:v>
                </c:pt>
                <c:pt idx="150">
                  <c:v>44053</c:v>
                </c:pt>
                <c:pt idx="151">
                  <c:v>44054</c:v>
                </c:pt>
                <c:pt idx="152">
                  <c:v>44055</c:v>
                </c:pt>
                <c:pt idx="153">
                  <c:v>44056</c:v>
                </c:pt>
                <c:pt idx="154">
                  <c:v>44057</c:v>
                </c:pt>
                <c:pt idx="155">
                  <c:v>44060</c:v>
                </c:pt>
                <c:pt idx="156">
                  <c:v>44061</c:v>
                </c:pt>
                <c:pt idx="157">
                  <c:v>44062</c:v>
                </c:pt>
                <c:pt idx="158">
                  <c:v>44063</c:v>
                </c:pt>
                <c:pt idx="159">
                  <c:v>44064</c:v>
                </c:pt>
                <c:pt idx="160">
                  <c:v>44067</c:v>
                </c:pt>
                <c:pt idx="161">
                  <c:v>44068</c:v>
                </c:pt>
                <c:pt idx="162">
                  <c:v>44069</c:v>
                </c:pt>
                <c:pt idx="163">
                  <c:v>44070</c:v>
                </c:pt>
                <c:pt idx="164">
                  <c:v>44071</c:v>
                </c:pt>
                <c:pt idx="165">
                  <c:v>44074</c:v>
                </c:pt>
                <c:pt idx="166">
                  <c:v>44075</c:v>
                </c:pt>
                <c:pt idx="167">
                  <c:v>44076</c:v>
                </c:pt>
                <c:pt idx="168">
                  <c:v>44077</c:v>
                </c:pt>
                <c:pt idx="169">
                  <c:v>44078</c:v>
                </c:pt>
                <c:pt idx="170">
                  <c:v>44081</c:v>
                </c:pt>
                <c:pt idx="171">
                  <c:v>44082</c:v>
                </c:pt>
                <c:pt idx="172">
                  <c:v>44083</c:v>
                </c:pt>
                <c:pt idx="173">
                  <c:v>44084</c:v>
                </c:pt>
                <c:pt idx="174">
                  <c:v>44085</c:v>
                </c:pt>
                <c:pt idx="175">
                  <c:v>44088</c:v>
                </c:pt>
                <c:pt idx="176">
                  <c:v>44089</c:v>
                </c:pt>
                <c:pt idx="177">
                  <c:v>44090</c:v>
                </c:pt>
                <c:pt idx="178">
                  <c:v>44091</c:v>
                </c:pt>
                <c:pt idx="179">
                  <c:v>44092</c:v>
                </c:pt>
                <c:pt idx="180">
                  <c:v>44096</c:v>
                </c:pt>
                <c:pt idx="181">
                  <c:v>44097</c:v>
                </c:pt>
                <c:pt idx="182">
                  <c:v>44098</c:v>
                </c:pt>
                <c:pt idx="183">
                  <c:v>44099</c:v>
                </c:pt>
                <c:pt idx="184">
                  <c:v>44102</c:v>
                </c:pt>
                <c:pt idx="185">
                  <c:v>44103</c:v>
                </c:pt>
                <c:pt idx="186">
                  <c:v>44104</c:v>
                </c:pt>
                <c:pt idx="187">
                  <c:v>44105</c:v>
                </c:pt>
                <c:pt idx="188">
                  <c:v>44106</c:v>
                </c:pt>
                <c:pt idx="189">
                  <c:v>44109</c:v>
                </c:pt>
                <c:pt idx="190">
                  <c:v>44110</c:v>
                </c:pt>
                <c:pt idx="191">
                  <c:v>44111</c:v>
                </c:pt>
                <c:pt idx="192">
                  <c:v>44112</c:v>
                </c:pt>
                <c:pt idx="193">
                  <c:v>44113</c:v>
                </c:pt>
                <c:pt idx="194">
                  <c:v>44116</c:v>
                </c:pt>
                <c:pt idx="195">
                  <c:v>44117</c:v>
                </c:pt>
                <c:pt idx="196">
                  <c:v>44118</c:v>
                </c:pt>
                <c:pt idx="197">
                  <c:v>44119</c:v>
                </c:pt>
                <c:pt idx="198">
                  <c:v>44120</c:v>
                </c:pt>
                <c:pt idx="199">
                  <c:v>44123</c:v>
                </c:pt>
                <c:pt idx="200">
                  <c:v>44124</c:v>
                </c:pt>
                <c:pt idx="201">
                  <c:v>44125</c:v>
                </c:pt>
                <c:pt idx="202">
                  <c:v>44126</c:v>
                </c:pt>
                <c:pt idx="203">
                  <c:v>44127</c:v>
                </c:pt>
                <c:pt idx="204">
                  <c:v>44130</c:v>
                </c:pt>
                <c:pt idx="205">
                  <c:v>44131</c:v>
                </c:pt>
                <c:pt idx="206">
                  <c:v>44132</c:v>
                </c:pt>
                <c:pt idx="207">
                  <c:v>44133</c:v>
                </c:pt>
                <c:pt idx="208">
                  <c:v>44134</c:v>
                </c:pt>
                <c:pt idx="209">
                  <c:v>44137</c:v>
                </c:pt>
                <c:pt idx="210">
                  <c:v>44138</c:v>
                </c:pt>
                <c:pt idx="211">
                  <c:v>44139</c:v>
                </c:pt>
                <c:pt idx="212">
                  <c:v>44140</c:v>
                </c:pt>
                <c:pt idx="213">
                  <c:v>44141</c:v>
                </c:pt>
                <c:pt idx="214">
                  <c:v>44144</c:v>
                </c:pt>
                <c:pt idx="215">
                  <c:v>44145</c:v>
                </c:pt>
                <c:pt idx="216">
                  <c:v>44146</c:v>
                </c:pt>
                <c:pt idx="217">
                  <c:v>44147</c:v>
                </c:pt>
                <c:pt idx="218">
                  <c:v>44148</c:v>
                </c:pt>
                <c:pt idx="219">
                  <c:v>44151</c:v>
                </c:pt>
                <c:pt idx="220">
                  <c:v>44152</c:v>
                </c:pt>
                <c:pt idx="221">
                  <c:v>44153</c:v>
                </c:pt>
                <c:pt idx="222">
                  <c:v>44154</c:v>
                </c:pt>
                <c:pt idx="223">
                  <c:v>44155</c:v>
                </c:pt>
                <c:pt idx="224">
                  <c:v>44158</c:v>
                </c:pt>
                <c:pt idx="225">
                  <c:v>44159</c:v>
                </c:pt>
                <c:pt idx="226">
                  <c:v>44160</c:v>
                </c:pt>
                <c:pt idx="227">
                  <c:v>44161</c:v>
                </c:pt>
                <c:pt idx="228">
                  <c:v>44162</c:v>
                </c:pt>
                <c:pt idx="229">
                  <c:v>44165</c:v>
                </c:pt>
                <c:pt idx="230">
                  <c:v>44166</c:v>
                </c:pt>
                <c:pt idx="231">
                  <c:v>44167</c:v>
                </c:pt>
                <c:pt idx="232">
                  <c:v>44168</c:v>
                </c:pt>
                <c:pt idx="233">
                  <c:v>44169</c:v>
                </c:pt>
                <c:pt idx="234">
                  <c:v>44172</c:v>
                </c:pt>
                <c:pt idx="235">
                  <c:v>44173</c:v>
                </c:pt>
                <c:pt idx="236">
                  <c:v>44174</c:v>
                </c:pt>
                <c:pt idx="237">
                  <c:v>44175</c:v>
                </c:pt>
                <c:pt idx="238">
                  <c:v>44176</c:v>
                </c:pt>
                <c:pt idx="239">
                  <c:v>44179</c:v>
                </c:pt>
                <c:pt idx="240">
                  <c:v>44180</c:v>
                </c:pt>
                <c:pt idx="241">
                  <c:v>44181</c:v>
                </c:pt>
                <c:pt idx="242">
                  <c:v>44182</c:v>
                </c:pt>
                <c:pt idx="243">
                  <c:v>44183</c:v>
                </c:pt>
                <c:pt idx="244">
                  <c:v>44186</c:v>
                </c:pt>
                <c:pt idx="245">
                  <c:v>44187</c:v>
                </c:pt>
                <c:pt idx="246">
                  <c:v>44188</c:v>
                </c:pt>
                <c:pt idx="247">
                  <c:v>44189</c:v>
                </c:pt>
                <c:pt idx="248">
                  <c:v>44190</c:v>
                </c:pt>
                <c:pt idx="249">
                  <c:v>44193</c:v>
                </c:pt>
                <c:pt idx="250">
                  <c:v>44194</c:v>
                </c:pt>
                <c:pt idx="251">
                  <c:v>44195</c:v>
                </c:pt>
                <c:pt idx="252">
                  <c:v>44196</c:v>
                </c:pt>
                <c:pt idx="253">
                  <c:v>44204</c:v>
                </c:pt>
                <c:pt idx="254">
                  <c:v>44207</c:v>
                </c:pt>
                <c:pt idx="255">
                  <c:v>44208</c:v>
                </c:pt>
                <c:pt idx="256">
                  <c:v>44209</c:v>
                </c:pt>
                <c:pt idx="257">
                  <c:v>44210</c:v>
                </c:pt>
                <c:pt idx="258">
                  <c:v>44211</c:v>
                </c:pt>
                <c:pt idx="259">
                  <c:v>44214</c:v>
                </c:pt>
                <c:pt idx="260">
                  <c:v>44215</c:v>
                </c:pt>
                <c:pt idx="261">
                  <c:v>44216</c:v>
                </c:pt>
                <c:pt idx="262">
                  <c:v>44217</c:v>
                </c:pt>
                <c:pt idx="263">
                  <c:v>44218</c:v>
                </c:pt>
                <c:pt idx="264">
                  <c:v>44221</c:v>
                </c:pt>
                <c:pt idx="265">
                  <c:v>44222</c:v>
                </c:pt>
                <c:pt idx="266">
                  <c:v>44223</c:v>
                </c:pt>
                <c:pt idx="267">
                  <c:v>44225</c:v>
                </c:pt>
                <c:pt idx="268">
                  <c:v>44228</c:v>
                </c:pt>
                <c:pt idx="269">
                  <c:v>44229</c:v>
                </c:pt>
                <c:pt idx="270">
                  <c:v>44230</c:v>
                </c:pt>
                <c:pt idx="271">
                  <c:v>44231</c:v>
                </c:pt>
                <c:pt idx="272">
                  <c:v>44232</c:v>
                </c:pt>
                <c:pt idx="273">
                  <c:v>44235</c:v>
                </c:pt>
                <c:pt idx="274">
                  <c:v>44236</c:v>
                </c:pt>
                <c:pt idx="275">
                  <c:v>44237</c:v>
                </c:pt>
                <c:pt idx="276">
                  <c:v>44238</c:v>
                </c:pt>
                <c:pt idx="277">
                  <c:v>44239</c:v>
                </c:pt>
                <c:pt idx="278">
                  <c:v>44242</c:v>
                </c:pt>
                <c:pt idx="279">
                  <c:v>44243</c:v>
                </c:pt>
                <c:pt idx="280">
                  <c:v>44244</c:v>
                </c:pt>
                <c:pt idx="281">
                  <c:v>44245</c:v>
                </c:pt>
                <c:pt idx="282">
                  <c:v>44246</c:v>
                </c:pt>
                <c:pt idx="283">
                  <c:v>44249</c:v>
                </c:pt>
                <c:pt idx="284">
                  <c:v>44250</c:v>
                </c:pt>
                <c:pt idx="285">
                  <c:v>44251</c:v>
                </c:pt>
                <c:pt idx="286">
                  <c:v>44252</c:v>
                </c:pt>
                <c:pt idx="287">
                  <c:v>44253</c:v>
                </c:pt>
                <c:pt idx="288">
                  <c:v>44256</c:v>
                </c:pt>
                <c:pt idx="289">
                  <c:v>44257</c:v>
                </c:pt>
                <c:pt idx="290">
                  <c:v>44258</c:v>
                </c:pt>
                <c:pt idx="291">
                  <c:v>44259</c:v>
                </c:pt>
                <c:pt idx="292">
                  <c:v>44260</c:v>
                </c:pt>
                <c:pt idx="293">
                  <c:v>44264</c:v>
                </c:pt>
                <c:pt idx="294">
                  <c:v>44265</c:v>
                </c:pt>
                <c:pt idx="295">
                  <c:v>44266</c:v>
                </c:pt>
                <c:pt idx="296">
                  <c:v>44267</c:v>
                </c:pt>
                <c:pt idx="297">
                  <c:v>44270</c:v>
                </c:pt>
                <c:pt idx="298">
                  <c:v>44271</c:v>
                </c:pt>
                <c:pt idx="299">
                  <c:v>44272</c:v>
                </c:pt>
                <c:pt idx="300">
                  <c:v>44273</c:v>
                </c:pt>
                <c:pt idx="301">
                  <c:v>44274</c:v>
                </c:pt>
                <c:pt idx="302">
                  <c:v>44277</c:v>
                </c:pt>
                <c:pt idx="303">
                  <c:v>44278</c:v>
                </c:pt>
                <c:pt idx="304">
                  <c:v>44279</c:v>
                </c:pt>
                <c:pt idx="305">
                  <c:v>44280</c:v>
                </c:pt>
                <c:pt idx="306">
                  <c:v>44281</c:v>
                </c:pt>
                <c:pt idx="307">
                  <c:v>44284</c:v>
                </c:pt>
                <c:pt idx="308">
                  <c:v>44285</c:v>
                </c:pt>
                <c:pt idx="309">
                  <c:v>44286</c:v>
                </c:pt>
                <c:pt idx="310">
                  <c:v>44287</c:v>
                </c:pt>
                <c:pt idx="311">
                  <c:v>44288</c:v>
                </c:pt>
                <c:pt idx="312">
                  <c:v>44291</c:v>
                </c:pt>
                <c:pt idx="313">
                  <c:v>44292</c:v>
                </c:pt>
                <c:pt idx="314">
                  <c:v>44293</c:v>
                </c:pt>
                <c:pt idx="315">
                  <c:v>44294</c:v>
                </c:pt>
                <c:pt idx="316">
                  <c:v>44295</c:v>
                </c:pt>
                <c:pt idx="317">
                  <c:v>44298</c:v>
                </c:pt>
                <c:pt idx="318">
                  <c:v>44299</c:v>
                </c:pt>
                <c:pt idx="319">
                  <c:v>44300</c:v>
                </c:pt>
                <c:pt idx="320">
                  <c:v>44301</c:v>
                </c:pt>
                <c:pt idx="321">
                  <c:v>44302</c:v>
                </c:pt>
                <c:pt idx="322">
                  <c:v>44305</c:v>
                </c:pt>
                <c:pt idx="323">
                  <c:v>44306</c:v>
                </c:pt>
                <c:pt idx="324">
                  <c:v>44307</c:v>
                </c:pt>
                <c:pt idx="325">
                  <c:v>44308</c:v>
                </c:pt>
                <c:pt idx="326">
                  <c:v>44309</c:v>
                </c:pt>
                <c:pt idx="327">
                  <c:v>44312</c:v>
                </c:pt>
                <c:pt idx="328">
                  <c:v>44313</c:v>
                </c:pt>
                <c:pt idx="329">
                  <c:v>44314</c:v>
                </c:pt>
                <c:pt idx="330">
                  <c:v>44315</c:v>
                </c:pt>
                <c:pt idx="331">
                  <c:v>44316</c:v>
                </c:pt>
                <c:pt idx="332">
                  <c:v>44319</c:v>
                </c:pt>
                <c:pt idx="333">
                  <c:v>44320</c:v>
                </c:pt>
                <c:pt idx="334">
                  <c:v>44321</c:v>
                </c:pt>
                <c:pt idx="335">
                  <c:v>44322</c:v>
                </c:pt>
                <c:pt idx="336">
                  <c:v>44323</c:v>
                </c:pt>
                <c:pt idx="337">
                  <c:v>44326</c:v>
                </c:pt>
                <c:pt idx="338">
                  <c:v>44327</c:v>
                </c:pt>
                <c:pt idx="339">
                  <c:v>44328</c:v>
                </c:pt>
                <c:pt idx="340">
                  <c:v>44329</c:v>
                </c:pt>
                <c:pt idx="341">
                  <c:v>44330</c:v>
                </c:pt>
                <c:pt idx="342">
                  <c:v>44333</c:v>
                </c:pt>
                <c:pt idx="343">
                  <c:v>44334</c:v>
                </c:pt>
                <c:pt idx="344">
                  <c:v>44335</c:v>
                </c:pt>
                <c:pt idx="345">
                  <c:v>44336</c:v>
                </c:pt>
                <c:pt idx="346">
                  <c:v>44337</c:v>
                </c:pt>
                <c:pt idx="347">
                  <c:v>44340</c:v>
                </c:pt>
                <c:pt idx="348">
                  <c:v>44341</c:v>
                </c:pt>
                <c:pt idx="349">
                  <c:v>44342</c:v>
                </c:pt>
                <c:pt idx="350">
                  <c:v>44343</c:v>
                </c:pt>
                <c:pt idx="351">
                  <c:v>44347</c:v>
                </c:pt>
                <c:pt idx="352">
                  <c:v>44348</c:v>
                </c:pt>
                <c:pt idx="353">
                  <c:v>44349</c:v>
                </c:pt>
                <c:pt idx="354">
                  <c:v>44350</c:v>
                </c:pt>
                <c:pt idx="355">
                  <c:v>44351</c:v>
                </c:pt>
                <c:pt idx="356">
                  <c:v>44354</c:v>
                </c:pt>
                <c:pt idx="357">
                  <c:v>44355</c:v>
                </c:pt>
                <c:pt idx="358">
                  <c:v>44356</c:v>
                </c:pt>
                <c:pt idx="359">
                  <c:v>44357</c:v>
                </c:pt>
                <c:pt idx="360">
                  <c:v>44358</c:v>
                </c:pt>
                <c:pt idx="361">
                  <c:v>44361</c:v>
                </c:pt>
                <c:pt idx="362">
                  <c:v>44362</c:v>
                </c:pt>
                <c:pt idx="363">
                  <c:v>44363</c:v>
                </c:pt>
                <c:pt idx="364">
                  <c:v>44364</c:v>
                </c:pt>
                <c:pt idx="365">
                  <c:v>44365</c:v>
                </c:pt>
                <c:pt idx="366">
                  <c:v>44368</c:v>
                </c:pt>
                <c:pt idx="367">
                  <c:v>44369</c:v>
                </c:pt>
                <c:pt idx="368">
                  <c:v>44370</c:v>
                </c:pt>
                <c:pt idx="369">
                  <c:v>44371</c:v>
                </c:pt>
                <c:pt idx="370">
                  <c:v>44372</c:v>
                </c:pt>
                <c:pt idx="371">
                  <c:v>44375</c:v>
                </c:pt>
                <c:pt idx="372">
                  <c:v>44376</c:v>
                </c:pt>
                <c:pt idx="373">
                  <c:v>44377</c:v>
                </c:pt>
                <c:pt idx="374">
                  <c:v>44378</c:v>
                </c:pt>
                <c:pt idx="375">
                  <c:v>44379</c:v>
                </c:pt>
                <c:pt idx="376">
                  <c:v>44383</c:v>
                </c:pt>
                <c:pt idx="377">
                  <c:v>44384</c:v>
                </c:pt>
                <c:pt idx="378">
                  <c:v>44385</c:v>
                </c:pt>
                <c:pt idx="379">
                  <c:v>44386</c:v>
                </c:pt>
                <c:pt idx="380">
                  <c:v>44389</c:v>
                </c:pt>
                <c:pt idx="381">
                  <c:v>44390</c:v>
                </c:pt>
                <c:pt idx="382">
                  <c:v>44391</c:v>
                </c:pt>
                <c:pt idx="383">
                  <c:v>44392</c:v>
                </c:pt>
                <c:pt idx="384">
                  <c:v>44393</c:v>
                </c:pt>
                <c:pt idx="385">
                  <c:v>44396</c:v>
                </c:pt>
                <c:pt idx="386">
                  <c:v>44397</c:v>
                </c:pt>
                <c:pt idx="387">
                  <c:v>44398</c:v>
                </c:pt>
                <c:pt idx="388">
                  <c:v>44399</c:v>
                </c:pt>
                <c:pt idx="389">
                  <c:v>44400</c:v>
                </c:pt>
                <c:pt idx="390">
                  <c:v>44403</c:v>
                </c:pt>
                <c:pt idx="391">
                  <c:v>44404</c:v>
                </c:pt>
                <c:pt idx="392">
                  <c:v>44405</c:v>
                </c:pt>
                <c:pt idx="393">
                  <c:v>44406</c:v>
                </c:pt>
                <c:pt idx="394">
                  <c:v>44407</c:v>
                </c:pt>
                <c:pt idx="395">
                  <c:v>44410</c:v>
                </c:pt>
                <c:pt idx="396">
                  <c:v>44411</c:v>
                </c:pt>
                <c:pt idx="397">
                  <c:v>44412</c:v>
                </c:pt>
                <c:pt idx="398">
                  <c:v>44413</c:v>
                </c:pt>
                <c:pt idx="399">
                  <c:v>44414</c:v>
                </c:pt>
                <c:pt idx="400">
                  <c:v>44417</c:v>
                </c:pt>
                <c:pt idx="401">
                  <c:v>44418</c:v>
                </c:pt>
                <c:pt idx="402">
                  <c:v>44419</c:v>
                </c:pt>
                <c:pt idx="403">
                  <c:v>44420</c:v>
                </c:pt>
                <c:pt idx="404">
                  <c:v>44421</c:v>
                </c:pt>
                <c:pt idx="405">
                  <c:v>44424</c:v>
                </c:pt>
                <c:pt idx="406">
                  <c:v>44425</c:v>
                </c:pt>
                <c:pt idx="407">
                  <c:v>44426</c:v>
                </c:pt>
                <c:pt idx="408">
                  <c:v>44427</c:v>
                </c:pt>
                <c:pt idx="409">
                  <c:v>44428</c:v>
                </c:pt>
                <c:pt idx="410">
                  <c:v>44431</c:v>
                </c:pt>
                <c:pt idx="411">
                  <c:v>44432</c:v>
                </c:pt>
                <c:pt idx="412">
                  <c:v>44433</c:v>
                </c:pt>
                <c:pt idx="413">
                  <c:v>44434</c:v>
                </c:pt>
                <c:pt idx="414">
                  <c:v>44435</c:v>
                </c:pt>
                <c:pt idx="415">
                  <c:v>44438</c:v>
                </c:pt>
                <c:pt idx="416">
                  <c:v>44439</c:v>
                </c:pt>
                <c:pt idx="417">
                  <c:v>44440</c:v>
                </c:pt>
                <c:pt idx="418">
                  <c:v>44441</c:v>
                </c:pt>
                <c:pt idx="419">
                  <c:v>44442</c:v>
                </c:pt>
                <c:pt idx="420">
                  <c:v>44445</c:v>
                </c:pt>
                <c:pt idx="421">
                  <c:v>44446</c:v>
                </c:pt>
                <c:pt idx="422">
                  <c:v>44447</c:v>
                </c:pt>
                <c:pt idx="423">
                  <c:v>44448</c:v>
                </c:pt>
                <c:pt idx="424">
                  <c:v>44449</c:v>
                </c:pt>
                <c:pt idx="425">
                  <c:v>44452</c:v>
                </c:pt>
                <c:pt idx="426">
                  <c:v>44453</c:v>
                </c:pt>
                <c:pt idx="427">
                  <c:v>44454</c:v>
                </c:pt>
                <c:pt idx="428">
                  <c:v>44455</c:v>
                </c:pt>
                <c:pt idx="429">
                  <c:v>44456</c:v>
                </c:pt>
                <c:pt idx="430">
                  <c:v>44461</c:v>
                </c:pt>
                <c:pt idx="431">
                  <c:v>44462</c:v>
                </c:pt>
                <c:pt idx="432">
                  <c:v>44463</c:v>
                </c:pt>
                <c:pt idx="433">
                  <c:v>44464</c:v>
                </c:pt>
                <c:pt idx="434">
                  <c:v>44466</c:v>
                </c:pt>
                <c:pt idx="435">
                  <c:v>44467</c:v>
                </c:pt>
                <c:pt idx="436">
                  <c:v>44468</c:v>
                </c:pt>
                <c:pt idx="437">
                  <c:v>44469</c:v>
                </c:pt>
                <c:pt idx="438">
                  <c:v>44470</c:v>
                </c:pt>
                <c:pt idx="439">
                  <c:v>44473</c:v>
                </c:pt>
                <c:pt idx="440">
                  <c:v>44474</c:v>
                </c:pt>
                <c:pt idx="441">
                  <c:v>44475</c:v>
                </c:pt>
                <c:pt idx="442">
                  <c:v>44476</c:v>
                </c:pt>
                <c:pt idx="443">
                  <c:v>44477</c:v>
                </c:pt>
                <c:pt idx="444">
                  <c:v>44480</c:v>
                </c:pt>
                <c:pt idx="445">
                  <c:v>44481</c:v>
                </c:pt>
                <c:pt idx="446">
                  <c:v>44482</c:v>
                </c:pt>
                <c:pt idx="447">
                  <c:v>44483</c:v>
                </c:pt>
                <c:pt idx="448">
                  <c:v>44484</c:v>
                </c:pt>
                <c:pt idx="449">
                  <c:v>44487</c:v>
                </c:pt>
                <c:pt idx="450">
                  <c:v>44488</c:v>
                </c:pt>
                <c:pt idx="451">
                  <c:v>44489</c:v>
                </c:pt>
                <c:pt idx="452">
                  <c:v>44490</c:v>
                </c:pt>
                <c:pt idx="453">
                  <c:v>44491</c:v>
                </c:pt>
                <c:pt idx="454">
                  <c:v>44494</c:v>
                </c:pt>
                <c:pt idx="455">
                  <c:v>44495</c:v>
                </c:pt>
                <c:pt idx="456">
                  <c:v>44496</c:v>
                </c:pt>
                <c:pt idx="457">
                  <c:v>44497</c:v>
                </c:pt>
                <c:pt idx="458">
                  <c:v>44498</c:v>
                </c:pt>
                <c:pt idx="459">
                  <c:v>44501</c:v>
                </c:pt>
                <c:pt idx="460">
                  <c:v>44502</c:v>
                </c:pt>
                <c:pt idx="461">
                  <c:v>44503</c:v>
                </c:pt>
                <c:pt idx="462">
                  <c:v>44504</c:v>
                </c:pt>
                <c:pt idx="463">
                  <c:v>44505</c:v>
                </c:pt>
                <c:pt idx="464">
                  <c:v>44508</c:v>
                </c:pt>
                <c:pt idx="465">
                  <c:v>44509</c:v>
                </c:pt>
                <c:pt idx="466">
                  <c:v>44510</c:v>
                </c:pt>
                <c:pt idx="467">
                  <c:v>44511</c:v>
                </c:pt>
                <c:pt idx="468">
                  <c:v>44512</c:v>
                </c:pt>
                <c:pt idx="469">
                  <c:v>44515</c:v>
                </c:pt>
                <c:pt idx="470">
                  <c:v>44516</c:v>
                </c:pt>
                <c:pt idx="471">
                  <c:v>44517</c:v>
                </c:pt>
                <c:pt idx="472">
                  <c:v>44518</c:v>
                </c:pt>
                <c:pt idx="473">
                  <c:v>44519</c:v>
                </c:pt>
                <c:pt idx="474">
                  <c:v>44522</c:v>
                </c:pt>
                <c:pt idx="475">
                  <c:v>44523</c:v>
                </c:pt>
                <c:pt idx="476">
                  <c:v>44524</c:v>
                </c:pt>
                <c:pt idx="477">
                  <c:v>44525</c:v>
                </c:pt>
                <c:pt idx="478">
                  <c:v>44526</c:v>
                </c:pt>
                <c:pt idx="479">
                  <c:v>44529</c:v>
                </c:pt>
                <c:pt idx="480">
                  <c:v>44530</c:v>
                </c:pt>
                <c:pt idx="481">
                  <c:v>44531</c:v>
                </c:pt>
                <c:pt idx="482">
                  <c:v>44532</c:v>
                </c:pt>
                <c:pt idx="483">
                  <c:v>44533</c:v>
                </c:pt>
                <c:pt idx="484">
                  <c:v>44536</c:v>
                </c:pt>
                <c:pt idx="485">
                  <c:v>44537</c:v>
                </c:pt>
                <c:pt idx="486">
                  <c:v>44538</c:v>
                </c:pt>
                <c:pt idx="487">
                  <c:v>44539</c:v>
                </c:pt>
                <c:pt idx="488">
                  <c:v>44540</c:v>
                </c:pt>
                <c:pt idx="489">
                  <c:v>44543</c:v>
                </c:pt>
                <c:pt idx="490">
                  <c:v>44544</c:v>
                </c:pt>
                <c:pt idx="491">
                  <c:v>44545</c:v>
                </c:pt>
                <c:pt idx="492">
                  <c:v>44546</c:v>
                </c:pt>
                <c:pt idx="493">
                  <c:v>44547</c:v>
                </c:pt>
                <c:pt idx="494">
                  <c:v>44550</c:v>
                </c:pt>
                <c:pt idx="495">
                  <c:v>44551</c:v>
                </c:pt>
                <c:pt idx="496">
                  <c:v>44552</c:v>
                </c:pt>
                <c:pt idx="497">
                  <c:v>44553</c:v>
                </c:pt>
                <c:pt idx="498">
                  <c:v>44554</c:v>
                </c:pt>
                <c:pt idx="499">
                  <c:v>44557</c:v>
                </c:pt>
                <c:pt idx="500">
                  <c:v>44558</c:v>
                </c:pt>
                <c:pt idx="501">
                  <c:v>44559</c:v>
                </c:pt>
                <c:pt idx="502">
                  <c:v>44560</c:v>
                </c:pt>
                <c:pt idx="503">
                  <c:v>44561</c:v>
                </c:pt>
                <c:pt idx="504">
                  <c:v>44562</c:v>
                </c:pt>
                <c:pt idx="505">
                  <c:v>44565</c:v>
                </c:pt>
                <c:pt idx="506">
                  <c:v>44566</c:v>
                </c:pt>
                <c:pt idx="507">
                  <c:v>44568</c:v>
                </c:pt>
                <c:pt idx="508">
                  <c:v>44571</c:v>
                </c:pt>
                <c:pt idx="509">
                  <c:v>44572</c:v>
                </c:pt>
                <c:pt idx="510">
                  <c:v>44573</c:v>
                </c:pt>
                <c:pt idx="511">
                  <c:v>44574</c:v>
                </c:pt>
                <c:pt idx="512">
                  <c:v>44575</c:v>
                </c:pt>
                <c:pt idx="513">
                  <c:v>44578</c:v>
                </c:pt>
                <c:pt idx="514">
                  <c:v>44579</c:v>
                </c:pt>
                <c:pt idx="515">
                  <c:v>44580</c:v>
                </c:pt>
                <c:pt idx="516">
                  <c:v>44581</c:v>
                </c:pt>
                <c:pt idx="517">
                  <c:v>44582</c:v>
                </c:pt>
                <c:pt idx="518">
                  <c:v>44585</c:v>
                </c:pt>
                <c:pt idx="519">
                  <c:v>44586</c:v>
                </c:pt>
                <c:pt idx="520">
                  <c:v>44587</c:v>
                </c:pt>
                <c:pt idx="521">
                  <c:v>44588</c:v>
                </c:pt>
                <c:pt idx="522">
                  <c:v>44592</c:v>
                </c:pt>
                <c:pt idx="523">
                  <c:v>44593</c:v>
                </c:pt>
                <c:pt idx="524">
                  <c:v>44594</c:v>
                </c:pt>
                <c:pt idx="525">
                  <c:v>44595</c:v>
                </c:pt>
                <c:pt idx="526">
                  <c:v>44596</c:v>
                </c:pt>
                <c:pt idx="527">
                  <c:v>44599</c:v>
                </c:pt>
                <c:pt idx="528">
                  <c:v>44600</c:v>
                </c:pt>
                <c:pt idx="529">
                  <c:v>44601</c:v>
                </c:pt>
                <c:pt idx="530">
                  <c:v>44602</c:v>
                </c:pt>
                <c:pt idx="531">
                  <c:v>44603</c:v>
                </c:pt>
                <c:pt idx="532">
                  <c:v>44606</c:v>
                </c:pt>
                <c:pt idx="533">
                  <c:v>44607</c:v>
                </c:pt>
                <c:pt idx="534">
                  <c:v>44608</c:v>
                </c:pt>
                <c:pt idx="535">
                  <c:v>44609</c:v>
                </c:pt>
                <c:pt idx="536">
                  <c:v>44610</c:v>
                </c:pt>
                <c:pt idx="537">
                  <c:v>44613</c:v>
                </c:pt>
                <c:pt idx="538">
                  <c:v>44614</c:v>
                </c:pt>
                <c:pt idx="539">
                  <c:v>44615</c:v>
                </c:pt>
                <c:pt idx="540">
                  <c:v>44616</c:v>
                </c:pt>
                <c:pt idx="541">
                  <c:v>44617</c:v>
                </c:pt>
                <c:pt idx="542">
                  <c:v>44620</c:v>
                </c:pt>
                <c:pt idx="543">
                  <c:v>44621</c:v>
                </c:pt>
                <c:pt idx="544">
                  <c:v>44622</c:v>
                </c:pt>
                <c:pt idx="545">
                  <c:v>44623</c:v>
                </c:pt>
                <c:pt idx="546">
                  <c:v>44624</c:v>
                </c:pt>
                <c:pt idx="547">
                  <c:v>44627</c:v>
                </c:pt>
                <c:pt idx="548">
                  <c:v>44629</c:v>
                </c:pt>
                <c:pt idx="549">
                  <c:v>44630</c:v>
                </c:pt>
                <c:pt idx="550">
                  <c:v>44631</c:v>
                </c:pt>
                <c:pt idx="551">
                  <c:v>44634</c:v>
                </c:pt>
                <c:pt idx="552">
                  <c:v>44635</c:v>
                </c:pt>
                <c:pt idx="553">
                  <c:v>44636</c:v>
                </c:pt>
                <c:pt idx="554">
                  <c:v>44637</c:v>
                </c:pt>
                <c:pt idx="555">
                  <c:v>44638</c:v>
                </c:pt>
                <c:pt idx="556">
                  <c:v>44641</c:v>
                </c:pt>
                <c:pt idx="557">
                  <c:v>44642</c:v>
                </c:pt>
                <c:pt idx="558">
                  <c:v>44643</c:v>
                </c:pt>
                <c:pt idx="559">
                  <c:v>44644</c:v>
                </c:pt>
                <c:pt idx="560">
                  <c:v>44645</c:v>
                </c:pt>
                <c:pt idx="561">
                  <c:v>44648</c:v>
                </c:pt>
                <c:pt idx="562">
                  <c:v>44649</c:v>
                </c:pt>
                <c:pt idx="563">
                  <c:v>44650</c:v>
                </c:pt>
                <c:pt idx="564">
                  <c:v>44651</c:v>
                </c:pt>
                <c:pt idx="565">
                  <c:v>44652</c:v>
                </c:pt>
                <c:pt idx="566">
                  <c:v>44655</c:v>
                </c:pt>
                <c:pt idx="567">
                  <c:v>44656</c:v>
                </c:pt>
                <c:pt idx="568">
                  <c:v>44657</c:v>
                </c:pt>
                <c:pt idx="569">
                  <c:v>44658</c:v>
                </c:pt>
                <c:pt idx="570">
                  <c:v>44659</c:v>
                </c:pt>
                <c:pt idx="571">
                  <c:v>44662</c:v>
                </c:pt>
                <c:pt idx="572">
                  <c:v>44663</c:v>
                </c:pt>
                <c:pt idx="573">
                  <c:v>44664</c:v>
                </c:pt>
                <c:pt idx="574">
                  <c:v>44665</c:v>
                </c:pt>
                <c:pt idx="575">
                  <c:v>44666</c:v>
                </c:pt>
                <c:pt idx="576">
                  <c:v>44669</c:v>
                </c:pt>
                <c:pt idx="577">
                  <c:v>44670</c:v>
                </c:pt>
                <c:pt idx="578">
                  <c:v>44671</c:v>
                </c:pt>
                <c:pt idx="579">
                  <c:v>44672</c:v>
                </c:pt>
                <c:pt idx="580">
                  <c:v>44673</c:v>
                </c:pt>
                <c:pt idx="581">
                  <c:v>44676</c:v>
                </c:pt>
                <c:pt idx="582">
                  <c:v>44677</c:v>
                </c:pt>
                <c:pt idx="583">
                  <c:v>44678</c:v>
                </c:pt>
                <c:pt idx="584">
                  <c:v>44679</c:v>
                </c:pt>
                <c:pt idx="585">
                  <c:v>44680</c:v>
                </c:pt>
                <c:pt idx="586">
                  <c:v>44683</c:v>
                </c:pt>
                <c:pt idx="587">
                  <c:v>44684</c:v>
                </c:pt>
                <c:pt idx="588">
                  <c:v>44685</c:v>
                </c:pt>
                <c:pt idx="589">
                  <c:v>44686</c:v>
                </c:pt>
                <c:pt idx="590">
                  <c:v>44687</c:v>
                </c:pt>
                <c:pt idx="591">
                  <c:v>44691</c:v>
                </c:pt>
                <c:pt idx="592">
                  <c:v>44692</c:v>
                </c:pt>
                <c:pt idx="593">
                  <c:v>44693</c:v>
                </c:pt>
                <c:pt idx="594">
                  <c:v>44694</c:v>
                </c:pt>
                <c:pt idx="595">
                  <c:v>44697</c:v>
                </c:pt>
                <c:pt idx="596">
                  <c:v>44698</c:v>
                </c:pt>
                <c:pt idx="597">
                  <c:v>44699</c:v>
                </c:pt>
                <c:pt idx="598">
                  <c:v>44700</c:v>
                </c:pt>
                <c:pt idx="599">
                  <c:v>44701</c:v>
                </c:pt>
                <c:pt idx="600">
                  <c:v>44704</c:v>
                </c:pt>
                <c:pt idx="601">
                  <c:v>44705</c:v>
                </c:pt>
                <c:pt idx="602">
                  <c:v>44706</c:v>
                </c:pt>
                <c:pt idx="603">
                  <c:v>44707</c:v>
                </c:pt>
                <c:pt idx="604">
                  <c:v>44708</c:v>
                </c:pt>
                <c:pt idx="605">
                  <c:v>44711</c:v>
                </c:pt>
                <c:pt idx="606">
                  <c:v>44712</c:v>
                </c:pt>
                <c:pt idx="607">
                  <c:v>44713</c:v>
                </c:pt>
                <c:pt idx="608">
                  <c:v>44714</c:v>
                </c:pt>
                <c:pt idx="609">
                  <c:v>44715</c:v>
                </c:pt>
                <c:pt idx="610">
                  <c:v>44718</c:v>
                </c:pt>
                <c:pt idx="611">
                  <c:v>44719</c:v>
                </c:pt>
                <c:pt idx="612">
                  <c:v>44720</c:v>
                </c:pt>
                <c:pt idx="613">
                  <c:v>44721</c:v>
                </c:pt>
                <c:pt idx="614">
                  <c:v>44722</c:v>
                </c:pt>
                <c:pt idx="615">
                  <c:v>44725</c:v>
                </c:pt>
                <c:pt idx="616">
                  <c:v>44726</c:v>
                </c:pt>
                <c:pt idx="617">
                  <c:v>44727</c:v>
                </c:pt>
                <c:pt idx="618">
                  <c:v>44728</c:v>
                </c:pt>
                <c:pt idx="619">
                  <c:v>44729</c:v>
                </c:pt>
                <c:pt idx="620">
                  <c:v>44732</c:v>
                </c:pt>
                <c:pt idx="621">
                  <c:v>44733</c:v>
                </c:pt>
                <c:pt idx="622">
                  <c:v>44734</c:v>
                </c:pt>
                <c:pt idx="623">
                  <c:v>44735</c:v>
                </c:pt>
                <c:pt idx="624">
                  <c:v>44736</c:v>
                </c:pt>
                <c:pt idx="625">
                  <c:v>44739</c:v>
                </c:pt>
                <c:pt idx="626">
                  <c:v>44740</c:v>
                </c:pt>
                <c:pt idx="627">
                  <c:v>44741</c:v>
                </c:pt>
                <c:pt idx="628">
                  <c:v>44742</c:v>
                </c:pt>
                <c:pt idx="629">
                  <c:v>44743</c:v>
                </c:pt>
                <c:pt idx="630">
                  <c:v>44746</c:v>
                </c:pt>
                <c:pt idx="631">
                  <c:v>44748</c:v>
                </c:pt>
                <c:pt idx="632">
                  <c:v>44749</c:v>
                </c:pt>
                <c:pt idx="633">
                  <c:v>44750</c:v>
                </c:pt>
                <c:pt idx="634">
                  <c:v>44753</c:v>
                </c:pt>
                <c:pt idx="635">
                  <c:v>44754</c:v>
                </c:pt>
                <c:pt idx="636">
                  <c:v>44755</c:v>
                </c:pt>
                <c:pt idx="637">
                  <c:v>44756</c:v>
                </c:pt>
                <c:pt idx="638">
                  <c:v>44757</c:v>
                </c:pt>
                <c:pt idx="639">
                  <c:v>44760</c:v>
                </c:pt>
                <c:pt idx="640">
                  <c:v>44761</c:v>
                </c:pt>
                <c:pt idx="641">
                  <c:v>44762</c:v>
                </c:pt>
                <c:pt idx="642">
                  <c:v>44763</c:v>
                </c:pt>
                <c:pt idx="643">
                  <c:v>44764</c:v>
                </c:pt>
                <c:pt idx="644">
                  <c:v>44767</c:v>
                </c:pt>
                <c:pt idx="645">
                  <c:v>44768</c:v>
                </c:pt>
                <c:pt idx="646">
                  <c:v>44769</c:v>
                </c:pt>
                <c:pt idx="647">
                  <c:v>44770</c:v>
                </c:pt>
                <c:pt idx="648">
                  <c:v>44771</c:v>
                </c:pt>
                <c:pt idx="649">
                  <c:v>44774</c:v>
                </c:pt>
                <c:pt idx="650">
                  <c:v>44775</c:v>
                </c:pt>
                <c:pt idx="651">
                  <c:v>44776</c:v>
                </c:pt>
                <c:pt idx="652">
                  <c:v>44777</c:v>
                </c:pt>
                <c:pt idx="653">
                  <c:v>44778</c:v>
                </c:pt>
                <c:pt idx="654">
                  <c:v>44781</c:v>
                </c:pt>
                <c:pt idx="655">
                  <c:v>44782</c:v>
                </c:pt>
                <c:pt idx="656">
                  <c:v>44783</c:v>
                </c:pt>
                <c:pt idx="657">
                  <c:v>44784</c:v>
                </c:pt>
                <c:pt idx="658">
                  <c:v>44785</c:v>
                </c:pt>
                <c:pt idx="659">
                  <c:v>44788</c:v>
                </c:pt>
                <c:pt idx="660">
                  <c:v>44789</c:v>
                </c:pt>
                <c:pt idx="661">
                  <c:v>44790</c:v>
                </c:pt>
                <c:pt idx="662">
                  <c:v>44791</c:v>
                </c:pt>
                <c:pt idx="663">
                  <c:v>44792</c:v>
                </c:pt>
                <c:pt idx="664">
                  <c:v>44795</c:v>
                </c:pt>
                <c:pt idx="665">
                  <c:v>44796</c:v>
                </c:pt>
                <c:pt idx="666">
                  <c:v>44797</c:v>
                </c:pt>
                <c:pt idx="667">
                  <c:v>44798</c:v>
                </c:pt>
                <c:pt idx="668">
                  <c:v>44799</c:v>
                </c:pt>
                <c:pt idx="669">
                  <c:v>44802</c:v>
                </c:pt>
                <c:pt idx="670">
                  <c:v>44803</c:v>
                </c:pt>
                <c:pt idx="671">
                  <c:v>44804</c:v>
                </c:pt>
                <c:pt idx="672">
                  <c:v>44805</c:v>
                </c:pt>
                <c:pt idx="673">
                  <c:v>44806</c:v>
                </c:pt>
                <c:pt idx="674">
                  <c:v>44809</c:v>
                </c:pt>
                <c:pt idx="675">
                  <c:v>44810</c:v>
                </c:pt>
                <c:pt idx="676">
                  <c:v>44811</c:v>
                </c:pt>
                <c:pt idx="677">
                  <c:v>44812</c:v>
                </c:pt>
                <c:pt idx="678">
                  <c:v>44813</c:v>
                </c:pt>
                <c:pt idx="679">
                  <c:v>44816</c:v>
                </c:pt>
                <c:pt idx="680">
                  <c:v>44817</c:v>
                </c:pt>
                <c:pt idx="681">
                  <c:v>44818</c:v>
                </c:pt>
                <c:pt idx="682">
                  <c:v>44819</c:v>
                </c:pt>
                <c:pt idx="683">
                  <c:v>44820</c:v>
                </c:pt>
                <c:pt idx="684">
                  <c:v>44823</c:v>
                </c:pt>
                <c:pt idx="685">
                  <c:v>44824</c:v>
                </c:pt>
                <c:pt idx="686">
                  <c:v>44826</c:v>
                </c:pt>
                <c:pt idx="687">
                  <c:v>44827</c:v>
                </c:pt>
                <c:pt idx="688">
                  <c:v>44830</c:v>
                </c:pt>
                <c:pt idx="689">
                  <c:v>44831</c:v>
                </c:pt>
                <c:pt idx="690">
                  <c:v>44832</c:v>
                </c:pt>
                <c:pt idx="691">
                  <c:v>44833</c:v>
                </c:pt>
                <c:pt idx="692">
                  <c:v>44834</c:v>
                </c:pt>
                <c:pt idx="693">
                  <c:v>44837</c:v>
                </c:pt>
                <c:pt idx="694">
                  <c:v>44838</c:v>
                </c:pt>
                <c:pt idx="695">
                  <c:v>44839</c:v>
                </c:pt>
                <c:pt idx="696">
                  <c:v>44840</c:v>
                </c:pt>
                <c:pt idx="697">
                  <c:v>44841</c:v>
                </c:pt>
                <c:pt idx="698">
                  <c:v>44844</c:v>
                </c:pt>
                <c:pt idx="699">
                  <c:v>44845</c:v>
                </c:pt>
                <c:pt idx="700">
                  <c:v>44846</c:v>
                </c:pt>
                <c:pt idx="701">
                  <c:v>44847</c:v>
                </c:pt>
                <c:pt idx="702">
                  <c:v>44848</c:v>
                </c:pt>
                <c:pt idx="703">
                  <c:v>44851</c:v>
                </c:pt>
                <c:pt idx="704">
                  <c:v>44852</c:v>
                </c:pt>
                <c:pt idx="705">
                  <c:v>44853</c:v>
                </c:pt>
                <c:pt idx="706">
                  <c:v>44854</c:v>
                </c:pt>
                <c:pt idx="707">
                  <c:v>44855</c:v>
                </c:pt>
                <c:pt idx="708">
                  <c:v>44858</c:v>
                </c:pt>
                <c:pt idx="709">
                  <c:v>44859</c:v>
                </c:pt>
                <c:pt idx="710">
                  <c:v>44860</c:v>
                </c:pt>
                <c:pt idx="711">
                  <c:v>44861</c:v>
                </c:pt>
                <c:pt idx="712">
                  <c:v>44862</c:v>
                </c:pt>
                <c:pt idx="713">
                  <c:v>44865</c:v>
                </c:pt>
                <c:pt idx="714">
                  <c:v>44866</c:v>
                </c:pt>
                <c:pt idx="715">
                  <c:v>44867</c:v>
                </c:pt>
                <c:pt idx="716">
                  <c:v>44868</c:v>
                </c:pt>
                <c:pt idx="717">
                  <c:v>44869</c:v>
                </c:pt>
                <c:pt idx="718">
                  <c:v>44872</c:v>
                </c:pt>
                <c:pt idx="719">
                  <c:v>44873</c:v>
                </c:pt>
                <c:pt idx="720">
                  <c:v>44874</c:v>
                </c:pt>
                <c:pt idx="721">
                  <c:v>44875</c:v>
                </c:pt>
                <c:pt idx="722">
                  <c:v>44876</c:v>
                </c:pt>
                <c:pt idx="723">
                  <c:v>44879</c:v>
                </c:pt>
                <c:pt idx="724">
                  <c:v>44880</c:v>
                </c:pt>
                <c:pt idx="725">
                  <c:v>44881</c:v>
                </c:pt>
                <c:pt idx="726">
                  <c:v>44882</c:v>
                </c:pt>
                <c:pt idx="727">
                  <c:v>44883</c:v>
                </c:pt>
                <c:pt idx="728">
                  <c:v>44886</c:v>
                </c:pt>
                <c:pt idx="729">
                  <c:v>44887</c:v>
                </c:pt>
                <c:pt idx="730">
                  <c:v>44888</c:v>
                </c:pt>
                <c:pt idx="731">
                  <c:v>44889</c:v>
                </c:pt>
                <c:pt idx="732">
                  <c:v>44890</c:v>
                </c:pt>
                <c:pt idx="733">
                  <c:v>44893</c:v>
                </c:pt>
                <c:pt idx="734">
                  <c:v>44894</c:v>
                </c:pt>
                <c:pt idx="735">
                  <c:v>44895</c:v>
                </c:pt>
                <c:pt idx="736">
                  <c:v>44896</c:v>
                </c:pt>
                <c:pt idx="737">
                  <c:v>44897</c:v>
                </c:pt>
                <c:pt idx="738">
                  <c:v>44900</c:v>
                </c:pt>
                <c:pt idx="739">
                  <c:v>44901</c:v>
                </c:pt>
                <c:pt idx="740">
                  <c:v>44902</c:v>
                </c:pt>
                <c:pt idx="741">
                  <c:v>44903</c:v>
                </c:pt>
                <c:pt idx="742">
                  <c:v>44904</c:v>
                </c:pt>
                <c:pt idx="743">
                  <c:v>44907</c:v>
                </c:pt>
                <c:pt idx="744">
                  <c:v>44908</c:v>
                </c:pt>
                <c:pt idx="745">
                  <c:v>44909</c:v>
                </c:pt>
                <c:pt idx="746">
                  <c:v>44910</c:v>
                </c:pt>
                <c:pt idx="747">
                  <c:v>44911</c:v>
                </c:pt>
                <c:pt idx="748">
                  <c:v>44914</c:v>
                </c:pt>
                <c:pt idx="749">
                  <c:v>44915</c:v>
                </c:pt>
                <c:pt idx="750">
                  <c:v>44916</c:v>
                </c:pt>
                <c:pt idx="751">
                  <c:v>44917</c:v>
                </c:pt>
                <c:pt idx="752">
                  <c:v>44918</c:v>
                </c:pt>
                <c:pt idx="753">
                  <c:v>44921</c:v>
                </c:pt>
                <c:pt idx="754">
                  <c:v>44922</c:v>
                </c:pt>
                <c:pt idx="755">
                  <c:v>44923</c:v>
                </c:pt>
                <c:pt idx="756">
                  <c:v>44924</c:v>
                </c:pt>
                <c:pt idx="757">
                  <c:v>44925</c:v>
                </c:pt>
                <c:pt idx="758">
                  <c:v>44929</c:v>
                </c:pt>
                <c:pt idx="759">
                  <c:v>44930</c:v>
                </c:pt>
                <c:pt idx="760">
                  <c:v>44931</c:v>
                </c:pt>
                <c:pt idx="761">
                  <c:v>44935</c:v>
                </c:pt>
                <c:pt idx="762">
                  <c:v>44936</c:v>
                </c:pt>
                <c:pt idx="763">
                  <c:v>44937</c:v>
                </c:pt>
                <c:pt idx="764">
                  <c:v>44938</c:v>
                </c:pt>
                <c:pt idx="765">
                  <c:v>44939</c:v>
                </c:pt>
                <c:pt idx="766">
                  <c:v>44942</c:v>
                </c:pt>
                <c:pt idx="767">
                  <c:v>44943</c:v>
                </c:pt>
                <c:pt idx="768">
                  <c:v>44944</c:v>
                </c:pt>
                <c:pt idx="769">
                  <c:v>44945</c:v>
                </c:pt>
                <c:pt idx="770">
                  <c:v>44946</c:v>
                </c:pt>
                <c:pt idx="771">
                  <c:v>44949</c:v>
                </c:pt>
                <c:pt idx="772">
                  <c:v>44950</c:v>
                </c:pt>
                <c:pt idx="773">
                  <c:v>44951</c:v>
                </c:pt>
                <c:pt idx="774">
                  <c:v>44952</c:v>
                </c:pt>
                <c:pt idx="775">
                  <c:v>44953</c:v>
                </c:pt>
                <c:pt idx="776">
                  <c:v>44956</c:v>
                </c:pt>
                <c:pt idx="777">
                  <c:v>44957</c:v>
                </c:pt>
                <c:pt idx="778">
                  <c:v>44958</c:v>
                </c:pt>
                <c:pt idx="779">
                  <c:v>44959</c:v>
                </c:pt>
                <c:pt idx="780">
                  <c:v>44960</c:v>
                </c:pt>
                <c:pt idx="781">
                  <c:v>44963</c:v>
                </c:pt>
                <c:pt idx="782">
                  <c:v>44964</c:v>
                </c:pt>
                <c:pt idx="783">
                  <c:v>44965</c:v>
                </c:pt>
                <c:pt idx="784">
                  <c:v>44966</c:v>
                </c:pt>
                <c:pt idx="785">
                  <c:v>44967</c:v>
                </c:pt>
                <c:pt idx="786">
                  <c:v>44970</c:v>
                </c:pt>
                <c:pt idx="787">
                  <c:v>44971</c:v>
                </c:pt>
                <c:pt idx="788">
                  <c:v>44972</c:v>
                </c:pt>
                <c:pt idx="789">
                  <c:v>44973</c:v>
                </c:pt>
                <c:pt idx="790">
                  <c:v>44974</c:v>
                </c:pt>
                <c:pt idx="791">
                  <c:v>44977</c:v>
                </c:pt>
                <c:pt idx="792">
                  <c:v>44978</c:v>
                </c:pt>
                <c:pt idx="793">
                  <c:v>44979</c:v>
                </c:pt>
                <c:pt idx="794">
                  <c:v>44980</c:v>
                </c:pt>
                <c:pt idx="795">
                  <c:v>44981</c:v>
                </c:pt>
                <c:pt idx="796">
                  <c:v>44984</c:v>
                </c:pt>
                <c:pt idx="797">
                  <c:v>44985</c:v>
                </c:pt>
                <c:pt idx="798">
                  <c:v>44986</c:v>
                </c:pt>
                <c:pt idx="799">
                  <c:v>44986</c:v>
                </c:pt>
                <c:pt idx="800">
                  <c:v>44988</c:v>
                </c:pt>
                <c:pt idx="801">
                  <c:v>44991</c:v>
                </c:pt>
                <c:pt idx="802">
                  <c:v>44992</c:v>
                </c:pt>
                <c:pt idx="803">
                  <c:v>44994</c:v>
                </c:pt>
                <c:pt idx="804">
                  <c:v>44995</c:v>
                </c:pt>
                <c:pt idx="805">
                  <c:v>44998</c:v>
                </c:pt>
                <c:pt idx="806">
                  <c:v>44999</c:v>
                </c:pt>
                <c:pt idx="807">
                  <c:v>45000</c:v>
                </c:pt>
                <c:pt idx="808">
                  <c:v>45001</c:v>
                </c:pt>
                <c:pt idx="809">
                  <c:v>45002</c:v>
                </c:pt>
                <c:pt idx="810">
                  <c:v>45005</c:v>
                </c:pt>
                <c:pt idx="811">
                  <c:v>45006</c:v>
                </c:pt>
                <c:pt idx="812">
                  <c:v>45007</c:v>
                </c:pt>
                <c:pt idx="813">
                  <c:v>45008</c:v>
                </c:pt>
                <c:pt idx="814">
                  <c:v>45009</c:v>
                </c:pt>
                <c:pt idx="815">
                  <c:v>45012</c:v>
                </c:pt>
                <c:pt idx="816">
                  <c:v>45013</c:v>
                </c:pt>
                <c:pt idx="817">
                  <c:v>45014</c:v>
                </c:pt>
                <c:pt idx="818">
                  <c:v>45015</c:v>
                </c:pt>
                <c:pt idx="819">
                  <c:v>45016</c:v>
                </c:pt>
                <c:pt idx="820">
                  <c:v>45019</c:v>
                </c:pt>
                <c:pt idx="821">
                  <c:v>45020</c:v>
                </c:pt>
                <c:pt idx="822">
                  <c:v>45021</c:v>
                </c:pt>
                <c:pt idx="823">
                  <c:v>45022</c:v>
                </c:pt>
                <c:pt idx="824">
                  <c:v>45022</c:v>
                </c:pt>
                <c:pt idx="825">
                  <c:v>45026</c:v>
                </c:pt>
                <c:pt idx="826">
                  <c:v>45027</c:v>
                </c:pt>
                <c:pt idx="827">
                  <c:v>45028</c:v>
                </c:pt>
                <c:pt idx="828">
                  <c:v>45029</c:v>
                </c:pt>
                <c:pt idx="829">
                  <c:v>45030</c:v>
                </c:pt>
                <c:pt idx="830">
                  <c:v>45033</c:v>
                </c:pt>
                <c:pt idx="831">
                  <c:v>45034</c:v>
                </c:pt>
                <c:pt idx="832">
                  <c:v>45035</c:v>
                </c:pt>
                <c:pt idx="833">
                  <c:v>45036</c:v>
                </c:pt>
                <c:pt idx="834">
                  <c:v>45037</c:v>
                </c:pt>
                <c:pt idx="835">
                  <c:v>45041</c:v>
                </c:pt>
                <c:pt idx="836">
                  <c:v>45042</c:v>
                </c:pt>
                <c:pt idx="837">
                  <c:v>45043</c:v>
                </c:pt>
                <c:pt idx="838">
                  <c:v>45044</c:v>
                </c:pt>
                <c:pt idx="839">
                  <c:v>45048</c:v>
                </c:pt>
                <c:pt idx="840">
                  <c:v>45049</c:v>
                </c:pt>
                <c:pt idx="841">
                  <c:v>45050</c:v>
                </c:pt>
                <c:pt idx="842">
                  <c:v>45051</c:v>
                </c:pt>
                <c:pt idx="843">
                  <c:v>45054</c:v>
                </c:pt>
                <c:pt idx="844">
                  <c:v>45056</c:v>
                </c:pt>
                <c:pt idx="845">
                  <c:v>45057</c:v>
                </c:pt>
                <c:pt idx="846">
                  <c:v>45058</c:v>
                </c:pt>
                <c:pt idx="847">
                  <c:v>45061</c:v>
                </c:pt>
                <c:pt idx="848">
                  <c:v>45062</c:v>
                </c:pt>
                <c:pt idx="849">
                  <c:v>45063</c:v>
                </c:pt>
                <c:pt idx="850">
                  <c:v>45064</c:v>
                </c:pt>
                <c:pt idx="851">
                  <c:v>45065</c:v>
                </c:pt>
                <c:pt idx="852">
                  <c:v>45068</c:v>
                </c:pt>
                <c:pt idx="853">
                  <c:v>45069</c:v>
                </c:pt>
                <c:pt idx="854">
                  <c:v>45070</c:v>
                </c:pt>
                <c:pt idx="855">
                  <c:v>45071</c:v>
                </c:pt>
                <c:pt idx="856">
                  <c:v>45072</c:v>
                </c:pt>
                <c:pt idx="857">
                  <c:v>45075</c:v>
                </c:pt>
                <c:pt idx="858">
                  <c:v>45076</c:v>
                </c:pt>
                <c:pt idx="859">
                  <c:v>45077</c:v>
                </c:pt>
                <c:pt idx="860">
                  <c:v>45078</c:v>
                </c:pt>
                <c:pt idx="861">
                  <c:v>45079</c:v>
                </c:pt>
                <c:pt idx="862">
                  <c:v>45082</c:v>
                </c:pt>
                <c:pt idx="863">
                  <c:v>45083</c:v>
                </c:pt>
                <c:pt idx="864">
                  <c:v>45084</c:v>
                </c:pt>
                <c:pt idx="865">
                  <c:v>45085</c:v>
                </c:pt>
                <c:pt idx="866">
                  <c:v>45086</c:v>
                </c:pt>
                <c:pt idx="867">
                  <c:v>45089</c:v>
                </c:pt>
                <c:pt idx="868">
                  <c:v>45090</c:v>
                </c:pt>
                <c:pt idx="869">
                  <c:v>45091</c:v>
                </c:pt>
                <c:pt idx="870">
                  <c:v>45092</c:v>
                </c:pt>
                <c:pt idx="871">
                  <c:v>45093</c:v>
                </c:pt>
                <c:pt idx="872">
                  <c:v>45096</c:v>
                </c:pt>
                <c:pt idx="873">
                  <c:v>45097</c:v>
                </c:pt>
                <c:pt idx="874">
                  <c:v>45098</c:v>
                </c:pt>
                <c:pt idx="875">
                  <c:v>45099</c:v>
                </c:pt>
                <c:pt idx="876">
                  <c:v>45100</c:v>
                </c:pt>
                <c:pt idx="877">
                  <c:v>45103</c:v>
                </c:pt>
                <c:pt idx="878">
                  <c:v>45104</c:v>
                </c:pt>
                <c:pt idx="879">
                  <c:v>45105</c:v>
                </c:pt>
                <c:pt idx="880">
                  <c:v>45106</c:v>
                </c:pt>
                <c:pt idx="881">
                  <c:v>45107</c:v>
                </c:pt>
                <c:pt idx="882">
                  <c:v>45110</c:v>
                </c:pt>
                <c:pt idx="883">
                  <c:v>45111</c:v>
                </c:pt>
                <c:pt idx="884">
                  <c:v>45113</c:v>
                </c:pt>
                <c:pt idx="885">
                  <c:v>45114</c:v>
                </c:pt>
                <c:pt idx="886">
                  <c:v>45117</c:v>
                </c:pt>
                <c:pt idx="887">
                  <c:v>45118</c:v>
                </c:pt>
                <c:pt idx="888">
                  <c:v>45119</c:v>
                </c:pt>
                <c:pt idx="889">
                  <c:v>45120</c:v>
                </c:pt>
                <c:pt idx="890">
                  <c:v>45121</c:v>
                </c:pt>
                <c:pt idx="891">
                  <c:v>45124</c:v>
                </c:pt>
                <c:pt idx="892">
                  <c:v>45125</c:v>
                </c:pt>
                <c:pt idx="893">
                  <c:v>45126</c:v>
                </c:pt>
                <c:pt idx="894">
                  <c:v>45127</c:v>
                </c:pt>
                <c:pt idx="895">
                  <c:v>45128</c:v>
                </c:pt>
                <c:pt idx="896">
                  <c:v>45131</c:v>
                </c:pt>
                <c:pt idx="897">
                  <c:v>45132</c:v>
                </c:pt>
                <c:pt idx="898">
                  <c:v>45133</c:v>
                </c:pt>
                <c:pt idx="899">
                  <c:v>45134</c:v>
                </c:pt>
                <c:pt idx="900">
                  <c:v>45135</c:v>
                </c:pt>
                <c:pt idx="901">
                  <c:v>45138</c:v>
                </c:pt>
                <c:pt idx="902">
                  <c:v>45139</c:v>
                </c:pt>
                <c:pt idx="903">
                  <c:v>45140</c:v>
                </c:pt>
                <c:pt idx="904">
                  <c:v>45141</c:v>
                </c:pt>
                <c:pt idx="905">
                  <c:v>45142</c:v>
                </c:pt>
                <c:pt idx="906">
                  <c:v>45145</c:v>
                </c:pt>
                <c:pt idx="907">
                  <c:v>45146</c:v>
                </c:pt>
                <c:pt idx="908">
                  <c:v>45147</c:v>
                </c:pt>
                <c:pt idx="909">
                  <c:v>45148</c:v>
                </c:pt>
                <c:pt idx="910">
                  <c:v>45149</c:v>
                </c:pt>
                <c:pt idx="911">
                  <c:v>45152</c:v>
                </c:pt>
                <c:pt idx="912">
                  <c:v>45153</c:v>
                </c:pt>
                <c:pt idx="913">
                  <c:v>45154</c:v>
                </c:pt>
                <c:pt idx="914">
                  <c:v>45155</c:v>
                </c:pt>
                <c:pt idx="915">
                  <c:v>45156</c:v>
                </c:pt>
                <c:pt idx="916">
                  <c:v>45159</c:v>
                </c:pt>
                <c:pt idx="917">
                  <c:v>45160</c:v>
                </c:pt>
                <c:pt idx="918">
                  <c:v>45161</c:v>
                </c:pt>
                <c:pt idx="919">
                  <c:v>45162</c:v>
                </c:pt>
                <c:pt idx="920">
                  <c:v>45163</c:v>
                </c:pt>
                <c:pt idx="921">
                  <c:v>45166</c:v>
                </c:pt>
                <c:pt idx="922">
                  <c:v>45167</c:v>
                </c:pt>
                <c:pt idx="923">
                  <c:v>45168</c:v>
                </c:pt>
                <c:pt idx="924">
                  <c:v>45169</c:v>
                </c:pt>
                <c:pt idx="925">
                  <c:v>45170</c:v>
                </c:pt>
                <c:pt idx="926">
                  <c:v>45173</c:v>
                </c:pt>
                <c:pt idx="927">
                  <c:v>45174</c:v>
                </c:pt>
                <c:pt idx="928">
                  <c:v>45175</c:v>
                </c:pt>
                <c:pt idx="929">
                  <c:v>45176</c:v>
                </c:pt>
                <c:pt idx="930">
                  <c:v>45177</c:v>
                </c:pt>
                <c:pt idx="931">
                  <c:v>45180</c:v>
                </c:pt>
                <c:pt idx="932">
                  <c:v>45181</c:v>
                </c:pt>
                <c:pt idx="933">
                  <c:v>45182</c:v>
                </c:pt>
                <c:pt idx="934">
                  <c:v>45183</c:v>
                </c:pt>
                <c:pt idx="935">
                  <c:v>45184</c:v>
                </c:pt>
                <c:pt idx="936">
                  <c:v>45187</c:v>
                </c:pt>
                <c:pt idx="937">
                  <c:v>45188</c:v>
                </c:pt>
                <c:pt idx="938">
                  <c:v>45189</c:v>
                </c:pt>
                <c:pt idx="939">
                  <c:v>45191</c:v>
                </c:pt>
                <c:pt idx="940">
                  <c:v>45194</c:v>
                </c:pt>
                <c:pt idx="941">
                  <c:v>45195</c:v>
                </c:pt>
                <c:pt idx="942">
                  <c:v>45196</c:v>
                </c:pt>
                <c:pt idx="943">
                  <c:v>45197</c:v>
                </c:pt>
                <c:pt idx="944">
                  <c:v>45198</c:v>
                </c:pt>
                <c:pt idx="945">
                  <c:v>45201</c:v>
                </c:pt>
                <c:pt idx="946">
                  <c:v>45202</c:v>
                </c:pt>
                <c:pt idx="947">
                  <c:v>45203</c:v>
                </c:pt>
                <c:pt idx="948">
                  <c:v>45204</c:v>
                </c:pt>
                <c:pt idx="949">
                  <c:v>45205</c:v>
                </c:pt>
                <c:pt idx="950">
                  <c:v>45208</c:v>
                </c:pt>
                <c:pt idx="951">
                  <c:v>45209</c:v>
                </c:pt>
                <c:pt idx="952">
                  <c:v>45210</c:v>
                </c:pt>
                <c:pt idx="953">
                  <c:v>45211</c:v>
                </c:pt>
                <c:pt idx="954">
                  <c:v>45212</c:v>
                </c:pt>
                <c:pt idx="955">
                  <c:v>45215</c:v>
                </c:pt>
                <c:pt idx="956">
                  <c:v>45216</c:v>
                </c:pt>
                <c:pt idx="957">
                  <c:v>45217</c:v>
                </c:pt>
                <c:pt idx="958">
                  <c:v>45218</c:v>
                </c:pt>
                <c:pt idx="959">
                  <c:v>45219</c:v>
                </c:pt>
                <c:pt idx="960">
                  <c:v>45222</c:v>
                </c:pt>
                <c:pt idx="961">
                  <c:v>45223</c:v>
                </c:pt>
                <c:pt idx="962">
                  <c:v>45224</c:v>
                </c:pt>
                <c:pt idx="963">
                  <c:v>45225</c:v>
                </c:pt>
                <c:pt idx="964">
                  <c:v>45226</c:v>
                </c:pt>
                <c:pt idx="965">
                  <c:v>45229</c:v>
                </c:pt>
                <c:pt idx="966">
                  <c:v>45230</c:v>
                </c:pt>
                <c:pt idx="967">
                  <c:v>45231</c:v>
                </c:pt>
                <c:pt idx="968">
                  <c:v>45232</c:v>
                </c:pt>
                <c:pt idx="969">
                  <c:v>45233</c:v>
                </c:pt>
                <c:pt idx="970">
                  <c:v>45236</c:v>
                </c:pt>
                <c:pt idx="971">
                  <c:v>45237</c:v>
                </c:pt>
                <c:pt idx="972">
                  <c:v>45238</c:v>
                </c:pt>
                <c:pt idx="973">
                  <c:v>45239</c:v>
                </c:pt>
                <c:pt idx="974">
                  <c:v>45240</c:v>
                </c:pt>
                <c:pt idx="975">
                  <c:v>45243</c:v>
                </c:pt>
                <c:pt idx="976">
                  <c:v>45244</c:v>
                </c:pt>
                <c:pt idx="977">
                  <c:v>45245</c:v>
                </c:pt>
                <c:pt idx="978">
                  <c:v>45246</c:v>
                </c:pt>
                <c:pt idx="979">
                  <c:v>45247</c:v>
                </c:pt>
                <c:pt idx="980">
                  <c:v>45250</c:v>
                </c:pt>
                <c:pt idx="981">
                  <c:v>45251</c:v>
                </c:pt>
                <c:pt idx="982">
                  <c:v>45252</c:v>
                </c:pt>
                <c:pt idx="983">
                  <c:v>45253</c:v>
                </c:pt>
                <c:pt idx="984">
                  <c:v>45254</c:v>
                </c:pt>
                <c:pt idx="985">
                  <c:v>45257</c:v>
                </c:pt>
                <c:pt idx="986">
                  <c:v>45258</c:v>
                </c:pt>
                <c:pt idx="987">
                  <c:v>45259</c:v>
                </c:pt>
                <c:pt idx="988">
                  <c:v>45260</c:v>
                </c:pt>
                <c:pt idx="989">
                  <c:v>45261</c:v>
                </c:pt>
                <c:pt idx="990">
                  <c:v>45264</c:v>
                </c:pt>
                <c:pt idx="991">
                  <c:v>45265</c:v>
                </c:pt>
                <c:pt idx="992">
                  <c:v>45266</c:v>
                </c:pt>
                <c:pt idx="993">
                  <c:v>45267</c:v>
                </c:pt>
                <c:pt idx="994">
                  <c:v>45268</c:v>
                </c:pt>
                <c:pt idx="995">
                  <c:v>45271</c:v>
                </c:pt>
                <c:pt idx="996">
                  <c:v>45272</c:v>
                </c:pt>
                <c:pt idx="997">
                  <c:v>45273</c:v>
                </c:pt>
                <c:pt idx="998">
                  <c:v>45274</c:v>
                </c:pt>
                <c:pt idx="999">
                  <c:v>45275</c:v>
                </c:pt>
                <c:pt idx="1000">
                  <c:v>45278</c:v>
                </c:pt>
                <c:pt idx="1001">
                  <c:v>45279</c:v>
                </c:pt>
                <c:pt idx="1002">
                  <c:v>45280</c:v>
                </c:pt>
                <c:pt idx="1003">
                  <c:v>45281</c:v>
                </c:pt>
                <c:pt idx="1004">
                  <c:v>45282</c:v>
                </c:pt>
                <c:pt idx="1005">
                  <c:v>45285</c:v>
                </c:pt>
                <c:pt idx="1006">
                  <c:v>45286</c:v>
                </c:pt>
                <c:pt idx="1007">
                  <c:v>45287</c:v>
                </c:pt>
                <c:pt idx="1008">
                  <c:v>45288</c:v>
                </c:pt>
              </c:numCache>
            </c:numRef>
          </c:cat>
          <c:val>
            <c:numRef>
              <c:f>'[2025-2027 Strategy data.xlsx]Graf yield'!$B$299:$B$572</c:f>
            </c:numRef>
          </c:val>
          <c:smooth val="0"/>
          <c:extLst>
            <c:ext xmlns:c16="http://schemas.microsoft.com/office/drawing/2014/chart" uri="{C3380CC4-5D6E-409C-BE32-E72D297353CC}">
              <c16:uniqueId val="{00000000-599E-4672-93A9-A553451070E3}"/>
            </c:ext>
          </c:extLst>
        </c:ser>
        <c:ser>
          <c:idx val="1"/>
          <c:order val="1"/>
          <c:tx>
            <c:strRef>
              <c:f>'[2025-2027 Strategy data.xlsx]Graf yield'!$C$3</c:f>
              <c:strCache>
                <c:ptCount val="1"/>
                <c:pt idx="0">
                  <c:v>Շրջանառության մեջ գտնվող ՊԳՊ-երի առաջնային տեղաբաշխումների միջին կշռված եկամտաբերությունը (%)</c:v>
                </c:pt>
              </c:strCache>
            </c:strRef>
          </c:tx>
          <c:spPr>
            <a:ln w="41275"/>
          </c:spPr>
          <c:marker>
            <c:symbol val="none"/>
          </c:marker>
          <c:cat>
            <c:numRef>
              <c:f>'[2025-2027 Strategy data.xlsx]Graf yield'!$A$572:$A$1580</c:f>
              <c:numCache>
                <c:formatCode>dd\.mm\.yy;@</c:formatCode>
                <c:ptCount val="1009"/>
                <c:pt idx="0">
                  <c:v>43830</c:v>
                </c:pt>
                <c:pt idx="1">
                  <c:v>43838</c:v>
                </c:pt>
                <c:pt idx="2">
                  <c:v>43839</c:v>
                </c:pt>
                <c:pt idx="3">
                  <c:v>43840</c:v>
                </c:pt>
                <c:pt idx="4">
                  <c:v>43843</c:v>
                </c:pt>
                <c:pt idx="5">
                  <c:v>43844</c:v>
                </c:pt>
                <c:pt idx="6">
                  <c:v>43845</c:v>
                </c:pt>
                <c:pt idx="7">
                  <c:v>43846</c:v>
                </c:pt>
                <c:pt idx="8">
                  <c:v>43847</c:v>
                </c:pt>
                <c:pt idx="9">
                  <c:v>43850</c:v>
                </c:pt>
                <c:pt idx="10">
                  <c:v>43851</c:v>
                </c:pt>
                <c:pt idx="11">
                  <c:v>43852</c:v>
                </c:pt>
                <c:pt idx="12">
                  <c:v>43853</c:v>
                </c:pt>
                <c:pt idx="13">
                  <c:v>43854</c:v>
                </c:pt>
                <c:pt idx="14">
                  <c:v>43859</c:v>
                </c:pt>
                <c:pt idx="15">
                  <c:v>43860</c:v>
                </c:pt>
                <c:pt idx="16">
                  <c:v>43861</c:v>
                </c:pt>
                <c:pt idx="17">
                  <c:v>43862</c:v>
                </c:pt>
                <c:pt idx="18">
                  <c:v>43864</c:v>
                </c:pt>
                <c:pt idx="19">
                  <c:v>43865</c:v>
                </c:pt>
                <c:pt idx="20">
                  <c:v>43866</c:v>
                </c:pt>
                <c:pt idx="21">
                  <c:v>43867</c:v>
                </c:pt>
                <c:pt idx="22">
                  <c:v>43868</c:v>
                </c:pt>
                <c:pt idx="23">
                  <c:v>43871</c:v>
                </c:pt>
                <c:pt idx="24">
                  <c:v>43872</c:v>
                </c:pt>
                <c:pt idx="25">
                  <c:v>43873</c:v>
                </c:pt>
                <c:pt idx="26">
                  <c:v>43874</c:v>
                </c:pt>
                <c:pt idx="27">
                  <c:v>43875</c:v>
                </c:pt>
                <c:pt idx="28">
                  <c:v>43878</c:v>
                </c:pt>
                <c:pt idx="29">
                  <c:v>43879</c:v>
                </c:pt>
                <c:pt idx="30">
                  <c:v>43880</c:v>
                </c:pt>
                <c:pt idx="31">
                  <c:v>43881</c:v>
                </c:pt>
                <c:pt idx="32">
                  <c:v>43882</c:v>
                </c:pt>
                <c:pt idx="33">
                  <c:v>43885</c:v>
                </c:pt>
                <c:pt idx="34">
                  <c:v>43886</c:v>
                </c:pt>
                <c:pt idx="35">
                  <c:v>43887</c:v>
                </c:pt>
                <c:pt idx="36">
                  <c:v>43888</c:v>
                </c:pt>
                <c:pt idx="37">
                  <c:v>43889</c:v>
                </c:pt>
                <c:pt idx="38">
                  <c:v>43892</c:v>
                </c:pt>
                <c:pt idx="39">
                  <c:v>43893</c:v>
                </c:pt>
                <c:pt idx="40">
                  <c:v>43894</c:v>
                </c:pt>
                <c:pt idx="41">
                  <c:v>43895</c:v>
                </c:pt>
                <c:pt idx="42">
                  <c:v>43896</c:v>
                </c:pt>
                <c:pt idx="43">
                  <c:v>43899</c:v>
                </c:pt>
                <c:pt idx="44">
                  <c:v>43900</c:v>
                </c:pt>
                <c:pt idx="45">
                  <c:v>43901</c:v>
                </c:pt>
                <c:pt idx="46">
                  <c:v>43902</c:v>
                </c:pt>
                <c:pt idx="47">
                  <c:v>43903</c:v>
                </c:pt>
                <c:pt idx="48">
                  <c:v>43906</c:v>
                </c:pt>
                <c:pt idx="49">
                  <c:v>43907</c:v>
                </c:pt>
                <c:pt idx="50">
                  <c:v>43908</c:v>
                </c:pt>
                <c:pt idx="51">
                  <c:v>43909</c:v>
                </c:pt>
                <c:pt idx="52">
                  <c:v>43910</c:v>
                </c:pt>
                <c:pt idx="53">
                  <c:v>43913</c:v>
                </c:pt>
                <c:pt idx="54">
                  <c:v>43914</c:v>
                </c:pt>
                <c:pt idx="55">
                  <c:v>43915</c:v>
                </c:pt>
                <c:pt idx="56">
                  <c:v>43916</c:v>
                </c:pt>
                <c:pt idx="57">
                  <c:v>43917</c:v>
                </c:pt>
                <c:pt idx="58">
                  <c:v>43920</c:v>
                </c:pt>
                <c:pt idx="59">
                  <c:v>43921</c:v>
                </c:pt>
                <c:pt idx="60">
                  <c:v>43922</c:v>
                </c:pt>
                <c:pt idx="61">
                  <c:v>43923</c:v>
                </c:pt>
                <c:pt idx="62">
                  <c:v>43924</c:v>
                </c:pt>
                <c:pt idx="63">
                  <c:v>43927</c:v>
                </c:pt>
                <c:pt idx="64">
                  <c:v>43928</c:v>
                </c:pt>
                <c:pt idx="65">
                  <c:v>43929</c:v>
                </c:pt>
                <c:pt idx="66">
                  <c:v>43930</c:v>
                </c:pt>
                <c:pt idx="67">
                  <c:v>43931</c:v>
                </c:pt>
                <c:pt idx="68">
                  <c:v>43934</c:v>
                </c:pt>
                <c:pt idx="69">
                  <c:v>43935</c:v>
                </c:pt>
                <c:pt idx="70">
                  <c:v>43936</c:v>
                </c:pt>
                <c:pt idx="71">
                  <c:v>43937</c:v>
                </c:pt>
                <c:pt idx="72">
                  <c:v>43938</c:v>
                </c:pt>
                <c:pt idx="73">
                  <c:v>43941</c:v>
                </c:pt>
                <c:pt idx="74">
                  <c:v>43942</c:v>
                </c:pt>
                <c:pt idx="75">
                  <c:v>43943</c:v>
                </c:pt>
                <c:pt idx="76">
                  <c:v>43944</c:v>
                </c:pt>
                <c:pt idx="77">
                  <c:v>43948</c:v>
                </c:pt>
                <c:pt idx="78">
                  <c:v>43949</c:v>
                </c:pt>
                <c:pt idx="79">
                  <c:v>43950</c:v>
                </c:pt>
                <c:pt idx="80">
                  <c:v>43951</c:v>
                </c:pt>
                <c:pt idx="81">
                  <c:v>43955</c:v>
                </c:pt>
                <c:pt idx="82">
                  <c:v>43956</c:v>
                </c:pt>
                <c:pt idx="83">
                  <c:v>43957</c:v>
                </c:pt>
                <c:pt idx="84">
                  <c:v>43958</c:v>
                </c:pt>
                <c:pt idx="85">
                  <c:v>43959</c:v>
                </c:pt>
                <c:pt idx="86">
                  <c:v>43962</c:v>
                </c:pt>
                <c:pt idx="87">
                  <c:v>43963</c:v>
                </c:pt>
                <c:pt idx="88">
                  <c:v>43964</c:v>
                </c:pt>
                <c:pt idx="89">
                  <c:v>43965</c:v>
                </c:pt>
                <c:pt idx="90">
                  <c:v>43966</c:v>
                </c:pt>
                <c:pt idx="91">
                  <c:v>43969</c:v>
                </c:pt>
                <c:pt idx="92">
                  <c:v>43970</c:v>
                </c:pt>
                <c:pt idx="93">
                  <c:v>43971</c:v>
                </c:pt>
                <c:pt idx="94">
                  <c:v>43972</c:v>
                </c:pt>
                <c:pt idx="95">
                  <c:v>43973</c:v>
                </c:pt>
                <c:pt idx="96">
                  <c:v>43974</c:v>
                </c:pt>
                <c:pt idx="97">
                  <c:v>43976</c:v>
                </c:pt>
                <c:pt idx="98">
                  <c:v>43977</c:v>
                </c:pt>
                <c:pt idx="99">
                  <c:v>43978</c:v>
                </c:pt>
                <c:pt idx="100">
                  <c:v>43983</c:v>
                </c:pt>
                <c:pt idx="101">
                  <c:v>43984</c:v>
                </c:pt>
                <c:pt idx="102">
                  <c:v>43985</c:v>
                </c:pt>
                <c:pt idx="103">
                  <c:v>43986</c:v>
                </c:pt>
                <c:pt idx="104">
                  <c:v>43987</c:v>
                </c:pt>
                <c:pt idx="105">
                  <c:v>43990</c:v>
                </c:pt>
                <c:pt idx="106">
                  <c:v>43991</c:v>
                </c:pt>
                <c:pt idx="107">
                  <c:v>43992</c:v>
                </c:pt>
                <c:pt idx="108">
                  <c:v>43993</c:v>
                </c:pt>
                <c:pt idx="109">
                  <c:v>43994</c:v>
                </c:pt>
                <c:pt idx="110">
                  <c:v>43997</c:v>
                </c:pt>
                <c:pt idx="111">
                  <c:v>43998</c:v>
                </c:pt>
                <c:pt idx="112">
                  <c:v>43999</c:v>
                </c:pt>
                <c:pt idx="113">
                  <c:v>44000</c:v>
                </c:pt>
                <c:pt idx="114">
                  <c:v>44001</c:v>
                </c:pt>
                <c:pt idx="115">
                  <c:v>44004</c:v>
                </c:pt>
                <c:pt idx="116">
                  <c:v>44005</c:v>
                </c:pt>
                <c:pt idx="117">
                  <c:v>44006</c:v>
                </c:pt>
                <c:pt idx="118">
                  <c:v>44007</c:v>
                </c:pt>
                <c:pt idx="119">
                  <c:v>44008</c:v>
                </c:pt>
                <c:pt idx="120">
                  <c:v>44011</c:v>
                </c:pt>
                <c:pt idx="121">
                  <c:v>44012</c:v>
                </c:pt>
                <c:pt idx="122">
                  <c:v>44013</c:v>
                </c:pt>
                <c:pt idx="123">
                  <c:v>44014</c:v>
                </c:pt>
                <c:pt idx="124">
                  <c:v>44015</c:v>
                </c:pt>
                <c:pt idx="125">
                  <c:v>44018</c:v>
                </c:pt>
                <c:pt idx="126">
                  <c:v>44019</c:v>
                </c:pt>
                <c:pt idx="127">
                  <c:v>44020</c:v>
                </c:pt>
                <c:pt idx="128">
                  <c:v>44021</c:v>
                </c:pt>
                <c:pt idx="129">
                  <c:v>44022</c:v>
                </c:pt>
                <c:pt idx="130">
                  <c:v>44025</c:v>
                </c:pt>
                <c:pt idx="131">
                  <c:v>44026</c:v>
                </c:pt>
                <c:pt idx="132">
                  <c:v>44027</c:v>
                </c:pt>
                <c:pt idx="133">
                  <c:v>44028</c:v>
                </c:pt>
                <c:pt idx="134">
                  <c:v>44029</c:v>
                </c:pt>
                <c:pt idx="135">
                  <c:v>44032</c:v>
                </c:pt>
                <c:pt idx="136">
                  <c:v>44033</c:v>
                </c:pt>
                <c:pt idx="137">
                  <c:v>44034</c:v>
                </c:pt>
                <c:pt idx="138">
                  <c:v>44035</c:v>
                </c:pt>
                <c:pt idx="139">
                  <c:v>44036</c:v>
                </c:pt>
                <c:pt idx="140">
                  <c:v>44039</c:v>
                </c:pt>
                <c:pt idx="141">
                  <c:v>44040</c:v>
                </c:pt>
                <c:pt idx="142">
                  <c:v>44041</c:v>
                </c:pt>
                <c:pt idx="143">
                  <c:v>44042</c:v>
                </c:pt>
                <c:pt idx="144">
                  <c:v>44043</c:v>
                </c:pt>
                <c:pt idx="145">
                  <c:v>44046</c:v>
                </c:pt>
                <c:pt idx="146">
                  <c:v>44047</c:v>
                </c:pt>
                <c:pt idx="147">
                  <c:v>44048</c:v>
                </c:pt>
                <c:pt idx="148">
                  <c:v>44049</c:v>
                </c:pt>
                <c:pt idx="149">
                  <c:v>44050</c:v>
                </c:pt>
                <c:pt idx="150">
                  <c:v>44053</c:v>
                </c:pt>
                <c:pt idx="151">
                  <c:v>44054</c:v>
                </c:pt>
                <c:pt idx="152">
                  <c:v>44055</c:v>
                </c:pt>
                <c:pt idx="153">
                  <c:v>44056</c:v>
                </c:pt>
                <c:pt idx="154">
                  <c:v>44057</c:v>
                </c:pt>
                <c:pt idx="155">
                  <c:v>44060</c:v>
                </c:pt>
                <c:pt idx="156">
                  <c:v>44061</c:v>
                </c:pt>
                <c:pt idx="157">
                  <c:v>44062</c:v>
                </c:pt>
                <c:pt idx="158">
                  <c:v>44063</c:v>
                </c:pt>
                <c:pt idx="159">
                  <c:v>44064</c:v>
                </c:pt>
                <c:pt idx="160">
                  <c:v>44067</c:v>
                </c:pt>
                <c:pt idx="161">
                  <c:v>44068</c:v>
                </c:pt>
                <c:pt idx="162">
                  <c:v>44069</c:v>
                </c:pt>
                <c:pt idx="163">
                  <c:v>44070</c:v>
                </c:pt>
                <c:pt idx="164">
                  <c:v>44071</c:v>
                </c:pt>
                <c:pt idx="165">
                  <c:v>44074</c:v>
                </c:pt>
                <c:pt idx="166">
                  <c:v>44075</c:v>
                </c:pt>
                <c:pt idx="167">
                  <c:v>44076</c:v>
                </c:pt>
                <c:pt idx="168">
                  <c:v>44077</c:v>
                </c:pt>
                <c:pt idx="169">
                  <c:v>44078</c:v>
                </c:pt>
                <c:pt idx="170">
                  <c:v>44081</c:v>
                </c:pt>
                <c:pt idx="171">
                  <c:v>44082</c:v>
                </c:pt>
                <c:pt idx="172">
                  <c:v>44083</c:v>
                </c:pt>
                <c:pt idx="173">
                  <c:v>44084</c:v>
                </c:pt>
                <c:pt idx="174">
                  <c:v>44085</c:v>
                </c:pt>
                <c:pt idx="175">
                  <c:v>44088</c:v>
                </c:pt>
                <c:pt idx="176">
                  <c:v>44089</c:v>
                </c:pt>
                <c:pt idx="177">
                  <c:v>44090</c:v>
                </c:pt>
                <c:pt idx="178">
                  <c:v>44091</c:v>
                </c:pt>
                <c:pt idx="179">
                  <c:v>44092</c:v>
                </c:pt>
                <c:pt idx="180">
                  <c:v>44096</c:v>
                </c:pt>
                <c:pt idx="181">
                  <c:v>44097</c:v>
                </c:pt>
                <c:pt idx="182">
                  <c:v>44098</c:v>
                </c:pt>
                <c:pt idx="183">
                  <c:v>44099</c:v>
                </c:pt>
                <c:pt idx="184">
                  <c:v>44102</c:v>
                </c:pt>
                <c:pt idx="185">
                  <c:v>44103</c:v>
                </c:pt>
                <c:pt idx="186">
                  <c:v>44104</c:v>
                </c:pt>
                <c:pt idx="187">
                  <c:v>44105</c:v>
                </c:pt>
                <c:pt idx="188">
                  <c:v>44106</c:v>
                </c:pt>
                <c:pt idx="189">
                  <c:v>44109</c:v>
                </c:pt>
                <c:pt idx="190">
                  <c:v>44110</c:v>
                </c:pt>
                <c:pt idx="191">
                  <c:v>44111</c:v>
                </c:pt>
                <c:pt idx="192">
                  <c:v>44112</c:v>
                </c:pt>
                <c:pt idx="193">
                  <c:v>44113</c:v>
                </c:pt>
                <c:pt idx="194">
                  <c:v>44116</c:v>
                </c:pt>
                <c:pt idx="195">
                  <c:v>44117</c:v>
                </c:pt>
                <c:pt idx="196">
                  <c:v>44118</c:v>
                </c:pt>
                <c:pt idx="197">
                  <c:v>44119</c:v>
                </c:pt>
                <c:pt idx="198">
                  <c:v>44120</c:v>
                </c:pt>
                <c:pt idx="199">
                  <c:v>44123</c:v>
                </c:pt>
                <c:pt idx="200">
                  <c:v>44124</c:v>
                </c:pt>
                <c:pt idx="201">
                  <c:v>44125</c:v>
                </c:pt>
                <c:pt idx="202">
                  <c:v>44126</c:v>
                </c:pt>
                <c:pt idx="203">
                  <c:v>44127</c:v>
                </c:pt>
                <c:pt idx="204">
                  <c:v>44130</c:v>
                </c:pt>
                <c:pt idx="205">
                  <c:v>44131</c:v>
                </c:pt>
                <c:pt idx="206">
                  <c:v>44132</c:v>
                </c:pt>
                <c:pt idx="207">
                  <c:v>44133</c:v>
                </c:pt>
                <c:pt idx="208">
                  <c:v>44134</c:v>
                </c:pt>
                <c:pt idx="209">
                  <c:v>44137</c:v>
                </c:pt>
                <c:pt idx="210">
                  <c:v>44138</c:v>
                </c:pt>
                <c:pt idx="211">
                  <c:v>44139</c:v>
                </c:pt>
                <c:pt idx="212">
                  <c:v>44140</c:v>
                </c:pt>
                <c:pt idx="213">
                  <c:v>44141</c:v>
                </c:pt>
                <c:pt idx="214">
                  <c:v>44144</c:v>
                </c:pt>
                <c:pt idx="215">
                  <c:v>44145</c:v>
                </c:pt>
                <c:pt idx="216">
                  <c:v>44146</c:v>
                </c:pt>
                <c:pt idx="217">
                  <c:v>44147</c:v>
                </c:pt>
                <c:pt idx="218">
                  <c:v>44148</c:v>
                </c:pt>
                <c:pt idx="219">
                  <c:v>44151</c:v>
                </c:pt>
                <c:pt idx="220">
                  <c:v>44152</c:v>
                </c:pt>
                <c:pt idx="221">
                  <c:v>44153</c:v>
                </c:pt>
                <c:pt idx="222">
                  <c:v>44154</c:v>
                </c:pt>
                <c:pt idx="223">
                  <c:v>44155</c:v>
                </c:pt>
                <c:pt idx="224">
                  <c:v>44158</c:v>
                </c:pt>
                <c:pt idx="225">
                  <c:v>44159</c:v>
                </c:pt>
                <c:pt idx="226">
                  <c:v>44160</c:v>
                </c:pt>
                <c:pt idx="227">
                  <c:v>44161</c:v>
                </c:pt>
                <c:pt idx="228">
                  <c:v>44162</c:v>
                </c:pt>
                <c:pt idx="229">
                  <c:v>44165</c:v>
                </c:pt>
                <c:pt idx="230">
                  <c:v>44166</c:v>
                </c:pt>
                <c:pt idx="231">
                  <c:v>44167</c:v>
                </c:pt>
                <c:pt idx="232">
                  <c:v>44168</c:v>
                </c:pt>
                <c:pt idx="233">
                  <c:v>44169</c:v>
                </c:pt>
                <c:pt idx="234">
                  <c:v>44172</c:v>
                </c:pt>
                <c:pt idx="235">
                  <c:v>44173</c:v>
                </c:pt>
                <c:pt idx="236">
                  <c:v>44174</c:v>
                </c:pt>
                <c:pt idx="237">
                  <c:v>44175</c:v>
                </c:pt>
                <c:pt idx="238">
                  <c:v>44176</c:v>
                </c:pt>
                <c:pt idx="239">
                  <c:v>44179</c:v>
                </c:pt>
                <c:pt idx="240">
                  <c:v>44180</c:v>
                </c:pt>
                <c:pt idx="241">
                  <c:v>44181</c:v>
                </c:pt>
                <c:pt idx="242">
                  <c:v>44182</c:v>
                </c:pt>
                <c:pt idx="243">
                  <c:v>44183</c:v>
                </c:pt>
                <c:pt idx="244">
                  <c:v>44186</c:v>
                </c:pt>
                <c:pt idx="245">
                  <c:v>44187</c:v>
                </c:pt>
                <c:pt idx="246">
                  <c:v>44188</c:v>
                </c:pt>
                <c:pt idx="247">
                  <c:v>44189</c:v>
                </c:pt>
                <c:pt idx="248">
                  <c:v>44190</c:v>
                </c:pt>
                <c:pt idx="249">
                  <c:v>44193</c:v>
                </c:pt>
                <c:pt idx="250">
                  <c:v>44194</c:v>
                </c:pt>
                <c:pt idx="251">
                  <c:v>44195</c:v>
                </c:pt>
                <c:pt idx="252">
                  <c:v>44196</c:v>
                </c:pt>
                <c:pt idx="253">
                  <c:v>44204</c:v>
                </c:pt>
                <c:pt idx="254">
                  <c:v>44207</c:v>
                </c:pt>
                <c:pt idx="255">
                  <c:v>44208</c:v>
                </c:pt>
                <c:pt idx="256">
                  <c:v>44209</c:v>
                </c:pt>
                <c:pt idx="257">
                  <c:v>44210</c:v>
                </c:pt>
                <c:pt idx="258">
                  <c:v>44211</c:v>
                </c:pt>
                <c:pt idx="259">
                  <c:v>44214</c:v>
                </c:pt>
                <c:pt idx="260">
                  <c:v>44215</c:v>
                </c:pt>
                <c:pt idx="261">
                  <c:v>44216</c:v>
                </c:pt>
                <c:pt idx="262">
                  <c:v>44217</c:v>
                </c:pt>
                <c:pt idx="263">
                  <c:v>44218</c:v>
                </c:pt>
                <c:pt idx="264">
                  <c:v>44221</c:v>
                </c:pt>
                <c:pt idx="265">
                  <c:v>44222</c:v>
                </c:pt>
                <c:pt idx="266">
                  <c:v>44223</c:v>
                </c:pt>
                <c:pt idx="267">
                  <c:v>44225</c:v>
                </c:pt>
                <c:pt idx="268">
                  <c:v>44228</c:v>
                </c:pt>
                <c:pt idx="269">
                  <c:v>44229</c:v>
                </c:pt>
                <c:pt idx="270">
                  <c:v>44230</c:v>
                </c:pt>
                <c:pt idx="271">
                  <c:v>44231</c:v>
                </c:pt>
                <c:pt idx="272">
                  <c:v>44232</c:v>
                </c:pt>
                <c:pt idx="273">
                  <c:v>44235</c:v>
                </c:pt>
                <c:pt idx="274">
                  <c:v>44236</c:v>
                </c:pt>
                <c:pt idx="275">
                  <c:v>44237</c:v>
                </c:pt>
                <c:pt idx="276">
                  <c:v>44238</c:v>
                </c:pt>
                <c:pt idx="277">
                  <c:v>44239</c:v>
                </c:pt>
                <c:pt idx="278">
                  <c:v>44242</c:v>
                </c:pt>
                <c:pt idx="279">
                  <c:v>44243</c:v>
                </c:pt>
                <c:pt idx="280">
                  <c:v>44244</c:v>
                </c:pt>
                <c:pt idx="281">
                  <c:v>44245</c:v>
                </c:pt>
                <c:pt idx="282">
                  <c:v>44246</c:v>
                </c:pt>
                <c:pt idx="283">
                  <c:v>44249</c:v>
                </c:pt>
                <c:pt idx="284">
                  <c:v>44250</c:v>
                </c:pt>
                <c:pt idx="285">
                  <c:v>44251</c:v>
                </c:pt>
                <c:pt idx="286">
                  <c:v>44252</c:v>
                </c:pt>
                <c:pt idx="287">
                  <c:v>44253</c:v>
                </c:pt>
                <c:pt idx="288">
                  <c:v>44256</c:v>
                </c:pt>
                <c:pt idx="289">
                  <c:v>44257</c:v>
                </c:pt>
                <c:pt idx="290">
                  <c:v>44258</c:v>
                </c:pt>
                <c:pt idx="291">
                  <c:v>44259</c:v>
                </c:pt>
                <c:pt idx="292">
                  <c:v>44260</c:v>
                </c:pt>
                <c:pt idx="293">
                  <c:v>44264</c:v>
                </c:pt>
                <c:pt idx="294">
                  <c:v>44265</c:v>
                </c:pt>
                <c:pt idx="295">
                  <c:v>44266</c:v>
                </c:pt>
                <c:pt idx="296">
                  <c:v>44267</c:v>
                </c:pt>
                <c:pt idx="297">
                  <c:v>44270</c:v>
                </c:pt>
                <c:pt idx="298">
                  <c:v>44271</c:v>
                </c:pt>
                <c:pt idx="299">
                  <c:v>44272</c:v>
                </c:pt>
                <c:pt idx="300">
                  <c:v>44273</c:v>
                </c:pt>
                <c:pt idx="301">
                  <c:v>44274</c:v>
                </c:pt>
                <c:pt idx="302">
                  <c:v>44277</c:v>
                </c:pt>
                <c:pt idx="303">
                  <c:v>44278</c:v>
                </c:pt>
                <c:pt idx="304">
                  <c:v>44279</c:v>
                </c:pt>
                <c:pt idx="305">
                  <c:v>44280</c:v>
                </c:pt>
                <c:pt idx="306">
                  <c:v>44281</c:v>
                </c:pt>
                <c:pt idx="307">
                  <c:v>44284</c:v>
                </c:pt>
                <c:pt idx="308">
                  <c:v>44285</c:v>
                </c:pt>
                <c:pt idx="309">
                  <c:v>44286</c:v>
                </c:pt>
                <c:pt idx="310">
                  <c:v>44287</c:v>
                </c:pt>
                <c:pt idx="311">
                  <c:v>44288</c:v>
                </c:pt>
                <c:pt idx="312">
                  <c:v>44291</c:v>
                </c:pt>
                <c:pt idx="313">
                  <c:v>44292</c:v>
                </c:pt>
                <c:pt idx="314">
                  <c:v>44293</c:v>
                </c:pt>
                <c:pt idx="315">
                  <c:v>44294</c:v>
                </c:pt>
                <c:pt idx="316">
                  <c:v>44295</c:v>
                </c:pt>
                <c:pt idx="317">
                  <c:v>44298</c:v>
                </c:pt>
                <c:pt idx="318">
                  <c:v>44299</c:v>
                </c:pt>
                <c:pt idx="319">
                  <c:v>44300</c:v>
                </c:pt>
                <c:pt idx="320">
                  <c:v>44301</c:v>
                </c:pt>
                <c:pt idx="321">
                  <c:v>44302</c:v>
                </c:pt>
                <c:pt idx="322">
                  <c:v>44305</c:v>
                </c:pt>
                <c:pt idx="323">
                  <c:v>44306</c:v>
                </c:pt>
                <c:pt idx="324">
                  <c:v>44307</c:v>
                </c:pt>
                <c:pt idx="325">
                  <c:v>44308</c:v>
                </c:pt>
                <c:pt idx="326">
                  <c:v>44309</c:v>
                </c:pt>
                <c:pt idx="327">
                  <c:v>44312</c:v>
                </c:pt>
                <c:pt idx="328">
                  <c:v>44313</c:v>
                </c:pt>
                <c:pt idx="329">
                  <c:v>44314</c:v>
                </c:pt>
                <c:pt idx="330">
                  <c:v>44315</c:v>
                </c:pt>
                <c:pt idx="331">
                  <c:v>44316</c:v>
                </c:pt>
                <c:pt idx="332">
                  <c:v>44319</c:v>
                </c:pt>
                <c:pt idx="333">
                  <c:v>44320</c:v>
                </c:pt>
                <c:pt idx="334">
                  <c:v>44321</c:v>
                </c:pt>
                <c:pt idx="335">
                  <c:v>44322</c:v>
                </c:pt>
                <c:pt idx="336">
                  <c:v>44323</c:v>
                </c:pt>
                <c:pt idx="337">
                  <c:v>44326</c:v>
                </c:pt>
                <c:pt idx="338">
                  <c:v>44327</c:v>
                </c:pt>
                <c:pt idx="339">
                  <c:v>44328</c:v>
                </c:pt>
                <c:pt idx="340">
                  <c:v>44329</c:v>
                </c:pt>
                <c:pt idx="341">
                  <c:v>44330</c:v>
                </c:pt>
                <c:pt idx="342">
                  <c:v>44333</c:v>
                </c:pt>
                <c:pt idx="343">
                  <c:v>44334</c:v>
                </c:pt>
                <c:pt idx="344">
                  <c:v>44335</c:v>
                </c:pt>
                <c:pt idx="345">
                  <c:v>44336</c:v>
                </c:pt>
                <c:pt idx="346">
                  <c:v>44337</c:v>
                </c:pt>
                <c:pt idx="347">
                  <c:v>44340</c:v>
                </c:pt>
                <c:pt idx="348">
                  <c:v>44341</c:v>
                </c:pt>
                <c:pt idx="349">
                  <c:v>44342</c:v>
                </c:pt>
                <c:pt idx="350">
                  <c:v>44343</c:v>
                </c:pt>
                <c:pt idx="351">
                  <c:v>44347</c:v>
                </c:pt>
                <c:pt idx="352">
                  <c:v>44348</c:v>
                </c:pt>
                <c:pt idx="353">
                  <c:v>44349</c:v>
                </c:pt>
                <c:pt idx="354">
                  <c:v>44350</c:v>
                </c:pt>
                <c:pt idx="355">
                  <c:v>44351</c:v>
                </c:pt>
                <c:pt idx="356">
                  <c:v>44354</c:v>
                </c:pt>
                <c:pt idx="357">
                  <c:v>44355</c:v>
                </c:pt>
                <c:pt idx="358">
                  <c:v>44356</c:v>
                </c:pt>
                <c:pt idx="359">
                  <c:v>44357</c:v>
                </c:pt>
                <c:pt idx="360">
                  <c:v>44358</c:v>
                </c:pt>
                <c:pt idx="361">
                  <c:v>44361</c:v>
                </c:pt>
                <c:pt idx="362">
                  <c:v>44362</c:v>
                </c:pt>
                <c:pt idx="363">
                  <c:v>44363</c:v>
                </c:pt>
                <c:pt idx="364">
                  <c:v>44364</c:v>
                </c:pt>
                <c:pt idx="365">
                  <c:v>44365</c:v>
                </c:pt>
                <c:pt idx="366">
                  <c:v>44368</c:v>
                </c:pt>
                <c:pt idx="367">
                  <c:v>44369</c:v>
                </c:pt>
                <c:pt idx="368">
                  <c:v>44370</c:v>
                </c:pt>
                <c:pt idx="369">
                  <c:v>44371</c:v>
                </c:pt>
                <c:pt idx="370">
                  <c:v>44372</c:v>
                </c:pt>
                <c:pt idx="371">
                  <c:v>44375</c:v>
                </c:pt>
                <c:pt idx="372">
                  <c:v>44376</c:v>
                </c:pt>
                <c:pt idx="373">
                  <c:v>44377</c:v>
                </c:pt>
                <c:pt idx="374">
                  <c:v>44378</c:v>
                </c:pt>
                <c:pt idx="375">
                  <c:v>44379</c:v>
                </c:pt>
                <c:pt idx="376">
                  <c:v>44383</c:v>
                </c:pt>
                <c:pt idx="377">
                  <c:v>44384</c:v>
                </c:pt>
                <c:pt idx="378">
                  <c:v>44385</c:v>
                </c:pt>
                <c:pt idx="379">
                  <c:v>44386</c:v>
                </c:pt>
                <c:pt idx="380">
                  <c:v>44389</c:v>
                </c:pt>
                <c:pt idx="381">
                  <c:v>44390</c:v>
                </c:pt>
                <c:pt idx="382">
                  <c:v>44391</c:v>
                </c:pt>
                <c:pt idx="383">
                  <c:v>44392</c:v>
                </c:pt>
                <c:pt idx="384">
                  <c:v>44393</c:v>
                </c:pt>
                <c:pt idx="385">
                  <c:v>44396</c:v>
                </c:pt>
                <c:pt idx="386">
                  <c:v>44397</c:v>
                </c:pt>
                <c:pt idx="387">
                  <c:v>44398</c:v>
                </c:pt>
                <c:pt idx="388">
                  <c:v>44399</c:v>
                </c:pt>
                <c:pt idx="389">
                  <c:v>44400</c:v>
                </c:pt>
                <c:pt idx="390">
                  <c:v>44403</c:v>
                </c:pt>
                <c:pt idx="391">
                  <c:v>44404</c:v>
                </c:pt>
                <c:pt idx="392">
                  <c:v>44405</c:v>
                </c:pt>
                <c:pt idx="393">
                  <c:v>44406</c:v>
                </c:pt>
                <c:pt idx="394">
                  <c:v>44407</c:v>
                </c:pt>
                <c:pt idx="395">
                  <c:v>44410</c:v>
                </c:pt>
                <c:pt idx="396">
                  <c:v>44411</c:v>
                </c:pt>
                <c:pt idx="397">
                  <c:v>44412</c:v>
                </c:pt>
                <c:pt idx="398">
                  <c:v>44413</c:v>
                </c:pt>
                <c:pt idx="399">
                  <c:v>44414</c:v>
                </c:pt>
                <c:pt idx="400">
                  <c:v>44417</c:v>
                </c:pt>
                <c:pt idx="401">
                  <c:v>44418</c:v>
                </c:pt>
                <c:pt idx="402">
                  <c:v>44419</c:v>
                </c:pt>
                <c:pt idx="403">
                  <c:v>44420</c:v>
                </c:pt>
                <c:pt idx="404">
                  <c:v>44421</c:v>
                </c:pt>
                <c:pt idx="405">
                  <c:v>44424</c:v>
                </c:pt>
                <c:pt idx="406">
                  <c:v>44425</c:v>
                </c:pt>
                <c:pt idx="407">
                  <c:v>44426</c:v>
                </c:pt>
                <c:pt idx="408">
                  <c:v>44427</c:v>
                </c:pt>
                <c:pt idx="409">
                  <c:v>44428</c:v>
                </c:pt>
                <c:pt idx="410">
                  <c:v>44431</c:v>
                </c:pt>
                <c:pt idx="411">
                  <c:v>44432</c:v>
                </c:pt>
                <c:pt idx="412">
                  <c:v>44433</c:v>
                </c:pt>
                <c:pt idx="413">
                  <c:v>44434</c:v>
                </c:pt>
                <c:pt idx="414">
                  <c:v>44435</c:v>
                </c:pt>
                <c:pt idx="415">
                  <c:v>44438</c:v>
                </c:pt>
                <c:pt idx="416">
                  <c:v>44439</c:v>
                </c:pt>
                <c:pt idx="417">
                  <c:v>44440</c:v>
                </c:pt>
                <c:pt idx="418">
                  <c:v>44441</c:v>
                </c:pt>
                <c:pt idx="419">
                  <c:v>44442</c:v>
                </c:pt>
                <c:pt idx="420">
                  <c:v>44445</c:v>
                </c:pt>
                <c:pt idx="421">
                  <c:v>44446</c:v>
                </c:pt>
                <c:pt idx="422">
                  <c:v>44447</c:v>
                </c:pt>
                <c:pt idx="423">
                  <c:v>44448</c:v>
                </c:pt>
                <c:pt idx="424">
                  <c:v>44449</c:v>
                </c:pt>
                <c:pt idx="425">
                  <c:v>44452</c:v>
                </c:pt>
                <c:pt idx="426">
                  <c:v>44453</c:v>
                </c:pt>
                <c:pt idx="427">
                  <c:v>44454</c:v>
                </c:pt>
                <c:pt idx="428">
                  <c:v>44455</c:v>
                </c:pt>
                <c:pt idx="429">
                  <c:v>44456</c:v>
                </c:pt>
                <c:pt idx="430">
                  <c:v>44461</c:v>
                </c:pt>
                <c:pt idx="431">
                  <c:v>44462</c:v>
                </c:pt>
                <c:pt idx="432">
                  <c:v>44463</c:v>
                </c:pt>
                <c:pt idx="433">
                  <c:v>44464</c:v>
                </c:pt>
                <c:pt idx="434">
                  <c:v>44466</c:v>
                </c:pt>
                <c:pt idx="435">
                  <c:v>44467</c:v>
                </c:pt>
                <c:pt idx="436">
                  <c:v>44468</c:v>
                </c:pt>
                <c:pt idx="437">
                  <c:v>44469</c:v>
                </c:pt>
                <c:pt idx="438">
                  <c:v>44470</c:v>
                </c:pt>
                <c:pt idx="439">
                  <c:v>44473</c:v>
                </c:pt>
                <c:pt idx="440">
                  <c:v>44474</c:v>
                </c:pt>
                <c:pt idx="441">
                  <c:v>44475</c:v>
                </c:pt>
                <c:pt idx="442">
                  <c:v>44476</c:v>
                </c:pt>
                <c:pt idx="443">
                  <c:v>44477</c:v>
                </c:pt>
                <c:pt idx="444">
                  <c:v>44480</c:v>
                </c:pt>
                <c:pt idx="445">
                  <c:v>44481</c:v>
                </c:pt>
                <c:pt idx="446">
                  <c:v>44482</c:v>
                </c:pt>
                <c:pt idx="447">
                  <c:v>44483</c:v>
                </c:pt>
                <c:pt idx="448">
                  <c:v>44484</c:v>
                </c:pt>
                <c:pt idx="449">
                  <c:v>44487</c:v>
                </c:pt>
                <c:pt idx="450">
                  <c:v>44488</c:v>
                </c:pt>
                <c:pt idx="451">
                  <c:v>44489</c:v>
                </c:pt>
                <c:pt idx="452">
                  <c:v>44490</c:v>
                </c:pt>
                <c:pt idx="453">
                  <c:v>44491</c:v>
                </c:pt>
                <c:pt idx="454">
                  <c:v>44494</c:v>
                </c:pt>
                <c:pt idx="455">
                  <c:v>44495</c:v>
                </c:pt>
                <c:pt idx="456">
                  <c:v>44496</c:v>
                </c:pt>
                <c:pt idx="457">
                  <c:v>44497</c:v>
                </c:pt>
                <c:pt idx="458">
                  <c:v>44498</c:v>
                </c:pt>
                <c:pt idx="459">
                  <c:v>44501</c:v>
                </c:pt>
                <c:pt idx="460">
                  <c:v>44502</c:v>
                </c:pt>
                <c:pt idx="461">
                  <c:v>44503</c:v>
                </c:pt>
                <c:pt idx="462">
                  <c:v>44504</c:v>
                </c:pt>
                <c:pt idx="463">
                  <c:v>44505</c:v>
                </c:pt>
                <c:pt idx="464">
                  <c:v>44508</c:v>
                </c:pt>
                <c:pt idx="465">
                  <c:v>44509</c:v>
                </c:pt>
                <c:pt idx="466">
                  <c:v>44510</c:v>
                </c:pt>
                <c:pt idx="467">
                  <c:v>44511</c:v>
                </c:pt>
                <c:pt idx="468">
                  <c:v>44512</c:v>
                </c:pt>
                <c:pt idx="469">
                  <c:v>44515</c:v>
                </c:pt>
                <c:pt idx="470">
                  <c:v>44516</c:v>
                </c:pt>
                <c:pt idx="471">
                  <c:v>44517</c:v>
                </c:pt>
                <c:pt idx="472">
                  <c:v>44518</c:v>
                </c:pt>
                <c:pt idx="473">
                  <c:v>44519</c:v>
                </c:pt>
                <c:pt idx="474">
                  <c:v>44522</c:v>
                </c:pt>
                <c:pt idx="475">
                  <c:v>44523</c:v>
                </c:pt>
                <c:pt idx="476">
                  <c:v>44524</c:v>
                </c:pt>
                <c:pt idx="477">
                  <c:v>44525</c:v>
                </c:pt>
                <c:pt idx="478">
                  <c:v>44526</c:v>
                </c:pt>
                <c:pt idx="479">
                  <c:v>44529</c:v>
                </c:pt>
                <c:pt idx="480">
                  <c:v>44530</c:v>
                </c:pt>
                <c:pt idx="481">
                  <c:v>44531</c:v>
                </c:pt>
                <c:pt idx="482">
                  <c:v>44532</c:v>
                </c:pt>
                <c:pt idx="483">
                  <c:v>44533</c:v>
                </c:pt>
                <c:pt idx="484">
                  <c:v>44536</c:v>
                </c:pt>
                <c:pt idx="485">
                  <c:v>44537</c:v>
                </c:pt>
                <c:pt idx="486">
                  <c:v>44538</c:v>
                </c:pt>
                <c:pt idx="487">
                  <c:v>44539</c:v>
                </c:pt>
                <c:pt idx="488">
                  <c:v>44540</c:v>
                </c:pt>
                <c:pt idx="489">
                  <c:v>44543</c:v>
                </c:pt>
                <c:pt idx="490">
                  <c:v>44544</c:v>
                </c:pt>
                <c:pt idx="491">
                  <c:v>44545</c:v>
                </c:pt>
                <c:pt idx="492">
                  <c:v>44546</c:v>
                </c:pt>
                <c:pt idx="493">
                  <c:v>44547</c:v>
                </c:pt>
                <c:pt idx="494">
                  <c:v>44550</c:v>
                </c:pt>
                <c:pt idx="495">
                  <c:v>44551</c:v>
                </c:pt>
                <c:pt idx="496">
                  <c:v>44552</c:v>
                </c:pt>
                <c:pt idx="497">
                  <c:v>44553</c:v>
                </c:pt>
                <c:pt idx="498">
                  <c:v>44554</c:v>
                </c:pt>
                <c:pt idx="499">
                  <c:v>44557</c:v>
                </c:pt>
                <c:pt idx="500">
                  <c:v>44558</c:v>
                </c:pt>
                <c:pt idx="501">
                  <c:v>44559</c:v>
                </c:pt>
                <c:pt idx="502">
                  <c:v>44560</c:v>
                </c:pt>
                <c:pt idx="503">
                  <c:v>44561</c:v>
                </c:pt>
                <c:pt idx="504">
                  <c:v>44562</c:v>
                </c:pt>
                <c:pt idx="505">
                  <c:v>44565</c:v>
                </c:pt>
                <c:pt idx="506">
                  <c:v>44566</c:v>
                </c:pt>
                <c:pt idx="507">
                  <c:v>44568</c:v>
                </c:pt>
                <c:pt idx="508">
                  <c:v>44571</c:v>
                </c:pt>
                <c:pt idx="509">
                  <c:v>44572</c:v>
                </c:pt>
                <c:pt idx="510">
                  <c:v>44573</c:v>
                </c:pt>
                <c:pt idx="511">
                  <c:v>44574</c:v>
                </c:pt>
                <c:pt idx="512">
                  <c:v>44575</c:v>
                </c:pt>
                <c:pt idx="513">
                  <c:v>44578</c:v>
                </c:pt>
                <c:pt idx="514">
                  <c:v>44579</c:v>
                </c:pt>
                <c:pt idx="515">
                  <c:v>44580</c:v>
                </c:pt>
                <c:pt idx="516">
                  <c:v>44581</c:v>
                </c:pt>
                <c:pt idx="517">
                  <c:v>44582</c:v>
                </c:pt>
                <c:pt idx="518">
                  <c:v>44585</c:v>
                </c:pt>
                <c:pt idx="519">
                  <c:v>44586</c:v>
                </c:pt>
                <c:pt idx="520">
                  <c:v>44587</c:v>
                </c:pt>
                <c:pt idx="521">
                  <c:v>44588</c:v>
                </c:pt>
                <c:pt idx="522">
                  <c:v>44592</c:v>
                </c:pt>
                <c:pt idx="523">
                  <c:v>44593</c:v>
                </c:pt>
                <c:pt idx="524">
                  <c:v>44594</c:v>
                </c:pt>
                <c:pt idx="525">
                  <c:v>44595</c:v>
                </c:pt>
                <c:pt idx="526">
                  <c:v>44596</c:v>
                </c:pt>
                <c:pt idx="527">
                  <c:v>44599</c:v>
                </c:pt>
                <c:pt idx="528">
                  <c:v>44600</c:v>
                </c:pt>
                <c:pt idx="529">
                  <c:v>44601</c:v>
                </c:pt>
                <c:pt idx="530">
                  <c:v>44602</c:v>
                </c:pt>
                <c:pt idx="531">
                  <c:v>44603</c:v>
                </c:pt>
                <c:pt idx="532">
                  <c:v>44606</c:v>
                </c:pt>
                <c:pt idx="533">
                  <c:v>44607</c:v>
                </c:pt>
                <c:pt idx="534">
                  <c:v>44608</c:v>
                </c:pt>
                <c:pt idx="535">
                  <c:v>44609</c:v>
                </c:pt>
                <c:pt idx="536">
                  <c:v>44610</c:v>
                </c:pt>
                <c:pt idx="537">
                  <c:v>44613</c:v>
                </c:pt>
                <c:pt idx="538">
                  <c:v>44614</c:v>
                </c:pt>
                <c:pt idx="539">
                  <c:v>44615</c:v>
                </c:pt>
                <c:pt idx="540">
                  <c:v>44616</c:v>
                </c:pt>
                <c:pt idx="541">
                  <c:v>44617</c:v>
                </c:pt>
                <c:pt idx="542">
                  <c:v>44620</c:v>
                </c:pt>
                <c:pt idx="543">
                  <c:v>44621</c:v>
                </c:pt>
                <c:pt idx="544">
                  <c:v>44622</c:v>
                </c:pt>
                <c:pt idx="545">
                  <c:v>44623</c:v>
                </c:pt>
                <c:pt idx="546">
                  <c:v>44624</c:v>
                </c:pt>
                <c:pt idx="547">
                  <c:v>44627</c:v>
                </c:pt>
                <c:pt idx="548">
                  <c:v>44629</c:v>
                </c:pt>
                <c:pt idx="549">
                  <c:v>44630</c:v>
                </c:pt>
                <c:pt idx="550">
                  <c:v>44631</c:v>
                </c:pt>
                <c:pt idx="551">
                  <c:v>44634</c:v>
                </c:pt>
                <c:pt idx="552">
                  <c:v>44635</c:v>
                </c:pt>
                <c:pt idx="553">
                  <c:v>44636</c:v>
                </c:pt>
                <c:pt idx="554">
                  <c:v>44637</c:v>
                </c:pt>
                <c:pt idx="555">
                  <c:v>44638</c:v>
                </c:pt>
                <c:pt idx="556">
                  <c:v>44641</c:v>
                </c:pt>
                <c:pt idx="557">
                  <c:v>44642</c:v>
                </c:pt>
                <c:pt idx="558">
                  <c:v>44643</c:v>
                </c:pt>
                <c:pt idx="559">
                  <c:v>44644</c:v>
                </c:pt>
                <c:pt idx="560">
                  <c:v>44645</c:v>
                </c:pt>
                <c:pt idx="561">
                  <c:v>44648</c:v>
                </c:pt>
                <c:pt idx="562">
                  <c:v>44649</c:v>
                </c:pt>
                <c:pt idx="563">
                  <c:v>44650</c:v>
                </c:pt>
                <c:pt idx="564">
                  <c:v>44651</c:v>
                </c:pt>
                <c:pt idx="565">
                  <c:v>44652</c:v>
                </c:pt>
                <c:pt idx="566">
                  <c:v>44655</c:v>
                </c:pt>
                <c:pt idx="567">
                  <c:v>44656</c:v>
                </c:pt>
                <c:pt idx="568">
                  <c:v>44657</c:v>
                </c:pt>
                <c:pt idx="569">
                  <c:v>44658</c:v>
                </c:pt>
                <c:pt idx="570">
                  <c:v>44659</c:v>
                </c:pt>
                <c:pt idx="571">
                  <c:v>44662</c:v>
                </c:pt>
                <c:pt idx="572">
                  <c:v>44663</c:v>
                </c:pt>
                <c:pt idx="573">
                  <c:v>44664</c:v>
                </c:pt>
                <c:pt idx="574">
                  <c:v>44665</c:v>
                </c:pt>
                <c:pt idx="575">
                  <c:v>44666</c:v>
                </c:pt>
                <c:pt idx="576">
                  <c:v>44669</c:v>
                </c:pt>
                <c:pt idx="577">
                  <c:v>44670</c:v>
                </c:pt>
                <c:pt idx="578">
                  <c:v>44671</c:v>
                </c:pt>
                <c:pt idx="579">
                  <c:v>44672</c:v>
                </c:pt>
                <c:pt idx="580">
                  <c:v>44673</c:v>
                </c:pt>
                <c:pt idx="581">
                  <c:v>44676</c:v>
                </c:pt>
                <c:pt idx="582">
                  <c:v>44677</c:v>
                </c:pt>
                <c:pt idx="583">
                  <c:v>44678</c:v>
                </c:pt>
                <c:pt idx="584">
                  <c:v>44679</c:v>
                </c:pt>
                <c:pt idx="585">
                  <c:v>44680</c:v>
                </c:pt>
                <c:pt idx="586">
                  <c:v>44683</c:v>
                </c:pt>
                <c:pt idx="587">
                  <c:v>44684</c:v>
                </c:pt>
                <c:pt idx="588">
                  <c:v>44685</c:v>
                </c:pt>
                <c:pt idx="589">
                  <c:v>44686</c:v>
                </c:pt>
                <c:pt idx="590">
                  <c:v>44687</c:v>
                </c:pt>
                <c:pt idx="591">
                  <c:v>44691</c:v>
                </c:pt>
                <c:pt idx="592">
                  <c:v>44692</c:v>
                </c:pt>
                <c:pt idx="593">
                  <c:v>44693</c:v>
                </c:pt>
                <c:pt idx="594">
                  <c:v>44694</c:v>
                </c:pt>
                <c:pt idx="595">
                  <c:v>44697</c:v>
                </c:pt>
                <c:pt idx="596">
                  <c:v>44698</c:v>
                </c:pt>
                <c:pt idx="597">
                  <c:v>44699</c:v>
                </c:pt>
                <c:pt idx="598">
                  <c:v>44700</c:v>
                </c:pt>
                <c:pt idx="599">
                  <c:v>44701</c:v>
                </c:pt>
                <c:pt idx="600">
                  <c:v>44704</c:v>
                </c:pt>
                <c:pt idx="601">
                  <c:v>44705</c:v>
                </c:pt>
                <c:pt idx="602">
                  <c:v>44706</c:v>
                </c:pt>
                <c:pt idx="603">
                  <c:v>44707</c:v>
                </c:pt>
                <c:pt idx="604">
                  <c:v>44708</c:v>
                </c:pt>
                <c:pt idx="605">
                  <c:v>44711</c:v>
                </c:pt>
                <c:pt idx="606">
                  <c:v>44712</c:v>
                </c:pt>
                <c:pt idx="607">
                  <c:v>44713</c:v>
                </c:pt>
                <c:pt idx="608">
                  <c:v>44714</c:v>
                </c:pt>
                <c:pt idx="609">
                  <c:v>44715</c:v>
                </c:pt>
                <c:pt idx="610">
                  <c:v>44718</c:v>
                </c:pt>
                <c:pt idx="611">
                  <c:v>44719</c:v>
                </c:pt>
                <c:pt idx="612">
                  <c:v>44720</c:v>
                </c:pt>
                <c:pt idx="613">
                  <c:v>44721</c:v>
                </c:pt>
                <c:pt idx="614">
                  <c:v>44722</c:v>
                </c:pt>
                <c:pt idx="615">
                  <c:v>44725</c:v>
                </c:pt>
                <c:pt idx="616">
                  <c:v>44726</c:v>
                </c:pt>
                <c:pt idx="617">
                  <c:v>44727</c:v>
                </c:pt>
                <c:pt idx="618">
                  <c:v>44728</c:v>
                </c:pt>
                <c:pt idx="619">
                  <c:v>44729</c:v>
                </c:pt>
                <c:pt idx="620">
                  <c:v>44732</c:v>
                </c:pt>
                <c:pt idx="621">
                  <c:v>44733</c:v>
                </c:pt>
                <c:pt idx="622">
                  <c:v>44734</c:v>
                </c:pt>
                <c:pt idx="623">
                  <c:v>44735</c:v>
                </c:pt>
                <c:pt idx="624">
                  <c:v>44736</c:v>
                </c:pt>
                <c:pt idx="625">
                  <c:v>44739</c:v>
                </c:pt>
                <c:pt idx="626">
                  <c:v>44740</c:v>
                </c:pt>
                <c:pt idx="627">
                  <c:v>44741</c:v>
                </c:pt>
                <c:pt idx="628">
                  <c:v>44742</c:v>
                </c:pt>
                <c:pt idx="629">
                  <c:v>44743</c:v>
                </c:pt>
                <c:pt idx="630">
                  <c:v>44746</c:v>
                </c:pt>
                <c:pt idx="631">
                  <c:v>44748</c:v>
                </c:pt>
                <c:pt idx="632">
                  <c:v>44749</c:v>
                </c:pt>
                <c:pt idx="633">
                  <c:v>44750</c:v>
                </c:pt>
                <c:pt idx="634">
                  <c:v>44753</c:v>
                </c:pt>
                <c:pt idx="635">
                  <c:v>44754</c:v>
                </c:pt>
                <c:pt idx="636">
                  <c:v>44755</c:v>
                </c:pt>
                <c:pt idx="637">
                  <c:v>44756</c:v>
                </c:pt>
                <c:pt idx="638">
                  <c:v>44757</c:v>
                </c:pt>
                <c:pt idx="639">
                  <c:v>44760</c:v>
                </c:pt>
                <c:pt idx="640">
                  <c:v>44761</c:v>
                </c:pt>
                <c:pt idx="641">
                  <c:v>44762</c:v>
                </c:pt>
                <c:pt idx="642">
                  <c:v>44763</c:v>
                </c:pt>
                <c:pt idx="643">
                  <c:v>44764</c:v>
                </c:pt>
                <c:pt idx="644">
                  <c:v>44767</c:v>
                </c:pt>
                <c:pt idx="645">
                  <c:v>44768</c:v>
                </c:pt>
                <c:pt idx="646">
                  <c:v>44769</c:v>
                </c:pt>
                <c:pt idx="647">
                  <c:v>44770</c:v>
                </c:pt>
                <c:pt idx="648">
                  <c:v>44771</c:v>
                </c:pt>
                <c:pt idx="649">
                  <c:v>44774</c:v>
                </c:pt>
                <c:pt idx="650">
                  <c:v>44775</c:v>
                </c:pt>
                <c:pt idx="651">
                  <c:v>44776</c:v>
                </c:pt>
                <c:pt idx="652">
                  <c:v>44777</c:v>
                </c:pt>
                <c:pt idx="653">
                  <c:v>44778</c:v>
                </c:pt>
                <c:pt idx="654">
                  <c:v>44781</c:v>
                </c:pt>
                <c:pt idx="655">
                  <c:v>44782</c:v>
                </c:pt>
                <c:pt idx="656">
                  <c:v>44783</c:v>
                </c:pt>
                <c:pt idx="657">
                  <c:v>44784</c:v>
                </c:pt>
                <c:pt idx="658">
                  <c:v>44785</c:v>
                </c:pt>
                <c:pt idx="659">
                  <c:v>44788</c:v>
                </c:pt>
                <c:pt idx="660">
                  <c:v>44789</c:v>
                </c:pt>
                <c:pt idx="661">
                  <c:v>44790</c:v>
                </c:pt>
                <c:pt idx="662">
                  <c:v>44791</c:v>
                </c:pt>
                <c:pt idx="663">
                  <c:v>44792</c:v>
                </c:pt>
                <c:pt idx="664">
                  <c:v>44795</c:v>
                </c:pt>
                <c:pt idx="665">
                  <c:v>44796</c:v>
                </c:pt>
                <c:pt idx="666">
                  <c:v>44797</c:v>
                </c:pt>
                <c:pt idx="667">
                  <c:v>44798</c:v>
                </c:pt>
                <c:pt idx="668">
                  <c:v>44799</c:v>
                </c:pt>
                <c:pt idx="669">
                  <c:v>44802</c:v>
                </c:pt>
                <c:pt idx="670">
                  <c:v>44803</c:v>
                </c:pt>
                <c:pt idx="671">
                  <c:v>44804</c:v>
                </c:pt>
                <c:pt idx="672">
                  <c:v>44805</c:v>
                </c:pt>
                <c:pt idx="673">
                  <c:v>44806</c:v>
                </c:pt>
                <c:pt idx="674">
                  <c:v>44809</c:v>
                </c:pt>
                <c:pt idx="675">
                  <c:v>44810</c:v>
                </c:pt>
                <c:pt idx="676">
                  <c:v>44811</c:v>
                </c:pt>
                <c:pt idx="677">
                  <c:v>44812</c:v>
                </c:pt>
                <c:pt idx="678">
                  <c:v>44813</c:v>
                </c:pt>
                <c:pt idx="679">
                  <c:v>44816</c:v>
                </c:pt>
                <c:pt idx="680">
                  <c:v>44817</c:v>
                </c:pt>
                <c:pt idx="681">
                  <c:v>44818</c:v>
                </c:pt>
                <c:pt idx="682">
                  <c:v>44819</c:v>
                </c:pt>
                <c:pt idx="683">
                  <c:v>44820</c:v>
                </c:pt>
                <c:pt idx="684">
                  <c:v>44823</c:v>
                </c:pt>
                <c:pt idx="685">
                  <c:v>44824</c:v>
                </c:pt>
                <c:pt idx="686">
                  <c:v>44826</c:v>
                </c:pt>
                <c:pt idx="687">
                  <c:v>44827</c:v>
                </c:pt>
                <c:pt idx="688">
                  <c:v>44830</c:v>
                </c:pt>
                <c:pt idx="689">
                  <c:v>44831</c:v>
                </c:pt>
                <c:pt idx="690">
                  <c:v>44832</c:v>
                </c:pt>
                <c:pt idx="691">
                  <c:v>44833</c:v>
                </c:pt>
                <c:pt idx="692">
                  <c:v>44834</c:v>
                </c:pt>
                <c:pt idx="693">
                  <c:v>44837</c:v>
                </c:pt>
                <c:pt idx="694">
                  <c:v>44838</c:v>
                </c:pt>
                <c:pt idx="695">
                  <c:v>44839</c:v>
                </c:pt>
                <c:pt idx="696">
                  <c:v>44840</c:v>
                </c:pt>
                <c:pt idx="697">
                  <c:v>44841</c:v>
                </c:pt>
                <c:pt idx="698">
                  <c:v>44844</c:v>
                </c:pt>
                <c:pt idx="699">
                  <c:v>44845</c:v>
                </c:pt>
                <c:pt idx="700">
                  <c:v>44846</c:v>
                </c:pt>
                <c:pt idx="701">
                  <c:v>44847</c:v>
                </c:pt>
                <c:pt idx="702">
                  <c:v>44848</c:v>
                </c:pt>
                <c:pt idx="703">
                  <c:v>44851</c:v>
                </c:pt>
                <c:pt idx="704">
                  <c:v>44852</c:v>
                </c:pt>
                <c:pt idx="705">
                  <c:v>44853</c:v>
                </c:pt>
                <c:pt idx="706">
                  <c:v>44854</c:v>
                </c:pt>
                <c:pt idx="707">
                  <c:v>44855</c:v>
                </c:pt>
                <c:pt idx="708">
                  <c:v>44858</c:v>
                </c:pt>
                <c:pt idx="709">
                  <c:v>44859</c:v>
                </c:pt>
                <c:pt idx="710">
                  <c:v>44860</c:v>
                </c:pt>
                <c:pt idx="711">
                  <c:v>44861</c:v>
                </c:pt>
                <c:pt idx="712">
                  <c:v>44862</c:v>
                </c:pt>
                <c:pt idx="713">
                  <c:v>44865</c:v>
                </c:pt>
                <c:pt idx="714">
                  <c:v>44866</c:v>
                </c:pt>
                <c:pt idx="715">
                  <c:v>44867</c:v>
                </c:pt>
                <c:pt idx="716">
                  <c:v>44868</c:v>
                </c:pt>
                <c:pt idx="717">
                  <c:v>44869</c:v>
                </c:pt>
                <c:pt idx="718">
                  <c:v>44872</c:v>
                </c:pt>
                <c:pt idx="719">
                  <c:v>44873</c:v>
                </c:pt>
                <c:pt idx="720">
                  <c:v>44874</c:v>
                </c:pt>
                <c:pt idx="721">
                  <c:v>44875</c:v>
                </c:pt>
                <c:pt idx="722">
                  <c:v>44876</c:v>
                </c:pt>
                <c:pt idx="723">
                  <c:v>44879</c:v>
                </c:pt>
                <c:pt idx="724">
                  <c:v>44880</c:v>
                </c:pt>
                <c:pt idx="725">
                  <c:v>44881</c:v>
                </c:pt>
                <c:pt idx="726">
                  <c:v>44882</c:v>
                </c:pt>
                <c:pt idx="727">
                  <c:v>44883</c:v>
                </c:pt>
                <c:pt idx="728">
                  <c:v>44886</c:v>
                </c:pt>
                <c:pt idx="729">
                  <c:v>44887</c:v>
                </c:pt>
                <c:pt idx="730">
                  <c:v>44888</c:v>
                </c:pt>
                <c:pt idx="731">
                  <c:v>44889</c:v>
                </c:pt>
                <c:pt idx="732">
                  <c:v>44890</c:v>
                </c:pt>
                <c:pt idx="733">
                  <c:v>44893</c:v>
                </c:pt>
                <c:pt idx="734">
                  <c:v>44894</c:v>
                </c:pt>
                <c:pt idx="735">
                  <c:v>44895</c:v>
                </c:pt>
                <c:pt idx="736">
                  <c:v>44896</c:v>
                </c:pt>
                <c:pt idx="737">
                  <c:v>44897</c:v>
                </c:pt>
                <c:pt idx="738">
                  <c:v>44900</c:v>
                </c:pt>
                <c:pt idx="739">
                  <c:v>44901</c:v>
                </c:pt>
                <c:pt idx="740">
                  <c:v>44902</c:v>
                </c:pt>
                <c:pt idx="741">
                  <c:v>44903</c:v>
                </c:pt>
                <c:pt idx="742">
                  <c:v>44904</c:v>
                </c:pt>
                <c:pt idx="743">
                  <c:v>44907</c:v>
                </c:pt>
                <c:pt idx="744">
                  <c:v>44908</c:v>
                </c:pt>
                <c:pt idx="745">
                  <c:v>44909</c:v>
                </c:pt>
                <c:pt idx="746">
                  <c:v>44910</c:v>
                </c:pt>
                <c:pt idx="747">
                  <c:v>44911</c:v>
                </c:pt>
                <c:pt idx="748">
                  <c:v>44914</c:v>
                </c:pt>
                <c:pt idx="749">
                  <c:v>44915</c:v>
                </c:pt>
                <c:pt idx="750">
                  <c:v>44916</c:v>
                </c:pt>
                <c:pt idx="751">
                  <c:v>44917</c:v>
                </c:pt>
                <c:pt idx="752">
                  <c:v>44918</c:v>
                </c:pt>
                <c:pt idx="753">
                  <c:v>44921</c:v>
                </c:pt>
                <c:pt idx="754">
                  <c:v>44922</c:v>
                </c:pt>
                <c:pt idx="755">
                  <c:v>44923</c:v>
                </c:pt>
                <c:pt idx="756">
                  <c:v>44924</c:v>
                </c:pt>
                <c:pt idx="757">
                  <c:v>44925</c:v>
                </c:pt>
                <c:pt idx="758">
                  <c:v>44929</c:v>
                </c:pt>
                <c:pt idx="759">
                  <c:v>44930</c:v>
                </c:pt>
                <c:pt idx="760">
                  <c:v>44931</c:v>
                </c:pt>
                <c:pt idx="761">
                  <c:v>44935</c:v>
                </c:pt>
                <c:pt idx="762">
                  <c:v>44936</c:v>
                </c:pt>
                <c:pt idx="763">
                  <c:v>44937</c:v>
                </c:pt>
                <c:pt idx="764">
                  <c:v>44938</c:v>
                </c:pt>
                <c:pt idx="765">
                  <c:v>44939</c:v>
                </c:pt>
                <c:pt idx="766">
                  <c:v>44942</c:v>
                </c:pt>
                <c:pt idx="767">
                  <c:v>44943</c:v>
                </c:pt>
                <c:pt idx="768">
                  <c:v>44944</c:v>
                </c:pt>
                <c:pt idx="769">
                  <c:v>44945</c:v>
                </c:pt>
                <c:pt idx="770">
                  <c:v>44946</c:v>
                </c:pt>
                <c:pt idx="771">
                  <c:v>44949</c:v>
                </c:pt>
                <c:pt idx="772">
                  <c:v>44950</c:v>
                </c:pt>
                <c:pt idx="773">
                  <c:v>44951</c:v>
                </c:pt>
                <c:pt idx="774">
                  <c:v>44952</c:v>
                </c:pt>
                <c:pt idx="775">
                  <c:v>44953</c:v>
                </c:pt>
                <c:pt idx="776">
                  <c:v>44956</c:v>
                </c:pt>
                <c:pt idx="777">
                  <c:v>44957</c:v>
                </c:pt>
                <c:pt idx="778">
                  <c:v>44958</c:v>
                </c:pt>
                <c:pt idx="779">
                  <c:v>44959</c:v>
                </c:pt>
                <c:pt idx="780">
                  <c:v>44960</c:v>
                </c:pt>
                <c:pt idx="781">
                  <c:v>44963</c:v>
                </c:pt>
                <c:pt idx="782">
                  <c:v>44964</c:v>
                </c:pt>
                <c:pt idx="783">
                  <c:v>44965</c:v>
                </c:pt>
                <c:pt idx="784">
                  <c:v>44966</c:v>
                </c:pt>
                <c:pt idx="785">
                  <c:v>44967</c:v>
                </c:pt>
                <c:pt idx="786">
                  <c:v>44970</c:v>
                </c:pt>
                <c:pt idx="787">
                  <c:v>44971</c:v>
                </c:pt>
                <c:pt idx="788">
                  <c:v>44972</c:v>
                </c:pt>
                <c:pt idx="789">
                  <c:v>44973</c:v>
                </c:pt>
                <c:pt idx="790">
                  <c:v>44974</c:v>
                </c:pt>
                <c:pt idx="791">
                  <c:v>44977</c:v>
                </c:pt>
                <c:pt idx="792">
                  <c:v>44978</c:v>
                </c:pt>
                <c:pt idx="793">
                  <c:v>44979</c:v>
                </c:pt>
                <c:pt idx="794">
                  <c:v>44980</c:v>
                </c:pt>
                <c:pt idx="795">
                  <c:v>44981</c:v>
                </c:pt>
                <c:pt idx="796">
                  <c:v>44984</c:v>
                </c:pt>
                <c:pt idx="797">
                  <c:v>44985</c:v>
                </c:pt>
                <c:pt idx="798">
                  <c:v>44986</c:v>
                </c:pt>
                <c:pt idx="799">
                  <c:v>44986</c:v>
                </c:pt>
                <c:pt idx="800">
                  <c:v>44988</c:v>
                </c:pt>
                <c:pt idx="801">
                  <c:v>44991</c:v>
                </c:pt>
                <c:pt idx="802">
                  <c:v>44992</c:v>
                </c:pt>
                <c:pt idx="803">
                  <c:v>44994</c:v>
                </c:pt>
                <c:pt idx="804">
                  <c:v>44995</c:v>
                </c:pt>
                <c:pt idx="805">
                  <c:v>44998</c:v>
                </c:pt>
                <c:pt idx="806">
                  <c:v>44999</c:v>
                </c:pt>
                <c:pt idx="807">
                  <c:v>45000</c:v>
                </c:pt>
                <c:pt idx="808">
                  <c:v>45001</c:v>
                </c:pt>
                <c:pt idx="809">
                  <c:v>45002</c:v>
                </c:pt>
                <c:pt idx="810">
                  <c:v>45005</c:v>
                </c:pt>
                <c:pt idx="811">
                  <c:v>45006</c:v>
                </c:pt>
                <c:pt idx="812">
                  <c:v>45007</c:v>
                </c:pt>
                <c:pt idx="813">
                  <c:v>45008</c:v>
                </c:pt>
                <c:pt idx="814">
                  <c:v>45009</c:v>
                </c:pt>
                <c:pt idx="815">
                  <c:v>45012</c:v>
                </c:pt>
                <c:pt idx="816">
                  <c:v>45013</c:v>
                </c:pt>
                <c:pt idx="817">
                  <c:v>45014</c:v>
                </c:pt>
                <c:pt idx="818">
                  <c:v>45015</c:v>
                </c:pt>
                <c:pt idx="819">
                  <c:v>45016</c:v>
                </c:pt>
                <c:pt idx="820">
                  <c:v>45019</c:v>
                </c:pt>
                <c:pt idx="821">
                  <c:v>45020</c:v>
                </c:pt>
                <c:pt idx="822">
                  <c:v>45021</c:v>
                </c:pt>
                <c:pt idx="823">
                  <c:v>45022</c:v>
                </c:pt>
                <c:pt idx="824">
                  <c:v>45022</c:v>
                </c:pt>
                <c:pt idx="825">
                  <c:v>45026</c:v>
                </c:pt>
                <c:pt idx="826">
                  <c:v>45027</c:v>
                </c:pt>
                <c:pt idx="827">
                  <c:v>45028</c:v>
                </c:pt>
                <c:pt idx="828">
                  <c:v>45029</c:v>
                </c:pt>
                <c:pt idx="829">
                  <c:v>45030</c:v>
                </c:pt>
                <c:pt idx="830">
                  <c:v>45033</c:v>
                </c:pt>
                <c:pt idx="831">
                  <c:v>45034</c:v>
                </c:pt>
                <c:pt idx="832">
                  <c:v>45035</c:v>
                </c:pt>
                <c:pt idx="833">
                  <c:v>45036</c:v>
                </c:pt>
                <c:pt idx="834">
                  <c:v>45037</c:v>
                </c:pt>
                <c:pt idx="835">
                  <c:v>45041</c:v>
                </c:pt>
                <c:pt idx="836">
                  <c:v>45042</c:v>
                </c:pt>
                <c:pt idx="837">
                  <c:v>45043</c:v>
                </c:pt>
                <c:pt idx="838">
                  <c:v>45044</c:v>
                </c:pt>
                <c:pt idx="839">
                  <c:v>45048</c:v>
                </c:pt>
                <c:pt idx="840">
                  <c:v>45049</c:v>
                </c:pt>
                <c:pt idx="841">
                  <c:v>45050</c:v>
                </c:pt>
                <c:pt idx="842">
                  <c:v>45051</c:v>
                </c:pt>
                <c:pt idx="843">
                  <c:v>45054</c:v>
                </c:pt>
                <c:pt idx="844">
                  <c:v>45056</c:v>
                </c:pt>
                <c:pt idx="845">
                  <c:v>45057</c:v>
                </c:pt>
                <c:pt idx="846">
                  <c:v>45058</c:v>
                </c:pt>
                <c:pt idx="847">
                  <c:v>45061</c:v>
                </c:pt>
                <c:pt idx="848">
                  <c:v>45062</c:v>
                </c:pt>
                <c:pt idx="849">
                  <c:v>45063</c:v>
                </c:pt>
                <c:pt idx="850">
                  <c:v>45064</c:v>
                </c:pt>
                <c:pt idx="851">
                  <c:v>45065</c:v>
                </c:pt>
                <c:pt idx="852">
                  <c:v>45068</c:v>
                </c:pt>
                <c:pt idx="853">
                  <c:v>45069</c:v>
                </c:pt>
                <c:pt idx="854">
                  <c:v>45070</c:v>
                </c:pt>
                <c:pt idx="855">
                  <c:v>45071</c:v>
                </c:pt>
                <c:pt idx="856">
                  <c:v>45072</c:v>
                </c:pt>
                <c:pt idx="857">
                  <c:v>45075</c:v>
                </c:pt>
                <c:pt idx="858">
                  <c:v>45076</c:v>
                </c:pt>
                <c:pt idx="859">
                  <c:v>45077</c:v>
                </c:pt>
                <c:pt idx="860">
                  <c:v>45078</c:v>
                </c:pt>
                <c:pt idx="861">
                  <c:v>45079</c:v>
                </c:pt>
                <c:pt idx="862">
                  <c:v>45082</c:v>
                </c:pt>
                <c:pt idx="863">
                  <c:v>45083</c:v>
                </c:pt>
                <c:pt idx="864">
                  <c:v>45084</c:v>
                </c:pt>
                <c:pt idx="865">
                  <c:v>45085</c:v>
                </c:pt>
                <c:pt idx="866">
                  <c:v>45086</c:v>
                </c:pt>
                <c:pt idx="867">
                  <c:v>45089</c:v>
                </c:pt>
                <c:pt idx="868">
                  <c:v>45090</c:v>
                </c:pt>
                <c:pt idx="869">
                  <c:v>45091</c:v>
                </c:pt>
                <c:pt idx="870">
                  <c:v>45092</c:v>
                </c:pt>
                <c:pt idx="871">
                  <c:v>45093</c:v>
                </c:pt>
                <c:pt idx="872">
                  <c:v>45096</c:v>
                </c:pt>
                <c:pt idx="873">
                  <c:v>45097</c:v>
                </c:pt>
                <c:pt idx="874">
                  <c:v>45098</c:v>
                </c:pt>
                <c:pt idx="875">
                  <c:v>45099</c:v>
                </c:pt>
                <c:pt idx="876">
                  <c:v>45100</c:v>
                </c:pt>
                <c:pt idx="877">
                  <c:v>45103</c:v>
                </c:pt>
                <c:pt idx="878">
                  <c:v>45104</c:v>
                </c:pt>
                <c:pt idx="879">
                  <c:v>45105</c:v>
                </c:pt>
                <c:pt idx="880">
                  <c:v>45106</c:v>
                </c:pt>
                <c:pt idx="881">
                  <c:v>45107</c:v>
                </c:pt>
                <c:pt idx="882">
                  <c:v>45110</c:v>
                </c:pt>
                <c:pt idx="883">
                  <c:v>45111</c:v>
                </c:pt>
                <c:pt idx="884">
                  <c:v>45113</c:v>
                </c:pt>
                <c:pt idx="885">
                  <c:v>45114</c:v>
                </c:pt>
                <c:pt idx="886">
                  <c:v>45117</c:v>
                </c:pt>
                <c:pt idx="887">
                  <c:v>45118</c:v>
                </c:pt>
                <c:pt idx="888">
                  <c:v>45119</c:v>
                </c:pt>
                <c:pt idx="889">
                  <c:v>45120</c:v>
                </c:pt>
                <c:pt idx="890">
                  <c:v>45121</c:v>
                </c:pt>
                <c:pt idx="891">
                  <c:v>45124</c:v>
                </c:pt>
                <c:pt idx="892">
                  <c:v>45125</c:v>
                </c:pt>
                <c:pt idx="893">
                  <c:v>45126</c:v>
                </c:pt>
                <c:pt idx="894">
                  <c:v>45127</c:v>
                </c:pt>
                <c:pt idx="895">
                  <c:v>45128</c:v>
                </c:pt>
                <c:pt idx="896">
                  <c:v>45131</c:v>
                </c:pt>
                <c:pt idx="897">
                  <c:v>45132</c:v>
                </c:pt>
                <c:pt idx="898">
                  <c:v>45133</c:v>
                </c:pt>
                <c:pt idx="899">
                  <c:v>45134</c:v>
                </c:pt>
                <c:pt idx="900">
                  <c:v>45135</c:v>
                </c:pt>
                <c:pt idx="901">
                  <c:v>45138</c:v>
                </c:pt>
                <c:pt idx="902">
                  <c:v>45139</c:v>
                </c:pt>
                <c:pt idx="903">
                  <c:v>45140</c:v>
                </c:pt>
                <c:pt idx="904">
                  <c:v>45141</c:v>
                </c:pt>
                <c:pt idx="905">
                  <c:v>45142</c:v>
                </c:pt>
                <c:pt idx="906">
                  <c:v>45145</c:v>
                </c:pt>
                <c:pt idx="907">
                  <c:v>45146</c:v>
                </c:pt>
                <c:pt idx="908">
                  <c:v>45147</c:v>
                </c:pt>
                <c:pt idx="909">
                  <c:v>45148</c:v>
                </c:pt>
                <c:pt idx="910">
                  <c:v>45149</c:v>
                </c:pt>
                <c:pt idx="911">
                  <c:v>45152</c:v>
                </c:pt>
                <c:pt idx="912">
                  <c:v>45153</c:v>
                </c:pt>
                <c:pt idx="913">
                  <c:v>45154</c:v>
                </c:pt>
                <c:pt idx="914">
                  <c:v>45155</c:v>
                </c:pt>
                <c:pt idx="915">
                  <c:v>45156</c:v>
                </c:pt>
                <c:pt idx="916">
                  <c:v>45159</c:v>
                </c:pt>
                <c:pt idx="917">
                  <c:v>45160</c:v>
                </c:pt>
                <c:pt idx="918">
                  <c:v>45161</c:v>
                </c:pt>
                <c:pt idx="919">
                  <c:v>45162</c:v>
                </c:pt>
                <c:pt idx="920">
                  <c:v>45163</c:v>
                </c:pt>
                <c:pt idx="921">
                  <c:v>45166</c:v>
                </c:pt>
                <c:pt idx="922">
                  <c:v>45167</c:v>
                </c:pt>
                <c:pt idx="923">
                  <c:v>45168</c:v>
                </c:pt>
                <c:pt idx="924">
                  <c:v>45169</c:v>
                </c:pt>
                <c:pt idx="925">
                  <c:v>45170</c:v>
                </c:pt>
                <c:pt idx="926">
                  <c:v>45173</c:v>
                </c:pt>
                <c:pt idx="927">
                  <c:v>45174</c:v>
                </c:pt>
                <c:pt idx="928">
                  <c:v>45175</c:v>
                </c:pt>
                <c:pt idx="929">
                  <c:v>45176</c:v>
                </c:pt>
                <c:pt idx="930">
                  <c:v>45177</c:v>
                </c:pt>
                <c:pt idx="931">
                  <c:v>45180</c:v>
                </c:pt>
                <c:pt idx="932">
                  <c:v>45181</c:v>
                </c:pt>
                <c:pt idx="933">
                  <c:v>45182</c:v>
                </c:pt>
                <c:pt idx="934">
                  <c:v>45183</c:v>
                </c:pt>
                <c:pt idx="935">
                  <c:v>45184</c:v>
                </c:pt>
                <c:pt idx="936">
                  <c:v>45187</c:v>
                </c:pt>
                <c:pt idx="937">
                  <c:v>45188</c:v>
                </c:pt>
                <c:pt idx="938">
                  <c:v>45189</c:v>
                </c:pt>
                <c:pt idx="939">
                  <c:v>45191</c:v>
                </c:pt>
                <c:pt idx="940">
                  <c:v>45194</c:v>
                </c:pt>
                <c:pt idx="941">
                  <c:v>45195</c:v>
                </c:pt>
                <c:pt idx="942">
                  <c:v>45196</c:v>
                </c:pt>
                <c:pt idx="943">
                  <c:v>45197</c:v>
                </c:pt>
                <c:pt idx="944">
                  <c:v>45198</c:v>
                </c:pt>
                <c:pt idx="945">
                  <c:v>45201</c:v>
                </c:pt>
                <c:pt idx="946">
                  <c:v>45202</c:v>
                </c:pt>
                <c:pt idx="947">
                  <c:v>45203</c:v>
                </c:pt>
                <c:pt idx="948">
                  <c:v>45204</c:v>
                </c:pt>
                <c:pt idx="949">
                  <c:v>45205</c:v>
                </c:pt>
                <c:pt idx="950">
                  <c:v>45208</c:v>
                </c:pt>
                <c:pt idx="951">
                  <c:v>45209</c:v>
                </c:pt>
                <c:pt idx="952">
                  <c:v>45210</c:v>
                </c:pt>
                <c:pt idx="953">
                  <c:v>45211</c:v>
                </c:pt>
                <c:pt idx="954">
                  <c:v>45212</c:v>
                </c:pt>
                <c:pt idx="955">
                  <c:v>45215</c:v>
                </c:pt>
                <c:pt idx="956">
                  <c:v>45216</c:v>
                </c:pt>
                <c:pt idx="957">
                  <c:v>45217</c:v>
                </c:pt>
                <c:pt idx="958">
                  <c:v>45218</c:v>
                </c:pt>
                <c:pt idx="959">
                  <c:v>45219</c:v>
                </c:pt>
                <c:pt idx="960">
                  <c:v>45222</c:v>
                </c:pt>
                <c:pt idx="961">
                  <c:v>45223</c:v>
                </c:pt>
                <c:pt idx="962">
                  <c:v>45224</c:v>
                </c:pt>
                <c:pt idx="963">
                  <c:v>45225</c:v>
                </c:pt>
                <c:pt idx="964">
                  <c:v>45226</c:v>
                </c:pt>
                <c:pt idx="965">
                  <c:v>45229</c:v>
                </c:pt>
                <c:pt idx="966">
                  <c:v>45230</c:v>
                </c:pt>
                <c:pt idx="967">
                  <c:v>45231</c:v>
                </c:pt>
                <c:pt idx="968">
                  <c:v>45232</c:v>
                </c:pt>
                <c:pt idx="969">
                  <c:v>45233</c:v>
                </c:pt>
                <c:pt idx="970">
                  <c:v>45236</c:v>
                </c:pt>
                <c:pt idx="971">
                  <c:v>45237</c:v>
                </c:pt>
                <c:pt idx="972">
                  <c:v>45238</c:v>
                </c:pt>
                <c:pt idx="973">
                  <c:v>45239</c:v>
                </c:pt>
                <c:pt idx="974">
                  <c:v>45240</c:v>
                </c:pt>
                <c:pt idx="975">
                  <c:v>45243</c:v>
                </c:pt>
                <c:pt idx="976">
                  <c:v>45244</c:v>
                </c:pt>
                <c:pt idx="977">
                  <c:v>45245</c:v>
                </c:pt>
                <c:pt idx="978">
                  <c:v>45246</c:v>
                </c:pt>
                <c:pt idx="979">
                  <c:v>45247</c:v>
                </c:pt>
                <c:pt idx="980">
                  <c:v>45250</c:v>
                </c:pt>
                <c:pt idx="981">
                  <c:v>45251</c:v>
                </c:pt>
                <c:pt idx="982">
                  <c:v>45252</c:v>
                </c:pt>
                <c:pt idx="983">
                  <c:v>45253</c:v>
                </c:pt>
                <c:pt idx="984">
                  <c:v>45254</c:v>
                </c:pt>
                <c:pt idx="985">
                  <c:v>45257</c:v>
                </c:pt>
                <c:pt idx="986">
                  <c:v>45258</c:v>
                </c:pt>
                <c:pt idx="987">
                  <c:v>45259</c:v>
                </c:pt>
                <c:pt idx="988">
                  <c:v>45260</c:v>
                </c:pt>
                <c:pt idx="989">
                  <c:v>45261</c:v>
                </c:pt>
                <c:pt idx="990">
                  <c:v>45264</c:v>
                </c:pt>
                <c:pt idx="991">
                  <c:v>45265</c:v>
                </c:pt>
                <c:pt idx="992">
                  <c:v>45266</c:v>
                </c:pt>
                <c:pt idx="993">
                  <c:v>45267</c:v>
                </c:pt>
                <c:pt idx="994">
                  <c:v>45268</c:v>
                </c:pt>
                <c:pt idx="995">
                  <c:v>45271</c:v>
                </c:pt>
                <c:pt idx="996">
                  <c:v>45272</c:v>
                </c:pt>
                <c:pt idx="997">
                  <c:v>45273</c:v>
                </c:pt>
                <c:pt idx="998">
                  <c:v>45274</c:v>
                </c:pt>
                <c:pt idx="999">
                  <c:v>45275</c:v>
                </c:pt>
                <c:pt idx="1000">
                  <c:v>45278</c:v>
                </c:pt>
                <c:pt idx="1001">
                  <c:v>45279</c:v>
                </c:pt>
                <c:pt idx="1002">
                  <c:v>45280</c:v>
                </c:pt>
                <c:pt idx="1003">
                  <c:v>45281</c:v>
                </c:pt>
                <c:pt idx="1004">
                  <c:v>45282</c:v>
                </c:pt>
                <c:pt idx="1005">
                  <c:v>45285</c:v>
                </c:pt>
                <c:pt idx="1006">
                  <c:v>45286</c:v>
                </c:pt>
                <c:pt idx="1007">
                  <c:v>45287</c:v>
                </c:pt>
                <c:pt idx="1008">
                  <c:v>45288</c:v>
                </c:pt>
              </c:numCache>
            </c:numRef>
          </c:cat>
          <c:val>
            <c:numRef>
              <c:f>'[2025-2027 Strategy data.xlsx]Graf yield'!$C$572:$C$1580</c:f>
              <c:numCache>
                <c:formatCode>0.00</c:formatCode>
                <c:ptCount val="1009"/>
                <c:pt idx="0">
                  <c:v>11.782</c:v>
                </c:pt>
                <c:pt idx="1">
                  <c:v>11.782087412631348</c:v>
                </c:pt>
                <c:pt idx="2">
                  <c:v>11.781856108215315</c:v>
                </c:pt>
                <c:pt idx="3">
                  <c:v>11.782001883019479</c:v>
                </c:pt>
                <c:pt idx="4">
                  <c:v>11.782001883019479</c:v>
                </c:pt>
                <c:pt idx="5">
                  <c:v>11.799548504725662</c:v>
                </c:pt>
                <c:pt idx="6">
                  <c:v>11.799566519267085</c:v>
                </c:pt>
                <c:pt idx="7">
                  <c:v>11.799537937741437</c:v>
                </c:pt>
                <c:pt idx="8">
                  <c:v>11.799515277518372</c:v>
                </c:pt>
                <c:pt idx="9">
                  <c:v>11.799143865185581</c:v>
                </c:pt>
                <c:pt idx="10">
                  <c:v>11.790029522332823</c:v>
                </c:pt>
                <c:pt idx="11">
                  <c:v>11.6739</c:v>
                </c:pt>
                <c:pt idx="12">
                  <c:v>11.6739</c:v>
                </c:pt>
                <c:pt idx="13">
                  <c:v>11.673860715312655</c:v>
                </c:pt>
                <c:pt idx="14">
                  <c:v>11.673863815520114</c:v>
                </c:pt>
                <c:pt idx="15">
                  <c:v>11.66512181714306</c:v>
                </c:pt>
                <c:pt idx="16">
                  <c:v>11.665119569617685</c:v>
                </c:pt>
                <c:pt idx="17">
                  <c:v>11.665118850410236</c:v>
                </c:pt>
                <c:pt idx="18">
                  <c:v>11.682865027301224</c:v>
                </c:pt>
                <c:pt idx="19">
                  <c:v>11.682847216994226</c:v>
                </c:pt>
                <c:pt idx="20">
                  <c:v>11.682816791742118</c:v>
                </c:pt>
                <c:pt idx="21">
                  <c:v>11.682816732153309</c:v>
                </c:pt>
                <c:pt idx="22">
                  <c:v>11.682814383402523</c:v>
                </c:pt>
                <c:pt idx="23">
                  <c:v>11.682813861962181</c:v>
                </c:pt>
                <c:pt idx="24">
                  <c:v>11.614825724927936</c:v>
                </c:pt>
                <c:pt idx="25">
                  <c:v>11.59819316500648</c:v>
                </c:pt>
                <c:pt idx="26">
                  <c:v>11.598214509209859</c:v>
                </c:pt>
                <c:pt idx="27">
                  <c:v>11.598214509209859</c:v>
                </c:pt>
                <c:pt idx="28">
                  <c:v>11.589813373500649</c:v>
                </c:pt>
                <c:pt idx="29">
                  <c:v>11.58978960525808</c:v>
                </c:pt>
                <c:pt idx="30">
                  <c:v>11.589764080574552</c:v>
                </c:pt>
                <c:pt idx="31">
                  <c:v>11.589769091211236</c:v>
                </c:pt>
                <c:pt idx="32">
                  <c:v>11.589769091211236</c:v>
                </c:pt>
                <c:pt idx="33">
                  <c:v>11.581101127610244</c:v>
                </c:pt>
                <c:pt idx="34">
                  <c:v>11.581083172920739</c:v>
                </c:pt>
                <c:pt idx="35">
                  <c:v>11.581083172920739</c:v>
                </c:pt>
                <c:pt idx="36">
                  <c:v>11.58107736541843</c:v>
                </c:pt>
                <c:pt idx="37">
                  <c:v>11.581076462031149</c:v>
                </c:pt>
                <c:pt idx="38">
                  <c:v>11.581076462031149</c:v>
                </c:pt>
                <c:pt idx="39">
                  <c:v>11.590200000000001</c:v>
                </c:pt>
                <c:pt idx="40">
                  <c:v>11.589875798784487</c:v>
                </c:pt>
                <c:pt idx="41">
                  <c:v>11.589874411741178</c:v>
                </c:pt>
                <c:pt idx="42">
                  <c:v>11.58984265795212</c:v>
                </c:pt>
                <c:pt idx="43">
                  <c:v>11.589842600758498</c:v>
                </c:pt>
                <c:pt idx="44">
                  <c:v>11.56791369965349</c:v>
                </c:pt>
                <c:pt idx="45">
                  <c:v>11.543871953452522</c:v>
                </c:pt>
                <c:pt idx="46">
                  <c:v>11.543871953452522</c:v>
                </c:pt>
                <c:pt idx="47">
                  <c:v>11.543871826930147</c:v>
                </c:pt>
                <c:pt idx="48">
                  <c:v>11.536105206548026</c:v>
                </c:pt>
                <c:pt idx="49">
                  <c:v>11.536059214019094</c:v>
                </c:pt>
                <c:pt idx="50">
                  <c:v>11.536059214019094</c:v>
                </c:pt>
                <c:pt idx="51">
                  <c:v>11.536163740837733</c:v>
                </c:pt>
                <c:pt idx="52">
                  <c:v>11.53615809023977</c:v>
                </c:pt>
                <c:pt idx="53">
                  <c:v>11.53819545016154</c:v>
                </c:pt>
                <c:pt idx="54">
                  <c:v>11.538176414995171</c:v>
                </c:pt>
                <c:pt idx="55">
                  <c:v>11.538176414995171</c:v>
                </c:pt>
                <c:pt idx="56">
                  <c:v>11.538230867997461</c:v>
                </c:pt>
                <c:pt idx="57">
                  <c:v>11.538205599540213</c:v>
                </c:pt>
                <c:pt idx="58">
                  <c:v>11.56304451628959</c:v>
                </c:pt>
                <c:pt idx="59">
                  <c:v>11.56304451628959</c:v>
                </c:pt>
                <c:pt idx="60">
                  <c:v>11.56304451628959</c:v>
                </c:pt>
                <c:pt idx="61">
                  <c:v>11.563033246769965</c:v>
                </c:pt>
                <c:pt idx="62">
                  <c:v>11.57092285691785</c:v>
                </c:pt>
                <c:pt idx="63">
                  <c:v>11.57092285691785</c:v>
                </c:pt>
                <c:pt idx="64">
                  <c:v>11.547141601550774</c:v>
                </c:pt>
                <c:pt idx="65">
                  <c:v>11.547133580239587</c:v>
                </c:pt>
                <c:pt idx="66">
                  <c:v>11.547133580239587</c:v>
                </c:pt>
                <c:pt idx="67">
                  <c:v>11.547133618369603</c:v>
                </c:pt>
                <c:pt idx="68">
                  <c:v>11.546993903504244</c:v>
                </c:pt>
                <c:pt idx="69">
                  <c:v>11.516018000802068</c:v>
                </c:pt>
                <c:pt idx="70">
                  <c:v>11.513045809634209</c:v>
                </c:pt>
                <c:pt idx="71">
                  <c:v>11.513045809634209</c:v>
                </c:pt>
                <c:pt idx="72">
                  <c:v>11.513044594224759</c:v>
                </c:pt>
                <c:pt idx="73">
                  <c:v>11.513100983136869</c:v>
                </c:pt>
                <c:pt idx="74">
                  <c:v>11.497435407157974</c:v>
                </c:pt>
                <c:pt idx="75">
                  <c:v>11.497435340717866</c:v>
                </c:pt>
                <c:pt idx="76">
                  <c:v>11.497435340717866</c:v>
                </c:pt>
                <c:pt idx="77">
                  <c:v>11.497479584913609</c:v>
                </c:pt>
                <c:pt idx="78">
                  <c:v>11.481274297165918</c:v>
                </c:pt>
                <c:pt idx="79">
                  <c:v>11.09814967139433</c:v>
                </c:pt>
                <c:pt idx="80">
                  <c:v>11.098196034423912</c:v>
                </c:pt>
                <c:pt idx="81">
                  <c:v>11.113034261599223</c:v>
                </c:pt>
                <c:pt idx="82">
                  <c:v>11.102590157596687</c:v>
                </c:pt>
                <c:pt idx="83">
                  <c:v>11.10258700797694</c:v>
                </c:pt>
                <c:pt idx="84">
                  <c:v>11.10257500496717</c:v>
                </c:pt>
                <c:pt idx="85">
                  <c:v>11.102571506417593</c:v>
                </c:pt>
                <c:pt idx="86">
                  <c:v>11.102571211439688</c:v>
                </c:pt>
                <c:pt idx="87">
                  <c:v>11.102571211439688</c:v>
                </c:pt>
                <c:pt idx="88">
                  <c:v>11.0392731193046</c:v>
                </c:pt>
                <c:pt idx="89">
                  <c:v>11.039259720598515</c:v>
                </c:pt>
                <c:pt idx="90">
                  <c:v>11.03925971531085</c:v>
                </c:pt>
                <c:pt idx="91">
                  <c:v>11.03925971531085</c:v>
                </c:pt>
                <c:pt idx="92">
                  <c:v>11.032215731912601</c:v>
                </c:pt>
                <c:pt idx="93">
                  <c:v>11.032162628285077</c:v>
                </c:pt>
                <c:pt idx="94">
                  <c:v>11.032162712379968</c:v>
                </c:pt>
                <c:pt idx="95">
                  <c:v>11.032109512412177</c:v>
                </c:pt>
                <c:pt idx="96">
                  <c:v>11.032109512412177</c:v>
                </c:pt>
                <c:pt idx="97">
                  <c:v>11.032107665212404</c:v>
                </c:pt>
                <c:pt idx="98">
                  <c:v>11.024961935441686</c:v>
                </c:pt>
                <c:pt idx="99">
                  <c:v>11.024957985673375</c:v>
                </c:pt>
                <c:pt idx="100">
                  <c:v>11.045380780656897</c:v>
                </c:pt>
                <c:pt idx="101">
                  <c:v>11.037040376056616</c:v>
                </c:pt>
                <c:pt idx="102">
                  <c:v>11.037040376056616</c:v>
                </c:pt>
                <c:pt idx="103">
                  <c:v>11.037311478691517</c:v>
                </c:pt>
                <c:pt idx="104">
                  <c:v>11.037373055643064</c:v>
                </c:pt>
                <c:pt idx="105">
                  <c:v>11.037317568078048</c:v>
                </c:pt>
                <c:pt idx="106">
                  <c:v>11.037284023107825</c:v>
                </c:pt>
                <c:pt idx="107">
                  <c:v>10.980664497381666</c:v>
                </c:pt>
                <c:pt idx="108">
                  <c:v>10.98066430482417</c:v>
                </c:pt>
                <c:pt idx="109">
                  <c:v>10.980622267323696</c:v>
                </c:pt>
                <c:pt idx="110">
                  <c:v>10.973905174140851</c:v>
                </c:pt>
                <c:pt idx="111">
                  <c:v>10.973905174140851</c:v>
                </c:pt>
                <c:pt idx="112">
                  <c:v>10.973905174140851</c:v>
                </c:pt>
                <c:pt idx="113">
                  <c:v>10.973905174140851</c:v>
                </c:pt>
                <c:pt idx="114">
                  <c:v>10.973910930328689</c:v>
                </c:pt>
                <c:pt idx="115">
                  <c:v>10.973910930328689</c:v>
                </c:pt>
                <c:pt idx="116">
                  <c:v>10.966820154184138</c:v>
                </c:pt>
                <c:pt idx="117">
                  <c:v>10.966812486054078</c:v>
                </c:pt>
                <c:pt idx="118">
                  <c:v>10.966790583151141</c:v>
                </c:pt>
                <c:pt idx="119">
                  <c:v>10.966940041093427</c:v>
                </c:pt>
                <c:pt idx="120">
                  <c:v>10.986662321953185</c:v>
                </c:pt>
                <c:pt idx="121">
                  <c:v>10.986662289777536</c:v>
                </c:pt>
                <c:pt idx="122">
                  <c:v>10.986662225426244</c:v>
                </c:pt>
                <c:pt idx="123">
                  <c:v>10.986663747222609</c:v>
                </c:pt>
                <c:pt idx="124">
                  <c:v>10.986653451044551</c:v>
                </c:pt>
                <c:pt idx="125">
                  <c:v>10.986650699120931</c:v>
                </c:pt>
                <c:pt idx="126">
                  <c:v>10.972860092468823</c:v>
                </c:pt>
                <c:pt idx="127">
                  <c:v>10.972832912479355</c:v>
                </c:pt>
                <c:pt idx="128">
                  <c:v>10.972832912479355</c:v>
                </c:pt>
                <c:pt idx="129">
                  <c:v>10.972846207163281</c:v>
                </c:pt>
                <c:pt idx="130">
                  <c:v>10.972849749311177</c:v>
                </c:pt>
                <c:pt idx="131">
                  <c:v>10.972849749311177</c:v>
                </c:pt>
                <c:pt idx="132">
                  <c:v>10.714308880574199</c:v>
                </c:pt>
                <c:pt idx="133">
                  <c:v>10.714308880574199</c:v>
                </c:pt>
                <c:pt idx="134">
                  <c:v>10.714308880574199</c:v>
                </c:pt>
                <c:pt idx="135">
                  <c:v>10.7081934613811</c:v>
                </c:pt>
                <c:pt idx="136">
                  <c:v>10.708290267211041</c:v>
                </c:pt>
                <c:pt idx="137">
                  <c:v>10.7081370249449</c:v>
                </c:pt>
                <c:pt idx="138">
                  <c:v>10.7081370249449</c:v>
                </c:pt>
                <c:pt idx="139">
                  <c:v>10.708236576369949</c:v>
                </c:pt>
                <c:pt idx="140">
                  <c:v>10.708236576369949</c:v>
                </c:pt>
                <c:pt idx="141">
                  <c:v>10.701817465554223</c:v>
                </c:pt>
                <c:pt idx="142">
                  <c:v>10.701817465554223</c:v>
                </c:pt>
                <c:pt idx="143">
                  <c:v>10.701820331683898</c:v>
                </c:pt>
                <c:pt idx="144">
                  <c:v>10.70179644061915</c:v>
                </c:pt>
                <c:pt idx="145">
                  <c:v>10.719646449421059</c:v>
                </c:pt>
                <c:pt idx="146">
                  <c:v>10.702002944986841</c:v>
                </c:pt>
                <c:pt idx="147">
                  <c:v>10.701977872781383</c:v>
                </c:pt>
                <c:pt idx="148">
                  <c:v>10.701831454211623</c:v>
                </c:pt>
                <c:pt idx="149">
                  <c:v>10.701831017983121</c:v>
                </c:pt>
                <c:pt idx="150">
                  <c:v>10.701717423379911</c:v>
                </c:pt>
                <c:pt idx="151">
                  <c:v>10.701695016675163</c:v>
                </c:pt>
                <c:pt idx="152">
                  <c:v>10.636005269203814</c:v>
                </c:pt>
                <c:pt idx="153">
                  <c:v>10.636005269203814</c:v>
                </c:pt>
                <c:pt idx="154">
                  <c:v>10.636005219733809</c:v>
                </c:pt>
                <c:pt idx="155">
                  <c:v>10.636045727304728</c:v>
                </c:pt>
                <c:pt idx="156">
                  <c:v>10.628040334889096</c:v>
                </c:pt>
                <c:pt idx="157">
                  <c:v>10.628040334889096</c:v>
                </c:pt>
                <c:pt idx="158">
                  <c:v>10.627992345256548</c:v>
                </c:pt>
                <c:pt idx="159">
                  <c:v>10.627983452360947</c:v>
                </c:pt>
                <c:pt idx="160">
                  <c:v>10.627979610899649</c:v>
                </c:pt>
                <c:pt idx="161">
                  <c:v>10.621994030604094</c:v>
                </c:pt>
                <c:pt idx="162">
                  <c:v>10.62198422847259</c:v>
                </c:pt>
                <c:pt idx="163">
                  <c:v>10.62198422847259</c:v>
                </c:pt>
                <c:pt idx="164">
                  <c:v>10.621951449886707</c:v>
                </c:pt>
                <c:pt idx="165">
                  <c:v>10.644773444596398</c:v>
                </c:pt>
                <c:pt idx="166">
                  <c:v>10.644773419712147</c:v>
                </c:pt>
                <c:pt idx="167">
                  <c:v>10.644771305330055</c:v>
                </c:pt>
                <c:pt idx="168">
                  <c:v>10.644734304264087</c:v>
                </c:pt>
                <c:pt idx="169">
                  <c:v>10.64477257403502</c:v>
                </c:pt>
                <c:pt idx="170">
                  <c:v>10.644781724913766</c:v>
                </c:pt>
                <c:pt idx="171">
                  <c:v>10.644762822393655</c:v>
                </c:pt>
                <c:pt idx="172">
                  <c:v>10.596232342668465</c:v>
                </c:pt>
                <c:pt idx="173">
                  <c:v>10.596226152274816</c:v>
                </c:pt>
                <c:pt idx="174">
                  <c:v>10.596226152274816</c:v>
                </c:pt>
                <c:pt idx="175">
                  <c:v>10.596191985936819</c:v>
                </c:pt>
                <c:pt idx="176">
                  <c:v>10.579113399125971</c:v>
                </c:pt>
                <c:pt idx="177">
                  <c:v>10.579110569624316</c:v>
                </c:pt>
                <c:pt idx="178">
                  <c:v>10.579036862630714</c:v>
                </c:pt>
                <c:pt idx="179">
                  <c:v>10.579032107520261</c:v>
                </c:pt>
                <c:pt idx="180">
                  <c:v>10.579094455726951</c:v>
                </c:pt>
                <c:pt idx="181">
                  <c:v>10.579094455726951</c:v>
                </c:pt>
                <c:pt idx="182">
                  <c:v>10.579087272775418</c:v>
                </c:pt>
                <c:pt idx="183">
                  <c:v>10.57918975007119</c:v>
                </c:pt>
                <c:pt idx="184">
                  <c:v>10.57918975007119</c:v>
                </c:pt>
                <c:pt idx="185">
                  <c:v>10.573449925757563</c:v>
                </c:pt>
                <c:pt idx="186">
                  <c:v>10.573449925757563</c:v>
                </c:pt>
                <c:pt idx="187">
                  <c:v>10.573449925757563</c:v>
                </c:pt>
                <c:pt idx="188">
                  <c:v>10.573660156977386</c:v>
                </c:pt>
                <c:pt idx="189">
                  <c:v>10.584774931858961</c:v>
                </c:pt>
                <c:pt idx="190">
                  <c:v>10.57079261807748</c:v>
                </c:pt>
                <c:pt idx="191">
                  <c:v>10.57079261807748</c:v>
                </c:pt>
                <c:pt idx="192">
                  <c:v>10.570791809465007</c:v>
                </c:pt>
                <c:pt idx="193">
                  <c:v>10.570791809465007</c:v>
                </c:pt>
                <c:pt idx="194">
                  <c:v>10.570791809465007</c:v>
                </c:pt>
                <c:pt idx="195">
                  <c:v>10.570859132193389</c:v>
                </c:pt>
                <c:pt idx="196">
                  <c:v>10.549087740587535</c:v>
                </c:pt>
                <c:pt idx="197">
                  <c:v>10.548975626968401</c:v>
                </c:pt>
                <c:pt idx="198">
                  <c:v>10.548965422193096</c:v>
                </c:pt>
                <c:pt idx="199">
                  <c:v>10.548965422193096</c:v>
                </c:pt>
                <c:pt idx="200">
                  <c:v>10.541356223324161</c:v>
                </c:pt>
                <c:pt idx="201">
                  <c:v>10.541359609047642</c:v>
                </c:pt>
                <c:pt idx="202">
                  <c:v>10.54125053492109</c:v>
                </c:pt>
                <c:pt idx="203">
                  <c:v>10.54125053492109</c:v>
                </c:pt>
                <c:pt idx="204">
                  <c:v>10.541233561991019</c:v>
                </c:pt>
                <c:pt idx="205">
                  <c:v>10.535660239443812</c:v>
                </c:pt>
                <c:pt idx="206">
                  <c:v>10.535660239443812</c:v>
                </c:pt>
                <c:pt idx="207">
                  <c:v>10.535660239443812</c:v>
                </c:pt>
                <c:pt idx="208">
                  <c:v>10.424362126566612</c:v>
                </c:pt>
                <c:pt idx="209">
                  <c:v>10.444932152700307</c:v>
                </c:pt>
                <c:pt idx="210">
                  <c:v>10.433152240601631</c:v>
                </c:pt>
                <c:pt idx="211">
                  <c:v>10.433152240601631</c:v>
                </c:pt>
                <c:pt idx="212">
                  <c:v>10.433164220789173</c:v>
                </c:pt>
                <c:pt idx="213">
                  <c:v>10.433260494378169</c:v>
                </c:pt>
                <c:pt idx="214">
                  <c:v>10.433260494378169</c:v>
                </c:pt>
                <c:pt idx="215">
                  <c:v>10.433252070440464</c:v>
                </c:pt>
                <c:pt idx="216">
                  <c:v>10.433252070440464</c:v>
                </c:pt>
                <c:pt idx="217">
                  <c:v>10.433201682232747</c:v>
                </c:pt>
                <c:pt idx="218">
                  <c:v>10.433200622632867</c:v>
                </c:pt>
                <c:pt idx="219">
                  <c:v>10.433284141674019</c:v>
                </c:pt>
                <c:pt idx="220">
                  <c:v>10.431510309717909</c:v>
                </c:pt>
                <c:pt idx="221">
                  <c:v>10.431510284013102</c:v>
                </c:pt>
                <c:pt idx="222">
                  <c:v>10.431508216406813</c:v>
                </c:pt>
                <c:pt idx="223">
                  <c:v>10.431711375631462</c:v>
                </c:pt>
                <c:pt idx="224">
                  <c:v>10.431543572869446</c:v>
                </c:pt>
                <c:pt idx="225">
                  <c:v>10.430767230172284</c:v>
                </c:pt>
                <c:pt idx="226">
                  <c:v>10.430610568457443</c:v>
                </c:pt>
                <c:pt idx="227">
                  <c:v>10.430585159112491</c:v>
                </c:pt>
                <c:pt idx="228">
                  <c:v>10.430568637183759</c:v>
                </c:pt>
                <c:pt idx="229">
                  <c:v>10.440740084385505</c:v>
                </c:pt>
                <c:pt idx="230">
                  <c:v>10.440738262020163</c:v>
                </c:pt>
                <c:pt idx="231">
                  <c:v>10.440738262020163</c:v>
                </c:pt>
                <c:pt idx="232">
                  <c:v>10.440738262020163</c:v>
                </c:pt>
                <c:pt idx="233">
                  <c:v>10.440738262020163</c:v>
                </c:pt>
                <c:pt idx="234">
                  <c:v>10.440766270278152</c:v>
                </c:pt>
                <c:pt idx="235">
                  <c:v>10.440748847574792</c:v>
                </c:pt>
                <c:pt idx="236">
                  <c:v>10.412329458609664</c:v>
                </c:pt>
                <c:pt idx="237">
                  <c:v>10.412329458609664</c:v>
                </c:pt>
                <c:pt idx="238">
                  <c:v>10.412349306755161</c:v>
                </c:pt>
                <c:pt idx="239">
                  <c:v>10.414158060207495</c:v>
                </c:pt>
                <c:pt idx="240">
                  <c:v>10.412854335984528</c:v>
                </c:pt>
                <c:pt idx="241">
                  <c:v>10.412831154408734</c:v>
                </c:pt>
                <c:pt idx="242">
                  <c:v>10.412831133004637</c:v>
                </c:pt>
                <c:pt idx="243">
                  <c:v>10.412831133004637</c:v>
                </c:pt>
                <c:pt idx="244">
                  <c:v>10.413033622721038</c:v>
                </c:pt>
                <c:pt idx="245">
                  <c:v>10.413033622721038</c:v>
                </c:pt>
                <c:pt idx="246">
                  <c:v>10.413033421938271</c:v>
                </c:pt>
                <c:pt idx="247">
                  <c:v>10.413033421938271</c:v>
                </c:pt>
                <c:pt idx="248">
                  <c:v>10.413170229166484</c:v>
                </c:pt>
                <c:pt idx="249">
                  <c:v>10.38588231346632</c:v>
                </c:pt>
                <c:pt idx="250">
                  <c:v>10.38588231346632</c:v>
                </c:pt>
                <c:pt idx="251">
                  <c:v>10.385882280029875</c:v>
                </c:pt>
                <c:pt idx="252">
                  <c:v>10.385882280029875</c:v>
                </c:pt>
                <c:pt idx="253">
                  <c:v>10.385823655119999</c:v>
                </c:pt>
                <c:pt idx="254">
                  <c:v>10.413139076033175</c:v>
                </c:pt>
                <c:pt idx="255">
                  <c:v>10.413139076033175</c:v>
                </c:pt>
                <c:pt idx="256">
                  <c:v>10.396168867589592</c:v>
                </c:pt>
                <c:pt idx="257">
                  <c:v>10.396197359743674</c:v>
                </c:pt>
                <c:pt idx="258">
                  <c:v>10.396239762622178</c:v>
                </c:pt>
                <c:pt idx="259">
                  <c:v>10.415909731379495</c:v>
                </c:pt>
                <c:pt idx="260">
                  <c:v>10.410952250951842</c:v>
                </c:pt>
                <c:pt idx="261">
                  <c:v>10.410952250951842</c:v>
                </c:pt>
                <c:pt idx="262">
                  <c:v>10.410953189317231</c:v>
                </c:pt>
                <c:pt idx="263">
                  <c:v>10.410953189317231</c:v>
                </c:pt>
                <c:pt idx="264">
                  <c:v>10.410892704564565</c:v>
                </c:pt>
                <c:pt idx="265">
                  <c:v>10.400151961341738</c:v>
                </c:pt>
                <c:pt idx="266">
                  <c:v>10.400151664093949</c:v>
                </c:pt>
                <c:pt idx="267">
                  <c:v>10.400151520587007</c:v>
                </c:pt>
                <c:pt idx="268">
                  <c:v>10.413660279889388</c:v>
                </c:pt>
                <c:pt idx="269">
                  <c:v>10.413660279889388</c:v>
                </c:pt>
                <c:pt idx="270">
                  <c:v>10.413660279889388</c:v>
                </c:pt>
                <c:pt idx="271">
                  <c:v>10.413731561555702</c:v>
                </c:pt>
                <c:pt idx="272">
                  <c:v>10.413680417342675</c:v>
                </c:pt>
                <c:pt idx="273">
                  <c:v>10.41367740430443</c:v>
                </c:pt>
                <c:pt idx="274">
                  <c:v>10.413659448782612</c:v>
                </c:pt>
                <c:pt idx="275">
                  <c:v>10.396812229028559</c:v>
                </c:pt>
                <c:pt idx="276">
                  <c:v>10.396812229028559</c:v>
                </c:pt>
                <c:pt idx="277">
                  <c:v>10.396788640429929</c:v>
                </c:pt>
                <c:pt idx="278">
                  <c:v>10.396788640429929</c:v>
                </c:pt>
                <c:pt idx="279">
                  <c:v>10.386144364523973</c:v>
                </c:pt>
                <c:pt idx="280">
                  <c:v>10.256046441001345</c:v>
                </c:pt>
                <c:pt idx="281">
                  <c:v>10.256046376164383</c:v>
                </c:pt>
                <c:pt idx="282">
                  <c:v>10.256046376164383</c:v>
                </c:pt>
                <c:pt idx="283">
                  <c:v>10.256074514988828</c:v>
                </c:pt>
                <c:pt idx="284">
                  <c:v>10.251880928517194</c:v>
                </c:pt>
                <c:pt idx="285">
                  <c:v>10.251880876871637</c:v>
                </c:pt>
                <c:pt idx="286">
                  <c:v>10.251873782037555</c:v>
                </c:pt>
                <c:pt idx="287">
                  <c:v>10.251873782037555</c:v>
                </c:pt>
                <c:pt idx="288">
                  <c:v>10.280846259094504</c:v>
                </c:pt>
                <c:pt idx="289">
                  <c:v>10.270479784096578</c:v>
                </c:pt>
                <c:pt idx="290">
                  <c:v>10.270479784096578</c:v>
                </c:pt>
                <c:pt idx="291">
                  <c:v>10.27049553126397</c:v>
                </c:pt>
                <c:pt idx="292">
                  <c:v>10.270398939448073</c:v>
                </c:pt>
                <c:pt idx="293">
                  <c:v>10.270427291071904</c:v>
                </c:pt>
                <c:pt idx="294">
                  <c:v>10.239082680324216</c:v>
                </c:pt>
                <c:pt idx="295">
                  <c:v>10.239084950998157</c:v>
                </c:pt>
                <c:pt idx="296">
                  <c:v>10.239084950998157</c:v>
                </c:pt>
                <c:pt idx="297">
                  <c:v>10.239084470619998</c:v>
                </c:pt>
                <c:pt idx="298">
                  <c:v>10.228720884071281</c:v>
                </c:pt>
                <c:pt idx="299">
                  <c:v>10.228635111436585</c:v>
                </c:pt>
                <c:pt idx="300">
                  <c:v>10.228634211211466</c:v>
                </c:pt>
                <c:pt idx="301">
                  <c:v>10.228630009784649</c:v>
                </c:pt>
                <c:pt idx="302">
                  <c:v>10.228639066025716</c:v>
                </c:pt>
                <c:pt idx="303">
                  <c:v>10.224912845081537</c:v>
                </c:pt>
                <c:pt idx="304">
                  <c:v>10.224909466356079</c:v>
                </c:pt>
                <c:pt idx="305">
                  <c:v>10.224906686788614</c:v>
                </c:pt>
                <c:pt idx="306">
                  <c:v>10.224894230669214</c:v>
                </c:pt>
                <c:pt idx="307">
                  <c:v>10.224893917007613</c:v>
                </c:pt>
                <c:pt idx="308">
                  <c:v>10.224892021451373</c:v>
                </c:pt>
                <c:pt idx="309">
                  <c:v>10.224891916897864</c:v>
                </c:pt>
                <c:pt idx="310">
                  <c:v>10.224891916897864</c:v>
                </c:pt>
                <c:pt idx="311">
                  <c:v>10.224876871063705</c:v>
                </c:pt>
                <c:pt idx="312">
                  <c:v>10.242796077040378</c:v>
                </c:pt>
                <c:pt idx="313">
                  <c:v>10.232675453746692</c:v>
                </c:pt>
                <c:pt idx="314">
                  <c:v>10.23267334467168</c:v>
                </c:pt>
                <c:pt idx="315">
                  <c:v>10.23264086927642</c:v>
                </c:pt>
                <c:pt idx="316">
                  <c:v>10.232640855634916</c:v>
                </c:pt>
                <c:pt idx="317">
                  <c:v>10.232621975378201</c:v>
                </c:pt>
                <c:pt idx="318">
                  <c:v>10.232631291240461</c:v>
                </c:pt>
                <c:pt idx="319">
                  <c:v>10.23251036368204</c:v>
                </c:pt>
                <c:pt idx="320">
                  <c:v>10.23250050248739</c:v>
                </c:pt>
                <c:pt idx="321">
                  <c:v>10.23234033135688</c:v>
                </c:pt>
                <c:pt idx="322">
                  <c:v>10.232290496043749</c:v>
                </c:pt>
                <c:pt idx="323">
                  <c:v>10.222368295252164</c:v>
                </c:pt>
                <c:pt idx="324">
                  <c:v>10.222379370033945</c:v>
                </c:pt>
                <c:pt idx="325">
                  <c:v>10.222379370033945</c:v>
                </c:pt>
                <c:pt idx="326">
                  <c:v>10.222369070285714</c:v>
                </c:pt>
                <c:pt idx="327">
                  <c:v>10.222368824912149</c:v>
                </c:pt>
                <c:pt idx="328">
                  <c:v>10.218639982649586</c:v>
                </c:pt>
                <c:pt idx="329">
                  <c:v>10.218639871087785</c:v>
                </c:pt>
                <c:pt idx="330">
                  <c:v>10.11224560111182</c:v>
                </c:pt>
                <c:pt idx="331">
                  <c:v>10.095003035439298</c:v>
                </c:pt>
                <c:pt idx="332">
                  <c:v>10.110326756457928</c:v>
                </c:pt>
                <c:pt idx="333">
                  <c:v>10.101028573329216</c:v>
                </c:pt>
                <c:pt idx="334">
                  <c:v>10.100971438623709</c:v>
                </c:pt>
                <c:pt idx="335">
                  <c:v>10.100970891285717</c:v>
                </c:pt>
                <c:pt idx="336">
                  <c:v>10.100970448243523</c:v>
                </c:pt>
                <c:pt idx="337">
                  <c:v>10.100969900906515</c:v>
                </c:pt>
                <c:pt idx="338">
                  <c:v>10.100964723554634</c:v>
                </c:pt>
                <c:pt idx="339">
                  <c:v>10.080307760048548</c:v>
                </c:pt>
                <c:pt idx="340">
                  <c:v>10.080307760048548</c:v>
                </c:pt>
                <c:pt idx="341">
                  <c:v>10.080273894169146</c:v>
                </c:pt>
                <c:pt idx="342">
                  <c:v>10.080278049675938</c:v>
                </c:pt>
                <c:pt idx="343">
                  <c:v>10.071442151764645</c:v>
                </c:pt>
                <c:pt idx="344">
                  <c:v>10.071442151764645</c:v>
                </c:pt>
                <c:pt idx="345">
                  <c:v>10.071451178859341</c:v>
                </c:pt>
                <c:pt idx="346">
                  <c:v>10.071451178859341</c:v>
                </c:pt>
                <c:pt idx="347">
                  <c:v>10.071386792337437</c:v>
                </c:pt>
                <c:pt idx="348">
                  <c:v>10.068509803305927</c:v>
                </c:pt>
                <c:pt idx="349">
                  <c:v>10.068510650813579</c:v>
                </c:pt>
                <c:pt idx="350">
                  <c:v>10.068510650813579</c:v>
                </c:pt>
                <c:pt idx="351">
                  <c:v>10.083312508008309</c:v>
                </c:pt>
                <c:pt idx="352">
                  <c:v>10.083261860332019</c:v>
                </c:pt>
                <c:pt idx="353">
                  <c:v>10.083256409495393</c:v>
                </c:pt>
                <c:pt idx="354">
                  <c:v>10.083256409495393</c:v>
                </c:pt>
                <c:pt idx="355">
                  <c:v>10.083256409495393</c:v>
                </c:pt>
                <c:pt idx="356">
                  <c:v>10.083297975864268</c:v>
                </c:pt>
                <c:pt idx="357">
                  <c:v>10.083300480961745</c:v>
                </c:pt>
                <c:pt idx="358">
                  <c:v>10.058798438844518</c:v>
                </c:pt>
                <c:pt idx="359">
                  <c:v>10.058798405692121</c:v>
                </c:pt>
                <c:pt idx="360">
                  <c:v>10.058799949131801</c:v>
                </c:pt>
                <c:pt idx="361">
                  <c:v>10.058799949131801</c:v>
                </c:pt>
                <c:pt idx="362">
                  <c:v>10.058804888052366</c:v>
                </c:pt>
                <c:pt idx="363">
                  <c:v>10.058804399614477</c:v>
                </c:pt>
                <c:pt idx="364">
                  <c:v>10.058804399614477</c:v>
                </c:pt>
                <c:pt idx="365">
                  <c:v>10.058804399614477</c:v>
                </c:pt>
                <c:pt idx="366">
                  <c:v>10.058804399614477</c:v>
                </c:pt>
                <c:pt idx="367">
                  <c:v>10.058729280764261</c:v>
                </c:pt>
                <c:pt idx="368">
                  <c:v>10.058729197891635</c:v>
                </c:pt>
                <c:pt idx="369">
                  <c:v>10.058726711720267</c:v>
                </c:pt>
                <c:pt idx="370">
                  <c:v>10.058754136288746</c:v>
                </c:pt>
                <c:pt idx="371">
                  <c:v>10.058678169105018</c:v>
                </c:pt>
                <c:pt idx="372">
                  <c:v>10.056059751027204</c:v>
                </c:pt>
                <c:pt idx="373">
                  <c:v>10.056059751027204</c:v>
                </c:pt>
                <c:pt idx="374">
                  <c:v>10.056055677924633</c:v>
                </c:pt>
                <c:pt idx="375">
                  <c:v>10.056056562591534</c:v>
                </c:pt>
                <c:pt idx="376">
                  <c:v>10.068770576293524</c:v>
                </c:pt>
                <c:pt idx="377">
                  <c:v>10.068770576293524</c:v>
                </c:pt>
                <c:pt idx="378">
                  <c:v>10.06876201876976</c:v>
                </c:pt>
                <c:pt idx="379">
                  <c:v>10.06876201876976</c:v>
                </c:pt>
                <c:pt idx="380">
                  <c:v>10.068812270376814</c:v>
                </c:pt>
                <c:pt idx="381">
                  <c:v>10.068808187644967</c:v>
                </c:pt>
                <c:pt idx="382">
                  <c:v>10.068249097666406</c:v>
                </c:pt>
                <c:pt idx="383">
                  <c:v>10.068200605407863</c:v>
                </c:pt>
                <c:pt idx="384">
                  <c:v>10.068021992391433</c:v>
                </c:pt>
                <c:pt idx="385">
                  <c:v>10.067065657642885</c:v>
                </c:pt>
                <c:pt idx="386">
                  <c:v>10.067065657642885</c:v>
                </c:pt>
                <c:pt idx="387">
                  <c:v>10.066978462492006</c:v>
                </c:pt>
                <c:pt idx="388">
                  <c:v>10.066972110463379</c:v>
                </c:pt>
                <c:pt idx="389">
                  <c:v>10.066968830127095</c:v>
                </c:pt>
                <c:pt idx="390">
                  <c:v>10.066870314853006</c:v>
                </c:pt>
                <c:pt idx="391">
                  <c:v>10.066234594754013</c:v>
                </c:pt>
                <c:pt idx="392">
                  <c:v>10.066215258901275</c:v>
                </c:pt>
                <c:pt idx="393">
                  <c:v>10.066215258901275</c:v>
                </c:pt>
                <c:pt idx="394">
                  <c:v>10.065940423814761</c:v>
                </c:pt>
                <c:pt idx="395">
                  <c:v>10.087111888541051</c:v>
                </c:pt>
                <c:pt idx="396">
                  <c:v>10.084504896608356</c:v>
                </c:pt>
                <c:pt idx="397">
                  <c:v>10.084526458899187</c:v>
                </c:pt>
                <c:pt idx="398">
                  <c:v>10.084526458899187</c:v>
                </c:pt>
                <c:pt idx="399">
                  <c:v>10.084526458899187</c:v>
                </c:pt>
                <c:pt idx="400">
                  <c:v>10.084526458899187</c:v>
                </c:pt>
                <c:pt idx="401">
                  <c:v>10.084526458899187</c:v>
                </c:pt>
                <c:pt idx="402">
                  <c:v>10.075337846333356</c:v>
                </c:pt>
                <c:pt idx="403">
                  <c:v>10.075336243488877</c:v>
                </c:pt>
                <c:pt idx="404">
                  <c:v>10.075332706690636</c:v>
                </c:pt>
                <c:pt idx="405">
                  <c:v>10.075347502838868</c:v>
                </c:pt>
                <c:pt idx="406">
                  <c:v>10.074683021349367</c:v>
                </c:pt>
                <c:pt idx="407">
                  <c:v>10.074675000664492</c:v>
                </c:pt>
                <c:pt idx="408">
                  <c:v>10.074675000664492</c:v>
                </c:pt>
                <c:pt idx="409">
                  <c:v>10.074683033211466</c:v>
                </c:pt>
                <c:pt idx="410">
                  <c:v>10.074683033211466</c:v>
                </c:pt>
                <c:pt idx="411">
                  <c:v>10.074683033211466</c:v>
                </c:pt>
                <c:pt idx="412">
                  <c:v>10.074673000858574</c:v>
                </c:pt>
                <c:pt idx="413">
                  <c:v>10.074643495023878</c:v>
                </c:pt>
                <c:pt idx="414">
                  <c:v>10.074643495023878</c:v>
                </c:pt>
                <c:pt idx="415">
                  <c:v>10.074701824957137</c:v>
                </c:pt>
                <c:pt idx="416">
                  <c:v>10.074701824957137</c:v>
                </c:pt>
                <c:pt idx="417">
                  <c:v>10.074627716233939</c:v>
                </c:pt>
                <c:pt idx="418">
                  <c:v>10.074615876295148</c:v>
                </c:pt>
                <c:pt idx="419">
                  <c:v>10.074615613357734</c:v>
                </c:pt>
                <c:pt idx="420">
                  <c:v>10.074615613357734</c:v>
                </c:pt>
                <c:pt idx="421">
                  <c:v>10.070485858944412</c:v>
                </c:pt>
                <c:pt idx="422">
                  <c:v>10.070490740887383</c:v>
                </c:pt>
                <c:pt idx="423">
                  <c:v>10.070443504658673</c:v>
                </c:pt>
                <c:pt idx="424">
                  <c:v>10.070408312028201</c:v>
                </c:pt>
                <c:pt idx="425">
                  <c:v>10.083872939869982</c:v>
                </c:pt>
                <c:pt idx="426">
                  <c:v>10.083872939869982</c:v>
                </c:pt>
                <c:pt idx="427">
                  <c:v>10.070503519713535</c:v>
                </c:pt>
                <c:pt idx="428">
                  <c:v>10.070503519713535</c:v>
                </c:pt>
                <c:pt idx="429">
                  <c:v>10.070503519713535</c:v>
                </c:pt>
                <c:pt idx="430">
                  <c:v>10.070503519713535</c:v>
                </c:pt>
                <c:pt idx="431">
                  <c:v>10.0662</c:v>
                </c:pt>
                <c:pt idx="432">
                  <c:v>10.066183664136389</c:v>
                </c:pt>
                <c:pt idx="433">
                  <c:v>10.066183664136389</c:v>
                </c:pt>
                <c:pt idx="434">
                  <c:v>10.066185710904085</c:v>
                </c:pt>
                <c:pt idx="435">
                  <c:v>10.064334217143793</c:v>
                </c:pt>
                <c:pt idx="436">
                  <c:v>10.064334169494561</c:v>
                </c:pt>
                <c:pt idx="437">
                  <c:v>10.06433416444162</c:v>
                </c:pt>
                <c:pt idx="438">
                  <c:v>10.07972240722353</c:v>
                </c:pt>
                <c:pt idx="439">
                  <c:v>10.079772998603675</c:v>
                </c:pt>
                <c:pt idx="440">
                  <c:v>10.076761752619518</c:v>
                </c:pt>
                <c:pt idx="441">
                  <c:v>10.076761752619518</c:v>
                </c:pt>
                <c:pt idx="442">
                  <c:v>10.076761752619518</c:v>
                </c:pt>
                <c:pt idx="443">
                  <c:v>10.076681232137535</c:v>
                </c:pt>
                <c:pt idx="444">
                  <c:v>10.076668979939196</c:v>
                </c:pt>
                <c:pt idx="445">
                  <c:v>10.076663813898143</c:v>
                </c:pt>
                <c:pt idx="446">
                  <c:v>10.079426884695144</c:v>
                </c:pt>
                <c:pt idx="447">
                  <c:v>10.079489448269543</c:v>
                </c:pt>
                <c:pt idx="448">
                  <c:v>10.079480437799546</c:v>
                </c:pt>
                <c:pt idx="449">
                  <c:v>10.079556385375781</c:v>
                </c:pt>
                <c:pt idx="450">
                  <c:v>10.077627426855649</c:v>
                </c:pt>
                <c:pt idx="451">
                  <c:v>10.077625508321022</c:v>
                </c:pt>
                <c:pt idx="452">
                  <c:v>10.077624813060188</c:v>
                </c:pt>
                <c:pt idx="453">
                  <c:v>10.077620995106164</c:v>
                </c:pt>
                <c:pt idx="454">
                  <c:v>10.07762050831897</c:v>
                </c:pt>
                <c:pt idx="455">
                  <c:v>10.076170298778587</c:v>
                </c:pt>
                <c:pt idx="456">
                  <c:v>10.076170042600264</c:v>
                </c:pt>
                <c:pt idx="457">
                  <c:v>10.076170042600264</c:v>
                </c:pt>
                <c:pt idx="458">
                  <c:v>10.076491545109885</c:v>
                </c:pt>
                <c:pt idx="459">
                  <c:v>10.093585633180899</c:v>
                </c:pt>
                <c:pt idx="460">
                  <c:v>10.090746032650957</c:v>
                </c:pt>
                <c:pt idx="461">
                  <c:v>10.090746032650957</c:v>
                </c:pt>
                <c:pt idx="462">
                  <c:v>10.090773756079981</c:v>
                </c:pt>
                <c:pt idx="463">
                  <c:v>10.090754059795275</c:v>
                </c:pt>
                <c:pt idx="464">
                  <c:v>10.090735971188046</c:v>
                </c:pt>
                <c:pt idx="465">
                  <c:v>10.090718199651311</c:v>
                </c:pt>
                <c:pt idx="466">
                  <c:v>10.086040304056997</c:v>
                </c:pt>
                <c:pt idx="467">
                  <c:v>10.086039511490313</c:v>
                </c:pt>
                <c:pt idx="468">
                  <c:v>10.086036501069607</c:v>
                </c:pt>
                <c:pt idx="469">
                  <c:v>10.086041223937622</c:v>
                </c:pt>
                <c:pt idx="470">
                  <c:v>10.082782567277619</c:v>
                </c:pt>
                <c:pt idx="471">
                  <c:v>10.082779714087678</c:v>
                </c:pt>
                <c:pt idx="472">
                  <c:v>10.082779714087678</c:v>
                </c:pt>
                <c:pt idx="473">
                  <c:v>10.082779714087678</c:v>
                </c:pt>
                <c:pt idx="474">
                  <c:v>10.082791657669075</c:v>
                </c:pt>
                <c:pt idx="475">
                  <c:v>10.081036522941561</c:v>
                </c:pt>
                <c:pt idx="476">
                  <c:v>10.081036498508503</c:v>
                </c:pt>
                <c:pt idx="477">
                  <c:v>10.081036034280737</c:v>
                </c:pt>
                <c:pt idx="478">
                  <c:v>10.081036034280737</c:v>
                </c:pt>
                <c:pt idx="479">
                  <c:v>10.081031201206079</c:v>
                </c:pt>
                <c:pt idx="480">
                  <c:v>10.081028424876209</c:v>
                </c:pt>
                <c:pt idx="481">
                  <c:v>10.081061378311709</c:v>
                </c:pt>
                <c:pt idx="482">
                  <c:v>10.081047799687324</c:v>
                </c:pt>
                <c:pt idx="483">
                  <c:v>10.081044119764627</c:v>
                </c:pt>
                <c:pt idx="484">
                  <c:v>10.081159516340959</c:v>
                </c:pt>
                <c:pt idx="485">
                  <c:v>10.078642598287441</c:v>
                </c:pt>
                <c:pt idx="486">
                  <c:v>10.078643351111234</c:v>
                </c:pt>
                <c:pt idx="487">
                  <c:v>10.078639726667195</c:v>
                </c:pt>
                <c:pt idx="488">
                  <c:v>10.078639726667195</c:v>
                </c:pt>
                <c:pt idx="489">
                  <c:v>10.090076426432466</c:v>
                </c:pt>
                <c:pt idx="490">
                  <c:v>10.090066539919047</c:v>
                </c:pt>
                <c:pt idx="491">
                  <c:v>10.083064004802813</c:v>
                </c:pt>
                <c:pt idx="492">
                  <c:v>10.083061314728022</c:v>
                </c:pt>
                <c:pt idx="493">
                  <c:v>10.083060831999626</c:v>
                </c:pt>
                <c:pt idx="494">
                  <c:v>10.083060556116475</c:v>
                </c:pt>
                <c:pt idx="495">
                  <c:v>10.083060556116475</c:v>
                </c:pt>
                <c:pt idx="496">
                  <c:v>10.083060556116475</c:v>
                </c:pt>
                <c:pt idx="497">
                  <c:v>10.083059976843922</c:v>
                </c:pt>
                <c:pt idx="498">
                  <c:v>10.083055125481478</c:v>
                </c:pt>
                <c:pt idx="499">
                  <c:v>10.083066267674511</c:v>
                </c:pt>
                <c:pt idx="500">
                  <c:v>10.081994912140683</c:v>
                </c:pt>
                <c:pt idx="501">
                  <c:v>10.081994912140683</c:v>
                </c:pt>
                <c:pt idx="502">
                  <c:v>10.081994885661999</c:v>
                </c:pt>
                <c:pt idx="503">
                  <c:v>10.081994885661999</c:v>
                </c:pt>
                <c:pt idx="504">
                  <c:v>10.081994837518945</c:v>
                </c:pt>
                <c:pt idx="505">
                  <c:v>10.081994679881088</c:v>
                </c:pt>
                <c:pt idx="506">
                  <c:v>10.081994670930749</c:v>
                </c:pt>
                <c:pt idx="507">
                  <c:v>10.081992745216169</c:v>
                </c:pt>
                <c:pt idx="508">
                  <c:v>10.081987535859852</c:v>
                </c:pt>
                <c:pt idx="509">
                  <c:v>10.081981260664136</c:v>
                </c:pt>
                <c:pt idx="510">
                  <c:v>10.109324662102134</c:v>
                </c:pt>
                <c:pt idx="511">
                  <c:v>10.109324662102134</c:v>
                </c:pt>
                <c:pt idx="512">
                  <c:v>10.109340552570934</c:v>
                </c:pt>
                <c:pt idx="513">
                  <c:v>10.12220710229504</c:v>
                </c:pt>
                <c:pt idx="514">
                  <c:v>10.12006528095376</c:v>
                </c:pt>
                <c:pt idx="515">
                  <c:v>10.120069678835998</c:v>
                </c:pt>
                <c:pt idx="516">
                  <c:v>10.120040377707456</c:v>
                </c:pt>
                <c:pt idx="517">
                  <c:v>10.120043886528348</c:v>
                </c:pt>
                <c:pt idx="518">
                  <c:v>10.120029365206484</c:v>
                </c:pt>
                <c:pt idx="519">
                  <c:v>10.117291783823243</c:v>
                </c:pt>
                <c:pt idx="520">
                  <c:v>10.117291783823243</c:v>
                </c:pt>
                <c:pt idx="521">
                  <c:v>10.117290057251472</c:v>
                </c:pt>
                <c:pt idx="522">
                  <c:v>10.132770788998592</c:v>
                </c:pt>
                <c:pt idx="523">
                  <c:v>10.131326993487498</c:v>
                </c:pt>
                <c:pt idx="524">
                  <c:v>10.131326993487498</c:v>
                </c:pt>
                <c:pt idx="525">
                  <c:v>10.131322284141207</c:v>
                </c:pt>
                <c:pt idx="526">
                  <c:v>10.131280263060479</c:v>
                </c:pt>
                <c:pt idx="527">
                  <c:v>10.131257035190673</c:v>
                </c:pt>
                <c:pt idx="528">
                  <c:v>10.131257035190673</c:v>
                </c:pt>
                <c:pt idx="529">
                  <c:v>10.130089500015792</c:v>
                </c:pt>
                <c:pt idx="530">
                  <c:v>10.130089500015792</c:v>
                </c:pt>
                <c:pt idx="531">
                  <c:v>10.130089500015792</c:v>
                </c:pt>
                <c:pt idx="532">
                  <c:v>10.130088612904226</c:v>
                </c:pt>
                <c:pt idx="533">
                  <c:v>10.127967761639226</c:v>
                </c:pt>
                <c:pt idx="534">
                  <c:v>10.127967761639226</c:v>
                </c:pt>
                <c:pt idx="535">
                  <c:v>10.1279622536125</c:v>
                </c:pt>
                <c:pt idx="536">
                  <c:v>10.127962229023311</c:v>
                </c:pt>
                <c:pt idx="537">
                  <c:v>10.128020984716519</c:v>
                </c:pt>
                <c:pt idx="538">
                  <c:v>10.125364916600542</c:v>
                </c:pt>
                <c:pt idx="539">
                  <c:v>10.125364916600542</c:v>
                </c:pt>
                <c:pt idx="540">
                  <c:v>10.125355388612006</c:v>
                </c:pt>
                <c:pt idx="541">
                  <c:v>10.125355388612006</c:v>
                </c:pt>
                <c:pt idx="542">
                  <c:v>10.141744243621172</c:v>
                </c:pt>
                <c:pt idx="543">
                  <c:v>10.1407924723788</c:v>
                </c:pt>
                <c:pt idx="544">
                  <c:v>10.140773399645839</c:v>
                </c:pt>
                <c:pt idx="545">
                  <c:v>10.140768924632944</c:v>
                </c:pt>
                <c:pt idx="546">
                  <c:v>10.140787301249192</c:v>
                </c:pt>
                <c:pt idx="547">
                  <c:v>10.14081631609427</c:v>
                </c:pt>
                <c:pt idx="548">
                  <c:v>10.140807601350261</c:v>
                </c:pt>
                <c:pt idx="549">
                  <c:v>10.140807601350261</c:v>
                </c:pt>
                <c:pt idx="550">
                  <c:v>10.140806124128074</c:v>
                </c:pt>
                <c:pt idx="551">
                  <c:v>10.140806124128074</c:v>
                </c:pt>
                <c:pt idx="552">
                  <c:v>10.140821969777903</c:v>
                </c:pt>
                <c:pt idx="553">
                  <c:v>10.144950425310688</c:v>
                </c:pt>
                <c:pt idx="554">
                  <c:v>10.144950425310688</c:v>
                </c:pt>
                <c:pt idx="555">
                  <c:v>10.144927695750948</c:v>
                </c:pt>
                <c:pt idx="556">
                  <c:v>10.144923926705202</c:v>
                </c:pt>
                <c:pt idx="557">
                  <c:v>10.14499461807411</c:v>
                </c:pt>
                <c:pt idx="558">
                  <c:v>10.144994368252043</c:v>
                </c:pt>
                <c:pt idx="559">
                  <c:v>10.144994368252043</c:v>
                </c:pt>
                <c:pt idx="560">
                  <c:v>10.145039066673656</c:v>
                </c:pt>
                <c:pt idx="561">
                  <c:v>10.145065543093748</c:v>
                </c:pt>
                <c:pt idx="562">
                  <c:v>10.144830349786222</c:v>
                </c:pt>
                <c:pt idx="563">
                  <c:v>10.144829101883355</c:v>
                </c:pt>
                <c:pt idx="564">
                  <c:v>10.14482905196734</c:v>
                </c:pt>
                <c:pt idx="565">
                  <c:v>10.14481881523848</c:v>
                </c:pt>
                <c:pt idx="566">
                  <c:v>10.152344573913155</c:v>
                </c:pt>
                <c:pt idx="567">
                  <c:v>10.153255200060665</c:v>
                </c:pt>
                <c:pt idx="568">
                  <c:v>10.153248053207809</c:v>
                </c:pt>
                <c:pt idx="569">
                  <c:v>10.153242408300352</c:v>
                </c:pt>
                <c:pt idx="570">
                  <c:v>10.153266325043141</c:v>
                </c:pt>
                <c:pt idx="571">
                  <c:v>10.153265143837194</c:v>
                </c:pt>
                <c:pt idx="572">
                  <c:v>10.153264890994484</c:v>
                </c:pt>
                <c:pt idx="573">
                  <c:v>10.155231302058395</c:v>
                </c:pt>
                <c:pt idx="574">
                  <c:v>10.155231302058395</c:v>
                </c:pt>
                <c:pt idx="575">
                  <c:v>10.155231078381018</c:v>
                </c:pt>
                <c:pt idx="576">
                  <c:v>10.155286558878609</c:v>
                </c:pt>
                <c:pt idx="577">
                  <c:v>10.155552648755096</c:v>
                </c:pt>
                <c:pt idx="578">
                  <c:v>10.155552648755096</c:v>
                </c:pt>
                <c:pt idx="579">
                  <c:v>10.155535542750261</c:v>
                </c:pt>
                <c:pt idx="580">
                  <c:v>10.155526095636239</c:v>
                </c:pt>
                <c:pt idx="581">
                  <c:v>10.155497488736891</c:v>
                </c:pt>
                <c:pt idx="582">
                  <c:v>10.155471571778479</c:v>
                </c:pt>
                <c:pt idx="583">
                  <c:v>10.155471521107964</c:v>
                </c:pt>
                <c:pt idx="584">
                  <c:v>10.155471521107964</c:v>
                </c:pt>
                <c:pt idx="585">
                  <c:v>10.320359981940793</c:v>
                </c:pt>
                <c:pt idx="586">
                  <c:v>10.331862440898959</c:v>
                </c:pt>
                <c:pt idx="587">
                  <c:v>10.33212291819267</c:v>
                </c:pt>
                <c:pt idx="588">
                  <c:v>10.332115410851673</c:v>
                </c:pt>
                <c:pt idx="589">
                  <c:v>10.332112332353415</c:v>
                </c:pt>
                <c:pt idx="590">
                  <c:v>10.332101400993128</c:v>
                </c:pt>
                <c:pt idx="591">
                  <c:v>10.33209801537267</c:v>
                </c:pt>
                <c:pt idx="592">
                  <c:v>10.35</c:v>
                </c:pt>
                <c:pt idx="593">
                  <c:v>10.355262355333968</c:v>
                </c:pt>
                <c:pt idx="594">
                  <c:v>10.355262355333968</c:v>
                </c:pt>
                <c:pt idx="595">
                  <c:v>10.355270018295341</c:v>
                </c:pt>
                <c:pt idx="596">
                  <c:v>10.355567494067929</c:v>
                </c:pt>
                <c:pt idx="597">
                  <c:v>10.355566465552068</c:v>
                </c:pt>
                <c:pt idx="598">
                  <c:v>10.355565821465307</c:v>
                </c:pt>
                <c:pt idx="599">
                  <c:v>10.355613332850883</c:v>
                </c:pt>
                <c:pt idx="600">
                  <c:v>10.355611275726403</c:v>
                </c:pt>
                <c:pt idx="601">
                  <c:v>10.355307772595935</c:v>
                </c:pt>
                <c:pt idx="602">
                  <c:v>10.355307772595935</c:v>
                </c:pt>
                <c:pt idx="603">
                  <c:v>10.355307772595935</c:v>
                </c:pt>
                <c:pt idx="604">
                  <c:v>10.355307772595935</c:v>
                </c:pt>
                <c:pt idx="605">
                  <c:v>10.355307772595935</c:v>
                </c:pt>
                <c:pt idx="606">
                  <c:v>10.355307772595935</c:v>
                </c:pt>
                <c:pt idx="607">
                  <c:v>10.355369672252907</c:v>
                </c:pt>
                <c:pt idx="608">
                  <c:v>10.35533125495283</c:v>
                </c:pt>
                <c:pt idx="609">
                  <c:v>10.355331248467916</c:v>
                </c:pt>
                <c:pt idx="610">
                  <c:v>10.355432192884923</c:v>
                </c:pt>
                <c:pt idx="611">
                  <c:v>10.355932789024351</c:v>
                </c:pt>
                <c:pt idx="612">
                  <c:v>10.355932789024351</c:v>
                </c:pt>
                <c:pt idx="613">
                  <c:v>10.355932789024351</c:v>
                </c:pt>
                <c:pt idx="614">
                  <c:v>10.355932789024351</c:v>
                </c:pt>
                <c:pt idx="615">
                  <c:v>10.357731591002311</c:v>
                </c:pt>
                <c:pt idx="616">
                  <c:v>10.357731591002311</c:v>
                </c:pt>
                <c:pt idx="617">
                  <c:v>10.369442571883816</c:v>
                </c:pt>
                <c:pt idx="618">
                  <c:v>10.369442571883816</c:v>
                </c:pt>
                <c:pt idx="619">
                  <c:v>10.369442571883816</c:v>
                </c:pt>
                <c:pt idx="620">
                  <c:v>10.369442571883816</c:v>
                </c:pt>
                <c:pt idx="621">
                  <c:v>10.369621647884019</c:v>
                </c:pt>
                <c:pt idx="622">
                  <c:v>10.369621647884019</c:v>
                </c:pt>
                <c:pt idx="623">
                  <c:v>10.369621647884019</c:v>
                </c:pt>
                <c:pt idx="624">
                  <c:v>10.369621647884019</c:v>
                </c:pt>
                <c:pt idx="625">
                  <c:v>10.369662875582284</c:v>
                </c:pt>
                <c:pt idx="626">
                  <c:v>10.369699296711971</c:v>
                </c:pt>
                <c:pt idx="627">
                  <c:v>10.369693462138953</c:v>
                </c:pt>
                <c:pt idx="628">
                  <c:v>10.369693462138953</c:v>
                </c:pt>
                <c:pt idx="629">
                  <c:v>10.369686220273456</c:v>
                </c:pt>
                <c:pt idx="630">
                  <c:v>10.370540249446204</c:v>
                </c:pt>
                <c:pt idx="631">
                  <c:v>10.370537026891515</c:v>
                </c:pt>
                <c:pt idx="632">
                  <c:v>10.370537026891515</c:v>
                </c:pt>
                <c:pt idx="633">
                  <c:v>10.370515343653421</c:v>
                </c:pt>
                <c:pt idx="634">
                  <c:v>10.370636748500523</c:v>
                </c:pt>
                <c:pt idx="635">
                  <c:v>10.370628434456695</c:v>
                </c:pt>
                <c:pt idx="636">
                  <c:v>10.409984063754987</c:v>
                </c:pt>
                <c:pt idx="637">
                  <c:v>10.409988234062876</c:v>
                </c:pt>
                <c:pt idx="638">
                  <c:v>10.409987799297598</c:v>
                </c:pt>
                <c:pt idx="639">
                  <c:v>10.415617597316803</c:v>
                </c:pt>
                <c:pt idx="640">
                  <c:v>10.416200809156534</c:v>
                </c:pt>
                <c:pt idx="641">
                  <c:v>10.416199437218179</c:v>
                </c:pt>
                <c:pt idx="642">
                  <c:v>10.416194176744188</c:v>
                </c:pt>
                <c:pt idx="643">
                  <c:v>10.416191112360286</c:v>
                </c:pt>
                <c:pt idx="644">
                  <c:v>10.416190566994349</c:v>
                </c:pt>
                <c:pt idx="645">
                  <c:v>10.416190566994349</c:v>
                </c:pt>
                <c:pt idx="646">
                  <c:v>10.416185715483984</c:v>
                </c:pt>
                <c:pt idx="647">
                  <c:v>10.416185649208378</c:v>
                </c:pt>
                <c:pt idx="648">
                  <c:v>10.416179419344243</c:v>
                </c:pt>
                <c:pt idx="649">
                  <c:v>10.420551766739679</c:v>
                </c:pt>
                <c:pt idx="650">
                  <c:v>10.420551766739679</c:v>
                </c:pt>
                <c:pt idx="651">
                  <c:v>10.420554969598101</c:v>
                </c:pt>
                <c:pt idx="652">
                  <c:v>10.420637603065659</c:v>
                </c:pt>
                <c:pt idx="653">
                  <c:v>10.420632032767726</c:v>
                </c:pt>
                <c:pt idx="654">
                  <c:v>10.420629061568008</c:v>
                </c:pt>
                <c:pt idx="655">
                  <c:v>10.420626849007004</c:v>
                </c:pt>
                <c:pt idx="656">
                  <c:v>10.435146637992183</c:v>
                </c:pt>
                <c:pt idx="657">
                  <c:v>10.435146607092724</c:v>
                </c:pt>
                <c:pt idx="658">
                  <c:v>10.435146607092724</c:v>
                </c:pt>
                <c:pt idx="659">
                  <c:v>10.435204248906462</c:v>
                </c:pt>
                <c:pt idx="660">
                  <c:v>10.435405221775808</c:v>
                </c:pt>
                <c:pt idx="661">
                  <c:v>10.43540491350446</c:v>
                </c:pt>
                <c:pt idx="662">
                  <c:v>10.435404740315898</c:v>
                </c:pt>
                <c:pt idx="663">
                  <c:v>10.435404740315898</c:v>
                </c:pt>
                <c:pt idx="664">
                  <c:v>10.435417748073899</c:v>
                </c:pt>
                <c:pt idx="665">
                  <c:v>10.435455046859889</c:v>
                </c:pt>
                <c:pt idx="666">
                  <c:v>10.435455046859889</c:v>
                </c:pt>
                <c:pt idx="667">
                  <c:v>10.435455046859889</c:v>
                </c:pt>
                <c:pt idx="668">
                  <c:v>10.435448289164301</c:v>
                </c:pt>
                <c:pt idx="669">
                  <c:v>10.435447945393356</c:v>
                </c:pt>
                <c:pt idx="670">
                  <c:v>10.435447637384756</c:v>
                </c:pt>
                <c:pt idx="671">
                  <c:v>10.435447637384756</c:v>
                </c:pt>
                <c:pt idx="672">
                  <c:v>10.435527173372556</c:v>
                </c:pt>
                <c:pt idx="673">
                  <c:v>10.435523827582267</c:v>
                </c:pt>
                <c:pt idx="674">
                  <c:v>10.444607816359024</c:v>
                </c:pt>
                <c:pt idx="675">
                  <c:v>10.445224863285734</c:v>
                </c:pt>
                <c:pt idx="676">
                  <c:v>10.445214519540846</c:v>
                </c:pt>
                <c:pt idx="677">
                  <c:v>10.445214519540846</c:v>
                </c:pt>
                <c:pt idx="678">
                  <c:v>10.445214180291456</c:v>
                </c:pt>
                <c:pt idx="679">
                  <c:v>10.445213510944656</c:v>
                </c:pt>
                <c:pt idx="680">
                  <c:v>10.445213510944656</c:v>
                </c:pt>
                <c:pt idx="681">
                  <c:v>10.445213510944656</c:v>
                </c:pt>
                <c:pt idx="682">
                  <c:v>10.453408345671964</c:v>
                </c:pt>
                <c:pt idx="683">
                  <c:v>10.45340827808109</c:v>
                </c:pt>
                <c:pt idx="684">
                  <c:v>10.453450443875761</c:v>
                </c:pt>
                <c:pt idx="685">
                  <c:v>10.453425910852198</c:v>
                </c:pt>
                <c:pt idx="686">
                  <c:v>10.453425910852198</c:v>
                </c:pt>
                <c:pt idx="687">
                  <c:v>10.453425910852198</c:v>
                </c:pt>
                <c:pt idx="688">
                  <c:v>10.453436574500264</c:v>
                </c:pt>
                <c:pt idx="689">
                  <c:v>10.453609945253413</c:v>
                </c:pt>
                <c:pt idx="690">
                  <c:v>10.453614056802721</c:v>
                </c:pt>
                <c:pt idx="691">
                  <c:v>10.453607068990712</c:v>
                </c:pt>
                <c:pt idx="692">
                  <c:v>10.453607068990712</c:v>
                </c:pt>
                <c:pt idx="693">
                  <c:v>10.459818962757279</c:v>
                </c:pt>
                <c:pt idx="694">
                  <c:v>10.461824628992636</c:v>
                </c:pt>
                <c:pt idx="695">
                  <c:v>10.461824628992636</c:v>
                </c:pt>
                <c:pt idx="696">
                  <c:v>10.46182087009697</c:v>
                </c:pt>
                <c:pt idx="697">
                  <c:v>10.46182087009697</c:v>
                </c:pt>
                <c:pt idx="698">
                  <c:v>10.46182087009697</c:v>
                </c:pt>
                <c:pt idx="699">
                  <c:v>10.461846595088284</c:v>
                </c:pt>
                <c:pt idx="700">
                  <c:v>10.461835189601365</c:v>
                </c:pt>
                <c:pt idx="701">
                  <c:v>10.461880551152092</c:v>
                </c:pt>
                <c:pt idx="702">
                  <c:v>10.461903748409419</c:v>
                </c:pt>
                <c:pt idx="703">
                  <c:v>10.461921301418343</c:v>
                </c:pt>
                <c:pt idx="704">
                  <c:v>10.464150047695826</c:v>
                </c:pt>
                <c:pt idx="705">
                  <c:v>10.464121921853843</c:v>
                </c:pt>
                <c:pt idx="706">
                  <c:v>10.46412169403613</c:v>
                </c:pt>
                <c:pt idx="707">
                  <c:v>10.464119507894116</c:v>
                </c:pt>
                <c:pt idx="708">
                  <c:v>10.464119638739595</c:v>
                </c:pt>
                <c:pt idx="709">
                  <c:v>10.467035152563215</c:v>
                </c:pt>
                <c:pt idx="710">
                  <c:v>10.467033083239503</c:v>
                </c:pt>
                <c:pt idx="711">
                  <c:v>10.467033081852204</c:v>
                </c:pt>
                <c:pt idx="712">
                  <c:v>10.467028409426105</c:v>
                </c:pt>
                <c:pt idx="713">
                  <c:v>10.470431588383878</c:v>
                </c:pt>
                <c:pt idx="714">
                  <c:v>10.490020071170896</c:v>
                </c:pt>
                <c:pt idx="715">
                  <c:v>10.490020071170896</c:v>
                </c:pt>
                <c:pt idx="716">
                  <c:v>10.490031487050784</c:v>
                </c:pt>
                <c:pt idx="717">
                  <c:v>10.490150749316085</c:v>
                </c:pt>
                <c:pt idx="718">
                  <c:v>10.490136740254313</c:v>
                </c:pt>
                <c:pt idx="719">
                  <c:v>10.490136729904831</c:v>
                </c:pt>
                <c:pt idx="720">
                  <c:v>10.489335218382035</c:v>
                </c:pt>
                <c:pt idx="721">
                  <c:v>10.489335211464136</c:v>
                </c:pt>
                <c:pt idx="722">
                  <c:v>10.489334316959562</c:v>
                </c:pt>
                <c:pt idx="723">
                  <c:v>10.489331481000532</c:v>
                </c:pt>
                <c:pt idx="724">
                  <c:v>10.493802730238782</c:v>
                </c:pt>
                <c:pt idx="725">
                  <c:v>10.493802730238782</c:v>
                </c:pt>
                <c:pt idx="726">
                  <c:v>10.493802695793807</c:v>
                </c:pt>
                <c:pt idx="727">
                  <c:v>10.493789227562463</c:v>
                </c:pt>
                <c:pt idx="728">
                  <c:v>10.493797520035766</c:v>
                </c:pt>
                <c:pt idx="729">
                  <c:v>10.498018765307053</c:v>
                </c:pt>
                <c:pt idx="730">
                  <c:v>10.498018765307053</c:v>
                </c:pt>
                <c:pt idx="731">
                  <c:v>10.498003365644601</c:v>
                </c:pt>
                <c:pt idx="732">
                  <c:v>10.498002676149067</c:v>
                </c:pt>
                <c:pt idx="733">
                  <c:v>10.497992562380293</c:v>
                </c:pt>
                <c:pt idx="734">
                  <c:v>10.500648267382539</c:v>
                </c:pt>
                <c:pt idx="735">
                  <c:v>10.500648267382539</c:v>
                </c:pt>
                <c:pt idx="736">
                  <c:v>10.500712148767416</c:v>
                </c:pt>
                <c:pt idx="737">
                  <c:v>10.500659918280007</c:v>
                </c:pt>
                <c:pt idx="738">
                  <c:v>10.506673013946864</c:v>
                </c:pt>
                <c:pt idx="739">
                  <c:v>10.511366672791537</c:v>
                </c:pt>
                <c:pt idx="740">
                  <c:v>10.511372847306678</c:v>
                </c:pt>
                <c:pt idx="741">
                  <c:v>10.511365967594053</c:v>
                </c:pt>
                <c:pt idx="742">
                  <c:v>10.511363319373226</c:v>
                </c:pt>
                <c:pt idx="743">
                  <c:v>10.511362764986707</c:v>
                </c:pt>
                <c:pt idx="744">
                  <c:v>10.51134957884523</c:v>
                </c:pt>
                <c:pt idx="745">
                  <c:v>10.538490582422684</c:v>
                </c:pt>
                <c:pt idx="746">
                  <c:v>10.538539793716103</c:v>
                </c:pt>
                <c:pt idx="747">
                  <c:v>10.538539793716103</c:v>
                </c:pt>
                <c:pt idx="748">
                  <c:v>10.538524904969933</c:v>
                </c:pt>
                <c:pt idx="749">
                  <c:v>10.543044132309459</c:v>
                </c:pt>
                <c:pt idx="750">
                  <c:v>10.543043092691002</c:v>
                </c:pt>
                <c:pt idx="751">
                  <c:v>10.543040441432769</c:v>
                </c:pt>
                <c:pt idx="752">
                  <c:v>10.543034374762614</c:v>
                </c:pt>
                <c:pt idx="753">
                  <c:v>10.543018780815952</c:v>
                </c:pt>
                <c:pt idx="754">
                  <c:v>10.543018780815952</c:v>
                </c:pt>
                <c:pt idx="755">
                  <c:v>10.549942719312858</c:v>
                </c:pt>
                <c:pt idx="756">
                  <c:v>10.549942719312858</c:v>
                </c:pt>
                <c:pt idx="757">
                  <c:v>10.549936717858817</c:v>
                </c:pt>
                <c:pt idx="758">
                  <c:v>10.5499175019209</c:v>
                </c:pt>
                <c:pt idx="759">
                  <c:v>10.549901630102202</c:v>
                </c:pt>
                <c:pt idx="760">
                  <c:v>10.549888097705013</c:v>
                </c:pt>
                <c:pt idx="761">
                  <c:v>10.549865864050826</c:v>
                </c:pt>
                <c:pt idx="762">
                  <c:v>10.549865864050826</c:v>
                </c:pt>
                <c:pt idx="763">
                  <c:v>10.553291510564026</c:v>
                </c:pt>
                <c:pt idx="764">
                  <c:v>10.553289691879016</c:v>
                </c:pt>
                <c:pt idx="765">
                  <c:v>10.553289787703697</c:v>
                </c:pt>
                <c:pt idx="766">
                  <c:v>10.555126647517792</c:v>
                </c:pt>
                <c:pt idx="767">
                  <c:v>10.559757129329677</c:v>
                </c:pt>
                <c:pt idx="768">
                  <c:v>10.559747129468846</c:v>
                </c:pt>
                <c:pt idx="769">
                  <c:v>10.559773101975534</c:v>
                </c:pt>
                <c:pt idx="770">
                  <c:v>10.559770341456524</c:v>
                </c:pt>
                <c:pt idx="771">
                  <c:v>10.559787480639082</c:v>
                </c:pt>
                <c:pt idx="772">
                  <c:v>10.56343548220298</c:v>
                </c:pt>
                <c:pt idx="773">
                  <c:v>10.563434438741083</c:v>
                </c:pt>
                <c:pt idx="774">
                  <c:v>10.563432309485785</c:v>
                </c:pt>
                <c:pt idx="775">
                  <c:v>10.56342362816328</c:v>
                </c:pt>
                <c:pt idx="776">
                  <c:v>10.56341437210064</c:v>
                </c:pt>
                <c:pt idx="777">
                  <c:v>10.564718721398325</c:v>
                </c:pt>
                <c:pt idx="778">
                  <c:v>10.564718629917675</c:v>
                </c:pt>
                <c:pt idx="779">
                  <c:v>10.56471650246513</c:v>
                </c:pt>
                <c:pt idx="780">
                  <c:v>10.564715126229137</c:v>
                </c:pt>
                <c:pt idx="781">
                  <c:v>10.564735543745215</c:v>
                </c:pt>
                <c:pt idx="782">
                  <c:v>10.568733510130748</c:v>
                </c:pt>
                <c:pt idx="783">
                  <c:v>10.568733510130748</c:v>
                </c:pt>
                <c:pt idx="784">
                  <c:v>10.568733354574377</c:v>
                </c:pt>
                <c:pt idx="785">
                  <c:v>10.568733354574377</c:v>
                </c:pt>
                <c:pt idx="786">
                  <c:v>10.568857557946323</c:v>
                </c:pt>
                <c:pt idx="787">
                  <c:v>10.568857557946323</c:v>
                </c:pt>
                <c:pt idx="788">
                  <c:v>10.60130499992183</c:v>
                </c:pt>
                <c:pt idx="789">
                  <c:v>10.60130499992183</c:v>
                </c:pt>
                <c:pt idx="790">
                  <c:v>10.60130499992183</c:v>
                </c:pt>
                <c:pt idx="791">
                  <c:v>10.60130499992183</c:v>
                </c:pt>
                <c:pt idx="792">
                  <c:v>10.604534669381787</c:v>
                </c:pt>
                <c:pt idx="793">
                  <c:v>10.60452645447913</c:v>
                </c:pt>
                <c:pt idx="794">
                  <c:v>10.604525209898682</c:v>
                </c:pt>
                <c:pt idx="795">
                  <c:v>10.604561399069459</c:v>
                </c:pt>
                <c:pt idx="796">
                  <c:v>10.604557569468694</c:v>
                </c:pt>
                <c:pt idx="797">
                  <c:v>10.606186922982973</c:v>
                </c:pt>
                <c:pt idx="798">
                  <c:v>10.606189566337797</c:v>
                </c:pt>
                <c:pt idx="799">
                  <c:v>10.606189566337797</c:v>
                </c:pt>
                <c:pt idx="800">
                  <c:v>10.606179331544013</c:v>
                </c:pt>
                <c:pt idx="801">
                  <c:v>10.606279029080222</c:v>
                </c:pt>
                <c:pt idx="802">
                  <c:v>10.611430599826647</c:v>
                </c:pt>
                <c:pt idx="803">
                  <c:v>10.611413975003034</c:v>
                </c:pt>
                <c:pt idx="804">
                  <c:v>10.611413902524296</c:v>
                </c:pt>
                <c:pt idx="805">
                  <c:v>10.609546537919213</c:v>
                </c:pt>
                <c:pt idx="806">
                  <c:v>10.609546537919213</c:v>
                </c:pt>
                <c:pt idx="807">
                  <c:v>10.634151100407705</c:v>
                </c:pt>
                <c:pt idx="808">
                  <c:v>10.634130958592138</c:v>
                </c:pt>
                <c:pt idx="809">
                  <c:v>10.634130437998449</c:v>
                </c:pt>
                <c:pt idx="810">
                  <c:v>10.634373044563652</c:v>
                </c:pt>
                <c:pt idx="811">
                  <c:v>10.63753925773743</c:v>
                </c:pt>
                <c:pt idx="812">
                  <c:v>10.63753560541798</c:v>
                </c:pt>
                <c:pt idx="813">
                  <c:v>10.63753560541798</c:v>
                </c:pt>
                <c:pt idx="814">
                  <c:v>10.637524743908417</c:v>
                </c:pt>
                <c:pt idx="815">
                  <c:v>10.637529452128195</c:v>
                </c:pt>
                <c:pt idx="816">
                  <c:v>10.638522583743974</c:v>
                </c:pt>
                <c:pt idx="817">
                  <c:v>10.638523811396238</c:v>
                </c:pt>
                <c:pt idx="818">
                  <c:v>10.638488309388832</c:v>
                </c:pt>
                <c:pt idx="819">
                  <c:v>10.63848793546936</c:v>
                </c:pt>
                <c:pt idx="820">
                  <c:v>10.635751210380185</c:v>
                </c:pt>
                <c:pt idx="821">
                  <c:v>10.640230832034662</c:v>
                </c:pt>
                <c:pt idx="822">
                  <c:v>10.640230832034662</c:v>
                </c:pt>
                <c:pt idx="823">
                  <c:v>10.640227594422088</c:v>
                </c:pt>
                <c:pt idx="824">
                  <c:v>10.640227594422088</c:v>
                </c:pt>
                <c:pt idx="825">
                  <c:v>10.640223974538737</c:v>
                </c:pt>
                <c:pt idx="826">
                  <c:v>10.640223702836021</c:v>
                </c:pt>
                <c:pt idx="827">
                  <c:v>10.649529563384057</c:v>
                </c:pt>
                <c:pt idx="828">
                  <c:v>10.649550193125704</c:v>
                </c:pt>
                <c:pt idx="829">
                  <c:v>10.649367589167156</c:v>
                </c:pt>
                <c:pt idx="830">
                  <c:v>10.649367589167156</c:v>
                </c:pt>
                <c:pt idx="831">
                  <c:v>10.653525722058601</c:v>
                </c:pt>
                <c:pt idx="832">
                  <c:v>10.653545792567211</c:v>
                </c:pt>
                <c:pt idx="833">
                  <c:v>10.653537478544962</c:v>
                </c:pt>
                <c:pt idx="834">
                  <c:v>10.653537406208841</c:v>
                </c:pt>
                <c:pt idx="835">
                  <c:v>10.653535021338762</c:v>
                </c:pt>
                <c:pt idx="836">
                  <c:v>10.653535021338762</c:v>
                </c:pt>
                <c:pt idx="837">
                  <c:v>10.653535021338762</c:v>
                </c:pt>
                <c:pt idx="838">
                  <c:v>10.653534502889654</c:v>
                </c:pt>
                <c:pt idx="839">
                  <c:v>10.805633815752033</c:v>
                </c:pt>
                <c:pt idx="840">
                  <c:v>10.853988944952695</c:v>
                </c:pt>
                <c:pt idx="841">
                  <c:v>10.85398897878466</c:v>
                </c:pt>
                <c:pt idx="842">
                  <c:v>10.85398897878466</c:v>
                </c:pt>
                <c:pt idx="843">
                  <c:v>10.853951997508936</c:v>
                </c:pt>
                <c:pt idx="844">
                  <c:v>10.853951997508936</c:v>
                </c:pt>
                <c:pt idx="845">
                  <c:v>10.871220637680659</c:v>
                </c:pt>
                <c:pt idx="846">
                  <c:v>10.871213852641942</c:v>
                </c:pt>
                <c:pt idx="847">
                  <c:v>10.871213852641942</c:v>
                </c:pt>
                <c:pt idx="848">
                  <c:v>10.87344250817682</c:v>
                </c:pt>
                <c:pt idx="849">
                  <c:v>10.873400426994994</c:v>
                </c:pt>
                <c:pt idx="850">
                  <c:v>10.873399403912099</c:v>
                </c:pt>
                <c:pt idx="851">
                  <c:v>10.873399403912099</c:v>
                </c:pt>
                <c:pt idx="852">
                  <c:v>10.873436806259704</c:v>
                </c:pt>
                <c:pt idx="853">
                  <c:v>10.875279709431265</c:v>
                </c:pt>
                <c:pt idx="854">
                  <c:v>10.875331833029387</c:v>
                </c:pt>
                <c:pt idx="855">
                  <c:v>10.875329471453028</c:v>
                </c:pt>
                <c:pt idx="856">
                  <c:v>10.875329437942447</c:v>
                </c:pt>
                <c:pt idx="857">
                  <c:v>10.875329437942447</c:v>
                </c:pt>
                <c:pt idx="858">
                  <c:v>10.875807288777764</c:v>
                </c:pt>
                <c:pt idx="859">
                  <c:v>10.875807288777764</c:v>
                </c:pt>
                <c:pt idx="860">
                  <c:v>10.875849843656447</c:v>
                </c:pt>
                <c:pt idx="861">
                  <c:v>10.875836078655439</c:v>
                </c:pt>
                <c:pt idx="862">
                  <c:v>10.877167206438415</c:v>
                </c:pt>
                <c:pt idx="863">
                  <c:v>10.878858510254243</c:v>
                </c:pt>
                <c:pt idx="864">
                  <c:v>10.878814399606464</c:v>
                </c:pt>
                <c:pt idx="865">
                  <c:v>10.878814399606464</c:v>
                </c:pt>
                <c:pt idx="866">
                  <c:v>10.878795002573257</c:v>
                </c:pt>
                <c:pt idx="867">
                  <c:v>10.878795002573257</c:v>
                </c:pt>
                <c:pt idx="868">
                  <c:v>10.878793859141478</c:v>
                </c:pt>
                <c:pt idx="869">
                  <c:v>10.886332723982797</c:v>
                </c:pt>
                <c:pt idx="870">
                  <c:v>10.886332723982797</c:v>
                </c:pt>
                <c:pt idx="871">
                  <c:v>10.886332723982797</c:v>
                </c:pt>
                <c:pt idx="872">
                  <c:v>10.886319463930274</c:v>
                </c:pt>
                <c:pt idx="873">
                  <c:v>10.886929568774091</c:v>
                </c:pt>
                <c:pt idx="874">
                  <c:v>10.886928554995173</c:v>
                </c:pt>
                <c:pt idx="875">
                  <c:v>10.886928554167232</c:v>
                </c:pt>
                <c:pt idx="876">
                  <c:v>10.886928554167232</c:v>
                </c:pt>
                <c:pt idx="877">
                  <c:v>10.886944903585171</c:v>
                </c:pt>
                <c:pt idx="878">
                  <c:v>10.887119747457263</c:v>
                </c:pt>
                <c:pt idx="879">
                  <c:v>10.88711962223497</c:v>
                </c:pt>
                <c:pt idx="880">
                  <c:v>10.887196605217776</c:v>
                </c:pt>
                <c:pt idx="881">
                  <c:v>10.887162243293705</c:v>
                </c:pt>
                <c:pt idx="882">
                  <c:v>10.884656064816307</c:v>
                </c:pt>
                <c:pt idx="883">
                  <c:v>10.885552367267508</c:v>
                </c:pt>
                <c:pt idx="884">
                  <c:v>10.885538159357374</c:v>
                </c:pt>
                <c:pt idx="885">
                  <c:v>10.885537730980802</c:v>
                </c:pt>
                <c:pt idx="886">
                  <c:v>10.885533002014174</c:v>
                </c:pt>
                <c:pt idx="887">
                  <c:v>10.885525041921541</c:v>
                </c:pt>
                <c:pt idx="888">
                  <c:v>10.893786366325585</c:v>
                </c:pt>
                <c:pt idx="889">
                  <c:v>10.893762792920656</c:v>
                </c:pt>
                <c:pt idx="890">
                  <c:v>10.893762792920656</c:v>
                </c:pt>
                <c:pt idx="891">
                  <c:v>10.893762792920656</c:v>
                </c:pt>
                <c:pt idx="892">
                  <c:v>10.894573172723399</c:v>
                </c:pt>
                <c:pt idx="893">
                  <c:v>10.894623783226717</c:v>
                </c:pt>
                <c:pt idx="894">
                  <c:v>10.894623782133774</c:v>
                </c:pt>
                <c:pt idx="895">
                  <c:v>10.894609928219328</c:v>
                </c:pt>
                <c:pt idx="896">
                  <c:v>10.894608288826319</c:v>
                </c:pt>
                <c:pt idx="897">
                  <c:v>10.894761465436979</c:v>
                </c:pt>
                <c:pt idx="898">
                  <c:v>10.894761465436979</c:v>
                </c:pt>
                <c:pt idx="899">
                  <c:v>10.894761465436979</c:v>
                </c:pt>
                <c:pt idx="900">
                  <c:v>10.894749464224818</c:v>
                </c:pt>
                <c:pt idx="901">
                  <c:v>10.890573971805008</c:v>
                </c:pt>
                <c:pt idx="902">
                  <c:v>10.890573971805008</c:v>
                </c:pt>
                <c:pt idx="903">
                  <c:v>10.890560125798658</c:v>
                </c:pt>
                <c:pt idx="904">
                  <c:v>10.890543700989969</c:v>
                </c:pt>
                <c:pt idx="905">
                  <c:v>10.890584248208707</c:v>
                </c:pt>
                <c:pt idx="906">
                  <c:v>10.890577234441656</c:v>
                </c:pt>
                <c:pt idx="907">
                  <c:v>10.890577234441656</c:v>
                </c:pt>
                <c:pt idx="908">
                  <c:v>10.888536334205533</c:v>
                </c:pt>
                <c:pt idx="909">
                  <c:v>10.888535703780445</c:v>
                </c:pt>
                <c:pt idx="910">
                  <c:v>10.888561080089167</c:v>
                </c:pt>
                <c:pt idx="911">
                  <c:v>10.88855020550114</c:v>
                </c:pt>
                <c:pt idx="912">
                  <c:v>10.887138042088315</c:v>
                </c:pt>
                <c:pt idx="913">
                  <c:v>10.887138042088315</c:v>
                </c:pt>
                <c:pt idx="914">
                  <c:v>10.887136786823131</c:v>
                </c:pt>
                <c:pt idx="915">
                  <c:v>10.887131793590635</c:v>
                </c:pt>
                <c:pt idx="916">
                  <c:v>10.887183545924115</c:v>
                </c:pt>
                <c:pt idx="917">
                  <c:v>10.88587322921045</c:v>
                </c:pt>
                <c:pt idx="918">
                  <c:v>10.885818189813948</c:v>
                </c:pt>
                <c:pt idx="919">
                  <c:v>10.885790678247082</c:v>
                </c:pt>
                <c:pt idx="920">
                  <c:v>10.885790678247082</c:v>
                </c:pt>
                <c:pt idx="921">
                  <c:v>10.885772483151579</c:v>
                </c:pt>
                <c:pt idx="922">
                  <c:v>10.884900151582428</c:v>
                </c:pt>
                <c:pt idx="923">
                  <c:v>10.884871606141303</c:v>
                </c:pt>
                <c:pt idx="924">
                  <c:v>10.884866235661118</c:v>
                </c:pt>
                <c:pt idx="925">
                  <c:v>10.884972186320258</c:v>
                </c:pt>
                <c:pt idx="926">
                  <c:v>10.881886050535581</c:v>
                </c:pt>
                <c:pt idx="927">
                  <c:v>10.880612305639637</c:v>
                </c:pt>
                <c:pt idx="928">
                  <c:v>10.880607762076487</c:v>
                </c:pt>
                <c:pt idx="929">
                  <c:v>10.880599788110827</c:v>
                </c:pt>
                <c:pt idx="930">
                  <c:v>10.880583424619179</c:v>
                </c:pt>
                <c:pt idx="931">
                  <c:v>10.880583424619179</c:v>
                </c:pt>
                <c:pt idx="932">
                  <c:v>10.876153679407658</c:v>
                </c:pt>
                <c:pt idx="933">
                  <c:v>10.875301437174963</c:v>
                </c:pt>
                <c:pt idx="934">
                  <c:v>10.875301437174963</c:v>
                </c:pt>
                <c:pt idx="935">
                  <c:v>10.875237744924974</c:v>
                </c:pt>
                <c:pt idx="936">
                  <c:v>10.873171525790209</c:v>
                </c:pt>
                <c:pt idx="937">
                  <c:v>10.873120768314235</c:v>
                </c:pt>
                <c:pt idx="938">
                  <c:v>10.873086596658107</c:v>
                </c:pt>
                <c:pt idx="939">
                  <c:v>10.873086596658107</c:v>
                </c:pt>
                <c:pt idx="940">
                  <c:v>10.873086528217593</c:v>
                </c:pt>
                <c:pt idx="941">
                  <c:v>10.87206866639956</c:v>
                </c:pt>
                <c:pt idx="942">
                  <c:v>10.87206746455359</c:v>
                </c:pt>
                <c:pt idx="943">
                  <c:v>10.8720471220746</c:v>
                </c:pt>
                <c:pt idx="944">
                  <c:v>10.872066579019171</c:v>
                </c:pt>
                <c:pt idx="945">
                  <c:v>10.868498602721926</c:v>
                </c:pt>
                <c:pt idx="946">
                  <c:v>10.868202480257839</c:v>
                </c:pt>
                <c:pt idx="947">
                  <c:v>10.86820149195545</c:v>
                </c:pt>
                <c:pt idx="948">
                  <c:v>10.868199208240037</c:v>
                </c:pt>
                <c:pt idx="949">
                  <c:v>10.86819537905718</c:v>
                </c:pt>
                <c:pt idx="950">
                  <c:v>10.868238743033631</c:v>
                </c:pt>
                <c:pt idx="951">
                  <c:v>10.868238301474362</c:v>
                </c:pt>
                <c:pt idx="952">
                  <c:v>10.868536402832893</c:v>
                </c:pt>
                <c:pt idx="953">
                  <c:v>10.868535412676465</c:v>
                </c:pt>
                <c:pt idx="954">
                  <c:v>10.868534373834924</c:v>
                </c:pt>
                <c:pt idx="955">
                  <c:v>10.868801718147195</c:v>
                </c:pt>
                <c:pt idx="956">
                  <c:v>10.867693280025916</c:v>
                </c:pt>
                <c:pt idx="957">
                  <c:v>10.86776641773092</c:v>
                </c:pt>
                <c:pt idx="958">
                  <c:v>10.867782219319871</c:v>
                </c:pt>
                <c:pt idx="959">
                  <c:v>10.867779416862696</c:v>
                </c:pt>
                <c:pt idx="960">
                  <c:v>10.867776827853797</c:v>
                </c:pt>
                <c:pt idx="961">
                  <c:v>10.867179270207917</c:v>
                </c:pt>
                <c:pt idx="962">
                  <c:v>10.867179270207917</c:v>
                </c:pt>
                <c:pt idx="963">
                  <c:v>10.867174029061074</c:v>
                </c:pt>
                <c:pt idx="964">
                  <c:v>10.867174029061074</c:v>
                </c:pt>
                <c:pt idx="965">
                  <c:v>10.85183722179757</c:v>
                </c:pt>
                <c:pt idx="966">
                  <c:v>10.850418168086192</c:v>
                </c:pt>
                <c:pt idx="967">
                  <c:v>10.850410713506269</c:v>
                </c:pt>
                <c:pt idx="968">
                  <c:v>10.850410707152262</c:v>
                </c:pt>
                <c:pt idx="969">
                  <c:v>10.850404893832573</c:v>
                </c:pt>
                <c:pt idx="970">
                  <c:v>10.85040481716953</c:v>
                </c:pt>
                <c:pt idx="971">
                  <c:v>10.849683581053293</c:v>
                </c:pt>
                <c:pt idx="972">
                  <c:v>10.849680248532179</c:v>
                </c:pt>
                <c:pt idx="973">
                  <c:v>10.849680248532179</c:v>
                </c:pt>
                <c:pt idx="974">
                  <c:v>10.849680248532179</c:v>
                </c:pt>
                <c:pt idx="975">
                  <c:v>10.844581730332875</c:v>
                </c:pt>
                <c:pt idx="976">
                  <c:v>10.844581730332875</c:v>
                </c:pt>
                <c:pt idx="977">
                  <c:v>10.846027473733919</c:v>
                </c:pt>
                <c:pt idx="978">
                  <c:v>10.846035362585178</c:v>
                </c:pt>
                <c:pt idx="979">
                  <c:v>10.846035361864848</c:v>
                </c:pt>
                <c:pt idx="980">
                  <c:v>10.846035311441621</c:v>
                </c:pt>
                <c:pt idx="981">
                  <c:v>10.84509699888331</c:v>
                </c:pt>
                <c:pt idx="982">
                  <c:v>10.845117664014957</c:v>
                </c:pt>
                <c:pt idx="983">
                  <c:v>10.845117038237454</c:v>
                </c:pt>
                <c:pt idx="984">
                  <c:v>10.845191502208687</c:v>
                </c:pt>
                <c:pt idx="985">
                  <c:v>10.845144021842861</c:v>
                </c:pt>
                <c:pt idx="986">
                  <c:v>10.844907230538114</c:v>
                </c:pt>
                <c:pt idx="987">
                  <c:v>10.844907230538114</c:v>
                </c:pt>
                <c:pt idx="988">
                  <c:v>10.844906353265191</c:v>
                </c:pt>
                <c:pt idx="989">
                  <c:v>10.844913736885061</c:v>
                </c:pt>
                <c:pt idx="990">
                  <c:v>10.84115482719808</c:v>
                </c:pt>
                <c:pt idx="991">
                  <c:v>10.84041383905695</c:v>
                </c:pt>
                <c:pt idx="992">
                  <c:v>10.84041383905695</c:v>
                </c:pt>
                <c:pt idx="993">
                  <c:v>10.840411957430263</c:v>
                </c:pt>
                <c:pt idx="994">
                  <c:v>10.840418848425751</c:v>
                </c:pt>
                <c:pt idx="995">
                  <c:v>10.840413707188297</c:v>
                </c:pt>
                <c:pt idx="996">
                  <c:v>10.840412845065561</c:v>
                </c:pt>
                <c:pt idx="997">
                  <c:v>10.840919648377396</c:v>
                </c:pt>
                <c:pt idx="998">
                  <c:v>10.840919648377396</c:v>
                </c:pt>
                <c:pt idx="999">
                  <c:v>10.840919648377396</c:v>
                </c:pt>
                <c:pt idx="1000">
                  <c:v>10.840912819302856</c:v>
                </c:pt>
                <c:pt idx="1001">
                  <c:v>10.840807230250853</c:v>
                </c:pt>
                <c:pt idx="1002">
                  <c:v>10.840797471864242</c:v>
                </c:pt>
                <c:pt idx="1003">
                  <c:v>10.840796549042695</c:v>
                </c:pt>
                <c:pt idx="1004">
                  <c:v>10.840796549042695</c:v>
                </c:pt>
                <c:pt idx="1005">
                  <c:v>10.840796214112</c:v>
                </c:pt>
                <c:pt idx="1006">
                  <c:v>10.840685046358853</c:v>
                </c:pt>
                <c:pt idx="1007">
                  <c:v>10.840627678894386</c:v>
                </c:pt>
                <c:pt idx="1008">
                  <c:v>10.840639220182229</c:v>
                </c:pt>
              </c:numCache>
            </c:numRef>
          </c:val>
          <c:smooth val="0"/>
          <c:extLst>
            <c:ext xmlns:c16="http://schemas.microsoft.com/office/drawing/2014/chart" uri="{C3380CC4-5D6E-409C-BE32-E72D297353CC}">
              <c16:uniqueId val="{00000001-599E-4672-93A9-A553451070E3}"/>
            </c:ext>
          </c:extLst>
        </c:ser>
        <c:ser>
          <c:idx val="2"/>
          <c:order val="2"/>
          <c:tx>
            <c:strRef>
              <c:f>'[2025-2027 Strategy data.xlsx]Graf yield'!$E$3</c:f>
              <c:strCache>
                <c:ptCount val="1"/>
                <c:pt idx="0">
                  <c:v>2022-2023թթ․ առաջնային տեղաբաշխումների միջին կշռված եկամտաբերությունը, % </c:v>
                </c:pt>
              </c:strCache>
            </c:strRef>
          </c:tx>
          <c:spPr>
            <a:ln>
              <a:solidFill>
                <a:schemeClr val="accent1"/>
              </a:solidFill>
            </a:ln>
          </c:spPr>
          <c:marker>
            <c:symbol val="none"/>
          </c:marker>
          <c:cat>
            <c:numRef>
              <c:f>'[2025-2027 Strategy data.xlsx]Graf yield'!$A$572:$A$1580</c:f>
              <c:numCache>
                <c:formatCode>dd\.mm\.yy;@</c:formatCode>
                <c:ptCount val="1009"/>
                <c:pt idx="0">
                  <c:v>43830</c:v>
                </c:pt>
                <c:pt idx="1">
                  <c:v>43838</c:v>
                </c:pt>
                <c:pt idx="2">
                  <c:v>43839</c:v>
                </c:pt>
                <c:pt idx="3">
                  <c:v>43840</c:v>
                </c:pt>
                <c:pt idx="4">
                  <c:v>43843</c:v>
                </c:pt>
                <c:pt idx="5">
                  <c:v>43844</c:v>
                </c:pt>
                <c:pt idx="6">
                  <c:v>43845</c:v>
                </c:pt>
                <c:pt idx="7">
                  <c:v>43846</c:v>
                </c:pt>
                <c:pt idx="8">
                  <c:v>43847</c:v>
                </c:pt>
                <c:pt idx="9">
                  <c:v>43850</c:v>
                </c:pt>
                <c:pt idx="10">
                  <c:v>43851</c:v>
                </c:pt>
                <c:pt idx="11">
                  <c:v>43852</c:v>
                </c:pt>
                <c:pt idx="12">
                  <c:v>43853</c:v>
                </c:pt>
                <c:pt idx="13">
                  <c:v>43854</c:v>
                </c:pt>
                <c:pt idx="14">
                  <c:v>43859</c:v>
                </c:pt>
                <c:pt idx="15">
                  <c:v>43860</c:v>
                </c:pt>
                <c:pt idx="16">
                  <c:v>43861</c:v>
                </c:pt>
                <c:pt idx="17">
                  <c:v>43862</c:v>
                </c:pt>
                <c:pt idx="18">
                  <c:v>43864</c:v>
                </c:pt>
                <c:pt idx="19">
                  <c:v>43865</c:v>
                </c:pt>
                <c:pt idx="20">
                  <c:v>43866</c:v>
                </c:pt>
                <c:pt idx="21">
                  <c:v>43867</c:v>
                </c:pt>
                <c:pt idx="22">
                  <c:v>43868</c:v>
                </c:pt>
                <c:pt idx="23">
                  <c:v>43871</c:v>
                </c:pt>
                <c:pt idx="24">
                  <c:v>43872</c:v>
                </c:pt>
                <c:pt idx="25">
                  <c:v>43873</c:v>
                </c:pt>
                <c:pt idx="26">
                  <c:v>43874</c:v>
                </c:pt>
                <c:pt idx="27">
                  <c:v>43875</c:v>
                </c:pt>
                <c:pt idx="28">
                  <c:v>43878</c:v>
                </c:pt>
                <c:pt idx="29">
                  <c:v>43879</c:v>
                </c:pt>
                <c:pt idx="30">
                  <c:v>43880</c:v>
                </c:pt>
                <c:pt idx="31">
                  <c:v>43881</c:v>
                </c:pt>
                <c:pt idx="32">
                  <c:v>43882</c:v>
                </c:pt>
                <c:pt idx="33">
                  <c:v>43885</c:v>
                </c:pt>
                <c:pt idx="34">
                  <c:v>43886</c:v>
                </c:pt>
                <c:pt idx="35">
                  <c:v>43887</c:v>
                </c:pt>
                <c:pt idx="36">
                  <c:v>43888</c:v>
                </c:pt>
                <c:pt idx="37">
                  <c:v>43889</c:v>
                </c:pt>
                <c:pt idx="38">
                  <c:v>43892</c:v>
                </c:pt>
                <c:pt idx="39">
                  <c:v>43893</c:v>
                </c:pt>
                <c:pt idx="40">
                  <c:v>43894</c:v>
                </c:pt>
                <c:pt idx="41">
                  <c:v>43895</c:v>
                </c:pt>
                <c:pt idx="42">
                  <c:v>43896</c:v>
                </c:pt>
                <c:pt idx="43">
                  <c:v>43899</c:v>
                </c:pt>
                <c:pt idx="44">
                  <c:v>43900</c:v>
                </c:pt>
                <c:pt idx="45">
                  <c:v>43901</c:v>
                </c:pt>
                <c:pt idx="46">
                  <c:v>43902</c:v>
                </c:pt>
                <c:pt idx="47">
                  <c:v>43903</c:v>
                </c:pt>
                <c:pt idx="48">
                  <c:v>43906</c:v>
                </c:pt>
                <c:pt idx="49">
                  <c:v>43907</c:v>
                </c:pt>
                <c:pt idx="50">
                  <c:v>43908</c:v>
                </c:pt>
                <c:pt idx="51">
                  <c:v>43909</c:v>
                </c:pt>
                <c:pt idx="52">
                  <c:v>43910</c:v>
                </c:pt>
                <c:pt idx="53">
                  <c:v>43913</c:v>
                </c:pt>
                <c:pt idx="54">
                  <c:v>43914</c:v>
                </c:pt>
                <c:pt idx="55">
                  <c:v>43915</c:v>
                </c:pt>
                <c:pt idx="56">
                  <c:v>43916</c:v>
                </c:pt>
                <c:pt idx="57">
                  <c:v>43917</c:v>
                </c:pt>
                <c:pt idx="58">
                  <c:v>43920</c:v>
                </c:pt>
                <c:pt idx="59">
                  <c:v>43921</c:v>
                </c:pt>
                <c:pt idx="60">
                  <c:v>43922</c:v>
                </c:pt>
                <c:pt idx="61">
                  <c:v>43923</c:v>
                </c:pt>
                <c:pt idx="62">
                  <c:v>43924</c:v>
                </c:pt>
                <c:pt idx="63">
                  <c:v>43927</c:v>
                </c:pt>
                <c:pt idx="64">
                  <c:v>43928</c:v>
                </c:pt>
                <c:pt idx="65">
                  <c:v>43929</c:v>
                </c:pt>
                <c:pt idx="66">
                  <c:v>43930</c:v>
                </c:pt>
                <c:pt idx="67">
                  <c:v>43931</c:v>
                </c:pt>
                <c:pt idx="68">
                  <c:v>43934</c:v>
                </c:pt>
                <c:pt idx="69">
                  <c:v>43935</c:v>
                </c:pt>
                <c:pt idx="70">
                  <c:v>43936</c:v>
                </c:pt>
                <c:pt idx="71">
                  <c:v>43937</c:v>
                </c:pt>
                <c:pt idx="72">
                  <c:v>43938</c:v>
                </c:pt>
                <c:pt idx="73">
                  <c:v>43941</c:v>
                </c:pt>
                <c:pt idx="74">
                  <c:v>43942</c:v>
                </c:pt>
                <c:pt idx="75">
                  <c:v>43943</c:v>
                </c:pt>
                <c:pt idx="76">
                  <c:v>43944</c:v>
                </c:pt>
                <c:pt idx="77">
                  <c:v>43948</c:v>
                </c:pt>
                <c:pt idx="78">
                  <c:v>43949</c:v>
                </c:pt>
                <c:pt idx="79">
                  <c:v>43950</c:v>
                </c:pt>
                <c:pt idx="80">
                  <c:v>43951</c:v>
                </c:pt>
                <c:pt idx="81">
                  <c:v>43955</c:v>
                </c:pt>
                <c:pt idx="82">
                  <c:v>43956</c:v>
                </c:pt>
                <c:pt idx="83">
                  <c:v>43957</c:v>
                </c:pt>
                <c:pt idx="84">
                  <c:v>43958</c:v>
                </c:pt>
                <c:pt idx="85">
                  <c:v>43959</c:v>
                </c:pt>
                <c:pt idx="86">
                  <c:v>43962</c:v>
                </c:pt>
                <c:pt idx="87">
                  <c:v>43963</c:v>
                </c:pt>
                <c:pt idx="88">
                  <c:v>43964</c:v>
                </c:pt>
                <c:pt idx="89">
                  <c:v>43965</c:v>
                </c:pt>
                <c:pt idx="90">
                  <c:v>43966</c:v>
                </c:pt>
                <c:pt idx="91">
                  <c:v>43969</c:v>
                </c:pt>
                <c:pt idx="92">
                  <c:v>43970</c:v>
                </c:pt>
                <c:pt idx="93">
                  <c:v>43971</c:v>
                </c:pt>
                <c:pt idx="94">
                  <c:v>43972</c:v>
                </c:pt>
                <c:pt idx="95">
                  <c:v>43973</c:v>
                </c:pt>
                <c:pt idx="96">
                  <c:v>43974</c:v>
                </c:pt>
                <c:pt idx="97">
                  <c:v>43976</c:v>
                </c:pt>
                <c:pt idx="98">
                  <c:v>43977</c:v>
                </c:pt>
                <c:pt idx="99">
                  <c:v>43978</c:v>
                </c:pt>
                <c:pt idx="100">
                  <c:v>43983</c:v>
                </c:pt>
                <c:pt idx="101">
                  <c:v>43984</c:v>
                </c:pt>
                <c:pt idx="102">
                  <c:v>43985</c:v>
                </c:pt>
                <c:pt idx="103">
                  <c:v>43986</c:v>
                </c:pt>
                <c:pt idx="104">
                  <c:v>43987</c:v>
                </c:pt>
                <c:pt idx="105">
                  <c:v>43990</c:v>
                </c:pt>
                <c:pt idx="106">
                  <c:v>43991</c:v>
                </c:pt>
                <c:pt idx="107">
                  <c:v>43992</c:v>
                </c:pt>
                <c:pt idx="108">
                  <c:v>43993</c:v>
                </c:pt>
                <c:pt idx="109">
                  <c:v>43994</c:v>
                </c:pt>
                <c:pt idx="110">
                  <c:v>43997</c:v>
                </c:pt>
                <c:pt idx="111">
                  <c:v>43998</c:v>
                </c:pt>
                <c:pt idx="112">
                  <c:v>43999</c:v>
                </c:pt>
                <c:pt idx="113">
                  <c:v>44000</c:v>
                </c:pt>
                <c:pt idx="114">
                  <c:v>44001</c:v>
                </c:pt>
                <c:pt idx="115">
                  <c:v>44004</c:v>
                </c:pt>
                <c:pt idx="116">
                  <c:v>44005</c:v>
                </c:pt>
                <c:pt idx="117">
                  <c:v>44006</c:v>
                </c:pt>
                <c:pt idx="118">
                  <c:v>44007</c:v>
                </c:pt>
                <c:pt idx="119">
                  <c:v>44008</c:v>
                </c:pt>
                <c:pt idx="120">
                  <c:v>44011</c:v>
                </c:pt>
                <c:pt idx="121">
                  <c:v>44012</c:v>
                </c:pt>
                <c:pt idx="122">
                  <c:v>44013</c:v>
                </c:pt>
                <c:pt idx="123">
                  <c:v>44014</c:v>
                </c:pt>
                <c:pt idx="124">
                  <c:v>44015</c:v>
                </c:pt>
                <c:pt idx="125">
                  <c:v>44018</c:v>
                </c:pt>
                <c:pt idx="126">
                  <c:v>44019</c:v>
                </c:pt>
                <c:pt idx="127">
                  <c:v>44020</c:v>
                </c:pt>
                <c:pt idx="128">
                  <c:v>44021</c:v>
                </c:pt>
                <c:pt idx="129">
                  <c:v>44022</c:v>
                </c:pt>
                <c:pt idx="130">
                  <c:v>44025</c:v>
                </c:pt>
                <c:pt idx="131">
                  <c:v>44026</c:v>
                </c:pt>
                <c:pt idx="132">
                  <c:v>44027</c:v>
                </c:pt>
                <c:pt idx="133">
                  <c:v>44028</c:v>
                </c:pt>
                <c:pt idx="134">
                  <c:v>44029</c:v>
                </c:pt>
                <c:pt idx="135">
                  <c:v>44032</c:v>
                </c:pt>
                <c:pt idx="136">
                  <c:v>44033</c:v>
                </c:pt>
                <c:pt idx="137">
                  <c:v>44034</c:v>
                </c:pt>
                <c:pt idx="138">
                  <c:v>44035</c:v>
                </c:pt>
                <c:pt idx="139">
                  <c:v>44036</c:v>
                </c:pt>
                <c:pt idx="140">
                  <c:v>44039</c:v>
                </c:pt>
                <c:pt idx="141">
                  <c:v>44040</c:v>
                </c:pt>
                <c:pt idx="142">
                  <c:v>44041</c:v>
                </c:pt>
                <c:pt idx="143">
                  <c:v>44042</c:v>
                </c:pt>
                <c:pt idx="144">
                  <c:v>44043</c:v>
                </c:pt>
                <c:pt idx="145">
                  <c:v>44046</c:v>
                </c:pt>
                <c:pt idx="146">
                  <c:v>44047</c:v>
                </c:pt>
                <c:pt idx="147">
                  <c:v>44048</c:v>
                </c:pt>
                <c:pt idx="148">
                  <c:v>44049</c:v>
                </c:pt>
                <c:pt idx="149">
                  <c:v>44050</c:v>
                </c:pt>
                <c:pt idx="150">
                  <c:v>44053</c:v>
                </c:pt>
                <c:pt idx="151">
                  <c:v>44054</c:v>
                </c:pt>
                <c:pt idx="152">
                  <c:v>44055</c:v>
                </c:pt>
                <c:pt idx="153">
                  <c:v>44056</c:v>
                </c:pt>
                <c:pt idx="154">
                  <c:v>44057</c:v>
                </c:pt>
                <c:pt idx="155">
                  <c:v>44060</c:v>
                </c:pt>
                <c:pt idx="156">
                  <c:v>44061</c:v>
                </c:pt>
                <c:pt idx="157">
                  <c:v>44062</c:v>
                </c:pt>
                <c:pt idx="158">
                  <c:v>44063</c:v>
                </c:pt>
                <c:pt idx="159">
                  <c:v>44064</c:v>
                </c:pt>
                <c:pt idx="160">
                  <c:v>44067</c:v>
                </c:pt>
                <c:pt idx="161">
                  <c:v>44068</c:v>
                </c:pt>
                <c:pt idx="162">
                  <c:v>44069</c:v>
                </c:pt>
                <c:pt idx="163">
                  <c:v>44070</c:v>
                </c:pt>
                <c:pt idx="164">
                  <c:v>44071</c:v>
                </c:pt>
                <c:pt idx="165">
                  <c:v>44074</c:v>
                </c:pt>
                <c:pt idx="166">
                  <c:v>44075</c:v>
                </c:pt>
                <c:pt idx="167">
                  <c:v>44076</c:v>
                </c:pt>
                <c:pt idx="168">
                  <c:v>44077</c:v>
                </c:pt>
                <c:pt idx="169">
                  <c:v>44078</c:v>
                </c:pt>
                <c:pt idx="170">
                  <c:v>44081</c:v>
                </c:pt>
                <c:pt idx="171">
                  <c:v>44082</c:v>
                </c:pt>
                <c:pt idx="172">
                  <c:v>44083</c:v>
                </c:pt>
                <c:pt idx="173">
                  <c:v>44084</c:v>
                </c:pt>
                <c:pt idx="174">
                  <c:v>44085</c:v>
                </c:pt>
                <c:pt idx="175">
                  <c:v>44088</c:v>
                </c:pt>
                <c:pt idx="176">
                  <c:v>44089</c:v>
                </c:pt>
                <c:pt idx="177">
                  <c:v>44090</c:v>
                </c:pt>
                <c:pt idx="178">
                  <c:v>44091</c:v>
                </c:pt>
                <c:pt idx="179">
                  <c:v>44092</c:v>
                </c:pt>
                <c:pt idx="180">
                  <c:v>44096</c:v>
                </c:pt>
                <c:pt idx="181">
                  <c:v>44097</c:v>
                </c:pt>
                <c:pt idx="182">
                  <c:v>44098</c:v>
                </c:pt>
                <c:pt idx="183">
                  <c:v>44099</c:v>
                </c:pt>
                <c:pt idx="184">
                  <c:v>44102</c:v>
                </c:pt>
                <c:pt idx="185">
                  <c:v>44103</c:v>
                </c:pt>
                <c:pt idx="186">
                  <c:v>44104</c:v>
                </c:pt>
                <c:pt idx="187">
                  <c:v>44105</c:v>
                </c:pt>
                <c:pt idx="188">
                  <c:v>44106</c:v>
                </c:pt>
                <c:pt idx="189">
                  <c:v>44109</c:v>
                </c:pt>
                <c:pt idx="190">
                  <c:v>44110</c:v>
                </c:pt>
                <c:pt idx="191">
                  <c:v>44111</c:v>
                </c:pt>
                <c:pt idx="192">
                  <c:v>44112</c:v>
                </c:pt>
                <c:pt idx="193">
                  <c:v>44113</c:v>
                </c:pt>
                <c:pt idx="194">
                  <c:v>44116</c:v>
                </c:pt>
                <c:pt idx="195">
                  <c:v>44117</c:v>
                </c:pt>
                <c:pt idx="196">
                  <c:v>44118</c:v>
                </c:pt>
                <c:pt idx="197">
                  <c:v>44119</c:v>
                </c:pt>
                <c:pt idx="198">
                  <c:v>44120</c:v>
                </c:pt>
                <c:pt idx="199">
                  <c:v>44123</c:v>
                </c:pt>
                <c:pt idx="200">
                  <c:v>44124</c:v>
                </c:pt>
                <c:pt idx="201">
                  <c:v>44125</c:v>
                </c:pt>
                <c:pt idx="202">
                  <c:v>44126</c:v>
                </c:pt>
                <c:pt idx="203">
                  <c:v>44127</c:v>
                </c:pt>
                <c:pt idx="204">
                  <c:v>44130</c:v>
                </c:pt>
                <c:pt idx="205">
                  <c:v>44131</c:v>
                </c:pt>
                <c:pt idx="206">
                  <c:v>44132</c:v>
                </c:pt>
                <c:pt idx="207">
                  <c:v>44133</c:v>
                </c:pt>
                <c:pt idx="208">
                  <c:v>44134</c:v>
                </c:pt>
                <c:pt idx="209">
                  <c:v>44137</c:v>
                </c:pt>
                <c:pt idx="210">
                  <c:v>44138</c:v>
                </c:pt>
                <c:pt idx="211">
                  <c:v>44139</c:v>
                </c:pt>
                <c:pt idx="212">
                  <c:v>44140</c:v>
                </c:pt>
                <c:pt idx="213">
                  <c:v>44141</c:v>
                </c:pt>
                <c:pt idx="214">
                  <c:v>44144</c:v>
                </c:pt>
                <c:pt idx="215">
                  <c:v>44145</c:v>
                </c:pt>
                <c:pt idx="216">
                  <c:v>44146</c:v>
                </c:pt>
                <c:pt idx="217">
                  <c:v>44147</c:v>
                </c:pt>
                <c:pt idx="218">
                  <c:v>44148</c:v>
                </c:pt>
                <c:pt idx="219">
                  <c:v>44151</c:v>
                </c:pt>
                <c:pt idx="220">
                  <c:v>44152</c:v>
                </c:pt>
                <c:pt idx="221">
                  <c:v>44153</c:v>
                </c:pt>
                <c:pt idx="222">
                  <c:v>44154</c:v>
                </c:pt>
                <c:pt idx="223">
                  <c:v>44155</c:v>
                </c:pt>
                <c:pt idx="224">
                  <c:v>44158</c:v>
                </c:pt>
                <c:pt idx="225">
                  <c:v>44159</c:v>
                </c:pt>
                <c:pt idx="226">
                  <c:v>44160</c:v>
                </c:pt>
                <c:pt idx="227">
                  <c:v>44161</c:v>
                </c:pt>
                <c:pt idx="228">
                  <c:v>44162</c:v>
                </c:pt>
                <c:pt idx="229">
                  <c:v>44165</c:v>
                </c:pt>
                <c:pt idx="230">
                  <c:v>44166</c:v>
                </c:pt>
                <c:pt idx="231">
                  <c:v>44167</c:v>
                </c:pt>
                <c:pt idx="232">
                  <c:v>44168</c:v>
                </c:pt>
                <c:pt idx="233">
                  <c:v>44169</c:v>
                </c:pt>
                <c:pt idx="234">
                  <c:v>44172</c:v>
                </c:pt>
                <c:pt idx="235">
                  <c:v>44173</c:v>
                </c:pt>
                <c:pt idx="236">
                  <c:v>44174</c:v>
                </c:pt>
                <c:pt idx="237">
                  <c:v>44175</c:v>
                </c:pt>
                <c:pt idx="238">
                  <c:v>44176</c:v>
                </c:pt>
                <c:pt idx="239">
                  <c:v>44179</c:v>
                </c:pt>
                <c:pt idx="240">
                  <c:v>44180</c:v>
                </c:pt>
                <c:pt idx="241">
                  <c:v>44181</c:v>
                </c:pt>
                <c:pt idx="242">
                  <c:v>44182</c:v>
                </c:pt>
                <c:pt idx="243">
                  <c:v>44183</c:v>
                </c:pt>
                <c:pt idx="244">
                  <c:v>44186</c:v>
                </c:pt>
                <c:pt idx="245">
                  <c:v>44187</c:v>
                </c:pt>
                <c:pt idx="246">
                  <c:v>44188</c:v>
                </c:pt>
                <c:pt idx="247">
                  <c:v>44189</c:v>
                </c:pt>
                <c:pt idx="248">
                  <c:v>44190</c:v>
                </c:pt>
                <c:pt idx="249">
                  <c:v>44193</c:v>
                </c:pt>
                <c:pt idx="250">
                  <c:v>44194</c:v>
                </c:pt>
                <c:pt idx="251">
                  <c:v>44195</c:v>
                </c:pt>
                <c:pt idx="252">
                  <c:v>44196</c:v>
                </c:pt>
                <c:pt idx="253">
                  <c:v>44204</c:v>
                </c:pt>
                <c:pt idx="254">
                  <c:v>44207</c:v>
                </c:pt>
                <c:pt idx="255">
                  <c:v>44208</c:v>
                </c:pt>
                <c:pt idx="256">
                  <c:v>44209</c:v>
                </c:pt>
                <c:pt idx="257">
                  <c:v>44210</c:v>
                </c:pt>
                <c:pt idx="258">
                  <c:v>44211</c:v>
                </c:pt>
                <c:pt idx="259">
                  <c:v>44214</c:v>
                </c:pt>
                <c:pt idx="260">
                  <c:v>44215</c:v>
                </c:pt>
                <c:pt idx="261">
                  <c:v>44216</c:v>
                </c:pt>
                <c:pt idx="262">
                  <c:v>44217</c:v>
                </c:pt>
                <c:pt idx="263">
                  <c:v>44218</c:v>
                </c:pt>
                <c:pt idx="264">
                  <c:v>44221</c:v>
                </c:pt>
                <c:pt idx="265">
                  <c:v>44222</c:v>
                </c:pt>
                <c:pt idx="266">
                  <c:v>44223</c:v>
                </c:pt>
                <c:pt idx="267">
                  <c:v>44225</c:v>
                </c:pt>
                <c:pt idx="268">
                  <c:v>44228</c:v>
                </c:pt>
                <c:pt idx="269">
                  <c:v>44229</c:v>
                </c:pt>
                <c:pt idx="270">
                  <c:v>44230</c:v>
                </c:pt>
                <c:pt idx="271">
                  <c:v>44231</c:v>
                </c:pt>
                <c:pt idx="272">
                  <c:v>44232</c:v>
                </c:pt>
                <c:pt idx="273">
                  <c:v>44235</c:v>
                </c:pt>
                <c:pt idx="274">
                  <c:v>44236</c:v>
                </c:pt>
                <c:pt idx="275">
                  <c:v>44237</c:v>
                </c:pt>
                <c:pt idx="276">
                  <c:v>44238</c:v>
                </c:pt>
                <c:pt idx="277">
                  <c:v>44239</c:v>
                </c:pt>
                <c:pt idx="278">
                  <c:v>44242</c:v>
                </c:pt>
                <c:pt idx="279">
                  <c:v>44243</c:v>
                </c:pt>
                <c:pt idx="280">
                  <c:v>44244</c:v>
                </c:pt>
                <c:pt idx="281">
                  <c:v>44245</c:v>
                </c:pt>
                <c:pt idx="282">
                  <c:v>44246</c:v>
                </c:pt>
                <c:pt idx="283">
                  <c:v>44249</c:v>
                </c:pt>
                <c:pt idx="284">
                  <c:v>44250</c:v>
                </c:pt>
                <c:pt idx="285">
                  <c:v>44251</c:v>
                </c:pt>
                <c:pt idx="286">
                  <c:v>44252</c:v>
                </c:pt>
                <c:pt idx="287">
                  <c:v>44253</c:v>
                </c:pt>
                <c:pt idx="288">
                  <c:v>44256</c:v>
                </c:pt>
                <c:pt idx="289">
                  <c:v>44257</c:v>
                </c:pt>
                <c:pt idx="290">
                  <c:v>44258</c:v>
                </c:pt>
                <c:pt idx="291">
                  <c:v>44259</c:v>
                </c:pt>
                <c:pt idx="292">
                  <c:v>44260</c:v>
                </c:pt>
                <c:pt idx="293">
                  <c:v>44264</c:v>
                </c:pt>
                <c:pt idx="294">
                  <c:v>44265</c:v>
                </c:pt>
                <c:pt idx="295">
                  <c:v>44266</c:v>
                </c:pt>
                <c:pt idx="296">
                  <c:v>44267</c:v>
                </c:pt>
                <c:pt idx="297">
                  <c:v>44270</c:v>
                </c:pt>
                <c:pt idx="298">
                  <c:v>44271</c:v>
                </c:pt>
                <c:pt idx="299">
                  <c:v>44272</c:v>
                </c:pt>
                <c:pt idx="300">
                  <c:v>44273</c:v>
                </c:pt>
                <c:pt idx="301">
                  <c:v>44274</c:v>
                </c:pt>
                <c:pt idx="302">
                  <c:v>44277</c:v>
                </c:pt>
                <c:pt idx="303">
                  <c:v>44278</c:v>
                </c:pt>
                <c:pt idx="304">
                  <c:v>44279</c:v>
                </c:pt>
                <c:pt idx="305">
                  <c:v>44280</c:v>
                </c:pt>
                <c:pt idx="306">
                  <c:v>44281</c:v>
                </c:pt>
                <c:pt idx="307">
                  <c:v>44284</c:v>
                </c:pt>
                <c:pt idx="308">
                  <c:v>44285</c:v>
                </c:pt>
                <c:pt idx="309">
                  <c:v>44286</c:v>
                </c:pt>
                <c:pt idx="310">
                  <c:v>44287</c:v>
                </c:pt>
                <c:pt idx="311">
                  <c:v>44288</c:v>
                </c:pt>
                <c:pt idx="312">
                  <c:v>44291</c:v>
                </c:pt>
                <c:pt idx="313">
                  <c:v>44292</c:v>
                </c:pt>
                <c:pt idx="314">
                  <c:v>44293</c:v>
                </c:pt>
                <c:pt idx="315">
                  <c:v>44294</c:v>
                </c:pt>
                <c:pt idx="316">
                  <c:v>44295</c:v>
                </c:pt>
                <c:pt idx="317">
                  <c:v>44298</c:v>
                </c:pt>
                <c:pt idx="318">
                  <c:v>44299</c:v>
                </c:pt>
                <c:pt idx="319">
                  <c:v>44300</c:v>
                </c:pt>
                <c:pt idx="320">
                  <c:v>44301</c:v>
                </c:pt>
                <c:pt idx="321">
                  <c:v>44302</c:v>
                </c:pt>
                <c:pt idx="322">
                  <c:v>44305</c:v>
                </c:pt>
                <c:pt idx="323">
                  <c:v>44306</c:v>
                </c:pt>
                <c:pt idx="324">
                  <c:v>44307</c:v>
                </c:pt>
                <c:pt idx="325">
                  <c:v>44308</c:v>
                </c:pt>
                <c:pt idx="326">
                  <c:v>44309</c:v>
                </c:pt>
                <c:pt idx="327">
                  <c:v>44312</c:v>
                </c:pt>
                <c:pt idx="328">
                  <c:v>44313</c:v>
                </c:pt>
                <c:pt idx="329">
                  <c:v>44314</c:v>
                </c:pt>
                <c:pt idx="330">
                  <c:v>44315</c:v>
                </c:pt>
                <c:pt idx="331">
                  <c:v>44316</c:v>
                </c:pt>
                <c:pt idx="332">
                  <c:v>44319</c:v>
                </c:pt>
                <c:pt idx="333">
                  <c:v>44320</c:v>
                </c:pt>
                <c:pt idx="334">
                  <c:v>44321</c:v>
                </c:pt>
                <c:pt idx="335">
                  <c:v>44322</c:v>
                </c:pt>
                <c:pt idx="336">
                  <c:v>44323</c:v>
                </c:pt>
                <c:pt idx="337">
                  <c:v>44326</c:v>
                </c:pt>
                <c:pt idx="338">
                  <c:v>44327</c:v>
                </c:pt>
                <c:pt idx="339">
                  <c:v>44328</c:v>
                </c:pt>
                <c:pt idx="340">
                  <c:v>44329</c:v>
                </c:pt>
                <c:pt idx="341">
                  <c:v>44330</c:v>
                </c:pt>
                <c:pt idx="342">
                  <c:v>44333</c:v>
                </c:pt>
                <c:pt idx="343">
                  <c:v>44334</c:v>
                </c:pt>
                <c:pt idx="344">
                  <c:v>44335</c:v>
                </c:pt>
                <c:pt idx="345">
                  <c:v>44336</c:v>
                </c:pt>
                <c:pt idx="346">
                  <c:v>44337</c:v>
                </c:pt>
                <c:pt idx="347">
                  <c:v>44340</c:v>
                </c:pt>
                <c:pt idx="348">
                  <c:v>44341</c:v>
                </c:pt>
                <c:pt idx="349">
                  <c:v>44342</c:v>
                </c:pt>
                <c:pt idx="350">
                  <c:v>44343</c:v>
                </c:pt>
                <c:pt idx="351">
                  <c:v>44347</c:v>
                </c:pt>
                <c:pt idx="352">
                  <c:v>44348</c:v>
                </c:pt>
                <c:pt idx="353">
                  <c:v>44349</c:v>
                </c:pt>
                <c:pt idx="354">
                  <c:v>44350</c:v>
                </c:pt>
                <c:pt idx="355">
                  <c:v>44351</c:v>
                </c:pt>
                <c:pt idx="356">
                  <c:v>44354</c:v>
                </c:pt>
                <c:pt idx="357">
                  <c:v>44355</c:v>
                </c:pt>
                <c:pt idx="358">
                  <c:v>44356</c:v>
                </c:pt>
                <c:pt idx="359">
                  <c:v>44357</c:v>
                </c:pt>
                <c:pt idx="360">
                  <c:v>44358</c:v>
                </c:pt>
                <c:pt idx="361">
                  <c:v>44361</c:v>
                </c:pt>
                <c:pt idx="362">
                  <c:v>44362</c:v>
                </c:pt>
                <c:pt idx="363">
                  <c:v>44363</c:v>
                </c:pt>
                <c:pt idx="364">
                  <c:v>44364</c:v>
                </c:pt>
                <c:pt idx="365">
                  <c:v>44365</c:v>
                </c:pt>
                <c:pt idx="366">
                  <c:v>44368</c:v>
                </c:pt>
                <c:pt idx="367">
                  <c:v>44369</c:v>
                </c:pt>
                <c:pt idx="368">
                  <c:v>44370</c:v>
                </c:pt>
                <c:pt idx="369">
                  <c:v>44371</c:v>
                </c:pt>
                <c:pt idx="370">
                  <c:v>44372</c:v>
                </c:pt>
                <c:pt idx="371">
                  <c:v>44375</c:v>
                </c:pt>
                <c:pt idx="372">
                  <c:v>44376</c:v>
                </c:pt>
                <c:pt idx="373">
                  <c:v>44377</c:v>
                </c:pt>
                <c:pt idx="374">
                  <c:v>44378</c:v>
                </c:pt>
                <c:pt idx="375">
                  <c:v>44379</c:v>
                </c:pt>
                <c:pt idx="376">
                  <c:v>44383</c:v>
                </c:pt>
                <c:pt idx="377">
                  <c:v>44384</c:v>
                </c:pt>
                <c:pt idx="378">
                  <c:v>44385</c:v>
                </c:pt>
                <c:pt idx="379">
                  <c:v>44386</c:v>
                </c:pt>
                <c:pt idx="380">
                  <c:v>44389</c:v>
                </c:pt>
                <c:pt idx="381">
                  <c:v>44390</c:v>
                </c:pt>
                <c:pt idx="382">
                  <c:v>44391</c:v>
                </c:pt>
                <c:pt idx="383">
                  <c:v>44392</c:v>
                </c:pt>
                <c:pt idx="384">
                  <c:v>44393</c:v>
                </c:pt>
                <c:pt idx="385">
                  <c:v>44396</c:v>
                </c:pt>
                <c:pt idx="386">
                  <c:v>44397</c:v>
                </c:pt>
                <c:pt idx="387">
                  <c:v>44398</c:v>
                </c:pt>
                <c:pt idx="388">
                  <c:v>44399</c:v>
                </c:pt>
                <c:pt idx="389">
                  <c:v>44400</c:v>
                </c:pt>
                <c:pt idx="390">
                  <c:v>44403</c:v>
                </c:pt>
                <c:pt idx="391">
                  <c:v>44404</c:v>
                </c:pt>
                <c:pt idx="392">
                  <c:v>44405</c:v>
                </c:pt>
                <c:pt idx="393">
                  <c:v>44406</c:v>
                </c:pt>
                <c:pt idx="394">
                  <c:v>44407</c:v>
                </c:pt>
                <c:pt idx="395">
                  <c:v>44410</c:v>
                </c:pt>
                <c:pt idx="396">
                  <c:v>44411</c:v>
                </c:pt>
                <c:pt idx="397">
                  <c:v>44412</c:v>
                </c:pt>
                <c:pt idx="398">
                  <c:v>44413</c:v>
                </c:pt>
                <c:pt idx="399">
                  <c:v>44414</c:v>
                </c:pt>
                <c:pt idx="400">
                  <c:v>44417</c:v>
                </c:pt>
                <c:pt idx="401">
                  <c:v>44418</c:v>
                </c:pt>
                <c:pt idx="402">
                  <c:v>44419</c:v>
                </c:pt>
                <c:pt idx="403">
                  <c:v>44420</c:v>
                </c:pt>
                <c:pt idx="404">
                  <c:v>44421</c:v>
                </c:pt>
                <c:pt idx="405">
                  <c:v>44424</c:v>
                </c:pt>
                <c:pt idx="406">
                  <c:v>44425</c:v>
                </c:pt>
                <c:pt idx="407">
                  <c:v>44426</c:v>
                </c:pt>
                <c:pt idx="408">
                  <c:v>44427</c:v>
                </c:pt>
                <c:pt idx="409">
                  <c:v>44428</c:v>
                </c:pt>
                <c:pt idx="410">
                  <c:v>44431</c:v>
                </c:pt>
                <c:pt idx="411">
                  <c:v>44432</c:v>
                </c:pt>
                <c:pt idx="412">
                  <c:v>44433</c:v>
                </c:pt>
                <c:pt idx="413">
                  <c:v>44434</c:v>
                </c:pt>
                <c:pt idx="414">
                  <c:v>44435</c:v>
                </c:pt>
                <c:pt idx="415">
                  <c:v>44438</c:v>
                </c:pt>
                <c:pt idx="416">
                  <c:v>44439</c:v>
                </c:pt>
                <c:pt idx="417">
                  <c:v>44440</c:v>
                </c:pt>
                <c:pt idx="418">
                  <c:v>44441</c:v>
                </c:pt>
                <c:pt idx="419">
                  <c:v>44442</c:v>
                </c:pt>
                <c:pt idx="420">
                  <c:v>44445</c:v>
                </c:pt>
                <c:pt idx="421">
                  <c:v>44446</c:v>
                </c:pt>
                <c:pt idx="422">
                  <c:v>44447</c:v>
                </c:pt>
                <c:pt idx="423">
                  <c:v>44448</c:v>
                </c:pt>
                <c:pt idx="424">
                  <c:v>44449</c:v>
                </c:pt>
                <c:pt idx="425">
                  <c:v>44452</c:v>
                </c:pt>
                <c:pt idx="426">
                  <c:v>44453</c:v>
                </c:pt>
                <c:pt idx="427">
                  <c:v>44454</c:v>
                </c:pt>
                <c:pt idx="428">
                  <c:v>44455</c:v>
                </c:pt>
                <c:pt idx="429">
                  <c:v>44456</c:v>
                </c:pt>
                <c:pt idx="430">
                  <c:v>44461</c:v>
                </c:pt>
                <c:pt idx="431">
                  <c:v>44462</c:v>
                </c:pt>
                <c:pt idx="432">
                  <c:v>44463</c:v>
                </c:pt>
                <c:pt idx="433">
                  <c:v>44464</c:v>
                </c:pt>
                <c:pt idx="434">
                  <c:v>44466</c:v>
                </c:pt>
                <c:pt idx="435">
                  <c:v>44467</c:v>
                </c:pt>
                <c:pt idx="436">
                  <c:v>44468</c:v>
                </c:pt>
                <c:pt idx="437">
                  <c:v>44469</c:v>
                </c:pt>
                <c:pt idx="438">
                  <c:v>44470</c:v>
                </c:pt>
                <c:pt idx="439">
                  <c:v>44473</c:v>
                </c:pt>
                <c:pt idx="440">
                  <c:v>44474</c:v>
                </c:pt>
                <c:pt idx="441">
                  <c:v>44475</c:v>
                </c:pt>
                <c:pt idx="442">
                  <c:v>44476</c:v>
                </c:pt>
                <c:pt idx="443">
                  <c:v>44477</c:v>
                </c:pt>
                <c:pt idx="444">
                  <c:v>44480</c:v>
                </c:pt>
                <c:pt idx="445">
                  <c:v>44481</c:v>
                </c:pt>
                <c:pt idx="446">
                  <c:v>44482</c:v>
                </c:pt>
                <c:pt idx="447">
                  <c:v>44483</c:v>
                </c:pt>
                <c:pt idx="448">
                  <c:v>44484</c:v>
                </c:pt>
                <c:pt idx="449">
                  <c:v>44487</c:v>
                </c:pt>
                <c:pt idx="450">
                  <c:v>44488</c:v>
                </c:pt>
                <c:pt idx="451">
                  <c:v>44489</c:v>
                </c:pt>
                <c:pt idx="452">
                  <c:v>44490</c:v>
                </c:pt>
                <c:pt idx="453">
                  <c:v>44491</c:v>
                </c:pt>
                <c:pt idx="454">
                  <c:v>44494</c:v>
                </c:pt>
                <c:pt idx="455">
                  <c:v>44495</c:v>
                </c:pt>
                <c:pt idx="456">
                  <c:v>44496</c:v>
                </c:pt>
                <c:pt idx="457">
                  <c:v>44497</c:v>
                </c:pt>
                <c:pt idx="458">
                  <c:v>44498</c:v>
                </c:pt>
                <c:pt idx="459">
                  <c:v>44501</c:v>
                </c:pt>
                <c:pt idx="460">
                  <c:v>44502</c:v>
                </c:pt>
                <c:pt idx="461">
                  <c:v>44503</c:v>
                </c:pt>
                <c:pt idx="462">
                  <c:v>44504</c:v>
                </c:pt>
                <c:pt idx="463">
                  <c:v>44505</c:v>
                </c:pt>
                <c:pt idx="464">
                  <c:v>44508</c:v>
                </c:pt>
                <c:pt idx="465">
                  <c:v>44509</c:v>
                </c:pt>
                <c:pt idx="466">
                  <c:v>44510</c:v>
                </c:pt>
                <c:pt idx="467">
                  <c:v>44511</c:v>
                </c:pt>
                <c:pt idx="468">
                  <c:v>44512</c:v>
                </c:pt>
                <c:pt idx="469">
                  <c:v>44515</c:v>
                </c:pt>
                <c:pt idx="470">
                  <c:v>44516</c:v>
                </c:pt>
                <c:pt idx="471">
                  <c:v>44517</c:v>
                </c:pt>
                <c:pt idx="472">
                  <c:v>44518</c:v>
                </c:pt>
                <c:pt idx="473">
                  <c:v>44519</c:v>
                </c:pt>
                <c:pt idx="474">
                  <c:v>44522</c:v>
                </c:pt>
                <c:pt idx="475">
                  <c:v>44523</c:v>
                </c:pt>
                <c:pt idx="476">
                  <c:v>44524</c:v>
                </c:pt>
                <c:pt idx="477">
                  <c:v>44525</c:v>
                </c:pt>
                <c:pt idx="478">
                  <c:v>44526</c:v>
                </c:pt>
                <c:pt idx="479">
                  <c:v>44529</c:v>
                </c:pt>
                <c:pt idx="480">
                  <c:v>44530</c:v>
                </c:pt>
                <c:pt idx="481">
                  <c:v>44531</c:v>
                </c:pt>
                <c:pt idx="482">
                  <c:v>44532</c:v>
                </c:pt>
                <c:pt idx="483">
                  <c:v>44533</c:v>
                </c:pt>
                <c:pt idx="484">
                  <c:v>44536</c:v>
                </c:pt>
                <c:pt idx="485">
                  <c:v>44537</c:v>
                </c:pt>
                <c:pt idx="486">
                  <c:v>44538</c:v>
                </c:pt>
                <c:pt idx="487">
                  <c:v>44539</c:v>
                </c:pt>
                <c:pt idx="488">
                  <c:v>44540</c:v>
                </c:pt>
                <c:pt idx="489">
                  <c:v>44543</c:v>
                </c:pt>
                <c:pt idx="490">
                  <c:v>44544</c:v>
                </c:pt>
                <c:pt idx="491">
                  <c:v>44545</c:v>
                </c:pt>
                <c:pt idx="492">
                  <c:v>44546</c:v>
                </c:pt>
                <c:pt idx="493">
                  <c:v>44547</c:v>
                </c:pt>
                <c:pt idx="494">
                  <c:v>44550</c:v>
                </c:pt>
                <c:pt idx="495">
                  <c:v>44551</c:v>
                </c:pt>
                <c:pt idx="496">
                  <c:v>44552</c:v>
                </c:pt>
                <c:pt idx="497">
                  <c:v>44553</c:v>
                </c:pt>
                <c:pt idx="498">
                  <c:v>44554</c:v>
                </c:pt>
                <c:pt idx="499">
                  <c:v>44557</c:v>
                </c:pt>
                <c:pt idx="500">
                  <c:v>44558</c:v>
                </c:pt>
                <c:pt idx="501">
                  <c:v>44559</c:v>
                </c:pt>
                <c:pt idx="502">
                  <c:v>44560</c:v>
                </c:pt>
                <c:pt idx="503">
                  <c:v>44561</c:v>
                </c:pt>
                <c:pt idx="504">
                  <c:v>44562</c:v>
                </c:pt>
                <c:pt idx="505">
                  <c:v>44565</c:v>
                </c:pt>
                <c:pt idx="506">
                  <c:v>44566</c:v>
                </c:pt>
                <c:pt idx="507">
                  <c:v>44568</c:v>
                </c:pt>
                <c:pt idx="508">
                  <c:v>44571</c:v>
                </c:pt>
                <c:pt idx="509">
                  <c:v>44572</c:v>
                </c:pt>
                <c:pt idx="510">
                  <c:v>44573</c:v>
                </c:pt>
                <c:pt idx="511">
                  <c:v>44574</c:v>
                </c:pt>
                <c:pt idx="512">
                  <c:v>44575</c:v>
                </c:pt>
                <c:pt idx="513">
                  <c:v>44578</c:v>
                </c:pt>
                <c:pt idx="514">
                  <c:v>44579</c:v>
                </c:pt>
                <c:pt idx="515">
                  <c:v>44580</c:v>
                </c:pt>
                <c:pt idx="516">
                  <c:v>44581</c:v>
                </c:pt>
                <c:pt idx="517">
                  <c:v>44582</c:v>
                </c:pt>
                <c:pt idx="518">
                  <c:v>44585</c:v>
                </c:pt>
                <c:pt idx="519">
                  <c:v>44586</c:v>
                </c:pt>
                <c:pt idx="520">
                  <c:v>44587</c:v>
                </c:pt>
                <c:pt idx="521">
                  <c:v>44588</c:v>
                </c:pt>
                <c:pt idx="522">
                  <c:v>44592</c:v>
                </c:pt>
                <c:pt idx="523">
                  <c:v>44593</c:v>
                </c:pt>
                <c:pt idx="524">
                  <c:v>44594</c:v>
                </c:pt>
                <c:pt idx="525">
                  <c:v>44595</c:v>
                </c:pt>
                <c:pt idx="526">
                  <c:v>44596</c:v>
                </c:pt>
                <c:pt idx="527">
                  <c:v>44599</c:v>
                </c:pt>
                <c:pt idx="528">
                  <c:v>44600</c:v>
                </c:pt>
                <c:pt idx="529">
                  <c:v>44601</c:v>
                </c:pt>
                <c:pt idx="530">
                  <c:v>44602</c:v>
                </c:pt>
                <c:pt idx="531">
                  <c:v>44603</c:v>
                </c:pt>
                <c:pt idx="532">
                  <c:v>44606</c:v>
                </c:pt>
                <c:pt idx="533">
                  <c:v>44607</c:v>
                </c:pt>
                <c:pt idx="534">
                  <c:v>44608</c:v>
                </c:pt>
                <c:pt idx="535">
                  <c:v>44609</c:v>
                </c:pt>
                <c:pt idx="536">
                  <c:v>44610</c:v>
                </c:pt>
                <c:pt idx="537">
                  <c:v>44613</c:v>
                </c:pt>
                <c:pt idx="538">
                  <c:v>44614</c:v>
                </c:pt>
                <c:pt idx="539">
                  <c:v>44615</c:v>
                </c:pt>
                <c:pt idx="540">
                  <c:v>44616</c:v>
                </c:pt>
                <c:pt idx="541">
                  <c:v>44617</c:v>
                </c:pt>
                <c:pt idx="542">
                  <c:v>44620</c:v>
                </c:pt>
                <c:pt idx="543">
                  <c:v>44621</c:v>
                </c:pt>
                <c:pt idx="544">
                  <c:v>44622</c:v>
                </c:pt>
                <c:pt idx="545">
                  <c:v>44623</c:v>
                </c:pt>
                <c:pt idx="546">
                  <c:v>44624</c:v>
                </c:pt>
                <c:pt idx="547">
                  <c:v>44627</c:v>
                </c:pt>
                <c:pt idx="548">
                  <c:v>44629</c:v>
                </c:pt>
                <c:pt idx="549">
                  <c:v>44630</c:v>
                </c:pt>
                <c:pt idx="550">
                  <c:v>44631</c:v>
                </c:pt>
                <c:pt idx="551">
                  <c:v>44634</c:v>
                </c:pt>
                <c:pt idx="552">
                  <c:v>44635</c:v>
                </c:pt>
                <c:pt idx="553">
                  <c:v>44636</c:v>
                </c:pt>
                <c:pt idx="554">
                  <c:v>44637</c:v>
                </c:pt>
                <c:pt idx="555">
                  <c:v>44638</c:v>
                </c:pt>
                <c:pt idx="556">
                  <c:v>44641</c:v>
                </c:pt>
                <c:pt idx="557">
                  <c:v>44642</c:v>
                </c:pt>
                <c:pt idx="558">
                  <c:v>44643</c:v>
                </c:pt>
                <c:pt idx="559">
                  <c:v>44644</c:v>
                </c:pt>
                <c:pt idx="560">
                  <c:v>44645</c:v>
                </c:pt>
                <c:pt idx="561">
                  <c:v>44648</c:v>
                </c:pt>
                <c:pt idx="562">
                  <c:v>44649</c:v>
                </c:pt>
                <c:pt idx="563">
                  <c:v>44650</c:v>
                </c:pt>
                <c:pt idx="564">
                  <c:v>44651</c:v>
                </c:pt>
                <c:pt idx="565">
                  <c:v>44652</c:v>
                </c:pt>
                <c:pt idx="566">
                  <c:v>44655</c:v>
                </c:pt>
                <c:pt idx="567">
                  <c:v>44656</c:v>
                </c:pt>
                <c:pt idx="568">
                  <c:v>44657</c:v>
                </c:pt>
                <c:pt idx="569">
                  <c:v>44658</c:v>
                </c:pt>
                <c:pt idx="570">
                  <c:v>44659</c:v>
                </c:pt>
                <c:pt idx="571">
                  <c:v>44662</c:v>
                </c:pt>
                <c:pt idx="572">
                  <c:v>44663</c:v>
                </c:pt>
                <c:pt idx="573">
                  <c:v>44664</c:v>
                </c:pt>
                <c:pt idx="574">
                  <c:v>44665</c:v>
                </c:pt>
                <c:pt idx="575">
                  <c:v>44666</c:v>
                </c:pt>
                <c:pt idx="576">
                  <c:v>44669</c:v>
                </c:pt>
                <c:pt idx="577">
                  <c:v>44670</c:v>
                </c:pt>
                <c:pt idx="578">
                  <c:v>44671</c:v>
                </c:pt>
                <c:pt idx="579">
                  <c:v>44672</c:v>
                </c:pt>
                <c:pt idx="580">
                  <c:v>44673</c:v>
                </c:pt>
                <c:pt idx="581">
                  <c:v>44676</c:v>
                </c:pt>
                <c:pt idx="582">
                  <c:v>44677</c:v>
                </c:pt>
                <c:pt idx="583">
                  <c:v>44678</c:v>
                </c:pt>
                <c:pt idx="584">
                  <c:v>44679</c:v>
                </c:pt>
                <c:pt idx="585">
                  <c:v>44680</c:v>
                </c:pt>
                <c:pt idx="586">
                  <c:v>44683</c:v>
                </c:pt>
                <c:pt idx="587">
                  <c:v>44684</c:v>
                </c:pt>
                <c:pt idx="588">
                  <c:v>44685</c:v>
                </c:pt>
                <c:pt idx="589">
                  <c:v>44686</c:v>
                </c:pt>
                <c:pt idx="590">
                  <c:v>44687</c:v>
                </c:pt>
                <c:pt idx="591">
                  <c:v>44691</c:v>
                </c:pt>
                <c:pt idx="592">
                  <c:v>44692</c:v>
                </c:pt>
                <c:pt idx="593">
                  <c:v>44693</c:v>
                </c:pt>
                <c:pt idx="594">
                  <c:v>44694</c:v>
                </c:pt>
                <c:pt idx="595">
                  <c:v>44697</c:v>
                </c:pt>
                <c:pt idx="596">
                  <c:v>44698</c:v>
                </c:pt>
                <c:pt idx="597">
                  <c:v>44699</c:v>
                </c:pt>
                <c:pt idx="598">
                  <c:v>44700</c:v>
                </c:pt>
                <c:pt idx="599">
                  <c:v>44701</c:v>
                </c:pt>
                <c:pt idx="600">
                  <c:v>44704</c:v>
                </c:pt>
                <c:pt idx="601">
                  <c:v>44705</c:v>
                </c:pt>
                <c:pt idx="602">
                  <c:v>44706</c:v>
                </c:pt>
                <c:pt idx="603">
                  <c:v>44707</c:v>
                </c:pt>
                <c:pt idx="604">
                  <c:v>44708</c:v>
                </c:pt>
                <c:pt idx="605">
                  <c:v>44711</c:v>
                </c:pt>
                <c:pt idx="606">
                  <c:v>44712</c:v>
                </c:pt>
                <c:pt idx="607">
                  <c:v>44713</c:v>
                </c:pt>
                <c:pt idx="608">
                  <c:v>44714</c:v>
                </c:pt>
                <c:pt idx="609">
                  <c:v>44715</c:v>
                </c:pt>
                <c:pt idx="610">
                  <c:v>44718</c:v>
                </c:pt>
                <c:pt idx="611">
                  <c:v>44719</c:v>
                </c:pt>
                <c:pt idx="612">
                  <c:v>44720</c:v>
                </c:pt>
                <c:pt idx="613">
                  <c:v>44721</c:v>
                </c:pt>
                <c:pt idx="614">
                  <c:v>44722</c:v>
                </c:pt>
                <c:pt idx="615">
                  <c:v>44725</c:v>
                </c:pt>
                <c:pt idx="616">
                  <c:v>44726</c:v>
                </c:pt>
                <c:pt idx="617">
                  <c:v>44727</c:v>
                </c:pt>
                <c:pt idx="618">
                  <c:v>44728</c:v>
                </c:pt>
                <c:pt idx="619">
                  <c:v>44729</c:v>
                </c:pt>
                <c:pt idx="620">
                  <c:v>44732</c:v>
                </c:pt>
                <c:pt idx="621">
                  <c:v>44733</c:v>
                </c:pt>
                <c:pt idx="622">
                  <c:v>44734</c:v>
                </c:pt>
                <c:pt idx="623">
                  <c:v>44735</c:v>
                </c:pt>
                <c:pt idx="624">
                  <c:v>44736</c:v>
                </c:pt>
                <c:pt idx="625">
                  <c:v>44739</c:v>
                </c:pt>
                <c:pt idx="626">
                  <c:v>44740</c:v>
                </c:pt>
                <c:pt idx="627">
                  <c:v>44741</c:v>
                </c:pt>
                <c:pt idx="628">
                  <c:v>44742</c:v>
                </c:pt>
                <c:pt idx="629">
                  <c:v>44743</c:v>
                </c:pt>
                <c:pt idx="630">
                  <c:v>44746</c:v>
                </c:pt>
                <c:pt idx="631">
                  <c:v>44748</c:v>
                </c:pt>
                <c:pt idx="632">
                  <c:v>44749</c:v>
                </c:pt>
                <c:pt idx="633">
                  <c:v>44750</c:v>
                </c:pt>
                <c:pt idx="634">
                  <c:v>44753</c:v>
                </c:pt>
                <c:pt idx="635">
                  <c:v>44754</c:v>
                </c:pt>
                <c:pt idx="636">
                  <c:v>44755</c:v>
                </c:pt>
                <c:pt idx="637">
                  <c:v>44756</c:v>
                </c:pt>
                <c:pt idx="638">
                  <c:v>44757</c:v>
                </c:pt>
                <c:pt idx="639">
                  <c:v>44760</c:v>
                </c:pt>
                <c:pt idx="640">
                  <c:v>44761</c:v>
                </c:pt>
                <c:pt idx="641">
                  <c:v>44762</c:v>
                </c:pt>
                <c:pt idx="642">
                  <c:v>44763</c:v>
                </c:pt>
                <c:pt idx="643">
                  <c:v>44764</c:v>
                </c:pt>
                <c:pt idx="644">
                  <c:v>44767</c:v>
                </c:pt>
                <c:pt idx="645">
                  <c:v>44768</c:v>
                </c:pt>
                <c:pt idx="646">
                  <c:v>44769</c:v>
                </c:pt>
                <c:pt idx="647">
                  <c:v>44770</c:v>
                </c:pt>
                <c:pt idx="648">
                  <c:v>44771</c:v>
                </c:pt>
                <c:pt idx="649">
                  <c:v>44774</c:v>
                </c:pt>
                <c:pt idx="650">
                  <c:v>44775</c:v>
                </c:pt>
                <c:pt idx="651">
                  <c:v>44776</c:v>
                </c:pt>
                <c:pt idx="652">
                  <c:v>44777</c:v>
                </c:pt>
                <c:pt idx="653">
                  <c:v>44778</c:v>
                </c:pt>
                <c:pt idx="654">
                  <c:v>44781</c:v>
                </c:pt>
                <c:pt idx="655">
                  <c:v>44782</c:v>
                </c:pt>
                <c:pt idx="656">
                  <c:v>44783</c:v>
                </c:pt>
                <c:pt idx="657">
                  <c:v>44784</c:v>
                </c:pt>
                <c:pt idx="658">
                  <c:v>44785</c:v>
                </c:pt>
                <c:pt idx="659">
                  <c:v>44788</c:v>
                </c:pt>
                <c:pt idx="660">
                  <c:v>44789</c:v>
                </c:pt>
                <c:pt idx="661">
                  <c:v>44790</c:v>
                </c:pt>
                <c:pt idx="662">
                  <c:v>44791</c:v>
                </c:pt>
                <c:pt idx="663">
                  <c:v>44792</c:v>
                </c:pt>
                <c:pt idx="664">
                  <c:v>44795</c:v>
                </c:pt>
                <c:pt idx="665">
                  <c:v>44796</c:v>
                </c:pt>
                <c:pt idx="666">
                  <c:v>44797</c:v>
                </c:pt>
                <c:pt idx="667">
                  <c:v>44798</c:v>
                </c:pt>
                <c:pt idx="668">
                  <c:v>44799</c:v>
                </c:pt>
                <c:pt idx="669">
                  <c:v>44802</c:v>
                </c:pt>
                <c:pt idx="670">
                  <c:v>44803</c:v>
                </c:pt>
                <c:pt idx="671">
                  <c:v>44804</c:v>
                </c:pt>
                <c:pt idx="672">
                  <c:v>44805</c:v>
                </c:pt>
                <c:pt idx="673">
                  <c:v>44806</c:v>
                </c:pt>
                <c:pt idx="674">
                  <c:v>44809</c:v>
                </c:pt>
                <c:pt idx="675">
                  <c:v>44810</c:v>
                </c:pt>
                <c:pt idx="676">
                  <c:v>44811</c:v>
                </c:pt>
                <c:pt idx="677">
                  <c:v>44812</c:v>
                </c:pt>
                <c:pt idx="678">
                  <c:v>44813</c:v>
                </c:pt>
                <c:pt idx="679">
                  <c:v>44816</c:v>
                </c:pt>
                <c:pt idx="680">
                  <c:v>44817</c:v>
                </c:pt>
                <c:pt idx="681">
                  <c:v>44818</c:v>
                </c:pt>
                <c:pt idx="682">
                  <c:v>44819</c:v>
                </c:pt>
                <c:pt idx="683">
                  <c:v>44820</c:v>
                </c:pt>
                <c:pt idx="684">
                  <c:v>44823</c:v>
                </c:pt>
                <c:pt idx="685">
                  <c:v>44824</c:v>
                </c:pt>
                <c:pt idx="686">
                  <c:v>44826</c:v>
                </c:pt>
                <c:pt idx="687">
                  <c:v>44827</c:v>
                </c:pt>
                <c:pt idx="688">
                  <c:v>44830</c:v>
                </c:pt>
                <c:pt idx="689">
                  <c:v>44831</c:v>
                </c:pt>
                <c:pt idx="690">
                  <c:v>44832</c:v>
                </c:pt>
                <c:pt idx="691">
                  <c:v>44833</c:v>
                </c:pt>
                <c:pt idx="692">
                  <c:v>44834</c:v>
                </c:pt>
                <c:pt idx="693">
                  <c:v>44837</c:v>
                </c:pt>
                <c:pt idx="694">
                  <c:v>44838</c:v>
                </c:pt>
                <c:pt idx="695">
                  <c:v>44839</c:v>
                </c:pt>
                <c:pt idx="696">
                  <c:v>44840</c:v>
                </c:pt>
                <c:pt idx="697">
                  <c:v>44841</c:v>
                </c:pt>
                <c:pt idx="698">
                  <c:v>44844</c:v>
                </c:pt>
                <c:pt idx="699">
                  <c:v>44845</c:v>
                </c:pt>
                <c:pt idx="700">
                  <c:v>44846</c:v>
                </c:pt>
                <c:pt idx="701">
                  <c:v>44847</c:v>
                </c:pt>
                <c:pt idx="702">
                  <c:v>44848</c:v>
                </c:pt>
                <c:pt idx="703">
                  <c:v>44851</c:v>
                </c:pt>
                <c:pt idx="704">
                  <c:v>44852</c:v>
                </c:pt>
                <c:pt idx="705">
                  <c:v>44853</c:v>
                </c:pt>
                <c:pt idx="706">
                  <c:v>44854</c:v>
                </c:pt>
                <c:pt idx="707">
                  <c:v>44855</c:v>
                </c:pt>
                <c:pt idx="708">
                  <c:v>44858</c:v>
                </c:pt>
                <c:pt idx="709">
                  <c:v>44859</c:v>
                </c:pt>
                <c:pt idx="710">
                  <c:v>44860</c:v>
                </c:pt>
                <c:pt idx="711">
                  <c:v>44861</c:v>
                </c:pt>
                <c:pt idx="712">
                  <c:v>44862</c:v>
                </c:pt>
                <c:pt idx="713">
                  <c:v>44865</c:v>
                </c:pt>
                <c:pt idx="714">
                  <c:v>44866</c:v>
                </c:pt>
                <c:pt idx="715">
                  <c:v>44867</c:v>
                </c:pt>
                <c:pt idx="716">
                  <c:v>44868</c:v>
                </c:pt>
                <c:pt idx="717">
                  <c:v>44869</c:v>
                </c:pt>
                <c:pt idx="718">
                  <c:v>44872</c:v>
                </c:pt>
                <c:pt idx="719">
                  <c:v>44873</c:v>
                </c:pt>
                <c:pt idx="720">
                  <c:v>44874</c:v>
                </c:pt>
                <c:pt idx="721">
                  <c:v>44875</c:v>
                </c:pt>
                <c:pt idx="722">
                  <c:v>44876</c:v>
                </c:pt>
                <c:pt idx="723">
                  <c:v>44879</c:v>
                </c:pt>
                <c:pt idx="724">
                  <c:v>44880</c:v>
                </c:pt>
                <c:pt idx="725">
                  <c:v>44881</c:v>
                </c:pt>
                <c:pt idx="726">
                  <c:v>44882</c:v>
                </c:pt>
                <c:pt idx="727">
                  <c:v>44883</c:v>
                </c:pt>
                <c:pt idx="728">
                  <c:v>44886</c:v>
                </c:pt>
                <c:pt idx="729">
                  <c:v>44887</c:v>
                </c:pt>
                <c:pt idx="730">
                  <c:v>44888</c:v>
                </c:pt>
                <c:pt idx="731">
                  <c:v>44889</c:v>
                </c:pt>
                <c:pt idx="732">
                  <c:v>44890</c:v>
                </c:pt>
                <c:pt idx="733">
                  <c:v>44893</c:v>
                </c:pt>
                <c:pt idx="734">
                  <c:v>44894</c:v>
                </c:pt>
                <c:pt idx="735">
                  <c:v>44895</c:v>
                </c:pt>
                <c:pt idx="736">
                  <c:v>44896</c:v>
                </c:pt>
                <c:pt idx="737">
                  <c:v>44897</c:v>
                </c:pt>
                <c:pt idx="738">
                  <c:v>44900</c:v>
                </c:pt>
                <c:pt idx="739">
                  <c:v>44901</c:v>
                </c:pt>
                <c:pt idx="740">
                  <c:v>44902</c:v>
                </c:pt>
                <c:pt idx="741">
                  <c:v>44903</c:v>
                </c:pt>
                <c:pt idx="742">
                  <c:v>44904</c:v>
                </c:pt>
                <c:pt idx="743">
                  <c:v>44907</c:v>
                </c:pt>
                <c:pt idx="744">
                  <c:v>44908</c:v>
                </c:pt>
                <c:pt idx="745">
                  <c:v>44909</c:v>
                </c:pt>
                <c:pt idx="746">
                  <c:v>44910</c:v>
                </c:pt>
                <c:pt idx="747">
                  <c:v>44911</c:v>
                </c:pt>
                <c:pt idx="748">
                  <c:v>44914</c:v>
                </c:pt>
                <c:pt idx="749">
                  <c:v>44915</c:v>
                </c:pt>
                <c:pt idx="750">
                  <c:v>44916</c:v>
                </c:pt>
                <c:pt idx="751">
                  <c:v>44917</c:v>
                </c:pt>
                <c:pt idx="752">
                  <c:v>44918</c:v>
                </c:pt>
                <c:pt idx="753">
                  <c:v>44921</c:v>
                </c:pt>
                <c:pt idx="754">
                  <c:v>44922</c:v>
                </c:pt>
                <c:pt idx="755">
                  <c:v>44923</c:v>
                </c:pt>
                <c:pt idx="756">
                  <c:v>44924</c:v>
                </c:pt>
                <c:pt idx="757">
                  <c:v>44925</c:v>
                </c:pt>
                <c:pt idx="758">
                  <c:v>44929</c:v>
                </c:pt>
                <c:pt idx="759">
                  <c:v>44930</c:v>
                </c:pt>
                <c:pt idx="760">
                  <c:v>44931</c:v>
                </c:pt>
                <c:pt idx="761">
                  <c:v>44935</c:v>
                </c:pt>
                <c:pt idx="762">
                  <c:v>44936</c:v>
                </c:pt>
                <c:pt idx="763">
                  <c:v>44937</c:v>
                </c:pt>
                <c:pt idx="764">
                  <c:v>44938</c:v>
                </c:pt>
                <c:pt idx="765">
                  <c:v>44939</c:v>
                </c:pt>
                <c:pt idx="766">
                  <c:v>44942</c:v>
                </c:pt>
                <c:pt idx="767">
                  <c:v>44943</c:v>
                </c:pt>
                <c:pt idx="768">
                  <c:v>44944</c:v>
                </c:pt>
                <c:pt idx="769">
                  <c:v>44945</c:v>
                </c:pt>
                <c:pt idx="770">
                  <c:v>44946</c:v>
                </c:pt>
                <c:pt idx="771">
                  <c:v>44949</c:v>
                </c:pt>
                <c:pt idx="772">
                  <c:v>44950</c:v>
                </c:pt>
                <c:pt idx="773">
                  <c:v>44951</c:v>
                </c:pt>
                <c:pt idx="774">
                  <c:v>44952</c:v>
                </c:pt>
                <c:pt idx="775">
                  <c:v>44953</c:v>
                </c:pt>
                <c:pt idx="776">
                  <c:v>44956</c:v>
                </c:pt>
                <c:pt idx="777">
                  <c:v>44957</c:v>
                </c:pt>
                <c:pt idx="778">
                  <c:v>44958</c:v>
                </c:pt>
                <c:pt idx="779">
                  <c:v>44959</c:v>
                </c:pt>
                <c:pt idx="780">
                  <c:v>44960</c:v>
                </c:pt>
                <c:pt idx="781">
                  <c:v>44963</c:v>
                </c:pt>
                <c:pt idx="782">
                  <c:v>44964</c:v>
                </c:pt>
                <c:pt idx="783">
                  <c:v>44965</c:v>
                </c:pt>
                <c:pt idx="784">
                  <c:v>44966</c:v>
                </c:pt>
                <c:pt idx="785">
                  <c:v>44967</c:v>
                </c:pt>
                <c:pt idx="786">
                  <c:v>44970</c:v>
                </c:pt>
                <c:pt idx="787">
                  <c:v>44971</c:v>
                </c:pt>
                <c:pt idx="788">
                  <c:v>44972</c:v>
                </c:pt>
                <c:pt idx="789">
                  <c:v>44973</c:v>
                </c:pt>
                <c:pt idx="790">
                  <c:v>44974</c:v>
                </c:pt>
                <c:pt idx="791">
                  <c:v>44977</c:v>
                </c:pt>
                <c:pt idx="792">
                  <c:v>44978</c:v>
                </c:pt>
                <c:pt idx="793">
                  <c:v>44979</c:v>
                </c:pt>
                <c:pt idx="794">
                  <c:v>44980</c:v>
                </c:pt>
                <c:pt idx="795">
                  <c:v>44981</c:v>
                </c:pt>
                <c:pt idx="796">
                  <c:v>44984</c:v>
                </c:pt>
                <c:pt idx="797">
                  <c:v>44985</c:v>
                </c:pt>
                <c:pt idx="798">
                  <c:v>44986</c:v>
                </c:pt>
                <c:pt idx="799">
                  <c:v>44986</c:v>
                </c:pt>
                <c:pt idx="800">
                  <c:v>44988</c:v>
                </c:pt>
                <c:pt idx="801">
                  <c:v>44991</c:v>
                </c:pt>
                <c:pt idx="802">
                  <c:v>44992</c:v>
                </c:pt>
                <c:pt idx="803">
                  <c:v>44994</c:v>
                </c:pt>
                <c:pt idx="804">
                  <c:v>44995</c:v>
                </c:pt>
                <c:pt idx="805">
                  <c:v>44998</c:v>
                </c:pt>
                <c:pt idx="806">
                  <c:v>44999</c:v>
                </c:pt>
                <c:pt idx="807">
                  <c:v>45000</c:v>
                </c:pt>
                <c:pt idx="808">
                  <c:v>45001</c:v>
                </c:pt>
                <c:pt idx="809">
                  <c:v>45002</c:v>
                </c:pt>
                <c:pt idx="810">
                  <c:v>45005</c:v>
                </c:pt>
                <c:pt idx="811">
                  <c:v>45006</c:v>
                </c:pt>
                <c:pt idx="812">
                  <c:v>45007</c:v>
                </c:pt>
                <c:pt idx="813">
                  <c:v>45008</c:v>
                </c:pt>
                <c:pt idx="814">
                  <c:v>45009</c:v>
                </c:pt>
                <c:pt idx="815">
                  <c:v>45012</c:v>
                </c:pt>
                <c:pt idx="816">
                  <c:v>45013</c:v>
                </c:pt>
                <c:pt idx="817">
                  <c:v>45014</c:v>
                </c:pt>
                <c:pt idx="818">
                  <c:v>45015</c:v>
                </c:pt>
                <c:pt idx="819">
                  <c:v>45016</c:v>
                </c:pt>
                <c:pt idx="820">
                  <c:v>45019</c:v>
                </c:pt>
                <c:pt idx="821">
                  <c:v>45020</c:v>
                </c:pt>
                <c:pt idx="822">
                  <c:v>45021</c:v>
                </c:pt>
                <c:pt idx="823">
                  <c:v>45022</c:v>
                </c:pt>
                <c:pt idx="824">
                  <c:v>45022</c:v>
                </c:pt>
                <c:pt idx="825">
                  <c:v>45026</c:v>
                </c:pt>
                <c:pt idx="826">
                  <c:v>45027</c:v>
                </c:pt>
                <c:pt idx="827">
                  <c:v>45028</c:v>
                </c:pt>
                <c:pt idx="828">
                  <c:v>45029</c:v>
                </c:pt>
                <c:pt idx="829">
                  <c:v>45030</c:v>
                </c:pt>
                <c:pt idx="830">
                  <c:v>45033</c:v>
                </c:pt>
                <c:pt idx="831">
                  <c:v>45034</c:v>
                </c:pt>
                <c:pt idx="832">
                  <c:v>45035</c:v>
                </c:pt>
                <c:pt idx="833">
                  <c:v>45036</c:v>
                </c:pt>
                <c:pt idx="834">
                  <c:v>45037</c:v>
                </c:pt>
                <c:pt idx="835">
                  <c:v>45041</c:v>
                </c:pt>
                <c:pt idx="836">
                  <c:v>45042</c:v>
                </c:pt>
                <c:pt idx="837">
                  <c:v>45043</c:v>
                </c:pt>
                <c:pt idx="838">
                  <c:v>45044</c:v>
                </c:pt>
                <c:pt idx="839">
                  <c:v>45048</c:v>
                </c:pt>
                <c:pt idx="840">
                  <c:v>45049</c:v>
                </c:pt>
                <c:pt idx="841">
                  <c:v>45050</c:v>
                </c:pt>
                <c:pt idx="842">
                  <c:v>45051</c:v>
                </c:pt>
                <c:pt idx="843">
                  <c:v>45054</c:v>
                </c:pt>
                <c:pt idx="844">
                  <c:v>45056</c:v>
                </c:pt>
                <c:pt idx="845">
                  <c:v>45057</c:v>
                </c:pt>
                <c:pt idx="846">
                  <c:v>45058</c:v>
                </c:pt>
                <c:pt idx="847">
                  <c:v>45061</c:v>
                </c:pt>
                <c:pt idx="848">
                  <c:v>45062</c:v>
                </c:pt>
                <c:pt idx="849">
                  <c:v>45063</c:v>
                </c:pt>
                <c:pt idx="850">
                  <c:v>45064</c:v>
                </c:pt>
                <c:pt idx="851">
                  <c:v>45065</c:v>
                </c:pt>
                <c:pt idx="852">
                  <c:v>45068</c:v>
                </c:pt>
                <c:pt idx="853">
                  <c:v>45069</c:v>
                </c:pt>
                <c:pt idx="854">
                  <c:v>45070</c:v>
                </c:pt>
                <c:pt idx="855">
                  <c:v>45071</c:v>
                </c:pt>
                <c:pt idx="856">
                  <c:v>45072</c:v>
                </c:pt>
                <c:pt idx="857">
                  <c:v>45075</c:v>
                </c:pt>
                <c:pt idx="858">
                  <c:v>45076</c:v>
                </c:pt>
                <c:pt idx="859">
                  <c:v>45077</c:v>
                </c:pt>
                <c:pt idx="860">
                  <c:v>45078</c:v>
                </c:pt>
                <c:pt idx="861">
                  <c:v>45079</c:v>
                </c:pt>
                <c:pt idx="862">
                  <c:v>45082</c:v>
                </c:pt>
                <c:pt idx="863">
                  <c:v>45083</c:v>
                </c:pt>
                <c:pt idx="864">
                  <c:v>45084</c:v>
                </c:pt>
                <c:pt idx="865">
                  <c:v>45085</c:v>
                </c:pt>
                <c:pt idx="866">
                  <c:v>45086</c:v>
                </c:pt>
                <c:pt idx="867">
                  <c:v>45089</c:v>
                </c:pt>
                <c:pt idx="868">
                  <c:v>45090</c:v>
                </c:pt>
                <c:pt idx="869">
                  <c:v>45091</c:v>
                </c:pt>
                <c:pt idx="870">
                  <c:v>45092</c:v>
                </c:pt>
                <c:pt idx="871">
                  <c:v>45093</c:v>
                </c:pt>
                <c:pt idx="872">
                  <c:v>45096</c:v>
                </c:pt>
                <c:pt idx="873">
                  <c:v>45097</c:v>
                </c:pt>
                <c:pt idx="874">
                  <c:v>45098</c:v>
                </c:pt>
                <c:pt idx="875">
                  <c:v>45099</c:v>
                </c:pt>
                <c:pt idx="876">
                  <c:v>45100</c:v>
                </c:pt>
                <c:pt idx="877">
                  <c:v>45103</c:v>
                </c:pt>
                <c:pt idx="878">
                  <c:v>45104</c:v>
                </c:pt>
                <c:pt idx="879">
                  <c:v>45105</c:v>
                </c:pt>
                <c:pt idx="880">
                  <c:v>45106</c:v>
                </c:pt>
                <c:pt idx="881">
                  <c:v>45107</c:v>
                </c:pt>
                <c:pt idx="882">
                  <c:v>45110</c:v>
                </c:pt>
                <c:pt idx="883">
                  <c:v>45111</c:v>
                </c:pt>
                <c:pt idx="884">
                  <c:v>45113</c:v>
                </c:pt>
                <c:pt idx="885">
                  <c:v>45114</c:v>
                </c:pt>
                <c:pt idx="886">
                  <c:v>45117</c:v>
                </c:pt>
                <c:pt idx="887">
                  <c:v>45118</c:v>
                </c:pt>
                <c:pt idx="888">
                  <c:v>45119</c:v>
                </c:pt>
                <c:pt idx="889">
                  <c:v>45120</c:v>
                </c:pt>
                <c:pt idx="890">
                  <c:v>45121</c:v>
                </c:pt>
                <c:pt idx="891">
                  <c:v>45124</c:v>
                </c:pt>
                <c:pt idx="892">
                  <c:v>45125</c:v>
                </c:pt>
                <c:pt idx="893">
                  <c:v>45126</c:v>
                </c:pt>
                <c:pt idx="894">
                  <c:v>45127</c:v>
                </c:pt>
                <c:pt idx="895">
                  <c:v>45128</c:v>
                </c:pt>
                <c:pt idx="896">
                  <c:v>45131</c:v>
                </c:pt>
                <c:pt idx="897">
                  <c:v>45132</c:v>
                </c:pt>
                <c:pt idx="898">
                  <c:v>45133</c:v>
                </c:pt>
                <c:pt idx="899">
                  <c:v>45134</c:v>
                </c:pt>
                <c:pt idx="900">
                  <c:v>45135</c:v>
                </c:pt>
                <c:pt idx="901">
                  <c:v>45138</c:v>
                </c:pt>
                <c:pt idx="902">
                  <c:v>45139</c:v>
                </c:pt>
                <c:pt idx="903">
                  <c:v>45140</c:v>
                </c:pt>
                <c:pt idx="904">
                  <c:v>45141</c:v>
                </c:pt>
                <c:pt idx="905">
                  <c:v>45142</c:v>
                </c:pt>
                <c:pt idx="906">
                  <c:v>45145</c:v>
                </c:pt>
                <c:pt idx="907">
                  <c:v>45146</c:v>
                </c:pt>
                <c:pt idx="908">
                  <c:v>45147</c:v>
                </c:pt>
                <c:pt idx="909">
                  <c:v>45148</c:v>
                </c:pt>
                <c:pt idx="910">
                  <c:v>45149</c:v>
                </c:pt>
                <c:pt idx="911">
                  <c:v>45152</c:v>
                </c:pt>
                <c:pt idx="912">
                  <c:v>45153</c:v>
                </c:pt>
                <c:pt idx="913">
                  <c:v>45154</c:v>
                </c:pt>
                <c:pt idx="914">
                  <c:v>45155</c:v>
                </c:pt>
                <c:pt idx="915">
                  <c:v>45156</c:v>
                </c:pt>
                <c:pt idx="916">
                  <c:v>45159</c:v>
                </c:pt>
                <c:pt idx="917">
                  <c:v>45160</c:v>
                </c:pt>
                <c:pt idx="918">
                  <c:v>45161</c:v>
                </c:pt>
                <c:pt idx="919">
                  <c:v>45162</c:v>
                </c:pt>
                <c:pt idx="920">
                  <c:v>45163</c:v>
                </c:pt>
                <c:pt idx="921">
                  <c:v>45166</c:v>
                </c:pt>
                <c:pt idx="922">
                  <c:v>45167</c:v>
                </c:pt>
                <c:pt idx="923">
                  <c:v>45168</c:v>
                </c:pt>
                <c:pt idx="924">
                  <c:v>45169</c:v>
                </c:pt>
                <c:pt idx="925">
                  <c:v>45170</c:v>
                </c:pt>
                <c:pt idx="926">
                  <c:v>45173</c:v>
                </c:pt>
                <c:pt idx="927">
                  <c:v>45174</c:v>
                </c:pt>
                <c:pt idx="928">
                  <c:v>45175</c:v>
                </c:pt>
                <c:pt idx="929">
                  <c:v>45176</c:v>
                </c:pt>
                <c:pt idx="930">
                  <c:v>45177</c:v>
                </c:pt>
                <c:pt idx="931">
                  <c:v>45180</c:v>
                </c:pt>
                <c:pt idx="932">
                  <c:v>45181</c:v>
                </c:pt>
                <c:pt idx="933">
                  <c:v>45182</c:v>
                </c:pt>
                <c:pt idx="934">
                  <c:v>45183</c:v>
                </c:pt>
                <c:pt idx="935">
                  <c:v>45184</c:v>
                </c:pt>
                <c:pt idx="936">
                  <c:v>45187</c:v>
                </c:pt>
                <c:pt idx="937">
                  <c:v>45188</c:v>
                </c:pt>
                <c:pt idx="938">
                  <c:v>45189</c:v>
                </c:pt>
                <c:pt idx="939">
                  <c:v>45191</c:v>
                </c:pt>
                <c:pt idx="940">
                  <c:v>45194</c:v>
                </c:pt>
                <c:pt idx="941">
                  <c:v>45195</c:v>
                </c:pt>
                <c:pt idx="942">
                  <c:v>45196</c:v>
                </c:pt>
                <c:pt idx="943">
                  <c:v>45197</c:v>
                </c:pt>
                <c:pt idx="944">
                  <c:v>45198</c:v>
                </c:pt>
                <c:pt idx="945">
                  <c:v>45201</c:v>
                </c:pt>
                <c:pt idx="946">
                  <c:v>45202</c:v>
                </c:pt>
                <c:pt idx="947">
                  <c:v>45203</c:v>
                </c:pt>
                <c:pt idx="948">
                  <c:v>45204</c:v>
                </c:pt>
                <c:pt idx="949">
                  <c:v>45205</c:v>
                </c:pt>
                <c:pt idx="950">
                  <c:v>45208</c:v>
                </c:pt>
                <c:pt idx="951">
                  <c:v>45209</c:v>
                </c:pt>
                <c:pt idx="952">
                  <c:v>45210</c:v>
                </c:pt>
                <c:pt idx="953">
                  <c:v>45211</c:v>
                </c:pt>
                <c:pt idx="954">
                  <c:v>45212</c:v>
                </c:pt>
                <c:pt idx="955">
                  <c:v>45215</c:v>
                </c:pt>
                <c:pt idx="956">
                  <c:v>45216</c:v>
                </c:pt>
                <c:pt idx="957">
                  <c:v>45217</c:v>
                </c:pt>
                <c:pt idx="958">
                  <c:v>45218</c:v>
                </c:pt>
                <c:pt idx="959">
                  <c:v>45219</c:v>
                </c:pt>
                <c:pt idx="960">
                  <c:v>45222</c:v>
                </c:pt>
                <c:pt idx="961">
                  <c:v>45223</c:v>
                </c:pt>
                <c:pt idx="962">
                  <c:v>45224</c:v>
                </c:pt>
                <c:pt idx="963">
                  <c:v>45225</c:v>
                </c:pt>
                <c:pt idx="964">
                  <c:v>45226</c:v>
                </c:pt>
                <c:pt idx="965">
                  <c:v>45229</c:v>
                </c:pt>
                <c:pt idx="966">
                  <c:v>45230</c:v>
                </c:pt>
                <c:pt idx="967">
                  <c:v>45231</c:v>
                </c:pt>
                <c:pt idx="968">
                  <c:v>45232</c:v>
                </c:pt>
                <c:pt idx="969">
                  <c:v>45233</c:v>
                </c:pt>
                <c:pt idx="970">
                  <c:v>45236</c:v>
                </c:pt>
                <c:pt idx="971">
                  <c:v>45237</c:v>
                </c:pt>
                <c:pt idx="972">
                  <c:v>45238</c:v>
                </c:pt>
                <c:pt idx="973">
                  <c:v>45239</c:v>
                </c:pt>
                <c:pt idx="974">
                  <c:v>45240</c:v>
                </c:pt>
                <c:pt idx="975">
                  <c:v>45243</c:v>
                </c:pt>
                <c:pt idx="976">
                  <c:v>45244</c:v>
                </c:pt>
                <c:pt idx="977">
                  <c:v>45245</c:v>
                </c:pt>
                <c:pt idx="978">
                  <c:v>45246</c:v>
                </c:pt>
                <c:pt idx="979">
                  <c:v>45247</c:v>
                </c:pt>
                <c:pt idx="980">
                  <c:v>45250</c:v>
                </c:pt>
                <c:pt idx="981">
                  <c:v>45251</c:v>
                </c:pt>
                <c:pt idx="982">
                  <c:v>45252</c:v>
                </c:pt>
                <c:pt idx="983">
                  <c:v>45253</c:v>
                </c:pt>
                <c:pt idx="984">
                  <c:v>45254</c:v>
                </c:pt>
                <c:pt idx="985">
                  <c:v>45257</c:v>
                </c:pt>
                <c:pt idx="986">
                  <c:v>45258</c:v>
                </c:pt>
                <c:pt idx="987">
                  <c:v>45259</c:v>
                </c:pt>
                <c:pt idx="988">
                  <c:v>45260</c:v>
                </c:pt>
                <c:pt idx="989">
                  <c:v>45261</c:v>
                </c:pt>
                <c:pt idx="990">
                  <c:v>45264</c:v>
                </c:pt>
                <c:pt idx="991">
                  <c:v>45265</c:v>
                </c:pt>
                <c:pt idx="992">
                  <c:v>45266</c:v>
                </c:pt>
                <c:pt idx="993">
                  <c:v>45267</c:v>
                </c:pt>
                <c:pt idx="994">
                  <c:v>45268</c:v>
                </c:pt>
                <c:pt idx="995">
                  <c:v>45271</c:v>
                </c:pt>
                <c:pt idx="996">
                  <c:v>45272</c:v>
                </c:pt>
                <c:pt idx="997">
                  <c:v>45273</c:v>
                </c:pt>
                <c:pt idx="998">
                  <c:v>45274</c:v>
                </c:pt>
                <c:pt idx="999">
                  <c:v>45275</c:v>
                </c:pt>
                <c:pt idx="1000">
                  <c:v>45278</c:v>
                </c:pt>
                <c:pt idx="1001">
                  <c:v>45279</c:v>
                </c:pt>
                <c:pt idx="1002">
                  <c:v>45280</c:v>
                </c:pt>
                <c:pt idx="1003">
                  <c:v>45281</c:v>
                </c:pt>
                <c:pt idx="1004">
                  <c:v>45282</c:v>
                </c:pt>
                <c:pt idx="1005">
                  <c:v>45285</c:v>
                </c:pt>
                <c:pt idx="1006">
                  <c:v>45286</c:v>
                </c:pt>
                <c:pt idx="1007">
                  <c:v>45287</c:v>
                </c:pt>
                <c:pt idx="1008">
                  <c:v>45288</c:v>
                </c:pt>
              </c:numCache>
            </c:numRef>
          </c:cat>
          <c:val>
            <c:numRef>
              <c:f>'[2025-2027 Strategy data.xlsx]Graf yield'!$E$572:$E$1580</c:f>
              <c:numCache>
                <c:formatCode>General</c:formatCode>
                <c:ptCount val="1009"/>
                <c:pt idx="510" formatCode="0.00">
                  <c:v>10.603100000000001</c:v>
                </c:pt>
                <c:pt idx="511" formatCode="0.00">
                  <c:v>10.603100000000001</c:v>
                </c:pt>
                <c:pt idx="512" formatCode="0.00">
                  <c:v>10.603100000000001</c:v>
                </c:pt>
                <c:pt idx="513" formatCode="0.00">
                  <c:v>10.603100000000001</c:v>
                </c:pt>
                <c:pt idx="514" formatCode="0.00">
                  <c:v>10.520371950240609</c:v>
                </c:pt>
                <c:pt idx="515" formatCode="0.00">
                  <c:v>10.520371950240609</c:v>
                </c:pt>
                <c:pt idx="516" formatCode="0.00">
                  <c:v>10.520371950240609</c:v>
                </c:pt>
                <c:pt idx="517" formatCode="0.00">
                  <c:v>10.520371950240609</c:v>
                </c:pt>
                <c:pt idx="518" formatCode="0.00">
                  <c:v>10.520371950240609</c:v>
                </c:pt>
                <c:pt idx="519" formatCode="0.00">
                  <c:v>10.432523197027155</c:v>
                </c:pt>
                <c:pt idx="520" formatCode="0.00">
                  <c:v>10.432523197027155</c:v>
                </c:pt>
                <c:pt idx="521" formatCode="0.00">
                  <c:v>10.432523197027155</c:v>
                </c:pt>
                <c:pt idx="522" formatCode="0.00">
                  <c:v>10.432523197027155</c:v>
                </c:pt>
                <c:pt idx="523" formatCode="0.00">
                  <c:v>10.39358125767478</c:v>
                </c:pt>
                <c:pt idx="524" formatCode="0.00">
                  <c:v>10.39358125767478</c:v>
                </c:pt>
                <c:pt idx="525" formatCode="0.00">
                  <c:v>10.39358125767478</c:v>
                </c:pt>
                <c:pt idx="526" formatCode="0.00">
                  <c:v>10.39358125767478</c:v>
                </c:pt>
                <c:pt idx="527" formatCode="0.00">
                  <c:v>10.39358125767478</c:v>
                </c:pt>
                <c:pt idx="528" formatCode="0.00">
                  <c:v>10.39358125767478</c:v>
                </c:pt>
                <c:pt idx="529" formatCode="0.00">
                  <c:v>10.192963731577969</c:v>
                </c:pt>
                <c:pt idx="530" formatCode="0.00">
                  <c:v>10.192963731577969</c:v>
                </c:pt>
                <c:pt idx="531" formatCode="0.00">
                  <c:v>10.192963731577969</c:v>
                </c:pt>
                <c:pt idx="532" formatCode="0.00">
                  <c:v>10.192963731577969</c:v>
                </c:pt>
                <c:pt idx="533" formatCode="0.00">
                  <c:v>10.159670333118244</c:v>
                </c:pt>
                <c:pt idx="534" formatCode="0.00">
                  <c:v>10.159670333118244</c:v>
                </c:pt>
                <c:pt idx="535" formatCode="0.00">
                  <c:v>10.159670333118244</c:v>
                </c:pt>
                <c:pt idx="536" formatCode="0.00">
                  <c:v>10.159670333118244</c:v>
                </c:pt>
                <c:pt idx="537" formatCode="0.00">
                  <c:v>10.159670333118244</c:v>
                </c:pt>
                <c:pt idx="538" formatCode="0.00">
                  <c:v>10.121208849766965</c:v>
                </c:pt>
                <c:pt idx="539" formatCode="0.00">
                  <c:v>10.121208849766965</c:v>
                </c:pt>
                <c:pt idx="540" formatCode="0.00">
                  <c:v>10.121208849766965</c:v>
                </c:pt>
                <c:pt idx="541" formatCode="0.00">
                  <c:v>10.121208849766965</c:v>
                </c:pt>
                <c:pt idx="542" formatCode="0.00">
                  <c:v>10.121208849766965</c:v>
                </c:pt>
                <c:pt idx="543" formatCode="0.00">
                  <c:v>10.10760719067115</c:v>
                </c:pt>
                <c:pt idx="544" formatCode="0.00">
                  <c:v>10.10760719067115</c:v>
                </c:pt>
                <c:pt idx="545" formatCode="0.00">
                  <c:v>10.10760719067115</c:v>
                </c:pt>
                <c:pt idx="546" formatCode="0.00">
                  <c:v>10.10760719067115</c:v>
                </c:pt>
                <c:pt idx="547" formatCode="0.00">
                  <c:v>10.10760719067115</c:v>
                </c:pt>
                <c:pt idx="548" formatCode="0.00">
                  <c:v>10.10760719067115</c:v>
                </c:pt>
                <c:pt idx="549" formatCode="0.00">
                  <c:v>10.10760719067115</c:v>
                </c:pt>
                <c:pt idx="550" formatCode="0.00">
                  <c:v>10.10760719067115</c:v>
                </c:pt>
                <c:pt idx="551" formatCode="0.00">
                  <c:v>10.10760719067115</c:v>
                </c:pt>
                <c:pt idx="552" formatCode="0.00">
                  <c:v>10.10760719067115</c:v>
                </c:pt>
                <c:pt idx="553" formatCode="0.00">
                  <c:v>10.162629758329802</c:v>
                </c:pt>
                <c:pt idx="554" formatCode="0.00">
                  <c:v>10.162629758329802</c:v>
                </c:pt>
                <c:pt idx="555" formatCode="0.00">
                  <c:v>10.162629758329802</c:v>
                </c:pt>
                <c:pt idx="556" formatCode="0.00">
                  <c:v>10.162629758329802</c:v>
                </c:pt>
                <c:pt idx="557" formatCode="0.00">
                  <c:v>10.163328019993155</c:v>
                </c:pt>
                <c:pt idx="558" formatCode="0.00">
                  <c:v>10.163328019993155</c:v>
                </c:pt>
                <c:pt idx="559" formatCode="0.00">
                  <c:v>10.163328019993155</c:v>
                </c:pt>
                <c:pt idx="560" formatCode="0.00">
                  <c:v>10.163328019993155</c:v>
                </c:pt>
                <c:pt idx="561" formatCode="0.00">
                  <c:v>10.163328019993155</c:v>
                </c:pt>
                <c:pt idx="562" formatCode="0.00">
                  <c:v>10.160459913809671</c:v>
                </c:pt>
                <c:pt idx="563" formatCode="0.00">
                  <c:v>10.160459913809671</c:v>
                </c:pt>
                <c:pt idx="564" formatCode="0.00">
                  <c:v>10.160459913809671</c:v>
                </c:pt>
                <c:pt idx="565" formatCode="0.00">
                  <c:v>10.160459913809671</c:v>
                </c:pt>
                <c:pt idx="566" formatCode="0.00">
                  <c:v>10.160459913809671</c:v>
                </c:pt>
                <c:pt idx="567" formatCode="0.00">
                  <c:v>10.170728680441394</c:v>
                </c:pt>
                <c:pt idx="568" formatCode="0.00">
                  <c:v>10.170728680441394</c:v>
                </c:pt>
                <c:pt idx="569" formatCode="0.00">
                  <c:v>10.170728680441394</c:v>
                </c:pt>
                <c:pt idx="570" formatCode="0.00">
                  <c:v>10.170728680441394</c:v>
                </c:pt>
                <c:pt idx="571" formatCode="0.00">
                  <c:v>10.170728680441394</c:v>
                </c:pt>
                <c:pt idx="572" formatCode="0.00">
                  <c:v>10.170728680441394</c:v>
                </c:pt>
                <c:pt idx="573" formatCode="0.00">
                  <c:v>10.205336517715061</c:v>
                </c:pt>
                <c:pt idx="574" formatCode="0.00">
                  <c:v>10.205336517715061</c:v>
                </c:pt>
                <c:pt idx="575" formatCode="0.00">
                  <c:v>10.205336517715061</c:v>
                </c:pt>
                <c:pt idx="576" formatCode="0.00">
                  <c:v>10.205336517715061</c:v>
                </c:pt>
                <c:pt idx="577" formatCode="0.00">
                  <c:v>10.208077867941453</c:v>
                </c:pt>
                <c:pt idx="578" formatCode="0.00">
                  <c:v>10.208077867941453</c:v>
                </c:pt>
                <c:pt idx="579" formatCode="0.00">
                  <c:v>10.208077867941453</c:v>
                </c:pt>
                <c:pt idx="580" formatCode="0.00">
                  <c:v>10.208077867941453</c:v>
                </c:pt>
                <c:pt idx="581" formatCode="0.00">
                  <c:v>10.208077867941453</c:v>
                </c:pt>
                <c:pt idx="582" formatCode="0.00">
                  <c:v>10.20738443706451</c:v>
                </c:pt>
                <c:pt idx="583" formatCode="0.00">
                  <c:v>10.20738443706451</c:v>
                </c:pt>
                <c:pt idx="584" formatCode="0.00">
                  <c:v>10.20738443706451</c:v>
                </c:pt>
                <c:pt idx="585" formatCode="0.00">
                  <c:v>10.582048852160181</c:v>
                </c:pt>
                <c:pt idx="586" formatCode="0.00">
                  <c:v>10.582048852160181</c:v>
                </c:pt>
                <c:pt idx="587" formatCode="0.00">
                  <c:v>10.580022098293222</c:v>
                </c:pt>
                <c:pt idx="588" formatCode="0.00">
                  <c:v>10.580022098293222</c:v>
                </c:pt>
                <c:pt idx="589" formatCode="0.00">
                  <c:v>10.580022098293222</c:v>
                </c:pt>
                <c:pt idx="590" formatCode="0.00">
                  <c:v>10.580022098293222</c:v>
                </c:pt>
                <c:pt idx="591" formatCode="0.00">
                  <c:v>10.580022098293222</c:v>
                </c:pt>
                <c:pt idx="592" formatCode="0.00">
                  <c:v>10.669468637499042</c:v>
                </c:pt>
                <c:pt idx="593" formatCode="0.00">
                  <c:v>10.682850821198436</c:v>
                </c:pt>
                <c:pt idx="594" formatCode="0.00">
                  <c:v>10.682850821198436</c:v>
                </c:pt>
                <c:pt idx="595" formatCode="0.00">
                  <c:v>10.682850821198436</c:v>
                </c:pt>
                <c:pt idx="596" formatCode="0.00">
                  <c:v>10.680095227865753</c:v>
                </c:pt>
                <c:pt idx="597" formatCode="0.00">
                  <c:v>10.680095227865753</c:v>
                </c:pt>
                <c:pt idx="598" formatCode="0.00">
                  <c:v>10.680095227865753</c:v>
                </c:pt>
                <c:pt idx="599" formatCode="0.00">
                  <c:v>10.680095227865753</c:v>
                </c:pt>
                <c:pt idx="600" formatCode="0.00">
                  <c:v>10.680095227865753</c:v>
                </c:pt>
                <c:pt idx="601" formatCode="0.00">
                  <c:v>10.676722772719385</c:v>
                </c:pt>
                <c:pt idx="602" formatCode="0.00">
                  <c:v>10.676722772719385</c:v>
                </c:pt>
                <c:pt idx="603" formatCode="0.00">
                  <c:v>10.676722772719385</c:v>
                </c:pt>
                <c:pt idx="604" formatCode="0.00">
                  <c:v>10.676722772719385</c:v>
                </c:pt>
                <c:pt idx="605" formatCode="0.00">
                  <c:v>10.676722772719385</c:v>
                </c:pt>
                <c:pt idx="606" formatCode="0.00">
                  <c:v>10.676722772719385</c:v>
                </c:pt>
                <c:pt idx="607" formatCode="0.00">
                  <c:v>10.676722772719385</c:v>
                </c:pt>
                <c:pt idx="608" formatCode="0.00">
                  <c:v>10.676722772719385</c:v>
                </c:pt>
                <c:pt idx="609" formatCode="0.00">
                  <c:v>10.676722772719385</c:v>
                </c:pt>
                <c:pt idx="610" formatCode="0.00">
                  <c:v>10.676722772719385</c:v>
                </c:pt>
                <c:pt idx="611" formatCode="0.00">
                  <c:v>10.675542747541595</c:v>
                </c:pt>
                <c:pt idx="612" formatCode="0.00">
                  <c:v>10.675542747541595</c:v>
                </c:pt>
                <c:pt idx="613" formatCode="0.00">
                  <c:v>10.675542747541595</c:v>
                </c:pt>
                <c:pt idx="614" formatCode="0.00">
                  <c:v>10.675542747541595</c:v>
                </c:pt>
                <c:pt idx="615" formatCode="0.00">
                  <c:v>10.675542747541595</c:v>
                </c:pt>
                <c:pt idx="616" formatCode="0.00">
                  <c:v>10.675542747541595</c:v>
                </c:pt>
                <c:pt idx="617" formatCode="0.00">
                  <c:v>10.706600632515496</c:v>
                </c:pt>
                <c:pt idx="618" formatCode="0.00">
                  <c:v>10.706600632515496</c:v>
                </c:pt>
                <c:pt idx="619" formatCode="0.00">
                  <c:v>10.706600632515496</c:v>
                </c:pt>
                <c:pt idx="620" formatCode="0.00">
                  <c:v>10.706600632515496</c:v>
                </c:pt>
                <c:pt idx="621" formatCode="0.00">
                  <c:v>10.706121373106237</c:v>
                </c:pt>
                <c:pt idx="622" formatCode="0.00">
                  <c:v>10.706121373106237</c:v>
                </c:pt>
                <c:pt idx="623" formatCode="0.00">
                  <c:v>10.706121373106237</c:v>
                </c:pt>
                <c:pt idx="624" formatCode="0.00">
                  <c:v>10.706121373106237</c:v>
                </c:pt>
                <c:pt idx="625" formatCode="0.00">
                  <c:v>10.706121373106237</c:v>
                </c:pt>
                <c:pt idx="626" formatCode="0.00">
                  <c:v>10.705795295258994</c:v>
                </c:pt>
                <c:pt idx="627" formatCode="0.00">
                  <c:v>10.705795295258994</c:v>
                </c:pt>
                <c:pt idx="628" formatCode="0.00">
                  <c:v>10.705795295258994</c:v>
                </c:pt>
                <c:pt idx="629" formatCode="0.00">
                  <c:v>10.705795295258994</c:v>
                </c:pt>
                <c:pt idx="630" formatCode="0.00">
                  <c:v>10.706380809306548</c:v>
                </c:pt>
                <c:pt idx="631" formatCode="0.00">
                  <c:v>10.706380809306548</c:v>
                </c:pt>
                <c:pt idx="632" formatCode="0.00">
                  <c:v>10.706380809306548</c:v>
                </c:pt>
                <c:pt idx="633" formatCode="0.00">
                  <c:v>10.706380809306548</c:v>
                </c:pt>
                <c:pt idx="634" formatCode="0.00">
                  <c:v>10.706380809306548</c:v>
                </c:pt>
                <c:pt idx="635" formatCode="0.00">
                  <c:v>10.706380809306548</c:v>
                </c:pt>
                <c:pt idx="636" formatCode="0.00">
                  <c:v>10.8574967895985</c:v>
                </c:pt>
                <c:pt idx="637" formatCode="0.00">
                  <c:v>10.8574967895985</c:v>
                </c:pt>
                <c:pt idx="638" formatCode="0.00">
                  <c:v>10.8574967895985</c:v>
                </c:pt>
                <c:pt idx="639" formatCode="0.00">
                  <c:v>10.8574967895985</c:v>
                </c:pt>
                <c:pt idx="640" formatCode="0.00">
                  <c:v>10.85619346872566</c:v>
                </c:pt>
                <c:pt idx="641" formatCode="0.00">
                  <c:v>10.85619346872566</c:v>
                </c:pt>
                <c:pt idx="642" formatCode="0.00">
                  <c:v>10.85619346872566</c:v>
                </c:pt>
                <c:pt idx="643" formatCode="0.00">
                  <c:v>10.85619346872566</c:v>
                </c:pt>
                <c:pt idx="644" formatCode="0.00">
                  <c:v>10.85619346872566</c:v>
                </c:pt>
                <c:pt idx="645" formatCode="0.00">
                  <c:v>10.85619346872566</c:v>
                </c:pt>
                <c:pt idx="646" formatCode="0.00">
                  <c:v>10.85619346872566</c:v>
                </c:pt>
                <c:pt idx="647" formatCode="0.00">
                  <c:v>10.85619346872566</c:v>
                </c:pt>
                <c:pt idx="648" formatCode="0.00">
                  <c:v>10.85619346872566</c:v>
                </c:pt>
                <c:pt idx="649" formatCode="0.00">
                  <c:v>10.85619346872566</c:v>
                </c:pt>
                <c:pt idx="650" formatCode="0.00">
                  <c:v>10.85619346872566</c:v>
                </c:pt>
                <c:pt idx="651" formatCode="0.00">
                  <c:v>10.85619346872566</c:v>
                </c:pt>
                <c:pt idx="652" formatCode="0.00">
                  <c:v>10.85619346872566</c:v>
                </c:pt>
                <c:pt idx="653" formatCode="0.00">
                  <c:v>10.85619346872566</c:v>
                </c:pt>
                <c:pt idx="654" formatCode="0.00">
                  <c:v>10.85619346872566</c:v>
                </c:pt>
                <c:pt idx="655" formatCode="0.00">
                  <c:v>10.85619346872566</c:v>
                </c:pt>
                <c:pt idx="656" formatCode="0.00">
                  <c:v>10.895316220132893</c:v>
                </c:pt>
                <c:pt idx="657" formatCode="0.00">
                  <c:v>10.895316220132893</c:v>
                </c:pt>
                <c:pt idx="658" formatCode="0.00">
                  <c:v>10.895316220132893</c:v>
                </c:pt>
                <c:pt idx="659" formatCode="0.00">
                  <c:v>10.895316220132893</c:v>
                </c:pt>
                <c:pt idx="660" formatCode="0.00">
                  <c:v>10.890915001192317</c:v>
                </c:pt>
                <c:pt idx="661" formatCode="0.00">
                  <c:v>10.890915001192317</c:v>
                </c:pt>
                <c:pt idx="662" formatCode="0.00">
                  <c:v>10.890915001192317</c:v>
                </c:pt>
                <c:pt idx="663" formatCode="0.00">
                  <c:v>10.890915001192317</c:v>
                </c:pt>
                <c:pt idx="664" formatCode="0.00">
                  <c:v>10.890915001192317</c:v>
                </c:pt>
                <c:pt idx="665" formatCode="0.00">
                  <c:v>10.889341808890341</c:v>
                </c:pt>
                <c:pt idx="666" formatCode="0.00">
                  <c:v>10.889341808890341</c:v>
                </c:pt>
                <c:pt idx="667" formatCode="0.00">
                  <c:v>10.889341808890341</c:v>
                </c:pt>
                <c:pt idx="668" formatCode="0.00">
                  <c:v>10.889341808890341</c:v>
                </c:pt>
                <c:pt idx="669" formatCode="0.00">
                  <c:v>10.889341808890341</c:v>
                </c:pt>
                <c:pt idx="670" formatCode="0.00">
                  <c:v>10.889341808890341</c:v>
                </c:pt>
                <c:pt idx="671" formatCode="0.00">
                  <c:v>10.889341808890341</c:v>
                </c:pt>
                <c:pt idx="672" formatCode="0.00">
                  <c:v>10.889341808890341</c:v>
                </c:pt>
                <c:pt idx="673" formatCode="0.00">
                  <c:v>10.889341808890341</c:v>
                </c:pt>
                <c:pt idx="674" formatCode="0.00">
                  <c:v>10.889341808890341</c:v>
                </c:pt>
                <c:pt idx="675" formatCode="0.00">
                  <c:v>10.887808250070098</c:v>
                </c:pt>
                <c:pt idx="676" formatCode="0.00">
                  <c:v>10.887808250070098</c:v>
                </c:pt>
                <c:pt idx="677" formatCode="0.00">
                  <c:v>10.887808250070098</c:v>
                </c:pt>
                <c:pt idx="678" formatCode="0.00">
                  <c:v>10.887808250070098</c:v>
                </c:pt>
                <c:pt idx="679" formatCode="0.00">
                  <c:v>10.887808250070098</c:v>
                </c:pt>
                <c:pt idx="680" formatCode="0.00">
                  <c:v>10.887808250070098</c:v>
                </c:pt>
                <c:pt idx="681" formatCode="0.00">
                  <c:v>10.887808250070098</c:v>
                </c:pt>
                <c:pt idx="682" formatCode="0.00">
                  <c:v>10.898234518095547</c:v>
                </c:pt>
                <c:pt idx="683" formatCode="0.00">
                  <c:v>10.898234518095547</c:v>
                </c:pt>
                <c:pt idx="684" formatCode="0.00">
                  <c:v>10.898234518095547</c:v>
                </c:pt>
                <c:pt idx="685" formatCode="0.00">
                  <c:v>10.898234518095547</c:v>
                </c:pt>
                <c:pt idx="686" formatCode="0.00">
                  <c:v>10.898234518095547</c:v>
                </c:pt>
                <c:pt idx="687" formatCode="0.00">
                  <c:v>10.898234518095547</c:v>
                </c:pt>
                <c:pt idx="688" formatCode="0.00">
                  <c:v>10.898234518095547</c:v>
                </c:pt>
                <c:pt idx="689" formatCode="0.00">
                  <c:v>10.897599036729655</c:v>
                </c:pt>
                <c:pt idx="690" formatCode="0.00">
                  <c:v>10.897599036729655</c:v>
                </c:pt>
                <c:pt idx="691" formatCode="0.00">
                  <c:v>10.897599036729655</c:v>
                </c:pt>
                <c:pt idx="692" formatCode="0.00">
                  <c:v>10.897599036729655</c:v>
                </c:pt>
                <c:pt idx="693" formatCode="0.00">
                  <c:v>10.897599036729655</c:v>
                </c:pt>
                <c:pt idx="694" formatCode="0.00">
                  <c:v>10.900812361342318</c:v>
                </c:pt>
                <c:pt idx="695" formatCode="0.00">
                  <c:v>10.900812361342318</c:v>
                </c:pt>
                <c:pt idx="696" formatCode="0.00">
                  <c:v>10.900812361342318</c:v>
                </c:pt>
                <c:pt idx="697" formatCode="0.00">
                  <c:v>10.900812361342318</c:v>
                </c:pt>
                <c:pt idx="698" formatCode="0.00">
                  <c:v>10.900812361342318</c:v>
                </c:pt>
                <c:pt idx="699" formatCode="0.00">
                  <c:v>10.900812361342318</c:v>
                </c:pt>
                <c:pt idx="700" formatCode="0.00">
                  <c:v>10.900812361342318</c:v>
                </c:pt>
                <c:pt idx="701" formatCode="0.00">
                  <c:v>10.900812361342318</c:v>
                </c:pt>
                <c:pt idx="702" formatCode="0.00">
                  <c:v>10.900812361342318</c:v>
                </c:pt>
                <c:pt idx="703" formatCode="0.00">
                  <c:v>10.900812361342318</c:v>
                </c:pt>
                <c:pt idx="704" formatCode="0.00">
                  <c:v>10.904999134140136</c:v>
                </c:pt>
                <c:pt idx="705" formatCode="0.00">
                  <c:v>10.904999134140136</c:v>
                </c:pt>
                <c:pt idx="706" formatCode="0.00">
                  <c:v>10.904999134140136</c:v>
                </c:pt>
                <c:pt idx="707" formatCode="0.00">
                  <c:v>10.904999134140136</c:v>
                </c:pt>
                <c:pt idx="708" formatCode="0.00">
                  <c:v>10.904999134140136</c:v>
                </c:pt>
                <c:pt idx="709" formatCode="0.00">
                  <c:v>10.911858713247264</c:v>
                </c:pt>
                <c:pt idx="710" formatCode="0.00">
                  <c:v>10.911858713247264</c:v>
                </c:pt>
                <c:pt idx="711" formatCode="0.00">
                  <c:v>10.911858713247264</c:v>
                </c:pt>
                <c:pt idx="712" formatCode="0.00">
                  <c:v>10.911858713247264</c:v>
                </c:pt>
                <c:pt idx="713" formatCode="0.00">
                  <c:v>10.911858713247264</c:v>
                </c:pt>
                <c:pt idx="714" formatCode="0.00">
                  <c:v>10.956947865218112</c:v>
                </c:pt>
                <c:pt idx="715" formatCode="0.00">
                  <c:v>10.956947865218112</c:v>
                </c:pt>
                <c:pt idx="716" formatCode="0.00">
                  <c:v>10.956947865218112</c:v>
                </c:pt>
                <c:pt idx="717" formatCode="0.00">
                  <c:v>10.956947865218112</c:v>
                </c:pt>
                <c:pt idx="718" formatCode="0.00">
                  <c:v>10.956947865218112</c:v>
                </c:pt>
                <c:pt idx="719" formatCode="0.00">
                  <c:v>10.956947865218112</c:v>
                </c:pt>
                <c:pt idx="720" formatCode="0.00">
                  <c:v>10.956947865218112</c:v>
                </c:pt>
                <c:pt idx="721" formatCode="0.00">
                  <c:v>10.956947865218112</c:v>
                </c:pt>
                <c:pt idx="722" formatCode="0.00">
                  <c:v>10.956947865218112</c:v>
                </c:pt>
                <c:pt idx="723" formatCode="0.00">
                  <c:v>10.956947865218112</c:v>
                </c:pt>
                <c:pt idx="724" formatCode="0.00">
                  <c:v>10.967944213136988</c:v>
                </c:pt>
                <c:pt idx="725" formatCode="0.00">
                  <c:v>10.967944213136983</c:v>
                </c:pt>
                <c:pt idx="726" formatCode="0.00">
                  <c:v>10.967944213136983</c:v>
                </c:pt>
                <c:pt idx="727" formatCode="0.00">
                  <c:v>10.967944213136983</c:v>
                </c:pt>
                <c:pt idx="728" formatCode="0.00">
                  <c:v>10.967944213136983</c:v>
                </c:pt>
                <c:pt idx="729" formatCode="0.00">
                  <c:v>10.977984038998903</c:v>
                </c:pt>
                <c:pt idx="730" formatCode="0.00">
                  <c:v>10.977984038998903</c:v>
                </c:pt>
                <c:pt idx="731" formatCode="0.00">
                  <c:v>10.977984038998903</c:v>
                </c:pt>
                <c:pt idx="732" formatCode="0.00">
                  <c:v>10.977984038998903</c:v>
                </c:pt>
                <c:pt idx="733" formatCode="0.00">
                  <c:v>10.977984038998903</c:v>
                </c:pt>
                <c:pt idx="734" formatCode="0.00">
                  <c:v>10.982218114284203</c:v>
                </c:pt>
                <c:pt idx="735" formatCode="0.00">
                  <c:v>10.982218114284203</c:v>
                </c:pt>
                <c:pt idx="736" formatCode="0.00">
                  <c:v>10.982218114284203</c:v>
                </c:pt>
                <c:pt idx="737" formatCode="0.00">
                  <c:v>10.982218114284203</c:v>
                </c:pt>
                <c:pt idx="738" formatCode="0.00">
                  <c:v>10.982218114284203</c:v>
                </c:pt>
                <c:pt idx="739" formatCode="0.00">
                  <c:v>10.992994117753282</c:v>
                </c:pt>
                <c:pt idx="740" formatCode="0.00">
                  <c:v>10.992994117753282</c:v>
                </c:pt>
                <c:pt idx="741" formatCode="0.00">
                  <c:v>10.992994117753282</c:v>
                </c:pt>
                <c:pt idx="742" formatCode="0.00">
                  <c:v>10.992994117753282</c:v>
                </c:pt>
                <c:pt idx="743" formatCode="0.00">
                  <c:v>10.992994117753282</c:v>
                </c:pt>
                <c:pt idx="744" formatCode="0.00">
                  <c:v>10.992994117753282</c:v>
                </c:pt>
                <c:pt idx="745" formatCode="0.00">
                  <c:v>11.056673969558469</c:v>
                </c:pt>
                <c:pt idx="746" formatCode="0.00">
                  <c:v>11.056673969558469</c:v>
                </c:pt>
                <c:pt idx="747" formatCode="0.00">
                  <c:v>11.056673969558469</c:v>
                </c:pt>
                <c:pt idx="748" formatCode="0.00">
                  <c:v>11.056673969558469</c:v>
                </c:pt>
                <c:pt idx="749" formatCode="0.00">
                  <c:v>11.066364616973399</c:v>
                </c:pt>
                <c:pt idx="750" formatCode="0.00">
                  <c:v>11.066364616973399</c:v>
                </c:pt>
                <c:pt idx="751" formatCode="0.00">
                  <c:v>11.066364616973399</c:v>
                </c:pt>
                <c:pt idx="752" formatCode="0.00">
                  <c:v>11.066364616973399</c:v>
                </c:pt>
                <c:pt idx="753" formatCode="0.00">
                  <c:v>11.066364616973399</c:v>
                </c:pt>
                <c:pt idx="754" formatCode="0.00">
                  <c:v>11.066364616973399</c:v>
                </c:pt>
                <c:pt idx="755" formatCode="0.00">
                  <c:v>11.075418062328016</c:v>
                </c:pt>
                <c:pt idx="756" formatCode="0.00">
                  <c:v>11.075418062328016</c:v>
                </c:pt>
                <c:pt idx="757" formatCode="0.00">
                  <c:v>11.075418062328016</c:v>
                </c:pt>
                <c:pt idx="758" formatCode="0.00">
                  <c:v>11.075418062328016</c:v>
                </c:pt>
                <c:pt idx="759" formatCode="0.00">
                  <c:v>11.075418062328016</c:v>
                </c:pt>
                <c:pt idx="760" formatCode="0.00">
                  <c:v>11.075418062328016</c:v>
                </c:pt>
                <c:pt idx="761" formatCode="0.00">
                  <c:v>11.075418062328016</c:v>
                </c:pt>
                <c:pt idx="762" formatCode="0.00">
                  <c:v>11.075418062328016</c:v>
                </c:pt>
                <c:pt idx="763" formatCode="0.00">
                  <c:v>11.980099999999998</c:v>
                </c:pt>
                <c:pt idx="764" formatCode="0.00">
                  <c:v>11.980099999999998</c:v>
                </c:pt>
                <c:pt idx="765" formatCode="0.00">
                  <c:v>11.980099999999998</c:v>
                </c:pt>
                <c:pt idx="766" formatCode="0.00">
                  <c:v>11.980099999999998</c:v>
                </c:pt>
                <c:pt idx="767" formatCode="0.00">
                  <c:v>11.855430686431138</c:v>
                </c:pt>
                <c:pt idx="768" formatCode="0.00">
                  <c:v>11.855430686431138</c:v>
                </c:pt>
                <c:pt idx="769" formatCode="0.00">
                  <c:v>11.855430686431138</c:v>
                </c:pt>
                <c:pt idx="770" formatCode="0.00">
                  <c:v>11.855430686431138</c:v>
                </c:pt>
                <c:pt idx="771" formatCode="0.00">
                  <c:v>11.855430686431138</c:v>
                </c:pt>
                <c:pt idx="772" formatCode="0.00">
                  <c:v>11.705106184759661</c:v>
                </c:pt>
                <c:pt idx="773" formatCode="0.00">
                  <c:v>11.705106184759661</c:v>
                </c:pt>
                <c:pt idx="774" formatCode="0.00">
                  <c:v>11.705106184759661</c:v>
                </c:pt>
                <c:pt idx="775" formatCode="0.00">
                  <c:v>11.705106184759661</c:v>
                </c:pt>
                <c:pt idx="776" formatCode="0.00">
                  <c:v>11.705106184759661</c:v>
                </c:pt>
                <c:pt idx="777" formatCode="0.00">
                  <c:v>11.62143422889446</c:v>
                </c:pt>
                <c:pt idx="778" formatCode="0.00">
                  <c:v>11.62143422889446</c:v>
                </c:pt>
                <c:pt idx="779" formatCode="0.00">
                  <c:v>11.62143422889446</c:v>
                </c:pt>
                <c:pt idx="780" formatCode="0.00">
                  <c:v>11.62143422889446</c:v>
                </c:pt>
                <c:pt idx="781" formatCode="0.00">
                  <c:v>11.62143422889446</c:v>
                </c:pt>
                <c:pt idx="782" formatCode="0.00">
                  <c:v>11.622089013512241</c:v>
                </c:pt>
                <c:pt idx="783" formatCode="0.00">
                  <c:v>11.622089013512241</c:v>
                </c:pt>
                <c:pt idx="784" formatCode="0.00">
                  <c:v>11.622089013512241</c:v>
                </c:pt>
                <c:pt idx="785" formatCode="0.00">
                  <c:v>11.622089013512241</c:v>
                </c:pt>
                <c:pt idx="786" formatCode="0.00">
                  <c:v>11.622089013512241</c:v>
                </c:pt>
                <c:pt idx="787" formatCode="0.00">
                  <c:v>11.622089013512241</c:v>
                </c:pt>
                <c:pt idx="788" formatCode="0.00">
                  <c:v>11.821772470170982</c:v>
                </c:pt>
                <c:pt idx="789" formatCode="0.00">
                  <c:v>11.821772470170982</c:v>
                </c:pt>
                <c:pt idx="790" formatCode="0.00">
                  <c:v>11.821772470170982</c:v>
                </c:pt>
                <c:pt idx="791" formatCode="0.00">
                  <c:v>11.821772470170982</c:v>
                </c:pt>
                <c:pt idx="792" formatCode="0.00">
                  <c:v>11.789030217106337</c:v>
                </c:pt>
                <c:pt idx="793" formatCode="0.00">
                  <c:v>11.789030217106337</c:v>
                </c:pt>
                <c:pt idx="794" formatCode="0.00">
                  <c:v>11.789030217106337</c:v>
                </c:pt>
                <c:pt idx="795" formatCode="0.00">
                  <c:v>11.789030217106337</c:v>
                </c:pt>
                <c:pt idx="796" formatCode="0.00">
                  <c:v>11.789030217106337</c:v>
                </c:pt>
                <c:pt idx="797" formatCode="0.00">
                  <c:v>11.773824720136112</c:v>
                </c:pt>
                <c:pt idx="798" formatCode="0.00">
                  <c:v>11.773824720136112</c:v>
                </c:pt>
                <c:pt idx="799" formatCode="0.00">
                  <c:v>11.773824720136112</c:v>
                </c:pt>
                <c:pt idx="800" formatCode="0.00">
                  <c:v>11.773824720136112</c:v>
                </c:pt>
                <c:pt idx="801" formatCode="0.00">
                  <c:v>11.773824720136112</c:v>
                </c:pt>
                <c:pt idx="802" formatCode="0.00">
                  <c:v>11.770796514886186</c:v>
                </c:pt>
                <c:pt idx="803" formatCode="0.00">
                  <c:v>11.770796514886186</c:v>
                </c:pt>
                <c:pt idx="804" formatCode="0.00">
                  <c:v>11.770796514886186</c:v>
                </c:pt>
                <c:pt idx="805" formatCode="0.00">
                  <c:v>11.770796514886186</c:v>
                </c:pt>
                <c:pt idx="806" formatCode="0.00">
                  <c:v>11.770796514886186</c:v>
                </c:pt>
                <c:pt idx="807" formatCode="0.00">
                  <c:v>11.80849067527094</c:v>
                </c:pt>
                <c:pt idx="808" formatCode="0.00">
                  <c:v>11.80849067527094</c:v>
                </c:pt>
                <c:pt idx="809" formatCode="0.00">
                  <c:v>11.80849067527094</c:v>
                </c:pt>
                <c:pt idx="810" formatCode="0.00">
                  <c:v>11.80849067527094</c:v>
                </c:pt>
                <c:pt idx="811" formatCode="0.00">
                  <c:v>11.801211666307191</c:v>
                </c:pt>
                <c:pt idx="812" formatCode="0.00">
                  <c:v>11.801211666307191</c:v>
                </c:pt>
                <c:pt idx="813" formatCode="0.00">
                  <c:v>11.801211666307191</c:v>
                </c:pt>
                <c:pt idx="814" formatCode="0.00">
                  <c:v>11.801211666307191</c:v>
                </c:pt>
                <c:pt idx="815" formatCode="0.00">
                  <c:v>11.801211666307191</c:v>
                </c:pt>
                <c:pt idx="816" formatCode="0.00">
                  <c:v>11.783604508125114</c:v>
                </c:pt>
                <c:pt idx="817" formatCode="0.00">
                  <c:v>11.783604508125114</c:v>
                </c:pt>
                <c:pt idx="818" formatCode="0.00">
                  <c:v>11.783604508125114</c:v>
                </c:pt>
                <c:pt idx="819" formatCode="0.00">
                  <c:v>11.783604508125114</c:v>
                </c:pt>
                <c:pt idx="820" formatCode="0.00">
                  <c:v>11.783604508125114</c:v>
                </c:pt>
                <c:pt idx="821" formatCode="0.00">
                  <c:v>11.77508381887171</c:v>
                </c:pt>
                <c:pt idx="822" formatCode="0.00">
                  <c:v>11.77508381887171</c:v>
                </c:pt>
                <c:pt idx="823" formatCode="0.00">
                  <c:v>11.77508381887171</c:v>
                </c:pt>
                <c:pt idx="824" formatCode="0.00">
                  <c:v>11.77508381887171</c:v>
                </c:pt>
                <c:pt idx="825" formatCode="0.00">
                  <c:v>11.77508381887171</c:v>
                </c:pt>
                <c:pt idx="826" formatCode="0.00">
                  <c:v>11.77508381887171</c:v>
                </c:pt>
                <c:pt idx="827" formatCode="0.00">
                  <c:v>11.783482242525745</c:v>
                </c:pt>
                <c:pt idx="828" formatCode="0.00">
                  <c:v>11.783482242525745</c:v>
                </c:pt>
                <c:pt idx="829" formatCode="0.00">
                  <c:v>11.783482242525745</c:v>
                </c:pt>
                <c:pt idx="830" formatCode="0.00">
                  <c:v>11.783482242525745</c:v>
                </c:pt>
                <c:pt idx="831" formatCode="0.00">
                  <c:v>11.773783477007763</c:v>
                </c:pt>
                <c:pt idx="832" formatCode="0.00">
                  <c:v>11.773783477007763</c:v>
                </c:pt>
                <c:pt idx="833" formatCode="0.00">
                  <c:v>11.773783477007763</c:v>
                </c:pt>
                <c:pt idx="834" formatCode="0.00">
                  <c:v>11.773783477007763</c:v>
                </c:pt>
                <c:pt idx="835" formatCode="0.00">
                  <c:v>11.773783477007763</c:v>
                </c:pt>
                <c:pt idx="836" formatCode="0.00">
                  <c:v>11.773783477007763</c:v>
                </c:pt>
                <c:pt idx="837" formatCode="0.00">
                  <c:v>11.773783477007763</c:v>
                </c:pt>
                <c:pt idx="838" formatCode="0.00">
                  <c:v>11.773783477007763</c:v>
                </c:pt>
                <c:pt idx="839" formatCode="0.00">
                  <c:v>11.773783477007763</c:v>
                </c:pt>
                <c:pt idx="840" formatCode="0.00">
                  <c:v>11.733744707074543</c:v>
                </c:pt>
                <c:pt idx="841" formatCode="0.00">
                  <c:v>11.733744707074543</c:v>
                </c:pt>
                <c:pt idx="842" formatCode="0.00">
                  <c:v>11.733744707074543</c:v>
                </c:pt>
                <c:pt idx="843" formatCode="0.00">
                  <c:v>11.733744707074543</c:v>
                </c:pt>
                <c:pt idx="844" formatCode="0.00">
                  <c:v>11.733744707074543</c:v>
                </c:pt>
                <c:pt idx="845" formatCode="0.00">
                  <c:v>11.725266843993762</c:v>
                </c:pt>
                <c:pt idx="846" formatCode="0.00">
                  <c:v>11.725266843993762</c:v>
                </c:pt>
                <c:pt idx="847" formatCode="0.00">
                  <c:v>11.725266843993762</c:v>
                </c:pt>
                <c:pt idx="848" formatCode="0.00">
                  <c:v>11.722778571594468</c:v>
                </c:pt>
                <c:pt idx="849" formatCode="0.00">
                  <c:v>11.722778571594468</c:v>
                </c:pt>
                <c:pt idx="850" formatCode="0.00">
                  <c:v>11.722778571594468</c:v>
                </c:pt>
                <c:pt idx="851" formatCode="0.00">
                  <c:v>11.722778571594468</c:v>
                </c:pt>
                <c:pt idx="852" formatCode="0.00">
                  <c:v>11.722778571594468</c:v>
                </c:pt>
                <c:pt idx="853" formatCode="0.00">
                  <c:v>11.715097220700994</c:v>
                </c:pt>
                <c:pt idx="854" formatCode="0.00">
                  <c:v>11.715097220700994</c:v>
                </c:pt>
                <c:pt idx="855" formatCode="0.00">
                  <c:v>11.715097220700994</c:v>
                </c:pt>
                <c:pt idx="856" formatCode="0.00">
                  <c:v>11.715097220700994</c:v>
                </c:pt>
                <c:pt idx="857" formatCode="0.00">
                  <c:v>11.715097220700994</c:v>
                </c:pt>
                <c:pt idx="858" formatCode="0.00">
                  <c:v>11.708570138820541</c:v>
                </c:pt>
                <c:pt idx="859" formatCode="0.00">
                  <c:v>11.708570138820541</c:v>
                </c:pt>
                <c:pt idx="860" formatCode="0.00">
                  <c:v>11.708570138820541</c:v>
                </c:pt>
                <c:pt idx="861" formatCode="0.00">
                  <c:v>11.708570138820541</c:v>
                </c:pt>
                <c:pt idx="862" formatCode="0.00">
                  <c:v>11.708570138820541</c:v>
                </c:pt>
                <c:pt idx="863" formatCode="0.00">
                  <c:v>11.703376784616754</c:v>
                </c:pt>
                <c:pt idx="864" formatCode="0.00">
                  <c:v>11.703376784616754</c:v>
                </c:pt>
                <c:pt idx="865" formatCode="0.00">
                  <c:v>11.703376784616754</c:v>
                </c:pt>
                <c:pt idx="866" formatCode="0.00">
                  <c:v>11.703376784616754</c:v>
                </c:pt>
                <c:pt idx="867" formatCode="0.00">
                  <c:v>11.703376784616754</c:v>
                </c:pt>
                <c:pt idx="868" formatCode="0.00">
                  <c:v>11.703376784616754</c:v>
                </c:pt>
                <c:pt idx="869" formatCode="0.00">
                  <c:v>11.658162295374943</c:v>
                </c:pt>
                <c:pt idx="870" formatCode="0.00">
                  <c:v>11.658162295374943</c:v>
                </c:pt>
                <c:pt idx="871" formatCode="0.00">
                  <c:v>11.658162295374943</c:v>
                </c:pt>
                <c:pt idx="872" formatCode="0.00">
                  <c:v>11.658162295374943</c:v>
                </c:pt>
                <c:pt idx="873" formatCode="0.00">
                  <c:v>11.64919748074422</c:v>
                </c:pt>
                <c:pt idx="874" formatCode="0.00">
                  <c:v>11.64919748074422</c:v>
                </c:pt>
                <c:pt idx="875" formatCode="0.00">
                  <c:v>11.64919748074422</c:v>
                </c:pt>
                <c:pt idx="876" formatCode="0.00">
                  <c:v>11.64919748074422</c:v>
                </c:pt>
                <c:pt idx="877" formatCode="0.00">
                  <c:v>11.64919748074422</c:v>
                </c:pt>
                <c:pt idx="878" formatCode="0.00">
                  <c:v>11.646559429204682</c:v>
                </c:pt>
                <c:pt idx="879" formatCode="0.00">
                  <c:v>11.646559429204682</c:v>
                </c:pt>
                <c:pt idx="880" formatCode="0.00">
                  <c:v>11.646559429204682</c:v>
                </c:pt>
                <c:pt idx="881" formatCode="0.00">
                  <c:v>11.646559429204682</c:v>
                </c:pt>
                <c:pt idx="882" formatCode="0.00">
                  <c:v>11.646559429204682</c:v>
                </c:pt>
                <c:pt idx="883" formatCode="0.00">
                  <c:v>11.639324104454815</c:v>
                </c:pt>
                <c:pt idx="884" formatCode="0.00">
                  <c:v>11.639324104454815</c:v>
                </c:pt>
                <c:pt idx="885" formatCode="0.00">
                  <c:v>11.639324104454815</c:v>
                </c:pt>
                <c:pt idx="886" formatCode="0.00">
                  <c:v>11.639324104454815</c:v>
                </c:pt>
                <c:pt idx="887" formatCode="0.00">
                  <c:v>11.639324104454815</c:v>
                </c:pt>
                <c:pt idx="888" formatCode="0.00">
                  <c:v>11.555505786586091</c:v>
                </c:pt>
                <c:pt idx="889" formatCode="0.00">
                  <c:v>11.555505786586091</c:v>
                </c:pt>
                <c:pt idx="890" formatCode="0.00">
                  <c:v>11.555505786586091</c:v>
                </c:pt>
                <c:pt idx="891" formatCode="0.00">
                  <c:v>11.555505786586091</c:v>
                </c:pt>
                <c:pt idx="892" formatCode="0.00">
                  <c:v>11.54966761520385</c:v>
                </c:pt>
                <c:pt idx="893" formatCode="0.00">
                  <c:v>11.54966761520385</c:v>
                </c:pt>
                <c:pt idx="894" formatCode="0.00">
                  <c:v>11.54966761520385</c:v>
                </c:pt>
                <c:pt idx="895" formatCode="0.00">
                  <c:v>11.54966761520385</c:v>
                </c:pt>
                <c:pt idx="896" formatCode="0.00">
                  <c:v>11.54966761520385</c:v>
                </c:pt>
                <c:pt idx="897" formatCode="0.00">
                  <c:v>11.545227094550887</c:v>
                </c:pt>
                <c:pt idx="898" formatCode="0.00">
                  <c:v>11.545227094550887</c:v>
                </c:pt>
                <c:pt idx="899" formatCode="0.00">
                  <c:v>11.545227094550887</c:v>
                </c:pt>
                <c:pt idx="900" formatCode="0.00">
                  <c:v>11.545227094550887</c:v>
                </c:pt>
                <c:pt idx="901" formatCode="0.00">
                  <c:v>11.545227094550887</c:v>
                </c:pt>
                <c:pt idx="902" formatCode="0.00">
                  <c:v>11.545227094550887</c:v>
                </c:pt>
                <c:pt idx="903" formatCode="0.00">
                  <c:v>11.545227094550887</c:v>
                </c:pt>
                <c:pt idx="904" formatCode="0.00">
                  <c:v>11.545227094550887</c:v>
                </c:pt>
                <c:pt idx="905" formatCode="0.00">
                  <c:v>11.545227094550887</c:v>
                </c:pt>
                <c:pt idx="906" formatCode="0.00">
                  <c:v>11.545227094550887</c:v>
                </c:pt>
                <c:pt idx="907" formatCode="0.00">
                  <c:v>11.545227094550887</c:v>
                </c:pt>
                <c:pt idx="908" formatCode="0.00">
                  <c:v>11.476922161925938</c:v>
                </c:pt>
                <c:pt idx="909" formatCode="0.00">
                  <c:v>11.476922161925938</c:v>
                </c:pt>
                <c:pt idx="910" formatCode="0.00">
                  <c:v>11.476922161925938</c:v>
                </c:pt>
                <c:pt idx="911" formatCode="0.00">
                  <c:v>11.476922161925938</c:v>
                </c:pt>
                <c:pt idx="912" formatCode="0.00">
                  <c:v>11.463126371346561</c:v>
                </c:pt>
                <c:pt idx="913" formatCode="0.00">
                  <c:v>11.463126371346561</c:v>
                </c:pt>
                <c:pt idx="914" formatCode="0.00">
                  <c:v>11.463126371346561</c:v>
                </c:pt>
                <c:pt idx="915" formatCode="0.00">
                  <c:v>11.463126371346561</c:v>
                </c:pt>
                <c:pt idx="916" formatCode="0.00">
                  <c:v>11.463126371346561</c:v>
                </c:pt>
                <c:pt idx="917" formatCode="0.00">
                  <c:v>11.451404177082329</c:v>
                </c:pt>
                <c:pt idx="918" formatCode="0.00">
                  <c:v>11.451404177082329</c:v>
                </c:pt>
                <c:pt idx="919" formatCode="0.00">
                  <c:v>11.451404177082329</c:v>
                </c:pt>
                <c:pt idx="920" formatCode="0.00">
                  <c:v>11.451404177082329</c:v>
                </c:pt>
                <c:pt idx="921" formatCode="0.00">
                  <c:v>11.451404177082329</c:v>
                </c:pt>
                <c:pt idx="922" formatCode="0.00">
                  <c:v>11.444120684527238</c:v>
                </c:pt>
                <c:pt idx="923" formatCode="0.00">
                  <c:v>11.44388358855505</c:v>
                </c:pt>
                <c:pt idx="924" formatCode="0.00">
                  <c:v>11.44388358855505</c:v>
                </c:pt>
                <c:pt idx="925" formatCode="0.00">
                  <c:v>11.44388358855505</c:v>
                </c:pt>
                <c:pt idx="926" formatCode="0.00">
                  <c:v>11.44388358855505</c:v>
                </c:pt>
                <c:pt idx="927" formatCode="0.00">
                  <c:v>11.432593118910924</c:v>
                </c:pt>
                <c:pt idx="928" formatCode="0.00">
                  <c:v>11.432593118910924</c:v>
                </c:pt>
                <c:pt idx="929" formatCode="0.00">
                  <c:v>11.432593118910924</c:v>
                </c:pt>
                <c:pt idx="930" formatCode="0.00">
                  <c:v>11.432593118910924</c:v>
                </c:pt>
                <c:pt idx="931" formatCode="0.00">
                  <c:v>11.432593118910924</c:v>
                </c:pt>
                <c:pt idx="932" formatCode="0.00">
                  <c:v>11.37741574254802</c:v>
                </c:pt>
                <c:pt idx="933" formatCode="0.00">
                  <c:v>11.375661030380764</c:v>
                </c:pt>
                <c:pt idx="934" formatCode="0.00">
                  <c:v>11.375661030380764</c:v>
                </c:pt>
                <c:pt idx="935" formatCode="0.00">
                  <c:v>11.375661030380764</c:v>
                </c:pt>
                <c:pt idx="936" formatCode="0.00">
                  <c:v>11.362887874063201</c:v>
                </c:pt>
                <c:pt idx="937" formatCode="0.00">
                  <c:v>11.362884587157495</c:v>
                </c:pt>
                <c:pt idx="938" formatCode="0.00">
                  <c:v>11.362884587157495</c:v>
                </c:pt>
                <c:pt idx="939" formatCode="0.00">
                  <c:v>11.362884587157495</c:v>
                </c:pt>
                <c:pt idx="940" formatCode="0.00">
                  <c:v>11.362884587157495</c:v>
                </c:pt>
                <c:pt idx="941" formatCode="0.00">
                  <c:v>11.356126227927659</c:v>
                </c:pt>
                <c:pt idx="942" formatCode="0.00">
                  <c:v>11.356126227927659</c:v>
                </c:pt>
                <c:pt idx="943" formatCode="0.00">
                  <c:v>11.356126227927659</c:v>
                </c:pt>
                <c:pt idx="944" formatCode="0.00">
                  <c:v>11.356126227927659</c:v>
                </c:pt>
                <c:pt idx="945" formatCode="0.00">
                  <c:v>11.356126227927659</c:v>
                </c:pt>
                <c:pt idx="946" formatCode="0.00">
                  <c:v>11.353469078623895</c:v>
                </c:pt>
                <c:pt idx="947" formatCode="0.00">
                  <c:v>11.353469078623895</c:v>
                </c:pt>
                <c:pt idx="948" formatCode="0.00">
                  <c:v>11.353469078623895</c:v>
                </c:pt>
                <c:pt idx="949" formatCode="0.00">
                  <c:v>11.353469078623895</c:v>
                </c:pt>
                <c:pt idx="950" formatCode="0.00">
                  <c:v>11.353469078623895</c:v>
                </c:pt>
                <c:pt idx="951" formatCode="0.00">
                  <c:v>11.353469078623895</c:v>
                </c:pt>
                <c:pt idx="952" formatCode="0.00">
                  <c:v>11.353469078623895</c:v>
                </c:pt>
                <c:pt idx="953" formatCode="0.00">
                  <c:v>11.353469078623895</c:v>
                </c:pt>
                <c:pt idx="954" formatCode="0.00">
                  <c:v>11.353469078623895</c:v>
                </c:pt>
                <c:pt idx="955" formatCode="0.00">
                  <c:v>11.353469078623895</c:v>
                </c:pt>
                <c:pt idx="956" formatCode="0.00">
                  <c:v>11.345092846944569</c:v>
                </c:pt>
                <c:pt idx="957" formatCode="0.00">
                  <c:v>11.345092846944569</c:v>
                </c:pt>
                <c:pt idx="958" formatCode="0.00">
                  <c:v>11.345092846944569</c:v>
                </c:pt>
                <c:pt idx="959" formatCode="0.00">
                  <c:v>11.345092846944569</c:v>
                </c:pt>
                <c:pt idx="960" formatCode="0.00">
                  <c:v>11.345092846944569</c:v>
                </c:pt>
                <c:pt idx="961" formatCode="0.00">
                  <c:v>11.340028476626362</c:v>
                </c:pt>
                <c:pt idx="962" formatCode="0.00">
                  <c:v>11.340028476626362</c:v>
                </c:pt>
                <c:pt idx="963" formatCode="0.00">
                  <c:v>11.340028476626362</c:v>
                </c:pt>
                <c:pt idx="964" formatCode="0.00">
                  <c:v>11.340028476626362</c:v>
                </c:pt>
                <c:pt idx="965" formatCode="0.00">
                  <c:v>11.340028476626362</c:v>
                </c:pt>
                <c:pt idx="966" formatCode="0.00">
                  <c:v>11.286511784722878</c:v>
                </c:pt>
                <c:pt idx="967" formatCode="0.00">
                  <c:v>11.286511784722878</c:v>
                </c:pt>
                <c:pt idx="968" formatCode="0.00">
                  <c:v>11.286511784722878</c:v>
                </c:pt>
                <c:pt idx="969" formatCode="0.00">
                  <c:v>11.286511784722878</c:v>
                </c:pt>
                <c:pt idx="970" formatCode="0.00">
                  <c:v>11.286511784722878</c:v>
                </c:pt>
                <c:pt idx="971" formatCode="0.00">
                  <c:v>11.280223392766008</c:v>
                </c:pt>
                <c:pt idx="972" formatCode="0.00">
                  <c:v>11.280223392766008</c:v>
                </c:pt>
                <c:pt idx="973" formatCode="0.00">
                  <c:v>11.280223392766008</c:v>
                </c:pt>
                <c:pt idx="974" formatCode="0.00">
                  <c:v>11.280223392766008</c:v>
                </c:pt>
                <c:pt idx="975" formatCode="0.00">
                  <c:v>11.280223392766008</c:v>
                </c:pt>
                <c:pt idx="976" formatCode="0.00">
                  <c:v>11.280223392766008</c:v>
                </c:pt>
                <c:pt idx="977" formatCode="0.00">
                  <c:v>11.264155784475756</c:v>
                </c:pt>
                <c:pt idx="978" formatCode="0.00">
                  <c:v>11.264155784475756</c:v>
                </c:pt>
                <c:pt idx="979" formatCode="0.00">
                  <c:v>11.264155784475756</c:v>
                </c:pt>
                <c:pt idx="980" formatCode="0.00">
                  <c:v>11.264155784475756</c:v>
                </c:pt>
                <c:pt idx="981" formatCode="0.00">
                  <c:v>11.25756369785471</c:v>
                </c:pt>
                <c:pt idx="982" formatCode="0.00">
                  <c:v>11.25756369785471</c:v>
                </c:pt>
                <c:pt idx="983" formatCode="0.00">
                  <c:v>11.25756369785471</c:v>
                </c:pt>
                <c:pt idx="984" formatCode="0.00">
                  <c:v>11.25756369785471</c:v>
                </c:pt>
                <c:pt idx="985" formatCode="0.00">
                  <c:v>11.25756369785471</c:v>
                </c:pt>
                <c:pt idx="986" formatCode="0.00">
                  <c:v>11.255925895062969</c:v>
                </c:pt>
                <c:pt idx="987" formatCode="0.00">
                  <c:v>11.255925895062969</c:v>
                </c:pt>
                <c:pt idx="988" formatCode="0.00">
                  <c:v>11.255925895062969</c:v>
                </c:pt>
                <c:pt idx="989" formatCode="0.00">
                  <c:v>11.255925895062969</c:v>
                </c:pt>
                <c:pt idx="990" formatCode="0.00">
                  <c:v>11.255925895062969</c:v>
                </c:pt>
                <c:pt idx="991" formatCode="0.00">
                  <c:v>11.250391452949126</c:v>
                </c:pt>
                <c:pt idx="992" formatCode="0.00">
                  <c:v>11.250391452949126</c:v>
                </c:pt>
                <c:pt idx="993" formatCode="0.00">
                  <c:v>11.250391452949126</c:v>
                </c:pt>
                <c:pt idx="994" formatCode="0.00">
                  <c:v>11.250391452949126</c:v>
                </c:pt>
                <c:pt idx="995" formatCode="0.00">
                  <c:v>11.250391452949126</c:v>
                </c:pt>
                <c:pt idx="996" formatCode="0.00">
                  <c:v>11.250391452949126</c:v>
                </c:pt>
                <c:pt idx="997" formatCode="0.00">
                  <c:v>11.238960390894512</c:v>
                </c:pt>
                <c:pt idx="998" formatCode="0.00">
                  <c:v>11.238960390894512</c:v>
                </c:pt>
                <c:pt idx="999" formatCode="0.00">
                  <c:v>11.238960390894512</c:v>
                </c:pt>
                <c:pt idx="1000" formatCode="0.00">
                  <c:v>11.238960390894512</c:v>
                </c:pt>
                <c:pt idx="1001" formatCode="0.00">
                  <c:v>11.238110136572516</c:v>
                </c:pt>
                <c:pt idx="1002" formatCode="0.00">
                  <c:v>11.238110136572516</c:v>
                </c:pt>
                <c:pt idx="1003" formatCode="0.00">
                  <c:v>11.238110136572516</c:v>
                </c:pt>
                <c:pt idx="1004" formatCode="0.00">
                  <c:v>11.238110136572516</c:v>
                </c:pt>
                <c:pt idx="1005" formatCode="0.00">
                  <c:v>11.238110136572516</c:v>
                </c:pt>
                <c:pt idx="1006" formatCode="0.00">
                  <c:v>11.238110136572516</c:v>
                </c:pt>
                <c:pt idx="1007" formatCode="0.00">
                  <c:v>11.238110136572516</c:v>
                </c:pt>
                <c:pt idx="1008" formatCode="0.00">
                  <c:v>11.238110136572516</c:v>
                </c:pt>
              </c:numCache>
            </c:numRef>
          </c:val>
          <c:smooth val="0"/>
          <c:extLst>
            <c:ext xmlns:c16="http://schemas.microsoft.com/office/drawing/2014/chart" uri="{C3380CC4-5D6E-409C-BE32-E72D297353CC}">
              <c16:uniqueId val="{00000002-599E-4672-93A9-A553451070E3}"/>
            </c:ext>
          </c:extLst>
        </c:ser>
        <c:dLbls>
          <c:showLegendKey val="0"/>
          <c:showVal val="0"/>
          <c:showCatName val="0"/>
          <c:showSerName val="0"/>
          <c:showPercent val="0"/>
          <c:showBubbleSize val="0"/>
        </c:dLbls>
        <c:smooth val="0"/>
        <c:axId val="194250240"/>
        <c:axId val="136259840"/>
      </c:lineChart>
      <c:dateAx>
        <c:axId val="194250240"/>
        <c:scaling>
          <c:orientation val="minMax"/>
        </c:scaling>
        <c:delete val="0"/>
        <c:axPos val="b"/>
        <c:numFmt formatCode="dd\.mm\.yy;@" sourceLinked="0"/>
        <c:majorTickMark val="out"/>
        <c:minorTickMark val="none"/>
        <c:tickLblPos val="nextTo"/>
        <c:txPr>
          <a:bodyPr rot="-3600000"/>
          <a:lstStyle/>
          <a:p>
            <a:pPr>
              <a:defRPr/>
            </a:pPr>
            <a:endParaRPr lang="en-US"/>
          </a:p>
        </c:txPr>
        <c:crossAx val="136259840"/>
        <c:crosses val="autoZero"/>
        <c:auto val="1"/>
        <c:lblOffset val="100"/>
        <c:baseTimeUnit val="days"/>
        <c:majorUnit val="1"/>
        <c:majorTimeUnit val="months"/>
        <c:minorUnit val="1"/>
        <c:minorTimeUnit val="days"/>
      </c:dateAx>
      <c:valAx>
        <c:axId val="136259840"/>
        <c:scaling>
          <c:orientation val="minMax"/>
          <c:min val="9.8000000000000007"/>
        </c:scaling>
        <c:delete val="0"/>
        <c:axPos val="l"/>
        <c:majorGridlines/>
        <c:numFmt formatCode="0.0" sourceLinked="0"/>
        <c:majorTickMark val="out"/>
        <c:minorTickMark val="none"/>
        <c:tickLblPos val="nextTo"/>
        <c:crossAx val="194250240"/>
        <c:crosses val="autoZero"/>
        <c:crossBetween val="between"/>
        <c:majorUnit val="0.1"/>
      </c:valAx>
    </c:plotArea>
    <c:legend>
      <c:legendPos val="b"/>
      <c:layout>
        <c:manualLayout>
          <c:xMode val="edge"/>
          <c:yMode val="edge"/>
          <c:x val="2.6369245575830536E-2"/>
          <c:y val="0.86574369374899007"/>
          <c:w val="0.95859280153084503"/>
          <c:h val="0.12036742115938835"/>
        </c:manualLayout>
      </c:layout>
      <c:overlay val="0"/>
      <c:txPr>
        <a:bodyPr/>
        <a:lstStyle/>
        <a:p>
          <a:pPr>
            <a:defRPr sz="900"/>
          </a:pPr>
          <a:endParaRPr lang="en-US"/>
        </a:p>
      </c:txPr>
    </c:legend>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8003076654495357E-2"/>
          <c:y val="0.11514435695538058"/>
          <c:w val="0.9550648274228879"/>
          <c:h val="0.66673467990414237"/>
        </c:manualLayout>
      </c:layout>
      <c:barChart>
        <c:barDir val="col"/>
        <c:grouping val="stacked"/>
        <c:varyColors val="0"/>
        <c:ser>
          <c:idx val="0"/>
          <c:order val="0"/>
          <c:tx>
            <c:strRef>
              <c:f>'2025-2027strategy'!$A$124</c:f>
              <c:strCache>
                <c:ptCount val="1"/>
                <c:pt idx="0">
                  <c:v>   դրամային պարտք</c:v>
                </c:pt>
              </c:strCache>
            </c:strRef>
          </c:tx>
          <c:spPr>
            <a:solidFill>
              <a:schemeClr val="tx2">
                <a:lumMod val="60000"/>
                <a:lumOff val="40000"/>
              </a:schemeClr>
            </a:solidFill>
            <a:ln>
              <a:noFill/>
            </a:ln>
            <a:effectLst/>
          </c:spPr>
          <c:invertIfNegative val="0"/>
          <c:dPt>
            <c:idx val="0"/>
            <c:invertIfNegative val="0"/>
            <c:bubble3D val="0"/>
            <c:spPr>
              <a:solidFill>
                <a:schemeClr val="tx2">
                  <a:lumMod val="60000"/>
                  <a:lumOff val="40000"/>
                </a:schemeClr>
              </a:solidFill>
              <a:ln>
                <a:noFill/>
              </a:ln>
              <a:effectLst/>
            </c:spPr>
            <c:extLst>
              <c:ext xmlns:c16="http://schemas.microsoft.com/office/drawing/2014/chart" uri="{C3380CC4-5D6E-409C-BE32-E72D297353CC}">
                <c16:uniqueId val="{00000001-0CB7-4B52-8FD3-D00E7F3DFB8E}"/>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'2025-2027strategy'!$M$3:$Q$3</c:f>
              <c:numCache>
                <c:formatCode>General</c:formatCode>
                <c:ptCount val="5"/>
                <c:pt idx="0">
                  <c:v>2019</c:v>
                </c:pt>
                <c:pt idx="1">
                  <c:v>2020</c:v>
                </c:pt>
                <c:pt idx="2">
                  <c:v>2021</c:v>
                </c:pt>
                <c:pt idx="3">
                  <c:v>2022</c:v>
                </c:pt>
                <c:pt idx="4">
                  <c:v>2023</c:v>
                </c:pt>
              </c:numCache>
            </c:numRef>
          </c:cat>
          <c:val>
            <c:numRef>
              <c:f>'2025-2027strategy'!$M$124:$Q$124</c:f>
              <c:numCache>
                <c:formatCode>_(* #,##0.0_);_(* \(#,##0.0\);_(* "-"??_);_(@_)</c:formatCode>
                <c:ptCount val="5"/>
                <c:pt idx="0">
                  <c:v>20.780942820061107</c:v>
                </c:pt>
                <c:pt idx="1">
                  <c:v>24.435806405343516</c:v>
                </c:pt>
                <c:pt idx="2">
                  <c:v>28.842937457677692</c:v>
                </c:pt>
                <c:pt idx="3">
                  <c:v>37.92281415103416</c:v>
                </c:pt>
                <c:pt idx="4">
                  <c:v>45.933174026569759</c:v>
                </c:pt>
              </c:numCache>
            </c:numRef>
          </c:val>
          <c:extLst>
            <c:ext xmlns:c16="http://schemas.microsoft.com/office/drawing/2014/chart" uri="{C3380CC4-5D6E-409C-BE32-E72D297353CC}">
              <c16:uniqueId val="{00000002-0CB7-4B52-8FD3-D00E7F3DFB8E}"/>
            </c:ext>
          </c:extLst>
        </c:ser>
        <c:ser>
          <c:idx val="1"/>
          <c:order val="1"/>
          <c:tx>
            <c:strRef>
              <c:f>'2025-2027strategy'!$A$125</c:f>
              <c:strCache>
                <c:ptCount val="1"/>
                <c:pt idx="0">
                  <c:v>   արտարժութային պարտք</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'2025-2027strategy'!$M$3:$Q$3</c:f>
              <c:numCache>
                <c:formatCode>General</c:formatCode>
                <c:ptCount val="5"/>
                <c:pt idx="0">
                  <c:v>2019</c:v>
                </c:pt>
                <c:pt idx="1">
                  <c:v>2020</c:v>
                </c:pt>
                <c:pt idx="2">
                  <c:v>2021</c:v>
                </c:pt>
                <c:pt idx="3">
                  <c:v>2022</c:v>
                </c:pt>
                <c:pt idx="4">
                  <c:v>2023</c:v>
                </c:pt>
              </c:numCache>
            </c:numRef>
          </c:cat>
          <c:val>
            <c:numRef>
              <c:f>'2025-2027strategy'!$M$125:$Q$125</c:f>
              <c:numCache>
                <c:formatCode>_(* #,##0.0_);_(* \(#,##0.0\);_(* "-"??_);_(@_)</c:formatCode>
                <c:ptCount val="5"/>
                <c:pt idx="0">
                  <c:v>79.219057179938901</c:v>
                </c:pt>
                <c:pt idx="1">
                  <c:v>75.564193594656473</c:v>
                </c:pt>
                <c:pt idx="2">
                  <c:v>71.157062542322308</c:v>
                </c:pt>
                <c:pt idx="3">
                  <c:v>62.077185848965847</c:v>
                </c:pt>
                <c:pt idx="4">
                  <c:v>54.066825973430234</c:v>
                </c:pt>
              </c:numCache>
            </c:numRef>
          </c:val>
          <c:extLst>
            <c:ext xmlns:c16="http://schemas.microsoft.com/office/drawing/2014/chart" uri="{C3380CC4-5D6E-409C-BE32-E72D297353CC}">
              <c16:uniqueId val="{00000003-0CB7-4B52-8FD3-D00E7F3DFB8E}"/>
            </c:ext>
          </c:extLst>
        </c:ser>
        <c:dLbls>
          <c:dLblPos val="ctr"/>
          <c:showLegendKey val="0"/>
          <c:showVal val="1"/>
          <c:showCatName val="0"/>
          <c:showSerName val="0"/>
          <c:showPercent val="0"/>
          <c:showBubbleSize val="0"/>
        </c:dLbls>
        <c:gapWidth val="79"/>
        <c:overlap val="100"/>
        <c:axId val="194252288"/>
        <c:axId val="136260992"/>
      </c:barChart>
      <c:catAx>
        <c:axId val="1942522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2700000" spcFirstLastPara="1" vertOverflow="ellipsis" wrap="square" anchor="ctr" anchorCtr="1"/>
          <a:lstStyle/>
          <a:p>
            <a:pPr>
              <a:defRPr sz="800" b="0" i="0" u="none" strike="noStrike" kern="1200" cap="all" spc="120" normalizeH="0" baseline="0">
                <a:solidFill>
                  <a:schemeClr val="tx1">
                    <a:lumMod val="65000"/>
                    <a:lumOff val="35000"/>
                  </a:schemeClr>
                </a:solidFill>
                <a:latin typeface="GHEA Grapalat" panose="02000506050000020003" pitchFamily="50" charset="0"/>
                <a:ea typeface="+mn-ea"/>
                <a:cs typeface="+mn-cs"/>
              </a:defRPr>
            </a:pPr>
            <a:endParaRPr lang="en-US"/>
          </a:p>
        </c:txPr>
        <c:crossAx val="136260992"/>
        <c:crosses val="autoZero"/>
        <c:auto val="1"/>
        <c:lblAlgn val="ctr"/>
        <c:lblOffset val="100"/>
        <c:noMultiLvlLbl val="0"/>
      </c:catAx>
      <c:valAx>
        <c:axId val="136260992"/>
        <c:scaling>
          <c:orientation val="minMax"/>
          <c:max val="100"/>
        </c:scaling>
        <c:delete val="1"/>
        <c:axPos val="l"/>
        <c:numFmt formatCode="_(* #,##0.0_);_(* \(#,##0.0\);_(* &quot;-&quot;??_);_(@_)" sourceLinked="1"/>
        <c:majorTickMark val="none"/>
        <c:minorTickMark val="none"/>
        <c:tickLblPos val="nextTo"/>
        <c:crossAx val="194252288"/>
        <c:crosses val="autoZero"/>
        <c:crossBetween val="between"/>
      </c:valAx>
      <c:spPr>
        <a:noFill/>
        <a:ln>
          <a:noFill/>
        </a:ln>
        <a:effectLst/>
      </c:spPr>
    </c:plotArea>
    <c:legend>
      <c:legendPos val="b"/>
      <c:layout>
        <c:manualLayout>
          <c:xMode val="edge"/>
          <c:yMode val="edge"/>
          <c:x val="0"/>
          <c:y val="0.92970558028072581"/>
          <c:w val="0.90476190476190477"/>
          <c:h val="6.865183156453269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75000"/>
        </a:schemeClr>
      </a:solidFill>
      <a:prstDash val="solid"/>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723488154920764"/>
          <c:y val="3.2484228945066071E-2"/>
          <c:w val="0.70554658359487443"/>
          <c:h val="0.57759708953989797"/>
        </c:manualLayout>
      </c:layout>
      <c:lineChart>
        <c:grouping val="standard"/>
        <c:varyColors val="0"/>
        <c:ser>
          <c:idx val="0"/>
          <c:order val="0"/>
          <c:tx>
            <c:strRef>
              <c:f>Sheet1!$B$1</c:f>
              <c:strCache>
                <c:ptCount val="1"/>
                <c:pt idx="0">
                  <c:v>Հայաստան (2025թ.)</c:v>
                </c:pt>
              </c:strCache>
            </c:strRef>
          </c:tx>
          <c:spPr>
            <a:ln w="19050" cap="rnd">
              <a:solidFill>
                <a:schemeClr val="accent1"/>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Sheet1!$B$2:$B$1428</c:f>
              <c:numCache>
                <c:formatCode>0</c:formatCode>
                <c:ptCount val="1166"/>
                <c:pt idx="0">
                  <c:v>1.7363900000000001</c:v>
                </c:pt>
                <c:pt idx="1">
                  <c:v>1.78189</c:v>
                </c:pt>
                <c:pt idx="2">
                  <c:v>1.8520699999999999</c:v>
                </c:pt>
                <c:pt idx="3">
                  <c:v>1.8480300000000001</c:v>
                </c:pt>
                <c:pt idx="4">
                  <c:v>1.8575299999999999</c:v>
                </c:pt>
                <c:pt idx="5">
                  <c:v>1.7668799999999998</c:v>
                </c:pt>
                <c:pt idx="6">
                  <c:v>1.7166300000000001</c:v>
                </c:pt>
                <c:pt idx="7">
                  <c:v>1.6982400000000002</c:v>
                </c:pt>
                <c:pt idx="8">
                  <c:v>1.6835499999999999</c:v>
                </c:pt>
                <c:pt idx="9">
                  <c:v>1.6552199999999999</c:v>
                </c:pt>
                <c:pt idx="10">
                  <c:v>1.6752400000000001</c:v>
                </c:pt>
                <c:pt idx="11">
                  <c:v>1.61792</c:v>
                </c:pt>
                <c:pt idx="12">
                  <c:v>1.6393500000000001</c:v>
                </c:pt>
                <c:pt idx="13">
                  <c:v>1.62825</c:v>
                </c:pt>
                <c:pt idx="14">
                  <c:v>1.67648</c:v>
                </c:pt>
                <c:pt idx="15">
                  <c:v>1.6821299999999999</c:v>
                </c:pt>
                <c:pt idx="16">
                  <c:v>1.73034</c:v>
                </c:pt>
                <c:pt idx="17">
                  <c:v>1.75119</c:v>
                </c:pt>
                <c:pt idx="18">
                  <c:v>1.8262299999999998</c:v>
                </c:pt>
                <c:pt idx="19">
                  <c:v>1.78573</c:v>
                </c:pt>
                <c:pt idx="20">
                  <c:v>1.8404199999999999</c:v>
                </c:pt>
                <c:pt idx="21">
                  <c:v>1.85995</c:v>
                </c:pt>
                <c:pt idx="22">
                  <c:v>1.85808</c:v>
                </c:pt>
                <c:pt idx="23">
                  <c:v>1.8296999999999999</c:v>
                </c:pt>
                <c:pt idx="24">
                  <c:v>1.8093700000000001</c:v>
                </c:pt>
                <c:pt idx="25">
                  <c:v>1.77155</c:v>
                </c:pt>
                <c:pt idx="26">
                  <c:v>1.7235</c:v>
                </c:pt>
                <c:pt idx="27">
                  <c:v>1.79684</c:v>
                </c:pt>
                <c:pt idx="28">
                  <c:v>1.8176499999999998</c:v>
                </c:pt>
                <c:pt idx="29">
                  <c:v>1.7914599999999998</c:v>
                </c:pt>
                <c:pt idx="30">
                  <c:v>1.77417</c:v>
                </c:pt>
                <c:pt idx="31">
                  <c:v>1.7558</c:v>
                </c:pt>
                <c:pt idx="32">
                  <c:v>1.7746999999999999</c:v>
                </c:pt>
                <c:pt idx="33">
                  <c:v>1.75267</c:v>
                </c:pt>
                <c:pt idx="34">
                  <c:v>1.7710599999999999</c:v>
                </c:pt>
                <c:pt idx="35">
                  <c:v>1.7523599999999999</c:v>
                </c:pt>
                <c:pt idx="36">
                  <c:v>1.7475399999999999</c:v>
                </c:pt>
                <c:pt idx="37">
                  <c:v>1.7945500000000001</c:v>
                </c:pt>
                <c:pt idx="38">
                  <c:v>1.8802000000000001</c:v>
                </c:pt>
                <c:pt idx="39">
                  <c:v>1.9615799999999999</c:v>
                </c:pt>
                <c:pt idx="40">
                  <c:v>1.96654</c:v>
                </c:pt>
                <c:pt idx="41">
                  <c:v>2.1098500000000002</c:v>
                </c:pt>
                <c:pt idx="42">
                  <c:v>2.3438099999999999</c:v>
                </c:pt>
                <c:pt idx="43">
                  <c:v>2.3085300000000002</c:v>
                </c:pt>
                <c:pt idx="44">
                  <c:v>2.2575099999999999</c:v>
                </c:pt>
                <c:pt idx="45">
                  <c:v>2.4010699999999998</c:v>
                </c:pt>
                <c:pt idx="46">
                  <c:v>2.4489700000000001</c:v>
                </c:pt>
                <c:pt idx="47">
                  <c:v>2.57192</c:v>
                </c:pt>
                <c:pt idx="48">
                  <c:v>3.3681299999999998</c:v>
                </c:pt>
                <c:pt idx="49">
                  <c:v>3.29461</c:v>
                </c:pt>
                <c:pt idx="50">
                  <c:v>3.3781499999999998</c:v>
                </c:pt>
                <c:pt idx="51">
                  <c:v>4.0818200000000004</c:v>
                </c:pt>
                <c:pt idx="52">
                  <c:v>4.0964900000000002</c:v>
                </c:pt>
                <c:pt idx="53">
                  <c:v>4.29115</c:v>
                </c:pt>
                <c:pt idx="54">
                  <c:v>4.4605500000000005</c:v>
                </c:pt>
                <c:pt idx="55">
                  <c:v>5.0475099999999999</c:v>
                </c:pt>
                <c:pt idx="56">
                  <c:v>5.7666099999999991</c:v>
                </c:pt>
                <c:pt idx="57">
                  <c:v>6.2334199999999997</c:v>
                </c:pt>
                <c:pt idx="58">
                  <c:v>6.8207699999999996</c:v>
                </c:pt>
                <c:pt idx="59">
                  <c:v>6.6840999999999999</c:v>
                </c:pt>
                <c:pt idx="60">
                  <c:v>6.3724499999999997</c:v>
                </c:pt>
                <c:pt idx="61">
                  <c:v>6.2413199999999991</c:v>
                </c:pt>
                <c:pt idx="62">
                  <c:v>6.2163000000000004</c:v>
                </c:pt>
                <c:pt idx="63">
                  <c:v>6.2312099999999999</c:v>
                </c:pt>
                <c:pt idx="64">
                  <c:v>6.2416499999999999</c:v>
                </c:pt>
                <c:pt idx="65">
                  <c:v>6.2218899999999993</c:v>
                </c:pt>
                <c:pt idx="66">
                  <c:v>6.1579600000000001</c:v>
                </c:pt>
                <c:pt idx="67">
                  <c:v>5.9767999999999999</c:v>
                </c:pt>
                <c:pt idx="68">
                  <c:v>5.8394200000000005</c:v>
                </c:pt>
                <c:pt idx="69">
                  <c:v>5.8199500000000004</c:v>
                </c:pt>
                <c:pt idx="70">
                  <c:v>5.8534100000000002</c:v>
                </c:pt>
                <c:pt idx="71">
                  <c:v>5.5377200000000002</c:v>
                </c:pt>
                <c:pt idx="72">
                  <c:v>5.5377200000000002</c:v>
                </c:pt>
                <c:pt idx="73">
                  <c:v>5.5377200000000002</c:v>
                </c:pt>
                <c:pt idx="74">
                  <c:v>5.3122400000000001</c:v>
                </c:pt>
                <c:pt idx="75">
                  <c:v>5.3883100000000006</c:v>
                </c:pt>
                <c:pt idx="76">
                  <c:v>5.3957600000000001</c:v>
                </c:pt>
                <c:pt idx="77">
                  <c:v>5.3039499999999995</c:v>
                </c:pt>
                <c:pt idx="78">
                  <c:v>5.3371199999999996</c:v>
                </c:pt>
                <c:pt idx="79">
                  <c:v>5.4261699999999999</c:v>
                </c:pt>
                <c:pt idx="80">
                  <c:v>5.4218100000000007</c:v>
                </c:pt>
                <c:pt idx="81">
                  <c:v>5.3878599999999999</c:v>
                </c:pt>
                <c:pt idx="82">
                  <c:v>5.3713699999999998</c:v>
                </c:pt>
                <c:pt idx="83">
                  <c:v>5.3795299999999999</c:v>
                </c:pt>
                <c:pt idx="84">
                  <c:v>5.4208299999999996</c:v>
                </c:pt>
                <c:pt idx="85">
                  <c:v>5.4206200000000004</c:v>
                </c:pt>
                <c:pt idx="86">
                  <c:v>5.2873099999999997</c:v>
                </c:pt>
                <c:pt idx="87">
                  <c:v>5.3007899999999992</c:v>
                </c:pt>
                <c:pt idx="88">
                  <c:v>5.2291999999999996</c:v>
                </c:pt>
                <c:pt idx="89">
                  <c:v>4.8987699999999998</c:v>
                </c:pt>
                <c:pt idx="90">
                  <c:v>4.8389499999999996</c:v>
                </c:pt>
                <c:pt idx="91">
                  <c:v>4.7902999999999993</c:v>
                </c:pt>
                <c:pt idx="92">
                  <c:v>4.7902999999999993</c:v>
                </c:pt>
                <c:pt idx="93">
                  <c:v>4.3407299999999998</c:v>
                </c:pt>
                <c:pt idx="94">
                  <c:v>4.3659400000000002</c:v>
                </c:pt>
                <c:pt idx="95">
                  <c:v>3.92456</c:v>
                </c:pt>
                <c:pt idx="96">
                  <c:v>3.7565599999999999</c:v>
                </c:pt>
                <c:pt idx="97">
                  <c:v>3.6614999999999998</c:v>
                </c:pt>
                <c:pt idx="98">
                  <c:v>3.5234699999999997</c:v>
                </c:pt>
                <c:pt idx="99">
                  <c:v>3.5111399999999997</c:v>
                </c:pt>
                <c:pt idx="100">
                  <c:v>3.4656500000000001</c:v>
                </c:pt>
                <c:pt idx="101">
                  <c:v>3.4431799999999999</c:v>
                </c:pt>
                <c:pt idx="102">
                  <c:v>3.4334899999999999</c:v>
                </c:pt>
                <c:pt idx="103">
                  <c:v>3.4334899999999999</c:v>
                </c:pt>
                <c:pt idx="104">
                  <c:v>3.4462900000000003</c:v>
                </c:pt>
                <c:pt idx="105">
                  <c:v>3.4242399999999997</c:v>
                </c:pt>
                <c:pt idx="106">
                  <c:v>3.4202900000000001</c:v>
                </c:pt>
                <c:pt idx="107">
                  <c:v>3.4429500000000002</c:v>
                </c:pt>
                <c:pt idx="108">
                  <c:v>3.4256099999999998</c:v>
                </c:pt>
                <c:pt idx="109">
                  <c:v>3.3997899999999999</c:v>
                </c:pt>
                <c:pt idx="110">
                  <c:v>3.37039</c:v>
                </c:pt>
                <c:pt idx="111">
                  <c:v>3.34673</c:v>
                </c:pt>
                <c:pt idx="112">
                  <c:v>3.2236599999999997</c:v>
                </c:pt>
                <c:pt idx="113">
                  <c:v>3.2968700000000002</c:v>
                </c:pt>
                <c:pt idx="114">
                  <c:v>3.4345400000000001</c:v>
                </c:pt>
                <c:pt idx="115">
                  <c:v>3.35101</c:v>
                </c:pt>
                <c:pt idx="116">
                  <c:v>3.5507999999999997</c:v>
                </c:pt>
                <c:pt idx="117">
                  <c:v>3.6457899999999999</c:v>
                </c:pt>
                <c:pt idx="118">
                  <c:v>3.96271</c:v>
                </c:pt>
                <c:pt idx="119">
                  <c:v>3.9336200000000003</c:v>
                </c:pt>
                <c:pt idx="120">
                  <c:v>3.9383600000000003</c:v>
                </c:pt>
                <c:pt idx="121">
                  <c:v>3.93391</c:v>
                </c:pt>
                <c:pt idx="122">
                  <c:v>3.8374799999999998</c:v>
                </c:pt>
                <c:pt idx="123">
                  <c:v>3.9015</c:v>
                </c:pt>
                <c:pt idx="124">
                  <c:v>3.90001</c:v>
                </c:pt>
                <c:pt idx="125">
                  <c:v>3.8919700000000002</c:v>
                </c:pt>
                <c:pt idx="126">
                  <c:v>3.9880599999999999</c:v>
                </c:pt>
                <c:pt idx="127">
                  <c:v>3.9624999999999999</c:v>
                </c:pt>
                <c:pt idx="128">
                  <c:v>4.0005699999999997</c:v>
                </c:pt>
                <c:pt idx="129">
                  <c:v>3.9650499999999997</c:v>
                </c:pt>
                <c:pt idx="130">
                  <c:v>3.8603399999999999</c:v>
                </c:pt>
                <c:pt idx="131">
                  <c:v>3.61937</c:v>
                </c:pt>
                <c:pt idx="132">
                  <c:v>3.5287799999999998</c:v>
                </c:pt>
                <c:pt idx="133">
                  <c:v>3.5539999999999998</c:v>
                </c:pt>
                <c:pt idx="134">
                  <c:v>3.5553699999999999</c:v>
                </c:pt>
                <c:pt idx="135">
                  <c:v>3.5792899999999999</c:v>
                </c:pt>
                <c:pt idx="136">
                  <c:v>3.5980500000000002</c:v>
                </c:pt>
                <c:pt idx="137">
                  <c:v>3.59979</c:v>
                </c:pt>
                <c:pt idx="138">
                  <c:v>3.6027199999999997</c:v>
                </c:pt>
                <c:pt idx="139">
                  <c:v>3.5821399999999999</c:v>
                </c:pt>
                <c:pt idx="140">
                  <c:v>3.5893799999999998</c:v>
                </c:pt>
                <c:pt idx="141">
                  <c:v>3.5935100000000002</c:v>
                </c:pt>
                <c:pt idx="142">
                  <c:v>3.6319900000000001</c:v>
                </c:pt>
                <c:pt idx="143">
                  <c:v>3.6670999999999996</c:v>
                </c:pt>
                <c:pt idx="144">
                  <c:v>3.6825400000000004</c:v>
                </c:pt>
                <c:pt idx="145">
                  <c:v>3.64445</c:v>
                </c:pt>
                <c:pt idx="146">
                  <c:v>3.5911599999999999</c:v>
                </c:pt>
                <c:pt idx="147">
                  <c:v>3.6309399999999998</c:v>
                </c:pt>
                <c:pt idx="148">
                  <c:v>3.5488499999999998</c:v>
                </c:pt>
                <c:pt idx="149">
                  <c:v>3.6082000000000001</c:v>
                </c:pt>
                <c:pt idx="150">
                  <c:v>3.62513</c:v>
                </c:pt>
                <c:pt idx="151">
                  <c:v>3.6390400000000001</c:v>
                </c:pt>
                <c:pt idx="152">
                  <c:v>3.63036</c:v>
                </c:pt>
                <c:pt idx="153">
                  <c:v>3.6068099999999998</c:v>
                </c:pt>
                <c:pt idx="154">
                  <c:v>3.5644200000000001</c:v>
                </c:pt>
                <c:pt idx="155">
                  <c:v>3.5126999999999997</c:v>
                </c:pt>
                <c:pt idx="156">
                  <c:v>3.4589800000000004</c:v>
                </c:pt>
                <c:pt idx="157">
                  <c:v>3.4546600000000001</c:v>
                </c:pt>
                <c:pt idx="158">
                  <c:v>3.4656799999999999</c:v>
                </c:pt>
                <c:pt idx="159">
                  <c:v>3.3431299999999999</c:v>
                </c:pt>
                <c:pt idx="160">
                  <c:v>3.2711200000000002</c:v>
                </c:pt>
                <c:pt idx="161">
                  <c:v>3.17849</c:v>
                </c:pt>
                <c:pt idx="162">
                  <c:v>3.2134199999999997</c:v>
                </c:pt>
                <c:pt idx="163">
                  <c:v>3.31664</c:v>
                </c:pt>
                <c:pt idx="164">
                  <c:v>3.2951999999999999</c:v>
                </c:pt>
                <c:pt idx="165">
                  <c:v>3.2981400000000001</c:v>
                </c:pt>
                <c:pt idx="166">
                  <c:v>3.30728</c:v>
                </c:pt>
                <c:pt idx="167">
                  <c:v>3.2602999999999995</c:v>
                </c:pt>
                <c:pt idx="168">
                  <c:v>3.2972399999999999</c:v>
                </c:pt>
                <c:pt idx="169">
                  <c:v>3.2194799999999999</c:v>
                </c:pt>
                <c:pt idx="170">
                  <c:v>3.26613</c:v>
                </c:pt>
                <c:pt idx="171">
                  <c:v>3.1721599999999999</c:v>
                </c:pt>
                <c:pt idx="172">
                  <c:v>3.29332</c:v>
                </c:pt>
                <c:pt idx="173">
                  <c:v>3.29332</c:v>
                </c:pt>
                <c:pt idx="174">
                  <c:v>3.2331799999999999</c:v>
                </c:pt>
                <c:pt idx="175">
                  <c:v>3.2189899999999998</c:v>
                </c:pt>
                <c:pt idx="176">
                  <c:v>3.2304399999999998</c:v>
                </c:pt>
                <c:pt idx="177">
                  <c:v>3.17327</c:v>
                </c:pt>
                <c:pt idx="178">
                  <c:v>3.1342200000000005</c:v>
                </c:pt>
                <c:pt idx="179">
                  <c:v>3.28267</c:v>
                </c:pt>
                <c:pt idx="180">
                  <c:v>3.21848</c:v>
                </c:pt>
                <c:pt idx="181">
                  <c:v>3.2305099999999998</c:v>
                </c:pt>
                <c:pt idx="182">
                  <c:v>3.2290899999999998</c:v>
                </c:pt>
                <c:pt idx="183">
                  <c:v>3.2208699999999997</c:v>
                </c:pt>
                <c:pt idx="184">
                  <c:v>3.2126199999999998</c:v>
                </c:pt>
                <c:pt idx="185">
                  <c:v>3.1789199999999997</c:v>
                </c:pt>
                <c:pt idx="186">
                  <c:v>3.19923</c:v>
                </c:pt>
                <c:pt idx="187">
                  <c:v>3.1557499999999998</c:v>
                </c:pt>
                <c:pt idx="188">
                  <c:v>3.2448999999999999</c:v>
                </c:pt>
                <c:pt idx="189">
                  <c:v>3.2217599999999997</c:v>
                </c:pt>
                <c:pt idx="190">
                  <c:v>3.3617700000000004</c:v>
                </c:pt>
                <c:pt idx="191">
                  <c:v>3.4065699999999999</c:v>
                </c:pt>
                <c:pt idx="192">
                  <c:v>3.3928400000000001</c:v>
                </c:pt>
                <c:pt idx="193">
                  <c:v>4.3042400000000001</c:v>
                </c:pt>
                <c:pt idx="194">
                  <c:v>4.6249799999999999</c:v>
                </c:pt>
                <c:pt idx="195">
                  <c:v>4.5971700000000002</c:v>
                </c:pt>
                <c:pt idx="196">
                  <c:v>4.3040899999999995</c:v>
                </c:pt>
                <c:pt idx="197">
                  <c:v>4.1194299999999995</c:v>
                </c:pt>
                <c:pt idx="198">
                  <c:v>4.1542300000000001</c:v>
                </c:pt>
                <c:pt idx="199">
                  <c:v>4.1319299999999997</c:v>
                </c:pt>
                <c:pt idx="200">
                  <c:v>4.1326499999999999</c:v>
                </c:pt>
                <c:pt idx="201">
                  <c:v>4.12019</c:v>
                </c:pt>
                <c:pt idx="202">
                  <c:v>4.0574500000000002</c:v>
                </c:pt>
                <c:pt idx="203">
                  <c:v>4.0721499999999997</c:v>
                </c:pt>
                <c:pt idx="204">
                  <c:v>4.1034699999999997</c:v>
                </c:pt>
                <c:pt idx="205">
                  <c:v>4.2120699999999998</c:v>
                </c:pt>
                <c:pt idx="206">
                  <c:v>4.2347999999999999</c:v>
                </c:pt>
                <c:pt idx="207">
                  <c:v>4.20695</c:v>
                </c:pt>
                <c:pt idx="208">
                  <c:v>4.1501600000000005</c:v>
                </c:pt>
                <c:pt idx="209">
                  <c:v>4.2053699999999994</c:v>
                </c:pt>
                <c:pt idx="210">
                  <c:v>4.2730399999999999</c:v>
                </c:pt>
                <c:pt idx="211">
                  <c:v>4.3217999999999996</c:v>
                </c:pt>
                <c:pt idx="212">
                  <c:v>4.3247099999999996</c:v>
                </c:pt>
                <c:pt idx="213">
                  <c:v>4.4691700000000001</c:v>
                </c:pt>
                <c:pt idx="214">
                  <c:v>4.5228399999999995</c:v>
                </c:pt>
                <c:pt idx="215">
                  <c:v>4.5758900000000002</c:v>
                </c:pt>
                <c:pt idx="216">
                  <c:v>4.6467200000000002</c:v>
                </c:pt>
                <c:pt idx="217">
                  <c:v>4.7588299999999997</c:v>
                </c:pt>
                <c:pt idx="218">
                  <c:v>4.8208599999999997</c:v>
                </c:pt>
                <c:pt idx="219">
                  <c:v>4.5528899999999997</c:v>
                </c:pt>
                <c:pt idx="220">
                  <c:v>4.5327599999999997</c:v>
                </c:pt>
                <c:pt idx="221">
                  <c:v>4.4813600000000005</c:v>
                </c:pt>
                <c:pt idx="222">
                  <c:v>4.3659100000000004</c:v>
                </c:pt>
                <c:pt idx="223">
                  <c:v>3.9936500000000001</c:v>
                </c:pt>
                <c:pt idx="224">
                  <c:v>3.4702999999999999</c:v>
                </c:pt>
                <c:pt idx="225">
                  <c:v>3.4935700000000001</c:v>
                </c:pt>
                <c:pt idx="226">
                  <c:v>3.4884199999999996</c:v>
                </c:pt>
                <c:pt idx="227">
                  <c:v>3.52183</c:v>
                </c:pt>
                <c:pt idx="228">
                  <c:v>3.4179599999999999</c:v>
                </c:pt>
                <c:pt idx="229">
                  <c:v>3.5132100000000004</c:v>
                </c:pt>
                <c:pt idx="230">
                  <c:v>3.5017</c:v>
                </c:pt>
                <c:pt idx="231">
                  <c:v>3.5449999999999999</c:v>
                </c:pt>
                <c:pt idx="232">
                  <c:v>3.5680000000000001</c:v>
                </c:pt>
                <c:pt idx="233">
                  <c:v>3.6437400000000002</c:v>
                </c:pt>
                <c:pt idx="234">
                  <c:v>3.5514199999999998</c:v>
                </c:pt>
                <c:pt idx="235">
                  <c:v>3.5723500000000001</c:v>
                </c:pt>
                <c:pt idx="236">
                  <c:v>3.6395800000000005</c:v>
                </c:pt>
                <c:pt idx="237">
                  <c:v>3.5815100000000002</c:v>
                </c:pt>
                <c:pt idx="238">
                  <c:v>3.6077699999999999</c:v>
                </c:pt>
                <c:pt idx="239">
                  <c:v>3.5652600000000003</c:v>
                </c:pt>
                <c:pt idx="240">
                  <c:v>3.5849599999999997</c:v>
                </c:pt>
                <c:pt idx="241">
                  <c:v>3.4287000000000001</c:v>
                </c:pt>
                <c:pt idx="242">
                  <c:v>3.00034</c:v>
                </c:pt>
                <c:pt idx="243">
                  <c:v>3.0610000000000004</c:v>
                </c:pt>
                <c:pt idx="244">
                  <c:v>3.0694299999999997</c:v>
                </c:pt>
                <c:pt idx="245">
                  <c:v>3.0457400000000003</c:v>
                </c:pt>
                <c:pt idx="246">
                  <c:v>3.1460399999999997</c:v>
                </c:pt>
                <c:pt idx="247">
                  <c:v>3.1726399999999999</c:v>
                </c:pt>
                <c:pt idx="248">
                  <c:v>3.1973399999999996</c:v>
                </c:pt>
                <c:pt idx="249">
                  <c:v>3.0992999999999999</c:v>
                </c:pt>
                <c:pt idx="250">
                  <c:v>3.02657</c:v>
                </c:pt>
                <c:pt idx="251">
                  <c:v>2.9476999999999998</c:v>
                </c:pt>
                <c:pt idx="252">
                  <c:v>2.95709</c:v>
                </c:pt>
                <c:pt idx="253">
                  <c:v>3.0359800000000003</c:v>
                </c:pt>
                <c:pt idx="254">
                  <c:v>2.9912599999999996</c:v>
                </c:pt>
                <c:pt idx="255">
                  <c:v>2.9758499999999999</c:v>
                </c:pt>
                <c:pt idx="256">
                  <c:v>2.9051600000000004</c:v>
                </c:pt>
                <c:pt idx="257">
                  <c:v>2.9051600000000004</c:v>
                </c:pt>
                <c:pt idx="258">
                  <c:v>2.9051600000000004</c:v>
                </c:pt>
                <c:pt idx="259">
                  <c:v>2.86206</c:v>
                </c:pt>
                <c:pt idx="260">
                  <c:v>2.8364100000000003</c:v>
                </c:pt>
                <c:pt idx="261">
                  <c:v>2.8584500000000004</c:v>
                </c:pt>
                <c:pt idx="262">
                  <c:v>2.8584500000000004</c:v>
                </c:pt>
                <c:pt idx="263">
                  <c:v>2.8169299999999997</c:v>
                </c:pt>
                <c:pt idx="264">
                  <c:v>2.7524099999999998</c:v>
                </c:pt>
                <c:pt idx="265">
                  <c:v>2.68981</c:v>
                </c:pt>
                <c:pt idx="266">
                  <c:v>2.6709300000000002</c:v>
                </c:pt>
                <c:pt idx="267">
                  <c:v>2.6219099999999997</c:v>
                </c:pt>
                <c:pt idx="268">
                  <c:v>2.6010199999999997</c:v>
                </c:pt>
                <c:pt idx="269">
                  <c:v>2.59552</c:v>
                </c:pt>
                <c:pt idx="270">
                  <c:v>2.5579900000000002</c:v>
                </c:pt>
                <c:pt idx="271">
                  <c:v>2.4131</c:v>
                </c:pt>
                <c:pt idx="272">
                  <c:v>2.3556699999999999</c:v>
                </c:pt>
                <c:pt idx="273">
                  <c:v>2.3820399999999999</c:v>
                </c:pt>
                <c:pt idx="274">
                  <c:v>2.3827400000000001</c:v>
                </c:pt>
                <c:pt idx="275">
                  <c:v>2.4190899999999997</c:v>
                </c:pt>
                <c:pt idx="276">
                  <c:v>2.38836</c:v>
                </c:pt>
                <c:pt idx="277">
                  <c:v>2.4344100000000002</c:v>
                </c:pt>
                <c:pt idx="278">
                  <c:v>2.6081300000000001</c:v>
                </c:pt>
                <c:pt idx="279">
                  <c:v>2.5082100000000001</c:v>
                </c:pt>
                <c:pt idx="280">
                  <c:v>2.6385000000000001</c:v>
                </c:pt>
                <c:pt idx="281">
                  <c:v>2.5804300000000002</c:v>
                </c:pt>
                <c:pt idx="282">
                  <c:v>2.5819999999999999</c:v>
                </c:pt>
                <c:pt idx="283">
                  <c:v>2.6406999999999998</c:v>
                </c:pt>
                <c:pt idx="284">
                  <c:v>2.6360299999999999</c:v>
                </c:pt>
                <c:pt idx="285">
                  <c:v>2.5867100000000001</c:v>
                </c:pt>
                <c:pt idx="286">
                  <c:v>2.6601499999999998</c:v>
                </c:pt>
                <c:pt idx="287">
                  <c:v>2.6298899999999996</c:v>
                </c:pt>
                <c:pt idx="288">
                  <c:v>2.6354099999999998</c:v>
                </c:pt>
                <c:pt idx="289">
                  <c:v>2.7134300000000002</c:v>
                </c:pt>
                <c:pt idx="290">
                  <c:v>2.7214999999999998</c:v>
                </c:pt>
                <c:pt idx="291">
                  <c:v>2.7622500000000003</c:v>
                </c:pt>
                <c:pt idx="292">
                  <c:v>2.7557600000000004</c:v>
                </c:pt>
                <c:pt idx="293">
                  <c:v>2.7970999999999999</c:v>
                </c:pt>
                <c:pt idx="294">
                  <c:v>2.8182600000000004</c:v>
                </c:pt>
                <c:pt idx="295">
                  <c:v>2.8817399999999997</c:v>
                </c:pt>
                <c:pt idx="296">
                  <c:v>2.8945600000000002</c:v>
                </c:pt>
                <c:pt idx="297">
                  <c:v>2.8390599999999999</c:v>
                </c:pt>
                <c:pt idx="298">
                  <c:v>2.8846400000000001</c:v>
                </c:pt>
                <c:pt idx="299">
                  <c:v>2.8992500000000003</c:v>
                </c:pt>
                <c:pt idx="300">
                  <c:v>2.8491300000000002</c:v>
                </c:pt>
                <c:pt idx="301">
                  <c:v>3.1882299999999999</c:v>
                </c:pt>
                <c:pt idx="302">
                  <c:v>3.1135899999999999</c:v>
                </c:pt>
                <c:pt idx="303">
                  <c:v>3.1217200000000003</c:v>
                </c:pt>
                <c:pt idx="304">
                  <c:v>3.21644</c:v>
                </c:pt>
                <c:pt idx="305">
                  <c:v>3.0998600000000001</c:v>
                </c:pt>
                <c:pt idx="306">
                  <c:v>3.1214600000000003</c:v>
                </c:pt>
                <c:pt idx="307">
                  <c:v>3.2054500000000004</c:v>
                </c:pt>
                <c:pt idx="308">
                  <c:v>3.2382799999999996</c:v>
                </c:pt>
                <c:pt idx="309">
                  <c:v>3.1944099999999995</c:v>
                </c:pt>
                <c:pt idx="310">
                  <c:v>3.2335500000000001</c:v>
                </c:pt>
                <c:pt idx="311">
                  <c:v>3.1610399999999998</c:v>
                </c:pt>
                <c:pt idx="312">
                  <c:v>3.1209699999999998</c:v>
                </c:pt>
                <c:pt idx="313">
                  <c:v>3.1028800000000003</c:v>
                </c:pt>
                <c:pt idx="314">
                  <c:v>3.0680700000000001</c:v>
                </c:pt>
                <c:pt idx="315">
                  <c:v>3.27101</c:v>
                </c:pt>
                <c:pt idx="316">
                  <c:v>3.29372</c:v>
                </c:pt>
                <c:pt idx="317">
                  <c:v>3.2604099999999998</c:v>
                </c:pt>
                <c:pt idx="318">
                  <c:v>3.3307100000000003</c:v>
                </c:pt>
                <c:pt idx="319">
                  <c:v>3.35711</c:v>
                </c:pt>
                <c:pt idx="320">
                  <c:v>3.3750799999999996</c:v>
                </c:pt>
                <c:pt idx="321">
                  <c:v>3.3872500000000003</c:v>
                </c:pt>
                <c:pt idx="322">
                  <c:v>3.3202699999999998</c:v>
                </c:pt>
                <c:pt idx="323">
                  <c:v>3.2536299999999998</c:v>
                </c:pt>
                <c:pt idx="324">
                  <c:v>3.2598099999999999</c:v>
                </c:pt>
                <c:pt idx="325">
                  <c:v>3.2363</c:v>
                </c:pt>
                <c:pt idx="326">
                  <c:v>3.2511200000000002</c:v>
                </c:pt>
                <c:pt idx="327">
                  <c:v>3.2511200000000002</c:v>
                </c:pt>
                <c:pt idx="328">
                  <c:v>3.2511200000000002</c:v>
                </c:pt>
                <c:pt idx="329">
                  <c:v>3.1804700000000001</c:v>
                </c:pt>
                <c:pt idx="330">
                  <c:v>3.2015800000000003</c:v>
                </c:pt>
                <c:pt idx="331">
                  <c:v>3.2289699999999999</c:v>
                </c:pt>
                <c:pt idx="332">
                  <c:v>3.1660000000000004</c:v>
                </c:pt>
                <c:pt idx="333">
                  <c:v>3.1489699999999998</c:v>
                </c:pt>
                <c:pt idx="334">
                  <c:v>3.14229</c:v>
                </c:pt>
                <c:pt idx="335">
                  <c:v>3.1596800000000003</c:v>
                </c:pt>
                <c:pt idx="336">
                  <c:v>3.1951999999999998</c:v>
                </c:pt>
                <c:pt idx="337">
                  <c:v>3.1746099999999999</c:v>
                </c:pt>
                <c:pt idx="338">
                  <c:v>3.1339999999999999</c:v>
                </c:pt>
                <c:pt idx="339">
                  <c:v>3.1307299999999998</c:v>
                </c:pt>
                <c:pt idx="340">
                  <c:v>3.1317700000000004</c:v>
                </c:pt>
                <c:pt idx="341">
                  <c:v>3.1129799999999999</c:v>
                </c:pt>
                <c:pt idx="342">
                  <c:v>3.1275900000000001</c:v>
                </c:pt>
                <c:pt idx="343">
                  <c:v>3.0657399999999999</c:v>
                </c:pt>
                <c:pt idx="344">
                  <c:v>3.0293299999999999</c:v>
                </c:pt>
                <c:pt idx="345">
                  <c:v>3.11341</c:v>
                </c:pt>
                <c:pt idx="346">
                  <c:v>3.1249200000000004</c:v>
                </c:pt>
                <c:pt idx="347">
                  <c:v>3.1486499999999999</c:v>
                </c:pt>
                <c:pt idx="348">
                  <c:v>3.1486499999999999</c:v>
                </c:pt>
                <c:pt idx="349">
                  <c:v>3.1697500000000001</c:v>
                </c:pt>
                <c:pt idx="350">
                  <c:v>3.01153</c:v>
                </c:pt>
                <c:pt idx="351">
                  <c:v>2.89438</c:v>
                </c:pt>
                <c:pt idx="352">
                  <c:v>2.7231000000000001</c:v>
                </c:pt>
                <c:pt idx="353">
                  <c:v>2.6690699999999996</c:v>
                </c:pt>
                <c:pt idx="354">
                  <c:v>2.74838</c:v>
                </c:pt>
                <c:pt idx="355">
                  <c:v>2.7138</c:v>
                </c:pt>
                <c:pt idx="356">
                  <c:v>2.7319600000000004</c:v>
                </c:pt>
                <c:pt idx="357">
                  <c:v>2.7505700000000002</c:v>
                </c:pt>
                <c:pt idx="358">
                  <c:v>2.78498</c:v>
                </c:pt>
                <c:pt idx="359">
                  <c:v>2.76532</c:v>
                </c:pt>
                <c:pt idx="360">
                  <c:v>2.6859600000000001</c:v>
                </c:pt>
                <c:pt idx="361">
                  <c:v>2.7705799999999998</c:v>
                </c:pt>
                <c:pt idx="362">
                  <c:v>2.7601100000000001</c:v>
                </c:pt>
                <c:pt idx="363">
                  <c:v>2.7756500000000002</c:v>
                </c:pt>
                <c:pt idx="364">
                  <c:v>2.78451</c:v>
                </c:pt>
                <c:pt idx="365">
                  <c:v>2.7819699999999998</c:v>
                </c:pt>
                <c:pt idx="366">
                  <c:v>2.7735500000000002</c:v>
                </c:pt>
                <c:pt idx="367">
                  <c:v>2.7934300000000003</c:v>
                </c:pt>
                <c:pt idx="368">
                  <c:v>2.7934300000000003</c:v>
                </c:pt>
                <c:pt idx="369">
                  <c:v>2.7930700000000002</c:v>
                </c:pt>
                <c:pt idx="370">
                  <c:v>2.7725400000000002</c:v>
                </c:pt>
                <c:pt idx="371">
                  <c:v>2.7255700000000003</c:v>
                </c:pt>
                <c:pt idx="372">
                  <c:v>2.7801900000000002</c:v>
                </c:pt>
                <c:pt idx="373">
                  <c:v>2.7714600000000003</c:v>
                </c:pt>
                <c:pt idx="374">
                  <c:v>2.8251100000000005</c:v>
                </c:pt>
                <c:pt idx="375">
                  <c:v>2.78112</c:v>
                </c:pt>
                <c:pt idx="376">
                  <c:v>2.71855</c:v>
                </c:pt>
                <c:pt idx="377">
                  <c:v>2.6746099999999999</c:v>
                </c:pt>
                <c:pt idx="378">
                  <c:v>2.6599400000000002</c:v>
                </c:pt>
                <c:pt idx="379">
                  <c:v>2.6661700000000002</c:v>
                </c:pt>
                <c:pt idx="380">
                  <c:v>2.6424900000000004</c:v>
                </c:pt>
                <c:pt idx="381">
                  <c:v>2.6254500000000003</c:v>
                </c:pt>
                <c:pt idx="382">
                  <c:v>2.6519900000000001</c:v>
                </c:pt>
                <c:pt idx="383">
                  <c:v>2.5830399999999996</c:v>
                </c:pt>
                <c:pt idx="384">
                  <c:v>2.5165799999999998</c:v>
                </c:pt>
                <c:pt idx="385">
                  <c:v>2.5786399999999996</c:v>
                </c:pt>
                <c:pt idx="386">
                  <c:v>2.3880699999999999</c:v>
                </c:pt>
                <c:pt idx="387">
                  <c:v>2.4764300000000001</c:v>
                </c:pt>
                <c:pt idx="388">
                  <c:v>2.3830399999999998</c:v>
                </c:pt>
                <c:pt idx="389">
                  <c:v>2.3944800000000002</c:v>
                </c:pt>
                <c:pt idx="390">
                  <c:v>2.3820999999999999</c:v>
                </c:pt>
                <c:pt idx="391">
                  <c:v>2.2326800000000002</c:v>
                </c:pt>
                <c:pt idx="392">
                  <c:v>2.3109100000000002</c:v>
                </c:pt>
                <c:pt idx="393">
                  <c:v>2.2845800000000001</c:v>
                </c:pt>
                <c:pt idx="394">
                  <c:v>2.3690000000000002</c:v>
                </c:pt>
                <c:pt idx="395">
                  <c:v>2.4061000000000003</c:v>
                </c:pt>
                <c:pt idx="396">
                  <c:v>2.4350999999999998</c:v>
                </c:pt>
                <c:pt idx="397">
                  <c:v>2.3835500000000001</c:v>
                </c:pt>
                <c:pt idx="398">
                  <c:v>2.3857900000000001</c:v>
                </c:pt>
                <c:pt idx="399">
                  <c:v>2.2865500000000001</c:v>
                </c:pt>
                <c:pt idx="400">
                  <c:v>2.39331</c:v>
                </c:pt>
                <c:pt idx="401">
                  <c:v>2.3746999999999998</c:v>
                </c:pt>
                <c:pt idx="402">
                  <c:v>2.4171800000000001</c:v>
                </c:pt>
                <c:pt idx="403">
                  <c:v>2.4105699999999999</c:v>
                </c:pt>
                <c:pt idx="404">
                  <c:v>2.4668799999999997</c:v>
                </c:pt>
                <c:pt idx="405">
                  <c:v>2.3859300000000001</c:v>
                </c:pt>
                <c:pt idx="406">
                  <c:v>2.4104800000000002</c:v>
                </c:pt>
                <c:pt idx="407">
                  <c:v>2.4045299999999998</c:v>
                </c:pt>
                <c:pt idx="408">
                  <c:v>2.3964599999999998</c:v>
                </c:pt>
                <c:pt idx="409">
                  <c:v>2.3852099999999998</c:v>
                </c:pt>
                <c:pt idx="410">
                  <c:v>2.3753899999999999</c:v>
                </c:pt>
                <c:pt idx="411">
                  <c:v>2.3602500000000002</c:v>
                </c:pt>
                <c:pt idx="412">
                  <c:v>2.4104000000000001</c:v>
                </c:pt>
                <c:pt idx="413">
                  <c:v>2.4338700000000002</c:v>
                </c:pt>
                <c:pt idx="414">
                  <c:v>2.38218</c:v>
                </c:pt>
                <c:pt idx="415">
                  <c:v>2.3239800000000002</c:v>
                </c:pt>
                <c:pt idx="416">
                  <c:v>2.2754400000000001</c:v>
                </c:pt>
                <c:pt idx="417">
                  <c:v>2.21556</c:v>
                </c:pt>
                <c:pt idx="418">
                  <c:v>2.2137899999999999</c:v>
                </c:pt>
                <c:pt idx="419">
                  <c:v>2.2816200000000002</c:v>
                </c:pt>
                <c:pt idx="420">
                  <c:v>2.3033799999999998</c:v>
                </c:pt>
                <c:pt idx="421">
                  <c:v>2.2985500000000001</c:v>
                </c:pt>
                <c:pt idx="422">
                  <c:v>2.2721800000000001</c:v>
                </c:pt>
                <c:pt idx="423">
                  <c:v>2.32822</c:v>
                </c:pt>
                <c:pt idx="424">
                  <c:v>2.3217300000000001</c:v>
                </c:pt>
                <c:pt idx="425">
                  <c:v>2.2949199999999998</c:v>
                </c:pt>
                <c:pt idx="426">
                  <c:v>2.3236300000000001</c:v>
                </c:pt>
                <c:pt idx="427">
                  <c:v>2.2568199999999998</c:v>
                </c:pt>
                <c:pt idx="428">
                  <c:v>2.1535099999999998</c:v>
                </c:pt>
                <c:pt idx="429">
                  <c:v>2.11849</c:v>
                </c:pt>
                <c:pt idx="430">
                  <c:v>2.0618799999999999</c:v>
                </c:pt>
                <c:pt idx="431">
                  <c:v>2.0177700000000001</c:v>
                </c:pt>
                <c:pt idx="432">
                  <c:v>2.0275499999999997</c:v>
                </c:pt>
                <c:pt idx="433">
                  <c:v>2.0275499999999997</c:v>
                </c:pt>
                <c:pt idx="434">
                  <c:v>2.0174400000000001</c:v>
                </c:pt>
                <c:pt idx="435">
                  <c:v>1.95916</c:v>
                </c:pt>
                <c:pt idx="436">
                  <c:v>1.89893</c:v>
                </c:pt>
                <c:pt idx="437">
                  <c:v>1.8824000000000001</c:v>
                </c:pt>
                <c:pt idx="438">
                  <c:v>1.87636</c:v>
                </c:pt>
                <c:pt idx="439">
                  <c:v>1.8503299999999998</c:v>
                </c:pt>
                <c:pt idx="440">
                  <c:v>1.8619399999999999</c:v>
                </c:pt>
                <c:pt idx="441">
                  <c:v>1.8599399999999999</c:v>
                </c:pt>
                <c:pt idx="442">
                  <c:v>1.74136</c:v>
                </c:pt>
                <c:pt idx="443">
                  <c:v>1.8125100000000001</c:v>
                </c:pt>
                <c:pt idx="444">
                  <c:v>1.7771999999999999</c:v>
                </c:pt>
                <c:pt idx="445">
                  <c:v>1.73268</c:v>
                </c:pt>
                <c:pt idx="446">
                  <c:v>1.73031</c:v>
                </c:pt>
                <c:pt idx="447">
                  <c:v>1.67144</c:v>
                </c:pt>
                <c:pt idx="448">
                  <c:v>1.7238900000000001</c:v>
                </c:pt>
                <c:pt idx="449">
                  <c:v>1.7354700000000001</c:v>
                </c:pt>
                <c:pt idx="450">
                  <c:v>1.8027500000000001</c:v>
                </c:pt>
                <c:pt idx="451">
                  <c:v>1.63964</c:v>
                </c:pt>
                <c:pt idx="452">
                  <c:v>1.73305</c:v>
                </c:pt>
                <c:pt idx="453">
                  <c:v>1.7480600000000002</c:v>
                </c:pt>
                <c:pt idx="454">
                  <c:v>1.78383</c:v>
                </c:pt>
                <c:pt idx="455">
                  <c:v>1.83138</c:v>
                </c:pt>
                <c:pt idx="456">
                  <c:v>1.86781</c:v>
                </c:pt>
                <c:pt idx="457">
                  <c:v>1.9865299999999999</c:v>
                </c:pt>
                <c:pt idx="458">
                  <c:v>2.0230299999999999</c:v>
                </c:pt>
                <c:pt idx="459">
                  <c:v>2.0117699999999998</c:v>
                </c:pt>
                <c:pt idx="460">
                  <c:v>2.0216399999999997</c:v>
                </c:pt>
                <c:pt idx="461">
                  <c:v>1.97417</c:v>
                </c:pt>
                <c:pt idx="462">
                  <c:v>1.9535400000000001</c:v>
                </c:pt>
                <c:pt idx="463">
                  <c:v>1.9293199999999999</c:v>
                </c:pt>
                <c:pt idx="464">
                  <c:v>1.9213</c:v>
                </c:pt>
                <c:pt idx="465">
                  <c:v>1.8539599999999998</c:v>
                </c:pt>
                <c:pt idx="466">
                  <c:v>1.7210400000000001</c:v>
                </c:pt>
                <c:pt idx="467">
                  <c:v>1.58534</c:v>
                </c:pt>
                <c:pt idx="468">
                  <c:v>1.5723799999999999</c:v>
                </c:pt>
                <c:pt idx="469">
                  <c:v>1.56921</c:v>
                </c:pt>
                <c:pt idx="470">
                  <c:v>1.56549</c:v>
                </c:pt>
                <c:pt idx="471">
                  <c:v>1.55125</c:v>
                </c:pt>
                <c:pt idx="472">
                  <c:v>1.5527099999999998</c:v>
                </c:pt>
                <c:pt idx="473">
                  <c:v>1.5512100000000002</c:v>
                </c:pt>
                <c:pt idx="474">
                  <c:v>1.58385</c:v>
                </c:pt>
                <c:pt idx="475">
                  <c:v>1.60025</c:v>
                </c:pt>
                <c:pt idx="476">
                  <c:v>1.5697999999999999</c:v>
                </c:pt>
                <c:pt idx="477">
                  <c:v>1.58586</c:v>
                </c:pt>
                <c:pt idx="478">
                  <c:v>1.5596199999999998</c:v>
                </c:pt>
                <c:pt idx="479">
                  <c:v>1.6224100000000001</c:v>
                </c:pt>
                <c:pt idx="480">
                  <c:v>1.5786199999999999</c:v>
                </c:pt>
                <c:pt idx="481">
                  <c:v>1.69295</c:v>
                </c:pt>
                <c:pt idx="482">
                  <c:v>1.6453899999999999</c:v>
                </c:pt>
                <c:pt idx="483">
                  <c:v>1.58613</c:v>
                </c:pt>
                <c:pt idx="484">
                  <c:v>1.61802</c:v>
                </c:pt>
                <c:pt idx="485">
                  <c:v>1.5722999999999998</c:v>
                </c:pt>
                <c:pt idx="486">
                  <c:v>1.5270599999999999</c:v>
                </c:pt>
                <c:pt idx="487">
                  <c:v>1.5304599999999999</c:v>
                </c:pt>
                <c:pt idx="488">
                  <c:v>1.5378700000000001</c:v>
                </c:pt>
                <c:pt idx="489">
                  <c:v>1.58626</c:v>
                </c:pt>
                <c:pt idx="490">
                  <c:v>1.6421199999999998</c:v>
                </c:pt>
                <c:pt idx="491">
                  <c:v>1.6317300000000001</c:v>
                </c:pt>
                <c:pt idx="492">
                  <c:v>1.6428800000000001</c:v>
                </c:pt>
                <c:pt idx="493">
                  <c:v>1.5879099999999999</c:v>
                </c:pt>
                <c:pt idx="494">
                  <c:v>1.72862</c:v>
                </c:pt>
                <c:pt idx="495">
                  <c:v>1.7092099999999999</c:v>
                </c:pt>
                <c:pt idx="496">
                  <c:v>1.76251</c:v>
                </c:pt>
                <c:pt idx="497">
                  <c:v>1.96268</c:v>
                </c:pt>
                <c:pt idx="498">
                  <c:v>1.86493</c:v>
                </c:pt>
                <c:pt idx="499">
                  <c:v>1.98651</c:v>
                </c:pt>
                <c:pt idx="500">
                  <c:v>1.9546700000000001</c:v>
                </c:pt>
                <c:pt idx="501">
                  <c:v>1.9365299999999999</c:v>
                </c:pt>
                <c:pt idx="502">
                  <c:v>1.9661299999999999</c:v>
                </c:pt>
                <c:pt idx="503">
                  <c:v>1.9829400000000001</c:v>
                </c:pt>
                <c:pt idx="504">
                  <c:v>1.8964599999999998</c:v>
                </c:pt>
                <c:pt idx="505">
                  <c:v>1.85589</c:v>
                </c:pt>
                <c:pt idx="506">
                  <c:v>1.9124399999999999</c:v>
                </c:pt>
                <c:pt idx="507">
                  <c:v>1.93296</c:v>
                </c:pt>
                <c:pt idx="508">
                  <c:v>1.9490100000000001</c:v>
                </c:pt>
                <c:pt idx="509">
                  <c:v>1.89486</c:v>
                </c:pt>
                <c:pt idx="510">
                  <c:v>1.95886</c:v>
                </c:pt>
                <c:pt idx="511">
                  <c:v>1.9882400000000002</c:v>
                </c:pt>
                <c:pt idx="512">
                  <c:v>2.01044</c:v>
                </c:pt>
                <c:pt idx="513">
                  <c:v>2.0254499999999998</c:v>
                </c:pt>
                <c:pt idx="514">
                  <c:v>2.0045899999999999</c:v>
                </c:pt>
                <c:pt idx="515">
                  <c:v>1.9519399999999998</c:v>
                </c:pt>
                <c:pt idx="516">
                  <c:v>1.9881500000000001</c:v>
                </c:pt>
                <c:pt idx="517">
                  <c:v>1.92012</c:v>
                </c:pt>
                <c:pt idx="518">
                  <c:v>1.92012</c:v>
                </c:pt>
                <c:pt idx="519">
                  <c:v>1.92012</c:v>
                </c:pt>
                <c:pt idx="520">
                  <c:v>1.95221</c:v>
                </c:pt>
                <c:pt idx="521">
                  <c:v>1.9655600000000002</c:v>
                </c:pt>
                <c:pt idx="522">
                  <c:v>1.95347</c:v>
                </c:pt>
                <c:pt idx="523">
                  <c:v>1.95347</c:v>
                </c:pt>
                <c:pt idx="524">
                  <c:v>2.2616900000000002</c:v>
                </c:pt>
                <c:pt idx="525">
                  <c:v>2.2238199999999999</c:v>
                </c:pt>
                <c:pt idx="526">
                  <c:v>2.22201</c:v>
                </c:pt>
                <c:pt idx="527">
                  <c:v>2.3162400000000001</c:v>
                </c:pt>
                <c:pt idx="528">
                  <c:v>2.2362899999999999</c:v>
                </c:pt>
                <c:pt idx="529">
                  <c:v>2.22532</c:v>
                </c:pt>
                <c:pt idx="530">
                  <c:v>2.25441</c:v>
                </c:pt>
                <c:pt idx="531">
                  <c:v>2.25298</c:v>
                </c:pt>
                <c:pt idx="532">
                  <c:v>2.2262</c:v>
                </c:pt>
                <c:pt idx="533">
                  <c:v>2.1831399999999999</c:v>
                </c:pt>
                <c:pt idx="534">
                  <c:v>2.3396600000000003</c:v>
                </c:pt>
                <c:pt idx="535">
                  <c:v>2.3430200000000001</c:v>
                </c:pt>
                <c:pt idx="536">
                  <c:v>2.28132</c:v>
                </c:pt>
                <c:pt idx="537">
                  <c:v>2.3118700000000003</c:v>
                </c:pt>
                <c:pt idx="538">
                  <c:v>2.40178</c:v>
                </c:pt>
                <c:pt idx="539">
                  <c:v>2.3664900000000002</c:v>
                </c:pt>
                <c:pt idx="540">
                  <c:v>2.3636200000000001</c:v>
                </c:pt>
                <c:pt idx="541">
                  <c:v>2.4718800000000001</c:v>
                </c:pt>
                <c:pt idx="542">
                  <c:v>2.4485700000000001</c:v>
                </c:pt>
                <c:pt idx="543">
                  <c:v>2.4608400000000001</c:v>
                </c:pt>
                <c:pt idx="544">
                  <c:v>2.4673099999999999</c:v>
                </c:pt>
                <c:pt idx="545">
                  <c:v>2.47159</c:v>
                </c:pt>
                <c:pt idx="546">
                  <c:v>2.4491999999999998</c:v>
                </c:pt>
                <c:pt idx="547">
                  <c:v>2.3873699999999998</c:v>
                </c:pt>
                <c:pt idx="548">
                  <c:v>2.4576899999999999</c:v>
                </c:pt>
                <c:pt idx="549">
                  <c:v>2.4517899999999999</c:v>
                </c:pt>
                <c:pt idx="550">
                  <c:v>2.3800699999999999</c:v>
                </c:pt>
                <c:pt idx="551">
                  <c:v>2.3901499999999998</c:v>
                </c:pt>
                <c:pt idx="552">
                  <c:v>2.4582899999999999</c:v>
                </c:pt>
                <c:pt idx="553">
                  <c:v>2.50908</c:v>
                </c:pt>
                <c:pt idx="554">
                  <c:v>2.5200299999999998</c:v>
                </c:pt>
                <c:pt idx="555">
                  <c:v>2.5334599999999998</c:v>
                </c:pt>
                <c:pt idx="556">
                  <c:v>2.5986500000000001</c:v>
                </c:pt>
                <c:pt idx="557">
                  <c:v>2.6233200000000001</c:v>
                </c:pt>
                <c:pt idx="558">
                  <c:v>2.60371</c:v>
                </c:pt>
                <c:pt idx="559">
                  <c:v>2.7006299999999999</c:v>
                </c:pt>
                <c:pt idx="560">
                  <c:v>2.6697000000000002</c:v>
                </c:pt>
                <c:pt idx="561">
                  <c:v>3.0943799999999997</c:v>
                </c:pt>
                <c:pt idx="562">
                  <c:v>2.8562799999999999</c:v>
                </c:pt>
                <c:pt idx="563">
                  <c:v>3.2904100000000001</c:v>
                </c:pt>
                <c:pt idx="564">
                  <c:v>4.0020999999999995</c:v>
                </c:pt>
                <c:pt idx="565">
                  <c:v>3.38923</c:v>
                </c:pt>
                <c:pt idx="566">
                  <c:v>3.9386000000000001</c:v>
                </c:pt>
                <c:pt idx="567">
                  <c:v>5.3079799999999997</c:v>
                </c:pt>
                <c:pt idx="568">
                  <c:v>5.8719600000000005</c:v>
                </c:pt>
                <c:pt idx="569">
                  <c:v>6.7330999999999994</c:v>
                </c:pt>
                <c:pt idx="570">
                  <c:v>7.3302300000000002</c:v>
                </c:pt>
                <c:pt idx="571">
                  <c:v>7.2705700000000002</c:v>
                </c:pt>
                <c:pt idx="572">
                  <c:v>7.3443800000000001</c:v>
                </c:pt>
                <c:pt idx="573">
                  <c:v>5.8044200000000004</c:v>
                </c:pt>
                <c:pt idx="574">
                  <c:v>5.7683299999999997</c:v>
                </c:pt>
                <c:pt idx="575">
                  <c:v>5.2350400000000006</c:v>
                </c:pt>
                <c:pt idx="576">
                  <c:v>5.4393399999999996</c:v>
                </c:pt>
                <c:pt idx="577">
                  <c:v>5.3797799999999993</c:v>
                </c:pt>
                <c:pt idx="578">
                  <c:v>4.8451899999999997</c:v>
                </c:pt>
                <c:pt idx="579">
                  <c:v>4.8776900000000003</c:v>
                </c:pt>
                <c:pt idx="580">
                  <c:v>4.89499</c:v>
                </c:pt>
                <c:pt idx="581">
                  <c:v>4.9530000000000003</c:v>
                </c:pt>
                <c:pt idx="582">
                  <c:v>4.6606899999999998</c:v>
                </c:pt>
                <c:pt idx="583">
                  <c:v>4.8454800000000002</c:v>
                </c:pt>
                <c:pt idx="584">
                  <c:v>4.7963800000000001</c:v>
                </c:pt>
                <c:pt idx="585">
                  <c:v>4.7115</c:v>
                </c:pt>
                <c:pt idx="586">
                  <c:v>4.7668999999999997</c:v>
                </c:pt>
                <c:pt idx="587">
                  <c:v>4.6538500000000003</c:v>
                </c:pt>
                <c:pt idx="588">
                  <c:v>4.6483999999999996</c:v>
                </c:pt>
                <c:pt idx="589">
                  <c:v>4.5536399999999997</c:v>
                </c:pt>
                <c:pt idx="590">
                  <c:v>4.7175700000000003</c:v>
                </c:pt>
                <c:pt idx="591">
                  <c:v>4.8102300000000007</c:v>
                </c:pt>
                <c:pt idx="592">
                  <c:v>4.7113300000000002</c:v>
                </c:pt>
                <c:pt idx="593">
                  <c:v>4.7191299999999998</c:v>
                </c:pt>
                <c:pt idx="594">
                  <c:v>4.7553099999999997</c:v>
                </c:pt>
                <c:pt idx="595">
                  <c:v>4.92239</c:v>
                </c:pt>
                <c:pt idx="596">
                  <c:v>4.8450799999999994</c:v>
                </c:pt>
                <c:pt idx="597">
                  <c:v>4.8450799999999994</c:v>
                </c:pt>
                <c:pt idx="598">
                  <c:v>4.8450799999999994</c:v>
                </c:pt>
                <c:pt idx="599">
                  <c:v>4.5369099999999998</c:v>
                </c:pt>
                <c:pt idx="600">
                  <c:v>4.6023000000000005</c:v>
                </c:pt>
                <c:pt idx="601">
                  <c:v>4.4922399999999998</c:v>
                </c:pt>
                <c:pt idx="602">
                  <c:v>4.633</c:v>
                </c:pt>
                <c:pt idx="603">
                  <c:v>4.81968</c:v>
                </c:pt>
                <c:pt idx="604">
                  <c:v>4.8710199999999997</c:v>
                </c:pt>
                <c:pt idx="605">
                  <c:v>4.8680200000000005</c:v>
                </c:pt>
                <c:pt idx="606">
                  <c:v>4.9539400000000002</c:v>
                </c:pt>
                <c:pt idx="607">
                  <c:v>4.8879700000000001</c:v>
                </c:pt>
                <c:pt idx="608">
                  <c:v>4.8879700000000001</c:v>
                </c:pt>
                <c:pt idx="609">
                  <c:v>4.8646799999999999</c:v>
                </c:pt>
                <c:pt idx="610">
                  <c:v>4.9358499999999994</c:v>
                </c:pt>
                <c:pt idx="611">
                  <c:v>4.9694200000000004</c:v>
                </c:pt>
                <c:pt idx="612">
                  <c:v>4.9740500000000001</c:v>
                </c:pt>
                <c:pt idx="613">
                  <c:v>5.0028100000000002</c:v>
                </c:pt>
                <c:pt idx="614">
                  <c:v>5.0216099999999999</c:v>
                </c:pt>
                <c:pt idx="615">
                  <c:v>4.97872</c:v>
                </c:pt>
                <c:pt idx="616">
                  <c:v>4.99979</c:v>
                </c:pt>
                <c:pt idx="617">
                  <c:v>4.8912200000000006</c:v>
                </c:pt>
                <c:pt idx="618">
                  <c:v>4.9671799999999999</c:v>
                </c:pt>
                <c:pt idx="619">
                  <c:v>4.8830200000000001</c:v>
                </c:pt>
                <c:pt idx="620">
                  <c:v>4.8703399999999997</c:v>
                </c:pt>
                <c:pt idx="621">
                  <c:v>4.91411</c:v>
                </c:pt>
                <c:pt idx="622">
                  <c:v>4.9119200000000003</c:v>
                </c:pt>
                <c:pt idx="623">
                  <c:v>4.8269500000000001</c:v>
                </c:pt>
                <c:pt idx="624">
                  <c:v>4.8079999999999998</c:v>
                </c:pt>
                <c:pt idx="625">
                  <c:v>4.7711800000000002</c:v>
                </c:pt>
                <c:pt idx="626">
                  <c:v>4.80823</c:v>
                </c:pt>
                <c:pt idx="627">
                  <c:v>4.8494099999999998</c:v>
                </c:pt>
                <c:pt idx="628">
                  <c:v>4.73034</c:v>
                </c:pt>
                <c:pt idx="629">
                  <c:v>4.6616600000000004</c:v>
                </c:pt>
                <c:pt idx="630">
                  <c:v>4.52942</c:v>
                </c:pt>
                <c:pt idx="631">
                  <c:v>4.52942</c:v>
                </c:pt>
                <c:pt idx="632">
                  <c:v>4.52942</c:v>
                </c:pt>
                <c:pt idx="633">
                  <c:v>4.4718099999999996</c:v>
                </c:pt>
                <c:pt idx="634">
                  <c:v>4.46922</c:v>
                </c:pt>
                <c:pt idx="635">
                  <c:v>4.44489</c:v>
                </c:pt>
                <c:pt idx="636">
                  <c:v>4.4278899999999997</c:v>
                </c:pt>
                <c:pt idx="637">
                  <c:v>4.2485999999999997</c:v>
                </c:pt>
                <c:pt idx="638">
                  <c:v>4.1894600000000004</c:v>
                </c:pt>
                <c:pt idx="639">
                  <c:v>4.1626000000000003</c:v>
                </c:pt>
                <c:pt idx="640">
                  <c:v>4.2793999999999999</c:v>
                </c:pt>
                <c:pt idx="641">
                  <c:v>4.3302899999999998</c:v>
                </c:pt>
                <c:pt idx="642">
                  <c:v>4.3345900000000004</c:v>
                </c:pt>
                <c:pt idx="643">
                  <c:v>4.3287300000000002</c:v>
                </c:pt>
                <c:pt idx="644">
                  <c:v>4.2982100000000001</c:v>
                </c:pt>
                <c:pt idx="645">
                  <c:v>4.3666499999999999</c:v>
                </c:pt>
                <c:pt idx="646">
                  <c:v>4.3913099999999998</c:v>
                </c:pt>
                <c:pt idx="647">
                  <c:v>4.4176299999999999</c:v>
                </c:pt>
                <c:pt idx="648">
                  <c:v>4.3569399999999998</c:v>
                </c:pt>
                <c:pt idx="649">
                  <c:v>4.3532500000000001</c:v>
                </c:pt>
                <c:pt idx="650">
                  <c:v>4.46258</c:v>
                </c:pt>
                <c:pt idx="651">
                  <c:v>4.5579399999999994</c:v>
                </c:pt>
                <c:pt idx="652">
                  <c:v>4.7282500000000001</c:v>
                </c:pt>
                <c:pt idx="653">
                  <c:v>4.6402600000000005</c:v>
                </c:pt>
                <c:pt idx="654">
                  <c:v>4.6088500000000003</c:v>
                </c:pt>
                <c:pt idx="655">
                  <c:v>4.5206099999999996</c:v>
                </c:pt>
                <c:pt idx="656">
                  <c:v>4.51166</c:v>
                </c:pt>
                <c:pt idx="657">
                  <c:v>4.35968</c:v>
                </c:pt>
                <c:pt idx="658">
                  <c:v>4.4263000000000003</c:v>
                </c:pt>
                <c:pt idx="659">
                  <c:v>4.4693900000000006</c:v>
                </c:pt>
                <c:pt idx="660">
                  <c:v>4.4844099999999996</c:v>
                </c:pt>
                <c:pt idx="661">
                  <c:v>4.5525000000000002</c:v>
                </c:pt>
                <c:pt idx="662">
                  <c:v>4.6111900000000006</c:v>
                </c:pt>
                <c:pt idx="663">
                  <c:v>4.5314100000000002</c:v>
                </c:pt>
                <c:pt idx="664">
                  <c:v>4.4472800000000001</c:v>
                </c:pt>
                <c:pt idx="665">
                  <c:v>4.4165799999999997</c:v>
                </c:pt>
                <c:pt idx="666">
                  <c:v>4.5224200000000003</c:v>
                </c:pt>
                <c:pt idx="667">
                  <c:v>4.4859900000000001</c:v>
                </c:pt>
                <c:pt idx="668">
                  <c:v>4.3706300000000002</c:v>
                </c:pt>
                <c:pt idx="669">
                  <c:v>4.3620100000000006</c:v>
                </c:pt>
                <c:pt idx="670">
                  <c:v>4.4206799999999999</c:v>
                </c:pt>
                <c:pt idx="671">
                  <c:v>4.4333300000000007</c:v>
                </c:pt>
                <c:pt idx="672">
                  <c:v>4.39757</c:v>
                </c:pt>
                <c:pt idx="673">
                  <c:v>4.3518299999999996</c:v>
                </c:pt>
                <c:pt idx="674">
                  <c:v>4.24057</c:v>
                </c:pt>
                <c:pt idx="675">
                  <c:v>4.3127499999999994</c:v>
                </c:pt>
                <c:pt idx="676">
                  <c:v>4.2660799999999997</c:v>
                </c:pt>
                <c:pt idx="677">
                  <c:v>4.1856499999999999</c:v>
                </c:pt>
                <c:pt idx="678">
                  <c:v>4.1425200000000002</c:v>
                </c:pt>
                <c:pt idx="679">
                  <c:v>3.9927800000000002</c:v>
                </c:pt>
                <c:pt idx="680">
                  <c:v>4.0527100000000003</c:v>
                </c:pt>
                <c:pt idx="681">
                  <c:v>3.8832499999999999</c:v>
                </c:pt>
                <c:pt idx="682">
                  <c:v>3.82803</c:v>
                </c:pt>
                <c:pt idx="683">
                  <c:v>3.8631799999999998</c:v>
                </c:pt>
                <c:pt idx="684">
                  <c:v>3.82464</c:v>
                </c:pt>
                <c:pt idx="685">
                  <c:v>3.8167800000000001</c:v>
                </c:pt>
                <c:pt idx="686">
                  <c:v>3.8443499999999999</c:v>
                </c:pt>
                <c:pt idx="687">
                  <c:v>3.7976000000000001</c:v>
                </c:pt>
                <c:pt idx="688">
                  <c:v>3.7971300000000001</c:v>
                </c:pt>
                <c:pt idx="689">
                  <c:v>3.7573899999999996</c:v>
                </c:pt>
                <c:pt idx="690">
                  <c:v>3.7897400000000001</c:v>
                </c:pt>
                <c:pt idx="691">
                  <c:v>3.6835399999999998</c:v>
                </c:pt>
                <c:pt idx="692">
                  <c:v>3.7304000000000004</c:v>
                </c:pt>
                <c:pt idx="693">
                  <c:v>3.7304000000000004</c:v>
                </c:pt>
                <c:pt idx="694">
                  <c:v>3.5608300000000002</c:v>
                </c:pt>
                <c:pt idx="695">
                  <c:v>3.4638799999999996</c:v>
                </c:pt>
                <c:pt idx="696">
                  <c:v>3.48848</c:v>
                </c:pt>
                <c:pt idx="697">
                  <c:v>3.5870299999999999</c:v>
                </c:pt>
                <c:pt idx="698">
                  <c:v>3.5916800000000002</c:v>
                </c:pt>
                <c:pt idx="699">
                  <c:v>3.4305099999999999</c:v>
                </c:pt>
                <c:pt idx="700">
                  <c:v>3.4141500000000002</c:v>
                </c:pt>
                <c:pt idx="701">
                  <c:v>3.2837499999999999</c:v>
                </c:pt>
                <c:pt idx="702">
                  <c:v>3.2463299999999999</c:v>
                </c:pt>
                <c:pt idx="703">
                  <c:v>3.2150300000000001</c:v>
                </c:pt>
                <c:pt idx="704">
                  <c:v>3.45336</c:v>
                </c:pt>
                <c:pt idx="705">
                  <c:v>3.62574</c:v>
                </c:pt>
                <c:pt idx="706">
                  <c:v>3.9643799999999998</c:v>
                </c:pt>
                <c:pt idx="707">
                  <c:v>3.9326799999999995</c:v>
                </c:pt>
                <c:pt idx="708">
                  <c:v>3.9326799999999995</c:v>
                </c:pt>
                <c:pt idx="709">
                  <c:v>3.8164600000000002</c:v>
                </c:pt>
                <c:pt idx="710">
                  <c:v>3.7705799999999998</c:v>
                </c:pt>
                <c:pt idx="711">
                  <c:v>3.6293700000000002</c:v>
                </c:pt>
                <c:pt idx="712">
                  <c:v>3.5763199999999999</c:v>
                </c:pt>
                <c:pt idx="713">
                  <c:v>3.46177</c:v>
                </c:pt>
                <c:pt idx="714">
                  <c:v>3.46861</c:v>
                </c:pt>
                <c:pt idx="715">
                  <c:v>3.9870999999999999</c:v>
                </c:pt>
                <c:pt idx="716">
                  <c:v>3.96407</c:v>
                </c:pt>
                <c:pt idx="717">
                  <c:v>3.9329199999999997</c:v>
                </c:pt>
                <c:pt idx="718">
                  <c:v>3.94563</c:v>
                </c:pt>
                <c:pt idx="719">
                  <c:v>3.8587900000000004</c:v>
                </c:pt>
                <c:pt idx="720">
                  <c:v>3.8653199999999996</c:v>
                </c:pt>
                <c:pt idx="721">
                  <c:v>3.7989600000000001</c:v>
                </c:pt>
                <c:pt idx="722">
                  <c:v>3.7475200000000002</c:v>
                </c:pt>
                <c:pt idx="723">
                  <c:v>3.7710300000000001</c:v>
                </c:pt>
                <c:pt idx="724">
                  <c:v>3.5962400000000003</c:v>
                </c:pt>
                <c:pt idx="725">
                  <c:v>3.79243</c:v>
                </c:pt>
                <c:pt idx="726">
                  <c:v>3.6772300000000002</c:v>
                </c:pt>
                <c:pt idx="727">
                  <c:v>3.57159</c:v>
                </c:pt>
                <c:pt idx="728">
                  <c:v>3.6919299999999997</c:v>
                </c:pt>
                <c:pt idx="729">
                  <c:v>3.69211</c:v>
                </c:pt>
                <c:pt idx="730">
                  <c:v>3.5519699999999998</c:v>
                </c:pt>
                <c:pt idx="731">
                  <c:v>3.5079000000000002</c:v>
                </c:pt>
                <c:pt idx="732">
                  <c:v>3.5923200000000004</c:v>
                </c:pt>
                <c:pt idx="733">
                  <c:v>3.5591899999999996</c:v>
                </c:pt>
                <c:pt idx="734">
                  <c:v>3.5898300000000001</c:v>
                </c:pt>
                <c:pt idx="735">
                  <c:v>3.5768200000000001</c:v>
                </c:pt>
                <c:pt idx="736">
                  <c:v>3.7341699999999998</c:v>
                </c:pt>
                <c:pt idx="737">
                  <c:v>3.58527</c:v>
                </c:pt>
                <c:pt idx="738">
                  <c:v>3.5190199999999998</c:v>
                </c:pt>
                <c:pt idx="739">
                  <c:v>3.4551400000000001</c:v>
                </c:pt>
                <c:pt idx="740">
                  <c:v>3.3790899999999997</c:v>
                </c:pt>
                <c:pt idx="741">
                  <c:v>3.3572000000000002</c:v>
                </c:pt>
                <c:pt idx="742">
                  <c:v>3.3740699999999997</c:v>
                </c:pt>
                <c:pt idx="743">
                  <c:v>3.2918900000000004</c:v>
                </c:pt>
                <c:pt idx="744">
                  <c:v>3.3869500000000001</c:v>
                </c:pt>
                <c:pt idx="745">
                  <c:v>3.32213</c:v>
                </c:pt>
                <c:pt idx="746">
                  <c:v>3.20729</c:v>
                </c:pt>
                <c:pt idx="747">
                  <c:v>3.0973200000000003</c:v>
                </c:pt>
                <c:pt idx="748">
                  <c:v>2.85947</c:v>
                </c:pt>
                <c:pt idx="749">
                  <c:v>2.85473</c:v>
                </c:pt>
                <c:pt idx="750">
                  <c:v>2.8479899999999998</c:v>
                </c:pt>
                <c:pt idx="751">
                  <c:v>2.8343599999999998</c:v>
                </c:pt>
                <c:pt idx="752">
                  <c:v>2.7450299999999999</c:v>
                </c:pt>
                <c:pt idx="753">
                  <c:v>2.8186399999999998</c:v>
                </c:pt>
                <c:pt idx="754">
                  <c:v>2.6558899999999999</c:v>
                </c:pt>
                <c:pt idx="755">
                  <c:v>2.62846</c:v>
                </c:pt>
                <c:pt idx="756">
                  <c:v>2.6356299999999999</c:v>
                </c:pt>
                <c:pt idx="757">
                  <c:v>2.77522</c:v>
                </c:pt>
                <c:pt idx="758">
                  <c:v>2.5997500000000002</c:v>
                </c:pt>
                <c:pt idx="759">
                  <c:v>2.5511900000000001</c:v>
                </c:pt>
                <c:pt idx="760">
                  <c:v>2.7555999999999998</c:v>
                </c:pt>
                <c:pt idx="761">
                  <c:v>2.67658</c:v>
                </c:pt>
                <c:pt idx="762">
                  <c:v>2.5124200000000001</c:v>
                </c:pt>
                <c:pt idx="763">
                  <c:v>2.3603999999999998</c:v>
                </c:pt>
                <c:pt idx="764">
                  <c:v>2.4639699999999998</c:v>
                </c:pt>
                <c:pt idx="765">
                  <c:v>2.5887500000000001</c:v>
                </c:pt>
                <c:pt idx="766">
                  <c:v>2.42483</c:v>
                </c:pt>
                <c:pt idx="767">
                  <c:v>2.3677299999999999</c:v>
                </c:pt>
                <c:pt idx="768">
                  <c:v>2.3916200000000001</c:v>
                </c:pt>
                <c:pt idx="769">
                  <c:v>2.4305500000000002</c:v>
                </c:pt>
                <c:pt idx="770">
                  <c:v>2.4143600000000003</c:v>
                </c:pt>
                <c:pt idx="771">
                  <c:v>2.3873500000000001</c:v>
                </c:pt>
                <c:pt idx="772">
                  <c:v>2.3846000000000003</c:v>
                </c:pt>
                <c:pt idx="773">
                  <c:v>2.3659400000000002</c:v>
                </c:pt>
                <c:pt idx="774">
                  <c:v>2.3226</c:v>
                </c:pt>
                <c:pt idx="775">
                  <c:v>2.40205</c:v>
                </c:pt>
                <c:pt idx="776">
                  <c:v>2.3431000000000002</c:v>
                </c:pt>
                <c:pt idx="777">
                  <c:v>2.3003999999999998</c:v>
                </c:pt>
                <c:pt idx="778">
                  <c:v>2.3003999999999998</c:v>
                </c:pt>
                <c:pt idx="779">
                  <c:v>2.3003999999999998</c:v>
                </c:pt>
                <c:pt idx="780">
                  <c:v>2.2125399999999997</c:v>
                </c:pt>
                <c:pt idx="781">
                  <c:v>2.2335199999999999</c:v>
                </c:pt>
                <c:pt idx="782">
                  <c:v>2.2377000000000002</c:v>
                </c:pt>
                <c:pt idx="783">
                  <c:v>2.2377000000000002</c:v>
                </c:pt>
                <c:pt idx="784">
                  <c:v>1.9969999999999999</c:v>
                </c:pt>
                <c:pt idx="785">
                  <c:v>1.99678</c:v>
                </c:pt>
                <c:pt idx="786">
                  <c:v>1.89533</c:v>
                </c:pt>
                <c:pt idx="787">
                  <c:v>2.0848300000000002</c:v>
                </c:pt>
                <c:pt idx="788">
                  <c:v>2.1672600000000002</c:v>
                </c:pt>
                <c:pt idx="789">
                  <c:v>2.1274100000000002</c:v>
                </c:pt>
                <c:pt idx="790">
                  <c:v>2.14541</c:v>
                </c:pt>
                <c:pt idx="791">
                  <c:v>2.2277100000000001</c:v>
                </c:pt>
                <c:pt idx="792">
                  <c:v>2.1196199999999998</c:v>
                </c:pt>
                <c:pt idx="793">
                  <c:v>2.1431299999999998</c:v>
                </c:pt>
                <c:pt idx="794">
                  <c:v>2.2817099999999999</c:v>
                </c:pt>
                <c:pt idx="795">
                  <c:v>2.30559</c:v>
                </c:pt>
                <c:pt idx="796">
                  <c:v>2.2251799999999999</c:v>
                </c:pt>
                <c:pt idx="797">
                  <c:v>2.1552699999999998</c:v>
                </c:pt>
                <c:pt idx="798">
                  <c:v>2.1135999999999999</c:v>
                </c:pt>
                <c:pt idx="799">
                  <c:v>2.0943899999999998</c:v>
                </c:pt>
                <c:pt idx="800">
                  <c:v>2.08507</c:v>
                </c:pt>
                <c:pt idx="801">
                  <c:v>2.0417700000000001</c:v>
                </c:pt>
                <c:pt idx="802">
                  <c:v>2.00502</c:v>
                </c:pt>
                <c:pt idx="803">
                  <c:v>2.0894399999999997</c:v>
                </c:pt>
                <c:pt idx="804">
                  <c:v>2.1217199999999998</c:v>
                </c:pt>
                <c:pt idx="805">
                  <c:v>2.2996500000000002</c:v>
                </c:pt>
                <c:pt idx="806">
                  <c:v>2.2386400000000002</c:v>
                </c:pt>
                <c:pt idx="807">
                  <c:v>2.0479400000000001</c:v>
                </c:pt>
                <c:pt idx="808">
                  <c:v>1.8675999999999999</c:v>
                </c:pt>
                <c:pt idx="809">
                  <c:v>1.8718000000000001</c:v>
                </c:pt>
                <c:pt idx="810">
                  <c:v>1.8996299999999999</c:v>
                </c:pt>
                <c:pt idx="811">
                  <c:v>1.8457599999999998</c:v>
                </c:pt>
                <c:pt idx="812">
                  <c:v>1.8515999999999999</c:v>
                </c:pt>
                <c:pt idx="813">
                  <c:v>1.8510800000000001</c:v>
                </c:pt>
                <c:pt idx="814">
                  <c:v>1.6919200000000001</c:v>
                </c:pt>
                <c:pt idx="815">
                  <c:v>1.80701</c:v>
                </c:pt>
                <c:pt idx="816">
                  <c:v>1.8084499999999999</c:v>
                </c:pt>
                <c:pt idx="817">
                  <c:v>1.6851799999999999</c:v>
                </c:pt>
                <c:pt idx="818">
                  <c:v>1.6893100000000001</c:v>
                </c:pt>
                <c:pt idx="819">
                  <c:v>1.6227500000000001</c:v>
                </c:pt>
                <c:pt idx="820">
                  <c:v>1.62873</c:v>
                </c:pt>
                <c:pt idx="821">
                  <c:v>1.59487</c:v>
                </c:pt>
                <c:pt idx="822">
                  <c:v>1.4855699999999998</c:v>
                </c:pt>
                <c:pt idx="823">
                  <c:v>1.5257400000000001</c:v>
                </c:pt>
                <c:pt idx="824">
                  <c:v>1.5049199999999998</c:v>
                </c:pt>
                <c:pt idx="825">
                  <c:v>1.3955600000000001</c:v>
                </c:pt>
                <c:pt idx="826">
                  <c:v>1.39439</c:v>
                </c:pt>
                <c:pt idx="827">
                  <c:v>1.4527600000000001</c:v>
                </c:pt>
                <c:pt idx="828">
                  <c:v>1.32945</c:v>
                </c:pt>
                <c:pt idx="829">
                  <c:v>1.3478800000000002</c:v>
                </c:pt>
                <c:pt idx="830">
                  <c:v>1.3125800000000001</c:v>
                </c:pt>
                <c:pt idx="831">
                  <c:v>1.44248</c:v>
                </c:pt>
                <c:pt idx="832">
                  <c:v>1.7476499999999999</c:v>
                </c:pt>
                <c:pt idx="833">
                  <c:v>2.3371900000000001</c:v>
                </c:pt>
                <c:pt idx="834">
                  <c:v>2.25156</c:v>
                </c:pt>
                <c:pt idx="835">
                  <c:v>2.3793199999999999</c:v>
                </c:pt>
                <c:pt idx="836">
                  <c:v>2.2321499999999999</c:v>
                </c:pt>
                <c:pt idx="837">
                  <c:v>2.5768599999999999</c:v>
                </c:pt>
                <c:pt idx="838">
                  <c:v>2.5384899999999999</c:v>
                </c:pt>
                <c:pt idx="839">
                  <c:v>2.3567100000000001</c:v>
                </c:pt>
                <c:pt idx="840">
                  <c:v>2.6158899999999998</c:v>
                </c:pt>
                <c:pt idx="841">
                  <c:v>2.54989</c:v>
                </c:pt>
                <c:pt idx="842">
                  <c:v>2.7187099999999997</c:v>
                </c:pt>
                <c:pt idx="843">
                  <c:v>2.5035400000000001</c:v>
                </c:pt>
                <c:pt idx="844">
                  <c:v>2.3646000000000003</c:v>
                </c:pt>
                <c:pt idx="845">
                  <c:v>2.35555</c:v>
                </c:pt>
                <c:pt idx="846">
                  <c:v>2.3212299999999999</c:v>
                </c:pt>
                <c:pt idx="847">
                  <c:v>2.3859900000000001</c:v>
                </c:pt>
                <c:pt idx="848">
                  <c:v>2.5389400000000002</c:v>
                </c:pt>
                <c:pt idx="849">
                  <c:v>2.5955500000000002</c:v>
                </c:pt>
                <c:pt idx="850">
                  <c:v>2.5293399999999999</c:v>
                </c:pt>
                <c:pt idx="851">
                  <c:v>2.5265399999999998</c:v>
                </c:pt>
                <c:pt idx="852">
                  <c:v>2.3777699999999999</c:v>
                </c:pt>
                <c:pt idx="853">
                  <c:v>2.3931</c:v>
                </c:pt>
                <c:pt idx="854">
                  <c:v>2.2418999999999998</c:v>
                </c:pt>
                <c:pt idx="855">
                  <c:v>2.3320400000000001</c:v>
                </c:pt>
                <c:pt idx="856">
                  <c:v>2.3319100000000001</c:v>
                </c:pt>
                <c:pt idx="857">
                  <c:v>2.1676699999999998</c:v>
                </c:pt>
                <c:pt idx="858">
                  <c:v>2.1005500000000001</c:v>
                </c:pt>
                <c:pt idx="859">
                  <c:v>2.0560400000000003</c:v>
                </c:pt>
                <c:pt idx="860">
                  <c:v>2.0203000000000002</c:v>
                </c:pt>
                <c:pt idx="861">
                  <c:v>2.0657000000000001</c:v>
                </c:pt>
                <c:pt idx="862">
                  <c:v>2.1111500000000003</c:v>
                </c:pt>
                <c:pt idx="863">
                  <c:v>2.1432799999999999</c:v>
                </c:pt>
                <c:pt idx="864">
                  <c:v>2.3114699999999999</c:v>
                </c:pt>
                <c:pt idx="865">
                  <c:v>2.2534899999999998</c:v>
                </c:pt>
                <c:pt idx="866">
                  <c:v>2.1094900000000001</c:v>
                </c:pt>
                <c:pt idx="867">
                  <c:v>2.1375999999999999</c:v>
                </c:pt>
                <c:pt idx="868">
                  <c:v>2.1375999999999999</c:v>
                </c:pt>
                <c:pt idx="869">
                  <c:v>2.2279300000000002</c:v>
                </c:pt>
                <c:pt idx="870">
                  <c:v>2.22573</c:v>
                </c:pt>
                <c:pt idx="871">
                  <c:v>2.3625799999999999</c:v>
                </c:pt>
                <c:pt idx="872">
                  <c:v>2.22241</c:v>
                </c:pt>
                <c:pt idx="873">
                  <c:v>2.22241</c:v>
                </c:pt>
                <c:pt idx="874">
                  <c:v>2.2092100000000001</c:v>
                </c:pt>
                <c:pt idx="875">
                  <c:v>2.35059</c:v>
                </c:pt>
                <c:pt idx="876">
                  <c:v>2.3138999999999998</c:v>
                </c:pt>
                <c:pt idx="877">
                  <c:v>2.2783600000000002</c:v>
                </c:pt>
                <c:pt idx="878">
                  <c:v>2.2831100000000002</c:v>
                </c:pt>
                <c:pt idx="879">
                  <c:v>2.2349999999999999</c:v>
                </c:pt>
                <c:pt idx="880">
                  <c:v>2.1717900000000001</c:v>
                </c:pt>
                <c:pt idx="881">
                  <c:v>2.1169500000000001</c:v>
                </c:pt>
                <c:pt idx="882">
                  <c:v>2.1372200000000001</c:v>
                </c:pt>
                <c:pt idx="883">
                  <c:v>2.0951300000000002</c:v>
                </c:pt>
                <c:pt idx="884">
                  <c:v>2.17014</c:v>
                </c:pt>
                <c:pt idx="885">
                  <c:v>2.11253</c:v>
                </c:pt>
                <c:pt idx="886">
                  <c:v>1.9791099999999999</c:v>
                </c:pt>
                <c:pt idx="887">
                  <c:v>1.9922399999999998</c:v>
                </c:pt>
                <c:pt idx="888">
                  <c:v>1.9922399999999998</c:v>
                </c:pt>
                <c:pt idx="889">
                  <c:v>2.0743399999999999</c:v>
                </c:pt>
                <c:pt idx="890">
                  <c:v>2.1391800000000001</c:v>
                </c:pt>
                <c:pt idx="891">
                  <c:v>2.13693</c:v>
                </c:pt>
                <c:pt idx="892">
                  <c:v>1.97041</c:v>
                </c:pt>
                <c:pt idx="893">
                  <c:v>2.0316100000000001</c:v>
                </c:pt>
                <c:pt idx="894">
                  <c:v>1.9411</c:v>
                </c:pt>
                <c:pt idx="895">
                  <c:v>1.9540600000000001</c:v>
                </c:pt>
                <c:pt idx="896">
                  <c:v>1.9916100000000001</c:v>
                </c:pt>
                <c:pt idx="897">
                  <c:v>1.9021399999999999</c:v>
                </c:pt>
                <c:pt idx="898">
                  <c:v>1.93882</c:v>
                </c:pt>
                <c:pt idx="899">
                  <c:v>1.84202</c:v>
                </c:pt>
                <c:pt idx="900">
                  <c:v>1.8132499999999998</c:v>
                </c:pt>
                <c:pt idx="901">
                  <c:v>1.8322000000000001</c:v>
                </c:pt>
                <c:pt idx="902">
                  <c:v>1.70804</c:v>
                </c:pt>
                <c:pt idx="903">
                  <c:v>1.76183</c:v>
                </c:pt>
                <c:pt idx="904">
                  <c:v>1.79159</c:v>
                </c:pt>
                <c:pt idx="905">
                  <c:v>1.75613</c:v>
                </c:pt>
                <c:pt idx="906">
                  <c:v>1.6166800000000001</c:v>
                </c:pt>
                <c:pt idx="907">
                  <c:v>1.6550399999999998</c:v>
                </c:pt>
                <c:pt idx="908">
                  <c:v>1.6332300000000002</c:v>
                </c:pt>
                <c:pt idx="909">
                  <c:v>1.5683400000000001</c:v>
                </c:pt>
                <c:pt idx="910">
                  <c:v>1.6148899999999999</c:v>
                </c:pt>
                <c:pt idx="911">
                  <c:v>1.45377</c:v>
                </c:pt>
                <c:pt idx="912">
                  <c:v>1.4100600000000001</c:v>
                </c:pt>
                <c:pt idx="913">
                  <c:v>1.3799700000000001</c:v>
                </c:pt>
                <c:pt idx="914">
                  <c:v>1.4006100000000001</c:v>
                </c:pt>
                <c:pt idx="915">
                  <c:v>1.4844200000000001</c:v>
                </c:pt>
                <c:pt idx="916">
                  <c:v>1.46669</c:v>
                </c:pt>
                <c:pt idx="917">
                  <c:v>1.5210300000000001</c:v>
                </c:pt>
                <c:pt idx="918">
                  <c:v>1.5804800000000001</c:v>
                </c:pt>
                <c:pt idx="919">
                  <c:v>1.4726599999999999</c:v>
                </c:pt>
                <c:pt idx="920">
                  <c:v>1.6177600000000001</c:v>
                </c:pt>
                <c:pt idx="921">
                  <c:v>1.74884</c:v>
                </c:pt>
                <c:pt idx="922">
                  <c:v>1.7351400000000001</c:v>
                </c:pt>
                <c:pt idx="923">
                  <c:v>1.7187299999999999</c:v>
                </c:pt>
                <c:pt idx="924">
                  <c:v>1.7077600000000002</c:v>
                </c:pt>
                <c:pt idx="925">
                  <c:v>1.7209899999999998</c:v>
                </c:pt>
                <c:pt idx="926">
                  <c:v>1.6178299999999999</c:v>
                </c:pt>
                <c:pt idx="927">
                  <c:v>1.6161300000000001</c:v>
                </c:pt>
                <c:pt idx="928">
                  <c:v>1.56725</c:v>
                </c:pt>
                <c:pt idx="929">
                  <c:v>1.5305000000000002</c:v>
                </c:pt>
                <c:pt idx="930">
                  <c:v>1.5392300000000001</c:v>
                </c:pt>
                <c:pt idx="931">
                  <c:v>1.3413999999999999</c:v>
                </c:pt>
                <c:pt idx="932">
                  <c:v>1.5053999999999998</c:v>
                </c:pt>
                <c:pt idx="933">
                  <c:v>1.5178800000000001</c:v>
                </c:pt>
                <c:pt idx="934">
                  <c:v>1.5349600000000001</c:v>
                </c:pt>
                <c:pt idx="935">
                  <c:v>1.56795</c:v>
                </c:pt>
                <c:pt idx="936">
                  <c:v>1.5903999999999998</c:v>
                </c:pt>
                <c:pt idx="937">
                  <c:v>1.71285</c:v>
                </c:pt>
                <c:pt idx="938">
                  <c:v>1.71149</c:v>
                </c:pt>
                <c:pt idx="939">
                  <c:v>1.6351100000000001</c:v>
                </c:pt>
                <c:pt idx="940">
                  <c:v>1.6718600000000001</c:v>
                </c:pt>
                <c:pt idx="941">
                  <c:v>1.6204799999999999</c:v>
                </c:pt>
                <c:pt idx="942">
                  <c:v>1.5686000000000002</c:v>
                </c:pt>
                <c:pt idx="943">
                  <c:v>1.5204599999999999</c:v>
                </c:pt>
                <c:pt idx="944">
                  <c:v>1.58805</c:v>
                </c:pt>
                <c:pt idx="945">
                  <c:v>1.5050700000000001</c:v>
                </c:pt>
                <c:pt idx="946">
                  <c:v>1.49525</c:v>
                </c:pt>
                <c:pt idx="947">
                  <c:v>1.49346</c:v>
                </c:pt>
                <c:pt idx="948">
                  <c:v>1.4870400000000001</c:v>
                </c:pt>
                <c:pt idx="949">
                  <c:v>1.4975999999999998</c:v>
                </c:pt>
                <c:pt idx="950">
                  <c:v>1.52488</c:v>
                </c:pt>
                <c:pt idx="951">
                  <c:v>1.4992699999999999</c:v>
                </c:pt>
                <c:pt idx="952">
                  <c:v>1.4597800000000001</c:v>
                </c:pt>
                <c:pt idx="953">
                  <c:v>1.4597800000000001</c:v>
                </c:pt>
                <c:pt idx="954">
                  <c:v>1.5727199999999999</c:v>
                </c:pt>
                <c:pt idx="955">
                  <c:v>1.5208699999999999</c:v>
                </c:pt>
                <c:pt idx="956">
                  <c:v>1.54017</c:v>
                </c:pt>
                <c:pt idx="957">
                  <c:v>1.4851599999999998</c:v>
                </c:pt>
                <c:pt idx="958">
                  <c:v>1.6587100000000001</c:v>
                </c:pt>
                <c:pt idx="959">
                  <c:v>1.56507</c:v>
                </c:pt>
                <c:pt idx="960">
                  <c:v>1.5261899999999999</c:v>
                </c:pt>
                <c:pt idx="961">
                  <c:v>1.5871000000000002</c:v>
                </c:pt>
                <c:pt idx="962">
                  <c:v>1.5389900000000001</c:v>
                </c:pt>
                <c:pt idx="963">
                  <c:v>1.6329900000000002</c:v>
                </c:pt>
                <c:pt idx="964">
                  <c:v>2.0573800000000002</c:v>
                </c:pt>
                <c:pt idx="965">
                  <c:v>2.1379299999999999</c:v>
                </c:pt>
                <c:pt idx="966">
                  <c:v>1.9938399999999998</c:v>
                </c:pt>
                <c:pt idx="967">
                  <c:v>2.0296400000000001</c:v>
                </c:pt>
                <c:pt idx="968">
                  <c:v>0.7419</c:v>
                </c:pt>
                <c:pt idx="969">
                  <c:v>0.99584000000000006</c:v>
                </c:pt>
                <c:pt idx="970">
                  <c:v>0.85497000000000001</c:v>
                </c:pt>
                <c:pt idx="971">
                  <c:v>0.96111000000000002</c:v>
                </c:pt>
                <c:pt idx="972">
                  <c:v>1.0546500000000001</c:v>
                </c:pt>
                <c:pt idx="973">
                  <c:v>1.0932899999999999</c:v>
                </c:pt>
                <c:pt idx="974">
                  <c:v>1.0847199999999999</c:v>
                </c:pt>
                <c:pt idx="975">
                  <c:v>1.0547499999999999</c:v>
                </c:pt>
                <c:pt idx="976">
                  <c:v>1.2376199999999999</c:v>
                </c:pt>
                <c:pt idx="977">
                  <c:v>1.0532299999999999</c:v>
                </c:pt>
                <c:pt idx="978">
                  <c:v>1.0868899999999999</c:v>
                </c:pt>
                <c:pt idx="979">
                  <c:v>1.1473199999999999</c:v>
                </c:pt>
                <c:pt idx="980">
                  <c:v>1.4805299999999999</c:v>
                </c:pt>
                <c:pt idx="981">
                  <c:v>1.2542800000000001</c:v>
                </c:pt>
                <c:pt idx="982">
                  <c:v>1.2853899999999998</c:v>
                </c:pt>
                <c:pt idx="983">
                  <c:v>1.3524100000000001</c:v>
                </c:pt>
                <c:pt idx="984">
                  <c:v>1.3843299999999998</c:v>
                </c:pt>
                <c:pt idx="985">
                  <c:v>1.37578</c:v>
                </c:pt>
                <c:pt idx="986">
                  <c:v>1.1779900000000001</c:v>
                </c:pt>
                <c:pt idx="987">
                  <c:v>1.19512</c:v>
                </c:pt>
                <c:pt idx="988">
                  <c:v>1.3368100000000001</c:v>
                </c:pt>
                <c:pt idx="989">
                  <c:v>1.2676000000000001</c:v>
                </c:pt>
                <c:pt idx="990">
                  <c:v>1.2613399999999999</c:v>
                </c:pt>
                <c:pt idx="991">
                  <c:v>1.2858099999999999</c:v>
                </c:pt>
                <c:pt idx="992">
                  <c:v>1.3553600000000001</c:v>
                </c:pt>
                <c:pt idx="993">
                  <c:v>1.34981</c:v>
                </c:pt>
                <c:pt idx="994">
                  <c:v>1.3144</c:v>
                </c:pt>
                <c:pt idx="995">
                  <c:v>1.2546200000000001</c:v>
                </c:pt>
                <c:pt idx="996">
                  <c:v>1.3156700000000001</c:v>
                </c:pt>
                <c:pt idx="997">
                  <c:v>1.3091900000000001</c:v>
                </c:pt>
                <c:pt idx="998">
                  <c:v>1.2598199999999999</c:v>
                </c:pt>
                <c:pt idx="999">
                  <c:v>1.25119</c:v>
                </c:pt>
                <c:pt idx="1000">
                  <c:v>1.36053</c:v>
                </c:pt>
                <c:pt idx="1001">
                  <c:v>1.27535</c:v>
                </c:pt>
                <c:pt idx="1002">
                  <c:v>1.08965</c:v>
                </c:pt>
                <c:pt idx="1003">
                  <c:v>1.29423</c:v>
                </c:pt>
                <c:pt idx="1004">
                  <c:v>1.3226900000000001</c:v>
                </c:pt>
                <c:pt idx="1005">
                  <c:v>1.1595500000000001</c:v>
                </c:pt>
                <c:pt idx="1006">
                  <c:v>1.1643999999999999</c:v>
                </c:pt>
                <c:pt idx="1007">
                  <c:v>1.16814</c:v>
                </c:pt>
                <c:pt idx="1008">
                  <c:v>1.18794</c:v>
                </c:pt>
                <c:pt idx="1009">
                  <c:v>1.2400599999999999</c:v>
                </c:pt>
                <c:pt idx="1010">
                  <c:v>1.13357</c:v>
                </c:pt>
                <c:pt idx="1011">
                  <c:v>1.19974</c:v>
                </c:pt>
                <c:pt idx="1012">
                  <c:v>1.0817300000000001</c:v>
                </c:pt>
                <c:pt idx="1013">
                  <c:v>1.06036</c:v>
                </c:pt>
                <c:pt idx="1014">
                  <c:v>1.0293000000000001</c:v>
                </c:pt>
                <c:pt idx="1015">
                  <c:v>1.1387499999999999</c:v>
                </c:pt>
                <c:pt idx="1016">
                  <c:v>1.1094599999999999</c:v>
                </c:pt>
                <c:pt idx="1017">
                  <c:v>1.0177800000000001</c:v>
                </c:pt>
                <c:pt idx="1018">
                  <c:v>1.02382</c:v>
                </c:pt>
                <c:pt idx="1019">
                  <c:v>1.12262</c:v>
                </c:pt>
                <c:pt idx="1020">
                  <c:v>1.23203</c:v>
                </c:pt>
                <c:pt idx="1021">
                  <c:v>1.2012499999999999</c:v>
                </c:pt>
                <c:pt idx="1022">
                  <c:v>1.32846</c:v>
                </c:pt>
                <c:pt idx="1023">
                  <c:v>1.2849999999999999</c:v>
                </c:pt>
                <c:pt idx="1024">
                  <c:v>1.1767400000000001</c:v>
                </c:pt>
                <c:pt idx="1025">
                  <c:v>1.3011200000000001</c:v>
                </c:pt>
                <c:pt idx="1026">
                  <c:v>1.3479099999999999</c:v>
                </c:pt>
                <c:pt idx="1027">
                  <c:v>1.2437800000000001</c:v>
                </c:pt>
                <c:pt idx="1028">
                  <c:v>1.23563</c:v>
                </c:pt>
                <c:pt idx="1029">
                  <c:v>1.0203800000000001</c:v>
                </c:pt>
                <c:pt idx="1030">
                  <c:v>1.21401</c:v>
                </c:pt>
                <c:pt idx="1031">
                  <c:v>1.4233000000000002</c:v>
                </c:pt>
                <c:pt idx="1032">
                  <c:v>1.2184999999999999</c:v>
                </c:pt>
                <c:pt idx="1033">
                  <c:v>1.1557200000000001</c:v>
                </c:pt>
                <c:pt idx="1034">
                  <c:v>1.1705300000000001</c:v>
                </c:pt>
                <c:pt idx="1035">
                  <c:v>1.1777</c:v>
                </c:pt>
                <c:pt idx="1036">
                  <c:v>1.1777</c:v>
                </c:pt>
                <c:pt idx="1037">
                  <c:v>1.1777</c:v>
                </c:pt>
                <c:pt idx="1038">
                  <c:v>1.1777</c:v>
                </c:pt>
                <c:pt idx="1039">
                  <c:v>1.1777</c:v>
                </c:pt>
                <c:pt idx="1040">
                  <c:v>1.2272700000000001</c:v>
                </c:pt>
                <c:pt idx="1041">
                  <c:v>1.19746</c:v>
                </c:pt>
                <c:pt idx="1042">
                  <c:v>1.19302</c:v>
                </c:pt>
                <c:pt idx="1043">
                  <c:v>1.19302</c:v>
                </c:pt>
                <c:pt idx="1044">
                  <c:v>1.3144399999999998</c:v>
                </c:pt>
                <c:pt idx="1045">
                  <c:v>1.3519099999999999</c:v>
                </c:pt>
                <c:pt idx="1046">
                  <c:v>1.35751</c:v>
                </c:pt>
                <c:pt idx="1047">
                  <c:v>1.4387799999999999</c:v>
                </c:pt>
                <c:pt idx="1048">
                  <c:v>1.4872000000000001</c:v>
                </c:pt>
                <c:pt idx="1049">
                  <c:v>1.4639500000000001</c:v>
                </c:pt>
                <c:pt idx="1050">
                  <c:v>1.4628299999999999</c:v>
                </c:pt>
                <c:pt idx="1051">
                  <c:v>1.659</c:v>
                </c:pt>
                <c:pt idx="1052">
                  <c:v>1.63907</c:v>
                </c:pt>
                <c:pt idx="1053">
                  <c:v>1.7479900000000002</c:v>
                </c:pt>
                <c:pt idx="1054">
                  <c:v>1.50017</c:v>
                </c:pt>
                <c:pt idx="1055">
                  <c:v>1.5399799999999999</c:v>
                </c:pt>
                <c:pt idx="1056">
                  <c:v>1.5380500000000001</c:v>
                </c:pt>
                <c:pt idx="1057">
                  <c:v>1.39697</c:v>
                </c:pt>
                <c:pt idx="1058">
                  <c:v>1.3916900000000001</c:v>
                </c:pt>
                <c:pt idx="1059">
                  <c:v>1.51</c:v>
                </c:pt>
                <c:pt idx="1060">
                  <c:v>1.36612</c:v>
                </c:pt>
                <c:pt idx="1061">
                  <c:v>1.44441</c:v>
                </c:pt>
                <c:pt idx="1062">
                  <c:v>1.3520699999999999</c:v>
                </c:pt>
                <c:pt idx="1063">
                  <c:v>1.44862</c:v>
                </c:pt>
                <c:pt idx="1064">
                  <c:v>1.5212000000000001</c:v>
                </c:pt>
                <c:pt idx="1065">
                  <c:v>1.65368</c:v>
                </c:pt>
                <c:pt idx="1066">
                  <c:v>1.6582599999999998</c:v>
                </c:pt>
                <c:pt idx="1067">
                  <c:v>1.4966999999999999</c:v>
                </c:pt>
                <c:pt idx="1068">
                  <c:v>1.47662</c:v>
                </c:pt>
                <c:pt idx="1069">
                  <c:v>1.4610300000000001</c:v>
                </c:pt>
                <c:pt idx="1070">
                  <c:v>1.4267300000000001</c:v>
                </c:pt>
                <c:pt idx="1071">
                  <c:v>1.49943</c:v>
                </c:pt>
                <c:pt idx="1072">
                  <c:v>1.4545300000000001</c:v>
                </c:pt>
                <c:pt idx="1073">
                  <c:v>1.4742599999999999</c:v>
                </c:pt>
                <c:pt idx="1074">
                  <c:v>1.3909899999999999</c:v>
                </c:pt>
                <c:pt idx="1075">
                  <c:v>1.3472999999999999</c:v>
                </c:pt>
                <c:pt idx="1076">
                  <c:v>1.4557200000000001</c:v>
                </c:pt>
                <c:pt idx="1077">
                  <c:v>1.26718</c:v>
                </c:pt>
                <c:pt idx="1078">
                  <c:v>1.2948500000000001</c:v>
                </c:pt>
                <c:pt idx="1079">
                  <c:v>1.42096</c:v>
                </c:pt>
                <c:pt idx="1080">
                  <c:v>1.20835</c:v>
                </c:pt>
                <c:pt idx="1081">
                  <c:v>1.1905700000000001</c:v>
                </c:pt>
                <c:pt idx="1082">
                  <c:v>1.3436900000000001</c:v>
                </c:pt>
                <c:pt idx="1083">
                  <c:v>1.19618</c:v>
                </c:pt>
                <c:pt idx="1084">
                  <c:v>1.3076699999999999</c:v>
                </c:pt>
                <c:pt idx="1085">
                  <c:v>1.23116</c:v>
                </c:pt>
                <c:pt idx="1086">
                  <c:v>1.3412799999999998</c:v>
                </c:pt>
                <c:pt idx="1087">
                  <c:v>1.44719</c:v>
                </c:pt>
                <c:pt idx="1088">
                  <c:v>1.2382299999999999</c:v>
                </c:pt>
                <c:pt idx="1089">
                  <c:v>1.4058299999999999</c:v>
                </c:pt>
                <c:pt idx="1090">
                  <c:v>1.2781</c:v>
                </c:pt>
                <c:pt idx="1091">
                  <c:v>1.4124100000000002</c:v>
                </c:pt>
                <c:pt idx="1092">
                  <c:v>1.4308699999999999</c:v>
                </c:pt>
                <c:pt idx="1093">
                  <c:v>1.47909</c:v>
                </c:pt>
                <c:pt idx="1094">
                  <c:v>1.3977199999999999</c:v>
                </c:pt>
                <c:pt idx="1095">
                  <c:v>1.3874600000000001</c:v>
                </c:pt>
                <c:pt idx="1096">
                  <c:v>1.4125999999999999</c:v>
                </c:pt>
                <c:pt idx="1097">
                  <c:v>1.47471</c:v>
                </c:pt>
                <c:pt idx="1098">
                  <c:v>1.4231800000000001</c:v>
                </c:pt>
                <c:pt idx="1099">
                  <c:v>1.4127099999999999</c:v>
                </c:pt>
                <c:pt idx="1100">
                  <c:v>1.4692599999999998</c:v>
                </c:pt>
                <c:pt idx="1101">
                  <c:v>1.3837899999999999</c:v>
                </c:pt>
                <c:pt idx="1102">
                  <c:v>1.2451699999999999</c:v>
                </c:pt>
                <c:pt idx="1103">
                  <c:v>1.2754799999999999</c:v>
                </c:pt>
                <c:pt idx="1104">
                  <c:v>1.1565399999999999</c:v>
                </c:pt>
                <c:pt idx="1105">
                  <c:v>1.15282</c:v>
                </c:pt>
                <c:pt idx="1106">
                  <c:v>1.23478</c:v>
                </c:pt>
                <c:pt idx="1107">
                  <c:v>1.23478</c:v>
                </c:pt>
                <c:pt idx="1108">
                  <c:v>1.23478</c:v>
                </c:pt>
                <c:pt idx="1109">
                  <c:v>1.2408399999999999</c:v>
                </c:pt>
                <c:pt idx="1110">
                  <c:v>1.3523099999999999</c:v>
                </c:pt>
                <c:pt idx="1111">
                  <c:v>1.2804599999999999</c:v>
                </c:pt>
                <c:pt idx="1112">
                  <c:v>1.38026</c:v>
                </c:pt>
                <c:pt idx="1113">
                  <c:v>1.17215</c:v>
                </c:pt>
                <c:pt idx="1114">
                  <c:v>1.2040500000000001</c:v>
                </c:pt>
                <c:pt idx="1115">
                  <c:v>1.02077</c:v>
                </c:pt>
                <c:pt idx="1116">
                  <c:v>1.1731100000000001</c:v>
                </c:pt>
                <c:pt idx="1117">
                  <c:v>1.14198</c:v>
                </c:pt>
                <c:pt idx="1118">
                  <c:v>1.1057999999999999</c:v>
                </c:pt>
                <c:pt idx="1119">
                  <c:v>1.0576099999999999</c:v>
                </c:pt>
                <c:pt idx="1120">
                  <c:v>1.1103000000000001</c:v>
                </c:pt>
                <c:pt idx="1121">
                  <c:v>1.02898</c:v>
                </c:pt>
                <c:pt idx="1122">
                  <c:v>1.0618799999999999</c:v>
                </c:pt>
                <c:pt idx="1123">
                  <c:v>1.1773499999999999</c:v>
                </c:pt>
                <c:pt idx="1124">
                  <c:v>1.2579400000000001</c:v>
                </c:pt>
                <c:pt idx="1125">
                  <c:v>1.2406600000000001</c:v>
                </c:pt>
                <c:pt idx="1126">
                  <c:v>1.2348000000000001</c:v>
                </c:pt>
                <c:pt idx="1127">
                  <c:v>1.2321599999999999</c:v>
                </c:pt>
                <c:pt idx="1128">
                  <c:v>1.2465999999999999</c:v>
                </c:pt>
                <c:pt idx="1129">
                  <c:v>1.0526500000000001</c:v>
                </c:pt>
                <c:pt idx="1130">
                  <c:v>1.24512</c:v>
                </c:pt>
                <c:pt idx="1131">
                  <c:v>1.3372300000000001</c:v>
                </c:pt>
                <c:pt idx="1132">
                  <c:v>1.2804499999999999</c:v>
                </c:pt>
                <c:pt idx="1133">
                  <c:v>1.2804499999999999</c:v>
                </c:pt>
                <c:pt idx="1134">
                  <c:v>1.0917400000000002</c:v>
                </c:pt>
                <c:pt idx="1135">
                  <c:v>1.1691800000000001</c:v>
                </c:pt>
                <c:pt idx="1136">
                  <c:v>1.0343200000000001</c:v>
                </c:pt>
                <c:pt idx="1137">
                  <c:v>0.96445999999999998</c:v>
                </c:pt>
                <c:pt idx="1138">
                  <c:v>1.2385899999999999</c:v>
                </c:pt>
                <c:pt idx="1139">
                  <c:v>1.16096</c:v>
                </c:pt>
                <c:pt idx="1140">
                  <c:v>1.17357</c:v>
                </c:pt>
                <c:pt idx="1141">
                  <c:v>0.85061999999999993</c:v>
                </c:pt>
                <c:pt idx="1142">
                  <c:v>0.93429000000000006</c:v>
                </c:pt>
                <c:pt idx="1143">
                  <c:v>1.0283100000000001</c:v>
                </c:pt>
                <c:pt idx="1144">
                  <c:v>1.05725</c:v>
                </c:pt>
                <c:pt idx="1145">
                  <c:v>1.11721</c:v>
                </c:pt>
                <c:pt idx="1146">
                  <c:v>0.95177999999999996</c:v>
                </c:pt>
                <c:pt idx="1147">
                  <c:v>0.90873999999999999</c:v>
                </c:pt>
                <c:pt idx="1148">
                  <c:v>0.90873999999999999</c:v>
                </c:pt>
                <c:pt idx="1149">
                  <c:v>0.67957999999999996</c:v>
                </c:pt>
                <c:pt idx="1150">
                  <c:v>1.3030600000000001</c:v>
                </c:pt>
                <c:pt idx="1151">
                  <c:v>1.2216100000000001</c:v>
                </c:pt>
                <c:pt idx="1152">
                  <c:v>0.97158</c:v>
                </c:pt>
                <c:pt idx="1153">
                  <c:v>1.2534000000000001</c:v>
                </c:pt>
                <c:pt idx="1154">
                  <c:v>1.1399599999999999</c:v>
                </c:pt>
                <c:pt idx="1155">
                  <c:v>1.3239699999999999</c:v>
                </c:pt>
                <c:pt idx="1156">
                  <c:v>0.99980000000000002</c:v>
                </c:pt>
                <c:pt idx="1157">
                  <c:v>1.1715800000000001</c:v>
                </c:pt>
                <c:pt idx="1158">
                  <c:v>1.16222</c:v>
                </c:pt>
                <c:pt idx="1159">
                  <c:v>0.95067999999999997</c:v>
                </c:pt>
                <c:pt idx="1160">
                  <c:v>1.3394900000000001</c:v>
                </c:pt>
                <c:pt idx="1161">
                  <c:v>1.2626999999999999</c:v>
                </c:pt>
                <c:pt idx="1162">
                  <c:v>1.2468600000000001</c:v>
                </c:pt>
                <c:pt idx="1163">
                  <c:v>1.3355600000000001</c:v>
                </c:pt>
                <c:pt idx="1164">
                  <c:v>1.38808</c:v>
                </c:pt>
              </c:numCache>
            </c:numRef>
          </c:val>
          <c:smooth val="0"/>
          <c:extLst>
            <c:ext xmlns:c16="http://schemas.microsoft.com/office/drawing/2014/chart" uri="{C3380CC4-5D6E-409C-BE32-E72D297353CC}">
              <c16:uniqueId val="{00000000-5560-4D07-B97F-4AA9E95DFDA5}"/>
            </c:ext>
          </c:extLst>
        </c:ser>
        <c:ser>
          <c:idx val="1"/>
          <c:order val="1"/>
          <c:tx>
            <c:strRef>
              <c:f>Sheet1!$C$1</c:f>
              <c:strCache>
                <c:ptCount val="1"/>
                <c:pt idx="0">
                  <c:v>Ռուսաստան (2026թ.)</c:v>
                </c:pt>
              </c:strCache>
            </c:strRef>
          </c:tx>
          <c:spPr>
            <a:ln w="19050" cap="rnd">
              <a:solidFill>
                <a:schemeClr val="accent2"/>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Sheet1!$C$2:$C$1428</c:f>
              <c:numCache>
                <c:formatCode>0</c:formatCode>
                <c:ptCount val="1166"/>
                <c:pt idx="0">
                  <c:v>0.82061000000000006</c:v>
                </c:pt>
                <c:pt idx="1">
                  <c:v>1.0876300000000001</c:v>
                </c:pt>
                <c:pt idx="2">
                  <c:v>1.2008000000000001</c:v>
                </c:pt>
                <c:pt idx="3">
                  <c:v>1.1994899999999999</c:v>
                </c:pt>
                <c:pt idx="4">
                  <c:v>1.17744</c:v>
                </c:pt>
                <c:pt idx="5">
                  <c:v>1.1215000000000002</c:v>
                </c:pt>
                <c:pt idx="6">
                  <c:v>1.10171</c:v>
                </c:pt>
                <c:pt idx="7">
                  <c:v>1.11198</c:v>
                </c:pt>
                <c:pt idx="8">
                  <c:v>1.06521</c:v>
                </c:pt>
                <c:pt idx="9">
                  <c:v>1.0829600000000001</c:v>
                </c:pt>
                <c:pt idx="10">
                  <c:v>1.09016</c:v>
                </c:pt>
                <c:pt idx="11">
                  <c:v>1.06575</c:v>
                </c:pt>
                <c:pt idx="12">
                  <c:v>1.05986</c:v>
                </c:pt>
                <c:pt idx="13">
                  <c:v>1.05986</c:v>
                </c:pt>
                <c:pt idx="14">
                  <c:v>1.08565</c:v>
                </c:pt>
                <c:pt idx="15">
                  <c:v>1.0815000000000001</c:v>
                </c:pt>
                <c:pt idx="16">
                  <c:v>1.1012999999999999</c:v>
                </c:pt>
                <c:pt idx="17">
                  <c:v>1.1244799999999999</c:v>
                </c:pt>
                <c:pt idx="18">
                  <c:v>1.1867799999999999</c:v>
                </c:pt>
                <c:pt idx="19">
                  <c:v>1.1382299999999999</c:v>
                </c:pt>
                <c:pt idx="20">
                  <c:v>1.15707</c:v>
                </c:pt>
                <c:pt idx="21">
                  <c:v>1.13344</c:v>
                </c:pt>
                <c:pt idx="22">
                  <c:v>1.16001</c:v>
                </c:pt>
                <c:pt idx="23">
                  <c:v>1.1695500000000001</c:v>
                </c:pt>
                <c:pt idx="24">
                  <c:v>1.14567</c:v>
                </c:pt>
                <c:pt idx="25">
                  <c:v>1.1213500000000001</c:v>
                </c:pt>
                <c:pt idx="26">
                  <c:v>1.1170499999999999</c:v>
                </c:pt>
                <c:pt idx="27">
                  <c:v>1.1821899999999999</c:v>
                </c:pt>
                <c:pt idx="28">
                  <c:v>1.1879600000000001</c:v>
                </c:pt>
                <c:pt idx="29">
                  <c:v>1.0773200000000001</c:v>
                </c:pt>
                <c:pt idx="30">
                  <c:v>1.05301</c:v>
                </c:pt>
                <c:pt idx="31">
                  <c:v>1.0467900000000001</c:v>
                </c:pt>
                <c:pt idx="32">
                  <c:v>1.05159</c:v>
                </c:pt>
                <c:pt idx="33">
                  <c:v>1.05159</c:v>
                </c:pt>
                <c:pt idx="34">
                  <c:v>1.0740000000000001</c:v>
                </c:pt>
                <c:pt idx="35">
                  <c:v>1.0536700000000001</c:v>
                </c:pt>
                <c:pt idx="36">
                  <c:v>1.0719799999999999</c:v>
                </c:pt>
                <c:pt idx="37">
                  <c:v>1.0726599999999999</c:v>
                </c:pt>
                <c:pt idx="38">
                  <c:v>1.0992600000000001</c:v>
                </c:pt>
                <c:pt idx="39">
                  <c:v>1.1727099999999999</c:v>
                </c:pt>
                <c:pt idx="40">
                  <c:v>1.21529</c:v>
                </c:pt>
                <c:pt idx="41">
                  <c:v>1.3344300000000002</c:v>
                </c:pt>
                <c:pt idx="42">
                  <c:v>1.60443</c:v>
                </c:pt>
                <c:pt idx="43">
                  <c:v>1.61947</c:v>
                </c:pt>
                <c:pt idx="44">
                  <c:v>1.6208500000000001</c:v>
                </c:pt>
                <c:pt idx="45">
                  <c:v>1.49631</c:v>
                </c:pt>
                <c:pt idx="46">
                  <c:v>1.57457</c:v>
                </c:pt>
                <c:pt idx="47">
                  <c:v>1.6858199999999999</c:v>
                </c:pt>
                <c:pt idx="48">
                  <c:v>2.17659</c:v>
                </c:pt>
                <c:pt idx="49">
                  <c:v>2.01058</c:v>
                </c:pt>
                <c:pt idx="50">
                  <c:v>2.02963</c:v>
                </c:pt>
                <c:pt idx="51">
                  <c:v>2.53898</c:v>
                </c:pt>
                <c:pt idx="52">
                  <c:v>2.50467</c:v>
                </c:pt>
                <c:pt idx="53">
                  <c:v>2.99831</c:v>
                </c:pt>
                <c:pt idx="54">
                  <c:v>2.8975</c:v>
                </c:pt>
                <c:pt idx="55">
                  <c:v>3.6361300000000001</c:v>
                </c:pt>
                <c:pt idx="56">
                  <c:v>3.9913799999999999</c:v>
                </c:pt>
                <c:pt idx="57">
                  <c:v>3.8349000000000002</c:v>
                </c:pt>
                <c:pt idx="58">
                  <c:v>3.9763900000000003</c:v>
                </c:pt>
                <c:pt idx="59">
                  <c:v>3.3282299999999996</c:v>
                </c:pt>
                <c:pt idx="60">
                  <c:v>3.1078199999999998</c:v>
                </c:pt>
                <c:pt idx="61">
                  <c:v>2.8591699999999998</c:v>
                </c:pt>
                <c:pt idx="62">
                  <c:v>3.0534300000000001</c:v>
                </c:pt>
                <c:pt idx="63">
                  <c:v>3.3071499999999996</c:v>
                </c:pt>
                <c:pt idx="64" formatCode="0.00">
                  <c:v>3.1638500000000001</c:v>
                </c:pt>
                <c:pt idx="65" formatCode="0.00">
                  <c:v>3.1924900000000003</c:v>
                </c:pt>
                <c:pt idx="66" formatCode="0.00">
                  <c:v>3.0995699999999999</c:v>
                </c:pt>
                <c:pt idx="67" formatCode="0.00">
                  <c:v>2.8056900000000002</c:v>
                </c:pt>
                <c:pt idx="68" formatCode="0.00">
                  <c:v>2.6177600000000001</c:v>
                </c:pt>
                <c:pt idx="69" formatCode="0.00">
                  <c:v>2.4544800000000002</c:v>
                </c:pt>
                <c:pt idx="70" formatCode="0.00">
                  <c:v>2.5413900000000003</c:v>
                </c:pt>
                <c:pt idx="71" formatCode="0.00">
                  <c:v>2.4632700000000001</c:v>
                </c:pt>
                <c:pt idx="72" formatCode="0.00">
                  <c:v>2.4632700000000001</c:v>
                </c:pt>
                <c:pt idx="73" formatCode="0.00">
                  <c:v>2.4438999999999997</c:v>
                </c:pt>
                <c:pt idx="74" formatCode="0.00">
                  <c:v>2.4430899999999998</c:v>
                </c:pt>
                <c:pt idx="75" formatCode="0.00">
                  <c:v>2.5941399999999999</c:v>
                </c:pt>
                <c:pt idx="76" formatCode="0.00">
                  <c:v>2.5422199999999999</c:v>
                </c:pt>
                <c:pt idx="77" formatCode="0.00">
                  <c:v>2.51573</c:v>
                </c:pt>
                <c:pt idx="78" formatCode="0.00">
                  <c:v>2.5957400000000002</c:v>
                </c:pt>
                <c:pt idx="79" formatCode="0.00">
                  <c:v>2.70255</c:v>
                </c:pt>
                <c:pt idx="80" formatCode="0.00">
                  <c:v>2.6233999999999997</c:v>
                </c:pt>
                <c:pt idx="81" formatCode="0.00">
                  <c:v>2.5242</c:v>
                </c:pt>
                <c:pt idx="82" formatCode="0.00">
                  <c:v>2.5165700000000002</c:v>
                </c:pt>
                <c:pt idx="83" formatCode="0.00">
                  <c:v>2.5023500000000003</c:v>
                </c:pt>
                <c:pt idx="84" formatCode="0.00">
                  <c:v>2.5390299999999999</c:v>
                </c:pt>
                <c:pt idx="85" formatCode="0.00">
                  <c:v>2.5156399999999999</c:v>
                </c:pt>
                <c:pt idx="86" formatCode="0.00">
                  <c:v>2.4081100000000002</c:v>
                </c:pt>
                <c:pt idx="87" formatCode="0.00">
                  <c:v>2.40171</c:v>
                </c:pt>
                <c:pt idx="88" formatCode="0.00">
                  <c:v>2.4501200000000001</c:v>
                </c:pt>
                <c:pt idx="89" formatCode="0.00">
                  <c:v>2.3563200000000002</c:v>
                </c:pt>
                <c:pt idx="90" formatCode="0.00">
                  <c:v>2.3450800000000003</c:v>
                </c:pt>
                <c:pt idx="91" formatCode="0.00">
                  <c:v>2.38259</c:v>
                </c:pt>
                <c:pt idx="92" formatCode="0.00">
                  <c:v>2.3735200000000001</c:v>
                </c:pt>
                <c:pt idx="93" formatCode="0.00">
                  <c:v>2.2678099999999999</c:v>
                </c:pt>
                <c:pt idx="94" formatCode="0.00">
                  <c:v>2.25644</c:v>
                </c:pt>
                <c:pt idx="95" formatCode="0.00">
                  <c:v>2.2788399999999998</c:v>
                </c:pt>
                <c:pt idx="96" formatCode="0.00">
                  <c:v>2.2993600000000001</c:v>
                </c:pt>
                <c:pt idx="97" formatCode="0.00">
                  <c:v>2.2167599999999998</c:v>
                </c:pt>
                <c:pt idx="98" formatCode="0.00">
                  <c:v>2.04182</c:v>
                </c:pt>
                <c:pt idx="99" formatCode="0.00">
                  <c:v>2.0026299999999999</c:v>
                </c:pt>
                <c:pt idx="100" formatCode="0.00">
                  <c:v>1.8886099999999999</c:v>
                </c:pt>
                <c:pt idx="101" formatCode="0.00">
                  <c:v>1.8247499999999999</c:v>
                </c:pt>
                <c:pt idx="102" formatCode="0.00">
                  <c:v>1.85364</c:v>
                </c:pt>
                <c:pt idx="103" formatCode="0.00">
                  <c:v>1.85364</c:v>
                </c:pt>
                <c:pt idx="104" formatCode="0.00">
                  <c:v>1.80779</c:v>
                </c:pt>
                <c:pt idx="105" formatCode="0.00">
                  <c:v>1.8223099999999999</c:v>
                </c:pt>
                <c:pt idx="106" formatCode="0.00">
                  <c:v>1.8056800000000002</c:v>
                </c:pt>
                <c:pt idx="107" formatCode="0.00">
                  <c:v>1.82728</c:v>
                </c:pt>
                <c:pt idx="108" formatCode="0.00">
                  <c:v>1.80803</c:v>
                </c:pt>
                <c:pt idx="109" formatCode="0.00">
                  <c:v>1.7832499999999998</c:v>
                </c:pt>
                <c:pt idx="110" formatCode="0.00">
                  <c:v>1.7294100000000001</c:v>
                </c:pt>
                <c:pt idx="111" formatCode="0.00">
                  <c:v>1.7671000000000001</c:v>
                </c:pt>
                <c:pt idx="112" formatCode="0.00">
                  <c:v>1.7605600000000001</c:v>
                </c:pt>
                <c:pt idx="113" formatCode="0.00">
                  <c:v>1.7976699999999999</c:v>
                </c:pt>
                <c:pt idx="114" formatCode="0.00">
                  <c:v>1.7964199999999999</c:v>
                </c:pt>
                <c:pt idx="115" formatCode="0.00">
                  <c:v>1.85006</c:v>
                </c:pt>
                <c:pt idx="116" formatCode="0.00">
                  <c:v>1.9521299999999999</c:v>
                </c:pt>
                <c:pt idx="117" formatCode="0.00">
                  <c:v>1.90951</c:v>
                </c:pt>
                <c:pt idx="118" formatCode="0.00">
                  <c:v>1.90507</c:v>
                </c:pt>
                <c:pt idx="119" formatCode="0.00">
                  <c:v>1.76261</c:v>
                </c:pt>
                <c:pt idx="120" formatCode="0.00">
                  <c:v>1.75457</c:v>
                </c:pt>
                <c:pt idx="121" formatCode="0.00">
                  <c:v>1.7784500000000001</c:v>
                </c:pt>
                <c:pt idx="122" formatCode="0.00">
                  <c:v>1.7738399999999999</c:v>
                </c:pt>
                <c:pt idx="123" formatCode="0.00">
                  <c:v>1.7755400000000001</c:v>
                </c:pt>
                <c:pt idx="124" formatCode="0.00">
                  <c:v>1.7635700000000001</c:v>
                </c:pt>
                <c:pt idx="125" formatCode="0.00">
                  <c:v>1.8174700000000001</c:v>
                </c:pt>
                <c:pt idx="126" formatCode="0.00">
                  <c:v>1.8463800000000001</c:v>
                </c:pt>
                <c:pt idx="127" formatCode="0.00">
                  <c:v>1.8455199999999998</c:v>
                </c:pt>
                <c:pt idx="128" formatCode="0.00">
                  <c:v>1.8867099999999999</c:v>
                </c:pt>
                <c:pt idx="129" formatCode="0.00">
                  <c:v>1.9032499999999999</c:v>
                </c:pt>
                <c:pt idx="130" formatCode="0.00">
                  <c:v>1.8239400000000001</c:v>
                </c:pt>
                <c:pt idx="131" formatCode="0.00">
                  <c:v>1.80602</c:v>
                </c:pt>
                <c:pt idx="132" formatCode="0.00">
                  <c:v>1.80602</c:v>
                </c:pt>
                <c:pt idx="133" formatCode="0.00">
                  <c:v>1.84602</c:v>
                </c:pt>
                <c:pt idx="134" formatCode="0.00">
                  <c:v>1.8488100000000001</c:v>
                </c:pt>
                <c:pt idx="135" formatCode="0.00">
                  <c:v>1.80969</c:v>
                </c:pt>
                <c:pt idx="136" formatCode="0.00">
                  <c:v>1.80749</c:v>
                </c:pt>
                <c:pt idx="137" formatCode="0.00">
                  <c:v>1.7834399999999999</c:v>
                </c:pt>
                <c:pt idx="138" formatCode="0.00">
                  <c:v>1.7701199999999999</c:v>
                </c:pt>
                <c:pt idx="139" formatCode="0.00">
                  <c:v>1.75743</c:v>
                </c:pt>
                <c:pt idx="140" formatCode="0.00">
                  <c:v>1.7325699999999999</c:v>
                </c:pt>
                <c:pt idx="141" formatCode="0.00">
                  <c:v>1.7262600000000001</c:v>
                </c:pt>
                <c:pt idx="142" formatCode="0.00">
                  <c:v>1.6977000000000002</c:v>
                </c:pt>
                <c:pt idx="143" formatCode="0.00">
                  <c:v>1.6792899999999999</c:v>
                </c:pt>
                <c:pt idx="144" formatCode="0.00">
                  <c:v>1.6825800000000002</c:v>
                </c:pt>
                <c:pt idx="145" formatCode="0.00">
                  <c:v>1.6906800000000002</c:v>
                </c:pt>
                <c:pt idx="146" formatCode="0.00">
                  <c:v>1.6447800000000001</c:v>
                </c:pt>
                <c:pt idx="147" formatCode="0.00">
                  <c:v>1.6547800000000001</c:v>
                </c:pt>
                <c:pt idx="148" formatCode="0.00">
                  <c:v>1.6172399999999998</c:v>
                </c:pt>
                <c:pt idx="149" formatCode="0.00">
                  <c:v>1.65089</c:v>
                </c:pt>
                <c:pt idx="150" formatCode="0.00">
                  <c:v>1.6423699999999999</c:v>
                </c:pt>
                <c:pt idx="151" formatCode="0.00">
                  <c:v>1.67845</c:v>
                </c:pt>
                <c:pt idx="152" formatCode="0.00">
                  <c:v>1.6825700000000001</c:v>
                </c:pt>
                <c:pt idx="153" formatCode="0.00">
                  <c:v>1.6511000000000002</c:v>
                </c:pt>
                <c:pt idx="154" formatCode="0.00">
                  <c:v>1.6300800000000002</c:v>
                </c:pt>
                <c:pt idx="155" formatCode="0.00">
                  <c:v>1.4971100000000002</c:v>
                </c:pt>
                <c:pt idx="156" formatCode="0.00">
                  <c:v>1.50478</c:v>
                </c:pt>
                <c:pt idx="157" formatCode="0.00">
                  <c:v>1.4598900000000001</c:v>
                </c:pt>
                <c:pt idx="158" formatCode="0.00">
                  <c:v>1.39106</c:v>
                </c:pt>
                <c:pt idx="159" formatCode="0.00">
                  <c:v>1.4087299999999998</c:v>
                </c:pt>
                <c:pt idx="160" formatCode="0.00">
                  <c:v>1.4051499999999999</c:v>
                </c:pt>
                <c:pt idx="161" formatCode="0.00">
                  <c:v>1.4051900000000002</c:v>
                </c:pt>
                <c:pt idx="162" formatCode="0.00">
                  <c:v>1.4715100000000001</c:v>
                </c:pt>
                <c:pt idx="163" formatCode="0.00">
                  <c:v>1.56037</c:v>
                </c:pt>
                <c:pt idx="164" formatCode="0.00">
                  <c:v>1.5665100000000001</c:v>
                </c:pt>
                <c:pt idx="165" formatCode="0.00">
                  <c:v>1.57605</c:v>
                </c:pt>
                <c:pt idx="166" formatCode="0.00">
                  <c:v>1.6133199999999999</c:v>
                </c:pt>
                <c:pt idx="167" formatCode="0.00">
                  <c:v>1.6353499999999999</c:v>
                </c:pt>
                <c:pt idx="168" formatCode="0.00">
                  <c:v>1.6191200000000001</c:v>
                </c:pt>
                <c:pt idx="169" formatCode="0.00">
                  <c:v>1.61791</c:v>
                </c:pt>
                <c:pt idx="170" formatCode="0.00">
                  <c:v>1.6493899999999999</c:v>
                </c:pt>
                <c:pt idx="171" formatCode="0.00">
                  <c:v>1.61663</c:v>
                </c:pt>
                <c:pt idx="172" formatCode="0.00">
                  <c:v>1.6433500000000001</c:v>
                </c:pt>
                <c:pt idx="173" formatCode="0.00">
                  <c:v>1.6566999999999998</c:v>
                </c:pt>
                <c:pt idx="174" formatCode="0.00">
                  <c:v>1.6265100000000001</c:v>
                </c:pt>
                <c:pt idx="175" formatCode="0.00">
                  <c:v>1.64592</c:v>
                </c:pt>
                <c:pt idx="176" formatCode="0.00">
                  <c:v>1.67536</c:v>
                </c:pt>
                <c:pt idx="177" formatCode="0.00">
                  <c:v>1.6540000000000001</c:v>
                </c:pt>
                <c:pt idx="178" formatCode="0.00">
                  <c:v>1.6540000000000001</c:v>
                </c:pt>
                <c:pt idx="179" formatCode="0.00">
                  <c:v>1.7148400000000001</c:v>
                </c:pt>
                <c:pt idx="180" formatCode="0.00">
                  <c:v>1.6875399999999998</c:v>
                </c:pt>
                <c:pt idx="181" formatCode="0.00">
                  <c:v>1.6880500000000001</c:v>
                </c:pt>
                <c:pt idx="182" formatCode="0.00">
                  <c:v>1.6964399999999999</c:v>
                </c:pt>
                <c:pt idx="183" formatCode="0.00">
                  <c:v>1.69489</c:v>
                </c:pt>
                <c:pt idx="184" formatCode="0.00">
                  <c:v>1.6552899999999999</c:v>
                </c:pt>
                <c:pt idx="185" formatCode="0.00">
                  <c:v>1.6204400000000001</c:v>
                </c:pt>
                <c:pt idx="186" formatCode="0.00">
                  <c:v>1.6208500000000001</c:v>
                </c:pt>
                <c:pt idx="187" formatCode="0.00">
                  <c:v>1.6091499999999999</c:v>
                </c:pt>
                <c:pt idx="188" formatCode="0.00">
                  <c:v>1.6873199999999999</c:v>
                </c:pt>
                <c:pt idx="189" formatCode="0.00">
                  <c:v>1.6698900000000001</c:v>
                </c:pt>
                <c:pt idx="190" formatCode="0.00">
                  <c:v>1.6530799999999999</c:v>
                </c:pt>
                <c:pt idx="191" formatCode="0.00">
                  <c:v>1.7094999999999998</c:v>
                </c:pt>
                <c:pt idx="192" formatCode="0.00">
                  <c:v>1.71255</c:v>
                </c:pt>
                <c:pt idx="193" formatCode="0.00">
                  <c:v>1.7150100000000001</c:v>
                </c:pt>
                <c:pt idx="194" formatCode="0.00">
                  <c:v>1.72756</c:v>
                </c:pt>
                <c:pt idx="195" formatCode="0.00">
                  <c:v>1.6898900000000001</c:v>
                </c:pt>
                <c:pt idx="196" formatCode="0.00">
                  <c:v>1.6615799999999998</c:v>
                </c:pt>
                <c:pt idx="197" formatCode="0.00">
                  <c:v>1.68059</c:v>
                </c:pt>
                <c:pt idx="198" formatCode="0.00">
                  <c:v>1.6541399999999999</c:v>
                </c:pt>
                <c:pt idx="199" formatCode="0.00">
                  <c:v>1.65883</c:v>
                </c:pt>
                <c:pt idx="200" formatCode="0.00">
                  <c:v>1.6504099999999999</c:v>
                </c:pt>
                <c:pt idx="201" formatCode="0.00">
                  <c:v>1.6474199999999999</c:v>
                </c:pt>
                <c:pt idx="202" formatCode="0.00">
                  <c:v>1.58921</c:v>
                </c:pt>
                <c:pt idx="203" formatCode="0.00">
                  <c:v>1.58921</c:v>
                </c:pt>
                <c:pt idx="204" formatCode="0.00">
                  <c:v>1.6151200000000001</c:v>
                </c:pt>
                <c:pt idx="205" formatCode="0.00">
                  <c:v>1.6159800000000002</c:v>
                </c:pt>
                <c:pt idx="206" formatCode="0.00">
                  <c:v>1.6032599999999999</c:v>
                </c:pt>
                <c:pt idx="207" formatCode="0.00">
                  <c:v>1.5725299999999998</c:v>
                </c:pt>
                <c:pt idx="208" formatCode="0.00">
                  <c:v>1.54952</c:v>
                </c:pt>
                <c:pt idx="209" formatCode="0.00">
                  <c:v>1.5469900000000001</c:v>
                </c:pt>
                <c:pt idx="210" formatCode="0.00">
                  <c:v>1.54843</c:v>
                </c:pt>
                <c:pt idx="211" formatCode="0.00">
                  <c:v>1.52007</c:v>
                </c:pt>
                <c:pt idx="212" formatCode="0.00">
                  <c:v>1.5336000000000001</c:v>
                </c:pt>
                <c:pt idx="213" formatCode="0.00">
                  <c:v>1.54725</c:v>
                </c:pt>
                <c:pt idx="214" formatCode="0.00">
                  <c:v>1.5668899999999999</c:v>
                </c:pt>
                <c:pt idx="215" formatCode="0.00">
                  <c:v>1.6445699999999999</c:v>
                </c:pt>
                <c:pt idx="216" formatCode="0.00">
                  <c:v>1.61751</c:v>
                </c:pt>
                <c:pt idx="217" formatCode="0.00">
                  <c:v>1.6188499999999999</c:v>
                </c:pt>
                <c:pt idx="218" formatCode="0.00">
                  <c:v>1.6369800000000001</c:v>
                </c:pt>
                <c:pt idx="219" formatCode="0.00">
                  <c:v>1.5948199999999999</c:v>
                </c:pt>
                <c:pt idx="220" formatCode="0.00">
                  <c:v>1.5906499999999999</c:v>
                </c:pt>
                <c:pt idx="221" formatCode="0.00">
                  <c:v>1.5026200000000001</c:v>
                </c:pt>
                <c:pt idx="222" formatCode="0.00">
                  <c:v>1.49861</c:v>
                </c:pt>
                <c:pt idx="223" formatCode="0.00">
                  <c:v>1.3772200000000001</c:v>
                </c:pt>
                <c:pt idx="224" formatCode="0.00">
                  <c:v>1.391</c:v>
                </c:pt>
                <c:pt idx="225" formatCode="0.00">
                  <c:v>1.391</c:v>
                </c:pt>
                <c:pt idx="226" formatCode="0.00">
                  <c:v>1.42404</c:v>
                </c:pt>
                <c:pt idx="227" formatCode="0.00">
                  <c:v>1.39741</c:v>
                </c:pt>
                <c:pt idx="228" formatCode="0.00">
                  <c:v>1.37534</c:v>
                </c:pt>
                <c:pt idx="229" formatCode="0.00">
                  <c:v>1.4058600000000001</c:v>
                </c:pt>
                <c:pt idx="230" formatCode="0.00">
                  <c:v>1.40239</c:v>
                </c:pt>
                <c:pt idx="231" formatCode="0.00">
                  <c:v>1.4055799999999998</c:v>
                </c:pt>
                <c:pt idx="232" formatCode="0.00">
                  <c:v>1.41151</c:v>
                </c:pt>
                <c:pt idx="233" formatCode="0.00">
                  <c:v>1.4083399999999999</c:v>
                </c:pt>
                <c:pt idx="234" formatCode="0.00">
                  <c:v>1.4018100000000002</c:v>
                </c:pt>
                <c:pt idx="235" formatCode="0.00">
                  <c:v>1.4034500000000001</c:v>
                </c:pt>
                <c:pt idx="236" formatCode="0.00">
                  <c:v>1.4034500000000001</c:v>
                </c:pt>
                <c:pt idx="237" formatCode="0.00">
                  <c:v>1.4248099999999999</c:v>
                </c:pt>
                <c:pt idx="238" formatCode="0.00">
                  <c:v>1.4173099999999998</c:v>
                </c:pt>
                <c:pt idx="239" formatCode="0.00">
                  <c:v>1.3680000000000001</c:v>
                </c:pt>
                <c:pt idx="240" formatCode="0.00">
                  <c:v>1.3623799999999999</c:v>
                </c:pt>
                <c:pt idx="241" formatCode="0.00">
                  <c:v>1.3659800000000002</c:v>
                </c:pt>
                <c:pt idx="242" formatCode="0.00">
                  <c:v>1.33935</c:v>
                </c:pt>
                <c:pt idx="243" formatCode="0.00">
                  <c:v>1.3680099999999999</c:v>
                </c:pt>
                <c:pt idx="244" formatCode="0.00">
                  <c:v>1.3784100000000001</c:v>
                </c:pt>
                <c:pt idx="245" formatCode="0.00">
                  <c:v>1.3668500000000001</c:v>
                </c:pt>
                <c:pt idx="246" formatCode="0.00">
                  <c:v>1.3735400000000002</c:v>
                </c:pt>
                <c:pt idx="247" formatCode="0.00">
                  <c:v>1.37486</c:v>
                </c:pt>
                <c:pt idx="248" formatCode="0.00">
                  <c:v>1.3726799999999999</c:v>
                </c:pt>
                <c:pt idx="249" formatCode="0.00">
                  <c:v>1.3489099999999998</c:v>
                </c:pt>
                <c:pt idx="250" formatCode="0.00">
                  <c:v>1.3385499999999999</c:v>
                </c:pt>
                <c:pt idx="251" formatCode="0.00">
                  <c:v>1.3143</c:v>
                </c:pt>
                <c:pt idx="252" formatCode="0.00">
                  <c:v>1.3230199999999999</c:v>
                </c:pt>
                <c:pt idx="253" formatCode="0.00">
                  <c:v>1.32257</c:v>
                </c:pt>
                <c:pt idx="254" formatCode="0.00">
                  <c:v>1.34849</c:v>
                </c:pt>
                <c:pt idx="255" formatCode="0.00">
                  <c:v>1.3457300000000001</c:v>
                </c:pt>
                <c:pt idx="256" formatCode="0.00">
                  <c:v>1.35565</c:v>
                </c:pt>
                <c:pt idx="257" formatCode="0.00">
                  <c:v>1.35565</c:v>
                </c:pt>
                <c:pt idx="258" formatCode="0.00">
                  <c:v>1.3612700000000002</c:v>
                </c:pt>
                <c:pt idx="259" formatCode="0.00">
                  <c:v>1.3616599999999999</c:v>
                </c:pt>
                <c:pt idx="260" formatCode="0.00">
                  <c:v>1.34518</c:v>
                </c:pt>
                <c:pt idx="261" formatCode="0.00">
                  <c:v>1.3465100000000001</c:v>
                </c:pt>
                <c:pt idx="262" formatCode="0.00">
                  <c:v>1.3465100000000001</c:v>
                </c:pt>
                <c:pt idx="263" formatCode="0.00">
                  <c:v>1.3366499999999999</c:v>
                </c:pt>
                <c:pt idx="264" formatCode="0.00">
                  <c:v>1.3278800000000002</c:v>
                </c:pt>
                <c:pt idx="265" formatCode="0.00">
                  <c:v>1.3021400000000001</c:v>
                </c:pt>
                <c:pt idx="266" formatCode="0.00">
                  <c:v>1.3214699999999999</c:v>
                </c:pt>
                <c:pt idx="267" formatCode="0.00">
                  <c:v>1.3010699999999999</c:v>
                </c:pt>
                <c:pt idx="268" formatCode="0.00">
                  <c:v>1.2756799999999999</c:v>
                </c:pt>
                <c:pt idx="269" formatCode="0.00">
                  <c:v>1.2880199999999999</c:v>
                </c:pt>
                <c:pt idx="270" formatCode="0.00">
                  <c:v>1.3070900000000001</c:v>
                </c:pt>
                <c:pt idx="271" formatCode="0.00">
                  <c:v>1.27735</c:v>
                </c:pt>
                <c:pt idx="272" formatCode="0.00">
                  <c:v>1.3028</c:v>
                </c:pt>
                <c:pt idx="273" formatCode="0.00">
                  <c:v>1.3028</c:v>
                </c:pt>
                <c:pt idx="274" formatCode="0.00">
                  <c:v>1.27643</c:v>
                </c:pt>
                <c:pt idx="275" formatCode="0.00">
                  <c:v>1.26694</c:v>
                </c:pt>
                <c:pt idx="276" formatCode="0.00">
                  <c:v>1.27752</c:v>
                </c:pt>
                <c:pt idx="277" formatCode="0.00">
                  <c:v>1.3544100000000001</c:v>
                </c:pt>
                <c:pt idx="278" formatCode="0.00">
                  <c:v>1.3695300000000001</c:v>
                </c:pt>
                <c:pt idx="279" formatCode="0.00">
                  <c:v>1.3626400000000001</c:v>
                </c:pt>
                <c:pt idx="280" formatCode="0.00">
                  <c:v>1.34659</c:v>
                </c:pt>
                <c:pt idx="281" formatCode="0.00">
                  <c:v>1.3228599999999999</c:v>
                </c:pt>
                <c:pt idx="282" formatCode="0.00">
                  <c:v>1.3256600000000001</c:v>
                </c:pt>
                <c:pt idx="283" formatCode="0.00">
                  <c:v>1.3325899999999999</c:v>
                </c:pt>
                <c:pt idx="284" formatCode="0.00">
                  <c:v>1.3126100000000001</c:v>
                </c:pt>
                <c:pt idx="285" formatCode="0.00">
                  <c:v>1.3083600000000002</c:v>
                </c:pt>
                <c:pt idx="286" formatCode="0.00">
                  <c:v>1.2915000000000001</c:v>
                </c:pt>
                <c:pt idx="287" formatCode="0.00">
                  <c:v>1.26969</c:v>
                </c:pt>
                <c:pt idx="288" formatCode="0.00">
                  <c:v>1.2689900000000001</c:v>
                </c:pt>
                <c:pt idx="289" formatCode="0.00">
                  <c:v>1.2632099999999999</c:v>
                </c:pt>
                <c:pt idx="290" formatCode="0.00">
                  <c:v>1.27739</c:v>
                </c:pt>
                <c:pt idx="291" formatCode="0.00">
                  <c:v>1.2550400000000002</c:v>
                </c:pt>
                <c:pt idx="292" formatCode="0.00">
                  <c:v>1.2273799999999999</c:v>
                </c:pt>
                <c:pt idx="293" formatCode="0.00">
                  <c:v>1.2273799999999999</c:v>
                </c:pt>
                <c:pt idx="294" formatCode="0.00">
                  <c:v>1.1611899999999999</c:v>
                </c:pt>
                <c:pt idx="295" formatCode="0.00">
                  <c:v>1.1815900000000001</c:v>
                </c:pt>
                <c:pt idx="296" formatCode="0.00">
                  <c:v>1.1707799999999999</c:v>
                </c:pt>
                <c:pt idx="297" formatCode="0.00">
                  <c:v>1.1438999999999999</c:v>
                </c:pt>
                <c:pt idx="298" formatCode="0.00">
                  <c:v>1.15246</c:v>
                </c:pt>
                <c:pt idx="299" formatCode="0.00">
                  <c:v>1.16899</c:v>
                </c:pt>
                <c:pt idx="300" formatCode="0.00">
                  <c:v>1.1300400000000002</c:v>
                </c:pt>
                <c:pt idx="301" formatCode="0.00">
                  <c:v>1.01447</c:v>
                </c:pt>
                <c:pt idx="302" formatCode="0.00">
                  <c:v>1.0417799999999999</c:v>
                </c:pt>
                <c:pt idx="303" formatCode="0.00">
                  <c:v>1.0490600000000001</c:v>
                </c:pt>
                <c:pt idx="304" formatCode="0.00">
                  <c:v>1.08887</c:v>
                </c:pt>
                <c:pt idx="305" formatCode="0.00">
                  <c:v>1.0542400000000001</c:v>
                </c:pt>
                <c:pt idx="306" formatCode="0.00">
                  <c:v>1.02305</c:v>
                </c:pt>
                <c:pt idx="307" formatCode="0.00">
                  <c:v>1.1140000000000001</c:v>
                </c:pt>
                <c:pt idx="308" formatCode="0.00">
                  <c:v>1.13201</c:v>
                </c:pt>
                <c:pt idx="309" formatCode="0.00">
                  <c:v>1.14574</c:v>
                </c:pt>
                <c:pt idx="310" formatCode="0.00">
                  <c:v>1.1712499999999999</c:v>
                </c:pt>
                <c:pt idx="311" formatCode="0.00">
                  <c:v>1.1553100000000001</c:v>
                </c:pt>
                <c:pt idx="312" formatCode="0.00">
                  <c:v>1.16808</c:v>
                </c:pt>
                <c:pt idx="313" formatCode="0.00">
                  <c:v>1.1539700000000002</c:v>
                </c:pt>
                <c:pt idx="314" formatCode="0.00">
                  <c:v>1.1491</c:v>
                </c:pt>
                <c:pt idx="315" formatCode="0.00">
                  <c:v>1.2434399999999999</c:v>
                </c:pt>
                <c:pt idx="316" formatCode="0.00">
                  <c:v>1.2456</c:v>
                </c:pt>
                <c:pt idx="317" formatCode="0.00">
                  <c:v>1.24505</c:v>
                </c:pt>
                <c:pt idx="318" formatCode="0.00">
                  <c:v>1.25057</c:v>
                </c:pt>
                <c:pt idx="319" formatCode="0.00">
                  <c:v>1.3462200000000002</c:v>
                </c:pt>
                <c:pt idx="320" formatCode="0.00">
                  <c:v>1.3575999999999999</c:v>
                </c:pt>
                <c:pt idx="321" formatCode="0.00">
                  <c:v>1.3662200000000002</c:v>
                </c:pt>
                <c:pt idx="322" formatCode="0.00">
                  <c:v>1.3628299999999998</c:v>
                </c:pt>
                <c:pt idx="323" formatCode="0.00">
                  <c:v>1.3109500000000001</c:v>
                </c:pt>
                <c:pt idx="324" formatCode="0.00">
                  <c:v>1.3327600000000002</c:v>
                </c:pt>
                <c:pt idx="325" formatCode="0.00">
                  <c:v>1.29962</c:v>
                </c:pt>
                <c:pt idx="326" formatCode="0.00">
                  <c:v>1.3233199999999998</c:v>
                </c:pt>
                <c:pt idx="327" formatCode="0.00">
                  <c:v>1.3426199999999999</c:v>
                </c:pt>
                <c:pt idx="328" formatCode="0.00">
                  <c:v>1.2915100000000002</c:v>
                </c:pt>
                <c:pt idx="329" formatCode="0.00">
                  <c:v>1.3954599999999999</c:v>
                </c:pt>
                <c:pt idx="330" formatCode="0.00">
                  <c:v>1.4616800000000001</c:v>
                </c:pt>
                <c:pt idx="331" formatCode="0.00">
                  <c:v>1.4720199999999999</c:v>
                </c:pt>
                <c:pt idx="332" formatCode="0.00">
                  <c:v>1.47055</c:v>
                </c:pt>
                <c:pt idx="333" formatCode="0.00">
                  <c:v>1.4413900000000002</c:v>
                </c:pt>
                <c:pt idx="334" formatCode="0.00">
                  <c:v>1.4840100000000001</c:v>
                </c:pt>
                <c:pt idx="335" formatCode="0.00">
                  <c:v>1.4049700000000001</c:v>
                </c:pt>
                <c:pt idx="336" formatCode="0.00">
                  <c:v>1.4788999999999999</c:v>
                </c:pt>
                <c:pt idx="337" formatCode="0.00">
                  <c:v>1.2995400000000001</c:v>
                </c:pt>
                <c:pt idx="338" formatCode="0.00">
                  <c:v>1.2824899999999999</c:v>
                </c:pt>
                <c:pt idx="339" formatCode="0.00">
                  <c:v>1.3849799999999999</c:v>
                </c:pt>
                <c:pt idx="340" formatCode="0.00">
                  <c:v>1.36171</c:v>
                </c:pt>
                <c:pt idx="341" formatCode="0.00">
                  <c:v>1.2748999999999999</c:v>
                </c:pt>
                <c:pt idx="342" formatCode="0.00">
                  <c:v>1.2714000000000001</c:v>
                </c:pt>
                <c:pt idx="343" formatCode="0.00">
                  <c:v>1.2295099999999999</c:v>
                </c:pt>
                <c:pt idx="344" formatCode="0.00">
                  <c:v>1.21272</c:v>
                </c:pt>
                <c:pt idx="345" formatCode="0.00">
                  <c:v>1.22363</c:v>
                </c:pt>
                <c:pt idx="346" formatCode="0.00">
                  <c:v>1.1899</c:v>
                </c:pt>
                <c:pt idx="347" formatCode="0.00">
                  <c:v>1.19858</c:v>
                </c:pt>
                <c:pt idx="348" formatCode="0.00">
                  <c:v>1.2133</c:v>
                </c:pt>
                <c:pt idx="349" formatCode="0.00">
                  <c:v>1.20421</c:v>
                </c:pt>
                <c:pt idx="350" formatCode="0.00">
                  <c:v>1.20655</c:v>
                </c:pt>
                <c:pt idx="351" formatCode="0.00">
                  <c:v>1.15204</c:v>
                </c:pt>
                <c:pt idx="352" formatCode="0.00">
                  <c:v>1.17075</c:v>
                </c:pt>
                <c:pt idx="353" formatCode="0.00">
                  <c:v>1.1635800000000001</c:v>
                </c:pt>
                <c:pt idx="354" formatCode="0.00">
                  <c:v>1.1697499999999998</c:v>
                </c:pt>
                <c:pt idx="355" formatCode="0.00">
                  <c:v>1.1531100000000001</c:v>
                </c:pt>
                <c:pt idx="356" formatCode="0.00">
                  <c:v>1.1578200000000001</c:v>
                </c:pt>
                <c:pt idx="357" formatCode="0.00">
                  <c:v>1.13723</c:v>
                </c:pt>
                <c:pt idx="358" formatCode="0.00">
                  <c:v>1.13286</c:v>
                </c:pt>
                <c:pt idx="359" formatCode="0.00">
                  <c:v>1.14063</c:v>
                </c:pt>
                <c:pt idx="360" formatCode="0.00">
                  <c:v>1.12782</c:v>
                </c:pt>
                <c:pt idx="361" formatCode="0.00">
                  <c:v>1.13083</c:v>
                </c:pt>
                <c:pt idx="362" formatCode="0.00">
                  <c:v>1.1125499999999999</c:v>
                </c:pt>
                <c:pt idx="363" formatCode="0.00">
                  <c:v>1.12913</c:v>
                </c:pt>
                <c:pt idx="364" formatCode="0.00">
                  <c:v>1.1466400000000001</c:v>
                </c:pt>
                <c:pt idx="365" formatCode="0.00">
                  <c:v>1.1246400000000001</c:v>
                </c:pt>
                <c:pt idx="366" formatCode="0.00">
                  <c:v>1.0906</c:v>
                </c:pt>
                <c:pt idx="367" formatCode="0.00">
                  <c:v>1.11066</c:v>
                </c:pt>
                <c:pt idx="368" formatCode="0.00">
                  <c:v>1.11066</c:v>
                </c:pt>
                <c:pt idx="369" formatCode="0.00">
                  <c:v>1.07769</c:v>
                </c:pt>
                <c:pt idx="370" formatCode="0.00">
                  <c:v>1.08335</c:v>
                </c:pt>
                <c:pt idx="371" formatCode="0.00">
                  <c:v>1.05003</c:v>
                </c:pt>
                <c:pt idx="372" formatCode="0.00">
                  <c:v>1.1064700000000001</c:v>
                </c:pt>
                <c:pt idx="373" formatCode="0.00">
                  <c:v>1.0626800000000001</c:v>
                </c:pt>
                <c:pt idx="374" formatCode="0.00">
                  <c:v>1.0642499999999999</c:v>
                </c:pt>
                <c:pt idx="375" formatCode="0.00">
                  <c:v>1.0476999999999999</c:v>
                </c:pt>
                <c:pt idx="376" formatCode="0.00">
                  <c:v>1.05826</c:v>
                </c:pt>
                <c:pt idx="377" formatCode="0.00">
                  <c:v>1.0103599999999999</c:v>
                </c:pt>
                <c:pt idx="378" formatCode="0.00">
                  <c:v>0.98025999999999991</c:v>
                </c:pt>
                <c:pt idx="379" formatCode="0.00">
                  <c:v>0.97385999999999995</c:v>
                </c:pt>
                <c:pt idx="380" formatCode="0.00">
                  <c:v>0.98114000000000001</c:v>
                </c:pt>
                <c:pt idx="381" formatCode="0.00">
                  <c:v>0.92879999999999996</c:v>
                </c:pt>
                <c:pt idx="382" formatCode="0.00">
                  <c:v>0.90342</c:v>
                </c:pt>
                <c:pt idx="383" formatCode="0.00">
                  <c:v>0.88828000000000007</c:v>
                </c:pt>
                <c:pt idx="384" formatCode="0.00">
                  <c:v>0.92611999999999994</c:v>
                </c:pt>
                <c:pt idx="385" formatCode="0.00">
                  <c:v>0.91139999999999999</c:v>
                </c:pt>
                <c:pt idx="386" formatCode="0.00">
                  <c:v>0.90376999999999996</c:v>
                </c:pt>
                <c:pt idx="387" formatCode="0.00">
                  <c:v>0.88424999999999998</c:v>
                </c:pt>
                <c:pt idx="388" formatCode="0.00">
                  <c:v>0.90221999999999991</c:v>
                </c:pt>
                <c:pt idx="389" formatCode="0.00">
                  <c:v>0.8999299999999999</c:v>
                </c:pt>
                <c:pt idx="390" formatCode="0.00">
                  <c:v>0.93596999999999997</c:v>
                </c:pt>
                <c:pt idx="391" formatCode="0.00">
                  <c:v>0.90400999999999998</c:v>
                </c:pt>
                <c:pt idx="392" formatCode="0.00">
                  <c:v>0.93767999999999996</c:v>
                </c:pt>
                <c:pt idx="393" formatCode="0.00">
                  <c:v>0.93767999999999996</c:v>
                </c:pt>
                <c:pt idx="394" formatCode="0.00">
                  <c:v>0.98754000000000008</c:v>
                </c:pt>
                <c:pt idx="395" formatCode="0.00">
                  <c:v>1.00478</c:v>
                </c:pt>
                <c:pt idx="396" formatCode="0.00">
                  <c:v>1.0285599999999999</c:v>
                </c:pt>
                <c:pt idx="397" formatCode="0.00">
                  <c:v>0.98212999999999995</c:v>
                </c:pt>
                <c:pt idx="398" formatCode="0.00">
                  <c:v>0.96538999999999997</c:v>
                </c:pt>
                <c:pt idx="399" formatCode="0.00">
                  <c:v>0.92662999999999995</c:v>
                </c:pt>
                <c:pt idx="400" formatCode="0.00">
                  <c:v>0.96510999999999991</c:v>
                </c:pt>
                <c:pt idx="401" formatCode="0.00">
                  <c:v>0.97569000000000006</c:v>
                </c:pt>
                <c:pt idx="402" formatCode="0.00">
                  <c:v>0.97156000000000009</c:v>
                </c:pt>
                <c:pt idx="403" formatCode="0.00">
                  <c:v>1.04376</c:v>
                </c:pt>
                <c:pt idx="404" formatCode="0.00">
                  <c:v>1.0313099999999999</c:v>
                </c:pt>
                <c:pt idx="405" formatCode="0.00">
                  <c:v>0.97987999999999997</c:v>
                </c:pt>
                <c:pt idx="406" formatCode="0.00">
                  <c:v>1.00248</c:v>
                </c:pt>
                <c:pt idx="407" formatCode="0.00">
                  <c:v>0.99682000000000004</c:v>
                </c:pt>
                <c:pt idx="408" formatCode="0.00">
                  <c:v>0.9863599999999999</c:v>
                </c:pt>
                <c:pt idx="409" formatCode="0.00">
                  <c:v>1.00909</c:v>
                </c:pt>
                <c:pt idx="410" formatCode="0.00">
                  <c:v>1.01807</c:v>
                </c:pt>
                <c:pt idx="411" formatCode="0.00">
                  <c:v>0.98673</c:v>
                </c:pt>
                <c:pt idx="412" formatCode="0.00">
                  <c:v>1.0119199999999999</c:v>
                </c:pt>
                <c:pt idx="413" formatCode="0.00">
                  <c:v>1.0228900000000001</c:v>
                </c:pt>
                <c:pt idx="414" formatCode="0.00">
                  <c:v>1.0233400000000001</c:v>
                </c:pt>
                <c:pt idx="415" formatCode="0.00">
                  <c:v>0.97641</c:v>
                </c:pt>
                <c:pt idx="416" formatCode="0.00">
                  <c:v>0.92413000000000001</c:v>
                </c:pt>
                <c:pt idx="417" formatCode="0.00">
                  <c:v>0.88919999999999999</c:v>
                </c:pt>
                <c:pt idx="418" formatCode="0.00">
                  <c:v>0.88066</c:v>
                </c:pt>
                <c:pt idx="419" formatCode="0.00">
                  <c:v>0.84484999999999999</c:v>
                </c:pt>
                <c:pt idx="420" formatCode="0.00">
                  <c:v>0.87222</c:v>
                </c:pt>
                <c:pt idx="421" formatCode="0.00">
                  <c:v>0.84758</c:v>
                </c:pt>
                <c:pt idx="422" formatCode="0.00">
                  <c:v>0.92254999999999998</c:v>
                </c:pt>
                <c:pt idx="423" formatCode="0.00">
                  <c:v>0.93692999999999993</c:v>
                </c:pt>
                <c:pt idx="424" formatCode="0.00">
                  <c:v>0.93221999999999994</c:v>
                </c:pt>
                <c:pt idx="425" formatCode="0.00">
                  <c:v>0.90513999999999994</c:v>
                </c:pt>
                <c:pt idx="426" formatCode="0.00">
                  <c:v>0.92793000000000003</c:v>
                </c:pt>
                <c:pt idx="427" formatCode="0.00">
                  <c:v>0.90651999999999999</c:v>
                </c:pt>
                <c:pt idx="428" formatCode="0.00">
                  <c:v>0.91410999999999998</c:v>
                </c:pt>
                <c:pt idx="429" formatCode="0.00">
                  <c:v>0.91790000000000005</c:v>
                </c:pt>
                <c:pt idx="430" formatCode="0.00">
                  <c:v>0.89032</c:v>
                </c:pt>
                <c:pt idx="431" formatCode="0.00">
                  <c:v>0.88694999999999991</c:v>
                </c:pt>
                <c:pt idx="432" formatCode="0.00">
                  <c:v>0.95212999999999992</c:v>
                </c:pt>
                <c:pt idx="433" formatCode="0.00">
                  <c:v>0.95111999999999997</c:v>
                </c:pt>
                <c:pt idx="434" formatCode="0.00">
                  <c:v>0.96674000000000004</c:v>
                </c:pt>
                <c:pt idx="435" formatCode="0.00">
                  <c:v>0.95513000000000003</c:v>
                </c:pt>
                <c:pt idx="436" formatCode="0.00">
                  <c:v>0.93589</c:v>
                </c:pt>
                <c:pt idx="437" formatCode="0.00">
                  <c:v>0.94983000000000006</c:v>
                </c:pt>
                <c:pt idx="438" formatCode="0.00">
                  <c:v>0.94983000000000006</c:v>
                </c:pt>
                <c:pt idx="439" formatCode="0.00">
                  <c:v>0.93507999999999991</c:v>
                </c:pt>
                <c:pt idx="440" formatCode="0.00">
                  <c:v>0.9355</c:v>
                </c:pt>
                <c:pt idx="441" formatCode="0.00">
                  <c:v>0.94218000000000002</c:v>
                </c:pt>
                <c:pt idx="442" formatCode="0.00">
                  <c:v>0.92808000000000002</c:v>
                </c:pt>
                <c:pt idx="443" formatCode="0.00">
                  <c:v>0.92986000000000002</c:v>
                </c:pt>
                <c:pt idx="444" formatCode="0.00">
                  <c:v>0.93988000000000005</c:v>
                </c:pt>
                <c:pt idx="445" formatCode="0.00">
                  <c:v>0.92066000000000003</c:v>
                </c:pt>
                <c:pt idx="446" formatCode="0.00">
                  <c:v>0.90119000000000005</c:v>
                </c:pt>
                <c:pt idx="447" formatCode="0.00">
                  <c:v>0.87095</c:v>
                </c:pt>
                <c:pt idx="448" formatCode="0.00">
                  <c:v>0.93998999999999999</c:v>
                </c:pt>
                <c:pt idx="449" formatCode="0.00">
                  <c:v>0.90965999999999991</c:v>
                </c:pt>
                <c:pt idx="450" formatCode="0.00">
                  <c:v>0.88519999999999999</c:v>
                </c:pt>
                <c:pt idx="451" formatCode="0.00">
                  <c:v>0.83223000000000003</c:v>
                </c:pt>
                <c:pt idx="452" formatCode="0.00">
                  <c:v>0.84513000000000005</c:v>
                </c:pt>
                <c:pt idx="453" formatCode="0.00">
                  <c:v>0.85816000000000003</c:v>
                </c:pt>
                <c:pt idx="454" formatCode="0.00">
                  <c:v>0.87982000000000005</c:v>
                </c:pt>
                <c:pt idx="455" formatCode="0.00">
                  <c:v>0.87948999999999999</c:v>
                </c:pt>
                <c:pt idx="456" formatCode="0.00">
                  <c:v>0.89846000000000004</c:v>
                </c:pt>
                <c:pt idx="457" formatCode="0.00">
                  <c:v>0.96230000000000004</c:v>
                </c:pt>
                <c:pt idx="458" formatCode="0.00">
                  <c:v>0.96703000000000006</c:v>
                </c:pt>
                <c:pt idx="459" formatCode="0.00">
                  <c:v>0.96394999999999997</c:v>
                </c:pt>
                <c:pt idx="460" formatCode="0.00">
                  <c:v>0.98258999999999996</c:v>
                </c:pt>
                <c:pt idx="461" formatCode="0.00">
                  <c:v>0.92618</c:v>
                </c:pt>
                <c:pt idx="462" formatCode="0.00">
                  <c:v>0.90182000000000007</c:v>
                </c:pt>
                <c:pt idx="463" formatCode="0.00">
                  <c:v>0.90182000000000007</c:v>
                </c:pt>
                <c:pt idx="464" formatCode="0.00">
                  <c:v>0.86907000000000001</c:v>
                </c:pt>
                <c:pt idx="465" formatCode="0.00">
                  <c:v>0.83751000000000009</c:v>
                </c:pt>
                <c:pt idx="466" formatCode="0.00">
                  <c:v>0.83069000000000004</c:v>
                </c:pt>
                <c:pt idx="467" formatCode="0.00">
                  <c:v>0.78727000000000003</c:v>
                </c:pt>
                <c:pt idx="468" formatCode="0.00">
                  <c:v>0.77048000000000005</c:v>
                </c:pt>
                <c:pt idx="469" formatCode="0.00">
                  <c:v>0.77418999999999993</c:v>
                </c:pt>
                <c:pt idx="470" formatCode="0.00">
                  <c:v>0.77319999999999989</c:v>
                </c:pt>
                <c:pt idx="471" formatCode="0.00">
                  <c:v>0.73796000000000006</c:v>
                </c:pt>
                <c:pt idx="472" formatCode="0.00">
                  <c:v>0.73605000000000009</c:v>
                </c:pt>
                <c:pt idx="473" formatCode="0.00">
                  <c:v>0.76885000000000003</c:v>
                </c:pt>
                <c:pt idx="474" formatCode="0.00">
                  <c:v>0.75296000000000007</c:v>
                </c:pt>
                <c:pt idx="475" formatCode="0.00">
                  <c:v>0.77299000000000007</c:v>
                </c:pt>
                <c:pt idx="476" formatCode="0.00">
                  <c:v>0.75422</c:v>
                </c:pt>
                <c:pt idx="477" formatCode="0.00">
                  <c:v>0.73358999999999996</c:v>
                </c:pt>
                <c:pt idx="478" formatCode="0.00">
                  <c:v>0.75078</c:v>
                </c:pt>
                <c:pt idx="479" formatCode="0.00">
                  <c:v>0.78992999999999991</c:v>
                </c:pt>
                <c:pt idx="480" formatCode="0.00">
                  <c:v>0.74641000000000002</c:v>
                </c:pt>
                <c:pt idx="481" formatCode="0.00">
                  <c:v>0.81039000000000005</c:v>
                </c:pt>
                <c:pt idx="482" formatCode="0.00">
                  <c:v>0.82191999999999998</c:v>
                </c:pt>
                <c:pt idx="483" formatCode="0.00">
                  <c:v>0.76600999999999997</c:v>
                </c:pt>
                <c:pt idx="484" formatCode="0.00">
                  <c:v>0.8012999999999999</c:v>
                </c:pt>
                <c:pt idx="485" formatCode="0.00">
                  <c:v>0.68713999999999997</c:v>
                </c:pt>
                <c:pt idx="486" formatCode="0.00">
                  <c:v>0.68713999999999997</c:v>
                </c:pt>
                <c:pt idx="487" formatCode="0.00">
                  <c:v>0.74007000000000001</c:v>
                </c:pt>
                <c:pt idx="488" formatCode="0.00">
                  <c:v>0.81523999999999996</c:v>
                </c:pt>
                <c:pt idx="489" formatCode="0.00">
                  <c:v>0.89347999999999994</c:v>
                </c:pt>
                <c:pt idx="490" formatCode="0.00">
                  <c:v>0.94370999999999994</c:v>
                </c:pt>
                <c:pt idx="491" formatCode="0.00">
                  <c:v>0.92500000000000004</c:v>
                </c:pt>
                <c:pt idx="492" formatCode="0.00">
                  <c:v>0.97438000000000002</c:v>
                </c:pt>
                <c:pt idx="493" formatCode="0.00">
                  <c:v>0.97694000000000003</c:v>
                </c:pt>
                <c:pt idx="494" formatCode="0.00">
                  <c:v>1.0660499999999999</c:v>
                </c:pt>
                <c:pt idx="495" formatCode="0.00">
                  <c:v>1.0766800000000001</c:v>
                </c:pt>
                <c:pt idx="496" formatCode="0.00">
                  <c:v>1.0766800000000001</c:v>
                </c:pt>
                <c:pt idx="497" formatCode="0.00">
                  <c:v>1.2513800000000002</c:v>
                </c:pt>
                <c:pt idx="498" formatCode="0.00">
                  <c:v>1.2319</c:v>
                </c:pt>
                <c:pt idx="499" formatCode="0.00">
                  <c:v>1.19364</c:v>
                </c:pt>
                <c:pt idx="500" formatCode="0.00">
                  <c:v>1.1412500000000001</c:v>
                </c:pt>
                <c:pt idx="501" formatCode="0.00">
                  <c:v>1.1028100000000001</c:v>
                </c:pt>
                <c:pt idx="502" formatCode="0.00">
                  <c:v>1.1194999999999999</c:v>
                </c:pt>
                <c:pt idx="503" formatCode="0.00">
                  <c:v>1.0853700000000002</c:v>
                </c:pt>
                <c:pt idx="504" formatCode="0.00">
                  <c:v>1.0964100000000001</c:v>
                </c:pt>
                <c:pt idx="505" formatCode="0.00">
                  <c:v>1.0651600000000001</c:v>
                </c:pt>
                <c:pt idx="506" formatCode="0.00">
                  <c:v>1.1270800000000001</c:v>
                </c:pt>
                <c:pt idx="507" formatCode="0.00">
                  <c:v>1.1518699999999999</c:v>
                </c:pt>
                <c:pt idx="508" formatCode="0.00">
                  <c:v>1.1522399999999999</c:v>
                </c:pt>
                <c:pt idx="509" formatCode="0.00">
                  <c:v>1.13781</c:v>
                </c:pt>
                <c:pt idx="510" formatCode="0.00">
                  <c:v>1.1369499999999999</c:v>
                </c:pt>
                <c:pt idx="511" formatCode="0.00">
                  <c:v>1.19926</c:v>
                </c:pt>
                <c:pt idx="512" formatCode="0.00">
                  <c:v>1.2567300000000001</c:v>
                </c:pt>
                <c:pt idx="513" formatCode="0.00">
                  <c:v>1.2959499999999999</c:v>
                </c:pt>
                <c:pt idx="514" formatCode="0.00">
                  <c:v>1.26237</c:v>
                </c:pt>
                <c:pt idx="515" formatCode="0.00">
                  <c:v>1.2632299999999999</c:v>
                </c:pt>
                <c:pt idx="516" formatCode="0.00">
                  <c:v>1.22611</c:v>
                </c:pt>
                <c:pt idx="517" formatCode="0.00">
                  <c:v>1.22611</c:v>
                </c:pt>
                <c:pt idx="518" formatCode="0.00">
                  <c:v>1.2047300000000001</c:v>
                </c:pt>
                <c:pt idx="519" formatCode="0.00">
                  <c:v>1.22255</c:v>
                </c:pt>
                <c:pt idx="520" formatCode="0.00">
                  <c:v>1.20099</c:v>
                </c:pt>
                <c:pt idx="521" formatCode="0.00">
                  <c:v>1.2072400000000001</c:v>
                </c:pt>
                <c:pt idx="522" formatCode="0.00">
                  <c:v>1.21576</c:v>
                </c:pt>
                <c:pt idx="523" formatCode="0.00">
                  <c:v>1.1177599999999999</c:v>
                </c:pt>
                <c:pt idx="524" formatCode="0.00">
                  <c:v>1.14489</c:v>
                </c:pt>
                <c:pt idx="525" formatCode="0.00">
                  <c:v>1.12616</c:v>
                </c:pt>
                <c:pt idx="526" formatCode="0.00">
                  <c:v>1.15865</c:v>
                </c:pt>
                <c:pt idx="527" formatCode="0.00">
                  <c:v>1.16269</c:v>
                </c:pt>
                <c:pt idx="528" formatCode="0.00">
                  <c:v>1.17763</c:v>
                </c:pt>
                <c:pt idx="529" formatCode="0.00">
                  <c:v>1.1904999999999999</c:v>
                </c:pt>
                <c:pt idx="530" formatCode="0.00">
                  <c:v>1.2314499999999999</c:v>
                </c:pt>
                <c:pt idx="531" formatCode="0.00">
                  <c:v>1.6435900000000001</c:v>
                </c:pt>
                <c:pt idx="532" formatCode="0.00">
                  <c:v>1.7657700000000001</c:v>
                </c:pt>
                <c:pt idx="533" formatCode="0.00">
                  <c:v>1.7657700000000001</c:v>
                </c:pt>
                <c:pt idx="534" formatCode="0.00">
                  <c:v>1.9993799999999999</c:v>
                </c:pt>
                <c:pt idx="535" formatCode="0.00">
                  <c:v>1.9367699999999999</c:v>
                </c:pt>
                <c:pt idx="536" formatCode="0.00">
                  <c:v>2.2032499999999997</c:v>
                </c:pt>
                <c:pt idx="537" formatCode="0.00">
                  <c:v>2.2304400000000002</c:v>
                </c:pt>
                <c:pt idx="538" formatCode="0.00">
                  <c:v>2.7455799999999999</c:v>
                </c:pt>
                <c:pt idx="539" formatCode="0.00">
                  <c:v>2.7726600000000001</c:v>
                </c:pt>
                <c:pt idx="540" formatCode="0.00">
                  <c:v>2.7239400000000002</c:v>
                </c:pt>
                <c:pt idx="541" formatCode="0.00">
                  <c:v>2.3586499999999999</c:v>
                </c:pt>
                <c:pt idx="542" formatCode="0.00">
                  <c:v>2.43479</c:v>
                </c:pt>
                <c:pt idx="543" formatCode="0.00">
                  <c:v>2.4304299999999999</c:v>
                </c:pt>
                <c:pt idx="544" formatCode="0.00">
                  <c:v>2.3466</c:v>
                </c:pt>
                <c:pt idx="545" formatCode="0.00">
                  <c:v>2.20174</c:v>
                </c:pt>
                <c:pt idx="546" formatCode="0.00">
                  <c:v>2.1383000000000001</c:v>
                </c:pt>
                <c:pt idx="547" formatCode="0.00">
                  <c:v>1.98726</c:v>
                </c:pt>
                <c:pt idx="548" formatCode="0.00">
                  <c:v>1.9875100000000001</c:v>
                </c:pt>
                <c:pt idx="549" formatCode="0.00">
                  <c:v>1.925</c:v>
                </c:pt>
                <c:pt idx="550" formatCode="0.00">
                  <c:v>1.7370300000000001</c:v>
                </c:pt>
                <c:pt idx="551" formatCode="0.00">
                  <c:v>1.6346400000000001</c:v>
                </c:pt>
                <c:pt idx="552" formatCode="0.00">
                  <c:v>1.8888999999999998</c:v>
                </c:pt>
                <c:pt idx="553" formatCode="0.00">
                  <c:v>2.3236699999999999</c:v>
                </c:pt>
                <c:pt idx="554" formatCode="0.00">
                  <c:v>1.97614</c:v>
                </c:pt>
                <c:pt idx="555" formatCode="0.00">
                  <c:v>1.9302600000000001</c:v>
                </c:pt>
                <c:pt idx="556" formatCode="0.00">
                  <c:v>2.25203</c:v>
                </c:pt>
                <c:pt idx="557">
                  <c:v>2.5190299999999999</c:v>
                </c:pt>
                <c:pt idx="558">
                  <c:v>2.5190299999999999</c:v>
                </c:pt>
                <c:pt idx="559">
                  <c:v>3.6221800000000002</c:v>
                </c:pt>
                <c:pt idx="560">
                  <c:v>4.9969799999999998</c:v>
                </c:pt>
                <c:pt idx="561">
                  <c:v>14.724210000000001</c:v>
                </c:pt>
                <c:pt idx="562">
                  <c:v>8.110990000000001</c:v>
                </c:pt>
                <c:pt idx="563">
                  <c:v>25.649630000000002</c:v>
                </c:pt>
                <c:pt idx="564">
                  <c:v>49.218140000000005</c:v>
                </c:pt>
                <c:pt idx="565">
                  <c:v>49.218140000000005</c:v>
                </c:pt>
                <c:pt idx="566">
                  <c:v>49.218140000000005</c:v>
                </c:pt>
                <c:pt idx="567">
                  <c:v>49.218140000000005</c:v>
                </c:pt>
                <c:pt idx="568">
                  <c:v>49.218140000000005</c:v>
                </c:pt>
                <c:pt idx="569">
                  <c:v>49.218140000000005</c:v>
                </c:pt>
                <c:pt idx="570">
                  <c:v>49.218140000000005</c:v>
                </c:pt>
                <c:pt idx="571">
                  <c:v>49.218140000000005</c:v>
                </c:pt>
                <c:pt idx="572">
                  <c:v>49.218140000000005</c:v>
                </c:pt>
                <c:pt idx="573">
                  <c:v>49.218140000000005</c:v>
                </c:pt>
                <c:pt idx="574">
                  <c:v>49.218140000000005</c:v>
                </c:pt>
                <c:pt idx="575">
                  <c:v>49.218140000000005</c:v>
                </c:pt>
                <c:pt idx="576">
                  <c:v>49.218140000000005</c:v>
                </c:pt>
                <c:pt idx="577">
                  <c:v>49.218140000000005</c:v>
                </c:pt>
                <c:pt idx="578">
                  <c:v>49.218140000000005</c:v>
                </c:pt>
                <c:pt idx="579">
                  <c:v>49.218140000000005</c:v>
                </c:pt>
                <c:pt idx="580">
                  <c:v>52.579099999999997</c:v>
                </c:pt>
                <c:pt idx="581">
                  <c:v>57.533100000000005</c:v>
                </c:pt>
                <c:pt idx="582">
                  <c:v>53.965260000000001</c:v>
                </c:pt>
                <c:pt idx="583">
                  <c:v>50.679790000000004</c:v>
                </c:pt>
                <c:pt idx="584">
                  <c:v>45.30312</c:v>
                </c:pt>
                <c:pt idx="585">
                  <c:v>41.054849999999995</c:v>
                </c:pt>
                <c:pt idx="586">
                  <c:v>41.214669999999998</c:v>
                </c:pt>
                <c:pt idx="587">
                  <c:v>41.142110000000002</c:v>
                </c:pt>
                <c:pt idx="588">
                  <c:v>41.267290000000003</c:v>
                </c:pt>
                <c:pt idx="589">
                  <c:v>50.943450000000006</c:v>
                </c:pt>
                <c:pt idx="590">
                  <c:v>51.736040000000003</c:v>
                </c:pt>
                <c:pt idx="591">
                  <c:v>53.546120000000002</c:v>
                </c:pt>
                <c:pt idx="592">
                  <c:v>52.77854</c:v>
                </c:pt>
                <c:pt idx="593">
                  <c:v>51.708069999999999</c:v>
                </c:pt>
                <c:pt idx="594">
                  <c:v>53.21651</c:v>
                </c:pt>
                <c:pt idx="595">
                  <c:v>50.911880000000004</c:v>
                </c:pt>
                <c:pt idx="596">
                  <c:v>50.567929999999997</c:v>
                </c:pt>
                <c:pt idx="597">
                  <c:v>50.567929999999997</c:v>
                </c:pt>
                <c:pt idx="598">
                  <c:v>50.577939999999998</c:v>
                </c:pt>
                <c:pt idx="599">
                  <c:v>50.711629999999992</c:v>
                </c:pt>
                <c:pt idx="600">
                  <c:v>50.731760000000001</c:v>
                </c:pt>
                <c:pt idx="601">
                  <c:v>50.684629999999999</c:v>
                </c:pt>
                <c:pt idx="602">
                  <c:v>50.866430000000001</c:v>
                </c:pt>
                <c:pt idx="603">
                  <c:v>50.633620000000001</c:v>
                </c:pt>
                <c:pt idx="604">
                  <c:v>53.132640000000002</c:v>
                </c:pt>
                <c:pt idx="605">
                  <c:v>53.867010000000001</c:v>
                </c:pt>
                <c:pt idx="606">
                  <c:v>53.279629999999997</c:v>
                </c:pt>
                <c:pt idx="607">
                  <c:v>44.208930000000002</c:v>
                </c:pt>
                <c:pt idx="608">
                  <c:v>44.191510000000001</c:v>
                </c:pt>
                <c:pt idx="609">
                  <c:v>41.63505</c:v>
                </c:pt>
                <c:pt idx="610">
                  <c:v>43.542189999999998</c:v>
                </c:pt>
                <c:pt idx="611">
                  <c:v>42.398230000000005</c:v>
                </c:pt>
                <c:pt idx="612">
                  <c:v>39.817910000000005</c:v>
                </c:pt>
                <c:pt idx="613">
                  <c:v>42.458580000000005</c:v>
                </c:pt>
                <c:pt idx="614">
                  <c:v>40.670500000000004</c:v>
                </c:pt>
                <c:pt idx="615">
                  <c:v>43.081510000000002</c:v>
                </c:pt>
                <c:pt idx="616">
                  <c:v>44.137740000000001</c:v>
                </c:pt>
                <c:pt idx="617">
                  <c:v>44.447009999999999</c:v>
                </c:pt>
                <c:pt idx="618">
                  <c:v>44.981499999999997</c:v>
                </c:pt>
                <c:pt idx="619">
                  <c:v>46.474889999999995</c:v>
                </c:pt>
                <c:pt idx="620">
                  <c:v>61.313329999999993</c:v>
                </c:pt>
                <c:pt idx="621">
                  <c:v>60.832810000000002</c:v>
                </c:pt>
                <c:pt idx="622">
                  <c:v>61.101649999999999</c:v>
                </c:pt>
                <c:pt idx="623">
                  <c:v>58.408280000000005</c:v>
                </c:pt>
                <c:pt idx="624">
                  <c:v>58.421310000000005</c:v>
                </c:pt>
                <c:pt idx="625">
                  <c:v>59.839570000000002</c:v>
                </c:pt>
                <c:pt idx="626">
                  <c:v>59.973700000000001</c:v>
                </c:pt>
                <c:pt idx="627">
                  <c:v>58.752459999999999</c:v>
                </c:pt>
                <c:pt idx="628">
                  <c:v>58.752459999999999</c:v>
                </c:pt>
                <c:pt idx="629">
                  <c:v>58.928570000000001</c:v>
                </c:pt>
                <c:pt idx="630">
                  <c:v>57.970749999999995</c:v>
                </c:pt>
                <c:pt idx="631">
                  <c:v>57.698059999999998</c:v>
                </c:pt>
                <c:pt idx="632">
                  <c:v>57.759350000000005</c:v>
                </c:pt>
                <c:pt idx="633">
                  <c:v>58.083469999999998</c:v>
                </c:pt>
                <c:pt idx="634">
                  <c:v>57.638959999999997</c:v>
                </c:pt>
                <c:pt idx="635">
                  <c:v>58.19388</c:v>
                </c:pt>
                <c:pt idx="636">
                  <c:v>58.993879999999997</c:v>
                </c:pt>
                <c:pt idx="637">
                  <c:v>59.381099999999996</c:v>
                </c:pt>
                <c:pt idx="638">
                  <c:v>59.523649999999996</c:v>
                </c:pt>
                <c:pt idx="639">
                  <c:v>59.14228</c:v>
                </c:pt>
                <c:pt idx="640">
                  <c:v>59.465649999999997</c:v>
                </c:pt>
                <c:pt idx="641">
                  <c:v>59.229279999999996</c:v>
                </c:pt>
                <c:pt idx="642">
                  <c:v>58.525389999999994</c:v>
                </c:pt>
                <c:pt idx="643">
                  <c:v>58.525389999999994</c:v>
                </c:pt>
                <c:pt idx="644">
                  <c:v>58.340490000000003</c:v>
                </c:pt>
                <c:pt idx="645">
                  <c:v>58.103259999999999</c:v>
                </c:pt>
                <c:pt idx="646">
                  <c:v>58.672309999999996</c:v>
                </c:pt>
                <c:pt idx="647">
                  <c:v>58.67398</c:v>
                </c:pt>
                <c:pt idx="648">
                  <c:v>58.564549999999997</c:v>
                </c:pt>
                <c:pt idx="649">
                  <c:v>55.100469999999994</c:v>
                </c:pt>
                <c:pt idx="650">
                  <c:v>55.368079999999999</c:v>
                </c:pt>
                <c:pt idx="651">
                  <c:v>43.901350000000001</c:v>
                </c:pt>
                <c:pt idx="652">
                  <c:v>48.270569999999999</c:v>
                </c:pt>
                <c:pt idx="653">
                  <c:v>48.270569999999999</c:v>
                </c:pt>
                <c:pt idx="654">
                  <c:v>48.51099</c:v>
                </c:pt>
                <c:pt idx="655">
                  <c:v>47.106450000000002</c:v>
                </c:pt>
                <c:pt idx="656">
                  <c:v>47.111270000000005</c:v>
                </c:pt>
                <c:pt idx="657">
                  <c:v>40.390610000000002</c:v>
                </c:pt>
                <c:pt idx="658">
                  <c:v>40.286120000000004</c:v>
                </c:pt>
                <c:pt idx="659">
                  <c:v>40.161140000000003</c:v>
                </c:pt>
                <c:pt idx="660">
                  <c:v>40.20382</c:v>
                </c:pt>
                <c:pt idx="661">
                  <c:v>40.244549999999997</c:v>
                </c:pt>
                <c:pt idx="662">
                  <c:v>40.26191</c:v>
                </c:pt>
                <c:pt idx="663">
                  <c:v>37.100059999999999</c:v>
                </c:pt>
                <c:pt idx="664">
                  <c:v>36.754739999999998</c:v>
                </c:pt>
                <c:pt idx="665">
                  <c:v>35.27946</c:v>
                </c:pt>
                <c:pt idx="666">
                  <c:v>34.702559999999998</c:v>
                </c:pt>
                <c:pt idx="667">
                  <c:v>32.952350000000003</c:v>
                </c:pt>
                <c:pt idx="668">
                  <c:v>33.151649999999997</c:v>
                </c:pt>
                <c:pt idx="669">
                  <c:v>30.21163</c:v>
                </c:pt>
                <c:pt idx="670">
                  <c:v>29.637199999999996</c:v>
                </c:pt>
                <c:pt idx="671">
                  <c:v>29.372730000000001</c:v>
                </c:pt>
                <c:pt idx="672">
                  <c:v>29.490859999999998</c:v>
                </c:pt>
                <c:pt idx="673">
                  <c:v>29.251529999999999</c:v>
                </c:pt>
                <c:pt idx="674">
                  <c:v>28.995450000000002</c:v>
                </c:pt>
                <c:pt idx="675">
                  <c:v>29.101140000000001</c:v>
                </c:pt>
                <c:pt idx="676">
                  <c:v>27.27739</c:v>
                </c:pt>
                <c:pt idx="677">
                  <c:v>25.740089999999999</c:v>
                </c:pt>
                <c:pt idx="678">
                  <c:v>25.716049999999999</c:v>
                </c:pt>
                <c:pt idx="679">
                  <c:v>25.635900000000003</c:v>
                </c:pt>
                <c:pt idx="680">
                  <c:v>25.678060000000002</c:v>
                </c:pt>
                <c:pt idx="681">
                  <c:v>24.949140000000003</c:v>
                </c:pt>
                <c:pt idx="682">
                  <c:v>24.92089</c:v>
                </c:pt>
                <c:pt idx="683">
                  <c:v>24.613119999999999</c:v>
                </c:pt>
                <c:pt idx="684">
                  <c:v>26.090439999999997</c:v>
                </c:pt>
                <c:pt idx="685">
                  <c:v>26.018449999999998</c:v>
                </c:pt>
                <c:pt idx="686">
                  <c:v>25.171700000000001</c:v>
                </c:pt>
                <c:pt idx="687">
                  <c:v>26.15569</c:v>
                </c:pt>
                <c:pt idx="688">
                  <c:v>25.89696</c:v>
                </c:pt>
                <c:pt idx="689">
                  <c:v>25.332420000000003</c:v>
                </c:pt>
                <c:pt idx="690">
                  <c:v>25.597809999999999</c:v>
                </c:pt>
                <c:pt idx="691">
                  <c:v>25.00759</c:v>
                </c:pt>
                <c:pt idx="692">
                  <c:v>24.756770000000003</c:v>
                </c:pt>
                <c:pt idx="693">
                  <c:v>24.642779999999998</c:v>
                </c:pt>
                <c:pt idx="694">
                  <c:v>25.05997</c:v>
                </c:pt>
                <c:pt idx="695">
                  <c:v>24.571770000000001</c:v>
                </c:pt>
                <c:pt idx="696">
                  <c:v>24.614930000000001</c:v>
                </c:pt>
                <c:pt idx="697">
                  <c:v>25.363690000000002</c:v>
                </c:pt>
                <c:pt idx="698">
                  <c:v>25.363690000000002</c:v>
                </c:pt>
                <c:pt idx="699">
                  <c:v>25.30209</c:v>
                </c:pt>
                <c:pt idx="700">
                  <c:v>25.683330000000002</c:v>
                </c:pt>
                <c:pt idx="701">
                  <c:v>22.842860000000002</c:v>
                </c:pt>
                <c:pt idx="702">
                  <c:v>22.624270000000003</c:v>
                </c:pt>
                <c:pt idx="703">
                  <c:v>21.48171</c:v>
                </c:pt>
                <c:pt idx="704">
                  <c:v>21.387440000000002</c:v>
                </c:pt>
                <c:pt idx="705">
                  <c:v>21.434630000000002</c:v>
                </c:pt>
                <c:pt idx="706">
                  <c:v>21.43899</c:v>
                </c:pt>
                <c:pt idx="707">
                  <c:v>22.137020000000003</c:v>
                </c:pt>
                <c:pt idx="708">
                  <c:v>22.10567</c:v>
                </c:pt>
                <c:pt idx="709">
                  <c:v>22.02149</c:v>
                </c:pt>
                <c:pt idx="710">
                  <c:v>22.497479999999999</c:v>
                </c:pt>
                <c:pt idx="711">
                  <c:v>22.617139999999999</c:v>
                </c:pt>
                <c:pt idx="712">
                  <c:v>22.57527</c:v>
                </c:pt>
                <c:pt idx="713">
                  <c:v>22.38466</c:v>
                </c:pt>
                <c:pt idx="714">
                  <c:v>22.347649999999998</c:v>
                </c:pt>
                <c:pt idx="715">
                  <c:v>22.677399999999999</c:v>
                </c:pt>
                <c:pt idx="716">
                  <c:v>22.730979999999999</c:v>
                </c:pt>
                <c:pt idx="717">
                  <c:v>22.708539999999999</c:v>
                </c:pt>
                <c:pt idx="718">
                  <c:v>22.89283</c:v>
                </c:pt>
                <c:pt idx="719">
                  <c:v>23.65701</c:v>
                </c:pt>
                <c:pt idx="720">
                  <c:v>24.147689999999997</c:v>
                </c:pt>
                <c:pt idx="721">
                  <c:v>24.848859999999998</c:v>
                </c:pt>
                <c:pt idx="722">
                  <c:v>24.783370000000001</c:v>
                </c:pt>
                <c:pt idx="723">
                  <c:v>24.783370000000001</c:v>
                </c:pt>
                <c:pt idx="724">
                  <c:v>23.338470000000001</c:v>
                </c:pt>
                <c:pt idx="725">
                  <c:v>23.4163</c:v>
                </c:pt>
                <c:pt idx="726">
                  <c:v>24.780760000000001</c:v>
                </c:pt>
                <c:pt idx="727">
                  <c:v>24.753229999999999</c:v>
                </c:pt>
                <c:pt idx="728">
                  <c:v>24.804589999999997</c:v>
                </c:pt>
                <c:pt idx="729">
                  <c:v>25.02647</c:v>
                </c:pt>
                <c:pt idx="730">
                  <c:v>24.916419999999999</c:v>
                </c:pt>
                <c:pt idx="731">
                  <c:v>24.898850000000003</c:v>
                </c:pt>
                <c:pt idx="732">
                  <c:v>25.44416</c:v>
                </c:pt>
                <c:pt idx="733">
                  <c:v>25.038490000000003</c:v>
                </c:pt>
                <c:pt idx="734">
                  <c:v>25.178850000000001</c:v>
                </c:pt>
                <c:pt idx="735">
                  <c:v>25.051289999999998</c:v>
                </c:pt>
                <c:pt idx="736">
                  <c:v>25.214989999999997</c:v>
                </c:pt>
                <c:pt idx="737">
                  <c:v>25.147649999999999</c:v>
                </c:pt>
                <c:pt idx="738">
                  <c:v>25.272919999999999</c:v>
                </c:pt>
                <c:pt idx="739">
                  <c:v>25.270419999999998</c:v>
                </c:pt>
                <c:pt idx="740">
                  <c:v>26.041450000000001</c:v>
                </c:pt>
                <c:pt idx="741">
                  <c:v>25.573420000000002</c:v>
                </c:pt>
                <c:pt idx="742">
                  <c:v>26.097260000000002</c:v>
                </c:pt>
                <c:pt idx="743">
                  <c:v>25.95936</c:v>
                </c:pt>
                <c:pt idx="744">
                  <c:v>26.08362</c:v>
                </c:pt>
                <c:pt idx="745">
                  <c:v>26.247119999999999</c:v>
                </c:pt>
                <c:pt idx="746">
                  <c:v>26.593000000000004</c:v>
                </c:pt>
                <c:pt idx="747">
                  <c:v>26.593000000000004</c:v>
                </c:pt>
                <c:pt idx="748">
                  <c:v>26.608789999999999</c:v>
                </c:pt>
                <c:pt idx="749">
                  <c:v>26.720219999999998</c:v>
                </c:pt>
                <c:pt idx="750">
                  <c:v>26.758090000000003</c:v>
                </c:pt>
                <c:pt idx="751">
                  <c:v>26.749639999999999</c:v>
                </c:pt>
                <c:pt idx="752">
                  <c:v>26.706729999999997</c:v>
                </c:pt>
                <c:pt idx="753">
                  <c:v>26.87322</c:v>
                </c:pt>
                <c:pt idx="754">
                  <c:v>26.896509999999999</c:v>
                </c:pt>
                <c:pt idx="755">
                  <c:v>25.395379999999999</c:v>
                </c:pt>
                <c:pt idx="756">
                  <c:v>25.395379999999999</c:v>
                </c:pt>
                <c:pt idx="757">
                  <c:v>25.669270000000001</c:v>
                </c:pt>
                <c:pt idx="758">
                  <c:v>27.84451</c:v>
                </c:pt>
                <c:pt idx="759">
                  <c:v>27.80171</c:v>
                </c:pt>
                <c:pt idx="760">
                  <c:v>27.96491</c:v>
                </c:pt>
                <c:pt idx="761">
                  <c:v>28.313380000000002</c:v>
                </c:pt>
                <c:pt idx="762">
                  <c:v>28.35585</c:v>
                </c:pt>
                <c:pt idx="763">
                  <c:v>28.225149999999999</c:v>
                </c:pt>
                <c:pt idx="764">
                  <c:v>28.283280000000001</c:v>
                </c:pt>
                <c:pt idx="765">
                  <c:v>28.439299999999999</c:v>
                </c:pt>
                <c:pt idx="766">
                  <c:v>28.428440000000002</c:v>
                </c:pt>
                <c:pt idx="767">
                  <c:v>28.394819999999999</c:v>
                </c:pt>
                <c:pt idx="768">
                  <c:v>28.437550000000002</c:v>
                </c:pt>
                <c:pt idx="769">
                  <c:v>28.609490000000001</c:v>
                </c:pt>
                <c:pt idx="770">
                  <c:v>28.71265</c:v>
                </c:pt>
                <c:pt idx="771">
                  <c:v>28.801489999999998</c:v>
                </c:pt>
                <c:pt idx="772">
                  <c:v>28.78482</c:v>
                </c:pt>
                <c:pt idx="773">
                  <c:v>28.75732</c:v>
                </c:pt>
                <c:pt idx="774">
                  <c:v>28.685230000000001</c:v>
                </c:pt>
                <c:pt idx="775">
                  <c:v>28.746260000000003</c:v>
                </c:pt>
                <c:pt idx="776">
                  <c:v>28.817920000000001</c:v>
                </c:pt>
                <c:pt idx="777">
                  <c:v>28.820239999999998</c:v>
                </c:pt>
                <c:pt idx="778">
                  <c:v>28.820239999999998</c:v>
                </c:pt>
                <c:pt idx="779">
                  <c:v>28.72634</c:v>
                </c:pt>
                <c:pt idx="780">
                  <c:v>28.765129999999999</c:v>
                </c:pt>
                <c:pt idx="781">
                  <c:v>28.891869999999997</c:v>
                </c:pt>
                <c:pt idx="782">
                  <c:v>28.869319999999998</c:v>
                </c:pt>
                <c:pt idx="783">
                  <c:v>28.869319999999998</c:v>
                </c:pt>
                <c:pt idx="784">
                  <c:v>28.714340000000004</c:v>
                </c:pt>
                <c:pt idx="785">
                  <c:v>28.81739</c:v>
                </c:pt>
                <c:pt idx="786">
                  <c:v>28.84413</c:v>
                </c:pt>
                <c:pt idx="787">
                  <c:v>29.08323</c:v>
                </c:pt>
                <c:pt idx="788">
                  <c:v>29.15898</c:v>
                </c:pt>
                <c:pt idx="789">
                  <c:v>29.168519999999997</c:v>
                </c:pt>
                <c:pt idx="790">
                  <c:v>29.206770000000002</c:v>
                </c:pt>
                <c:pt idx="791">
                  <c:v>29.445070000000001</c:v>
                </c:pt>
                <c:pt idx="792">
                  <c:v>29.389430000000001</c:v>
                </c:pt>
                <c:pt idx="793">
                  <c:v>29.389430000000001</c:v>
                </c:pt>
                <c:pt idx="794">
                  <c:v>29.458110000000001</c:v>
                </c:pt>
                <c:pt idx="795">
                  <c:v>29.632579999999997</c:v>
                </c:pt>
                <c:pt idx="796">
                  <c:v>29.693899999999999</c:v>
                </c:pt>
                <c:pt idx="797">
                  <c:v>29.662459999999999</c:v>
                </c:pt>
                <c:pt idx="798">
                  <c:v>29.61712</c:v>
                </c:pt>
                <c:pt idx="799">
                  <c:v>29.691970000000001</c:v>
                </c:pt>
                <c:pt idx="800">
                  <c:v>29.744450000000001</c:v>
                </c:pt>
                <c:pt idx="801">
                  <c:v>29.792600000000004</c:v>
                </c:pt>
                <c:pt idx="802">
                  <c:v>29.777130000000003</c:v>
                </c:pt>
                <c:pt idx="803">
                  <c:v>29.749360000000003</c:v>
                </c:pt>
                <c:pt idx="804">
                  <c:v>29.878589999999999</c:v>
                </c:pt>
                <c:pt idx="805">
                  <c:v>29.71069</c:v>
                </c:pt>
                <c:pt idx="806">
                  <c:v>29.742979999999999</c:v>
                </c:pt>
                <c:pt idx="807">
                  <c:v>29.64913</c:v>
                </c:pt>
                <c:pt idx="808">
                  <c:v>29.447420000000001</c:v>
                </c:pt>
                <c:pt idx="809">
                  <c:v>29.53276</c:v>
                </c:pt>
                <c:pt idx="810">
                  <c:v>29.622</c:v>
                </c:pt>
                <c:pt idx="811">
                  <c:v>29.667890000000003</c:v>
                </c:pt>
                <c:pt idx="812">
                  <c:v>29.660189999999997</c:v>
                </c:pt>
                <c:pt idx="813">
                  <c:v>29.658439999999999</c:v>
                </c:pt>
                <c:pt idx="814">
                  <c:v>29.62744</c:v>
                </c:pt>
                <c:pt idx="815">
                  <c:v>29.595659999999999</c:v>
                </c:pt>
                <c:pt idx="816">
                  <c:v>29.665109999999999</c:v>
                </c:pt>
                <c:pt idx="817">
                  <c:v>29.724140000000002</c:v>
                </c:pt>
                <c:pt idx="818">
                  <c:v>29.724140000000002</c:v>
                </c:pt>
                <c:pt idx="819">
                  <c:v>29.393000000000001</c:v>
                </c:pt>
                <c:pt idx="820">
                  <c:v>29.562489999999997</c:v>
                </c:pt>
                <c:pt idx="821">
                  <c:v>29.654170000000001</c:v>
                </c:pt>
                <c:pt idx="822">
                  <c:v>29.71002</c:v>
                </c:pt>
                <c:pt idx="823">
                  <c:v>29.722480000000001</c:v>
                </c:pt>
                <c:pt idx="824">
                  <c:v>29.89114</c:v>
                </c:pt>
                <c:pt idx="825">
                  <c:v>29.814440000000001</c:v>
                </c:pt>
                <c:pt idx="826">
                  <c:v>29.900109999999998</c:v>
                </c:pt>
                <c:pt idx="827">
                  <c:v>29.665790000000001</c:v>
                </c:pt>
                <c:pt idx="828">
                  <c:v>29.673690000000001</c:v>
                </c:pt>
                <c:pt idx="829">
                  <c:v>30.25056</c:v>
                </c:pt>
                <c:pt idx="830">
                  <c:v>29.628550000000001</c:v>
                </c:pt>
                <c:pt idx="831">
                  <c:v>29.867609999999999</c:v>
                </c:pt>
                <c:pt idx="832">
                  <c:v>30.42529</c:v>
                </c:pt>
                <c:pt idx="833">
                  <c:v>30.82301</c:v>
                </c:pt>
                <c:pt idx="834">
                  <c:v>30.543299999999999</c:v>
                </c:pt>
                <c:pt idx="835">
                  <c:v>31.088470000000001</c:v>
                </c:pt>
                <c:pt idx="836">
                  <c:v>30.865880000000001</c:v>
                </c:pt>
                <c:pt idx="837">
                  <c:v>31.143429999999999</c:v>
                </c:pt>
                <c:pt idx="838">
                  <c:v>31.294689999999999</c:v>
                </c:pt>
                <c:pt idx="839">
                  <c:v>31.148910000000001</c:v>
                </c:pt>
                <c:pt idx="840">
                  <c:v>31.439869999999999</c:v>
                </c:pt>
                <c:pt idx="841">
                  <c:v>31.702710000000003</c:v>
                </c:pt>
                <c:pt idx="842">
                  <c:v>31.733040000000003</c:v>
                </c:pt>
                <c:pt idx="843">
                  <c:v>31.308479999999999</c:v>
                </c:pt>
                <c:pt idx="844">
                  <c:v>31.220379999999999</c:v>
                </c:pt>
                <c:pt idx="845">
                  <c:v>31.84854</c:v>
                </c:pt>
                <c:pt idx="846">
                  <c:v>31.444929999999999</c:v>
                </c:pt>
                <c:pt idx="847">
                  <c:v>31.727890000000002</c:v>
                </c:pt>
                <c:pt idx="848">
                  <c:v>31.582719999999998</c:v>
                </c:pt>
                <c:pt idx="849">
                  <c:v>32.012050000000002</c:v>
                </c:pt>
                <c:pt idx="850">
                  <c:v>32.200070000000004</c:v>
                </c:pt>
                <c:pt idx="851">
                  <c:v>32.227310000000003</c:v>
                </c:pt>
                <c:pt idx="852">
                  <c:v>32.227310000000003</c:v>
                </c:pt>
                <c:pt idx="853">
                  <c:v>32.11018</c:v>
                </c:pt>
                <c:pt idx="854">
                  <c:v>32.138030000000001</c:v>
                </c:pt>
                <c:pt idx="855">
                  <c:v>32.26681</c:v>
                </c:pt>
                <c:pt idx="856">
                  <c:v>32.326120000000003</c:v>
                </c:pt>
                <c:pt idx="857">
                  <c:v>32.25638</c:v>
                </c:pt>
                <c:pt idx="858">
                  <c:v>32.203760000000003</c:v>
                </c:pt>
                <c:pt idx="859">
                  <c:v>32.232520000000001</c:v>
                </c:pt>
                <c:pt idx="860">
                  <c:v>32.22184</c:v>
                </c:pt>
                <c:pt idx="861">
                  <c:v>32.432369999999999</c:v>
                </c:pt>
                <c:pt idx="862">
                  <c:v>32.447339999999997</c:v>
                </c:pt>
                <c:pt idx="863">
                  <c:v>32.553249999999998</c:v>
                </c:pt>
                <c:pt idx="864">
                  <c:v>32.801720000000003</c:v>
                </c:pt>
                <c:pt idx="865">
                  <c:v>32.789969999999997</c:v>
                </c:pt>
                <c:pt idx="866">
                  <c:v>32.758339999999997</c:v>
                </c:pt>
                <c:pt idx="867">
                  <c:v>32.892669999999995</c:v>
                </c:pt>
                <c:pt idx="868">
                  <c:v>32.800640000000001</c:v>
                </c:pt>
                <c:pt idx="869">
                  <c:v>32.995329999999996</c:v>
                </c:pt>
                <c:pt idx="870">
                  <c:v>33.18139</c:v>
                </c:pt>
                <c:pt idx="871">
                  <c:v>33.364229999999999</c:v>
                </c:pt>
                <c:pt idx="872">
                  <c:v>33.272680000000001</c:v>
                </c:pt>
                <c:pt idx="873">
                  <c:v>33.214689999999997</c:v>
                </c:pt>
                <c:pt idx="874">
                  <c:v>33.247730000000004</c:v>
                </c:pt>
                <c:pt idx="875">
                  <c:v>33.412649999999999</c:v>
                </c:pt>
                <c:pt idx="876">
                  <c:v>33.421790000000001</c:v>
                </c:pt>
                <c:pt idx="877">
                  <c:v>33.325900000000004</c:v>
                </c:pt>
                <c:pt idx="878">
                  <c:v>32.91854</c:v>
                </c:pt>
                <c:pt idx="879">
                  <c:v>32.90099</c:v>
                </c:pt>
                <c:pt idx="880">
                  <c:v>32.853870000000001</c:v>
                </c:pt>
                <c:pt idx="881">
                  <c:v>32.841280000000005</c:v>
                </c:pt>
                <c:pt idx="882">
                  <c:v>32.726869999999998</c:v>
                </c:pt>
                <c:pt idx="883">
                  <c:v>32.385669999999998</c:v>
                </c:pt>
                <c:pt idx="884">
                  <c:v>32.358000000000004</c:v>
                </c:pt>
                <c:pt idx="885">
                  <c:v>31.971709999999998</c:v>
                </c:pt>
                <c:pt idx="886">
                  <c:v>30.049789999999998</c:v>
                </c:pt>
                <c:pt idx="887">
                  <c:v>29.987310000000001</c:v>
                </c:pt>
                <c:pt idx="888">
                  <c:v>29.987310000000001</c:v>
                </c:pt>
                <c:pt idx="889">
                  <c:v>30.1418</c:v>
                </c:pt>
                <c:pt idx="890">
                  <c:v>29.875659999999996</c:v>
                </c:pt>
                <c:pt idx="891">
                  <c:v>30.021460000000001</c:v>
                </c:pt>
                <c:pt idx="892">
                  <c:v>30.149830000000001</c:v>
                </c:pt>
                <c:pt idx="893">
                  <c:v>30.175729999999998</c:v>
                </c:pt>
                <c:pt idx="894">
                  <c:v>30.230720000000002</c:v>
                </c:pt>
                <c:pt idx="895">
                  <c:v>30.231809999999999</c:v>
                </c:pt>
                <c:pt idx="896">
                  <c:v>30.104499999999998</c:v>
                </c:pt>
                <c:pt idx="897">
                  <c:v>30.238440000000001</c:v>
                </c:pt>
                <c:pt idx="898">
                  <c:v>29.940630000000002</c:v>
                </c:pt>
                <c:pt idx="899">
                  <c:v>30.045180000000002</c:v>
                </c:pt>
                <c:pt idx="900">
                  <c:v>30.423939999999998</c:v>
                </c:pt>
                <c:pt idx="901">
                  <c:v>30.32329</c:v>
                </c:pt>
                <c:pt idx="902">
                  <c:v>30.555520000000001</c:v>
                </c:pt>
                <c:pt idx="903">
                  <c:v>30.562269999999998</c:v>
                </c:pt>
                <c:pt idx="904">
                  <c:v>30.562269999999998</c:v>
                </c:pt>
                <c:pt idx="905">
                  <c:v>30.47824</c:v>
                </c:pt>
                <c:pt idx="906">
                  <c:v>34.288850000000004</c:v>
                </c:pt>
                <c:pt idx="907">
                  <c:v>34.221649999999997</c:v>
                </c:pt>
                <c:pt idx="908">
                  <c:v>31.082649999999997</c:v>
                </c:pt>
                <c:pt idx="909">
                  <c:v>31.142790000000002</c:v>
                </c:pt>
                <c:pt idx="910">
                  <c:v>29.161930000000002</c:v>
                </c:pt>
                <c:pt idx="911">
                  <c:v>29.168339999999997</c:v>
                </c:pt>
                <c:pt idx="912">
                  <c:v>32.042769999999997</c:v>
                </c:pt>
                <c:pt idx="913">
                  <c:v>30.270770000000002</c:v>
                </c:pt>
                <c:pt idx="914">
                  <c:v>30.164050000000003</c:v>
                </c:pt>
                <c:pt idx="915">
                  <c:v>30.164050000000003</c:v>
                </c:pt>
                <c:pt idx="916">
                  <c:v>29.472199999999997</c:v>
                </c:pt>
                <c:pt idx="917">
                  <c:v>29.532209999999999</c:v>
                </c:pt>
                <c:pt idx="918">
                  <c:v>29.594380000000001</c:v>
                </c:pt>
                <c:pt idx="919">
                  <c:v>29.733420000000002</c:v>
                </c:pt>
                <c:pt idx="920">
                  <c:v>29.780549999999998</c:v>
                </c:pt>
                <c:pt idx="921">
                  <c:v>28.738519999999998</c:v>
                </c:pt>
                <c:pt idx="922">
                  <c:v>28.954160000000002</c:v>
                </c:pt>
                <c:pt idx="923">
                  <c:v>28.920339999999999</c:v>
                </c:pt>
                <c:pt idx="924">
                  <c:v>28.913589999999999</c:v>
                </c:pt>
                <c:pt idx="925">
                  <c:v>28.803339999999999</c:v>
                </c:pt>
                <c:pt idx="926">
                  <c:v>29.30688</c:v>
                </c:pt>
                <c:pt idx="927">
                  <c:v>28.205830000000002</c:v>
                </c:pt>
                <c:pt idx="928">
                  <c:v>28.26689</c:v>
                </c:pt>
                <c:pt idx="929">
                  <c:v>28.426129999999997</c:v>
                </c:pt>
                <c:pt idx="930">
                  <c:v>27.734349999999999</c:v>
                </c:pt>
                <c:pt idx="931">
                  <c:v>24.22288</c:v>
                </c:pt>
                <c:pt idx="932">
                  <c:v>23.971329999999998</c:v>
                </c:pt>
                <c:pt idx="933">
                  <c:v>24.641149999999996</c:v>
                </c:pt>
                <c:pt idx="934">
                  <c:v>24.588480000000001</c:v>
                </c:pt>
                <c:pt idx="935">
                  <c:v>24.546320000000001</c:v>
                </c:pt>
                <c:pt idx="936">
                  <c:v>22.861540000000002</c:v>
                </c:pt>
                <c:pt idx="937">
                  <c:v>22.745929999999998</c:v>
                </c:pt>
                <c:pt idx="938">
                  <c:v>23.075089999999999</c:v>
                </c:pt>
                <c:pt idx="939">
                  <c:v>23.23733</c:v>
                </c:pt>
                <c:pt idx="940">
                  <c:v>23.376550000000002</c:v>
                </c:pt>
                <c:pt idx="941">
                  <c:v>23.406140000000001</c:v>
                </c:pt>
                <c:pt idx="942">
                  <c:v>23.229420000000001</c:v>
                </c:pt>
                <c:pt idx="943">
                  <c:v>23.18167</c:v>
                </c:pt>
                <c:pt idx="944">
                  <c:v>23.167739999999998</c:v>
                </c:pt>
                <c:pt idx="945">
                  <c:v>23.0718</c:v>
                </c:pt>
                <c:pt idx="946">
                  <c:v>23.046759999999999</c:v>
                </c:pt>
                <c:pt idx="947">
                  <c:v>23.152359999999998</c:v>
                </c:pt>
                <c:pt idx="948">
                  <c:v>23.085970000000003</c:v>
                </c:pt>
                <c:pt idx="949">
                  <c:v>23.0336</c:v>
                </c:pt>
                <c:pt idx="950">
                  <c:v>23.030700000000003</c:v>
                </c:pt>
                <c:pt idx="951">
                  <c:v>23.160810000000001</c:v>
                </c:pt>
                <c:pt idx="952">
                  <c:v>23.211069999999999</c:v>
                </c:pt>
                <c:pt idx="953">
                  <c:v>23.204140000000002</c:v>
                </c:pt>
                <c:pt idx="954">
                  <c:v>23.270140000000001</c:v>
                </c:pt>
                <c:pt idx="955">
                  <c:v>23.394540000000003</c:v>
                </c:pt>
                <c:pt idx="956">
                  <c:v>23.425529999999998</c:v>
                </c:pt>
                <c:pt idx="957">
                  <c:v>23.874720000000003</c:v>
                </c:pt>
                <c:pt idx="958">
                  <c:v>24.066939999999999</c:v>
                </c:pt>
                <c:pt idx="959">
                  <c:v>24.055489999999999</c:v>
                </c:pt>
                <c:pt idx="960">
                  <c:v>24.32094</c:v>
                </c:pt>
                <c:pt idx="961">
                  <c:v>24.40832</c:v>
                </c:pt>
                <c:pt idx="962">
                  <c:v>24.536490000000001</c:v>
                </c:pt>
                <c:pt idx="963">
                  <c:v>24.553290000000001</c:v>
                </c:pt>
                <c:pt idx="964">
                  <c:v>24.579039999999999</c:v>
                </c:pt>
                <c:pt idx="965">
                  <c:v>24.702739999999999</c:v>
                </c:pt>
                <c:pt idx="966">
                  <c:v>24.77562</c:v>
                </c:pt>
                <c:pt idx="967">
                  <c:v>24.762280000000001</c:v>
                </c:pt>
                <c:pt idx="968">
                  <c:v>24.819270000000003</c:v>
                </c:pt>
                <c:pt idx="969">
                  <c:v>24.766570000000002</c:v>
                </c:pt>
                <c:pt idx="970">
                  <c:v>24.761909999999997</c:v>
                </c:pt>
                <c:pt idx="971">
                  <c:v>24.844560000000001</c:v>
                </c:pt>
                <c:pt idx="972">
                  <c:v>24.929609999999997</c:v>
                </c:pt>
                <c:pt idx="973">
                  <c:v>24.894589999999997</c:v>
                </c:pt>
                <c:pt idx="974">
                  <c:v>24.928449999999998</c:v>
                </c:pt>
                <c:pt idx="975">
                  <c:v>24.912459999999999</c:v>
                </c:pt>
                <c:pt idx="976">
                  <c:v>25.08812</c:v>
                </c:pt>
                <c:pt idx="977">
                  <c:v>25.151419999999998</c:v>
                </c:pt>
                <c:pt idx="978">
                  <c:v>25.085560000000001</c:v>
                </c:pt>
                <c:pt idx="979">
                  <c:v>25.064419999999998</c:v>
                </c:pt>
                <c:pt idx="980">
                  <c:v>25.201350000000001</c:v>
                </c:pt>
                <c:pt idx="981">
                  <c:v>25.403729999999999</c:v>
                </c:pt>
                <c:pt idx="982">
                  <c:v>25.132199999999997</c:v>
                </c:pt>
                <c:pt idx="983">
                  <c:v>25.132199999999997</c:v>
                </c:pt>
                <c:pt idx="984">
                  <c:v>25.273249999999997</c:v>
                </c:pt>
                <c:pt idx="985">
                  <c:v>25.296559999999999</c:v>
                </c:pt>
                <c:pt idx="986">
                  <c:v>25.451309999999999</c:v>
                </c:pt>
                <c:pt idx="987">
                  <c:v>25.542930000000002</c:v>
                </c:pt>
                <c:pt idx="988">
                  <c:v>25.537210000000002</c:v>
                </c:pt>
                <c:pt idx="989">
                  <c:v>25.850540000000002</c:v>
                </c:pt>
                <c:pt idx="990">
                  <c:v>25.90551</c:v>
                </c:pt>
                <c:pt idx="991">
                  <c:v>26.06147</c:v>
                </c:pt>
                <c:pt idx="992">
                  <c:v>26.206849999999999</c:v>
                </c:pt>
                <c:pt idx="993">
                  <c:v>26.282489999999999</c:v>
                </c:pt>
                <c:pt idx="994">
                  <c:v>26.273380000000003</c:v>
                </c:pt>
                <c:pt idx="995">
                  <c:v>26.223960000000002</c:v>
                </c:pt>
                <c:pt idx="996">
                  <c:v>26.42755</c:v>
                </c:pt>
                <c:pt idx="997">
                  <c:v>26.495569999999997</c:v>
                </c:pt>
                <c:pt idx="998">
                  <c:v>26.414479999999998</c:v>
                </c:pt>
                <c:pt idx="999">
                  <c:v>26.507179999999998</c:v>
                </c:pt>
                <c:pt idx="1000">
                  <c:v>26.725200000000001</c:v>
                </c:pt>
                <c:pt idx="1001">
                  <c:v>26.81345</c:v>
                </c:pt>
                <c:pt idx="1002">
                  <c:v>26.94247</c:v>
                </c:pt>
                <c:pt idx="1003">
                  <c:v>26.943930000000002</c:v>
                </c:pt>
                <c:pt idx="1004">
                  <c:v>26.945219999999999</c:v>
                </c:pt>
                <c:pt idx="1005">
                  <c:v>26.981550000000002</c:v>
                </c:pt>
                <c:pt idx="1006">
                  <c:v>27.003249999999998</c:v>
                </c:pt>
                <c:pt idx="1007">
                  <c:v>27.005140000000001</c:v>
                </c:pt>
                <c:pt idx="1008">
                  <c:v>27.058519999999998</c:v>
                </c:pt>
                <c:pt idx="1009">
                  <c:v>27.350540000000002</c:v>
                </c:pt>
                <c:pt idx="1010">
                  <c:v>27.287790000000001</c:v>
                </c:pt>
                <c:pt idx="1011">
                  <c:v>27.543380000000003</c:v>
                </c:pt>
                <c:pt idx="1012">
                  <c:v>27.50264</c:v>
                </c:pt>
                <c:pt idx="1013">
                  <c:v>27.546669999999999</c:v>
                </c:pt>
                <c:pt idx="1014">
                  <c:v>27.597159999999999</c:v>
                </c:pt>
                <c:pt idx="1015">
                  <c:v>25.98002</c:v>
                </c:pt>
                <c:pt idx="1016">
                  <c:v>25.98002</c:v>
                </c:pt>
                <c:pt idx="1017">
                  <c:v>25.898530000000001</c:v>
                </c:pt>
                <c:pt idx="1018">
                  <c:v>25.965140000000002</c:v>
                </c:pt>
                <c:pt idx="1019">
                  <c:v>26.141869999999997</c:v>
                </c:pt>
                <c:pt idx="1020">
                  <c:v>26.271350000000002</c:v>
                </c:pt>
                <c:pt idx="1021">
                  <c:v>26.298999999999999</c:v>
                </c:pt>
                <c:pt idx="1022">
                  <c:v>26.480799999999999</c:v>
                </c:pt>
                <c:pt idx="1023">
                  <c:v>26.43946</c:v>
                </c:pt>
                <c:pt idx="1024">
                  <c:v>26.539470000000001</c:v>
                </c:pt>
                <c:pt idx="1025">
                  <c:v>26.578139999999998</c:v>
                </c:pt>
                <c:pt idx="1026">
                  <c:v>26.696669999999997</c:v>
                </c:pt>
                <c:pt idx="1027">
                  <c:v>26.61074</c:v>
                </c:pt>
                <c:pt idx="1028">
                  <c:v>26.64781</c:v>
                </c:pt>
                <c:pt idx="1029">
                  <c:v>26.690990000000003</c:v>
                </c:pt>
                <c:pt idx="1030">
                  <c:v>26.999520000000004</c:v>
                </c:pt>
                <c:pt idx="1031">
                  <c:v>27.201999999999998</c:v>
                </c:pt>
                <c:pt idx="1032">
                  <c:v>27.200689999999998</c:v>
                </c:pt>
                <c:pt idx="1033">
                  <c:v>27.246480000000002</c:v>
                </c:pt>
                <c:pt idx="1034">
                  <c:v>27.287990000000001</c:v>
                </c:pt>
                <c:pt idx="1035">
                  <c:v>27.402979999999999</c:v>
                </c:pt>
                <c:pt idx="1036">
                  <c:v>27.576080000000001</c:v>
                </c:pt>
                <c:pt idx="1037">
                  <c:v>27.603279999999998</c:v>
                </c:pt>
                <c:pt idx="1038">
                  <c:v>27.603279999999998</c:v>
                </c:pt>
                <c:pt idx="1039">
                  <c:v>27.657060000000001</c:v>
                </c:pt>
                <c:pt idx="1040">
                  <c:v>27.787009999999999</c:v>
                </c:pt>
                <c:pt idx="1041">
                  <c:v>27.87697</c:v>
                </c:pt>
                <c:pt idx="1042">
                  <c:v>27.947800000000001</c:v>
                </c:pt>
                <c:pt idx="1043">
                  <c:v>27.947800000000001</c:v>
                </c:pt>
                <c:pt idx="1044">
                  <c:v>27.69415</c:v>
                </c:pt>
                <c:pt idx="1045">
                  <c:v>27.738530000000001</c:v>
                </c:pt>
                <c:pt idx="1046">
                  <c:v>27.784679999999998</c:v>
                </c:pt>
                <c:pt idx="1047">
                  <c:v>27.81512</c:v>
                </c:pt>
                <c:pt idx="1048">
                  <c:v>27.862199999999998</c:v>
                </c:pt>
                <c:pt idx="1049">
                  <c:v>27.883000000000003</c:v>
                </c:pt>
                <c:pt idx="1050">
                  <c:v>26.628359999999997</c:v>
                </c:pt>
                <c:pt idx="1051">
                  <c:v>19.612680000000001</c:v>
                </c:pt>
                <c:pt idx="1052">
                  <c:v>19.731010000000001</c:v>
                </c:pt>
                <c:pt idx="1053">
                  <c:v>19.731010000000001</c:v>
                </c:pt>
                <c:pt idx="1054">
                  <c:v>17.52711</c:v>
                </c:pt>
                <c:pt idx="1055">
                  <c:v>15.34892</c:v>
                </c:pt>
                <c:pt idx="1056">
                  <c:v>16.528669999999998</c:v>
                </c:pt>
                <c:pt idx="1057">
                  <c:v>16.528669999999998</c:v>
                </c:pt>
                <c:pt idx="1058">
                  <c:v>15.344290000000001</c:v>
                </c:pt>
                <c:pt idx="1059">
                  <c:v>14.4298</c:v>
                </c:pt>
                <c:pt idx="1060">
                  <c:v>14.351189999999999</c:v>
                </c:pt>
                <c:pt idx="1061">
                  <c:v>14.830599999999999</c:v>
                </c:pt>
                <c:pt idx="1062">
                  <c:v>14.738350000000001</c:v>
                </c:pt>
                <c:pt idx="1063">
                  <c:v>14.67808</c:v>
                </c:pt>
                <c:pt idx="1064">
                  <c:v>15.47838</c:v>
                </c:pt>
                <c:pt idx="1065">
                  <c:v>15.200740000000001</c:v>
                </c:pt>
                <c:pt idx="1066">
                  <c:v>15.271050000000001</c:v>
                </c:pt>
                <c:pt idx="1067">
                  <c:v>15.081679999999999</c:v>
                </c:pt>
                <c:pt idx="1068">
                  <c:v>15.133850000000001</c:v>
                </c:pt>
                <c:pt idx="1069">
                  <c:v>14.821890000000002</c:v>
                </c:pt>
                <c:pt idx="1070">
                  <c:v>14.53675</c:v>
                </c:pt>
                <c:pt idx="1071">
                  <c:v>14.542249999999999</c:v>
                </c:pt>
                <c:pt idx="1072">
                  <c:v>15.26909</c:v>
                </c:pt>
                <c:pt idx="1073">
                  <c:v>15.35632</c:v>
                </c:pt>
                <c:pt idx="1074">
                  <c:v>15.44239</c:v>
                </c:pt>
                <c:pt idx="1075">
                  <c:v>15.525450000000001</c:v>
                </c:pt>
                <c:pt idx="1076">
                  <c:v>15.64837</c:v>
                </c:pt>
                <c:pt idx="1077">
                  <c:v>15.56334</c:v>
                </c:pt>
                <c:pt idx="1078">
                  <c:v>15.56334</c:v>
                </c:pt>
                <c:pt idx="1079">
                  <c:v>15.726459999999999</c:v>
                </c:pt>
                <c:pt idx="1080">
                  <c:v>15.84104</c:v>
                </c:pt>
                <c:pt idx="1081">
                  <c:v>10.719149999999999</c:v>
                </c:pt>
                <c:pt idx="1082">
                  <c:v>10.75942</c:v>
                </c:pt>
                <c:pt idx="1083">
                  <c:v>10.673550000000001</c:v>
                </c:pt>
                <c:pt idx="1084">
                  <c:v>11.20603</c:v>
                </c:pt>
                <c:pt idx="1085">
                  <c:v>10.66675</c:v>
                </c:pt>
                <c:pt idx="1086">
                  <c:v>10.734999999999999</c:v>
                </c:pt>
                <c:pt idx="1087">
                  <c:v>10.857889999999999</c:v>
                </c:pt>
                <c:pt idx="1088">
                  <c:v>10.662180000000001</c:v>
                </c:pt>
                <c:pt idx="1089">
                  <c:v>10.500970000000001</c:v>
                </c:pt>
                <c:pt idx="1090">
                  <c:v>10.03567</c:v>
                </c:pt>
                <c:pt idx="1091">
                  <c:v>10.20022</c:v>
                </c:pt>
                <c:pt idx="1092">
                  <c:v>10.80353</c:v>
                </c:pt>
                <c:pt idx="1093">
                  <c:v>9.9974600000000002</c:v>
                </c:pt>
                <c:pt idx="1094">
                  <c:v>10.430109999999999</c:v>
                </c:pt>
                <c:pt idx="1095">
                  <c:v>10.031979999999999</c:v>
                </c:pt>
                <c:pt idx="1096">
                  <c:v>10.992170000000002</c:v>
                </c:pt>
                <c:pt idx="1097">
                  <c:v>11.015699999999999</c:v>
                </c:pt>
                <c:pt idx="1098">
                  <c:v>10.634269999999999</c:v>
                </c:pt>
                <c:pt idx="1099">
                  <c:v>10.93033</c:v>
                </c:pt>
                <c:pt idx="1100">
                  <c:v>11.095180000000001</c:v>
                </c:pt>
                <c:pt idx="1101">
                  <c:v>10.89171</c:v>
                </c:pt>
                <c:pt idx="1102">
                  <c:v>10.982840000000001</c:v>
                </c:pt>
                <c:pt idx="1103">
                  <c:v>10.92202</c:v>
                </c:pt>
                <c:pt idx="1104">
                  <c:v>11.00981</c:v>
                </c:pt>
                <c:pt idx="1105">
                  <c:v>11.100820000000001</c:v>
                </c:pt>
                <c:pt idx="1106">
                  <c:v>11.097449999999998</c:v>
                </c:pt>
                <c:pt idx="1107">
                  <c:v>11.097449999999998</c:v>
                </c:pt>
                <c:pt idx="1108">
                  <c:v>10.437899999999999</c:v>
                </c:pt>
                <c:pt idx="1109">
                  <c:v>10.520809999999999</c:v>
                </c:pt>
                <c:pt idx="1110">
                  <c:v>10.321440000000001</c:v>
                </c:pt>
                <c:pt idx="1111">
                  <c:v>10.33431</c:v>
                </c:pt>
                <c:pt idx="1112">
                  <c:v>10.288540000000001</c:v>
                </c:pt>
                <c:pt idx="1113">
                  <c:v>10.189349999999999</c:v>
                </c:pt>
                <c:pt idx="1114">
                  <c:v>11.356169999999999</c:v>
                </c:pt>
                <c:pt idx="1115">
                  <c:v>11.187760000000001</c:v>
                </c:pt>
                <c:pt idx="1116">
                  <c:v>11.40377</c:v>
                </c:pt>
                <c:pt idx="1117">
                  <c:v>11.496259999999999</c:v>
                </c:pt>
                <c:pt idx="1118">
                  <c:v>11.509400000000001</c:v>
                </c:pt>
                <c:pt idx="1119">
                  <c:v>11.484269999999999</c:v>
                </c:pt>
                <c:pt idx="1120">
                  <c:v>11.55067</c:v>
                </c:pt>
                <c:pt idx="1121">
                  <c:v>11.55672</c:v>
                </c:pt>
                <c:pt idx="1122">
                  <c:v>11.59877</c:v>
                </c:pt>
                <c:pt idx="1123">
                  <c:v>11.62426</c:v>
                </c:pt>
                <c:pt idx="1124">
                  <c:v>11.69638</c:v>
                </c:pt>
                <c:pt idx="1125">
                  <c:v>11.693150000000001</c:v>
                </c:pt>
                <c:pt idx="1126">
                  <c:v>11.696769999999999</c:v>
                </c:pt>
                <c:pt idx="1127">
                  <c:v>11.714410000000001</c:v>
                </c:pt>
                <c:pt idx="1128">
                  <c:v>11.796250000000001</c:v>
                </c:pt>
                <c:pt idx="1129">
                  <c:v>11.76191</c:v>
                </c:pt>
                <c:pt idx="1130">
                  <c:v>11.862299999999999</c:v>
                </c:pt>
                <c:pt idx="1131">
                  <c:v>12.01118</c:v>
                </c:pt>
                <c:pt idx="1132">
                  <c:v>12.103779999999999</c:v>
                </c:pt>
                <c:pt idx="1133">
                  <c:v>12.09192</c:v>
                </c:pt>
                <c:pt idx="1134">
                  <c:v>12.139049999999999</c:v>
                </c:pt>
                <c:pt idx="1135">
                  <c:v>12.153650000000001</c:v>
                </c:pt>
                <c:pt idx="1136">
                  <c:v>12.250170000000001</c:v>
                </c:pt>
                <c:pt idx="1137">
                  <c:v>12.220889999999999</c:v>
                </c:pt>
                <c:pt idx="1138">
                  <c:v>12.24527</c:v>
                </c:pt>
                <c:pt idx="1139">
                  <c:v>12.32048</c:v>
                </c:pt>
                <c:pt idx="1140">
                  <c:v>12.433920000000001</c:v>
                </c:pt>
                <c:pt idx="1141">
                  <c:v>12.345260000000001</c:v>
                </c:pt>
                <c:pt idx="1142">
                  <c:v>12.329500000000001</c:v>
                </c:pt>
                <c:pt idx="1143">
                  <c:v>12.338279999999999</c:v>
                </c:pt>
                <c:pt idx="1144">
                  <c:v>12.38003</c:v>
                </c:pt>
                <c:pt idx="1145">
                  <c:v>12.35453</c:v>
                </c:pt>
                <c:pt idx="1146">
                  <c:v>10.86612</c:v>
                </c:pt>
                <c:pt idx="1147">
                  <c:v>10.880840000000001</c:v>
                </c:pt>
                <c:pt idx="1148">
                  <c:v>10.880840000000001</c:v>
                </c:pt>
                <c:pt idx="1149">
                  <c:v>10.87171</c:v>
                </c:pt>
                <c:pt idx="1150">
                  <c:v>10.846769999999999</c:v>
                </c:pt>
                <c:pt idx="1151">
                  <c:v>10.96585</c:v>
                </c:pt>
                <c:pt idx="1152">
                  <c:v>11.04791</c:v>
                </c:pt>
                <c:pt idx="1153">
                  <c:v>11.08487</c:v>
                </c:pt>
                <c:pt idx="1154">
                  <c:v>11.177470000000001</c:v>
                </c:pt>
                <c:pt idx="1155">
                  <c:v>11.243650000000001</c:v>
                </c:pt>
                <c:pt idx="1156">
                  <c:v>11.3157</c:v>
                </c:pt>
                <c:pt idx="1157">
                  <c:v>11.18506</c:v>
                </c:pt>
                <c:pt idx="1158">
                  <c:v>11.245619999999999</c:v>
                </c:pt>
                <c:pt idx="1159">
                  <c:v>11.28932</c:v>
                </c:pt>
                <c:pt idx="1160">
                  <c:v>11.3759</c:v>
                </c:pt>
                <c:pt idx="1161">
                  <c:v>11.5199</c:v>
                </c:pt>
                <c:pt idx="1162">
                  <c:v>11.550180000000001</c:v>
                </c:pt>
                <c:pt idx="1163">
                  <c:v>11.521669999999999</c:v>
                </c:pt>
                <c:pt idx="1164">
                  <c:v>11.587899999999999</c:v>
                </c:pt>
              </c:numCache>
            </c:numRef>
          </c:val>
          <c:smooth val="0"/>
          <c:extLst>
            <c:ext xmlns:c16="http://schemas.microsoft.com/office/drawing/2014/chart" uri="{C3380CC4-5D6E-409C-BE32-E72D297353CC}">
              <c16:uniqueId val="{00000001-5560-4D07-B97F-4AA9E95DFDA5}"/>
            </c:ext>
          </c:extLst>
        </c:ser>
        <c:ser>
          <c:idx val="3"/>
          <c:order val="3"/>
          <c:tx>
            <c:strRef>
              <c:f>Sheet1!$E$1</c:f>
              <c:strCache>
                <c:ptCount val="1"/>
                <c:pt idx="0">
                  <c:v>Հայաստան (2029թ.)</c:v>
                </c:pt>
              </c:strCache>
            </c:strRef>
          </c:tx>
          <c:spPr>
            <a:ln w="19050" cap="rnd">
              <a:solidFill>
                <a:schemeClr val="accent2">
                  <a:lumMod val="60000"/>
                  <a:lumOff val="40000"/>
                </a:schemeClr>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Sheet1!$E$2:$E$1428</c:f>
              <c:numCache>
                <c:formatCode>0</c:formatCode>
                <c:ptCount val="1166"/>
                <c:pt idx="0">
                  <c:v>2.12114</c:v>
                </c:pt>
                <c:pt idx="1">
                  <c:v>2.1353</c:v>
                </c:pt>
                <c:pt idx="2">
                  <c:v>2.23536</c:v>
                </c:pt>
                <c:pt idx="3">
                  <c:v>2.2467799999999998</c:v>
                </c:pt>
                <c:pt idx="4">
                  <c:v>2.2223099999999998</c:v>
                </c:pt>
                <c:pt idx="5">
                  <c:v>2.1464699999999999</c:v>
                </c:pt>
                <c:pt idx="6">
                  <c:v>2.10528</c:v>
                </c:pt>
                <c:pt idx="7">
                  <c:v>2.0803600000000002</c:v>
                </c:pt>
                <c:pt idx="8">
                  <c:v>2.0828899999999999</c:v>
                </c:pt>
                <c:pt idx="9">
                  <c:v>2.0657399999999999</c:v>
                </c:pt>
                <c:pt idx="10">
                  <c:v>2.0863999999999998</c:v>
                </c:pt>
                <c:pt idx="11">
                  <c:v>1.9735400000000001</c:v>
                </c:pt>
                <c:pt idx="12">
                  <c:v>2.0033400000000001</c:v>
                </c:pt>
                <c:pt idx="13">
                  <c:v>2.0045299999999999</c:v>
                </c:pt>
                <c:pt idx="14">
                  <c:v>2.0404599999999999</c:v>
                </c:pt>
                <c:pt idx="15">
                  <c:v>2.05254</c:v>
                </c:pt>
                <c:pt idx="16">
                  <c:v>2.0810200000000001</c:v>
                </c:pt>
                <c:pt idx="17">
                  <c:v>2.12384</c:v>
                </c:pt>
                <c:pt idx="18">
                  <c:v>2.2173500000000002</c:v>
                </c:pt>
                <c:pt idx="19">
                  <c:v>2.1707000000000001</c:v>
                </c:pt>
                <c:pt idx="20">
                  <c:v>2.2183999999999999</c:v>
                </c:pt>
                <c:pt idx="21">
                  <c:v>2.2484500000000001</c:v>
                </c:pt>
                <c:pt idx="22">
                  <c:v>2.2577400000000001</c:v>
                </c:pt>
                <c:pt idx="23">
                  <c:v>2.2863699999999998</c:v>
                </c:pt>
                <c:pt idx="24">
                  <c:v>2.2288800000000002</c:v>
                </c:pt>
                <c:pt idx="25">
                  <c:v>2.1729499999999997</c:v>
                </c:pt>
                <c:pt idx="26">
                  <c:v>2.1487600000000002</c:v>
                </c:pt>
                <c:pt idx="27">
                  <c:v>2.2061899999999999</c:v>
                </c:pt>
                <c:pt idx="28">
                  <c:v>2.2209699999999999</c:v>
                </c:pt>
                <c:pt idx="29">
                  <c:v>2.1882900000000003</c:v>
                </c:pt>
                <c:pt idx="30">
                  <c:v>2.1608499999999999</c:v>
                </c:pt>
                <c:pt idx="31">
                  <c:v>2.15937</c:v>
                </c:pt>
                <c:pt idx="32">
                  <c:v>2.1473100000000001</c:v>
                </c:pt>
                <c:pt idx="33">
                  <c:v>2.1528</c:v>
                </c:pt>
                <c:pt idx="34">
                  <c:v>2.1555599999999999</c:v>
                </c:pt>
                <c:pt idx="35">
                  <c:v>2.1421899999999998</c:v>
                </c:pt>
                <c:pt idx="36">
                  <c:v>2.18146</c:v>
                </c:pt>
                <c:pt idx="37">
                  <c:v>2.2174999999999998</c:v>
                </c:pt>
                <c:pt idx="38">
                  <c:v>2.31054</c:v>
                </c:pt>
                <c:pt idx="39">
                  <c:v>2.34795</c:v>
                </c:pt>
                <c:pt idx="40">
                  <c:v>2.32748</c:v>
                </c:pt>
                <c:pt idx="41">
                  <c:v>2.4815399999999999</c:v>
                </c:pt>
                <c:pt idx="42">
                  <c:v>2.8059600000000002</c:v>
                </c:pt>
                <c:pt idx="43">
                  <c:v>2.778</c:v>
                </c:pt>
                <c:pt idx="44">
                  <c:v>2.6498899999999996</c:v>
                </c:pt>
                <c:pt idx="45">
                  <c:v>2.6928500000000004</c:v>
                </c:pt>
                <c:pt idx="46">
                  <c:v>2.7486299999999999</c:v>
                </c:pt>
                <c:pt idx="47">
                  <c:v>2.9555599999999997</c:v>
                </c:pt>
                <c:pt idx="48">
                  <c:v>3.78823</c:v>
                </c:pt>
                <c:pt idx="49">
                  <c:v>3.56264</c:v>
                </c:pt>
                <c:pt idx="50">
                  <c:v>3.4983</c:v>
                </c:pt>
                <c:pt idx="51">
                  <c:v>3.9068200000000002</c:v>
                </c:pt>
                <c:pt idx="52">
                  <c:v>3.75224</c:v>
                </c:pt>
                <c:pt idx="53">
                  <c:v>4.1019800000000002</c:v>
                </c:pt>
                <c:pt idx="54">
                  <c:v>4.0928800000000001</c:v>
                </c:pt>
                <c:pt idx="55">
                  <c:v>4.6605699999999999</c:v>
                </c:pt>
                <c:pt idx="56">
                  <c:v>4.8567099999999996</c:v>
                </c:pt>
                <c:pt idx="57">
                  <c:v>4.9901400000000002</c:v>
                </c:pt>
                <c:pt idx="58">
                  <c:v>5.3417499999999993</c:v>
                </c:pt>
                <c:pt idx="59">
                  <c:v>5.3165999999999993</c:v>
                </c:pt>
                <c:pt idx="60">
                  <c:v>5.1505600000000005</c:v>
                </c:pt>
                <c:pt idx="61">
                  <c:v>4.7224000000000004</c:v>
                </c:pt>
                <c:pt idx="62">
                  <c:v>4.7852499999999996</c:v>
                </c:pt>
                <c:pt idx="63">
                  <c:v>4.9610500000000002</c:v>
                </c:pt>
                <c:pt idx="64">
                  <c:v>4.8479999999999999</c:v>
                </c:pt>
                <c:pt idx="65">
                  <c:v>4.8105799999999999</c:v>
                </c:pt>
                <c:pt idx="66">
                  <c:v>4.8320400000000001</c:v>
                </c:pt>
                <c:pt idx="67">
                  <c:v>4.67422</c:v>
                </c:pt>
                <c:pt idx="68">
                  <c:v>4.5115600000000002</c:v>
                </c:pt>
                <c:pt idx="69">
                  <c:v>4.4511700000000003</c:v>
                </c:pt>
                <c:pt idx="70">
                  <c:v>4.4205500000000004</c:v>
                </c:pt>
                <c:pt idx="71">
                  <c:v>4.3113900000000003</c:v>
                </c:pt>
                <c:pt idx="72">
                  <c:v>4.3113900000000003</c:v>
                </c:pt>
                <c:pt idx="73">
                  <c:v>4.3113900000000003</c:v>
                </c:pt>
                <c:pt idx="74">
                  <c:v>4.1780799999999996</c:v>
                </c:pt>
                <c:pt idx="75">
                  <c:v>4.2955500000000004</c:v>
                </c:pt>
                <c:pt idx="76">
                  <c:v>4.3374300000000003</c:v>
                </c:pt>
                <c:pt idx="77">
                  <c:v>4.2530099999999997</c:v>
                </c:pt>
                <c:pt idx="78">
                  <c:v>4.2357899999999997</c:v>
                </c:pt>
                <c:pt idx="79">
                  <c:v>4.2892200000000003</c:v>
                </c:pt>
                <c:pt idx="80">
                  <c:v>4.3148599999999995</c:v>
                </c:pt>
                <c:pt idx="81">
                  <c:v>4.3129900000000001</c:v>
                </c:pt>
                <c:pt idx="82">
                  <c:v>4.3169199999999996</c:v>
                </c:pt>
                <c:pt idx="83">
                  <c:v>4.2660400000000003</c:v>
                </c:pt>
                <c:pt idx="84">
                  <c:v>4.2976600000000005</c:v>
                </c:pt>
                <c:pt idx="85">
                  <c:v>4.2947000000000006</c:v>
                </c:pt>
                <c:pt idx="86">
                  <c:v>4.1898200000000001</c:v>
                </c:pt>
                <c:pt idx="87">
                  <c:v>4.21401</c:v>
                </c:pt>
                <c:pt idx="88">
                  <c:v>4.2184300000000006</c:v>
                </c:pt>
                <c:pt idx="89">
                  <c:v>3.9559500000000001</c:v>
                </c:pt>
                <c:pt idx="90">
                  <c:v>3.85</c:v>
                </c:pt>
                <c:pt idx="91">
                  <c:v>3.9926699999999999</c:v>
                </c:pt>
                <c:pt idx="92">
                  <c:v>3.9926699999999999</c:v>
                </c:pt>
                <c:pt idx="93">
                  <c:v>3.6954199999999999</c:v>
                </c:pt>
                <c:pt idx="94">
                  <c:v>3.7346300000000001</c:v>
                </c:pt>
                <c:pt idx="95">
                  <c:v>3.7349700000000001</c:v>
                </c:pt>
                <c:pt idx="96">
                  <c:v>3.7245800000000004</c:v>
                </c:pt>
                <c:pt idx="97">
                  <c:v>3.7324400000000004</c:v>
                </c:pt>
                <c:pt idx="98">
                  <c:v>3.47932</c:v>
                </c:pt>
                <c:pt idx="99">
                  <c:v>3.4400200000000001</c:v>
                </c:pt>
                <c:pt idx="100">
                  <c:v>3.3361800000000001</c:v>
                </c:pt>
                <c:pt idx="101">
                  <c:v>3.3412299999999999</c:v>
                </c:pt>
                <c:pt idx="102">
                  <c:v>3.3314299999999997</c:v>
                </c:pt>
                <c:pt idx="103">
                  <c:v>3.3314299999999997</c:v>
                </c:pt>
                <c:pt idx="104">
                  <c:v>3.28051</c:v>
                </c:pt>
                <c:pt idx="105">
                  <c:v>3.2691599999999998</c:v>
                </c:pt>
                <c:pt idx="106">
                  <c:v>3.2620299999999998</c:v>
                </c:pt>
                <c:pt idx="107">
                  <c:v>3.29149</c:v>
                </c:pt>
                <c:pt idx="108">
                  <c:v>3.2766199999999999</c:v>
                </c:pt>
                <c:pt idx="109">
                  <c:v>3.2702599999999999</c:v>
                </c:pt>
                <c:pt idx="110">
                  <c:v>3.20445</c:v>
                </c:pt>
                <c:pt idx="111">
                  <c:v>3.1691099999999999</c:v>
                </c:pt>
                <c:pt idx="112">
                  <c:v>3.03024</c:v>
                </c:pt>
                <c:pt idx="113">
                  <c:v>3.1076600000000001</c:v>
                </c:pt>
                <c:pt idx="114">
                  <c:v>3.15591</c:v>
                </c:pt>
                <c:pt idx="115">
                  <c:v>3.1912599999999998</c:v>
                </c:pt>
                <c:pt idx="116">
                  <c:v>3.42767</c:v>
                </c:pt>
                <c:pt idx="117">
                  <c:v>3.4435500000000001</c:v>
                </c:pt>
                <c:pt idx="118">
                  <c:v>3.7258200000000001</c:v>
                </c:pt>
                <c:pt idx="119">
                  <c:v>3.5882400000000003</c:v>
                </c:pt>
                <c:pt idx="120">
                  <c:v>3.6337200000000003</c:v>
                </c:pt>
                <c:pt idx="121">
                  <c:v>3.6889299999999996</c:v>
                </c:pt>
                <c:pt idx="122">
                  <c:v>3.6746499999999997</c:v>
                </c:pt>
                <c:pt idx="123">
                  <c:v>3.6930700000000001</c:v>
                </c:pt>
                <c:pt idx="124">
                  <c:v>3.6689800000000004</c:v>
                </c:pt>
                <c:pt idx="125">
                  <c:v>3.6814999999999998</c:v>
                </c:pt>
                <c:pt idx="126">
                  <c:v>3.7766800000000003</c:v>
                </c:pt>
                <c:pt idx="127">
                  <c:v>3.7921399999999998</c:v>
                </c:pt>
                <c:pt idx="128">
                  <c:v>3.80341</c:v>
                </c:pt>
                <c:pt idx="129">
                  <c:v>3.80382</c:v>
                </c:pt>
                <c:pt idx="130">
                  <c:v>3.7665899999999999</c:v>
                </c:pt>
                <c:pt idx="131">
                  <c:v>3.5654500000000002</c:v>
                </c:pt>
                <c:pt idx="132">
                  <c:v>3.4516800000000001</c:v>
                </c:pt>
                <c:pt idx="133">
                  <c:v>3.4943200000000001</c:v>
                </c:pt>
                <c:pt idx="134">
                  <c:v>3.5576699999999999</c:v>
                </c:pt>
                <c:pt idx="135">
                  <c:v>3.5696699999999999</c:v>
                </c:pt>
                <c:pt idx="136">
                  <c:v>3.5570299999999997</c:v>
                </c:pt>
                <c:pt idx="137">
                  <c:v>3.5780599999999998</c:v>
                </c:pt>
                <c:pt idx="138">
                  <c:v>3.5792099999999998</c:v>
                </c:pt>
                <c:pt idx="139">
                  <c:v>3.5647199999999999</c:v>
                </c:pt>
                <c:pt idx="140">
                  <c:v>3.56616</c:v>
                </c:pt>
                <c:pt idx="141">
                  <c:v>3.5808200000000001</c:v>
                </c:pt>
                <c:pt idx="142">
                  <c:v>3.6112900000000003</c:v>
                </c:pt>
                <c:pt idx="143">
                  <c:v>3.6024400000000001</c:v>
                </c:pt>
                <c:pt idx="144">
                  <c:v>3.56928</c:v>
                </c:pt>
                <c:pt idx="145">
                  <c:v>3.5250599999999999</c:v>
                </c:pt>
                <c:pt idx="146">
                  <c:v>3.5199500000000001</c:v>
                </c:pt>
                <c:pt idx="147">
                  <c:v>3.5151100000000004</c:v>
                </c:pt>
                <c:pt idx="148">
                  <c:v>3.49777</c:v>
                </c:pt>
                <c:pt idx="149">
                  <c:v>3.47628</c:v>
                </c:pt>
                <c:pt idx="150">
                  <c:v>3.4767299999999999</c:v>
                </c:pt>
                <c:pt idx="151">
                  <c:v>3.4939100000000001</c:v>
                </c:pt>
                <c:pt idx="152">
                  <c:v>3.4889199999999998</c:v>
                </c:pt>
                <c:pt idx="153">
                  <c:v>3.4813000000000001</c:v>
                </c:pt>
                <c:pt idx="154">
                  <c:v>3.40455</c:v>
                </c:pt>
                <c:pt idx="155">
                  <c:v>3.3040099999999999</c:v>
                </c:pt>
                <c:pt idx="156">
                  <c:v>3.2918700000000003</c:v>
                </c:pt>
                <c:pt idx="157">
                  <c:v>3.2676699999999999</c:v>
                </c:pt>
                <c:pt idx="158">
                  <c:v>3.2231000000000001</c:v>
                </c:pt>
                <c:pt idx="159">
                  <c:v>3.1471399999999998</c:v>
                </c:pt>
                <c:pt idx="160">
                  <c:v>3.1200099999999997</c:v>
                </c:pt>
                <c:pt idx="161">
                  <c:v>3.0632100000000002</c:v>
                </c:pt>
                <c:pt idx="162">
                  <c:v>3.02956</c:v>
                </c:pt>
                <c:pt idx="163">
                  <c:v>3.0853199999999998</c:v>
                </c:pt>
                <c:pt idx="164">
                  <c:v>3.07409</c:v>
                </c:pt>
                <c:pt idx="165">
                  <c:v>3.0686599999999999</c:v>
                </c:pt>
                <c:pt idx="166">
                  <c:v>3.0996499999999996</c:v>
                </c:pt>
                <c:pt idx="167">
                  <c:v>3.1099099999999997</c:v>
                </c:pt>
                <c:pt idx="168">
                  <c:v>3.10175</c:v>
                </c:pt>
                <c:pt idx="169">
                  <c:v>3.0392000000000001</c:v>
                </c:pt>
                <c:pt idx="170">
                  <c:v>3.0394400000000004</c:v>
                </c:pt>
                <c:pt idx="171">
                  <c:v>2.9253500000000003</c:v>
                </c:pt>
                <c:pt idx="172">
                  <c:v>2.9316300000000002</c:v>
                </c:pt>
                <c:pt idx="173">
                  <c:v>2.9316300000000002</c:v>
                </c:pt>
                <c:pt idx="174">
                  <c:v>2.9904600000000001</c:v>
                </c:pt>
                <c:pt idx="175">
                  <c:v>3.0332999999999997</c:v>
                </c:pt>
                <c:pt idx="176">
                  <c:v>3.0432700000000001</c:v>
                </c:pt>
                <c:pt idx="177">
                  <c:v>2.9569799999999997</c:v>
                </c:pt>
                <c:pt idx="178">
                  <c:v>2.9237000000000002</c:v>
                </c:pt>
                <c:pt idx="179">
                  <c:v>3.0019</c:v>
                </c:pt>
                <c:pt idx="180">
                  <c:v>2.9687799999999998</c:v>
                </c:pt>
                <c:pt idx="181">
                  <c:v>2.9893200000000002</c:v>
                </c:pt>
                <c:pt idx="182">
                  <c:v>3.0132600000000003</c:v>
                </c:pt>
                <c:pt idx="183">
                  <c:v>3.02284</c:v>
                </c:pt>
                <c:pt idx="184">
                  <c:v>3.0021100000000001</c:v>
                </c:pt>
                <c:pt idx="185">
                  <c:v>2.9985899999999996</c:v>
                </c:pt>
                <c:pt idx="186">
                  <c:v>2.9978600000000002</c:v>
                </c:pt>
                <c:pt idx="187">
                  <c:v>2.9735100000000001</c:v>
                </c:pt>
                <c:pt idx="188">
                  <c:v>3.0616000000000003</c:v>
                </c:pt>
                <c:pt idx="189">
                  <c:v>3.07233</c:v>
                </c:pt>
                <c:pt idx="190">
                  <c:v>3.0861399999999999</c:v>
                </c:pt>
                <c:pt idx="191">
                  <c:v>3.1656999999999997</c:v>
                </c:pt>
                <c:pt idx="192">
                  <c:v>3.1566300000000003</c:v>
                </c:pt>
                <c:pt idx="193">
                  <c:v>3.6847699999999999</c:v>
                </c:pt>
                <c:pt idx="194">
                  <c:v>3.8935700000000004</c:v>
                </c:pt>
                <c:pt idx="195">
                  <c:v>3.6059399999999999</c:v>
                </c:pt>
                <c:pt idx="196">
                  <c:v>3.4276799999999996</c:v>
                </c:pt>
                <c:pt idx="197">
                  <c:v>3.3493300000000001</c:v>
                </c:pt>
                <c:pt idx="198">
                  <c:v>3.2947199999999999</c:v>
                </c:pt>
                <c:pt idx="199">
                  <c:v>3.2837599999999996</c:v>
                </c:pt>
                <c:pt idx="200">
                  <c:v>3.3144200000000001</c:v>
                </c:pt>
                <c:pt idx="201">
                  <c:v>3.3122199999999999</c:v>
                </c:pt>
                <c:pt idx="202">
                  <c:v>3.2530200000000002</c:v>
                </c:pt>
                <c:pt idx="203">
                  <c:v>3.2642099999999998</c:v>
                </c:pt>
                <c:pt idx="204">
                  <c:v>3.2913799999999998</c:v>
                </c:pt>
                <c:pt idx="205">
                  <c:v>3.4105700000000003</c:v>
                </c:pt>
                <c:pt idx="206">
                  <c:v>3.5555900000000005</c:v>
                </c:pt>
                <c:pt idx="207">
                  <c:v>3.5277999999999996</c:v>
                </c:pt>
                <c:pt idx="208">
                  <c:v>3.4514399999999998</c:v>
                </c:pt>
                <c:pt idx="209">
                  <c:v>3.4538799999999998</c:v>
                </c:pt>
                <c:pt idx="210">
                  <c:v>3.4641099999999998</c:v>
                </c:pt>
                <c:pt idx="211">
                  <c:v>3.4962999999999997</c:v>
                </c:pt>
                <c:pt idx="212">
                  <c:v>3.5025299999999997</c:v>
                </c:pt>
                <c:pt idx="213">
                  <c:v>3.6346499999999997</c:v>
                </c:pt>
                <c:pt idx="214">
                  <c:v>3.70445</c:v>
                </c:pt>
                <c:pt idx="215">
                  <c:v>3.7759300000000002</c:v>
                </c:pt>
                <c:pt idx="216">
                  <c:v>3.83894</c:v>
                </c:pt>
                <c:pt idx="217">
                  <c:v>3.8163799999999997</c:v>
                </c:pt>
                <c:pt idx="218">
                  <c:v>3.9576499999999997</c:v>
                </c:pt>
                <c:pt idx="219">
                  <c:v>3.84483</c:v>
                </c:pt>
                <c:pt idx="220">
                  <c:v>3.8892799999999998</c:v>
                </c:pt>
                <c:pt idx="221">
                  <c:v>3.81562</c:v>
                </c:pt>
                <c:pt idx="222">
                  <c:v>3.7986300000000002</c:v>
                </c:pt>
                <c:pt idx="223">
                  <c:v>3.5977699999999997</c:v>
                </c:pt>
                <c:pt idx="224">
                  <c:v>3.2216399999999998</c:v>
                </c:pt>
                <c:pt idx="225">
                  <c:v>3.1883300000000001</c:v>
                </c:pt>
                <c:pt idx="226">
                  <c:v>3.3195999999999999</c:v>
                </c:pt>
                <c:pt idx="227">
                  <c:v>3.2844899999999999</c:v>
                </c:pt>
                <c:pt idx="228">
                  <c:v>3.2971599999999999</c:v>
                </c:pt>
                <c:pt idx="229">
                  <c:v>3.3708800000000001</c:v>
                </c:pt>
                <c:pt idx="230">
                  <c:v>3.3854299999999999</c:v>
                </c:pt>
                <c:pt idx="231">
                  <c:v>3.4373399999999998</c:v>
                </c:pt>
                <c:pt idx="232">
                  <c:v>3.5032200000000002</c:v>
                </c:pt>
                <c:pt idx="233">
                  <c:v>3.4751100000000004</c:v>
                </c:pt>
                <c:pt idx="234">
                  <c:v>3.4048200000000004</c:v>
                </c:pt>
                <c:pt idx="235">
                  <c:v>3.3442599999999998</c:v>
                </c:pt>
                <c:pt idx="236">
                  <c:v>3.3790300000000002</c:v>
                </c:pt>
                <c:pt idx="237">
                  <c:v>3.4609500000000004</c:v>
                </c:pt>
                <c:pt idx="238">
                  <c:v>3.4643599999999997</c:v>
                </c:pt>
                <c:pt idx="239">
                  <c:v>3.3745499999999997</c:v>
                </c:pt>
                <c:pt idx="240">
                  <c:v>3.3596599999999999</c:v>
                </c:pt>
                <c:pt idx="241">
                  <c:v>3.2175199999999999</c:v>
                </c:pt>
                <c:pt idx="242">
                  <c:v>2.9546499999999996</c:v>
                </c:pt>
                <c:pt idx="243">
                  <c:v>2.97113</c:v>
                </c:pt>
                <c:pt idx="244">
                  <c:v>2.9948800000000002</c:v>
                </c:pt>
                <c:pt idx="245">
                  <c:v>2.9661200000000001</c:v>
                </c:pt>
                <c:pt idx="246">
                  <c:v>3.0306299999999999</c:v>
                </c:pt>
                <c:pt idx="247">
                  <c:v>3.0554000000000001</c:v>
                </c:pt>
                <c:pt idx="248">
                  <c:v>3.0520999999999998</c:v>
                </c:pt>
                <c:pt idx="249">
                  <c:v>2.9740800000000003</c:v>
                </c:pt>
                <c:pt idx="250">
                  <c:v>2.9401600000000001</c:v>
                </c:pt>
                <c:pt idx="251">
                  <c:v>2.8971800000000001</c:v>
                </c:pt>
                <c:pt idx="252">
                  <c:v>2.8316500000000002</c:v>
                </c:pt>
                <c:pt idx="253">
                  <c:v>2.8701499999999998</c:v>
                </c:pt>
                <c:pt idx="254">
                  <c:v>2.9148700000000001</c:v>
                </c:pt>
                <c:pt idx="255">
                  <c:v>2.8561900000000002</c:v>
                </c:pt>
                <c:pt idx="256">
                  <c:v>2.9067899999999995</c:v>
                </c:pt>
                <c:pt idx="257">
                  <c:v>2.9067899999999995</c:v>
                </c:pt>
                <c:pt idx="258">
                  <c:v>2.9067899999999995</c:v>
                </c:pt>
                <c:pt idx="259">
                  <c:v>2.9083100000000002</c:v>
                </c:pt>
                <c:pt idx="260">
                  <c:v>2.9111599999999997</c:v>
                </c:pt>
                <c:pt idx="261">
                  <c:v>2.9033499999999997</c:v>
                </c:pt>
                <c:pt idx="262">
                  <c:v>2.9033499999999997</c:v>
                </c:pt>
                <c:pt idx="263">
                  <c:v>2.8758999999999997</c:v>
                </c:pt>
                <c:pt idx="264">
                  <c:v>2.8173599999999999</c:v>
                </c:pt>
                <c:pt idx="265">
                  <c:v>2.7188699999999999</c:v>
                </c:pt>
                <c:pt idx="266">
                  <c:v>2.7028799999999999</c:v>
                </c:pt>
                <c:pt idx="267">
                  <c:v>2.65896</c:v>
                </c:pt>
                <c:pt idx="268">
                  <c:v>2.6051100000000003</c:v>
                </c:pt>
                <c:pt idx="269">
                  <c:v>2.6046199999999997</c:v>
                </c:pt>
                <c:pt idx="270">
                  <c:v>2.61591</c:v>
                </c:pt>
                <c:pt idx="271">
                  <c:v>2.4379900000000001</c:v>
                </c:pt>
                <c:pt idx="272">
                  <c:v>2.4322300000000001</c:v>
                </c:pt>
                <c:pt idx="273">
                  <c:v>2.4761500000000001</c:v>
                </c:pt>
                <c:pt idx="274">
                  <c:v>2.48089</c:v>
                </c:pt>
                <c:pt idx="275">
                  <c:v>2.5114299999999998</c:v>
                </c:pt>
                <c:pt idx="276">
                  <c:v>2.4931000000000001</c:v>
                </c:pt>
                <c:pt idx="277">
                  <c:v>2.5241799999999999</c:v>
                </c:pt>
                <c:pt idx="278">
                  <c:v>2.7080599999999997</c:v>
                </c:pt>
                <c:pt idx="279">
                  <c:v>2.6369699999999998</c:v>
                </c:pt>
                <c:pt idx="280">
                  <c:v>2.7142300000000001</c:v>
                </c:pt>
                <c:pt idx="281">
                  <c:v>2.6881699999999999</c:v>
                </c:pt>
                <c:pt idx="282">
                  <c:v>2.6342300000000001</c:v>
                </c:pt>
                <c:pt idx="283">
                  <c:v>2.6261900000000002</c:v>
                </c:pt>
                <c:pt idx="284">
                  <c:v>2.60406</c:v>
                </c:pt>
                <c:pt idx="285">
                  <c:v>2.5458600000000002</c:v>
                </c:pt>
                <c:pt idx="286">
                  <c:v>2.5775299999999999</c:v>
                </c:pt>
                <c:pt idx="287">
                  <c:v>2.5808</c:v>
                </c:pt>
                <c:pt idx="288">
                  <c:v>2.5597099999999999</c:v>
                </c:pt>
                <c:pt idx="289">
                  <c:v>2.6494600000000004</c:v>
                </c:pt>
                <c:pt idx="290">
                  <c:v>2.58738</c:v>
                </c:pt>
                <c:pt idx="291">
                  <c:v>2.7141199999999999</c:v>
                </c:pt>
                <c:pt idx="292">
                  <c:v>2.6886099999999997</c:v>
                </c:pt>
                <c:pt idx="293">
                  <c:v>2.7344799999999996</c:v>
                </c:pt>
                <c:pt idx="294">
                  <c:v>2.7591699999999997</c:v>
                </c:pt>
                <c:pt idx="295">
                  <c:v>2.7146699999999999</c:v>
                </c:pt>
                <c:pt idx="296">
                  <c:v>2.7872199999999996</c:v>
                </c:pt>
                <c:pt idx="297">
                  <c:v>2.61904</c:v>
                </c:pt>
                <c:pt idx="298">
                  <c:v>2.6998500000000001</c:v>
                </c:pt>
                <c:pt idx="299">
                  <c:v>2.6802100000000002</c:v>
                </c:pt>
                <c:pt idx="300">
                  <c:v>2.6537999999999999</c:v>
                </c:pt>
                <c:pt idx="301">
                  <c:v>2.8885899999999998</c:v>
                </c:pt>
                <c:pt idx="302">
                  <c:v>2.87649</c:v>
                </c:pt>
                <c:pt idx="303">
                  <c:v>2.8287099999999996</c:v>
                </c:pt>
                <c:pt idx="304">
                  <c:v>2.8112499999999998</c:v>
                </c:pt>
                <c:pt idx="305">
                  <c:v>2.7092700000000001</c:v>
                </c:pt>
                <c:pt idx="306">
                  <c:v>2.6944099999999995</c:v>
                </c:pt>
                <c:pt idx="307">
                  <c:v>2.8116099999999999</c:v>
                </c:pt>
                <c:pt idx="308">
                  <c:v>2.8473799999999998</c:v>
                </c:pt>
                <c:pt idx="309">
                  <c:v>2.8503400000000001</c:v>
                </c:pt>
                <c:pt idx="310">
                  <c:v>2.8662299999999998</c:v>
                </c:pt>
                <c:pt idx="311">
                  <c:v>2.79467</c:v>
                </c:pt>
                <c:pt idx="312">
                  <c:v>2.7272699999999999</c:v>
                </c:pt>
                <c:pt idx="313">
                  <c:v>2.7146699999999999</c:v>
                </c:pt>
                <c:pt idx="314">
                  <c:v>2.7329000000000003</c:v>
                </c:pt>
                <c:pt idx="315">
                  <c:v>2.9518299999999997</c:v>
                </c:pt>
                <c:pt idx="316">
                  <c:v>2.9657100000000001</c:v>
                </c:pt>
                <c:pt idx="317">
                  <c:v>2.8909500000000001</c:v>
                </c:pt>
                <c:pt idx="318">
                  <c:v>2.9470200000000002</c:v>
                </c:pt>
                <c:pt idx="319">
                  <c:v>2.9878100000000001</c:v>
                </c:pt>
                <c:pt idx="320">
                  <c:v>3.0067000000000004</c:v>
                </c:pt>
                <c:pt idx="321">
                  <c:v>3.0230799999999998</c:v>
                </c:pt>
                <c:pt idx="322">
                  <c:v>3.0347500000000003</c:v>
                </c:pt>
                <c:pt idx="323">
                  <c:v>2.9066800000000002</c:v>
                </c:pt>
                <c:pt idx="324">
                  <c:v>2.8964999999999996</c:v>
                </c:pt>
                <c:pt idx="325">
                  <c:v>2.89927</c:v>
                </c:pt>
                <c:pt idx="326">
                  <c:v>2.93188</c:v>
                </c:pt>
                <c:pt idx="327">
                  <c:v>2.93188</c:v>
                </c:pt>
                <c:pt idx="328">
                  <c:v>2.93188</c:v>
                </c:pt>
                <c:pt idx="329">
                  <c:v>2.9581599999999999</c:v>
                </c:pt>
                <c:pt idx="330">
                  <c:v>2.9210000000000003</c:v>
                </c:pt>
                <c:pt idx="331">
                  <c:v>2.91262</c:v>
                </c:pt>
                <c:pt idx="332">
                  <c:v>2.9518</c:v>
                </c:pt>
                <c:pt idx="333">
                  <c:v>2.9180299999999999</c:v>
                </c:pt>
                <c:pt idx="334">
                  <c:v>2.9063600000000003</c:v>
                </c:pt>
                <c:pt idx="335">
                  <c:v>2.90435</c:v>
                </c:pt>
                <c:pt idx="336">
                  <c:v>2.9813999999999998</c:v>
                </c:pt>
                <c:pt idx="337">
                  <c:v>2.9254500000000001</c:v>
                </c:pt>
                <c:pt idx="338">
                  <c:v>2.8895999999999997</c:v>
                </c:pt>
                <c:pt idx="339">
                  <c:v>2.8310199999999996</c:v>
                </c:pt>
                <c:pt idx="340">
                  <c:v>2.8712999999999997</c:v>
                </c:pt>
                <c:pt idx="341">
                  <c:v>2.9012200000000004</c:v>
                </c:pt>
                <c:pt idx="342">
                  <c:v>2.8950299999999998</c:v>
                </c:pt>
                <c:pt idx="343">
                  <c:v>2.8454299999999999</c:v>
                </c:pt>
                <c:pt idx="344">
                  <c:v>2.8259799999999999</c:v>
                </c:pt>
                <c:pt idx="345">
                  <c:v>2.8719700000000001</c:v>
                </c:pt>
                <c:pt idx="346">
                  <c:v>2.8244199999999999</c:v>
                </c:pt>
                <c:pt idx="347">
                  <c:v>2.93431</c:v>
                </c:pt>
                <c:pt idx="348">
                  <c:v>2.93431</c:v>
                </c:pt>
                <c:pt idx="349">
                  <c:v>2.9524699999999999</c:v>
                </c:pt>
                <c:pt idx="350">
                  <c:v>2.83609</c:v>
                </c:pt>
                <c:pt idx="351">
                  <c:v>2.7835899999999998</c:v>
                </c:pt>
                <c:pt idx="352">
                  <c:v>2.6335500000000001</c:v>
                </c:pt>
                <c:pt idx="353">
                  <c:v>2.5724200000000002</c:v>
                </c:pt>
                <c:pt idx="354">
                  <c:v>2.6089499999999997</c:v>
                </c:pt>
                <c:pt idx="355">
                  <c:v>2.5678699999999997</c:v>
                </c:pt>
                <c:pt idx="356">
                  <c:v>2.6526399999999999</c:v>
                </c:pt>
                <c:pt idx="357">
                  <c:v>2.6623600000000001</c:v>
                </c:pt>
                <c:pt idx="358">
                  <c:v>2.6933699999999998</c:v>
                </c:pt>
                <c:pt idx="359">
                  <c:v>2.7058900000000001</c:v>
                </c:pt>
                <c:pt idx="360">
                  <c:v>2.65612</c:v>
                </c:pt>
                <c:pt idx="361">
                  <c:v>2.7226499999999998</c:v>
                </c:pt>
                <c:pt idx="362">
                  <c:v>2.7202699999999997</c:v>
                </c:pt>
                <c:pt idx="363">
                  <c:v>2.7407999999999997</c:v>
                </c:pt>
                <c:pt idx="364">
                  <c:v>2.7545699999999997</c:v>
                </c:pt>
                <c:pt idx="365">
                  <c:v>2.74641</c:v>
                </c:pt>
                <c:pt idx="366">
                  <c:v>2.7134800000000001</c:v>
                </c:pt>
                <c:pt idx="367">
                  <c:v>2.7837200000000002</c:v>
                </c:pt>
                <c:pt idx="368">
                  <c:v>2.7837200000000002</c:v>
                </c:pt>
                <c:pt idx="369">
                  <c:v>2.70452</c:v>
                </c:pt>
                <c:pt idx="370">
                  <c:v>2.7683599999999999</c:v>
                </c:pt>
                <c:pt idx="371">
                  <c:v>2.7414299999999998</c:v>
                </c:pt>
                <c:pt idx="372">
                  <c:v>2.77284</c:v>
                </c:pt>
                <c:pt idx="373">
                  <c:v>2.7826799999999996</c:v>
                </c:pt>
                <c:pt idx="374">
                  <c:v>2.80044</c:v>
                </c:pt>
                <c:pt idx="375">
                  <c:v>2.8151600000000001</c:v>
                </c:pt>
                <c:pt idx="376">
                  <c:v>2.8450900000000003</c:v>
                </c:pt>
                <c:pt idx="377">
                  <c:v>2.8125900000000001</c:v>
                </c:pt>
                <c:pt idx="378">
                  <c:v>2.79399</c:v>
                </c:pt>
                <c:pt idx="379">
                  <c:v>2.7882100000000003</c:v>
                </c:pt>
                <c:pt idx="380">
                  <c:v>2.7313999999999998</c:v>
                </c:pt>
                <c:pt idx="381">
                  <c:v>2.8324900000000004</c:v>
                </c:pt>
                <c:pt idx="382">
                  <c:v>2.8721300000000003</c:v>
                </c:pt>
                <c:pt idx="383">
                  <c:v>2.7291099999999999</c:v>
                </c:pt>
                <c:pt idx="384">
                  <c:v>2.7676499999999997</c:v>
                </c:pt>
                <c:pt idx="385">
                  <c:v>2.6858400000000002</c:v>
                </c:pt>
                <c:pt idx="386">
                  <c:v>2.5966899999999997</c:v>
                </c:pt>
                <c:pt idx="387">
                  <c:v>2.4983500000000003</c:v>
                </c:pt>
                <c:pt idx="388">
                  <c:v>2.5894600000000003</c:v>
                </c:pt>
                <c:pt idx="389">
                  <c:v>2.6082000000000001</c:v>
                </c:pt>
                <c:pt idx="390">
                  <c:v>2.6353899999999997</c:v>
                </c:pt>
                <c:pt idx="391">
                  <c:v>2.55802</c:v>
                </c:pt>
                <c:pt idx="392">
                  <c:v>2.65401</c:v>
                </c:pt>
                <c:pt idx="393">
                  <c:v>2.6688900000000002</c:v>
                </c:pt>
                <c:pt idx="394">
                  <c:v>2.6783699999999997</c:v>
                </c:pt>
                <c:pt idx="395">
                  <c:v>2.6292</c:v>
                </c:pt>
                <c:pt idx="396">
                  <c:v>2.6669900000000002</c:v>
                </c:pt>
                <c:pt idx="397">
                  <c:v>2.6004199999999997</c:v>
                </c:pt>
                <c:pt idx="398">
                  <c:v>2.5952100000000002</c:v>
                </c:pt>
                <c:pt idx="399">
                  <c:v>2.5552899999999998</c:v>
                </c:pt>
                <c:pt idx="400">
                  <c:v>2.5970400000000002</c:v>
                </c:pt>
                <c:pt idx="401">
                  <c:v>2.6362599999999996</c:v>
                </c:pt>
                <c:pt idx="402">
                  <c:v>2.6571699999999998</c:v>
                </c:pt>
                <c:pt idx="403">
                  <c:v>2.7686999999999999</c:v>
                </c:pt>
                <c:pt idx="404">
                  <c:v>2.7069200000000002</c:v>
                </c:pt>
                <c:pt idx="405">
                  <c:v>2.7186000000000003</c:v>
                </c:pt>
                <c:pt idx="406">
                  <c:v>2.76688</c:v>
                </c:pt>
                <c:pt idx="407">
                  <c:v>2.75454</c:v>
                </c:pt>
                <c:pt idx="408">
                  <c:v>2.76423</c:v>
                </c:pt>
                <c:pt idx="409">
                  <c:v>2.7903600000000002</c:v>
                </c:pt>
                <c:pt idx="410">
                  <c:v>2.7832499999999998</c:v>
                </c:pt>
                <c:pt idx="411">
                  <c:v>2.7734899999999998</c:v>
                </c:pt>
                <c:pt idx="412">
                  <c:v>2.8010999999999999</c:v>
                </c:pt>
                <c:pt idx="413">
                  <c:v>2.8293599999999999</c:v>
                </c:pt>
                <c:pt idx="414">
                  <c:v>2.8311500000000001</c:v>
                </c:pt>
                <c:pt idx="415">
                  <c:v>2.8368200000000003</c:v>
                </c:pt>
                <c:pt idx="416">
                  <c:v>2.7975300000000001</c:v>
                </c:pt>
                <c:pt idx="417">
                  <c:v>2.7561399999999998</c:v>
                </c:pt>
                <c:pt idx="418">
                  <c:v>2.7448700000000001</c:v>
                </c:pt>
                <c:pt idx="419">
                  <c:v>2.7296800000000001</c:v>
                </c:pt>
                <c:pt idx="420">
                  <c:v>2.7444900000000003</c:v>
                </c:pt>
                <c:pt idx="421">
                  <c:v>2.7902300000000002</c:v>
                </c:pt>
                <c:pt idx="422">
                  <c:v>2.7913900000000003</c:v>
                </c:pt>
                <c:pt idx="423">
                  <c:v>2.8076299999999996</c:v>
                </c:pt>
                <c:pt idx="424">
                  <c:v>2.8046199999999999</c:v>
                </c:pt>
                <c:pt idx="425">
                  <c:v>2.81311</c:v>
                </c:pt>
                <c:pt idx="426">
                  <c:v>2.81915</c:v>
                </c:pt>
                <c:pt idx="427">
                  <c:v>2.80199</c:v>
                </c:pt>
                <c:pt idx="428">
                  <c:v>2.8174999999999999</c:v>
                </c:pt>
                <c:pt idx="429">
                  <c:v>2.7925499999999999</c:v>
                </c:pt>
                <c:pt idx="430">
                  <c:v>2.7357100000000001</c:v>
                </c:pt>
                <c:pt idx="431">
                  <c:v>2.74519</c:v>
                </c:pt>
                <c:pt idx="432">
                  <c:v>2.7508600000000003</c:v>
                </c:pt>
                <c:pt idx="433">
                  <c:v>2.7508600000000003</c:v>
                </c:pt>
                <c:pt idx="434">
                  <c:v>2.7551900000000002</c:v>
                </c:pt>
                <c:pt idx="435">
                  <c:v>2.7182299999999997</c:v>
                </c:pt>
                <c:pt idx="436">
                  <c:v>2.69007</c:v>
                </c:pt>
                <c:pt idx="437">
                  <c:v>2.6245299999999996</c:v>
                </c:pt>
                <c:pt idx="438">
                  <c:v>2.6738799999999996</c:v>
                </c:pt>
                <c:pt idx="439">
                  <c:v>2.6492599999999999</c:v>
                </c:pt>
                <c:pt idx="440">
                  <c:v>2.61199</c:v>
                </c:pt>
                <c:pt idx="441">
                  <c:v>2.6539100000000002</c:v>
                </c:pt>
                <c:pt idx="442">
                  <c:v>2.5851999999999999</c:v>
                </c:pt>
                <c:pt idx="443">
                  <c:v>2.6006099999999996</c:v>
                </c:pt>
                <c:pt idx="444">
                  <c:v>2.63503</c:v>
                </c:pt>
                <c:pt idx="445">
                  <c:v>2.5987900000000002</c:v>
                </c:pt>
                <c:pt idx="446">
                  <c:v>2.5870800000000003</c:v>
                </c:pt>
                <c:pt idx="447">
                  <c:v>2.5880299999999998</c:v>
                </c:pt>
                <c:pt idx="448">
                  <c:v>2.6738400000000002</c:v>
                </c:pt>
                <c:pt idx="449">
                  <c:v>2.64168</c:v>
                </c:pt>
                <c:pt idx="450">
                  <c:v>2.6526799999999997</c:v>
                </c:pt>
                <c:pt idx="451">
                  <c:v>2.5986399999999996</c:v>
                </c:pt>
                <c:pt idx="452">
                  <c:v>2.6459100000000002</c:v>
                </c:pt>
                <c:pt idx="453">
                  <c:v>2.6434300000000004</c:v>
                </c:pt>
                <c:pt idx="454">
                  <c:v>2.6900099999999996</c:v>
                </c:pt>
                <c:pt idx="455">
                  <c:v>2.7340399999999998</c:v>
                </c:pt>
                <c:pt idx="456">
                  <c:v>2.7643499999999999</c:v>
                </c:pt>
                <c:pt idx="457">
                  <c:v>2.8085100000000001</c:v>
                </c:pt>
                <c:pt idx="458">
                  <c:v>2.8419600000000003</c:v>
                </c:pt>
                <c:pt idx="459">
                  <c:v>2.85168</c:v>
                </c:pt>
                <c:pt idx="460">
                  <c:v>2.8577900000000001</c:v>
                </c:pt>
                <c:pt idx="461">
                  <c:v>2.8031000000000001</c:v>
                </c:pt>
                <c:pt idx="462">
                  <c:v>2.7974599999999996</c:v>
                </c:pt>
                <c:pt idx="463">
                  <c:v>2.7843099999999996</c:v>
                </c:pt>
                <c:pt idx="464">
                  <c:v>2.7969200000000001</c:v>
                </c:pt>
                <c:pt idx="465">
                  <c:v>2.75217</c:v>
                </c:pt>
                <c:pt idx="466">
                  <c:v>2.6082000000000001</c:v>
                </c:pt>
                <c:pt idx="467">
                  <c:v>2.6749900000000002</c:v>
                </c:pt>
                <c:pt idx="468">
                  <c:v>2.6242999999999999</c:v>
                </c:pt>
                <c:pt idx="469">
                  <c:v>2.6213500000000001</c:v>
                </c:pt>
                <c:pt idx="470">
                  <c:v>2.6347800000000001</c:v>
                </c:pt>
                <c:pt idx="471">
                  <c:v>2.5814600000000003</c:v>
                </c:pt>
                <c:pt idx="472">
                  <c:v>2.6058499999999998</c:v>
                </c:pt>
                <c:pt idx="473">
                  <c:v>2.6131799999999998</c:v>
                </c:pt>
                <c:pt idx="474">
                  <c:v>2.64141</c:v>
                </c:pt>
                <c:pt idx="475">
                  <c:v>2.7074700000000003</c:v>
                </c:pt>
                <c:pt idx="476">
                  <c:v>2.6866699999999999</c:v>
                </c:pt>
                <c:pt idx="477">
                  <c:v>2.68526</c:v>
                </c:pt>
                <c:pt idx="478">
                  <c:v>2.6894299999999998</c:v>
                </c:pt>
                <c:pt idx="479">
                  <c:v>2.7415800000000004</c:v>
                </c:pt>
                <c:pt idx="480">
                  <c:v>2.7043599999999999</c:v>
                </c:pt>
                <c:pt idx="481">
                  <c:v>2.7415699999999998</c:v>
                </c:pt>
                <c:pt idx="482">
                  <c:v>2.8172600000000001</c:v>
                </c:pt>
                <c:pt idx="483">
                  <c:v>2.7625799999999998</c:v>
                </c:pt>
                <c:pt idx="484">
                  <c:v>2.7911700000000002</c:v>
                </c:pt>
                <c:pt idx="485">
                  <c:v>2.7550299999999996</c:v>
                </c:pt>
                <c:pt idx="486">
                  <c:v>2.7479</c:v>
                </c:pt>
                <c:pt idx="487">
                  <c:v>2.7645499999999998</c:v>
                </c:pt>
                <c:pt idx="488">
                  <c:v>2.6791699999999996</c:v>
                </c:pt>
                <c:pt idx="489">
                  <c:v>2.7011399999999997</c:v>
                </c:pt>
                <c:pt idx="490">
                  <c:v>2.7894600000000001</c:v>
                </c:pt>
                <c:pt idx="491">
                  <c:v>2.8207600000000004</c:v>
                </c:pt>
                <c:pt idx="492">
                  <c:v>2.7944999999999998</c:v>
                </c:pt>
                <c:pt idx="493">
                  <c:v>2.7424400000000002</c:v>
                </c:pt>
                <c:pt idx="494">
                  <c:v>2.8418999999999999</c:v>
                </c:pt>
                <c:pt idx="495">
                  <c:v>2.8363400000000003</c:v>
                </c:pt>
                <c:pt idx="496">
                  <c:v>2.8475900000000003</c:v>
                </c:pt>
                <c:pt idx="497">
                  <c:v>3.0674200000000003</c:v>
                </c:pt>
                <c:pt idx="498">
                  <c:v>3.0123899999999999</c:v>
                </c:pt>
                <c:pt idx="499">
                  <c:v>3.1105200000000002</c:v>
                </c:pt>
                <c:pt idx="500">
                  <c:v>3.0734399999999997</c:v>
                </c:pt>
                <c:pt idx="501">
                  <c:v>3.0170999999999997</c:v>
                </c:pt>
                <c:pt idx="502">
                  <c:v>3.1050400000000002</c:v>
                </c:pt>
                <c:pt idx="503">
                  <c:v>3.0481400000000001</c:v>
                </c:pt>
                <c:pt idx="504">
                  <c:v>2.9275500000000001</c:v>
                </c:pt>
                <c:pt idx="505">
                  <c:v>2.8853500000000003</c:v>
                </c:pt>
                <c:pt idx="506">
                  <c:v>2.9010700000000003</c:v>
                </c:pt>
                <c:pt idx="507">
                  <c:v>2.8889399999999998</c:v>
                </c:pt>
                <c:pt idx="508">
                  <c:v>2.9290400000000001</c:v>
                </c:pt>
                <c:pt idx="509">
                  <c:v>2.9192100000000001</c:v>
                </c:pt>
                <c:pt idx="510">
                  <c:v>2.89811</c:v>
                </c:pt>
                <c:pt idx="511">
                  <c:v>2.9204000000000003</c:v>
                </c:pt>
                <c:pt idx="512">
                  <c:v>2.9007400000000003</c:v>
                </c:pt>
                <c:pt idx="513">
                  <c:v>2.8939499999999998</c:v>
                </c:pt>
                <c:pt idx="514">
                  <c:v>2.8643799999999997</c:v>
                </c:pt>
                <c:pt idx="515">
                  <c:v>2.8901400000000002</c:v>
                </c:pt>
                <c:pt idx="516">
                  <c:v>2.8375900000000001</c:v>
                </c:pt>
                <c:pt idx="517">
                  <c:v>2.8371499999999998</c:v>
                </c:pt>
                <c:pt idx="518">
                  <c:v>2.8371499999999998</c:v>
                </c:pt>
                <c:pt idx="519">
                  <c:v>2.8371499999999998</c:v>
                </c:pt>
                <c:pt idx="520">
                  <c:v>2.8134199999999998</c:v>
                </c:pt>
                <c:pt idx="521">
                  <c:v>2.8376299999999999</c:v>
                </c:pt>
                <c:pt idx="522">
                  <c:v>2.8422300000000003</c:v>
                </c:pt>
                <c:pt idx="523">
                  <c:v>2.8422300000000003</c:v>
                </c:pt>
                <c:pt idx="524">
                  <c:v>2.7143400000000004</c:v>
                </c:pt>
                <c:pt idx="525">
                  <c:v>2.7103800000000002</c:v>
                </c:pt>
                <c:pt idx="526">
                  <c:v>2.6797000000000004</c:v>
                </c:pt>
                <c:pt idx="527">
                  <c:v>2.7189399999999999</c:v>
                </c:pt>
                <c:pt idx="528">
                  <c:v>2.7002100000000002</c:v>
                </c:pt>
                <c:pt idx="529">
                  <c:v>2.6968299999999998</c:v>
                </c:pt>
                <c:pt idx="530">
                  <c:v>2.7022500000000003</c:v>
                </c:pt>
                <c:pt idx="531">
                  <c:v>2.7494099999999997</c:v>
                </c:pt>
                <c:pt idx="532">
                  <c:v>2.79135</c:v>
                </c:pt>
                <c:pt idx="533">
                  <c:v>2.75623</c:v>
                </c:pt>
                <c:pt idx="534">
                  <c:v>2.7533699999999999</c:v>
                </c:pt>
                <c:pt idx="535">
                  <c:v>2.7565499999999998</c:v>
                </c:pt>
                <c:pt idx="536">
                  <c:v>2.7716799999999999</c:v>
                </c:pt>
                <c:pt idx="537">
                  <c:v>2.8542700000000001</c:v>
                </c:pt>
                <c:pt idx="538">
                  <c:v>2.89472</c:v>
                </c:pt>
                <c:pt idx="539">
                  <c:v>2.8935399999999998</c:v>
                </c:pt>
                <c:pt idx="540">
                  <c:v>2.8803800000000002</c:v>
                </c:pt>
                <c:pt idx="541">
                  <c:v>2.90544</c:v>
                </c:pt>
                <c:pt idx="542">
                  <c:v>2.9779399999999998</c:v>
                </c:pt>
                <c:pt idx="543">
                  <c:v>2.9696699999999998</c:v>
                </c:pt>
                <c:pt idx="544">
                  <c:v>2.9659500000000003</c:v>
                </c:pt>
                <c:pt idx="545">
                  <c:v>2.9817800000000001</c:v>
                </c:pt>
                <c:pt idx="546">
                  <c:v>2.9430999999999998</c:v>
                </c:pt>
                <c:pt idx="547">
                  <c:v>2.9757899999999999</c:v>
                </c:pt>
                <c:pt idx="548">
                  <c:v>2.9776600000000002</c:v>
                </c:pt>
                <c:pt idx="549">
                  <c:v>2.9960100000000001</c:v>
                </c:pt>
                <c:pt idx="550">
                  <c:v>2.9974799999999999</c:v>
                </c:pt>
                <c:pt idx="551">
                  <c:v>3.0145499999999998</c:v>
                </c:pt>
                <c:pt idx="552">
                  <c:v>3.1365600000000002</c:v>
                </c:pt>
                <c:pt idx="553">
                  <c:v>3.1506500000000002</c:v>
                </c:pt>
                <c:pt idx="554">
                  <c:v>3.1017799999999998</c:v>
                </c:pt>
                <c:pt idx="555">
                  <c:v>3.0585300000000002</c:v>
                </c:pt>
                <c:pt idx="556">
                  <c:v>3.0664100000000003</c:v>
                </c:pt>
                <c:pt idx="557">
                  <c:v>3.1587900000000002</c:v>
                </c:pt>
                <c:pt idx="558">
                  <c:v>3.1600200000000003</c:v>
                </c:pt>
                <c:pt idx="559">
                  <c:v>3.1800900000000003</c:v>
                </c:pt>
                <c:pt idx="560">
                  <c:v>3.1755</c:v>
                </c:pt>
                <c:pt idx="561">
                  <c:v>3.23156</c:v>
                </c:pt>
                <c:pt idx="562">
                  <c:v>3.1242700000000001</c:v>
                </c:pt>
                <c:pt idx="563">
                  <c:v>3.4112900000000002</c:v>
                </c:pt>
                <c:pt idx="564">
                  <c:v>3.5588899999999999</c:v>
                </c:pt>
                <c:pt idx="565">
                  <c:v>3.7706200000000001</c:v>
                </c:pt>
                <c:pt idx="566">
                  <c:v>4.5861700000000001</c:v>
                </c:pt>
                <c:pt idx="567">
                  <c:v>4.8966399999999997</c:v>
                </c:pt>
                <c:pt idx="568">
                  <c:v>5.5370200000000001</c:v>
                </c:pt>
                <c:pt idx="569">
                  <c:v>5.7734400000000008</c:v>
                </c:pt>
                <c:pt idx="570">
                  <c:v>5.7181500000000005</c:v>
                </c:pt>
                <c:pt idx="571">
                  <c:v>5.6756399999999996</c:v>
                </c:pt>
                <c:pt idx="572">
                  <c:v>5.6942100000000009</c:v>
                </c:pt>
                <c:pt idx="573">
                  <c:v>5.3118499999999997</c:v>
                </c:pt>
                <c:pt idx="574">
                  <c:v>5.2231300000000003</c:v>
                </c:pt>
                <c:pt idx="575">
                  <c:v>4.68309</c:v>
                </c:pt>
                <c:pt idx="576">
                  <c:v>4.7469999999999999</c:v>
                </c:pt>
                <c:pt idx="577">
                  <c:v>4.5038999999999998</c:v>
                </c:pt>
                <c:pt idx="578">
                  <c:v>4.1564699999999997</c:v>
                </c:pt>
                <c:pt idx="579">
                  <c:v>4.1149000000000004</c:v>
                </c:pt>
                <c:pt idx="580">
                  <c:v>4.1573899999999995</c:v>
                </c:pt>
                <c:pt idx="581">
                  <c:v>4.1244800000000001</c:v>
                </c:pt>
                <c:pt idx="582">
                  <c:v>4.0095400000000003</c:v>
                </c:pt>
                <c:pt idx="583">
                  <c:v>4.0874600000000001</c:v>
                </c:pt>
                <c:pt idx="584">
                  <c:v>4.1494900000000001</c:v>
                </c:pt>
                <c:pt idx="585">
                  <c:v>4.1992399999999996</c:v>
                </c:pt>
                <c:pt idx="586">
                  <c:v>4.1940300000000006</c:v>
                </c:pt>
                <c:pt idx="587">
                  <c:v>4.2351700000000001</c:v>
                </c:pt>
                <c:pt idx="588">
                  <c:v>4.2038200000000003</c:v>
                </c:pt>
                <c:pt idx="589">
                  <c:v>4.0087299999999999</c:v>
                </c:pt>
                <c:pt idx="590">
                  <c:v>3.9909500000000002</c:v>
                </c:pt>
                <c:pt idx="591">
                  <c:v>3.9455200000000001</c:v>
                </c:pt>
                <c:pt idx="592">
                  <c:v>3.9352999999999998</c:v>
                </c:pt>
                <c:pt idx="593">
                  <c:v>3.9250400000000001</c:v>
                </c:pt>
                <c:pt idx="594">
                  <c:v>3.9231099999999999</c:v>
                </c:pt>
                <c:pt idx="595">
                  <c:v>3.9767200000000003</c:v>
                </c:pt>
                <c:pt idx="596">
                  <c:v>3.8898099999999998</c:v>
                </c:pt>
                <c:pt idx="597">
                  <c:v>3.8898099999999998</c:v>
                </c:pt>
                <c:pt idx="598">
                  <c:v>3.8898099999999998</c:v>
                </c:pt>
                <c:pt idx="599">
                  <c:v>3.8961600000000001</c:v>
                </c:pt>
                <c:pt idx="600">
                  <c:v>3.9703599999999999</c:v>
                </c:pt>
                <c:pt idx="601">
                  <c:v>3.9896199999999999</c:v>
                </c:pt>
                <c:pt idx="602">
                  <c:v>4.0417500000000004</c:v>
                </c:pt>
                <c:pt idx="603">
                  <c:v>4.11972</c:v>
                </c:pt>
                <c:pt idx="604">
                  <c:v>4.3407799999999996</c:v>
                </c:pt>
                <c:pt idx="605">
                  <c:v>4.3706500000000004</c:v>
                </c:pt>
                <c:pt idx="606">
                  <c:v>4.3141500000000006</c:v>
                </c:pt>
                <c:pt idx="607">
                  <c:v>4.4000000000000004</c:v>
                </c:pt>
                <c:pt idx="608">
                  <c:v>4.4000000000000004</c:v>
                </c:pt>
                <c:pt idx="609">
                  <c:v>4.27895</c:v>
                </c:pt>
                <c:pt idx="610">
                  <c:v>4.3858100000000002</c:v>
                </c:pt>
                <c:pt idx="611">
                  <c:v>4.3234699999999995</c:v>
                </c:pt>
                <c:pt idx="612">
                  <c:v>4.3339600000000003</c:v>
                </c:pt>
                <c:pt idx="613">
                  <c:v>4.3689200000000001</c:v>
                </c:pt>
                <c:pt idx="614">
                  <c:v>4.6206199999999997</c:v>
                </c:pt>
                <c:pt idx="615">
                  <c:v>4.7327699999999995</c:v>
                </c:pt>
                <c:pt idx="616">
                  <c:v>4.6425299999999998</c:v>
                </c:pt>
                <c:pt idx="617">
                  <c:v>4.6423500000000004</c:v>
                </c:pt>
                <c:pt idx="618">
                  <c:v>4.7393599999999996</c:v>
                </c:pt>
                <c:pt idx="619">
                  <c:v>4.5929099999999998</c:v>
                </c:pt>
                <c:pt idx="620">
                  <c:v>4.7552399999999997</c:v>
                </c:pt>
                <c:pt idx="621">
                  <c:v>4.83277</c:v>
                </c:pt>
                <c:pt idx="622">
                  <c:v>4.8201900000000002</c:v>
                </c:pt>
                <c:pt idx="623">
                  <c:v>4.8474900000000005</c:v>
                </c:pt>
                <c:pt idx="624">
                  <c:v>4.9705200000000005</c:v>
                </c:pt>
                <c:pt idx="625">
                  <c:v>4.9521699999999997</c:v>
                </c:pt>
                <c:pt idx="626">
                  <c:v>4.99</c:v>
                </c:pt>
                <c:pt idx="627">
                  <c:v>4.9662299999999995</c:v>
                </c:pt>
                <c:pt idx="628">
                  <c:v>4.8934500000000005</c:v>
                </c:pt>
                <c:pt idx="629">
                  <c:v>4.8364000000000003</c:v>
                </c:pt>
                <c:pt idx="630">
                  <c:v>4.7394099999999995</c:v>
                </c:pt>
                <c:pt idx="631">
                  <c:v>4.7394099999999995</c:v>
                </c:pt>
                <c:pt idx="632">
                  <c:v>4.7394099999999995</c:v>
                </c:pt>
                <c:pt idx="633">
                  <c:v>4.6758499999999996</c:v>
                </c:pt>
                <c:pt idx="634">
                  <c:v>4.6933600000000002</c:v>
                </c:pt>
                <c:pt idx="635">
                  <c:v>4.6762899999999998</c:v>
                </c:pt>
                <c:pt idx="636">
                  <c:v>4.6581099999999998</c:v>
                </c:pt>
                <c:pt idx="637">
                  <c:v>4.6282899999999998</c:v>
                </c:pt>
                <c:pt idx="638">
                  <c:v>4.7417499999999997</c:v>
                </c:pt>
                <c:pt idx="639">
                  <c:v>4.6935199999999995</c:v>
                </c:pt>
                <c:pt idx="640">
                  <c:v>4.8195899999999998</c:v>
                </c:pt>
                <c:pt idx="641">
                  <c:v>5.07057</c:v>
                </c:pt>
                <c:pt idx="642">
                  <c:v>5.1721500000000002</c:v>
                </c:pt>
                <c:pt idx="643">
                  <c:v>5.2191399999999994</c:v>
                </c:pt>
                <c:pt idx="644">
                  <c:v>5.1219200000000003</c:v>
                </c:pt>
                <c:pt idx="645">
                  <c:v>5.2979799999999999</c:v>
                </c:pt>
                <c:pt idx="646">
                  <c:v>5.3632899999999992</c:v>
                </c:pt>
                <c:pt idx="647">
                  <c:v>5.3912500000000003</c:v>
                </c:pt>
                <c:pt idx="648">
                  <c:v>5.3065300000000004</c:v>
                </c:pt>
                <c:pt idx="649">
                  <c:v>5.3819600000000003</c:v>
                </c:pt>
                <c:pt idx="650">
                  <c:v>5.5448500000000003</c:v>
                </c:pt>
                <c:pt idx="651">
                  <c:v>5.7774599999999996</c:v>
                </c:pt>
                <c:pt idx="652">
                  <c:v>5.8550500000000003</c:v>
                </c:pt>
                <c:pt idx="653">
                  <c:v>5.8581200000000004</c:v>
                </c:pt>
                <c:pt idx="654">
                  <c:v>5.9838699999999996</c:v>
                </c:pt>
                <c:pt idx="655">
                  <c:v>5.8648500000000006</c:v>
                </c:pt>
                <c:pt idx="656">
                  <c:v>5.7890700000000006</c:v>
                </c:pt>
                <c:pt idx="657">
                  <c:v>5.8172799999999993</c:v>
                </c:pt>
                <c:pt idx="658">
                  <c:v>5.9370500000000002</c:v>
                </c:pt>
                <c:pt idx="659">
                  <c:v>6.0526099999999996</c:v>
                </c:pt>
                <c:pt idx="660">
                  <c:v>6.19095</c:v>
                </c:pt>
                <c:pt idx="661">
                  <c:v>6.2776399999999999</c:v>
                </c:pt>
                <c:pt idx="662">
                  <c:v>6.2850699999999993</c:v>
                </c:pt>
                <c:pt idx="663">
                  <c:v>6.1816999999999993</c:v>
                </c:pt>
                <c:pt idx="664">
                  <c:v>6.1374500000000003</c:v>
                </c:pt>
                <c:pt idx="665">
                  <c:v>6.0567799999999998</c:v>
                </c:pt>
                <c:pt idx="666">
                  <c:v>6.1390599999999997</c:v>
                </c:pt>
                <c:pt idx="667">
                  <c:v>6.1159299999999996</c:v>
                </c:pt>
                <c:pt idx="668">
                  <c:v>6.0007600000000005</c:v>
                </c:pt>
                <c:pt idx="669">
                  <c:v>6.0229499999999998</c:v>
                </c:pt>
                <c:pt idx="670">
                  <c:v>6.0588599999999992</c:v>
                </c:pt>
                <c:pt idx="671">
                  <c:v>5.9924499999999998</c:v>
                </c:pt>
                <c:pt idx="672">
                  <c:v>6.0571700000000002</c:v>
                </c:pt>
                <c:pt idx="673">
                  <c:v>5.9715300000000004</c:v>
                </c:pt>
                <c:pt idx="674">
                  <c:v>5.8697400000000002</c:v>
                </c:pt>
                <c:pt idx="675">
                  <c:v>5.8546699999999996</c:v>
                </c:pt>
                <c:pt idx="676">
                  <c:v>5.8776700000000002</c:v>
                </c:pt>
                <c:pt idx="677">
                  <c:v>5.6567800000000004</c:v>
                </c:pt>
                <c:pt idx="678">
                  <c:v>5.7599</c:v>
                </c:pt>
                <c:pt idx="679">
                  <c:v>5.7352700000000008</c:v>
                </c:pt>
                <c:pt idx="680">
                  <c:v>5.7516999999999996</c:v>
                </c:pt>
                <c:pt idx="681">
                  <c:v>5.4568899999999996</c:v>
                </c:pt>
                <c:pt idx="682">
                  <c:v>5.4763599999999997</c:v>
                </c:pt>
                <c:pt idx="683">
                  <c:v>5.5437000000000003</c:v>
                </c:pt>
                <c:pt idx="684">
                  <c:v>5.5064700000000002</c:v>
                </c:pt>
                <c:pt idx="685">
                  <c:v>5.4869200000000005</c:v>
                </c:pt>
                <c:pt idx="686">
                  <c:v>5.4327999999999994</c:v>
                </c:pt>
                <c:pt idx="687">
                  <c:v>5.4376800000000003</c:v>
                </c:pt>
                <c:pt idx="688">
                  <c:v>5.48163</c:v>
                </c:pt>
                <c:pt idx="689">
                  <c:v>5.4474199999999993</c:v>
                </c:pt>
                <c:pt idx="690">
                  <c:v>5.4021400000000002</c:v>
                </c:pt>
                <c:pt idx="691">
                  <c:v>5.36388</c:v>
                </c:pt>
                <c:pt idx="692">
                  <c:v>5.3865999999999996</c:v>
                </c:pt>
                <c:pt idx="693">
                  <c:v>5.3865999999999996</c:v>
                </c:pt>
                <c:pt idx="694">
                  <c:v>5.3666999999999998</c:v>
                </c:pt>
                <c:pt idx="695">
                  <c:v>5.3247799999999996</c:v>
                </c:pt>
                <c:pt idx="696">
                  <c:v>5.1519700000000004</c:v>
                </c:pt>
                <c:pt idx="697">
                  <c:v>5.2201199999999996</c:v>
                </c:pt>
                <c:pt idx="698">
                  <c:v>5.2811900000000005</c:v>
                </c:pt>
                <c:pt idx="699">
                  <c:v>4.9907199999999996</c:v>
                </c:pt>
                <c:pt idx="700">
                  <c:v>5.0048899999999996</c:v>
                </c:pt>
                <c:pt idx="701">
                  <c:v>4.9746800000000002</c:v>
                </c:pt>
                <c:pt idx="702">
                  <c:v>4.8206799999999994</c:v>
                </c:pt>
                <c:pt idx="703">
                  <c:v>4.8668399999999998</c:v>
                </c:pt>
                <c:pt idx="704">
                  <c:v>4.9194700000000005</c:v>
                </c:pt>
                <c:pt idx="705">
                  <c:v>5.2336499999999999</c:v>
                </c:pt>
                <c:pt idx="706">
                  <c:v>5.1988300000000001</c:v>
                </c:pt>
                <c:pt idx="707">
                  <c:v>5.3562800000000008</c:v>
                </c:pt>
                <c:pt idx="708">
                  <c:v>5.3562800000000008</c:v>
                </c:pt>
                <c:pt idx="709">
                  <c:v>5.15984</c:v>
                </c:pt>
                <c:pt idx="710">
                  <c:v>5.2585100000000002</c:v>
                </c:pt>
                <c:pt idx="711">
                  <c:v>5.0980400000000001</c:v>
                </c:pt>
                <c:pt idx="712">
                  <c:v>5.1648400000000008</c:v>
                </c:pt>
                <c:pt idx="713">
                  <c:v>5.1673499999999999</c:v>
                </c:pt>
                <c:pt idx="714">
                  <c:v>5.22133</c:v>
                </c:pt>
                <c:pt idx="715">
                  <c:v>5.7781700000000003</c:v>
                </c:pt>
                <c:pt idx="716">
                  <c:v>5.8116499999999993</c:v>
                </c:pt>
                <c:pt idx="717">
                  <c:v>5.8128099999999998</c:v>
                </c:pt>
                <c:pt idx="718">
                  <c:v>5.9775699999999992</c:v>
                </c:pt>
                <c:pt idx="719">
                  <c:v>5.8935799999999992</c:v>
                </c:pt>
                <c:pt idx="720">
                  <c:v>5.8315799999999998</c:v>
                </c:pt>
                <c:pt idx="721">
                  <c:v>5.7488999999999999</c:v>
                </c:pt>
                <c:pt idx="722">
                  <c:v>5.7111999999999998</c:v>
                </c:pt>
                <c:pt idx="723">
                  <c:v>5.6835900000000006</c:v>
                </c:pt>
                <c:pt idx="724">
                  <c:v>5.7547199999999998</c:v>
                </c:pt>
                <c:pt idx="725">
                  <c:v>5.76044</c:v>
                </c:pt>
                <c:pt idx="726">
                  <c:v>5.7337199999999999</c:v>
                </c:pt>
                <c:pt idx="727">
                  <c:v>5.6316999999999995</c:v>
                </c:pt>
                <c:pt idx="728">
                  <c:v>5.6477399999999998</c:v>
                </c:pt>
                <c:pt idx="729">
                  <c:v>5.6096699999999995</c:v>
                </c:pt>
                <c:pt idx="730">
                  <c:v>5.5158799999999992</c:v>
                </c:pt>
                <c:pt idx="731">
                  <c:v>5.3264200000000006</c:v>
                </c:pt>
                <c:pt idx="732">
                  <c:v>5.4139599999999994</c:v>
                </c:pt>
                <c:pt idx="733">
                  <c:v>5.3913900000000003</c:v>
                </c:pt>
                <c:pt idx="734">
                  <c:v>5.4892499999999993</c:v>
                </c:pt>
                <c:pt idx="735">
                  <c:v>5.51938</c:v>
                </c:pt>
                <c:pt idx="736">
                  <c:v>5.5523899999999999</c:v>
                </c:pt>
                <c:pt idx="737">
                  <c:v>5.5269700000000004</c:v>
                </c:pt>
                <c:pt idx="738">
                  <c:v>5.5119100000000003</c:v>
                </c:pt>
                <c:pt idx="739">
                  <c:v>5.4726499999999998</c:v>
                </c:pt>
                <c:pt idx="740">
                  <c:v>5.4118399999999998</c:v>
                </c:pt>
                <c:pt idx="741">
                  <c:v>5.4098299999999995</c:v>
                </c:pt>
                <c:pt idx="742">
                  <c:v>5.3921700000000001</c:v>
                </c:pt>
                <c:pt idx="743">
                  <c:v>5.2551800000000002</c:v>
                </c:pt>
                <c:pt idx="744">
                  <c:v>5.3020399999999999</c:v>
                </c:pt>
                <c:pt idx="745">
                  <c:v>5.2829600000000001</c:v>
                </c:pt>
                <c:pt idx="746">
                  <c:v>5.2941099999999999</c:v>
                </c:pt>
                <c:pt idx="747">
                  <c:v>5.3215899999999996</c:v>
                </c:pt>
                <c:pt idx="748">
                  <c:v>4.1354000000000006</c:v>
                </c:pt>
                <c:pt idx="749">
                  <c:v>4.1917499999999999</c:v>
                </c:pt>
                <c:pt idx="750">
                  <c:v>4.1965899999999996</c:v>
                </c:pt>
                <c:pt idx="751">
                  <c:v>4.2368899999999998</c:v>
                </c:pt>
                <c:pt idx="752">
                  <c:v>4.1634500000000001</c:v>
                </c:pt>
                <c:pt idx="753">
                  <c:v>4.19834</c:v>
                </c:pt>
                <c:pt idx="754">
                  <c:v>4.25075</c:v>
                </c:pt>
                <c:pt idx="755">
                  <c:v>4.2252000000000001</c:v>
                </c:pt>
                <c:pt idx="756">
                  <c:v>4.2892700000000001</c:v>
                </c:pt>
                <c:pt idx="757">
                  <c:v>4.1234500000000001</c:v>
                </c:pt>
                <c:pt idx="758">
                  <c:v>4.18004</c:v>
                </c:pt>
                <c:pt idx="759">
                  <c:v>3.9288799999999999</c:v>
                </c:pt>
                <c:pt idx="760">
                  <c:v>3.8851200000000001</c:v>
                </c:pt>
                <c:pt idx="761">
                  <c:v>3.8649800000000001</c:v>
                </c:pt>
                <c:pt idx="762">
                  <c:v>3.5899000000000001</c:v>
                </c:pt>
                <c:pt idx="763">
                  <c:v>3.4782299999999999</c:v>
                </c:pt>
                <c:pt idx="764">
                  <c:v>3.55402</c:v>
                </c:pt>
                <c:pt idx="765">
                  <c:v>3.6732999999999998</c:v>
                </c:pt>
                <c:pt idx="766">
                  <c:v>3.6528100000000001</c:v>
                </c:pt>
                <c:pt idx="767">
                  <c:v>3.5886800000000001</c:v>
                </c:pt>
                <c:pt idx="768">
                  <c:v>3.5351900000000001</c:v>
                </c:pt>
                <c:pt idx="769">
                  <c:v>3.5484599999999999</c:v>
                </c:pt>
                <c:pt idx="770">
                  <c:v>3.3379099999999999</c:v>
                </c:pt>
                <c:pt idx="771">
                  <c:v>3.4377300000000002</c:v>
                </c:pt>
                <c:pt idx="772">
                  <c:v>3.4133300000000002</c:v>
                </c:pt>
                <c:pt idx="773">
                  <c:v>3.3468900000000001</c:v>
                </c:pt>
                <c:pt idx="774">
                  <c:v>3.2357400000000003</c:v>
                </c:pt>
                <c:pt idx="775">
                  <c:v>3.3224900000000002</c:v>
                </c:pt>
                <c:pt idx="776">
                  <c:v>3.3107699999999998</c:v>
                </c:pt>
                <c:pt idx="777">
                  <c:v>3.24038</c:v>
                </c:pt>
                <c:pt idx="778">
                  <c:v>3.24038</c:v>
                </c:pt>
                <c:pt idx="779">
                  <c:v>3.24038</c:v>
                </c:pt>
                <c:pt idx="780">
                  <c:v>3.1406099999999997</c:v>
                </c:pt>
                <c:pt idx="781">
                  <c:v>3.2120699999999998</c:v>
                </c:pt>
                <c:pt idx="782">
                  <c:v>3.2426299999999997</c:v>
                </c:pt>
                <c:pt idx="783">
                  <c:v>3.2426299999999997</c:v>
                </c:pt>
                <c:pt idx="784">
                  <c:v>3.1217000000000001</c:v>
                </c:pt>
                <c:pt idx="785">
                  <c:v>3.2240600000000001</c:v>
                </c:pt>
                <c:pt idx="786">
                  <c:v>3.1639299999999997</c:v>
                </c:pt>
                <c:pt idx="787">
                  <c:v>3.3696699999999997</c:v>
                </c:pt>
                <c:pt idx="788">
                  <c:v>3.3409500000000003</c:v>
                </c:pt>
                <c:pt idx="789">
                  <c:v>3.2806500000000001</c:v>
                </c:pt>
                <c:pt idx="790">
                  <c:v>3.2966000000000002</c:v>
                </c:pt>
                <c:pt idx="791">
                  <c:v>3.4337400000000002</c:v>
                </c:pt>
                <c:pt idx="792">
                  <c:v>3.4170299999999996</c:v>
                </c:pt>
                <c:pt idx="793">
                  <c:v>3.3893299999999997</c:v>
                </c:pt>
                <c:pt idx="794">
                  <c:v>3.4295200000000001</c:v>
                </c:pt>
                <c:pt idx="795">
                  <c:v>3.5181299999999998</c:v>
                </c:pt>
                <c:pt idx="796">
                  <c:v>3.4945200000000001</c:v>
                </c:pt>
                <c:pt idx="797">
                  <c:v>3.4475500000000001</c:v>
                </c:pt>
                <c:pt idx="798">
                  <c:v>3.3607900000000002</c:v>
                </c:pt>
                <c:pt idx="799">
                  <c:v>3.3927300000000002</c:v>
                </c:pt>
                <c:pt idx="800">
                  <c:v>3.3934899999999999</c:v>
                </c:pt>
                <c:pt idx="801">
                  <c:v>3.3641199999999998</c:v>
                </c:pt>
                <c:pt idx="802">
                  <c:v>3.3394900000000001</c:v>
                </c:pt>
                <c:pt idx="803">
                  <c:v>3.3459599999999998</c:v>
                </c:pt>
                <c:pt idx="804">
                  <c:v>3.4102499999999996</c:v>
                </c:pt>
                <c:pt idx="805">
                  <c:v>3.4039699999999997</c:v>
                </c:pt>
                <c:pt idx="806">
                  <c:v>3.4654700000000003</c:v>
                </c:pt>
                <c:pt idx="807">
                  <c:v>3.3481099999999997</c:v>
                </c:pt>
                <c:pt idx="808">
                  <c:v>3.24037</c:v>
                </c:pt>
                <c:pt idx="809">
                  <c:v>3.2355700000000001</c:v>
                </c:pt>
                <c:pt idx="810">
                  <c:v>3.2460800000000001</c:v>
                </c:pt>
                <c:pt idx="811">
                  <c:v>3.1859800000000003</c:v>
                </c:pt>
                <c:pt idx="812">
                  <c:v>3.1782600000000003</c:v>
                </c:pt>
                <c:pt idx="813">
                  <c:v>3.1872799999999999</c:v>
                </c:pt>
                <c:pt idx="814">
                  <c:v>3.1363499999999997</c:v>
                </c:pt>
                <c:pt idx="815">
                  <c:v>3.11802</c:v>
                </c:pt>
                <c:pt idx="816">
                  <c:v>3.1631900000000002</c:v>
                </c:pt>
                <c:pt idx="817">
                  <c:v>3.19503</c:v>
                </c:pt>
                <c:pt idx="818">
                  <c:v>3.19868</c:v>
                </c:pt>
                <c:pt idx="819">
                  <c:v>3.1348099999999999</c:v>
                </c:pt>
                <c:pt idx="820">
                  <c:v>3.18472</c:v>
                </c:pt>
                <c:pt idx="821">
                  <c:v>3.2001100000000005</c:v>
                </c:pt>
                <c:pt idx="822">
                  <c:v>3.1530399999999998</c:v>
                </c:pt>
                <c:pt idx="823">
                  <c:v>3.1757200000000001</c:v>
                </c:pt>
                <c:pt idx="824">
                  <c:v>3.1751900000000002</c:v>
                </c:pt>
                <c:pt idx="825">
                  <c:v>3.0948399999999996</c:v>
                </c:pt>
                <c:pt idx="826">
                  <c:v>3.1324099999999997</c:v>
                </c:pt>
                <c:pt idx="827">
                  <c:v>3.19651</c:v>
                </c:pt>
                <c:pt idx="828">
                  <c:v>3.19435</c:v>
                </c:pt>
                <c:pt idx="829">
                  <c:v>3.1569400000000001</c:v>
                </c:pt>
                <c:pt idx="830">
                  <c:v>3.1379899999999998</c:v>
                </c:pt>
                <c:pt idx="831">
                  <c:v>3.3843400000000003</c:v>
                </c:pt>
                <c:pt idx="832">
                  <c:v>3.6737500000000001</c:v>
                </c:pt>
                <c:pt idx="833">
                  <c:v>3.9110199999999997</c:v>
                </c:pt>
                <c:pt idx="834">
                  <c:v>3.85459</c:v>
                </c:pt>
                <c:pt idx="835">
                  <c:v>3.97709</c:v>
                </c:pt>
                <c:pt idx="836">
                  <c:v>3.8768200000000004</c:v>
                </c:pt>
                <c:pt idx="837">
                  <c:v>4.0938600000000003</c:v>
                </c:pt>
                <c:pt idx="838">
                  <c:v>4.12371</c:v>
                </c:pt>
                <c:pt idx="839">
                  <c:v>3.9973000000000001</c:v>
                </c:pt>
                <c:pt idx="840">
                  <c:v>4.1633199999999997</c:v>
                </c:pt>
                <c:pt idx="841">
                  <c:v>4.1806099999999997</c:v>
                </c:pt>
                <c:pt idx="842">
                  <c:v>4.1881000000000004</c:v>
                </c:pt>
                <c:pt idx="843">
                  <c:v>3.9971699999999997</c:v>
                </c:pt>
                <c:pt idx="844">
                  <c:v>3.9639899999999999</c:v>
                </c:pt>
                <c:pt idx="845">
                  <c:v>3.9104299999999999</c:v>
                </c:pt>
                <c:pt idx="846">
                  <c:v>3.94862</c:v>
                </c:pt>
                <c:pt idx="847">
                  <c:v>3.8993099999999998</c:v>
                </c:pt>
                <c:pt idx="848">
                  <c:v>3.94102</c:v>
                </c:pt>
                <c:pt idx="849">
                  <c:v>4.0153500000000006</c:v>
                </c:pt>
                <c:pt idx="850">
                  <c:v>4.0350700000000002</c:v>
                </c:pt>
                <c:pt idx="851">
                  <c:v>4.0207799999999994</c:v>
                </c:pt>
                <c:pt idx="852">
                  <c:v>3.9586799999999998</c:v>
                </c:pt>
                <c:pt idx="853">
                  <c:v>3.9721499999999996</c:v>
                </c:pt>
                <c:pt idx="854">
                  <c:v>3.7969600000000003</c:v>
                </c:pt>
                <c:pt idx="855">
                  <c:v>3.8488500000000001</c:v>
                </c:pt>
                <c:pt idx="856">
                  <c:v>3.8506999999999998</c:v>
                </c:pt>
                <c:pt idx="857">
                  <c:v>3.7829999999999999</c:v>
                </c:pt>
                <c:pt idx="858">
                  <c:v>3.6701299999999999</c:v>
                </c:pt>
                <c:pt idx="859">
                  <c:v>3.7117200000000001</c:v>
                </c:pt>
                <c:pt idx="860">
                  <c:v>3.7263500000000001</c:v>
                </c:pt>
                <c:pt idx="861">
                  <c:v>3.7376400000000003</c:v>
                </c:pt>
                <c:pt idx="862">
                  <c:v>3.7069799999999997</c:v>
                </c:pt>
                <c:pt idx="863">
                  <c:v>3.7841000000000005</c:v>
                </c:pt>
                <c:pt idx="864">
                  <c:v>3.8138700000000001</c:v>
                </c:pt>
                <c:pt idx="865">
                  <c:v>3.83534</c:v>
                </c:pt>
                <c:pt idx="866">
                  <c:v>3.7392700000000003</c:v>
                </c:pt>
                <c:pt idx="867">
                  <c:v>3.7905799999999998</c:v>
                </c:pt>
                <c:pt idx="868">
                  <c:v>3.7905799999999998</c:v>
                </c:pt>
                <c:pt idx="869">
                  <c:v>3.8280799999999999</c:v>
                </c:pt>
                <c:pt idx="870">
                  <c:v>3.9149799999999999</c:v>
                </c:pt>
                <c:pt idx="871">
                  <c:v>3.9022300000000003</c:v>
                </c:pt>
                <c:pt idx="872">
                  <c:v>3.8520299999999996</c:v>
                </c:pt>
                <c:pt idx="873">
                  <c:v>3.8520299999999996</c:v>
                </c:pt>
                <c:pt idx="874">
                  <c:v>3.8003100000000001</c:v>
                </c:pt>
                <c:pt idx="875">
                  <c:v>3.9490800000000004</c:v>
                </c:pt>
                <c:pt idx="876">
                  <c:v>3.9847399999999999</c:v>
                </c:pt>
                <c:pt idx="877">
                  <c:v>3.86876</c:v>
                </c:pt>
                <c:pt idx="878">
                  <c:v>3.8676999999999997</c:v>
                </c:pt>
                <c:pt idx="879">
                  <c:v>3.78091</c:v>
                </c:pt>
                <c:pt idx="880">
                  <c:v>3.7277900000000002</c:v>
                </c:pt>
                <c:pt idx="881">
                  <c:v>3.6655200000000003</c:v>
                </c:pt>
                <c:pt idx="882">
                  <c:v>3.6347100000000001</c:v>
                </c:pt>
                <c:pt idx="883">
                  <c:v>3.6317899999999996</c:v>
                </c:pt>
                <c:pt idx="884">
                  <c:v>3.6842999999999999</c:v>
                </c:pt>
                <c:pt idx="885">
                  <c:v>3.6561000000000003</c:v>
                </c:pt>
                <c:pt idx="886">
                  <c:v>3.5331900000000003</c:v>
                </c:pt>
                <c:pt idx="887">
                  <c:v>3.52223</c:v>
                </c:pt>
                <c:pt idx="888">
                  <c:v>3.5544700000000002</c:v>
                </c:pt>
                <c:pt idx="889">
                  <c:v>3.5852300000000001</c:v>
                </c:pt>
                <c:pt idx="890">
                  <c:v>3.6406200000000002</c:v>
                </c:pt>
                <c:pt idx="891">
                  <c:v>3.6546800000000004</c:v>
                </c:pt>
                <c:pt idx="892">
                  <c:v>3.6012200000000001</c:v>
                </c:pt>
                <c:pt idx="893">
                  <c:v>3.6003400000000001</c:v>
                </c:pt>
                <c:pt idx="894">
                  <c:v>3.5266299999999999</c:v>
                </c:pt>
                <c:pt idx="895">
                  <c:v>3.51918</c:v>
                </c:pt>
                <c:pt idx="896">
                  <c:v>3.5206999999999997</c:v>
                </c:pt>
                <c:pt idx="897">
                  <c:v>3.4789100000000004</c:v>
                </c:pt>
                <c:pt idx="898">
                  <c:v>3.4669699999999999</c:v>
                </c:pt>
                <c:pt idx="899">
                  <c:v>3.44123</c:v>
                </c:pt>
                <c:pt idx="900">
                  <c:v>3.3866500000000004</c:v>
                </c:pt>
                <c:pt idx="901">
                  <c:v>3.4338099999999998</c:v>
                </c:pt>
                <c:pt idx="902">
                  <c:v>3.3748399999999998</c:v>
                </c:pt>
                <c:pt idx="903">
                  <c:v>3.3926299999999996</c:v>
                </c:pt>
                <c:pt idx="904">
                  <c:v>3.4114299999999997</c:v>
                </c:pt>
                <c:pt idx="905">
                  <c:v>3.3965899999999998</c:v>
                </c:pt>
                <c:pt idx="906">
                  <c:v>3.3232400000000002</c:v>
                </c:pt>
                <c:pt idx="907">
                  <c:v>3.3746199999999997</c:v>
                </c:pt>
                <c:pt idx="908">
                  <c:v>3.3986700000000001</c:v>
                </c:pt>
                <c:pt idx="909">
                  <c:v>3.3036200000000004</c:v>
                </c:pt>
                <c:pt idx="910">
                  <c:v>3.3502700000000001</c:v>
                </c:pt>
                <c:pt idx="911">
                  <c:v>3.2512799999999999</c:v>
                </c:pt>
                <c:pt idx="912">
                  <c:v>3.2716000000000003</c:v>
                </c:pt>
                <c:pt idx="913">
                  <c:v>3.2239200000000001</c:v>
                </c:pt>
                <c:pt idx="914">
                  <c:v>3.2159800000000001</c:v>
                </c:pt>
                <c:pt idx="915">
                  <c:v>3.1742300000000001</c:v>
                </c:pt>
                <c:pt idx="916">
                  <c:v>3.0842000000000001</c:v>
                </c:pt>
                <c:pt idx="917">
                  <c:v>3.1341300000000003</c:v>
                </c:pt>
                <c:pt idx="918">
                  <c:v>3.1987700000000001</c:v>
                </c:pt>
                <c:pt idx="919">
                  <c:v>3.2251299999999996</c:v>
                </c:pt>
                <c:pt idx="920">
                  <c:v>3.3386800000000001</c:v>
                </c:pt>
                <c:pt idx="921">
                  <c:v>3.4234899999999997</c:v>
                </c:pt>
                <c:pt idx="922">
                  <c:v>3.3452999999999999</c:v>
                </c:pt>
                <c:pt idx="923">
                  <c:v>3.3606400000000001</c:v>
                </c:pt>
                <c:pt idx="924">
                  <c:v>3.3969200000000002</c:v>
                </c:pt>
                <c:pt idx="925">
                  <c:v>3.3779700000000004</c:v>
                </c:pt>
                <c:pt idx="926">
                  <c:v>3.2447900000000001</c:v>
                </c:pt>
                <c:pt idx="927">
                  <c:v>3.2425799999999998</c:v>
                </c:pt>
                <c:pt idx="928">
                  <c:v>3.1994400000000001</c:v>
                </c:pt>
                <c:pt idx="929">
                  <c:v>3.1114199999999999</c:v>
                </c:pt>
                <c:pt idx="930">
                  <c:v>3.1644299999999999</c:v>
                </c:pt>
                <c:pt idx="931">
                  <c:v>3.0093799999999997</c:v>
                </c:pt>
                <c:pt idx="932">
                  <c:v>3.0216099999999999</c:v>
                </c:pt>
                <c:pt idx="933">
                  <c:v>3.0082400000000002</c:v>
                </c:pt>
                <c:pt idx="934">
                  <c:v>2.9892399999999997</c:v>
                </c:pt>
                <c:pt idx="935">
                  <c:v>2.9538600000000002</c:v>
                </c:pt>
                <c:pt idx="936">
                  <c:v>2.9502699999999997</c:v>
                </c:pt>
                <c:pt idx="937">
                  <c:v>3.0518400000000003</c:v>
                </c:pt>
                <c:pt idx="938">
                  <c:v>3.0648</c:v>
                </c:pt>
                <c:pt idx="939">
                  <c:v>3.09443</c:v>
                </c:pt>
                <c:pt idx="940">
                  <c:v>3.0955500000000002</c:v>
                </c:pt>
                <c:pt idx="941">
                  <c:v>3.0140699999999998</c:v>
                </c:pt>
                <c:pt idx="942">
                  <c:v>2.9268700000000001</c:v>
                </c:pt>
                <c:pt idx="943">
                  <c:v>2.9250599999999998</c:v>
                </c:pt>
                <c:pt idx="944">
                  <c:v>2.9884599999999999</c:v>
                </c:pt>
                <c:pt idx="945">
                  <c:v>2.9887799999999998</c:v>
                </c:pt>
                <c:pt idx="946">
                  <c:v>3.0142099999999998</c:v>
                </c:pt>
                <c:pt idx="947">
                  <c:v>3.0479700000000003</c:v>
                </c:pt>
                <c:pt idx="948">
                  <c:v>3.0057900000000002</c:v>
                </c:pt>
                <c:pt idx="949">
                  <c:v>2.9877100000000003</c:v>
                </c:pt>
                <c:pt idx="950">
                  <c:v>3.0340100000000003</c:v>
                </c:pt>
                <c:pt idx="951">
                  <c:v>2.9556099999999996</c:v>
                </c:pt>
                <c:pt idx="952">
                  <c:v>2.9677600000000002</c:v>
                </c:pt>
                <c:pt idx="953">
                  <c:v>2.9677600000000002</c:v>
                </c:pt>
                <c:pt idx="954">
                  <c:v>3.0783</c:v>
                </c:pt>
                <c:pt idx="955">
                  <c:v>3.0420699999999998</c:v>
                </c:pt>
                <c:pt idx="956">
                  <c:v>3.07395</c:v>
                </c:pt>
                <c:pt idx="957">
                  <c:v>2.9775900000000002</c:v>
                </c:pt>
                <c:pt idx="958">
                  <c:v>2.9937299999999998</c:v>
                </c:pt>
                <c:pt idx="959">
                  <c:v>2.9649700000000001</c:v>
                </c:pt>
                <c:pt idx="960">
                  <c:v>2.9313099999999999</c:v>
                </c:pt>
                <c:pt idx="961">
                  <c:v>2.97471</c:v>
                </c:pt>
                <c:pt idx="962">
                  <c:v>2.9906200000000003</c:v>
                </c:pt>
                <c:pt idx="963">
                  <c:v>2.9761900000000003</c:v>
                </c:pt>
                <c:pt idx="964">
                  <c:v>3.0695100000000002</c:v>
                </c:pt>
                <c:pt idx="965">
                  <c:v>3.26125</c:v>
                </c:pt>
                <c:pt idx="966">
                  <c:v>3.2430599999999998</c:v>
                </c:pt>
                <c:pt idx="967">
                  <c:v>3.1417999999999999</c:v>
                </c:pt>
                <c:pt idx="968">
                  <c:v>2.9752999999999998</c:v>
                </c:pt>
                <c:pt idx="969">
                  <c:v>3.3069600000000001</c:v>
                </c:pt>
                <c:pt idx="970">
                  <c:v>3.1960000000000002</c:v>
                </c:pt>
                <c:pt idx="971">
                  <c:v>3.1520899999999998</c:v>
                </c:pt>
                <c:pt idx="972">
                  <c:v>3.1566100000000001</c:v>
                </c:pt>
                <c:pt idx="973">
                  <c:v>3.2667200000000003</c:v>
                </c:pt>
                <c:pt idx="974">
                  <c:v>3.3691899999999997</c:v>
                </c:pt>
                <c:pt idx="975">
                  <c:v>3.2822300000000002</c:v>
                </c:pt>
                <c:pt idx="976">
                  <c:v>3.49383</c:v>
                </c:pt>
                <c:pt idx="977">
                  <c:v>3.5386599999999997</c:v>
                </c:pt>
                <c:pt idx="978">
                  <c:v>3.4982600000000001</c:v>
                </c:pt>
                <c:pt idx="979">
                  <c:v>3.5202800000000001</c:v>
                </c:pt>
                <c:pt idx="980">
                  <c:v>3.7248399999999999</c:v>
                </c:pt>
                <c:pt idx="981">
                  <c:v>3.73665</c:v>
                </c:pt>
                <c:pt idx="982">
                  <c:v>3.6837800000000001</c:v>
                </c:pt>
                <c:pt idx="983">
                  <c:v>3.5651600000000001</c:v>
                </c:pt>
                <c:pt idx="984">
                  <c:v>3.4821300000000002</c:v>
                </c:pt>
                <c:pt idx="985">
                  <c:v>3.4800599999999999</c:v>
                </c:pt>
                <c:pt idx="986">
                  <c:v>3.4608499999999998</c:v>
                </c:pt>
                <c:pt idx="987">
                  <c:v>3.5815899999999998</c:v>
                </c:pt>
                <c:pt idx="988">
                  <c:v>3.5056599999999998</c:v>
                </c:pt>
                <c:pt idx="989">
                  <c:v>3.41757</c:v>
                </c:pt>
                <c:pt idx="990">
                  <c:v>3.4311799999999999</c:v>
                </c:pt>
                <c:pt idx="991">
                  <c:v>3.4755099999999999</c:v>
                </c:pt>
                <c:pt idx="992">
                  <c:v>3.5233100000000004</c:v>
                </c:pt>
                <c:pt idx="993">
                  <c:v>3.4599500000000001</c:v>
                </c:pt>
                <c:pt idx="994">
                  <c:v>3.4451200000000002</c:v>
                </c:pt>
                <c:pt idx="995">
                  <c:v>3.4357799999999998</c:v>
                </c:pt>
                <c:pt idx="996">
                  <c:v>3.5603199999999999</c:v>
                </c:pt>
                <c:pt idx="997">
                  <c:v>3.4683999999999999</c:v>
                </c:pt>
                <c:pt idx="998">
                  <c:v>3.3775400000000002</c:v>
                </c:pt>
                <c:pt idx="999">
                  <c:v>3.4448399999999997</c:v>
                </c:pt>
                <c:pt idx="1000">
                  <c:v>3.4627400000000002</c:v>
                </c:pt>
                <c:pt idx="1001">
                  <c:v>3.2861900000000004</c:v>
                </c:pt>
                <c:pt idx="1002">
                  <c:v>3.2719999999999998</c:v>
                </c:pt>
                <c:pt idx="1003">
                  <c:v>3.1442600000000001</c:v>
                </c:pt>
                <c:pt idx="1004">
                  <c:v>3.2573700000000003</c:v>
                </c:pt>
                <c:pt idx="1005">
                  <c:v>3.2524000000000002</c:v>
                </c:pt>
                <c:pt idx="1006">
                  <c:v>3.1416599999999999</c:v>
                </c:pt>
                <c:pt idx="1007">
                  <c:v>3.1578199999999996</c:v>
                </c:pt>
                <c:pt idx="1008">
                  <c:v>3.0908100000000003</c:v>
                </c:pt>
                <c:pt idx="1009">
                  <c:v>3.3115600000000001</c:v>
                </c:pt>
                <c:pt idx="1010">
                  <c:v>3.2158100000000003</c:v>
                </c:pt>
                <c:pt idx="1011">
                  <c:v>3.30036</c:v>
                </c:pt>
                <c:pt idx="1012">
                  <c:v>3.2411500000000002</c:v>
                </c:pt>
                <c:pt idx="1013">
                  <c:v>3.1653600000000002</c:v>
                </c:pt>
                <c:pt idx="1014">
                  <c:v>3.1749700000000001</c:v>
                </c:pt>
                <c:pt idx="1015">
                  <c:v>3.1445600000000002</c:v>
                </c:pt>
                <c:pt idx="1016">
                  <c:v>3.1547199999999997</c:v>
                </c:pt>
                <c:pt idx="1017">
                  <c:v>3.1347800000000001</c:v>
                </c:pt>
                <c:pt idx="1018">
                  <c:v>3.0175000000000001</c:v>
                </c:pt>
                <c:pt idx="1019">
                  <c:v>3.0806400000000003</c:v>
                </c:pt>
                <c:pt idx="1020">
                  <c:v>3.1131200000000003</c:v>
                </c:pt>
                <c:pt idx="1021">
                  <c:v>3.0518400000000003</c:v>
                </c:pt>
                <c:pt idx="1022">
                  <c:v>3.1325699999999999</c:v>
                </c:pt>
                <c:pt idx="1023">
                  <c:v>3.0510999999999999</c:v>
                </c:pt>
                <c:pt idx="1024">
                  <c:v>3.10778</c:v>
                </c:pt>
                <c:pt idx="1025">
                  <c:v>3.0246399999999998</c:v>
                </c:pt>
                <c:pt idx="1026">
                  <c:v>3.0031599999999998</c:v>
                </c:pt>
                <c:pt idx="1027">
                  <c:v>2.9835500000000001</c:v>
                </c:pt>
                <c:pt idx="1028">
                  <c:v>2.9649700000000001</c:v>
                </c:pt>
                <c:pt idx="1029">
                  <c:v>2.98699</c:v>
                </c:pt>
                <c:pt idx="1030">
                  <c:v>2.9940899999999999</c:v>
                </c:pt>
                <c:pt idx="1031">
                  <c:v>2.86294</c:v>
                </c:pt>
                <c:pt idx="1032">
                  <c:v>2.7699200000000004</c:v>
                </c:pt>
                <c:pt idx="1033">
                  <c:v>2.75624</c:v>
                </c:pt>
                <c:pt idx="1034">
                  <c:v>2.77074</c:v>
                </c:pt>
                <c:pt idx="1035">
                  <c:v>2.7162900000000003</c:v>
                </c:pt>
                <c:pt idx="1036">
                  <c:v>2.7162900000000003</c:v>
                </c:pt>
                <c:pt idx="1037">
                  <c:v>2.7162900000000003</c:v>
                </c:pt>
                <c:pt idx="1038">
                  <c:v>2.7162900000000003</c:v>
                </c:pt>
                <c:pt idx="1039">
                  <c:v>2.7162900000000003</c:v>
                </c:pt>
                <c:pt idx="1040">
                  <c:v>2.7670699999999999</c:v>
                </c:pt>
                <c:pt idx="1041">
                  <c:v>2.7795800000000002</c:v>
                </c:pt>
                <c:pt idx="1042">
                  <c:v>2.7711099999999997</c:v>
                </c:pt>
                <c:pt idx="1043">
                  <c:v>2.7711099999999997</c:v>
                </c:pt>
                <c:pt idx="1044">
                  <c:v>2.7167500000000002</c:v>
                </c:pt>
                <c:pt idx="1045">
                  <c:v>2.7715100000000001</c:v>
                </c:pt>
                <c:pt idx="1046">
                  <c:v>2.7743200000000003</c:v>
                </c:pt>
                <c:pt idx="1047">
                  <c:v>2.8388499999999999</c:v>
                </c:pt>
                <c:pt idx="1048">
                  <c:v>2.9183699999999999</c:v>
                </c:pt>
                <c:pt idx="1049">
                  <c:v>2.8908199999999997</c:v>
                </c:pt>
                <c:pt idx="1050">
                  <c:v>2.8884799999999999</c:v>
                </c:pt>
                <c:pt idx="1051">
                  <c:v>2.9229399999999996</c:v>
                </c:pt>
                <c:pt idx="1052">
                  <c:v>2.9875400000000001</c:v>
                </c:pt>
                <c:pt idx="1053">
                  <c:v>2.9737099999999996</c:v>
                </c:pt>
                <c:pt idx="1054">
                  <c:v>2.9311200000000004</c:v>
                </c:pt>
                <c:pt idx="1055">
                  <c:v>2.9166099999999999</c:v>
                </c:pt>
                <c:pt idx="1056">
                  <c:v>2.9125799999999997</c:v>
                </c:pt>
                <c:pt idx="1057">
                  <c:v>2.8770800000000003</c:v>
                </c:pt>
                <c:pt idx="1058">
                  <c:v>2.8817700000000004</c:v>
                </c:pt>
                <c:pt idx="1059">
                  <c:v>2.9082400000000002</c:v>
                </c:pt>
                <c:pt idx="1060">
                  <c:v>2.8783100000000004</c:v>
                </c:pt>
                <c:pt idx="1061">
                  <c:v>2.9204000000000003</c:v>
                </c:pt>
                <c:pt idx="1062">
                  <c:v>2.8776799999999998</c:v>
                </c:pt>
                <c:pt idx="1063">
                  <c:v>2.9211200000000002</c:v>
                </c:pt>
                <c:pt idx="1064">
                  <c:v>2.8442399999999997</c:v>
                </c:pt>
                <c:pt idx="1065">
                  <c:v>2.9811000000000001</c:v>
                </c:pt>
                <c:pt idx="1066">
                  <c:v>3.0322300000000002</c:v>
                </c:pt>
                <c:pt idx="1067">
                  <c:v>2.9531999999999998</c:v>
                </c:pt>
                <c:pt idx="1068">
                  <c:v>2.87717</c:v>
                </c:pt>
                <c:pt idx="1069">
                  <c:v>2.8810000000000002</c:v>
                </c:pt>
                <c:pt idx="1070">
                  <c:v>2.8773</c:v>
                </c:pt>
                <c:pt idx="1071">
                  <c:v>2.8085000000000004</c:v>
                </c:pt>
                <c:pt idx="1072">
                  <c:v>2.7839100000000001</c:v>
                </c:pt>
                <c:pt idx="1073">
                  <c:v>2.8010199999999998</c:v>
                </c:pt>
                <c:pt idx="1074">
                  <c:v>2.7604500000000001</c:v>
                </c:pt>
                <c:pt idx="1075">
                  <c:v>2.7528600000000001</c:v>
                </c:pt>
                <c:pt idx="1076">
                  <c:v>2.76484</c:v>
                </c:pt>
                <c:pt idx="1077">
                  <c:v>2.7027100000000002</c:v>
                </c:pt>
                <c:pt idx="1078">
                  <c:v>2.7095299999999995</c:v>
                </c:pt>
                <c:pt idx="1079">
                  <c:v>2.7454899999999998</c:v>
                </c:pt>
                <c:pt idx="1080">
                  <c:v>2.6903100000000002</c:v>
                </c:pt>
                <c:pt idx="1081">
                  <c:v>2.6618300000000001</c:v>
                </c:pt>
                <c:pt idx="1082">
                  <c:v>2.7025599999999996</c:v>
                </c:pt>
                <c:pt idx="1083">
                  <c:v>2.6081799999999999</c:v>
                </c:pt>
                <c:pt idx="1084">
                  <c:v>2.63992</c:v>
                </c:pt>
                <c:pt idx="1085">
                  <c:v>2.67719</c:v>
                </c:pt>
                <c:pt idx="1086">
                  <c:v>2.7241899999999997</c:v>
                </c:pt>
                <c:pt idx="1087">
                  <c:v>2.7751000000000001</c:v>
                </c:pt>
                <c:pt idx="1088">
                  <c:v>2.73786</c:v>
                </c:pt>
                <c:pt idx="1089">
                  <c:v>2.7325499999999998</c:v>
                </c:pt>
                <c:pt idx="1090">
                  <c:v>2.7552400000000001</c:v>
                </c:pt>
                <c:pt idx="1091">
                  <c:v>2.7537700000000003</c:v>
                </c:pt>
                <c:pt idx="1092">
                  <c:v>2.7617799999999999</c:v>
                </c:pt>
                <c:pt idx="1093">
                  <c:v>2.7599</c:v>
                </c:pt>
                <c:pt idx="1094">
                  <c:v>2.6229700000000005</c:v>
                </c:pt>
                <c:pt idx="1095">
                  <c:v>2.6363499999999997</c:v>
                </c:pt>
                <c:pt idx="1096">
                  <c:v>2.5493899999999998</c:v>
                </c:pt>
                <c:pt idx="1097">
                  <c:v>2.5406599999999999</c:v>
                </c:pt>
                <c:pt idx="1098">
                  <c:v>2.4979499999999999</c:v>
                </c:pt>
                <c:pt idx="1099">
                  <c:v>2.58344</c:v>
                </c:pt>
                <c:pt idx="1100">
                  <c:v>2.64846</c:v>
                </c:pt>
                <c:pt idx="1101">
                  <c:v>2.5681099999999999</c:v>
                </c:pt>
                <c:pt idx="1102">
                  <c:v>2.61476</c:v>
                </c:pt>
                <c:pt idx="1103">
                  <c:v>2.5842000000000001</c:v>
                </c:pt>
                <c:pt idx="1104">
                  <c:v>2.6114299999999999</c:v>
                </c:pt>
                <c:pt idx="1105">
                  <c:v>2.6424300000000001</c:v>
                </c:pt>
                <c:pt idx="1106">
                  <c:v>2.6264600000000002</c:v>
                </c:pt>
                <c:pt idx="1107">
                  <c:v>2.6264600000000002</c:v>
                </c:pt>
                <c:pt idx="1108">
                  <c:v>2.6264600000000002</c:v>
                </c:pt>
                <c:pt idx="1109">
                  <c:v>2.5074399999999999</c:v>
                </c:pt>
                <c:pt idx="1110">
                  <c:v>2.54101</c:v>
                </c:pt>
                <c:pt idx="1111">
                  <c:v>2.5324200000000001</c:v>
                </c:pt>
                <c:pt idx="1112">
                  <c:v>2.5375700000000001</c:v>
                </c:pt>
                <c:pt idx="1113">
                  <c:v>2.48956</c:v>
                </c:pt>
                <c:pt idx="1114">
                  <c:v>2.5754700000000001</c:v>
                </c:pt>
                <c:pt idx="1115">
                  <c:v>2.39378</c:v>
                </c:pt>
                <c:pt idx="1116">
                  <c:v>2.4781399999999998</c:v>
                </c:pt>
                <c:pt idx="1117">
                  <c:v>2.5044</c:v>
                </c:pt>
                <c:pt idx="1118">
                  <c:v>2.44713</c:v>
                </c:pt>
                <c:pt idx="1119">
                  <c:v>2.4638800000000001</c:v>
                </c:pt>
                <c:pt idx="1120">
                  <c:v>2.5110100000000002</c:v>
                </c:pt>
                <c:pt idx="1121">
                  <c:v>2.4636</c:v>
                </c:pt>
                <c:pt idx="1122">
                  <c:v>2.6456900000000001</c:v>
                </c:pt>
                <c:pt idx="1123">
                  <c:v>2.6308999999999996</c:v>
                </c:pt>
                <c:pt idx="1124">
                  <c:v>2.6913600000000004</c:v>
                </c:pt>
                <c:pt idx="1125">
                  <c:v>2.6591800000000001</c:v>
                </c:pt>
                <c:pt idx="1126">
                  <c:v>2.6456900000000001</c:v>
                </c:pt>
                <c:pt idx="1127">
                  <c:v>2.6469999999999998</c:v>
                </c:pt>
                <c:pt idx="1128">
                  <c:v>2.6646100000000001</c:v>
                </c:pt>
                <c:pt idx="1129">
                  <c:v>2.6704599999999998</c:v>
                </c:pt>
                <c:pt idx="1130">
                  <c:v>2.7023000000000001</c:v>
                </c:pt>
                <c:pt idx="1131">
                  <c:v>2.67605</c:v>
                </c:pt>
                <c:pt idx="1132">
                  <c:v>2.5682999999999998</c:v>
                </c:pt>
                <c:pt idx="1133">
                  <c:v>2.5682999999999998</c:v>
                </c:pt>
                <c:pt idx="1134">
                  <c:v>2.5977899999999998</c:v>
                </c:pt>
                <c:pt idx="1135">
                  <c:v>2.5770800000000005</c:v>
                </c:pt>
                <c:pt idx="1136">
                  <c:v>2.5184200000000003</c:v>
                </c:pt>
                <c:pt idx="1137">
                  <c:v>2.4232300000000002</c:v>
                </c:pt>
                <c:pt idx="1138">
                  <c:v>2.49186</c:v>
                </c:pt>
                <c:pt idx="1139">
                  <c:v>2.5512000000000001</c:v>
                </c:pt>
                <c:pt idx="1140">
                  <c:v>2.5293199999999998</c:v>
                </c:pt>
                <c:pt idx="1141">
                  <c:v>2.4478499999999999</c:v>
                </c:pt>
                <c:pt idx="1142">
                  <c:v>2.4169800000000001</c:v>
                </c:pt>
                <c:pt idx="1143">
                  <c:v>2.3865700000000003</c:v>
                </c:pt>
                <c:pt idx="1144">
                  <c:v>2.4638599999999999</c:v>
                </c:pt>
                <c:pt idx="1145">
                  <c:v>2.43283</c:v>
                </c:pt>
                <c:pt idx="1146">
                  <c:v>2.3805199999999997</c:v>
                </c:pt>
                <c:pt idx="1147">
                  <c:v>2.37262</c:v>
                </c:pt>
                <c:pt idx="1148">
                  <c:v>2.37262</c:v>
                </c:pt>
                <c:pt idx="1149">
                  <c:v>2.3103500000000001</c:v>
                </c:pt>
                <c:pt idx="1150">
                  <c:v>2.4144300000000003</c:v>
                </c:pt>
                <c:pt idx="1151">
                  <c:v>2.42788</c:v>
                </c:pt>
                <c:pt idx="1152">
                  <c:v>2.4371799999999997</c:v>
                </c:pt>
                <c:pt idx="1153">
                  <c:v>2.5076000000000001</c:v>
                </c:pt>
                <c:pt idx="1154">
                  <c:v>2.5829399999999998</c:v>
                </c:pt>
                <c:pt idx="1155">
                  <c:v>2.6107100000000001</c:v>
                </c:pt>
                <c:pt idx="1156">
                  <c:v>2.6019400000000004</c:v>
                </c:pt>
                <c:pt idx="1157">
                  <c:v>2.4880800000000001</c:v>
                </c:pt>
                <c:pt idx="1158">
                  <c:v>2.4370799999999999</c:v>
                </c:pt>
                <c:pt idx="1159">
                  <c:v>2.4846400000000002</c:v>
                </c:pt>
                <c:pt idx="1160">
                  <c:v>2.5534400000000002</c:v>
                </c:pt>
                <c:pt idx="1161">
                  <c:v>2.6080900000000002</c:v>
                </c:pt>
                <c:pt idx="1162">
                  <c:v>2.6511399999999998</c:v>
                </c:pt>
                <c:pt idx="1163">
                  <c:v>2.6314899999999999</c:v>
                </c:pt>
                <c:pt idx="1164">
                  <c:v>2.6266099999999999</c:v>
                </c:pt>
              </c:numCache>
            </c:numRef>
          </c:val>
          <c:smooth val="0"/>
          <c:extLst>
            <c:ext xmlns:c16="http://schemas.microsoft.com/office/drawing/2014/chart" uri="{C3380CC4-5D6E-409C-BE32-E72D297353CC}">
              <c16:uniqueId val="{00000002-5560-4D07-B97F-4AA9E95DFDA5}"/>
            </c:ext>
          </c:extLst>
        </c:ser>
        <c:ser>
          <c:idx val="4"/>
          <c:order val="4"/>
          <c:tx>
            <c:strRef>
              <c:f>Sheet1!$F$1</c:f>
              <c:strCache>
                <c:ptCount val="1"/>
                <c:pt idx="0">
                  <c:v>Ադրբեջան (2024թ.)</c:v>
                </c:pt>
              </c:strCache>
            </c:strRef>
          </c:tx>
          <c:spPr>
            <a:ln w="12700" cap="rnd">
              <a:solidFill>
                <a:srgbClr val="002060"/>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Sheet1!$F$2:$F$1428</c:f>
              <c:numCache>
                <c:formatCode>0</c:formatCode>
                <c:ptCount val="1166"/>
                <c:pt idx="0">
                  <c:v>1.23468</c:v>
                </c:pt>
                <c:pt idx="1">
                  <c:v>1.20689</c:v>
                </c:pt>
                <c:pt idx="2">
                  <c:v>1.2267600000000001</c:v>
                </c:pt>
                <c:pt idx="3">
                  <c:v>1.2432099999999999</c:v>
                </c:pt>
                <c:pt idx="4">
                  <c:v>1.2323600000000001</c:v>
                </c:pt>
                <c:pt idx="5">
                  <c:v>1.16144</c:v>
                </c:pt>
                <c:pt idx="6">
                  <c:v>1.17648</c:v>
                </c:pt>
                <c:pt idx="7">
                  <c:v>1.1886300000000001</c:v>
                </c:pt>
                <c:pt idx="8">
                  <c:v>1.1829700000000001</c:v>
                </c:pt>
                <c:pt idx="9">
                  <c:v>1.1881200000000001</c:v>
                </c:pt>
                <c:pt idx="10">
                  <c:v>1.1734499999999999</c:v>
                </c:pt>
                <c:pt idx="11">
                  <c:v>1.1579200000000001</c:v>
                </c:pt>
                <c:pt idx="12">
                  <c:v>1.1709499999999999</c:v>
                </c:pt>
                <c:pt idx="13">
                  <c:v>1.17259</c:v>
                </c:pt>
                <c:pt idx="14">
                  <c:v>1.1762900000000001</c:v>
                </c:pt>
                <c:pt idx="15">
                  <c:v>1.1757899999999999</c:v>
                </c:pt>
                <c:pt idx="16">
                  <c:v>1.2204200000000001</c:v>
                </c:pt>
                <c:pt idx="17">
                  <c:v>1.2450300000000001</c:v>
                </c:pt>
                <c:pt idx="18">
                  <c:v>1.3548800000000001</c:v>
                </c:pt>
                <c:pt idx="19">
                  <c:v>1.2954599999999998</c:v>
                </c:pt>
                <c:pt idx="20">
                  <c:v>1.3664799999999999</c:v>
                </c:pt>
                <c:pt idx="21">
                  <c:v>1.3691499999999999</c:v>
                </c:pt>
                <c:pt idx="22">
                  <c:v>1.2956700000000001</c:v>
                </c:pt>
                <c:pt idx="23">
                  <c:v>1.29921</c:v>
                </c:pt>
                <c:pt idx="24">
                  <c:v>1.18801</c:v>
                </c:pt>
                <c:pt idx="25">
                  <c:v>1.12873</c:v>
                </c:pt>
                <c:pt idx="26">
                  <c:v>1.10284</c:v>
                </c:pt>
                <c:pt idx="27">
                  <c:v>1.12788</c:v>
                </c:pt>
                <c:pt idx="28">
                  <c:v>1.1428499999999999</c:v>
                </c:pt>
                <c:pt idx="29">
                  <c:v>1.0477400000000001</c:v>
                </c:pt>
                <c:pt idx="30">
                  <c:v>0.99474000000000007</c:v>
                </c:pt>
                <c:pt idx="31">
                  <c:v>0.94007999999999992</c:v>
                </c:pt>
                <c:pt idx="32">
                  <c:v>1.0031600000000001</c:v>
                </c:pt>
                <c:pt idx="33">
                  <c:v>0.98268</c:v>
                </c:pt>
                <c:pt idx="34">
                  <c:v>1.0300499999999999</c:v>
                </c:pt>
                <c:pt idx="35">
                  <c:v>1.01834</c:v>
                </c:pt>
                <c:pt idx="36">
                  <c:v>1.0665500000000001</c:v>
                </c:pt>
                <c:pt idx="37">
                  <c:v>1.0963500000000002</c:v>
                </c:pt>
                <c:pt idx="38">
                  <c:v>1.2351799999999999</c:v>
                </c:pt>
                <c:pt idx="39">
                  <c:v>1.3313599999999999</c:v>
                </c:pt>
                <c:pt idx="40">
                  <c:v>1.3819999999999999</c:v>
                </c:pt>
                <c:pt idx="41">
                  <c:v>1.61775</c:v>
                </c:pt>
                <c:pt idx="42">
                  <c:v>1.9553800000000001</c:v>
                </c:pt>
                <c:pt idx="43">
                  <c:v>2.0169000000000001</c:v>
                </c:pt>
                <c:pt idx="44">
                  <c:v>1.86005</c:v>
                </c:pt>
                <c:pt idx="45">
                  <c:v>1.7989599999999999</c:v>
                </c:pt>
                <c:pt idx="46">
                  <c:v>1.76579</c:v>
                </c:pt>
                <c:pt idx="47">
                  <c:v>1.8933099999999998</c:v>
                </c:pt>
                <c:pt idx="48">
                  <c:v>3.1762999999999999</c:v>
                </c:pt>
                <c:pt idx="49">
                  <c:v>2.9641099999999998</c:v>
                </c:pt>
                <c:pt idx="50">
                  <c:v>3.0916699999999997</c:v>
                </c:pt>
                <c:pt idx="51">
                  <c:v>4.4428099999999997</c:v>
                </c:pt>
                <c:pt idx="52">
                  <c:v>4.2756799999999995</c:v>
                </c:pt>
                <c:pt idx="53">
                  <c:v>5.2324800000000007</c:v>
                </c:pt>
                <c:pt idx="54">
                  <c:v>5.02393</c:v>
                </c:pt>
                <c:pt idx="55">
                  <c:v>6.3774600000000001</c:v>
                </c:pt>
                <c:pt idx="56">
                  <c:v>6.9503300000000001</c:v>
                </c:pt>
                <c:pt idx="57">
                  <c:v>6.7553599999999996</c:v>
                </c:pt>
                <c:pt idx="58">
                  <c:v>7.6551800000000005</c:v>
                </c:pt>
                <c:pt idx="59">
                  <c:v>6.71875</c:v>
                </c:pt>
                <c:pt idx="60">
                  <c:v>5.79087</c:v>
                </c:pt>
                <c:pt idx="61">
                  <c:v>5.8168600000000001</c:v>
                </c:pt>
                <c:pt idx="62">
                  <c:v>4.8578900000000003</c:v>
                </c:pt>
                <c:pt idx="63">
                  <c:v>5.3749099999999999</c:v>
                </c:pt>
                <c:pt idx="64">
                  <c:v>5.0855600000000001</c:v>
                </c:pt>
                <c:pt idx="65">
                  <c:v>4.9614399999999996</c:v>
                </c:pt>
                <c:pt idx="66">
                  <c:v>4.7730199999999998</c:v>
                </c:pt>
                <c:pt idx="67">
                  <c:v>4.3204799999999999</c:v>
                </c:pt>
                <c:pt idx="68">
                  <c:v>3.9333399999999998</c:v>
                </c:pt>
                <c:pt idx="69">
                  <c:v>3.6818900000000001</c:v>
                </c:pt>
                <c:pt idx="70">
                  <c:v>3.6785399999999999</c:v>
                </c:pt>
                <c:pt idx="71">
                  <c:v>3.5757400000000001</c:v>
                </c:pt>
                <c:pt idx="72">
                  <c:v>3.5757400000000001</c:v>
                </c:pt>
                <c:pt idx="73">
                  <c:v>3.5757400000000001</c:v>
                </c:pt>
                <c:pt idx="74">
                  <c:v>3.3679100000000002</c:v>
                </c:pt>
                <c:pt idx="75">
                  <c:v>3.5610500000000003</c:v>
                </c:pt>
                <c:pt idx="76">
                  <c:v>3.6024599999999998</c:v>
                </c:pt>
                <c:pt idx="77">
                  <c:v>3.5285000000000002</c:v>
                </c:pt>
                <c:pt idx="78">
                  <c:v>3.5989599999999999</c:v>
                </c:pt>
                <c:pt idx="79">
                  <c:v>4.2244200000000003</c:v>
                </c:pt>
                <c:pt idx="80">
                  <c:v>4.0825100000000001</c:v>
                </c:pt>
                <c:pt idx="81">
                  <c:v>3.9408499999999997</c:v>
                </c:pt>
                <c:pt idx="82">
                  <c:v>3.9464199999999998</c:v>
                </c:pt>
                <c:pt idx="83">
                  <c:v>4.1466799999999999</c:v>
                </c:pt>
                <c:pt idx="84">
                  <c:v>4.20648</c:v>
                </c:pt>
                <c:pt idx="85">
                  <c:v>4.2329499999999998</c:v>
                </c:pt>
                <c:pt idx="86">
                  <c:v>4.0659799999999997</c:v>
                </c:pt>
                <c:pt idx="87">
                  <c:v>4.0389600000000003</c:v>
                </c:pt>
                <c:pt idx="88">
                  <c:v>4.3093000000000004</c:v>
                </c:pt>
                <c:pt idx="89">
                  <c:v>3.9536099999999998</c:v>
                </c:pt>
                <c:pt idx="90">
                  <c:v>3.9249099999999997</c:v>
                </c:pt>
                <c:pt idx="91">
                  <c:v>4.0300799999999999</c:v>
                </c:pt>
                <c:pt idx="92">
                  <c:v>4.0300799999999999</c:v>
                </c:pt>
                <c:pt idx="93">
                  <c:v>3.8527300000000002</c:v>
                </c:pt>
                <c:pt idx="94">
                  <c:v>3.6079700000000003</c:v>
                </c:pt>
                <c:pt idx="95">
                  <c:v>3.5604199999999997</c:v>
                </c:pt>
                <c:pt idx="96">
                  <c:v>3.6022000000000003</c:v>
                </c:pt>
                <c:pt idx="97">
                  <c:v>3.4348200000000002</c:v>
                </c:pt>
                <c:pt idx="98">
                  <c:v>3.2334699999999996</c:v>
                </c:pt>
                <c:pt idx="99">
                  <c:v>3.1645499999999998</c:v>
                </c:pt>
                <c:pt idx="100">
                  <c:v>3.0733800000000002</c:v>
                </c:pt>
                <c:pt idx="101">
                  <c:v>2.9800999999999997</c:v>
                </c:pt>
                <c:pt idx="102">
                  <c:v>3.0502100000000003</c:v>
                </c:pt>
                <c:pt idx="103">
                  <c:v>3.0502100000000003</c:v>
                </c:pt>
                <c:pt idx="104">
                  <c:v>2.9054599999999997</c:v>
                </c:pt>
                <c:pt idx="105">
                  <c:v>2.8150900000000001</c:v>
                </c:pt>
                <c:pt idx="106">
                  <c:v>2.8096399999999999</c:v>
                </c:pt>
                <c:pt idx="107">
                  <c:v>2.9141300000000001</c:v>
                </c:pt>
                <c:pt idx="108">
                  <c:v>2.8711599999999997</c:v>
                </c:pt>
                <c:pt idx="109">
                  <c:v>2.77101</c:v>
                </c:pt>
                <c:pt idx="110">
                  <c:v>2.5754000000000001</c:v>
                </c:pt>
                <c:pt idx="111">
                  <c:v>2.5012699999999999</c:v>
                </c:pt>
                <c:pt idx="112">
                  <c:v>2.3018799999999997</c:v>
                </c:pt>
                <c:pt idx="113">
                  <c:v>2.2763300000000002</c:v>
                </c:pt>
                <c:pt idx="114">
                  <c:v>2.3016000000000001</c:v>
                </c:pt>
                <c:pt idx="115">
                  <c:v>2.30769</c:v>
                </c:pt>
                <c:pt idx="116">
                  <c:v>2.4420899999999999</c:v>
                </c:pt>
                <c:pt idx="117">
                  <c:v>2.5310199999999998</c:v>
                </c:pt>
                <c:pt idx="118">
                  <c:v>2.82945</c:v>
                </c:pt>
                <c:pt idx="119">
                  <c:v>2.5683699999999998</c:v>
                </c:pt>
                <c:pt idx="120">
                  <c:v>2.6128199999999997</c:v>
                </c:pt>
                <c:pt idx="121">
                  <c:v>2.6408100000000001</c:v>
                </c:pt>
                <c:pt idx="122">
                  <c:v>2.6838700000000002</c:v>
                </c:pt>
                <c:pt idx="123">
                  <c:v>2.6538200000000001</c:v>
                </c:pt>
                <c:pt idx="124">
                  <c:v>2.4981</c:v>
                </c:pt>
                <c:pt idx="125">
                  <c:v>2.45004</c:v>
                </c:pt>
                <c:pt idx="126">
                  <c:v>2.5012699999999999</c:v>
                </c:pt>
                <c:pt idx="127">
                  <c:v>2.6213899999999999</c:v>
                </c:pt>
                <c:pt idx="128">
                  <c:v>2.68512</c:v>
                </c:pt>
                <c:pt idx="129">
                  <c:v>2.6305200000000002</c:v>
                </c:pt>
                <c:pt idx="130">
                  <c:v>2.5922100000000001</c:v>
                </c:pt>
                <c:pt idx="131">
                  <c:v>2.47336</c:v>
                </c:pt>
                <c:pt idx="132">
                  <c:v>2.4712100000000001</c:v>
                </c:pt>
                <c:pt idx="133">
                  <c:v>2.4099500000000003</c:v>
                </c:pt>
                <c:pt idx="134">
                  <c:v>2.4259399999999998</c:v>
                </c:pt>
                <c:pt idx="135">
                  <c:v>2.4565299999999999</c:v>
                </c:pt>
                <c:pt idx="136">
                  <c:v>2.3628100000000001</c:v>
                </c:pt>
                <c:pt idx="137">
                  <c:v>2.35128</c:v>
                </c:pt>
                <c:pt idx="138">
                  <c:v>2.3355199999999998</c:v>
                </c:pt>
                <c:pt idx="139">
                  <c:v>2.2693400000000001</c:v>
                </c:pt>
                <c:pt idx="140">
                  <c:v>2.286</c:v>
                </c:pt>
                <c:pt idx="141">
                  <c:v>2.2883100000000001</c:v>
                </c:pt>
                <c:pt idx="142">
                  <c:v>2.2637299999999998</c:v>
                </c:pt>
                <c:pt idx="143">
                  <c:v>2.2477800000000001</c:v>
                </c:pt>
                <c:pt idx="144">
                  <c:v>2.2258900000000001</c:v>
                </c:pt>
                <c:pt idx="145">
                  <c:v>2.21638</c:v>
                </c:pt>
                <c:pt idx="146">
                  <c:v>2.1633499999999999</c:v>
                </c:pt>
                <c:pt idx="147">
                  <c:v>2.19293</c:v>
                </c:pt>
                <c:pt idx="148">
                  <c:v>2.1592500000000001</c:v>
                </c:pt>
                <c:pt idx="149">
                  <c:v>2.18391</c:v>
                </c:pt>
                <c:pt idx="150">
                  <c:v>2.2071399999999999</c:v>
                </c:pt>
                <c:pt idx="151">
                  <c:v>2.21461</c:v>
                </c:pt>
                <c:pt idx="152">
                  <c:v>2.1606399999999999</c:v>
                </c:pt>
                <c:pt idx="153">
                  <c:v>2.11991</c:v>
                </c:pt>
                <c:pt idx="154">
                  <c:v>2.05342</c:v>
                </c:pt>
                <c:pt idx="155">
                  <c:v>1.94055</c:v>
                </c:pt>
                <c:pt idx="156">
                  <c:v>1.9018999999999999</c:v>
                </c:pt>
                <c:pt idx="157">
                  <c:v>1.8440799999999999</c:v>
                </c:pt>
                <c:pt idx="158">
                  <c:v>1.7527699999999999</c:v>
                </c:pt>
                <c:pt idx="159">
                  <c:v>1.6776499999999999</c:v>
                </c:pt>
                <c:pt idx="160">
                  <c:v>1.69563</c:v>
                </c:pt>
                <c:pt idx="161">
                  <c:v>1.62934</c:v>
                </c:pt>
                <c:pt idx="162">
                  <c:v>1.6131800000000001</c:v>
                </c:pt>
                <c:pt idx="163">
                  <c:v>1.67083</c:v>
                </c:pt>
                <c:pt idx="164">
                  <c:v>1.6675599999999999</c:v>
                </c:pt>
                <c:pt idx="165">
                  <c:v>1.72095</c:v>
                </c:pt>
                <c:pt idx="166">
                  <c:v>1.7687600000000001</c:v>
                </c:pt>
                <c:pt idx="167">
                  <c:v>1.7350700000000001</c:v>
                </c:pt>
                <c:pt idx="168">
                  <c:v>1.73967</c:v>
                </c:pt>
                <c:pt idx="169">
                  <c:v>1.7281500000000001</c:v>
                </c:pt>
                <c:pt idx="170">
                  <c:v>1.7498800000000001</c:v>
                </c:pt>
                <c:pt idx="171">
                  <c:v>1.77084</c:v>
                </c:pt>
                <c:pt idx="172">
                  <c:v>1.81132</c:v>
                </c:pt>
                <c:pt idx="173">
                  <c:v>1.81132</c:v>
                </c:pt>
                <c:pt idx="174">
                  <c:v>1.8093600000000001</c:v>
                </c:pt>
                <c:pt idx="175">
                  <c:v>1.7907900000000001</c:v>
                </c:pt>
                <c:pt idx="176">
                  <c:v>1.7926299999999999</c:v>
                </c:pt>
                <c:pt idx="177">
                  <c:v>1.78725</c:v>
                </c:pt>
                <c:pt idx="178">
                  <c:v>1.7779499999999999</c:v>
                </c:pt>
                <c:pt idx="179">
                  <c:v>1.8576400000000002</c:v>
                </c:pt>
                <c:pt idx="180">
                  <c:v>1.8853800000000001</c:v>
                </c:pt>
                <c:pt idx="181">
                  <c:v>1.8868499999999999</c:v>
                </c:pt>
                <c:pt idx="182">
                  <c:v>1.9613800000000001</c:v>
                </c:pt>
                <c:pt idx="183">
                  <c:v>1.9516399999999998</c:v>
                </c:pt>
                <c:pt idx="184">
                  <c:v>1.9359299999999999</c:v>
                </c:pt>
                <c:pt idx="185">
                  <c:v>1.9016900000000001</c:v>
                </c:pt>
                <c:pt idx="186">
                  <c:v>1.9941300000000002</c:v>
                </c:pt>
                <c:pt idx="187">
                  <c:v>1.99329</c:v>
                </c:pt>
                <c:pt idx="188">
                  <c:v>2.1331899999999999</c:v>
                </c:pt>
                <c:pt idx="189">
                  <c:v>2.19245</c:v>
                </c:pt>
                <c:pt idx="190">
                  <c:v>2.3373599999999999</c:v>
                </c:pt>
                <c:pt idx="191">
                  <c:v>2.4892300000000001</c:v>
                </c:pt>
                <c:pt idx="192">
                  <c:v>2.5099900000000002</c:v>
                </c:pt>
                <c:pt idx="193">
                  <c:v>2.8295400000000002</c:v>
                </c:pt>
                <c:pt idx="194">
                  <c:v>3.0179100000000001</c:v>
                </c:pt>
                <c:pt idx="195">
                  <c:v>2.8484099999999999</c:v>
                </c:pt>
                <c:pt idx="196">
                  <c:v>2.7829299999999999</c:v>
                </c:pt>
                <c:pt idx="197">
                  <c:v>2.6823800000000002</c:v>
                </c:pt>
                <c:pt idx="198">
                  <c:v>2.6606700000000001</c:v>
                </c:pt>
                <c:pt idx="199">
                  <c:v>2.5639400000000001</c:v>
                </c:pt>
                <c:pt idx="200">
                  <c:v>2.5027699999999999</c:v>
                </c:pt>
                <c:pt idx="201">
                  <c:v>2.41391</c:v>
                </c:pt>
                <c:pt idx="202">
                  <c:v>2.20574</c:v>
                </c:pt>
                <c:pt idx="203">
                  <c:v>2.22051</c:v>
                </c:pt>
                <c:pt idx="204">
                  <c:v>2.2380300000000002</c:v>
                </c:pt>
                <c:pt idx="205">
                  <c:v>2.2706200000000001</c:v>
                </c:pt>
                <c:pt idx="206">
                  <c:v>2.4603999999999999</c:v>
                </c:pt>
                <c:pt idx="207">
                  <c:v>2.41683</c:v>
                </c:pt>
                <c:pt idx="208">
                  <c:v>2.4205899999999998</c:v>
                </c:pt>
                <c:pt idx="209">
                  <c:v>2.4350200000000002</c:v>
                </c:pt>
                <c:pt idx="210">
                  <c:v>2.4119600000000001</c:v>
                </c:pt>
                <c:pt idx="211">
                  <c:v>2.5036399999999999</c:v>
                </c:pt>
                <c:pt idx="212">
                  <c:v>2.5107900000000001</c:v>
                </c:pt>
                <c:pt idx="213">
                  <c:v>2.6170400000000003</c:v>
                </c:pt>
                <c:pt idx="214">
                  <c:v>2.6512200000000004</c:v>
                </c:pt>
                <c:pt idx="215">
                  <c:v>2.65123</c:v>
                </c:pt>
                <c:pt idx="216">
                  <c:v>2.5371000000000001</c:v>
                </c:pt>
                <c:pt idx="217">
                  <c:v>2.5456799999999999</c:v>
                </c:pt>
                <c:pt idx="218">
                  <c:v>2.5445500000000001</c:v>
                </c:pt>
                <c:pt idx="219">
                  <c:v>2.36782</c:v>
                </c:pt>
                <c:pt idx="220">
                  <c:v>2.3221799999999999</c:v>
                </c:pt>
                <c:pt idx="221">
                  <c:v>2.2164099999999998</c:v>
                </c:pt>
                <c:pt idx="222">
                  <c:v>2.0535100000000002</c:v>
                </c:pt>
                <c:pt idx="223">
                  <c:v>1.9663900000000001</c:v>
                </c:pt>
                <c:pt idx="224">
                  <c:v>1.72861</c:v>
                </c:pt>
                <c:pt idx="225">
                  <c:v>1.63696</c:v>
                </c:pt>
                <c:pt idx="226">
                  <c:v>1.5858300000000001</c:v>
                </c:pt>
                <c:pt idx="227">
                  <c:v>1.5969599999999999</c:v>
                </c:pt>
                <c:pt idx="228">
                  <c:v>1.6081899999999998</c:v>
                </c:pt>
                <c:pt idx="229">
                  <c:v>1.6304400000000001</c:v>
                </c:pt>
                <c:pt idx="230">
                  <c:v>1.62422</c:v>
                </c:pt>
                <c:pt idx="231">
                  <c:v>1.6318700000000002</c:v>
                </c:pt>
                <c:pt idx="232">
                  <c:v>1.68516</c:v>
                </c:pt>
                <c:pt idx="233">
                  <c:v>1.60053</c:v>
                </c:pt>
                <c:pt idx="234">
                  <c:v>1.5870199999999999</c:v>
                </c:pt>
                <c:pt idx="235">
                  <c:v>1.5528599999999999</c:v>
                </c:pt>
                <c:pt idx="236">
                  <c:v>1.5117699999999998</c:v>
                </c:pt>
                <c:pt idx="237">
                  <c:v>1.54928</c:v>
                </c:pt>
                <c:pt idx="238">
                  <c:v>1.4902099999999998</c:v>
                </c:pt>
                <c:pt idx="239">
                  <c:v>1.3548</c:v>
                </c:pt>
                <c:pt idx="240">
                  <c:v>1.35663</c:v>
                </c:pt>
                <c:pt idx="241">
                  <c:v>1.26742</c:v>
                </c:pt>
                <c:pt idx="242">
                  <c:v>1.22353</c:v>
                </c:pt>
                <c:pt idx="243">
                  <c:v>1.28746</c:v>
                </c:pt>
                <c:pt idx="244">
                  <c:v>1.25346</c:v>
                </c:pt>
                <c:pt idx="245">
                  <c:v>1.2363299999999999</c:v>
                </c:pt>
                <c:pt idx="246">
                  <c:v>1.2585999999999999</c:v>
                </c:pt>
                <c:pt idx="247">
                  <c:v>1.30819</c:v>
                </c:pt>
                <c:pt idx="248">
                  <c:v>1.3162700000000001</c:v>
                </c:pt>
                <c:pt idx="249">
                  <c:v>1.32585</c:v>
                </c:pt>
                <c:pt idx="250">
                  <c:v>1.26894</c:v>
                </c:pt>
                <c:pt idx="251">
                  <c:v>1.24638</c:v>
                </c:pt>
                <c:pt idx="252">
                  <c:v>1.22804</c:v>
                </c:pt>
                <c:pt idx="253">
                  <c:v>1.2251799999999999</c:v>
                </c:pt>
                <c:pt idx="254">
                  <c:v>1.2945800000000001</c:v>
                </c:pt>
                <c:pt idx="255">
                  <c:v>1.24664</c:v>
                </c:pt>
                <c:pt idx="256">
                  <c:v>1.2680899999999999</c:v>
                </c:pt>
                <c:pt idx="257">
                  <c:v>1.2680899999999999</c:v>
                </c:pt>
                <c:pt idx="258">
                  <c:v>1.2680899999999999</c:v>
                </c:pt>
                <c:pt idx="259">
                  <c:v>1.2601599999999999</c:v>
                </c:pt>
                <c:pt idx="260">
                  <c:v>1.1756199999999999</c:v>
                </c:pt>
                <c:pt idx="261">
                  <c:v>1.25356</c:v>
                </c:pt>
                <c:pt idx="262">
                  <c:v>1.25356</c:v>
                </c:pt>
                <c:pt idx="263">
                  <c:v>1.3905099999999999</c:v>
                </c:pt>
                <c:pt idx="264">
                  <c:v>1.4502600000000001</c:v>
                </c:pt>
                <c:pt idx="265">
                  <c:v>1.4451099999999999</c:v>
                </c:pt>
                <c:pt idx="266">
                  <c:v>1.5023299999999999</c:v>
                </c:pt>
                <c:pt idx="267">
                  <c:v>1.4450899999999998</c:v>
                </c:pt>
                <c:pt idx="268">
                  <c:v>1.4552799999999999</c:v>
                </c:pt>
                <c:pt idx="269">
                  <c:v>1.4753499999999999</c:v>
                </c:pt>
                <c:pt idx="270">
                  <c:v>1.4822499999999998</c:v>
                </c:pt>
                <c:pt idx="271">
                  <c:v>1.3687</c:v>
                </c:pt>
                <c:pt idx="272">
                  <c:v>1.4323699999999999</c:v>
                </c:pt>
                <c:pt idx="273">
                  <c:v>1.4508799999999999</c:v>
                </c:pt>
                <c:pt idx="274">
                  <c:v>1.4475200000000001</c:v>
                </c:pt>
                <c:pt idx="275">
                  <c:v>1.45831</c:v>
                </c:pt>
                <c:pt idx="276">
                  <c:v>1.4397599999999999</c:v>
                </c:pt>
                <c:pt idx="277">
                  <c:v>1.5179199999999999</c:v>
                </c:pt>
                <c:pt idx="278">
                  <c:v>1.5730600000000001</c:v>
                </c:pt>
                <c:pt idx="279">
                  <c:v>1.54819</c:v>
                </c:pt>
                <c:pt idx="280">
                  <c:v>1.4145699999999999</c:v>
                </c:pt>
                <c:pt idx="281">
                  <c:v>1.4264300000000001</c:v>
                </c:pt>
                <c:pt idx="282">
                  <c:v>1.38595</c:v>
                </c:pt>
                <c:pt idx="283">
                  <c:v>1.29054</c:v>
                </c:pt>
                <c:pt idx="284">
                  <c:v>1.2545500000000001</c:v>
                </c:pt>
                <c:pt idx="285">
                  <c:v>1.24997</c:v>
                </c:pt>
                <c:pt idx="286">
                  <c:v>1.2210399999999999</c:v>
                </c:pt>
                <c:pt idx="287">
                  <c:v>1.2603900000000001</c:v>
                </c:pt>
                <c:pt idx="288">
                  <c:v>1.2398099999999999</c:v>
                </c:pt>
                <c:pt idx="289">
                  <c:v>1.24268</c:v>
                </c:pt>
                <c:pt idx="290">
                  <c:v>1.2646299999999999</c:v>
                </c:pt>
                <c:pt idx="291">
                  <c:v>1.26312</c:v>
                </c:pt>
                <c:pt idx="292">
                  <c:v>1.3266200000000001</c:v>
                </c:pt>
                <c:pt idx="293">
                  <c:v>1.3666200000000002</c:v>
                </c:pt>
                <c:pt idx="294">
                  <c:v>1.4687100000000002</c:v>
                </c:pt>
                <c:pt idx="295">
                  <c:v>1.5361400000000001</c:v>
                </c:pt>
                <c:pt idx="296">
                  <c:v>1.4497</c:v>
                </c:pt>
                <c:pt idx="297">
                  <c:v>1.4175800000000001</c:v>
                </c:pt>
                <c:pt idx="298">
                  <c:v>1.4184000000000001</c:v>
                </c:pt>
                <c:pt idx="299">
                  <c:v>1.43276</c:v>
                </c:pt>
                <c:pt idx="300">
                  <c:v>1.41415</c:v>
                </c:pt>
                <c:pt idx="301">
                  <c:v>1.36805</c:v>
                </c:pt>
                <c:pt idx="302">
                  <c:v>1.44468</c:v>
                </c:pt>
                <c:pt idx="303">
                  <c:v>1.41245</c:v>
                </c:pt>
                <c:pt idx="304">
                  <c:v>1.2975299999999999</c:v>
                </c:pt>
                <c:pt idx="305">
                  <c:v>1.25631</c:v>
                </c:pt>
                <c:pt idx="306">
                  <c:v>1.2561199999999999</c:v>
                </c:pt>
                <c:pt idx="307">
                  <c:v>1.2801800000000001</c:v>
                </c:pt>
                <c:pt idx="308">
                  <c:v>1.44987</c:v>
                </c:pt>
                <c:pt idx="309">
                  <c:v>1.2886500000000001</c:v>
                </c:pt>
                <c:pt idx="310">
                  <c:v>1.2760800000000001</c:v>
                </c:pt>
                <c:pt idx="311">
                  <c:v>1.3209899999999999</c:v>
                </c:pt>
                <c:pt idx="312">
                  <c:v>1.30216</c:v>
                </c:pt>
                <c:pt idx="313">
                  <c:v>1.2782500000000001</c:v>
                </c:pt>
                <c:pt idx="314">
                  <c:v>1.2485999999999999</c:v>
                </c:pt>
                <c:pt idx="315">
                  <c:v>1.3570099999999998</c:v>
                </c:pt>
                <c:pt idx="316">
                  <c:v>1.3563000000000001</c:v>
                </c:pt>
                <c:pt idx="317">
                  <c:v>1.3870400000000001</c:v>
                </c:pt>
                <c:pt idx="318">
                  <c:v>1.3091999999999999</c:v>
                </c:pt>
                <c:pt idx="319">
                  <c:v>1.3951199999999999</c:v>
                </c:pt>
                <c:pt idx="320">
                  <c:v>1.40892</c:v>
                </c:pt>
                <c:pt idx="321">
                  <c:v>1.3490199999999999</c:v>
                </c:pt>
                <c:pt idx="322">
                  <c:v>1.43285</c:v>
                </c:pt>
                <c:pt idx="323">
                  <c:v>1.41083</c:v>
                </c:pt>
                <c:pt idx="324">
                  <c:v>1.48285</c:v>
                </c:pt>
                <c:pt idx="325">
                  <c:v>1.4240799999999998</c:v>
                </c:pt>
                <c:pt idx="326">
                  <c:v>1.40869</c:v>
                </c:pt>
                <c:pt idx="327">
                  <c:v>1.40869</c:v>
                </c:pt>
                <c:pt idx="328">
                  <c:v>1.40869</c:v>
                </c:pt>
                <c:pt idx="329">
                  <c:v>1.3769100000000001</c:v>
                </c:pt>
                <c:pt idx="330">
                  <c:v>1.3972200000000001</c:v>
                </c:pt>
                <c:pt idx="331">
                  <c:v>1.4011500000000001</c:v>
                </c:pt>
                <c:pt idx="332">
                  <c:v>1.3471600000000001</c:v>
                </c:pt>
                <c:pt idx="333">
                  <c:v>1.3318100000000002</c:v>
                </c:pt>
                <c:pt idx="334">
                  <c:v>1.36036</c:v>
                </c:pt>
                <c:pt idx="335">
                  <c:v>1.3342799999999999</c:v>
                </c:pt>
                <c:pt idx="336">
                  <c:v>1.32304</c:v>
                </c:pt>
                <c:pt idx="337">
                  <c:v>1.19103</c:v>
                </c:pt>
                <c:pt idx="338">
                  <c:v>1.1641599999999999</c:v>
                </c:pt>
                <c:pt idx="339">
                  <c:v>1.20221</c:v>
                </c:pt>
                <c:pt idx="340">
                  <c:v>1.2568899999999998</c:v>
                </c:pt>
                <c:pt idx="341">
                  <c:v>1.19695</c:v>
                </c:pt>
                <c:pt idx="342">
                  <c:v>1.16347</c:v>
                </c:pt>
                <c:pt idx="343">
                  <c:v>1.13357</c:v>
                </c:pt>
                <c:pt idx="344">
                  <c:v>1.1480699999999999</c:v>
                </c:pt>
                <c:pt idx="345">
                  <c:v>1.1921599999999999</c:v>
                </c:pt>
                <c:pt idx="346">
                  <c:v>1.1927300000000001</c:v>
                </c:pt>
                <c:pt idx="347">
                  <c:v>1.21323</c:v>
                </c:pt>
                <c:pt idx="348">
                  <c:v>1.21323</c:v>
                </c:pt>
                <c:pt idx="349">
                  <c:v>1.2219199999999999</c:v>
                </c:pt>
                <c:pt idx="350">
                  <c:v>1.2362600000000001</c:v>
                </c:pt>
                <c:pt idx="351">
                  <c:v>1.1896100000000001</c:v>
                </c:pt>
                <c:pt idx="352">
                  <c:v>1.2100499999999998</c:v>
                </c:pt>
                <c:pt idx="353">
                  <c:v>1.1409499999999999</c:v>
                </c:pt>
                <c:pt idx="354">
                  <c:v>1.2438500000000001</c:v>
                </c:pt>
                <c:pt idx="355">
                  <c:v>1.2523</c:v>
                </c:pt>
                <c:pt idx="356">
                  <c:v>1.3415100000000002</c:v>
                </c:pt>
                <c:pt idx="357">
                  <c:v>1.3162200000000002</c:v>
                </c:pt>
                <c:pt idx="358">
                  <c:v>1.3153999999999999</c:v>
                </c:pt>
                <c:pt idx="359">
                  <c:v>1.2663800000000001</c:v>
                </c:pt>
                <c:pt idx="360">
                  <c:v>1.3471899999999999</c:v>
                </c:pt>
                <c:pt idx="361">
                  <c:v>1.3109700000000002</c:v>
                </c:pt>
                <c:pt idx="362">
                  <c:v>1.3157400000000001</c:v>
                </c:pt>
                <c:pt idx="363">
                  <c:v>1.3135699999999999</c:v>
                </c:pt>
                <c:pt idx="364">
                  <c:v>1.2802600000000002</c:v>
                </c:pt>
                <c:pt idx="365">
                  <c:v>1.28382</c:v>
                </c:pt>
                <c:pt idx="366">
                  <c:v>1.23847</c:v>
                </c:pt>
                <c:pt idx="367">
                  <c:v>1.2362200000000001</c:v>
                </c:pt>
                <c:pt idx="368">
                  <c:v>1.2362200000000001</c:v>
                </c:pt>
                <c:pt idx="369">
                  <c:v>1.2643899999999999</c:v>
                </c:pt>
                <c:pt idx="370">
                  <c:v>1.1870799999999999</c:v>
                </c:pt>
                <c:pt idx="371">
                  <c:v>1.1527000000000001</c:v>
                </c:pt>
                <c:pt idx="372">
                  <c:v>1.1716299999999999</c:v>
                </c:pt>
                <c:pt idx="373">
                  <c:v>1.1617500000000001</c:v>
                </c:pt>
                <c:pt idx="374">
                  <c:v>1.1441699999999999</c:v>
                </c:pt>
                <c:pt idx="375">
                  <c:v>1.0948599999999999</c:v>
                </c:pt>
                <c:pt idx="376">
                  <c:v>1.1072599999999999</c:v>
                </c:pt>
                <c:pt idx="377">
                  <c:v>1.0130699999999999</c:v>
                </c:pt>
                <c:pt idx="378">
                  <c:v>0.99372000000000005</c:v>
                </c:pt>
                <c:pt idx="379">
                  <c:v>1.0379099999999999</c:v>
                </c:pt>
                <c:pt idx="380">
                  <c:v>0.91900999999999999</c:v>
                </c:pt>
                <c:pt idx="381">
                  <c:v>1.0471999999999999</c:v>
                </c:pt>
                <c:pt idx="382">
                  <c:v>0.92641999999999991</c:v>
                </c:pt>
                <c:pt idx="383">
                  <c:v>1.02559</c:v>
                </c:pt>
                <c:pt idx="384">
                  <c:v>1.0119899999999999</c:v>
                </c:pt>
                <c:pt idx="385">
                  <c:v>1.01214</c:v>
                </c:pt>
                <c:pt idx="386">
                  <c:v>1.01464</c:v>
                </c:pt>
                <c:pt idx="387">
                  <c:v>0.96420000000000006</c:v>
                </c:pt>
                <c:pt idx="388">
                  <c:v>1.0081499999999999</c:v>
                </c:pt>
                <c:pt idx="389">
                  <c:v>0.97177999999999998</c:v>
                </c:pt>
                <c:pt idx="390">
                  <c:v>1.06172</c:v>
                </c:pt>
                <c:pt idx="391">
                  <c:v>1.0227200000000001</c:v>
                </c:pt>
                <c:pt idx="392">
                  <c:v>1.0148200000000001</c:v>
                </c:pt>
                <c:pt idx="393">
                  <c:v>1.01603</c:v>
                </c:pt>
                <c:pt idx="394">
                  <c:v>1.0754900000000001</c:v>
                </c:pt>
                <c:pt idx="395">
                  <c:v>1.0735599999999998</c:v>
                </c:pt>
                <c:pt idx="396">
                  <c:v>1.12199</c:v>
                </c:pt>
                <c:pt idx="397">
                  <c:v>1.0883499999999999</c:v>
                </c:pt>
                <c:pt idx="398">
                  <c:v>1.0758099999999999</c:v>
                </c:pt>
                <c:pt idx="399">
                  <c:v>1.00773</c:v>
                </c:pt>
                <c:pt idx="400">
                  <c:v>1.0837600000000001</c:v>
                </c:pt>
                <c:pt idx="401">
                  <c:v>1.08209</c:v>
                </c:pt>
                <c:pt idx="402">
                  <c:v>1.05969</c:v>
                </c:pt>
                <c:pt idx="403">
                  <c:v>1.0694699999999999</c:v>
                </c:pt>
                <c:pt idx="404">
                  <c:v>1.1286700000000001</c:v>
                </c:pt>
                <c:pt idx="405">
                  <c:v>1.0998000000000001</c:v>
                </c:pt>
                <c:pt idx="406">
                  <c:v>1.1036700000000002</c:v>
                </c:pt>
                <c:pt idx="407">
                  <c:v>1.10073</c:v>
                </c:pt>
                <c:pt idx="408">
                  <c:v>1.0837699999999999</c:v>
                </c:pt>
                <c:pt idx="409">
                  <c:v>1.1114199999999999</c:v>
                </c:pt>
                <c:pt idx="410">
                  <c:v>1.11117</c:v>
                </c:pt>
                <c:pt idx="411">
                  <c:v>1.0881799999999999</c:v>
                </c:pt>
                <c:pt idx="412">
                  <c:v>1.0888599999999999</c:v>
                </c:pt>
                <c:pt idx="413">
                  <c:v>1.10029</c:v>
                </c:pt>
                <c:pt idx="414">
                  <c:v>1.02024</c:v>
                </c:pt>
                <c:pt idx="415">
                  <c:v>0.96162000000000003</c:v>
                </c:pt>
                <c:pt idx="416">
                  <c:v>0.91</c:v>
                </c:pt>
                <c:pt idx="417">
                  <c:v>0.96433999999999997</c:v>
                </c:pt>
                <c:pt idx="418">
                  <c:v>0.90795000000000003</c:v>
                </c:pt>
                <c:pt idx="419">
                  <c:v>0.85034999999999994</c:v>
                </c:pt>
                <c:pt idx="420">
                  <c:v>0.92676000000000003</c:v>
                </c:pt>
                <c:pt idx="421">
                  <c:v>0.89844999999999997</c:v>
                </c:pt>
                <c:pt idx="422">
                  <c:v>0.88751000000000002</c:v>
                </c:pt>
                <c:pt idx="423">
                  <c:v>0.88751999999999998</c:v>
                </c:pt>
                <c:pt idx="424">
                  <c:v>0.85263999999999995</c:v>
                </c:pt>
                <c:pt idx="425">
                  <c:v>0.8349899999999999</c:v>
                </c:pt>
                <c:pt idx="426">
                  <c:v>0.87890000000000001</c:v>
                </c:pt>
                <c:pt idx="427">
                  <c:v>0.83923000000000003</c:v>
                </c:pt>
                <c:pt idx="428">
                  <c:v>0.89290999999999998</c:v>
                </c:pt>
                <c:pt idx="429">
                  <c:v>0.85597999999999996</c:v>
                </c:pt>
                <c:pt idx="430">
                  <c:v>0.84841999999999995</c:v>
                </c:pt>
                <c:pt idx="431">
                  <c:v>0.86647000000000007</c:v>
                </c:pt>
                <c:pt idx="432">
                  <c:v>0.90695999999999999</c:v>
                </c:pt>
                <c:pt idx="433">
                  <c:v>0.90695999999999999</c:v>
                </c:pt>
                <c:pt idx="434">
                  <c:v>0.88891999999999993</c:v>
                </c:pt>
                <c:pt idx="435">
                  <c:v>0.88513999999999993</c:v>
                </c:pt>
                <c:pt idx="436">
                  <c:v>0.8424299999999999</c:v>
                </c:pt>
                <c:pt idx="437">
                  <c:v>0.84057000000000004</c:v>
                </c:pt>
                <c:pt idx="438">
                  <c:v>0.85053000000000001</c:v>
                </c:pt>
                <c:pt idx="439">
                  <c:v>0.82991000000000004</c:v>
                </c:pt>
                <c:pt idx="440">
                  <c:v>0.82322000000000006</c:v>
                </c:pt>
                <c:pt idx="441">
                  <c:v>0.82616000000000001</c:v>
                </c:pt>
                <c:pt idx="442">
                  <c:v>0.78709000000000007</c:v>
                </c:pt>
                <c:pt idx="443">
                  <c:v>0.77754999999999996</c:v>
                </c:pt>
                <c:pt idx="444">
                  <c:v>0.77323999999999993</c:v>
                </c:pt>
                <c:pt idx="445">
                  <c:v>0.75162000000000007</c:v>
                </c:pt>
                <c:pt idx="446">
                  <c:v>0.71782999999999997</c:v>
                </c:pt>
                <c:pt idx="447">
                  <c:v>0.72572000000000003</c:v>
                </c:pt>
                <c:pt idx="448">
                  <c:v>0.86209999999999998</c:v>
                </c:pt>
                <c:pt idx="449">
                  <c:v>0.84537000000000007</c:v>
                </c:pt>
                <c:pt idx="450">
                  <c:v>0.92929000000000006</c:v>
                </c:pt>
                <c:pt idx="451">
                  <c:v>0.87683000000000011</c:v>
                </c:pt>
                <c:pt idx="452">
                  <c:v>0.96602999999999994</c:v>
                </c:pt>
                <c:pt idx="453">
                  <c:v>1.0049699999999999</c:v>
                </c:pt>
                <c:pt idx="454">
                  <c:v>1.17279</c:v>
                </c:pt>
                <c:pt idx="455">
                  <c:v>1.23021</c:v>
                </c:pt>
                <c:pt idx="456">
                  <c:v>1.2006100000000002</c:v>
                </c:pt>
                <c:pt idx="457">
                  <c:v>1.2843600000000002</c:v>
                </c:pt>
                <c:pt idx="458">
                  <c:v>1.2584600000000001</c:v>
                </c:pt>
                <c:pt idx="459">
                  <c:v>1.21479</c:v>
                </c:pt>
                <c:pt idx="460">
                  <c:v>1.2110799999999999</c:v>
                </c:pt>
                <c:pt idx="461">
                  <c:v>1.13795</c:v>
                </c:pt>
                <c:pt idx="462">
                  <c:v>1.0753700000000002</c:v>
                </c:pt>
                <c:pt idx="463">
                  <c:v>1.1817800000000001</c:v>
                </c:pt>
                <c:pt idx="464">
                  <c:v>1.0856999999999999</c:v>
                </c:pt>
                <c:pt idx="465">
                  <c:v>1.05155</c:v>
                </c:pt>
                <c:pt idx="466">
                  <c:v>0.97894000000000003</c:v>
                </c:pt>
                <c:pt idx="467">
                  <c:v>0.90441000000000005</c:v>
                </c:pt>
                <c:pt idx="468">
                  <c:v>0.85947999999999991</c:v>
                </c:pt>
                <c:pt idx="469">
                  <c:v>0.86516000000000004</c:v>
                </c:pt>
                <c:pt idx="470">
                  <c:v>0.87959999999999994</c:v>
                </c:pt>
                <c:pt idx="471">
                  <c:v>0.87229000000000001</c:v>
                </c:pt>
                <c:pt idx="472">
                  <c:v>0.88388999999999995</c:v>
                </c:pt>
                <c:pt idx="473">
                  <c:v>0.88644000000000001</c:v>
                </c:pt>
                <c:pt idx="474">
                  <c:v>0.82911000000000001</c:v>
                </c:pt>
                <c:pt idx="475">
                  <c:v>0.79507000000000005</c:v>
                </c:pt>
                <c:pt idx="476">
                  <c:v>0.80641999999999991</c:v>
                </c:pt>
                <c:pt idx="477">
                  <c:v>0.82114999999999994</c:v>
                </c:pt>
                <c:pt idx="478">
                  <c:v>0.82699</c:v>
                </c:pt>
                <c:pt idx="479">
                  <c:v>0.8549500000000001</c:v>
                </c:pt>
                <c:pt idx="480">
                  <c:v>0.83075999999999994</c:v>
                </c:pt>
                <c:pt idx="481">
                  <c:v>0.80072999999999994</c:v>
                </c:pt>
                <c:pt idx="482">
                  <c:v>0.86775999999999998</c:v>
                </c:pt>
                <c:pt idx="483">
                  <c:v>0.69492000000000009</c:v>
                </c:pt>
                <c:pt idx="484">
                  <c:v>0.72022999999999993</c:v>
                </c:pt>
                <c:pt idx="485">
                  <c:v>0.69959999999999989</c:v>
                </c:pt>
                <c:pt idx="486">
                  <c:v>0.64663999999999999</c:v>
                </c:pt>
                <c:pt idx="487">
                  <c:v>0.73626999999999998</c:v>
                </c:pt>
                <c:pt idx="488">
                  <c:v>0.68252999999999997</c:v>
                </c:pt>
                <c:pt idx="489">
                  <c:v>0.65677000000000008</c:v>
                </c:pt>
                <c:pt idx="490">
                  <c:v>0.74644999999999995</c:v>
                </c:pt>
                <c:pt idx="491">
                  <c:v>0.74108999999999992</c:v>
                </c:pt>
                <c:pt idx="492">
                  <c:v>0.76717000000000002</c:v>
                </c:pt>
                <c:pt idx="493">
                  <c:v>0.72748000000000002</c:v>
                </c:pt>
                <c:pt idx="494">
                  <c:v>0.91488000000000003</c:v>
                </c:pt>
                <c:pt idx="495">
                  <c:v>0.93850999999999996</c:v>
                </c:pt>
                <c:pt idx="496">
                  <c:v>0.91170000000000007</c:v>
                </c:pt>
                <c:pt idx="497">
                  <c:v>1.1669700000000001</c:v>
                </c:pt>
                <c:pt idx="498">
                  <c:v>1.1045499999999999</c:v>
                </c:pt>
                <c:pt idx="499">
                  <c:v>1.21333</c:v>
                </c:pt>
                <c:pt idx="500">
                  <c:v>1.17533</c:v>
                </c:pt>
                <c:pt idx="501">
                  <c:v>1.1584099999999999</c:v>
                </c:pt>
                <c:pt idx="502">
                  <c:v>1.0828100000000001</c:v>
                </c:pt>
                <c:pt idx="503">
                  <c:v>1.08375</c:v>
                </c:pt>
                <c:pt idx="504">
                  <c:v>1.14615</c:v>
                </c:pt>
                <c:pt idx="505">
                  <c:v>1.0030700000000001</c:v>
                </c:pt>
                <c:pt idx="506">
                  <c:v>0.93206999999999995</c:v>
                </c:pt>
                <c:pt idx="507">
                  <c:v>0.96120000000000005</c:v>
                </c:pt>
                <c:pt idx="508">
                  <c:v>0.94102999999999992</c:v>
                </c:pt>
                <c:pt idx="509">
                  <c:v>0.87236999999999998</c:v>
                </c:pt>
                <c:pt idx="510">
                  <c:v>0.90505999999999998</c:v>
                </c:pt>
                <c:pt idx="511">
                  <c:v>1.00152</c:v>
                </c:pt>
                <c:pt idx="512">
                  <c:v>0.97971999999999992</c:v>
                </c:pt>
                <c:pt idx="513">
                  <c:v>0.99320999999999993</c:v>
                </c:pt>
                <c:pt idx="514">
                  <c:v>0.95406000000000002</c:v>
                </c:pt>
                <c:pt idx="515">
                  <c:v>0.92587999999999993</c:v>
                </c:pt>
                <c:pt idx="516">
                  <c:v>0.97147000000000006</c:v>
                </c:pt>
                <c:pt idx="517">
                  <c:v>0.95555999999999996</c:v>
                </c:pt>
                <c:pt idx="518">
                  <c:v>0.95555999999999996</c:v>
                </c:pt>
                <c:pt idx="519">
                  <c:v>0.95555999999999996</c:v>
                </c:pt>
                <c:pt idx="520">
                  <c:v>0.99293999999999993</c:v>
                </c:pt>
                <c:pt idx="521">
                  <c:v>0.9522799999999999</c:v>
                </c:pt>
                <c:pt idx="522">
                  <c:v>0.93161000000000005</c:v>
                </c:pt>
                <c:pt idx="523">
                  <c:v>0.93161000000000005</c:v>
                </c:pt>
                <c:pt idx="524">
                  <c:v>1.2321599999999999</c:v>
                </c:pt>
                <c:pt idx="525">
                  <c:v>1.1596599999999999</c:v>
                </c:pt>
                <c:pt idx="526">
                  <c:v>1.27193</c:v>
                </c:pt>
                <c:pt idx="527">
                  <c:v>1.23455</c:v>
                </c:pt>
                <c:pt idx="528">
                  <c:v>1.30131</c:v>
                </c:pt>
                <c:pt idx="529">
                  <c:v>1.3128299999999999</c:v>
                </c:pt>
                <c:pt idx="530">
                  <c:v>1.2742499999999999</c:v>
                </c:pt>
                <c:pt idx="531">
                  <c:v>1.2867599999999999</c:v>
                </c:pt>
                <c:pt idx="532">
                  <c:v>1.2650399999999999</c:v>
                </c:pt>
                <c:pt idx="533">
                  <c:v>1.2397799999999999</c:v>
                </c:pt>
                <c:pt idx="534">
                  <c:v>1.2290300000000001</c:v>
                </c:pt>
                <c:pt idx="535">
                  <c:v>1.2565999999999999</c:v>
                </c:pt>
                <c:pt idx="536">
                  <c:v>1.17808</c:v>
                </c:pt>
                <c:pt idx="537">
                  <c:v>1.22557</c:v>
                </c:pt>
                <c:pt idx="538">
                  <c:v>1.23908</c:v>
                </c:pt>
                <c:pt idx="539">
                  <c:v>1.2000599999999999</c:v>
                </c:pt>
                <c:pt idx="540">
                  <c:v>1.1590400000000001</c:v>
                </c:pt>
                <c:pt idx="541">
                  <c:v>0.87961</c:v>
                </c:pt>
                <c:pt idx="542">
                  <c:v>0.79264999999999997</c:v>
                </c:pt>
                <c:pt idx="543">
                  <c:v>0.74797000000000002</c:v>
                </c:pt>
                <c:pt idx="544">
                  <c:v>0.74320999999999993</c:v>
                </c:pt>
                <c:pt idx="545">
                  <c:v>0.72325000000000006</c:v>
                </c:pt>
                <c:pt idx="546">
                  <c:v>0.72479000000000005</c:v>
                </c:pt>
                <c:pt idx="547">
                  <c:v>0.58762999999999999</c:v>
                </c:pt>
                <c:pt idx="548">
                  <c:v>0.65532999999999997</c:v>
                </c:pt>
                <c:pt idx="549">
                  <c:v>0.67918000000000012</c:v>
                </c:pt>
                <c:pt idx="550">
                  <c:v>0.65096999999999994</c:v>
                </c:pt>
                <c:pt idx="551">
                  <c:v>0.54520999999999997</c:v>
                </c:pt>
                <c:pt idx="552">
                  <c:v>0.62874000000000008</c:v>
                </c:pt>
                <c:pt idx="553">
                  <c:v>0.43194000000000005</c:v>
                </c:pt>
                <c:pt idx="554">
                  <c:v>0.55420000000000003</c:v>
                </c:pt>
                <c:pt idx="555">
                  <c:v>0.48314000000000001</c:v>
                </c:pt>
                <c:pt idx="556">
                  <c:v>0.54337000000000002</c:v>
                </c:pt>
                <c:pt idx="557">
                  <c:v>0.61976999999999993</c:v>
                </c:pt>
                <c:pt idx="558">
                  <c:v>0.58155000000000001</c:v>
                </c:pt>
                <c:pt idx="559">
                  <c:v>0.69469999999999998</c:v>
                </c:pt>
                <c:pt idx="560">
                  <c:v>0.74513000000000007</c:v>
                </c:pt>
                <c:pt idx="561">
                  <c:v>1.04901</c:v>
                </c:pt>
                <c:pt idx="562">
                  <c:v>1.12209</c:v>
                </c:pt>
                <c:pt idx="563">
                  <c:v>1.46224</c:v>
                </c:pt>
                <c:pt idx="564">
                  <c:v>2.5630999999999999</c:v>
                </c:pt>
                <c:pt idx="565">
                  <c:v>3.0717700000000003</c:v>
                </c:pt>
                <c:pt idx="566">
                  <c:v>3.0341399999999998</c:v>
                </c:pt>
                <c:pt idx="567">
                  <c:v>3.5142000000000002</c:v>
                </c:pt>
                <c:pt idx="568">
                  <c:v>4.0177899999999998</c:v>
                </c:pt>
                <c:pt idx="569">
                  <c:v>4.0960799999999997</c:v>
                </c:pt>
                <c:pt idx="570">
                  <c:v>3.8539699999999999</c:v>
                </c:pt>
                <c:pt idx="571">
                  <c:v>3.8871499999999997</c:v>
                </c:pt>
                <c:pt idx="572">
                  <c:v>3.87134</c:v>
                </c:pt>
                <c:pt idx="573">
                  <c:v>3.6512500000000001</c:v>
                </c:pt>
                <c:pt idx="574">
                  <c:v>3.7031700000000001</c:v>
                </c:pt>
                <c:pt idx="575">
                  <c:v>2.6654800000000001</c:v>
                </c:pt>
                <c:pt idx="576">
                  <c:v>2.3847300000000002</c:v>
                </c:pt>
                <c:pt idx="577">
                  <c:v>1.9855799999999999</c:v>
                </c:pt>
                <c:pt idx="578">
                  <c:v>1.57117</c:v>
                </c:pt>
                <c:pt idx="579">
                  <c:v>1.48552</c:v>
                </c:pt>
                <c:pt idx="580">
                  <c:v>1.3798500000000002</c:v>
                </c:pt>
                <c:pt idx="581">
                  <c:v>1.33958</c:v>
                </c:pt>
                <c:pt idx="582">
                  <c:v>1.4220900000000001</c:v>
                </c:pt>
                <c:pt idx="583">
                  <c:v>1.37026</c:v>
                </c:pt>
                <c:pt idx="584">
                  <c:v>1.4862500000000001</c:v>
                </c:pt>
                <c:pt idx="585">
                  <c:v>1.47214</c:v>
                </c:pt>
                <c:pt idx="586">
                  <c:v>1.45618</c:v>
                </c:pt>
                <c:pt idx="587">
                  <c:v>1.4611400000000001</c:v>
                </c:pt>
                <c:pt idx="588">
                  <c:v>1.3928299999999998</c:v>
                </c:pt>
                <c:pt idx="589">
                  <c:v>1.32446</c:v>
                </c:pt>
                <c:pt idx="590">
                  <c:v>1.4043999999999999</c:v>
                </c:pt>
                <c:pt idx="591">
                  <c:v>1.44004</c:v>
                </c:pt>
                <c:pt idx="592">
                  <c:v>1.3902699999999999</c:v>
                </c:pt>
                <c:pt idx="593">
                  <c:v>1.4313399999999998</c:v>
                </c:pt>
                <c:pt idx="594">
                  <c:v>1.5181800000000001</c:v>
                </c:pt>
                <c:pt idx="595">
                  <c:v>1.5702600000000002</c:v>
                </c:pt>
                <c:pt idx="596">
                  <c:v>1.5487899999999999</c:v>
                </c:pt>
                <c:pt idx="597">
                  <c:v>1.5487899999999999</c:v>
                </c:pt>
                <c:pt idx="598">
                  <c:v>1.5487899999999999</c:v>
                </c:pt>
                <c:pt idx="599">
                  <c:v>1.7300899999999999</c:v>
                </c:pt>
                <c:pt idx="600">
                  <c:v>1.6210499999999999</c:v>
                </c:pt>
                <c:pt idx="601">
                  <c:v>1.5877000000000001</c:v>
                </c:pt>
                <c:pt idx="602">
                  <c:v>1.6266100000000001</c:v>
                </c:pt>
                <c:pt idx="603">
                  <c:v>1.7891999999999999</c:v>
                </c:pt>
                <c:pt idx="604">
                  <c:v>1.8818100000000002</c:v>
                </c:pt>
                <c:pt idx="605">
                  <c:v>1.9115199999999999</c:v>
                </c:pt>
                <c:pt idx="606">
                  <c:v>1.9561900000000001</c:v>
                </c:pt>
                <c:pt idx="607">
                  <c:v>1.9698599999999999</c:v>
                </c:pt>
                <c:pt idx="608">
                  <c:v>1.9698599999999999</c:v>
                </c:pt>
                <c:pt idx="609">
                  <c:v>2.0612399999999997</c:v>
                </c:pt>
                <c:pt idx="610">
                  <c:v>2.1017799999999998</c:v>
                </c:pt>
                <c:pt idx="611">
                  <c:v>2.3422499999999999</c:v>
                </c:pt>
                <c:pt idx="612">
                  <c:v>2.51606</c:v>
                </c:pt>
                <c:pt idx="613">
                  <c:v>2.5669999999999997</c:v>
                </c:pt>
                <c:pt idx="614">
                  <c:v>2.54284</c:v>
                </c:pt>
                <c:pt idx="615">
                  <c:v>2.5072300000000003</c:v>
                </c:pt>
                <c:pt idx="616">
                  <c:v>2.5599500000000002</c:v>
                </c:pt>
                <c:pt idx="617">
                  <c:v>2.46848</c:v>
                </c:pt>
                <c:pt idx="618">
                  <c:v>2.4393000000000002</c:v>
                </c:pt>
                <c:pt idx="619">
                  <c:v>2.2064699999999999</c:v>
                </c:pt>
                <c:pt idx="620">
                  <c:v>2.2197800000000001</c:v>
                </c:pt>
                <c:pt idx="621">
                  <c:v>2.34483</c:v>
                </c:pt>
                <c:pt idx="622">
                  <c:v>2.3725200000000002</c:v>
                </c:pt>
                <c:pt idx="623">
                  <c:v>2.2799299999999998</c:v>
                </c:pt>
                <c:pt idx="624">
                  <c:v>2.4093800000000001</c:v>
                </c:pt>
                <c:pt idx="625">
                  <c:v>2.37954</c:v>
                </c:pt>
                <c:pt idx="626">
                  <c:v>2.2267199999999998</c:v>
                </c:pt>
                <c:pt idx="627">
                  <c:v>2.1191200000000001</c:v>
                </c:pt>
                <c:pt idx="628">
                  <c:v>2.01437</c:v>
                </c:pt>
                <c:pt idx="629">
                  <c:v>1.9822900000000001</c:v>
                </c:pt>
                <c:pt idx="630">
                  <c:v>1.8864799999999999</c:v>
                </c:pt>
                <c:pt idx="631">
                  <c:v>1.8864799999999999</c:v>
                </c:pt>
                <c:pt idx="632">
                  <c:v>1.8864799999999999</c:v>
                </c:pt>
                <c:pt idx="633">
                  <c:v>1.9363699999999999</c:v>
                </c:pt>
                <c:pt idx="634">
                  <c:v>1.7268600000000001</c:v>
                </c:pt>
                <c:pt idx="635">
                  <c:v>1.5422</c:v>
                </c:pt>
                <c:pt idx="636">
                  <c:v>1.7106999999999999</c:v>
                </c:pt>
                <c:pt idx="637">
                  <c:v>1.5065799999999998</c:v>
                </c:pt>
                <c:pt idx="638">
                  <c:v>1.4793100000000001</c:v>
                </c:pt>
                <c:pt idx="639">
                  <c:v>1.3947399999999999</c:v>
                </c:pt>
                <c:pt idx="640">
                  <c:v>1.4174199999999999</c:v>
                </c:pt>
                <c:pt idx="641">
                  <c:v>1.5670299999999999</c:v>
                </c:pt>
                <c:pt idx="642">
                  <c:v>1.6527799999999999</c:v>
                </c:pt>
                <c:pt idx="643">
                  <c:v>1.5437799999999999</c:v>
                </c:pt>
                <c:pt idx="644">
                  <c:v>1.4988300000000001</c:v>
                </c:pt>
                <c:pt idx="645">
                  <c:v>1.5551400000000002</c:v>
                </c:pt>
                <c:pt idx="646">
                  <c:v>1.58477</c:v>
                </c:pt>
                <c:pt idx="647">
                  <c:v>1.53125</c:v>
                </c:pt>
                <c:pt idx="648">
                  <c:v>1.4606399999999999</c:v>
                </c:pt>
                <c:pt idx="649">
                  <c:v>1.6147200000000002</c:v>
                </c:pt>
                <c:pt idx="650">
                  <c:v>2.1131200000000003</c:v>
                </c:pt>
                <c:pt idx="651">
                  <c:v>2.4597199999999999</c:v>
                </c:pt>
                <c:pt idx="652">
                  <c:v>2.5336799999999999</c:v>
                </c:pt>
                <c:pt idx="653">
                  <c:v>2.4965700000000002</c:v>
                </c:pt>
                <c:pt idx="654">
                  <c:v>2.4573</c:v>
                </c:pt>
                <c:pt idx="655">
                  <c:v>2.31813</c:v>
                </c:pt>
                <c:pt idx="656">
                  <c:v>2.4159600000000001</c:v>
                </c:pt>
                <c:pt idx="657">
                  <c:v>2.4270800000000001</c:v>
                </c:pt>
                <c:pt idx="658">
                  <c:v>2.4745699999999999</c:v>
                </c:pt>
                <c:pt idx="659">
                  <c:v>2.45546</c:v>
                </c:pt>
                <c:pt idx="660">
                  <c:v>2.3966799999999999</c:v>
                </c:pt>
                <c:pt idx="661">
                  <c:v>2.5173399999999999</c:v>
                </c:pt>
                <c:pt idx="662">
                  <c:v>2.5114099999999997</c:v>
                </c:pt>
                <c:pt idx="663">
                  <c:v>2.38924</c:v>
                </c:pt>
                <c:pt idx="664">
                  <c:v>2.1572</c:v>
                </c:pt>
                <c:pt idx="665">
                  <c:v>1.8257099999999999</c:v>
                </c:pt>
                <c:pt idx="666">
                  <c:v>1.4003800000000002</c:v>
                </c:pt>
                <c:pt idx="667">
                  <c:v>1.4047700000000001</c:v>
                </c:pt>
                <c:pt idx="668">
                  <c:v>1.17072</c:v>
                </c:pt>
                <c:pt idx="669">
                  <c:v>1.1508799999999999</c:v>
                </c:pt>
                <c:pt idx="670">
                  <c:v>1.2735799999999999</c:v>
                </c:pt>
                <c:pt idx="671">
                  <c:v>1.3840299999999999</c:v>
                </c:pt>
                <c:pt idx="672">
                  <c:v>1.3656600000000001</c:v>
                </c:pt>
                <c:pt idx="673">
                  <c:v>1.25309</c:v>
                </c:pt>
                <c:pt idx="674">
                  <c:v>1.1537500000000001</c:v>
                </c:pt>
                <c:pt idx="675">
                  <c:v>0.89288000000000001</c:v>
                </c:pt>
                <c:pt idx="676">
                  <c:v>0.89690000000000003</c:v>
                </c:pt>
                <c:pt idx="677">
                  <c:v>0.84409000000000001</c:v>
                </c:pt>
                <c:pt idx="678">
                  <c:v>1.07544</c:v>
                </c:pt>
                <c:pt idx="679">
                  <c:v>0.81432000000000004</c:v>
                </c:pt>
                <c:pt idx="680">
                  <c:v>0.87412999999999996</c:v>
                </c:pt>
                <c:pt idx="681">
                  <c:v>0.85727000000000009</c:v>
                </c:pt>
                <c:pt idx="682">
                  <c:v>0.85199000000000003</c:v>
                </c:pt>
                <c:pt idx="683">
                  <c:v>0.87863000000000002</c:v>
                </c:pt>
                <c:pt idx="684">
                  <c:v>0.98419999999999996</c:v>
                </c:pt>
                <c:pt idx="685">
                  <c:v>1.10127</c:v>
                </c:pt>
                <c:pt idx="686">
                  <c:v>1.3103399999999998</c:v>
                </c:pt>
                <c:pt idx="687">
                  <c:v>1.1541299999999999</c:v>
                </c:pt>
                <c:pt idx="688">
                  <c:v>1.1321599999999998</c:v>
                </c:pt>
                <c:pt idx="689">
                  <c:v>1.18937</c:v>
                </c:pt>
                <c:pt idx="690">
                  <c:v>1.1705800000000002</c:v>
                </c:pt>
                <c:pt idx="691">
                  <c:v>1.1850799999999999</c:v>
                </c:pt>
                <c:pt idx="692">
                  <c:v>1.15266</c:v>
                </c:pt>
                <c:pt idx="693">
                  <c:v>1.15266</c:v>
                </c:pt>
                <c:pt idx="694">
                  <c:v>1.2619899999999999</c:v>
                </c:pt>
                <c:pt idx="695">
                  <c:v>1.2419</c:v>
                </c:pt>
                <c:pt idx="696">
                  <c:v>1.2607899999999999</c:v>
                </c:pt>
                <c:pt idx="697">
                  <c:v>1.37296</c:v>
                </c:pt>
                <c:pt idx="698">
                  <c:v>1.3588399999999998</c:v>
                </c:pt>
                <c:pt idx="699">
                  <c:v>1.30131</c:v>
                </c:pt>
                <c:pt idx="700">
                  <c:v>1.3516300000000001</c:v>
                </c:pt>
                <c:pt idx="701">
                  <c:v>1.30217</c:v>
                </c:pt>
                <c:pt idx="702">
                  <c:v>1.3710300000000002</c:v>
                </c:pt>
                <c:pt idx="703">
                  <c:v>1.22061</c:v>
                </c:pt>
                <c:pt idx="704">
                  <c:v>1.47031</c:v>
                </c:pt>
                <c:pt idx="705">
                  <c:v>1.6096100000000002</c:v>
                </c:pt>
                <c:pt idx="706">
                  <c:v>1.6035599999999999</c:v>
                </c:pt>
                <c:pt idx="707">
                  <c:v>1.6766999999999999</c:v>
                </c:pt>
                <c:pt idx="708">
                  <c:v>1.6766999999999999</c:v>
                </c:pt>
                <c:pt idx="709">
                  <c:v>1.5638999999999998</c:v>
                </c:pt>
                <c:pt idx="710">
                  <c:v>1.6480299999999999</c:v>
                </c:pt>
                <c:pt idx="711">
                  <c:v>1.6490400000000001</c:v>
                </c:pt>
                <c:pt idx="712">
                  <c:v>1.6030799999999998</c:v>
                </c:pt>
                <c:pt idx="713">
                  <c:v>1.55016</c:v>
                </c:pt>
                <c:pt idx="714">
                  <c:v>1.5410200000000001</c:v>
                </c:pt>
                <c:pt idx="715">
                  <c:v>1.8148</c:v>
                </c:pt>
                <c:pt idx="716">
                  <c:v>2.0039500000000001</c:v>
                </c:pt>
                <c:pt idx="717">
                  <c:v>1.81623</c:v>
                </c:pt>
                <c:pt idx="718">
                  <c:v>1.82087</c:v>
                </c:pt>
                <c:pt idx="719">
                  <c:v>1.8416699999999999</c:v>
                </c:pt>
                <c:pt idx="720">
                  <c:v>1.8005600000000002</c:v>
                </c:pt>
                <c:pt idx="721">
                  <c:v>1.8975499999999998</c:v>
                </c:pt>
                <c:pt idx="722">
                  <c:v>1.8539599999999998</c:v>
                </c:pt>
                <c:pt idx="723">
                  <c:v>2.0130300000000001</c:v>
                </c:pt>
                <c:pt idx="724">
                  <c:v>2.0209800000000002</c:v>
                </c:pt>
                <c:pt idx="725">
                  <c:v>2.06081</c:v>
                </c:pt>
                <c:pt idx="726">
                  <c:v>2.0679099999999999</c:v>
                </c:pt>
                <c:pt idx="727">
                  <c:v>2.1378200000000001</c:v>
                </c:pt>
                <c:pt idx="728">
                  <c:v>2.1223200000000002</c:v>
                </c:pt>
                <c:pt idx="729">
                  <c:v>2.1751400000000003</c:v>
                </c:pt>
                <c:pt idx="730">
                  <c:v>2.0922100000000001</c:v>
                </c:pt>
                <c:pt idx="731">
                  <c:v>2.0673900000000001</c:v>
                </c:pt>
                <c:pt idx="732">
                  <c:v>2.1623199999999998</c:v>
                </c:pt>
                <c:pt idx="733">
                  <c:v>2.2019299999999999</c:v>
                </c:pt>
                <c:pt idx="734">
                  <c:v>2.17225</c:v>
                </c:pt>
                <c:pt idx="735">
                  <c:v>2.1273500000000003</c:v>
                </c:pt>
                <c:pt idx="736">
                  <c:v>2.0535399999999999</c:v>
                </c:pt>
                <c:pt idx="737">
                  <c:v>2.06033</c:v>
                </c:pt>
                <c:pt idx="738">
                  <c:v>2.0192099999999997</c:v>
                </c:pt>
                <c:pt idx="739">
                  <c:v>2.06636</c:v>
                </c:pt>
                <c:pt idx="740">
                  <c:v>1.9748699999999999</c:v>
                </c:pt>
                <c:pt idx="741">
                  <c:v>1.9867300000000001</c:v>
                </c:pt>
                <c:pt idx="742">
                  <c:v>1.6479599999999999</c:v>
                </c:pt>
                <c:pt idx="743">
                  <c:v>1.51556</c:v>
                </c:pt>
                <c:pt idx="744">
                  <c:v>1.40255</c:v>
                </c:pt>
                <c:pt idx="745">
                  <c:v>1.4851599999999998</c:v>
                </c:pt>
                <c:pt idx="746">
                  <c:v>1.57012</c:v>
                </c:pt>
                <c:pt idx="747">
                  <c:v>1.6126800000000001</c:v>
                </c:pt>
                <c:pt idx="748">
                  <c:v>1.2435</c:v>
                </c:pt>
                <c:pt idx="749">
                  <c:v>1.39323</c:v>
                </c:pt>
                <c:pt idx="750">
                  <c:v>1.3119700000000001</c:v>
                </c:pt>
                <c:pt idx="751">
                  <c:v>1.4949399999999999</c:v>
                </c:pt>
                <c:pt idx="752">
                  <c:v>1.3082099999999999</c:v>
                </c:pt>
                <c:pt idx="753">
                  <c:v>1.28481</c:v>
                </c:pt>
                <c:pt idx="754">
                  <c:v>1.2858099999999999</c:v>
                </c:pt>
                <c:pt idx="755">
                  <c:v>1.35164</c:v>
                </c:pt>
                <c:pt idx="756">
                  <c:v>1.35642</c:v>
                </c:pt>
                <c:pt idx="757">
                  <c:v>1.2978000000000001</c:v>
                </c:pt>
                <c:pt idx="758">
                  <c:v>1.4334</c:v>
                </c:pt>
                <c:pt idx="759">
                  <c:v>1.3747999999999998</c:v>
                </c:pt>
                <c:pt idx="760">
                  <c:v>1.49254</c:v>
                </c:pt>
                <c:pt idx="761">
                  <c:v>1.4521999999999999</c:v>
                </c:pt>
                <c:pt idx="762">
                  <c:v>1.1907799999999999</c:v>
                </c:pt>
                <c:pt idx="763">
                  <c:v>0.81927000000000005</c:v>
                </c:pt>
                <c:pt idx="764">
                  <c:v>0.81706000000000001</c:v>
                </c:pt>
                <c:pt idx="765">
                  <c:v>0.90804000000000007</c:v>
                </c:pt>
                <c:pt idx="766">
                  <c:v>0.82912000000000008</c:v>
                </c:pt>
                <c:pt idx="767">
                  <c:v>0.86895</c:v>
                </c:pt>
                <c:pt idx="768">
                  <c:v>0.79578000000000004</c:v>
                </c:pt>
                <c:pt idx="769">
                  <c:v>0.95123000000000002</c:v>
                </c:pt>
                <c:pt idx="770">
                  <c:v>0.95337000000000005</c:v>
                </c:pt>
                <c:pt idx="771">
                  <c:v>0.95034000000000007</c:v>
                </c:pt>
                <c:pt idx="772">
                  <c:v>0.90335999999999994</c:v>
                </c:pt>
                <c:pt idx="773">
                  <c:v>0.90206999999999993</c:v>
                </c:pt>
                <c:pt idx="774">
                  <c:v>0.85581999999999991</c:v>
                </c:pt>
                <c:pt idx="775">
                  <c:v>0.96951999999999994</c:v>
                </c:pt>
                <c:pt idx="776">
                  <c:v>0.93813999999999997</c:v>
                </c:pt>
                <c:pt idx="777">
                  <c:v>0.91966999999999999</c:v>
                </c:pt>
                <c:pt idx="778">
                  <c:v>0.91966999999999999</c:v>
                </c:pt>
                <c:pt idx="779">
                  <c:v>0.91966999999999999</c:v>
                </c:pt>
                <c:pt idx="780">
                  <c:v>0.84605000000000008</c:v>
                </c:pt>
                <c:pt idx="781">
                  <c:v>0.88683000000000012</c:v>
                </c:pt>
                <c:pt idx="782">
                  <c:v>0.98263999999999996</c:v>
                </c:pt>
                <c:pt idx="783">
                  <c:v>0.98263999999999996</c:v>
                </c:pt>
                <c:pt idx="784">
                  <c:v>1.0596099999999999</c:v>
                </c:pt>
                <c:pt idx="785">
                  <c:v>1.18163</c:v>
                </c:pt>
                <c:pt idx="786">
                  <c:v>1.0915300000000001</c:v>
                </c:pt>
                <c:pt idx="787">
                  <c:v>1.1708499999999999</c:v>
                </c:pt>
                <c:pt idx="788">
                  <c:v>1.29314</c:v>
                </c:pt>
                <c:pt idx="789">
                  <c:v>1.1384300000000001</c:v>
                </c:pt>
                <c:pt idx="790">
                  <c:v>1.1616500000000001</c:v>
                </c:pt>
                <c:pt idx="791">
                  <c:v>1.26308</c:v>
                </c:pt>
                <c:pt idx="792">
                  <c:v>1.15124</c:v>
                </c:pt>
                <c:pt idx="793">
                  <c:v>1.0922100000000001</c:v>
                </c:pt>
                <c:pt idx="794">
                  <c:v>1.1895099999999998</c:v>
                </c:pt>
                <c:pt idx="795">
                  <c:v>1.2366900000000001</c:v>
                </c:pt>
                <c:pt idx="796">
                  <c:v>1.21627</c:v>
                </c:pt>
                <c:pt idx="797">
                  <c:v>1.1224499999999999</c:v>
                </c:pt>
                <c:pt idx="798">
                  <c:v>1.1197299999999999</c:v>
                </c:pt>
                <c:pt idx="799">
                  <c:v>1.13828</c:v>
                </c:pt>
                <c:pt idx="800">
                  <c:v>1.17685</c:v>
                </c:pt>
                <c:pt idx="801">
                  <c:v>1.2196500000000001</c:v>
                </c:pt>
                <c:pt idx="802">
                  <c:v>1.04809</c:v>
                </c:pt>
                <c:pt idx="803">
                  <c:v>1.1043499999999999</c:v>
                </c:pt>
                <c:pt idx="804">
                  <c:v>1.0911</c:v>
                </c:pt>
                <c:pt idx="805">
                  <c:v>1.1716</c:v>
                </c:pt>
                <c:pt idx="806">
                  <c:v>1.1751499999999999</c:v>
                </c:pt>
                <c:pt idx="807">
                  <c:v>0.95168999999999992</c:v>
                </c:pt>
                <c:pt idx="808">
                  <c:v>0.60492000000000001</c:v>
                </c:pt>
                <c:pt idx="809">
                  <c:v>0.56847000000000003</c:v>
                </c:pt>
                <c:pt idx="810">
                  <c:v>0.55157999999999996</c:v>
                </c:pt>
                <c:pt idx="811">
                  <c:v>0.60604000000000002</c:v>
                </c:pt>
                <c:pt idx="812">
                  <c:v>0.57130999999999998</c:v>
                </c:pt>
                <c:pt idx="813">
                  <c:v>0.54323999999999995</c:v>
                </c:pt>
                <c:pt idx="814">
                  <c:v>0.47582999999999998</c:v>
                </c:pt>
                <c:pt idx="815">
                  <c:v>0.54127000000000003</c:v>
                </c:pt>
                <c:pt idx="816">
                  <c:v>0.59770999999999996</c:v>
                </c:pt>
                <c:pt idx="817">
                  <c:v>0.57325999999999999</c:v>
                </c:pt>
                <c:pt idx="818">
                  <c:v>0.57914999999999994</c:v>
                </c:pt>
                <c:pt idx="819">
                  <c:v>0.54249000000000003</c:v>
                </c:pt>
                <c:pt idx="820">
                  <c:v>0.65138000000000007</c:v>
                </c:pt>
                <c:pt idx="821">
                  <c:v>0.63578999999999997</c:v>
                </c:pt>
                <c:pt idx="822">
                  <c:v>0.49219999999999997</c:v>
                </c:pt>
                <c:pt idx="823">
                  <c:v>0.59394999999999998</c:v>
                </c:pt>
                <c:pt idx="824">
                  <c:v>0.62039</c:v>
                </c:pt>
                <c:pt idx="825">
                  <c:v>0.39689999999999998</c:v>
                </c:pt>
                <c:pt idx="826">
                  <c:v>0.45228000000000002</c:v>
                </c:pt>
                <c:pt idx="827">
                  <c:v>0.60950000000000004</c:v>
                </c:pt>
                <c:pt idx="828">
                  <c:v>0.43573000000000001</c:v>
                </c:pt>
                <c:pt idx="829">
                  <c:v>0.53073000000000004</c:v>
                </c:pt>
                <c:pt idx="830">
                  <c:v>0.49093000000000003</c:v>
                </c:pt>
                <c:pt idx="831">
                  <c:v>0.57255</c:v>
                </c:pt>
                <c:pt idx="832">
                  <c:v>0.86540000000000006</c:v>
                </c:pt>
                <c:pt idx="833">
                  <c:v>1.34602</c:v>
                </c:pt>
                <c:pt idx="834">
                  <c:v>1.2698</c:v>
                </c:pt>
                <c:pt idx="835">
                  <c:v>1.48525</c:v>
                </c:pt>
                <c:pt idx="836">
                  <c:v>1.3972</c:v>
                </c:pt>
                <c:pt idx="837">
                  <c:v>1.7409800000000002</c:v>
                </c:pt>
                <c:pt idx="838">
                  <c:v>1.51301</c:v>
                </c:pt>
                <c:pt idx="839">
                  <c:v>1.28304</c:v>
                </c:pt>
                <c:pt idx="840">
                  <c:v>1.4478499999999999</c:v>
                </c:pt>
                <c:pt idx="841">
                  <c:v>1.5669900000000001</c:v>
                </c:pt>
                <c:pt idx="842">
                  <c:v>1.80844</c:v>
                </c:pt>
                <c:pt idx="843">
                  <c:v>1.4773500000000002</c:v>
                </c:pt>
                <c:pt idx="844">
                  <c:v>1.4965999999999999</c:v>
                </c:pt>
                <c:pt idx="845">
                  <c:v>1.44913</c:v>
                </c:pt>
                <c:pt idx="846">
                  <c:v>1.4450999999999998</c:v>
                </c:pt>
                <c:pt idx="847">
                  <c:v>1.4654199999999999</c:v>
                </c:pt>
                <c:pt idx="848">
                  <c:v>1.5115000000000001</c:v>
                </c:pt>
                <c:pt idx="849">
                  <c:v>1.55846</c:v>
                </c:pt>
                <c:pt idx="850">
                  <c:v>1.67435</c:v>
                </c:pt>
                <c:pt idx="851">
                  <c:v>1.5345</c:v>
                </c:pt>
                <c:pt idx="852">
                  <c:v>1.5345</c:v>
                </c:pt>
                <c:pt idx="853">
                  <c:v>1.5345</c:v>
                </c:pt>
                <c:pt idx="854">
                  <c:v>1.3718199999999998</c:v>
                </c:pt>
                <c:pt idx="855">
                  <c:v>1.4428899999999998</c:v>
                </c:pt>
                <c:pt idx="856">
                  <c:v>1.3894499999999999</c:v>
                </c:pt>
                <c:pt idx="857">
                  <c:v>1.3283199999999999</c:v>
                </c:pt>
                <c:pt idx="858">
                  <c:v>1.31298</c:v>
                </c:pt>
                <c:pt idx="859">
                  <c:v>1.20201</c:v>
                </c:pt>
                <c:pt idx="860">
                  <c:v>1.1262399999999999</c:v>
                </c:pt>
                <c:pt idx="861">
                  <c:v>1.27034</c:v>
                </c:pt>
                <c:pt idx="862">
                  <c:v>1.26875</c:v>
                </c:pt>
                <c:pt idx="863">
                  <c:v>1.3007300000000002</c:v>
                </c:pt>
                <c:pt idx="864">
                  <c:v>1.4290399999999999</c:v>
                </c:pt>
                <c:pt idx="865">
                  <c:v>1.3902600000000001</c:v>
                </c:pt>
                <c:pt idx="866">
                  <c:v>1.42639</c:v>
                </c:pt>
                <c:pt idx="867">
                  <c:v>1.27467</c:v>
                </c:pt>
                <c:pt idx="868">
                  <c:v>1.27467</c:v>
                </c:pt>
                <c:pt idx="869">
                  <c:v>1.431</c:v>
                </c:pt>
                <c:pt idx="870">
                  <c:v>1.43228</c:v>
                </c:pt>
                <c:pt idx="871">
                  <c:v>1.6207499999999999</c:v>
                </c:pt>
                <c:pt idx="872">
                  <c:v>1.5214500000000002</c:v>
                </c:pt>
                <c:pt idx="873">
                  <c:v>1.5214500000000002</c:v>
                </c:pt>
                <c:pt idx="874">
                  <c:v>1.4772000000000001</c:v>
                </c:pt>
                <c:pt idx="875">
                  <c:v>1.7360200000000001</c:v>
                </c:pt>
                <c:pt idx="876">
                  <c:v>1.79966</c:v>
                </c:pt>
                <c:pt idx="877">
                  <c:v>1.6247900000000002</c:v>
                </c:pt>
                <c:pt idx="878">
                  <c:v>1.6356700000000002</c:v>
                </c:pt>
                <c:pt idx="879">
                  <c:v>1.6062700000000001</c:v>
                </c:pt>
                <c:pt idx="880">
                  <c:v>1.51254</c:v>
                </c:pt>
                <c:pt idx="881">
                  <c:v>1.50431</c:v>
                </c:pt>
                <c:pt idx="882">
                  <c:v>1.43909</c:v>
                </c:pt>
                <c:pt idx="883">
                  <c:v>1.4897999999999998</c:v>
                </c:pt>
                <c:pt idx="884">
                  <c:v>1.4581200000000001</c:v>
                </c:pt>
                <c:pt idx="885">
                  <c:v>1.4441900000000001</c:v>
                </c:pt>
                <c:pt idx="886">
                  <c:v>1.3064199999999999</c:v>
                </c:pt>
                <c:pt idx="887">
                  <c:v>1.30383</c:v>
                </c:pt>
                <c:pt idx="888">
                  <c:v>1.30383</c:v>
                </c:pt>
                <c:pt idx="889">
                  <c:v>1.4901</c:v>
                </c:pt>
                <c:pt idx="890">
                  <c:v>1.5400299999999998</c:v>
                </c:pt>
                <c:pt idx="891">
                  <c:v>1.57772</c:v>
                </c:pt>
                <c:pt idx="892">
                  <c:v>1.42482</c:v>
                </c:pt>
                <c:pt idx="893">
                  <c:v>1.5707800000000001</c:v>
                </c:pt>
                <c:pt idx="894">
                  <c:v>1.4641999999999999</c:v>
                </c:pt>
                <c:pt idx="895">
                  <c:v>1.52746</c:v>
                </c:pt>
                <c:pt idx="896">
                  <c:v>1.3853800000000001</c:v>
                </c:pt>
                <c:pt idx="897">
                  <c:v>1.39764</c:v>
                </c:pt>
                <c:pt idx="898">
                  <c:v>1.3791100000000001</c:v>
                </c:pt>
                <c:pt idx="899">
                  <c:v>1.4379400000000002</c:v>
                </c:pt>
                <c:pt idx="900">
                  <c:v>1.2799800000000001</c:v>
                </c:pt>
                <c:pt idx="901">
                  <c:v>1.50545</c:v>
                </c:pt>
                <c:pt idx="902">
                  <c:v>1.48041</c:v>
                </c:pt>
                <c:pt idx="903">
                  <c:v>1.4673099999999999</c:v>
                </c:pt>
                <c:pt idx="904">
                  <c:v>1.44062</c:v>
                </c:pt>
                <c:pt idx="905">
                  <c:v>1.3654400000000002</c:v>
                </c:pt>
                <c:pt idx="906">
                  <c:v>1.27986</c:v>
                </c:pt>
                <c:pt idx="907">
                  <c:v>1.4833600000000002</c:v>
                </c:pt>
                <c:pt idx="908">
                  <c:v>1.4329499999999999</c:v>
                </c:pt>
                <c:pt idx="909">
                  <c:v>1.1958299999999999</c:v>
                </c:pt>
                <c:pt idx="910">
                  <c:v>1.2412300000000001</c:v>
                </c:pt>
                <c:pt idx="911">
                  <c:v>1.1078300000000001</c:v>
                </c:pt>
                <c:pt idx="912">
                  <c:v>1.15723</c:v>
                </c:pt>
                <c:pt idx="913">
                  <c:v>1.0974699999999999</c:v>
                </c:pt>
                <c:pt idx="914">
                  <c:v>1.1805300000000001</c:v>
                </c:pt>
                <c:pt idx="915">
                  <c:v>1.38266</c:v>
                </c:pt>
                <c:pt idx="916">
                  <c:v>1.64628</c:v>
                </c:pt>
                <c:pt idx="917">
                  <c:v>1.7207400000000002</c:v>
                </c:pt>
                <c:pt idx="918">
                  <c:v>1.80203</c:v>
                </c:pt>
                <c:pt idx="919">
                  <c:v>1.7527299999999999</c:v>
                </c:pt>
                <c:pt idx="920">
                  <c:v>1.76084</c:v>
                </c:pt>
                <c:pt idx="921">
                  <c:v>1.93536</c:v>
                </c:pt>
                <c:pt idx="922">
                  <c:v>1.6990299999999998</c:v>
                </c:pt>
                <c:pt idx="923">
                  <c:v>1.7087999999999999</c:v>
                </c:pt>
                <c:pt idx="924">
                  <c:v>1.7047300000000001</c:v>
                </c:pt>
                <c:pt idx="925">
                  <c:v>1.70842</c:v>
                </c:pt>
                <c:pt idx="926">
                  <c:v>1.6082099999999999</c:v>
                </c:pt>
                <c:pt idx="927">
                  <c:v>1.6441600000000001</c:v>
                </c:pt>
                <c:pt idx="928">
                  <c:v>1.7538200000000002</c:v>
                </c:pt>
                <c:pt idx="929">
                  <c:v>1.5285300000000002</c:v>
                </c:pt>
                <c:pt idx="930">
                  <c:v>1.6151</c:v>
                </c:pt>
                <c:pt idx="931">
                  <c:v>1.6584200000000002</c:v>
                </c:pt>
                <c:pt idx="932">
                  <c:v>1.57572</c:v>
                </c:pt>
                <c:pt idx="933">
                  <c:v>1.5937799999999998</c:v>
                </c:pt>
                <c:pt idx="934">
                  <c:v>1.6993799999999999</c:v>
                </c:pt>
                <c:pt idx="935">
                  <c:v>1.6932800000000001</c:v>
                </c:pt>
                <c:pt idx="936">
                  <c:v>2.0588500000000001</c:v>
                </c:pt>
                <c:pt idx="937">
                  <c:v>2.02616</c:v>
                </c:pt>
                <c:pt idx="938">
                  <c:v>2.13984</c:v>
                </c:pt>
                <c:pt idx="939">
                  <c:v>2.1803599999999999</c:v>
                </c:pt>
                <c:pt idx="940">
                  <c:v>2.1372200000000001</c:v>
                </c:pt>
                <c:pt idx="941">
                  <c:v>2.1213199999999999</c:v>
                </c:pt>
                <c:pt idx="942">
                  <c:v>2.1264099999999999</c:v>
                </c:pt>
                <c:pt idx="943">
                  <c:v>1.92422</c:v>
                </c:pt>
                <c:pt idx="944">
                  <c:v>1.9909399999999999</c:v>
                </c:pt>
                <c:pt idx="945">
                  <c:v>1.9563900000000001</c:v>
                </c:pt>
                <c:pt idx="946">
                  <c:v>2.0133899999999998</c:v>
                </c:pt>
                <c:pt idx="947">
                  <c:v>2.0812200000000001</c:v>
                </c:pt>
                <c:pt idx="948">
                  <c:v>2.2430400000000001</c:v>
                </c:pt>
                <c:pt idx="949">
                  <c:v>2.0329600000000001</c:v>
                </c:pt>
                <c:pt idx="950">
                  <c:v>2.04541</c:v>
                </c:pt>
                <c:pt idx="951">
                  <c:v>1.9386300000000001</c:v>
                </c:pt>
                <c:pt idx="952">
                  <c:v>1.7844900000000001</c:v>
                </c:pt>
                <c:pt idx="953">
                  <c:v>1.7844900000000001</c:v>
                </c:pt>
                <c:pt idx="954">
                  <c:v>1.6711199999999999</c:v>
                </c:pt>
                <c:pt idx="955">
                  <c:v>1.7795699999999999</c:v>
                </c:pt>
                <c:pt idx="956">
                  <c:v>1.6777199999999999</c:v>
                </c:pt>
                <c:pt idx="957">
                  <c:v>1.7625</c:v>
                </c:pt>
                <c:pt idx="958">
                  <c:v>1.6806299999999998</c:v>
                </c:pt>
                <c:pt idx="959">
                  <c:v>1.7925899999999999</c:v>
                </c:pt>
                <c:pt idx="960">
                  <c:v>1.6473100000000001</c:v>
                </c:pt>
                <c:pt idx="961">
                  <c:v>1.8553999999999999</c:v>
                </c:pt>
                <c:pt idx="962">
                  <c:v>1.84477</c:v>
                </c:pt>
                <c:pt idx="963">
                  <c:v>1.7918799999999999</c:v>
                </c:pt>
                <c:pt idx="964">
                  <c:v>1.9675299999999998</c:v>
                </c:pt>
                <c:pt idx="965">
                  <c:v>2.1269499999999999</c:v>
                </c:pt>
                <c:pt idx="966">
                  <c:v>2.0118100000000001</c:v>
                </c:pt>
                <c:pt idx="967">
                  <c:v>1.9528100000000002</c:v>
                </c:pt>
                <c:pt idx="968">
                  <c:v>1.86121</c:v>
                </c:pt>
                <c:pt idx="969">
                  <c:v>2.1675599999999999</c:v>
                </c:pt>
                <c:pt idx="970">
                  <c:v>1.7095799999999999</c:v>
                </c:pt>
                <c:pt idx="971">
                  <c:v>2.0099</c:v>
                </c:pt>
                <c:pt idx="972">
                  <c:v>1.8796700000000002</c:v>
                </c:pt>
                <c:pt idx="973">
                  <c:v>1.9446299999999999</c:v>
                </c:pt>
                <c:pt idx="974">
                  <c:v>2.1117599999999999</c:v>
                </c:pt>
                <c:pt idx="975">
                  <c:v>1.9954400000000001</c:v>
                </c:pt>
                <c:pt idx="976">
                  <c:v>2.20058</c:v>
                </c:pt>
                <c:pt idx="977">
                  <c:v>2.2996600000000003</c:v>
                </c:pt>
                <c:pt idx="978">
                  <c:v>2.4749600000000003</c:v>
                </c:pt>
                <c:pt idx="979">
                  <c:v>2.6202699999999997</c:v>
                </c:pt>
                <c:pt idx="980">
                  <c:v>2.9851299999999998</c:v>
                </c:pt>
                <c:pt idx="981">
                  <c:v>2.7057100000000003</c:v>
                </c:pt>
                <c:pt idx="982">
                  <c:v>2.6040100000000002</c:v>
                </c:pt>
                <c:pt idx="983">
                  <c:v>2.6040100000000002</c:v>
                </c:pt>
                <c:pt idx="984">
                  <c:v>2.6660399999999997</c:v>
                </c:pt>
                <c:pt idx="985">
                  <c:v>2.66092</c:v>
                </c:pt>
                <c:pt idx="986">
                  <c:v>2.5570900000000001</c:v>
                </c:pt>
                <c:pt idx="987">
                  <c:v>2.4255399999999998</c:v>
                </c:pt>
                <c:pt idx="988">
                  <c:v>2.7623099999999998</c:v>
                </c:pt>
                <c:pt idx="989">
                  <c:v>2.6919499999999998</c:v>
                </c:pt>
                <c:pt idx="990">
                  <c:v>2.71075</c:v>
                </c:pt>
                <c:pt idx="991">
                  <c:v>2.4444699999999999</c:v>
                </c:pt>
                <c:pt idx="992">
                  <c:v>2.2618799999999997</c:v>
                </c:pt>
                <c:pt idx="993">
                  <c:v>2.2859800000000003</c:v>
                </c:pt>
                <c:pt idx="994">
                  <c:v>2.3914300000000002</c:v>
                </c:pt>
                <c:pt idx="995">
                  <c:v>2.1886399999999999</c:v>
                </c:pt>
                <c:pt idx="996">
                  <c:v>2.4179900000000001</c:v>
                </c:pt>
                <c:pt idx="997">
                  <c:v>2.3871899999999999</c:v>
                </c:pt>
                <c:pt idx="998">
                  <c:v>2.3662000000000001</c:v>
                </c:pt>
                <c:pt idx="999">
                  <c:v>2.3332299999999999</c:v>
                </c:pt>
                <c:pt idx="1000">
                  <c:v>2.49647</c:v>
                </c:pt>
                <c:pt idx="1001">
                  <c:v>2.02982</c:v>
                </c:pt>
                <c:pt idx="1002">
                  <c:v>2.0161899999999999</c:v>
                </c:pt>
                <c:pt idx="1003">
                  <c:v>1.7198099999999998</c:v>
                </c:pt>
                <c:pt idx="1004">
                  <c:v>1.92564</c:v>
                </c:pt>
                <c:pt idx="1005">
                  <c:v>2.1441999999999997</c:v>
                </c:pt>
                <c:pt idx="1006">
                  <c:v>1.92066</c:v>
                </c:pt>
                <c:pt idx="1007">
                  <c:v>1.8803000000000001</c:v>
                </c:pt>
                <c:pt idx="1008">
                  <c:v>2.0232200000000002</c:v>
                </c:pt>
                <c:pt idx="1009">
                  <c:v>2.3256299999999999</c:v>
                </c:pt>
                <c:pt idx="1010">
                  <c:v>2.2091099999999999</c:v>
                </c:pt>
                <c:pt idx="1011">
                  <c:v>2.3002600000000002</c:v>
                </c:pt>
                <c:pt idx="1012">
                  <c:v>2.16866</c:v>
                </c:pt>
                <c:pt idx="1013">
                  <c:v>2.2374700000000001</c:v>
                </c:pt>
                <c:pt idx="1014">
                  <c:v>1.72567</c:v>
                </c:pt>
                <c:pt idx="1015">
                  <c:v>1.42641</c:v>
                </c:pt>
                <c:pt idx="1016">
                  <c:v>1.42641</c:v>
                </c:pt>
                <c:pt idx="1017">
                  <c:v>1.88317</c:v>
                </c:pt>
                <c:pt idx="1018">
                  <c:v>1.82518</c:v>
                </c:pt>
                <c:pt idx="1019">
                  <c:v>1.8428100000000001</c:v>
                </c:pt>
                <c:pt idx="1020">
                  <c:v>1.4394300000000002</c:v>
                </c:pt>
                <c:pt idx="1021">
                  <c:v>1.42357</c:v>
                </c:pt>
                <c:pt idx="1022">
                  <c:v>0.99507999999999996</c:v>
                </c:pt>
                <c:pt idx="1023">
                  <c:v>1.37608</c:v>
                </c:pt>
                <c:pt idx="1024">
                  <c:v>1.0131999999999999</c:v>
                </c:pt>
                <c:pt idx="1025">
                  <c:v>1.1025400000000001</c:v>
                </c:pt>
                <c:pt idx="1026">
                  <c:v>1.3104</c:v>
                </c:pt>
                <c:pt idx="1027">
                  <c:v>1.15069</c:v>
                </c:pt>
                <c:pt idx="1028">
                  <c:v>1.14045</c:v>
                </c:pt>
                <c:pt idx="1029">
                  <c:v>1.2601199999999999</c:v>
                </c:pt>
                <c:pt idx="1030">
                  <c:v>1.41344</c:v>
                </c:pt>
                <c:pt idx="1031">
                  <c:v>1.31385</c:v>
                </c:pt>
                <c:pt idx="1032">
                  <c:v>1.6042799999999999</c:v>
                </c:pt>
                <c:pt idx="1033">
                  <c:v>1.31196</c:v>
                </c:pt>
                <c:pt idx="1034">
                  <c:v>1.2952900000000001</c:v>
                </c:pt>
                <c:pt idx="1035">
                  <c:v>1.3275800000000002</c:v>
                </c:pt>
                <c:pt idx="1036">
                  <c:v>1.47306</c:v>
                </c:pt>
                <c:pt idx="1037">
                  <c:v>1.5701400000000001</c:v>
                </c:pt>
                <c:pt idx="1038">
                  <c:v>1.5701400000000001</c:v>
                </c:pt>
                <c:pt idx="1039">
                  <c:v>1.5701400000000001</c:v>
                </c:pt>
                <c:pt idx="1040">
                  <c:v>1.5705099999999999</c:v>
                </c:pt>
                <c:pt idx="1041">
                  <c:v>1.5878700000000001</c:v>
                </c:pt>
                <c:pt idx="1042">
                  <c:v>1.7047700000000001</c:v>
                </c:pt>
                <c:pt idx="1043">
                  <c:v>1.7047700000000001</c:v>
                </c:pt>
                <c:pt idx="1044">
                  <c:v>0.56213000000000002</c:v>
                </c:pt>
                <c:pt idx="1045">
                  <c:v>0.57891000000000004</c:v>
                </c:pt>
                <c:pt idx="1046">
                  <c:v>0.94492999999999994</c:v>
                </c:pt>
                <c:pt idx="1047">
                  <c:v>0.97260999999999997</c:v>
                </c:pt>
                <c:pt idx="1048">
                  <c:v>1.0419799999999999</c:v>
                </c:pt>
                <c:pt idx="1049">
                  <c:v>0.64239999999999997</c:v>
                </c:pt>
                <c:pt idx="1050">
                  <c:v>1.0492900000000001</c:v>
                </c:pt>
                <c:pt idx="1051">
                  <c:v>1.1113500000000001</c:v>
                </c:pt>
                <c:pt idx="1052">
                  <c:v>0.86246999999999996</c:v>
                </c:pt>
                <c:pt idx="1053">
                  <c:v>0.86246999999999996</c:v>
                </c:pt>
                <c:pt idx="1054">
                  <c:v>0.74337000000000009</c:v>
                </c:pt>
                <c:pt idx="1055">
                  <c:v>1.14775</c:v>
                </c:pt>
                <c:pt idx="1056">
                  <c:v>1.2504500000000001</c:v>
                </c:pt>
                <c:pt idx="1057">
                  <c:v>1.2504500000000001</c:v>
                </c:pt>
                <c:pt idx="1058">
                  <c:v>0.97489999999999999</c:v>
                </c:pt>
                <c:pt idx="1059">
                  <c:v>0.97489999999999999</c:v>
                </c:pt>
                <c:pt idx="1060">
                  <c:v>0.63098999999999994</c:v>
                </c:pt>
                <c:pt idx="1061">
                  <c:v>1.5549799999999998</c:v>
                </c:pt>
                <c:pt idx="1062">
                  <c:v>1.5549799999999998</c:v>
                </c:pt>
                <c:pt idx="1063">
                  <c:v>1.1581300000000001</c:v>
                </c:pt>
                <c:pt idx="1064">
                  <c:v>1.1857599999999999</c:v>
                </c:pt>
                <c:pt idx="1065">
                  <c:v>0.81528999999999996</c:v>
                </c:pt>
                <c:pt idx="1066">
                  <c:v>0.93980999999999992</c:v>
                </c:pt>
                <c:pt idx="1067">
                  <c:v>1.3437299999999999</c:v>
                </c:pt>
                <c:pt idx="1068">
                  <c:v>0.94994000000000001</c:v>
                </c:pt>
                <c:pt idx="1069">
                  <c:v>1.40493</c:v>
                </c:pt>
                <c:pt idx="1070">
                  <c:v>0.99956999999999996</c:v>
                </c:pt>
                <c:pt idx="1071">
                  <c:v>1.09657</c:v>
                </c:pt>
                <c:pt idx="1072">
                  <c:v>1.1479000000000001</c:v>
                </c:pt>
                <c:pt idx="1073">
                  <c:v>1.1899</c:v>
                </c:pt>
                <c:pt idx="1074">
                  <c:v>1.22925</c:v>
                </c:pt>
                <c:pt idx="1075">
                  <c:v>1.2943</c:v>
                </c:pt>
                <c:pt idx="1076">
                  <c:v>1.5080199999999999</c:v>
                </c:pt>
                <c:pt idx="1077">
                  <c:v>1.64395</c:v>
                </c:pt>
                <c:pt idx="1078">
                  <c:v>1.64395</c:v>
                </c:pt>
                <c:pt idx="1079">
                  <c:v>2.2646600000000001</c:v>
                </c:pt>
                <c:pt idx="1080">
                  <c:v>2.23028</c:v>
                </c:pt>
                <c:pt idx="1081">
                  <c:v>2.8485700000000005</c:v>
                </c:pt>
                <c:pt idx="1082">
                  <c:v>2.9958900000000002</c:v>
                </c:pt>
                <c:pt idx="1083">
                  <c:v>2.7463099999999998</c:v>
                </c:pt>
                <c:pt idx="1084">
                  <c:v>2.78322</c:v>
                </c:pt>
                <c:pt idx="1085">
                  <c:v>2.6947899999999998</c:v>
                </c:pt>
                <c:pt idx="1086">
                  <c:v>3.7540399999999998</c:v>
                </c:pt>
                <c:pt idx="1087">
                  <c:v>5.2751700000000001</c:v>
                </c:pt>
                <c:pt idx="1088">
                  <c:v>3.7371600000000003</c:v>
                </c:pt>
                <c:pt idx="1089">
                  <c:v>4.7478800000000003</c:v>
                </c:pt>
                <c:pt idx="1090">
                  <c:v>4.4011900000000006</c:v>
                </c:pt>
                <c:pt idx="1091">
                  <c:v>7.2010199999999998</c:v>
                </c:pt>
                <c:pt idx="1092">
                  <c:v>7.7235400000000007</c:v>
                </c:pt>
                <c:pt idx="1093">
                  <c:v>8.2414500000000004</c:v>
                </c:pt>
                <c:pt idx="1094">
                  <c:v>7.79948</c:v>
                </c:pt>
                <c:pt idx="1095">
                  <c:v>9.7905200000000008</c:v>
                </c:pt>
                <c:pt idx="1096">
                  <c:v>12.003130000000001</c:v>
                </c:pt>
                <c:pt idx="1097">
                  <c:v>8.9757400000000001</c:v>
                </c:pt>
                <c:pt idx="1098">
                  <c:v>-2.2946800000000001</c:v>
                </c:pt>
                <c:pt idx="1099">
                  <c:v>-2.2946800000000001</c:v>
                </c:pt>
                <c:pt idx="1100">
                  <c:v>-2.2946800000000001</c:v>
                </c:pt>
                <c:pt idx="1101">
                  <c:v>-2.2946800000000001</c:v>
                </c:pt>
                <c:pt idx="1102">
                  <c:v>-2.2946800000000001</c:v>
                </c:pt>
                <c:pt idx="1103">
                  <c:v>-2.2946800000000001</c:v>
                </c:pt>
                <c:pt idx="1104">
                  <c:v>-2.2946800000000001</c:v>
                </c:pt>
                <c:pt idx="1105">
                  <c:v>-2.2946800000000001</c:v>
                </c:pt>
                <c:pt idx="1106">
                  <c:v>-2.2946800000000001</c:v>
                </c:pt>
                <c:pt idx="1107">
                  <c:v>-2.2946800000000001</c:v>
                </c:pt>
                <c:pt idx="1108">
                  <c:v>-2.2946800000000001</c:v>
                </c:pt>
                <c:pt idx="1109">
                  <c:v>-2.2946800000000001</c:v>
                </c:pt>
                <c:pt idx="1110">
                  <c:v>-2.2946800000000001</c:v>
                </c:pt>
                <c:pt idx="1111">
                  <c:v>-2.2946800000000001</c:v>
                </c:pt>
                <c:pt idx="1112">
                  <c:v>-2.2946800000000001</c:v>
                </c:pt>
                <c:pt idx="1113">
                  <c:v>-2.2946800000000001</c:v>
                </c:pt>
                <c:pt idx="1114">
                  <c:v>-2.2946800000000001</c:v>
                </c:pt>
                <c:pt idx="1115">
                  <c:v>-2.2946800000000001</c:v>
                </c:pt>
                <c:pt idx="1116">
                  <c:v>-2.2946800000000001</c:v>
                </c:pt>
                <c:pt idx="1117">
                  <c:v>-2.2946800000000001</c:v>
                </c:pt>
                <c:pt idx="1118">
                  <c:v>-2.2946800000000001</c:v>
                </c:pt>
                <c:pt idx="1119">
                  <c:v>-2.2946800000000001</c:v>
                </c:pt>
                <c:pt idx="1120">
                  <c:v>-2.2946800000000001</c:v>
                </c:pt>
                <c:pt idx="1121">
                  <c:v>-2.2946800000000001</c:v>
                </c:pt>
                <c:pt idx="1122">
                  <c:v>-2.2946800000000001</c:v>
                </c:pt>
                <c:pt idx="1123">
                  <c:v>-2.2946800000000001</c:v>
                </c:pt>
                <c:pt idx="1124">
                  <c:v>-2.2946800000000001</c:v>
                </c:pt>
                <c:pt idx="1125">
                  <c:v>-2.2946800000000001</c:v>
                </c:pt>
                <c:pt idx="1126">
                  <c:v>-2.2946800000000001</c:v>
                </c:pt>
                <c:pt idx="1127">
                  <c:v>-2.2946800000000001</c:v>
                </c:pt>
                <c:pt idx="1128">
                  <c:v>-2.2946800000000001</c:v>
                </c:pt>
                <c:pt idx="1129">
                  <c:v>-2.2946800000000001</c:v>
                </c:pt>
                <c:pt idx="1130">
                  <c:v>-2.2946800000000001</c:v>
                </c:pt>
                <c:pt idx="1131">
                  <c:v>-2.2946800000000001</c:v>
                </c:pt>
                <c:pt idx="1132">
                  <c:v>-2.2946800000000001</c:v>
                </c:pt>
                <c:pt idx="1133">
                  <c:v>-2.2946800000000001</c:v>
                </c:pt>
                <c:pt idx="1134">
                  <c:v>-2.2946800000000001</c:v>
                </c:pt>
                <c:pt idx="1135">
                  <c:v>-2.2946800000000001</c:v>
                </c:pt>
                <c:pt idx="1136">
                  <c:v>-2.2946800000000001</c:v>
                </c:pt>
                <c:pt idx="1137">
                  <c:v>-2.2946800000000001</c:v>
                </c:pt>
                <c:pt idx="1138">
                  <c:v>-2.2946800000000001</c:v>
                </c:pt>
                <c:pt idx="1139">
                  <c:v>-2.2946800000000001</c:v>
                </c:pt>
                <c:pt idx="1140">
                  <c:v>-2.2946800000000001</c:v>
                </c:pt>
                <c:pt idx="1141">
                  <c:v>-2.2946800000000001</c:v>
                </c:pt>
                <c:pt idx="1142">
                  <c:v>-2.2946800000000001</c:v>
                </c:pt>
                <c:pt idx="1143">
                  <c:v>-2.2946800000000001</c:v>
                </c:pt>
                <c:pt idx="1144">
                  <c:v>-2.2946800000000001</c:v>
                </c:pt>
                <c:pt idx="1145">
                  <c:v>-2.2946800000000001</c:v>
                </c:pt>
                <c:pt idx="1146">
                  <c:v>-2.2946800000000001</c:v>
                </c:pt>
                <c:pt idx="1147">
                  <c:v>-2.2946800000000001</c:v>
                </c:pt>
                <c:pt idx="1148">
                  <c:v>-2.2946800000000001</c:v>
                </c:pt>
                <c:pt idx="1149">
                  <c:v>-2.2946800000000001</c:v>
                </c:pt>
                <c:pt idx="1150">
                  <c:v>-2.2946800000000001</c:v>
                </c:pt>
                <c:pt idx="1151">
                  <c:v>-2.2946800000000001</c:v>
                </c:pt>
                <c:pt idx="1152">
                  <c:v>-2.2946800000000001</c:v>
                </c:pt>
                <c:pt idx="1153">
                  <c:v>-2.2946800000000001</c:v>
                </c:pt>
                <c:pt idx="1154">
                  <c:v>-2.2946800000000001</c:v>
                </c:pt>
                <c:pt idx="1155">
                  <c:v>-2.2946800000000001</c:v>
                </c:pt>
                <c:pt idx="1156">
                  <c:v>-2.2946800000000001</c:v>
                </c:pt>
                <c:pt idx="1157">
                  <c:v>-2.2946800000000001</c:v>
                </c:pt>
                <c:pt idx="1158">
                  <c:v>-2.2946800000000001</c:v>
                </c:pt>
                <c:pt idx="1159">
                  <c:v>-2.2946800000000001</c:v>
                </c:pt>
                <c:pt idx="1160">
                  <c:v>-2.2946800000000001</c:v>
                </c:pt>
                <c:pt idx="1161">
                  <c:v>-2.2946800000000001</c:v>
                </c:pt>
                <c:pt idx="1162">
                  <c:v>-2.2946800000000001</c:v>
                </c:pt>
                <c:pt idx="1163">
                  <c:v>-2.2946800000000001</c:v>
                </c:pt>
                <c:pt idx="1164">
                  <c:v>-2.2946800000000001</c:v>
                </c:pt>
              </c:numCache>
            </c:numRef>
          </c:val>
          <c:smooth val="0"/>
          <c:extLst>
            <c:ext xmlns:c16="http://schemas.microsoft.com/office/drawing/2014/chart" uri="{C3380CC4-5D6E-409C-BE32-E72D297353CC}">
              <c16:uniqueId val="{00000003-5560-4D07-B97F-4AA9E95DFDA5}"/>
            </c:ext>
          </c:extLst>
        </c:ser>
        <c:ser>
          <c:idx val="8"/>
          <c:order val="8"/>
          <c:tx>
            <c:strRef>
              <c:f>Sheet1!$J$1</c:f>
              <c:strCache>
                <c:ptCount val="1"/>
                <c:pt idx="0">
                  <c:v>Թուրքիա (2030թ.)</c:v>
                </c:pt>
              </c:strCache>
            </c:strRef>
          </c:tx>
          <c:spPr>
            <a:ln w="19050" cap="rnd">
              <a:solidFill>
                <a:schemeClr val="accent3">
                  <a:lumMod val="60000"/>
                </a:schemeClr>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Sheet1!$J$2:$J$1428</c:f>
              <c:numCache>
                <c:formatCode>0</c:formatCode>
                <c:ptCount val="1166"/>
                <c:pt idx="0">
                  <c:v>4.1417299999999999</c:v>
                </c:pt>
                <c:pt idx="1">
                  <c:v>4.0909199999999997</c:v>
                </c:pt>
                <c:pt idx="2">
                  <c:v>4.23231</c:v>
                </c:pt>
                <c:pt idx="3">
                  <c:v>4.2595000000000001</c:v>
                </c:pt>
                <c:pt idx="4">
                  <c:v>4.1876600000000002</c:v>
                </c:pt>
                <c:pt idx="5">
                  <c:v>4.0993500000000003</c:v>
                </c:pt>
                <c:pt idx="6">
                  <c:v>4.0383999999999993</c:v>
                </c:pt>
                <c:pt idx="7">
                  <c:v>4.0951300000000002</c:v>
                </c:pt>
                <c:pt idx="8">
                  <c:v>4.0040100000000001</c:v>
                </c:pt>
                <c:pt idx="9">
                  <c:v>3.9512099999999997</c:v>
                </c:pt>
                <c:pt idx="10">
                  <c:v>3.8744000000000001</c:v>
                </c:pt>
                <c:pt idx="11">
                  <c:v>3.8711000000000002</c:v>
                </c:pt>
                <c:pt idx="12">
                  <c:v>3.8580399999999999</c:v>
                </c:pt>
                <c:pt idx="13">
                  <c:v>3.8689100000000001</c:v>
                </c:pt>
                <c:pt idx="14">
                  <c:v>3.9017700000000004</c:v>
                </c:pt>
                <c:pt idx="15">
                  <c:v>3.8271499999999996</c:v>
                </c:pt>
                <c:pt idx="16">
                  <c:v>3.8307100000000003</c:v>
                </c:pt>
                <c:pt idx="17">
                  <c:v>3.8473899999999999</c:v>
                </c:pt>
                <c:pt idx="18">
                  <c:v>3.9666399999999999</c:v>
                </c:pt>
                <c:pt idx="19">
                  <c:v>3.8711599999999997</c:v>
                </c:pt>
                <c:pt idx="20">
                  <c:v>3.86293</c:v>
                </c:pt>
                <c:pt idx="21">
                  <c:v>3.92204</c:v>
                </c:pt>
                <c:pt idx="22">
                  <c:v>3.8813799999999996</c:v>
                </c:pt>
                <c:pt idx="23">
                  <c:v>3.92225</c:v>
                </c:pt>
                <c:pt idx="24">
                  <c:v>3.8558999999999997</c:v>
                </c:pt>
                <c:pt idx="25">
                  <c:v>3.8080500000000002</c:v>
                </c:pt>
                <c:pt idx="26">
                  <c:v>3.7781000000000002</c:v>
                </c:pt>
                <c:pt idx="27">
                  <c:v>3.9854799999999999</c:v>
                </c:pt>
                <c:pt idx="28">
                  <c:v>4.22485</c:v>
                </c:pt>
                <c:pt idx="29">
                  <c:v>4.1122399999999999</c:v>
                </c:pt>
                <c:pt idx="30">
                  <c:v>4.0239700000000003</c:v>
                </c:pt>
                <c:pt idx="31">
                  <c:v>4.04115</c:v>
                </c:pt>
                <c:pt idx="32">
                  <c:v>4.0489899999999999</c:v>
                </c:pt>
                <c:pt idx="33">
                  <c:v>4.0396000000000001</c:v>
                </c:pt>
                <c:pt idx="34">
                  <c:v>4.0714899999999998</c:v>
                </c:pt>
                <c:pt idx="35">
                  <c:v>4.1177099999999998</c:v>
                </c:pt>
                <c:pt idx="36">
                  <c:v>4.33962</c:v>
                </c:pt>
                <c:pt idx="37">
                  <c:v>4.3004500000000005</c:v>
                </c:pt>
                <c:pt idx="38">
                  <c:v>4.5122900000000001</c:v>
                </c:pt>
                <c:pt idx="39">
                  <c:v>4.5671900000000001</c:v>
                </c:pt>
                <c:pt idx="40">
                  <c:v>4.5598200000000002</c:v>
                </c:pt>
                <c:pt idx="41">
                  <c:v>4.8471099999999998</c:v>
                </c:pt>
                <c:pt idx="42">
                  <c:v>5.3716900000000001</c:v>
                </c:pt>
                <c:pt idx="43">
                  <c:v>5.2293700000000003</c:v>
                </c:pt>
                <c:pt idx="44">
                  <c:v>4.9679199999999994</c:v>
                </c:pt>
                <c:pt idx="45">
                  <c:v>4.8306300000000002</c:v>
                </c:pt>
                <c:pt idx="46">
                  <c:v>4.9259300000000001</c:v>
                </c:pt>
                <c:pt idx="47">
                  <c:v>5.4106100000000001</c:v>
                </c:pt>
                <c:pt idx="48">
                  <c:v>5.9940300000000004</c:v>
                </c:pt>
                <c:pt idx="49">
                  <c:v>5.6527899999999995</c:v>
                </c:pt>
                <c:pt idx="50">
                  <c:v>5.7658399999999999</c:v>
                </c:pt>
                <c:pt idx="51">
                  <c:v>6.7403099999999991</c:v>
                </c:pt>
                <c:pt idx="52">
                  <c:v>6.4669299999999996</c:v>
                </c:pt>
                <c:pt idx="53">
                  <c:v>7.2363900000000001</c:v>
                </c:pt>
                <c:pt idx="54">
                  <c:v>7.2914099999999999</c:v>
                </c:pt>
                <c:pt idx="55">
                  <c:v>7.9737699999999991</c:v>
                </c:pt>
                <c:pt idx="56">
                  <c:v>8.1214499999999994</c:v>
                </c:pt>
                <c:pt idx="57">
                  <c:v>7.8088800000000003</c:v>
                </c:pt>
                <c:pt idx="58">
                  <c:v>8.2005300000000005</c:v>
                </c:pt>
                <c:pt idx="59">
                  <c:v>7.8290300000000004</c:v>
                </c:pt>
                <c:pt idx="60">
                  <c:v>7.2967200000000005</c:v>
                </c:pt>
                <c:pt idx="61">
                  <c:v>7.2066300000000005</c:v>
                </c:pt>
                <c:pt idx="62">
                  <c:v>7.4291499999999999</c:v>
                </c:pt>
                <c:pt idx="63">
                  <c:v>7.7920000000000007</c:v>
                </c:pt>
                <c:pt idx="64">
                  <c:v>7.6443700000000003</c:v>
                </c:pt>
                <c:pt idx="65">
                  <c:v>8.1844699999999992</c:v>
                </c:pt>
                <c:pt idx="66">
                  <c:v>8.3825000000000003</c:v>
                </c:pt>
                <c:pt idx="67">
                  <c:v>8.8692999999999991</c:v>
                </c:pt>
                <c:pt idx="68">
                  <c:v>8.9425699999999999</c:v>
                </c:pt>
                <c:pt idx="69">
                  <c:v>8.4838400000000007</c:v>
                </c:pt>
                <c:pt idx="70">
                  <c:v>8.4426500000000004</c:v>
                </c:pt>
                <c:pt idx="71">
                  <c:v>7.6049800000000003</c:v>
                </c:pt>
                <c:pt idx="72">
                  <c:v>7.6184599999999998</c:v>
                </c:pt>
                <c:pt idx="73">
                  <c:v>7.5656399999999993</c:v>
                </c:pt>
                <c:pt idx="74">
                  <c:v>7.7251000000000003</c:v>
                </c:pt>
                <c:pt idx="75">
                  <c:v>7.9969700000000001</c:v>
                </c:pt>
                <c:pt idx="76">
                  <c:v>8.0991700000000009</c:v>
                </c:pt>
                <c:pt idx="77">
                  <c:v>8.0730199999999996</c:v>
                </c:pt>
                <c:pt idx="78">
                  <c:v>7.7168700000000001</c:v>
                </c:pt>
                <c:pt idx="79">
                  <c:v>7.8352599999999999</c:v>
                </c:pt>
                <c:pt idx="80">
                  <c:v>7.7777700000000003</c:v>
                </c:pt>
                <c:pt idx="81">
                  <c:v>7.7685799999999992</c:v>
                </c:pt>
                <c:pt idx="82">
                  <c:v>7.6891499999999997</c:v>
                </c:pt>
                <c:pt idx="83">
                  <c:v>7.4547400000000001</c:v>
                </c:pt>
                <c:pt idx="84">
                  <c:v>7.4516600000000004</c:v>
                </c:pt>
                <c:pt idx="85">
                  <c:v>7.3839899999999998</c:v>
                </c:pt>
                <c:pt idx="86">
                  <c:v>7.3648299999999995</c:v>
                </c:pt>
                <c:pt idx="87">
                  <c:v>7.3359299999999994</c:v>
                </c:pt>
                <c:pt idx="88">
                  <c:v>7.4013800000000005</c:v>
                </c:pt>
                <c:pt idx="89">
                  <c:v>7.2498400000000007</c:v>
                </c:pt>
                <c:pt idx="90">
                  <c:v>7.4296199999999999</c:v>
                </c:pt>
                <c:pt idx="91">
                  <c:v>7.5896299999999997</c:v>
                </c:pt>
                <c:pt idx="92">
                  <c:v>7.39025</c:v>
                </c:pt>
                <c:pt idx="93">
                  <c:v>7.3354999999999997</c:v>
                </c:pt>
                <c:pt idx="94">
                  <c:v>7.1533699999999998</c:v>
                </c:pt>
                <c:pt idx="95">
                  <c:v>7.25061</c:v>
                </c:pt>
                <c:pt idx="96">
                  <c:v>7.4099599999999999</c:v>
                </c:pt>
                <c:pt idx="97">
                  <c:v>7.3727800000000006</c:v>
                </c:pt>
                <c:pt idx="98">
                  <c:v>7.1289599999999993</c:v>
                </c:pt>
                <c:pt idx="99">
                  <c:v>7.0237699999999998</c:v>
                </c:pt>
                <c:pt idx="100">
                  <c:v>6.5174099999999999</c:v>
                </c:pt>
                <c:pt idx="101">
                  <c:v>6.3996199999999996</c:v>
                </c:pt>
                <c:pt idx="102">
                  <c:v>6.4731800000000002</c:v>
                </c:pt>
                <c:pt idx="103">
                  <c:v>6.4421400000000002</c:v>
                </c:pt>
                <c:pt idx="104">
                  <c:v>6.35968</c:v>
                </c:pt>
                <c:pt idx="105">
                  <c:v>6.4208799999999995</c:v>
                </c:pt>
                <c:pt idx="106">
                  <c:v>6.4846400000000006</c:v>
                </c:pt>
                <c:pt idx="107">
                  <c:v>6.5622900000000008</c:v>
                </c:pt>
                <c:pt idx="108">
                  <c:v>6.4792300000000003</c:v>
                </c:pt>
                <c:pt idx="109">
                  <c:v>6.2758399999999996</c:v>
                </c:pt>
                <c:pt idx="110">
                  <c:v>5.8595699999999997</c:v>
                </c:pt>
                <c:pt idx="111">
                  <c:v>5.8062000000000005</c:v>
                </c:pt>
                <c:pt idx="112">
                  <c:v>5.5213599999999996</c:v>
                </c:pt>
                <c:pt idx="113">
                  <c:v>5.4878</c:v>
                </c:pt>
                <c:pt idx="114">
                  <c:v>5.6770899999999997</c:v>
                </c:pt>
                <c:pt idx="115">
                  <c:v>5.7198900000000004</c:v>
                </c:pt>
                <c:pt idx="116">
                  <c:v>6.1014999999999997</c:v>
                </c:pt>
                <c:pt idx="117">
                  <c:v>5.9942100000000007</c:v>
                </c:pt>
                <c:pt idx="118">
                  <c:v>6.1084199999999997</c:v>
                </c:pt>
                <c:pt idx="119">
                  <c:v>5.8790800000000001</c:v>
                </c:pt>
                <c:pt idx="120">
                  <c:v>5.8039899999999998</c:v>
                </c:pt>
                <c:pt idx="121">
                  <c:v>5.9078099999999996</c:v>
                </c:pt>
                <c:pt idx="122">
                  <c:v>5.8664899999999998</c:v>
                </c:pt>
                <c:pt idx="123">
                  <c:v>5.92239</c:v>
                </c:pt>
                <c:pt idx="124">
                  <c:v>5.9107899999999995</c:v>
                </c:pt>
                <c:pt idx="125">
                  <c:v>6.0300500000000001</c:v>
                </c:pt>
                <c:pt idx="126">
                  <c:v>6.1536200000000001</c:v>
                </c:pt>
                <c:pt idx="127">
                  <c:v>6.0213699999999992</c:v>
                </c:pt>
                <c:pt idx="128">
                  <c:v>6.0926</c:v>
                </c:pt>
                <c:pt idx="129">
                  <c:v>6.0850499999999998</c:v>
                </c:pt>
                <c:pt idx="130">
                  <c:v>5.9553899999999995</c:v>
                </c:pt>
                <c:pt idx="131">
                  <c:v>5.8809799999999992</c:v>
                </c:pt>
                <c:pt idx="132">
                  <c:v>5.8420000000000005</c:v>
                </c:pt>
                <c:pt idx="133">
                  <c:v>5.9155800000000003</c:v>
                </c:pt>
                <c:pt idx="134">
                  <c:v>6.0036100000000001</c:v>
                </c:pt>
                <c:pt idx="135">
                  <c:v>6.0987099999999996</c:v>
                </c:pt>
                <c:pt idx="136">
                  <c:v>6.1628999999999996</c:v>
                </c:pt>
                <c:pt idx="137">
                  <c:v>6.3065700000000007</c:v>
                </c:pt>
                <c:pt idx="138">
                  <c:v>6.2312000000000003</c:v>
                </c:pt>
                <c:pt idx="139">
                  <c:v>6.3099699999999999</c:v>
                </c:pt>
                <c:pt idx="140">
                  <c:v>6.24085</c:v>
                </c:pt>
                <c:pt idx="141">
                  <c:v>6.2595500000000008</c:v>
                </c:pt>
                <c:pt idx="142">
                  <c:v>6.1727200000000009</c:v>
                </c:pt>
                <c:pt idx="143">
                  <c:v>6.148579999999999</c:v>
                </c:pt>
                <c:pt idx="144">
                  <c:v>5.9900500000000001</c:v>
                </c:pt>
                <c:pt idx="145">
                  <c:v>5.9464800000000002</c:v>
                </c:pt>
                <c:pt idx="146">
                  <c:v>5.8287900000000006</c:v>
                </c:pt>
                <c:pt idx="147">
                  <c:v>5.9771999999999998</c:v>
                </c:pt>
                <c:pt idx="148">
                  <c:v>5.9445500000000004</c:v>
                </c:pt>
                <c:pt idx="149">
                  <c:v>6.2625400000000004</c:v>
                </c:pt>
                <c:pt idx="150">
                  <c:v>6.4556300000000002</c:v>
                </c:pt>
                <c:pt idx="151">
                  <c:v>6.9411800000000001</c:v>
                </c:pt>
                <c:pt idx="152">
                  <c:v>6.8674300000000006</c:v>
                </c:pt>
                <c:pt idx="153">
                  <c:v>6.6889399999999997</c:v>
                </c:pt>
                <c:pt idx="154">
                  <c:v>6.9606899999999996</c:v>
                </c:pt>
                <c:pt idx="155">
                  <c:v>7.1173900000000003</c:v>
                </c:pt>
                <c:pt idx="156">
                  <c:v>7.3408199999999999</c:v>
                </c:pt>
                <c:pt idx="157">
                  <c:v>7.2199199999999992</c:v>
                </c:pt>
                <c:pt idx="158">
                  <c:v>7.0958000000000006</c:v>
                </c:pt>
                <c:pt idx="159">
                  <c:v>6.7208900000000007</c:v>
                </c:pt>
                <c:pt idx="160">
                  <c:v>6.4051300000000007</c:v>
                </c:pt>
                <c:pt idx="161">
                  <c:v>6.4252000000000002</c:v>
                </c:pt>
                <c:pt idx="162">
                  <c:v>6.6013300000000008</c:v>
                </c:pt>
                <c:pt idx="163">
                  <c:v>6.6879</c:v>
                </c:pt>
                <c:pt idx="164">
                  <c:v>6.7327599999999999</c:v>
                </c:pt>
                <c:pt idx="165">
                  <c:v>6.5444100000000001</c:v>
                </c:pt>
                <c:pt idx="166">
                  <c:v>6.5546500000000005</c:v>
                </c:pt>
                <c:pt idx="167">
                  <c:v>6.4664099999999998</c:v>
                </c:pt>
                <c:pt idx="168">
                  <c:v>6.4228800000000001</c:v>
                </c:pt>
                <c:pt idx="169">
                  <c:v>6.35</c:v>
                </c:pt>
                <c:pt idx="170">
                  <c:v>6.3508000000000004</c:v>
                </c:pt>
                <c:pt idx="171">
                  <c:v>6.2727200000000005</c:v>
                </c:pt>
                <c:pt idx="172">
                  <c:v>6.2449400000000006</c:v>
                </c:pt>
                <c:pt idx="173">
                  <c:v>6.25901</c:v>
                </c:pt>
                <c:pt idx="174">
                  <c:v>6.2439800000000005</c:v>
                </c:pt>
                <c:pt idx="175">
                  <c:v>6.1332399999999998</c:v>
                </c:pt>
                <c:pt idx="176">
                  <c:v>6.2123299999999997</c:v>
                </c:pt>
                <c:pt idx="177">
                  <c:v>6.2573100000000004</c:v>
                </c:pt>
                <c:pt idx="178">
                  <c:v>6.17014</c:v>
                </c:pt>
                <c:pt idx="179">
                  <c:v>6.2999400000000003</c:v>
                </c:pt>
                <c:pt idx="180">
                  <c:v>6.2535100000000003</c:v>
                </c:pt>
                <c:pt idx="181">
                  <c:v>6.2069600000000005</c:v>
                </c:pt>
                <c:pt idx="182">
                  <c:v>6.2096400000000003</c:v>
                </c:pt>
                <c:pt idx="183">
                  <c:v>6.3096000000000005</c:v>
                </c:pt>
                <c:pt idx="184">
                  <c:v>6.2801</c:v>
                </c:pt>
                <c:pt idx="185">
                  <c:v>6.2939300000000005</c:v>
                </c:pt>
                <c:pt idx="186">
                  <c:v>6.3355999999999995</c:v>
                </c:pt>
                <c:pt idx="187">
                  <c:v>6.4588000000000001</c:v>
                </c:pt>
                <c:pt idx="188">
                  <c:v>6.7203800000000005</c:v>
                </c:pt>
                <c:pt idx="189">
                  <c:v>6.7166999999999994</c:v>
                </c:pt>
                <c:pt idx="190">
                  <c:v>6.7133900000000004</c:v>
                </c:pt>
                <c:pt idx="191">
                  <c:v>6.7411900000000005</c:v>
                </c:pt>
                <c:pt idx="192">
                  <c:v>6.5713800000000004</c:v>
                </c:pt>
                <c:pt idx="193">
                  <c:v>6.6149300000000002</c:v>
                </c:pt>
                <c:pt idx="194">
                  <c:v>6.6812199999999997</c:v>
                </c:pt>
                <c:pt idx="195">
                  <c:v>6.5201900000000004</c:v>
                </c:pt>
                <c:pt idx="196">
                  <c:v>6.3656299999999995</c:v>
                </c:pt>
                <c:pt idx="197">
                  <c:v>6.4129700000000005</c:v>
                </c:pt>
                <c:pt idx="198">
                  <c:v>6.2832799999999995</c:v>
                </c:pt>
                <c:pt idx="199">
                  <c:v>6.1297100000000002</c:v>
                </c:pt>
                <c:pt idx="200">
                  <c:v>6.2674400000000006</c:v>
                </c:pt>
                <c:pt idx="201">
                  <c:v>6.4498800000000003</c:v>
                </c:pt>
                <c:pt idx="202">
                  <c:v>6.2503599999999997</c:v>
                </c:pt>
                <c:pt idx="203">
                  <c:v>6.2884799999999998</c:v>
                </c:pt>
                <c:pt idx="204">
                  <c:v>6.3217299999999996</c:v>
                </c:pt>
                <c:pt idx="205">
                  <c:v>6.4241099999999998</c:v>
                </c:pt>
                <c:pt idx="206">
                  <c:v>6.3922699999999999</c:v>
                </c:pt>
                <c:pt idx="207">
                  <c:v>6.3019500000000006</c:v>
                </c:pt>
                <c:pt idx="208">
                  <c:v>6.2155999999999993</c:v>
                </c:pt>
                <c:pt idx="209">
                  <c:v>6.1826700000000008</c:v>
                </c:pt>
                <c:pt idx="210">
                  <c:v>6.0846600000000004</c:v>
                </c:pt>
                <c:pt idx="211">
                  <c:v>6.2631899999999998</c:v>
                </c:pt>
                <c:pt idx="212">
                  <c:v>6.2572200000000002</c:v>
                </c:pt>
                <c:pt idx="213">
                  <c:v>6.4629799999999999</c:v>
                </c:pt>
                <c:pt idx="214">
                  <c:v>6.4574699999999998</c:v>
                </c:pt>
                <c:pt idx="215">
                  <c:v>6.6624099999999995</c:v>
                </c:pt>
                <c:pt idx="216">
                  <c:v>6.5929399999999996</c:v>
                </c:pt>
                <c:pt idx="217">
                  <c:v>6.5648299999999997</c:v>
                </c:pt>
                <c:pt idx="218">
                  <c:v>6.706900000000001</c:v>
                </c:pt>
                <c:pt idx="219">
                  <c:v>6.70174</c:v>
                </c:pt>
                <c:pt idx="220">
                  <c:v>6.6415599999999992</c:v>
                </c:pt>
                <c:pt idx="221">
                  <c:v>6.3393499999999996</c:v>
                </c:pt>
                <c:pt idx="222">
                  <c:v>6.3903499999999998</c:v>
                </c:pt>
                <c:pt idx="223">
                  <c:v>5.7539700000000007</c:v>
                </c:pt>
                <c:pt idx="224">
                  <c:v>5.6995100000000001</c:v>
                </c:pt>
                <c:pt idx="225">
                  <c:v>5.3240599999999993</c:v>
                </c:pt>
                <c:pt idx="226">
                  <c:v>5.3831100000000003</c:v>
                </c:pt>
                <c:pt idx="227">
                  <c:v>5.3532799999999998</c:v>
                </c:pt>
                <c:pt idx="228">
                  <c:v>5.2892299999999999</c:v>
                </c:pt>
                <c:pt idx="229">
                  <c:v>5.3824100000000001</c:v>
                </c:pt>
                <c:pt idx="230">
                  <c:v>5.2539400000000001</c:v>
                </c:pt>
                <c:pt idx="231">
                  <c:v>5.1006299999999998</c:v>
                </c:pt>
                <c:pt idx="232">
                  <c:v>5.1809500000000002</c:v>
                </c:pt>
                <c:pt idx="233">
                  <c:v>5.2441899999999997</c:v>
                </c:pt>
                <c:pt idx="234">
                  <c:v>5.1842600000000001</c:v>
                </c:pt>
                <c:pt idx="235">
                  <c:v>5.2066600000000003</c:v>
                </c:pt>
                <c:pt idx="236">
                  <c:v>5.1731799999999994</c:v>
                </c:pt>
                <c:pt idx="237">
                  <c:v>5.1027300000000002</c:v>
                </c:pt>
                <c:pt idx="238">
                  <c:v>5.1481899999999996</c:v>
                </c:pt>
                <c:pt idx="239">
                  <c:v>5.0476100000000006</c:v>
                </c:pt>
                <c:pt idx="240">
                  <c:v>4.9776400000000001</c:v>
                </c:pt>
                <c:pt idx="241">
                  <c:v>4.9188299999999998</c:v>
                </c:pt>
                <c:pt idx="242">
                  <c:v>4.8074300000000001</c:v>
                </c:pt>
                <c:pt idx="243">
                  <c:v>4.87202</c:v>
                </c:pt>
                <c:pt idx="244">
                  <c:v>4.9702599999999997</c:v>
                </c:pt>
                <c:pt idx="245">
                  <c:v>4.9638900000000001</c:v>
                </c:pt>
                <c:pt idx="246">
                  <c:v>5.0470800000000002</c:v>
                </c:pt>
                <c:pt idx="247">
                  <c:v>5.0641699999999998</c:v>
                </c:pt>
                <c:pt idx="248">
                  <c:v>5.0245800000000003</c:v>
                </c:pt>
                <c:pt idx="249">
                  <c:v>4.8768599999999998</c:v>
                </c:pt>
                <c:pt idx="250">
                  <c:v>4.7430599999999998</c:v>
                </c:pt>
                <c:pt idx="251">
                  <c:v>4.6466000000000003</c:v>
                </c:pt>
                <c:pt idx="252">
                  <c:v>4.5565899999999999</c:v>
                </c:pt>
                <c:pt idx="253">
                  <c:v>4.6399599999999994</c:v>
                </c:pt>
                <c:pt idx="254">
                  <c:v>4.6137899999999998</c:v>
                </c:pt>
                <c:pt idx="255">
                  <c:v>4.5711900000000005</c:v>
                </c:pt>
                <c:pt idx="256">
                  <c:v>4.5935600000000001</c:v>
                </c:pt>
                <c:pt idx="257">
                  <c:v>4.5935600000000001</c:v>
                </c:pt>
                <c:pt idx="258">
                  <c:v>4.5935600000000001</c:v>
                </c:pt>
                <c:pt idx="259">
                  <c:v>4.4755399999999996</c:v>
                </c:pt>
                <c:pt idx="260">
                  <c:v>4.4360600000000003</c:v>
                </c:pt>
                <c:pt idx="261">
                  <c:v>4.4516900000000001</c:v>
                </c:pt>
                <c:pt idx="262">
                  <c:v>4.4516900000000001</c:v>
                </c:pt>
                <c:pt idx="263">
                  <c:v>4.4689299999999994</c:v>
                </c:pt>
                <c:pt idx="264">
                  <c:v>4.4857100000000001</c:v>
                </c:pt>
                <c:pt idx="265">
                  <c:v>4.4390299999999998</c:v>
                </c:pt>
                <c:pt idx="266">
                  <c:v>4.3879199999999994</c:v>
                </c:pt>
                <c:pt idx="267">
                  <c:v>4.3602699999999999</c:v>
                </c:pt>
                <c:pt idx="268">
                  <c:v>4.4387400000000001</c:v>
                </c:pt>
                <c:pt idx="269">
                  <c:v>4.5359100000000003</c:v>
                </c:pt>
                <c:pt idx="270">
                  <c:v>4.4711099999999995</c:v>
                </c:pt>
                <c:pt idx="271">
                  <c:v>4.4696800000000003</c:v>
                </c:pt>
                <c:pt idx="272">
                  <c:v>4.5808499999999999</c:v>
                </c:pt>
                <c:pt idx="273">
                  <c:v>4.5936500000000002</c:v>
                </c:pt>
                <c:pt idx="274">
                  <c:v>4.6052600000000004</c:v>
                </c:pt>
                <c:pt idx="275">
                  <c:v>4.57355</c:v>
                </c:pt>
                <c:pt idx="276">
                  <c:v>4.4809599999999996</c:v>
                </c:pt>
                <c:pt idx="277">
                  <c:v>4.5194200000000002</c:v>
                </c:pt>
                <c:pt idx="278">
                  <c:v>4.55375</c:v>
                </c:pt>
                <c:pt idx="279">
                  <c:v>4.5127999999999995</c:v>
                </c:pt>
                <c:pt idx="280">
                  <c:v>4.5316099999999997</c:v>
                </c:pt>
                <c:pt idx="281">
                  <c:v>4.4259699999999995</c:v>
                </c:pt>
                <c:pt idx="282">
                  <c:v>4.3219600000000007</c:v>
                </c:pt>
                <c:pt idx="283">
                  <c:v>4.2636799999999999</c:v>
                </c:pt>
                <c:pt idx="284">
                  <c:v>4.2140699999999995</c:v>
                </c:pt>
                <c:pt idx="285">
                  <c:v>4.1867000000000001</c:v>
                </c:pt>
                <c:pt idx="286">
                  <c:v>4.1351800000000001</c:v>
                </c:pt>
                <c:pt idx="287">
                  <c:v>4.0422500000000001</c:v>
                </c:pt>
                <c:pt idx="288">
                  <c:v>4.0760800000000001</c:v>
                </c:pt>
                <c:pt idx="289">
                  <c:v>4.0913700000000004</c:v>
                </c:pt>
                <c:pt idx="290">
                  <c:v>4.0941900000000002</c:v>
                </c:pt>
                <c:pt idx="291">
                  <c:v>4.08474</c:v>
                </c:pt>
                <c:pt idx="292">
                  <c:v>4.0513700000000004</c:v>
                </c:pt>
                <c:pt idx="293">
                  <c:v>4.0132300000000001</c:v>
                </c:pt>
                <c:pt idx="294">
                  <c:v>4.0194099999999997</c:v>
                </c:pt>
                <c:pt idx="295">
                  <c:v>4.0656599999999994</c:v>
                </c:pt>
                <c:pt idx="296">
                  <c:v>4.00312</c:v>
                </c:pt>
                <c:pt idx="297">
                  <c:v>3.9539499999999999</c:v>
                </c:pt>
                <c:pt idx="298">
                  <c:v>4.0423900000000001</c:v>
                </c:pt>
                <c:pt idx="299">
                  <c:v>4.0688599999999999</c:v>
                </c:pt>
                <c:pt idx="300">
                  <c:v>4.1008599999999999</c:v>
                </c:pt>
                <c:pt idx="301">
                  <c:v>4.09138</c:v>
                </c:pt>
                <c:pt idx="302">
                  <c:v>4.2104600000000003</c:v>
                </c:pt>
                <c:pt idx="303">
                  <c:v>4.1267800000000001</c:v>
                </c:pt>
                <c:pt idx="304">
                  <c:v>4.1646700000000001</c:v>
                </c:pt>
                <c:pt idx="305">
                  <c:v>4.22525</c:v>
                </c:pt>
                <c:pt idx="306">
                  <c:v>4.3257099999999999</c:v>
                </c:pt>
                <c:pt idx="307">
                  <c:v>4.4067400000000001</c:v>
                </c:pt>
                <c:pt idx="308">
                  <c:v>4.5543300000000002</c:v>
                </c:pt>
                <c:pt idx="309">
                  <c:v>4.51309</c:v>
                </c:pt>
                <c:pt idx="310">
                  <c:v>4.42903</c:v>
                </c:pt>
                <c:pt idx="311">
                  <c:v>4.2550499999999998</c:v>
                </c:pt>
                <c:pt idx="312">
                  <c:v>4.28674</c:v>
                </c:pt>
                <c:pt idx="313">
                  <c:v>4.2250300000000003</c:v>
                </c:pt>
                <c:pt idx="314">
                  <c:v>4.1571699999999998</c:v>
                </c:pt>
                <c:pt idx="315">
                  <c:v>4.24871</c:v>
                </c:pt>
                <c:pt idx="316">
                  <c:v>4.1083999999999996</c:v>
                </c:pt>
                <c:pt idx="317">
                  <c:v>4.0827400000000003</c:v>
                </c:pt>
                <c:pt idx="318">
                  <c:v>5.3421099999999999</c:v>
                </c:pt>
                <c:pt idx="319">
                  <c:v>5.6747000000000005</c:v>
                </c:pt>
                <c:pt idx="320">
                  <c:v>5.4979700000000005</c:v>
                </c:pt>
                <c:pt idx="321">
                  <c:v>5.4731500000000004</c:v>
                </c:pt>
                <c:pt idx="322">
                  <c:v>5.48095</c:v>
                </c:pt>
                <c:pt idx="323">
                  <c:v>5.5245399999999991</c:v>
                </c:pt>
                <c:pt idx="324">
                  <c:v>5.5974400000000006</c:v>
                </c:pt>
                <c:pt idx="325">
                  <c:v>5.52616</c:v>
                </c:pt>
                <c:pt idx="326">
                  <c:v>5.2310799999999995</c:v>
                </c:pt>
                <c:pt idx="327">
                  <c:v>5.16831</c:v>
                </c:pt>
                <c:pt idx="328">
                  <c:v>5.1896100000000001</c:v>
                </c:pt>
                <c:pt idx="329">
                  <c:v>5.0465400000000002</c:v>
                </c:pt>
                <c:pt idx="330">
                  <c:v>5.0766600000000004</c:v>
                </c:pt>
                <c:pt idx="331">
                  <c:v>5.0792700000000002</c:v>
                </c:pt>
                <c:pt idx="332">
                  <c:v>5.0424800000000003</c:v>
                </c:pt>
                <c:pt idx="333">
                  <c:v>5.02285</c:v>
                </c:pt>
                <c:pt idx="334">
                  <c:v>5.0109599999999999</c:v>
                </c:pt>
                <c:pt idx="335">
                  <c:v>4.92096</c:v>
                </c:pt>
                <c:pt idx="336">
                  <c:v>4.8610800000000003</c:v>
                </c:pt>
                <c:pt idx="337">
                  <c:v>4.7742300000000002</c:v>
                </c:pt>
                <c:pt idx="338">
                  <c:v>4.6988700000000003</c:v>
                </c:pt>
                <c:pt idx="339">
                  <c:v>4.8122800000000003</c:v>
                </c:pt>
                <c:pt idx="340">
                  <c:v>4.8089599999999999</c:v>
                </c:pt>
                <c:pt idx="341">
                  <c:v>4.8786200000000006</c:v>
                </c:pt>
                <c:pt idx="342">
                  <c:v>4.9993999999999996</c:v>
                </c:pt>
                <c:pt idx="343">
                  <c:v>5.0382699999999998</c:v>
                </c:pt>
                <c:pt idx="344">
                  <c:v>4.9689800000000002</c:v>
                </c:pt>
                <c:pt idx="345">
                  <c:v>4.95207</c:v>
                </c:pt>
                <c:pt idx="346">
                  <c:v>4.90646</c:v>
                </c:pt>
                <c:pt idx="347">
                  <c:v>4.9194599999999999</c:v>
                </c:pt>
                <c:pt idx="348">
                  <c:v>4.9194599999999999</c:v>
                </c:pt>
                <c:pt idx="349">
                  <c:v>4.9429800000000004</c:v>
                </c:pt>
                <c:pt idx="350">
                  <c:v>4.8596899999999996</c:v>
                </c:pt>
                <c:pt idx="351">
                  <c:v>4.8165800000000001</c:v>
                </c:pt>
                <c:pt idx="352">
                  <c:v>4.7133599999999998</c:v>
                </c:pt>
                <c:pt idx="353">
                  <c:v>4.6537299999999995</c:v>
                </c:pt>
                <c:pt idx="354">
                  <c:v>4.6434100000000003</c:v>
                </c:pt>
                <c:pt idx="355">
                  <c:v>4.6897500000000001</c:v>
                </c:pt>
                <c:pt idx="356">
                  <c:v>4.7553099999999997</c:v>
                </c:pt>
                <c:pt idx="357">
                  <c:v>4.7158800000000003</c:v>
                </c:pt>
                <c:pt idx="358">
                  <c:v>4.6276299999999999</c:v>
                </c:pt>
                <c:pt idx="359">
                  <c:v>4.6087400000000001</c:v>
                </c:pt>
                <c:pt idx="360">
                  <c:v>4.6718299999999999</c:v>
                </c:pt>
                <c:pt idx="361">
                  <c:v>4.63767</c:v>
                </c:pt>
                <c:pt idx="362">
                  <c:v>4.6339299999999994</c:v>
                </c:pt>
                <c:pt idx="363">
                  <c:v>4.6505099999999997</c:v>
                </c:pt>
                <c:pt idx="364">
                  <c:v>4.6515300000000002</c:v>
                </c:pt>
                <c:pt idx="365">
                  <c:v>4.6512700000000002</c:v>
                </c:pt>
                <c:pt idx="366">
                  <c:v>4.5950799999999994</c:v>
                </c:pt>
                <c:pt idx="367">
                  <c:v>4.6970999999999998</c:v>
                </c:pt>
                <c:pt idx="368">
                  <c:v>4.6970999999999998</c:v>
                </c:pt>
                <c:pt idx="369">
                  <c:v>4.6500500000000002</c:v>
                </c:pt>
                <c:pt idx="370">
                  <c:v>4.6750999999999996</c:v>
                </c:pt>
                <c:pt idx="371">
                  <c:v>4.6752099999999999</c:v>
                </c:pt>
                <c:pt idx="372">
                  <c:v>4.7135899999999999</c:v>
                </c:pt>
                <c:pt idx="373">
                  <c:v>4.6837499999999999</c:v>
                </c:pt>
                <c:pt idx="374">
                  <c:v>4.6389800000000001</c:v>
                </c:pt>
                <c:pt idx="375">
                  <c:v>4.5327599999999997</c:v>
                </c:pt>
                <c:pt idx="376">
                  <c:v>4.4881700000000002</c:v>
                </c:pt>
                <c:pt idx="377">
                  <c:v>4.4506100000000002</c:v>
                </c:pt>
                <c:pt idx="378">
                  <c:v>4.4702500000000001</c:v>
                </c:pt>
                <c:pt idx="379">
                  <c:v>4.5376700000000003</c:v>
                </c:pt>
                <c:pt idx="380">
                  <c:v>4.5370499999999998</c:v>
                </c:pt>
                <c:pt idx="381">
                  <c:v>4.5731599999999997</c:v>
                </c:pt>
                <c:pt idx="382">
                  <c:v>4.5871899999999997</c:v>
                </c:pt>
                <c:pt idx="383">
                  <c:v>4.5977100000000002</c:v>
                </c:pt>
                <c:pt idx="384">
                  <c:v>4.5798300000000003</c:v>
                </c:pt>
                <c:pt idx="385">
                  <c:v>4.5369999999999999</c:v>
                </c:pt>
                <c:pt idx="386">
                  <c:v>4.5231900000000005</c:v>
                </c:pt>
                <c:pt idx="387">
                  <c:v>4.50176</c:v>
                </c:pt>
                <c:pt idx="388">
                  <c:v>4.5349900000000005</c:v>
                </c:pt>
                <c:pt idx="389">
                  <c:v>4.5457299999999998</c:v>
                </c:pt>
                <c:pt idx="390">
                  <c:v>4.5872199999999994</c:v>
                </c:pt>
                <c:pt idx="391">
                  <c:v>4.5833499999999994</c:v>
                </c:pt>
                <c:pt idx="392">
                  <c:v>4.63286</c:v>
                </c:pt>
                <c:pt idx="393">
                  <c:v>4.6575699999999998</c:v>
                </c:pt>
                <c:pt idx="394">
                  <c:v>4.7246300000000003</c:v>
                </c:pt>
                <c:pt idx="395">
                  <c:v>4.7459600000000002</c:v>
                </c:pt>
                <c:pt idx="396">
                  <c:v>4.7740800000000005</c:v>
                </c:pt>
                <c:pt idx="397">
                  <c:v>4.7018500000000003</c:v>
                </c:pt>
                <c:pt idx="398">
                  <c:v>4.6662400000000002</c:v>
                </c:pt>
                <c:pt idx="399">
                  <c:v>4.6724199999999998</c:v>
                </c:pt>
                <c:pt idx="400">
                  <c:v>4.6303400000000003</c:v>
                </c:pt>
                <c:pt idx="401">
                  <c:v>4.5804200000000002</c:v>
                </c:pt>
                <c:pt idx="402">
                  <c:v>4.5649600000000001</c:v>
                </c:pt>
                <c:pt idx="403">
                  <c:v>4.7142299999999997</c:v>
                </c:pt>
                <c:pt idx="404">
                  <c:v>4.7057900000000004</c:v>
                </c:pt>
                <c:pt idx="405">
                  <c:v>4.6434600000000001</c:v>
                </c:pt>
                <c:pt idx="406">
                  <c:v>4.6710199999999995</c:v>
                </c:pt>
                <c:pt idx="407">
                  <c:v>4.6334300000000006</c:v>
                </c:pt>
                <c:pt idx="408">
                  <c:v>4.6537600000000001</c:v>
                </c:pt>
                <c:pt idx="409">
                  <c:v>4.6790399999999996</c:v>
                </c:pt>
                <c:pt idx="410">
                  <c:v>4.6688299999999998</c:v>
                </c:pt>
                <c:pt idx="411">
                  <c:v>4.6315400000000002</c:v>
                </c:pt>
                <c:pt idx="412">
                  <c:v>4.6505799999999997</c:v>
                </c:pt>
                <c:pt idx="413">
                  <c:v>4.6525599999999994</c:v>
                </c:pt>
                <c:pt idx="414">
                  <c:v>4.6482700000000001</c:v>
                </c:pt>
                <c:pt idx="415">
                  <c:v>4.6777300000000004</c:v>
                </c:pt>
                <c:pt idx="416">
                  <c:v>4.6761400000000002</c:v>
                </c:pt>
                <c:pt idx="417">
                  <c:v>4.6838899999999999</c:v>
                </c:pt>
                <c:pt idx="418">
                  <c:v>4.7021600000000001</c:v>
                </c:pt>
                <c:pt idx="419">
                  <c:v>4.6779000000000002</c:v>
                </c:pt>
                <c:pt idx="420">
                  <c:v>4.6953699999999996</c:v>
                </c:pt>
                <c:pt idx="421">
                  <c:v>4.6216900000000001</c:v>
                </c:pt>
                <c:pt idx="422">
                  <c:v>4.6037599999999994</c:v>
                </c:pt>
                <c:pt idx="423">
                  <c:v>4.5855100000000002</c:v>
                </c:pt>
                <c:pt idx="424">
                  <c:v>4.5629200000000001</c:v>
                </c:pt>
                <c:pt idx="425">
                  <c:v>4.5761700000000003</c:v>
                </c:pt>
                <c:pt idx="426">
                  <c:v>4.6447199999999995</c:v>
                </c:pt>
                <c:pt idx="427">
                  <c:v>4.6276999999999999</c:v>
                </c:pt>
                <c:pt idx="428">
                  <c:v>4.6116299999999999</c:v>
                </c:pt>
                <c:pt idx="429">
                  <c:v>4.52217</c:v>
                </c:pt>
                <c:pt idx="430">
                  <c:v>4.4324500000000002</c:v>
                </c:pt>
                <c:pt idx="431">
                  <c:v>4.4090400000000001</c:v>
                </c:pt>
                <c:pt idx="432">
                  <c:v>4.4063400000000001</c:v>
                </c:pt>
                <c:pt idx="433">
                  <c:v>4.4063400000000001</c:v>
                </c:pt>
                <c:pt idx="434">
                  <c:v>4.3598600000000003</c:v>
                </c:pt>
                <c:pt idx="435">
                  <c:v>4.3926499999999997</c:v>
                </c:pt>
                <c:pt idx="436">
                  <c:v>4.4152899999999997</c:v>
                </c:pt>
                <c:pt idx="437">
                  <c:v>4.4089100000000006</c:v>
                </c:pt>
                <c:pt idx="438">
                  <c:v>4.4099300000000001</c:v>
                </c:pt>
                <c:pt idx="439">
                  <c:v>4.3917799999999998</c:v>
                </c:pt>
                <c:pt idx="440">
                  <c:v>4.4377899999999997</c:v>
                </c:pt>
                <c:pt idx="441">
                  <c:v>4.4651199999999998</c:v>
                </c:pt>
                <c:pt idx="442">
                  <c:v>4.4290699999999994</c:v>
                </c:pt>
                <c:pt idx="443">
                  <c:v>4.5101800000000001</c:v>
                </c:pt>
                <c:pt idx="444">
                  <c:v>4.5577199999999998</c:v>
                </c:pt>
                <c:pt idx="445">
                  <c:v>4.5530499999999998</c:v>
                </c:pt>
                <c:pt idx="446">
                  <c:v>4.6286300000000002</c:v>
                </c:pt>
                <c:pt idx="447">
                  <c:v>4.68797</c:v>
                </c:pt>
                <c:pt idx="448">
                  <c:v>4.7916600000000003</c:v>
                </c:pt>
                <c:pt idx="449">
                  <c:v>4.7038900000000003</c:v>
                </c:pt>
                <c:pt idx="450">
                  <c:v>4.7688899999999999</c:v>
                </c:pt>
                <c:pt idx="451">
                  <c:v>4.8660500000000004</c:v>
                </c:pt>
                <c:pt idx="452">
                  <c:v>4.9761100000000003</c:v>
                </c:pt>
                <c:pt idx="453">
                  <c:v>5.0360800000000001</c:v>
                </c:pt>
                <c:pt idx="454">
                  <c:v>5.0574300000000001</c:v>
                </c:pt>
                <c:pt idx="455">
                  <c:v>4.9402800000000004</c:v>
                </c:pt>
                <c:pt idx="456">
                  <c:v>4.91629</c:v>
                </c:pt>
                <c:pt idx="457">
                  <c:v>4.98393</c:v>
                </c:pt>
                <c:pt idx="458">
                  <c:v>4.9721500000000001</c:v>
                </c:pt>
                <c:pt idx="459">
                  <c:v>4.9268999999999998</c:v>
                </c:pt>
                <c:pt idx="460">
                  <c:v>4.9852100000000004</c:v>
                </c:pt>
                <c:pt idx="461">
                  <c:v>4.8669900000000004</c:v>
                </c:pt>
                <c:pt idx="462">
                  <c:v>4.9335199999999997</c:v>
                </c:pt>
                <c:pt idx="463">
                  <c:v>4.9658499999999997</c:v>
                </c:pt>
                <c:pt idx="464">
                  <c:v>4.9896799999999999</c:v>
                </c:pt>
                <c:pt idx="465">
                  <c:v>5.01126</c:v>
                </c:pt>
                <c:pt idx="466">
                  <c:v>5.1179800000000002</c:v>
                </c:pt>
                <c:pt idx="467">
                  <c:v>5.0922599999999996</c:v>
                </c:pt>
                <c:pt idx="468">
                  <c:v>5.1758299999999995</c:v>
                </c:pt>
                <c:pt idx="469">
                  <c:v>5.10975</c:v>
                </c:pt>
                <c:pt idx="470">
                  <c:v>5.0542800000000003</c:v>
                </c:pt>
                <c:pt idx="471">
                  <c:v>5.1594000000000007</c:v>
                </c:pt>
                <c:pt idx="472">
                  <c:v>5.2278500000000001</c:v>
                </c:pt>
                <c:pt idx="473">
                  <c:v>5.2037699999999996</c:v>
                </c:pt>
                <c:pt idx="474">
                  <c:v>5.03444</c:v>
                </c:pt>
                <c:pt idx="475">
                  <c:v>5.04941</c:v>
                </c:pt>
                <c:pt idx="476">
                  <c:v>5.0848500000000003</c:v>
                </c:pt>
                <c:pt idx="477">
                  <c:v>5.0937099999999997</c:v>
                </c:pt>
                <c:pt idx="478">
                  <c:v>5.0292500000000002</c:v>
                </c:pt>
                <c:pt idx="479">
                  <c:v>4.9797099999999999</c:v>
                </c:pt>
                <c:pt idx="480">
                  <c:v>4.8973500000000003</c:v>
                </c:pt>
                <c:pt idx="481">
                  <c:v>4.80816</c:v>
                </c:pt>
                <c:pt idx="482">
                  <c:v>4.7345499999999996</c:v>
                </c:pt>
                <c:pt idx="483">
                  <c:v>4.66812</c:v>
                </c:pt>
                <c:pt idx="484">
                  <c:v>4.7579399999999996</c:v>
                </c:pt>
                <c:pt idx="485">
                  <c:v>4.7598799999999999</c:v>
                </c:pt>
                <c:pt idx="486">
                  <c:v>4.8263099999999994</c:v>
                </c:pt>
                <c:pt idx="487">
                  <c:v>4.7712200000000005</c:v>
                </c:pt>
                <c:pt idx="488">
                  <c:v>4.7005799999999995</c:v>
                </c:pt>
                <c:pt idx="489">
                  <c:v>4.8090000000000002</c:v>
                </c:pt>
                <c:pt idx="490">
                  <c:v>4.9057700000000004</c:v>
                </c:pt>
                <c:pt idx="491">
                  <c:v>5.1655800000000003</c:v>
                </c:pt>
                <c:pt idx="492">
                  <c:v>5.1469300000000002</c:v>
                </c:pt>
                <c:pt idx="493">
                  <c:v>5.0756699999999997</c:v>
                </c:pt>
                <c:pt idx="494">
                  <c:v>5.3411499999999998</c:v>
                </c:pt>
                <c:pt idx="495">
                  <c:v>5.28505</c:v>
                </c:pt>
                <c:pt idx="496">
                  <c:v>5.3386800000000001</c:v>
                </c:pt>
                <c:pt idx="497">
                  <c:v>5.56874</c:v>
                </c:pt>
                <c:pt idx="498">
                  <c:v>5.6217100000000002</c:v>
                </c:pt>
                <c:pt idx="499">
                  <c:v>5.7007399999999997</c:v>
                </c:pt>
                <c:pt idx="500">
                  <c:v>5.8319200000000002</c:v>
                </c:pt>
                <c:pt idx="501">
                  <c:v>5.9352999999999998</c:v>
                </c:pt>
                <c:pt idx="502">
                  <c:v>6.03078</c:v>
                </c:pt>
                <c:pt idx="503">
                  <c:v>6.0398699999999996</c:v>
                </c:pt>
                <c:pt idx="504">
                  <c:v>5.5779100000000001</c:v>
                </c:pt>
                <c:pt idx="505">
                  <c:v>5.3676300000000001</c:v>
                </c:pt>
                <c:pt idx="506">
                  <c:v>5.4784500000000005</c:v>
                </c:pt>
                <c:pt idx="507">
                  <c:v>5.6824400000000006</c:v>
                </c:pt>
                <c:pt idx="508">
                  <c:v>5.8663699999999999</c:v>
                </c:pt>
                <c:pt idx="509">
                  <c:v>5.8997099999999998</c:v>
                </c:pt>
                <c:pt idx="510">
                  <c:v>5.9220500000000005</c:v>
                </c:pt>
                <c:pt idx="511">
                  <c:v>5.9238599999999995</c:v>
                </c:pt>
                <c:pt idx="512">
                  <c:v>6.3353599999999997</c:v>
                </c:pt>
                <c:pt idx="513">
                  <c:v>6.8767800000000001</c:v>
                </c:pt>
                <c:pt idx="514">
                  <c:v>6.5565999999999995</c:v>
                </c:pt>
                <c:pt idx="515">
                  <c:v>6.5528499999999994</c:v>
                </c:pt>
                <c:pt idx="516">
                  <c:v>6.1842800000000002</c:v>
                </c:pt>
                <c:pt idx="517">
                  <c:v>6.1791700000000001</c:v>
                </c:pt>
                <c:pt idx="518">
                  <c:v>6.1791700000000001</c:v>
                </c:pt>
                <c:pt idx="519">
                  <c:v>6.1791700000000001</c:v>
                </c:pt>
                <c:pt idx="520">
                  <c:v>6.0787599999999999</c:v>
                </c:pt>
                <c:pt idx="521">
                  <c:v>6.0569199999999999</c:v>
                </c:pt>
                <c:pt idx="522">
                  <c:v>6.0749300000000002</c:v>
                </c:pt>
                <c:pt idx="523">
                  <c:v>6.0749300000000002</c:v>
                </c:pt>
                <c:pt idx="524">
                  <c:v>5.88354</c:v>
                </c:pt>
                <c:pt idx="525">
                  <c:v>5.8890599999999997</c:v>
                </c:pt>
                <c:pt idx="526">
                  <c:v>6.0176800000000004</c:v>
                </c:pt>
                <c:pt idx="527">
                  <c:v>6.0657000000000005</c:v>
                </c:pt>
                <c:pt idx="528">
                  <c:v>6.2122000000000002</c:v>
                </c:pt>
                <c:pt idx="529">
                  <c:v>6.1975800000000003</c:v>
                </c:pt>
                <c:pt idx="530">
                  <c:v>6.0821299999999994</c:v>
                </c:pt>
                <c:pt idx="531">
                  <c:v>5.9057599999999999</c:v>
                </c:pt>
                <c:pt idx="532">
                  <c:v>5.9339499999999994</c:v>
                </c:pt>
                <c:pt idx="533">
                  <c:v>5.96068</c:v>
                </c:pt>
                <c:pt idx="534">
                  <c:v>5.9621599999999999</c:v>
                </c:pt>
                <c:pt idx="535">
                  <c:v>5.9001599999999996</c:v>
                </c:pt>
                <c:pt idx="536">
                  <c:v>5.7451300000000005</c:v>
                </c:pt>
                <c:pt idx="537">
                  <c:v>5.7611300000000005</c:v>
                </c:pt>
                <c:pt idx="538">
                  <c:v>5.87256</c:v>
                </c:pt>
                <c:pt idx="539">
                  <c:v>5.8790099999999992</c:v>
                </c:pt>
                <c:pt idx="540">
                  <c:v>5.7715099999999993</c:v>
                </c:pt>
                <c:pt idx="541">
                  <c:v>5.7756500000000006</c:v>
                </c:pt>
                <c:pt idx="542">
                  <c:v>5.8899400000000002</c:v>
                </c:pt>
                <c:pt idx="543">
                  <c:v>5.8962300000000001</c:v>
                </c:pt>
                <c:pt idx="544">
                  <c:v>5.8764200000000004</c:v>
                </c:pt>
                <c:pt idx="545">
                  <c:v>5.865359999999999</c:v>
                </c:pt>
                <c:pt idx="546">
                  <c:v>5.8439300000000003</c:v>
                </c:pt>
                <c:pt idx="547">
                  <c:v>5.8771299999999993</c:v>
                </c:pt>
                <c:pt idx="548">
                  <c:v>5.8963699999999992</c:v>
                </c:pt>
                <c:pt idx="549">
                  <c:v>5.8306700000000005</c:v>
                </c:pt>
                <c:pt idx="550">
                  <c:v>5.7083599999999999</c:v>
                </c:pt>
                <c:pt idx="551">
                  <c:v>5.5640999999999998</c:v>
                </c:pt>
                <c:pt idx="552">
                  <c:v>5.5618799999999995</c:v>
                </c:pt>
                <c:pt idx="553">
                  <c:v>5.6640999999999995</c:v>
                </c:pt>
                <c:pt idx="554">
                  <c:v>5.6649199999999995</c:v>
                </c:pt>
                <c:pt idx="555">
                  <c:v>5.6378399999999997</c:v>
                </c:pt>
                <c:pt idx="556">
                  <c:v>5.73644</c:v>
                </c:pt>
                <c:pt idx="557">
                  <c:v>5.7834099999999999</c:v>
                </c:pt>
                <c:pt idx="558">
                  <c:v>5.7959799999999992</c:v>
                </c:pt>
                <c:pt idx="559">
                  <c:v>5.8412100000000002</c:v>
                </c:pt>
                <c:pt idx="560">
                  <c:v>5.9574999999999996</c:v>
                </c:pt>
                <c:pt idx="561">
                  <c:v>6.4316600000000008</c:v>
                </c:pt>
                <c:pt idx="562">
                  <c:v>6.0645000000000007</c:v>
                </c:pt>
                <c:pt idx="563">
                  <c:v>6.2039099999999996</c:v>
                </c:pt>
                <c:pt idx="564">
                  <c:v>6.2946500000000007</c:v>
                </c:pt>
                <c:pt idx="565">
                  <c:v>6.3707899999999995</c:v>
                </c:pt>
                <c:pt idx="566">
                  <c:v>6.5244899999999992</c:v>
                </c:pt>
                <c:pt idx="567">
                  <c:v>7.0014700000000003</c:v>
                </c:pt>
                <c:pt idx="568">
                  <c:v>7.4830300000000003</c:v>
                </c:pt>
                <c:pt idx="569">
                  <c:v>7.3613499999999998</c:v>
                </c:pt>
                <c:pt idx="570">
                  <c:v>6.9453899999999997</c:v>
                </c:pt>
                <c:pt idx="571">
                  <c:v>6.9178200000000007</c:v>
                </c:pt>
                <c:pt idx="572">
                  <c:v>6.8446799999999994</c:v>
                </c:pt>
                <c:pt idx="573">
                  <c:v>6.7123800000000005</c:v>
                </c:pt>
                <c:pt idx="574">
                  <c:v>6.4322400000000002</c:v>
                </c:pt>
                <c:pt idx="575">
                  <c:v>6.0051800000000002</c:v>
                </c:pt>
                <c:pt idx="576">
                  <c:v>6.1883299999999997</c:v>
                </c:pt>
                <c:pt idx="577">
                  <c:v>6.2890599999999992</c:v>
                </c:pt>
                <c:pt idx="578">
                  <c:v>6.1723099999999995</c:v>
                </c:pt>
                <c:pt idx="579">
                  <c:v>6.1587100000000001</c:v>
                </c:pt>
                <c:pt idx="580">
                  <c:v>6.1513300000000006</c:v>
                </c:pt>
                <c:pt idx="581">
                  <c:v>6.1913900000000002</c:v>
                </c:pt>
                <c:pt idx="582">
                  <c:v>6.0320100000000005</c:v>
                </c:pt>
                <c:pt idx="583">
                  <c:v>6.0258199999999995</c:v>
                </c:pt>
                <c:pt idx="584">
                  <c:v>5.7617399999999996</c:v>
                </c:pt>
                <c:pt idx="585">
                  <c:v>5.8148400000000002</c:v>
                </c:pt>
                <c:pt idx="586">
                  <c:v>5.7685500000000003</c:v>
                </c:pt>
                <c:pt idx="587">
                  <c:v>5.7666499999999994</c:v>
                </c:pt>
                <c:pt idx="588">
                  <c:v>5.7497400000000001</c:v>
                </c:pt>
                <c:pt idx="589">
                  <c:v>5.7124899999999998</c:v>
                </c:pt>
                <c:pt idx="590">
                  <c:v>5.8617900000000001</c:v>
                </c:pt>
                <c:pt idx="591">
                  <c:v>5.7964500000000001</c:v>
                </c:pt>
                <c:pt idx="592">
                  <c:v>5.7932600000000001</c:v>
                </c:pt>
                <c:pt idx="593">
                  <c:v>5.7884400000000005</c:v>
                </c:pt>
                <c:pt idx="594">
                  <c:v>5.8310299999999993</c:v>
                </c:pt>
                <c:pt idx="595">
                  <c:v>5.7561499999999999</c:v>
                </c:pt>
                <c:pt idx="596">
                  <c:v>5.6111400000000007</c:v>
                </c:pt>
                <c:pt idx="597">
                  <c:v>5.5833399999999997</c:v>
                </c:pt>
                <c:pt idx="598">
                  <c:v>5.55633</c:v>
                </c:pt>
                <c:pt idx="599">
                  <c:v>5.6103800000000001</c:v>
                </c:pt>
                <c:pt idx="600">
                  <c:v>5.4575100000000001</c:v>
                </c:pt>
                <c:pt idx="601">
                  <c:v>5.3731399999999994</c:v>
                </c:pt>
                <c:pt idx="602">
                  <c:v>5.4366099999999991</c:v>
                </c:pt>
                <c:pt idx="603">
                  <c:v>5.6189099999999996</c:v>
                </c:pt>
                <c:pt idx="604">
                  <c:v>5.6001099999999999</c:v>
                </c:pt>
                <c:pt idx="605">
                  <c:v>5.5943899999999998</c:v>
                </c:pt>
                <c:pt idx="606">
                  <c:v>5.5189500000000002</c:v>
                </c:pt>
                <c:pt idx="607">
                  <c:v>5.5768700000000004</c:v>
                </c:pt>
                <c:pt idx="608">
                  <c:v>5.5768700000000004</c:v>
                </c:pt>
                <c:pt idx="609">
                  <c:v>5.679829999999999</c:v>
                </c:pt>
                <c:pt idx="610">
                  <c:v>5.6224499999999997</c:v>
                </c:pt>
                <c:pt idx="611">
                  <c:v>5.5711599999999999</c:v>
                </c:pt>
                <c:pt idx="612">
                  <c:v>5.7975500000000002</c:v>
                </c:pt>
                <c:pt idx="613">
                  <c:v>6.0653599999999992</c:v>
                </c:pt>
                <c:pt idx="614">
                  <c:v>6.2304100000000009</c:v>
                </c:pt>
                <c:pt idx="615">
                  <c:v>6.1356700000000002</c:v>
                </c:pt>
                <c:pt idx="616">
                  <c:v>6.3549699999999998</c:v>
                </c:pt>
                <c:pt idx="617">
                  <c:v>6.44034</c:v>
                </c:pt>
                <c:pt idx="618">
                  <c:v>6.5771900000000008</c:v>
                </c:pt>
                <c:pt idx="619">
                  <c:v>6.3209400000000002</c:v>
                </c:pt>
                <c:pt idx="620">
                  <c:v>6.3763499999999995</c:v>
                </c:pt>
                <c:pt idx="621">
                  <c:v>6.5899599999999996</c:v>
                </c:pt>
                <c:pt idx="622">
                  <c:v>6.5018200000000004</c:v>
                </c:pt>
                <c:pt idx="623">
                  <c:v>6.2312800000000008</c:v>
                </c:pt>
                <c:pt idx="624">
                  <c:v>6.5469299999999997</c:v>
                </c:pt>
                <c:pt idx="625">
                  <c:v>6.5625499999999999</c:v>
                </c:pt>
                <c:pt idx="626">
                  <c:v>6.4043499999999991</c:v>
                </c:pt>
                <c:pt idx="627">
                  <c:v>6.3425900000000004</c:v>
                </c:pt>
                <c:pt idx="628">
                  <c:v>6.2881100000000005</c:v>
                </c:pt>
                <c:pt idx="629">
                  <c:v>6.2455299999999996</c:v>
                </c:pt>
                <c:pt idx="630">
                  <c:v>6.1899499999999996</c:v>
                </c:pt>
                <c:pt idx="631">
                  <c:v>6.1899499999999996</c:v>
                </c:pt>
                <c:pt idx="632">
                  <c:v>6.1899499999999996</c:v>
                </c:pt>
                <c:pt idx="633">
                  <c:v>6.1505299999999998</c:v>
                </c:pt>
                <c:pt idx="634">
                  <c:v>6.3622299999999994</c:v>
                </c:pt>
                <c:pt idx="635">
                  <c:v>6.84138</c:v>
                </c:pt>
                <c:pt idx="636">
                  <c:v>7.0616099999999991</c:v>
                </c:pt>
                <c:pt idx="637">
                  <c:v>7.3725699999999996</c:v>
                </c:pt>
                <c:pt idx="638">
                  <c:v>7.7608799999999993</c:v>
                </c:pt>
                <c:pt idx="639">
                  <c:v>7.4668200000000002</c:v>
                </c:pt>
                <c:pt idx="640">
                  <c:v>7.1303799999999997</c:v>
                </c:pt>
                <c:pt idx="641">
                  <c:v>7.3495299999999997</c:v>
                </c:pt>
                <c:pt idx="642">
                  <c:v>7.3486000000000002</c:v>
                </c:pt>
                <c:pt idx="643">
                  <c:v>7.2592600000000003</c:v>
                </c:pt>
                <c:pt idx="644">
                  <c:v>7.0767199999999999</c:v>
                </c:pt>
                <c:pt idx="645">
                  <c:v>7.1049199999999999</c:v>
                </c:pt>
                <c:pt idx="646">
                  <c:v>7.0571900000000003</c:v>
                </c:pt>
                <c:pt idx="647">
                  <c:v>6.9247699999999996</c:v>
                </c:pt>
                <c:pt idx="648">
                  <c:v>6.6643699999999999</c:v>
                </c:pt>
                <c:pt idx="649">
                  <c:v>6.97187</c:v>
                </c:pt>
                <c:pt idx="650">
                  <c:v>7.4524099999999995</c:v>
                </c:pt>
                <c:pt idx="651">
                  <c:v>7.8157699999999997</c:v>
                </c:pt>
                <c:pt idx="652">
                  <c:v>7.83596</c:v>
                </c:pt>
                <c:pt idx="653">
                  <c:v>7.8107100000000003</c:v>
                </c:pt>
                <c:pt idx="654">
                  <c:v>7.98956</c:v>
                </c:pt>
                <c:pt idx="655">
                  <c:v>7.9959799999999994</c:v>
                </c:pt>
                <c:pt idx="656">
                  <c:v>7.9854499999999993</c:v>
                </c:pt>
                <c:pt idx="657">
                  <c:v>7.9915899999999995</c:v>
                </c:pt>
                <c:pt idx="658">
                  <c:v>8.2869600000000005</c:v>
                </c:pt>
                <c:pt idx="659">
                  <c:v>8.5839499999999997</c:v>
                </c:pt>
                <c:pt idx="660">
                  <c:v>8.6005699999999994</c:v>
                </c:pt>
                <c:pt idx="661">
                  <c:v>8.69482</c:v>
                </c:pt>
                <c:pt idx="662">
                  <c:v>8.6249500000000001</c:v>
                </c:pt>
                <c:pt idx="663">
                  <c:v>8.2516300000000005</c:v>
                </c:pt>
                <c:pt idx="664">
                  <c:v>8.1339400000000008</c:v>
                </c:pt>
                <c:pt idx="665">
                  <c:v>7.8172699999999997</c:v>
                </c:pt>
                <c:pt idx="666">
                  <c:v>7.8530999999999995</c:v>
                </c:pt>
                <c:pt idx="667">
                  <c:v>8.0628599999999988</c:v>
                </c:pt>
                <c:pt idx="668">
                  <c:v>8.1109299999999998</c:v>
                </c:pt>
                <c:pt idx="669">
                  <c:v>8.4709400000000006</c:v>
                </c:pt>
                <c:pt idx="670">
                  <c:v>8.4943899999999992</c:v>
                </c:pt>
                <c:pt idx="671">
                  <c:v>8.1989599999999996</c:v>
                </c:pt>
                <c:pt idx="672">
                  <c:v>7.9061199999999996</c:v>
                </c:pt>
                <c:pt idx="673">
                  <c:v>7.6036300000000008</c:v>
                </c:pt>
                <c:pt idx="674">
                  <c:v>7.5689099999999998</c:v>
                </c:pt>
                <c:pt idx="675">
                  <c:v>7.3977499999999994</c:v>
                </c:pt>
                <c:pt idx="676">
                  <c:v>7.2286900000000003</c:v>
                </c:pt>
                <c:pt idx="677">
                  <c:v>6.9141300000000001</c:v>
                </c:pt>
                <c:pt idx="678">
                  <c:v>6.7764999999999995</c:v>
                </c:pt>
                <c:pt idx="679">
                  <c:v>6.7126999999999999</c:v>
                </c:pt>
                <c:pt idx="680">
                  <c:v>6.4930300000000001</c:v>
                </c:pt>
                <c:pt idx="681">
                  <c:v>6.2250300000000003</c:v>
                </c:pt>
                <c:pt idx="682">
                  <c:v>6.2035900000000002</c:v>
                </c:pt>
                <c:pt idx="683">
                  <c:v>6.4076300000000002</c:v>
                </c:pt>
                <c:pt idx="684">
                  <c:v>6.6231500000000008</c:v>
                </c:pt>
                <c:pt idx="685">
                  <c:v>6.8158500000000002</c:v>
                </c:pt>
                <c:pt idx="686">
                  <c:v>7.1555399999999993</c:v>
                </c:pt>
                <c:pt idx="687">
                  <c:v>7.3142399999999999</c:v>
                </c:pt>
                <c:pt idx="688">
                  <c:v>7.4082699999999999</c:v>
                </c:pt>
                <c:pt idx="689">
                  <c:v>7.28423</c:v>
                </c:pt>
                <c:pt idx="690">
                  <c:v>6.9455799999999996</c:v>
                </c:pt>
                <c:pt idx="691">
                  <c:v>6.8430200000000001</c:v>
                </c:pt>
                <c:pt idx="692">
                  <c:v>6.8997799999999998</c:v>
                </c:pt>
                <c:pt idx="693">
                  <c:v>6.8997799999999998</c:v>
                </c:pt>
                <c:pt idx="694">
                  <c:v>7.0621900000000002</c:v>
                </c:pt>
                <c:pt idx="695">
                  <c:v>7.1104999999999992</c:v>
                </c:pt>
                <c:pt idx="696">
                  <c:v>7.1511800000000001</c:v>
                </c:pt>
                <c:pt idx="697">
                  <c:v>6.9218899999999994</c:v>
                </c:pt>
                <c:pt idx="698">
                  <c:v>7.0131199999999998</c:v>
                </c:pt>
                <c:pt idx="699">
                  <c:v>6.8579499999999998</c:v>
                </c:pt>
                <c:pt idx="700">
                  <c:v>6.8773800000000005</c:v>
                </c:pt>
                <c:pt idx="701">
                  <c:v>6.7426500000000003</c:v>
                </c:pt>
                <c:pt idx="702">
                  <c:v>6.4657299999999998</c:v>
                </c:pt>
                <c:pt idx="703">
                  <c:v>6.3050699999999997</c:v>
                </c:pt>
                <c:pt idx="704">
                  <c:v>6.4019200000000005</c:v>
                </c:pt>
                <c:pt idx="705">
                  <c:v>6.5858600000000003</c:v>
                </c:pt>
                <c:pt idx="706">
                  <c:v>6.6842800000000002</c:v>
                </c:pt>
                <c:pt idx="707">
                  <c:v>6.8305199999999999</c:v>
                </c:pt>
                <c:pt idx="708">
                  <c:v>6.8305199999999999</c:v>
                </c:pt>
                <c:pt idx="709">
                  <c:v>6.8192399999999997</c:v>
                </c:pt>
                <c:pt idx="710">
                  <c:v>6.7431500000000009</c:v>
                </c:pt>
                <c:pt idx="711">
                  <c:v>6.74139</c:v>
                </c:pt>
                <c:pt idx="712">
                  <c:v>6.80213</c:v>
                </c:pt>
                <c:pt idx="713">
                  <c:v>6.91432</c:v>
                </c:pt>
                <c:pt idx="714">
                  <c:v>6.78756</c:v>
                </c:pt>
                <c:pt idx="715">
                  <c:v>7.0063699999999995</c:v>
                </c:pt>
                <c:pt idx="716">
                  <c:v>7.0076400000000003</c:v>
                </c:pt>
                <c:pt idx="717">
                  <c:v>6.8658999999999999</c:v>
                </c:pt>
                <c:pt idx="718">
                  <c:v>6.8908699999999996</c:v>
                </c:pt>
                <c:pt idx="719">
                  <c:v>6.6931399999999996</c:v>
                </c:pt>
                <c:pt idx="720">
                  <c:v>6.7145000000000001</c:v>
                </c:pt>
                <c:pt idx="721">
                  <c:v>6.7105899999999998</c:v>
                </c:pt>
                <c:pt idx="722">
                  <c:v>6.7739399999999996</c:v>
                </c:pt>
                <c:pt idx="723">
                  <c:v>6.7861800000000008</c:v>
                </c:pt>
                <c:pt idx="724">
                  <c:v>6.7715099999999993</c:v>
                </c:pt>
                <c:pt idx="725">
                  <c:v>6.6733099999999999</c:v>
                </c:pt>
                <c:pt idx="726">
                  <c:v>6.7544700000000004</c:v>
                </c:pt>
                <c:pt idx="727">
                  <c:v>6.6219500000000009</c:v>
                </c:pt>
                <c:pt idx="728">
                  <c:v>6.5741499999999995</c:v>
                </c:pt>
                <c:pt idx="729">
                  <c:v>6.4000500000000002</c:v>
                </c:pt>
                <c:pt idx="730">
                  <c:v>6.3696099999999998</c:v>
                </c:pt>
                <c:pt idx="731">
                  <c:v>6.3592499999999994</c:v>
                </c:pt>
                <c:pt idx="732">
                  <c:v>6.3763199999999998</c:v>
                </c:pt>
                <c:pt idx="733">
                  <c:v>6.1883699999999999</c:v>
                </c:pt>
                <c:pt idx="734">
                  <c:v>6.0242999999999993</c:v>
                </c:pt>
                <c:pt idx="735">
                  <c:v>5.86599</c:v>
                </c:pt>
                <c:pt idx="736">
                  <c:v>5.8539399999999997</c:v>
                </c:pt>
                <c:pt idx="737">
                  <c:v>5.8258799999999997</c:v>
                </c:pt>
                <c:pt idx="738">
                  <c:v>5.8091800000000005</c:v>
                </c:pt>
                <c:pt idx="739">
                  <c:v>5.6555100000000005</c:v>
                </c:pt>
                <c:pt idx="740">
                  <c:v>5.5826700000000002</c:v>
                </c:pt>
                <c:pt idx="741">
                  <c:v>5.5767899999999999</c:v>
                </c:pt>
                <c:pt idx="742">
                  <c:v>5.3464200000000002</c:v>
                </c:pt>
                <c:pt idx="743">
                  <c:v>5.1836699999999993</c:v>
                </c:pt>
                <c:pt idx="744">
                  <c:v>5.1429100000000005</c:v>
                </c:pt>
                <c:pt idx="745">
                  <c:v>5.1239999999999997</c:v>
                </c:pt>
                <c:pt idx="746">
                  <c:v>4.9904500000000001</c:v>
                </c:pt>
                <c:pt idx="747">
                  <c:v>4.9219499999999998</c:v>
                </c:pt>
                <c:pt idx="748">
                  <c:v>4.9708499999999995</c:v>
                </c:pt>
                <c:pt idx="749">
                  <c:v>4.9696300000000004</c:v>
                </c:pt>
                <c:pt idx="750">
                  <c:v>5.0869900000000001</c:v>
                </c:pt>
                <c:pt idx="751">
                  <c:v>5.2729200000000001</c:v>
                </c:pt>
                <c:pt idx="752">
                  <c:v>5.2383699999999997</c:v>
                </c:pt>
                <c:pt idx="753">
                  <c:v>5.2673900000000007</c:v>
                </c:pt>
                <c:pt idx="754">
                  <c:v>5.1488899999999997</c:v>
                </c:pt>
                <c:pt idx="755">
                  <c:v>5.0342700000000002</c:v>
                </c:pt>
                <c:pt idx="756">
                  <c:v>4.8703199999999995</c:v>
                </c:pt>
                <c:pt idx="757">
                  <c:v>4.8296600000000005</c:v>
                </c:pt>
                <c:pt idx="758">
                  <c:v>4.8217699999999999</c:v>
                </c:pt>
                <c:pt idx="759">
                  <c:v>4.7740499999999999</c:v>
                </c:pt>
                <c:pt idx="760">
                  <c:v>4.6712799999999994</c:v>
                </c:pt>
                <c:pt idx="761">
                  <c:v>4.6890800000000006</c:v>
                </c:pt>
                <c:pt idx="762">
                  <c:v>4.64832</c:v>
                </c:pt>
                <c:pt idx="763">
                  <c:v>4.61747</c:v>
                </c:pt>
                <c:pt idx="764">
                  <c:v>4.7302200000000001</c:v>
                </c:pt>
                <c:pt idx="765">
                  <c:v>4.8629800000000003</c:v>
                </c:pt>
                <c:pt idx="766">
                  <c:v>4.7658100000000001</c:v>
                </c:pt>
                <c:pt idx="767">
                  <c:v>4.6260300000000001</c:v>
                </c:pt>
                <c:pt idx="768">
                  <c:v>4.6038999999999994</c:v>
                </c:pt>
                <c:pt idx="769">
                  <c:v>4.5141799999999996</c:v>
                </c:pt>
                <c:pt idx="770">
                  <c:v>4.5774799999999995</c:v>
                </c:pt>
                <c:pt idx="771">
                  <c:v>4.6426799999999995</c:v>
                </c:pt>
                <c:pt idx="772">
                  <c:v>4.7008700000000001</c:v>
                </c:pt>
                <c:pt idx="773">
                  <c:v>4.6193799999999996</c:v>
                </c:pt>
                <c:pt idx="774">
                  <c:v>4.5785200000000001</c:v>
                </c:pt>
                <c:pt idx="775">
                  <c:v>4.4939800000000005</c:v>
                </c:pt>
                <c:pt idx="776">
                  <c:v>4.5051499999999995</c:v>
                </c:pt>
                <c:pt idx="777">
                  <c:v>4.44733</c:v>
                </c:pt>
                <c:pt idx="778">
                  <c:v>4.4343599999999999</c:v>
                </c:pt>
                <c:pt idx="779">
                  <c:v>4.4343599999999999</c:v>
                </c:pt>
                <c:pt idx="780">
                  <c:v>4.3283199999999997</c:v>
                </c:pt>
                <c:pt idx="781">
                  <c:v>4.4160700000000004</c:v>
                </c:pt>
                <c:pt idx="782">
                  <c:v>4.3402399999999997</c:v>
                </c:pt>
                <c:pt idx="783">
                  <c:v>4.34138</c:v>
                </c:pt>
                <c:pt idx="784">
                  <c:v>4.3686100000000003</c:v>
                </c:pt>
                <c:pt idx="785">
                  <c:v>4.4162299999999997</c:v>
                </c:pt>
                <c:pt idx="786">
                  <c:v>4.5279600000000002</c:v>
                </c:pt>
                <c:pt idx="787">
                  <c:v>4.6412500000000003</c:v>
                </c:pt>
                <c:pt idx="788">
                  <c:v>4.6083400000000001</c:v>
                </c:pt>
                <c:pt idx="789">
                  <c:v>4.7285300000000001</c:v>
                </c:pt>
                <c:pt idx="790">
                  <c:v>4.7670399999999997</c:v>
                </c:pt>
                <c:pt idx="791">
                  <c:v>4.8669400000000005</c:v>
                </c:pt>
                <c:pt idx="792">
                  <c:v>4.9022800000000002</c:v>
                </c:pt>
                <c:pt idx="793">
                  <c:v>4.9191899999999995</c:v>
                </c:pt>
                <c:pt idx="794">
                  <c:v>4.9322400000000002</c:v>
                </c:pt>
                <c:pt idx="795">
                  <c:v>4.9313500000000001</c:v>
                </c:pt>
                <c:pt idx="796">
                  <c:v>5.0467200000000005</c:v>
                </c:pt>
                <c:pt idx="797">
                  <c:v>5.0191800000000004</c:v>
                </c:pt>
                <c:pt idx="798">
                  <c:v>4.8993500000000001</c:v>
                </c:pt>
                <c:pt idx="799">
                  <c:v>4.9387599999999994</c:v>
                </c:pt>
                <c:pt idx="800">
                  <c:v>4.9502600000000001</c:v>
                </c:pt>
                <c:pt idx="801">
                  <c:v>4.9316300000000002</c:v>
                </c:pt>
                <c:pt idx="802">
                  <c:v>4.9095899999999997</c:v>
                </c:pt>
                <c:pt idx="803">
                  <c:v>4.9226100000000006</c:v>
                </c:pt>
                <c:pt idx="804">
                  <c:v>4.9154299999999997</c:v>
                </c:pt>
                <c:pt idx="805">
                  <c:v>4.8082099999999999</c:v>
                </c:pt>
                <c:pt idx="806">
                  <c:v>4.6661599999999996</c:v>
                </c:pt>
                <c:pt idx="807">
                  <c:v>4.73902</c:v>
                </c:pt>
                <c:pt idx="808">
                  <c:v>4.9190100000000001</c:v>
                </c:pt>
                <c:pt idx="809">
                  <c:v>4.9136600000000001</c:v>
                </c:pt>
                <c:pt idx="810">
                  <c:v>4.9229899999999995</c:v>
                </c:pt>
                <c:pt idx="811">
                  <c:v>4.9592499999999999</c:v>
                </c:pt>
                <c:pt idx="812">
                  <c:v>4.9316199999999997</c:v>
                </c:pt>
                <c:pt idx="813">
                  <c:v>5.0839699999999999</c:v>
                </c:pt>
                <c:pt idx="814">
                  <c:v>5.0228399999999995</c:v>
                </c:pt>
                <c:pt idx="815">
                  <c:v>5.0836300000000003</c:v>
                </c:pt>
                <c:pt idx="816">
                  <c:v>5.0743900000000002</c:v>
                </c:pt>
                <c:pt idx="817">
                  <c:v>5.1742299999999997</c:v>
                </c:pt>
                <c:pt idx="818">
                  <c:v>5.1554200000000003</c:v>
                </c:pt>
                <c:pt idx="819">
                  <c:v>5.240359999999999</c:v>
                </c:pt>
                <c:pt idx="820">
                  <c:v>5.1901599999999997</c:v>
                </c:pt>
                <c:pt idx="821">
                  <c:v>5.0558399999999999</c:v>
                </c:pt>
                <c:pt idx="822">
                  <c:v>5.1478099999999998</c:v>
                </c:pt>
                <c:pt idx="823">
                  <c:v>5.0587799999999996</c:v>
                </c:pt>
                <c:pt idx="824">
                  <c:v>4.9745699999999999</c:v>
                </c:pt>
                <c:pt idx="825">
                  <c:v>4.8492700000000006</c:v>
                </c:pt>
                <c:pt idx="826">
                  <c:v>4.8488699999999998</c:v>
                </c:pt>
                <c:pt idx="827">
                  <c:v>4.9432499999999999</c:v>
                </c:pt>
                <c:pt idx="828">
                  <c:v>4.7417800000000003</c:v>
                </c:pt>
                <c:pt idx="829">
                  <c:v>4.6723600000000003</c:v>
                </c:pt>
                <c:pt idx="830">
                  <c:v>4.7790699999999999</c:v>
                </c:pt>
                <c:pt idx="831">
                  <c:v>4.7768100000000002</c:v>
                </c:pt>
                <c:pt idx="832">
                  <c:v>4.9309399999999997</c:v>
                </c:pt>
                <c:pt idx="833">
                  <c:v>5.0657999999999994</c:v>
                </c:pt>
                <c:pt idx="834">
                  <c:v>4.8892600000000002</c:v>
                </c:pt>
                <c:pt idx="835">
                  <c:v>5.1702300000000001</c:v>
                </c:pt>
                <c:pt idx="836">
                  <c:v>4.7549099999999997</c:v>
                </c:pt>
                <c:pt idx="837">
                  <c:v>4.8795099999999998</c:v>
                </c:pt>
                <c:pt idx="838">
                  <c:v>4.8536200000000003</c:v>
                </c:pt>
                <c:pt idx="839">
                  <c:v>4.6682499999999996</c:v>
                </c:pt>
                <c:pt idx="840">
                  <c:v>4.7527400000000002</c:v>
                </c:pt>
                <c:pt idx="841">
                  <c:v>4.6687900000000004</c:v>
                </c:pt>
                <c:pt idx="842">
                  <c:v>4.7345199999999998</c:v>
                </c:pt>
                <c:pt idx="843">
                  <c:v>4.6369799999999994</c:v>
                </c:pt>
                <c:pt idx="844">
                  <c:v>4.6557899999999997</c:v>
                </c:pt>
                <c:pt idx="845">
                  <c:v>4.6421700000000001</c:v>
                </c:pt>
                <c:pt idx="846">
                  <c:v>4.6837299999999997</c:v>
                </c:pt>
                <c:pt idx="847">
                  <c:v>4.7518099999999999</c:v>
                </c:pt>
                <c:pt idx="848">
                  <c:v>4.8451199999999996</c:v>
                </c:pt>
                <c:pt idx="849">
                  <c:v>4.9318799999999996</c:v>
                </c:pt>
                <c:pt idx="850">
                  <c:v>5.1472799999999994</c:v>
                </c:pt>
                <c:pt idx="851">
                  <c:v>5.1660299999999992</c:v>
                </c:pt>
                <c:pt idx="852">
                  <c:v>5.0645699999999998</c:v>
                </c:pt>
                <c:pt idx="853">
                  <c:v>5.0346099999999998</c:v>
                </c:pt>
                <c:pt idx="854">
                  <c:v>5.0100799999999994</c:v>
                </c:pt>
                <c:pt idx="855">
                  <c:v>4.9969799999999998</c:v>
                </c:pt>
                <c:pt idx="856">
                  <c:v>4.9272600000000004</c:v>
                </c:pt>
                <c:pt idx="857">
                  <c:v>4.8293999999999997</c:v>
                </c:pt>
                <c:pt idx="858">
                  <c:v>4.8415699999999999</c:v>
                </c:pt>
                <c:pt idx="859">
                  <c:v>4.9311699999999998</c:v>
                </c:pt>
                <c:pt idx="860">
                  <c:v>5.0012999999999996</c:v>
                </c:pt>
                <c:pt idx="861">
                  <c:v>5.1650900000000002</c:v>
                </c:pt>
                <c:pt idx="862">
                  <c:v>5.1609500000000006</c:v>
                </c:pt>
                <c:pt idx="863">
                  <c:v>5.3325899999999997</c:v>
                </c:pt>
                <c:pt idx="864">
                  <c:v>5.2657899999999991</c:v>
                </c:pt>
                <c:pt idx="865">
                  <c:v>5.17645</c:v>
                </c:pt>
                <c:pt idx="866">
                  <c:v>4.96617</c:v>
                </c:pt>
                <c:pt idx="867">
                  <c:v>4.98881</c:v>
                </c:pt>
                <c:pt idx="868">
                  <c:v>4.8528500000000001</c:v>
                </c:pt>
                <c:pt idx="869">
                  <c:v>5.0928500000000003</c:v>
                </c:pt>
                <c:pt idx="870">
                  <c:v>5.0889800000000003</c:v>
                </c:pt>
                <c:pt idx="871">
                  <c:v>5.1179899999999998</c:v>
                </c:pt>
                <c:pt idx="872">
                  <c:v>5.0724599999999995</c:v>
                </c:pt>
                <c:pt idx="873">
                  <c:v>5.0388900000000003</c:v>
                </c:pt>
                <c:pt idx="874">
                  <c:v>5.0436200000000007</c:v>
                </c:pt>
                <c:pt idx="875">
                  <c:v>4.8762099999999995</c:v>
                </c:pt>
                <c:pt idx="876">
                  <c:v>4.5098799999999999</c:v>
                </c:pt>
                <c:pt idx="877">
                  <c:v>4.5070299999999994</c:v>
                </c:pt>
                <c:pt idx="878">
                  <c:v>5.7197900000000006</c:v>
                </c:pt>
                <c:pt idx="879">
                  <c:v>5.9948600000000001</c:v>
                </c:pt>
                <c:pt idx="880">
                  <c:v>6.5544700000000002</c:v>
                </c:pt>
                <c:pt idx="881">
                  <c:v>6.4838300000000002</c:v>
                </c:pt>
                <c:pt idx="882">
                  <c:v>6.3480999999999996</c:v>
                </c:pt>
                <c:pt idx="883">
                  <c:v>6.6617899999999999</c:v>
                </c:pt>
                <c:pt idx="884">
                  <c:v>6.5844100000000001</c:v>
                </c:pt>
                <c:pt idx="885">
                  <c:v>6.3504100000000001</c:v>
                </c:pt>
                <c:pt idx="886">
                  <c:v>6.4441899999999999</c:v>
                </c:pt>
                <c:pt idx="887">
                  <c:v>6.3026</c:v>
                </c:pt>
                <c:pt idx="888">
                  <c:v>6.31785</c:v>
                </c:pt>
                <c:pt idx="889">
                  <c:v>6.31785</c:v>
                </c:pt>
                <c:pt idx="890">
                  <c:v>6.1888300000000003</c:v>
                </c:pt>
                <c:pt idx="891">
                  <c:v>6.1414099999999996</c:v>
                </c:pt>
                <c:pt idx="892">
                  <c:v>5.7976400000000003</c:v>
                </c:pt>
                <c:pt idx="893">
                  <c:v>5.2735199999999995</c:v>
                </c:pt>
                <c:pt idx="894">
                  <c:v>5.3626899999999997</c:v>
                </c:pt>
                <c:pt idx="895">
                  <c:v>5.2893100000000004</c:v>
                </c:pt>
                <c:pt idx="896">
                  <c:v>5.6310099999999998</c:v>
                </c:pt>
                <c:pt idx="897">
                  <c:v>5.4937199999999997</c:v>
                </c:pt>
                <c:pt idx="898">
                  <c:v>5.4937199999999997</c:v>
                </c:pt>
                <c:pt idx="899">
                  <c:v>5.29427</c:v>
                </c:pt>
                <c:pt idx="900">
                  <c:v>5.2370600000000005</c:v>
                </c:pt>
                <c:pt idx="901">
                  <c:v>5.2917999999999994</c:v>
                </c:pt>
                <c:pt idx="902">
                  <c:v>5.2776800000000001</c:v>
                </c:pt>
                <c:pt idx="903">
                  <c:v>5.2776800000000001</c:v>
                </c:pt>
                <c:pt idx="904">
                  <c:v>5.5667499999999999</c:v>
                </c:pt>
                <c:pt idx="905">
                  <c:v>5.5085299999999995</c:v>
                </c:pt>
                <c:pt idx="906">
                  <c:v>5.5802800000000001</c:v>
                </c:pt>
                <c:pt idx="907">
                  <c:v>5.6192200000000003</c:v>
                </c:pt>
                <c:pt idx="908">
                  <c:v>5.5823499999999999</c:v>
                </c:pt>
                <c:pt idx="909">
                  <c:v>5.4462800000000007</c:v>
                </c:pt>
                <c:pt idx="910">
                  <c:v>5.5011300000000007</c:v>
                </c:pt>
                <c:pt idx="911">
                  <c:v>5.4118700000000004</c:v>
                </c:pt>
                <c:pt idx="912">
                  <c:v>5.4222299999999999</c:v>
                </c:pt>
                <c:pt idx="913">
                  <c:v>5.4329399999999994</c:v>
                </c:pt>
                <c:pt idx="914">
                  <c:v>5.4329399999999994</c:v>
                </c:pt>
                <c:pt idx="915">
                  <c:v>5.4344200000000003</c:v>
                </c:pt>
                <c:pt idx="916">
                  <c:v>5.56778</c:v>
                </c:pt>
                <c:pt idx="917">
                  <c:v>5.4413400000000003</c:v>
                </c:pt>
                <c:pt idx="918">
                  <c:v>5.4454700000000003</c:v>
                </c:pt>
                <c:pt idx="919">
                  <c:v>5.1596200000000003</c:v>
                </c:pt>
                <c:pt idx="920">
                  <c:v>5.0548200000000003</c:v>
                </c:pt>
                <c:pt idx="921">
                  <c:v>5.0639700000000003</c:v>
                </c:pt>
                <c:pt idx="922">
                  <c:v>5.0170899999999996</c:v>
                </c:pt>
                <c:pt idx="923">
                  <c:v>5.0343900000000001</c:v>
                </c:pt>
                <c:pt idx="924">
                  <c:v>4.9177200000000001</c:v>
                </c:pt>
                <c:pt idx="925">
                  <c:v>4.9523799999999998</c:v>
                </c:pt>
                <c:pt idx="926">
                  <c:v>4.7976700000000001</c:v>
                </c:pt>
                <c:pt idx="927">
                  <c:v>4.8146899999999997</c:v>
                </c:pt>
                <c:pt idx="928">
                  <c:v>4.79549</c:v>
                </c:pt>
                <c:pt idx="929">
                  <c:v>4.8264999999999993</c:v>
                </c:pt>
                <c:pt idx="930">
                  <c:v>4.8456900000000003</c:v>
                </c:pt>
                <c:pt idx="931">
                  <c:v>4.6827499999999995</c:v>
                </c:pt>
                <c:pt idx="932">
                  <c:v>4.4868100000000002</c:v>
                </c:pt>
                <c:pt idx="933">
                  <c:v>4.35419</c:v>
                </c:pt>
                <c:pt idx="934">
                  <c:v>4.4768299999999996</c:v>
                </c:pt>
                <c:pt idx="935">
                  <c:v>4.56027</c:v>
                </c:pt>
                <c:pt idx="936">
                  <c:v>4.4780699999999998</c:v>
                </c:pt>
                <c:pt idx="937">
                  <c:v>4.47349</c:v>
                </c:pt>
                <c:pt idx="938">
                  <c:v>4.4474099999999996</c:v>
                </c:pt>
                <c:pt idx="939">
                  <c:v>4.50244</c:v>
                </c:pt>
                <c:pt idx="940">
                  <c:v>4.5399900000000004</c:v>
                </c:pt>
                <c:pt idx="941">
                  <c:v>4.3883200000000002</c:v>
                </c:pt>
                <c:pt idx="942">
                  <c:v>4.38497</c:v>
                </c:pt>
                <c:pt idx="943">
                  <c:v>4.48963</c:v>
                </c:pt>
                <c:pt idx="944">
                  <c:v>4.5956000000000001</c:v>
                </c:pt>
                <c:pt idx="945">
                  <c:v>4.5533800000000006</c:v>
                </c:pt>
                <c:pt idx="946">
                  <c:v>4.6172500000000003</c:v>
                </c:pt>
                <c:pt idx="947">
                  <c:v>4.6592799999999999</c:v>
                </c:pt>
                <c:pt idx="948">
                  <c:v>4.5833399999999997</c:v>
                </c:pt>
                <c:pt idx="949">
                  <c:v>4.6127599999999997</c:v>
                </c:pt>
                <c:pt idx="950">
                  <c:v>4.6638400000000004</c:v>
                </c:pt>
                <c:pt idx="951">
                  <c:v>4.44773</c:v>
                </c:pt>
                <c:pt idx="952">
                  <c:v>4.4639499999999996</c:v>
                </c:pt>
                <c:pt idx="953">
                  <c:v>4.5302999999999995</c:v>
                </c:pt>
                <c:pt idx="954">
                  <c:v>4.4080000000000004</c:v>
                </c:pt>
                <c:pt idx="955">
                  <c:v>4.4230700000000001</c:v>
                </c:pt>
                <c:pt idx="956">
                  <c:v>4.5766799999999996</c:v>
                </c:pt>
                <c:pt idx="957">
                  <c:v>4.5701799999999997</c:v>
                </c:pt>
                <c:pt idx="958">
                  <c:v>4.5701799999999997</c:v>
                </c:pt>
                <c:pt idx="959">
                  <c:v>4.5165899999999999</c:v>
                </c:pt>
                <c:pt idx="960">
                  <c:v>4.5651100000000007</c:v>
                </c:pt>
                <c:pt idx="961">
                  <c:v>4.5972600000000003</c:v>
                </c:pt>
                <c:pt idx="962">
                  <c:v>4.5163099999999998</c:v>
                </c:pt>
                <c:pt idx="963">
                  <c:v>4.4790400000000004</c:v>
                </c:pt>
                <c:pt idx="964">
                  <c:v>4.5830700000000002</c:v>
                </c:pt>
                <c:pt idx="965">
                  <c:v>4.6576399999999998</c:v>
                </c:pt>
                <c:pt idx="966">
                  <c:v>4.6477399999999998</c:v>
                </c:pt>
                <c:pt idx="967">
                  <c:v>4.6388299999999996</c:v>
                </c:pt>
                <c:pt idx="968">
                  <c:v>4.7279499999999999</c:v>
                </c:pt>
                <c:pt idx="969">
                  <c:v>4.6432099999999998</c:v>
                </c:pt>
                <c:pt idx="970">
                  <c:v>4.3961900000000007</c:v>
                </c:pt>
                <c:pt idx="971">
                  <c:v>4.4229000000000003</c:v>
                </c:pt>
                <c:pt idx="972">
                  <c:v>4.4169600000000004</c:v>
                </c:pt>
                <c:pt idx="973">
                  <c:v>4.3433299999999999</c:v>
                </c:pt>
                <c:pt idx="974">
                  <c:v>4.3800400000000002</c:v>
                </c:pt>
                <c:pt idx="975">
                  <c:v>4.3510200000000001</c:v>
                </c:pt>
                <c:pt idx="976">
                  <c:v>4.5104700000000006</c:v>
                </c:pt>
                <c:pt idx="977">
                  <c:v>4.4210500000000001</c:v>
                </c:pt>
                <c:pt idx="978">
                  <c:v>4.4523899999999994</c:v>
                </c:pt>
                <c:pt idx="979">
                  <c:v>4.5431099999999995</c:v>
                </c:pt>
                <c:pt idx="980">
                  <c:v>4.5657800000000002</c:v>
                </c:pt>
                <c:pt idx="981">
                  <c:v>4.5033099999999999</c:v>
                </c:pt>
                <c:pt idx="982">
                  <c:v>4.4790999999999999</c:v>
                </c:pt>
                <c:pt idx="983">
                  <c:v>4.4790999999999999</c:v>
                </c:pt>
                <c:pt idx="984">
                  <c:v>4.4169999999999998</c:v>
                </c:pt>
                <c:pt idx="985">
                  <c:v>4.4592599999999996</c:v>
                </c:pt>
                <c:pt idx="986">
                  <c:v>4.3693200000000001</c:v>
                </c:pt>
                <c:pt idx="987">
                  <c:v>4.5085199999999999</c:v>
                </c:pt>
                <c:pt idx="988">
                  <c:v>4.44604</c:v>
                </c:pt>
                <c:pt idx="989">
                  <c:v>4.3787000000000003</c:v>
                </c:pt>
                <c:pt idx="990">
                  <c:v>4.4138099999999998</c:v>
                </c:pt>
                <c:pt idx="991">
                  <c:v>4.4188600000000005</c:v>
                </c:pt>
                <c:pt idx="992">
                  <c:v>4.4309599999999998</c:v>
                </c:pt>
                <c:pt idx="993">
                  <c:v>4.44712</c:v>
                </c:pt>
                <c:pt idx="994">
                  <c:v>4.3291000000000004</c:v>
                </c:pt>
                <c:pt idx="995">
                  <c:v>4.2416099999999997</c:v>
                </c:pt>
                <c:pt idx="996">
                  <c:v>4.3498299999999999</c:v>
                </c:pt>
                <c:pt idx="997">
                  <c:v>4.3164899999999999</c:v>
                </c:pt>
                <c:pt idx="998">
                  <c:v>4.2416599999999995</c:v>
                </c:pt>
                <c:pt idx="999">
                  <c:v>4.1426299999999996</c:v>
                </c:pt>
                <c:pt idx="1000">
                  <c:v>4.20465</c:v>
                </c:pt>
                <c:pt idx="1001">
                  <c:v>4.0243400000000005</c:v>
                </c:pt>
                <c:pt idx="1002">
                  <c:v>3.9494199999999999</c:v>
                </c:pt>
                <c:pt idx="1003">
                  <c:v>3.9443299999999999</c:v>
                </c:pt>
                <c:pt idx="1004">
                  <c:v>4.0026100000000007</c:v>
                </c:pt>
                <c:pt idx="1005">
                  <c:v>4.0921799999999999</c:v>
                </c:pt>
                <c:pt idx="1006">
                  <c:v>4.0120199999999997</c:v>
                </c:pt>
                <c:pt idx="1007">
                  <c:v>4.0986500000000001</c:v>
                </c:pt>
                <c:pt idx="1008">
                  <c:v>4.1767500000000002</c:v>
                </c:pt>
                <c:pt idx="1009">
                  <c:v>4.1435199999999996</c:v>
                </c:pt>
                <c:pt idx="1010">
                  <c:v>3.9571499999999999</c:v>
                </c:pt>
                <c:pt idx="1011">
                  <c:v>3.9270100000000001</c:v>
                </c:pt>
                <c:pt idx="1012">
                  <c:v>3.8338999999999999</c:v>
                </c:pt>
                <c:pt idx="1013">
                  <c:v>3.8124200000000004</c:v>
                </c:pt>
                <c:pt idx="1014">
                  <c:v>3.78843</c:v>
                </c:pt>
                <c:pt idx="1015">
                  <c:v>3.8371300000000002</c:v>
                </c:pt>
                <c:pt idx="1016">
                  <c:v>3.8371300000000002</c:v>
                </c:pt>
                <c:pt idx="1017">
                  <c:v>3.7782200000000001</c:v>
                </c:pt>
                <c:pt idx="1018">
                  <c:v>3.84212</c:v>
                </c:pt>
                <c:pt idx="1019">
                  <c:v>3.9337999999999997</c:v>
                </c:pt>
                <c:pt idx="1020">
                  <c:v>3.8358400000000001</c:v>
                </c:pt>
                <c:pt idx="1021">
                  <c:v>3.8010099999999998</c:v>
                </c:pt>
                <c:pt idx="1022">
                  <c:v>3.8535700000000004</c:v>
                </c:pt>
                <c:pt idx="1023">
                  <c:v>3.7898800000000001</c:v>
                </c:pt>
                <c:pt idx="1024">
                  <c:v>3.81738</c:v>
                </c:pt>
                <c:pt idx="1025">
                  <c:v>3.8285899999999997</c:v>
                </c:pt>
                <c:pt idx="1026">
                  <c:v>3.76091</c:v>
                </c:pt>
                <c:pt idx="1027">
                  <c:v>3.68323</c:v>
                </c:pt>
                <c:pt idx="1028">
                  <c:v>3.6729199999999995</c:v>
                </c:pt>
                <c:pt idx="1029">
                  <c:v>3.63476</c:v>
                </c:pt>
                <c:pt idx="1030">
                  <c:v>3.7048399999999999</c:v>
                </c:pt>
                <c:pt idx="1031">
                  <c:v>3.3099599999999998</c:v>
                </c:pt>
                <c:pt idx="1032">
                  <c:v>3.2473200000000002</c:v>
                </c:pt>
                <c:pt idx="1033">
                  <c:v>3.2166199999999998</c:v>
                </c:pt>
                <c:pt idx="1034">
                  <c:v>3.1879700000000004</c:v>
                </c:pt>
                <c:pt idx="1035">
                  <c:v>3.2558499999999997</c:v>
                </c:pt>
                <c:pt idx="1036">
                  <c:v>3.2141199999999999</c:v>
                </c:pt>
                <c:pt idx="1037">
                  <c:v>3.2036000000000002</c:v>
                </c:pt>
                <c:pt idx="1038">
                  <c:v>3.2036000000000002</c:v>
                </c:pt>
                <c:pt idx="1039">
                  <c:v>3.21116</c:v>
                </c:pt>
                <c:pt idx="1040">
                  <c:v>3.2766800000000003</c:v>
                </c:pt>
                <c:pt idx="1041">
                  <c:v>3.2120199999999999</c:v>
                </c:pt>
                <c:pt idx="1042">
                  <c:v>3.19685</c:v>
                </c:pt>
                <c:pt idx="1043">
                  <c:v>3.19685</c:v>
                </c:pt>
                <c:pt idx="1044">
                  <c:v>3.2717399999999999</c:v>
                </c:pt>
                <c:pt idx="1045">
                  <c:v>3.6047400000000001</c:v>
                </c:pt>
                <c:pt idx="1046">
                  <c:v>3.5518700000000001</c:v>
                </c:pt>
                <c:pt idx="1047">
                  <c:v>3.5368499999999998</c:v>
                </c:pt>
                <c:pt idx="1048">
                  <c:v>3.5946699999999998</c:v>
                </c:pt>
                <c:pt idx="1049">
                  <c:v>3.6623899999999998</c:v>
                </c:pt>
                <c:pt idx="1050">
                  <c:v>3.58962</c:v>
                </c:pt>
                <c:pt idx="1051">
                  <c:v>3.6229100000000001</c:v>
                </c:pt>
                <c:pt idx="1052">
                  <c:v>3.6268799999999999</c:v>
                </c:pt>
                <c:pt idx="1053">
                  <c:v>3.6268799999999999</c:v>
                </c:pt>
                <c:pt idx="1054">
                  <c:v>3.6822399999999997</c:v>
                </c:pt>
                <c:pt idx="1055">
                  <c:v>3.6807799999999999</c:v>
                </c:pt>
                <c:pt idx="1056">
                  <c:v>3.63598</c:v>
                </c:pt>
                <c:pt idx="1057">
                  <c:v>3.6713999999999998</c:v>
                </c:pt>
                <c:pt idx="1058">
                  <c:v>3.7548899999999996</c:v>
                </c:pt>
                <c:pt idx="1059">
                  <c:v>3.7507600000000001</c:v>
                </c:pt>
                <c:pt idx="1060">
                  <c:v>3.6061800000000002</c:v>
                </c:pt>
                <c:pt idx="1061">
                  <c:v>3.68377</c:v>
                </c:pt>
                <c:pt idx="1062">
                  <c:v>3.6374300000000002</c:v>
                </c:pt>
                <c:pt idx="1063">
                  <c:v>3.6948500000000002</c:v>
                </c:pt>
                <c:pt idx="1064">
                  <c:v>3.7537000000000003</c:v>
                </c:pt>
                <c:pt idx="1065">
                  <c:v>3.92178</c:v>
                </c:pt>
                <c:pt idx="1066">
                  <c:v>3.9141300000000001</c:v>
                </c:pt>
                <c:pt idx="1067">
                  <c:v>3.84354</c:v>
                </c:pt>
                <c:pt idx="1068">
                  <c:v>3.73326</c:v>
                </c:pt>
                <c:pt idx="1069">
                  <c:v>3.7572899999999998</c:v>
                </c:pt>
                <c:pt idx="1070">
                  <c:v>3.6649599999999998</c:v>
                </c:pt>
                <c:pt idx="1071">
                  <c:v>3.5638000000000001</c:v>
                </c:pt>
                <c:pt idx="1072">
                  <c:v>3.4979199999999997</c:v>
                </c:pt>
                <c:pt idx="1073">
                  <c:v>3.3711599999999997</c:v>
                </c:pt>
                <c:pt idx="1074">
                  <c:v>3.2998099999999999</c:v>
                </c:pt>
                <c:pt idx="1075">
                  <c:v>3.3678900000000001</c:v>
                </c:pt>
                <c:pt idx="1076">
                  <c:v>3.32362</c:v>
                </c:pt>
                <c:pt idx="1077">
                  <c:v>3.2928300000000004</c:v>
                </c:pt>
                <c:pt idx="1078">
                  <c:v>3.2928300000000004</c:v>
                </c:pt>
                <c:pt idx="1079">
                  <c:v>3.3083100000000001</c:v>
                </c:pt>
                <c:pt idx="1080">
                  <c:v>3.25265</c:v>
                </c:pt>
                <c:pt idx="1081">
                  <c:v>3.22085</c:v>
                </c:pt>
                <c:pt idx="1082">
                  <c:v>3.2022699999999999</c:v>
                </c:pt>
                <c:pt idx="1083">
                  <c:v>3.1568999999999998</c:v>
                </c:pt>
                <c:pt idx="1084">
                  <c:v>3.2017899999999999</c:v>
                </c:pt>
                <c:pt idx="1085">
                  <c:v>3.2428699999999999</c:v>
                </c:pt>
                <c:pt idx="1086">
                  <c:v>3.2602300000000004</c:v>
                </c:pt>
                <c:pt idx="1087">
                  <c:v>3.4358499999999998</c:v>
                </c:pt>
                <c:pt idx="1088">
                  <c:v>3.53512</c:v>
                </c:pt>
                <c:pt idx="1089">
                  <c:v>3.70336</c:v>
                </c:pt>
                <c:pt idx="1090">
                  <c:v>3.6153300000000002</c:v>
                </c:pt>
                <c:pt idx="1091">
                  <c:v>3.5641500000000002</c:v>
                </c:pt>
                <c:pt idx="1092">
                  <c:v>3.5805599999999997</c:v>
                </c:pt>
                <c:pt idx="1093">
                  <c:v>3.4933700000000001</c:v>
                </c:pt>
                <c:pt idx="1094">
                  <c:v>3.42415</c:v>
                </c:pt>
                <c:pt idx="1095">
                  <c:v>3.3734699999999997</c:v>
                </c:pt>
                <c:pt idx="1096">
                  <c:v>3.3792899999999997</c:v>
                </c:pt>
                <c:pt idx="1097">
                  <c:v>3.4061399999999997</c:v>
                </c:pt>
                <c:pt idx="1098">
                  <c:v>3.4256799999999998</c:v>
                </c:pt>
                <c:pt idx="1099">
                  <c:v>3.4719600000000002</c:v>
                </c:pt>
                <c:pt idx="1100">
                  <c:v>3.4943900000000001</c:v>
                </c:pt>
                <c:pt idx="1101">
                  <c:v>3.2412200000000002</c:v>
                </c:pt>
                <c:pt idx="1102">
                  <c:v>3.2506599999999999</c:v>
                </c:pt>
                <c:pt idx="1103">
                  <c:v>3.26084</c:v>
                </c:pt>
                <c:pt idx="1104">
                  <c:v>3.2818400000000003</c:v>
                </c:pt>
                <c:pt idx="1105">
                  <c:v>3.2891199999999996</c:v>
                </c:pt>
                <c:pt idx="1106">
                  <c:v>3.1950500000000002</c:v>
                </c:pt>
                <c:pt idx="1107">
                  <c:v>3.1950500000000002</c:v>
                </c:pt>
                <c:pt idx="1108">
                  <c:v>3.10806</c:v>
                </c:pt>
                <c:pt idx="1109">
                  <c:v>3.1065300000000002</c:v>
                </c:pt>
                <c:pt idx="1110">
                  <c:v>3.0781299999999998</c:v>
                </c:pt>
                <c:pt idx="1111">
                  <c:v>3.0011799999999997</c:v>
                </c:pt>
                <c:pt idx="1112">
                  <c:v>2.92048</c:v>
                </c:pt>
                <c:pt idx="1113">
                  <c:v>2.8977499999999998</c:v>
                </c:pt>
                <c:pt idx="1114">
                  <c:v>2.9198300000000001</c:v>
                </c:pt>
                <c:pt idx="1115">
                  <c:v>2.7898000000000001</c:v>
                </c:pt>
                <c:pt idx="1116">
                  <c:v>2.9049800000000001</c:v>
                </c:pt>
                <c:pt idx="1117">
                  <c:v>3.0419499999999999</c:v>
                </c:pt>
                <c:pt idx="1118">
                  <c:v>3.07239</c:v>
                </c:pt>
                <c:pt idx="1119">
                  <c:v>3.09531</c:v>
                </c:pt>
                <c:pt idx="1120">
                  <c:v>3.0635899999999996</c:v>
                </c:pt>
                <c:pt idx="1121">
                  <c:v>3.0018500000000001</c:v>
                </c:pt>
                <c:pt idx="1122">
                  <c:v>2.9945299999999997</c:v>
                </c:pt>
                <c:pt idx="1123">
                  <c:v>2.9818799999999999</c:v>
                </c:pt>
                <c:pt idx="1124">
                  <c:v>2.9588700000000001</c:v>
                </c:pt>
                <c:pt idx="1125">
                  <c:v>3.01668</c:v>
                </c:pt>
                <c:pt idx="1126">
                  <c:v>2.9727199999999998</c:v>
                </c:pt>
                <c:pt idx="1127">
                  <c:v>2.9222600000000001</c:v>
                </c:pt>
                <c:pt idx="1128">
                  <c:v>2.8247599999999999</c:v>
                </c:pt>
                <c:pt idx="1129">
                  <c:v>2.8127300000000002</c:v>
                </c:pt>
                <c:pt idx="1130">
                  <c:v>2.9300200000000003</c:v>
                </c:pt>
                <c:pt idx="1131">
                  <c:v>2.9229599999999998</c:v>
                </c:pt>
                <c:pt idx="1132">
                  <c:v>2.8663799999999999</c:v>
                </c:pt>
                <c:pt idx="1133">
                  <c:v>2.8785500000000002</c:v>
                </c:pt>
                <c:pt idx="1134">
                  <c:v>2.8119499999999999</c:v>
                </c:pt>
                <c:pt idx="1135">
                  <c:v>2.8118099999999999</c:v>
                </c:pt>
                <c:pt idx="1136">
                  <c:v>2.8346</c:v>
                </c:pt>
                <c:pt idx="1137">
                  <c:v>2.7859400000000001</c:v>
                </c:pt>
                <c:pt idx="1138">
                  <c:v>2.78024</c:v>
                </c:pt>
                <c:pt idx="1139">
                  <c:v>2.8496300000000003</c:v>
                </c:pt>
                <c:pt idx="1140">
                  <c:v>2.8941300000000001</c:v>
                </c:pt>
                <c:pt idx="1141">
                  <c:v>2.8058800000000002</c:v>
                </c:pt>
                <c:pt idx="1142">
                  <c:v>2.8056200000000002</c:v>
                </c:pt>
                <c:pt idx="1143">
                  <c:v>2.7838799999999999</c:v>
                </c:pt>
                <c:pt idx="1144">
                  <c:v>2.8030300000000001</c:v>
                </c:pt>
                <c:pt idx="1145">
                  <c:v>2.7939600000000002</c:v>
                </c:pt>
                <c:pt idx="1146">
                  <c:v>2.7657499999999997</c:v>
                </c:pt>
                <c:pt idx="1147">
                  <c:v>2.76457</c:v>
                </c:pt>
                <c:pt idx="1148">
                  <c:v>2.76457</c:v>
                </c:pt>
                <c:pt idx="1149">
                  <c:v>2.6872699999999998</c:v>
                </c:pt>
                <c:pt idx="1150">
                  <c:v>2.71082</c:v>
                </c:pt>
                <c:pt idx="1151">
                  <c:v>2.7415699999999998</c:v>
                </c:pt>
                <c:pt idx="1152">
                  <c:v>2.7744099999999996</c:v>
                </c:pt>
                <c:pt idx="1153">
                  <c:v>2.8071499999999996</c:v>
                </c:pt>
                <c:pt idx="1154">
                  <c:v>2.8828699999999996</c:v>
                </c:pt>
                <c:pt idx="1155">
                  <c:v>2.9176699999999998</c:v>
                </c:pt>
                <c:pt idx="1156">
                  <c:v>2.89289</c:v>
                </c:pt>
                <c:pt idx="1157">
                  <c:v>2.79122</c:v>
                </c:pt>
                <c:pt idx="1158">
                  <c:v>2.8093900000000001</c:v>
                </c:pt>
                <c:pt idx="1159">
                  <c:v>2.8475999999999999</c:v>
                </c:pt>
                <c:pt idx="1160">
                  <c:v>2.7884199999999999</c:v>
                </c:pt>
                <c:pt idx="1161">
                  <c:v>2.8706900000000002</c:v>
                </c:pt>
                <c:pt idx="1162">
                  <c:v>2.9424400000000004</c:v>
                </c:pt>
                <c:pt idx="1163">
                  <c:v>2.94293</c:v>
                </c:pt>
                <c:pt idx="1164">
                  <c:v>2.9049499999999999</c:v>
                </c:pt>
              </c:numCache>
            </c:numRef>
          </c:val>
          <c:smooth val="0"/>
          <c:extLst>
            <c:ext xmlns:c16="http://schemas.microsoft.com/office/drawing/2014/chart" uri="{C3380CC4-5D6E-409C-BE32-E72D297353CC}">
              <c16:uniqueId val="{00000004-5560-4D07-B97F-4AA9E95DFDA5}"/>
            </c:ext>
          </c:extLst>
        </c:ser>
        <c:dLbls>
          <c:showLegendKey val="0"/>
          <c:showVal val="0"/>
          <c:showCatName val="0"/>
          <c:showSerName val="0"/>
          <c:showPercent val="0"/>
          <c:showBubbleSize val="0"/>
        </c:dLbls>
        <c:marker val="1"/>
        <c:smooth val="0"/>
        <c:axId val="-32509184"/>
        <c:axId val="-32512448"/>
      </c:lineChart>
      <c:lineChart>
        <c:grouping val="standard"/>
        <c:varyColors val="0"/>
        <c:ser>
          <c:idx val="9"/>
          <c:order val="9"/>
          <c:tx>
            <c:strRef>
              <c:f>Sheet1!$K$1</c:f>
              <c:strCache>
                <c:ptCount val="1"/>
                <c:pt idx="0">
                  <c:v>Թուրքիա (2025թ.)</c:v>
                </c:pt>
              </c:strCache>
            </c:strRef>
          </c:tx>
          <c:spPr>
            <a:ln w="28575" cap="rnd">
              <a:solidFill>
                <a:schemeClr val="accent4">
                  <a:lumMod val="60000"/>
                </a:schemeClr>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Sheet1!$K$2:$K$1428</c:f>
              <c:numCache>
                <c:formatCode>0</c:formatCode>
                <c:ptCount val="1166"/>
                <c:pt idx="0">
                  <c:v>3.5423300000000002</c:v>
                </c:pt>
                <c:pt idx="1">
                  <c:v>3.50413</c:v>
                </c:pt>
                <c:pt idx="2">
                  <c:v>3.6335000000000002</c:v>
                </c:pt>
                <c:pt idx="3">
                  <c:v>3.6529700000000003</c:v>
                </c:pt>
                <c:pt idx="4">
                  <c:v>3.6022000000000003</c:v>
                </c:pt>
                <c:pt idx="5">
                  <c:v>3.49065</c:v>
                </c:pt>
                <c:pt idx="6">
                  <c:v>3.4341300000000001</c:v>
                </c:pt>
                <c:pt idx="7">
                  <c:v>3.4628100000000002</c:v>
                </c:pt>
                <c:pt idx="8">
                  <c:v>3.3609300000000002</c:v>
                </c:pt>
                <c:pt idx="9">
                  <c:v>3.30315</c:v>
                </c:pt>
                <c:pt idx="10">
                  <c:v>3.1884800000000002</c:v>
                </c:pt>
                <c:pt idx="11">
                  <c:v>3.1625599999999996</c:v>
                </c:pt>
                <c:pt idx="12">
                  <c:v>3.15646</c:v>
                </c:pt>
                <c:pt idx="13">
                  <c:v>3.1620499999999998</c:v>
                </c:pt>
                <c:pt idx="14">
                  <c:v>3.1776600000000004</c:v>
                </c:pt>
                <c:pt idx="15">
                  <c:v>3.0633499999999998</c:v>
                </c:pt>
                <c:pt idx="16">
                  <c:v>3.0991599999999999</c:v>
                </c:pt>
                <c:pt idx="17">
                  <c:v>3.0580399999999996</c:v>
                </c:pt>
                <c:pt idx="18">
                  <c:v>3.2055200000000004</c:v>
                </c:pt>
                <c:pt idx="19">
                  <c:v>3.09491</c:v>
                </c:pt>
                <c:pt idx="20">
                  <c:v>3.08962</c:v>
                </c:pt>
                <c:pt idx="21">
                  <c:v>3.1413799999999998</c:v>
                </c:pt>
                <c:pt idx="22">
                  <c:v>3.0890199999999997</c:v>
                </c:pt>
                <c:pt idx="23">
                  <c:v>3.10894</c:v>
                </c:pt>
                <c:pt idx="24">
                  <c:v>3.0662599999999998</c:v>
                </c:pt>
                <c:pt idx="25">
                  <c:v>2.9904099999999998</c:v>
                </c:pt>
                <c:pt idx="26">
                  <c:v>2.9863200000000001</c:v>
                </c:pt>
                <c:pt idx="27">
                  <c:v>3.2518599999999998</c:v>
                </c:pt>
                <c:pt idx="28">
                  <c:v>3.5505599999999999</c:v>
                </c:pt>
                <c:pt idx="29">
                  <c:v>3.4121199999999998</c:v>
                </c:pt>
                <c:pt idx="30">
                  <c:v>3.3127399999999998</c:v>
                </c:pt>
                <c:pt idx="31">
                  <c:v>3.3725499999999999</c:v>
                </c:pt>
                <c:pt idx="32">
                  <c:v>3.3320600000000002</c:v>
                </c:pt>
                <c:pt idx="33">
                  <c:v>3.3308900000000001</c:v>
                </c:pt>
                <c:pt idx="34">
                  <c:v>3.3219099999999999</c:v>
                </c:pt>
                <c:pt idx="35">
                  <c:v>3.34788</c:v>
                </c:pt>
                <c:pt idx="36">
                  <c:v>3.62866</c:v>
                </c:pt>
                <c:pt idx="37">
                  <c:v>3.6348200000000004</c:v>
                </c:pt>
                <c:pt idx="38">
                  <c:v>3.8804199999999995</c:v>
                </c:pt>
                <c:pt idx="39">
                  <c:v>3.91899</c:v>
                </c:pt>
                <c:pt idx="40">
                  <c:v>3.8879600000000001</c:v>
                </c:pt>
                <c:pt idx="41">
                  <c:v>4.1926999999999994</c:v>
                </c:pt>
                <c:pt idx="42">
                  <c:v>4.8261000000000003</c:v>
                </c:pt>
                <c:pt idx="43">
                  <c:v>4.6403100000000004</c:v>
                </c:pt>
                <c:pt idx="44">
                  <c:v>4.2561299999999997</c:v>
                </c:pt>
                <c:pt idx="45">
                  <c:v>4.0624200000000004</c:v>
                </c:pt>
                <c:pt idx="46">
                  <c:v>4.2302200000000001</c:v>
                </c:pt>
                <c:pt idx="47">
                  <c:v>4.6232799999999994</c:v>
                </c:pt>
                <c:pt idx="48">
                  <c:v>5.1381399999999999</c:v>
                </c:pt>
                <c:pt idx="49">
                  <c:v>4.7646600000000001</c:v>
                </c:pt>
                <c:pt idx="50">
                  <c:v>4.9264400000000004</c:v>
                </c:pt>
                <c:pt idx="51">
                  <c:v>5.8563199999999993</c:v>
                </c:pt>
                <c:pt idx="52">
                  <c:v>5.5359299999999996</c:v>
                </c:pt>
                <c:pt idx="53">
                  <c:v>6.5863100000000001</c:v>
                </c:pt>
                <c:pt idx="54">
                  <c:v>6.7217799999999999</c:v>
                </c:pt>
                <c:pt idx="55">
                  <c:v>7.5301999999999998</c:v>
                </c:pt>
                <c:pt idx="56">
                  <c:v>7.8267600000000002</c:v>
                </c:pt>
                <c:pt idx="57">
                  <c:v>7.5865499999999999</c:v>
                </c:pt>
                <c:pt idx="58">
                  <c:v>7.9562999999999997</c:v>
                </c:pt>
                <c:pt idx="59">
                  <c:v>7.4779900000000001</c:v>
                </c:pt>
                <c:pt idx="60">
                  <c:v>6.7763699999999991</c:v>
                </c:pt>
                <c:pt idx="61">
                  <c:v>6.7195600000000004</c:v>
                </c:pt>
                <c:pt idx="62">
                  <c:v>7.0154100000000001</c:v>
                </c:pt>
                <c:pt idx="63">
                  <c:v>7.4359599999999997</c:v>
                </c:pt>
                <c:pt idx="64">
                  <c:v>7.3497900000000005</c:v>
                </c:pt>
                <c:pt idx="65">
                  <c:v>8.0137699999999992</c:v>
                </c:pt>
                <c:pt idx="66">
                  <c:v>8.3457899999999992</c:v>
                </c:pt>
                <c:pt idx="67">
                  <c:v>8.94177</c:v>
                </c:pt>
                <c:pt idx="68">
                  <c:v>9.1129300000000004</c:v>
                </c:pt>
                <c:pt idx="69">
                  <c:v>8.4543499999999998</c:v>
                </c:pt>
                <c:pt idx="70">
                  <c:v>8.2390799999999995</c:v>
                </c:pt>
                <c:pt idx="71">
                  <c:v>7.0825699999999996</c:v>
                </c:pt>
                <c:pt idx="72">
                  <c:v>7.0940399999999997</c:v>
                </c:pt>
                <c:pt idx="73">
                  <c:v>7.0496100000000004</c:v>
                </c:pt>
                <c:pt idx="74">
                  <c:v>7.2644200000000003</c:v>
                </c:pt>
                <c:pt idx="75">
                  <c:v>7.7307899999999998</c:v>
                </c:pt>
                <c:pt idx="76">
                  <c:v>7.9639800000000003</c:v>
                </c:pt>
                <c:pt idx="77">
                  <c:v>7.9218600000000006</c:v>
                </c:pt>
                <c:pt idx="78">
                  <c:v>7.4017400000000002</c:v>
                </c:pt>
                <c:pt idx="79">
                  <c:v>7.3651099999999996</c:v>
                </c:pt>
                <c:pt idx="80">
                  <c:v>7.2740999999999998</c:v>
                </c:pt>
                <c:pt idx="81">
                  <c:v>7.1858599999999999</c:v>
                </c:pt>
                <c:pt idx="82">
                  <c:v>6.8983799999999995</c:v>
                </c:pt>
                <c:pt idx="83">
                  <c:v>6.5956299999999999</c:v>
                </c:pt>
                <c:pt idx="84">
                  <c:v>6.6629399999999999</c:v>
                </c:pt>
                <c:pt idx="85">
                  <c:v>6.62669</c:v>
                </c:pt>
                <c:pt idx="86">
                  <c:v>6.5641099999999994</c:v>
                </c:pt>
                <c:pt idx="87">
                  <c:v>6.5420100000000003</c:v>
                </c:pt>
                <c:pt idx="88">
                  <c:v>6.6827200000000007</c:v>
                </c:pt>
                <c:pt idx="89">
                  <c:v>6.58256</c:v>
                </c:pt>
                <c:pt idx="90">
                  <c:v>6.7888300000000008</c:v>
                </c:pt>
                <c:pt idx="91">
                  <c:v>7.0026700000000002</c:v>
                </c:pt>
                <c:pt idx="92">
                  <c:v>7.0014599999999998</c:v>
                </c:pt>
                <c:pt idx="93">
                  <c:v>6.80715</c:v>
                </c:pt>
                <c:pt idx="94">
                  <c:v>6.5676099999999993</c:v>
                </c:pt>
                <c:pt idx="95">
                  <c:v>6.6339399999999999</c:v>
                </c:pt>
                <c:pt idx="96">
                  <c:v>6.9206399999999997</c:v>
                </c:pt>
                <c:pt idx="97">
                  <c:v>6.7915999999999999</c:v>
                </c:pt>
                <c:pt idx="98">
                  <c:v>6.5543800000000001</c:v>
                </c:pt>
                <c:pt idx="99">
                  <c:v>6.4662600000000001</c:v>
                </c:pt>
                <c:pt idx="100">
                  <c:v>6.0160999999999998</c:v>
                </c:pt>
                <c:pt idx="101">
                  <c:v>5.88307</c:v>
                </c:pt>
                <c:pt idx="102">
                  <c:v>5.9920500000000008</c:v>
                </c:pt>
                <c:pt idx="103">
                  <c:v>5.9450900000000004</c:v>
                </c:pt>
                <c:pt idx="104">
                  <c:v>5.89581</c:v>
                </c:pt>
                <c:pt idx="105">
                  <c:v>6.0226899999999999</c:v>
                </c:pt>
                <c:pt idx="106">
                  <c:v>6.0640800000000006</c:v>
                </c:pt>
                <c:pt idx="107">
                  <c:v>6.1729200000000004</c:v>
                </c:pt>
                <c:pt idx="108">
                  <c:v>6.0845899999999995</c:v>
                </c:pt>
                <c:pt idx="109">
                  <c:v>5.9400699999999995</c:v>
                </c:pt>
                <c:pt idx="110">
                  <c:v>5.5309299999999997</c:v>
                </c:pt>
                <c:pt idx="111">
                  <c:v>5.4613199999999997</c:v>
                </c:pt>
                <c:pt idx="112">
                  <c:v>5.20573</c:v>
                </c:pt>
                <c:pt idx="113">
                  <c:v>5.1598699999999997</c:v>
                </c:pt>
                <c:pt idx="114">
                  <c:v>5.2936199999999998</c:v>
                </c:pt>
                <c:pt idx="115">
                  <c:v>5.32742</c:v>
                </c:pt>
                <c:pt idx="116">
                  <c:v>5.7384900000000005</c:v>
                </c:pt>
                <c:pt idx="117">
                  <c:v>5.6401700000000003</c:v>
                </c:pt>
                <c:pt idx="118">
                  <c:v>5.76206</c:v>
                </c:pt>
                <c:pt idx="119">
                  <c:v>5.5312800000000006</c:v>
                </c:pt>
                <c:pt idx="120">
                  <c:v>5.4710599999999996</c:v>
                </c:pt>
                <c:pt idx="121">
                  <c:v>5.5246900000000005</c:v>
                </c:pt>
                <c:pt idx="122">
                  <c:v>5.5306800000000003</c:v>
                </c:pt>
                <c:pt idx="123">
                  <c:v>5.5907299999999998</c:v>
                </c:pt>
                <c:pt idx="124">
                  <c:v>5.5533600000000005</c:v>
                </c:pt>
                <c:pt idx="125">
                  <c:v>5.7342899999999997</c:v>
                </c:pt>
                <c:pt idx="126">
                  <c:v>5.7475899999999998</c:v>
                </c:pt>
                <c:pt idx="127">
                  <c:v>5.61599</c:v>
                </c:pt>
                <c:pt idx="128">
                  <c:v>5.7037399999999998</c:v>
                </c:pt>
                <c:pt idx="129">
                  <c:v>5.6940099999999996</c:v>
                </c:pt>
                <c:pt idx="130">
                  <c:v>5.5830799999999998</c:v>
                </c:pt>
                <c:pt idx="131">
                  <c:v>5.4848800000000004</c:v>
                </c:pt>
                <c:pt idx="132">
                  <c:v>5.4541099999999991</c:v>
                </c:pt>
                <c:pt idx="133">
                  <c:v>5.5674999999999999</c:v>
                </c:pt>
                <c:pt idx="134">
                  <c:v>5.6520700000000001</c:v>
                </c:pt>
                <c:pt idx="135">
                  <c:v>5.7521299999999993</c:v>
                </c:pt>
                <c:pt idx="136">
                  <c:v>5.7693600000000007</c:v>
                </c:pt>
                <c:pt idx="137">
                  <c:v>5.9489300000000007</c:v>
                </c:pt>
                <c:pt idx="138">
                  <c:v>5.8758299999999997</c:v>
                </c:pt>
                <c:pt idx="139">
                  <c:v>5.9439099999999998</c:v>
                </c:pt>
                <c:pt idx="140">
                  <c:v>5.8500699999999997</c:v>
                </c:pt>
                <c:pt idx="141">
                  <c:v>5.8078899999999996</c:v>
                </c:pt>
                <c:pt idx="142">
                  <c:v>5.8047900000000006</c:v>
                </c:pt>
                <c:pt idx="143">
                  <c:v>5.7898199999999997</c:v>
                </c:pt>
                <c:pt idx="144">
                  <c:v>5.64499</c:v>
                </c:pt>
                <c:pt idx="145">
                  <c:v>5.5861900000000002</c:v>
                </c:pt>
                <c:pt idx="146">
                  <c:v>5.4563300000000003</c:v>
                </c:pt>
                <c:pt idx="147">
                  <c:v>5.55586</c:v>
                </c:pt>
                <c:pt idx="148">
                  <c:v>5.5195600000000002</c:v>
                </c:pt>
                <c:pt idx="149">
                  <c:v>5.9227300000000005</c:v>
                </c:pt>
                <c:pt idx="150">
                  <c:v>6.2014099999999992</c:v>
                </c:pt>
                <c:pt idx="151">
                  <c:v>6.7303499999999996</c:v>
                </c:pt>
                <c:pt idx="152">
                  <c:v>6.6669899999999993</c:v>
                </c:pt>
                <c:pt idx="153">
                  <c:v>6.4523999999999999</c:v>
                </c:pt>
                <c:pt idx="154">
                  <c:v>6.7998099999999999</c:v>
                </c:pt>
                <c:pt idx="155">
                  <c:v>6.9488000000000003</c:v>
                </c:pt>
                <c:pt idx="156">
                  <c:v>7.31433</c:v>
                </c:pt>
                <c:pt idx="157">
                  <c:v>7.0804100000000005</c:v>
                </c:pt>
                <c:pt idx="158">
                  <c:v>6.8546400000000007</c:v>
                </c:pt>
                <c:pt idx="159">
                  <c:v>6.4721000000000002</c:v>
                </c:pt>
                <c:pt idx="160">
                  <c:v>6.23231</c:v>
                </c:pt>
                <c:pt idx="161">
                  <c:v>6.25793</c:v>
                </c:pt>
                <c:pt idx="162">
                  <c:v>6.4001599999999996</c:v>
                </c:pt>
                <c:pt idx="163">
                  <c:v>6.5510000000000002</c:v>
                </c:pt>
                <c:pt idx="164">
                  <c:v>6.5423499999999999</c:v>
                </c:pt>
                <c:pt idx="165">
                  <c:v>6.2668600000000003</c:v>
                </c:pt>
                <c:pt idx="166">
                  <c:v>6.3610600000000002</c:v>
                </c:pt>
                <c:pt idx="167">
                  <c:v>6.2401800000000005</c:v>
                </c:pt>
                <c:pt idx="168">
                  <c:v>6.1940499999999998</c:v>
                </c:pt>
                <c:pt idx="169">
                  <c:v>6.1582799999999995</c:v>
                </c:pt>
                <c:pt idx="170">
                  <c:v>6.1181500000000009</c:v>
                </c:pt>
                <c:pt idx="171">
                  <c:v>6.0577499999999995</c:v>
                </c:pt>
                <c:pt idx="172">
                  <c:v>5.9988400000000004</c:v>
                </c:pt>
                <c:pt idx="173">
                  <c:v>5.9900800000000007</c:v>
                </c:pt>
                <c:pt idx="174">
                  <c:v>5.8670600000000004</c:v>
                </c:pt>
                <c:pt idx="175">
                  <c:v>5.6904100000000009</c:v>
                </c:pt>
                <c:pt idx="176">
                  <c:v>5.9025800000000004</c:v>
                </c:pt>
                <c:pt idx="177">
                  <c:v>5.8544299999999998</c:v>
                </c:pt>
                <c:pt idx="178">
                  <c:v>5.78634</c:v>
                </c:pt>
                <c:pt idx="179">
                  <c:v>5.9014999999999995</c:v>
                </c:pt>
                <c:pt idx="180">
                  <c:v>5.8334400000000004</c:v>
                </c:pt>
                <c:pt idx="181">
                  <c:v>5.7439400000000003</c:v>
                </c:pt>
                <c:pt idx="182">
                  <c:v>5.7751900000000003</c:v>
                </c:pt>
                <c:pt idx="183">
                  <c:v>5.8747400000000001</c:v>
                </c:pt>
                <c:pt idx="184">
                  <c:v>5.7931699999999999</c:v>
                </c:pt>
                <c:pt idx="185">
                  <c:v>5.7879499999999995</c:v>
                </c:pt>
                <c:pt idx="186">
                  <c:v>5.9162300000000005</c:v>
                </c:pt>
                <c:pt idx="187">
                  <c:v>5.9855999999999998</c:v>
                </c:pt>
                <c:pt idx="188">
                  <c:v>6.3026199999999992</c:v>
                </c:pt>
                <c:pt idx="189">
                  <c:v>6.3844799999999999</c:v>
                </c:pt>
                <c:pt idx="190">
                  <c:v>6.3843499999999995</c:v>
                </c:pt>
                <c:pt idx="191">
                  <c:v>6.3618800000000002</c:v>
                </c:pt>
                <c:pt idx="192">
                  <c:v>6.14947</c:v>
                </c:pt>
                <c:pt idx="193">
                  <c:v>6.2393499999999991</c:v>
                </c:pt>
                <c:pt idx="194">
                  <c:v>6.2913899999999998</c:v>
                </c:pt>
                <c:pt idx="195">
                  <c:v>6.1298000000000004</c:v>
                </c:pt>
                <c:pt idx="196">
                  <c:v>5.9267200000000004</c:v>
                </c:pt>
                <c:pt idx="197">
                  <c:v>5.9159799999999994</c:v>
                </c:pt>
                <c:pt idx="198">
                  <c:v>5.7533900000000004</c:v>
                </c:pt>
                <c:pt idx="199">
                  <c:v>5.7325900000000001</c:v>
                </c:pt>
                <c:pt idx="200">
                  <c:v>5.9221900000000005</c:v>
                </c:pt>
                <c:pt idx="201">
                  <c:v>6.0920899999999998</c:v>
                </c:pt>
                <c:pt idx="202">
                  <c:v>5.8422299999999998</c:v>
                </c:pt>
                <c:pt idx="203">
                  <c:v>5.8281100000000006</c:v>
                </c:pt>
                <c:pt idx="204">
                  <c:v>5.8550199999999997</c:v>
                </c:pt>
                <c:pt idx="205">
                  <c:v>6.0017899999999997</c:v>
                </c:pt>
                <c:pt idx="206">
                  <c:v>6.0831299999999997</c:v>
                </c:pt>
                <c:pt idx="207">
                  <c:v>6.0008900000000009</c:v>
                </c:pt>
                <c:pt idx="208">
                  <c:v>5.8620600000000005</c:v>
                </c:pt>
                <c:pt idx="209">
                  <c:v>5.8191300000000004</c:v>
                </c:pt>
                <c:pt idx="210">
                  <c:v>5.6738300000000006</c:v>
                </c:pt>
                <c:pt idx="211">
                  <c:v>5.8643499999999991</c:v>
                </c:pt>
                <c:pt idx="212">
                  <c:v>5.8580800000000002</c:v>
                </c:pt>
                <c:pt idx="213">
                  <c:v>6.0966200000000006</c:v>
                </c:pt>
                <c:pt idx="214">
                  <c:v>6.0752599999999992</c:v>
                </c:pt>
                <c:pt idx="215">
                  <c:v>6.3498699999999992</c:v>
                </c:pt>
                <c:pt idx="216">
                  <c:v>6.3322400000000005</c:v>
                </c:pt>
                <c:pt idx="217">
                  <c:v>6.3177500000000002</c:v>
                </c:pt>
                <c:pt idx="218">
                  <c:v>6.4361899999999999</c:v>
                </c:pt>
                <c:pt idx="219">
                  <c:v>6.39975</c:v>
                </c:pt>
                <c:pt idx="220">
                  <c:v>6.3083299999999998</c:v>
                </c:pt>
                <c:pt idx="221">
                  <c:v>5.9931200000000002</c:v>
                </c:pt>
                <c:pt idx="222">
                  <c:v>6.0639500000000002</c:v>
                </c:pt>
                <c:pt idx="223">
                  <c:v>5.3996599999999999</c:v>
                </c:pt>
                <c:pt idx="224">
                  <c:v>5.3164099999999994</c:v>
                </c:pt>
                <c:pt idx="225">
                  <c:v>4.78261</c:v>
                </c:pt>
                <c:pt idx="226">
                  <c:v>4.8221699999999998</c:v>
                </c:pt>
                <c:pt idx="227">
                  <c:v>4.7815699999999994</c:v>
                </c:pt>
                <c:pt idx="228">
                  <c:v>4.7617099999999999</c:v>
                </c:pt>
                <c:pt idx="229">
                  <c:v>4.8922500000000007</c:v>
                </c:pt>
                <c:pt idx="230">
                  <c:v>4.7421800000000003</c:v>
                </c:pt>
                <c:pt idx="231">
                  <c:v>4.5380799999999999</c:v>
                </c:pt>
                <c:pt idx="232">
                  <c:v>4.6289400000000001</c:v>
                </c:pt>
                <c:pt idx="233">
                  <c:v>4.7059699999999998</c:v>
                </c:pt>
                <c:pt idx="234">
                  <c:v>4.6880500000000005</c:v>
                </c:pt>
                <c:pt idx="235">
                  <c:v>4.7379300000000004</c:v>
                </c:pt>
                <c:pt idx="236">
                  <c:v>4.7075500000000003</c:v>
                </c:pt>
                <c:pt idx="237">
                  <c:v>4.5999400000000001</c:v>
                </c:pt>
                <c:pt idx="238">
                  <c:v>4.6467399999999994</c:v>
                </c:pt>
                <c:pt idx="239">
                  <c:v>4.5234699999999997</c:v>
                </c:pt>
                <c:pt idx="240">
                  <c:v>4.43086</c:v>
                </c:pt>
                <c:pt idx="241">
                  <c:v>4.3599899999999998</c:v>
                </c:pt>
                <c:pt idx="242">
                  <c:v>4.2355599999999995</c:v>
                </c:pt>
                <c:pt idx="243">
                  <c:v>4.3426</c:v>
                </c:pt>
                <c:pt idx="244">
                  <c:v>4.4083399999999999</c:v>
                </c:pt>
                <c:pt idx="245">
                  <c:v>4.4237299999999999</c:v>
                </c:pt>
                <c:pt idx="246">
                  <c:v>4.4935399999999994</c:v>
                </c:pt>
                <c:pt idx="247">
                  <c:v>4.5129099999999998</c:v>
                </c:pt>
                <c:pt idx="248">
                  <c:v>4.4881599999999997</c:v>
                </c:pt>
                <c:pt idx="249">
                  <c:v>4.3156099999999995</c:v>
                </c:pt>
                <c:pt idx="250">
                  <c:v>4.1503399999999999</c:v>
                </c:pt>
                <c:pt idx="251">
                  <c:v>4.0460899999999995</c:v>
                </c:pt>
                <c:pt idx="252">
                  <c:v>3.9738699999999998</c:v>
                </c:pt>
                <c:pt idx="253">
                  <c:v>4.1027300000000002</c:v>
                </c:pt>
                <c:pt idx="254">
                  <c:v>4.0652100000000004</c:v>
                </c:pt>
                <c:pt idx="255">
                  <c:v>4.0414500000000002</c:v>
                </c:pt>
                <c:pt idx="256">
                  <c:v>4.0510599999999997</c:v>
                </c:pt>
                <c:pt idx="257">
                  <c:v>4.0510599999999997</c:v>
                </c:pt>
                <c:pt idx="258">
                  <c:v>4.0510599999999997</c:v>
                </c:pt>
                <c:pt idx="259">
                  <c:v>3.8596499999999998</c:v>
                </c:pt>
                <c:pt idx="260">
                  <c:v>3.8392899999999996</c:v>
                </c:pt>
                <c:pt idx="261">
                  <c:v>3.8502700000000001</c:v>
                </c:pt>
                <c:pt idx="262">
                  <c:v>3.8502700000000001</c:v>
                </c:pt>
                <c:pt idx="263">
                  <c:v>3.8680500000000002</c:v>
                </c:pt>
                <c:pt idx="264">
                  <c:v>3.93038</c:v>
                </c:pt>
                <c:pt idx="265">
                  <c:v>3.9260700000000002</c:v>
                </c:pt>
                <c:pt idx="266">
                  <c:v>3.8464900000000002</c:v>
                </c:pt>
                <c:pt idx="267">
                  <c:v>3.8134399999999999</c:v>
                </c:pt>
                <c:pt idx="268">
                  <c:v>3.86815</c:v>
                </c:pt>
                <c:pt idx="269">
                  <c:v>3.96271</c:v>
                </c:pt>
                <c:pt idx="270">
                  <c:v>3.8791699999999998</c:v>
                </c:pt>
                <c:pt idx="271">
                  <c:v>3.8920100000000004</c:v>
                </c:pt>
                <c:pt idx="272">
                  <c:v>4.00108</c:v>
                </c:pt>
                <c:pt idx="273">
                  <c:v>4.0358600000000004</c:v>
                </c:pt>
                <c:pt idx="274">
                  <c:v>4.0203300000000004</c:v>
                </c:pt>
                <c:pt idx="275">
                  <c:v>3.9943299999999997</c:v>
                </c:pt>
                <c:pt idx="276">
                  <c:v>3.8983400000000001</c:v>
                </c:pt>
                <c:pt idx="277">
                  <c:v>3.9441800000000002</c:v>
                </c:pt>
                <c:pt idx="278">
                  <c:v>3.9401299999999999</c:v>
                </c:pt>
                <c:pt idx="279">
                  <c:v>3.8799799999999998</c:v>
                </c:pt>
                <c:pt idx="280">
                  <c:v>3.9107100000000004</c:v>
                </c:pt>
                <c:pt idx="281">
                  <c:v>3.8065899999999999</c:v>
                </c:pt>
                <c:pt idx="282">
                  <c:v>3.72234</c:v>
                </c:pt>
                <c:pt idx="283">
                  <c:v>3.6796499999999996</c:v>
                </c:pt>
                <c:pt idx="284">
                  <c:v>3.6362599999999996</c:v>
                </c:pt>
                <c:pt idx="285">
                  <c:v>3.597</c:v>
                </c:pt>
                <c:pt idx="286">
                  <c:v>3.5481500000000001</c:v>
                </c:pt>
                <c:pt idx="287">
                  <c:v>3.4653800000000001</c:v>
                </c:pt>
                <c:pt idx="288">
                  <c:v>3.49247</c:v>
                </c:pt>
                <c:pt idx="289">
                  <c:v>3.5100099999999999</c:v>
                </c:pt>
                <c:pt idx="290">
                  <c:v>3.53274</c:v>
                </c:pt>
                <c:pt idx="291">
                  <c:v>3.5384699999999998</c:v>
                </c:pt>
                <c:pt idx="292">
                  <c:v>3.5125500000000001</c:v>
                </c:pt>
                <c:pt idx="293">
                  <c:v>3.4809199999999998</c:v>
                </c:pt>
                <c:pt idx="294">
                  <c:v>3.46719</c:v>
                </c:pt>
                <c:pt idx="295">
                  <c:v>3.4962599999999999</c:v>
                </c:pt>
                <c:pt idx="296">
                  <c:v>3.43161</c:v>
                </c:pt>
                <c:pt idx="297">
                  <c:v>3.3994400000000002</c:v>
                </c:pt>
                <c:pt idx="298">
                  <c:v>3.4717500000000001</c:v>
                </c:pt>
                <c:pt idx="299">
                  <c:v>3.5169600000000001</c:v>
                </c:pt>
                <c:pt idx="300">
                  <c:v>3.5221199999999997</c:v>
                </c:pt>
                <c:pt idx="301">
                  <c:v>3.4666199999999998</c:v>
                </c:pt>
                <c:pt idx="302">
                  <c:v>3.53782</c:v>
                </c:pt>
                <c:pt idx="303">
                  <c:v>3.4459500000000003</c:v>
                </c:pt>
                <c:pt idx="304">
                  <c:v>3.5172099999999999</c:v>
                </c:pt>
                <c:pt idx="305">
                  <c:v>3.5793200000000001</c:v>
                </c:pt>
                <c:pt idx="306">
                  <c:v>3.7073899999999997</c:v>
                </c:pt>
                <c:pt idx="307">
                  <c:v>3.7938700000000001</c:v>
                </c:pt>
                <c:pt idx="308">
                  <c:v>3.9118400000000002</c:v>
                </c:pt>
                <c:pt idx="309">
                  <c:v>3.8916500000000003</c:v>
                </c:pt>
                <c:pt idx="310">
                  <c:v>3.8498099999999997</c:v>
                </c:pt>
                <c:pt idx="311">
                  <c:v>3.7084199999999998</c:v>
                </c:pt>
                <c:pt idx="312">
                  <c:v>3.7421199999999999</c:v>
                </c:pt>
                <c:pt idx="313">
                  <c:v>3.68981</c:v>
                </c:pt>
                <c:pt idx="314">
                  <c:v>3.60514</c:v>
                </c:pt>
                <c:pt idx="315">
                  <c:v>3.69604</c:v>
                </c:pt>
                <c:pt idx="316">
                  <c:v>3.5356799999999997</c:v>
                </c:pt>
                <c:pt idx="317">
                  <c:v>3.5181499999999999</c:v>
                </c:pt>
                <c:pt idx="318">
                  <c:v>5.1832200000000004</c:v>
                </c:pt>
                <c:pt idx="319">
                  <c:v>5.5830899999999994</c:v>
                </c:pt>
                <c:pt idx="320">
                  <c:v>5.4574800000000003</c:v>
                </c:pt>
                <c:pt idx="321">
                  <c:v>5.4342499999999996</c:v>
                </c:pt>
                <c:pt idx="322">
                  <c:v>5.4513400000000001</c:v>
                </c:pt>
                <c:pt idx="323">
                  <c:v>5.4879999999999995</c:v>
                </c:pt>
                <c:pt idx="324">
                  <c:v>5.6141899999999998</c:v>
                </c:pt>
                <c:pt idx="325">
                  <c:v>5.4311100000000003</c:v>
                </c:pt>
                <c:pt idx="326">
                  <c:v>5.1839599999999999</c:v>
                </c:pt>
                <c:pt idx="327">
                  <c:v>5.0688500000000003</c:v>
                </c:pt>
                <c:pt idx="328">
                  <c:v>5.1229899999999997</c:v>
                </c:pt>
                <c:pt idx="329">
                  <c:v>4.9785500000000003</c:v>
                </c:pt>
                <c:pt idx="330">
                  <c:v>5.1005799999999999</c:v>
                </c:pt>
                <c:pt idx="331">
                  <c:v>5.0870999999999995</c:v>
                </c:pt>
                <c:pt idx="332">
                  <c:v>4.9727600000000001</c:v>
                </c:pt>
                <c:pt idx="333">
                  <c:v>4.90761</c:v>
                </c:pt>
                <c:pt idx="334">
                  <c:v>4.8786500000000004</c:v>
                </c:pt>
                <c:pt idx="335">
                  <c:v>4.7846000000000002</c:v>
                </c:pt>
                <c:pt idx="336">
                  <c:v>4.6575299999999995</c:v>
                </c:pt>
                <c:pt idx="337">
                  <c:v>4.5816800000000004</c:v>
                </c:pt>
                <c:pt idx="338">
                  <c:v>4.4358899999999997</c:v>
                </c:pt>
                <c:pt idx="339">
                  <c:v>4.5544799999999999</c:v>
                </c:pt>
                <c:pt idx="340">
                  <c:v>4.5509300000000001</c:v>
                </c:pt>
                <c:pt idx="341">
                  <c:v>4.6208</c:v>
                </c:pt>
                <c:pt idx="342">
                  <c:v>4.7721100000000005</c:v>
                </c:pt>
                <c:pt idx="343">
                  <c:v>4.8164199999999999</c:v>
                </c:pt>
                <c:pt idx="344">
                  <c:v>4.6713300000000002</c:v>
                </c:pt>
                <c:pt idx="345">
                  <c:v>4.6752799999999999</c:v>
                </c:pt>
                <c:pt idx="346">
                  <c:v>4.6235600000000003</c:v>
                </c:pt>
                <c:pt idx="347">
                  <c:v>4.6291799999999999</c:v>
                </c:pt>
                <c:pt idx="348">
                  <c:v>4.6291799999999999</c:v>
                </c:pt>
                <c:pt idx="349">
                  <c:v>4.60182</c:v>
                </c:pt>
                <c:pt idx="350">
                  <c:v>4.4817099999999996</c:v>
                </c:pt>
                <c:pt idx="351">
                  <c:v>4.42049</c:v>
                </c:pt>
                <c:pt idx="352">
                  <c:v>4.3613299999999997</c:v>
                </c:pt>
                <c:pt idx="353">
                  <c:v>4.2976600000000005</c:v>
                </c:pt>
                <c:pt idx="354">
                  <c:v>4.2976000000000001</c:v>
                </c:pt>
                <c:pt idx="355">
                  <c:v>4.3617799999999995</c:v>
                </c:pt>
                <c:pt idx="356">
                  <c:v>4.4645200000000003</c:v>
                </c:pt>
                <c:pt idx="357">
                  <c:v>4.4044600000000003</c:v>
                </c:pt>
                <c:pt idx="358">
                  <c:v>4.2662100000000001</c:v>
                </c:pt>
                <c:pt idx="359">
                  <c:v>4.2386499999999998</c:v>
                </c:pt>
                <c:pt idx="360">
                  <c:v>4.3208599999999997</c:v>
                </c:pt>
                <c:pt idx="361">
                  <c:v>4.2747999999999999</c:v>
                </c:pt>
                <c:pt idx="362">
                  <c:v>4.2388500000000002</c:v>
                </c:pt>
                <c:pt idx="363">
                  <c:v>4.2465299999999999</c:v>
                </c:pt>
                <c:pt idx="364">
                  <c:v>4.2531599999999994</c:v>
                </c:pt>
                <c:pt idx="365">
                  <c:v>4.2449300000000001</c:v>
                </c:pt>
                <c:pt idx="366">
                  <c:v>4.1896499999999994</c:v>
                </c:pt>
                <c:pt idx="367">
                  <c:v>4.2798300000000005</c:v>
                </c:pt>
                <c:pt idx="368">
                  <c:v>4.2798300000000005</c:v>
                </c:pt>
                <c:pt idx="369">
                  <c:v>4.21793</c:v>
                </c:pt>
                <c:pt idx="370">
                  <c:v>4.23041</c:v>
                </c:pt>
                <c:pt idx="371">
                  <c:v>4.2140899999999997</c:v>
                </c:pt>
                <c:pt idx="372">
                  <c:v>4.2564600000000006</c:v>
                </c:pt>
                <c:pt idx="373">
                  <c:v>4.1989299999999998</c:v>
                </c:pt>
                <c:pt idx="374">
                  <c:v>4.1472600000000002</c:v>
                </c:pt>
                <c:pt idx="375">
                  <c:v>4.0635500000000002</c:v>
                </c:pt>
                <c:pt idx="376">
                  <c:v>4.01471</c:v>
                </c:pt>
                <c:pt idx="377">
                  <c:v>3.9118499999999998</c:v>
                </c:pt>
                <c:pt idx="378">
                  <c:v>3.9159600000000001</c:v>
                </c:pt>
                <c:pt idx="379">
                  <c:v>4.0066199999999998</c:v>
                </c:pt>
                <c:pt idx="380">
                  <c:v>3.9955500000000002</c:v>
                </c:pt>
                <c:pt idx="381">
                  <c:v>3.9756900000000002</c:v>
                </c:pt>
                <c:pt idx="382">
                  <c:v>3.9513799999999999</c:v>
                </c:pt>
                <c:pt idx="383">
                  <c:v>3.9596399999999998</c:v>
                </c:pt>
                <c:pt idx="384">
                  <c:v>3.9554300000000002</c:v>
                </c:pt>
                <c:pt idx="385">
                  <c:v>3.9188600000000005</c:v>
                </c:pt>
                <c:pt idx="386">
                  <c:v>3.88971</c:v>
                </c:pt>
                <c:pt idx="387">
                  <c:v>3.8867500000000001</c:v>
                </c:pt>
                <c:pt idx="388">
                  <c:v>3.8986299999999998</c:v>
                </c:pt>
                <c:pt idx="389">
                  <c:v>3.9032900000000001</c:v>
                </c:pt>
                <c:pt idx="390">
                  <c:v>3.9372099999999999</c:v>
                </c:pt>
                <c:pt idx="391">
                  <c:v>3.9440900000000001</c:v>
                </c:pt>
                <c:pt idx="392">
                  <c:v>3.9785300000000001</c:v>
                </c:pt>
                <c:pt idx="393">
                  <c:v>3.9960000000000004</c:v>
                </c:pt>
                <c:pt idx="394">
                  <c:v>4.0544900000000004</c:v>
                </c:pt>
                <c:pt idx="395">
                  <c:v>4.06677</c:v>
                </c:pt>
                <c:pt idx="396">
                  <c:v>4.1116399999999995</c:v>
                </c:pt>
                <c:pt idx="397">
                  <c:v>4.0257699999999996</c:v>
                </c:pt>
                <c:pt idx="398">
                  <c:v>3.9684699999999999</c:v>
                </c:pt>
                <c:pt idx="399">
                  <c:v>3.9510300000000003</c:v>
                </c:pt>
                <c:pt idx="400">
                  <c:v>3.9274900000000001</c:v>
                </c:pt>
                <c:pt idx="401">
                  <c:v>3.8752499999999999</c:v>
                </c:pt>
                <c:pt idx="402">
                  <c:v>3.8523499999999999</c:v>
                </c:pt>
                <c:pt idx="403">
                  <c:v>3.99899</c:v>
                </c:pt>
                <c:pt idx="404">
                  <c:v>4.0057600000000004</c:v>
                </c:pt>
                <c:pt idx="405">
                  <c:v>3.9721199999999999</c:v>
                </c:pt>
                <c:pt idx="406">
                  <c:v>3.99221</c:v>
                </c:pt>
                <c:pt idx="407">
                  <c:v>3.9702999999999999</c:v>
                </c:pt>
                <c:pt idx="408">
                  <c:v>3.9799700000000002</c:v>
                </c:pt>
                <c:pt idx="409">
                  <c:v>3.9948299999999999</c:v>
                </c:pt>
                <c:pt idx="410">
                  <c:v>3.9728500000000002</c:v>
                </c:pt>
                <c:pt idx="411">
                  <c:v>3.9425299999999996</c:v>
                </c:pt>
                <c:pt idx="412">
                  <c:v>3.9677199999999999</c:v>
                </c:pt>
                <c:pt idx="413">
                  <c:v>3.9414800000000003</c:v>
                </c:pt>
                <c:pt idx="414">
                  <c:v>3.9336700000000002</c:v>
                </c:pt>
                <c:pt idx="415">
                  <c:v>3.92448</c:v>
                </c:pt>
                <c:pt idx="416">
                  <c:v>3.93472</c:v>
                </c:pt>
                <c:pt idx="417">
                  <c:v>3.9565199999999998</c:v>
                </c:pt>
                <c:pt idx="418">
                  <c:v>4.0305799999999996</c:v>
                </c:pt>
                <c:pt idx="419">
                  <c:v>4.0254099999999999</c:v>
                </c:pt>
                <c:pt idx="420">
                  <c:v>4.0553400000000002</c:v>
                </c:pt>
                <c:pt idx="421">
                  <c:v>3.9731099999999997</c:v>
                </c:pt>
                <c:pt idx="422">
                  <c:v>3.9182600000000001</c:v>
                </c:pt>
                <c:pt idx="423">
                  <c:v>3.89811</c:v>
                </c:pt>
                <c:pt idx="424">
                  <c:v>3.87947</c:v>
                </c:pt>
                <c:pt idx="425">
                  <c:v>3.8880700000000004</c:v>
                </c:pt>
                <c:pt idx="426">
                  <c:v>3.9571800000000001</c:v>
                </c:pt>
                <c:pt idx="427">
                  <c:v>3.9264600000000001</c:v>
                </c:pt>
                <c:pt idx="428">
                  <c:v>3.9047300000000003</c:v>
                </c:pt>
                <c:pt idx="429">
                  <c:v>3.8075200000000002</c:v>
                </c:pt>
                <c:pt idx="430">
                  <c:v>3.7220400000000002</c:v>
                </c:pt>
                <c:pt idx="431">
                  <c:v>3.6986900000000005</c:v>
                </c:pt>
                <c:pt idx="432">
                  <c:v>3.6780500000000003</c:v>
                </c:pt>
                <c:pt idx="433">
                  <c:v>3.6780500000000003</c:v>
                </c:pt>
                <c:pt idx="434">
                  <c:v>3.63978</c:v>
                </c:pt>
                <c:pt idx="435">
                  <c:v>3.6610300000000002</c:v>
                </c:pt>
                <c:pt idx="436">
                  <c:v>3.6971800000000004</c:v>
                </c:pt>
                <c:pt idx="437">
                  <c:v>3.69712</c:v>
                </c:pt>
                <c:pt idx="438">
                  <c:v>3.6854199999999997</c:v>
                </c:pt>
                <c:pt idx="439">
                  <c:v>3.6671100000000001</c:v>
                </c:pt>
                <c:pt idx="440">
                  <c:v>3.6892</c:v>
                </c:pt>
                <c:pt idx="441">
                  <c:v>3.7113200000000002</c:v>
                </c:pt>
                <c:pt idx="442">
                  <c:v>3.64879</c:v>
                </c:pt>
                <c:pt idx="443">
                  <c:v>3.7305099999999998</c:v>
                </c:pt>
                <c:pt idx="444">
                  <c:v>3.76152</c:v>
                </c:pt>
                <c:pt idx="445">
                  <c:v>3.7691000000000003</c:v>
                </c:pt>
                <c:pt idx="446">
                  <c:v>3.8465800000000003</c:v>
                </c:pt>
                <c:pt idx="447">
                  <c:v>3.9831699999999999</c:v>
                </c:pt>
                <c:pt idx="448">
                  <c:v>4.1362899999999998</c:v>
                </c:pt>
                <c:pt idx="449">
                  <c:v>4.0251100000000006</c:v>
                </c:pt>
                <c:pt idx="450">
                  <c:v>4.0736600000000003</c:v>
                </c:pt>
                <c:pt idx="451">
                  <c:v>4.2081299999999997</c:v>
                </c:pt>
                <c:pt idx="452">
                  <c:v>4.3724099999999995</c:v>
                </c:pt>
                <c:pt idx="453">
                  <c:v>4.4097900000000001</c:v>
                </c:pt>
                <c:pt idx="454">
                  <c:v>4.5472000000000001</c:v>
                </c:pt>
                <c:pt idx="455">
                  <c:v>4.3497000000000003</c:v>
                </c:pt>
                <c:pt idx="456">
                  <c:v>4.3251200000000001</c:v>
                </c:pt>
                <c:pt idx="457">
                  <c:v>4.4093099999999996</c:v>
                </c:pt>
                <c:pt idx="458">
                  <c:v>4.3453400000000002</c:v>
                </c:pt>
                <c:pt idx="459">
                  <c:v>4.2908999999999997</c:v>
                </c:pt>
                <c:pt idx="460">
                  <c:v>4.3155000000000001</c:v>
                </c:pt>
                <c:pt idx="461">
                  <c:v>4.17462</c:v>
                </c:pt>
                <c:pt idx="462">
                  <c:v>4.2411599999999998</c:v>
                </c:pt>
                <c:pt idx="463">
                  <c:v>4.2525700000000004</c:v>
                </c:pt>
                <c:pt idx="464">
                  <c:v>4.2709200000000003</c:v>
                </c:pt>
                <c:pt idx="465">
                  <c:v>4.2386900000000001</c:v>
                </c:pt>
                <c:pt idx="466">
                  <c:v>4.3372099999999998</c:v>
                </c:pt>
                <c:pt idx="467">
                  <c:v>4.3200200000000004</c:v>
                </c:pt>
                <c:pt idx="468">
                  <c:v>4.4027799999999999</c:v>
                </c:pt>
                <c:pt idx="469">
                  <c:v>4.35433</c:v>
                </c:pt>
                <c:pt idx="470">
                  <c:v>4.3163499999999999</c:v>
                </c:pt>
                <c:pt idx="471">
                  <c:v>4.4631299999999996</c:v>
                </c:pt>
                <c:pt idx="472">
                  <c:v>4.51973</c:v>
                </c:pt>
                <c:pt idx="473">
                  <c:v>4.4900599999999997</c:v>
                </c:pt>
                <c:pt idx="474">
                  <c:v>4.2458800000000005</c:v>
                </c:pt>
                <c:pt idx="475">
                  <c:v>4.2185600000000001</c:v>
                </c:pt>
                <c:pt idx="476">
                  <c:v>4.2502800000000001</c:v>
                </c:pt>
                <c:pt idx="477">
                  <c:v>4.2330800000000002</c:v>
                </c:pt>
                <c:pt idx="478">
                  <c:v>4.1583699999999997</c:v>
                </c:pt>
                <c:pt idx="479">
                  <c:v>4.0799900000000004</c:v>
                </c:pt>
                <c:pt idx="480">
                  <c:v>3.9362400000000002</c:v>
                </c:pt>
                <c:pt idx="481">
                  <c:v>3.8142800000000001</c:v>
                </c:pt>
                <c:pt idx="482">
                  <c:v>3.7237</c:v>
                </c:pt>
                <c:pt idx="483">
                  <c:v>3.6127899999999999</c:v>
                </c:pt>
                <c:pt idx="484">
                  <c:v>3.6819799999999998</c:v>
                </c:pt>
                <c:pt idx="485">
                  <c:v>3.6779299999999999</c:v>
                </c:pt>
                <c:pt idx="486">
                  <c:v>3.7196499999999997</c:v>
                </c:pt>
                <c:pt idx="487">
                  <c:v>3.68702</c:v>
                </c:pt>
                <c:pt idx="488">
                  <c:v>3.6541399999999999</c:v>
                </c:pt>
                <c:pt idx="489">
                  <c:v>3.7510000000000003</c:v>
                </c:pt>
                <c:pt idx="490">
                  <c:v>3.9236900000000001</c:v>
                </c:pt>
                <c:pt idx="491">
                  <c:v>4.2386099999999995</c:v>
                </c:pt>
                <c:pt idx="492">
                  <c:v>4.2212899999999998</c:v>
                </c:pt>
                <c:pt idx="493">
                  <c:v>4.1604899999999994</c:v>
                </c:pt>
                <c:pt idx="494">
                  <c:v>4.7456300000000002</c:v>
                </c:pt>
                <c:pt idx="495">
                  <c:v>4.6459999999999999</c:v>
                </c:pt>
                <c:pt idx="496">
                  <c:v>4.69808</c:v>
                </c:pt>
                <c:pt idx="497">
                  <c:v>5.0269300000000001</c:v>
                </c:pt>
                <c:pt idx="498">
                  <c:v>5.1515099999999991</c:v>
                </c:pt>
                <c:pt idx="499">
                  <c:v>5.2511699999999992</c:v>
                </c:pt>
                <c:pt idx="500">
                  <c:v>5.4310999999999998</c:v>
                </c:pt>
                <c:pt idx="501">
                  <c:v>5.6327200000000008</c:v>
                </c:pt>
                <c:pt idx="502">
                  <c:v>5.7349899999999998</c:v>
                </c:pt>
                <c:pt idx="503">
                  <c:v>5.6938399999999998</c:v>
                </c:pt>
                <c:pt idx="504">
                  <c:v>5.2644799999999998</c:v>
                </c:pt>
                <c:pt idx="505">
                  <c:v>5.0108499999999996</c:v>
                </c:pt>
                <c:pt idx="506">
                  <c:v>5.1232799999999994</c:v>
                </c:pt>
                <c:pt idx="507">
                  <c:v>5.2979799999999999</c:v>
                </c:pt>
                <c:pt idx="508">
                  <c:v>5.5335900000000002</c:v>
                </c:pt>
                <c:pt idx="509">
                  <c:v>5.5428800000000003</c:v>
                </c:pt>
                <c:pt idx="510">
                  <c:v>5.5558399999999999</c:v>
                </c:pt>
                <c:pt idx="511">
                  <c:v>5.6030899999999999</c:v>
                </c:pt>
                <c:pt idx="512">
                  <c:v>6.2235699999999996</c:v>
                </c:pt>
                <c:pt idx="513">
                  <c:v>7.0062499999999996</c:v>
                </c:pt>
                <c:pt idx="514">
                  <c:v>6.5653899999999998</c:v>
                </c:pt>
                <c:pt idx="515">
                  <c:v>6.3452200000000003</c:v>
                </c:pt>
                <c:pt idx="516">
                  <c:v>5.7865000000000002</c:v>
                </c:pt>
                <c:pt idx="517">
                  <c:v>5.7841499999999995</c:v>
                </c:pt>
                <c:pt idx="518">
                  <c:v>5.7841499999999995</c:v>
                </c:pt>
                <c:pt idx="519">
                  <c:v>5.7841499999999995</c:v>
                </c:pt>
                <c:pt idx="520">
                  <c:v>5.7143600000000001</c:v>
                </c:pt>
                <c:pt idx="521">
                  <c:v>5.7230699999999999</c:v>
                </c:pt>
                <c:pt idx="522">
                  <c:v>5.73855</c:v>
                </c:pt>
                <c:pt idx="523">
                  <c:v>5.73855</c:v>
                </c:pt>
                <c:pt idx="524">
                  <c:v>5.85717</c:v>
                </c:pt>
                <c:pt idx="525">
                  <c:v>5.8261300000000009</c:v>
                </c:pt>
                <c:pt idx="526">
                  <c:v>5.9276599999999995</c:v>
                </c:pt>
                <c:pt idx="527">
                  <c:v>5.9934599999999998</c:v>
                </c:pt>
                <c:pt idx="528">
                  <c:v>6.1254499999999998</c:v>
                </c:pt>
                <c:pt idx="529">
                  <c:v>5.9978300000000004</c:v>
                </c:pt>
                <c:pt idx="530">
                  <c:v>5.7335299999999991</c:v>
                </c:pt>
                <c:pt idx="531">
                  <c:v>5.4859499999999999</c:v>
                </c:pt>
                <c:pt idx="532">
                  <c:v>5.5781899999999993</c:v>
                </c:pt>
                <c:pt idx="533">
                  <c:v>5.5818200000000004</c:v>
                </c:pt>
                <c:pt idx="534">
                  <c:v>5.5595000000000008</c:v>
                </c:pt>
                <c:pt idx="535">
                  <c:v>5.4692400000000001</c:v>
                </c:pt>
                <c:pt idx="536">
                  <c:v>5.2200300000000004</c:v>
                </c:pt>
                <c:pt idx="537">
                  <c:v>5.1907800000000002</c:v>
                </c:pt>
                <c:pt idx="538">
                  <c:v>5.2976800000000006</c:v>
                </c:pt>
                <c:pt idx="539">
                  <c:v>5.3312900000000001</c:v>
                </c:pt>
                <c:pt idx="540">
                  <c:v>5.0929099999999998</c:v>
                </c:pt>
                <c:pt idx="541">
                  <c:v>4.9816199999999995</c:v>
                </c:pt>
                <c:pt idx="542">
                  <c:v>5.1023100000000001</c:v>
                </c:pt>
                <c:pt idx="543">
                  <c:v>5.0838900000000002</c:v>
                </c:pt>
                <c:pt idx="544">
                  <c:v>5.0674700000000001</c:v>
                </c:pt>
                <c:pt idx="545">
                  <c:v>4.9803100000000002</c:v>
                </c:pt>
                <c:pt idx="546">
                  <c:v>4.9907300000000001</c:v>
                </c:pt>
                <c:pt idx="547">
                  <c:v>5.0345899999999997</c:v>
                </c:pt>
                <c:pt idx="548">
                  <c:v>5.0719000000000003</c:v>
                </c:pt>
                <c:pt idx="549">
                  <c:v>5.0143700000000004</c:v>
                </c:pt>
                <c:pt idx="550">
                  <c:v>4.7475699999999996</c:v>
                </c:pt>
                <c:pt idx="551">
                  <c:v>4.5214299999999996</c:v>
                </c:pt>
                <c:pt idx="552">
                  <c:v>4.5055900000000007</c:v>
                </c:pt>
                <c:pt idx="553">
                  <c:v>4.5969099999999994</c:v>
                </c:pt>
                <c:pt idx="554">
                  <c:v>4.6200599999999996</c:v>
                </c:pt>
                <c:pt idx="555">
                  <c:v>4.6461600000000001</c:v>
                </c:pt>
                <c:pt idx="556">
                  <c:v>4.7452999999999994</c:v>
                </c:pt>
                <c:pt idx="557">
                  <c:v>4.7759499999999999</c:v>
                </c:pt>
                <c:pt idx="558">
                  <c:v>4.7999299999999998</c:v>
                </c:pt>
                <c:pt idx="559">
                  <c:v>4.80375</c:v>
                </c:pt>
                <c:pt idx="560">
                  <c:v>4.9117700000000006</c:v>
                </c:pt>
                <c:pt idx="561">
                  <c:v>5.5285099999999998</c:v>
                </c:pt>
                <c:pt idx="562">
                  <c:v>5.0964999999999998</c:v>
                </c:pt>
                <c:pt idx="563">
                  <c:v>5.2992999999999997</c:v>
                </c:pt>
                <c:pt idx="564">
                  <c:v>5.34293</c:v>
                </c:pt>
                <c:pt idx="565">
                  <c:v>5.4200400000000002</c:v>
                </c:pt>
                <c:pt idx="566">
                  <c:v>5.5660100000000003</c:v>
                </c:pt>
                <c:pt idx="567">
                  <c:v>6.1178599999999994</c:v>
                </c:pt>
                <c:pt idx="568">
                  <c:v>6.7568299999999999</c:v>
                </c:pt>
                <c:pt idx="569">
                  <c:v>6.6698400000000007</c:v>
                </c:pt>
                <c:pt idx="570">
                  <c:v>6.1178599999999994</c:v>
                </c:pt>
                <c:pt idx="571">
                  <c:v>6.1343499999999995</c:v>
                </c:pt>
                <c:pt idx="572">
                  <c:v>5.9681699999999998</c:v>
                </c:pt>
                <c:pt idx="573">
                  <c:v>5.8231500000000009</c:v>
                </c:pt>
                <c:pt idx="574">
                  <c:v>5.4004600000000007</c:v>
                </c:pt>
                <c:pt idx="575">
                  <c:v>4.8846499999999997</c:v>
                </c:pt>
                <c:pt idx="576">
                  <c:v>5.0516300000000003</c:v>
                </c:pt>
                <c:pt idx="577">
                  <c:v>5.12256</c:v>
                </c:pt>
                <c:pt idx="578">
                  <c:v>5.0050400000000002</c:v>
                </c:pt>
                <c:pt idx="579">
                  <c:v>4.9973399999999994</c:v>
                </c:pt>
                <c:pt idx="580">
                  <c:v>4.9756599999999995</c:v>
                </c:pt>
                <c:pt idx="581">
                  <c:v>5.0046200000000001</c:v>
                </c:pt>
                <c:pt idx="582">
                  <c:v>4.78918</c:v>
                </c:pt>
                <c:pt idx="583">
                  <c:v>4.7147500000000004</c:v>
                </c:pt>
                <c:pt idx="584">
                  <c:v>4.3913799999999998</c:v>
                </c:pt>
                <c:pt idx="585">
                  <c:v>4.4535299999999998</c:v>
                </c:pt>
                <c:pt idx="586">
                  <c:v>4.4005799999999997</c:v>
                </c:pt>
                <c:pt idx="587">
                  <c:v>4.3542000000000005</c:v>
                </c:pt>
                <c:pt idx="588">
                  <c:v>4.3406400000000005</c:v>
                </c:pt>
                <c:pt idx="589">
                  <c:v>4.29542</c:v>
                </c:pt>
                <c:pt idx="590">
                  <c:v>4.5689700000000002</c:v>
                </c:pt>
                <c:pt idx="591">
                  <c:v>4.7086900000000007</c:v>
                </c:pt>
                <c:pt idx="592">
                  <c:v>4.6810799999999997</c:v>
                </c:pt>
                <c:pt idx="593">
                  <c:v>4.71835</c:v>
                </c:pt>
                <c:pt idx="594">
                  <c:v>4.7618599999999995</c:v>
                </c:pt>
                <c:pt idx="595">
                  <c:v>4.8078899999999996</c:v>
                </c:pt>
                <c:pt idx="596">
                  <c:v>4.61327</c:v>
                </c:pt>
                <c:pt idx="597">
                  <c:v>4.6033900000000001</c:v>
                </c:pt>
                <c:pt idx="598">
                  <c:v>4.6120999999999999</c:v>
                </c:pt>
                <c:pt idx="599">
                  <c:v>4.6342499999999998</c:v>
                </c:pt>
                <c:pt idx="600">
                  <c:v>4.4328099999999999</c:v>
                </c:pt>
                <c:pt idx="601">
                  <c:v>4.3293200000000001</c:v>
                </c:pt>
                <c:pt idx="602">
                  <c:v>4.4065199999999995</c:v>
                </c:pt>
                <c:pt idx="603">
                  <c:v>4.6573099999999998</c:v>
                </c:pt>
                <c:pt idx="604">
                  <c:v>4.5769500000000001</c:v>
                </c:pt>
                <c:pt idx="605">
                  <c:v>4.6176500000000003</c:v>
                </c:pt>
                <c:pt idx="606">
                  <c:v>4.5578399999999997</c:v>
                </c:pt>
                <c:pt idx="607">
                  <c:v>4.5844199999999997</c:v>
                </c:pt>
                <c:pt idx="608">
                  <c:v>4.5844199999999997</c:v>
                </c:pt>
                <c:pt idx="609">
                  <c:v>4.7531400000000001</c:v>
                </c:pt>
                <c:pt idx="610">
                  <c:v>4.6874599999999997</c:v>
                </c:pt>
                <c:pt idx="611">
                  <c:v>4.7559300000000002</c:v>
                </c:pt>
                <c:pt idx="612">
                  <c:v>5.1366399999999999</c:v>
                </c:pt>
                <c:pt idx="613">
                  <c:v>5.5689000000000002</c:v>
                </c:pt>
                <c:pt idx="614">
                  <c:v>5.8124099999999999</c:v>
                </c:pt>
                <c:pt idx="615">
                  <c:v>5.6759199999999996</c:v>
                </c:pt>
                <c:pt idx="616">
                  <c:v>5.9327099999999993</c:v>
                </c:pt>
                <c:pt idx="617">
                  <c:v>6.07803</c:v>
                </c:pt>
                <c:pt idx="618">
                  <c:v>6.2521699999999996</c:v>
                </c:pt>
                <c:pt idx="619">
                  <c:v>5.8995199999999999</c:v>
                </c:pt>
                <c:pt idx="620">
                  <c:v>5.9549900000000004</c:v>
                </c:pt>
                <c:pt idx="621">
                  <c:v>6.1924199999999994</c:v>
                </c:pt>
                <c:pt idx="622">
                  <c:v>6.06576</c:v>
                </c:pt>
                <c:pt idx="623">
                  <c:v>5.7669299999999994</c:v>
                </c:pt>
                <c:pt idx="624">
                  <c:v>6.12866</c:v>
                </c:pt>
                <c:pt idx="625">
                  <c:v>6.17333</c:v>
                </c:pt>
                <c:pt idx="626">
                  <c:v>5.9899400000000007</c:v>
                </c:pt>
                <c:pt idx="627">
                  <c:v>5.8458699999999997</c:v>
                </c:pt>
                <c:pt idx="628">
                  <c:v>5.8181200000000004</c:v>
                </c:pt>
                <c:pt idx="629">
                  <c:v>5.7791200000000007</c:v>
                </c:pt>
                <c:pt idx="630">
                  <c:v>5.6640099999999993</c:v>
                </c:pt>
                <c:pt idx="631">
                  <c:v>5.6640099999999993</c:v>
                </c:pt>
                <c:pt idx="632">
                  <c:v>5.6640099999999993</c:v>
                </c:pt>
                <c:pt idx="633">
                  <c:v>5.6173000000000002</c:v>
                </c:pt>
                <c:pt idx="634">
                  <c:v>5.9626800000000006</c:v>
                </c:pt>
                <c:pt idx="635">
                  <c:v>6.6857100000000003</c:v>
                </c:pt>
                <c:pt idx="636">
                  <c:v>7.0634299999999994</c:v>
                </c:pt>
                <c:pt idx="637">
                  <c:v>7.56569</c:v>
                </c:pt>
                <c:pt idx="638">
                  <c:v>8.2452100000000002</c:v>
                </c:pt>
                <c:pt idx="639">
                  <c:v>7.5906200000000004</c:v>
                </c:pt>
                <c:pt idx="640">
                  <c:v>7.0736099999999995</c:v>
                </c:pt>
                <c:pt idx="641">
                  <c:v>7.3483499999999999</c:v>
                </c:pt>
                <c:pt idx="642">
                  <c:v>7.1606300000000003</c:v>
                </c:pt>
                <c:pt idx="643">
                  <c:v>7.0518799999999997</c:v>
                </c:pt>
                <c:pt idx="644">
                  <c:v>6.7518399999999996</c:v>
                </c:pt>
                <c:pt idx="645">
                  <c:v>6.6301099999999993</c:v>
                </c:pt>
                <c:pt idx="646">
                  <c:v>6.5374599999999994</c:v>
                </c:pt>
                <c:pt idx="647">
                  <c:v>6.2697699999999994</c:v>
                </c:pt>
                <c:pt idx="648">
                  <c:v>5.8929100000000005</c:v>
                </c:pt>
                <c:pt idx="649">
                  <c:v>6.3957299999999995</c:v>
                </c:pt>
                <c:pt idx="650">
                  <c:v>7.1164399999999999</c:v>
                </c:pt>
                <c:pt idx="651">
                  <c:v>7.46509</c:v>
                </c:pt>
                <c:pt idx="652">
                  <c:v>7.3204799999999999</c:v>
                </c:pt>
                <c:pt idx="653">
                  <c:v>7.3839800000000002</c:v>
                </c:pt>
                <c:pt idx="654">
                  <c:v>7.5859799999999993</c:v>
                </c:pt>
                <c:pt idx="655">
                  <c:v>7.5428899999999999</c:v>
                </c:pt>
                <c:pt idx="656">
                  <c:v>7.5314399999999999</c:v>
                </c:pt>
                <c:pt idx="657">
                  <c:v>7.6173199999999994</c:v>
                </c:pt>
                <c:pt idx="658">
                  <c:v>7.9246600000000003</c:v>
                </c:pt>
                <c:pt idx="659">
                  <c:v>8.4906699999999997</c:v>
                </c:pt>
                <c:pt idx="660">
                  <c:v>8.5652799999999996</c:v>
                </c:pt>
                <c:pt idx="661">
                  <c:v>8.6988599999999998</c:v>
                </c:pt>
                <c:pt idx="662">
                  <c:v>8.6259300000000003</c:v>
                </c:pt>
                <c:pt idx="663">
                  <c:v>7.9202499999999993</c:v>
                </c:pt>
                <c:pt idx="664">
                  <c:v>7.7202900000000003</c:v>
                </c:pt>
                <c:pt idx="665">
                  <c:v>7.2168799999999997</c:v>
                </c:pt>
                <c:pt idx="666">
                  <c:v>7.2759799999999997</c:v>
                </c:pt>
                <c:pt idx="667">
                  <c:v>7.4674100000000001</c:v>
                </c:pt>
                <c:pt idx="668">
                  <c:v>7.5903799999999997</c:v>
                </c:pt>
                <c:pt idx="669">
                  <c:v>8.0125299999999999</c:v>
                </c:pt>
                <c:pt idx="670">
                  <c:v>8.0071700000000003</c:v>
                </c:pt>
                <c:pt idx="671">
                  <c:v>7.6128299999999998</c:v>
                </c:pt>
                <c:pt idx="672">
                  <c:v>7.12256</c:v>
                </c:pt>
                <c:pt idx="673">
                  <c:v>6.5074900000000007</c:v>
                </c:pt>
                <c:pt idx="674">
                  <c:v>6.4694700000000003</c:v>
                </c:pt>
                <c:pt idx="675">
                  <c:v>6.1348500000000001</c:v>
                </c:pt>
                <c:pt idx="676">
                  <c:v>5.61653</c:v>
                </c:pt>
                <c:pt idx="677">
                  <c:v>5.3265899999999995</c:v>
                </c:pt>
                <c:pt idx="678">
                  <c:v>5.2104200000000001</c:v>
                </c:pt>
                <c:pt idx="679">
                  <c:v>5.1533799999999994</c:v>
                </c:pt>
                <c:pt idx="680">
                  <c:v>5.0372899999999996</c:v>
                </c:pt>
                <c:pt idx="681">
                  <c:v>4.7642899999999999</c:v>
                </c:pt>
                <c:pt idx="682">
                  <c:v>4.7997399999999999</c:v>
                </c:pt>
                <c:pt idx="683">
                  <c:v>5.08005</c:v>
                </c:pt>
                <c:pt idx="684">
                  <c:v>5.5663</c:v>
                </c:pt>
                <c:pt idx="685">
                  <c:v>5.6253599999999997</c:v>
                </c:pt>
                <c:pt idx="686">
                  <c:v>6.1855399999999996</c:v>
                </c:pt>
                <c:pt idx="687">
                  <c:v>6.3979999999999997</c:v>
                </c:pt>
                <c:pt idx="688">
                  <c:v>6.5206600000000003</c:v>
                </c:pt>
                <c:pt idx="689">
                  <c:v>6.3067100000000007</c:v>
                </c:pt>
                <c:pt idx="690">
                  <c:v>5.8352399999999998</c:v>
                </c:pt>
                <c:pt idx="691">
                  <c:v>5.7148199999999996</c:v>
                </c:pt>
                <c:pt idx="692">
                  <c:v>5.7504400000000002</c:v>
                </c:pt>
                <c:pt idx="693">
                  <c:v>5.7504400000000002</c:v>
                </c:pt>
                <c:pt idx="694">
                  <c:v>6.0341800000000001</c:v>
                </c:pt>
                <c:pt idx="695">
                  <c:v>6.1360099999999997</c:v>
                </c:pt>
                <c:pt idx="696">
                  <c:v>6.2022699999999995</c:v>
                </c:pt>
                <c:pt idx="697">
                  <c:v>5.7921100000000001</c:v>
                </c:pt>
                <c:pt idx="698">
                  <c:v>5.8727999999999998</c:v>
                </c:pt>
                <c:pt idx="699">
                  <c:v>5.6687500000000002</c:v>
                </c:pt>
                <c:pt idx="700">
                  <c:v>5.6815599999999993</c:v>
                </c:pt>
                <c:pt idx="701">
                  <c:v>5.5442</c:v>
                </c:pt>
                <c:pt idx="702">
                  <c:v>5.1212800000000005</c:v>
                </c:pt>
                <c:pt idx="703">
                  <c:v>4.8181700000000003</c:v>
                </c:pt>
                <c:pt idx="704">
                  <c:v>5.0585599999999999</c:v>
                </c:pt>
                <c:pt idx="705">
                  <c:v>5.1945299999999994</c:v>
                </c:pt>
                <c:pt idx="706">
                  <c:v>5.2966499999999996</c:v>
                </c:pt>
                <c:pt idx="707">
                  <c:v>5.6480700000000006</c:v>
                </c:pt>
                <c:pt idx="708">
                  <c:v>5.6480700000000006</c:v>
                </c:pt>
                <c:pt idx="709">
                  <c:v>5.6388499999999997</c:v>
                </c:pt>
                <c:pt idx="710">
                  <c:v>5.2064399999999997</c:v>
                </c:pt>
                <c:pt idx="711">
                  <c:v>5.2442799999999998</c:v>
                </c:pt>
                <c:pt idx="712">
                  <c:v>5.4437499999999996</c:v>
                </c:pt>
                <c:pt idx="713">
                  <c:v>5.5204499999999994</c:v>
                </c:pt>
                <c:pt idx="714">
                  <c:v>5.2921400000000007</c:v>
                </c:pt>
                <c:pt idx="715">
                  <c:v>5.54373</c:v>
                </c:pt>
                <c:pt idx="716">
                  <c:v>5.3193200000000003</c:v>
                </c:pt>
                <c:pt idx="717">
                  <c:v>5.1818899999999992</c:v>
                </c:pt>
                <c:pt idx="718">
                  <c:v>5.16751</c:v>
                </c:pt>
                <c:pt idx="719">
                  <c:v>4.8591800000000003</c:v>
                </c:pt>
                <c:pt idx="720">
                  <c:v>5.03627</c:v>
                </c:pt>
                <c:pt idx="721">
                  <c:v>5.0327400000000004</c:v>
                </c:pt>
                <c:pt idx="722">
                  <c:v>5.1481399999999997</c:v>
                </c:pt>
                <c:pt idx="723">
                  <c:v>5.1892700000000005</c:v>
                </c:pt>
                <c:pt idx="724">
                  <c:v>5.1419500000000005</c:v>
                </c:pt>
                <c:pt idx="725">
                  <c:v>5.0288700000000004</c:v>
                </c:pt>
                <c:pt idx="726">
                  <c:v>5.1443700000000003</c:v>
                </c:pt>
                <c:pt idx="727">
                  <c:v>4.9473799999999999</c:v>
                </c:pt>
                <c:pt idx="728">
                  <c:v>4.8555700000000002</c:v>
                </c:pt>
                <c:pt idx="729">
                  <c:v>4.6048499999999999</c:v>
                </c:pt>
                <c:pt idx="730">
                  <c:v>4.5362200000000001</c:v>
                </c:pt>
                <c:pt idx="731">
                  <c:v>4.5495700000000001</c:v>
                </c:pt>
                <c:pt idx="732">
                  <c:v>4.5977999999999994</c:v>
                </c:pt>
                <c:pt idx="733">
                  <c:v>4.3895200000000001</c:v>
                </c:pt>
                <c:pt idx="734">
                  <c:v>4.0002699999999995</c:v>
                </c:pt>
                <c:pt idx="735">
                  <c:v>3.7723500000000003</c:v>
                </c:pt>
                <c:pt idx="736">
                  <c:v>3.8269799999999998</c:v>
                </c:pt>
                <c:pt idx="737">
                  <c:v>3.7639900000000002</c:v>
                </c:pt>
                <c:pt idx="738">
                  <c:v>3.7403500000000003</c:v>
                </c:pt>
                <c:pt idx="739">
                  <c:v>3.5427200000000001</c:v>
                </c:pt>
                <c:pt idx="740">
                  <c:v>3.4383400000000002</c:v>
                </c:pt>
                <c:pt idx="741">
                  <c:v>3.4016299999999999</c:v>
                </c:pt>
                <c:pt idx="742">
                  <c:v>3.1244900000000002</c:v>
                </c:pt>
                <c:pt idx="743">
                  <c:v>2.94713</c:v>
                </c:pt>
                <c:pt idx="744">
                  <c:v>2.9226100000000002</c:v>
                </c:pt>
                <c:pt idx="745">
                  <c:v>2.9837099999999999</c:v>
                </c:pt>
                <c:pt idx="746">
                  <c:v>2.9520200000000001</c:v>
                </c:pt>
                <c:pt idx="747">
                  <c:v>2.8186800000000001</c:v>
                </c:pt>
                <c:pt idx="748">
                  <c:v>2.9687200000000002</c:v>
                </c:pt>
                <c:pt idx="749">
                  <c:v>2.91615</c:v>
                </c:pt>
                <c:pt idx="750">
                  <c:v>3.0696099999999999</c:v>
                </c:pt>
                <c:pt idx="751">
                  <c:v>3.40598</c:v>
                </c:pt>
                <c:pt idx="752">
                  <c:v>3.35277</c:v>
                </c:pt>
                <c:pt idx="753">
                  <c:v>3.3702999999999999</c:v>
                </c:pt>
                <c:pt idx="754">
                  <c:v>3.2172699999999996</c:v>
                </c:pt>
                <c:pt idx="755">
                  <c:v>3.0547399999999998</c:v>
                </c:pt>
                <c:pt idx="756">
                  <c:v>2.8792800000000001</c:v>
                </c:pt>
                <c:pt idx="757">
                  <c:v>2.8499599999999998</c:v>
                </c:pt>
                <c:pt idx="758">
                  <c:v>2.8831799999999999</c:v>
                </c:pt>
                <c:pt idx="759">
                  <c:v>2.8524200000000004</c:v>
                </c:pt>
                <c:pt idx="760">
                  <c:v>2.6792399999999996</c:v>
                </c:pt>
                <c:pt idx="761">
                  <c:v>2.7093000000000003</c:v>
                </c:pt>
                <c:pt idx="762">
                  <c:v>2.7026400000000002</c:v>
                </c:pt>
                <c:pt idx="763">
                  <c:v>2.6414800000000001</c:v>
                </c:pt>
                <c:pt idx="764">
                  <c:v>2.70045</c:v>
                </c:pt>
                <c:pt idx="765">
                  <c:v>2.8215400000000002</c:v>
                </c:pt>
                <c:pt idx="766">
                  <c:v>2.7976299999999998</c:v>
                </c:pt>
                <c:pt idx="767">
                  <c:v>2.69089</c:v>
                </c:pt>
                <c:pt idx="768">
                  <c:v>2.65299</c:v>
                </c:pt>
                <c:pt idx="769">
                  <c:v>2.6737200000000003</c:v>
                </c:pt>
                <c:pt idx="770">
                  <c:v>2.8598599999999998</c:v>
                </c:pt>
                <c:pt idx="771">
                  <c:v>2.9159500000000005</c:v>
                </c:pt>
                <c:pt idx="772">
                  <c:v>2.98177</c:v>
                </c:pt>
                <c:pt idx="773">
                  <c:v>3.0277400000000001</c:v>
                </c:pt>
                <c:pt idx="774">
                  <c:v>3.0701299999999998</c:v>
                </c:pt>
                <c:pt idx="775">
                  <c:v>3.0059699999999996</c:v>
                </c:pt>
                <c:pt idx="776">
                  <c:v>3.0288099999999996</c:v>
                </c:pt>
                <c:pt idx="777">
                  <c:v>2.9637700000000002</c:v>
                </c:pt>
                <c:pt idx="778">
                  <c:v>2.9637099999999998</c:v>
                </c:pt>
                <c:pt idx="779">
                  <c:v>2.9637099999999998</c:v>
                </c:pt>
                <c:pt idx="780">
                  <c:v>2.8754500000000003</c:v>
                </c:pt>
                <c:pt idx="781">
                  <c:v>2.9224400000000004</c:v>
                </c:pt>
                <c:pt idx="782">
                  <c:v>2.8965699999999996</c:v>
                </c:pt>
                <c:pt idx="783">
                  <c:v>2.7280700000000002</c:v>
                </c:pt>
                <c:pt idx="784">
                  <c:v>2.6044299999999998</c:v>
                </c:pt>
                <c:pt idx="785">
                  <c:v>2.6479599999999999</c:v>
                </c:pt>
                <c:pt idx="786">
                  <c:v>2.7637799999999997</c:v>
                </c:pt>
                <c:pt idx="787">
                  <c:v>2.9176500000000001</c:v>
                </c:pt>
                <c:pt idx="788">
                  <c:v>2.9306900000000002</c:v>
                </c:pt>
                <c:pt idx="789">
                  <c:v>3.1187200000000002</c:v>
                </c:pt>
                <c:pt idx="790">
                  <c:v>3.1835199999999997</c:v>
                </c:pt>
                <c:pt idx="791">
                  <c:v>3.2612599999999996</c:v>
                </c:pt>
                <c:pt idx="792">
                  <c:v>3.26397</c:v>
                </c:pt>
                <c:pt idx="793">
                  <c:v>3.2827199999999999</c:v>
                </c:pt>
                <c:pt idx="794">
                  <c:v>3.3761900000000002</c:v>
                </c:pt>
                <c:pt idx="795">
                  <c:v>3.3668299999999998</c:v>
                </c:pt>
                <c:pt idx="796">
                  <c:v>3.48841</c:v>
                </c:pt>
                <c:pt idx="797">
                  <c:v>3.4379899999999997</c:v>
                </c:pt>
                <c:pt idx="798">
                  <c:v>3.2804199999999999</c:v>
                </c:pt>
                <c:pt idx="799">
                  <c:v>3.2006999999999999</c:v>
                </c:pt>
                <c:pt idx="800">
                  <c:v>3.2778100000000001</c:v>
                </c:pt>
                <c:pt idx="801">
                  <c:v>3.2512400000000001</c:v>
                </c:pt>
                <c:pt idx="802">
                  <c:v>3.2591000000000001</c:v>
                </c:pt>
                <c:pt idx="803">
                  <c:v>3.3106999999999998</c:v>
                </c:pt>
                <c:pt idx="804">
                  <c:v>3.3536799999999998</c:v>
                </c:pt>
                <c:pt idx="805">
                  <c:v>3.19991</c:v>
                </c:pt>
                <c:pt idx="806">
                  <c:v>3.0337999999999998</c:v>
                </c:pt>
                <c:pt idx="807">
                  <c:v>3.1286100000000001</c:v>
                </c:pt>
                <c:pt idx="808">
                  <c:v>3.3027800000000003</c:v>
                </c:pt>
                <c:pt idx="809">
                  <c:v>3.3161700000000001</c:v>
                </c:pt>
                <c:pt idx="810">
                  <c:v>3.3515499999999996</c:v>
                </c:pt>
                <c:pt idx="811">
                  <c:v>3.3058100000000001</c:v>
                </c:pt>
                <c:pt idx="812">
                  <c:v>3.35419</c:v>
                </c:pt>
                <c:pt idx="813">
                  <c:v>3.5117099999999999</c:v>
                </c:pt>
                <c:pt idx="814">
                  <c:v>3.4232100000000001</c:v>
                </c:pt>
                <c:pt idx="815">
                  <c:v>3.4199000000000002</c:v>
                </c:pt>
                <c:pt idx="816">
                  <c:v>3.3946699999999996</c:v>
                </c:pt>
                <c:pt idx="817">
                  <c:v>3.5566000000000004</c:v>
                </c:pt>
                <c:pt idx="818">
                  <c:v>3.5625599999999995</c:v>
                </c:pt>
                <c:pt idx="819">
                  <c:v>3.7676400000000001</c:v>
                </c:pt>
                <c:pt idx="820">
                  <c:v>3.7696800000000001</c:v>
                </c:pt>
                <c:pt idx="821">
                  <c:v>3.4906200000000003</c:v>
                </c:pt>
                <c:pt idx="822">
                  <c:v>3.55484</c:v>
                </c:pt>
                <c:pt idx="823">
                  <c:v>3.51322</c:v>
                </c:pt>
                <c:pt idx="824">
                  <c:v>3.4149200000000004</c:v>
                </c:pt>
                <c:pt idx="825">
                  <c:v>3.24072</c:v>
                </c:pt>
                <c:pt idx="826">
                  <c:v>3.2973399999999997</c:v>
                </c:pt>
                <c:pt idx="827">
                  <c:v>3.3116099999999999</c:v>
                </c:pt>
                <c:pt idx="828">
                  <c:v>3.0209199999999998</c:v>
                </c:pt>
                <c:pt idx="829">
                  <c:v>2.8913500000000001</c:v>
                </c:pt>
                <c:pt idx="830">
                  <c:v>2.8837000000000002</c:v>
                </c:pt>
                <c:pt idx="831">
                  <c:v>2.9658600000000002</c:v>
                </c:pt>
                <c:pt idx="832">
                  <c:v>3.2063600000000001</c:v>
                </c:pt>
                <c:pt idx="833">
                  <c:v>3.67794</c:v>
                </c:pt>
                <c:pt idx="834">
                  <c:v>3.3857699999999999</c:v>
                </c:pt>
                <c:pt idx="835">
                  <c:v>3.9537599999999999</c:v>
                </c:pt>
                <c:pt idx="836">
                  <c:v>3.3368599999999997</c:v>
                </c:pt>
                <c:pt idx="837">
                  <c:v>3.47899</c:v>
                </c:pt>
                <c:pt idx="838">
                  <c:v>3.50854</c:v>
                </c:pt>
                <c:pt idx="839">
                  <c:v>3.1645800000000004</c:v>
                </c:pt>
                <c:pt idx="840">
                  <c:v>3.22038</c:v>
                </c:pt>
                <c:pt idx="841">
                  <c:v>3.1749000000000001</c:v>
                </c:pt>
                <c:pt idx="842">
                  <c:v>3.2604600000000001</c:v>
                </c:pt>
                <c:pt idx="843">
                  <c:v>3.0511300000000001</c:v>
                </c:pt>
                <c:pt idx="844">
                  <c:v>3.05491</c:v>
                </c:pt>
                <c:pt idx="845">
                  <c:v>2.9479700000000002</c:v>
                </c:pt>
                <c:pt idx="846">
                  <c:v>2.9350499999999999</c:v>
                </c:pt>
                <c:pt idx="847">
                  <c:v>2.9473399999999996</c:v>
                </c:pt>
                <c:pt idx="848">
                  <c:v>3.09544</c:v>
                </c:pt>
                <c:pt idx="849">
                  <c:v>3.2412900000000002</c:v>
                </c:pt>
                <c:pt idx="850">
                  <c:v>3.5211200000000002</c:v>
                </c:pt>
                <c:pt idx="851">
                  <c:v>3.4542000000000002</c:v>
                </c:pt>
                <c:pt idx="852">
                  <c:v>3.2629899999999998</c:v>
                </c:pt>
                <c:pt idx="853">
                  <c:v>3.2356400000000001</c:v>
                </c:pt>
                <c:pt idx="854">
                  <c:v>3.1675200000000001</c:v>
                </c:pt>
                <c:pt idx="855">
                  <c:v>3.15794</c:v>
                </c:pt>
                <c:pt idx="856">
                  <c:v>3.1485300000000001</c:v>
                </c:pt>
                <c:pt idx="857">
                  <c:v>3.0150599999999996</c:v>
                </c:pt>
                <c:pt idx="858">
                  <c:v>3.0318299999999998</c:v>
                </c:pt>
                <c:pt idx="859">
                  <c:v>3.1468799999999999</c:v>
                </c:pt>
                <c:pt idx="860">
                  <c:v>3.3196699999999999</c:v>
                </c:pt>
                <c:pt idx="861">
                  <c:v>3.77658</c:v>
                </c:pt>
                <c:pt idx="862">
                  <c:v>3.8692500000000001</c:v>
                </c:pt>
                <c:pt idx="863">
                  <c:v>4.29061</c:v>
                </c:pt>
                <c:pt idx="864">
                  <c:v>4.3437200000000002</c:v>
                </c:pt>
                <c:pt idx="865">
                  <c:v>4.3020199999999997</c:v>
                </c:pt>
                <c:pt idx="866">
                  <c:v>4.1055599999999997</c:v>
                </c:pt>
                <c:pt idx="867">
                  <c:v>4.0756499999999996</c:v>
                </c:pt>
                <c:pt idx="868">
                  <c:v>4.0367600000000001</c:v>
                </c:pt>
                <c:pt idx="869">
                  <c:v>4.4089400000000003</c:v>
                </c:pt>
                <c:pt idx="870">
                  <c:v>4.4382700000000002</c:v>
                </c:pt>
                <c:pt idx="871">
                  <c:v>4.7647599999999999</c:v>
                </c:pt>
                <c:pt idx="872">
                  <c:v>4.75596</c:v>
                </c:pt>
                <c:pt idx="873">
                  <c:v>4.7225000000000001</c:v>
                </c:pt>
                <c:pt idx="874">
                  <c:v>4.78878</c:v>
                </c:pt>
                <c:pt idx="875">
                  <c:v>4.5715699999999995</c:v>
                </c:pt>
                <c:pt idx="876">
                  <c:v>4.0824099999999994</c:v>
                </c:pt>
                <c:pt idx="877">
                  <c:v>4.1216600000000003</c:v>
                </c:pt>
                <c:pt idx="878">
                  <c:v>6.0188699999999997</c:v>
                </c:pt>
                <c:pt idx="879">
                  <c:v>6.2999800000000006</c:v>
                </c:pt>
                <c:pt idx="880">
                  <c:v>6.7440700000000007</c:v>
                </c:pt>
                <c:pt idx="881">
                  <c:v>6.4563300000000003</c:v>
                </c:pt>
                <c:pt idx="882">
                  <c:v>6.1727200000000009</c:v>
                </c:pt>
                <c:pt idx="883">
                  <c:v>6.5286499999999998</c:v>
                </c:pt>
                <c:pt idx="884">
                  <c:v>6.3038400000000001</c:v>
                </c:pt>
                <c:pt idx="885">
                  <c:v>5.9918899999999997</c:v>
                </c:pt>
                <c:pt idx="886">
                  <c:v>5.9728200000000005</c:v>
                </c:pt>
                <c:pt idx="887">
                  <c:v>5.6331199999999999</c:v>
                </c:pt>
                <c:pt idx="888">
                  <c:v>5.7852599999999992</c:v>
                </c:pt>
                <c:pt idx="889">
                  <c:v>5.7852599999999992</c:v>
                </c:pt>
              </c:numCache>
            </c:numRef>
          </c:val>
          <c:smooth val="0"/>
          <c:extLst>
            <c:ext xmlns:c16="http://schemas.microsoft.com/office/drawing/2014/chart" uri="{C3380CC4-5D6E-409C-BE32-E72D297353CC}">
              <c16:uniqueId val="{0000000A-5560-4D07-B97F-4AA9E95DFDA5}"/>
            </c:ext>
          </c:extLst>
        </c:ser>
        <c:dLbls>
          <c:showLegendKey val="0"/>
          <c:showVal val="0"/>
          <c:showCatName val="0"/>
          <c:showSerName val="0"/>
          <c:showPercent val="0"/>
          <c:showBubbleSize val="0"/>
        </c:dLbls>
        <c:marker val="1"/>
        <c:smooth val="0"/>
        <c:axId val="-32516256"/>
        <c:axId val="-32523328"/>
      </c:lineChart>
      <c:lineChart>
        <c:grouping val="standard"/>
        <c:varyColors val="0"/>
        <c:ser>
          <c:idx val="2"/>
          <c:order val="2"/>
          <c:tx>
            <c:strRef>
              <c:f>Sheet1!$D$1</c:f>
              <c:strCache>
                <c:ptCount val="1"/>
                <c:pt idx="0">
                  <c:v>Ռուսաստան (2029թ.), աջ առանցք</c:v>
                </c:pt>
              </c:strCache>
            </c:strRef>
          </c:tx>
          <c:spPr>
            <a:ln w="19050" cap="rnd">
              <a:solidFill>
                <a:srgbClr val="7030A0"/>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Sheet1!$D$2:$D$1428</c:f>
            </c:numRef>
          </c:val>
          <c:smooth val="0"/>
          <c:extLst>
            <c:ext xmlns:c16="http://schemas.microsoft.com/office/drawing/2014/chart" uri="{C3380CC4-5D6E-409C-BE32-E72D297353CC}">
              <c16:uniqueId val="{00000005-5560-4D07-B97F-4AA9E95DFDA5}"/>
            </c:ext>
          </c:extLst>
        </c:ser>
        <c:ser>
          <c:idx val="5"/>
          <c:order val="5"/>
          <c:tx>
            <c:strRef>
              <c:f>Sheet1!$G$1</c:f>
              <c:strCache>
                <c:ptCount val="1"/>
                <c:pt idx="0">
                  <c:v>Բելառուս (2030թ.), աջ առանցք</c:v>
                </c:pt>
              </c:strCache>
            </c:strRef>
          </c:tx>
          <c:spPr>
            <a:ln w="19050" cap="rnd">
              <a:solidFill>
                <a:schemeClr val="accent6"/>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Sheet1!$G$2:$G$1428</c:f>
              <c:numCache>
                <c:formatCode>0</c:formatCode>
                <c:ptCount val="1166"/>
                <c:pt idx="0">
                  <c:v>3.4331999999999998</c:v>
                </c:pt>
                <c:pt idx="1">
                  <c:v>3.4136099999999998</c:v>
                </c:pt>
                <c:pt idx="2">
                  <c:v>3.49376</c:v>
                </c:pt>
                <c:pt idx="3">
                  <c:v>3.4681900000000003</c:v>
                </c:pt>
                <c:pt idx="4">
                  <c:v>3.4144999999999999</c:v>
                </c:pt>
                <c:pt idx="5">
                  <c:v>3.3253199999999996</c:v>
                </c:pt>
                <c:pt idx="6">
                  <c:v>3.2725499999999998</c:v>
                </c:pt>
                <c:pt idx="7">
                  <c:v>3.2515899999999998</c:v>
                </c:pt>
                <c:pt idx="8">
                  <c:v>3.1492399999999998</c:v>
                </c:pt>
                <c:pt idx="9">
                  <c:v>3.0291600000000001</c:v>
                </c:pt>
                <c:pt idx="10">
                  <c:v>3.1019999999999999</c:v>
                </c:pt>
                <c:pt idx="11">
                  <c:v>3.07579</c:v>
                </c:pt>
                <c:pt idx="12">
                  <c:v>3.0705200000000001</c:v>
                </c:pt>
                <c:pt idx="13">
                  <c:v>3.0830900000000003</c:v>
                </c:pt>
                <c:pt idx="14">
                  <c:v>3.14323</c:v>
                </c:pt>
                <c:pt idx="15">
                  <c:v>3.1459600000000001</c:v>
                </c:pt>
                <c:pt idx="16">
                  <c:v>3.2414900000000002</c:v>
                </c:pt>
                <c:pt idx="17">
                  <c:v>3.2929899999999996</c:v>
                </c:pt>
                <c:pt idx="18">
                  <c:v>3.4174500000000001</c:v>
                </c:pt>
                <c:pt idx="19">
                  <c:v>3.3599400000000004</c:v>
                </c:pt>
                <c:pt idx="20">
                  <c:v>3.3976600000000001</c:v>
                </c:pt>
                <c:pt idx="21">
                  <c:v>3.4724200000000001</c:v>
                </c:pt>
                <c:pt idx="22">
                  <c:v>3.4966399999999997</c:v>
                </c:pt>
                <c:pt idx="23">
                  <c:v>3.53484</c:v>
                </c:pt>
                <c:pt idx="24">
                  <c:v>3.4551499999999997</c:v>
                </c:pt>
                <c:pt idx="25">
                  <c:v>3.4055900000000001</c:v>
                </c:pt>
                <c:pt idx="26">
                  <c:v>3.3777300000000001</c:v>
                </c:pt>
                <c:pt idx="27">
                  <c:v>3.4399299999999999</c:v>
                </c:pt>
                <c:pt idx="28">
                  <c:v>3.4760199999999997</c:v>
                </c:pt>
                <c:pt idx="29">
                  <c:v>3.4222800000000002</c:v>
                </c:pt>
                <c:pt idx="30">
                  <c:v>3.3860899999999998</c:v>
                </c:pt>
                <c:pt idx="31">
                  <c:v>3.4101900000000001</c:v>
                </c:pt>
                <c:pt idx="32">
                  <c:v>3.3205800000000001</c:v>
                </c:pt>
                <c:pt idx="33">
                  <c:v>3.3071199999999998</c:v>
                </c:pt>
                <c:pt idx="34">
                  <c:v>3.3534199999999998</c:v>
                </c:pt>
                <c:pt idx="35">
                  <c:v>3.3306900000000002</c:v>
                </c:pt>
                <c:pt idx="36">
                  <c:v>3.3472199999999996</c:v>
                </c:pt>
                <c:pt idx="37">
                  <c:v>3.3709100000000003</c:v>
                </c:pt>
                <c:pt idx="38">
                  <c:v>3.5189900000000001</c:v>
                </c:pt>
                <c:pt idx="39">
                  <c:v>3.5809100000000003</c:v>
                </c:pt>
                <c:pt idx="40">
                  <c:v>3.6190499999999997</c:v>
                </c:pt>
                <c:pt idx="41">
                  <c:v>3.7658800000000001</c:v>
                </c:pt>
                <c:pt idx="42">
                  <c:v>4.0785099999999996</c:v>
                </c:pt>
                <c:pt idx="43">
                  <c:v>4.1559300000000006</c:v>
                </c:pt>
                <c:pt idx="44">
                  <c:v>4.1040000000000001</c:v>
                </c:pt>
                <c:pt idx="45">
                  <c:v>4.1387</c:v>
                </c:pt>
                <c:pt idx="46">
                  <c:v>4.1994999999999996</c:v>
                </c:pt>
                <c:pt idx="47">
                  <c:v>4.47682</c:v>
                </c:pt>
                <c:pt idx="48">
                  <c:v>5.2569100000000004</c:v>
                </c:pt>
                <c:pt idx="49">
                  <c:v>4.9741099999999996</c:v>
                </c:pt>
                <c:pt idx="50">
                  <c:v>5.0152999999999999</c:v>
                </c:pt>
                <c:pt idx="51">
                  <c:v>5.6714099999999998</c:v>
                </c:pt>
                <c:pt idx="52">
                  <c:v>5.5679499999999997</c:v>
                </c:pt>
                <c:pt idx="53">
                  <c:v>6.1747299999999994</c:v>
                </c:pt>
                <c:pt idx="54">
                  <c:v>6.3757700000000002</c:v>
                </c:pt>
                <c:pt idx="55">
                  <c:v>6.5768700000000004</c:v>
                </c:pt>
                <c:pt idx="56">
                  <c:v>6.8675899999999999</c:v>
                </c:pt>
                <c:pt idx="57">
                  <c:v>6.8869299999999996</c:v>
                </c:pt>
                <c:pt idx="58">
                  <c:v>7.4549199999999995</c:v>
                </c:pt>
                <c:pt idx="59">
                  <c:v>7.2374400000000003</c:v>
                </c:pt>
                <c:pt idx="60">
                  <c:v>7.2650800000000002</c:v>
                </c:pt>
                <c:pt idx="61">
                  <c:v>6.4798099999999996</c:v>
                </c:pt>
                <c:pt idx="62">
                  <c:v>6.7319399999999998</c:v>
                </c:pt>
                <c:pt idx="63">
                  <c:v>6.9291700000000001</c:v>
                </c:pt>
                <c:pt idx="64">
                  <c:v>6.7230100000000004</c:v>
                </c:pt>
                <c:pt idx="65">
                  <c:v>6.8551900000000003</c:v>
                </c:pt>
                <c:pt idx="66">
                  <c:v>6.8349300000000008</c:v>
                </c:pt>
                <c:pt idx="67">
                  <c:v>6.6477300000000001</c:v>
                </c:pt>
                <c:pt idx="68">
                  <c:v>6.4524699999999999</c:v>
                </c:pt>
                <c:pt idx="69">
                  <c:v>6.2053899999999995</c:v>
                </c:pt>
                <c:pt idx="70">
                  <c:v>6.5146900000000008</c:v>
                </c:pt>
                <c:pt idx="71">
                  <c:v>6.5819799999999997</c:v>
                </c:pt>
                <c:pt idx="72">
                  <c:v>6.5819799999999997</c:v>
                </c:pt>
                <c:pt idx="73">
                  <c:v>6.5819799999999997</c:v>
                </c:pt>
                <c:pt idx="74">
                  <c:v>6.3940900000000003</c:v>
                </c:pt>
                <c:pt idx="75">
                  <c:v>6.5370600000000003</c:v>
                </c:pt>
                <c:pt idx="76">
                  <c:v>6.5913599999999999</c:v>
                </c:pt>
                <c:pt idx="77">
                  <c:v>6.56</c:v>
                </c:pt>
                <c:pt idx="78">
                  <c:v>6.5845099999999999</c:v>
                </c:pt>
                <c:pt idx="79">
                  <c:v>6.9237000000000002</c:v>
                </c:pt>
                <c:pt idx="80">
                  <c:v>7.0126900000000001</c:v>
                </c:pt>
                <c:pt idx="81">
                  <c:v>6.9347099999999999</c:v>
                </c:pt>
                <c:pt idx="82">
                  <c:v>7.0578499999999993</c:v>
                </c:pt>
                <c:pt idx="83">
                  <c:v>6.9976400000000005</c:v>
                </c:pt>
                <c:pt idx="84">
                  <c:v>7.0966700000000005</c:v>
                </c:pt>
                <c:pt idx="85">
                  <c:v>7.0130699999999999</c:v>
                </c:pt>
                <c:pt idx="86">
                  <c:v>6.9985200000000001</c:v>
                </c:pt>
                <c:pt idx="87">
                  <c:v>7.0168200000000001</c:v>
                </c:pt>
                <c:pt idx="88">
                  <c:v>7.02766</c:v>
                </c:pt>
                <c:pt idx="89">
                  <c:v>6.9272499999999999</c:v>
                </c:pt>
                <c:pt idx="90">
                  <c:v>6.9188900000000002</c:v>
                </c:pt>
                <c:pt idx="91">
                  <c:v>6.8513300000000008</c:v>
                </c:pt>
                <c:pt idx="92">
                  <c:v>6.8513300000000008</c:v>
                </c:pt>
                <c:pt idx="93">
                  <c:v>6.6547299999999998</c:v>
                </c:pt>
                <c:pt idx="94">
                  <c:v>6.5649499999999996</c:v>
                </c:pt>
                <c:pt idx="95">
                  <c:v>6.4309099999999999</c:v>
                </c:pt>
                <c:pt idx="96">
                  <c:v>6.5194700000000001</c:v>
                </c:pt>
                <c:pt idx="97">
                  <c:v>6.2477599999999995</c:v>
                </c:pt>
                <c:pt idx="98">
                  <c:v>6.0249199999999998</c:v>
                </c:pt>
                <c:pt idx="99">
                  <c:v>5.9454700000000003</c:v>
                </c:pt>
                <c:pt idx="100">
                  <c:v>5.8578900000000003</c:v>
                </c:pt>
                <c:pt idx="101">
                  <c:v>5.7579700000000003</c:v>
                </c:pt>
                <c:pt idx="102">
                  <c:v>5.8238900000000005</c:v>
                </c:pt>
                <c:pt idx="103">
                  <c:v>5.8238900000000005</c:v>
                </c:pt>
                <c:pt idx="104">
                  <c:v>5.6603399999999997</c:v>
                </c:pt>
                <c:pt idx="105">
                  <c:v>5.6937600000000002</c:v>
                </c:pt>
                <c:pt idx="106">
                  <c:v>5.6407899999999991</c:v>
                </c:pt>
                <c:pt idx="107">
                  <c:v>5.7013599999999993</c:v>
                </c:pt>
                <c:pt idx="108">
                  <c:v>5.6485000000000003</c:v>
                </c:pt>
                <c:pt idx="109">
                  <c:v>5.5653499999999996</c:v>
                </c:pt>
                <c:pt idx="110">
                  <c:v>5.3794199999999996</c:v>
                </c:pt>
                <c:pt idx="111">
                  <c:v>5.3857200000000001</c:v>
                </c:pt>
                <c:pt idx="112">
                  <c:v>5.2736000000000001</c:v>
                </c:pt>
                <c:pt idx="113">
                  <c:v>5.2056500000000003</c:v>
                </c:pt>
                <c:pt idx="114">
                  <c:v>5.2457700000000003</c:v>
                </c:pt>
                <c:pt idx="115">
                  <c:v>5.1831800000000001</c:v>
                </c:pt>
                <c:pt idx="116">
                  <c:v>5.4781300000000002</c:v>
                </c:pt>
                <c:pt idx="117">
                  <c:v>5.4456600000000002</c:v>
                </c:pt>
                <c:pt idx="118">
                  <c:v>5.5619199999999998</c:v>
                </c:pt>
                <c:pt idx="119">
                  <c:v>5.4867299999999997</c:v>
                </c:pt>
                <c:pt idx="120">
                  <c:v>5.6809799999999999</c:v>
                </c:pt>
                <c:pt idx="121">
                  <c:v>5.5254999999999992</c:v>
                </c:pt>
                <c:pt idx="122">
                  <c:v>5.5814899999999996</c:v>
                </c:pt>
                <c:pt idx="123">
                  <c:v>5.6471799999999996</c:v>
                </c:pt>
                <c:pt idx="124">
                  <c:v>5.70885</c:v>
                </c:pt>
                <c:pt idx="125">
                  <c:v>5.8235000000000001</c:v>
                </c:pt>
                <c:pt idx="126">
                  <c:v>6.1409500000000001</c:v>
                </c:pt>
                <c:pt idx="127">
                  <c:v>6.0896600000000003</c:v>
                </c:pt>
                <c:pt idx="128">
                  <c:v>6.1133299999999995</c:v>
                </c:pt>
                <c:pt idx="129">
                  <c:v>6.0968299999999997</c:v>
                </c:pt>
                <c:pt idx="130">
                  <c:v>6.0610999999999997</c:v>
                </c:pt>
                <c:pt idx="131">
                  <c:v>5.9352900000000002</c:v>
                </c:pt>
                <c:pt idx="132">
                  <c:v>5.9183000000000003</c:v>
                </c:pt>
                <c:pt idx="133">
                  <c:v>5.8745000000000003</c:v>
                </c:pt>
                <c:pt idx="134">
                  <c:v>5.9418100000000003</c:v>
                </c:pt>
                <c:pt idx="135">
                  <c:v>6.0167700000000002</c:v>
                </c:pt>
                <c:pt idx="136">
                  <c:v>6.1102999999999996</c:v>
                </c:pt>
                <c:pt idx="137">
                  <c:v>6.1635499999999999</c:v>
                </c:pt>
                <c:pt idx="138">
                  <c:v>6.1769000000000007</c:v>
                </c:pt>
                <c:pt idx="139">
                  <c:v>6.4341900000000001</c:v>
                </c:pt>
                <c:pt idx="140">
                  <c:v>6.4045699999999997</c:v>
                </c:pt>
                <c:pt idx="141">
                  <c:v>6.4726499999999998</c:v>
                </c:pt>
                <c:pt idx="142">
                  <c:v>6.4565599999999996</c:v>
                </c:pt>
                <c:pt idx="143">
                  <c:v>6.4774800000000008</c:v>
                </c:pt>
                <c:pt idx="144">
                  <c:v>6.5304700000000002</c:v>
                </c:pt>
                <c:pt idx="145">
                  <c:v>6.5920399999999999</c:v>
                </c:pt>
                <c:pt idx="146">
                  <c:v>6.5526499999999999</c:v>
                </c:pt>
                <c:pt idx="147">
                  <c:v>6.57057</c:v>
                </c:pt>
                <c:pt idx="148">
                  <c:v>6.5007799999999998</c:v>
                </c:pt>
                <c:pt idx="149">
                  <c:v>6.5034700000000001</c:v>
                </c:pt>
                <c:pt idx="150">
                  <c:v>6.2784599999999999</c:v>
                </c:pt>
                <c:pt idx="151">
                  <c:v>6.3242999999999991</c:v>
                </c:pt>
                <c:pt idx="152">
                  <c:v>6.1371199999999995</c:v>
                </c:pt>
                <c:pt idx="153">
                  <c:v>6.0755499999999998</c:v>
                </c:pt>
                <c:pt idx="154">
                  <c:v>6.0225800000000005</c:v>
                </c:pt>
                <c:pt idx="155">
                  <c:v>5.9429100000000004</c:v>
                </c:pt>
                <c:pt idx="156">
                  <c:v>5.9531600000000005</c:v>
                </c:pt>
                <c:pt idx="157">
                  <c:v>5.9439000000000002</c:v>
                </c:pt>
                <c:pt idx="158">
                  <c:v>6.1718200000000003</c:v>
                </c:pt>
                <c:pt idx="159">
                  <c:v>6.1794799999999999</c:v>
                </c:pt>
                <c:pt idx="160">
                  <c:v>6.0643200000000004</c:v>
                </c:pt>
                <c:pt idx="161">
                  <c:v>6.4132000000000007</c:v>
                </c:pt>
                <c:pt idx="162">
                  <c:v>6.6824199999999996</c:v>
                </c:pt>
                <c:pt idx="163">
                  <c:v>7.0987900000000002</c:v>
                </c:pt>
                <c:pt idx="164">
                  <c:v>6.65639</c:v>
                </c:pt>
                <c:pt idx="165">
                  <c:v>6.5812900000000001</c:v>
                </c:pt>
                <c:pt idx="166">
                  <c:v>6.6796400000000009</c:v>
                </c:pt>
                <c:pt idx="167">
                  <c:v>6.6724300000000003</c:v>
                </c:pt>
                <c:pt idx="168">
                  <c:v>6.7707799999999994</c:v>
                </c:pt>
                <c:pt idx="169">
                  <c:v>6.7442999999999991</c:v>
                </c:pt>
                <c:pt idx="170">
                  <c:v>6.7172000000000001</c:v>
                </c:pt>
                <c:pt idx="171">
                  <c:v>6.4120699999999999</c:v>
                </c:pt>
                <c:pt idx="172">
                  <c:v>6.4303300000000005</c:v>
                </c:pt>
                <c:pt idx="173">
                  <c:v>6.4303300000000005</c:v>
                </c:pt>
                <c:pt idx="174">
                  <c:v>6.2885200000000001</c:v>
                </c:pt>
                <c:pt idx="175">
                  <c:v>6.2572400000000004</c:v>
                </c:pt>
                <c:pt idx="176">
                  <c:v>6.2854299999999999</c:v>
                </c:pt>
                <c:pt idx="177">
                  <c:v>6.1195000000000004</c:v>
                </c:pt>
                <c:pt idx="178">
                  <c:v>6.1694599999999999</c:v>
                </c:pt>
                <c:pt idx="179">
                  <c:v>6.2953200000000002</c:v>
                </c:pt>
                <c:pt idx="180">
                  <c:v>6.3445799999999997</c:v>
                </c:pt>
                <c:pt idx="181">
                  <c:v>6.25143</c:v>
                </c:pt>
                <c:pt idx="182">
                  <c:v>6.2448800000000002</c:v>
                </c:pt>
                <c:pt idx="183">
                  <c:v>6.1780499999999998</c:v>
                </c:pt>
                <c:pt idx="184">
                  <c:v>6.1450100000000001</c:v>
                </c:pt>
                <c:pt idx="185">
                  <c:v>6.1953999999999994</c:v>
                </c:pt>
                <c:pt idx="186">
                  <c:v>6.1871499999999999</c:v>
                </c:pt>
                <c:pt idx="187">
                  <c:v>5.9424999999999999</c:v>
                </c:pt>
                <c:pt idx="188">
                  <c:v>6.2132299999999994</c:v>
                </c:pt>
                <c:pt idx="189">
                  <c:v>6.2054200000000002</c:v>
                </c:pt>
                <c:pt idx="190">
                  <c:v>6.3311300000000008</c:v>
                </c:pt>
                <c:pt idx="191">
                  <c:v>6.4913800000000004</c:v>
                </c:pt>
                <c:pt idx="192">
                  <c:v>6.4996600000000004</c:v>
                </c:pt>
                <c:pt idx="193">
                  <c:v>6.4341900000000001</c:v>
                </c:pt>
                <c:pt idx="194">
                  <c:v>6.4612999999999996</c:v>
                </c:pt>
                <c:pt idx="195">
                  <c:v>6.38443</c:v>
                </c:pt>
                <c:pt idx="196">
                  <c:v>6.2449900000000005</c:v>
                </c:pt>
                <c:pt idx="197">
                  <c:v>6.2305499999999991</c:v>
                </c:pt>
                <c:pt idx="198">
                  <c:v>6.1016099999999991</c:v>
                </c:pt>
                <c:pt idx="199">
                  <c:v>6.0206799999999996</c:v>
                </c:pt>
                <c:pt idx="200">
                  <c:v>5.9593499999999997</c:v>
                </c:pt>
                <c:pt idx="201">
                  <c:v>5.8982299999999999</c:v>
                </c:pt>
                <c:pt idx="202">
                  <c:v>5.8642799999999999</c:v>
                </c:pt>
                <c:pt idx="203">
                  <c:v>5.8697299999999997</c:v>
                </c:pt>
                <c:pt idx="204">
                  <c:v>5.9571100000000001</c:v>
                </c:pt>
                <c:pt idx="205">
                  <c:v>6.0522</c:v>
                </c:pt>
                <c:pt idx="206">
                  <c:v>6.3008299999999995</c:v>
                </c:pt>
                <c:pt idx="207">
                  <c:v>6.22729</c:v>
                </c:pt>
                <c:pt idx="208">
                  <c:v>6.1467499999999999</c:v>
                </c:pt>
                <c:pt idx="209">
                  <c:v>6.1294300000000002</c:v>
                </c:pt>
                <c:pt idx="210">
                  <c:v>6.0754399999999995</c:v>
                </c:pt>
                <c:pt idx="211">
                  <c:v>6.0755400000000002</c:v>
                </c:pt>
                <c:pt idx="212">
                  <c:v>6.0437400000000006</c:v>
                </c:pt>
                <c:pt idx="213">
                  <c:v>6.1363599999999998</c:v>
                </c:pt>
                <c:pt idx="214">
                  <c:v>6.1755700000000004</c:v>
                </c:pt>
                <c:pt idx="215">
                  <c:v>6.1989800000000006</c:v>
                </c:pt>
                <c:pt idx="216">
                  <c:v>6.1532200000000001</c:v>
                </c:pt>
                <c:pt idx="217">
                  <c:v>6.1147400000000003</c:v>
                </c:pt>
                <c:pt idx="218">
                  <c:v>6.18072</c:v>
                </c:pt>
                <c:pt idx="219">
                  <c:v>6.1184000000000003</c:v>
                </c:pt>
                <c:pt idx="220">
                  <c:v>6.0947199999999997</c:v>
                </c:pt>
                <c:pt idx="221">
                  <c:v>6.0241700000000007</c:v>
                </c:pt>
                <c:pt idx="222">
                  <c:v>6.0016999999999996</c:v>
                </c:pt>
                <c:pt idx="223">
                  <c:v>5.6474500000000001</c:v>
                </c:pt>
                <c:pt idx="224">
                  <c:v>5.6122000000000005</c:v>
                </c:pt>
                <c:pt idx="225">
                  <c:v>5.5159000000000002</c:v>
                </c:pt>
                <c:pt idx="226">
                  <c:v>5.5824199999999999</c:v>
                </c:pt>
                <c:pt idx="227">
                  <c:v>5.6139900000000003</c:v>
                </c:pt>
                <c:pt idx="228">
                  <c:v>5.6487999999999996</c:v>
                </c:pt>
                <c:pt idx="229">
                  <c:v>5.7632899999999996</c:v>
                </c:pt>
                <c:pt idx="230">
                  <c:v>5.7581199999999999</c:v>
                </c:pt>
                <c:pt idx="231">
                  <c:v>5.8289200000000001</c:v>
                </c:pt>
                <c:pt idx="232">
                  <c:v>5.8090299999999999</c:v>
                </c:pt>
                <c:pt idx="233">
                  <c:v>5.7526099999999998</c:v>
                </c:pt>
                <c:pt idx="234">
                  <c:v>5.6573599999999997</c:v>
                </c:pt>
                <c:pt idx="235">
                  <c:v>5.5189300000000001</c:v>
                </c:pt>
                <c:pt idx="236">
                  <c:v>5.5133700000000001</c:v>
                </c:pt>
                <c:pt idx="237">
                  <c:v>5.2990899999999996</c:v>
                </c:pt>
                <c:pt idx="238">
                  <c:v>5.2511800000000006</c:v>
                </c:pt>
                <c:pt idx="239">
                  <c:v>5.0068900000000003</c:v>
                </c:pt>
                <c:pt idx="240">
                  <c:v>4.9546799999999998</c:v>
                </c:pt>
                <c:pt idx="241">
                  <c:v>4.9110899999999997</c:v>
                </c:pt>
                <c:pt idx="242">
                  <c:v>4.7965200000000001</c:v>
                </c:pt>
                <c:pt idx="243">
                  <c:v>4.8656199999999998</c:v>
                </c:pt>
                <c:pt idx="244">
                  <c:v>4.88497</c:v>
                </c:pt>
                <c:pt idx="245">
                  <c:v>4.9069400000000005</c:v>
                </c:pt>
                <c:pt idx="246">
                  <c:v>4.9155300000000004</c:v>
                </c:pt>
                <c:pt idx="247">
                  <c:v>5.0394800000000002</c:v>
                </c:pt>
                <c:pt idx="248">
                  <c:v>5.0056599999999998</c:v>
                </c:pt>
                <c:pt idx="249">
                  <c:v>5.00474</c:v>
                </c:pt>
                <c:pt idx="250">
                  <c:v>5.0048500000000002</c:v>
                </c:pt>
                <c:pt idx="251">
                  <c:v>4.9721000000000002</c:v>
                </c:pt>
                <c:pt idx="252">
                  <c:v>4.9703300000000006</c:v>
                </c:pt>
                <c:pt idx="253">
                  <c:v>4.97804</c:v>
                </c:pt>
                <c:pt idx="254">
                  <c:v>5.0192000000000005</c:v>
                </c:pt>
                <c:pt idx="255">
                  <c:v>5.0341100000000001</c:v>
                </c:pt>
                <c:pt idx="256">
                  <c:v>5.0712599999999997</c:v>
                </c:pt>
                <c:pt idx="257">
                  <c:v>5.0712599999999997</c:v>
                </c:pt>
                <c:pt idx="258">
                  <c:v>5.0712599999999997</c:v>
                </c:pt>
                <c:pt idx="259">
                  <c:v>5.0259200000000002</c:v>
                </c:pt>
                <c:pt idx="260">
                  <c:v>4.9802200000000001</c:v>
                </c:pt>
                <c:pt idx="261">
                  <c:v>4.9967800000000002</c:v>
                </c:pt>
                <c:pt idx="262">
                  <c:v>4.9967800000000002</c:v>
                </c:pt>
                <c:pt idx="263">
                  <c:v>4.9401400000000004</c:v>
                </c:pt>
                <c:pt idx="264">
                  <c:v>4.9382200000000003</c:v>
                </c:pt>
                <c:pt idx="265">
                  <c:v>4.8422599999999996</c:v>
                </c:pt>
                <c:pt idx="266">
                  <c:v>4.8332299999999995</c:v>
                </c:pt>
                <c:pt idx="267">
                  <c:v>4.8186900000000001</c:v>
                </c:pt>
                <c:pt idx="268">
                  <c:v>4.806</c:v>
                </c:pt>
                <c:pt idx="269">
                  <c:v>4.88673</c:v>
                </c:pt>
                <c:pt idx="270">
                  <c:v>4.9105400000000001</c:v>
                </c:pt>
                <c:pt idx="271">
                  <c:v>4.8644600000000002</c:v>
                </c:pt>
                <c:pt idx="272">
                  <c:v>4.8500800000000002</c:v>
                </c:pt>
                <c:pt idx="273">
                  <c:v>4.8875999999999999</c:v>
                </c:pt>
                <c:pt idx="274">
                  <c:v>4.8825599999999998</c:v>
                </c:pt>
                <c:pt idx="275">
                  <c:v>4.8617699999999999</c:v>
                </c:pt>
                <c:pt idx="276">
                  <c:v>4.8559900000000003</c:v>
                </c:pt>
                <c:pt idx="277">
                  <c:v>4.9861900000000006</c:v>
                </c:pt>
                <c:pt idx="278">
                  <c:v>5.0105300000000002</c:v>
                </c:pt>
                <c:pt idx="279">
                  <c:v>5.0089399999999999</c:v>
                </c:pt>
                <c:pt idx="280">
                  <c:v>5.0147699999999995</c:v>
                </c:pt>
                <c:pt idx="281">
                  <c:v>4.9856999999999996</c:v>
                </c:pt>
                <c:pt idx="282">
                  <c:v>4.9431200000000004</c:v>
                </c:pt>
                <c:pt idx="283">
                  <c:v>4.9340700000000002</c:v>
                </c:pt>
                <c:pt idx="284">
                  <c:v>4.8517899999999994</c:v>
                </c:pt>
                <c:pt idx="285">
                  <c:v>4.8718400000000006</c:v>
                </c:pt>
                <c:pt idx="286">
                  <c:v>4.9209500000000004</c:v>
                </c:pt>
                <c:pt idx="287">
                  <c:v>4.8804699999999999</c:v>
                </c:pt>
                <c:pt idx="288">
                  <c:v>4.9607700000000001</c:v>
                </c:pt>
                <c:pt idx="289">
                  <c:v>5.0369900000000003</c:v>
                </c:pt>
                <c:pt idx="290">
                  <c:v>5.0654599999999999</c:v>
                </c:pt>
                <c:pt idx="291">
                  <c:v>5.0847800000000003</c:v>
                </c:pt>
                <c:pt idx="292">
                  <c:v>5.0915300000000006</c:v>
                </c:pt>
                <c:pt idx="293">
                  <c:v>5.0458100000000004</c:v>
                </c:pt>
                <c:pt idx="294">
                  <c:v>4.9882</c:v>
                </c:pt>
                <c:pt idx="295">
                  <c:v>5.0059800000000001</c:v>
                </c:pt>
                <c:pt idx="296">
                  <c:v>4.9490400000000001</c:v>
                </c:pt>
                <c:pt idx="297">
                  <c:v>4.8821699999999995</c:v>
                </c:pt>
                <c:pt idx="298">
                  <c:v>4.9553500000000001</c:v>
                </c:pt>
                <c:pt idx="299">
                  <c:v>4.9936199999999999</c:v>
                </c:pt>
                <c:pt idx="300">
                  <c:v>4.9737999999999998</c:v>
                </c:pt>
                <c:pt idx="301">
                  <c:v>4.9470900000000002</c:v>
                </c:pt>
                <c:pt idx="302">
                  <c:v>5.0049599999999996</c:v>
                </c:pt>
                <c:pt idx="303">
                  <c:v>4.9595599999999997</c:v>
                </c:pt>
                <c:pt idx="304">
                  <c:v>5.1639800000000005</c:v>
                </c:pt>
                <c:pt idx="305">
                  <c:v>5.1180200000000005</c:v>
                </c:pt>
                <c:pt idx="306">
                  <c:v>5.12669</c:v>
                </c:pt>
                <c:pt idx="307">
                  <c:v>5.2801099999999996</c:v>
                </c:pt>
                <c:pt idx="308">
                  <c:v>5.37317</c:v>
                </c:pt>
                <c:pt idx="309">
                  <c:v>5.2775800000000004</c:v>
                </c:pt>
                <c:pt idx="310">
                  <c:v>5.3508399999999998</c:v>
                </c:pt>
                <c:pt idx="311">
                  <c:v>5.4941899999999997</c:v>
                </c:pt>
                <c:pt idx="312">
                  <c:v>5.7316099999999999</c:v>
                </c:pt>
                <c:pt idx="313">
                  <c:v>5.6835799999999992</c:v>
                </c:pt>
                <c:pt idx="314">
                  <c:v>5.4819399999999998</c:v>
                </c:pt>
                <c:pt idx="315">
                  <c:v>5.5380399999999996</c:v>
                </c:pt>
                <c:pt idx="316">
                  <c:v>5.4567399999999999</c:v>
                </c:pt>
                <c:pt idx="317">
                  <c:v>5.2946500000000007</c:v>
                </c:pt>
                <c:pt idx="318">
                  <c:v>5.3148299999999997</c:v>
                </c:pt>
                <c:pt idx="319">
                  <c:v>5.4118300000000001</c:v>
                </c:pt>
                <c:pt idx="320">
                  <c:v>5.4706399999999995</c:v>
                </c:pt>
                <c:pt idx="321">
                  <c:v>5.4594000000000005</c:v>
                </c:pt>
                <c:pt idx="322">
                  <c:v>5.4614599999999998</c:v>
                </c:pt>
                <c:pt idx="323">
                  <c:v>5.4115200000000003</c:v>
                </c:pt>
                <c:pt idx="324">
                  <c:v>5.5546600000000002</c:v>
                </c:pt>
                <c:pt idx="325">
                  <c:v>5.51119</c:v>
                </c:pt>
                <c:pt idx="326">
                  <c:v>5.6267399999999999</c:v>
                </c:pt>
                <c:pt idx="327">
                  <c:v>5.6267399999999999</c:v>
                </c:pt>
                <c:pt idx="328">
                  <c:v>5.6267399999999999</c:v>
                </c:pt>
                <c:pt idx="329">
                  <c:v>5.6969399999999997</c:v>
                </c:pt>
                <c:pt idx="330">
                  <c:v>5.7170399999999999</c:v>
                </c:pt>
                <c:pt idx="331">
                  <c:v>5.75467</c:v>
                </c:pt>
                <c:pt idx="332">
                  <c:v>5.7477599999999995</c:v>
                </c:pt>
                <c:pt idx="333">
                  <c:v>5.74505</c:v>
                </c:pt>
                <c:pt idx="334">
                  <c:v>5.7704499999999994</c:v>
                </c:pt>
                <c:pt idx="335">
                  <c:v>5.7279600000000004</c:v>
                </c:pt>
                <c:pt idx="336">
                  <c:v>5.8052999999999999</c:v>
                </c:pt>
                <c:pt idx="337">
                  <c:v>5.7103000000000002</c:v>
                </c:pt>
                <c:pt idx="338">
                  <c:v>5.6430800000000003</c:v>
                </c:pt>
                <c:pt idx="339">
                  <c:v>5.5983000000000001</c:v>
                </c:pt>
                <c:pt idx="340">
                  <c:v>5.3563300000000007</c:v>
                </c:pt>
                <c:pt idx="341">
                  <c:v>5.2808099999999998</c:v>
                </c:pt>
                <c:pt idx="342">
                  <c:v>5.23414</c:v>
                </c:pt>
                <c:pt idx="343">
                  <c:v>5.23672</c:v>
                </c:pt>
                <c:pt idx="344">
                  <c:v>5.2308900000000005</c:v>
                </c:pt>
                <c:pt idx="345">
                  <c:v>5.2095399999999996</c:v>
                </c:pt>
                <c:pt idx="346">
                  <c:v>5.2116199999999999</c:v>
                </c:pt>
                <c:pt idx="347">
                  <c:v>5.21631</c:v>
                </c:pt>
                <c:pt idx="348">
                  <c:v>5.21631</c:v>
                </c:pt>
                <c:pt idx="349">
                  <c:v>5.3147199999999994</c:v>
                </c:pt>
                <c:pt idx="350">
                  <c:v>5.3208299999999999</c:v>
                </c:pt>
                <c:pt idx="351">
                  <c:v>5.3177899999999996</c:v>
                </c:pt>
                <c:pt idx="352">
                  <c:v>5.3187099999999994</c:v>
                </c:pt>
                <c:pt idx="353">
                  <c:v>5.3330700000000002</c:v>
                </c:pt>
                <c:pt idx="354">
                  <c:v>5.3681700000000001</c:v>
                </c:pt>
                <c:pt idx="355">
                  <c:v>5.3677900000000003</c:v>
                </c:pt>
                <c:pt idx="356">
                  <c:v>5.4628300000000003</c:v>
                </c:pt>
                <c:pt idx="357">
                  <c:v>5.4509000000000007</c:v>
                </c:pt>
                <c:pt idx="358">
                  <c:v>5.4440400000000002</c:v>
                </c:pt>
                <c:pt idx="359">
                  <c:v>5.4323199999999998</c:v>
                </c:pt>
                <c:pt idx="360">
                  <c:v>5.4469399999999997</c:v>
                </c:pt>
                <c:pt idx="361">
                  <c:v>5.5290599999999994</c:v>
                </c:pt>
                <c:pt idx="362">
                  <c:v>5.4538800000000007</c:v>
                </c:pt>
                <c:pt idx="363">
                  <c:v>5.8892199999999999</c:v>
                </c:pt>
                <c:pt idx="364">
                  <c:v>5.97811</c:v>
                </c:pt>
                <c:pt idx="365">
                  <c:v>6.0426400000000005</c:v>
                </c:pt>
                <c:pt idx="366">
                  <c:v>6.0395199999999996</c:v>
                </c:pt>
                <c:pt idx="367">
                  <c:v>6.0804100000000005</c:v>
                </c:pt>
                <c:pt idx="368">
                  <c:v>6.0804100000000005</c:v>
                </c:pt>
                <c:pt idx="369">
                  <c:v>6.0130600000000003</c:v>
                </c:pt>
                <c:pt idx="370">
                  <c:v>5.9945899999999996</c:v>
                </c:pt>
                <c:pt idx="371">
                  <c:v>5.9311699999999998</c:v>
                </c:pt>
                <c:pt idx="372">
                  <c:v>6.0106899999999994</c:v>
                </c:pt>
                <c:pt idx="373">
                  <c:v>5.9112599999999995</c:v>
                </c:pt>
                <c:pt idx="374">
                  <c:v>5.8937199999999992</c:v>
                </c:pt>
                <c:pt idx="375">
                  <c:v>5.8076800000000004</c:v>
                </c:pt>
                <c:pt idx="376">
                  <c:v>5.8500199999999998</c:v>
                </c:pt>
                <c:pt idx="377">
                  <c:v>5.8975599999999995</c:v>
                </c:pt>
                <c:pt idx="378">
                  <c:v>5.8600199999999996</c:v>
                </c:pt>
                <c:pt idx="379">
                  <c:v>5.9874300000000007</c:v>
                </c:pt>
                <c:pt idx="380">
                  <c:v>5.9977300000000007</c:v>
                </c:pt>
                <c:pt idx="381">
                  <c:v>6.0136900000000004</c:v>
                </c:pt>
                <c:pt idx="382">
                  <c:v>6.11754</c:v>
                </c:pt>
                <c:pt idx="383">
                  <c:v>6.6567999999999996</c:v>
                </c:pt>
                <c:pt idx="384">
                  <c:v>6.836079999999999</c:v>
                </c:pt>
                <c:pt idx="385">
                  <c:v>6.8176300000000003</c:v>
                </c:pt>
                <c:pt idx="386">
                  <c:v>6.7921699999999996</c:v>
                </c:pt>
                <c:pt idx="387">
                  <c:v>6.7627099999999993</c:v>
                </c:pt>
                <c:pt idx="388">
                  <c:v>6.8741099999999991</c:v>
                </c:pt>
                <c:pt idx="389">
                  <c:v>6.8958500000000003</c:v>
                </c:pt>
                <c:pt idx="390">
                  <c:v>6.8863900000000005</c:v>
                </c:pt>
                <c:pt idx="391">
                  <c:v>6.8679499999999996</c:v>
                </c:pt>
                <c:pt idx="392">
                  <c:v>6.9203900000000003</c:v>
                </c:pt>
                <c:pt idx="393">
                  <c:v>6.9310999999999998</c:v>
                </c:pt>
                <c:pt idx="394">
                  <c:v>6.9890700000000008</c:v>
                </c:pt>
                <c:pt idx="395">
                  <c:v>6.9878599999999995</c:v>
                </c:pt>
                <c:pt idx="396">
                  <c:v>6.9996499999999999</c:v>
                </c:pt>
                <c:pt idx="397">
                  <c:v>6.9519200000000003</c:v>
                </c:pt>
                <c:pt idx="398">
                  <c:v>6.9438599999999999</c:v>
                </c:pt>
                <c:pt idx="399">
                  <c:v>6.90679</c:v>
                </c:pt>
                <c:pt idx="400">
                  <c:v>6.9602899999999996</c:v>
                </c:pt>
                <c:pt idx="401">
                  <c:v>7.0211900000000007</c:v>
                </c:pt>
                <c:pt idx="402">
                  <c:v>7.0334599999999998</c:v>
                </c:pt>
                <c:pt idx="403">
                  <c:v>7.1561199999999996</c:v>
                </c:pt>
                <c:pt idx="404">
                  <c:v>7.0958100000000002</c:v>
                </c:pt>
                <c:pt idx="405">
                  <c:v>7.0125099999999998</c:v>
                </c:pt>
                <c:pt idx="406">
                  <c:v>7.0432799999999993</c:v>
                </c:pt>
                <c:pt idx="407">
                  <c:v>6.9941600000000008</c:v>
                </c:pt>
                <c:pt idx="408">
                  <c:v>6.9714900000000002</c:v>
                </c:pt>
                <c:pt idx="409">
                  <c:v>6.9575199999999997</c:v>
                </c:pt>
                <c:pt idx="410">
                  <c:v>6.8571100000000005</c:v>
                </c:pt>
                <c:pt idx="411">
                  <c:v>6.8528099999999998</c:v>
                </c:pt>
                <c:pt idx="412">
                  <c:v>6.8545600000000002</c:v>
                </c:pt>
                <c:pt idx="413">
                  <c:v>6.7732399999999995</c:v>
                </c:pt>
                <c:pt idx="414">
                  <c:v>6.7649699999999999</c:v>
                </c:pt>
                <c:pt idx="415">
                  <c:v>6.7862999999999998</c:v>
                </c:pt>
                <c:pt idx="416">
                  <c:v>6.7701199999999995</c:v>
                </c:pt>
                <c:pt idx="417">
                  <c:v>6.7435900000000002</c:v>
                </c:pt>
                <c:pt idx="418">
                  <c:v>6.74139</c:v>
                </c:pt>
                <c:pt idx="419">
                  <c:v>6.9067400000000001</c:v>
                </c:pt>
                <c:pt idx="420">
                  <c:v>6.8741200000000005</c:v>
                </c:pt>
                <c:pt idx="421">
                  <c:v>6.8741200000000005</c:v>
                </c:pt>
                <c:pt idx="422">
                  <c:v>6.9130700000000003</c:v>
                </c:pt>
                <c:pt idx="423">
                  <c:v>6.9213300000000002</c:v>
                </c:pt>
                <c:pt idx="424">
                  <c:v>6.9316499999999994</c:v>
                </c:pt>
                <c:pt idx="425">
                  <c:v>6.97912</c:v>
                </c:pt>
                <c:pt idx="426">
                  <c:v>7.0805400000000001</c:v>
                </c:pt>
                <c:pt idx="427">
                  <c:v>7.0711199999999996</c:v>
                </c:pt>
                <c:pt idx="428">
                  <c:v>7.1193600000000004</c:v>
                </c:pt>
                <c:pt idx="429">
                  <c:v>7.04331</c:v>
                </c:pt>
                <c:pt idx="430">
                  <c:v>6.97471</c:v>
                </c:pt>
                <c:pt idx="431">
                  <c:v>6.9073500000000001</c:v>
                </c:pt>
                <c:pt idx="432">
                  <c:v>6.9211300000000007</c:v>
                </c:pt>
                <c:pt idx="433">
                  <c:v>6.9211300000000007</c:v>
                </c:pt>
                <c:pt idx="434">
                  <c:v>6.9010100000000003</c:v>
                </c:pt>
                <c:pt idx="435">
                  <c:v>6.7444000000000006</c:v>
                </c:pt>
                <c:pt idx="436">
                  <c:v>6.7191900000000002</c:v>
                </c:pt>
                <c:pt idx="437">
                  <c:v>6.6073900000000005</c:v>
                </c:pt>
                <c:pt idx="438">
                  <c:v>6.5829600000000008</c:v>
                </c:pt>
                <c:pt idx="439">
                  <c:v>6.5124500000000003</c:v>
                </c:pt>
                <c:pt idx="440">
                  <c:v>6.4025499999999997</c:v>
                </c:pt>
                <c:pt idx="441">
                  <c:v>6.4660599999999997</c:v>
                </c:pt>
                <c:pt idx="442">
                  <c:v>6.3752399999999998</c:v>
                </c:pt>
                <c:pt idx="443">
                  <c:v>6.3986000000000001</c:v>
                </c:pt>
                <c:pt idx="444">
                  <c:v>6.4920000000000009</c:v>
                </c:pt>
                <c:pt idx="445">
                  <c:v>6.3790499999999994</c:v>
                </c:pt>
                <c:pt idx="446">
                  <c:v>6.3673000000000002</c:v>
                </c:pt>
                <c:pt idx="447">
                  <c:v>6.3171100000000004</c:v>
                </c:pt>
                <c:pt idx="448">
                  <c:v>6.4096099999999998</c:v>
                </c:pt>
                <c:pt idx="449">
                  <c:v>6.4124300000000005</c:v>
                </c:pt>
                <c:pt idx="450">
                  <c:v>6.4312500000000004</c:v>
                </c:pt>
                <c:pt idx="451">
                  <c:v>6.3888999999999996</c:v>
                </c:pt>
                <c:pt idx="452">
                  <c:v>6.4116499999999998</c:v>
                </c:pt>
                <c:pt idx="453">
                  <c:v>6.4844000000000008</c:v>
                </c:pt>
                <c:pt idx="454">
                  <c:v>6.5605700000000002</c:v>
                </c:pt>
                <c:pt idx="455">
                  <c:v>6.5573100000000002</c:v>
                </c:pt>
                <c:pt idx="456">
                  <c:v>6.6677900000000001</c:v>
                </c:pt>
                <c:pt idx="457">
                  <c:v>6.7776499999999995</c:v>
                </c:pt>
                <c:pt idx="458">
                  <c:v>6.80288</c:v>
                </c:pt>
                <c:pt idx="459">
                  <c:v>6.7773400000000006</c:v>
                </c:pt>
                <c:pt idx="460">
                  <c:v>6.8242499999999993</c:v>
                </c:pt>
                <c:pt idx="461">
                  <c:v>6.7750199999999996</c:v>
                </c:pt>
                <c:pt idx="462">
                  <c:v>6.7814399999999999</c:v>
                </c:pt>
                <c:pt idx="463">
                  <c:v>6.7653099999999995</c:v>
                </c:pt>
                <c:pt idx="464">
                  <c:v>6.7936800000000002</c:v>
                </c:pt>
                <c:pt idx="465">
                  <c:v>6.8867100000000008</c:v>
                </c:pt>
                <c:pt idx="466">
                  <c:v>6.8263400000000001</c:v>
                </c:pt>
                <c:pt idx="467">
                  <c:v>6.7789000000000001</c:v>
                </c:pt>
                <c:pt idx="468">
                  <c:v>6.7619500000000006</c:v>
                </c:pt>
                <c:pt idx="469">
                  <c:v>6.7100400000000002</c:v>
                </c:pt>
                <c:pt idx="470">
                  <c:v>6.7413199999999991</c:v>
                </c:pt>
                <c:pt idx="471">
                  <c:v>6.7146400000000002</c:v>
                </c:pt>
                <c:pt idx="472">
                  <c:v>6.7522500000000001</c:v>
                </c:pt>
                <c:pt idx="473">
                  <c:v>6.76396</c:v>
                </c:pt>
                <c:pt idx="474">
                  <c:v>6.7444799999999994</c:v>
                </c:pt>
                <c:pt idx="475">
                  <c:v>6.8192999999999993</c:v>
                </c:pt>
                <c:pt idx="476">
                  <c:v>6.8156100000000004</c:v>
                </c:pt>
                <c:pt idx="477">
                  <c:v>6.8230300000000002</c:v>
                </c:pt>
                <c:pt idx="478">
                  <c:v>6.8672699999999995</c:v>
                </c:pt>
                <c:pt idx="479">
                  <c:v>6.8796200000000001</c:v>
                </c:pt>
                <c:pt idx="480">
                  <c:v>6.8225099999999994</c:v>
                </c:pt>
                <c:pt idx="481">
                  <c:v>6.8910299999999998</c:v>
                </c:pt>
                <c:pt idx="482">
                  <c:v>6.9485299999999999</c:v>
                </c:pt>
                <c:pt idx="483">
                  <c:v>6.9236300000000002</c:v>
                </c:pt>
                <c:pt idx="484">
                  <c:v>7.0009699999999997</c:v>
                </c:pt>
                <c:pt idx="485">
                  <c:v>7.2357399999999998</c:v>
                </c:pt>
                <c:pt idx="486">
                  <c:v>7.3063099999999999</c:v>
                </c:pt>
                <c:pt idx="487">
                  <c:v>7.4049900000000006</c:v>
                </c:pt>
                <c:pt idx="488">
                  <c:v>7.4838399999999998</c:v>
                </c:pt>
                <c:pt idx="489">
                  <c:v>7.6067100000000005</c:v>
                </c:pt>
                <c:pt idx="490">
                  <c:v>7.6633900000000006</c:v>
                </c:pt>
                <c:pt idx="491">
                  <c:v>7.5962899999999998</c:v>
                </c:pt>
                <c:pt idx="492">
                  <c:v>7.6212499999999999</c:v>
                </c:pt>
                <c:pt idx="493">
                  <c:v>7.52827</c:v>
                </c:pt>
                <c:pt idx="494">
                  <c:v>7.5465300000000006</c:v>
                </c:pt>
                <c:pt idx="495">
                  <c:v>7.5421500000000004</c:v>
                </c:pt>
                <c:pt idx="496">
                  <c:v>7.5421500000000004</c:v>
                </c:pt>
                <c:pt idx="497">
                  <c:v>7.6746400000000001</c:v>
                </c:pt>
                <c:pt idx="498">
                  <c:v>7.7373900000000004</c:v>
                </c:pt>
                <c:pt idx="499">
                  <c:v>7.7346000000000004</c:v>
                </c:pt>
                <c:pt idx="500">
                  <c:v>7.9205199999999998</c:v>
                </c:pt>
                <c:pt idx="501">
                  <c:v>7.9634999999999998</c:v>
                </c:pt>
                <c:pt idx="502">
                  <c:v>8.1732600000000009</c:v>
                </c:pt>
                <c:pt idx="503">
                  <c:v>8.2404799999999998</c:v>
                </c:pt>
                <c:pt idx="504">
                  <c:v>8.2840199999999999</c:v>
                </c:pt>
                <c:pt idx="505">
                  <c:v>8.29575</c:v>
                </c:pt>
                <c:pt idx="506">
                  <c:v>8.4114900000000006</c:v>
                </c:pt>
                <c:pt idx="507">
                  <c:v>8.50488</c:v>
                </c:pt>
                <c:pt idx="508">
                  <c:v>8.5226500000000005</c:v>
                </c:pt>
                <c:pt idx="509">
                  <c:v>8.5560600000000004</c:v>
                </c:pt>
                <c:pt idx="510">
                  <c:v>8.5476700000000001</c:v>
                </c:pt>
                <c:pt idx="511">
                  <c:v>8.5686499999999999</c:v>
                </c:pt>
                <c:pt idx="512">
                  <c:v>8.5654599999999999</c:v>
                </c:pt>
                <c:pt idx="513">
                  <c:v>8.559429999999999</c:v>
                </c:pt>
                <c:pt idx="514">
                  <c:v>8.5180600000000002</c:v>
                </c:pt>
                <c:pt idx="515">
                  <c:v>8.5289400000000004</c:v>
                </c:pt>
                <c:pt idx="516">
                  <c:v>8.5221</c:v>
                </c:pt>
                <c:pt idx="517">
                  <c:v>8.5213199999999993</c:v>
                </c:pt>
                <c:pt idx="518">
                  <c:v>8.5213199999999993</c:v>
                </c:pt>
                <c:pt idx="519">
                  <c:v>8.5213199999999993</c:v>
                </c:pt>
                <c:pt idx="520">
                  <c:v>8.3536699999999993</c:v>
                </c:pt>
                <c:pt idx="521">
                  <c:v>8.3248800000000003</c:v>
                </c:pt>
                <c:pt idx="522">
                  <c:v>8.3517600000000005</c:v>
                </c:pt>
                <c:pt idx="523">
                  <c:v>8.3517600000000005</c:v>
                </c:pt>
                <c:pt idx="524">
                  <c:v>8.1639700000000008</c:v>
                </c:pt>
                <c:pt idx="525">
                  <c:v>8.150599999999999</c:v>
                </c:pt>
                <c:pt idx="526">
                  <c:v>8.18445</c:v>
                </c:pt>
                <c:pt idx="527">
                  <c:v>8.168429999999999</c:v>
                </c:pt>
                <c:pt idx="528">
                  <c:v>8.1674800000000012</c:v>
                </c:pt>
                <c:pt idx="529">
                  <c:v>8.1371000000000002</c:v>
                </c:pt>
                <c:pt idx="530">
                  <c:v>8.0920899999999989</c:v>
                </c:pt>
                <c:pt idx="531">
                  <c:v>8.1125800000000012</c:v>
                </c:pt>
                <c:pt idx="532">
                  <c:v>8.161620000000001</c:v>
                </c:pt>
                <c:pt idx="533">
                  <c:v>8.261849999999999</c:v>
                </c:pt>
                <c:pt idx="534">
                  <c:v>8.2149599999999996</c:v>
                </c:pt>
                <c:pt idx="535">
                  <c:v>8.1382899999999996</c:v>
                </c:pt>
                <c:pt idx="536">
                  <c:v>8.4976199999999995</c:v>
                </c:pt>
                <c:pt idx="537">
                  <c:v>8.7626399999999993</c:v>
                </c:pt>
                <c:pt idx="538">
                  <c:v>8.9297799999999992</c:v>
                </c:pt>
                <c:pt idx="539">
                  <c:v>9.2165300000000006</c:v>
                </c:pt>
                <c:pt idx="540">
                  <c:v>9.2601300000000002</c:v>
                </c:pt>
                <c:pt idx="541">
                  <c:v>9.29223</c:v>
                </c:pt>
                <c:pt idx="542">
                  <c:v>9.2264800000000005</c:v>
                </c:pt>
                <c:pt idx="543">
                  <c:v>9.4408000000000012</c:v>
                </c:pt>
                <c:pt idx="544">
                  <c:v>9.39907</c:v>
                </c:pt>
                <c:pt idx="545">
                  <c:v>8.94665</c:v>
                </c:pt>
                <c:pt idx="546">
                  <c:v>8.8488299999999995</c:v>
                </c:pt>
                <c:pt idx="547">
                  <c:v>8.7544699999999995</c:v>
                </c:pt>
                <c:pt idx="548">
                  <c:v>8.8291800000000009</c:v>
                </c:pt>
                <c:pt idx="549">
                  <c:v>8.8188499999999994</c:v>
                </c:pt>
                <c:pt idx="550">
                  <c:v>8.845460000000001</c:v>
                </c:pt>
                <c:pt idx="551">
                  <c:v>8.74329</c:v>
                </c:pt>
                <c:pt idx="552">
                  <c:v>8.8286499999999997</c:v>
                </c:pt>
                <c:pt idx="553">
                  <c:v>8.8705300000000005</c:v>
                </c:pt>
                <c:pt idx="554">
                  <c:v>8.7194299999999991</c:v>
                </c:pt>
                <c:pt idx="555">
                  <c:v>8.6841200000000001</c:v>
                </c:pt>
                <c:pt idx="556">
                  <c:v>8.8192900000000005</c:v>
                </c:pt>
                <c:pt idx="557">
                  <c:v>8.9145199999999996</c:v>
                </c:pt>
                <c:pt idx="558">
                  <c:v>8.8890700000000002</c:v>
                </c:pt>
                <c:pt idx="559">
                  <c:v>9.4338699999999989</c:v>
                </c:pt>
                <c:pt idx="560">
                  <c:v>9.7989200000000007</c:v>
                </c:pt>
                <c:pt idx="561">
                  <c:v>13.06917</c:v>
                </c:pt>
                <c:pt idx="562">
                  <c:v>13.06917</c:v>
                </c:pt>
                <c:pt idx="563">
                  <c:v>13.06917</c:v>
                </c:pt>
                <c:pt idx="564">
                  <c:v>13.06917</c:v>
                </c:pt>
                <c:pt idx="565">
                  <c:v>13.06917</c:v>
                </c:pt>
                <c:pt idx="566">
                  <c:v>13.06917</c:v>
                </c:pt>
                <c:pt idx="567">
                  <c:v>13.06917</c:v>
                </c:pt>
                <c:pt idx="568">
                  <c:v>13.06917</c:v>
                </c:pt>
                <c:pt idx="569">
                  <c:v>90.870450000000005</c:v>
                </c:pt>
                <c:pt idx="570">
                  <c:v>91.226770000000002</c:v>
                </c:pt>
                <c:pt idx="571">
                  <c:v>82.32762000000001</c:v>
                </c:pt>
                <c:pt idx="572">
                  <c:v>82.32762000000001</c:v>
                </c:pt>
                <c:pt idx="573">
                  <c:v>80.437619999999995</c:v>
                </c:pt>
                <c:pt idx="574">
                  <c:v>79.311250000000001</c:v>
                </c:pt>
                <c:pt idx="575">
                  <c:v>72.75582</c:v>
                </c:pt>
                <c:pt idx="576">
                  <c:v>54.704809999999995</c:v>
                </c:pt>
                <c:pt idx="577">
                  <c:v>54.704809999999995</c:v>
                </c:pt>
                <c:pt idx="578">
                  <c:v>54.704809999999995</c:v>
                </c:pt>
                <c:pt idx="579">
                  <c:v>48.128929999999997</c:v>
                </c:pt>
                <c:pt idx="580">
                  <c:v>51.345699999999994</c:v>
                </c:pt>
                <c:pt idx="581">
                  <c:v>51.350609999999996</c:v>
                </c:pt>
                <c:pt idx="582">
                  <c:v>51.350609999999996</c:v>
                </c:pt>
                <c:pt idx="583">
                  <c:v>57.805100000000003</c:v>
                </c:pt>
                <c:pt idx="584">
                  <c:v>58.406419999999997</c:v>
                </c:pt>
                <c:pt idx="585">
                  <c:v>50.836589999999994</c:v>
                </c:pt>
                <c:pt idx="586">
                  <c:v>50.836589999999994</c:v>
                </c:pt>
                <c:pt idx="587">
                  <c:v>50.836589999999994</c:v>
                </c:pt>
                <c:pt idx="588">
                  <c:v>50.836589999999994</c:v>
                </c:pt>
                <c:pt idx="589">
                  <c:v>43.820240000000005</c:v>
                </c:pt>
                <c:pt idx="590">
                  <c:v>45.21696</c:v>
                </c:pt>
                <c:pt idx="591">
                  <c:v>45.169780000000003</c:v>
                </c:pt>
                <c:pt idx="592">
                  <c:v>45.546360000000007</c:v>
                </c:pt>
                <c:pt idx="593">
                  <c:v>45.4786</c:v>
                </c:pt>
                <c:pt idx="594">
                  <c:v>45.543010000000002</c:v>
                </c:pt>
                <c:pt idx="595">
                  <c:v>45.600069999999995</c:v>
                </c:pt>
                <c:pt idx="596">
                  <c:v>45.600069999999995</c:v>
                </c:pt>
                <c:pt idx="597">
                  <c:v>45.600069999999995</c:v>
                </c:pt>
                <c:pt idx="598">
                  <c:v>45.600069999999995</c:v>
                </c:pt>
                <c:pt idx="599">
                  <c:v>50.398360000000004</c:v>
                </c:pt>
                <c:pt idx="600">
                  <c:v>46.45308</c:v>
                </c:pt>
                <c:pt idx="601">
                  <c:v>46.799319999999994</c:v>
                </c:pt>
                <c:pt idx="602">
                  <c:v>46.799319999999994</c:v>
                </c:pt>
                <c:pt idx="603">
                  <c:v>46.607240000000004</c:v>
                </c:pt>
                <c:pt idx="604">
                  <c:v>46.638260000000002</c:v>
                </c:pt>
                <c:pt idx="605">
                  <c:v>48.702590000000001</c:v>
                </c:pt>
                <c:pt idx="606">
                  <c:v>48.651069999999997</c:v>
                </c:pt>
                <c:pt idx="607">
                  <c:v>48.631689999999999</c:v>
                </c:pt>
                <c:pt idx="608">
                  <c:v>48.631689999999999</c:v>
                </c:pt>
                <c:pt idx="609">
                  <c:v>48.594750000000005</c:v>
                </c:pt>
                <c:pt idx="610">
                  <c:v>49.860119999999995</c:v>
                </c:pt>
                <c:pt idx="611">
                  <c:v>50.136209999999998</c:v>
                </c:pt>
                <c:pt idx="612">
                  <c:v>49.88429</c:v>
                </c:pt>
                <c:pt idx="613">
                  <c:v>49.921009999999995</c:v>
                </c:pt>
                <c:pt idx="614">
                  <c:v>49.242910000000002</c:v>
                </c:pt>
                <c:pt idx="615">
                  <c:v>49.102719999999998</c:v>
                </c:pt>
                <c:pt idx="616">
                  <c:v>48.35736</c:v>
                </c:pt>
                <c:pt idx="617">
                  <c:v>48.303599999999996</c:v>
                </c:pt>
                <c:pt idx="618">
                  <c:v>48.39134</c:v>
                </c:pt>
                <c:pt idx="619">
                  <c:v>48.39134</c:v>
                </c:pt>
                <c:pt idx="620">
                  <c:v>50.991189999999996</c:v>
                </c:pt>
                <c:pt idx="621">
                  <c:v>51.49183</c:v>
                </c:pt>
                <c:pt idx="622">
                  <c:v>51.142949999999999</c:v>
                </c:pt>
                <c:pt idx="623">
                  <c:v>48.316699999999997</c:v>
                </c:pt>
                <c:pt idx="624">
                  <c:v>49.682700000000004</c:v>
                </c:pt>
                <c:pt idx="625">
                  <c:v>49.667589999999997</c:v>
                </c:pt>
                <c:pt idx="626">
                  <c:v>49.672479999999993</c:v>
                </c:pt>
                <c:pt idx="627">
                  <c:v>45.599629999999998</c:v>
                </c:pt>
                <c:pt idx="628">
                  <c:v>45.331519999999998</c:v>
                </c:pt>
                <c:pt idx="629">
                  <c:v>45.331519999999998</c:v>
                </c:pt>
                <c:pt idx="630">
                  <c:v>47.036480000000005</c:v>
                </c:pt>
                <c:pt idx="631">
                  <c:v>47.036480000000005</c:v>
                </c:pt>
                <c:pt idx="632">
                  <c:v>47.036480000000005</c:v>
                </c:pt>
                <c:pt idx="633">
                  <c:v>45.281379999999999</c:v>
                </c:pt>
                <c:pt idx="634">
                  <c:v>45.343410000000006</c:v>
                </c:pt>
                <c:pt idx="635">
                  <c:v>45.324420000000003</c:v>
                </c:pt>
                <c:pt idx="636">
                  <c:v>45.799260000000004</c:v>
                </c:pt>
                <c:pt idx="637">
                  <c:v>46.663770000000007</c:v>
                </c:pt>
                <c:pt idx="638">
                  <c:v>47.814329999999998</c:v>
                </c:pt>
                <c:pt idx="639">
                  <c:v>46.653300000000002</c:v>
                </c:pt>
                <c:pt idx="640">
                  <c:v>47.316000000000003</c:v>
                </c:pt>
                <c:pt idx="641">
                  <c:v>47.416679999999999</c:v>
                </c:pt>
                <c:pt idx="642">
                  <c:v>46.703329999999994</c:v>
                </c:pt>
                <c:pt idx="643">
                  <c:v>47.290849999999999</c:v>
                </c:pt>
                <c:pt idx="644">
                  <c:v>47.061859999999996</c:v>
                </c:pt>
                <c:pt idx="645">
                  <c:v>47.199390000000001</c:v>
                </c:pt>
                <c:pt idx="646">
                  <c:v>47.338479999999997</c:v>
                </c:pt>
                <c:pt idx="647">
                  <c:v>46.882640000000002</c:v>
                </c:pt>
                <c:pt idx="648">
                  <c:v>46.81</c:v>
                </c:pt>
                <c:pt idx="649">
                  <c:v>46.817839999999997</c:v>
                </c:pt>
                <c:pt idx="650">
                  <c:v>46.89987</c:v>
                </c:pt>
                <c:pt idx="651">
                  <c:v>45.117330000000003</c:v>
                </c:pt>
                <c:pt idx="652">
                  <c:v>45.230370000000001</c:v>
                </c:pt>
                <c:pt idx="653">
                  <c:v>45.230370000000001</c:v>
                </c:pt>
                <c:pt idx="654">
                  <c:v>45.230370000000001</c:v>
                </c:pt>
                <c:pt idx="655">
                  <c:v>45.230370000000001</c:v>
                </c:pt>
                <c:pt idx="656">
                  <c:v>47.981570000000005</c:v>
                </c:pt>
                <c:pt idx="657">
                  <c:v>47.908429999999996</c:v>
                </c:pt>
                <c:pt idx="658">
                  <c:v>47.908429999999996</c:v>
                </c:pt>
                <c:pt idx="659">
                  <c:v>47.908429999999996</c:v>
                </c:pt>
                <c:pt idx="660">
                  <c:v>47.908429999999996</c:v>
                </c:pt>
                <c:pt idx="661">
                  <c:v>48.097949999999997</c:v>
                </c:pt>
                <c:pt idx="662">
                  <c:v>47.929859999999998</c:v>
                </c:pt>
                <c:pt idx="663">
                  <c:v>47.627920000000003</c:v>
                </c:pt>
                <c:pt idx="664">
                  <c:v>48.050820000000002</c:v>
                </c:pt>
                <c:pt idx="665">
                  <c:v>49.136650000000003</c:v>
                </c:pt>
                <c:pt idx="666">
                  <c:v>49.136650000000003</c:v>
                </c:pt>
                <c:pt idx="667">
                  <c:v>52.164380000000001</c:v>
                </c:pt>
                <c:pt idx="668">
                  <c:v>55.676880000000004</c:v>
                </c:pt>
                <c:pt idx="669">
                  <c:v>55.676880000000004</c:v>
                </c:pt>
                <c:pt idx="670">
                  <c:v>55.602349999999994</c:v>
                </c:pt>
                <c:pt idx="671">
                  <c:v>55.208089999999999</c:v>
                </c:pt>
                <c:pt idx="672">
                  <c:v>54.839329999999997</c:v>
                </c:pt>
                <c:pt idx="673">
                  <c:v>54.839329999999997</c:v>
                </c:pt>
                <c:pt idx="674">
                  <c:v>54.887590000000003</c:v>
                </c:pt>
                <c:pt idx="675">
                  <c:v>54.887590000000003</c:v>
                </c:pt>
                <c:pt idx="676">
                  <c:v>54.887590000000003</c:v>
                </c:pt>
                <c:pt idx="677">
                  <c:v>54.887590000000003</c:v>
                </c:pt>
                <c:pt idx="678">
                  <c:v>54.887590000000003</c:v>
                </c:pt>
                <c:pt idx="679">
                  <c:v>54.887590000000003</c:v>
                </c:pt>
                <c:pt idx="680">
                  <c:v>54.887590000000003</c:v>
                </c:pt>
                <c:pt idx="681">
                  <c:v>50.044409999999999</c:v>
                </c:pt>
                <c:pt idx="682">
                  <c:v>50.470829999999999</c:v>
                </c:pt>
                <c:pt idx="683">
                  <c:v>49.034080000000003</c:v>
                </c:pt>
                <c:pt idx="684">
                  <c:v>46.180280000000003</c:v>
                </c:pt>
                <c:pt idx="685">
                  <c:v>46.144919999999999</c:v>
                </c:pt>
                <c:pt idx="686">
                  <c:v>45.55274</c:v>
                </c:pt>
                <c:pt idx="687">
                  <c:v>45.458580000000005</c:v>
                </c:pt>
                <c:pt idx="688">
                  <c:v>44.775280000000002</c:v>
                </c:pt>
                <c:pt idx="689">
                  <c:v>44.483919999999998</c:v>
                </c:pt>
                <c:pt idx="690">
                  <c:v>43.312089999999998</c:v>
                </c:pt>
                <c:pt idx="691">
                  <c:v>43.312089999999998</c:v>
                </c:pt>
                <c:pt idx="692">
                  <c:v>43.312089999999998</c:v>
                </c:pt>
                <c:pt idx="693">
                  <c:v>43.312089999999998</c:v>
                </c:pt>
                <c:pt idx="694">
                  <c:v>43.312089999999998</c:v>
                </c:pt>
                <c:pt idx="695">
                  <c:v>43.312089999999998</c:v>
                </c:pt>
                <c:pt idx="696">
                  <c:v>43.312089999999998</c:v>
                </c:pt>
                <c:pt idx="697">
                  <c:v>35.068220000000004</c:v>
                </c:pt>
                <c:pt idx="698">
                  <c:v>35.081420000000001</c:v>
                </c:pt>
                <c:pt idx="699">
                  <c:v>35.03078</c:v>
                </c:pt>
                <c:pt idx="700">
                  <c:v>35.151919999999997</c:v>
                </c:pt>
                <c:pt idx="701">
                  <c:v>35.151919999999997</c:v>
                </c:pt>
                <c:pt idx="702">
                  <c:v>35.151919999999997</c:v>
                </c:pt>
                <c:pt idx="703">
                  <c:v>35.151919999999997</c:v>
                </c:pt>
                <c:pt idx="704">
                  <c:v>31.226100000000002</c:v>
                </c:pt>
                <c:pt idx="705">
                  <c:v>31.901419999999998</c:v>
                </c:pt>
                <c:pt idx="706">
                  <c:v>31.94201</c:v>
                </c:pt>
                <c:pt idx="707">
                  <c:v>31.98067</c:v>
                </c:pt>
                <c:pt idx="708">
                  <c:v>31.98067</c:v>
                </c:pt>
                <c:pt idx="709">
                  <c:v>31.749920000000003</c:v>
                </c:pt>
                <c:pt idx="710">
                  <c:v>30.958180000000002</c:v>
                </c:pt>
                <c:pt idx="711">
                  <c:v>30.851819999999996</c:v>
                </c:pt>
                <c:pt idx="712">
                  <c:v>30.968580000000003</c:v>
                </c:pt>
                <c:pt idx="713">
                  <c:v>30.79139</c:v>
                </c:pt>
                <c:pt idx="714">
                  <c:v>30.680529999999997</c:v>
                </c:pt>
                <c:pt idx="715">
                  <c:v>30.763349999999999</c:v>
                </c:pt>
                <c:pt idx="716">
                  <c:v>30.57958</c:v>
                </c:pt>
                <c:pt idx="717">
                  <c:v>30.471270000000001</c:v>
                </c:pt>
                <c:pt idx="718">
                  <c:v>30.450520000000001</c:v>
                </c:pt>
                <c:pt idx="719">
                  <c:v>30.450520000000001</c:v>
                </c:pt>
                <c:pt idx="720">
                  <c:v>30.450520000000001</c:v>
                </c:pt>
                <c:pt idx="721">
                  <c:v>30.450520000000001</c:v>
                </c:pt>
                <c:pt idx="722">
                  <c:v>30.601410000000001</c:v>
                </c:pt>
                <c:pt idx="723">
                  <c:v>30.601410000000001</c:v>
                </c:pt>
                <c:pt idx="724">
                  <c:v>30.601410000000001</c:v>
                </c:pt>
                <c:pt idx="725">
                  <c:v>30.601410000000001</c:v>
                </c:pt>
                <c:pt idx="726">
                  <c:v>30.601410000000001</c:v>
                </c:pt>
                <c:pt idx="727">
                  <c:v>32.185600000000001</c:v>
                </c:pt>
                <c:pt idx="728">
                  <c:v>32.185600000000001</c:v>
                </c:pt>
                <c:pt idx="729">
                  <c:v>32.185600000000001</c:v>
                </c:pt>
                <c:pt idx="730">
                  <c:v>32.185600000000001</c:v>
                </c:pt>
                <c:pt idx="731">
                  <c:v>32.185600000000001</c:v>
                </c:pt>
                <c:pt idx="732">
                  <c:v>32.185600000000001</c:v>
                </c:pt>
                <c:pt idx="733">
                  <c:v>32.185600000000001</c:v>
                </c:pt>
                <c:pt idx="734">
                  <c:v>32.185600000000001</c:v>
                </c:pt>
                <c:pt idx="735">
                  <c:v>32.185600000000001</c:v>
                </c:pt>
                <c:pt idx="736">
                  <c:v>32.185600000000001</c:v>
                </c:pt>
                <c:pt idx="737">
                  <c:v>32.185600000000001</c:v>
                </c:pt>
                <c:pt idx="738">
                  <c:v>32.185600000000001</c:v>
                </c:pt>
                <c:pt idx="739">
                  <c:v>35.113320000000002</c:v>
                </c:pt>
                <c:pt idx="740">
                  <c:v>35.173279999999998</c:v>
                </c:pt>
                <c:pt idx="741">
                  <c:v>34.445520000000002</c:v>
                </c:pt>
                <c:pt idx="742">
                  <c:v>34.431010000000001</c:v>
                </c:pt>
                <c:pt idx="743">
                  <c:v>34.125070000000001</c:v>
                </c:pt>
                <c:pt idx="744">
                  <c:v>33.20776</c:v>
                </c:pt>
                <c:pt idx="745">
                  <c:v>32.692300000000003</c:v>
                </c:pt>
                <c:pt idx="746">
                  <c:v>33.163029999999999</c:v>
                </c:pt>
                <c:pt idx="747">
                  <c:v>33.212130000000002</c:v>
                </c:pt>
                <c:pt idx="748">
                  <c:v>33.212130000000002</c:v>
                </c:pt>
                <c:pt idx="749">
                  <c:v>33.212130000000002</c:v>
                </c:pt>
                <c:pt idx="750">
                  <c:v>33.212130000000002</c:v>
                </c:pt>
                <c:pt idx="751">
                  <c:v>33.212130000000002</c:v>
                </c:pt>
                <c:pt idx="752">
                  <c:v>33.212130000000002</c:v>
                </c:pt>
                <c:pt idx="753">
                  <c:v>33.212130000000002</c:v>
                </c:pt>
                <c:pt idx="754">
                  <c:v>33.212130000000002</c:v>
                </c:pt>
                <c:pt idx="755">
                  <c:v>33.212130000000002</c:v>
                </c:pt>
                <c:pt idx="756">
                  <c:v>33.212130000000002</c:v>
                </c:pt>
                <c:pt idx="757">
                  <c:v>33.212130000000002</c:v>
                </c:pt>
                <c:pt idx="758">
                  <c:v>23.323449999999998</c:v>
                </c:pt>
                <c:pt idx="759">
                  <c:v>23.20148</c:v>
                </c:pt>
                <c:pt idx="760">
                  <c:v>22.736889999999999</c:v>
                </c:pt>
                <c:pt idx="761">
                  <c:v>22.925650000000001</c:v>
                </c:pt>
                <c:pt idx="762">
                  <c:v>22.936160000000001</c:v>
                </c:pt>
                <c:pt idx="763">
                  <c:v>22.918939999999999</c:v>
                </c:pt>
                <c:pt idx="764">
                  <c:v>22.855540000000001</c:v>
                </c:pt>
                <c:pt idx="765">
                  <c:v>22.855540000000001</c:v>
                </c:pt>
                <c:pt idx="766">
                  <c:v>22.998480000000001</c:v>
                </c:pt>
                <c:pt idx="767">
                  <c:v>22.936070000000001</c:v>
                </c:pt>
                <c:pt idx="768">
                  <c:v>22.936070000000001</c:v>
                </c:pt>
                <c:pt idx="769">
                  <c:v>23.139330000000001</c:v>
                </c:pt>
                <c:pt idx="770">
                  <c:v>23.176080000000002</c:v>
                </c:pt>
                <c:pt idx="771">
                  <c:v>23.289209999999997</c:v>
                </c:pt>
                <c:pt idx="772">
                  <c:v>23.329619999999998</c:v>
                </c:pt>
                <c:pt idx="773">
                  <c:v>23.232289999999999</c:v>
                </c:pt>
                <c:pt idx="774">
                  <c:v>23.141149999999996</c:v>
                </c:pt>
                <c:pt idx="775">
                  <c:v>23.16283</c:v>
                </c:pt>
                <c:pt idx="776">
                  <c:v>23.16283</c:v>
                </c:pt>
                <c:pt idx="777">
                  <c:v>23.16283</c:v>
                </c:pt>
                <c:pt idx="778">
                  <c:v>23.16283</c:v>
                </c:pt>
                <c:pt idx="779">
                  <c:v>23.16283</c:v>
                </c:pt>
                <c:pt idx="780">
                  <c:v>23.16283</c:v>
                </c:pt>
                <c:pt idx="781">
                  <c:v>23.16283</c:v>
                </c:pt>
                <c:pt idx="782">
                  <c:v>23.16283</c:v>
                </c:pt>
                <c:pt idx="783">
                  <c:v>23.16283</c:v>
                </c:pt>
                <c:pt idx="784">
                  <c:v>23.151790000000002</c:v>
                </c:pt>
                <c:pt idx="785">
                  <c:v>23.235610000000001</c:v>
                </c:pt>
                <c:pt idx="786">
                  <c:v>23.303170000000001</c:v>
                </c:pt>
                <c:pt idx="787">
                  <c:v>23.303170000000001</c:v>
                </c:pt>
                <c:pt idx="788">
                  <c:v>23.303170000000001</c:v>
                </c:pt>
                <c:pt idx="789">
                  <c:v>23.303170000000001</c:v>
                </c:pt>
                <c:pt idx="790">
                  <c:v>23.46679</c:v>
                </c:pt>
                <c:pt idx="791">
                  <c:v>23.637510000000002</c:v>
                </c:pt>
                <c:pt idx="792">
                  <c:v>23.637510000000002</c:v>
                </c:pt>
                <c:pt idx="793">
                  <c:v>23.239189999999997</c:v>
                </c:pt>
                <c:pt idx="794">
                  <c:v>23.18206</c:v>
                </c:pt>
                <c:pt idx="795">
                  <c:v>23.312040000000003</c:v>
                </c:pt>
                <c:pt idx="796">
                  <c:v>23.241550000000004</c:v>
                </c:pt>
                <c:pt idx="797">
                  <c:v>23.18674</c:v>
                </c:pt>
                <c:pt idx="798">
                  <c:v>23.458380000000002</c:v>
                </c:pt>
                <c:pt idx="799">
                  <c:v>23.224920000000001</c:v>
                </c:pt>
                <c:pt idx="800">
                  <c:v>23.270689999999998</c:v>
                </c:pt>
                <c:pt idx="801">
                  <c:v>23.301280000000002</c:v>
                </c:pt>
                <c:pt idx="802">
                  <c:v>23.31373</c:v>
                </c:pt>
                <c:pt idx="803">
                  <c:v>23.236999999999998</c:v>
                </c:pt>
                <c:pt idx="804">
                  <c:v>23.18094</c:v>
                </c:pt>
                <c:pt idx="805">
                  <c:v>24.274699999999999</c:v>
                </c:pt>
                <c:pt idx="806">
                  <c:v>24.643460000000001</c:v>
                </c:pt>
                <c:pt idx="807">
                  <c:v>24.521789999999999</c:v>
                </c:pt>
                <c:pt idx="808">
                  <c:v>24.532539999999997</c:v>
                </c:pt>
                <c:pt idx="809">
                  <c:v>24.593220000000002</c:v>
                </c:pt>
                <c:pt idx="810">
                  <c:v>24.549220000000002</c:v>
                </c:pt>
                <c:pt idx="811">
                  <c:v>24.637899999999998</c:v>
                </c:pt>
                <c:pt idx="812">
                  <c:v>24.89949</c:v>
                </c:pt>
                <c:pt idx="813">
                  <c:v>24.935980000000001</c:v>
                </c:pt>
                <c:pt idx="814">
                  <c:v>24.935980000000001</c:v>
                </c:pt>
                <c:pt idx="815">
                  <c:v>24.935980000000001</c:v>
                </c:pt>
                <c:pt idx="816">
                  <c:v>24.93167</c:v>
                </c:pt>
                <c:pt idx="817">
                  <c:v>24.945779999999999</c:v>
                </c:pt>
                <c:pt idx="818">
                  <c:v>24.968919999999997</c:v>
                </c:pt>
                <c:pt idx="819">
                  <c:v>24.884509999999999</c:v>
                </c:pt>
                <c:pt idx="820">
                  <c:v>24.884509999999999</c:v>
                </c:pt>
                <c:pt idx="821">
                  <c:v>24.884509999999999</c:v>
                </c:pt>
                <c:pt idx="822">
                  <c:v>24.884509999999999</c:v>
                </c:pt>
                <c:pt idx="823">
                  <c:v>23.078429999999997</c:v>
                </c:pt>
                <c:pt idx="824">
                  <c:v>23.097869999999997</c:v>
                </c:pt>
                <c:pt idx="825">
                  <c:v>23.035149999999998</c:v>
                </c:pt>
                <c:pt idx="826">
                  <c:v>23.035149999999998</c:v>
                </c:pt>
                <c:pt idx="827">
                  <c:v>23.035149999999998</c:v>
                </c:pt>
                <c:pt idx="828">
                  <c:v>22.548159999999999</c:v>
                </c:pt>
                <c:pt idx="829">
                  <c:v>22.548159999999999</c:v>
                </c:pt>
                <c:pt idx="830">
                  <c:v>22.548159999999999</c:v>
                </c:pt>
                <c:pt idx="831">
                  <c:v>22.458200000000001</c:v>
                </c:pt>
                <c:pt idx="832">
                  <c:v>22.697770000000002</c:v>
                </c:pt>
                <c:pt idx="833">
                  <c:v>22.929130000000001</c:v>
                </c:pt>
                <c:pt idx="834">
                  <c:v>22.817959999999999</c:v>
                </c:pt>
                <c:pt idx="835">
                  <c:v>22.987840000000002</c:v>
                </c:pt>
                <c:pt idx="836">
                  <c:v>22.943820000000002</c:v>
                </c:pt>
                <c:pt idx="837">
                  <c:v>22.943820000000002</c:v>
                </c:pt>
                <c:pt idx="838">
                  <c:v>22.943820000000002</c:v>
                </c:pt>
                <c:pt idx="839">
                  <c:v>23.611509999999999</c:v>
                </c:pt>
                <c:pt idx="840">
                  <c:v>23.611509999999999</c:v>
                </c:pt>
                <c:pt idx="841">
                  <c:v>23.635680000000001</c:v>
                </c:pt>
                <c:pt idx="842">
                  <c:v>23.709540000000001</c:v>
                </c:pt>
                <c:pt idx="843">
                  <c:v>23.490940000000002</c:v>
                </c:pt>
                <c:pt idx="844">
                  <c:v>23.099910000000001</c:v>
                </c:pt>
                <c:pt idx="845">
                  <c:v>22.772280000000002</c:v>
                </c:pt>
                <c:pt idx="846">
                  <c:v>22.974769999999999</c:v>
                </c:pt>
                <c:pt idx="847">
                  <c:v>23.035689999999999</c:v>
                </c:pt>
                <c:pt idx="848">
                  <c:v>23.137739999999997</c:v>
                </c:pt>
                <c:pt idx="849">
                  <c:v>23.128960000000003</c:v>
                </c:pt>
                <c:pt idx="850">
                  <c:v>23.128960000000003</c:v>
                </c:pt>
                <c:pt idx="851">
                  <c:v>23.128960000000003</c:v>
                </c:pt>
                <c:pt idx="852">
                  <c:v>23.128960000000003</c:v>
                </c:pt>
                <c:pt idx="853">
                  <c:v>23.128960000000003</c:v>
                </c:pt>
                <c:pt idx="854">
                  <c:v>23.128960000000003</c:v>
                </c:pt>
                <c:pt idx="855">
                  <c:v>23.128960000000003</c:v>
                </c:pt>
                <c:pt idx="856">
                  <c:v>23.128960000000003</c:v>
                </c:pt>
                <c:pt idx="857">
                  <c:v>22.98141</c:v>
                </c:pt>
                <c:pt idx="858">
                  <c:v>22.924760000000003</c:v>
                </c:pt>
                <c:pt idx="859">
                  <c:v>22.784290000000002</c:v>
                </c:pt>
                <c:pt idx="860">
                  <c:v>22.76352</c:v>
                </c:pt>
                <c:pt idx="861">
                  <c:v>22.507289999999998</c:v>
                </c:pt>
                <c:pt idx="862">
                  <c:v>22.511199999999999</c:v>
                </c:pt>
                <c:pt idx="863">
                  <c:v>22.984659999999998</c:v>
                </c:pt>
                <c:pt idx="864">
                  <c:v>23.10352</c:v>
                </c:pt>
                <c:pt idx="865">
                  <c:v>23.084340000000001</c:v>
                </c:pt>
                <c:pt idx="866">
                  <c:v>22.636709999999997</c:v>
                </c:pt>
                <c:pt idx="867">
                  <c:v>22.91667</c:v>
                </c:pt>
                <c:pt idx="868">
                  <c:v>23.00451</c:v>
                </c:pt>
                <c:pt idx="869">
                  <c:v>22.72167</c:v>
                </c:pt>
                <c:pt idx="870">
                  <c:v>22.540050000000001</c:v>
                </c:pt>
                <c:pt idx="871">
                  <c:v>22.56108</c:v>
                </c:pt>
                <c:pt idx="872">
                  <c:v>18.937260000000002</c:v>
                </c:pt>
                <c:pt idx="873">
                  <c:v>18.710090000000001</c:v>
                </c:pt>
                <c:pt idx="874">
                  <c:v>18.87088</c:v>
                </c:pt>
                <c:pt idx="875">
                  <c:v>18.920540000000003</c:v>
                </c:pt>
                <c:pt idx="876">
                  <c:v>19.070329999999998</c:v>
                </c:pt>
                <c:pt idx="877">
                  <c:v>18.93338</c:v>
                </c:pt>
                <c:pt idx="878">
                  <c:v>18.804390000000001</c:v>
                </c:pt>
                <c:pt idx="879">
                  <c:v>18.762</c:v>
                </c:pt>
                <c:pt idx="880">
                  <c:v>18.864799999999999</c:v>
                </c:pt>
                <c:pt idx="881">
                  <c:v>18.825189999999999</c:v>
                </c:pt>
                <c:pt idx="882">
                  <c:v>18.797049999999999</c:v>
                </c:pt>
                <c:pt idx="883">
                  <c:v>18.7821</c:v>
                </c:pt>
                <c:pt idx="884">
                  <c:v>18.853920000000002</c:v>
                </c:pt>
                <c:pt idx="885">
                  <c:v>18.876549999999998</c:v>
                </c:pt>
                <c:pt idx="886">
                  <c:v>18.761330000000001</c:v>
                </c:pt>
                <c:pt idx="887">
                  <c:v>18.790289999999999</c:v>
                </c:pt>
                <c:pt idx="888">
                  <c:v>18.790289999999999</c:v>
                </c:pt>
                <c:pt idx="889">
                  <c:v>18.88017</c:v>
                </c:pt>
                <c:pt idx="890">
                  <c:v>19.309739999999998</c:v>
                </c:pt>
                <c:pt idx="891">
                  <c:v>19.307950000000002</c:v>
                </c:pt>
                <c:pt idx="892">
                  <c:v>19.28331</c:v>
                </c:pt>
                <c:pt idx="893">
                  <c:v>19.28659</c:v>
                </c:pt>
                <c:pt idx="894">
                  <c:v>19.312889999999999</c:v>
                </c:pt>
                <c:pt idx="895">
                  <c:v>18.99765</c:v>
                </c:pt>
                <c:pt idx="896">
                  <c:v>19.157899999999998</c:v>
                </c:pt>
                <c:pt idx="897">
                  <c:v>19.11365</c:v>
                </c:pt>
                <c:pt idx="898">
                  <c:v>19.14143</c:v>
                </c:pt>
                <c:pt idx="899">
                  <c:v>19.137270000000001</c:v>
                </c:pt>
                <c:pt idx="900">
                  <c:v>19.162790000000001</c:v>
                </c:pt>
                <c:pt idx="901">
                  <c:v>19.319749999999999</c:v>
                </c:pt>
                <c:pt idx="902">
                  <c:v>19.28126</c:v>
                </c:pt>
                <c:pt idx="903">
                  <c:v>19.28126</c:v>
                </c:pt>
                <c:pt idx="904">
                  <c:v>19.307870000000001</c:v>
                </c:pt>
                <c:pt idx="905">
                  <c:v>19.73686</c:v>
                </c:pt>
                <c:pt idx="906">
                  <c:v>19.641179999999999</c:v>
                </c:pt>
                <c:pt idx="907">
                  <c:v>19.711130000000001</c:v>
                </c:pt>
                <c:pt idx="908">
                  <c:v>19.796199999999999</c:v>
                </c:pt>
                <c:pt idx="909">
                  <c:v>19.948779999999999</c:v>
                </c:pt>
                <c:pt idx="910">
                  <c:v>19.84695</c:v>
                </c:pt>
                <c:pt idx="911">
                  <c:v>19.729870000000002</c:v>
                </c:pt>
                <c:pt idx="912">
                  <c:v>19.942529999999998</c:v>
                </c:pt>
                <c:pt idx="913">
                  <c:v>19.970019999999998</c:v>
                </c:pt>
                <c:pt idx="914">
                  <c:v>19.970019999999998</c:v>
                </c:pt>
                <c:pt idx="915">
                  <c:v>19.821389999999997</c:v>
                </c:pt>
                <c:pt idx="916">
                  <c:v>19.72409</c:v>
                </c:pt>
                <c:pt idx="917">
                  <c:v>19.718669999999999</c:v>
                </c:pt>
                <c:pt idx="918">
                  <c:v>19.819739999999999</c:v>
                </c:pt>
                <c:pt idx="919">
                  <c:v>19.855080000000001</c:v>
                </c:pt>
                <c:pt idx="920">
                  <c:v>19.9465</c:v>
                </c:pt>
                <c:pt idx="921">
                  <c:v>20.296010000000003</c:v>
                </c:pt>
                <c:pt idx="922">
                  <c:v>20.25282</c:v>
                </c:pt>
                <c:pt idx="923">
                  <c:v>20.28847</c:v>
                </c:pt>
                <c:pt idx="924">
                  <c:v>20.31315</c:v>
                </c:pt>
                <c:pt idx="925">
                  <c:v>20.402339999999999</c:v>
                </c:pt>
                <c:pt idx="926">
                  <c:v>20.3446</c:v>
                </c:pt>
                <c:pt idx="927">
                  <c:v>20.35426</c:v>
                </c:pt>
                <c:pt idx="928">
                  <c:v>20.344349999999999</c:v>
                </c:pt>
                <c:pt idx="929">
                  <c:v>20.348309999999998</c:v>
                </c:pt>
                <c:pt idx="930">
                  <c:v>20.119389999999999</c:v>
                </c:pt>
                <c:pt idx="931">
                  <c:v>20.018810000000002</c:v>
                </c:pt>
                <c:pt idx="932">
                  <c:v>20.108330000000002</c:v>
                </c:pt>
                <c:pt idx="933">
                  <c:v>20.077850000000002</c:v>
                </c:pt>
                <c:pt idx="934">
                  <c:v>20.003620000000002</c:v>
                </c:pt>
                <c:pt idx="935">
                  <c:v>20.005029999999998</c:v>
                </c:pt>
                <c:pt idx="936">
                  <c:v>20.067550000000001</c:v>
                </c:pt>
                <c:pt idx="937">
                  <c:v>20.21218</c:v>
                </c:pt>
                <c:pt idx="938">
                  <c:v>20.056339999999999</c:v>
                </c:pt>
                <c:pt idx="939">
                  <c:v>20.283180000000002</c:v>
                </c:pt>
                <c:pt idx="940">
                  <c:v>20.29776</c:v>
                </c:pt>
                <c:pt idx="941">
                  <c:v>20.811540000000001</c:v>
                </c:pt>
                <c:pt idx="942">
                  <c:v>20.757550000000002</c:v>
                </c:pt>
                <c:pt idx="943">
                  <c:v>20.771419999999999</c:v>
                </c:pt>
                <c:pt idx="944">
                  <c:v>20.73442</c:v>
                </c:pt>
                <c:pt idx="945">
                  <c:v>20.701589999999999</c:v>
                </c:pt>
                <c:pt idx="946">
                  <c:v>20.756610000000002</c:v>
                </c:pt>
                <c:pt idx="947">
                  <c:v>20.766260000000003</c:v>
                </c:pt>
                <c:pt idx="948">
                  <c:v>20.715450000000001</c:v>
                </c:pt>
                <c:pt idx="949">
                  <c:v>20.729800000000001</c:v>
                </c:pt>
                <c:pt idx="950">
                  <c:v>20.885439999999999</c:v>
                </c:pt>
                <c:pt idx="951">
                  <c:v>19.338290000000001</c:v>
                </c:pt>
                <c:pt idx="952">
                  <c:v>19.362439999999999</c:v>
                </c:pt>
                <c:pt idx="953">
                  <c:v>19.403320000000001</c:v>
                </c:pt>
                <c:pt idx="954">
                  <c:v>19.524999999999999</c:v>
                </c:pt>
                <c:pt idx="955">
                  <c:v>20.376259999999998</c:v>
                </c:pt>
                <c:pt idx="956">
                  <c:v>20.542559999999998</c:v>
                </c:pt>
                <c:pt idx="957">
                  <c:v>20.46904</c:v>
                </c:pt>
                <c:pt idx="958">
                  <c:v>20.46904</c:v>
                </c:pt>
                <c:pt idx="959">
                  <c:v>20.42652</c:v>
                </c:pt>
                <c:pt idx="960">
                  <c:v>20.421800000000001</c:v>
                </c:pt>
                <c:pt idx="961">
                  <c:v>20.418219999999998</c:v>
                </c:pt>
                <c:pt idx="962">
                  <c:v>21.488440000000001</c:v>
                </c:pt>
                <c:pt idx="963">
                  <c:v>21.449589999999997</c:v>
                </c:pt>
                <c:pt idx="964">
                  <c:v>21.476019999999998</c:v>
                </c:pt>
                <c:pt idx="965">
                  <c:v>21.487500000000001</c:v>
                </c:pt>
                <c:pt idx="966">
                  <c:v>22.09761</c:v>
                </c:pt>
                <c:pt idx="967">
                  <c:v>22.100210000000001</c:v>
                </c:pt>
                <c:pt idx="968">
                  <c:v>22.200210000000002</c:v>
                </c:pt>
                <c:pt idx="969">
                  <c:v>22.101599999999998</c:v>
                </c:pt>
                <c:pt idx="970">
                  <c:v>22.11055</c:v>
                </c:pt>
                <c:pt idx="971">
                  <c:v>22.042190000000002</c:v>
                </c:pt>
                <c:pt idx="972">
                  <c:v>22.088750000000001</c:v>
                </c:pt>
                <c:pt idx="973">
                  <c:v>22.478660000000001</c:v>
                </c:pt>
                <c:pt idx="974">
                  <c:v>22.024319999999999</c:v>
                </c:pt>
                <c:pt idx="975">
                  <c:v>21.983519999999999</c:v>
                </c:pt>
                <c:pt idx="976">
                  <c:v>22.05603</c:v>
                </c:pt>
                <c:pt idx="977">
                  <c:v>22.383099999999999</c:v>
                </c:pt>
                <c:pt idx="978">
                  <c:v>22.412559999999999</c:v>
                </c:pt>
                <c:pt idx="979">
                  <c:v>22.448699999999999</c:v>
                </c:pt>
                <c:pt idx="980">
                  <c:v>22.015799999999999</c:v>
                </c:pt>
                <c:pt idx="981">
                  <c:v>22.262260000000001</c:v>
                </c:pt>
                <c:pt idx="982">
                  <c:v>22.216609999999999</c:v>
                </c:pt>
                <c:pt idx="983">
                  <c:v>22.216609999999999</c:v>
                </c:pt>
                <c:pt idx="984">
                  <c:v>22.175369999999997</c:v>
                </c:pt>
                <c:pt idx="985">
                  <c:v>22.261010000000002</c:v>
                </c:pt>
                <c:pt idx="986">
                  <c:v>22.181100000000001</c:v>
                </c:pt>
                <c:pt idx="987">
                  <c:v>22.277550000000002</c:v>
                </c:pt>
                <c:pt idx="988">
                  <c:v>22.1965</c:v>
                </c:pt>
                <c:pt idx="989">
                  <c:v>22.076599999999999</c:v>
                </c:pt>
                <c:pt idx="990">
                  <c:v>22.024470000000001</c:v>
                </c:pt>
                <c:pt idx="991">
                  <c:v>21.989279999999997</c:v>
                </c:pt>
                <c:pt idx="992">
                  <c:v>22.074140000000003</c:v>
                </c:pt>
                <c:pt idx="993">
                  <c:v>22.146460000000001</c:v>
                </c:pt>
                <c:pt idx="994">
                  <c:v>22.204720000000002</c:v>
                </c:pt>
                <c:pt idx="995">
                  <c:v>22.101050000000001</c:v>
                </c:pt>
                <c:pt idx="996">
                  <c:v>22.26069</c:v>
                </c:pt>
                <c:pt idx="997">
                  <c:v>22.27881</c:v>
                </c:pt>
                <c:pt idx="998">
                  <c:v>22.239810000000002</c:v>
                </c:pt>
                <c:pt idx="999">
                  <c:v>22.219909999999999</c:v>
                </c:pt>
                <c:pt idx="1000">
                  <c:v>22.423479999999998</c:v>
                </c:pt>
                <c:pt idx="1001">
                  <c:v>22.526799999999998</c:v>
                </c:pt>
                <c:pt idx="1002">
                  <c:v>22.633150000000001</c:v>
                </c:pt>
                <c:pt idx="1003">
                  <c:v>22.564109999999999</c:v>
                </c:pt>
                <c:pt idx="1004">
                  <c:v>22.674810000000001</c:v>
                </c:pt>
                <c:pt idx="1005">
                  <c:v>22.750779999999999</c:v>
                </c:pt>
                <c:pt idx="1006">
                  <c:v>22.699749999999998</c:v>
                </c:pt>
                <c:pt idx="1007">
                  <c:v>22.768449999999998</c:v>
                </c:pt>
                <c:pt idx="1008">
                  <c:v>22.708449999999999</c:v>
                </c:pt>
                <c:pt idx="1009">
                  <c:v>23.090669999999999</c:v>
                </c:pt>
                <c:pt idx="1010">
                  <c:v>22.85698</c:v>
                </c:pt>
                <c:pt idx="1011">
                  <c:v>23.567499999999999</c:v>
                </c:pt>
                <c:pt idx="1012">
                  <c:v>23.182489999999998</c:v>
                </c:pt>
                <c:pt idx="1013">
                  <c:v>23.255669999999999</c:v>
                </c:pt>
                <c:pt idx="1014">
                  <c:v>23.625149999999998</c:v>
                </c:pt>
                <c:pt idx="1015">
                  <c:v>23.316779999999998</c:v>
                </c:pt>
                <c:pt idx="1016">
                  <c:v>23.316779999999998</c:v>
                </c:pt>
                <c:pt idx="1017">
                  <c:v>23.12576</c:v>
                </c:pt>
                <c:pt idx="1018">
                  <c:v>24.382460000000002</c:v>
                </c:pt>
                <c:pt idx="1019">
                  <c:v>24.44378</c:v>
                </c:pt>
                <c:pt idx="1020">
                  <c:v>26.16629</c:v>
                </c:pt>
                <c:pt idx="1021">
                  <c:v>26.095189999999999</c:v>
                </c:pt>
                <c:pt idx="1022">
                  <c:v>24.881979999999999</c:v>
                </c:pt>
                <c:pt idx="1023">
                  <c:v>25.076700000000002</c:v>
                </c:pt>
                <c:pt idx="1024">
                  <c:v>25.339899999999997</c:v>
                </c:pt>
                <c:pt idx="1025">
                  <c:v>24.911619999999999</c:v>
                </c:pt>
                <c:pt idx="1026">
                  <c:v>26.14011</c:v>
                </c:pt>
                <c:pt idx="1027">
                  <c:v>25.287459999999999</c:v>
                </c:pt>
                <c:pt idx="1028">
                  <c:v>25.319899999999997</c:v>
                </c:pt>
                <c:pt idx="1029">
                  <c:v>25.851590000000002</c:v>
                </c:pt>
                <c:pt idx="1030">
                  <c:v>25.987959999999998</c:v>
                </c:pt>
                <c:pt idx="1031">
                  <c:v>26.609520000000003</c:v>
                </c:pt>
                <c:pt idx="1032">
                  <c:v>26.632539999999999</c:v>
                </c:pt>
                <c:pt idx="1033">
                  <c:v>26.8675</c:v>
                </c:pt>
                <c:pt idx="1034">
                  <c:v>27.015479999999997</c:v>
                </c:pt>
                <c:pt idx="1035">
                  <c:v>26.5762</c:v>
                </c:pt>
                <c:pt idx="1036">
                  <c:v>26.534510000000001</c:v>
                </c:pt>
                <c:pt idx="1037">
                  <c:v>26.605369999999997</c:v>
                </c:pt>
                <c:pt idx="1038">
                  <c:v>26.605369999999997</c:v>
                </c:pt>
                <c:pt idx="1039">
                  <c:v>26.705210000000001</c:v>
                </c:pt>
                <c:pt idx="1040">
                  <c:v>26.703310000000002</c:v>
                </c:pt>
                <c:pt idx="1041">
                  <c:v>26.749140000000001</c:v>
                </c:pt>
                <c:pt idx="1042">
                  <c:v>27.108739999999997</c:v>
                </c:pt>
                <c:pt idx="1043">
                  <c:v>27.108739999999997</c:v>
                </c:pt>
                <c:pt idx="1044">
                  <c:v>26.86741</c:v>
                </c:pt>
                <c:pt idx="1045">
                  <c:v>26.899369999999998</c:v>
                </c:pt>
                <c:pt idx="1046">
                  <c:v>26.215689999999999</c:v>
                </c:pt>
                <c:pt idx="1047">
                  <c:v>26.45599</c:v>
                </c:pt>
                <c:pt idx="1048">
                  <c:v>26.61073</c:v>
                </c:pt>
                <c:pt idx="1049">
                  <c:v>26.473990000000001</c:v>
                </c:pt>
                <c:pt idx="1050">
                  <c:v>26.57788</c:v>
                </c:pt>
                <c:pt idx="1051">
                  <c:v>26.74849</c:v>
                </c:pt>
                <c:pt idx="1052">
                  <c:v>26.553249999999998</c:v>
                </c:pt>
                <c:pt idx="1053">
                  <c:v>26.553249999999998</c:v>
                </c:pt>
                <c:pt idx="1054">
                  <c:v>26.21396</c:v>
                </c:pt>
                <c:pt idx="1055">
                  <c:v>24.736260000000001</c:v>
                </c:pt>
                <c:pt idx="1056">
                  <c:v>24.17484</c:v>
                </c:pt>
                <c:pt idx="1057">
                  <c:v>24.373620000000003</c:v>
                </c:pt>
                <c:pt idx="1058">
                  <c:v>23.558229999999998</c:v>
                </c:pt>
                <c:pt idx="1059">
                  <c:v>23.953850000000003</c:v>
                </c:pt>
                <c:pt idx="1060">
                  <c:v>24.008040000000001</c:v>
                </c:pt>
                <c:pt idx="1061">
                  <c:v>24.030659999999997</c:v>
                </c:pt>
                <c:pt idx="1062">
                  <c:v>23.806799999999999</c:v>
                </c:pt>
                <c:pt idx="1063">
                  <c:v>23.89217</c:v>
                </c:pt>
                <c:pt idx="1064">
                  <c:v>23.826810000000002</c:v>
                </c:pt>
                <c:pt idx="1065">
                  <c:v>23.997440000000001</c:v>
                </c:pt>
                <c:pt idx="1066">
                  <c:v>24.009059999999998</c:v>
                </c:pt>
                <c:pt idx="1067">
                  <c:v>23.839499999999997</c:v>
                </c:pt>
                <c:pt idx="1068">
                  <c:v>23.434369999999998</c:v>
                </c:pt>
                <c:pt idx="1069">
                  <c:v>23.50366</c:v>
                </c:pt>
                <c:pt idx="1070">
                  <c:v>23.528319999999997</c:v>
                </c:pt>
                <c:pt idx="1071">
                  <c:v>23.37641</c:v>
                </c:pt>
                <c:pt idx="1072">
                  <c:v>23.204599999999999</c:v>
                </c:pt>
                <c:pt idx="1073">
                  <c:v>23.393649999999997</c:v>
                </c:pt>
                <c:pt idx="1074">
                  <c:v>23.090639999999997</c:v>
                </c:pt>
                <c:pt idx="1075">
                  <c:v>23.186340000000001</c:v>
                </c:pt>
                <c:pt idx="1076">
                  <c:v>23.30556</c:v>
                </c:pt>
                <c:pt idx="1077">
                  <c:v>23.30087</c:v>
                </c:pt>
                <c:pt idx="1078">
                  <c:v>23.30087</c:v>
                </c:pt>
                <c:pt idx="1079">
                  <c:v>23.392469999999999</c:v>
                </c:pt>
                <c:pt idx="1080">
                  <c:v>23.454149999999998</c:v>
                </c:pt>
                <c:pt idx="1081">
                  <c:v>23.196129999999997</c:v>
                </c:pt>
                <c:pt idx="1082">
                  <c:v>23.524479999999997</c:v>
                </c:pt>
                <c:pt idx="1083">
                  <c:v>21.695399999999999</c:v>
                </c:pt>
                <c:pt idx="1084">
                  <c:v>21.966249999999999</c:v>
                </c:pt>
                <c:pt idx="1085">
                  <c:v>21.899360000000001</c:v>
                </c:pt>
                <c:pt idx="1086">
                  <c:v>22.344940000000001</c:v>
                </c:pt>
                <c:pt idx="1087">
                  <c:v>22.49784</c:v>
                </c:pt>
                <c:pt idx="1088">
                  <c:v>22.507199999999997</c:v>
                </c:pt>
                <c:pt idx="1089">
                  <c:v>22.482759999999999</c:v>
                </c:pt>
                <c:pt idx="1090">
                  <c:v>22.568339999999999</c:v>
                </c:pt>
                <c:pt idx="1091">
                  <c:v>22.59346</c:v>
                </c:pt>
                <c:pt idx="1092">
                  <c:v>22.57197</c:v>
                </c:pt>
                <c:pt idx="1093">
                  <c:v>22.54627</c:v>
                </c:pt>
                <c:pt idx="1094">
                  <c:v>22.38954</c:v>
                </c:pt>
                <c:pt idx="1095">
                  <c:v>22.340410000000002</c:v>
                </c:pt>
                <c:pt idx="1096">
                  <c:v>22.452330000000003</c:v>
                </c:pt>
                <c:pt idx="1097">
                  <c:v>22.463809999999999</c:v>
                </c:pt>
                <c:pt idx="1098">
                  <c:v>22.470369999999999</c:v>
                </c:pt>
                <c:pt idx="1099">
                  <c:v>22.313490000000002</c:v>
                </c:pt>
                <c:pt idx="1100">
                  <c:v>22.362159999999999</c:v>
                </c:pt>
                <c:pt idx="1101">
                  <c:v>22.129409999999996</c:v>
                </c:pt>
                <c:pt idx="1102">
                  <c:v>22.146329999999999</c:v>
                </c:pt>
                <c:pt idx="1103">
                  <c:v>22.171469999999999</c:v>
                </c:pt>
                <c:pt idx="1104">
                  <c:v>22.177430000000001</c:v>
                </c:pt>
                <c:pt idx="1105">
                  <c:v>22.253449999999997</c:v>
                </c:pt>
                <c:pt idx="1106">
                  <c:v>22.127600000000001</c:v>
                </c:pt>
                <c:pt idx="1107">
                  <c:v>22.127600000000001</c:v>
                </c:pt>
                <c:pt idx="1108">
                  <c:v>22.147669999999998</c:v>
                </c:pt>
                <c:pt idx="1109">
                  <c:v>22.043800000000001</c:v>
                </c:pt>
                <c:pt idx="1110">
                  <c:v>22.043879999999998</c:v>
                </c:pt>
                <c:pt idx="1111">
                  <c:v>22.13815</c:v>
                </c:pt>
                <c:pt idx="1112">
                  <c:v>22.087389999999999</c:v>
                </c:pt>
                <c:pt idx="1113">
                  <c:v>22.063679999999998</c:v>
                </c:pt>
                <c:pt idx="1114">
                  <c:v>22.123950000000001</c:v>
                </c:pt>
                <c:pt idx="1115">
                  <c:v>21.877660000000002</c:v>
                </c:pt>
                <c:pt idx="1116">
                  <c:v>21.929250000000003</c:v>
                </c:pt>
                <c:pt idx="1117">
                  <c:v>22.060220000000001</c:v>
                </c:pt>
                <c:pt idx="1118">
                  <c:v>21.936</c:v>
                </c:pt>
                <c:pt idx="1119">
                  <c:v>21.919329999999999</c:v>
                </c:pt>
                <c:pt idx="1120">
                  <c:v>21.988870000000002</c:v>
                </c:pt>
                <c:pt idx="1121">
                  <c:v>21.993639999999999</c:v>
                </c:pt>
                <c:pt idx="1122">
                  <c:v>21.99878</c:v>
                </c:pt>
                <c:pt idx="1123">
                  <c:v>22.062350000000002</c:v>
                </c:pt>
                <c:pt idx="1124">
                  <c:v>22.023359999999997</c:v>
                </c:pt>
                <c:pt idx="1125">
                  <c:v>22.05743</c:v>
                </c:pt>
                <c:pt idx="1126">
                  <c:v>21.99005</c:v>
                </c:pt>
                <c:pt idx="1127">
                  <c:v>21.990749999999998</c:v>
                </c:pt>
                <c:pt idx="1128">
                  <c:v>22.062330000000003</c:v>
                </c:pt>
                <c:pt idx="1129">
                  <c:v>22.011010000000002</c:v>
                </c:pt>
                <c:pt idx="1130">
                  <c:v>22.096970000000002</c:v>
                </c:pt>
                <c:pt idx="1131">
                  <c:v>22.227260000000001</c:v>
                </c:pt>
                <c:pt idx="1132">
                  <c:v>22.341899999999999</c:v>
                </c:pt>
                <c:pt idx="1133">
                  <c:v>22.405659999999997</c:v>
                </c:pt>
                <c:pt idx="1134">
                  <c:v>22.193670000000001</c:v>
                </c:pt>
                <c:pt idx="1135">
                  <c:v>22.083389999999998</c:v>
                </c:pt>
                <c:pt idx="1136">
                  <c:v>22.446159999999999</c:v>
                </c:pt>
                <c:pt idx="1137">
                  <c:v>22.48319</c:v>
                </c:pt>
                <c:pt idx="1138">
                  <c:v>22.49145</c:v>
                </c:pt>
                <c:pt idx="1139">
                  <c:v>22.396529999999998</c:v>
                </c:pt>
                <c:pt idx="1140">
                  <c:v>22.717010000000002</c:v>
                </c:pt>
                <c:pt idx="1141">
                  <c:v>22.623980000000003</c:v>
                </c:pt>
                <c:pt idx="1142">
                  <c:v>22.673209999999997</c:v>
                </c:pt>
                <c:pt idx="1143">
                  <c:v>22.463010000000001</c:v>
                </c:pt>
                <c:pt idx="1144">
                  <c:v>22.50225</c:v>
                </c:pt>
                <c:pt idx="1145">
                  <c:v>22.698400000000003</c:v>
                </c:pt>
                <c:pt idx="1146">
                  <c:v>22.641449999999999</c:v>
                </c:pt>
                <c:pt idx="1147">
                  <c:v>22.672809999999998</c:v>
                </c:pt>
                <c:pt idx="1148">
                  <c:v>22.672809999999998</c:v>
                </c:pt>
                <c:pt idx="1149">
                  <c:v>22.54139</c:v>
                </c:pt>
                <c:pt idx="1150">
                  <c:v>22.520709999999998</c:v>
                </c:pt>
                <c:pt idx="1151">
                  <c:v>22.570830000000001</c:v>
                </c:pt>
                <c:pt idx="1152">
                  <c:v>22.85801</c:v>
                </c:pt>
                <c:pt idx="1153">
                  <c:v>22.82302</c:v>
                </c:pt>
                <c:pt idx="1154">
                  <c:v>23.017939999999999</c:v>
                </c:pt>
                <c:pt idx="1155">
                  <c:v>23.003060000000001</c:v>
                </c:pt>
                <c:pt idx="1156">
                  <c:v>22.972539999999999</c:v>
                </c:pt>
                <c:pt idx="1157">
                  <c:v>22.896450000000002</c:v>
                </c:pt>
                <c:pt idx="1158">
                  <c:v>22.779859999999999</c:v>
                </c:pt>
                <c:pt idx="1159">
                  <c:v>23.19012</c:v>
                </c:pt>
                <c:pt idx="1160">
                  <c:v>23.39546</c:v>
                </c:pt>
                <c:pt idx="1161">
                  <c:v>23.55556</c:v>
                </c:pt>
                <c:pt idx="1162">
                  <c:v>23.203400000000002</c:v>
                </c:pt>
                <c:pt idx="1163">
                  <c:v>23.145129999999998</c:v>
                </c:pt>
                <c:pt idx="1164">
                  <c:v>23.165669999999999</c:v>
                </c:pt>
              </c:numCache>
            </c:numRef>
          </c:val>
          <c:smooth val="0"/>
          <c:extLst>
            <c:ext xmlns:c16="http://schemas.microsoft.com/office/drawing/2014/chart" uri="{C3380CC4-5D6E-409C-BE32-E72D297353CC}">
              <c16:uniqueId val="{00000006-5560-4D07-B97F-4AA9E95DFDA5}"/>
            </c:ext>
          </c:extLst>
        </c:ser>
        <c:ser>
          <c:idx val="6"/>
          <c:order val="6"/>
          <c:tx>
            <c:strRef>
              <c:f>Sheet1!$H$1</c:f>
              <c:strCache>
                <c:ptCount val="1"/>
                <c:pt idx="0">
                  <c:v>Ղազախստան (2025 թ.)</c:v>
                </c:pt>
              </c:strCache>
            </c:strRef>
          </c:tx>
          <c:spPr>
            <a:ln w="19050" cap="rnd">
              <a:solidFill>
                <a:schemeClr val="bg1">
                  <a:lumMod val="65000"/>
                </a:schemeClr>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Sheet1!$H$2:$H$1427</c:f>
              <c:numCache>
                <c:formatCode>0</c:formatCode>
                <c:ptCount val="1165"/>
                <c:pt idx="0">
                  <c:v>0.53600000000000003</c:v>
                </c:pt>
                <c:pt idx="1">
                  <c:v>0.49976999999999999</c:v>
                </c:pt>
                <c:pt idx="2">
                  <c:v>0.57070999999999994</c:v>
                </c:pt>
                <c:pt idx="3">
                  <c:v>0.58564000000000005</c:v>
                </c:pt>
                <c:pt idx="4">
                  <c:v>0.54823</c:v>
                </c:pt>
                <c:pt idx="5">
                  <c:v>0.55486999999999997</c:v>
                </c:pt>
                <c:pt idx="6">
                  <c:v>0.47810999999999998</c:v>
                </c:pt>
                <c:pt idx="7">
                  <c:v>0.49371999999999999</c:v>
                </c:pt>
                <c:pt idx="8">
                  <c:v>0.48853000000000002</c:v>
                </c:pt>
                <c:pt idx="9">
                  <c:v>0.49103999999999998</c:v>
                </c:pt>
                <c:pt idx="10">
                  <c:v>0.52758000000000005</c:v>
                </c:pt>
                <c:pt idx="11">
                  <c:v>0.52017000000000002</c:v>
                </c:pt>
                <c:pt idx="12">
                  <c:v>0.50507999999999997</c:v>
                </c:pt>
                <c:pt idx="13">
                  <c:v>0.50507999999999997</c:v>
                </c:pt>
                <c:pt idx="14">
                  <c:v>0.52396999999999994</c:v>
                </c:pt>
                <c:pt idx="15">
                  <c:v>0.55591999999999997</c:v>
                </c:pt>
                <c:pt idx="16">
                  <c:v>0.58630000000000004</c:v>
                </c:pt>
                <c:pt idx="17">
                  <c:v>0.59223999999999999</c:v>
                </c:pt>
                <c:pt idx="18">
                  <c:v>0.72241</c:v>
                </c:pt>
                <c:pt idx="19">
                  <c:v>0.75025999999999993</c:v>
                </c:pt>
                <c:pt idx="20">
                  <c:v>0.71448999999999996</c:v>
                </c:pt>
                <c:pt idx="21">
                  <c:v>0.75309999999999999</c:v>
                </c:pt>
                <c:pt idx="22">
                  <c:v>0.73821000000000003</c:v>
                </c:pt>
                <c:pt idx="23">
                  <c:v>0.77263999999999999</c:v>
                </c:pt>
                <c:pt idx="24">
                  <c:v>0.73427000000000009</c:v>
                </c:pt>
                <c:pt idx="25">
                  <c:v>0.69676000000000005</c:v>
                </c:pt>
                <c:pt idx="26">
                  <c:v>0.68403000000000003</c:v>
                </c:pt>
                <c:pt idx="27">
                  <c:v>0.70876000000000006</c:v>
                </c:pt>
                <c:pt idx="28">
                  <c:v>0.73921000000000003</c:v>
                </c:pt>
                <c:pt idx="29">
                  <c:v>0.71675</c:v>
                </c:pt>
                <c:pt idx="30">
                  <c:v>0.68276999999999999</c:v>
                </c:pt>
                <c:pt idx="31">
                  <c:v>0.70799999999999996</c:v>
                </c:pt>
                <c:pt idx="32">
                  <c:v>0.68169999999999997</c:v>
                </c:pt>
                <c:pt idx="33">
                  <c:v>0.68169999999999997</c:v>
                </c:pt>
                <c:pt idx="34">
                  <c:v>0.70189999999999997</c:v>
                </c:pt>
                <c:pt idx="35">
                  <c:v>0.66855000000000009</c:v>
                </c:pt>
                <c:pt idx="36">
                  <c:v>0.65480999999999989</c:v>
                </c:pt>
                <c:pt idx="37">
                  <c:v>0.6710299999999999</c:v>
                </c:pt>
                <c:pt idx="38">
                  <c:v>0.75388000000000011</c:v>
                </c:pt>
                <c:pt idx="39">
                  <c:v>0.77760999999999991</c:v>
                </c:pt>
                <c:pt idx="40">
                  <c:v>0.8397</c:v>
                </c:pt>
                <c:pt idx="41">
                  <c:v>0.89941000000000004</c:v>
                </c:pt>
                <c:pt idx="42">
                  <c:v>1.18188</c:v>
                </c:pt>
                <c:pt idx="43">
                  <c:v>1.31928</c:v>
                </c:pt>
                <c:pt idx="44">
                  <c:v>1.1708799999999999</c:v>
                </c:pt>
                <c:pt idx="45">
                  <c:v>1.2998099999999999</c:v>
                </c:pt>
                <c:pt idx="46">
                  <c:v>1.2320099999999998</c:v>
                </c:pt>
                <c:pt idx="47">
                  <c:v>1.3675999999999999</c:v>
                </c:pt>
                <c:pt idx="48">
                  <c:v>1.95482</c:v>
                </c:pt>
                <c:pt idx="49">
                  <c:v>1.7009100000000001</c:v>
                </c:pt>
                <c:pt idx="50">
                  <c:v>1.7594700000000001</c:v>
                </c:pt>
                <c:pt idx="51">
                  <c:v>1.9165000000000001</c:v>
                </c:pt>
                <c:pt idx="52">
                  <c:v>2.0610300000000001</c:v>
                </c:pt>
                <c:pt idx="53">
                  <c:v>2.1472199999999999</c:v>
                </c:pt>
                <c:pt idx="54">
                  <c:v>2.3667500000000001</c:v>
                </c:pt>
                <c:pt idx="55">
                  <c:v>2.4547099999999999</c:v>
                </c:pt>
                <c:pt idx="56">
                  <c:v>3.1110799999999998</c:v>
                </c:pt>
                <c:pt idx="57">
                  <c:v>3.2946200000000001</c:v>
                </c:pt>
                <c:pt idx="58">
                  <c:v>3.7508600000000003</c:v>
                </c:pt>
                <c:pt idx="59">
                  <c:v>3.80803</c:v>
                </c:pt>
                <c:pt idx="60">
                  <c:v>3.4944199999999999</c:v>
                </c:pt>
                <c:pt idx="61">
                  <c:v>3.4558800000000001</c:v>
                </c:pt>
                <c:pt idx="62">
                  <c:v>3.0612699999999999</c:v>
                </c:pt>
                <c:pt idx="63">
                  <c:v>3.2094799999999997</c:v>
                </c:pt>
                <c:pt idx="64">
                  <c:v>3.1412</c:v>
                </c:pt>
                <c:pt idx="65">
                  <c:v>3.1332200000000001</c:v>
                </c:pt>
                <c:pt idx="66">
                  <c:v>3.0118099999999997</c:v>
                </c:pt>
                <c:pt idx="67">
                  <c:v>2.7802999999999995</c:v>
                </c:pt>
                <c:pt idx="68">
                  <c:v>2.4717699999999998</c:v>
                </c:pt>
                <c:pt idx="69">
                  <c:v>2.2374799999999997</c:v>
                </c:pt>
                <c:pt idx="70">
                  <c:v>2.15422</c:v>
                </c:pt>
                <c:pt idx="71">
                  <c:v>2.1812</c:v>
                </c:pt>
                <c:pt idx="72">
                  <c:v>2.1812</c:v>
                </c:pt>
                <c:pt idx="73">
                  <c:v>2.1423000000000001</c:v>
                </c:pt>
                <c:pt idx="74">
                  <c:v>2.1431200000000001</c:v>
                </c:pt>
                <c:pt idx="75">
                  <c:v>2.1837399999999998</c:v>
                </c:pt>
                <c:pt idx="76">
                  <c:v>2.2176900000000002</c:v>
                </c:pt>
                <c:pt idx="77">
                  <c:v>2.1816499999999999</c:v>
                </c:pt>
                <c:pt idx="78">
                  <c:v>2.1833</c:v>
                </c:pt>
                <c:pt idx="79">
                  <c:v>2.3550299999999997</c:v>
                </c:pt>
                <c:pt idx="80">
                  <c:v>2.5280900000000002</c:v>
                </c:pt>
                <c:pt idx="81">
                  <c:v>2.51309</c:v>
                </c:pt>
                <c:pt idx="82">
                  <c:v>2.4803999999999999</c:v>
                </c:pt>
                <c:pt idx="83">
                  <c:v>2.4527899999999998</c:v>
                </c:pt>
                <c:pt idx="84">
                  <c:v>2.4552700000000001</c:v>
                </c:pt>
                <c:pt idx="85">
                  <c:v>2.47824</c:v>
                </c:pt>
                <c:pt idx="86">
                  <c:v>2.4203100000000002</c:v>
                </c:pt>
                <c:pt idx="87">
                  <c:v>2.41086</c:v>
                </c:pt>
                <c:pt idx="88">
                  <c:v>2.4271199999999999</c:v>
                </c:pt>
                <c:pt idx="89">
                  <c:v>2.3329200000000001</c:v>
                </c:pt>
                <c:pt idx="90">
                  <c:v>2.21089</c:v>
                </c:pt>
                <c:pt idx="91">
                  <c:v>2.1728800000000001</c:v>
                </c:pt>
                <c:pt idx="92">
                  <c:v>2.1971600000000002</c:v>
                </c:pt>
                <c:pt idx="93">
                  <c:v>2.1187100000000001</c:v>
                </c:pt>
                <c:pt idx="94">
                  <c:v>2.0244800000000001</c:v>
                </c:pt>
                <c:pt idx="95">
                  <c:v>2.0023</c:v>
                </c:pt>
                <c:pt idx="96">
                  <c:v>2.00665</c:v>
                </c:pt>
                <c:pt idx="97">
                  <c:v>1.94017</c:v>
                </c:pt>
                <c:pt idx="98">
                  <c:v>1.8311500000000001</c:v>
                </c:pt>
                <c:pt idx="99">
                  <c:v>1.71136</c:v>
                </c:pt>
                <c:pt idx="100">
                  <c:v>1.6573800000000001</c:v>
                </c:pt>
                <c:pt idx="101">
                  <c:v>1.5865400000000001</c:v>
                </c:pt>
                <c:pt idx="102">
                  <c:v>1.58683</c:v>
                </c:pt>
                <c:pt idx="103">
                  <c:v>1.58683</c:v>
                </c:pt>
                <c:pt idx="104">
                  <c:v>1.5127199999999998</c:v>
                </c:pt>
                <c:pt idx="105">
                  <c:v>1.4782200000000001</c:v>
                </c:pt>
                <c:pt idx="106">
                  <c:v>1.4801200000000001</c:v>
                </c:pt>
                <c:pt idx="107">
                  <c:v>1.46292</c:v>
                </c:pt>
                <c:pt idx="108">
                  <c:v>1.4753999999999998</c:v>
                </c:pt>
                <c:pt idx="109">
                  <c:v>1.4462799999999998</c:v>
                </c:pt>
                <c:pt idx="110">
                  <c:v>1.32345</c:v>
                </c:pt>
                <c:pt idx="111">
                  <c:v>1.2156499999999999</c:v>
                </c:pt>
                <c:pt idx="112">
                  <c:v>1.13371</c:v>
                </c:pt>
                <c:pt idx="113">
                  <c:v>1.0884799999999999</c:v>
                </c:pt>
                <c:pt idx="114">
                  <c:v>1.12984</c:v>
                </c:pt>
                <c:pt idx="115">
                  <c:v>1.17771</c:v>
                </c:pt>
                <c:pt idx="116">
                  <c:v>1.30281</c:v>
                </c:pt>
                <c:pt idx="117">
                  <c:v>1.3360400000000001</c:v>
                </c:pt>
                <c:pt idx="118">
                  <c:v>1.4440500000000001</c:v>
                </c:pt>
                <c:pt idx="119">
                  <c:v>1.3922399999999999</c:v>
                </c:pt>
                <c:pt idx="120">
                  <c:v>1.3811000000000002</c:v>
                </c:pt>
                <c:pt idx="121">
                  <c:v>1.36572</c:v>
                </c:pt>
                <c:pt idx="122">
                  <c:v>1.3526099999999999</c:v>
                </c:pt>
                <c:pt idx="123">
                  <c:v>1.3661000000000001</c:v>
                </c:pt>
                <c:pt idx="124">
                  <c:v>1.3396199999999998</c:v>
                </c:pt>
                <c:pt idx="125">
                  <c:v>1.33802</c:v>
                </c:pt>
                <c:pt idx="126">
                  <c:v>1.4456</c:v>
                </c:pt>
                <c:pt idx="127">
                  <c:v>1.43702</c:v>
                </c:pt>
                <c:pt idx="128">
                  <c:v>1.4512700000000001</c:v>
                </c:pt>
                <c:pt idx="129">
                  <c:v>1.4858099999999999</c:v>
                </c:pt>
                <c:pt idx="130">
                  <c:v>1.44886</c:v>
                </c:pt>
                <c:pt idx="131">
                  <c:v>1.42249</c:v>
                </c:pt>
                <c:pt idx="132">
                  <c:v>1.42249</c:v>
                </c:pt>
                <c:pt idx="133">
                  <c:v>1.4016599999999999</c:v>
                </c:pt>
                <c:pt idx="134">
                  <c:v>1.3887299999999998</c:v>
                </c:pt>
                <c:pt idx="135">
                  <c:v>1.38985</c:v>
                </c:pt>
                <c:pt idx="136">
                  <c:v>1.3752600000000001</c:v>
                </c:pt>
                <c:pt idx="137">
                  <c:v>1.3927500000000002</c:v>
                </c:pt>
                <c:pt idx="138">
                  <c:v>1.36633</c:v>
                </c:pt>
                <c:pt idx="139">
                  <c:v>1.3724700000000001</c:v>
                </c:pt>
                <c:pt idx="140">
                  <c:v>1.3644499999999999</c:v>
                </c:pt>
                <c:pt idx="141">
                  <c:v>1.3506399999999998</c:v>
                </c:pt>
                <c:pt idx="142">
                  <c:v>1.35809</c:v>
                </c:pt>
                <c:pt idx="143">
                  <c:v>1.34409</c:v>
                </c:pt>
                <c:pt idx="144">
                  <c:v>1.32745</c:v>
                </c:pt>
                <c:pt idx="145">
                  <c:v>1.3342400000000001</c:v>
                </c:pt>
                <c:pt idx="146">
                  <c:v>1.3234899999999998</c:v>
                </c:pt>
                <c:pt idx="147">
                  <c:v>1.3271000000000002</c:v>
                </c:pt>
                <c:pt idx="148">
                  <c:v>1.3351</c:v>
                </c:pt>
                <c:pt idx="149">
                  <c:v>1.3130000000000002</c:v>
                </c:pt>
                <c:pt idx="150">
                  <c:v>1.3123500000000001</c:v>
                </c:pt>
                <c:pt idx="151">
                  <c:v>1.3177699999999999</c:v>
                </c:pt>
                <c:pt idx="152">
                  <c:v>1.3270500000000001</c:v>
                </c:pt>
                <c:pt idx="153">
                  <c:v>1.2875299999999998</c:v>
                </c:pt>
                <c:pt idx="154">
                  <c:v>1.2520800000000001</c:v>
                </c:pt>
                <c:pt idx="155">
                  <c:v>1.1506999999999998</c:v>
                </c:pt>
                <c:pt idx="156">
                  <c:v>1.0854000000000001</c:v>
                </c:pt>
                <c:pt idx="157">
                  <c:v>1.0313099999999999</c:v>
                </c:pt>
                <c:pt idx="158">
                  <c:v>0.97358</c:v>
                </c:pt>
                <c:pt idx="159">
                  <c:v>0.90839000000000003</c:v>
                </c:pt>
                <c:pt idx="160">
                  <c:v>0.87635000000000007</c:v>
                </c:pt>
                <c:pt idx="161">
                  <c:v>0.87892999999999999</c:v>
                </c:pt>
                <c:pt idx="162">
                  <c:v>0.89504000000000006</c:v>
                </c:pt>
                <c:pt idx="163">
                  <c:v>0.93833</c:v>
                </c:pt>
                <c:pt idx="164">
                  <c:v>1.0061599999999999</c:v>
                </c:pt>
                <c:pt idx="165">
                  <c:v>1.0391699999999999</c:v>
                </c:pt>
                <c:pt idx="166">
                  <c:v>1.07145</c:v>
                </c:pt>
                <c:pt idx="167">
                  <c:v>1.12344</c:v>
                </c:pt>
                <c:pt idx="168">
                  <c:v>1.13927</c:v>
                </c:pt>
                <c:pt idx="169">
                  <c:v>1.1000100000000002</c:v>
                </c:pt>
                <c:pt idx="170">
                  <c:v>1.10175</c:v>
                </c:pt>
                <c:pt idx="171">
                  <c:v>1.1406799999999999</c:v>
                </c:pt>
                <c:pt idx="172">
                  <c:v>1.1275299999999999</c:v>
                </c:pt>
                <c:pt idx="173">
                  <c:v>1.13002</c:v>
                </c:pt>
                <c:pt idx="174">
                  <c:v>1.13849</c:v>
                </c:pt>
                <c:pt idx="175">
                  <c:v>1.0895300000000001</c:v>
                </c:pt>
                <c:pt idx="176">
                  <c:v>1.0767599999999999</c:v>
                </c:pt>
                <c:pt idx="177">
                  <c:v>1.1109599999999999</c:v>
                </c:pt>
                <c:pt idx="178">
                  <c:v>1.1109599999999999</c:v>
                </c:pt>
                <c:pt idx="179">
                  <c:v>1.13592</c:v>
                </c:pt>
                <c:pt idx="180">
                  <c:v>1.1792199999999999</c:v>
                </c:pt>
                <c:pt idx="181">
                  <c:v>1.17727</c:v>
                </c:pt>
                <c:pt idx="182">
                  <c:v>1.17743</c:v>
                </c:pt>
                <c:pt idx="183">
                  <c:v>1.2049099999999999</c:v>
                </c:pt>
                <c:pt idx="184">
                  <c:v>1.2055400000000001</c:v>
                </c:pt>
                <c:pt idx="185">
                  <c:v>1.1886000000000001</c:v>
                </c:pt>
                <c:pt idx="186">
                  <c:v>1.20991</c:v>
                </c:pt>
                <c:pt idx="187">
                  <c:v>1.21305</c:v>
                </c:pt>
                <c:pt idx="188">
                  <c:v>1.2395699999999998</c:v>
                </c:pt>
                <c:pt idx="189">
                  <c:v>1.29036</c:v>
                </c:pt>
                <c:pt idx="190">
                  <c:v>1.3002099999999999</c:v>
                </c:pt>
                <c:pt idx="191">
                  <c:v>1.3512299999999999</c:v>
                </c:pt>
                <c:pt idx="192">
                  <c:v>1.4052799999999999</c:v>
                </c:pt>
                <c:pt idx="193">
                  <c:v>1.3866900000000002</c:v>
                </c:pt>
                <c:pt idx="194">
                  <c:v>1.4126099999999999</c:v>
                </c:pt>
                <c:pt idx="195">
                  <c:v>1.41482</c:v>
                </c:pt>
                <c:pt idx="196">
                  <c:v>1.36191</c:v>
                </c:pt>
                <c:pt idx="197">
                  <c:v>1.38785</c:v>
                </c:pt>
                <c:pt idx="198">
                  <c:v>1.3604499999999999</c:v>
                </c:pt>
                <c:pt idx="199">
                  <c:v>1.3125100000000001</c:v>
                </c:pt>
                <c:pt idx="200">
                  <c:v>1.27776</c:v>
                </c:pt>
                <c:pt idx="201">
                  <c:v>1.2450300000000001</c:v>
                </c:pt>
                <c:pt idx="202">
                  <c:v>1.2518099999999999</c:v>
                </c:pt>
                <c:pt idx="203">
                  <c:v>1.2518099999999999</c:v>
                </c:pt>
                <c:pt idx="204">
                  <c:v>1.2348399999999999</c:v>
                </c:pt>
                <c:pt idx="205">
                  <c:v>1.26126</c:v>
                </c:pt>
                <c:pt idx="206">
                  <c:v>1.26878</c:v>
                </c:pt>
                <c:pt idx="207">
                  <c:v>1.25203</c:v>
                </c:pt>
                <c:pt idx="208">
                  <c:v>1.20987</c:v>
                </c:pt>
                <c:pt idx="209">
                  <c:v>1.20275</c:v>
                </c:pt>
                <c:pt idx="210">
                  <c:v>1.1872</c:v>
                </c:pt>
                <c:pt idx="211">
                  <c:v>1.1897</c:v>
                </c:pt>
                <c:pt idx="212">
                  <c:v>1.1759200000000001</c:v>
                </c:pt>
                <c:pt idx="213">
                  <c:v>1.19621</c:v>
                </c:pt>
                <c:pt idx="214">
                  <c:v>1.22075</c:v>
                </c:pt>
                <c:pt idx="215">
                  <c:v>1.25146</c:v>
                </c:pt>
                <c:pt idx="216">
                  <c:v>1.22004</c:v>
                </c:pt>
                <c:pt idx="217">
                  <c:v>1.1915</c:v>
                </c:pt>
                <c:pt idx="218">
                  <c:v>1.1572</c:v>
                </c:pt>
                <c:pt idx="219">
                  <c:v>1.12625</c:v>
                </c:pt>
                <c:pt idx="220">
                  <c:v>1.1330899999999999</c:v>
                </c:pt>
                <c:pt idx="221">
                  <c:v>1.0646200000000001</c:v>
                </c:pt>
                <c:pt idx="222">
                  <c:v>1.0323599999999999</c:v>
                </c:pt>
                <c:pt idx="223">
                  <c:v>0.99802000000000002</c:v>
                </c:pt>
                <c:pt idx="224">
                  <c:v>0.89573999999999998</c:v>
                </c:pt>
                <c:pt idx="225">
                  <c:v>0.89573999999999998</c:v>
                </c:pt>
                <c:pt idx="226">
                  <c:v>0.88572000000000006</c:v>
                </c:pt>
                <c:pt idx="227">
                  <c:v>0.91031000000000006</c:v>
                </c:pt>
                <c:pt idx="228">
                  <c:v>0.91861000000000004</c:v>
                </c:pt>
                <c:pt idx="229">
                  <c:v>0.88016000000000005</c:v>
                </c:pt>
                <c:pt idx="230">
                  <c:v>0.89039000000000001</c:v>
                </c:pt>
                <c:pt idx="231">
                  <c:v>0.85766999999999993</c:v>
                </c:pt>
                <c:pt idx="232">
                  <c:v>0.8358199999999999</c:v>
                </c:pt>
                <c:pt idx="233">
                  <c:v>0.83209999999999995</c:v>
                </c:pt>
                <c:pt idx="234">
                  <c:v>0.80406000000000011</c:v>
                </c:pt>
                <c:pt idx="235">
                  <c:v>0.76261000000000001</c:v>
                </c:pt>
                <c:pt idx="236">
                  <c:v>0.76261000000000001</c:v>
                </c:pt>
                <c:pt idx="237">
                  <c:v>0.75597999999999999</c:v>
                </c:pt>
                <c:pt idx="238">
                  <c:v>0.75980000000000003</c:v>
                </c:pt>
                <c:pt idx="239">
                  <c:v>0.74950000000000006</c:v>
                </c:pt>
                <c:pt idx="240">
                  <c:v>0.70709</c:v>
                </c:pt>
                <c:pt idx="241">
                  <c:v>0.69968000000000008</c:v>
                </c:pt>
                <c:pt idx="242">
                  <c:v>0.66528999999999994</c:v>
                </c:pt>
                <c:pt idx="243">
                  <c:v>0.67610000000000003</c:v>
                </c:pt>
                <c:pt idx="244">
                  <c:v>0.68833</c:v>
                </c:pt>
                <c:pt idx="245">
                  <c:v>0.66959000000000002</c:v>
                </c:pt>
                <c:pt idx="246">
                  <c:v>0.66087999999999991</c:v>
                </c:pt>
                <c:pt idx="247">
                  <c:v>0.68096999999999996</c:v>
                </c:pt>
                <c:pt idx="248">
                  <c:v>0.68445999999999996</c:v>
                </c:pt>
                <c:pt idx="249">
                  <c:v>0.68775999999999993</c:v>
                </c:pt>
                <c:pt idx="250">
                  <c:v>0.67450999999999994</c:v>
                </c:pt>
                <c:pt idx="251">
                  <c:v>0.66122000000000003</c:v>
                </c:pt>
                <c:pt idx="252">
                  <c:v>0.63195000000000001</c:v>
                </c:pt>
                <c:pt idx="253">
                  <c:v>0.6583</c:v>
                </c:pt>
                <c:pt idx="254">
                  <c:v>0.64108000000000009</c:v>
                </c:pt>
                <c:pt idx="255">
                  <c:v>0.63153000000000004</c:v>
                </c:pt>
                <c:pt idx="256">
                  <c:v>0.62277000000000005</c:v>
                </c:pt>
                <c:pt idx="257">
                  <c:v>0.62277000000000005</c:v>
                </c:pt>
                <c:pt idx="258">
                  <c:v>0.61597999999999997</c:v>
                </c:pt>
                <c:pt idx="259">
                  <c:v>0.62692999999999999</c:v>
                </c:pt>
                <c:pt idx="260">
                  <c:v>0.60392999999999997</c:v>
                </c:pt>
                <c:pt idx="261">
                  <c:v>0.61243999999999998</c:v>
                </c:pt>
                <c:pt idx="262">
                  <c:v>0.61243999999999998</c:v>
                </c:pt>
                <c:pt idx="263">
                  <c:v>0.59050999999999998</c:v>
                </c:pt>
                <c:pt idx="264">
                  <c:v>0.56715000000000004</c:v>
                </c:pt>
                <c:pt idx="265">
                  <c:v>0.53640999999999994</c:v>
                </c:pt>
                <c:pt idx="266">
                  <c:v>0.54364999999999997</c:v>
                </c:pt>
                <c:pt idx="267">
                  <c:v>0.52359999999999995</c:v>
                </c:pt>
                <c:pt idx="268">
                  <c:v>0.50451999999999997</c:v>
                </c:pt>
                <c:pt idx="269">
                  <c:v>0.47381999999999996</c:v>
                </c:pt>
                <c:pt idx="270">
                  <c:v>0.47403000000000001</c:v>
                </c:pt>
                <c:pt idx="271">
                  <c:v>0.48255000000000003</c:v>
                </c:pt>
                <c:pt idx="272">
                  <c:v>0.48308000000000001</c:v>
                </c:pt>
                <c:pt idx="273">
                  <c:v>0.48308000000000001</c:v>
                </c:pt>
                <c:pt idx="274">
                  <c:v>0.49220999999999998</c:v>
                </c:pt>
                <c:pt idx="275">
                  <c:v>0.49652000000000002</c:v>
                </c:pt>
                <c:pt idx="276">
                  <c:v>0.49792999999999998</c:v>
                </c:pt>
                <c:pt idx="277">
                  <c:v>0.50912999999999997</c:v>
                </c:pt>
                <c:pt idx="278">
                  <c:v>0.5272</c:v>
                </c:pt>
                <c:pt idx="279">
                  <c:v>0.53905999999999998</c:v>
                </c:pt>
                <c:pt idx="280">
                  <c:v>0.53056999999999999</c:v>
                </c:pt>
                <c:pt idx="281">
                  <c:v>0.54354999999999998</c:v>
                </c:pt>
                <c:pt idx="282">
                  <c:v>0.50946999999999998</c:v>
                </c:pt>
                <c:pt idx="283">
                  <c:v>0.49598999999999999</c:v>
                </c:pt>
                <c:pt idx="284">
                  <c:v>0.48527999999999999</c:v>
                </c:pt>
                <c:pt idx="285">
                  <c:v>0.46578000000000003</c:v>
                </c:pt>
                <c:pt idx="286">
                  <c:v>0.45868999999999999</c:v>
                </c:pt>
                <c:pt idx="287">
                  <c:v>0.45704999999999996</c:v>
                </c:pt>
                <c:pt idx="288">
                  <c:v>0.44284000000000001</c:v>
                </c:pt>
                <c:pt idx="289">
                  <c:v>0.45341999999999999</c:v>
                </c:pt>
                <c:pt idx="290">
                  <c:v>0.44825999999999999</c:v>
                </c:pt>
                <c:pt idx="291">
                  <c:v>0.46517000000000003</c:v>
                </c:pt>
                <c:pt idx="292">
                  <c:v>0.45401000000000002</c:v>
                </c:pt>
                <c:pt idx="293">
                  <c:v>0.45401000000000002</c:v>
                </c:pt>
                <c:pt idx="294">
                  <c:v>0.42857000000000001</c:v>
                </c:pt>
                <c:pt idx="295">
                  <c:v>0.41551000000000005</c:v>
                </c:pt>
                <c:pt idx="296">
                  <c:v>0.42835999999999996</c:v>
                </c:pt>
                <c:pt idx="297">
                  <c:v>0.42902000000000001</c:v>
                </c:pt>
                <c:pt idx="298">
                  <c:v>0.41874</c:v>
                </c:pt>
                <c:pt idx="299">
                  <c:v>0.45043999999999995</c:v>
                </c:pt>
                <c:pt idx="300">
                  <c:v>0.45012000000000002</c:v>
                </c:pt>
                <c:pt idx="301">
                  <c:v>0.39354</c:v>
                </c:pt>
                <c:pt idx="302">
                  <c:v>0.38152999999999998</c:v>
                </c:pt>
                <c:pt idx="303">
                  <c:v>0.41534999999999994</c:v>
                </c:pt>
                <c:pt idx="304">
                  <c:v>0.42015000000000002</c:v>
                </c:pt>
                <c:pt idx="305">
                  <c:v>0.42143999999999998</c:v>
                </c:pt>
                <c:pt idx="306">
                  <c:v>0.40720000000000001</c:v>
                </c:pt>
                <c:pt idx="307">
                  <c:v>0.43825000000000003</c:v>
                </c:pt>
                <c:pt idx="308">
                  <c:v>0.40767000000000003</c:v>
                </c:pt>
                <c:pt idx="309">
                  <c:v>0.46171999999999996</c:v>
                </c:pt>
                <c:pt idx="310">
                  <c:v>0.42210999999999999</c:v>
                </c:pt>
                <c:pt idx="311">
                  <c:v>0.46088999999999997</c:v>
                </c:pt>
                <c:pt idx="312">
                  <c:v>0.40277999999999997</c:v>
                </c:pt>
                <c:pt idx="313">
                  <c:v>0.38377</c:v>
                </c:pt>
                <c:pt idx="314">
                  <c:v>0.38322000000000001</c:v>
                </c:pt>
                <c:pt idx="315">
                  <c:v>0.37270999999999999</c:v>
                </c:pt>
                <c:pt idx="316">
                  <c:v>0.37939000000000001</c:v>
                </c:pt>
                <c:pt idx="317">
                  <c:v>0.36798999999999998</c:v>
                </c:pt>
                <c:pt idx="318">
                  <c:v>0.37378999999999996</c:v>
                </c:pt>
                <c:pt idx="319">
                  <c:v>0.38844000000000001</c:v>
                </c:pt>
                <c:pt idx="320">
                  <c:v>0.38116999999999995</c:v>
                </c:pt>
                <c:pt idx="321">
                  <c:v>0.38022</c:v>
                </c:pt>
                <c:pt idx="322">
                  <c:v>0.35383000000000003</c:v>
                </c:pt>
                <c:pt idx="323">
                  <c:v>0.33498</c:v>
                </c:pt>
                <c:pt idx="324">
                  <c:v>0.26663999999999999</c:v>
                </c:pt>
                <c:pt idx="325">
                  <c:v>0.29194999999999999</c:v>
                </c:pt>
                <c:pt idx="326">
                  <c:v>0.25755</c:v>
                </c:pt>
                <c:pt idx="327">
                  <c:v>0.27534999999999998</c:v>
                </c:pt>
                <c:pt idx="328">
                  <c:v>0.22306000000000001</c:v>
                </c:pt>
                <c:pt idx="329">
                  <c:v>0.24446000000000001</c:v>
                </c:pt>
                <c:pt idx="330">
                  <c:v>0.29472000000000004</c:v>
                </c:pt>
                <c:pt idx="331">
                  <c:v>0.29119</c:v>
                </c:pt>
                <c:pt idx="332">
                  <c:v>0.25513999999999998</c:v>
                </c:pt>
                <c:pt idx="333">
                  <c:v>0.25892999999999999</c:v>
                </c:pt>
                <c:pt idx="334">
                  <c:v>0.22745000000000001</c:v>
                </c:pt>
                <c:pt idx="335">
                  <c:v>0.25203999999999999</c:v>
                </c:pt>
                <c:pt idx="336">
                  <c:v>0.25346000000000002</c:v>
                </c:pt>
                <c:pt idx="337">
                  <c:v>0.25189</c:v>
                </c:pt>
                <c:pt idx="338">
                  <c:v>0.24617999999999998</c:v>
                </c:pt>
                <c:pt idx="339">
                  <c:v>0.24859000000000001</c:v>
                </c:pt>
                <c:pt idx="340">
                  <c:v>0.27433000000000002</c:v>
                </c:pt>
                <c:pt idx="341">
                  <c:v>0.26465</c:v>
                </c:pt>
                <c:pt idx="342">
                  <c:v>0.26130999999999999</c:v>
                </c:pt>
                <c:pt idx="343">
                  <c:v>0.21888000000000002</c:v>
                </c:pt>
                <c:pt idx="344">
                  <c:v>0.22070000000000001</c:v>
                </c:pt>
                <c:pt idx="345">
                  <c:v>0.19009000000000001</c:v>
                </c:pt>
                <c:pt idx="346">
                  <c:v>0.19763999999999998</c:v>
                </c:pt>
                <c:pt idx="347">
                  <c:v>0.22047</c:v>
                </c:pt>
                <c:pt idx="348">
                  <c:v>0.21315000000000001</c:v>
                </c:pt>
                <c:pt idx="349">
                  <c:v>0.21709000000000001</c:v>
                </c:pt>
                <c:pt idx="350">
                  <c:v>0.21614999999999998</c:v>
                </c:pt>
                <c:pt idx="351">
                  <c:v>0.23052</c:v>
                </c:pt>
                <c:pt idx="352">
                  <c:v>0.20105000000000001</c:v>
                </c:pt>
                <c:pt idx="353">
                  <c:v>0.22799</c:v>
                </c:pt>
                <c:pt idx="354">
                  <c:v>0.20609000000000002</c:v>
                </c:pt>
                <c:pt idx="355">
                  <c:v>0.20919000000000001</c:v>
                </c:pt>
                <c:pt idx="356">
                  <c:v>0.19105</c:v>
                </c:pt>
                <c:pt idx="357">
                  <c:v>0.23068999999999998</c:v>
                </c:pt>
                <c:pt idx="358">
                  <c:v>0.21264</c:v>
                </c:pt>
                <c:pt idx="359">
                  <c:v>0.21459</c:v>
                </c:pt>
                <c:pt idx="360">
                  <c:v>0.22561</c:v>
                </c:pt>
                <c:pt idx="361">
                  <c:v>0.21861</c:v>
                </c:pt>
                <c:pt idx="362">
                  <c:v>0.23541000000000001</c:v>
                </c:pt>
                <c:pt idx="363">
                  <c:v>0.2351</c:v>
                </c:pt>
                <c:pt idx="364">
                  <c:v>0.24701000000000001</c:v>
                </c:pt>
                <c:pt idx="365">
                  <c:v>0.25936999999999999</c:v>
                </c:pt>
                <c:pt idx="366">
                  <c:v>0.24667999999999998</c:v>
                </c:pt>
                <c:pt idx="367">
                  <c:v>0.22869</c:v>
                </c:pt>
                <c:pt idx="368">
                  <c:v>0.22869</c:v>
                </c:pt>
                <c:pt idx="369">
                  <c:v>0.20736000000000002</c:v>
                </c:pt>
                <c:pt idx="370">
                  <c:v>0.21836</c:v>
                </c:pt>
                <c:pt idx="371">
                  <c:v>0.20783000000000001</c:v>
                </c:pt>
                <c:pt idx="372">
                  <c:v>0.17638000000000001</c:v>
                </c:pt>
                <c:pt idx="373">
                  <c:v>0.20546</c:v>
                </c:pt>
                <c:pt idx="374">
                  <c:v>0.21579999999999999</c:v>
                </c:pt>
                <c:pt idx="375">
                  <c:v>0.23556999999999997</c:v>
                </c:pt>
                <c:pt idx="376">
                  <c:v>0.21421999999999999</c:v>
                </c:pt>
                <c:pt idx="377">
                  <c:v>0.24257999999999999</c:v>
                </c:pt>
                <c:pt idx="378">
                  <c:v>0.20322999999999999</c:v>
                </c:pt>
                <c:pt idx="379">
                  <c:v>0.18260000000000001</c:v>
                </c:pt>
                <c:pt idx="380">
                  <c:v>0.19908999999999999</c:v>
                </c:pt>
                <c:pt idx="381">
                  <c:v>0.13946999999999998</c:v>
                </c:pt>
                <c:pt idx="382">
                  <c:v>0.13199</c:v>
                </c:pt>
                <c:pt idx="383">
                  <c:v>0.10761</c:v>
                </c:pt>
                <c:pt idx="384">
                  <c:v>0.10549</c:v>
                </c:pt>
                <c:pt idx="385">
                  <c:v>0.13041</c:v>
                </c:pt>
                <c:pt idx="386">
                  <c:v>0.1084</c:v>
                </c:pt>
                <c:pt idx="387">
                  <c:v>9.4600000000000004E-2</c:v>
                </c:pt>
                <c:pt idx="388">
                  <c:v>6.8920000000000009E-2</c:v>
                </c:pt>
                <c:pt idx="389">
                  <c:v>8.8149999999999992E-2</c:v>
                </c:pt>
                <c:pt idx="390">
                  <c:v>0.11015999999999999</c:v>
                </c:pt>
                <c:pt idx="391">
                  <c:v>8.9520000000000002E-2</c:v>
                </c:pt>
                <c:pt idx="392">
                  <c:v>0.1013</c:v>
                </c:pt>
                <c:pt idx="393">
                  <c:v>0.1013</c:v>
                </c:pt>
                <c:pt idx="394">
                  <c:v>0.15348000000000001</c:v>
                </c:pt>
                <c:pt idx="395">
                  <c:v>0.16978000000000001</c:v>
                </c:pt>
                <c:pt idx="396">
                  <c:v>0.22749</c:v>
                </c:pt>
                <c:pt idx="397">
                  <c:v>0.18781999999999999</c:v>
                </c:pt>
                <c:pt idx="398">
                  <c:v>0.19424</c:v>
                </c:pt>
                <c:pt idx="399">
                  <c:v>0.16283999999999998</c:v>
                </c:pt>
                <c:pt idx="400">
                  <c:v>0.14175000000000001</c:v>
                </c:pt>
                <c:pt idx="401">
                  <c:v>0.19027000000000002</c:v>
                </c:pt>
                <c:pt idx="402">
                  <c:v>0.16352</c:v>
                </c:pt>
                <c:pt idx="403">
                  <c:v>0.20857000000000001</c:v>
                </c:pt>
                <c:pt idx="404">
                  <c:v>0.28639999999999999</c:v>
                </c:pt>
                <c:pt idx="405">
                  <c:v>0.25786999999999999</c:v>
                </c:pt>
                <c:pt idx="406">
                  <c:v>0.22161</c:v>
                </c:pt>
                <c:pt idx="407">
                  <c:v>0.22167000000000001</c:v>
                </c:pt>
                <c:pt idx="408">
                  <c:v>0.25175000000000003</c:v>
                </c:pt>
                <c:pt idx="409">
                  <c:v>0.24692</c:v>
                </c:pt>
                <c:pt idx="410">
                  <c:v>0.23974000000000001</c:v>
                </c:pt>
                <c:pt idx="411">
                  <c:v>0.22329000000000002</c:v>
                </c:pt>
                <c:pt idx="412">
                  <c:v>0.2462</c:v>
                </c:pt>
                <c:pt idx="413">
                  <c:v>0.25075999999999998</c:v>
                </c:pt>
                <c:pt idx="414">
                  <c:v>0.26245000000000002</c:v>
                </c:pt>
                <c:pt idx="415">
                  <c:v>0.27452000000000004</c:v>
                </c:pt>
                <c:pt idx="416">
                  <c:v>0.23925999999999997</c:v>
                </c:pt>
                <c:pt idx="417">
                  <c:v>0.19986999999999999</c:v>
                </c:pt>
                <c:pt idx="418">
                  <c:v>0.16812000000000002</c:v>
                </c:pt>
                <c:pt idx="419">
                  <c:v>0.14119000000000001</c:v>
                </c:pt>
                <c:pt idx="420">
                  <c:v>0.11445999999999999</c:v>
                </c:pt>
                <c:pt idx="421">
                  <c:v>0.13955000000000001</c:v>
                </c:pt>
                <c:pt idx="422">
                  <c:v>0.12048</c:v>
                </c:pt>
                <c:pt idx="423">
                  <c:v>0.15387000000000001</c:v>
                </c:pt>
                <c:pt idx="424">
                  <c:v>0.19309000000000001</c:v>
                </c:pt>
                <c:pt idx="425">
                  <c:v>0.16269999999999998</c:v>
                </c:pt>
                <c:pt idx="426">
                  <c:v>0.17245999999999997</c:v>
                </c:pt>
                <c:pt idx="427">
                  <c:v>0.17138999999999999</c:v>
                </c:pt>
                <c:pt idx="428">
                  <c:v>0.12728999999999999</c:v>
                </c:pt>
                <c:pt idx="429">
                  <c:v>0.14896999999999999</c:v>
                </c:pt>
                <c:pt idx="430">
                  <c:v>0.12560000000000002</c:v>
                </c:pt>
                <c:pt idx="431">
                  <c:v>0.11609999999999999</c:v>
                </c:pt>
                <c:pt idx="432">
                  <c:v>0.13558000000000001</c:v>
                </c:pt>
                <c:pt idx="433">
                  <c:v>0.18736999999999998</c:v>
                </c:pt>
                <c:pt idx="434">
                  <c:v>0.17962</c:v>
                </c:pt>
                <c:pt idx="435">
                  <c:v>0.15825</c:v>
                </c:pt>
                <c:pt idx="436">
                  <c:v>0.15423999999999999</c:v>
                </c:pt>
                <c:pt idx="437">
                  <c:v>0.14901999999999999</c:v>
                </c:pt>
                <c:pt idx="438">
                  <c:v>0.14901999999999999</c:v>
                </c:pt>
                <c:pt idx="439">
                  <c:v>0.12025000000000001</c:v>
                </c:pt>
                <c:pt idx="440">
                  <c:v>0.13074</c:v>
                </c:pt>
                <c:pt idx="441">
                  <c:v>0.14132</c:v>
                </c:pt>
                <c:pt idx="442">
                  <c:v>0.14297000000000001</c:v>
                </c:pt>
                <c:pt idx="443">
                  <c:v>0.1338</c:v>
                </c:pt>
                <c:pt idx="444">
                  <c:v>0.13198000000000001</c:v>
                </c:pt>
                <c:pt idx="445">
                  <c:v>0.16216999999999998</c:v>
                </c:pt>
                <c:pt idx="446">
                  <c:v>0.12841</c:v>
                </c:pt>
                <c:pt idx="447">
                  <c:v>9.9680000000000005E-2</c:v>
                </c:pt>
                <c:pt idx="448">
                  <c:v>0.10923999999999999</c:v>
                </c:pt>
                <c:pt idx="449">
                  <c:v>0.10263</c:v>
                </c:pt>
                <c:pt idx="450">
                  <c:v>0.10407999999999999</c:v>
                </c:pt>
                <c:pt idx="451">
                  <c:v>6.1519999999999998E-2</c:v>
                </c:pt>
                <c:pt idx="452">
                  <c:v>4.3579999999999994E-2</c:v>
                </c:pt>
                <c:pt idx="453">
                  <c:v>-5.6299999999999996E-3</c:v>
                </c:pt>
                <c:pt idx="454">
                  <c:v>3.2379999999999999E-2</c:v>
                </c:pt>
                <c:pt idx="455">
                  <c:v>8.5029999999999994E-2</c:v>
                </c:pt>
                <c:pt idx="456">
                  <c:v>5.7689999999999998E-2</c:v>
                </c:pt>
                <c:pt idx="457">
                  <c:v>0.13021000000000002</c:v>
                </c:pt>
                <c:pt idx="458">
                  <c:v>0.17926999999999998</c:v>
                </c:pt>
                <c:pt idx="459">
                  <c:v>0.19888999999999998</c:v>
                </c:pt>
                <c:pt idx="460">
                  <c:v>0.16696999999999998</c:v>
                </c:pt>
                <c:pt idx="461">
                  <c:v>0.13836999999999999</c:v>
                </c:pt>
                <c:pt idx="462">
                  <c:v>8.7249999999999994E-2</c:v>
                </c:pt>
                <c:pt idx="463">
                  <c:v>8.7249999999999994E-2</c:v>
                </c:pt>
                <c:pt idx="464">
                  <c:v>7.2389999999999996E-2</c:v>
                </c:pt>
                <c:pt idx="465">
                  <c:v>0.11349000000000001</c:v>
                </c:pt>
                <c:pt idx="466">
                  <c:v>0.11324999999999999</c:v>
                </c:pt>
                <c:pt idx="467">
                  <c:v>9.8650000000000002E-2</c:v>
                </c:pt>
                <c:pt idx="468">
                  <c:v>6.6420000000000007E-2</c:v>
                </c:pt>
                <c:pt idx="469">
                  <c:v>0.10134</c:v>
                </c:pt>
                <c:pt idx="470">
                  <c:v>0.10916000000000001</c:v>
                </c:pt>
                <c:pt idx="471">
                  <c:v>0.11959</c:v>
                </c:pt>
                <c:pt idx="472">
                  <c:v>9.5440000000000011E-2</c:v>
                </c:pt>
                <c:pt idx="473">
                  <c:v>9.4019999999999992E-2</c:v>
                </c:pt>
                <c:pt idx="474">
                  <c:v>0.12743000000000002</c:v>
                </c:pt>
                <c:pt idx="475">
                  <c:v>0.12597</c:v>
                </c:pt>
                <c:pt idx="476">
                  <c:v>0.13180999999999998</c:v>
                </c:pt>
                <c:pt idx="477">
                  <c:v>0.11503000000000001</c:v>
                </c:pt>
                <c:pt idx="478">
                  <c:v>9.7929999999999989E-2</c:v>
                </c:pt>
                <c:pt idx="479">
                  <c:v>0.15426000000000001</c:v>
                </c:pt>
                <c:pt idx="480">
                  <c:v>0.18306999999999998</c:v>
                </c:pt>
                <c:pt idx="481">
                  <c:v>0.15560000000000002</c:v>
                </c:pt>
                <c:pt idx="482">
                  <c:v>0.19181000000000001</c:v>
                </c:pt>
                <c:pt idx="483">
                  <c:v>0.17463999999999999</c:v>
                </c:pt>
                <c:pt idx="484">
                  <c:v>0.18193999999999999</c:v>
                </c:pt>
                <c:pt idx="485">
                  <c:v>0.16510000000000002</c:v>
                </c:pt>
                <c:pt idx="486">
                  <c:v>0.16510000000000002</c:v>
                </c:pt>
                <c:pt idx="487">
                  <c:v>7.0660000000000001E-2</c:v>
                </c:pt>
                <c:pt idx="488">
                  <c:v>9.9769999999999998E-2</c:v>
                </c:pt>
                <c:pt idx="489">
                  <c:v>7.4099999999999999E-2</c:v>
                </c:pt>
                <c:pt idx="490">
                  <c:v>7.016E-2</c:v>
                </c:pt>
                <c:pt idx="491">
                  <c:v>8.3750000000000005E-2</c:v>
                </c:pt>
                <c:pt idx="492">
                  <c:v>0.14226</c:v>
                </c:pt>
                <c:pt idx="493">
                  <c:v>9.7309999999999994E-2</c:v>
                </c:pt>
                <c:pt idx="494">
                  <c:v>8.448E-2</c:v>
                </c:pt>
                <c:pt idx="495">
                  <c:v>8.233E-2</c:v>
                </c:pt>
                <c:pt idx="496">
                  <c:v>8.233E-2</c:v>
                </c:pt>
                <c:pt idx="497">
                  <c:v>0.20504999999999998</c:v>
                </c:pt>
                <c:pt idx="498">
                  <c:v>0.21292000000000003</c:v>
                </c:pt>
                <c:pt idx="499">
                  <c:v>0.33881</c:v>
                </c:pt>
                <c:pt idx="500">
                  <c:v>0.25757999999999998</c:v>
                </c:pt>
                <c:pt idx="501">
                  <c:v>0.25784000000000001</c:v>
                </c:pt>
                <c:pt idx="502">
                  <c:v>0.23989000000000002</c:v>
                </c:pt>
                <c:pt idx="503">
                  <c:v>0.27093</c:v>
                </c:pt>
                <c:pt idx="504">
                  <c:v>0.25242999999999999</c:v>
                </c:pt>
                <c:pt idx="505">
                  <c:v>0.21376000000000001</c:v>
                </c:pt>
                <c:pt idx="506">
                  <c:v>0.18064</c:v>
                </c:pt>
                <c:pt idx="507">
                  <c:v>0.16175</c:v>
                </c:pt>
                <c:pt idx="508">
                  <c:v>0.18600999999999998</c:v>
                </c:pt>
                <c:pt idx="509">
                  <c:v>0.17831</c:v>
                </c:pt>
                <c:pt idx="510">
                  <c:v>0.17912</c:v>
                </c:pt>
                <c:pt idx="511">
                  <c:v>0.20489999999999997</c:v>
                </c:pt>
                <c:pt idx="512">
                  <c:v>0.25122</c:v>
                </c:pt>
                <c:pt idx="513">
                  <c:v>0.27068999999999999</c:v>
                </c:pt>
                <c:pt idx="514">
                  <c:v>0.25747999999999999</c:v>
                </c:pt>
                <c:pt idx="515">
                  <c:v>0.20984000000000003</c:v>
                </c:pt>
                <c:pt idx="516">
                  <c:v>0.20929999999999999</c:v>
                </c:pt>
                <c:pt idx="517">
                  <c:v>0.20929999999999999</c:v>
                </c:pt>
                <c:pt idx="518">
                  <c:v>0.21178999999999998</c:v>
                </c:pt>
                <c:pt idx="519">
                  <c:v>0.21972000000000003</c:v>
                </c:pt>
                <c:pt idx="520">
                  <c:v>0.21672999999999998</c:v>
                </c:pt>
                <c:pt idx="521">
                  <c:v>0.19884000000000002</c:v>
                </c:pt>
                <c:pt idx="522">
                  <c:v>0.19794</c:v>
                </c:pt>
                <c:pt idx="523">
                  <c:v>0.19794</c:v>
                </c:pt>
                <c:pt idx="524">
                  <c:v>0.46406999999999998</c:v>
                </c:pt>
                <c:pt idx="525">
                  <c:v>0.65996999999999995</c:v>
                </c:pt>
                <c:pt idx="526">
                  <c:v>0.81516000000000011</c:v>
                </c:pt>
                <c:pt idx="527">
                  <c:v>0.78971000000000002</c:v>
                </c:pt>
                <c:pt idx="528">
                  <c:v>0.78457999999999994</c:v>
                </c:pt>
                <c:pt idx="529">
                  <c:v>0.76742999999999995</c:v>
                </c:pt>
                <c:pt idx="530">
                  <c:v>0.78044000000000002</c:v>
                </c:pt>
                <c:pt idx="531">
                  <c:v>0.7714700000000001</c:v>
                </c:pt>
                <c:pt idx="532">
                  <c:v>0.77918000000000009</c:v>
                </c:pt>
                <c:pt idx="533">
                  <c:v>0.77918000000000009</c:v>
                </c:pt>
                <c:pt idx="534">
                  <c:v>0.73382999999999998</c:v>
                </c:pt>
                <c:pt idx="535">
                  <c:v>0.74576999999999993</c:v>
                </c:pt>
                <c:pt idx="536">
                  <c:v>0.74675000000000002</c:v>
                </c:pt>
                <c:pt idx="537">
                  <c:v>0.79296000000000011</c:v>
                </c:pt>
                <c:pt idx="538">
                  <c:v>0.80614000000000008</c:v>
                </c:pt>
                <c:pt idx="539">
                  <c:v>0.83828000000000003</c:v>
                </c:pt>
                <c:pt idx="540">
                  <c:v>0.83038999999999996</c:v>
                </c:pt>
                <c:pt idx="541">
                  <c:v>0.77730999999999995</c:v>
                </c:pt>
                <c:pt idx="542">
                  <c:v>0.71456000000000008</c:v>
                </c:pt>
                <c:pt idx="543">
                  <c:v>0.77995000000000003</c:v>
                </c:pt>
                <c:pt idx="544">
                  <c:v>0.8272799999999999</c:v>
                </c:pt>
                <c:pt idx="545">
                  <c:v>0.78173000000000004</c:v>
                </c:pt>
                <c:pt idx="546">
                  <c:v>0.76918999999999993</c:v>
                </c:pt>
                <c:pt idx="547">
                  <c:v>0.72695999999999994</c:v>
                </c:pt>
                <c:pt idx="548">
                  <c:v>0.70079999999999998</c:v>
                </c:pt>
                <c:pt idx="549">
                  <c:v>0.71662000000000003</c:v>
                </c:pt>
                <c:pt idx="550">
                  <c:v>0.70522000000000007</c:v>
                </c:pt>
                <c:pt idx="551">
                  <c:v>0.67602999999999991</c:v>
                </c:pt>
                <c:pt idx="552">
                  <c:v>0.51381999999999994</c:v>
                </c:pt>
                <c:pt idx="553">
                  <c:v>0.63524000000000003</c:v>
                </c:pt>
                <c:pt idx="554">
                  <c:v>0.59353</c:v>
                </c:pt>
                <c:pt idx="555">
                  <c:v>0.59554000000000007</c:v>
                </c:pt>
                <c:pt idx="556">
                  <c:v>0.67504999999999993</c:v>
                </c:pt>
                <c:pt idx="557">
                  <c:v>0.69004999999999994</c:v>
                </c:pt>
                <c:pt idx="558">
                  <c:v>0.69004999999999994</c:v>
                </c:pt>
                <c:pt idx="559">
                  <c:v>0.73816000000000004</c:v>
                </c:pt>
                <c:pt idx="560">
                  <c:v>0.74582999999999999</c:v>
                </c:pt>
                <c:pt idx="561">
                  <c:v>0.97967000000000004</c:v>
                </c:pt>
                <c:pt idx="562">
                  <c:v>0.94921999999999995</c:v>
                </c:pt>
                <c:pt idx="563">
                  <c:v>1.09819</c:v>
                </c:pt>
                <c:pt idx="564">
                  <c:v>1.44598</c:v>
                </c:pt>
                <c:pt idx="565">
                  <c:v>1.57298</c:v>
                </c:pt>
                <c:pt idx="566">
                  <c:v>1.5763199999999999</c:v>
                </c:pt>
                <c:pt idx="567">
                  <c:v>2.03661</c:v>
                </c:pt>
                <c:pt idx="568">
                  <c:v>2.7418099999999996</c:v>
                </c:pt>
                <c:pt idx="569">
                  <c:v>3.32925</c:v>
                </c:pt>
                <c:pt idx="570">
                  <c:v>3.1305800000000001</c:v>
                </c:pt>
                <c:pt idx="571">
                  <c:v>2.9335700000000005</c:v>
                </c:pt>
                <c:pt idx="572">
                  <c:v>2.9155500000000001</c:v>
                </c:pt>
                <c:pt idx="573">
                  <c:v>2.9012799999999999</c:v>
                </c:pt>
                <c:pt idx="574">
                  <c:v>2.7587099999999998</c:v>
                </c:pt>
                <c:pt idx="575">
                  <c:v>2.6792500000000001</c:v>
                </c:pt>
                <c:pt idx="576">
                  <c:v>2.4816599999999998</c:v>
                </c:pt>
                <c:pt idx="577">
                  <c:v>2.20105</c:v>
                </c:pt>
                <c:pt idx="578">
                  <c:v>2.0365199999999999</c:v>
                </c:pt>
                <c:pt idx="579">
                  <c:v>1.85511</c:v>
                </c:pt>
                <c:pt idx="580">
                  <c:v>1.8266900000000001</c:v>
                </c:pt>
                <c:pt idx="581">
                  <c:v>1.8705600000000002</c:v>
                </c:pt>
                <c:pt idx="582">
                  <c:v>1.8753899999999999</c:v>
                </c:pt>
                <c:pt idx="583">
                  <c:v>1.6986300000000001</c:v>
                </c:pt>
                <c:pt idx="584">
                  <c:v>1.57666</c:v>
                </c:pt>
                <c:pt idx="585">
                  <c:v>1.5232300000000001</c:v>
                </c:pt>
                <c:pt idx="586">
                  <c:v>1.3520300000000001</c:v>
                </c:pt>
                <c:pt idx="587">
                  <c:v>1.1932700000000001</c:v>
                </c:pt>
                <c:pt idx="588">
                  <c:v>1.0759000000000001</c:v>
                </c:pt>
                <c:pt idx="589">
                  <c:v>1.0021899999999999</c:v>
                </c:pt>
                <c:pt idx="590">
                  <c:v>0.92435</c:v>
                </c:pt>
                <c:pt idx="591">
                  <c:v>1.00237</c:v>
                </c:pt>
                <c:pt idx="592">
                  <c:v>0.89456000000000002</c:v>
                </c:pt>
                <c:pt idx="593">
                  <c:v>0.83436999999999995</c:v>
                </c:pt>
                <c:pt idx="594">
                  <c:v>0.85001000000000004</c:v>
                </c:pt>
                <c:pt idx="595">
                  <c:v>0.96016000000000001</c:v>
                </c:pt>
                <c:pt idx="596">
                  <c:v>1.0118099999999999</c:v>
                </c:pt>
                <c:pt idx="597">
                  <c:v>1.0118099999999999</c:v>
                </c:pt>
                <c:pt idx="598">
                  <c:v>0.86563999999999997</c:v>
                </c:pt>
                <c:pt idx="599">
                  <c:v>0.89115</c:v>
                </c:pt>
                <c:pt idx="600">
                  <c:v>0.79760000000000009</c:v>
                </c:pt>
                <c:pt idx="601">
                  <c:v>0.66356999999999999</c:v>
                </c:pt>
                <c:pt idx="602">
                  <c:v>0.56444000000000005</c:v>
                </c:pt>
                <c:pt idx="603">
                  <c:v>0.68870999999999993</c:v>
                </c:pt>
                <c:pt idx="604">
                  <c:v>0.71584999999999999</c:v>
                </c:pt>
                <c:pt idx="605">
                  <c:v>0.74470000000000003</c:v>
                </c:pt>
                <c:pt idx="606">
                  <c:v>0.72507999999999995</c:v>
                </c:pt>
                <c:pt idx="607">
                  <c:v>0.66099999999999992</c:v>
                </c:pt>
                <c:pt idx="608">
                  <c:v>0.69174000000000002</c:v>
                </c:pt>
                <c:pt idx="609">
                  <c:v>0.69885999999999993</c:v>
                </c:pt>
                <c:pt idx="610">
                  <c:v>0.70581999999999989</c:v>
                </c:pt>
                <c:pt idx="611">
                  <c:v>0.78217999999999999</c:v>
                </c:pt>
                <c:pt idx="612">
                  <c:v>0.75611000000000006</c:v>
                </c:pt>
                <c:pt idx="613">
                  <c:v>0.77083000000000002</c:v>
                </c:pt>
                <c:pt idx="614">
                  <c:v>0.88551000000000002</c:v>
                </c:pt>
                <c:pt idx="615">
                  <c:v>0.89605000000000001</c:v>
                </c:pt>
                <c:pt idx="616">
                  <c:v>0.89219999999999999</c:v>
                </c:pt>
                <c:pt idx="617">
                  <c:v>0.86273</c:v>
                </c:pt>
                <c:pt idx="618">
                  <c:v>0.86063999999999996</c:v>
                </c:pt>
                <c:pt idx="619">
                  <c:v>0.83156999999999992</c:v>
                </c:pt>
                <c:pt idx="620">
                  <c:v>0.73199000000000003</c:v>
                </c:pt>
                <c:pt idx="621">
                  <c:v>0.86748000000000003</c:v>
                </c:pt>
                <c:pt idx="622">
                  <c:v>0.86226000000000003</c:v>
                </c:pt>
                <c:pt idx="623">
                  <c:v>0.84892000000000001</c:v>
                </c:pt>
                <c:pt idx="624">
                  <c:v>0.8529000000000001</c:v>
                </c:pt>
                <c:pt idx="625">
                  <c:v>0.89305000000000012</c:v>
                </c:pt>
                <c:pt idx="626">
                  <c:v>0.90588999999999997</c:v>
                </c:pt>
                <c:pt idx="627">
                  <c:v>0.88592000000000004</c:v>
                </c:pt>
                <c:pt idx="628">
                  <c:v>0.88592000000000004</c:v>
                </c:pt>
                <c:pt idx="629">
                  <c:v>0.74575999999999998</c:v>
                </c:pt>
                <c:pt idx="630">
                  <c:v>0.69275000000000009</c:v>
                </c:pt>
                <c:pt idx="631">
                  <c:v>0.62889000000000006</c:v>
                </c:pt>
                <c:pt idx="632">
                  <c:v>0.60033999999999998</c:v>
                </c:pt>
                <c:pt idx="633">
                  <c:v>0.58665</c:v>
                </c:pt>
                <c:pt idx="634">
                  <c:v>0.56540000000000001</c:v>
                </c:pt>
                <c:pt idx="635">
                  <c:v>0.52366999999999997</c:v>
                </c:pt>
                <c:pt idx="636">
                  <c:v>0.49265999999999999</c:v>
                </c:pt>
                <c:pt idx="637">
                  <c:v>0.43185000000000001</c:v>
                </c:pt>
                <c:pt idx="638">
                  <c:v>0.33218000000000003</c:v>
                </c:pt>
                <c:pt idx="639">
                  <c:v>0.34810000000000002</c:v>
                </c:pt>
                <c:pt idx="640">
                  <c:v>0.37067999999999995</c:v>
                </c:pt>
                <c:pt idx="641">
                  <c:v>0.34945999999999999</c:v>
                </c:pt>
                <c:pt idx="642">
                  <c:v>0.51471</c:v>
                </c:pt>
                <c:pt idx="643">
                  <c:v>0.51471</c:v>
                </c:pt>
                <c:pt idx="644">
                  <c:v>0.47067999999999999</c:v>
                </c:pt>
                <c:pt idx="645">
                  <c:v>0.58694000000000002</c:v>
                </c:pt>
                <c:pt idx="646">
                  <c:v>0.66700999999999988</c:v>
                </c:pt>
                <c:pt idx="647">
                  <c:v>0.65337999999999996</c:v>
                </c:pt>
                <c:pt idx="648">
                  <c:v>0.63244</c:v>
                </c:pt>
                <c:pt idx="649">
                  <c:v>0.57647000000000004</c:v>
                </c:pt>
                <c:pt idx="650">
                  <c:v>0.62963999999999998</c:v>
                </c:pt>
                <c:pt idx="651">
                  <c:v>0.76733000000000007</c:v>
                </c:pt>
                <c:pt idx="652">
                  <c:v>0.86219999999999997</c:v>
                </c:pt>
                <c:pt idx="653">
                  <c:v>0.86219999999999997</c:v>
                </c:pt>
                <c:pt idx="654">
                  <c:v>0.91071000000000002</c:v>
                </c:pt>
                <c:pt idx="655">
                  <c:v>0.98438999999999988</c:v>
                </c:pt>
                <c:pt idx="656">
                  <c:v>0.88532</c:v>
                </c:pt>
                <c:pt idx="657">
                  <c:v>0.94147999999999998</c:v>
                </c:pt>
                <c:pt idx="658">
                  <c:v>0.87808999999999993</c:v>
                </c:pt>
                <c:pt idx="659">
                  <c:v>0.98936000000000002</c:v>
                </c:pt>
                <c:pt idx="660">
                  <c:v>0.95447999999999988</c:v>
                </c:pt>
                <c:pt idx="661">
                  <c:v>0.88924000000000003</c:v>
                </c:pt>
                <c:pt idx="662">
                  <c:v>0.92930999999999997</c:v>
                </c:pt>
                <c:pt idx="663">
                  <c:v>0.91249999999999998</c:v>
                </c:pt>
                <c:pt idx="664">
                  <c:v>0.91061000000000003</c:v>
                </c:pt>
                <c:pt idx="665">
                  <c:v>0.86965999999999999</c:v>
                </c:pt>
                <c:pt idx="666">
                  <c:v>0.78424000000000005</c:v>
                </c:pt>
                <c:pt idx="667">
                  <c:v>0.88566999999999996</c:v>
                </c:pt>
                <c:pt idx="668">
                  <c:v>0.79382999999999992</c:v>
                </c:pt>
                <c:pt idx="669">
                  <c:v>0.65119000000000005</c:v>
                </c:pt>
                <c:pt idx="670">
                  <c:v>0.62895000000000001</c:v>
                </c:pt>
                <c:pt idx="671">
                  <c:v>0.64302999999999999</c:v>
                </c:pt>
                <c:pt idx="672">
                  <c:v>0.63107999999999997</c:v>
                </c:pt>
                <c:pt idx="673">
                  <c:v>0.53540999999999994</c:v>
                </c:pt>
                <c:pt idx="674">
                  <c:v>0.54354999999999998</c:v>
                </c:pt>
                <c:pt idx="675">
                  <c:v>0.32816000000000001</c:v>
                </c:pt>
                <c:pt idx="676">
                  <c:v>0.27453</c:v>
                </c:pt>
                <c:pt idx="677">
                  <c:v>0.23552000000000001</c:v>
                </c:pt>
                <c:pt idx="678">
                  <c:v>0.13396</c:v>
                </c:pt>
                <c:pt idx="679">
                  <c:v>7.7259999999999995E-2</c:v>
                </c:pt>
                <c:pt idx="680">
                  <c:v>3.8989999999999997E-2</c:v>
                </c:pt>
                <c:pt idx="681">
                  <c:v>4.82E-2</c:v>
                </c:pt>
                <c:pt idx="682">
                  <c:v>-4.1340000000000002E-2</c:v>
                </c:pt>
                <c:pt idx="683">
                  <c:v>-0.10909000000000001</c:v>
                </c:pt>
                <c:pt idx="684">
                  <c:v>-9.1509999999999994E-2</c:v>
                </c:pt>
                <c:pt idx="685">
                  <c:v>-0.11406000000000001</c:v>
                </c:pt>
                <c:pt idx="686">
                  <c:v>-0.16072</c:v>
                </c:pt>
                <c:pt idx="687">
                  <c:v>-0.13364000000000001</c:v>
                </c:pt>
                <c:pt idx="688">
                  <c:v>-0.11888</c:v>
                </c:pt>
                <c:pt idx="689">
                  <c:v>-0.18895000000000001</c:v>
                </c:pt>
                <c:pt idx="690">
                  <c:v>-0.153</c:v>
                </c:pt>
                <c:pt idx="691">
                  <c:v>-0.16882999999999998</c:v>
                </c:pt>
                <c:pt idx="692">
                  <c:v>-0.17678000000000002</c:v>
                </c:pt>
                <c:pt idx="693">
                  <c:v>-0.25635000000000002</c:v>
                </c:pt>
                <c:pt idx="694">
                  <c:v>-0.19572000000000001</c:v>
                </c:pt>
                <c:pt idx="695">
                  <c:v>-0.24237999999999998</c:v>
                </c:pt>
                <c:pt idx="696">
                  <c:v>-0.19440000000000002</c:v>
                </c:pt>
                <c:pt idx="697">
                  <c:v>-0.16388999999999998</c:v>
                </c:pt>
                <c:pt idx="698">
                  <c:v>-0.16388999999999998</c:v>
                </c:pt>
                <c:pt idx="699">
                  <c:v>-0.13021000000000002</c:v>
                </c:pt>
                <c:pt idx="700">
                  <c:v>-0.16437000000000002</c:v>
                </c:pt>
                <c:pt idx="701">
                  <c:v>-0.15377000000000002</c:v>
                </c:pt>
                <c:pt idx="702">
                  <c:v>-0.15909999999999999</c:v>
                </c:pt>
                <c:pt idx="703">
                  <c:v>-0.21812999999999999</c:v>
                </c:pt>
                <c:pt idx="704">
                  <c:v>-0.21042000000000002</c:v>
                </c:pt>
                <c:pt idx="705">
                  <c:v>-0.37039</c:v>
                </c:pt>
                <c:pt idx="706">
                  <c:v>-0.37752999999999998</c:v>
                </c:pt>
                <c:pt idx="707">
                  <c:v>-0.39396999999999999</c:v>
                </c:pt>
                <c:pt idx="708">
                  <c:v>-0.27360000000000001</c:v>
                </c:pt>
                <c:pt idx="709">
                  <c:v>-0.38892000000000004</c:v>
                </c:pt>
                <c:pt idx="710">
                  <c:v>-0.34499999999999997</c:v>
                </c:pt>
                <c:pt idx="711">
                  <c:v>-0.44742999999999999</c:v>
                </c:pt>
                <c:pt idx="712">
                  <c:v>-0.46218999999999999</c:v>
                </c:pt>
                <c:pt idx="713">
                  <c:v>-0.47981999999999997</c:v>
                </c:pt>
                <c:pt idx="714">
                  <c:v>-0.43662000000000001</c:v>
                </c:pt>
                <c:pt idx="715">
                  <c:v>-0.26228000000000001</c:v>
                </c:pt>
                <c:pt idx="716">
                  <c:v>-0.13352</c:v>
                </c:pt>
                <c:pt idx="717">
                  <c:v>2.342E-2</c:v>
                </c:pt>
                <c:pt idx="718">
                  <c:v>4.0899999999999999E-2</c:v>
                </c:pt>
                <c:pt idx="719">
                  <c:v>0.11806</c:v>
                </c:pt>
                <c:pt idx="720">
                  <c:v>3.0950000000000002E-2</c:v>
                </c:pt>
                <c:pt idx="721">
                  <c:v>3.4409999999999996E-2</c:v>
                </c:pt>
                <c:pt idx="722">
                  <c:v>-4.6740000000000004E-2</c:v>
                </c:pt>
                <c:pt idx="723">
                  <c:v>-4.6740000000000004E-2</c:v>
                </c:pt>
                <c:pt idx="724">
                  <c:v>-0.10519000000000001</c:v>
                </c:pt>
                <c:pt idx="725">
                  <c:v>-6.6040000000000001E-2</c:v>
                </c:pt>
                <c:pt idx="726">
                  <c:v>-8.4689999999999988E-2</c:v>
                </c:pt>
                <c:pt idx="727">
                  <c:v>-0.16741</c:v>
                </c:pt>
                <c:pt idx="728">
                  <c:v>-0.23573</c:v>
                </c:pt>
                <c:pt idx="729">
                  <c:v>-0.23241000000000001</c:v>
                </c:pt>
                <c:pt idx="730">
                  <c:v>-0.25484000000000001</c:v>
                </c:pt>
                <c:pt idx="731">
                  <c:v>-0.32496000000000003</c:v>
                </c:pt>
                <c:pt idx="732">
                  <c:v>-0.26816000000000001</c:v>
                </c:pt>
                <c:pt idx="733">
                  <c:v>-0.24068999999999999</c:v>
                </c:pt>
                <c:pt idx="734">
                  <c:v>-0.22059999999999999</c:v>
                </c:pt>
                <c:pt idx="735">
                  <c:v>-0.27568999999999999</c:v>
                </c:pt>
                <c:pt idx="736">
                  <c:v>-0.25949</c:v>
                </c:pt>
                <c:pt idx="737">
                  <c:v>-0.21335999999999999</c:v>
                </c:pt>
                <c:pt idx="738">
                  <c:v>-0.26518000000000003</c:v>
                </c:pt>
                <c:pt idx="739">
                  <c:v>-0.22595999999999999</c:v>
                </c:pt>
                <c:pt idx="740">
                  <c:v>-0.34775</c:v>
                </c:pt>
                <c:pt idx="741">
                  <c:v>-0.39688000000000001</c:v>
                </c:pt>
                <c:pt idx="742">
                  <c:v>-0.50958999999999999</c:v>
                </c:pt>
                <c:pt idx="743">
                  <c:v>-0.44345999999999997</c:v>
                </c:pt>
                <c:pt idx="744">
                  <c:v>-0.47060000000000002</c:v>
                </c:pt>
                <c:pt idx="745">
                  <c:v>-0.44970999999999994</c:v>
                </c:pt>
                <c:pt idx="746">
                  <c:v>-0.40328000000000003</c:v>
                </c:pt>
                <c:pt idx="747">
                  <c:v>-0.40328000000000003</c:v>
                </c:pt>
                <c:pt idx="748">
                  <c:v>-0.36280999999999997</c:v>
                </c:pt>
                <c:pt idx="749">
                  <c:v>-0.38768999999999998</c:v>
                </c:pt>
                <c:pt idx="750">
                  <c:v>-0.45524999999999999</c:v>
                </c:pt>
                <c:pt idx="751">
                  <c:v>-0.43475999999999998</c:v>
                </c:pt>
                <c:pt idx="752">
                  <c:v>-0.47753999999999996</c:v>
                </c:pt>
                <c:pt idx="753">
                  <c:v>-0.46755000000000002</c:v>
                </c:pt>
                <c:pt idx="754">
                  <c:v>-0.44540000000000002</c:v>
                </c:pt>
                <c:pt idx="755">
                  <c:v>-0.47182000000000002</c:v>
                </c:pt>
                <c:pt idx="756">
                  <c:v>-0.47182000000000002</c:v>
                </c:pt>
                <c:pt idx="757">
                  <c:v>-0.51641000000000004</c:v>
                </c:pt>
                <c:pt idx="758">
                  <c:v>-0.54135</c:v>
                </c:pt>
                <c:pt idx="759">
                  <c:v>-0.51202000000000003</c:v>
                </c:pt>
                <c:pt idx="760">
                  <c:v>-0.56603999999999999</c:v>
                </c:pt>
                <c:pt idx="761">
                  <c:v>-0.48604999999999998</c:v>
                </c:pt>
                <c:pt idx="762">
                  <c:v>-0.39905000000000002</c:v>
                </c:pt>
                <c:pt idx="763">
                  <c:v>-0.56208999999999998</c:v>
                </c:pt>
                <c:pt idx="764">
                  <c:v>-0.56938999999999995</c:v>
                </c:pt>
                <c:pt idx="765">
                  <c:v>-0.57057000000000002</c:v>
                </c:pt>
                <c:pt idx="766">
                  <c:v>-0.52761000000000002</c:v>
                </c:pt>
                <c:pt idx="767">
                  <c:v>-0.55814999999999992</c:v>
                </c:pt>
                <c:pt idx="768">
                  <c:v>-0.57651000000000008</c:v>
                </c:pt>
                <c:pt idx="769">
                  <c:v>-0.63251000000000002</c:v>
                </c:pt>
                <c:pt idx="770">
                  <c:v>-0.53555999999999993</c:v>
                </c:pt>
                <c:pt idx="771">
                  <c:v>-0.57699</c:v>
                </c:pt>
                <c:pt idx="772">
                  <c:v>-0.53909999999999991</c:v>
                </c:pt>
                <c:pt idx="773">
                  <c:v>-0.47487999999999997</c:v>
                </c:pt>
                <c:pt idx="774">
                  <c:v>-0.52834999999999999</c:v>
                </c:pt>
                <c:pt idx="775">
                  <c:v>-0.47991999999999996</c:v>
                </c:pt>
                <c:pt idx="776">
                  <c:v>-0.47560000000000002</c:v>
                </c:pt>
                <c:pt idx="777">
                  <c:v>-0.50573999999999997</c:v>
                </c:pt>
                <c:pt idx="778">
                  <c:v>-0.50573999999999997</c:v>
                </c:pt>
                <c:pt idx="779">
                  <c:v>-0.52377000000000007</c:v>
                </c:pt>
                <c:pt idx="780">
                  <c:v>-0.62178</c:v>
                </c:pt>
                <c:pt idx="781">
                  <c:v>-0.60636000000000001</c:v>
                </c:pt>
                <c:pt idx="782">
                  <c:v>-0.62853999999999999</c:v>
                </c:pt>
                <c:pt idx="783">
                  <c:v>-0.62853999999999999</c:v>
                </c:pt>
                <c:pt idx="784">
                  <c:v>-0.82530000000000003</c:v>
                </c:pt>
                <c:pt idx="785">
                  <c:v>-0.83808000000000005</c:v>
                </c:pt>
                <c:pt idx="786">
                  <c:v>-0.88578999999999997</c:v>
                </c:pt>
                <c:pt idx="787">
                  <c:v>-0.95308000000000004</c:v>
                </c:pt>
                <c:pt idx="788">
                  <c:v>-0.84590999999999994</c:v>
                </c:pt>
                <c:pt idx="789">
                  <c:v>-0.77971999999999997</c:v>
                </c:pt>
                <c:pt idx="790">
                  <c:v>-0.79930999999999996</c:v>
                </c:pt>
                <c:pt idx="791">
                  <c:v>-0.81303999999999998</c:v>
                </c:pt>
                <c:pt idx="792">
                  <c:v>-0.72075</c:v>
                </c:pt>
                <c:pt idx="793">
                  <c:v>-0.72075</c:v>
                </c:pt>
                <c:pt idx="794">
                  <c:v>-0.84231999999999996</c:v>
                </c:pt>
                <c:pt idx="795">
                  <c:v>-0.85010000000000008</c:v>
                </c:pt>
                <c:pt idx="796">
                  <c:v>-0.73214000000000001</c:v>
                </c:pt>
                <c:pt idx="797">
                  <c:v>-0.82696000000000003</c:v>
                </c:pt>
                <c:pt idx="798">
                  <c:v>-0.85998000000000008</c:v>
                </c:pt>
                <c:pt idx="799">
                  <c:v>-0.88564999999999994</c:v>
                </c:pt>
                <c:pt idx="800">
                  <c:v>-0.87135000000000007</c:v>
                </c:pt>
                <c:pt idx="801">
                  <c:v>-0.88421000000000005</c:v>
                </c:pt>
                <c:pt idx="802">
                  <c:v>-0.92876000000000003</c:v>
                </c:pt>
                <c:pt idx="803">
                  <c:v>-0.88900000000000001</c:v>
                </c:pt>
                <c:pt idx="804">
                  <c:v>-0.87482000000000004</c:v>
                </c:pt>
                <c:pt idx="805">
                  <c:v>-0.90081999999999995</c:v>
                </c:pt>
                <c:pt idx="806">
                  <c:v>-0.84656000000000009</c:v>
                </c:pt>
                <c:pt idx="807">
                  <c:v>-0.81472999999999995</c:v>
                </c:pt>
                <c:pt idx="808">
                  <c:v>-1.0234999999999999</c:v>
                </c:pt>
                <c:pt idx="809">
                  <c:v>-1.1009099999999998</c:v>
                </c:pt>
                <c:pt idx="810">
                  <c:v>-1.10656</c:v>
                </c:pt>
                <c:pt idx="811">
                  <c:v>-1.0767599999999999</c:v>
                </c:pt>
                <c:pt idx="812">
                  <c:v>-1.1537500000000001</c:v>
                </c:pt>
                <c:pt idx="813">
                  <c:v>-1.2113800000000001</c:v>
                </c:pt>
                <c:pt idx="814">
                  <c:v>-1.1813400000000001</c:v>
                </c:pt>
                <c:pt idx="815">
                  <c:v>-1.21055</c:v>
                </c:pt>
                <c:pt idx="816">
                  <c:v>-1.1979600000000001</c:v>
                </c:pt>
                <c:pt idx="817">
                  <c:v>-1.27512</c:v>
                </c:pt>
                <c:pt idx="818">
                  <c:v>-1.27512</c:v>
                </c:pt>
                <c:pt idx="819">
                  <c:v>-1.2542199999999999</c:v>
                </c:pt>
                <c:pt idx="820">
                  <c:v>-1.2602899999999999</c:v>
                </c:pt>
                <c:pt idx="821">
                  <c:v>-1.21638</c:v>
                </c:pt>
                <c:pt idx="822">
                  <c:v>-1.2530299999999999</c:v>
                </c:pt>
                <c:pt idx="823">
                  <c:v>-1.31609</c:v>
                </c:pt>
                <c:pt idx="824">
                  <c:v>-1.3038399999999999</c:v>
                </c:pt>
                <c:pt idx="825">
                  <c:v>-1.32053</c:v>
                </c:pt>
                <c:pt idx="826">
                  <c:v>-1.3381800000000001</c:v>
                </c:pt>
                <c:pt idx="827">
                  <c:v>-1.31576</c:v>
                </c:pt>
                <c:pt idx="828">
                  <c:v>-1.3445500000000001</c:v>
                </c:pt>
                <c:pt idx="829">
                  <c:v>-1.35988</c:v>
                </c:pt>
                <c:pt idx="830">
                  <c:v>-1.4928899999999998</c:v>
                </c:pt>
                <c:pt idx="831">
                  <c:v>-1.4115199999999999</c:v>
                </c:pt>
                <c:pt idx="832">
                  <c:v>-1.20797</c:v>
                </c:pt>
                <c:pt idx="833">
                  <c:v>-0.54247999999999996</c:v>
                </c:pt>
                <c:pt idx="834">
                  <c:v>-0.57440999999999998</c:v>
                </c:pt>
                <c:pt idx="835">
                  <c:v>-0.56124000000000007</c:v>
                </c:pt>
                <c:pt idx="836">
                  <c:v>-0.31756000000000001</c:v>
                </c:pt>
                <c:pt idx="837">
                  <c:v>-0.48619999999999997</c:v>
                </c:pt>
                <c:pt idx="838">
                  <c:v>-5.0999999999999997E-2</c:v>
                </c:pt>
                <c:pt idx="839">
                  <c:v>-0.30158999999999997</c:v>
                </c:pt>
                <c:pt idx="840">
                  <c:v>-0.38956000000000002</c:v>
                </c:pt>
                <c:pt idx="841">
                  <c:v>-0.25065999999999999</c:v>
                </c:pt>
                <c:pt idx="842">
                  <c:v>4.9970000000000001E-2</c:v>
                </c:pt>
                <c:pt idx="843">
                  <c:v>-0.20671</c:v>
                </c:pt>
                <c:pt idx="844">
                  <c:v>-0.28404000000000001</c:v>
                </c:pt>
                <c:pt idx="845">
                  <c:v>-0.28870000000000001</c:v>
                </c:pt>
                <c:pt idx="846">
                  <c:v>-0.39945000000000003</c:v>
                </c:pt>
                <c:pt idx="847">
                  <c:v>-0.49627000000000004</c:v>
                </c:pt>
                <c:pt idx="848">
                  <c:v>-0.42906</c:v>
                </c:pt>
                <c:pt idx="849">
                  <c:v>-0.34252000000000005</c:v>
                </c:pt>
                <c:pt idx="850">
                  <c:v>-0.26751000000000003</c:v>
                </c:pt>
                <c:pt idx="851">
                  <c:v>-0.18271000000000001</c:v>
                </c:pt>
                <c:pt idx="852">
                  <c:v>-0.26745999999999998</c:v>
                </c:pt>
                <c:pt idx="853">
                  <c:v>-0.35973999999999995</c:v>
                </c:pt>
                <c:pt idx="854">
                  <c:v>-0.40985999999999995</c:v>
                </c:pt>
                <c:pt idx="855">
                  <c:v>-0.45652999999999999</c:v>
                </c:pt>
                <c:pt idx="856">
                  <c:v>-0.38317000000000001</c:v>
                </c:pt>
                <c:pt idx="857">
                  <c:v>-0.39258000000000004</c:v>
                </c:pt>
                <c:pt idx="858">
                  <c:v>-0.55681999999999998</c:v>
                </c:pt>
                <c:pt idx="859">
                  <c:v>-0.59863999999999995</c:v>
                </c:pt>
                <c:pt idx="860">
                  <c:v>-0.63722999999999996</c:v>
                </c:pt>
                <c:pt idx="861">
                  <c:v>-0.58901000000000003</c:v>
                </c:pt>
                <c:pt idx="862">
                  <c:v>-0.50755000000000006</c:v>
                </c:pt>
                <c:pt idx="863">
                  <c:v>-0.53795999999999999</c:v>
                </c:pt>
                <c:pt idx="864">
                  <c:v>-0.48765999999999998</c:v>
                </c:pt>
                <c:pt idx="865">
                  <c:v>-0.40871000000000002</c:v>
                </c:pt>
                <c:pt idx="866">
                  <c:v>-0.45447000000000004</c:v>
                </c:pt>
                <c:pt idx="867">
                  <c:v>-0.52707000000000004</c:v>
                </c:pt>
                <c:pt idx="868">
                  <c:v>-0.49944000000000005</c:v>
                </c:pt>
                <c:pt idx="869">
                  <c:v>-0.53029999999999999</c:v>
                </c:pt>
                <c:pt idx="870">
                  <c:v>-0.40759000000000001</c:v>
                </c:pt>
                <c:pt idx="871">
                  <c:v>-0.27111999999999997</c:v>
                </c:pt>
                <c:pt idx="872">
                  <c:v>-0.21306</c:v>
                </c:pt>
                <c:pt idx="873">
                  <c:v>-0.40850000000000003</c:v>
                </c:pt>
                <c:pt idx="874">
                  <c:v>-0.35259999999999997</c:v>
                </c:pt>
                <c:pt idx="875">
                  <c:v>-0.4738</c:v>
                </c:pt>
                <c:pt idx="876">
                  <c:v>-0.39430999999999999</c:v>
                </c:pt>
                <c:pt idx="877">
                  <c:v>-0.36826000000000003</c:v>
                </c:pt>
                <c:pt idx="878">
                  <c:v>-0.43239</c:v>
                </c:pt>
                <c:pt idx="879">
                  <c:v>-0.39789000000000002</c:v>
                </c:pt>
                <c:pt idx="880">
                  <c:v>-0.47356000000000004</c:v>
                </c:pt>
                <c:pt idx="881">
                  <c:v>-0.52251999999999998</c:v>
                </c:pt>
                <c:pt idx="882">
                  <c:v>-0.65725999999999996</c:v>
                </c:pt>
                <c:pt idx="883">
                  <c:v>-0.66232000000000002</c:v>
                </c:pt>
                <c:pt idx="884">
                  <c:v>-0.74486999999999992</c:v>
                </c:pt>
                <c:pt idx="885">
                  <c:v>-0.70231999999999994</c:v>
                </c:pt>
                <c:pt idx="886">
                  <c:v>-0.82435000000000003</c:v>
                </c:pt>
                <c:pt idx="887">
                  <c:v>-0.91842000000000001</c:v>
                </c:pt>
                <c:pt idx="888">
                  <c:v>-0.91842000000000001</c:v>
                </c:pt>
                <c:pt idx="889">
                  <c:v>-0.91842000000000001</c:v>
                </c:pt>
                <c:pt idx="890">
                  <c:v>-0.92412000000000005</c:v>
                </c:pt>
                <c:pt idx="891">
                  <c:v>-0.85918000000000005</c:v>
                </c:pt>
                <c:pt idx="892">
                  <c:v>-0.88024000000000002</c:v>
                </c:pt>
                <c:pt idx="893">
                  <c:v>-0.80208000000000002</c:v>
                </c:pt>
                <c:pt idx="894">
                  <c:v>-0.96660999999999997</c:v>
                </c:pt>
                <c:pt idx="895">
                  <c:v>-0.91012000000000004</c:v>
                </c:pt>
                <c:pt idx="896">
                  <c:v>-0.93569999999999998</c:v>
                </c:pt>
                <c:pt idx="897">
                  <c:v>-0.98153999999999997</c:v>
                </c:pt>
                <c:pt idx="898">
                  <c:v>-0.97328000000000003</c:v>
                </c:pt>
                <c:pt idx="899">
                  <c:v>-0.97328000000000003</c:v>
                </c:pt>
                <c:pt idx="900">
                  <c:v>-1.02216</c:v>
                </c:pt>
                <c:pt idx="901">
                  <c:v>-1.07744</c:v>
                </c:pt>
                <c:pt idx="902">
                  <c:v>-1.1513599999999999</c:v>
                </c:pt>
                <c:pt idx="903">
                  <c:v>-1.1081100000000002</c:v>
                </c:pt>
                <c:pt idx="904">
                  <c:v>-1.1081100000000002</c:v>
                </c:pt>
                <c:pt idx="905">
                  <c:v>-1.1268</c:v>
                </c:pt>
                <c:pt idx="906">
                  <c:v>-1.1341299999999999</c:v>
                </c:pt>
                <c:pt idx="907">
                  <c:v>-1.1948300000000001</c:v>
                </c:pt>
                <c:pt idx="908">
                  <c:v>-1.2091800000000001</c:v>
                </c:pt>
                <c:pt idx="909">
                  <c:v>-1.1701300000000001</c:v>
                </c:pt>
                <c:pt idx="910">
                  <c:v>-1.20207</c:v>
                </c:pt>
                <c:pt idx="911">
                  <c:v>-1.2150799999999999</c:v>
                </c:pt>
                <c:pt idx="912">
                  <c:v>-1.2074</c:v>
                </c:pt>
                <c:pt idx="913">
                  <c:v>-1.31036</c:v>
                </c:pt>
                <c:pt idx="914">
                  <c:v>-1.29521</c:v>
                </c:pt>
                <c:pt idx="915">
                  <c:v>-1.29521</c:v>
                </c:pt>
                <c:pt idx="916">
                  <c:v>-1.25126</c:v>
                </c:pt>
                <c:pt idx="917">
                  <c:v>-1.29779</c:v>
                </c:pt>
                <c:pt idx="918">
                  <c:v>-1.2455000000000001</c:v>
                </c:pt>
                <c:pt idx="919">
                  <c:v>-1.13368</c:v>
                </c:pt>
                <c:pt idx="920">
                  <c:v>-1.10789</c:v>
                </c:pt>
                <c:pt idx="921">
                  <c:v>-1.1224800000000001</c:v>
                </c:pt>
                <c:pt idx="922">
                  <c:v>-0.97479000000000005</c:v>
                </c:pt>
                <c:pt idx="923">
                  <c:v>-0.96479999999999999</c:v>
                </c:pt>
                <c:pt idx="924">
                  <c:v>-1.02014</c:v>
                </c:pt>
                <c:pt idx="925">
                  <c:v>-1.0413399999999999</c:v>
                </c:pt>
                <c:pt idx="926">
                  <c:v>-1.0895999999999999</c:v>
                </c:pt>
                <c:pt idx="927">
                  <c:v>-1.1533</c:v>
                </c:pt>
                <c:pt idx="928">
                  <c:v>-1.2066399999999999</c:v>
                </c:pt>
                <c:pt idx="929">
                  <c:v>-1.20777</c:v>
                </c:pt>
                <c:pt idx="930">
                  <c:v>-1.36006</c:v>
                </c:pt>
                <c:pt idx="931">
                  <c:v>-1.3781999999999999</c:v>
                </c:pt>
                <c:pt idx="932">
                  <c:v>-1.37554</c:v>
                </c:pt>
                <c:pt idx="933">
                  <c:v>-1.3505699999999998</c:v>
                </c:pt>
                <c:pt idx="934">
                  <c:v>-1.35822</c:v>
                </c:pt>
                <c:pt idx="935">
                  <c:v>-1.3528200000000001</c:v>
                </c:pt>
                <c:pt idx="936">
                  <c:v>-1.3403800000000001</c:v>
                </c:pt>
                <c:pt idx="937">
                  <c:v>-1.2543899999999999</c:v>
                </c:pt>
                <c:pt idx="938">
                  <c:v>-1.2972900000000001</c:v>
                </c:pt>
                <c:pt idx="939">
                  <c:v>-1.2162200000000001</c:v>
                </c:pt>
                <c:pt idx="940">
                  <c:v>-1.0848800000000001</c:v>
                </c:pt>
                <c:pt idx="941">
                  <c:v>-1.1223399999999999</c:v>
                </c:pt>
                <c:pt idx="942">
                  <c:v>-1.14971</c:v>
                </c:pt>
                <c:pt idx="943">
                  <c:v>-1.1738</c:v>
                </c:pt>
                <c:pt idx="944">
                  <c:v>-1.25163</c:v>
                </c:pt>
                <c:pt idx="945">
                  <c:v>-1.16797</c:v>
                </c:pt>
                <c:pt idx="946">
                  <c:v>-1.06589</c:v>
                </c:pt>
                <c:pt idx="947">
                  <c:v>-1.07786</c:v>
                </c:pt>
                <c:pt idx="948">
                  <c:v>-0.98065000000000002</c:v>
                </c:pt>
                <c:pt idx="949">
                  <c:v>-1.02193</c:v>
                </c:pt>
                <c:pt idx="950">
                  <c:v>-0.98572999999999988</c:v>
                </c:pt>
                <c:pt idx="951">
                  <c:v>-0.99831999999999999</c:v>
                </c:pt>
                <c:pt idx="952">
                  <c:v>-1.0762399999999999</c:v>
                </c:pt>
                <c:pt idx="953">
                  <c:v>-1.1122700000000001</c:v>
                </c:pt>
                <c:pt idx="954">
                  <c:v>-1.1198000000000001</c:v>
                </c:pt>
                <c:pt idx="955">
                  <c:v>-1.1567100000000001</c:v>
                </c:pt>
                <c:pt idx="956">
                  <c:v>-1.07423</c:v>
                </c:pt>
                <c:pt idx="957">
                  <c:v>-1.0593699999999999</c:v>
                </c:pt>
                <c:pt idx="958">
                  <c:v>-1.07806</c:v>
                </c:pt>
                <c:pt idx="959">
                  <c:v>-1.07806</c:v>
                </c:pt>
                <c:pt idx="960">
                  <c:v>-1.02501</c:v>
                </c:pt>
                <c:pt idx="961">
                  <c:v>-1.0598399999999999</c:v>
                </c:pt>
                <c:pt idx="962">
                  <c:v>-1.0766200000000001</c:v>
                </c:pt>
                <c:pt idx="963">
                  <c:v>-1.01993</c:v>
                </c:pt>
                <c:pt idx="964">
                  <c:v>-1.0570300000000001</c:v>
                </c:pt>
                <c:pt idx="965">
                  <c:v>-1.0643400000000001</c:v>
                </c:pt>
                <c:pt idx="966">
                  <c:v>-1.0194799999999999</c:v>
                </c:pt>
                <c:pt idx="967">
                  <c:v>-1.0859000000000001</c:v>
                </c:pt>
                <c:pt idx="968">
                  <c:v>-1.08775</c:v>
                </c:pt>
                <c:pt idx="969">
                  <c:v>-1.1012900000000001</c:v>
                </c:pt>
                <c:pt idx="970">
                  <c:v>-1.11758</c:v>
                </c:pt>
                <c:pt idx="971">
                  <c:v>-1.157</c:v>
                </c:pt>
                <c:pt idx="972">
                  <c:v>-1.1450499999999999</c:v>
                </c:pt>
                <c:pt idx="973">
                  <c:v>-1.11256</c:v>
                </c:pt>
                <c:pt idx="974">
                  <c:v>-1.1042000000000001</c:v>
                </c:pt>
                <c:pt idx="975">
                  <c:v>-1.0624500000000001</c:v>
                </c:pt>
                <c:pt idx="976">
                  <c:v>-1.0112999999999999</c:v>
                </c:pt>
                <c:pt idx="977">
                  <c:v>-0.95483999999999991</c:v>
                </c:pt>
                <c:pt idx="978">
                  <c:v>-0.91453000000000007</c:v>
                </c:pt>
                <c:pt idx="979">
                  <c:v>-0.82093000000000005</c:v>
                </c:pt>
                <c:pt idx="980">
                  <c:v>-0.69921999999999995</c:v>
                </c:pt>
                <c:pt idx="981">
                  <c:v>-0.50851999999999997</c:v>
                </c:pt>
                <c:pt idx="982">
                  <c:v>-0.47529000000000005</c:v>
                </c:pt>
                <c:pt idx="983">
                  <c:v>-0.47529000000000005</c:v>
                </c:pt>
                <c:pt idx="984">
                  <c:v>-0.45627000000000001</c:v>
                </c:pt>
                <c:pt idx="985">
                  <c:v>-0.41320999999999997</c:v>
                </c:pt>
                <c:pt idx="986">
                  <c:v>-0.41707</c:v>
                </c:pt>
                <c:pt idx="987">
                  <c:v>-0.43725000000000003</c:v>
                </c:pt>
                <c:pt idx="988">
                  <c:v>-0.45923000000000003</c:v>
                </c:pt>
                <c:pt idx="989">
                  <c:v>-0.47801000000000005</c:v>
                </c:pt>
                <c:pt idx="990">
                  <c:v>-0.56957999999999998</c:v>
                </c:pt>
                <c:pt idx="991">
                  <c:v>-0.66986999999999997</c:v>
                </c:pt>
                <c:pt idx="992">
                  <c:v>-0.49139000000000005</c:v>
                </c:pt>
                <c:pt idx="993">
                  <c:v>-0.44823999999999997</c:v>
                </c:pt>
                <c:pt idx="994">
                  <c:v>-0.47342000000000001</c:v>
                </c:pt>
                <c:pt idx="995">
                  <c:v>-0.43357999999999997</c:v>
                </c:pt>
                <c:pt idx="996">
                  <c:v>-0.42005000000000003</c:v>
                </c:pt>
                <c:pt idx="997">
                  <c:v>-0.36252000000000001</c:v>
                </c:pt>
                <c:pt idx="998">
                  <c:v>-0.3579</c:v>
                </c:pt>
                <c:pt idx="999">
                  <c:v>-0.35281000000000001</c:v>
                </c:pt>
                <c:pt idx="1000">
                  <c:v>-0.34776000000000001</c:v>
                </c:pt>
                <c:pt idx="1001">
                  <c:v>-0.35765000000000002</c:v>
                </c:pt>
                <c:pt idx="1002">
                  <c:v>-0.35979999999999995</c:v>
                </c:pt>
                <c:pt idx="1003">
                  <c:v>-0.25851000000000002</c:v>
                </c:pt>
                <c:pt idx="1004">
                  <c:v>-0.25264999999999999</c:v>
                </c:pt>
                <c:pt idx="1005">
                  <c:v>-0.26751999999999998</c:v>
                </c:pt>
                <c:pt idx="1006">
                  <c:v>-0.28017999999999998</c:v>
                </c:pt>
                <c:pt idx="1007">
                  <c:v>-0.34988999999999998</c:v>
                </c:pt>
                <c:pt idx="1008">
                  <c:v>-0.38238999999999995</c:v>
                </c:pt>
                <c:pt idx="1009">
                  <c:v>-0.37052999999999997</c:v>
                </c:pt>
                <c:pt idx="1010">
                  <c:v>-0.25451000000000001</c:v>
                </c:pt>
                <c:pt idx="1011">
                  <c:v>-0.28344000000000003</c:v>
                </c:pt>
                <c:pt idx="1012">
                  <c:v>-0.23021999999999998</c:v>
                </c:pt>
                <c:pt idx="1013">
                  <c:v>-0.30120000000000002</c:v>
                </c:pt>
                <c:pt idx="1014">
                  <c:v>-0.30892999999999998</c:v>
                </c:pt>
                <c:pt idx="1015">
                  <c:v>-0.28253</c:v>
                </c:pt>
                <c:pt idx="1016">
                  <c:v>-0.28253</c:v>
                </c:pt>
                <c:pt idx="1017">
                  <c:v>-0.32345000000000002</c:v>
                </c:pt>
                <c:pt idx="1018">
                  <c:v>-0.32968000000000003</c:v>
                </c:pt>
                <c:pt idx="1019">
                  <c:v>-0.33573000000000003</c:v>
                </c:pt>
                <c:pt idx="1020">
                  <c:v>-0.22091000000000002</c:v>
                </c:pt>
                <c:pt idx="1021">
                  <c:v>-0.18575</c:v>
                </c:pt>
                <c:pt idx="1022">
                  <c:v>-0.20457</c:v>
                </c:pt>
                <c:pt idx="1023">
                  <c:v>-0.17984999999999998</c:v>
                </c:pt>
                <c:pt idx="1024">
                  <c:v>-0.19963999999999998</c:v>
                </c:pt>
                <c:pt idx="1025">
                  <c:v>-0.23521</c:v>
                </c:pt>
                <c:pt idx="1026">
                  <c:v>-0.25534000000000001</c:v>
                </c:pt>
                <c:pt idx="1027">
                  <c:v>-0.30343999999999999</c:v>
                </c:pt>
                <c:pt idx="1028">
                  <c:v>-0.34765000000000001</c:v>
                </c:pt>
                <c:pt idx="1029">
                  <c:v>-0.34482999999999997</c:v>
                </c:pt>
                <c:pt idx="1030">
                  <c:v>-0.36194000000000004</c:v>
                </c:pt>
                <c:pt idx="1031">
                  <c:v>-7.714E-2</c:v>
                </c:pt>
                <c:pt idx="1032">
                  <c:v>-0.23144999999999999</c:v>
                </c:pt>
                <c:pt idx="1033">
                  <c:v>-0.29944999999999999</c:v>
                </c:pt>
                <c:pt idx="1034">
                  <c:v>-0.32554</c:v>
                </c:pt>
                <c:pt idx="1035">
                  <c:v>-0.26155</c:v>
                </c:pt>
                <c:pt idx="1036">
                  <c:v>-0.25829000000000002</c:v>
                </c:pt>
                <c:pt idx="1037">
                  <c:v>-0.26357999999999998</c:v>
                </c:pt>
                <c:pt idx="1038">
                  <c:v>-0.26357999999999998</c:v>
                </c:pt>
                <c:pt idx="1039">
                  <c:v>-0.31211</c:v>
                </c:pt>
                <c:pt idx="1040">
                  <c:v>-0.23344000000000001</c:v>
                </c:pt>
                <c:pt idx="1041">
                  <c:v>-0.20492999999999997</c:v>
                </c:pt>
                <c:pt idx="1042">
                  <c:v>-0.20882000000000001</c:v>
                </c:pt>
                <c:pt idx="1043">
                  <c:v>-0.20882000000000001</c:v>
                </c:pt>
                <c:pt idx="1044">
                  <c:v>-0.16574000000000003</c:v>
                </c:pt>
                <c:pt idx="1045">
                  <c:v>-0.14263999999999999</c:v>
                </c:pt>
                <c:pt idx="1046">
                  <c:v>-0.13852999999999999</c:v>
                </c:pt>
                <c:pt idx="1047">
                  <c:v>-0.13214000000000001</c:v>
                </c:pt>
                <c:pt idx="1048">
                  <c:v>-3.2210000000000003E-2</c:v>
                </c:pt>
                <c:pt idx="1049">
                  <c:v>-6.8110000000000004E-2</c:v>
                </c:pt>
                <c:pt idx="1050">
                  <c:v>-6.6790000000000002E-2</c:v>
                </c:pt>
                <c:pt idx="1051">
                  <c:v>-0.12073</c:v>
                </c:pt>
                <c:pt idx="1052">
                  <c:v>-4.4889999999999999E-2</c:v>
                </c:pt>
                <c:pt idx="1053">
                  <c:v>-4.4889999999999999E-2</c:v>
                </c:pt>
                <c:pt idx="1054">
                  <c:v>1.55E-2</c:v>
                </c:pt>
                <c:pt idx="1055">
                  <c:v>-3.2440000000000004E-2</c:v>
                </c:pt>
                <c:pt idx="1056">
                  <c:v>-6.7640000000000006E-2</c:v>
                </c:pt>
                <c:pt idx="1057">
                  <c:v>-0.10854</c:v>
                </c:pt>
                <c:pt idx="1058">
                  <c:v>-0.16940999999999998</c:v>
                </c:pt>
                <c:pt idx="1059">
                  <c:v>-0.16637000000000002</c:v>
                </c:pt>
                <c:pt idx="1060">
                  <c:v>-0.17695</c:v>
                </c:pt>
                <c:pt idx="1061">
                  <c:v>-0.18658000000000002</c:v>
                </c:pt>
                <c:pt idx="1062">
                  <c:v>-0.17225000000000001</c:v>
                </c:pt>
                <c:pt idx="1063">
                  <c:v>-0.18747</c:v>
                </c:pt>
                <c:pt idx="1064">
                  <c:v>-0.15987999999999999</c:v>
                </c:pt>
                <c:pt idx="1065">
                  <c:v>-0.16248000000000001</c:v>
                </c:pt>
                <c:pt idx="1066">
                  <c:v>-6.1249999999999999E-2</c:v>
                </c:pt>
                <c:pt idx="1067">
                  <c:v>-7.3099999999999998E-2</c:v>
                </c:pt>
                <c:pt idx="1068">
                  <c:v>-9.4760000000000011E-2</c:v>
                </c:pt>
                <c:pt idx="1069">
                  <c:v>-0.13528000000000001</c:v>
                </c:pt>
                <c:pt idx="1070">
                  <c:v>-0.14298</c:v>
                </c:pt>
                <c:pt idx="1071">
                  <c:v>-0.14532</c:v>
                </c:pt>
                <c:pt idx="1072">
                  <c:v>-0.17827999999999999</c:v>
                </c:pt>
                <c:pt idx="1073">
                  <c:v>-0.18224000000000001</c:v>
                </c:pt>
                <c:pt idx="1074">
                  <c:v>-0.17358000000000001</c:v>
                </c:pt>
                <c:pt idx="1075">
                  <c:v>-0.23498000000000002</c:v>
                </c:pt>
                <c:pt idx="1076">
                  <c:v>-0.21314</c:v>
                </c:pt>
                <c:pt idx="1077">
                  <c:v>-0.26283000000000001</c:v>
                </c:pt>
                <c:pt idx="1078">
                  <c:v>-0.26283000000000001</c:v>
                </c:pt>
                <c:pt idx="1079">
                  <c:v>-0.26347000000000004</c:v>
                </c:pt>
                <c:pt idx="1080">
                  <c:v>-0.24230000000000002</c:v>
                </c:pt>
                <c:pt idx="1081">
                  <c:v>-0.31839000000000001</c:v>
                </c:pt>
                <c:pt idx="1082">
                  <c:v>-0.34545000000000003</c:v>
                </c:pt>
                <c:pt idx="1083">
                  <c:v>-0.35686000000000001</c:v>
                </c:pt>
                <c:pt idx="1084">
                  <c:v>-0.37670999999999999</c:v>
                </c:pt>
                <c:pt idx="1085">
                  <c:v>-0.32151000000000002</c:v>
                </c:pt>
                <c:pt idx="1086">
                  <c:v>-0.31434000000000001</c:v>
                </c:pt>
                <c:pt idx="1087">
                  <c:v>-0.29809000000000002</c:v>
                </c:pt>
                <c:pt idx="1088">
                  <c:v>-0.19564000000000001</c:v>
                </c:pt>
                <c:pt idx="1089">
                  <c:v>-0.20922999999999997</c:v>
                </c:pt>
                <c:pt idx="1090">
                  <c:v>-0.19866</c:v>
                </c:pt>
                <c:pt idx="1091">
                  <c:v>-0.20976</c:v>
                </c:pt>
                <c:pt idx="1092">
                  <c:v>-0.15335000000000001</c:v>
                </c:pt>
                <c:pt idx="1093">
                  <c:v>-0.14974999999999999</c:v>
                </c:pt>
                <c:pt idx="1094">
                  <c:v>-0.20860000000000001</c:v>
                </c:pt>
                <c:pt idx="1095">
                  <c:v>-0.27094000000000001</c:v>
                </c:pt>
                <c:pt idx="1096">
                  <c:v>-0.28842000000000001</c:v>
                </c:pt>
                <c:pt idx="1097">
                  <c:v>-0.24854999999999999</c:v>
                </c:pt>
                <c:pt idx="1098">
                  <c:v>-0.26027</c:v>
                </c:pt>
                <c:pt idx="1099">
                  <c:v>-0.25670000000000004</c:v>
                </c:pt>
                <c:pt idx="1100">
                  <c:v>-0.23469000000000001</c:v>
                </c:pt>
                <c:pt idx="1101">
                  <c:v>-0.15703</c:v>
                </c:pt>
                <c:pt idx="1102">
                  <c:v>-0.18957999999999997</c:v>
                </c:pt>
                <c:pt idx="1103">
                  <c:v>-0.14726</c:v>
                </c:pt>
                <c:pt idx="1104">
                  <c:v>-0.16772999999999999</c:v>
                </c:pt>
                <c:pt idx="1105">
                  <c:v>-0.16428000000000001</c:v>
                </c:pt>
                <c:pt idx="1106">
                  <c:v>-0.19556000000000001</c:v>
                </c:pt>
                <c:pt idx="1107">
                  <c:v>-0.19556000000000001</c:v>
                </c:pt>
                <c:pt idx="1108">
                  <c:v>-0.19188</c:v>
                </c:pt>
                <c:pt idx="1109">
                  <c:v>-0.25919000000000003</c:v>
                </c:pt>
                <c:pt idx="1110">
                  <c:v>-0.27753</c:v>
                </c:pt>
                <c:pt idx="1111">
                  <c:v>-0.23965</c:v>
                </c:pt>
                <c:pt idx="1112">
                  <c:v>-0.1777</c:v>
                </c:pt>
                <c:pt idx="1113">
                  <c:v>-0.29194999999999999</c:v>
                </c:pt>
                <c:pt idx="1114">
                  <c:v>-0.31361</c:v>
                </c:pt>
                <c:pt idx="1115">
                  <c:v>-0.2792</c:v>
                </c:pt>
                <c:pt idx="1116">
                  <c:v>-0.45655999999999997</c:v>
                </c:pt>
                <c:pt idx="1117">
                  <c:v>-0.44341999999999998</c:v>
                </c:pt>
                <c:pt idx="1118">
                  <c:v>-0.37125999999999998</c:v>
                </c:pt>
                <c:pt idx="1119">
                  <c:v>-0.33249000000000001</c:v>
                </c:pt>
                <c:pt idx="1120">
                  <c:v>-0.31564999999999999</c:v>
                </c:pt>
                <c:pt idx="1121">
                  <c:v>-0.30911</c:v>
                </c:pt>
                <c:pt idx="1122">
                  <c:v>-0.31486999999999998</c:v>
                </c:pt>
                <c:pt idx="1123">
                  <c:v>-0.35682000000000003</c:v>
                </c:pt>
                <c:pt idx="1124">
                  <c:v>-0.31957000000000002</c:v>
                </c:pt>
                <c:pt idx="1125">
                  <c:v>-0.22265999999999997</c:v>
                </c:pt>
                <c:pt idx="1126">
                  <c:v>-0.18842999999999999</c:v>
                </c:pt>
                <c:pt idx="1127">
                  <c:v>-0.20108000000000001</c:v>
                </c:pt>
                <c:pt idx="1128">
                  <c:v>-0.1522</c:v>
                </c:pt>
                <c:pt idx="1129">
                  <c:v>-0.11055999999999999</c:v>
                </c:pt>
                <c:pt idx="1130">
                  <c:v>-7.1910000000000002E-2</c:v>
                </c:pt>
                <c:pt idx="1131">
                  <c:v>-3.8019999999999998E-2</c:v>
                </c:pt>
                <c:pt idx="1132">
                  <c:v>-3.7789999999999997E-2</c:v>
                </c:pt>
                <c:pt idx="1133">
                  <c:v>2.2679999999999999E-2</c:v>
                </c:pt>
                <c:pt idx="1134">
                  <c:v>-2.07E-2</c:v>
                </c:pt>
                <c:pt idx="1135">
                  <c:v>-2.7040000000000002E-2</c:v>
                </c:pt>
                <c:pt idx="1136">
                  <c:v>4.548E-2</c:v>
                </c:pt>
                <c:pt idx="1137">
                  <c:v>6.762E-2</c:v>
                </c:pt>
                <c:pt idx="1138">
                  <c:v>3.798E-2</c:v>
                </c:pt>
                <c:pt idx="1139">
                  <c:v>3.8870000000000002E-2</c:v>
                </c:pt>
                <c:pt idx="1140">
                  <c:v>1.43E-2</c:v>
                </c:pt>
                <c:pt idx="1141">
                  <c:v>7.4639999999999998E-2</c:v>
                </c:pt>
                <c:pt idx="1142">
                  <c:v>0.11834</c:v>
                </c:pt>
                <c:pt idx="1143">
                  <c:v>-9.9900000000000006E-3</c:v>
                </c:pt>
                <c:pt idx="1144">
                  <c:v>-2.0750000000000001E-2</c:v>
                </c:pt>
                <c:pt idx="1145">
                  <c:v>-4.7969999999999999E-2</c:v>
                </c:pt>
                <c:pt idx="1146">
                  <c:v>-4.8209999999999996E-2</c:v>
                </c:pt>
                <c:pt idx="1147">
                  <c:v>-2.8610000000000003E-2</c:v>
                </c:pt>
                <c:pt idx="1148">
                  <c:v>-2.8610000000000003E-2</c:v>
                </c:pt>
                <c:pt idx="1149">
                  <c:v>-6.6040000000000001E-2</c:v>
                </c:pt>
                <c:pt idx="1150">
                  <c:v>-9.1129999999999989E-2</c:v>
                </c:pt>
                <c:pt idx="1151">
                  <c:v>2.4479999999999998E-2</c:v>
                </c:pt>
                <c:pt idx="1152">
                  <c:v>4.8320000000000002E-2</c:v>
                </c:pt>
                <c:pt idx="1153">
                  <c:v>3.3700000000000001E-2</c:v>
                </c:pt>
                <c:pt idx="1154">
                  <c:v>9.3759999999999996E-2</c:v>
                </c:pt>
                <c:pt idx="1155">
                  <c:v>0.10898999999999999</c:v>
                </c:pt>
                <c:pt idx="1156">
                  <c:v>0.18417999999999998</c:v>
                </c:pt>
                <c:pt idx="1157">
                  <c:v>0.16634000000000002</c:v>
                </c:pt>
                <c:pt idx="1158">
                  <c:v>6.2080000000000003E-2</c:v>
                </c:pt>
                <c:pt idx="1159">
                  <c:v>7.3079999999999992E-2</c:v>
                </c:pt>
                <c:pt idx="1160">
                  <c:v>8.1920000000000007E-2</c:v>
                </c:pt>
                <c:pt idx="1161">
                  <c:v>0.18675</c:v>
                </c:pt>
                <c:pt idx="1162">
                  <c:v>0.29499999999999998</c:v>
                </c:pt>
                <c:pt idx="1163">
                  <c:v>0.25452000000000002</c:v>
                </c:pt>
                <c:pt idx="1164">
                  <c:v>0.25452000000000002</c:v>
                </c:pt>
              </c:numCache>
            </c:numRef>
          </c:val>
          <c:smooth val="0"/>
          <c:extLst>
            <c:ext xmlns:c16="http://schemas.microsoft.com/office/drawing/2014/chart" uri="{C3380CC4-5D6E-409C-BE32-E72D297353CC}">
              <c16:uniqueId val="{00000007-5560-4D07-B97F-4AA9E95DFDA5}"/>
            </c:ext>
          </c:extLst>
        </c:ser>
        <c:ser>
          <c:idx val="7"/>
          <c:order val="7"/>
          <c:tx>
            <c:strRef>
              <c:f>Sheet1!$I$1</c:f>
              <c:strCache>
                <c:ptCount val="1"/>
                <c:pt idx="0">
                  <c:v>Ուկրաինա ( 2028թ.), աջ առանցք</c:v>
                </c:pt>
              </c:strCache>
            </c:strRef>
          </c:tx>
          <c:spPr>
            <a:ln w="19050" cap="rnd">
              <a:solidFill>
                <a:schemeClr val="tx1"/>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Sheet1!$I$2:$I$1428</c:f>
              <c:numCache>
                <c:formatCode>0</c:formatCode>
                <c:ptCount val="1166"/>
                <c:pt idx="0">
                  <c:v>4.5502799999999999</c:v>
                </c:pt>
                <c:pt idx="1">
                  <c:v>4.3298500000000004</c:v>
                </c:pt>
                <c:pt idx="2">
                  <c:v>4.36686</c:v>
                </c:pt>
                <c:pt idx="3">
                  <c:v>4.3965699999999996</c:v>
                </c:pt>
                <c:pt idx="4">
                  <c:v>4.35372</c:v>
                </c:pt>
                <c:pt idx="5">
                  <c:v>4.2633700000000001</c:v>
                </c:pt>
                <c:pt idx="6">
                  <c:v>4.2937400000000006</c:v>
                </c:pt>
                <c:pt idx="7">
                  <c:v>4.3018400000000003</c:v>
                </c:pt>
                <c:pt idx="8">
                  <c:v>4.2093099999999994</c:v>
                </c:pt>
                <c:pt idx="9">
                  <c:v>4.2138600000000004</c:v>
                </c:pt>
                <c:pt idx="10">
                  <c:v>4.1339299999999994</c:v>
                </c:pt>
                <c:pt idx="11">
                  <c:v>4.0329300000000003</c:v>
                </c:pt>
                <c:pt idx="12">
                  <c:v>3.99397</c:v>
                </c:pt>
                <c:pt idx="13">
                  <c:v>4.0063300000000002</c:v>
                </c:pt>
                <c:pt idx="14">
                  <c:v>4.08725</c:v>
                </c:pt>
                <c:pt idx="15">
                  <c:v>4.0400999999999998</c:v>
                </c:pt>
                <c:pt idx="16">
                  <c:v>4.2541799999999999</c:v>
                </c:pt>
                <c:pt idx="17">
                  <c:v>4.3243400000000003</c:v>
                </c:pt>
                <c:pt idx="18">
                  <c:v>4.5457100000000006</c:v>
                </c:pt>
                <c:pt idx="19">
                  <c:v>4.4277800000000003</c:v>
                </c:pt>
                <c:pt idx="20">
                  <c:v>4.4198899999999997</c:v>
                </c:pt>
                <c:pt idx="21">
                  <c:v>4.5621200000000002</c:v>
                </c:pt>
                <c:pt idx="22">
                  <c:v>4.5404099999999996</c:v>
                </c:pt>
                <c:pt idx="23">
                  <c:v>4.5534300000000005</c:v>
                </c:pt>
                <c:pt idx="24">
                  <c:v>4.3948599999999995</c:v>
                </c:pt>
                <c:pt idx="25">
                  <c:v>4.2607699999999999</c:v>
                </c:pt>
                <c:pt idx="26">
                  <c:v>4.2204600000000001</c:v>
                </c:pt>
                <c:pt idx="27">
                  <c:v>4.36585</c:v>
                </c:pt>
                <c:pt idx="28">
                  <c:v>4.4592099999999997</c:v>
                </c:pt>
                <c:pt idx="29">
                  <c:v>4.3131700000000004</c:v>
                </c:pt>
                <c:pt idx="30">
                  <c:v>4.1807999999999996</c:v>
                </c:pt>
                <c:pt idx="31">
                  <c:v>4.1249400000000005</c:v>
                </c:pt>
                <c:pt idx="32">
                  <c:v>4.0774699999999999</c:v>
                </c:pt>
                <c:pt idx="33">
                  <c:v>4.05098</c:v>
                </c:pt>
                <c:pt idx="34">
                  <c:v>4.1557899999999997</c:v>
                </c:pt>
                <c:pt idx="35">
                  <c:v>4.0866500000000006</c:v>
                </c:pt>
                <c:pt idx="36">
                  <c:v>4.1385700000000005</c:v>
                </c:pt>
                <c:pt idx="37">
                  <c:v>4.2618499999999999</c:v>
                </c:pt>
                <c:pt idx="38">
                  <c:v>4.5764899999999997</c:v>
                </c:pt>
                <c:pt idx="39">
                  <c:v>4.7718699999999998</c:v>
                </c:pt>
                <c:pt idx="40">
                  <c:v>4.9335800000000001</c:v>
                </c:pt>
                <c:pt idx="41">
                  <c:v>5.0772699999999995</c:v>
                </c:pt>
                <c:pt idx="42">
                  <c:v>5.4301700000000004</c:v>
                </c:pt>
                <c:pt idx="43">
                  <c:v>5.3598699999999999</c:v>
                </c:pt>
                <c:pt idx="44">
                  <c:v>5.2648599999999997</c:v>
                </c:pt>
                <c:pt idx="45">
                  <c:v>5.4661800000000005</c:v>
                </c:pt>
                <c:pt idx="46">
                  <c:v>6.0684000000000005</c:v>
                </c:pt>
                <c:pt idx="47">
                  <c:v>6.7384299999999993</c:v>
                </c:pt>
                <c:pt idx="48">
                  <c:v>8.0293499999999991</c:v>
                </c:pt>
                <c:pt idx="49">
                  <c:v>7.9493100000000005</c:v>
                </c:pt>
                <c:pt idx="50">
                  <c:v>8.5867199999999997</c:v>
                </c:pt>
                <c:pt idx="51">
                  <c:v>10.404760000000001</c:v>
                </c:pt>
                <c:pt idx="52">
                  <c:v>9.4950700000000001</c:v>
                </c:pt>
                <c:pt idx="53">
                  <c:v>10.7295</c:v>
                </c:pt>
                <c:pt idx="54">
                  <c:v>10.836590000000001</c:v>
                </c:pt>
                <c:pt idx="55">
                  <c:v>12.754539999999999</c:v>
                </c:pt>
                <c:pt idx="56">
                  <c:v>12.706389999999999</c:v>
                </c:pt>
                <c:pt idx="57">
                  <c:v>12.062760000000001</c:v>
                </c:pt>
                <c:pt idx="58">
                  <c:v>12.66938</c:v>
                </c:pt>
                <c:pt idx="59">
                  <c:v>11.744069999999999</c:v>
                </c:pt>
                <c:pt idx="60">
                  <c:v>10.22513</c:v>
                </c:pt>
                <c:pt idx="61">
                  <c:v>9.87561</c:v>
                </c:pt>
                <c:pt idx="62">
                  <c:v>10.20589</c:v>
                </c:pt>
                <c:pt idx="63">
                  <c:v>10.423689999999999</c:v>
                </c:pt>
                <c:pt idx="64">
                  <c:v>9.5166699999999995</c:v>
                </c:pt>
                <c:pt idx="65">
                  <c:v>9.7320100000000007</c:v>
                </c:pt>
                <c:pt idx="66">
                  <c:v>9.7783700000000007</c:v>
                </c:pt>
                <c:pt idx="67">
                  <c:v>9.8055400000000006</c:v>
                </c:pt>
                <c:pt idx="68">
                  <c:v>9.6772799999999997</c:v>
                </c:pt>
                <c:pt idx="69">
                  <c:v>9.2703399999999991</c:v>
                </c:pt>
                <c:pt idx="70">
                  <c:v>9.4197500000000005</c:v>
                </c:pt>
                <c:pt idx="71">
                  <c:v>9.0811500000000009</c:v>
                </c:pt>
                <c:pt idx="72">
                  <c:v>9.0811500000000009</c:v>
                </c:pt>
                <c:pt idx="73">
                  <c:v>9.0811500000000009</c:v>
                </c:pt>
                <c:pt idx="74">
                  <c:v>8.8508800000000001</c:v>
                </c:pt>
                <c:pt idx="75">
                  <c:v>9.0489700000000006</c:v>
                </c:pt>
                <c:pt idx="76">
                  <c:v>9.1691599999999998</c:v>
                </c:pt>
                <c:pt idx="77">
                  <c:v>9.3140900000000002</c:v>
                </c:pt>
                <c:pt idx="78">
                  <c:v>9.4459999999999997</c:v>
                </c:pt>
                <c:pt idx="79">
                  <c:v>9.8507400000000001</c:v>
                </c:pt>
                <c:pt idx="80">
                  <c:v>9.8596400000000006</c:v>
                </c:pt>
                <c:pt idx="81">
                  <c:v>9.62941</c:v>
                </c:pt>
                <c:pt idx="82">
                  <c:v>9.5291800000000002</c:v>
                </c:pt>
                <c:pt idx="83">
                  <c:v>9.5285200000000003</c:v>
                </c:pt>
                <c:pt idx="84">
                  <c:v>9.6461600000000001</c:v>
                </c:pt>
                <c:pt idx="85">
                  <c:v>9.68126</c:v>
                </c:pt>
                <c:pt idx="86">
                  <c:v>9.4503599999999999</c:v>
                </c:pt>
                <c:pt idx="87">
                  <c:v>9.1956199999999999</c:v>
                </c:pt>
                <c:pt idx="88">
                  <c:v>9.1411899999999999</c:v>
                </c:pt>
                <c:pt idx="89">
                  <c:v>8.735199999999999</c:v>
                </c:pt>
                <c:pt idx="90">
                  <c:v>8.5673499999999994</c:v>
                </c:pt>
                <c:pt idx="91">
                  <c:v>8.4169400000000003</c:v>
                </c:pt>
                <c:pt idx="92">
                  <c:v>8.4169400000000003</c:v>
                </c:pt>
                <c:pt idx="93">
                  <c:v>8.17699</c:v>
                </c:pt>
                <c:pt idx="94">
                  <c:v>7.9349300000000005</c:v>
                </c:pt>
                <c:pt idx="95">
                  <c:v>7.9462099999999998</c:v>
                </c:pt>
                <c:pt idx="96">
                  <c:v>8.2037499999999994</c:v>
                </c:pt>
                <c:pt idx="97">
                  <c:v>7.9150099999999997</c:v>
                </c:pt>
                <c:pt idx="98">
                  <c:v>7.7326199999999998</c:v>
                </c:pt>
                <c:pt idx="99">
                  <c:v>7.8914499999999999</c:v>
                </c:pt>
                <c:pt idx="100">
                  <c:v>7.6567699999999999</c:v>
                </c:pt>
                <c:pt idx="101">
                  <c:v>7.57376</c:v>
                </c:pt>
                <c:pt idx="102">
                  <c:v>7.7311100000000001</c:v>
                </c:pt>
                <c:pt idx="103">
                  <c:v>7.7311100000000001</c:v>
                </c:pt>
                <c:pt idx="104">
                  <c:v>7.6417100000000007</c:v>
                </c:pt>
                <c:pt idx="105">
                  <c:v>7.8056299999999998</c:v>
                </c:pt>
                <c:pt idx="106">
                  <c:v>7.7447900000000001</c:v>
                </c:pt>
                <c:pt idx="107">
                  <c:v>7.8428800000000001</c:v>
                </c:pt>
                <c:pt idx="108">
                  <c:v>7.7070500000000006</c:v>
                </c:pt>
                <c:pt idx="109">
                  <c:v>7.4529100000000001</c:v>
                </c:pt>
                <c:pt idx="110">
                  <c:v>6.9126300000000001</c:v>
                </c:pt>
                <c:pt idx="111">
                  <c:v>6.6830100000000003</c:v>
                </c:pt>
                <c:pt idx="112">
                  <c:v>6.0000900000000001</c:v>
                </c:pt>
                <c:pt idx="113">
                  <c:v>5.9651700000000005</c:v>
                </c:pt>
                <c:pt idx="114">
                  <c:v>6.2222200000000001</c:v>
                </c:pt>
                <c:pt idx="115">
                  <c:v>6.2626700000000008</c:v>
                </c:pt>
                <c:pt idx="116">
                  <c:v>6.63903</c:v>
                </c:pt>
                <c:pt idx="117">
                  <c:v>6.5971000000000002</c:v>
                </c:pt>
                <c:pt idx="118">
                  <c:v>6.7383600000000001</c:v>
                </c:pt>
                <c:pt idx="119">
                  <c:v>6.2791999999999994</c:v>
                </c:pt>
                <c:pt idx="120">
                  <c:v>6.3406100000000007</c:v>
                </c:pt>
                <c:pt idx="121">
                  <c:v>6.4646699999999999</c:v>
                </c:pt>
                <c:pt idx="122">
                  <c:v>6.4801800000000007</c:v>
                </c:pt>
                <c:pt idx="123">
                  <c:v>6.56576</c:v>
                </c:pt>
                <c:pt idx="124">
                  <c:v>6.5430399999999995</c:v>
                </c:pt>
                <c:pt idx="125">
                  <c:v>6.6873900000000006</c:v>
                </c:pt>
                <c:pt idx="126">
                  <c:v>6.8213800000000004</c:v>
                </c:pt>
                <c:pt idx="127">
                  <c:v>6.8847400000000007</c:v>
                </c:pt>
                <c:pt idx="128">
                  <c:v>6.9085999999999999</c:v>
                </c:pt>
                <c:pt idx="129">
                  <c:v>6.7363900000000001</c:v>
                </c:pt>
                <c:pt idx="130">
                  <c:v>6.3661800000000008</c:v>
                </c:pt>
                <c:pt idx="131">
                  <c:v>6.5382699999999998</c:v>
                </c:pt>
                <c:pt idx="132">
                  <c:v>6.5328999999999997</c:v>
                </c:pt>
                <c:pt idx="133">
                  <c:v>6.5361500000000001</c:v>
                </c:pt>
                <c:pt idx="134">
                  <c:v>6.7366799999999998</c:v>
                </c:pt>
                <c:pt idx="135">
                  <c:v>6.8638900000000005</c:v>
                </c:pt>
                <c:pt idx="136">
                  <c:v>7.0306100000000002</c:v>
                </c:pt>
                <c:pt idx="137">
                  <c:v>7.32761</c:v>
                </c:pt>
                <c:pt idx="138">
                  <c:v>7.3179699999999999</c:v>
                </c:pt>
                <c:pt idx="139">
                  <c:v>7.5225599999999995</c:v>
                </c:pt>
                <c:pt idx="140">
                  <c:v>7.0674599999999996</c:v>
                </c:pt>
                <c:pt idx="141">
                  <c:v>6.9580399999999996</c:v>
                </c:pt>
                <c:pt idx="142">
                  <c:v>6.9289099999999992</c:v>
                </c:pt>
                <c:pt idx="143">
                  <c:v>6.9025400000000001</c:v>
                </c:pt>
                <c:pt idx="144">
                  <c:v>6.7012599999999996</c:v>
                </c:pt>
                <c:pt idx="145">
                  <c:v>6.7029800000000002</c:v>
                </c:pt>
                <c:pt idx="146">
                  <c:v>6.7028300000000005</c:v>
                </c:pt>
                <c:pt idx="147">
                  <c:v>6.7490499999999995</c:v>
                </c:pt>
                <c:pt idx="148">
                  <c:v>6.6787800000000006</c:v>
                </c:pt>
                <c:pt idx="149">
                  <c:v>6.82165</c:v>
                </c:pt>
                <c:pt idx="150">
                  <c:v>6.8565300000000002</c:v>
                </c:pt>
                <c:pt idx="151">
                  <c:v>7.1220399999999993</c:v>
                </c:pt>
                <c:pt idx="152">
                  <c:v>7.21225</c:v>
                </c:pt>
                <c:pt idx="153">
                  <c:v>7.2427700000000002</c:v>
                </c:pt>
                <c:pt idx="154">
                  <c:v>7.2057899999999995</c:v>
                </c:pt>
                <c:pt idx="155">
                  <c:v>7.0636699999999992</c:v>
                </c:pt>
                <c:pt idx="156">
                  <c:v>7.1443499999999993</c:v>
                </c:pt>
                <c:pt idx="157">
                  <c:v>7.3208000000000002</c:v>
                </c:pt>
                <c:pt idx="158">
                  <c:v>7.3182299999999998</c:v>
                </c:pt>
                <c:pt idx="159">
                  <c:v>7.1021999999999998</c:v>
                </c:pt>
                <c:pt idx="160">
                  <c:v>7.0315499999999993</c:v>
                </c:pt>
                <c:pt idx="161">
                  <c:v>6.98285</c:v>
                </c:pt>
                <c:pt idx="162">
                  <c:v>6.9796799999999992</c:v>
                </c:pt>
                <c:pt idx="163">
                  <c:v>6.89072</c:v>
                </c:pt>
                <c:pt idx="164">
                  <c:v>6.9041700000000006</c:v>
                </c:pt>
                <c:pt idx="165">
                  <c:v>6.7885200000000001</c:v>
                </c:pt>
                <c:pt idx="166">
                  <c:v>6.8382800000000001</c:v>
                </c:pt>
                <c:pt idx="167">
                  <c:v>6.7895199999999996</c:v>
                </c:pt>
                <c:pt idx="168">
                  <c:v>6.7154499999999997</c:v>
                </c:pt>
                <c:pt idx="169">
                  <c:v>6.7060799999999992</c:v>
                </c:pt>
                <c:pt idx="170">
                  <c:v>6.7392999999999992</c:v>
                </c:pt>
                <c:pt idx="171">
                  <c:v>6.6568199999999997</c:v>
                </c:pt>
                <c:pt idx="172">
                  <c:v>6.5918299999999999</c:v>
                </c:pt>
                <c:pt idx="173">
                  <c:v>6.5918299999999999</c:v>
                </c:pt>
                <c:pt idx="174">
                  <c:v>6.4543499999999998</c:v>
                </c:pt>
                <c:pt idx="175">
                  <c:v>6.398579999999999</c:v>
                </c:pt>
                <c:pt idx="176">
                  <c:v>6.5636300000000007</c:v>
                </c:pt>
                <c:pt idx="177">
                  <c:v>6.5087199999999994</c:v>
                </c:pt>
                <c:pt idx="178">
                  <c:v>6.4929999999999994</c:v>
                </c:pt>
                <c:pt idx="179">
                  <c:v>6.6417899999999994</c:v>
                </c:pt>
                <c:pt idx="180">
                  <c:v>6.6450300000000002</c:v>
                </c:pt>
                <c:pt idx="181">
                  <c:v>6.6606199999999998</c:v>
                </c:pt>
                <c:pt idx="182">
                  <c:v>6.6971299999999996</c:v>
                </c:pt>
                <c:pt idx="183">
                  <c:v>6.7458200000000001</c:v>
                </c:pt>
                <c:pt idx="184">
                  <c:v>6.6357200000000001</c:v>
                </c:pt>
                <c:pt idx="185">
                  <c:v>6.6047500000000001</c:v>
                </c:pt>
                <c:pt idx="186">
                  <c:v>6.6885299999999992</c:v>
                </c:pt>
                <c:pt idx="187">
                  <c:v>6.7089999999999996</c:v>
                </c:pt>
                <c:pt idx="188">
                  <c:v>7.0825899999999997</c:v>
                </c:pt>
                <c:pt idx="189">
                  <c:v>7.1244399999999999</c:v>
                </c:pt>
                <c:pt idx="190">
                  <c:v>7.2120199999999999</c:v>
                </c:pt>
                <c:pt idx="191">
                  <c:v>7.4410799999999995</c:v>
                </c:pt>
                <c:pt idx="192">
                  <c:v>7.4260000000000002</c:v>
                </c:pt>
                <c:pt idx="193">
                  <c:v>7.3978299999999999</c:v>
                </c:pt>
                <c:pt idx="194">
                  <c:v>7.5713300000000006</c:v>
                </c:pt>
                <c:pt idx="195">
                  <c:v>7.5646699999999996</c:v>
                </c:pt>
                <c:pt idx="196">
                  <c:v>7.49099</c:v>
                </c:pt>
                <c:pt idx="197">
                  <c:v>7.5048000000000004</c:v>
                </c:pt>
                <c:pt idx="198">
                  <c:v>7.3184400000000007</c:v>
                </c:pt>
                <c:pt idx="199">
                  <c:v>7.3952999999999998</c:v>
                </c:pt>
                <c:pt idx="200">
                  <c:v>7.3015400000000001</c:v>
                </c:pt>
                <c:pt idx="201">
                  <c:v>7.1942600000000008</c:v>
                </c:pt>
                <c:pt idx="202">
                  <c:v>6.9578899999999999</c:v>
                </c:pt>
                <c:pt idx="203">
                  <c:v>6.9222900000000003</c:v>
                </c:pt>
                <c:pt idx="204">
                  <c:v>7.0988499999999997</c:v>
                </c:pt>
                <c:pt idx="205">
                  <c:v>7.3055999999999992</c:v>
                </c:pt>
                <c:pt idx="206">
                  <c:v>7.4901900000000001</c:v>
                </c:pt>
                <c:pt idx="207">
                  <c:v>7.4352900000000002</c:v>
                </c:pt>
                <c:pt idx="208">
                  <c:v>7.4088599999999998</c:v>
                </c:pt>
                <c:pt idx="209">
                  <c:v>7.5172699999999999</c:v>
                </c:pt>
                <c:pt idx="210">
                  <c:v>7.5897100000000002</c:v>
                </c:pt>
                <c:pt idx="211">
                  <c:v>7.6211800000000007</c:v>
                </c:pt>
                <c:pt idx="212">
                  <c:v>7.5794000000000006</c:v>
                </c:pt>
                <c:pt idx="213">
                  <c:v>7.7000400000000004</c:v>
                </c:pt>
                <c:pt idx="214">
                  <c:v>7.4999599999999997</c:v>
                </c:pt>
                <c:pt idx="215">
                  <c:v>7.5320299999999998</c:v>
                </c:pt>
                <c:pt idx="216">
                  <c:v>7.3383799999999999</c:v>
                </c:pt>
                <c:pt idx="217">
                  <c:v>7.2345699999999997</c:v>
                </c:pt>
                <c:pt idx="218">
                  <c:v>7.1828899999999996</c:v>
                </c:pt>
                <c:pt idx="219">
                  <c:v>6.9061699999999995</c:v>
                </c:pt>
                <c:pt idx="220">
                  <c:v>6.8069199999999999</c:v>
                </c:pt>
                <c:pt idx="221">
                  <c:v>6.5543100000000001</c:v>
                </c:pt>
                <c:pt idx="222">
                  <c:v>6.5849900000000003</c:v>
                </c:pt>
                <c:pt idx="223">
                  <c:v>6.1655199999999999</c:v>
                </c:pt>
                <c:pt idx="224">
                  <c:v>6.2217700000000002</c:v>
                </c:pt>
                <c:pt idx="225">
                  <c:v>6.1240399999999999</c:v>
                </c:pt>
                <c:pt idx="226">
                  <c:v>6.2265499999999996</c:v>
                </c:pt>
                <c:pt idx="227">
                  <c:v>6.2046700000000001</c:v>
                </c:pt>
                <c:pt idx="228">
                  <c:v>6.0310299999999994</c:v>
                </c:pt>
                <c:pt idx="229">
                  <c:v>6.0936900000000005</c:v>
                </c:pt>
                <c:pt idx="230">
                  <c:v>6.0820299999999996</c:v>
                </c:pt>
                <c:pt idx="231">
                  <c:v>6.1165899999999995</c:v>
                </c:pt>
                <c:pt idx="232">
                  <c:v>6.0956299999999999</c:v>
                </c:pt>
                <c:pt idx="233">
                  <c:v>5.8959099999999998</c:v>
                </c:pt>
                <c:pt idx="234">
                  <c:v>5.6727300000000005</c:v>
                </c:pt>
                <c:pt idx="235">
                  <c:v>5.7056899999999997</c:v>
                </c:pt>
                <c:pt idx="236">
                  <c:v>5.7309099999999997</c:v>
                </c:pt>
                <c:pt idx="237">
                  <c:v>5.7476700000000003</c:v>
                </c:pt>
                <c:pt idx="238">
                  <c:v>5.7307500000000005</c:v>
                </c:pt>
                <c:pt idx="239">
                  <c:v>5.4735199999999997</c:v>
                </c:pt>
                <c:pt idx="240">
                  <c:v>5.3753200000000003</c:v>
                </c:pt>
                <c:pt idx="241">
                  <c:v>5.3483399999999994</c:v>
                </c:pt>
                <c:pt idx="242">
                  <c:v>5.1366600000000009</c:v>
                </c:pt>
                <c:pt idx="243">
                  <c:v>5.1907899999999998</c:v>
                </c:pt>
                <c:pt idx="244">
                  <c:v>5.2047400000000001</c:v>
                </c:pt>
                <c:pt idx="245">
                  <c:v>5.1450300000000002</c:v>
                </c:pt>
                <c:pt idx="246">
                  <c:v>5.1702700000000004</c:v>
                </c:pt>
                <c:pt idx="247">
                  <c:v>5.1748800000000008</c:v>
                </c:pt>
                <c:pt idx="248">
                  <c:v>5.0122200000000001</c:v>
                </c:pt>
                <c:pt idx="249">
                  <c:v>4.9326100000000004</c:v>
                </c:pt>
                <c:pt idx="250">
                  <c:v>4.9120900000000001</c:v>
                </c:pt>
                <c:pt idx="251">
                  <c:v>4.9401299999999999</c:v>
                </c:pt>
                <c:pt idx="252">
                  <c:v>4.99</c:v>
                </c:pt>
                <c:pt idx="253">
                  <c:v>5.1223800000000006</c:v>
                </c:pt>
                <c:pt idx="254">
                  <c:v>5.1268700000000003</c:v>
                </c:pt>
                <c:pt idx="255">
                  <c:v>5.0925799999999999</c:v>
                </c:pt>
                <c:pt idx="256">
                  <c:v>5.07925</c:v>
                </c:pt>
                <c:pt idx="257">
                  <c:v>5.07925</c:v>
                </c:pt>
                <c:pt idx="258">
                  <c:v>5.07925</c:v>
                </c:pt>
                <c:pt idx="259">
                  <c:v>5.0819799999999997</c:v>
                </c:pt>
                <c:pt idx="260">
                  <c:v>5.0537799999999997</c:v>
                </c:pt>
                <c:pt idx="261">
                  <c:v>5.0590099999999998</c:v>
                </c:pt>
                <c:pt idx="262">
                  <c:v>5.0590099999999998</c:v>
                </c:pt>
                <c:pt idx="263">
                  <c:v>4.9801900000000003</c:v>
                </c:pt>
                <c:pt idx="264">
                  <c:v>4.9738899999999999</c:v>
                </c:pt>
                <c:pt idx="265">
                  <c:v>4.9231199999999999</c:v>
                </c:pt>
                <c:pt idx="266">
                  <c:v>4.8728100000000003</c:v>
                </c:pt>
                <c:pt idx="267">
                  <c:v>4.8415800000000004</c:v>
                </c:pt>
                <c:pt idx="268">
                  <c:v>4.8886200000000004</c:v>
                </c:pt>
                <c:pt idx="269">
                  <c:v>5.0812999999999997</c:v>
                </c:pt>
                <c:pt idx="270">
                  <c:v>5.0308600000000006</c:v>
                </c:pt>
                <c:pt idx="271">
                  <c:v>4.9522500000000003</c:v>
                </c:pt>
                <c:pt idx="272">
                  <c:v>5.0664999999999996</c:v>
                </c:pt>
                <c:pt idx="273">
                  <c:v>5.1124700000000001</c:v>
                </c:pt>
                <c:pt idx="274">
                  <c:v>5.1196200000000003</c:v>
                </c:pt>
                <c:pt idx="275">
                  <c:v>5.0952099999999998</c:v>
                </c:pt>
                <c:pt idx="276">
                  <c:v>4.9213899999999997</c:v>
                </c:pt>
                <c:pt idx="277">
                  <c:v>4.9969600000000005</c:v>
                </c:pt>
                <c:pt idx="278">
                  <c:v>5.0200100000000001</c:v>
                </c:pt>
                <c:pt idx="279">
                  <c:v>5.0190999999999999</c:v>
                </c:pt>
                <c:pt idx="280">
                  <c:v>5.1288</c:v>
                </c:pt>
                <c:pt idx="281">
                  <c:v>5.1455700000000002</c:v>
                </c:pt>
                <c:pt idx="282">
                  <c:v>5.1099100000000002</c:v>
                </c:pt>
                <c:pt idx="283">
                  <c:v>5.1038899999999998</c:v>
                </c:pt>
                <c:pt idx="284">
                  <c:v>4.9963499999999996</c:v>
                </c:pt>
                <c:pt idx="285">
                  <c:v>4.9012799999999999</c:v>
                </c:pt>
                <c:pt idx="286">
                  <c:v>4.7372300000000003</c:v>
                </c:pt>
                <c:pt idx="287">
                  <c:v>4.5703699999999996</c:v>
                </c:pt>
                <c:pt idx="288">
                  <c:v>4.5936200000000005</c:v>
                </c:pt>
                <c:pt idx="289">
                  <c:v>4.6673099999999996</c:v>
                </c:pt>
                <c:pt idx="290">
                  <c:v>4.80708</c:v>
                </c:pt>
                <c:pt idx="291">
                  <c:v>4.7330800000000002</c:v>
                </c:pt>
                <c:pt idx="292">
                  <c:v>4.6970400000000003</c:v>
                </c:pt>
                <c:pt idx="293">
                  <c:v>4.7694799999999997</c:v>
                </c:pt>
                <c:pt idx="294">
                  <c:v>4.8007299999999997</c:v>
                </c:pt>
                <c:pt idx="295">
                  <c:v>4.8910799999999997</c:v>
                </c:pt>
                <c:pt idx="296">
                  <c:v>4.8676500000000003</c:v>
                </c:pt>
                <c:pt idx="297">
                  <c:v>4.8200599999999998</c:v>
                </c:pt>
                <c:pt idx="298">
                  <c:v>5.0470800000000002</c:v>
                </c:pt>
                <c:pt idx="299">
                  <c:v>5.0739800000000006</c:v>
                </c:pt>
                <c:pt idx="300">
                  <c:v>4.9667599999999998</c:v>
                </c:pt>
                <c:pt idx="301">
                  <c:v>4.9741499999999998</c:v>
                </c:pt>
                <c:pt idx="302">
                  <c:v>5.18466</c:v>
                </c:pt>
                <c:pt idx="303">
                  <c:v>5.0719400000000006</c:v>
                </c:pt>
                <c:pt idx="304">
                  <c:v>5.1033200000000001</c:v>
                </c:pt>
                <c:pt idx="305">
                  <c:v>5.1111000000000004</c:v>
                </c:pt>
                <c:pt idx="306">
                  <c:v>5.1988099999999999</c:v>
                </c:pt>
                <c:pt idx="307">
                  <c:v>5.3865400000000001</c:v>
                </c:pt>
                <c:pt idx="308">
                  <c:v>5.5457600000000005</c:v>
                </c:pt>
                <c:pt idx="309">
                  <c:v>5.4950400000000004</c:v>
                </c:pt>
                <c:pt idx="310">
                  <c:v>5.37744</c:v>
                </c:pt>
                <c:pt idx="311">
                  <c:v>5.0605099999999998</c:v>
                </c:pt>
                <c:pt idx="312">
                  <c:v>5.0911599999999995</c:v>
                </c:pt>
                <c:pt idx="313">
                  <c:v>5.0197099999999999</c:v>
                </c:pt>
                <c:pt idx="314">
                  <c:v>4.8956299999999997</c:v>
                </c:pt>
                <c:pt idx="315">
                  <c:v>4.9677999999999995</c:v>
                </c:pt>
                <c:pt idx="316">
                  <c:v>4.9155300000000004</c:v>
                </c:pt>
                <c:pt idx="317">
                  <c:v>4.9598000000000004</c:v>
                </c:pt>
                <c:pt idx="318">
                  <c:v>4.9881900000000003</c:v>
                </c:pt>
                <c:pt idx="319">
                  <c:v>5.02989</c:v>
                </c:pt>
                <c:pt idx="320">
                  <c:v>5.0529599999999997</c:v>
                </c:pt>
                <c:pt idx="321">
                  <c:v>5.0743499999999999</c:v>
                </c:pt>
                <c:pt idx="322">
                  <c:v>5.0417300000000003</c:v>
                </c:pt>
                <c:pt idx="323">
                  <c:v>5.0011399999999995</c:v>
                </c:pt>
                <c:pt idx="324">
                  <c:v>5.15747</c:v>
                </c:pt>
                <c:pt idx="325">
                  <c:v>5.1428899999999995</c:v>
                </c:pt>
                <c:pt idx="326">
                  <c:v>5.3659500000000007</c:v>
                </c:pt>
                <c:pt idx="327">
                  <c:v>5.3659500000000007</c:v>
                </c:pt>
                <c:pt idx="328">
                  <c:v>5.3659500000000007</c:v>
                </c:pt>
                <c:pt idx="329">
                  <c:v>5.67727</c:v>
                </c:pt>
                <c:pt idx="330">
                  <c:v>5.4684799999999996</c:v>
                </c:pt>
                <c:pt idx="331">
                  <c:v>5.4327200000000007</c:v>
                </c:pt>
                <c:pt idx="332">
                  <c:v>5.4865099999999991</c:v>
                </c:pt>
                <c:pt idx="333">
                  <c:v>5.7734400000000008</c:v>
                </c:pt>
                <c:pt idx="334">
                  <c:v>5.7356799999999994</c:v>
                </c:pt>
                <c:pt idx="335">
                  <c:v>5.5313499999999998</c:v>
                </c:pt>
                <c:pt idx="336">
                  <c:v>5.5831799999999996</c:v>
                </c:pt>
                <c:pt idx="337">
                  <c:v>5.4155100000000003</c:v>
                </c:pt>
                <c:pt idx="338">
                  <c:v>5.3755600000000001</c:v>
                </c:pt>
                <c:pt idx="339">
                  <c:v>5.6220399999999993</c:v>
                </c:pt>
                <c:pt idx="340">
                  <c:v>5.6042100000000001</c:v>
                </c:pt>
                <c:pt idx="341">
                  <c:v>5.2774099999999997</c:v>
                </c:pt>
                <c:pt idx="342">
                  <c:v>5.1655699999999998</c:v>
                </c:pt>
                <c:pt idx="343">
                  <c:v>5.2540599999999991</c:v>
                </c:pt>
                <c:pt idx="344">
                  <c:v>5.3006600000000006</c:v>
                </c:pt>
                <c:pt idx="345">
                  <c:v>5.3512699999999995</c:v>
                </c:pt>
                <c:pt idx="346">
                  <c:v>5.3017300000000001</c:v>
                </c:pt>
                <c:pt idx="347">
                  <c:v>5.3374600000000001</c:v>
                </c:pt>
                <c:pt idx="348">
                  <c:v>5.3374600000000001</c:v>
                </c:pt>
                <c:pt idx="349">
                  <c:v>5.4319699999999997</c:v>
                </c:pt>
                <c:pt idx="350">
                  <c:v>5.4020000000000001</c:v>
                </c:pt>
                <c:pt idx="351">
                  <c:v>5.3362099999999995</c:v>
                </c:pt>
                <c:pt idx="352">
                  <c:v>5.1844399999999995</c:v>
                </c:pt>
                <c:pt idx="353">
                  <c:v>5.0683300000000004</c:v>
                </c:pt>
                <c:pt idx="354">
                  <c:v>5.1271199999999997</c:v>
                </c:pt>
                <c:pt idx="355">
                  <c:v>5.1448400000000003</c:v>
                </c:pt>
                <c:pt idx="356">
                  <c:v>5.1679300000000001</c:v>
                </c:pt>
                <c:pt idx="357">
                  <c:v>5.1354300000000004</c:v>
                </c:pt>
                <c:pt idx="358">
                  <c:v>5.11334</c:v>
                </c:pt>
                <c:pt idx="359">
                  <c:v>4.9664200000000003</c:v>
                </c:pt>
                <c:pt idx="360">
                  <c:v>5.0235599999999998</c:v>
                </c:pt>
                <c:pt idx="361">
                  <c:v>4.9110300000000002</c:v>
                </c:pt>
                <c:pt idx="362">
                  <c:v>4.8412899999999999</c:v>
                </c:pt>
                <c:pt idx="363">
                  <c:v>4.7973499999999998</c:v>
                </c:pt>
                <c:pt idx="364">
                  <c:v>4.7838099999999999</c:v>
                </c:pt>
                <c:pt idx="365">
                  <c:v>4.7690700000000001</c:v>
                </c:pt>
                <c:pt idx="366">
                  <c:v>4.7391399999999999</c:v>
                </c:pt>
                <c:pt idx="367">
                  <c:v>4.7424999999999997</c:v>
                </c:pt>
                <c:pt idx="368">
                  <c:v>4.7424999999999997</c:v>
                </c:pt>
                <c:pt idx="369">
                  <c:v>4.6295800000000007</c:v>
                </c:pt>
                <c:pt idx="370">
                  <c:v>4.5903900000000002</c:v>
                </c:pt>
                <c:pt idx="371">
                  <c:v>4.6471100000000005</c:v>
                </c:pt>
                <c:pt idx="372">
                  <c:v>4.7563599999999999</c:v>
                </c:pt>
                <c:pt idx="373">
                  <c:v>4.7199799999999996</c:v>
                </c:pt>
                <c:pt idx="374">
                  <c:v>4.7041000000000004</c:v>
                </c:pt>
                <c:pt idx="375">
                  <c:v>4.6937499999999996</c:v>
                </c:pt>
                <c:pt idx="376">
                  <c:v>4.7207999999999997</c:v>
                </c:pt>
                <c:pt idx="377">
                  <c:v>4.6939200000000003</c:v>
                </c:pt>
                <c:pt idx="378">
                  <c:v>4.7257299999999995</c:v>
                </c:pt>
                <c:pt idx="379">
                  <c:v>4.7840699999999998</c:v>
                </c:pt>
                <c:pt idx="380">
                  <c:v>4.8307799999999999</c:v>
                </c:pt>
                <c:pt idx="381">
                  <c:v>4.88673</c:v>
                </c:pt>
                <c:pt idx="382">
                  <c:v>4.9583599999999999</c:v>
                </c:pt>
                <c:pt idx="383">
                  <c:v>4.9971699999999997</c:v>
                </c:pt>
                <c:pt idx="384">
                  <c:v>5.0846800000000005</c:v>
                </c:pt>
                <c:pt idx="385">
                  <c:v>5.0008800000000004</c:v>
                </c:pt>
                <c:pt idx="386">
                  <c:v>4.9901499999999999</c:v>
                </c:pt>
                <c:pt idx="387">
                  <c:v>4.9323899999999998</c:v>
                </c:pt>
                <c:pt idx="388">
                  <c:v>4.9887600000000001</c:v>
                </c:pt>
                <c:pt idx="389">
                  <c:v>4.9296199999999999</c:v>
                </c:pt>
                <c:pt idx="390">
                  <c:v>4.9396199999999997</c:v>
                </c:pt>
                <c:pt idx="391">
                  <c:v>4.9304800000000002</c:v>
                </c:pt>
                <c:pt idx="392">
                  <c:v>4.9416799999999999</c:v>
                </c:pt>
                <c:pt idx="393">
                  <c:v>4.95627</c:v>
                </c:pt>
                <c:pt idx="394">
                  <c:v>5.0271600000000003</c:v>
                </c:pt>
                <c:pt idx="395">
                  <c:v>5.0520800000000001</c:v>
                </c:pt>
                <c:pt idx="396">
                  <c:v>5.1321099999999999</c:v>
                </c:pt>
                <c:pt idx="397">
                  <c:v>5.02576</c:v>
                </c:pt>
                <c:pt idx="398">
                  <c:v>5.0233100000000004</c:v>
                </c:pt>
                <c:pt idx="399">
                  <c:v>4.9482799999999996</c:v>
                </c:pt>
                <c:pt idx="400">
                  <c:v>4.9971800000000002</c:v>
                </c:pt>
                <c:pt idx="401">
                  <c:v>5.0418099999999999</c:v>
                </c:pt>
                <c:pt idx="402">
                  <c:v>5.0019099999999996</c:v>
                </c:pt>
                <c:pt idx="403">
                  <c:v>5.1928200000000002</c:v>
                </c:pt>
                <c:pt idx="404">
                  <c:v>5.1714000000000002</c:v>
                </c:pt>
                <c:pt idx="405">
                  <c:v>5.0803699999999994</c:v>
                </c:pt>
                <c:pt idx="406">
                  <c:v>5.1314000000000002</c:v>
                </c:pt>
                <c:pt idx="407">
                  <c:v>5.1182400000000001</c:v>
                </c:pt>
                <c:pt idx="408">
                  <c:v>5.1625100000000002</c:v>
                </c:pt>
                <c:pt idx="409">
                  <c:v>5.2919000000000009</c:v>
                </c:pt>
                <c:pt idx="410">
                  <c:v>5.2187800000000006</c:v>
                </c:pt>
                <c:pt idx="411">
                  <c:v>5.12744</c:v>
                </c:pt>
                <c:pt idx="412">
                  <c:v>5.1759500000000003</c:v>
                </c:pt>
                <c:pt idx="413">
                  <c:v>5.1524099999999997</c:v>
                </c:pt>
                <c:pt idx="414">
                  <c:v>5.1097099999999998</c:v>
                </c:pt>
                <c:pt idx="415">
                  <c:v>5.1256500000000003</c:v>
                </c:pt>
                <c:pt idx="416">
                  <c:v>5.0959599999999998</c:v>
                </c:pt>
                <c:pt idx="417">
                  <c:v>5.0424299999999995</c:v>
                </c:pt>
                <c:pt idx="418">
                  <c:v>5.0279300000000005</c:v>
                </c:pt>
                <c:pt idx="419">
                  <c:v>5.0146800000000002</c:v>
                </c:pt>
                <c:pt idx="420">
                  <c:v>5.0407600000000006</c:v>
                </c:pt>
                <c:pt idx="421">
                  <c:v>4.9866799999999998</c:v>
                </c:pt>
                <c:pt idx="422">
                  <c:v>5.0205200000000003</c:v>
                </c:pt>
                <c:pt idx="423">
                  <c:v>5.0651400000000004</c:v>
                </c:pt>
                <c:pt idx="424">
                  <c:v>5.0662400000000005</c:v>
                </c:pt>
                <c:pt idx="425">
                  <c:v>5.0564800000000005</c:v>
                </c:pt>
                <c:pt idx="426">
                  <c:v>5.1216600000000003</c:v>
                </c:pt>
                <c:pt idx="427">
                  <c:v>5.1041100000000004</c:v>
                </c:pt>
                <c:pt idx="428">
                  <c:v>5.07578</c:v>
                </c:pt>
                <c:pt idx="429">
                  <c:v>4.9906299999999995</c:v>
                </c:pt>
                <c:pt idx="430">
                  <c:v>4.8757400000000004</c:v>
                </c:pt>
                <c:pt idx="431">
                  <c:v>4.8764500000000002</c:v>
                </c:pt>
                <c:pt idx="432">
                  <c:v>4.8424300000000002</c:v>
                </c:pt>
                <c:pt idx="433">
                  <c:v>4.8424300000000002</c:v>
                </c:pt>
                <c:pt idx="434">
                  <c:v>4.7328000000000001</c:v>
                </c:pt>
                <c:pt idx="435">
                  <c:v>4.6876100000000003</c:v>
                </c:pt>
                <c:pt idx="436">
                  <c:v>4.6913499999999999</c:v>
                </c:pt>
                <c:pt idx="437">
                  <c:v>4.6532</c:v>
                </c:pt>
                <c:pt idx="438">
                  <c:v>4.6536499999999998</c:v>
                </c:pt>
                <c:pt idx="439">
                  <c:v>4.6818799999999996</c:v>
                </c:pt>
                <c:pt idx="440">
                  <c:v>4.7190799999999999</c:v>
                </c:pt>
                <c:pt idx="441">
                  <c:v>4.8121600000000004</c:v>
                </c:pt>
                <c:pt idx="442">
                  <c:v>4.7393999999999998</c:v>
                </c:pt>
                <c:pt idx="443">
                  <c:v>4.7291100000000004</c:v>
                </c:pt>
                <c:pt idx="444">
                  <c:v>4.7124500000000005</c:v>
                </c:pt>
                <c:pt idx="445">
                  <c:v>4.6179700000000006</c:v>
                </c:pt>
                <c:pt idx="446">
                  <c:v>4.6072300000000004</c:v>
                </c:pt>
                <c:pt idx="447">
                  <c:v>4.6084199999999997</c:v>
                </c:pt>
                <c:pt idx="448">
                  <c:v>4.8056000000000001</c:v>
                </c:pt>
                <c:pt idx="449">
                  <c:v>4.79122</c:v>
                </c:pt>
                <c:pt idx="450">
                  <c:v>4.88103</c:v>
                </c:pt>
                <c:pt idx="451">
                  <c:v>4.8105000000000002</c:v>
                </c:pt>
                <c:pt idx="452">
                  <c:v>4.9838500000000003</c:v>
                </c:pt>
                <c:pt idx="453">
                  <c:v>5.0235099999999999</c:v>
                </c:pt>
                <c:pt idx="454">
                  <c:v>5.10839</c:v>
                </c:pt>
                <c:pt idx="455">
                  <c:v>5.0463699999999996</c:v>
                </c:pt>
                <c:pt idx="456">
                  <c:v>5.1071</c:v>
                </c:pt>
                <c:pt idx="457">
                  <c:v>5.2496499999999999</c:v>
                </c:pt>
                <c:pt idx="458">
                  <c:v>5.3031199999999998</c:v>
                </c:pt>
                <c:pt idx="459">
                  <c:v>5.2992699999999999</c:v>
                </c:pt>
                <c:pt idx="460">
                  <c:v>5.3199199999999998</c:v>
                </c:pt>
                <c:pt idx="461">
                  <c:v>5.1072699999999998</c:v>
                </c:pt>
                <c:pt idx="462">
                  <c:v>5.1035300000000001</c:v>
                </c:pt>
                <c:pt idx="463">
                  <c:v>5.1290999999999993</c:v>
                </c:pt>
                <c:pt idx="464">
                  <c:v>5.1680899999999994</c:v>
                </c:pt>
                <c:pt idx="465">
                  <c:v>5.1129199999999999</c:v>
                </c:pt>
                <c:pt idx="466">
                  <c:v>4.9192399999999994</c:v>
                </c:pt>
                <c:pt idx="467">
                  <c:v>4.8239600000000005</c:v>
                </c:pt>
                <c:pt idx="468">
                  <c:v>4.92136</c:v>
                </c:pt>
                <c:pt idx="469">
                  <c:v>4.8258299999999998</c:v>
                </c:pt>
                <c:pt idx="470">
                  <c:v>4.8652999999999995</c:v>
                </c:pt>
                <c:pt idx="471">
                  <c:v>5.00617</c:v>
                </c:pt>
                <c:pt idx="472">
                  <c:v>5.0859500000000004</c:v>
                </c:pt>
                <c:pt idx="473">
                  <c:v>5.1162700000000001</c:v>
                </c:pt>
                <c:pt idx="474">
                  <c:v>5.0844399999999998</c:v>
                </c:pt>
                <c:pt idx="475">
                  <c:v>5.2014499999999995</c:v>
                </c:pt>
                <c:pt idx="476">
                  <c:v>5.1646600000000005</c:v>
                </c:pt>
                <c:pt idx="477">
                  <c:v>5.2404200000000003</c:v>
                </c:pt>
                <c:pt idx="478">
                  <c:v>5.3001800000000001</c:v>
                </c:pt>
                <c:pt idx="479">
                  <c:v>5.4556899999999997</c:v>
                </c:pt>
                <c:pt idx="480">
                  <c:v>5.48285</c:v>
                </c:pt>
                <c:pt idx="481">
                  <c:v>5.5955600000000008</c:v>
                </c:pt>
                <c:pt idx="482">
                  <c:v>5.29237</c:v>
                </c:pt>
                <c:pt idx="483">
                  <c:v>5.1375300000000008</c:v>
                </c:pt>
                <c:pt idx="484">
                  <c:v>5.2878499999999997</c:v>
                </c:pt>
                <c:pt idx="485">
                  <c:v>5.2263800000000007</c:v>
                </c:pt>
                <c:pt idx="486">
                  <c:v>5.3382100000000001</c:v>
                </c:pt>
                <c:pt idx="487">
                  <c:v>5.5477099999999995</c:v>
                </c:pt>
                <c:pt idx="488">
                  <c:v>5.7400500000000001</c:v>
                </c:pt>
                <c:pt idx="489">
                  <c:v>5.9005799999999997</c:v>
                </c:pt>
                <c:pt idx="490">
                  <c:v>5.8021799999999999</c:v>
                </c:pt>
                <c:pt idx="491">
                  <c:v>5.6826999999999996</c:v>
                </c:pt>
                <c:pt idx="492">
                  <c:v>5.7746400000000007</c:v>
                </c:pt>
                <c:pt idx="493">
                  <c:v>6.2071000000000005</c:v>
                </c:pt>
                <c:pt idx="494">
                  <c:v>6.3858199999999998</c:v>
                </c:pt>
                <c:pt idx="495">
                  <c:v>6.3604999999999992</c:v>
                </c:pt>
                <c:pt idx="496">
                  <c:v>6.5120000000000005</c:v>
                </c:pt>
                <c:pt idx="497">
                  <c:v>6.8724999999999996</c:v>
                </c:pt>
                <c:pt idx="498">
                  <c:v>6.82775</c:v>
                </c:pt>
                <c:pt idx="499">
                  <c:v>6.7225699999999993</c:v>
                </c:pt>
                <c:pt idx="500">
                  <c:v>6.5128899999999996</c:v>
                </c:pt>
                <c:pt idx="501">
                  <c:v>6.3607800000000001</c:v>
                </c:pt>
                <c:pt idx="502">
                  <c:v>6.4611300000000007</c:v>
                </c:pt>
                <c:pt idx="503">
                  <c:v>6.4959400000000009</c:v>
                </c:pt>
                <c:pt idx="504">
                  <c:v>6.4279600000000006</c:v>
                </c:pt>
                <c:pt idx="505">
                  <c:v>6.4569100000000006</c:v>
                </c:pt>
                <c:pt idx="506">
                  <c:v>6.5068100000000006</c:v>
                </c:pt>
                <c:pt idx="507">
                  <c:v>6.5423400000000003</c:v>
                </c:pt>
                <c:pt idx="508">
                  <c:v>6.6322200000000002</c:v>
                </c:pt>
                <c:pt idx="509">
                  <c:v>7.01715</c:v>
                </c:pt>
                <c:pt idx="510">
                  <c:v>7.1738</c:v>
                </c:pt>
                <c:pt idx="511">
                  <c:v>7.2924800000000003</c:v>
                </c:pt>
                <c:pt idx="512">
                  <c:v>7.6903599999999992</c:v>
                </c:pt>
                <c:pt idx="513">
                  <c:v>7.88246</c:v>
                </c:pt>
                <c:pt idx="514">
                  <c:v>7.93058</c:v>
                </c:pt>
                <c:pt idx="515">
                  <c:v>8.0064700000000002</c:v>
                </c:pt>
                <c:pt idx="516">
                  <c:v>7.91106</c:v>
                </c:pt>
                <c:pt idx="517">
                  <c:v>7.8783900000000004</c:v>
                </c:pt>
                <c:pt idx="518">
                  <c:v>7.8783900000000004</c:v>
                </c:pt>
                <c:pt idx="519">
                  <c:v>7.8783900000000004</c:v>
                </c:pt>
                <c:pt idx="520">
                  <c:v>7.8815499999999998</c:v>
                </c:pt>
                <c:pt idx="521">
                  <c:v>7.9780999999999995</c:v>
                </c:pt>
                <c:pt idx="522">
                  <c:v>7.9651999999999994</c:v>
                </c:pt>
                <c:pt idx="523">
                  <c:v>7.9651999999999994</c:v>
                </c:pt>
                <c:pt idx="524">
                  <c:v>8.1129800000000003</c:v>
                </c:pt>
                <c:pt idx="525">
                  <c:v>8.1650500000000008</c:v>
                </c:pt>
                <c:pt idx="526">
                  <c:v>8.2874400000000001</c:v>
                </c:pt>
                <c:pt idx="527">
                  <c:v>8.3091299999999997</c:v>
                </c:pt>
                <c:pt idx="528">
                  <c:v>8.7215100000000003</c:v>
                </c:pt>
                <c:pt idx="529">
                  <c:v>8.2923600000000004</c:v>
                </c:pt>
                <c:pt idx="530">
                  <c:v>8.4102599999999992</c:v>
                </c:pt>
                <c:pt idx="531">
                  <c:v>9.5308100000000007</c:v>
                </c:pt>
                <c:pt idx="532">
                  <c:v>10.56912</c:v>
                </c:pt>
                <c:pt idx="533">
                  <c:v>11.50675</c:v>
                </c:pt>
                <c:pt idx="534">
                  <c:v>11.25099</c:v>
                </c:pt>
                <c:pt idx="535">
                  <c:v>10.34459</c:v>
                </c:pt>
                <c:pt idx="536">
                  <c:v>10.241790000000002</c:v>
                </c:pt>
                <c:pt idx="537">
                  <c:v>9.9356399999999994</c:v>
                </c:pt>
                <c:pt idx="538">
                  <c:v>10.824010000000001</c:v>
                </c:pt>
                <c:pt idx="539">
                  <c:v>11.1844</c:v>
                </c:pt>
                <c:pt idx="540">
                  <c:v>10.65682</c:v>
                </c:pt>
                <c:pt idx="541">
                  <c:v>9.6880799999999994</c:v>
                </c:pt>
                <c:pt idx="542">
                  <c:v>9.5426900000000003</c:v>
                </c:pt>
                <c:pt idx="543">
                  <c:v>9.2182300000000001</c:v>
                </c:pt>
                <c:pt idx="544">
                  <c:v>9.1287300000000009</c:v>
                </c:pt>
                <c:pt idx="545">
                  <c:v>8.9342399999999991</c:v>
                </c:pt>
                <c:pt idx="546">
                  <c:v>8.9900500000000001</c:v>
                </c:pt>
                <c:pt idx="547">
                  <c:v>8.881079999999999</c:v>
                </c:pt>
                <c:pt idx="548">
                  <c:v>8.9018700000000006</c:v>
                </c:pt>
                <c:pt idx="549">
                  <c:v>8.8059200000000004</c:v>
                </c:pt>
                <c:pt idx="550">
                  <c:v>8.6479600000000012</c:v>
                </c:pt>
                <c:pt idx="551">
                  <c:v>8.6408299999999993</c:v>
                </c:pt>
                <c:pt idx="552">
                  <c:v>9.3833000000000002</c:v>
                </c:pt>
                <c:pt idx="553">
                  <c:v>10.10825</c:v>
                </c:pt>
                <c:pt idx="554">
                  <c:v>9.3788099999999996</c:v>
                </c:pt>
                <c:pt idx="555">
                  <c:v>9.0054300000000005</c:v>
                </c:pt>
                <c:pt idx="556">
                  <c:v>9.9151100000000003</c:v>
                </c:pt>
                <c:pt idx="557">
                  <c:v>10.27829</c:v>
                </c:pt>
                <c:pt idx="558">
                  <c:v>10.878160000000001</c:v>
                </c:pt>
                <c:pt idx="559">
                  <c:v>11.616810000000001</c:v>
                </c:pt>
                <c:pt idx="560">
                  <c:v>14.51301</c:v>
                </c:pt>
                <c:pt idx="561">
                  <c:v>30.255279999999999</c:v>
                </c:pt>
                <c:pt idx="562">
                  <c:v>24.267710000000001</c:v>
                </c:pt>
                <c:pt idx="563">
                  <c:v>33.253799999999998</c:v>
                </c:pt>
                <c:pt idx="564">
                  <c:v>36.120359999999998</c:v>
                </c:pt>
                <c:pt idx="565">
                  <c:v>42.483710000000002</c:v>
                </c:pt>
                <c:pt idx="566">
                  <c:v>43.386949999999999</c:v>
                </c:pt>
                <c:pt idx="567">
                  <c:v>51.81888</c:v>
                </c:pt>
                <c:pt idx="568">
                  <c:v>51.672420000000002</c:v>
                </c:pt>
                <c:pt idx="569">
                  <c:v>46.179589999999997</c:v>
                </c:pt>
                <c:pt idx="570">
                  <c:v>38.139920000000004</c:v>
                </c:pt>
                <c:pt idx="571">
                  <c:v>40.59131</c:v>
                </c:pt>
                <c:pt idx="572">
                  <c:v>38.918039999999998</c:v>
                </c:pt>
                <c:pt idx="573">
                  <c:v>37.852959999999996</c:v>
                </c:pt>
                <c:pt idx="574">
                  <c:v>37.31662</c:v>
                </c:pt>
                <c:pt idx="575">
                  <c:v>29.481719999999999</c:v>
                </c:pt>
                <c:pt idx="576">
                  <c:v>30.956</c:v>
                </c:pt>
                <c:pt idx="577">
                  <c:v>31.671849999999999</c:v>
                </c:pt>
                <c:pt idx="578">
                  <c:v>32.176140000000004</c:v>
                </c:pt>
                <c:pt idx="579">
                  <c:v>32.472189999999998</c:v>
                </c:pt>
                <c:pt idx="580">
                  <c:v>32.718989999999998</c:v>
                </c:pt>
                <c:pt idx="581">
                  <c:v>33.0212</c:v>
                </c:pt>
                <c:pt idx="582">
                  <c:v>31.170859999999998</c:v>
                </c:pt>
                <c:pt idx="583">
                  <c:v>29.674850000000003</c:v>
                </c:pt>
                <c:pt idx="584">
                  <c:v>25.553699999999999</c:v>
                </c:pt>
                <c:pt idx="585">
                  <c:v>27.36965</c:v>
                </c:pt>
                <c:pt idx="586">
                  <c:v>27.616190000000003</c:v>
                </c:pt>
                <c:pt idx="587">
                  <c:v>27.585050000000003</c:v>
                </c:pt>
                <c:pt idx="588">
                  <c:v>27.528400000000001</c:v>
                </c:pt>
                <c:pt idx="589">
                  <c:v>27.894200000000001</c:v>
                </c:pt>
                <c:pt idx="590">
                  <c:v>28.899090000000001</c:v>
                </c:pt>
                <c:pt idx="591">
                  <c:v>29.217600000000001</c:v>
                </c:pt>
                <c:pt idx="592">
                  <c:v>28.799870000000002</c:v>
                </c:pt>
                <c:pt idx="593">
                  <c:v>29.476979999999998</c:v>
                </c:pt>
                <c:pt idx="594">
                  <c:v>30.249479999999998</c:v>
                </c:pt>
                <c:pt idx="595">
                  <c:v>31.454930000000001</c:v>
                </c:pt>
                <c:pt idx="596">
                  <c:v>31.58315</c:v>
                </c:pt>
                <c:pt idx="597">
                  <c:v>31.58315</c:v>
                </c:pt>
                <c:pt idx="598">
                  <c:v>31.58315</c:v>
                </c:pt>
                <c:pt idx="599">
                  <c:v>32.612589999999997</c:v>
                </c:pt>
                <c:pt idx="600">
                  <c:v>33.384499999999996</c:v>
                </c:pt>
                <c:pt idx="601">
                  <c:v>33.214709999999997</c:v>
                </c:pt>
                <c:pt idx="602">
                  <c:v>33.587939999999996</c:v>
                </c:pt>
                <c:pt idx="603">
                  <c:v>33.849209999999999</c:v>
                </c:pt>
                <c:pt idx="604">
                  <c:v>34.756030000000003</c:v>
                </c:pt>
                <c:pt idx="605">
                  <c:v>35.002690000000001</c:v>
                </c:pt>
                <c:pt idx="606">
                  <c:v>34.577919999999999</c:v>
                </c:pt>
                <c:pt idx="607">
                  <c:v>34.880040000000001</c:v>
                </c:pt>
                <c:pt idx="608">
                  <c:v>34.880040000000001</c:v>
                </c:pt>
                <c:pt idx="609">
                  <c:v>34.13597</c:v>
                </c:pt>
                <c:pt idx="610">
                  <c:v>33.584710000000001</c:v>
                </c:pt>
                <c:pt idx="611">
                  <c:v>32.824550000000002</c:v>
                </c:pt>
                <c:pt idx="612">
                  <c:v>32.887700000000002</c:v>
                </c:pt>
                <c:pt idx="613">
                  <c:v>32.975659999999998</c:v>
                </c:pt>
                <c:pt idx="614">
                  <c:v>32.614519999999999</c:v>
                </c:pt>
                <c:pt idx="615">
                  <c:v>31.435569999999998</c:v>
                </c:pt>
                <c:pt idx="616">
                  <c:v>31.566170000000003</c:v>
                </c:pt>
                <c:pt idx="617">
                  <c:v>31.636869999999998</c:v>
                </c:pt>
                <c:pt idx="618">
                  <c:v>31.572649999999999</c:v>
                </c:pt>
                <c:pt idx="619">
                  <c:v>30.710030000000003</c:v>
                </c:pt>
                <c:pt idx="620">
                  <c:v>28.180320000000002</c:v>
                </c:pt>
                <c:pt idx="621">
                  <c:v>28.874969999999998</c:v>
                </c:pt>
                <c:pt idx="622">
                  <c:v>28.777699999999999</c:v>
                </c:pt>
                <c:pt idx="623">
                  <c:v>29.202579999999998</c:v>
                </c:pt>
                <c:pt idx="624">
                  <c:v>29.886239999999997</c:v>
                </c:pt>
                <c:pt idx="625">
                  <c:v>29.93563</c:v>
                </c:pt>
                <c:pt idx="626">
                  <c:v>30.01906</c:v>
                </c:pt>
                <c:pt idx="627">
                  <c:v>29.987359999999999</c:v>
                </c:pt>
                <c:pt idx="628">
                  <c:v>30.003209999999999</c:v>
                </c:pt>
                <c:pt idx="629">
                  <c:v>30.339029999999998</c:v>
                </c:pt>
                <c:pt idx="630">
                  <c:v>30.354150000000001</c:v>
                </c:pt>
                <c:pt idx="631">
                  <c:v>30.354150000000001</c:v>
                </c:pt>
                <c:pt idx="632">
                  <c:v>30.354150000000001</c:v>
                </c:pt>
                <c:pt idx="633">
                  <c:v>30.190380000000001</c:v>
                </c:pt>
                <c:pt idx="634">
                  <c:v>30.530540000000002</c:v>
                </c:pt>
                <c:pt idx="635">
                  <c:v>31.180019999999999</c:v>
                </c:pt>
                <c:pt idx="636">
                  <c:v>31.498350000000002</c:v>
                </c:pt>
                <c:pt idx="637">
                  <c:v>31.639150000000001</c:v>
                </c:pt>
                <c:pt idx="638">
                  <c:v>32.707630000000002</c:v>
                </c:pt>
                <c:pt idx="639">
                  <c:v>33.208040000000004</c:v>
                </c:pt>
                <c:pt idx="640">
                  <c:v>33.796010000000003</c:v>
                </c:pt>
                <c:pt idx="641">
                  <c:v>34.635559999999998</c:v>
                </c:pt>
                <c:pt idx="642">
                  <c:v>35.219569999999997</c:v>
                </c:pt>
                <c:pt idx="643">
                  <c:v>35.194899999999997</c:v>
                </c:pt>
                <c:pt idx="644">
                  <c:v>35.712649999999996</c:v>
                </c:pt>
                <c:pt idx="645">
                  <c:v>36.395890000000001</c:v>
                </c:pt>
                <c:pt idx="646">
                  <c:v>38.865830000000003</c:v>
                </c:pt>
                <c:pt idx="647">
                  <c:v>39.8202</c:v>
                </c:pt>
                <c:pt idx="648">
                  <c:v>40.89667</c:v>
                </c:pt>
                <c:pt idx="649">
                  <c:v>42.408860000000004</c:v>
                </c:pt>
                <c:pt idx="650">
                  <c:v>43.369499999999995</c:v>
                </c:pt>
                <c:pt idx="651">
                  <c:v>44.851869999999998</c:v>
                </c:pt>
                <c:pt idx="652">
                  <c:v>43.812889999999996</c:v>
                </c:pt>
                <c:pt idx="653">
                  <c:v>44.365810000000003</c:v>
                </c:pt>
                <c:pt idx="654">
                  <c:v>45.299769999999995</c:v>
                </c:pt>
                <c:pt idx="655">
                  <c:v>46.26446</c:v>
                </c:pt>
                <c:pt idx="656">
                  <c:v>48.476189999999995</c:v>
                </c:pt>
                <c:pt idx="657">
                  <c:v>51.01867</c:v>
                </c:pt>
                <c:pt idx="658">
                  <c:v>53.511470000000003</c:v>
                </c:pt>
                <c:pt idx="659">
                  <c:v>53.724700000000006</c:v>
                </c:pt>
                <c:pt idx="660">
                  <c:v>62.862760000000002</c:v>
                </c:pt>
                <c:pt idx="661">
                  <c:v>58.318810000000006</c:v>
                </c:pt>
                <c:pt idx="662">
                  <c:v>55.999129999999994</c:v>
                </c:pt>
                <c:pt idx="663">
                  <c:v>53.598030000000001</c:v>
                </c:pt>
                <c:pt idx="664">
                  <c:v>59.0792</c:v>
                </c:pt>
                <c:pt idx="665">
                  <c:v>58.320039999999999</c:v>
                </c:pt>
                <c:pt idx="666">
                  <c:v>57.22204</c:v>
                </c:pt>
                <c:pt idx="667">
                  <c:v>54.063389999999998</c:v>
                </c:pt>
                <c:pt idx="668">
                  <c:v>53.067309999999999</c:v>
                </c:pt>
                <c:pt idx="669">
                  <c:v>54.4253</c:v>
                </c:pt>
                <c:pt idx="670">
                  <c:v>54.589320000000001</c:v>
                </c:pt>
                <c:pt idx="671">
                  <c:v>54.355269999999997</c:v>
                </c:pt>
                <c:pt idx="672">
                  <c:v>54.411700000000003</c:v>
                </c:pt>
                <c:pt idx="673">
                  <c:v>54.655630000000002</c:v>
                </c:pt>
                <c:pt idx="674">
                  <c:v>55.607500000000002</c:v>
                </c:pt>
                <c:pt idx="675">
                  <c:v>57.159440000000004</c:v>
                </c:pt>
                <c:pt idx="676">
                  <c:v>57.898220000000002</c:v>
                </c:pt>
                <c:pt idx="677">
                  <c:v>58.410130000000002</c:v>
                </c:pt>
                <c:pt idx="678">
                  <c:v>58.316279999999999</c:v>
                </c:pt>
                <c:pt idx="679">
                  <c:v>56.810540000000003</c:v>
                </c:pt>
                <c:pt idx="680">
                  <c:v>54.156639999999996</c:v>
                </c:pt>
                <c:pt idx="681">
                  <c:v>51.794830000000005</c:v>
                </c:pt>
                <c:pt idx="682">
                  <c:v>39.142249999999997</c:v>
                </c:pt>
                <c:pt idx="683">
                  <c:v>40.957700000000003</c:v>
                </c:pt>
                <c:pt idx="684">
                  <c:v>29.335799999999999</c:v>
                </c:pt>
                <c:pt idx="685">
                  <c:v>29.536069999999999</c:v>
                </c:pt>
                <c:pt idx="686">
                  <c:v>28.707220000000003</c:v>
                </c:pt>
                <c:pt idx="687">
                  <c:v>29.507190000000001</c:v>
                </c:pt>
                <c:pt idx="688">
                  <c:v>30.627489999999998</c:v>
                </c:pt>
                <c:pt idx="689">
                  <c:v>30.410520000000002</c:v>
                </c:pt>
                <c:pt idx="690">
                  <c:v>30.952030000000001</c:v>
                </c:pt>
                <c:pt idx="691">
                  <c:v>29.343789999999998</c:v>
                </c:pt>
                <c:pt idx="692">
                  <c:v>31.73978</c:v>
                </c:pt>
                <c:pt idx="693">
                  <c:v>31.73978</c:v>
                </c:pt>
                <c:pt idx="694">
                  <c:v>31.99634</c:v>
                </c:pt>
                <c:pt idx="695">
                  <c:v>32.839599999999997</c:v>
                </c:pt>
                <c:pt idx="696">
                  <c:v>34.427080000000004</c:v>
                </c:pt>
                <c:pt idx="697">
                  <c:v>32.904130000000002</c:v>
                </c:pt>
                <c:pt idx="698">
                  <c:v>32.699190000000002</c:v>
                </c:pt>
                <c:pt idx="699">
                  <c:v>32.451810000000002</c:v>
                </c:pt>
                <c:pt idx="700">
                  <c:v>34.293750000000003</c:v>
                </c:pt>
                <c:pt idx="701">
                  <c:v>32.019460000000002</c:v>
                </c:pt>
                <c:pt idx="702">
                  <c:v>32.211599999999997</c:v>
                </c:pt>
                <c:pt idx="703">
                  <c:v>32.239220000000003</c:v>
                </c:pt>
                <c:pt idx="704">
                  <c:v>31.91086</c:v>
                </c:pt>
                <c:pt idx="705">
                  <c:v>32.337689999999995</c:v>
                </c:pt>
                <c:pt idx="706">
                  <c:v>30.682570000000002</c:v>
                </c:pt>
                <c:pt idx="707">
                  <c:v>31.26632</c:v>
                </c:pt>
                <c:pt idx="708">
                  <c:v>31.26632</c:v>
                </c:pt>
                <c:pt idx="709">
                  <c:v>31.03303</c:v>
                </c:pt>
                <c:pt idx="710">
                  <c:v>33.098570000000002</c:v>
                </c:pt>
                <c:pt idx="711">
                  <c:v>33.528620000000004</c:v>
                </c:pt>
                <c:pt idx="712">
                  <c:v>32.385979999999996</c:v>
                </c:pt>
                <c:pt idx="713">
                  <c:v>33.258240000000001</c:v>
                </c:pt>
                <c:pt idx="714">
                  <c:v>34.101300000000002</c:v>
                </c:pt>
                <c:pt idx="715">
                  <c:v>33.275729999999996</c:v>
                </c:pt>
                <c:pt idx="716">
                  <c:v>32.684089999999998</c:v>
                </c:pt>
                <c:pt idx="717">
                  <c:v>32.624279999999999</c:v>
                </c:pt>
                <c:pt idx="718">
                  <c:v>32.881219999999999</c:v>
                </c:pt>
                <c:pt idx="719">
                  <c:v>35.628219999999999</c:v>
                </c:pt>
                <c:pt idx="720">
                  <c:v>35.306519999999999</c:v>
                </c:pt>
                <c:pt idx="721">
                  <c:v>34.09937</c:v>
                </c:pt>
                <c:pt idx="722">
                  <c:v>35.365400000000001</c:v>
                </c:pt>
                <c:pt idx="723">
                  <c:v>33.586770000000001</c:v>
                </c:pt>
                <c:pt idx="724">
                  <c:v>36.779820000000001</c:v>
                </c:pt>
                <c:pt idx="725">
                  <c:v>36.726869999999998</c:v>
                </c:pt>
                <c:pt idx="726">
                  <c:v>36.814689999999999</c:v>
                </c:pt>
                <c:pt idx="727">
                  <c:v>37.70617</c:v>
                </c:pt>
                <c:pt idx="728">
                  <c:v>37.243519999999997</c:v>
                </c:pt>
                <c:pt idx="729">
                  <c:v>35.727420000000002</c:v>
                </c:pt>
                <c:pt idx="730">
                  <c:v>35.800719999999998</c:v>
                </c:pt>
                <c:pt idx="731">
                  <c:v>35.594070000000002</c:v>
                </c:pt>
                <c:pt idx="732">
                  <c:v>35.418500000000002</c:v>
                </c:pt>
                <c:pt idx="733">
                  <c:v>37.243789999999997</c:v>
                </c:pt>
                <c:pt idx="734">
                  <c:v>36.728380000000001</c:v>
                </c:pt>
                <c:pt idx="735">
                  <c:v>38.35615</c:v>
                </c:pt>
                <c:pt idx="736">
                  <c:v>36.540520000000001</c:v>
                </c:pt>
                <c:pt idx="737">
                  <c:v>35.720939999999999</c:v>
                </c:pt>
                <c:pt idx="738">
                  <c:v>36.988239999999998</c:v>
                </c:pt>
                <c:pt idx="739">
                  <c:v>38.72936</c:v>
                </c:pt>
                <c:pt idx="740">
                  <c:v>39.388570000000001</c:v>
                </c:pt>
                <c:pt idx="741">
                  <c:v>39.146190000000004</c:v>
                </c:pt>
                <c:pt idx="742">
                  <c:v>40.028449999999999</c:v>
                </c:pt>
                <c:pt idx="743">
                  <c:v>39.052300000000002</c:v>
                </c:pt>
                <c:pt idx="744">
                  <c:v>38.094369999999998</c:v>
                </c:pt>
                <c:pt idx="745">
                  <c:v>37.094999999999999</c:v>
                </c:pt>
                <c:pt idx="746">
                  <c:v>35.651229999999998</c:v>
                </c:pt>
                <c:pt idx="747">
                  <c:v>34.20478</c:v>
                </c:pt>
                <c:pt idx="748">
                  <c:v>33.281869999999998</c:v>
                </c:pt>
                <c:pt idx="749">
                  <c:v>32.010189999999994</c:v>
                </c:pt>
                <c:pt idx="750">
                  <c:v>32.405940000000001</c:v>
                </c:pt>
                <c:pt idx="751">
                  <c:v>32.140709999999999</c:v>
                </c:pt>
                <c:pt idx="752">
                  <c:v>33.837710000000001</c:v>
                </c:pt>
                <c:pt idx="753">
                  <c:v>32.810459999999999</c:v>
                </c:pt>
                <c:pt idx="754">
                  <c:v>32.206310000000002</c:v>
                </c:pt>
                <c:pt idx="755">
                  <c:v>33.921680000000002</c:v>
                </c:pt>
                <c:pt idx="756">
                  <c:v>32.255830000000003</c:v>
                </c:pt>
                <c:pt idx="757">
                  <c:v>32.255830000000003</c:v>
                </c:pt>
                <c:pt idx="758">
                  <c:v>33.298400000000001</c:v>
                </c:pt>
                <c:pt idx="759">
                  <c:v>33.63711</c:v>
                </c:pt>
                <c:pt idx="760">
                  <c:v>32.547379999999997</c:v>
                </c:pt>
                <c:pt idx="761">
                  <c:v>34.94567</c:v>
                </c:pt>
                <c:pt idx="762">
                  <c:v>32.939810000000001</c:v>
                </c:pt>
                <c:pt idx="763">
                  <c:v>34.420400000000001</c:v>
                </c:pt>
                <c:pt idx="764">
                  <c:v>34.023260000000001</c:v>
                </c:pt>
                <c:pt idx="765">
                  <c:v>35.034689999999998</c:v>
                </c:pt>
                <c:pt idx="766">
                  <c:v>33.770420000000001</c:v>
                </c:pt>
                <c:pt idx="767">
                  <c:v>35.556039999999996</c:v>
                </c:pt>
                <c:pt idx="768">
                  <c:v>33.181129999999996</c:v>
                </c:pt>
                <c:pt idx="769">
                  <c:v>35.220019999999998</c:v>
                </c:pt>
                <c:pt idx="770">
                  <c:v>32.54318</c:v>
                </c:pt>
                <c:pt idx="771">
                  <c:v>34.905479999999997</c:v>
                </c:pt>
                <c:pt idx="772">
                  <c:v>36.534689999999998</c:v>
                </c:pt>
                <c:pt idx="773">
                  <c:v>35.204000000000001</c:v>
                </c:pt>
                <c:pt idx="774">
                  <c:v>35.545970000000004</c:v>
                </c:pt>
                <c:pt idx="775">
                  <c:v>35.707810000000002</c:v>
                </c:pt>
                <c:pt idx="776">
                  <c:v>35.486809999999998</c:v>
                </c:pt>
                <c:pt idx="777">
                  <c:v>34.897890000000004</c:v>
                </c:pt>
                <c:pt idx="778">
                  <c:v>34.897890000000004</c:v>
                </c:pt>
                <c:pt idx="779">
                  <c:v>34.897890000000004</c:v>
                </c:pt>
                <c:pt idx="780">
                  <c:v>36.160629999999998</c:v>
                </c:pt>
                <c:pt idx="781">
                  <c:v>34.928539999999998</c:v>
                </c:pt>
                <c:pt idx="782">
                  <c:v>37.003320000000002</c:v>
                </c:pt>
                <c:pt idx="783">
                  <c:v>37.003320000000002</c:v>
                </c:pt>
                <c:pt idx="784">
                  <c:v>34.679299999999998</c:v>
                </c:pt>
                <c:pt idx="785">
                  <c:v>37.16883</c:v>
                </c:pt>
                <c:pt idx="786">
                  <c:v>37.790909999999997</c:v>
                </c:pt>
                <c:pt idx="787">
                  <c:v>37.930979999999998</c:v>
                </c:pt>
                <c:pt idx="788">
                  <c:v>36.373290000000004</c:v>
                </c:pt>
                <c:pt idx="789">
                  <c:v>37.265990000000002</c:v>
                </c:pt>
                <c:pt idx="790">
                  <c:v>37.249839999999999</c:v>
                </c:pt>
                <c:pt idx="791">
                  <c:v>38.38841</c:v>
                </c:pt>
                <c:pt idx="792">
                  <c:v>35.809600000000003</c:v>
                </c:pt>
                <c:pt idx="793">
                  <c:v>36.437049999999999</c:v>
                </c:pt>
                <c:pt idx="794">
                  <c:v>37.713650000000001</c:v>
                </c:pt>
                <c:pt idx="795">
                  <c:v>37.84346</c:v>
                </c:pt>
                <c:pt idx="796">
                  <c:v>37.51435</c:v>
                </c:pt>
                <c:pt idx="797">
                  <c:v>37.740290000000002</c:v>
                </c:pt>
                <c:pt idx="798">
                  <c:v>37.233989999999999</c:v>
                </c:pt>
                <c:pt idx="799">
                  <c:v>35.07779</c:v>
                </c:pt>
                <c:pt idx="800">
                  <c:v>35.387840000000004</c:v>
                </c:pt>
                <c:pt idx="801">
                  <c:v>37.156950000000002</c:v>
                </c:pt>
                <c:pt idx="802">
                  <c:v>35.159680000000002</c:v>
                </c:pt>
                <c:pt idx="803">
                  <c:v>36.719740000000002</c:v>
                </c:pt>
                <c:pt idx="804">
                  <c:v>37.491819999999997</c:v>
                </c:pt>
                <c:pt idx="805">
                  <c:v>36.85989</c:v>
                </c:pt>
                <c:pt idx="806">
                  <c:v>37.591950000000004</c:v>
                </c:pt>
                <c:pt idx="807">
                  <c:v>38.160359999999997</c:v>
                </c:pt>
                <c:pt idx="808">
                  <c:v>35.058430000000001</c:v>
                </c:pt>
                <c:pt idx="809">
                  <c:v>37.640900000000002</c:v>
                </c:pt>
                <c:pt idx="810">
                  <c:v>38.38908</c:v>
                </c:pt>
                <c:pt idx="811">
                  <c:v>38.890160000000002</c:v>
                </c:pt>
                <c:pt idx="812">
                  <c:v>39.504550000000002</c:v>
                </c:pt>
                <c:pt idx="813">
                  <c:v>38.610399999999998</c:v>
                </c:pt>
                <c:pt idx="814">
                  <c:v>40.553280000000001</c:v>
                </c:pt>
                <c:pt idx="815">
                  <c:v>40.842950000000002</c:v>
                </c:pt>
                <c:pt idx="816">
                  <c:v>40.525959999999998</c:v>
                </c:pt>
                <c:pt idx="817">
                  <c:v>40.292249999999996</c:v>
                </c:pt>
                <c:pt idx="818">
                  <c:v>40.383240000000001</c:v>
                </c:pt>
                <c:pt idx="819">
                  <c:v>41.555110000000006</c:v>
                </c:pt>
                <c:pt idx="820">
                  <c:v>39.023319999999998</c:v>
                </c:pt>
                <c:pt idx="821">
                  <c:v>41.377120000000005</c:v>
                </c:pt>
                <c:pt idx="822">
                  <c:v>41.040110000000006</c:v>
                </c:pt>
                <c:pt idx="823">
                  <c:v>39.593850000000003</c:v>
                </c:pt>
                <c:pt idx="824">
                  <c:v>40.752829999999996</c:v>
                </c:pt>
                <c:pt idx="825">
                  <c:v>42.465299999999999</c:v>
                </c:pt>
                <c:pt idx="826">
                  <c:v>42.14884</c:v>
                </c:pt>
                <c:pt idx="827">
                  <c:v>41.408230000000003</c:v>
                </c:pt>
                <c:pt idx="828">
                  <c:v>41.728580000000001</c:v>
                </c:pt>
                <c:pt idx="829">
                  <c:v>41.681999999999995</c:v>
                </c:pt>
                <c:pt idx="830">
                  <c:v>41.331049999999998</c:v>
                </c:pt>
                <c:pt idx="831">
                  <c:v>42.641589999999994</c:v>
                </c:pt>
                <c:pt idx="832">
                  <c:v>41.89452</c:v>
                </c:pt>
                <c:pt idx="833">
                  <c:v>43.499970000000005</c:v>
                </c:pt>
                <c:pt idx="834">
                  <c:v>43.040150000000004</c:v>
                </c:pt>
                <c:pt idx="835">
                  <c:v>43.718909999999994</c:v>
                </c:pt>
                <c:pt idx="836">
                  <c:v>41.825020000000002</c:v>
                </c:pt>
                <c:pt idx="837">
                  <c:v>44.2089</c:v>
                </c:pt>
                <c:pt idx="838">
                  <c:v>44.050429999999999</c:v>
                </c:pt>
                <c:pt idx="839">
                  <c:v>40.228609999999996</c:v>
                </c:pt>
                <c:pt idx="840">
                  <c:v>43.921049999999994</c:v>
                </c:pt>
                <c:pt idx="841">
                  <c:v>42.746180000000003</c:v>
                </c:pt>
                <c:pt idx="842">
                  <c:v>42.307319999999997</c:v>
                </c:pt>
                <c:pt idx="843">
                  <c:v>42.948819999999998</c:v>
                </c:pt>
                <c:pt idx="844">
                  <c:v>43.802399999999999</c:v>
                </c:pt>
                <c:pt idx="845">
                  <c:v>40.967340000000007</c:v>
                </c:pt>
                <c:pt idx="846">
                  <c:v>43.477820000000001</c:v>
                </c:pt>
                <c:pt idx="847">
                  <c:v>42.850069999999995</c:v>
                </c:pt>
                <c:pt idx="848">
                  <c:v>42.038280000000007</c:v>
                </c:pt>
                <c:pt idx="849">
                  <c:v>44.073129999999999</c:v>
                </c:pt>
                <c:pt idx="850">
                  <c:v>40.392289999999996</c:v>
                </c:pt>
                <c:pt idx="851">
                  <c:v>43.383329999999994</c:v>
                </c:pt>
                <c:pt idx="852">
                  <c:v>43.383329999999994</c:v>
                </c:pt>
                <c:pt idx="853">
                  <c:v>40.820630000000001</c:v>
                </c:pt>
                <c:pt idx="854">
                  <c:v>42.3626</c:v>
                </c:pt>
                <c:pt idx="855">
                  <c:v>40.077600000000004</c:v>
                </c:pt>
                <c:pt idx="856">
                  <c:v>44.648130000000002</c:v>
                </c:pt>
                <c:pt idx="857">
                  <c:v>43.786120000000004</c:v>
                </c:pt>
                <c:pt idx="858">
                  <c:v>43.245339999999999</c:v>
                </c:pt>
                <c:pt idx="859">
                  <c:v>44.072809999999997</c:v>
                </c:pt>
                <c:pt idx="860">
                  <c:v>43.602679999999999</c:v>
                </c:pt>
                <c:pt idx="861">
                  <c:v>44.290060000000004</c:v>
                </c:pt>
                <c:pt idx="862">
                  <c:v>44.475090000000002</c:v>
                </c:pt>
                <c:pt idx="863">
                  <c:v>44.088380000000001</c:v>
                </c:pt>
                <c:pt idx="864">
                  <c:v>44.782269999999997</c:v>
                </c:pt>
                <c:pt idx="865">
                  <c:v>45.104170000000003</c:v>
                </c:pt>
                <c:pt idx="866">
                  <c:v>46.003770000000003</c:v>
                </c:pt>
                <c:pt idx="867">
                  <c:v>45.510950000000001</c:v>
                </c:pt>
                <c:pt idx="868">
                  <c:v>44.218490000000003</c:v>
                </c:pt>
                <c:pt idx="869">
                  <c:v>43.675829999999998</c:v>
                </c:pt>
                <c:pt idx="870">
                  <c:v>46.13841</c:v>
                </c:pt>
                <c:pt idx="871">
                  <c:v>45.573839999999997</c:v>
                </c:pt>
                <c:pt idx="872">
                  <c:v>44.68683</c:v>
                </c:pt>
                <c:pt idx="873">
                  <c:v>44.998410000000007</c:v>
                </c:pt>
                <c:pt idx="874">
                  <c:v>45.491629999999994</c:v>
                </c:pt>
                <c:pt idx="875">
                  <c:v>46.754510000000003</c:v>
                </c:pt>
                <c:pt idx="876">
                  <c:v>46.730359999999997</c:v>
                </c:pt>
                <c:pt idx="877">
                  <c:v>46.413199999999996</c:v>
                </c:pt>
                <c:pt idx="878">
                  <c:v>45.222120000000004</c:v>
                </c:pt>
                <c:pt idx="879">
                  <c:v>44.693100000000001</c:v>
                </c:pt>
                <c:pt idx="880">
                  <c:v>42.396999999999998</c:v>
                </c:pt>
                <c:pt idx="881">
                  <c:v>42.357700000000001</c:v>
                </c:pt>
                <c:pt idx="882">
                  <c:v>43.322449999999996</c:v>
                </c:pt>
                <c:pt idx="883">
                  <c:v>41.245550000000001</c:v>
                </c:pt>
                <c:pt idx="884">
                  <c:v>42.11927</c:v>
                </c:pt>
                <c:pt idx="885">
                  <c:v>42.437439999999995</c:v>
                </c:pt>
                <c:pt idx="886">
                  <c:v>42.827520000000007</c:v>
                </c:pt>
                <c:pt idx="887">
                  <c:v>42.241890000000005</c:v>
                </c:pt>
                <c:pt idx="888">
                  <c:v>42.127079999999999</c:v>
                </c:pt>
                <c:pt idx="889">
                  <c:v>43.572129999999994</c:v>
                </c:pt>
                <c:pt idx="890">
                  <c:v>43.472630000000002</c:v>
                </c:pt>
                <c:pt idx="891">
                  <c:v>44.790579999999999</c:v>
                </c:pt>
                <c:pt idx="892">
                  <c:v>42.759589999999996</c:v>
                </c:pt>
                <c:pt idx="893">
                  <c:v>44.737439999999999</c:v>
                </c:pt>
                <c:pt idx="894">
                  <c:v>44.142920000000004</c:v>
                </c:pt>
                <c:pt idx="895">
                  <c:v>44.239899999999999</c:v>
                </c:pt>
                <c:pt idx="896">
                  <c:v>43.0259</c:v>
                </c:pt>
                <c:pt idx="897">
                  <c:v>43.927600000000005</c:v>
                </c:pt>
                <c:pt idx="898">
                  <c:v>43.134430000000002</c:v>
                </c:pt>
                <c:pt idx="899">
                  <c:v>42.875829999999993</c:v>
                </c:pt>
                <c:pt idx="900">
                  <c:v>44.812209999999993</c:v>
                </c:pt>
                <c:pt idx="901">
                  <c:v>42.675510000000003</c:v>
                </c:pt>
                <c:pt idx="902">
                  <c:v>40.345300000000002</c:v>
                </c:pt>
                <c:pt idx="903">
                  <c:v>38.272469999999998</c:v>
                </c:pt>
                <c:pt idx="904">
                  <c:v>42.540290000000006</c:v>
                </c:pt>
                <c:pt idx="905">
                  <c:v>41.054539999999996</c:v>
                </c:pt>
                <c:pt idx="906">
                  <c:v>37.729340000000001</c:v>
                </c:pt>
                <c:pt idx="907">
                  <c:v>38.448079999999997</c:v>
                </c:pt>
                <c:pt idx="908">
                  <c:v>38.615729999999999</c:v>
                </c:pt>
                <c:pt idx="909">
                  <c:v>38.665869999999998</c:v>
                </c:pt>
                <c:pt idx="910">
                  <c:v>38.70241</c:v>
                </c:pt>
                <c:pt idx="911">
                  <c:v>37.550539999999998</c:v>
                </c:pt>
                <c:pt idx="912">
                  <c:v>39.002139999999997</c:v>
                </c:pt>
                <c:pt idx="913">
                  <c:v>39.01596</c:v>
                </c:pt>
                <c:pt idx="914">
                  <c:v>39.063420000000001</c:v>
                </c:pt>
                <c:pt idx="915">
                  <c:v>38.07826</c:v>
                </c:pt>
                <c:pt idx="916">
                  <c:v>39.859270000000002</c:v>
                </c:pt>
                <c:pt idx="917">
                  <c:v>35.475909999999999</c:v>
                </c:pt>
                <c:pt idx="918">
                  <c:v>38.26914</c:v>
                </c:pt>
                <c:pt idx="919">
                  <c:v>39.225410000000004</c:v>
                </c:pt>
                <c:pt idx="920">
                  <c:v>37.092600000000004</c:v>
                </c:pt>
                <c:pt idx="921">
                  <c:v>33.70402</c:v>
                </c:pt>
                <c:pt idx="922">
                  <c:v>33.924369999999996</c:v>
                </c:pt>
                <c:pt idx="923">
                  <c:v>33.853169999999999</c:v>
                </c:pt>
                <c:pt idx="924">
                  <c:v>33.573349999999998</c:v>
                </c:pt>
                <c:pt idx="925">
                  <c:v>33.747330000000005</c:v>
                </c:pt>
                <c:pt idx="926">
                  <c:v>33.683419999999998</c:v>
                </c:pt>
                <c:pt idx="927">
                  <c:v>35.392949999999999</c:v>
                </c:pt>
                <c:pt idx="928">
                  <c:v>33.952220000000004</c:v>
                </c:pt>
                <c:pt idx="929">
                  <c:v>33.951140000000002</c:v>
                </c:pt>
                <c:pt idx="930">
                  <c:v>34.91554</c:v>
                </c:pt>
                <c:pt idx="931">
                  <c:v>33.662120000000002</c:v>
                </c:pt>
                <c:pt idx="932">
                  <c:v>30.689699999999998</c:v>
                </c:pt>
                <c:pt idx="933">
                  <c:v>31.36861</c:v>
                </c:pt>
                <c:pt idx="934">
                  <c:v>32.295529999999999</c:v>
                </c:pt>
                <c:pt idx="935">
                  <c:v>34.887590000000003</c:v>
                </c:pt>
                <c:pt idx="936">
                  <c:v>35.095189999999995</c:v>
                </c:pt>
                <c:pt idx="937">
                  <c:v>33.867959999999997</c:v>
                </c:pt>
                <c:pt idx="938">
                  <c:v>34.337949999999999</c:v>
                </c:pt>
                <c:pt idx="939">
                  <c:v>35.006010000000003</c:v>
                </c:pt>
                <c:pt idx="940">
                  <c:v>32.394710000000003</c:v>
                </c:pt>
                <c:pt idx="941">
                  <c:v>33.09516</c:v>
                </c:pt>
                <c:pt idx="942">
                  <c:v>30.354110000000002</c:v>
                </c:pt>
                <c:pt idx="943">
                  <c:v>31.932600000000001</c:v>
                </c:pt>
                <c:pt idx="944">
                  <c:v>34.032080000000001</c:v>
                </c:pt>
                <c:pt idx="945">
                  <c:v>32.381450000000001</c:v>
                </c:pt>
                <c:pt idx="946">
                  <c:v>32.450430000000004</c:v>
                </c:pt>
                <c:pt idx="947">
                  <c:v>34.122900000000001</c:v>
                </c:pt>
                <c:pt idx="948">
                  <c:v>33.442140000000002</c:v>
                </c:pt>
                <c:pt idx="949">
                  <c:v>33.264609999999998</c:v>
                </c:pt>
                <c:pt idx="950">
                  <c:v>33.850100000000005</c:v>
                </c:pt>
                <c:pt idx="951">
                  <c:v>34.542189999999998</c:v>
                </c:pt>
                <c:pt idx="952">
                  <c:v>33.707529999999998</c:v>
                </c:pt>
                <c:pt idx="953">
                  <c:v>33.707529999999998</c:v>
                </c:pt>
                <c:pt idx="954">
                  <c:v>34.330239999999996</c:v>
                </c:pt>
                <c:pt idx="955">
                  <c:v>33.173859999999998</c:v>
                </c:pt>
                <c:pt idx="956">
                  <c:v>35.15587</c:v>
                </c:pt>
                <c:pt idx="957">
                  <c:v>34.149160000000002</c:v>
                </c:pt>
                <c:pt idx="958">
                  <c:v>35.589649999999999</c:v>
                </c:pt>
                <c:pt idx="959">
                  <c:v>35.714880000000001</c:v>
                </c:pt>
                <c:pt idx="960">
                  <c:v>35.442590000000003</c:v>
                </c:pt>
                <c:pt idx="961">
                  <c:v>35.635899999999999</c:v>
                </c:pt>
                <c:pt idx="962">
                  <c:v>34.70205</c:v>
                </c:pt>
                <c:pt idx="963">
                  <c:v>35.287220000000005</c:v>
                </c:pt>
                <c:pt idx="964">
                  <c:v>34.371920000000003</c:v>
                </c:pt>
                <c:pt idx="965">
                  <c:v>33.417429999999996</c:v>
                </c:pt>
                <c:pt idx="966">
                  <c:v>34.559740000000005</c:v>
                </c:pt>
                <c:pt idx="967">
                  <c:v>32.248989999999999</c:v>
                </c:pt>
                <c:pt idx="968">
                  <c:v>33.4101</c:v>
                </c:pt>
                <c:pt idx="969">
                  <c:v>33.640740000000001</c:v>
                </c:pt>
                <c:pt idx="970">
                  <c:v>33.634399999999999</c:v>
                </c:pt>
                <c:pt idx="971">
                  <c:v>33.063839999999999</c:v>
                </c:pt>
                <c:pt idx="972">
                  <c:v>34.014609999999998</c:v>
                </c:pt>
                <c:pt idx="973">
                  <c:v>34.015880000000003</c:v>
                </c:pt>
                <c:pt idx="974">
                  <c:v>34.976619999999997</c:v>
                </c:pt>
                <c:pt idx="975">
                  <c:v>34.61712</c:v>
                </c:pt>
                <c:pt idx="976">
                  <c:v>35.991550000000004</c:v>
                </c:pt>
                <c:pt idx="977">
                  <c:v>35.314349999999997</c:v>
                </c:pt>
                <c:pt idx="978">
                  <c:v>35.660710000000002</c:v>
                </c:pt>
                <c:pt idx="979">
                  <c:v>35.838059999999999</c:v>
                </c:pt>
                <c:pt idx="980">
                  <c:v>35.199570000000001</c:v>
                </c:pt>
                <c:pt idx="981">
                  <c:v>38.422469999999997</c:v>
                </c:pt>
                <c:pt idx="982">
                  <c:v>39.000070000000001</c:v>
                </c:pt>
                <c:pt idx="983">
                  <c:v>36.156359999999999</c:v>
                </c:pt>
                <c:pt idx="984">
                  <c:v>37.996369999999999</c:v>
                </c:pt>
                <c:pt idx="985">
                  <c:v>36.748180000000005</c:v>
                </c:pt>
                <c:pt idx="986">
                  <c:v>37.314949999999996</c:v>
                </c:pt>
                <c:pt idx="987">
                  <c:v>38.038939999999997</c:v>
                </c:pt>
                <c:pt idx="988">
                  <c:v>38.107520000000001</c:v>
                </c:pt>
                <c:pt idx="989">
                  <c:v>37.027839999999998</c:v>
                </c:pt>
                <c:pt idx="990">
                  <c:v>38.005670000000002</c:v>
                </c:pt>
                <c:pt idx="991">
                  <c:v>38.73883</c:v>
                </c:pt>
                <c:pt idx="992">
                  <c:v>35.911650000000002</c:v>
                </c:pt>
                <c:pt idx="993">
                  <c:v>39.569859999999998</c:v>
                </c:pt>
                <c:pt idx="994">
                  <c:v>38.17004</c:v>
                </c:pt>
                <c:pt idx="995">
                  <c:v>37.613199999999999</c:v>
                </c:pt>
                <c:pt idx="996">
                  <c:v>37.852600000000002</c:v>
                </c:pt>
                <c:pt idx="997">
                  <c:v>37.790839999999996</c:v>
                </c:pt>
                <c:pt idx="998">
                  <c:v>37.60219</c:v>
                </c:pt>
                <c:pt idx="999">
                  <c:v>36.2988</c:v>
                </c:pt>
                <c:pt idx="1000">
                  <c:v>35.989260000000002</c:v>
                </c:pt>
                <c:pt idx="1001">
                  <c:v>34.91095</c:v>
                </c:pt>
                <c:pt idx="1002">
                  <c:v>35.121380000000002</c:v>
                </c:pt>
                <c:pt idx="1003">
                  <c:v>32.477730000000001</c:v>
                </c:pt>
                <c:pt idx="1004">
                  <c:v>34.987769999999998</c:v>
                </c:pt>
                <c:pt idx="1005">
                  <c:v>33.437350000000002</c:v>
                </c:pt>
                <c:pt idx="1006">
                  <c:v>35.50705</c:v>
                </c:pt>
                <c:pt idx="1007">
                  <c:v>35.86918</c:v>
                </c:pt>
                <c:pt idx="1008">
                  <c:v>36.460390000000004</c:v>
                </c:pt>
                <c:pt idx="1009">
                  <c:v>35.546019999999999</c:v>
                </c:pt>
                <c:pt idx="1010">
                  <c:v>36.937939999999998</c:v>
                </c:pt>
                <c:pt idx="1011">
                  <c:v>33.371760000000002</c:v>
                </c:pt>
                <c:pt idx="1012">
                  <c:v>37.328949999999999</c:v>
                </c:pt>
                <c:pt idx="1013">
                  <c:v>36.641149999999996</c:v>
                </c:pt>
                <c:pt idx="1014">
                  <c:v>37.533479999999997</c:v>
                </c:pt>
                <c:pt idx="1015">
                  <c:v>36.178660000000001</c:v>
                </c:pt>
                <c:pt idx="1016">
                  <c:v>37.344879999999996</c:v>
                </c:pt>
                <c:pt idx="1017">
                  <c:v>36.952979999999997</c:v>
                </c:pt>
                <c:pt idx="1018">
                  <c:v>36.469070000000002</c:v>
                </c:pt>
                <c:pt idx="1019">
                  <c:v>37.948329999999999</c:v>
                </c:pt>
                <c:pt idx="1020">
                  <c:v>37.461840000000002</c:v>
                </c:pt>
                <c:pt idx="1021">
                  <c:v>38.95984</c:v>
                </c:pt>
                <c:pt idx="1022">
                  <c:v>37.247460000000004</c:v>
                </c:pt>
                <c:pt idx="1023">
                  <c:v>36.887410000000003</c:v>
                </c:pt>
                <c:pt idx="1024">
                  <c:v>38.320050000000002</c:v>
                </c:pt>
                <c:pt idx="1025">
                  <c:v>37.482510000000005</c:v>
                </c:pt>
                <c:pt idx="1026">
                  <c:v>36.371250000000003</c:v>
                </c:pt>
                <c:pt idx="1027">
                  <c:v>37.698900000000002</c:v>
                </c:pt>
                <c:pt idx="1028">
                  <c:v>37.182960000000001</c:v>
                </c:pt>
                <c:pt idx="1029">
                  <c:v>37.079599999999999</c:v>
                </c:pt>
                <c:pt idx="1030">
                  <c:v>36.726199999999999</c:v>
                </c:pt>
                <c:pt idx="1031">
                  <c:v>36.828409999999998</c:v>
                </c:pt>
                <c:pt idx="1032">
                  <c:v>37.456029999999998</c:v>
                </c:pt>
                <c:pt idx="1033">
                  <c:v>39.17801</c:v>
                </c:pt>
                <c:pt idx="1034">
                  <c:v>39.325920000000004</c:v>
                </c:pt>
                <c:pt idx="1035">
                  <c:v>38.261359999999996</c:v>
                </c:pt>
                <c:pt idx="1036">
                  <c:v>40.06823</c:v>
                </c:pt>
                <c:pt idx="1037">
                  <c:v>39.964529999999996</c:v>
                </c:pt>
                <c:pt idx="1038">
                  <c:v>39.964529999999996</c:v>
                </c:pt>
                <c:pt idx="1039">
                  <c:v>39.964529999999996</c:v>
                </c:pt>
                <c:pt idx="1040">
                  <c:v>40.189259999999997</c:v>
                </c:pt>
                <c:pt idx="1041">
                  <c:v>38.246380000000002</c:v>
                </c:pt>
                <c:pt idx="1042">
                  <c:v>38.246380000000002</c:v>
                </c:pt>
                <c:pt idx="1043">
                  <c:v>38.246380000000002</c:v>
                </c:pt>
                <c:pt idx="1044">
                  <c:v>39.69265</c:v>
                </c:pt>
                <c:pt idx="1045">
                  <c:v>38.510480000000001</c:v>
                </c:pt>
                <c:pt idx="1046">
                  <c:v>40.690089999999998</c:v>
                </c:pt>
                <c:pt idx="1047">
                  <c:v>41.666049999999998</c:v>
                </c:pt>
                <c:pt idx="1048">
                  <c:v>39.326239999999999</c:v>
                </c:pt>
                <c:pt idx="1049">
                  <c:v>40.921529999999997</c:v>
                </c:pt>
                <c:pt idx="1050">
                  <c:v>39.13017</c:v>
                </c:pt>
                <c:pt idx="1051">
                  <c:v>39.982979999999998</c:v>
                </c:pt>
                <c:pt idx="1052">
                  <c:v>38.231230000000004</c:v>
                </c:pt>
                <c:pt idx="1053">
                  <c:v>38.050429999999999</c:v>
                </c:pt>
                <c:pt idx="1054">
                  <c:v>39.289650000000002</c:v>
                </c:pt>
                <c:pt idx="1055">
                  <c:v>39.388850000000005</c:v>
                </c:pt>
                <c:pt idx="1056">
                  <c:v>40.1</c:v>
                </c:pt>
                <c:pt idx="1057">
                  <c:v>40.4176</c:v>
                </c:pt>
                <c:pt idx="1058">
                  <c:v>41.348459999999996</c:v>
                </c:pt>
                <c:pt idx="1059">
                  <c:v>38.066380000000002</c:v>
                </c:pt>
                <c:pt idx="1060">
                  <c:v>40.306129999999996</c:v>
                </c:pt>
                <c:pt idx="1061">
                  <c:v>41.177140000000001</c:v>
                </c:pt>
                <c:pt idx="1062">
                  <c:v>38.745730000000002</c:v>
                </c:pt>
                <c:pt idx="1063">
                  <c:v>39.500300000000003</c:v>
                </c:pt>
                <c:pt idx="1064">
                  <c:v>41.740870000000001</c:v>
                </c:pt>
                <c:pt idx="1065">
                  <c:v>43.256689999999999</c:v>
                </c:pt>
                <c:pt idx="1066">
                  <c:v>42.844459999999998</c:v>
                </c:pt>
                <c:pt idx="1067">
                  <c:v>42.533349999999999</c:v>
                </c:pt>
                <c:pt idx="1068">
                  <c:v>41.445979999999999</c:v>
                </c:pt>
                <c:pt idx="1069">
                  <c:v>42.975150000000006</c:v>
                </c:pt>
                <c:pt idx="1070">
                  <c:v>42.36392</c:v>
                </c:pt>
                <c:pt idx="1071">
                  <c:v>43.770829999999997</c:v>
                </c:pt>
                <c:pt idx="1072">
                  <c:v>42.88</c:v>
                </c:pt>
                <c:pt idx="1073">
                  <c:v>41.71434</c:v>
                </c:pt>
                <c:pt idx="1074">
                  <c:v>44.389510000000001</c:v>
                </c:pt>
                <c:pt idx="1075">
                  <c:v>42.191859999999998</c:v>
                </c:pt>
                <c:pt idx="1076">
                  <c:v>44.130029999999998</c:v>
                </c:pt>
                <c:pt idx="1077">
                  <c:v>43.698749999999997</c:v>
                </c:pt>
                <c:pt idx="1078">
                  <c:v>43.678469999999997</c:v>
                </c:pt>
                <c:pt idx="1079">
                  <c:v>44.34789</c:v>
                </c:pt>
                <c:pt idx="1080">
                  <c:v>41.230829999999997</c:v>
                </c:pt>
                <c:pt idx="1081">
                  <c:v>42.954390000000004</c:v>
                </c:pt>
                <c:pt idx="1082">
                  <c:v>39.982660000000003</c:v>
                </c:pt>
                <c:pt idx="1083">
                  <c:v>42.346139999999998</c:v>
                </c:pt>
                <c:pt idx="1084">
                  <c:v>41.705029999999994</c:v>
                </c:pt>
                <c:pt idx="1085">
                  <c:v>40.954549999999998</c:v>
                </c:pt>
                <c:pt idx="1086">
                  <c:v>37.490279999999998</c:v>
                </c:pt>
                <c:pt idx="1087">
                  <c:v>39.340870000000002</c:v>
                </c:pt>
                <c:pt idx="1088">
                  <c:v>38.625160000000001</c:v>
                </c:pt>
                <c:pt idx="1089">
                  <c:v>40.06494</c:v>
                </c:pt>
                <c:pt idx="1090">
                  <c:v>38.962510000000002</c:v>
                </c:pt>
                <c:pt idx="1091">
                  <c:v>38.455379999999998</c:v>
                </c:pt>
                <c:pt idx="1092">
                  <c:v>37.92015</c:v>
                </c:pt>
                <c:pt idx="1093">
                  <c:v>38.674399999999999</c:v>
                </c:pt>
                <c:pt idx="1094">
                  <c:v>38.892469999999996</c:v>
                </c:pt>
                <c:pt idx="1095">
                  <c:v>37.324370000000002</c:v>
                </c:pt>
                <c:pt idx="1096">
                  <c:v>37.115560000000002</c:v>
                </c:pt>
                <c:pt idx="1097">
                  <c:v>38.097700000000003</c:v>
                </c:pt>
                <c:pt idx="1098">
                  <c:v>36.667540000000002</c:v>
                </c:pt>
                <c:pt idx="1099">
                  <c:v>38.314169999999997</c:v>
                </c:pt>
                <c:pt idx="1100">
                  <c:v>39.637979999999999</c:v>
                </c:pt>
                <c:pt idx="1101">
                  <c:v>36.518990000000002</c:v>
                </c:pt>
                <c:pt idx="1102">
                  <c:v>35.739870000000003</c:v>
                </c:pt>
                <c:pt idx="1103">
                  <c:v>35.14011</c:v>
                </c:pt>
                <c:pt idx="1104">
                  <c:v>34.833770000000001</c:v>
                </c:pt>
                <c:pt idx="1105">
                  <c:v>35.491640000000004</c:v>
                </c:pt>
                <c:pt idx="1106">
                  <c:v>36.14893</c:v>
                </c:pt>
                <c:pt idx="1107">
                  <c:v>36.14893</c:v>
                </c:pt>
                <c:pt idx="1108">
                  <c:v>36.14893</c:v>
                </c:pt>
                <c:pt idx="1109">
                  <c:v>36.430410000000002</c:v>
                </c:pt>
                <c:pt idx="1110">
                  <c:v>35.923719999999996</c:v>
                </c:pt>
                <c:pt idx="1111">
                  <c:v>36.676569999999998</c:v>
                </c:pt>
                <c:pt idx="1112">
                  <c:v>36.680289999999999</c:v>
                </c:pt>
                <c:pt idx="1113">
                  <c:v>35.367649999999998</c:v>
                </c:pt>
                <c:pt idx="1114">
                  <c:v>36.347819999999999</c:v>
                </c:pt>
                <c:pt idx="1115">
                  <c:v>35.450380000000003</c:v>
                </c:pt>
                <c:pt idx="1116">
                  <c:v>34.347529999999999</c:v>
                </c:pt>
                <c:pt idx="1117">
                  <c:v>35.197029999999998</c:v>
                </c:pt>
                <c:pt idx="1118">
                  <c:v>35.432539999999996</c:v>
                </c:pt>
                <c:pt idx="1119">
                  <c:v>35.513150000000003</c:v>
                </c:pt>
                <c:pt idx="1120">
                  <c:v>37.507089999999998</c:v>
                </c:pt>
                <c:pt idx="1121">
                  <c:v>38.03454</c:v>
                </c:pt>
                <c:pt idx="1122">
                  <c:v>37.623060000000002</c:v>
                </c:pt>
                <c:pt idx="1123">
                  <c:v>39.338470000000001</c:v>
                </c:pt>
                <c:pt idx="1124">
                  <c:v>39.680059999999997</c:v>
                </c:pt>
                <c:pt idx="1125">
                  <c:v>39.695120000000003</c:v>
                </c:pt>
                <c:pt idx="1126">
                  <c:v>40.601410000000001</c:v>
                </c:pt>
                <c:pt idx="1127">
                  <c:v>39.882069999999999</c:v>
                </c:pt>
                <c:pt idx="1128">
                  <c:v>36.421529999999997</c:v>
                </c:pt>
                <c:pt idx="1129">
                  <c:v>35.80283</c:v>
                </c:pt>
                <c:pt idx="1130">
                  <c:v>37.224740000000004</c:v>
                </c:pt>
                <c:pt idx="1131">
                  <c:v>37.368939999999995</c:v>
                </c:pt>
                <c:pt idx="1132">
                  <c:v>35.25394</c:v>
                </c:pt>
                <c:pt idx="1133">
                  <c:v>35.25394</c:v>
                </c:pt>
                <c:pt idx="1134">
                  <c:v>36.9148</c:v>
                </c:pt>
                <c:pt idx="1135">
                  <c:v>36.48668</c:v>
                </c:pt>
                <c:pt idx="1136">
                  <c:v>35.666229999999999</c:v>
                </c:pt>
                <c:pt idx="1137">
                  <c:v>35.882480000000001</c:v>
                </c:pt>
                <c:pt idx="1138">
                  <c:v>35.429340000000003</c:v>
                </c:pt>
                <c:pt idx="1139">
                  <c:v>37.631360000000001</c:v>
                </c:pt>
                <c:pt idx="1140">
                  <c:v>35.656570000000002</c:v>
                </c:pt>
                <c:pt idx="1141">
                  <c:v>37.791409999999999</c:v>
                </c:pt>
                <c:pt idx="1142">
                  <c:v>37.152770000000004</c:v>
                </c:pt>
                <c:pt idx="1143">
                  <c:v>37.695149999999998</c:v>
                </c:pt>
                <c:pt idx="1144">
                  <c:v>35.319319999999998</c:v>
                </c:pt>
                <c:pt idx="1145">
                  <c:v>36.580309999999997</c:v>
                </c:pt>
                <c:pt idx="1146">
                  <c:v>37.730089999999997</c:v>
                </c:pt>
                <c:pt idx="1147">
                  <c:v>39.127079999999999</c:v>
                </c:pt>
                <c:pt idx="1148">
                  <c:v>39.127079999999999</c:v>
                </c:pt>
                <c:pt idx="1149">
                  <c:v>35.701230000000002</c:v>
                </c:pt>
                <c:pt idx="1150">
                  <c:v>37.772500000000001</c:v>
                </c:pt>
                <c:pt idx="1151">
                  <c:v>36.337539999999997</c:v>
                </c:pt>
                <c:pt idx="1152">
                  <c:v>38.890740000000001</c:v>
                </c:pt>
                <c:pt idx="1153">
                  <c:v>38.182400000000001</c:v>
                </c:pt>
                <c:pt idx="1154">
                  <c:v>36.041789999999999</c:v>
                </c:pt>
                <c:pt idx="1155">
                  <c:v>38.462330000000001</c:v>
                </c:pt>
                <c:pt idx="1156">
                  <c:v>38.573999999999998</c:v>
                </c:pt>
                <c:pt idx="1157">
                  <c:v>37.618549999999999</c:v>
                </c:pt>
                <c:pt idx="1158">
                  <c:v>38.25703</c:v>
                </c:pt>
                <c:pt idx="1159">
                  <c:v>36.963499999999996</c:v>
                </c:pt>
                <c:pt idx="1160">
                  <c:v>38.545839999999998</c:v>
                </c:pt>
                <c:pt idx="1161">
                  <c:v>38.695169999999997</c:v>
                </c:pt>
                <c:pt idx="1162">
                  <c:v>38.899499999999996</c:v>
                </c:pt>
                <c:pt idx="1163">
                  <c:v>40.332860000000004</c:v>
                </c:pt>
                <c:pt idx="1164">
                  <c:v>38.744979999999998</c:v>
                </c:pt>
              </c:numCache>
            </c:numRef>
          </c:val>
          <c:smooth val="0"/>
          <c:extLst>
            <c:ext xmlns:c16="http://schemas.microsoft.com/office/drawing/2014/chart" uri="{C3380CC4-5D6E-409C-BE32-E72D297353CC}">
              <c16:uniqueId val="{00000008-5560-4D07-B97F-4AA9E95DFDA5}"/>
            </c:ext>
          </c:extLst>
        </c:ser>
        <c:ser>
          <c:idx val="10"/>
          <c:order val="10"/>
          <c:tx>
            <c:strRef>
              <c:f>Sheet1!$L$1</c:f>
              <c:strCache>
                <c:ptCount val="1"/>
                <c:pt idx="0">
                  <c:v>Column1</c:v>
                </c:pt>
              </c:strCache>
            </c:strRef>
          </c:tx>
          <c:spPr>
            <a:ln w="28575" cap="rnd">
              <a:solidFill>
                <a:schemeClr val="accent5">
                  <a:lumMod val="60000"/>
                </a:schemeClr>
              </a:solidFill>
              <a:round/>
            </a:ln>
            <a:effectLst/>
          </c:spPr>
          <c:marker>
            <c:symbol val="none"/>
          </c:marker>
          <c:cat>
            <c:numRef>
              <c:f>Sheet1!$A$2:$A$1428</c:f>
              <c:numCache>
                <c:formatCode>dd\/mm\/yy</c:formatCode>
                <c:ptCount val="1166"/>
                <c:pt idx="0">
                  <c:v>43831</c:v>
                </c:pt>
                <c:pt idx="1">
                  <c:v>43832</c:v>
                </c:pt>
                <c:pt idx="2">
                  <c:v>43833</c:v>
                </c:pt>
                <c:pt idx="3">
                  <c:v>43836</c:v>
                </c:pt>
                <c:pt idx="4">
                  <c:v>43837</c:v>
                </c:pt>
                <c:pt idx="5">
                  <c:v>43838</c:v>
                </c:pt>
                <c:pt idx="6">
                  <c:v>43839</c:v>
                </c:pt>
                <c:pt idx="7">
                  <c:v>43840</c:v>
                </c:pt>
                <c:pt idx="8">
                  <c:v>43843</c:v>
                </c:pt>
                <c:pt idx="9">
                  <c:v>43844</c:v>
                </c:pt>
                <c:pt idx="10">
                  <c:v>43845</c:v>
                </c:pt>
                <c:pt idx="11">
                  <c:v>43846</c:v>
                </c:pt>
                <c:pt idx="12">
                  <c:v>43847</c:v>
                </c:pt>
                <c:pt idx="13">
                  <c:v>43850</c:v>
                </c:pt>
                <c:pt idx="14">
                  <c:v>43851</c:v>
                </c:pt>
                <c:pt idx="15">
                  <c:v>43852</c:v>
                </c:pt>
                <c:pt idx="16">
                  <c:v>43853</c:v>
                </c:pt>
                <c:pt idx="17">
                  <c:v>43854</c:v>
                </c:pt>
                <c:pt idx="18">
                  <c:v>43857</c:v>
                </c:pt>
                <c:pt idx="19">
                  <c:v>43858</c:v>
                </c:pt>
                <c:pt idx="20">
                  <c:v>43859</c:v>
                </c:pt>
                <c:pt idx="21">
                  <c:v>43860</c:v>
                </c:pt>
                <c:pt idx="22">
                  <c:v>43861</c:v>
                </c:pt>
                <c:pt idx="23">
                  <c:v>43864</c:v>
                </c:pt>
                <c:pt idx="24">
                  <c:v>43865</c:v>
                </c:pt>
                <c:pt idx="25">
                  <c:v>43866</c:v>
                </c:pt>
                <c:pt idx="26">
                  <c:v>43867</c:v>
                </c:pt>
                <c:pt idx="27">
                  <c:v>43868</c:v>
                </c:pt>
                <c:pt idx="28">
                  <c:v>43871</c:v>
                </c:pt>
                <c:pt idx="29">
                  <c:v>43872</c:v>
                </c:pt>
                <c:pt idx="30">
                  <c:v>43873</c:v>
                </c:pt>
                <c:pt idx="31">
                  <c:v>43874</c:v>
                </c:pt>
                <c:pt idx="32">
                  <c:v>43875</c:v>
                </c:pt>
                <c:pt idx="33">
                  <c:v>43878</c:v>
                </c:pt>
                <c:pt idx="34">
                  <c:v>43879</c:v>
                </c:pt>
                <c:pt idx="35">
                  <c:v>43880</c:v>
                </c:pt>
                <c:pt idx="36">
                  <c:v>43881</c:v>
                </c:pt>
                <c:pt idx="37">
                  <c:v>43882</c:v>
                </c:pt>
                <c:pt idx="38">
                  <c:v>43885</c:v>
                </c:pt>
                <c:pt idx="39">
                  <c:v>43886</c:v>
                </c:pt>
                <c:pt idx="40">
                  <c:v>43887</c:v>
                </c:pt>
                <c:pt idx="41">
                  <c:v>43888</c:v>
                </c:pt>
                <c:pt idx="42">
                  <c:v>43889</c:v>
                </c:pt>
                <c:pt idx="43">
                  <c:v>43892</c:v>
                </c:pt>
                <c:pt idx="44">
                  <c:v>43893</c:v>
                </c:pt>
                <c:pt idx="45">
                  <c:v>43894</c:v>
                </c:pt>
                <c:pt idx="46">
                  <c:v>43895</c:v>
                </c:pt>
                <c:pt idx="47">
                  <c:v>43896</c:v>
                </c:pt>
                <c:pt idx="48">
                  <c:v>43899</c:v>
                </c:pt>
                <c:pt idx="49">
                  <c:v>43900</c:v>
                </c:pt>
                <c:pt idx="50">
                  <c:v>43901</c:v>
                </c:pt>
                <c:pt idx="51">
                  <c:v>43902</c:v>
                </c:pt>
                <c:pt idx="52">
                  <c:v>43903</c:v>
                </c:pt>
                <c:pt idx="53">
                  <c:v>43906</c:v>
                </c:pt>
                <c:pt idx="54">
                  <c:v>43907</c:v>
                </c:pt>
                <c:pt idx="55">
                  <c:v>43908</c:v>
                </c:pt>
                <c:pt idx="56">
                  <c:v>43909</c:v>
                </c:pt>
                <c:pt idx="57">
                  <c:v>43910</c:v>
                </c:pt>
                <c:pt idx="58">
                  <c:v>43913</c:v>
                </c:pt>
                <c:pt idx="59">
                  <c:v>43914</c:v>
                </c:pt>
                <c:pt idx="60">
                  <c:v>43915</c:v>
                </c:pt>
                <c:pt idx="61">
                  <c:v>43916</c:v>
                </c:pt>
                <c:pt idx="62">
                  <c:v>43917</c:v>
                </c:pt>
                <c:pt idx="63">
                  <c:v>43920</c:v>
                </c:pt>
                <c:pt idx="64">
                  <c:v>43921</c:v>
                </c:pt>
                <c:pt idx="65">
                  <c:v>43922</c:v>
                </c:pt>
                <c:pt idx="66">
                  <c:v>43923</c:v>
                </c:pt>
                <c:pt idx="67">
                  <c:v>43924</c:v>
                </c:pt>
                <c:pt idx="68">
                  <c:v>43927</c:v>
                </c:pt>
                <c:pt idx="69">
                  <c:v>43928</c:v>
                </c:pt>
                <c:pt idx="70">
                  <c:v>43929</c:v>
                </c:pt>
                <c:pt idx="71">
                  <c:v>43930</c:v>
                </c:pt>
                <c:pt idx="72">
                  <c:v>43931</c:v>
                </c:pt>
                <c:pt idx="73">
                  <c:v>43934</c:v>
                </c:pt>
                <c:pt idx="74">
                  <c:v>43935</c:v>
                </c:pt>
                <c:pt idx="75">
                  <c:v>43936</c:v>
                </c:pt>
                <c:pt idx="76">
                  <c:v>43937</c:v>
                </c:pt>
                <c:pt idx="77">
                  <c:v>43938</c:v>
                </c:pt>
                <c:pt idx="78">
                  <c:v>43941</c:v>
                </c:pt>
                <c:pt idx="79">
                  <c:v>43942</c:v>
                </c:pt>
                <c:pt idx="80">
                  <c:v>43943</c:v>
                </c:pt>
                <c:pt idx="81">
                  <c:v>43944</c:v>
                </c:pt>
                <c:pt idx="82">
                  <c:v>43945</c:v>
                </c:pt>
                <c:pt idx="83">
                  <c:v>43948</c:v>
                </c:pt>
                <c:pt idx="84">
                  <c:v>43949</c:v>
                </c:pt>
                <c:pt idx="85">
                  <c:v>43950</c:v>
                </c:pt>
                <c:pt idx="86">
                  <c:v>43951</c:v>
                </c:pt>
                <c:pt idx="87">
                  <c:v>43952</c:v>
                </c:pt>
                <c:pt idx="88">
                  <c:v>43955</c:v>
                </c:pt>
                <c:pt idx="89">
                  <c:v>43956</c:v>
                </c:pt>
                <c:pt idx="90">
                  <c:v>43957</c:v>
                </c:pt>
                <c:pt idx="91">
                  <c:v>43958</c:v>
                </c:pt>
                <c:pt idx="92">
                  <c:v>43959</c:v>
                </c:pt>
                <c:pt idx="93">
                  <c:v>43962</c:v>
                </c:pt>
                <c:pt idx="94">
                  <c:v>43963</c:v>
                </c:pt>
                <c:pt idx="95">
                  <c:v>43964</c:v>
                </c:pt>
                <c:pt idx="96">
                  <c:v>43965</c:v>
                </c:pt>
                <c:pt idx="97">
                  <c:v>43966</c:v>
                </c:pt>
                <c:pt idx="98">
                  <c:v>43969</c:v>
                </c:pt>
                <c:pt idx="99">
                  <c:v>43970</c:v>
                </c:pt>
                <c:pt idx="100">
                  <c:v>43971</c:v>
                </c:pt>
                <c:pt idx="101">
                  <c:v>43972</c:v>
                </c:pt>
                <c:pt idx="102">
                  <c:v>43973</c:v>
                </c:pt>
                <c:pt idx="103">
                  <c:v>43976</c:v>
                </c:pt>
                <c:pt idx="104">
                  <c:v>43977</c:v>
                </c:pt>
                <c:pt idx="105">
                  <c:v>43978</c:v>
                </c:pt>
                <c:pt idx="106">
                  <c:v>43979</c:v>
                </c:pt>
                <c:pt idx="107">
                  <c:v>43980</c:v>
                </c:pt>
                <c:pt idx="108">
                  <c:v>43983</c:v>
                </c:pt>
                <c:pt idx="109">
                  <c:v>43984</c:v>
                </c:pt>
                <c:pt idx="110">
                  <c:v>43985</c:v>
                </c:pt>
                <c:pt idx="111">
                  <c:v>43986</c:v>
                </c:pt>
                <c:pt idx="112">
                  <c:v>43987</c:v>
                </c:pt>
                <c:pt idx="113">
                  <c:v>43990</c:v>
                </c:pt>
                <c:pt idx="114">
                  <c:v>43991</c:v>
                </c:pt>
                <c:pt idx="115">
                  <c:v>43992</c:v>
                </c:pt>
                <c:pt idx="116">
                  <c:v>43993</c:v>
                </c:pt>
                <c:pt idx="117">
                  <c:v>43994</c:v>
                </c:pt>
                <c:pt idx="118">
                  <c:v>43997</c:v>
                </c:pt>
                <c:pt idx="119">
                  <c:v>43998</c:v>
                </c:pt>
                <c:pt idx="120">
                  <c:v>43999</c:v>
                </c:pt>
                <c:pt idx="121">
                  <c:v>44000</c:v>
                </c:pt>
                <c:pt idx="122">
                  <c:v>44001</c:v>
                </c:pt>
                <c:pt idx="123">
                  <c:v>44004</c:v>
                </c:pt>
                <c:pt idx="124">
                  <c:v>44005</c:v>
                </c:pt>
                <c:pt idx="125">
                  <c:v>44006</c:v>
                </c:pt>
                <c:pt idx="126">
                  <c:v>44007</c:v>
                </c:pt>
                <c:pt idx="127">
                  <c:v>44008</c:v>
                </c:pt>
                <c:pt idx="128">
                  <c:v>44011</c:v>
                </c:pt>
                <c:pt idx="129">
                  <c:v>44012</c:v>
                </c:pt>
                <c:pt idx="130">
                  <c:v>44013</c:v>
                </c:pt>
                <c:pt idx="131">
                  <c:v>44014</c:v>
                </c:pt>
                <c:pt idx="132">
                  <c:v>44015</c:v>
                </c:pt>
                <c:pt idx="133">
                  <c:v>44018</c:v>
                </c:pt>
                <c:pt idx="134">
                  <c:v>44019</c:v>
                </c:pt>
                <c:pt idx="135">
                  <c:v>44020</c:v>
                </c:pt>
                <c:pt idx="136">
                  <c:v>44021</c:v>
                </c:pt>
                <c:pt idx="137">
                  <c:v>44022</c:v>
                </c:pt>
                <c:pt idx="138">
                  <c:v>44025</c:v>
                </c:pt>
                <c:pt idx="139">
                  <c:v>44026</c:v>
                </c:pt>
                <c:pt idx="140">
                  <c:v>44027</c:v>
                </c:pt>
                <c:pt idx="141">
                  <c:v>44028</c:v>
                </c:pt>
                <c:pt idx="142">
                  <c:v>44029</c:v>
                </c:pt>
                <c:pt idx="143">
                  <c:v>44032</c:v>
                </c:pt>
                <c:pt idx="144">
                  <c:v>44033</c:v>
                </c:pt>
                <c:pt idx="145">
                  <c:v>44034</c:v>
                </c:pt>
                <c:pt idx="146">
                  <c:v>44035</c:v>
                </c:pt>
                <c:pt idx="147">
                  <c:v>44036</c:v>
                </c:pt>
                <c:pt idx="148">
                  <c:v>44039</c:v>
                </c:pt>
                <c:pt idx="149">
                  <c:v>44040</c:v>
                </c:pt>
                <c:pt idx="150">
                  <c:v>44041</c:v>
                </c:pt>
                <c:pt idx="151">
                  <c:v>44042</c:v>
                </c:pt>
                <c:pt idx="152">
                  <c:v>44043</c:v>
                </c:pt>
                <c:pt idx="153">
                  <c:v>44046</c:v>
                </c:pt>
                <c:pt idx="154">
                  <c:v>44047</c:v>
                </c:pt>
                <c:pt idx="155">
                  <c:v>44048</c:v>
                </c:pt>
                <c:pt idx="156">
                  <c:v>44049</c:v>
                </c:pt>
                <c:pt idx="157">
                  <c:v>44050</c:v>
                </c:pt>
                <c:pt idx="158">
                  <c:v>44053</c:v>
                </c:pt>
                <c:pt idx="159">
                  <c:v>44054</c:v>
                </c:pt>
                <c:pt idx="160">
                  <c:v>44055</c:v>
                </c:pt>
                <c:pt idx="161">
                  <c:v>44056</c:v>
                </c:pt>
                <c:pt idx="162">
                  <c:v>44057</c:v>
                </c:pt>
                <c:pt idx="163">
                  <c:v>44060</c:v>
                </c:pt>
                <c:pt idx="164">
                  <c:v>44061</c:v>
                </c:pt>
                <c:pt idx="165">
                  <c:v>44062</c:v>
                </c:pt>
                <c:pt idx="166">
                  <c:v>44063</c:v>
                </c:pt>
                <c:pt idx="167">
                  <c:v>44064</c:v>
                </c:pt>
                <c:pt idx="168">
                  <c:v>44067</c:v>
                </c:pt>
                <c:pt idx="169">
                  <c:v>44068</c:v>
                </c:pt>
                <c:pt idx="170">
                  <c:v>44069</c:v>
                </c:pt>
                <c:pt idx="171">
                  <c:v>44070</c:v>
                </c:pt>
                <c:pt idx="172">
                  <c:v>44071</c:v>
                </c:pt>
                <c:pt idx="173">
                  <c:v>44074</c:v>
                </c:pt>
                <c:pt idx="174">
                  <c:v>44075</c:v>
                </c:pt>
                <c:pt idx="175">
                  <c:v>44076</c:v>
                </c:pt>
                <c:pt idx="176">
                  <c:v>44077</c:v>
                </c:pt>
                <c:pt idx="177">
                  <c:v>44078</c:v>
                </c:pt>
                <c:pt idx="178">
                  <c:v>44081</c:v>
                </c:pt>
                <c:pt idx="179">
                  <c:v>44082</c:v>
                </c:pt>
                <c:pt idx="180">
                  <c:v>44083</c:v>
                </c:pt>
                <c:pt idx="181">
                  <c:v>44084</c:v>
                </c:pt>
                <c:pt idx="182">
                  <c:v>44085</c:v>
                </c:pt>
                <c:pt idx="183">
                  <c:v>44088</c:v>
                </c:pt>
                <c:pt idx="184">
                  <c:v>44089</c:v>
                </c:pt>
                <c:pt idx="185">
                  <c:v>44090</c:v>
                </c:pt>
                <c:pt idx="186">
                  <c:v>44091</c:v>
                </c:pt>
                <c:pt idx="187">
                  <c:v>44092</c:v>
                </c:pt>
                <c:pt idx="188">
                  <c:v>44095</c:v>
                </c:pt>
                <c:pt idx="189">
                  <c:v>44096</c:v>
                </c:pt>
                <c:pt idx="190">
                  <c:v>44097</c:v>
                </c:pt>
                <c:pt idx="191">
                  <c:v>44098</c:v>
                </c:pt>
                <c:pt idx="192">
                  <c:v>44099</c:v>
                </c:pt>
                <c:pt idx="193">
                  <c:v>44102</c:v>
                </c:pt>
                <c:pt idx="194">
                  <c:v>44103</c:v>
                </c:pt>
                <c:pt idx="195">
                  <c:v>44104</c:v>
                </c:pt>
                <c:pt idx="196">
                  <c:v>44105</c:v>
                </c:pt>
                <c:pt idx="197">
                  <c:v>44106</c:v>
                </c:pt>
                <c:pt idx="198">
                  <c:v>44109</c:v>
                </c:pt>
                <c:pt idx="199">
                  <c:v>44110</c:v>
                </c:pt>
                <c:pt idx="200">
                  <c:v>44111</c:v>
                </c:pt>
                <c:pt idx="201">
                  <c:v>44112</c:v>
                </c:pt>
                <c:pt idx="202">
                  <c:v>44113</c:v>
                </c:pt>
                <c:pt idx="203">
                  <c:v>44116</c:v>
                </c:pt>
                <c:pt idx="204">
                  <c:v>44117</c:v>
                </c:pt>
                <c:pt idx="205">
                  <c:v>44118</c:v>
                </c:pt>
                <c:pt idx="206">
                  <c:v>44119</c:v>
                </c:pt>
                <c:pt idx="207">
                  <c:v>44120</c:v>
                </c:pt>
                <c:pt idx="208">
                  <c:v>44123</c:v>
                </c:pt>
                <c:pt idx="209">
                  <c:v>44124</c:v>
                </c:pt>
                <c:pt idx="210">
                  <c:v>44125</c:v>
                </c:pt>
                <c:pt idx="211">
                  <c:v>44126</c:v>
                </c:pt>
                <c:pt idx="212">
                  <c:v>44127</c:v>
                </c:pt>
                <c:pt idx="213">
                  <c:v>44130</c:v>
                </c:pt>
                <c:pt idx="214">
                  <c:v>44131</c:v>
                </c:pt>
                <c:pt idx="215">
                  <c:v>44132</c:v>
                </c:pt>
                <c:pt idx="216">
                  <c:v>44133</c:v>
                </c:pt>
                <c:pt idx="217">
                  <c:v>44134</c:v>
                </c:pt>
                <c:pt idx="218">
                  <c:v>44137</c:v>
                </c:pt>
                <c:pt idx="219">
                  <c:v>44138</c:v>
                </c:pt>
                <c:pt idx="220">
                  <c:v>44139</c:v>
                </c:pt>
                <c:pt idx="221">
                  <c:v>44140</c:v>
                </c:pt>
                <c:pt idx="222">
                  <c:v>44141</c:v>
                </c:pt>
                <c:pt idx="223">
                  <c:v>44144</c:v>
                </c:pt>
                <c:pt idx="224">
                  <c:v>44145</c:v>
                </c:pt>
                <c:pt idx="225">
                  <c:v>44146</c:v>
                </c:pt>
                <c:pt idx="226">
                  <c:v>44147</c:v>
                </c:pt>
                <c:pt idx="227">
                  <c:v>44148</c:v>
                </c:pt>
                <c:pt idx="228">
                  <c:v>44151</c:v>
                </c:pt>
                <c:pt idx="229">
                  <c:v>44152</c:v>
                </c:pt>
                <c:pt idx="230">
                  <c:v>44153</c:v>
                </c:pt>
                <c:pt idx="231">
                  <c:v>44154</c:v>
                </c:pt>
                <c:pt idx="232">
                  <c:v>44155</c:v>
                </c:pt>
                <c:pt idx="233">
                  <c:v>44158</c:v>
                </c:pt>
                <c:pt idx="234">
                  <c:v>44159</c:v>
                </c:pt>
                <c:pt idx="235">
                  <c:v>44160</c:v>
                </c:pt>
                <c:pt idx="236">
                  <c:v>44161</c:v>
                </c:pt>
                <c:pt idx="237">
                  <c:v>44162</c:v>
                </c:pt>
                <c:pt idx="238">
                  <c:v>44165</c:v>
                </c:pt>
                <c:pt idx="239">
                  <c:v>44166</c:v>
                </c:pt>
                <c:pt idx="240">
                  <c:v>44167</c:v>
                </c:pt>
                <c:pt idx="241">
                  <c:v>44168</c:v>
                </c:pt>
                <c:pt idx="242">
                  <c:v>44169</c:v>
                </c:pt>
                <c:pt idx="243">
                  <c:v>44172</c:v>
                </c:pt>
                <c:pt idx="244">
                  <c:v>44173</c:v>
                </c:pt>
                <c:pt idx="245">
                  <c:v>44174</c:v>
                </c:pt>
                <c:pt idx="246">
                  <c:v>44175</c:v>
                </c:pt>
                <c:pt idx="247">
                  <c:v>44176</c:v>
                </c:pt>
                <c:pt idx="248">
                  <c:v>44179</c:v>
                </c:pt>
                <c:pt idx="249">
                  <c:v>44180</c:v>
                </c:pt>
                <c:pt idx="250">
                  <c:v>44181</c:v>
                </c:pt>
                <c:pt idx="251">
                  <c:v>44182</c:v>
                </c:pt>
                <c:pt idx="252">
                  <c:v>44183</c:v>
                </c:pt>
                <c:pt idx="253">
                  <c:v>44186</c:v>
                </c:pt>
                <c:pt idx="254">
                  <c:v>44187</c:v>
                </c:pt>
                <c:pt idx="255">
                  <c:v>44188</c:v>
                </c:pt>
                <c:pt idx="256">
                  <c:v>44189</c:v>
                </c:pt>
                <c:pt idx="257">
                  <c:v>44190</c:v>
                </c:pt>
                <c:pt idx="258">
                  <c:v>44193</c:v>
                </c:pt>
                <c:pt idx="259">
                  <c:v>44194</c:v>
                </c:pt>
                <c:pt idx="260">
                  <c:v>44195</c:v>
                </c:pt>
                <c:pt idx="261">
                  <c:v>44196</c:v>
                </c:pt>
                <c:pt idx="262">
                  <c:v>44197</c:v>
                </c:pt>
                <c:pt idx="263">
                  <c:v>44200</c:v>
                </c:pt>
                <c:pt idx="264">
                  <c:v>44201</c:v>
                </c:pt>
                <c:pt idx="265">
                  <c:v>44202</c:v>
                </c:pt>
                <c:pt idx="266">
                  <c:v>44203</c:v>
                </c:pt>
                <c:pt idx="267">
                  <c:v>44204</c:v>
                </c:pt>
                <c:pt idx="268">
                  <c:v>44207</c:v>
                </c:pt>
                <c:pt idx="269">
                  <c:v>44208</c:v>
                </c:pt>
                <c:pt idx="270">
                  <c:v>44209</c:v>
                </c:pt>
                <c:pt idx="271">
                  <c:v>44210</c:v>
                </c:pt>
                <c:pt idx="272">
                  <c:v>44211</c:v>
                </c:pt>
                <c:pt idx="273">
                  <c:v>44214</c:v>
                </c:pt>
                <c:pt idx="274">
                  <c:v>44215</c:v>
                </c:pt>
                <c:pt idx="275">
                  <c:v>44216</c:v>
                </c:pt>
                <c:pt idx="276">
                  <c:v>44217</c:v>
                </c:pt>
                <c:pt idx="277">
                  <c:v>44218</c:v>
                </c:pt>
                <c:pt idx="278">
                  <c:v>44221</c:v>
                </c:pt>
                <c:pt idx="279">
                  <c:v>44222</c:v>
                </c:pt>
                <c:pt idx="280">
                  <c:v>44223</c:v>
                </c:pt>
                <c:pt idx="281">
                  <c:v>44224</c:v>
                </c:pt>
                <c:pt idx="282">
                  <c:v>44225</c:v>
                </c:pt>
                <c:pt idx="283">
                  <c:v>44228</c:v>
                </c:pt>
                <c:pt idx="284">
                  <c:v>44229</c:v>
                </c:pt>
                <c:pt idx="285">
                  <c:v>44230</c:v>
                </c:pt>
                <c:pt idx="286">
                  <c:v>44231</c:v>
                </c:pt>
                <c:pt idx="287">
                  <c:v>44232</c:v>
                </c:pt>
                <c:pt idx="288">
                  <c:v>44235</c:v>
                </c:pt>
                <c:pt idx="289">
                  <c:v>44236</c:v>
                </c:pt>
                <c:pt idx="290">
                  <c:v>44237</c:v>
                </c:pt>
                <c:pt idx="291">
                  <c:v>44238</c:v>
                </c:pt>
                <c:pt idx="292">
                  <c:v>44239</c:v>
                </c:pt>
                <c:pt idx="293">
                  <c:v>44242</c:v>
                </c:pt>
                <c:pt idx="294">
                  <c:v>44243</c:v>
                </c:pt>
                <c:pt idx="295">
                  <c:v>44244</c:v>
                </c:pt>
                <c:pt idx="296">
                  <c:v>44245</c:v>
                </c:pt>
                <c:pt idx="297">
                  <c:v>44246</c:v>
                </c:pt>
                <c:pt idx="298">
                  <c:v>44249</c:v>
                </c:pt>
                <c:pt idx="299">
                  <c:v>44250</c:v>
                </c:pt>
                <c:pt idx="300">
                  <c:v>44251</c:v>
                </c:pt>
                <c:pt idx="301">
                  <c:v>44252</c:v>
                </c:pt>
                <c:pt idx="302">
                  <c:v>44253</c:v>
                </c:pt>
                <c:pt idx="303">
                  <c:v>44256</c:v>
                </c:pt>
                <c:pt idx="304">
                  <c:v>44257</c:v>
                </c:pt>
                <c:pt idx="305">
                  <c:v>44258</c:v>
                </c:pt>
                <c:pt idx="306">
                  <c:v>44259</c:v>
                </c:pt>
                <c:pt idx="307">
                  <c:v>44260</c:v>
                </c:pt>
                <c:pt idx="308">
                  <c:v>44263</c:v>
                </c:pt>
                <c:pt idx="309">
                  <c:v>44264</c:v>
                </c:pt>
                <c:pt idx="310">
                  <c:v>44265</c:v>
                </c:pt>
                <c:pt idx="311">
                  <c:v>44266</c:v>
                </c:pt>
                <c:pt idx="312">
                  <c:v>44267</c:v>
                </c:pt>
                <c:pt idx="313">
                  <c:v>44270</c:v>
                </c:pt>
                <c:pt idx="314">
                  <c:v>44271</c:v>
                </c:pt>
                <c:pt idx="315">
                  <c:v>44272</c:v>
                </c:pt>
                <c:pt idx="316">
                  <c:v>44273</c:v>
                </c:pt>
                <c:pt idx="317">
                  <c:v>44274</c:v>
                </c:pt>
                <c:pt idx="318">
                  <c:v>44277</c:v>
                </c:pt>
                <c:pt idx="319">
                  <c:v>44278</c:v>
                </c:pt>
                <c:pt idx="320">
                  <c:v>44279</c:v>
                </c:pt>
                <c:pt idx="321">
                  <c:v>44280</c:v>
                </c:pt>
                <c:pt idx="322">
                  <c:v>44281</c:v>
                </c:pt>
                <c:pt idx="323">
                  <c:v>44284</c:v>
                </c:pt>
                <c:pt idx="324">
                  <c:v>44285</c:v>
                </c:pt>
                <c:pt idx="325">
                  <c:v>44286</c:v>
                </c:pt>
                <c:pt idx="326">
                  <c:v>44287</c:v>
                </c:pt>
                <c:pt idx="327">
                  <c:v>44288</c:v>
                </c:pt>
                <c:pt idx="328">
                  <c:v>44291</c:v>
                </c:pt>
                <c:pt idx="329">
                  <c:v>44292</c:v>
                </c:pt>
                <c:pt idx="330">
                  <c:v>44293</c:v>
                </c:pt>
                <c:pt idx="331">
                  <c:v>44294</c:v>
                </c:pt>
                <c:pt idx="332">
                  <c:v>44295</c:v>
                </c:pt>
                <c:pt idx="333">
                  <c:v>44298</c:v>
                </c:pt>
                <c:pt idx="334">
                  <c:v>44299</c:v>
                </c:pt>
                <c:pt idx="335">
                  <c:v>44300</c:v>
                </c:pt>
                <c:pt idx="336">
                  <c:v>44301</c:v>
                </c:pt>
                <c:pt idx="337">
                  <c:v>44302</c:v>
                </c:pt>
                <c:pt idx="338">
                  <c:v>44305</c:v>
                </c:pt>
                <c:pt idx="339">
                  <c:v>44306</c:v>
                </c:pt>
                <c:pt idx="340">
                  <c:v>44307</c:v>
                </c:pt>
                <c:pt idx="341">
                  <c:v>44308</c:v>
                </c:pt>
                <c:pt idx="342">
                  <c:v>44309</c:v>
                </c:pt>
                <c:pt idx="343">
                  <c:v>44312</c:v>
                </c:pt>
                <c:pt idx="344">
                  <c:v>44313</c:v>
                </c:pt>
                <c:pt idx="345">
                  <c:v>44314</c:v>
                </c:pt>
                <c:pt idx="346">
                  <c:v>44315</c:v>
                </c:pt>
                <c:pt idx="347">
                  <c:v>44316</c:v>
                </c:pt>
                <c:pt idx="348">
                  <c:v>44319</c:v>
                </c:pt>
                <c:pt idx="349">
                  <c:v>44320</c:v>
                </c:pt>
                <c:pt idx="350">
                  <c:v>44321</c:v>
                </c:pt>
                <c:pt idx="351">
                  <c:v>44322</c:v>
                </c:pt>
                <c:pt idx="352">
                  <c:v>44323</c:v>
                </c:pt>
                <c:pt idx="353">
                  <c:v>44326</c:v>
                </c:pt>
                <c:pt idx="354">
                  <c:v>44327</c:v>
                </c:pt>
                <c:pt idx="355">
                  <c:v>44328</c:v>
                </c:pt>
                <c:pt idx="356">
                  <c:v>44329</c:v>
                </c:pt>
                <c:pt idx="357">
                  <c:v>44330</c:v>
                </c:pt>
                <c:pt idx="358">
                  <c:v>44333</c:v>
                </c:pt>
                <c:pt idx="359">
                  <c:v>44334</c:v>
                </c:pt>
                <c:pt idx="360">
                  <c:v>44335</c:v>
                </c:pt>
                <c:pt idx="361">
                  <c:v>44336</c:v>
                </c:pt>
                <c:pt idx="362">
                  <c:v>44337</c:v>
                </c:pt>
                <c:pt idx="363">
                  <c:v>44340</c:v>
                </c:pt>
                <c:pt idx="364">
                  <c:v>44341</c:v>
                </c:pt>
                <c:pt idx="365">
                  <c:v>44342</c:v>
                </c:pt>
                <c:pt idx="366">
                  <c:v>44343</c:v>
                </c:pt>
                <c:pt idx="367">
                  <c:v>44344</c:v>
                </c:pt>
                <c:pt idx="368">
                  <c:v>44347</c:v>
                </c:pt>
                <c:pt idx="369">
                  <c:v>44348</c:v>
                </c:pt>
                <c:pt idx="370">
                  <c:v>44349</c:v>
                </c:pt>
                <c:pt idx="371">
                  <c:v>44350</c:v>
                </c:pt>
                <c:pt idx="372">
                  <c:v>44351</c:v>
                </c:pt>
                <c:pt idx="373">
                  <c:v>44354</c:v>
                </c:pt>
                <c:pt idx="374">
                  <c:v>44355</c:v>
                </c:pt>
                <c:pt idx="375">
                  <c:v>44356</c:v>
                </c:pt>
                <c:pt idx="376">
                  <c:v>44357</c:v>
                </c:pt>
                <c:pt idx="377">
                  <c:v>44358</c:v>
                </c:pt>
                <c:pt idx="378">
                  <c:v>44361</c:v>
                </c:pt>
                <c:pt idx="379">
                  <c:v>44362</c:v>
                </c:pt>
                <c:pt idx="380">
                  <c:v>44363</c:v>
                </c:pt>
                <c:pt idx="381">
                  <c:v>44364</c:v>
                </c:pt>
                <c:pt idx="382">
                  <c:v>44365</c:v>
                </c:pt>
                <c:pt idx="383">
                  <c:v>44368</c:v>
                </c:pt>
                <c:pt idx="384">
                  <c:v>44369</c:v>
                </c:pt>
                <c:pt idx="385">
                  <c:v>44370</c:v>
                </c:pt>
                <c:pt idx="386">
                  <c:v>44371</c:v>
                </c:pt>
                <c:pt idx="387">
                  <c:v>44372</c:v>
                </c:pt>
                <c:pt idx="388">
                  <c:v>44375</c:v>
                </c:pt>
                <c:pt idx="389">
                  <c:v>44376</c:v>
                </c:pt>
                <c:pt idx="390">
                  <c:v>44377</c:v>
                </c:pt>
                <c:pt idx="391">
                  <c:v>44378</c:v>
                </c:pt>
                <c:pt idx="392">
                  <c:v>44379</c:v>
                </c:pt>
                <c:pt idx="393">
                  <c:v>44382</c:v>
                </c:pt>
                <c:pt idx="394">
                  <c:v>44383</c:v>
                </c:pt>
                <c:pt idx="395">
                  <c:v>44384</c:v>
                </c:pt>
                <c:pt idx="396">
                  <c:v>44385</c:v>
                </c:pt>
                <c:pt idx="397">
                  <c:v>44386</c:v>
                </c:pt>
                <c:pt idx="398">
                  <c:v>44389</c:v>
                </c:pt>
                <c:pt idx="399">
                  <c:v>44390</c:v>
                </c:pt>
                <c:pt idx="400">
                  <c:v>44391</c:v>
                </c:pt>
                <c:pt idx="401">
                  <c:v>44392</c:v>
                </c:pt>
                <c:pt idx="402">
                  <c:v>44393</c:v>
                </c:pt>
                <c:pt idx="403">
                  <c:v>44396</c:v>
                </c:pt>
                <c:pt idx="404">
                  <c:v>44397</c:v>
                </c:pt>
                <c:pt idx="405">
                  <c:v>44398</c:v>
                </c:pt>
                <c:pt idx="406">
                  <c:v>44399</c:v>
                </c:pt>
                <c:pt idx="407">
                  <c:v>44400</c:v>
                </c:pt>
                <c:pt idx="408">
                  <c:v>44403</c:v>
                </c:pt>
                <c:pt idx="409">
                  <c:v>44404</c:v>
                </c:pt>
                <c:pt idx="410">
                  <c:v>44405</c:v>
                </c:pt>
                <c:pt idx="411">
                  <c:v>44406</c:v>
                </c:pt>
                <c:pt idx="412">
                  <c:v>44407</c:v>
                </c:pt>
                <c:pt idx="413">
                  <c:v>44410</c:v>
                </c:pt>
                <c:pt idx="414">
                  <c:v>44411</c:v>
                </c:pt>
                <c:pt idx="415">
                  <c:v>44412</c:v>
                </c:pt>
                <c:pt idx="416">
                  <c:v>44413</c:v>
                </c:pt>
                <c:pt idx="417">
                  <c:v>44414</c:v>
                </c:pt>
                <c:pt idx="418">
                  <c:v>44417</c:v>
                </c:pt>
                <c:pt idx="419">
                  <c:v>44418</c:v>
                </c:pt>
                <c:pt idx="420">
                  <c:v>44419</c:v>
                </c:pt>
                <c:pt idx="421">
                  <c:v>44420</c:v>
                </c:pt>
                <c:pt idx="422">
                  <c:v>44421</c:v>
                </c:pt>
                <c:pt idx="423">
                  <c:v>44424</c:v>
                </c:pt>
                <c:pt idx="424">
                  <c:v>44425</c:v>
                </c:pt>
                <c:pt idx="425">
                  <c:v>44426</c:v>
                </c:pt>
                <c:pt idx="426">
                  <c:v>44427</c:v>
                </c:pt>
                <c:pt idx="427">
                  <c:v>44428</c:v>
                </c:pt>
                <c:pt idx="428">
                  <c:v>44431</c:v>
                </c:pt>
                <c:pt idx="429">
                  <c:v>44432</c:v>
                </c:pt>
                <c:pt idx="430">
                  <c:v>44433</c:v>
                </c:pt>
                <c:pt idx="431">
                  <c:v>44434</c:v>
                </c:pt>
                <c:pt idx="432">
                  <c:v>44435</c:v>
                </c:pt>
                <c:pt idx="433">
                  <c:v>44438</c:v>
                </c:pt>
                <c:pt idx="434">
                  <c:v>44439</c:v>
                </c:pt>
                <c:pt idx="435">
                  <c:v>44440</c:v>
                </c:pt>
                <c:pt idx="436">
                  <c:v>44441</c:v>
                </c:pt>
                <c:pt idx="437">
                  <c:v>44442</c:v>
                </c:pt>
                <c:pt idx="438">
                  <c:v>44445</c:v>
                </c:pt>
                <c:pt idx="439">
                  <c:v>44446</c:v>
                </c:pt>
                <c:pt idx="440">
                  <c:v>44447</c:v>
                </c:pt>
                <c:pt idx="441">
                  <c:v>44448</c:v>
                </c:pt>
                <c:pt idx="442">
                  <c:v>44449</c:v>
                </c:pt>
                <c:pt idx="443">
                  <c:v>44452</c:v>
                </c:pt>
                <c:pt idx="444">
                  <c:v>44453</c:v>
                </c:pt>
                <c:pt idx="445">
                  <c:v>44454</c:v>
                </c:pt>
                <c:pt idx="446">
                  <c:v>44455</c:v>
                </c:pt>
                <c:pt idx="447">
                  <c:v>44456</c:v>
                </c:pt>
                <c:pt idx="448">
                  <c:v>44459</c:v>
                </c:pt>
                <c:pt idx="449">
                  <c:v>44460</c:v>
                </c:pt>
                <c:pt idx="450">
                  <c:v>44461</c:v>
                </c:pt>
                <c:pt idx="451">
                  <c:v>44462</c:v>
                </c:pt>
                <c:pt idx="452">
                  <c:v>44463</c:v>
                </c:pt>
                <c:pt idx="453">
                  <c:v>44466</c:v>
                </c:pt>
                <c:pt idx="454">
                  <c:v>44467</c:v>
                </c:pt>
                <c:pt idx="455">
                  <c:v>44468</c:v>
                </c:pt>
                <c:pt idx="456">
                  <c:v>44469</c:v>
                </c:pt>
                <c:pt idx="457">
                  <c:v>44470</c:v>
                </c:pt>
                <c:pt idx="458">
                  <c:v>44473</c:v>
                </c:pt>
                <c:pt idx="459">
                  <c:v>44474</c:v>
                </c:pt>
                <c:pt idx="460">
                  <c:v>44475</c:v>
                </c:pt>
                <c:pt idx="461">
                  <c:v>44476</c:v>
                </c:pt>
                <c:pt idx="462">
                  <c:v>44477</c:v>
                </c:pt>
                <c:pt idx="463">
                  <c:v>44480</c:v>
                </c:pt>
                <c:pt idx="464">
                  <c:v>44481</c:v>
                </c:pt>
                <c:pt idx="465">
                  <c:v>44482</c:v>
                </c:pt>
                <c:pt idx="466">
                  <c:v>44483</c:v>
                </c:pt>
                <c:pt idx="467">
                  <c:v>44484</c:v>
                </c:pt>
                <c:pt idx="468">
                  <c:v>44487</c:v>
                </c:pt>
                <c:pt idx="469">
                  <c:v>44488</c:v>
                </c:pt>
                <c:pt idx="470">
                  <c:v>44489</c:v>
                </c:pt>
                <c:pt idx="471">
                  <c:v>44490</c:v>
                </c:pt>
                <c:pt idx="472">
                  <c:v>44491</c:v>
                </c:pt>
                <c:pt idx="473">
                  <c:v>44494</c:v>
                </c:pt>
                <c:pt idx="474">
                  <c:v>44495</c:v>
                </c:pt>
                <c:pt idx="475">
                  <c:v>44496</c:v>
                </c:pt>
                <c:pt idx="476">
                  <c:v>44497</c:v>
                </c:pt>
                <c:pt idx="477">
                  <c:v>44498</c:v>
                </c:pt>
                <c:pt idx="478">
                  <c:v>44501</c:v>
                </c:pt>
                <c:pt idx="479">
                  <c:v>44502</c:v>
                </c:pt>
                <c:pt idx="480">
                  <c:v>44503</c:v>
                </c:pt>
                <c:pt idx="481">
                  <c:v>44504</c:v>
                </c:pt>
                <c:pt idx="482">
                  <c:v>44505</c:v>
                </c:pt>
                <c:pt idx="483">
                  <c:v>44508</c:v>
                </c:pt>
                <c:pt idx="484">
                  <c:v>44509</c:v>
                </c:pt>
                <c:pt idx="485">
                  <c:v>44510</c:v>
                </c:pt>
                <c:pt idx="486">
                  <c:v>44511</c:v>
                </c:pt>
                <c:pt idx="487">
                  <c:v>44512</c:v>
                </c:pt>
                <c:pt idx="488">
                  <c:v>44515</c:v>
                </c:pt>
                <c:pt idx="489">
                  <c:v>44516</c:v>
                </c:pt>
                <c:pt idx="490">
                  <c:v>44517</c:v>
                </c:pt>
                <c:pt idx="491">
                  <c:v>44518</c:v>
                </c:pt>
                <c:pt idx="492">
                  <c:v>44519</c:v>
                </c:pt>
                <c:pt idx="493">
                  <c:v>44522</c:v>
                </c:pt>
                <c:pt idx="494">
                  <c:v>44523</c:v>
                </c:pt>
                <c:pt idx="495">
                  <c:v>44524</c:v>
                </c:pt>
                <c:pt idx="496">
                  <c:v>44525</c:v>
                </c:pt>
                <c:pt idx="497">
                  <c:v>44526</c:v>
                </c:pt>
                <c:pt idx="498">
                  <c:v>44529</c:v>
                </c:pt>
                <c:pt idx="499">
                  <c:v>44530</c:v>
                </c:pt>
                <c:pt idx="500">
                  <c:v>44531</c:v>
                </c:pt>
                <c:pt idx="501">
                  <c:v>44532</c:v>
                </c:pt>
                <c:pt idx="502">
                  <c:v>44533</c:v>
                </c:pt>
                <c:pt idx="503">
                  <c:v>44536</c:v>
                </c:pt>
                <c:pt idx="504">
                  <c:v>44537</c:v>
                </c:pt>
                <c:pt idx="505">
                  <c:v>44538</c:v>
                </c:pt>
                <c:pt idx="506">
                  <c:v>44539</c:v>
                </c:pt>
                <c:pt idx="507">
                  <c:v>44540</c:v>
                </c:pt>
                <c:pt idx="508">
                  <c:v>44543</c:v>
                </c:pt>
                <c:pt idx="509">
                  <c:v>44544</c:v>
                </c:pt>
                <c:pt idx="510">
                  <c:v>44545</c:v>
                </c:pt>
                <c:pt idx="511">
                  <c:v>44546</c:v>
                </c:pt>
                <c:pt idx="512">
                  <c:v>44547</c:v>
                </c:pt>
                <c:pt idx="513">
                  <c:v>44550</c:v>
                </c:pt>
                <c:pt idx="514">
                  <c:v>44551</c:v>
                </c:pt>
                <c:pt idx="515">
                  <c:v>44552</c:v>
                </c:pt>
                <c:pt idx="516">
                  <c:v>44553</c:v>
                </c:pt>
                <c:pt idx="517">
                  <c:v>44554</c:v>
                </c:pt>
                <c:pt idx="518">
                  <c:v>44557</c:v>
                </c:pt>
                <c:pt idx="519">
                  <c:v>44558</c:v>
                </c:pt>
                <c:pt idx="520">
                  <c:v>44559</c:v>
                </c:pt>
                <c:pt idx="521">
                  <c:v>44560</c:v>
                </c:pt>
                <c:pt idx="522">
                  <c:v>44561</c:v>
                </c:pt>
                <c:pt idx="523">
                  <c:v>44564</c:v>
                </c:pt>
                <c:pt idx="524">
                  <c:v>44565</c:v>
                </c:pt>
                <c:pt idx="525">
                  <c:v>44566</c:v>
                </c:pt>
                <c:pt idx="526">
                  <c:v>44567</c:v>
                </c:pt>
                <c:pt idx="527">
                  <c:v>44568</c:v>
                </c:pt>
                <c:pt idx="528">
                  <c:v>44571</c:v>
                </c:pt>
                <c:pt idx="529">
                  <c:v>44572</c:v>
                </c:pt>
                <c:pt idx="530">
                  <c:v>44573</c:v>
                </c:pt>
                <c:pt idx="531">
                  <c:v>44574</c:v>
                </c:pt>
                <c:pt idx="532">
                  <c:v>44575</c:v>
                </c:pt>
                <c:pt idx="533">
                  <c:v>44578</c:v>
                </c:pt>
                <c:pt idx="534">
                  <c:v>44579</c:v>
                </c:pt>
                <c:pt idx="535">
                  <c:v>44580</c:v>
                </c:pt>
                <c:pt idx="536">
                  <c:v>44581</c:v>
                </c:pt>
                <c:pt idx="537">
                  <c:v>44582</c:v>
                </c:pt>
                <c:pt idx="538">
                  <c:v>44585</c:v>
                </c:pt>
                <c:pt idx="539">
                  <c:v>44586</c:v>
                </c:pt>
                <c:pt idx="540">
                  <c:v>44587</c:v>
                </c:pt>
                <c:pt idx="541">
                  <c:v>44588</c:v>
                </c:pt>
                <c:pt idx="542">
                  <c:v>44589</c:v>
                </c:pt>
                <c:pt idx="543">
                  <c:v>44592</c:v>
                </c:pt>
                <c:pt idx="544">
                  <c:v>44593</c:v>
                </c:pt>
                <c:pt idx="545">
                  <c:v>44594</c:v>
                </c:pt>
                <c:pt idx="546">
                  <c:v>44595</c:v>
                </c:pt>
                <c:pt idx="547">
                  <c:v>44596</c:v>
                </c:pt>
                <c:pt idx="548">
                  <c:v>44599</c:v>
                </c:pt>
                <c:pt idx="549">
                  <c:v>44600</c:v>
                </c:pt>
                <c:pt idx="550">
                  <c:v>44601</c:v>
                </c:pt>
                <c:pt idx="551">
                  <c:v>44602</c:v>
                </c:pt>
                <c:pt idx="552">
                  <c:v>44603</c:v>
                </c:pt>
                <c:pt idx="553">
                  <c:v>44606</c:v>
                </c:pt>
                <c:pt idx="554">
                  <c:v>44607</c:v>
                </c:pt>
                <c:pt idx="555">
                  <c:v>44608</c:v>
                </c:pt>
                <c:pt idx="556">
                  <c:v>44609</c:v>
                </c:pt>
                <c:pt idx="557">
                  <c:v>44610</c:v>
                </c:pt>
                <c:pt idx="558">
                  <c:v>44613</c:v>
                </c:pt>
                <c:pt idx="559">
                  <c:v>44614</c:v>
                </c:pt>
                <c:pt idx="560">
                  <c:v>44615</c:v>
                </c:pt>
                <c:pt idx="561">
                  <c:v>44616</c:v>
                </c:pt>
                <c:pt idx="562">
                  <c:v>44617</c:v>
                </c:pt>
                <c:pt idx="563">
                  <c:v>44620</c:v>
                </c:pt>
                <c:pt idx="564">
                  <c:v>44621</c:v>
                </c:pt>
                <c:pt idx="565">
                  <c:v>44622</c:v>
                </c:pt>
                <c:pt idx="566">
                  <c:v>44623</c:v>
                </c:pt>
                <c:pt idx="567">
                  <c:v>44624</c:v>
                </c:pt>
                <c:pt idx="568">
                  <c:v>44627</c:v>
                </c:pt>
                <c:pt idx="569">
                  <c:v>44628</c:v>
                </c:pt>
                <c:pt idx="570">
                  <c:v>44629</c:v>
                </c:pt>
                <c:pt idx="571">
                  <c:v>44630</c:v>
                </c:pt>
                <c:pt idx="572">
                  <c:v>44631</c:v>
                </c:pt>
                <c:pt idx="573">
                  <c:v>44634</c:v>
                </c:pt>
                <c:pt idx="574">
                  <c:v>44635</c:v>
                </c:pt>
                <c:pt idx="575">
                  <c:v>44636</c:v>
                </c:pt>
                <c:pt idx="576">
                  <c:v>44637</c:v>
                </c:pt>
                <c:pt idx="577">
                  <c:v>44638</c:v>
                </c:pt>
                <c:pt idx="578">
                  <c:v>44641</c:v>
                </c:pt>
                <c:pt idx="579">
                  <c:v>44642</c:v>
                </c:pt>
                <c:pt idx="580">
                  <c:v>44643</c:v>
                </c:pt>
                <c:pt idx="581">
                  <c:v>44644</c:v>
                </c:pt>
                <c:pt idx="582">
                  <c:v>44645</c:v>
                </c:pt>
                <c:pt idx="583">
                  <c:v>44648</c:v>
                </c:pt>
                <c:pt idx="584">
                  <c:v>44649</c:v>
                </c:pt>
                <c:pt idx="585">
                  <c:v>44650</c:v>
                </c:pt>
                <c:pt idx="586">
                  <c:v>44651</c:v>
                </c:pt>
                <c:pt idx="587">
                  <c:v>44652</c:v>
                </c:pt>
                <c:pt idx="588">
                  <c:v>44655</c:v>
                </c:pt>
                <c:pt idx="589">
                  <c:v>44656</c:v>
                </c:pt>
                <c:pt idx="590">
                  <c:v>44657</c:v>
                </c:pt>
                <c:pt idx="591">
                  <c:v>44658</c:v>
                </c:pt>
                <c:pt idx="592">
                  <c:v>44659</c:v>
                </c:pt>
                <c:pt idx="593">
                  <c:v>44662</c:v>
                </c:pt>
                <c:pt idx="594">
                  <c:v>44663</c:v>
                </c:pt>
                <c:pt idx="595">
                  <c:v>44664</c:v>
                </c:pt>
                <c:pt idx="596">
                  <c:v>44665</c:v>
                </c:pt>
                <c:pt idx="597">
                  <c:v>44666</c:v>
                </c:pt>
                <c:pt idx="598">
                  <c:v>44669</c:v>
                </c:pt>
                <c:pt idx="599">
                  <c:v>44670</c:v>
                </c:pt>
                <c:pt idx="600">
                  <c:v>44671</c:v>
                </c:pt>
                <c:pt idx="601">
                  <c:v>44672</c:v>
                </c:pt>
                <c:pt idx="602">
                  <c:v>44673</c:v>
                </c:pt>
                <c:pt idx="603">
                  <c:v>44676</c:v>
                </c:pt>
                <c:pt idx="604">
                  <c:v>44677</c:v>
                </c:pt>
                <c:pt idx="605">
                  <c:v>44678</c:v>
                </c:pt>
                <c:pt idx="606">
                  <c:v>44679</c:v>
                </c:pt>
                <c:pt idx="607">
                  <c:v>44680</c:v>
                </c:pt>
                <c:pt idx="608">
                  <c:v>44683</c:v>
                </c:pt>
                <c:pt idx="609">
                  <c:v>44684</c:v>
                </c:pt>
                <c:pt idx="610">
                  <c:v>44685</c:v>
                </c:pt>
                <c:pt idx="611">
                  <c:v>44686</c:v>
                </c:pt>
                <c:pt idx="612">
                  <c:v>44687</c:v>
                </c:pt>
                <c:pt idx="613">
                  <c:v>44690</c:v>
                </c:pt>
                <c:pt idx="614">
                  <c:v>44691</c:v>
                </c:pt>
                <c:pt idx="615">
                  <c:v>44692</c:v>
                </c:pt>
                <c:pt idx="616">
                  <c:v>44693</c:v>
                </c:pt>
                <c:pt idx="617">
                  <c:v>44694</c:v>
                </c:pt>
                <c:pt idx="618">
                  <c:v>44697</c:v>
                </c:pt>
                <c:pt idx="619">
                  <c:v>44698</c:v>
                </c:pt>
                <c:pt idx="620">
                  <c:v>44699</c:v>
                </c:pt>
                <c:pt idx="621">
                  <c:v>44700</c:v>
                </c:pt>
                <c:pt idx="622">
                  <c:v>44701</c:v>
                </c:pt>
                <c:pt idx="623">
                  <c:v>44704</c:v>
                </c:pt>
                <c:pt idx="624">
                  <c:v>44705</c:v>
                </c:pt>
                <c:pt idx="625">
                  <c:v>44706</c:v>
                </c:pt>
                <c:pt idx="626">
                  <c:v>44707</c:v>
                </c:pt>
                <c:pt idx="627">
                  <c:v>44708</c:v>
                </c:pt>
                <c:pt idx="628">
                  <c:v>44711</c:v>
                </c:pt>
                <c:pt idx="629">
                  <c:v>44712</c:v>
                </c:pt>
                <c:pt idx="630">
                  <c:v>44713</c:v>
                </c:pt>
                <c:pt idx="631">
                  <c:v>44714</c:v>
                </c:pt>
                <c:pt idx="632">
                  <c:v>44715</c:v>
                </c:pt>
                <c:pt idx="633">
                  <c:v>44718</c:v>
                </c:pt>
                <c:pt idx="634">
                  <c:v>44719</c:v>
                </c:pt>
                <c:pt idx="635">
                  <c:v>44720</c:v>
                </c:pt>
                <c:pt idx="636">
                  <c:v>44721</c:v>
                </c:pt>
                <c:pt idx="637">
                  <c:v>44722</c:v>
                </c:pt>
                <c:pt idx="638">
                  <c:v>44725</c:v>
                </c:pt>
                <c:pt idx="639">
                  <c:v>44726</c:v>
                </c:pt>
                <c:pt idx="640">
                  <c:v>44727</c:v>
                </c:pt>
                <c:pt idx="641">
                  <c:v>44728</c:v>
                </c:pt>
                <c:pt idx="642">
                  <c:v>44729</c:v>
                </c:pt>
                <c:pt idx="643">
                  <c:v>44732</c:v>
                </c:pt>
                <c:pt idx="644">
                  <c:v>44733</c:v>
                </c:pt>
                <c:pt idx="645">
                  <c:v>44734</c:v>
                </c:pt>
                <c:pt idx="646">
                  <c:v>44735</c:v>
                </c:pt>
                <c:pt idx="647">
                  <c:v>44736</c:v>
                </c:pt>
                <c:pt idx="648">
                  <c:v>44739</c:v>
                </c:pt>
                <c:pt idx="649">
                  <c:v>44740</c:v>
                </c:pt>
                <c:pt idx="650">
                  <c:v>44741</c:v>
                </c:pt>
                <c:pt idx="651">
                  <c:v>44742</c:v>
                </c:pt>
                <c:pt idx="652">
                  <c:v>44743</c:v>
                </c:pt>
                <c:pt idx="653">
                  <c:v>44746</c:v>
                </c:pt>
                <c:pt idx="654">
                  <c:v>44747</c:v>
                </c:pt>
                <c:pt idx="655">
                  <c:v>44748</c:v>
                </c:pt>
                <c:pt idx="656">
                  <c:v>44749</c:v>
                </c:pt>
                <c:pt idx="657">
                  <c:v>44750</c:v>
                </c:pt>
                <c:pt idx="658">
                  <c:v>44753</c:v>
                </c:pt>
                <c:pt idx="659">
                  <c:v>44754</c:v>
                </c:pt>
                <c:pt idx="660">
                  <c:v>44755</c:v>
                </c:pt>
                <c:pt idx="661">
                  <c:v>44756</c:v>
                </c:pt>
                <c:pt idx="662">
                  <c:v>44757</c:v>
                </c:pt>
                <c:pt idx="663">
                  <c:v>44760</c:v>
                </c:pt>
                <c:pt idx="664">
                  <c:v>44761</c:v>
                </c:pt>
                <c:pt idx="665">
                  <c:v>44762</c:v>
                </c:pt>
                <c:pt idx="666">
                  <c:v>44763</c:v>
                </c:pt>
                <c:pt idx="667">
                  <c:v>44764</c:v>
                </c:pt>
                <c:pt idx="668">
                  <c:v>44767</c:v>
                </c:pt>
                <c:pt idx="669">
                  <c:v>44768</c:v>
                </c:pt>
                <c:pt idx="670">
                  <c:v>44769</c:v>
                </c:pt>
                <c:pt idx="671">
                  <c:v>44770</c:v>
                </c:pt>
                <c:pt idx="672">
                  <c:v>44771</c:v>
                </c:pt>
                <c:pt idx="673">
                  <c:v>44774</c:v>
                </c:pt>
                <c:pt idx="674">
                  <c:v>44775</c:v>
                </c:pt>
                <c:pt idx="675">
                  <c:v>44776</c:v>
                </c:pt>
                <c:pt idx="676">
                  <c:v>44777</c:v>
                </c:pt>
                <c:pt idx="677">
                  <c:v>44778</c:v>
                </c:pt>
                <c:pt idx="678">
                  <c:v>44781</c:v>
                </c:pt>
                <c:pt idx="679">
                  <c:v>44782</c:v>
                </c:pt>
                <c:pt idx="680">
                  <c:v>44783</c:v>
                </c:pt>
                <c:pt idx="681">
                  <c:v>44784</c:v>
                </c:pt>
                <c:pt idx="682">
                  <c:v>44785</c:v>
                </c:pt>
                <c:pt idx="683">
                  <c:v>44788</c:v>
                </c:pt>
                <c:pt idx="684">
                  <c:v>44789</c:v>
                </c:pt>
                <c:pt idx="685">
                  <c:v>44790</c:v>
                </c:pt>
                <c:pt idx="686">
                  <c:v>44791</c:v>
                </c:pt>
                <c:pt idx="687">
                  <c:v>44792</c:v>
                </c:pt>
                <c:pt idx="688">
                  <c:v>44795</c:v>
                </c:pt>
                <c:pt idx="689">
                  <c:v>44796</c:v>
                </c:pt>
                <c:pt idx="690">
                  <c:v>44797</c:v>
                </c:pt>
                <c:pt idx="691">
                  <c:v>44798</c:v>
                </c:pt>
                <c:pt idx="692">
                  <c:v>44799</c:v>
                </c:pt>
                <c:pt idx="693">
                  <c:v>44802</c:v>
                </c:pt>
                <c:pt idx="694">
                  <c:v>44803</c:v>
                </c:pt>
                <c:pt idx="695">
                  <c:v>44804</c:v>
                </c:pt>
                <c:pt idx="696">
                  <c:v>44805</c:v>
                </c:pt>
                <c:pt idx="697">
                  <c:v>44806</c:v>
                </c:pt>
                <c:pt idx="698">
                  <c:v>44809</c:v>
                </c:pt>
                <c:pt idx="699">
                  <c:v>44810</c:v>
                </c:pt>
                <c:pt idx="700">
                  <c:v>44811</c:v>
                </c:pt>
                <c:pt idx="701">
                  <c:v>44812</c:v>
                </c:pt>
                <c:pt idx="702">
                  <c:v>44813</c:v>
                </c:pt>
                <c:pt idx="703">
                  <c:v>44816</c:v>
                </c:pt>
                <c:pt idx="704">
                  <c:v>44817</c:v>
                </c:pt>
                <c:pt idx="705">
                  <c:v>44818</c:v>
                </c:pt>
                <c:pt idx="706">
                  <c:v>44819</c:v>
                </c:pt>
                <c:pt idx="707">
                  <c:v>44820</c:v>
                </c:pt>
                <c:pt idx="708">
                  <c:v>44823</c:v>
                </c:pt>
                <c:pt idx="709">
                  <c:v>44824</c:v>
                </c:pt>
                <c:pt idx="710">
                  <c:v>44825</c:v>
                </c:pt>
                <c:pt idx="711">
                  <c:v>44826</c:v>
                </c:pt>
                <c:pt idx="712">
                  <c:v>44827</c:v>
                </c:pt>
                <c:pt idx="713">
                  <c:v>44830</c:v>
                </c:pt>
                <c:pt idx="714">
                  <c:v>44831</c:v>
                </c:pt>
                <c:pt idx="715">
                  <c:v>44832</c:v>
                </c:pt>
                <c:pt idx="716">
                  <c:v>44833</c:v>
                </c:pt>
                <c:pt idx="717">
                  <c:v>44834</c:v>
                </c:pt>
                <c:pt idx="718">
                  <c:v>44837</c:v>
                </c:pt>
                <c:pt idx="719">
                  <c:v>44838</c:v>
                </c:pt>
                <c:pt idx="720">
                  <c:v>44839</c:v>
                </c:pt>
                <c:pt idx="721">
                  <c:v>44840</c:v>
                </c:pt>
                <c:pt idx="722">
                  <c:v>44841</c:v>
                </c:pt>
                <c:pt idx="723">
                  <c:v>44844</c:v>
                </c:pt>
                <c:pt idx="724">
                  <c:v>44845</c:v>
                </c:pt>
                <c:pt idx="725">
                  <c:v>44846</c:v>
                </c:pt>
                <c:pt idx="726">
                  <c:v>44847</c:v>
                </c:pt>
                <c:pt idx="727">
                  <c:v>44848</c:v>
                </c:pt>
                <c:pt idx="728">
                  <c:v>44851</c:v>
                </c:pt>
                <c:pt idx="729">
                  <c:v>44852</c:v>
                </c:pt>
                <c:pt idx="730">
                  <c:v>44853</c:v>
                </c:pt>
                <c:pt idx="731">
                  <c:v>44854</c:v>
                </c:pt>
                <c:pt idx="732">
                  <c:v>44855</c:v>
                </c:pt>
                <c:pt idx="733">
                  <c:v>44858</c:v>
                </c:pt>
                <c:pt idx="734">
                  <c:v>44859</c:v>
                </c:pt>
                <c:pt idx="735">
                  <c:v>44860</c:v>
                </c:pt>
                <c:pt idx="736">
                  <c:v>44861</c:v>
                </c:pt>
                <c:pt idx="737">
                  <c:v>44862</c:v>
                </c:pt>
                <c:pt idx="738">
                  <c:v>44865</c:v>
                </c:pt>
                <c:pt idx="739">
                  <c:v>44866</c:v>
                </c:pt>
                <c:pt idx="740">
                  <c:v>44867</c:v>
                </c:pt>
                <c:pt idx="741">
                  <c:v>44868</c:v>
                </c:pt>
                <c:pt idx="742">
                  <c:v>44869</c:v>
                </c:pt>
                <c:pt idx="743">
                  <c:v>44872</c:v>
                </c:pt>
                <c:pt idx="744">
                  <c:v>44873</c:v>
                </c:pt>
                <c:pt idx="745">
                  <c:v>44874</c:v>
                </c:pt>
                <c:pt idx="746">
                  <c:v>44875</c:v>
                </c:pt>
                <c:pt idx="747">
                  <c:v>44876</c:v>
                </c:pt>
                <c:pt idx="748">
                  <c:v>44879</c:v>
                </c:pt>
                <c:pt idx="749">
                  <c:v>44880</c:v>
                </c:pt>
                <c:pt idx="750">
                  <c:v>44881</c:v>
                </c:pt>
                <c:pt idx="751">
                  <c:v>44882</c:v>
                </c:pt>
                <c:pt idx="752">
                  <c:v>44883</c:v>
                </c:pt>
                <c:pt idx="753">
                  <c:v>44886</c:v>
                </c:pt>
                <c:pt idx="754">
                  <c:v>44887</c:v>
                </c:pt>
                <c:pt idx="755">
                  <c:v>44888</c:v>
                </c:pt>
                <c:pt idx="756">
                  <c:v>44889</c:v>
                </c:pt>
                <c:pt idx="757">
                  <c:v>44890</c:v>
                </c:pt>
                <c:pt idx="758">
                  <c:v>44893</c:v>
                </c:pt>
                <c:pt idx="759">
                  <c:v>44894</c:v>
                </c:pt>
                <c:pt idx="760">
                  <c:v>44895</c:v>
                </c:pt>
                <c:pt idx="761">
                  <c:v>44896</c:v>
                </c:pt>
                <c:pt idx="762">
                  <c:v>44897</c:v>
                </c:pt>
                <c:pt idx="763">
                  <c:v>44900</c:v>
                </c:pt>
                <c:pt idx="764">
                  <c:v>44901</c:v>
                </c:pt>
                <c:pt idx="765">
                  <c:v>44902</c:v>
                </c:pt>
                <c:pt idx="766">
                  <c:v>44903</c:v>
                </c:pt>
                <c:pt idx="767">
                  <c:v>44904</c:v>
                </c:pt>
                <c:pt idx="768">
                  <c:v>44907</c:v>
                </c:pt>
                <c:pt idx="769">
                  <c:v>44908</c:v>
                </c:pt>
                <c:pt idx="770">
                  <c:v>44909</c:v>
                </c:pt>
                <c:pt idx="771">
                  <c:v>44910</c:v>
                </c:pt>
                <c:pt idx="772">
                  <c:v>44911</c:v>
                </c:pt>
                <c:pt idx="773">
                  <c:v>44914</c:v>
                </c:pt>
                <c:pt idx="774">
                  <c:v>44915</c:v>
                </c:pt>
                <c:pt idx="775">
                  <c:v>44916</c:v>
                </c:pt>
                <c:pt idx="776">
                  <c:v>44917</c:v>
                </c:pt>
                <c:pt idx="777">
                  <c:v>44918</c:v>
                </c:pt>
                <c:pt idx="778">
                  <c:v>44921</c:v>
                </c:pt>
                <c:pt idx="779">
                  <c:v>44922</c:v>
                </c:pt>
                <c:pt idx="780">
                  <c:v>44923</c:v>
                </c:pt>
                <c:pt idx="781">
                  <c:v>44924</c:v>
                </c:pt>
                <c:pt idx="782">
                  <c:v>44925</c:v>
                </c:pt>
                <c:pt idx="783">
                  <c:v>44928</c:v>
                </c:pt>
                <c:pt idx="784">
                  <c:v>44929</c:v>
                </c:pt>
                <c:pt idx="785">
                  <c:v>44930</c:v>
                </c:pt>
                <c:pt idx="786">
                  <c:v>44931</c:v>
                </c:pt>
                <c:pt idx="787">
                  <c:v>44932</c:v>
                </c:pt>
                <c:pt idx="788">
                  <c:v>44935</c:v>
                </c:pt>
                <c:pt idx="789">
                  <c:v>44936</c:v>
                </c:pt>
                <c:pt idx="790">
                  <c:v>44937</c:v>
                </c:pt>
                <c:pt idx="791">
                  <c:v>44938</c:v>
                </c:pt>
                <c:pt idx="792">
                  <c:v>44939</c:v>
                </c:pt>
                <c:pt idx="793">
                  <c:v>44942</c:v>
                </c:pt>
                <c:pt idx="794">
                  <c:v>44943</c:v>
                </c:pt>
                <c:pt idx="795">
                  <c:v>44944</c:v>
                </c:pt>
                <c:pt idx="796">
                  <c:v>44945</c:v>
                </c:pt>
                <c:pt idx="797">
                  <c:v>44946</c:v>
                </c:pt>
                <c:pt idx="798">
                  <c:v>44949</c:v>
                </c:pt>
                <c:pt idx="799">
                  <c:v>44950</c:v>
                </c:pt>
                <c:pt idx="800">
                  <c:v>44951</c:v>
                </c:pt>
                <c:pt idx="801">
                  <c:v>44952</c:v>
                </c:pt>
                <c:pt idx="802">
                  <c:v>44953</c:v>
                </c:pt>
                <c:pt idx="803">
                  <c:v>44956</c:v>
                </c:pt>
                <c:pt idx="804">
                  <c:v>44957</c:v>
                </c:pt>
                <c:pt idx="805">
                  <c:v>44958</c:v>
                </c:pt>
                <c:pt idx="806">
                  <c:v>44959</c:v>
                </c:pt>
                <c:pt idx="807">
                  <c:v>44960</c:v>
                </c:pt>
                <c:pt idx="808">
                  <c:v>44963</c:v>
                </c:pt>
                <c:pt idx="809">
                  <c:v>44964</c:v>
                </c:pt>
                <c:pt idx="810">
                  <c:v>44965</c:v>
                </c:pt>
                <c:pt idx="811">
                  <c:v>44966</c:v>
                </c:pt>
                <c:pt idx="812">
                  <c:v>44967</c:v>
                </c:pt>
                <c:pt idx="813">
                  <c:v>44970</c:v>
                </c:pt>
                <c:pt idx="814">
                  <c:v>44971</c:v>
                </c:pt>
                <c:pt idx="815">
                  <c:v>44972</c:v>
                </c:pt>
                <c:pt idx="816">
                  <c:v>44973</c:v>
                </c:pt>
                <c:pt idx="817">
                  <c:v>44974</c:v>
                </c:pt>
                <c:pt idx="818">
                  <c:v>44977</c:v>
                </c:pt>
                <c:pt idx="819">
                  <c:v>44978</c:v>
                </c:pt>
                <c:pt idx="820">
                  <c:v>44979</c:v>
                </c:pt>
                <c:pt idx="821">
                  <c:v>44980</c:v>
                </c:pt>
                <c:pt idx="822">
                  <c:v>44981</c:v>
                </c:pt>
                <c:pt idx="823">
                  <c:v>44984</c:v>
                </c:pt>
                <c:pt idx="824">
                  <c:v>44985</c:v>
                </c:pt>
                <c:pt idx="825">
                  <c:v>44986</c:v>
                </c:pt>
                <c:pt idx="826">
                  <c:v>44987</c:v>
                </c:pt>
                <c:pt idx="827">
                  <c:v>44988</c:v>
                </c:pt>
                <c:pt idx="828">
                  <c:v>44991</c:v>
                </c:pt>
                <c:pt idx="829">
                  <c:v>44992</c:v>
                </c:pt>
                <c:pt idx="830">
                  <c:v>44993</c:v>
                </c:pt>
                <c:pt idx="831">
                  <c:v>44994</c:v>
                </c:pt>
                <c:pt idx="832">
                  <c:v>44995</c:v>
                </c:pt>
                <c:pt idx="833">
                  <c:v>44998</c:v>
                </c:pt>
                <c:pt idx="834">
                  <c:v>44999</c:v>
                </c:pt>
                <c:pt idx="835">
                  <c:v>45000</c:v>
                </c:pt>
                <c:pt idx="836">
                  <c:v>45001</c:v>
                </c:pt>
                <c:pt idx="837">
                  <c:v>45002</c:v>
                </c:pt>
                <c:pt idx="838">
                  <c:v>45005</c:v>
                </c:pt>
                <c:pt idx="839">
                  <c:v>45006</c:v>
                </c:pt>
                <c:pt idx="840">
                  <c:v>45007</c:v>
                </c:pt>
                <c:pt idx="841">
                  <c:v>45008</c:v>
                </c:pt>
                <c:pt idx="842">
                  <c:v>45009</c:v>
                </c:pt>
                <c:pt idx="843">
                  <c:v>45012</c:v>
                </c:pt>
                <c:pt idx="844">
                  <c:v>45013</c:v>
                </c:pt>
                <c:pt idx="845">
                  <c:v>45014</c:v>
                </c:pt>
                <c:pt idx="846">
                  <c:v>45015</c:v>
                </c:pt>
                <c:pt idx="847">
                  <c:v>45016</c:v>
                </c:pt>
                <c:pt idx="848">
                  <c:v>45019</c:v>
                </c:pt>
                <c:pt idx="849">
                  <c:v>45020</c:v>
                </c:pt>
                <c:pt idx="850">
                  <c:v>45021</c:v>
                </c:pt>
                <c:pt idx="851">
                  <c:v>45022</c:v>
                </c:pt>
                <c:pt idx="852">
                  <c:v>45023</c:v>
                </c:pt>
                <c:pt idx="853">
                  <c:v>45026</c:v>
                </c:pt>
                <c:pt idx="854">
                  <c:v>45027</c:v>
                </c:pt>
                <c:pt idx="855">
                  <c:v>45028</c:v>
                </c:pt>
                <c:pt idx="856">
                  <c:v>45029</c:v>
                </c:pt>
                <c:pt idx="857">
                  <c:v>45030</c:v>
                </c:pt>
                <c:pt idx="858">
                  <c:v>45033</c:v>
                </c:pt>
                <c:pt idx="859">
                  <c:v>45034</c:v>
                </c:pt>
                <c:pt idx="860">
                  <c:v>45035</c:v>
                </c:pt>
                <c:pt idx="861">
                  <c:v>45036</c:v>
                </c:pt>
                <c:pt idx="862">
                  <c:v>45037</c:v>
                </c:pt>
                <c:pt idx="863">
                  <c:v>45040</c:v>
                </c:pt>
                <c:pt idx="864">
                  <c:v>45041</c:v>
                </c:pt>
                <c:pt idx="865">
                  <c:v>45042</c:v>
                </c:pt>
                <c:pt idx="866">
                  <c:v>45043</c:v>
                </c:pt>
                <c:pt idx="867">
                  <c:v>45044</c:v>
                </c:pt>
                <c:pt idx="868">
                  <c:v>45047</c:v>
                </c:pt>
                <c:pt idx="869">
                  <c:v>45048</c:v>
                </c:pt>
                <c:pt idx="870">
                  <c:v>45049</c:v>
                </c:pt>
                <c:pt idx="871">
                  <c:v>45050</c:v>
                </c:pt>
                <c:pt idx="872">
                  <c:v>45051</c:v>
                </c:pt>
                <c:pt idx="873">
                  <c:v>45054</c:v>
                </c:pt>
                <c:pt idx="874">
                  <c:v>45055</c:v>
                </c:pt>
                <c:pt idx="875">
                  <c:v>45056</c:v>
                </c:pt>
                <c:pt idx="876">
                  <c:v>45057</c:v>
                </c:pt>
                <c:pt idx="877">
                  <c:v>45058</c:v>
                </c:pt>
                <c:pt idx="878">
                  <c:v>45061</c:v>
                </c:pt>
                <c:pt idx="879">
                  <c:v>45062</c:v>
                </c:pt>
                <c:pt idx="880">
                  <c:v>45063</c:v>
                </c:pt>
                <c:pt idx="881">
                  <c:v>45064</c:v>
                </c:pt>
                <c:pt idx="882">
                  <c:v>45065</c:v>
                </c:pt>
                <c:pt idx="883">
                  <c:v>45068</c:v>
                </c:pt>
                <c:pt idx="884">
                  <c:v>45069</c:v>
                </c:pt>
                <c:pt idx="885">
                  <c:v>45070</c:v>
                </c:pt>
                <c:pt idx="886">
                  <c:v>45071</c:v>
                </c:pt>
                <c:pt idx="887">
                  <c:v>45072</c:v>
                </c:pt>
                <c:pt idx="888">
                  <c:v>45075</c:v>
                </c:pt>
                <c:pt idx="889">
                  <c:v>45076</c:v>
                </c:pt>
                <c:pt idx="890">
                  <c:v>45077</c:v>
                </c:pt>
                <c:pt idx="891">
                  <c:v>45078</c:v>
                </c:pt>
                <c:pt idx="892">
                  <c:v>45079</c:v>
                </c:pt>
                <c:pt idx="893">
                  <c:v>45082</c:v>
                </c:pt>
                <c:pt idx="894">
                  <c:v>45083</c:v>
                </c:pt>
                <c:pt idx="895">
                  <c:v>45084</c:v>
                </c:pt>
                <c:pt idx="896">
                  <c:v>45085</c:v>
                </c:pt>
                <c:pt idx="897">
                  <c:v>45086</c:v>
                </c:pt>
                <c:pt idx="898">
                  <c:v>45089</c:v>
                </c:pt>
                <c:pt idx="899">
                  <c:v>45090</c:v>
                </c:pt>
                <c:pt idx="900">
                  <c:v>45091</c:v>
                </c:pt>
                <c:pt idx="901">
                  <c:v>45092</c:v>
                </c:pt>
                <c:pt idx="902">
                  <c:v>45093</c:v>
                </c:pt>
                <c:pt idx="903">
                  <c:v>45096</c:v>
                </c:pt>
                <c:pt idx="904">
                  <c:v>45097</c:v>
                </c:pt>
                <c:pt idx="905">
                  <c:v>45098</c:v>
                </c:pt>
                <c:pt idx="906">
                  <c:v>45099</c:v>
                </c:pt>
                <c:pt idx="907">
                  <c:v>45100</c:v>
                </c:pt>
                <c:pt idx="908">
                  <c:v>45103</c:v>
                </c:pt>
                <c:pt idx="909">
                  <c:v>45104</c:v>
                </c:pt>
                <c:pt idx="910">
                  <c:v>45105</c:v>
                </c:pt>
                <c:pt idx="911">
                  <c:v>45106</c:v>
                </c:pt>
                <c:pt idx="912">
                  <c:v>45107</c:v>
                </c:pt>
                <c:pt idx="913">
                  <c:v>45110</c:v>
                </c:pt>
                <c:pt idx="914">
                  <c:v>45111</c:v>
                </c:pt>
                <c:pt idx="915">
                  <c:v>45112</c:v>
                </c:pt>
                <c:pt idx="916">
                  <c:v>45113</c:v>
                </c:pt>
                <c:pt idx="917">
                  <c:v>45114</c:v>
                </c:pt>
                <c:pt idx="918">
                  <c:v>45117</c:v>
                </c:pt>
                <c:pt idx="919">
                  <c:v>45118</c:v>
                </c:pt>
                <c:pt idx="920">
                  <c:v>45119</c:v>
                </c:pt>
                <c:pt idx="921">
                  <c:v>45120</c:v>
                </c:pt>
                <c:pt idx="922">
                  <c:v>45121</c:v>
                </c:pt>
                <c:pt idx="923">
                  <c:v>45124</c:v>
                </c:pt>
                <c:pt idx="924">
                  <c:v>45125</c:v>
                </c:pt>
                <c:pt idx="925">
                  <c:v>45126</c:v>
                </c:pt>
                <c:pt idx="926">
                  <c:v>45127</c:v>
                </c:pt>
                <c:pt idx="927">
                  <c:v>45128</c:v>
                </c:pt>
                <c:pt idx="928">
                  <c:v>45131</c:v>
                </c:pt>
                <c:pt idx="929">
                  <c:v>45132</c:v>
                </c:pt>
                <c:pt idx="930">
                  <c:v>45133</c:v>
                </c:pt>
                <c:pt idx="931">
                  <c:v>45134</c:v>
                </c:pt>
                <c:pt idx="932">
                  <c:v>45135</c:v>
                </c:pt>
                <c:pt idx="933">
                  <c:v>45138</c:v>
                </c:pt>
                <c:pt idx="934">
                  <c:v>45139</c:v>
                </c:pt>
                <c:pt idx="935">
                  <c:v>45140</c:v>
                </c:pt>
                <c:pt idx="936">
                  <c:v>45141</c:v>
                </c:pt>
                <c:pt idx="937">
                  <c:v>45142</c:v>
                </c:pt>
                <c:pt idx="938">
                  <c:v>45145</c:v>
                </c:pt>
                <c:pt idx="939">
                  <c:v>45146</c:v>
                </c:pt>
                <c:pt idx="940">
                  <c:v>45147</c:v>
                </c:pt>
                <c:pt idx="941">
                  <c:v>45148</c:v>
                </c:pt>
                <c:pt idx="942">
                  <c:v>45149</c:v>
                </c:pt>
                <c:pt idx="943">
                  <c:v>45152</c:v>
                </c:pt>
                <c:pt idx="944">
                  <c:v>45153</c:v>
                </c:pt>
                <c:pt idx="945">
                  <c:v>45154</c:v>
                </c:pt>
                <c:pt idx="946">
                  <c:v>45155</c:v>
                </c:pt>
                <c:pt idx="947">
                  <c:v>45156</c:v>
                </c:pt>
                <c:pt idx="948">
                  <c:v>45159</c:v>
                </c:pt>
                <c:pt idx="949">
                  <c:v>45160</c:v>
                </c:pt>
                <c:pt idx="950">
                  <c:v>45161</c:v>
                </c:pt>
                <c:pt idx="951">
                  <c:v>45162</c:v>
                </c:pt>
                <c:pt idx="952">
                  <c:v>45163</c:v>
                </c:pt>
                <c:pt idx="953">
                  <c:v>45166</c:v>
                </c:pt>
                <c:pt idx="954">
                  <c:v>45167</c:v>
                </c:pt>
                <c:pt idx="955">
                  <c:v>45168</c:v>
                </c:pt>
                <c:pt idx="956">
                  <c:v>45169</c:v>
                </c:pt>
                <c:pt idx="957">
                  <c:v>45170</c:v>
                </c:pt>
                <c:pt idx="958">
                  <c:v>45173</c:v>
                </c:pt>
                <c:pt idx="959">
                  <c:v>45174</c:v>
                </c:pt>
                <c:pt idx="960">
                  <c:v>45175</c:v>
                </c:pt>
                <c:pt idx="961">
                  <c:v>45176</c:v>
                </c:pt>
                <c:pt idx="962">
                  <c:v>45177</c:v>
                </c:pt>
                <c:pt idx="963">
                  <c:v>45180</c:v>
                </c:pt>
                <c:pt idx="964">
                  <c:v>45181</c:v>
                </c:pt>
                <c:pt idx="965">
                  <c:v>45182</c:v>
                </c:pt>
                <c:pt idx="966">
                  <c:v>45183</c:v>
                </c:pt>
                <c:pt idx="967">
                  <c:v>45184</c:v>
                </c:pt>
                <c:pt idx="968">
                  <c:v>45187</c:v>
                </c:pt>
                <c:pt idx="969">
                  <c:v>45188</c:v>
                </c:pt>
                <c:pt idx="970">
                  <c:v>45189</c:v>
                </c:pt>
                <c:pt idx="971">
                  <c:v>45190</c:v>
                </c:pt>
                <c:pt idx="972">
                  <c:v>45191</c:v>
                </c:pt>
                <c:pt idx="973">
                  <c:v>45194</c:v>
                </c:pt>
                <c:pt idx="974">
                  <c:v>45195</c:v>
                </c:pt>
                <c:pt idx="975">
                  <c:v>45196</c:v>
                </c:pt>
                <c:pt idx="976">
                  <c:v>45197</c:v>
                </c:pt>
                <c:pt idx="977">
                  <c:v>45198</c:v>
                </c:pt>
                <c:pt idx="978">
                  <c:v>45201</c:v>
                </c:pt>
                <c:pt idx="979">
                  <c:v>45202</c:v>
                </c:pt>
                <c:pt idx="980">
                  <c:v>45203</c:v>
                </c:pt>
                <c:pt idx="981">
                  <c:v>45204</c:v>
                </c:pt>
                <c:pt idx="982">
                  <c:v>45205</c:v>
                </c:pt>
                <c:pt idx="983">
                  <c:v>45208</c:v>
                </c:pt>
                <c:pt idx="984">
                  <c:v>45209</c:v>
                </c:pt>
                <c:pt idx="985">
                  <c:v>45210</c:v>
                </c:pt>
                <c:pt idx="986">
                  <c:v>45211</c:v>
                </c:pt>
                <c:pt idx="987">
                  <c:v>45212</c:v>
                </c:pt>
                <c:pt idx="988">
                  <c:v>45215</c:v>
                </c:pt>
                <c:pt idx="989">
                  <c:v>45216</c:v>
                </c:pt>
                <c:pt idx="990">
                  <c:v>45217</c:v>
                </c:pt>
                <c:pt idx="991">
                  <c:v>45218</c:v>
                </c:pt>
                <c:pt idx="992">
                  <c:v>45219</c:v>
                </c:pt>
                <c:pt idx="993">
                  <c:v>45222</c:v>
                </c:pt>
                <c:pt idx="994">
                  <c:v>45223</c:v>
                </c:pt>
                <c:pt idx="995">
                  <c:v>45224</c:v>
                </c:pt>
                <c:pt idx="996">
                  <c:v>45225</c:v>
                </c:pt>
                <c:pt idx="997">
                  <c:v>45226</c:v>
                </c:pt>
                <c:pt idx="998">
                  <c:v>45229</c:v>
                </c:pt>
                <c:pt idx="999">
                  <c:v>45230</c:v>
                </c:pt>
                <c:pt idx="1000">
                  <c:v>45231</c:v>
                </c:pt>
                <c:pt idx="1001">
                  <c:v>45232</c:v>
                </c:pt>
                <c:pt idx="1002">
                  <c:v>45233</c:v>
                </c:pt>
                <c:pt idx="1003">
                  <c:v>45236</c:v>
                </c:pt>
                <c:pt idx="1004">
                  <c:v>45237</c:v>
                </c:pt>
                <c:pt idx="1005">
                  <c:v>45238</c:v>
                </c:pt>
                <c:pt idx="1006">
                  <c:v>45239</c:v>
                </c:pt>
                <c:pt idx="1007">
                  <c:v>45240</c:v>
                </c:pt>
                <c:pt idx="1008">
                  <c:v>45243</c:v>
                </c:pt>
                <c:pt idx="1009">
                  <c:v>45244</c:v>
                </c:pt>
                <c:pt idx="1010">
                  <c:v>45245</c:v>
                </c:pt>
                <c:pt idx="1011">
                  <c:v>45246</c:v>
                </c:pt>
                <c:pt idx="1012">
                  <c:v>45247</c:v>
                </c:pt>
                <c:pt idx="1013">
                  <c:v>45250</c:v>
                </c:pt>
                <c:pt idx="1014">
                  <c:v>45251</c:v>
                </c:pt>
                <c:pt idx="1015">
                  <c:v>45252</c:v>
                </c:pt>
                <c:pt idx="1016">
                  <c:v>45253</c:v>
                </c:pt>
                <c:pt idx="1017">
                  <c:v>45254</c:v>
                </c:pt>
                <c:pt idx="1018">
                  <c:v>45257</c:v>
                </c:pt>
                <c:pt idx="1019">
                  <c:v>45258</c:v>
                </c:pt>
                <c:pt idx="1020">
                  <c:v>45259</c:v>
                </c:pt>
                <c:pt idx="1021">
                  <c:v>45260</c:v>
                </c:pt>
                <c:pt idx="1022">
                  <c:v>45261</c:v>
                </c:pt>
                <c:pt idx="1023">
                  <c:v>45264</c:v>
                </c:pt>
                <c:pt idx="1024">
                  <c:v>45265</c:v>
                </c:pt>
                <c:pt idx="1025">
                  <c:v>45266</c:v>
                </c:pt>
                <c:pt idx="1026">
                  <c:v>45267</c:v>
                </c:pt>
                <c:pt idx="1027">
                  <c:v>45268</c:v>
                </c:pt>
                <c:pt idx="1028">
                  <c:v>45271</c:v>
                </c:pt>
                <c:pt idx="1029">
                  <c:v>45272</c:v>
                </c:pt>
                <c:pt idx="1030">
                  <c:v>45273</c:v>
                </c:pt>
                <c:pt idx="1031">
                  <c:v>45274</c:v>
                </c:pt>
                <c:pt idx="1032">
                  <c:v>45275</c:v>
                </c:pt>
                <c:pt idx="1033">
                  <c:v>45278</c:v>
                </c:pt>
                <c:pt idx="1034">
                  <c:v>45279</c:v>
                </c:pt>
                <c:pt idx="1035">
                  <c:v>45280</c:v>
                </c:pt>
                <c:pt idx="1036">
                  <c:v>45281</c:v>
                </c:pt>
                <c:pt idx="1037">
                  <c:v>45282</c:v>
                </c:pt>
                <c:pt idx="1038">
                  <c:v>45285</c:v>
                </c:pt>
                <c:pt idx="1039">
                  <c:v>45286</c:v>
                </c:pt>
                <c:pt idx="1040">
                  <c:v>45287</c:v>
                </c:pt>
                <c:pt idx="1041">
                  <c:v>45288</c:v>
                </c:pt>
                <c:pt idx="1042">
                  <c:v>45289</c:v>
                </c:pt>
                <c:pt idx="1043">
                  <c:v>45292</c:v>
                </c:pt>
                <c:pt idx="1044">
                  <c:v>45293</c:v>
                </c:pt>
                <c:pt idx="1045">
                  <c:v>45294</c:v>
                </c:pt>
                <c:pt idx="1046">
                  <c:v>45295</c:v>
                </c:pt>
                <c:pt idx="1047">
                  <c:v>45296</c:v>
                </c:pt>
                <c:pt idx="1048">
                  <c:v>45299</c:v>
                </c:pt>
                <c:pt idx="1049">
                  <c:v>45300</c:v>
                </c:pt>
                <c:pt idx="1050">
                  <c:v>45301</c:v>
                </c:pt>
                <c:pt idx="1051">
                  <c:v>45302</c:v>
                </c:pt>
                <c:pt idx="1052">
                  <c:v>45303</c:v>
                </c:pt>
                <c:pt idx="1053">
                  <c:v>45306</c:v>
                </c:pt>
                <c:pt idx="1054">
                  <c:v>45307</c:v>
                </c:pt>
                <c:pt idx="1055">
                  <c:v>45308</c:v>
                </c:pt>
                <c:pt idx="1056">
                  <c:v>45309</c:v>
                </c:pt>
                <c:pt idx="1057">
                  <c:v>45310</c:v>
                </c:pt>
                <c:pt idx="1058">
                  <c:v>45313</c:v>
                </c:pt>
                <c:pt idx="1059">
                  <c:v>45314</c:v>
                </c:pt>
                <c:pt idx="1060">
                  <c:v>45315</c:v>
                </c:pt>
                <c:pt idx="1061">
                  <c:v>45316</c:v>
                </c:pt>
                <c:pt idx="1062">
                  <c:v>45317</c:v>
                </c:pt>
                <c:pt idx="1063">
                  <c:v>45320</c:v>
                </c:pt>
                <c:pt idx="1064">
                  <c:v>45321</c:v>
                </c:pt>
                <c:pt idx="1065">
                  <c:v>45322</c:v>
                </c:pt>
                <c:pt idx="1066">
                  <c:v>45323</c:v>
                </c:pt>
                <c:pt idx="1067">
                  <c:v>45324</c:v>
                </c:pt>
                <c:pt idx="1068">
                  <c:v>45327</c:v>
                </c:pt>
                <c:pt idx="1069">
                  <c:v>45328</c:v>
                </c:pt>
                <c:pt idx="1070">
                  <c:v>45329</c:v>
                </c:pt>
                <c:pt idx="1071">
                  <c:v>45330</c:v>
                </c:pt>
                <c:pt idx="1072">
                  <c:v>45331</c:v>
                </c:pt>
                <c:pt idx="1073">
                  <c:v>45334</c:v>
                </c:pt>
                <c:pt idx="1074">
                  <c:v>45335</c:v>
                </c:pt>
                <c:pt idx="1075">
                  <c:v>45336</c:v>
                </c:pt>
                <c:pt idx="1076">
                  <c:v>45337</c:v>
                </c:pt>
                <c:pt idx="1077">
                  <c:v>45338</c:v>
                </c:pt>
                <c:pt idx="1078">
                  <c:v>45341</c:v>
                </c:pt>
                <c:pt idx="1079">
                  <c:v>45342</c:v>
                </c:pt>
                <c:pt idx="1080">
                  <c:v>45343</c:v>
                </c:pt>
                <c:pt idx="1081">
                  <c:v>45344</c:v>
                </c:pt>
                <c:pt idx="1082">
                  <c:v>45345</c:v>
                </c:pt>
                <c:pt idx="1083">
                  <c:v>45348</c:v>
                </c:pt>
                <c:pt idx="1084">
                  <c:v>45349</c:v>
                </c:pt>
                <c:pt idx="1085">
                  <c:v>45350</c:v>
                </c:pt>
                <c:pt idx="1086">
                  <c:v>45351</c:v>
                </c:pt>
                <c:pt idx="1087">
                  <c:v>45352</c:v>
                </c:pt>
                <c:pt idx="1088">
                  <c:v>45355</c:v>
                </c:pt>
                <c:pt idx="1089">
                  <c:v>45356</c:v>
                </c:pt>
                <c:pt idx="1090">
                  <c:v>45357</c:v>
                </c:pt>
                <c:pt idx="1091">
                  <c:v>45358</c:v>
                </c:pt>
                <c:pt idx="1092">
                  <c:v>45359</c:v>
                </c:pt>
                <c:pt idx="1093">
                  <c:v>45362</c:v>
                </c:pt>
                <c:pt idx="1094">
                  <c:v>45363</c:v>
                </c:pt>
                <c:pt idx="1095">
                  <c:v>45364</c:v>
                </c:pt>
                <c:pt idx="1096">
                  <c:v>45365</c:v>
                </c:pt>
                <c:pt idx="1097">
                  <c:v>45366</c:v>
                </c:pt>
                <c:pt idx="1098">
                  <c:v>45369</c:v>
                </c:pt>
                <c:pt idx="1099">
                  <c:v>45370</c:v>
                </c:pt>
                <c:pt idx="1100">
                  <c:v>45371</c:v>
                </c:pt>
                <c:pt idx="1101">
                  <c:v>45372</c:v>
                </c:pt>
                <c:pt idx="1102">
                  <c:v>45373</c:v>
                </c:pt>
                <c:pt idx="1103">
                  <c:v>45376</c:v>
                </c:pt>
                <c:pt idx="1104">
                  <c:v>45377</c:v>
                </c:pt>
                <c:pt idx="1105">
                  <c:v>45378</c:v>
                </c:pt>
                <c:pt idx="1106">
                  <c:v>45379</c:v>
                </c:pt>
                <c:pt idx="1107">
                  <c:v>45380</c:v>
                </c:pt>
                <c:pt idx="1108">
                  <c:v>45383</c:v>
                </c:pt>
                <c:pt idx="1109">
                  <c:v>45384</c:v>
                </c:pt>
                <c:pt idx="1110">
                  <c:v>45385</c:v>
                </c:pt>
                <c:pt idx="1111">
                  <c:v>45386</c:v>
                </c:pt>
                <c:pt idx="1112">
                  <c:v>45387</c:v>
                </c:pt>
                <c:pt idx="1113">
                  <c:v>45390</c:v>
                </c:pt>
                <c:pt idx="1114">
                  <c:v>45391</c:v>
                </c:pt>
                <c:pt idx="1115">
                  <c:v>45392</c:v>
                </c:pt>
                <c:pt idx="1116">
                  <c:v>45393</c:v>
                </c:pt>
                <c:pt idx="1117">
                  <c:v>45394</c:v>
                </c:pt>
                <c:pt idx="1118">
                  <c:v>45397</c:v>
                </c:pt>
                <c:pt idx="1119">
                  <c:v>45398</c:v>
                </c:pt>
                <c:pt idx="1120">
                  <c:v>45399</c:v>
                </c:pt>
                <c:pt idx="1121">
                  <c:v>45400</c:v>
                </c:pt>
                <c:pt idx="1122">
                  <c:v>45401</c:v>
                </c:pt>
                <c:pt idx="1123">
                  <c:v>45404</c:v>
                </c:pt>
                <c:pt idx="1124">
                  <c:v>45405</c:v>
                </c:pt>
                <c:pt idx="1125">
                  <c:v>45406</c:v>
                </c:pt>
                <c:pt idx="1126">
                  <c:v>45407</c:v>
                </c:pt>
                <c:pt idx="1127">
                  <c:v>45408</c:v>
                </c:pt>
                <c:pt idx="1128">
                  <c:v>45411</c:v>
                </c:pt>
                <c:pt idx="1129">
                  <c:v>45412</c:v>
                </c:pt>
                <c:pt idx="1130">
                  <c:v>45413</c:v>
                </c:pt>
                <c:pt idx="1131">
                  <c:v>45414</c:v>
                </c:pt>
                <c:pt idx="1132">
                  <c:v>45415</c:v>
                </c:pt>
                <c:pt idx="1133">
                  <c:v>45418</c:v>
                </c:pt>
                <c:pt idx="1134">
                  <c:v>45419</c:v>
                </c:pt>
                <c:pt idx="1135">
                  <c:v>45420</c:v>
                </c:pt>
                <c:pt idx="1136">
                  <c:v>45421</c:v>
                </c:pt>
                <c:pt idx="1137">
                  <c:v>45422</c:v>
                </c:pt>
                <c:pt idx="1138">
                  <c:v>45425</c:v>
                </c:pt>
                <c:pt idx="1139">
                  <c:v>45426</c:v>
                </c:pt>
                <c:pt idx="1140">
                  <c:v>45427</c:v>
                </c:pt>
                <c:pt idx="1141">
                  <c:v>45428</c:v>
                </c:pt>
                <c:pt idx="1142">
                  <c:v>45429</c:v>
                </c:pt>
                <c:pt idx="1143">
                  <c:v>45432</c:v>
                </c:pt>
                <c:pt idx="1144">
                  <c:v>45433</c:v>
                </c:pt>
                <c:pt idx="1145">
                  <c:v>45434</c:v>
                </c:pt>
                <c:pt idx="1146">
                  <c:v>45435</c:v>
                </c:pt>
                <c:pt idx="1147">
                  <c:v>45436</c:v>
                </c:pt>
                <c:pt idx="1148">
                  <c:v>45439</c:v>
                </c:pt>
                <c:pt idx="1149">
                  <c:v>45440</c:v>
                </c:pt>
                <c:pt idx="1150">
                  <c:v>45441</c:v>
                </c:pt>
                <c:pt idx="1151">
                  <c:v>45442</c:v>
                </c:pt>
                <c:pt idx="1152">
                  <c:v>45443</c:v>
                </c:pt>
                <c:pt idx="1153">
                  <c:v>45446</c:v>
                </c:pt>
                <c:pt idx="1154">
                  <c:v>45447</c:v>
                </c:pt>
                <c:pt idx="1155">
                  <c:v>45448</c:v>
                </c:pt>
                <c:pt idx="1156">
                  <c:v>45449</c:v>
                </c:pt>
                <c:pt idx="1157">
                  <c:v>45450</c:v>
                </c:pt>
                <c:pt idx="1158">
                  <c:v>45453</c:v>
                </c:pt>
                <c:pt idx="1159">
                  <c:v>45454</c:v>
                </c:pt>
                <c:pt idx="1160">
                  <c:v>45455</c:v>
                </c:pt>
                <c:pt idx="1161">
                  <c:v>45456</c:v>
                </c:pt>
                <c:pt idx="1162">
                  <c:v>45457</c:v>
                </c:pt>
                <c:pt idx="1163">
                  <c:v>45460</c:v>
                </c:pt>
                <c:pt idx="1164">
                  <c:v>45461</c:v>
                </c:pt>
              </c:numCache>
            </c:numRef>
          </c:cat>
          <c:val>
            <c:numRef>
              <c:f>Sheet1!$L$2:$L$1428</c:f>
              <c:numCache>
                <c:formatCode>General</c:formatCode>
                <c:ptCount val="1166"/>
              </c:numCache>
            </c:numRef>
          </c:val>
          <c:smooth val="0"/>
          <c:extLst>
            <c:ext xmlns:c16="http://schemas.microsoft.com/office/drawing/2014/chart" uri="{C3380CC4-5D6E-409C-BE32-E72D297353CC}">
              <c16:uniqueId val="{00000009-5560-4D07-B97F-4AA9E95DFDA5}"/>
            </c:ext>
          </c:extLst>
        </c:ser>
        <c:dLbls>
          <c:showLegendKey val="0"/>
          <c:showVal val="0"/>
          <c:showCatName val="0"/>
          <c:showSerName val="0"/>
          <c:showPercent val="0"/>
          <c:showBubbleSize val="0"/>
        </c:dLbls>
        <c:marker val="1"/>
        <c:smooth val="0"/>
        <c:axId val="-32516256"/>
        <c:axId val="-32523328"/>
      </c:lineChart>
      <c:dateAx>
        <c:axId val="-32509184"/>
        <c:scaling>
          <c:orientation val="minMax"/>
        </c:scaling>
        <c:delete val="0"/>
        <c:axPos val="b"/>
        <c:numFmt formatCode="dd\/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32512448"/>
        <c:crosses val="autoZero"/>
        <c:auto val="1"/>
        <c:lblOffset val="100"/>
        <c:baseTimeUnit val="days"/>
      </c:dateAx>
      <c:valAx>
        <c:axId val="-32512448"/>
        <c:scaling>
          <c:orientation val="minMax"/>
          <c:max val="2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y-AM" sz="900"/>
                  <a:t>տոկոսային կետ</a:t>
                </a:r>
                <a:endParaRPr lang="en-US" sz="900"/>
              </a:p>
            </c:rich>
          </c:tx>
          <c:layout>
            <c:manualLayout>
              <c:xMode val="edge"/>
              <c:yMode val="edge"/>
              <c:x val="1.3658092419758707E-2"/>
              <c:y val="0.1199353796445880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509184"/>
        <c:crosses val="autoZero"/>
        <c:crossBetween val="between"/>
        <c:majorUnit val="5"/>
      </c:valAx>
      <c:valAx>
        <c:axId val="-32523328"/>
        <c:scaling>
          <c:orientation val="minMax"/>
          <c:max val="100"/>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516256"/>
        <c:crosses val="max"/>
        <c:crossBetween val="between"/>
        <c:majorUnit val="20"/>
        <c:minorUnit val="5"/>
      </c:valAx>
      <c:dateAx>
        <c:axId val="-32516256"/>
        <c:scaling>
          <c:orientation val="minMax"/>
        </c:scaling>
        <c:delete val="1"/>
        <c:axPos val="b"/>
        <c:numFmt formatCode="dd\/mm\/yy" sourceLinked="1"/>
        <c:majorTickMark val="out"/>
        <c:minorTickMark val="none"/>
        <c:tickLblPos val="nextTo"/>
        <c:crossAx val="-32523328"/>
        <c:crosses val="autoZero"/>
        <c:auto val="1"/>
        <c:lblOffset val="100"/>
        <c:baseTimeUnit val="days"/>
      </c:dateAx>
      <c:spPr>
        <a:noFill/>
        <a:ln>
          <a:noFill/>
        </a:ln>
        <a:effectLst/>
      </c:spPr>
    </c:plotArea>
    <c:legend>
      <c:legendPos val="b"/>
      <c:legendEntry>
        <c:idx val="8"/>
        <c:delete val="1"/>
      </c:legendEntry>
      <c:layout>
        <c:manualLayout>
          <c:xMode val="edge"/>
          <c:yMode val="edge"/>
          <c:x val="0"/>
          <c:y val="0.7908081489813773"/>
          <c:w val="0.97737309355793311"/>
          <c:h val="0.2091918510186227"/>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'[2025-2027 Strategy data.xlsx]Graf 1'!$B$50</c:f>
              <c:strCache>
                <c:ptCount val="1"/>
                <c:pt idx="0">
                  <c:v>USD</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1'!$C$50:$G$50</c:f>
              <c:numCache>
                <c:formatCode>0%</c:formatCode>
                <c:ptCount val="5"/>
                <c:pt idx="0">
                  <c:v>0.5538419798413351</c:v>
                </c:pt>
                <c:pt idx="1">
                  <c:v>0.50629394036817943</c:v>
                </c:pt>
                <c:pt idx="2">
                  <c:v>0.58442784225361633</c:v>
                </c:pt>
                <c:pt idx="3">
                  <c:v>0.59239228133366895</c:v>
                </c:pt>
                <c:pt idx="4">
                  <c:v>0.57224760877613046</c:v>
                </c:pt>
              </c:numCache>
            </c:numRef>
          </c:val>
          <c:extLst>
            <c:ext xmlns:c16="http://schemas.microsoft.com/office/drawing/2014/chart" uri="{C3380CC4-5D6E-409C-BE32-E72D297353CC}">
              <c16:uniqueId val="{00000000-9FC1-40E5-AAD7-17E185893F29}"/>
            </c:ext>
          </c:extLst>
        </c:ser>
        <c:ser>
          <c:idx val="1"/>
          <c:order val="1"/>
          <c:tx>
            <c:strRef>
              <c:f>'[2025-2027 Strategy data.xlsx]Graf 1'!$B$51</c:f>
              <c:strCache>
                <c:ptCount val="1"/>
                <c:pt idx="0">
                  <c:v>SDR</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1'!$C$51:$G$51</c:f>
              <c:numCache>
                <c:formatCode>0%</c:formatCode>
                <c:ptCount val="5"/>
                <c:pt idx="0">
                  <c:v>0.26573895295212641</c:v>
                </c:pt>
                <c:pt idx="1">
                  <c:v>0.30500714969065684</c:v>
                </c:pt>
                <c:pt idx="2">
                  <c:v>0.25493761762432809</c:v>
                </c:pt>
                <c:pt idx="3">
                  <c:v>0.23973703086217577</c:v>
                </c:pt>
                <c:pt idx="4">
                  <c:v>0.22464718923084803</c:v>
                </c:pt>
              </c:numCache>
            </c:numRef>
          </c:val>
          <c:extLst>
            <c:ext xmlns:c16="http://schemas.microsoft.com/office/drawing/2014/chart" uri="{C3380CC4-5D6E-409C-BE32-E72D297353CC}">
              <c16:uniqueId val="{00000001-9FC1-40E5-AAD7-17E185893F29}"/>
            </c:ext>
          </c:extLst>
        </c:ser>
        <c:ser>
          <c:idx val="2"/>
          <c:order val="2"/>
          <c:tx>
            <c:strRef>
              <c:f>'[2025-2027 Strategy data.xlsx]Graf 1'!$B$52</c:f>
              <c:strCache>
                <c:ptCount val="1"/>
                <c:pt idx="0">
                  <c:v>EUR</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1'!$C$52:$G$52</c:f>
              <c:numCache>
                <c:formatCode>0%</c:formatCode>
                <c:ptCount val="5"/>
                <c:pt idx="0">
                  <c:v>0.13378323314624979</c:v>
                </c:pt>
                <c:pt idx="1">
                  <c:v>0.14383019554377066</c:v>
                </c:pt>
                <c:pt idx="2">
                  <c:v>0.12543435646994588</c:v>
                </c:pt>
                <c:pt idx="3">
                  <c:v>0.13872391014113211</c:v>
                </c:pt>
                <c:pt idx="4">
                  <c:v>0.17675064788226488</c:v>
                </c:pt>
              </c:numCache>
            </c:numRef>
          </c:val>
          <c:extLst>
            <c:ext xmlns:c16="http://schemas.microsoft.com/office/drawing/2014/chart" uri="{C3380CC4-5D6E-409C-BE32-E72D297353CC}">
              <c16:uniqueId val="{00000002-9FC1-40E5-AAD7-17E185893F29}"/>
            </c:ext>
          </c:extLst>
        </c:ser>
        <c:ser>
          <c:idx val="3"/>
          <c:order val="3"/>
          <c:tx>
            <c:strRef>
              <c:f>'[2025-2027 Strategy data.xlsx]Graf 1'!$B$53</c:f>
              <c:strCache>
                <c:ptCount val="1"/>
                <c:pt idx="0">
                  <c:v>JPY</c:v>
                </c:pt>
              </c:strCache>
            </c:strRef>
          </c:tx>
          <c:spPr>
            <a:solidFill>
              <a:schemeClr val="accent4"/>
            </a:solidFill>
            <a:ln>
              <a:noFill/>
            </a:ln>
            <a:effectLst/>
          </c:spPr>
          <c:invertIfNegative val="0"/>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1'!$C$53:$G$53</c:f>
              <c:numCache>
                <c:formatCode>0%</c:formatCode>
                <c:ptCount val="5"/>
                <c:pt idx="0">
                  <c:v>4.1672700450458844E-2</c:v>
                </c:pt>
                <c:pt idx="1">
                  <c:v>4.0108871276384482E-2</c:v>
                </c:pt>
                <c:pt idx="2">
                  <c:v>3.113530228236995E-2</c:v>
                </c:pt>
                <c:pt idx="3">
                  <c:v>2.5733367657476261E-2</c:v>
                </c:pt>
                <c:pt idx="4">
                  <c:v>2.3256504478173443E-2</c:v>
                </c:pt>
              </c:numCache>
            </c:numRef>
          </c:val>
          <c:extLst>
            <c:ext xmlns:c16="http://schemas.microsoft.com/office/drawing/2014/chart" uri="{C3380CC4-5D6E-409C-BE32-E72D297353CC}">
              <c16:uniqueId val="{00000003-9FC1-40E5-AAD7-17E185893F29}"/>
            </c:ext>
          </c:extLst>
        </c:ser>
        <c:ser>
          <c:idx val="4"/>
          <c:order val="4"/>
          <c:tx>
            <c:strRef>
              <c:f>'[2025-2027 Strategy data.xlsx]Graf 1'!$B$54</c:f>
              <c:strCache>
                <c:ptCount val="1"/>
                <c:pt idx="0">
                  <c:v>AED</c:v>
                </c:pt>
              </c:strCache>
            </c:strRef>
          </c:tx>
          <c:spPr>
            <a:solidFill>
              <a:schemeClr val="accent5"/>
            </a:solidFill>
            <a:ln>
              <a:noFill/>
            </a:ln>
            <a:effectLst/>
          </c:spPr>
          <c:invertIfNegative val="0"/>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1'!$C$54:$G$54</c:f>
              <c:numCache>
                <c:formatCode>0%</c:formatCode>
                <c:ptCount val="5"/>
                <c:pt idx="0">
                  <c:v>8.4877250824480705E-4</c:v>
                </c:pt>
                <c:pt idx="1">
                  <c:v>7.0572301660814011E-4</c:v>
                </c:pt>
                <c:pt idx="2">
                  <c:v>5.4319468064314318E-4</c:v>
                </c:pt>
                <c:pt idx="3">
                  <c:v>4.4298551539110562E-4</c:v>
                </c:pt>
                <c:pt idx="4">
                  <c:v>3.5345591884739555E-4</c:v>
                </c:pt>
              </c:numCache>
            </c:numRef>
          </c:val>
          <c:extLst>
            <c:ext xmlns:c16="http://schemas.microsoft.com/office/drawing/2014/chart" uri="{C3380CC4-5D6E-409C-BE32-E72D297353CC}">
              <c16:uniqueId val="{00000004-9FC1-40E5-AAD7-17E185893F29}"/>
            </c:ext>
          </c:extLst>
        </c:ser>
        <c:ser>
          <c:idx val="5"/>
          <c:order val="5"/>
          <c:tx>
            <c:strRef>
              <c:f>'[2025-2027 Strategy data.xlsx]Graf 1'!$B$55</c:f>
              <c:strCache>
                <c:ptCount val="1"/>
                <c:pt idx="0">
                  <c:v>CNY</c:v>
                </c:pt>
              </c:strCache>
            </c:strRef>
          </c:tx>
          <c:spPr>
            <a:solidFill>
              <a:schemeClr val="bg2">
                <a:lumMod val="75000"/>
              </a:schemeClr>
            </a:solidFill>
            <a:ln>
              <a:noFill/>
            </a:ln>
            <a:effectLst/>
          </c:spPr>
          <c:invertIfNegative val="0"/>
          <c:cat>
            <c:numRef>
              <c:f>'[2025-2027 Strategy data.xlsx]Graf 1'!$C$49:$G$49</c:f>
              <c:numCache>
                <c:formatCode>General</c:formatCode>
                <c:ptCount val="5"/>
                <c:pt idx="0">
                  <c:v>2019</c:v>
                </c:pt>
                <c:pt idx="1">
                  <c:v>2020</c:v>
                </c:pt>
                <c:pt idx="2">
                  <c:v>2021</c:v>
                </c:pt>
                <c:pt idx="3">
                  <c:v>2022</c:v>
                </c:pt>
                <c:pt idx="4">
                  <c:v>2023</c:v>
                </c:pt>
              </c:numCache>
            </c:numRef>
          </c:cat>
          <c:val>
            <c:numRef>
              <c:f>'[2025-2027 Strategy data.xlsx]Graf 1'!$C$55:$G$55</c:f>
              <c:numCache>
                <c:formatCode>0%</c:formatCode>
                <c:ptCount val="5"/>
                <c:pt idx="0">
                  <c:v>4.1143611015849206E-3</c:v>
                </c:pt>
                <c:pt idx="1">
                  <c:v>4.0541201044005703E-3</c:v>
                </c:pt>
                <c:pt idx="2">
                  <c:v>3.5216866890966096E-3</c:v>
                </c:pt>
                <c:pt idx="3">
                  <c:v>2.9704244901558419E-3</c:v>
                </c:pt>
                <c:pt idx="4">
                  <c:v>2.7445937137358786E-3</c:v>
                </c:pt>
              </c:numCache>
            </c:numRef>
          </c:val>
          <c:extLst>
            <c:ext xmlns:c16="http://schemas.microsoft.com/office/drawing/2014/chart" uri="{C3380CC4-5D6E-409C-BE32-E72D297353CC}">
              <c16:uniqueId val="{00000005-9FC1-40E5-AAD7-17E185893F29}"/>
            </c:ext>
          </c:extLst>
        </c:ser>
        <c:dLbls>
          <c:showLegendKey val="0"/>
          <c:showVal val="0"/>
          <c:showCatName val="0"/>
          <c:showSerName val="0"/>
          <c:showPercent val="0"/>
          <c:showBubbleSize val="0"/>
        </c:dLbls>
        <c:gapWidth val="150"/>
        <c:overlap val="100"/>
        <c:axId val="213849600"/>
        <c:axId val="136262720"/>
      </c:barChart>
      <c:catAx>
        <c:axId val="213849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62720"/>
        <c:crosses val="autoZero"/>
        <c:auto val="1"/>
        <c:lblAlgn val="ctr"/>
        <c:lblOffset val="100"/>
        <c:noMultiLvlLbl val="0"/>
      </c:catAx>
      <c:valAx>
        <c:axId val="136262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849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'[Risk_Indicators_Dynamic.xlsx]Debt Indicators'!$B$4</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'[Risk_Indicators_Dynamic.xlsx]Debt Indicators'!$A$12:$A$15</c:f>
              <c:strCache>
                <c:ptCount val="4"/>
                <c:pt idx="0">
                  <c:v>Մինչև մարումը մնացած միջին կշռված ժամկետ, տարի</c:v>
                </c:pt>
                <c:pt idx="1">
                  <c:v>արտաքին վարկերի և փոխառությունների գծով</c:v>
                </c:pt>
                <c:pt idx="2">
                  <c:v>պետական գանձապետական պարտատոմսերի գծով</c:v>
                </c:pt>
                <c:pt idx="3">
                  <c:v>արտարժութային պետական պարտատոմսերի գծով</c:v>
                </c:pt>
              </c:strCache>
            </c:strRef>
          </c:cat>
          <c:val>
            <c:numRef>
              <c:f>'[Risk_Indicators_Dynamic.xlsx]Debt Indicators'!$B$12:$B$15</c:f>
              <c:numCache>
                <c:formatCode>_(* #,##0.0_);_(* \(#,##0.0\);_(* "-"??_);_(@_)</c:formatCode>
                <c:ptCount val="4"/>
                <c:pt idx="0">
                  <c:v>9.11</c:v>
                </c:pt>
                <c:pt idx="1">
                  <c:v>9.3000000000000007</c:v>
                </c:pt>
                <c:pt idx="2">
                  <c:v>10.23</c:v>
                </c:pt>
                <c:pt idx="3">
                  <c:v>6.89</c:v>
                </c:pt>
              </c:numCache>
            </c:numRef>
          </c:val>
          <c:extLst>
            <c:ext xmlns:c16="http://schemas.microsoft.com/office/drawing/2014/chart" uri="{C3380CC4-5D6E-409C-BE32-E72D297353CC}">
              <c16:uniqueId val="{00000000-FA3D-4E1C-8D96-C39A440CFE06}"/>
            </c:ext>
          </c:extLst>
        </c:ser>
        <c:ser>
          <c:idx val="1"/>
          <c:order val="1"/>
          <c:tx>
            <c:strRef>
              <c:f>'[Risk_Indicators_Dynamic.xlsx]Debt Indicators'!$C$4</c:f>
              <c:strCache>
                <c:ptCount val="1"/>
                <c:pt idx="0">
                  <c:v>2020</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'[Risk_Indicators_Dynamic.xlsx]Debt Indicators'!$A$12:$A$15</c:f>
              <c:strCache>
                <c:ptCount val="4"/>
                <c:pt idx="0">
                  <c:v>Մինչև մարումը մնացած միջին կշռված ժամկետ, տարի</c:v>
                </c:pt>
                <c:pt idx="1">
                  <c:v>արտաքին վարկերի և փոխառությունների գծով</c:v>
                </c:pt>
                <c:pt idx="2">
                  <c:v>պետական գանձապետական պարտատոմսերի գծով</c:v>
                </c:pt>
                <c:pt idx="3">
                  <c:v>արտարժութային պետական պարտատոմսերի գծով</c:v>
                </c:pt>
              </c:strCache>
            </c:strRef>
          </c:cat>
          <c:val>
            <c:numRef>
              <c:f>'[Risk_Indicators_Dynamic.xlsx]Debt Indicators'!$C$12:$C$15</c:f>
              <c:numCache>
                <c:formatCode>_(* #,##0.0_);_(* \(#,##0.0\);_(* "-"??_);_(@_)</c:formatCode>
                <c:ptCount val="4"/>
                <c:pt idx="0">
                  <c:v>8.75</c:v>
                </c:pt>
                <c:pt idx="1">
                  <c:v>8.42</c:v>
                </c:pt>
                <c:pt idx="2">
                  <c:v>10.81</c:v>
                </c:pt>
                <c:pt idx="3">
                  <c:v>6.49</c:v>
                </c:pt>
              </c:numCache>
            </c:numRef>
          </c:val>
          <c:extLst>
            <c:ext xmlns:c16="http://schemas.microsoft.com/office/drawing/2014/chart" uri="{C3380CC4-5D6E-409C-BE32-E72D297353CC}">
              <c16:uniqueId val="{00000001-FA3D-4E1C-8D96-C39A440CFE06}"/>
            </c:ext>
          </c:extLst>
        </c:ser>
        <c:ser>
          <c:idx val="2"/>
          <c:order val="2"/>
          <c:tx>
            <c:strRef>
              <c:f>'[Risk_Indicators_Dynamic.xlsx]Debt Indicators'!$D$4</c:f>
              <c:strCache>
                <c:ptCount val="1"/>
                <c:pt idx="0">
                  <c:v>2021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'[Risk_Indicators_Dynamic.xlsx]Debt Indicators'!$A$12:$A$15</c:f>
              <c:strCache>
                <c:ptCount val="4"/>
                <c:pt idx="0">
                  <c:v>Մինչև մարումը մնացած միջին կշռված ժամկետ, տարի</c:v>
                </c:pt>
                <c:pt idx="1">
                  <c:v>արտաքին վարկերի և փոխառությունների գծով</c:v>
                </c:pt>
                <c:pt idx="2">
                  <c:v>պետական գանձապետական պարտատոմսերի գծով</c:v>
                </c:pt>
                <c:pt idx="3">
                  <c:v>արտարժութային պետական պարտատոմսերի գծով</c:v>
                </c:pt>
              </c:strCache>
            </c:strRef>
          </c:cat>
          <c:val>
            <c:numRef>
              <c:f>'[Risk_Indicators_Dynamic.xlsx]Debt Indicators'!$D$12:$D$15</c:f>
              <c:numCache>
                <c:formatCode>_(* #,##0.0_);_(* \(#,##0.0\);_(* "-"??_);_(@_)</c:formatCode>
                <c:ptCount val="4"/>
                <c:pt idx="0">
                  <c:v>8.42</c:v>
                </c:pt>
                <c:pt idx="1">
                  <c:v>7.93</c:v>
                </c:pt>
                <c:pt idx="2">
                  <c:v>10.3</c:v>
                </c:pt>
                <c:pt idx="3">
                  <c:v>7.03</c:v>
                </c:pt>
              </c:numCache>
            </c:numRef>
          </c:val>
          <c:extLst>
            <c:ext xmlns:c16="http://schemas.microsoft.com/office/drawing/2014/chart" uri="{C3380CC4-5D6E-409C-BE32-E72D297353CC}">
              <c16:uniqueId val="{00000002-FA3D-4E1C-8D96-C39A440CFE06}"/>
            </c:ext>
          </c:extLst>
        </c:ser>
        <c:ser>
          <c:idx val="3"/>
          <c:order val="3"/>
          <c:tx>
            <c:strRef>
              <c:f>'[Risk_Indicators_Dynamic.xlsx]Debt Indicators'!$E$4</c:f>
              <c:strCache>
                <c:ptCount val="1"/>
                <c:pt idx="0">
                  <c:v>2022</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'[Risk_Indicators_Dynamic.xlsx]Debt Indicators'!$A$12:$A$15</c:f>
              <c:strCache>
                <c:ptCount val="4"/>
                <c:pt idx="0">
                  <c:v>Մինչև մարումը մնացած միջին կշռված ժամկետ, տարի</c:v>
                </c:pt>
                <c:pt idx="1">
                  <c:v>արտաքին վարկերի և փոխառությունների գծով</c:v>
                </c:pt>
                <c:pt idx="2">
                  <c:v>պետական գանձապետական պարտատոմսերի գծով</c:v>
                </c:pt>
                <c:pt idx="3">
                  <c:v>արտարժութային պետական պարտատոմսերի գծով</c:v>
                </c:pt>
              </c:strCache>
            </c:strRef>
          </c:cat>
          <c:val>
            <c:numRef>
              <c:f>'[Risk_Indicators_Dynamic.xlsx]Debt Indicators'!$E$12:$E$15</c:f>
              <c:numCache>
                <c:formatCode>_(* #,##0.0_);_(* \(#,##0.0\);_(* "-"??_);_(@_)</c:formatCode>
                <c:ptCount val="4"/>
                <c:pt idx="0">
                  <c:v>7.72</c:v>
                </c:pt>
                <c:pt idx="1">
                  <c:v>7.52</c:v>
                </c:pt>
                <c:pt idx="2">
                  <c:v>8.7799999999999994</c:v>
                </c:pt>
                <c:pt idx="3">
                  <c:v>6.03</c:v>
                </c:pt>
              </c:numCache>
            </c:numRef>
          </c:val>
          <c:extLst>
            <c:ext xmlns:c16="http://schemas.microsoft.com/office/drawing/2014/chart" uri="{C3380CC4-5D6E-409C-BE32-E72D297353CC}">
              <c16:uniqueId val="{00000003-FA3D-4E1C-8D96-C39A440CFE06}"/>
            </c:ext>
          </c:extLst>
        </c:ser>
        <c:ser>
          <c:idx val="4"/>
          <c:order val="4"/>
          <c:tx>
            <c:strRef>
              <c:f>'[Risk_Indicators_Dynamic.xlsx]Debt Indicators'!$F$4</c:f>
              <c:strCache>
                <c:ptCount val="1"/>
                <c:pt idx="0">
                  <c:v>2023</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'[Risk_Indicators_Dynamic.xlsx]Debt Indicators'!$A$12:$A$15</c:f>
              <c:strCache>
                <c:ptCount val="4"/>
                <c:pt idx="0">
                  <c:v>Մինչև մարումը մնացած միջին կշռված ժամկետ, տարի</c:v>
                </c:pt>
                <c:pt idx="1">
                  <c:v>արտաքին վարկերի և փոխառությունների գծով</c:v>
                </c:pt>
                <c:pt idx="2">
                  <c:v>պետական գանձապետական պարտատոմսերի գծով</c:v>
                </c:pt>
                <c:pt idx="3">
                  <c:v>արտարժութային պետական պարտատոմսերի գծով</c:v>
                </c:pt>
              </c:strCache>
            </c:strRef>
          </c:cat>
          <c:val>
            <c:numRef>
              <c:f>'[Risk_Indicators_Dynamic.xlsx]Debt Indicators'!$F$12:$F$15</c:f>
              <c:numCache>
                <c:formatCode>_(* #,##0.0_);_(* \(#,##0.0\);_(* "-"??_);_(@_)</c:formatCode>
                <c:ptCount val="4"/>
                <c:pt idx="0">
                  <c:v>7.35</c:v>
                </c:pt>
                <c:pt idx="1">
                  <c:v>7.25</c:v>
                </c:pt>
                <c:pt idx="2">
                  <c:v>8.0299999999999994</c:v>
                </c:pt>
                <c:pt idx="3">
                  <c:v>5.49</c:v>
                </c:pt>
              </c:numCache>
            </c:numRef>
          </c:val>
          <c:extLst>
            <c:ext xmlns:c16="http://schemas.microsoft.com/office/drawing/2014/chart" uri="{C3380CC4-5D6E-409C-BE32-E72D297353CC}">
              <c16:uniqueId val="{00000004-FA3D-4E1C-8D96-C39A440CFE06}"/>
            </c:ext>
          </c:extLst>
        </c:ser>
        <c:dLbls>
          <c:dLblPos val="inEnd"/>
          <c:showLegendKey val="0"/>
          <c:showVal val="1"/>
          <c:showCatName val="0"/>
          <c:showSerName val="0"/>
          <c:showPercent val="0"/>
          <c:showBubbleSize val="0"/>
        </c:dLbls>
        <c:gapWidth val="219"/>
        <c:overlap val="-27"/>
        <c:axId val="213850624"/>
        <c:axId val="136263296"/>
      </c:barChart>
      <c:catAx>
        <c:axId val="213850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63296"/>
        <c:crosses val="autoZero"/>
        <c:auto val="1"/>
        <c:lblAlgn val="ctr"/>
        <c:lblOffset val="100"/>
        <c:noMultiLvlLbl val="0"/>
      </c:catAx>
      <c:valAx>
        <c:axId val="136263296"/>
        <c:scaling>
          <c:orientation val="minMax"/>
        </c:scaling>
        <c:delete val="0"/>
        <c:axPos val="l"/>
        <c:majorGridlines>
          <c:spPr>
            <a:ln w="9525" cap="flat" cmpd="sng" algn="ctr">
              <a:solidFill>
                <a:schemeClr val="tx1">
                  <a:lumMod val="15000"/>
                  <a:lumOff val="85000"/>
                </a:schemeClr>
              </a:solidFill>
              <a:round/>
            </a:ln>
            <a:effectLst/>
          </c:spPr>
        </c:majorGridlines>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850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7092253388750819E-2"/>
          <c:y val="6.8670085964025143E-2"/>
          <c:w val="0.94290776586954406"/>
          <c:h val="0.74068897637795272"/>
        </c:manualLayout>
      </c:layout>
      <c:bar3DChart>
        <c:barDir val="col"/>
        <c:grouping val="stacked"/>
        <c:varyColors val="0"/>
        <c:ser>
          <c:idx val="0"/>
          <c:order val="0"/>
          <c:tx>
            <c:strRef>
              <c:f>'[2025-2027 Strategy data.xlsx]Graf 9'!$A$27</c:f>
              <c:strCache>
                <c:ptCount val="1"/>
                <c:pt idx="0">
                  <c:v>Արտաքին վարկեր</c:v>
                </c:pt>
              </c:strCache>
            </c:strRef>
          </c:tx>
          <c:invertIfNegative val="0"/>
          <c:cat>
            <c:numRef>
              <c:f>'[2025-2027 Strategy data.xlsx]Graf 9'!$B$26:$AF$26</c:f>
              <c:numCache>
                <c:formatCode>General</c:formatCode>
                <c:ptCount val="31"/>
                <c:pt idx="0">
                  <c:v>2024</c:v>
                </c:pt>
                <c:pt idx="1">
                  <c:v>2025</c:v>
                </c:pt>
                <c:pt idx="2">
                  <c:v>2026</c:v>
                </c:pt>
                <c:pt idx="3">
                  <c:v>2027</c:v>
                </c:pt>
                <c:pt idx="4">
                  <c:v>2028</c:v>
                </c:pt>
                <c:pt idx="5">
                  <c:v>2029</c:v>
                </c:pt>
                <c:pt idx="6">
                  <c:v>2030</c:v>
                </c:pt>
                <c:pt idx="7">
                  <c:v>2031</c:v>
                </c:pt>
                <c:pt idx="8">
                  <c:v>2032</c:v>
                </c:pt>
                <c:pt idx="9">
                  <c:v>2033</c:v>
                </c:pt>
                <c:pt idx="10">
                  <c:v>2034</c:v>
                </c:pt>
                <c:pt idx="11">
                  <c:v>2035</c:v>
                </c:pt>
                <c:pt idx="12">
                  <c:v>2036</c:v>
                </c:pt>
                <c:pt idx="13">
                  <c:v>2037</c:v>
                </c:pt>
                <c:pt idx="14">
                  <c:v>2038</c:v>
                </c:pt>
                <c:pt idx="15">
                  <c:v>2039</c:v>
                </c:pt>
                <c:pt idx="16">
                  <c:v>2040</c:v>
                </c:pt>
                <c:pt idx="17">
                  <c:v>2041</c:v>
                </c:pt>
                <c:pt idx="18">
                  <c:v>2042</c:v>
                </c:pt>
                <c:pt idx="19">
                  <c:v>2043</c:v>
                </c:pt>
                <c:pt idx="20">
                  <c:v>2044</c:v>
                </c:pt>
                <c:pt idx="21">
                  <c:v>2045</c:v>
                </c:pt>
                <c:pt idx="22">
                  <c:v>2046</c:v>
                </c:pt>
                <c:pt idx="23">
                  <c:v>2047</c:v>
                </c:pt>
                <c:pt idx="24">
                  <c:v>2048</c:v>
                </c:pt>
                <c:pt idx="25">
                  <c:v>2049</c:v>
                </c:pt>
                <c:pt idx="26">
                  <c:v>2050</c:v>
                </c:pt>
                <c:pt idx="27">
                  <c:v>2051</c:v>
                </c:pt>
                <c:pt idx="28">
                  <c:v>2052</c:v>
                </c:pt>
                <c:pt idx="29">
                  <c:v>2053</c:v>
                </c:pt>
                <c:pt idx="30">
                  <c:v>2054</c:v>
                </c:pt>
              </c:numCache>
            </c:numRef>
          </c:cat>
          <c:val>
            <c:numRef>
              <c:f>'[2025-2027 Strategy data.xlsx]Graf 9'!$B$27:$AF$27</c:f>
              <c:numCache>
                <c:formatCode>_(* #,##0.0_);_(* \(#,##0.0\);_(* "-"??_);_(@_)</c:formatCode>
                <c:ptCount val="31"/>
                <c:pt idx="0">
                  <c:v>167.11307137063048</c:v>
                </c:pt>
                <c:pt idx="1">
                  <c:v>163.69678821955847</c:v>
                </c:pt>
                <c:pt idx="2">
                  <c:v>153.91554740706678</c:v>
                </c:pt>
                <c:pt idx="3">
                  <c:v>162.4844415907088</c:v>
                </c:pt>
                <c:pt idx="4">
                  <c:v>120.22735385978206</c:v>
                </c:pt>
                <c:pt idx="5">
                  <c:v>110.91103392174317</c:v>
                </c:pt>
                <c:pt idx="6">
                  <c:v>108.47684468733802</c:v>
                </c:pt>
                <c:pt idx="7">
                  <c:v>105.87236955343218</c:v>
                </c:pt>
                <c:pt idx="8">
                  <c:v>103.69207581566212</c:v>
                </c:pt>
                <c:pt idx="9">
                  <c:v>104.17555141770382</c:v>
                </c:pt>
                <c:pt idx="10">
                  <c:v>97.110336492229408</c:v>
                </c:pt>
                <c:pt idx="11">
                  <c:v>94.082539472334332</c:v>
                </c:pt>
                <c:pt idx="12">
                  <c:v>78.038271929115567</c:v>
                </c:pt>
                <c:pt idx="13">
                  <c:v>65.261051292921408</c:v>
                </c:pt>
                <c:pt idx="14">
                  <c:v>59.495310042833708</c:v>
                </c:pt>
                <c:pt idx="15">
                  <c:v>45.928173921478191</c:v>
                </c:pt>
                <c:pt idx="16">
                  <c:v>36.741772613075696</c:v>
                </c:pt>
                <c:pt idx="17">
                  <c:v>26.475047717598475</c:v>
                </c:pt>
                <c:pt idx="18">
                  <c:v>19.673672692836561</c:v>
                </c:pt>
                <c:pt idx="19">
                  <c:v>14.773905764076002</c:v>
                </c:pt>
                <c:pt idx="20">
                  <c:v>10.825155184544101</c:v>
                </c:pt>
                <c:pt idx="21">
                  <c:v>9.1198094188436993</c:v>
                </c:pt>
                <c:pt idx="22">
                  <c:v>3.719988052775701</c:v>
                </c:pt>
                <c:pt idx="23">
                  <c:v>1.0731689056154998</c:v>
                </c:pt>
                <c:pt idx="24">
                  <c:v>0.88317176516070006</c:v>
                </c:pt>
                <c:pt idx="25">
                  <c:v>0.65748384918480007</c:v>
                </c:pt>
                <c:pt idx="26">
                  <c:v>0.60563962512119995</c:v>
                </c:pt>
                <c:pt idx="27">
                  <c:v>0.34555444006920005</c:v>
                </c:pt>
                <c:pt idx="28">
                  <c:v>0.24100192720800001</c:v>
                </c:pt>
                <c:pt idx="29">
                  <c:v>0.12867277911810002</c:v>
                </c:pt>
                <c:pt idx="30">
                  <c:v>1.6343631028200002E-2</c:v>
                </c:pt>
              </c:numCache>
            </c:numRef>
          </c:val>
          <c:extLst>
            <c:ext xmlns:c16="http://schemas.microsoft.com/office/drawing/2014/chart" uri="{C3380CC4-5D6E-409C-BE32-E72D297353CC}">
              <c16:uniqueId val="{00000000-807C-4075-8ABD-0D16491B409A}"/>
            </c:ext>
          </c:extLst>
        </c:ser>
        <c:ser>
          <c:idx val="1"/>
          <c:order val="1"/>
          <c:tx>
            <c:strRef>
              <c:f>'[2025-2027 Strategy data.xlsx]Graf 9'!$A$29</c:f>
              <c:strCache>
                <c:ptCount val="1"/>
                <c:pt idx="0">
                  <c:v>Դրամային պարտատոմսեր</c:v>
                </c:pt>
              </c:strCache>
            </c:strRef>
          </c:tx>
          <c:spPr>
            <a:solidFill>
              <a:schemeClr val="accent6"/>
            </a:solidFill>
          </c:spPr>
          <c:invertIfNegative val="0"/>
          <c:cat>
            <c:numRef>
              <c:f>'[2025-2027 Strategy data.xlsx]Graf 9'!$B$26:$AF$26</c:f>
              <c:numCache>
                <c:formatCode>General</c:formatCode>
                <c:ptCount val="31"/>
                <c:pt idx="0">
                  <c:v>2024</c:v>
                </c:pt>
                <c:pt idx="1">
                  <c:v>2025</c:v>
                </c:pt>
                <c:pt idx="2">
                  <c:v>2026</c:v>
                </c:pt>
                <c:pt idx="3">
                  <c:v>2027</c:v>
                </c:pt>
                <c:pt idx="4">
                  <c:v>2028</c:v>
                </c:pt>
                <c:pt idx="5">
                  <c:v>2029</c:v>
                </c:pt>
                <c:pt idx="6">
                  <c:v>2030</c:v>
                </c:pt>
                <c:pt idx="7">
                  <c:v>2031</c:v>
                </c:pt>
                <c:pt idx="8">
                  <c:v>2032</c:v>
                </c:pt>
                <c:pt idx="9">
                  <c:v>2033</c:v>
                </c:pt>
                <c:pt idx="10">
                  <c:v>2034</c:v>
                </c:pt>
                <c:pt idx="11">
                  <c:v>2035</c:v>
                </c:pt>
                <c:pt idx="12">
                  <c:v>2036</c:v>
                </c:pt>
                <c:pt idx="13">
                  <c:v>2037</c:v>
                </c:pt>
                <c:pt idx="14">
                  <c:v>2038</c:v>
                </c:pt>
                <c:pt idx="15">
                  <c:v>2039</c:v>
                </c:pt>
                <c:pt idx="16">
                  <c:v>2040</c:v>
                </c:pt>
                <c:pt idx="17">
                  <c:v>2041</c:v>
                </c:pt>
                <c:pt idx="18">
                  <c:v>2042</c:v>
                </c:pt>
                <c:pt idx="19">
                  <c:v>2043</c:v>
                </c:pt>
                <c:pt idx="20">
                  <c:v>2044</c:v>
                </c:pt>
                <c:pt idx="21">
                  <c:v>2045</c:v>
                </c:pt>
                <c:pt idx="22">
                  <c:v>2046</c:v>
                </c:pt>
                <c:pt idx="23">
                  <c:v>2047</c:v>
                </c:pt>
                <c:pt idx="24">
                  <c:v>2048</c:v>
                </c:pt>
                <c:pt idx="25">
                  <c:v>2049</c:v>
                </c:pt>
                <c:pt idx="26">
                  <c:v>2050</c:v>
                </c:pt>
                <c:pt idx="27">
                  <c:v>2051</c:v>
                </c:pt>
                <c:pt idx="28">
                  <c:v>2052</c:v>
                </c:pt>
                <c:pt idx="29">
                  <c:v>2053</c:v>
                </c:pt>
                <c:pt idx="30">
                  <c:v>2054</c:v>
                </c:pt>
              </c:numCache>
            </c:numRef>
          </c:cat>
          <c:val>
            <c:numRef>
              <c:f>'[2025-2027 Strategy data.xlsx]Graf 9'!$B$29:$AF$29</c:f>
              <c:numCache>
                <c:formatCode>_(* #,##0.0_);_(* \(#,##0.0\);_(* "-"??_);_(@_)</c:formatCode>
                <c:ptCount val="31"/>
                <c:pt idx="0">
                  <c:v>246.68056300000001</c:v>
                </c:pt>
                <c:pt idx="1">
                  <c:v>229.29458400000001</c:v>
                </c:pt>
                <c:pt idx="2">
                  <c:v>202.39123999999998</c:v>
                </c:pt>
                <c:pt idx="3">
                  <c:v>160.26187999999999</c:v>
                </c:pt>
                <c:pt idx="4">
                  <c:v>116.405711</c:v>
                </c:pt>
                <c:pt idx="5">
                  <c:v>147.761459</c:v>
                </c:pt>
                <c:pt idx="6">
                  <c:v>0</c:v>
                </c:pt>
                <c:pt idx="7">
                  <c:v>194.804</c:v>
                </c:pt>
                <c:pt idx="8">
                  <c:v>35.5</c:v>
                </c:pt>
                <c:pt idx="9">
                  <c:v>333.54245000000003</c:v>
                </c:pt>
                <c:pt idx="10">
                  <c:v>0</c:v>
                </c:pt>
                <c:pt idx="11">
                  <c:v>0</c:v>
                </c:pt>
                <c:pt idx="12">
                  <c:v>71</c:v>
                </c:pt>
                <c:pt idx="13">
                  <c:v>87.317800000000005</c:v>
                </c:pt>
                <c:pt idx="14">
                  <c:v>0</c:v>
                </c:pt>
                <c:pt idx="15">
                  <c:v>0</c:v>
                </c:pt>
                <c:pt idx="16">
                  <c:v>0</c:v>
                </c:pt>
                <c:pt idx="17">
                  <c:v>0</c:v>
                </c:pt>
                <c:pt idx="18">
                  <c:v>0</c:v>
                </c:pt>
                <c:pt idx="19">
                  <c:v>0</c:v>
                </c:pt>
                <c:pt idx="20">
                  <c:v>0</c:v>
                </c:pt>
                <c:pt idx="21">
                  <c:v>0</c:v>
                </c:pt>
                <c:pt idx="22">
                  <c:v>0</c:v>
                </c:pt>
                <c:pt idx="23">
                  <c:v>119.700405</c:v>
                </c:pt>
                <c:pt idx="24">
                  <c:v>0</c:v>
                </c:pt>
                <c:pt idx="25">
                  <c:v>0</c:v>
                </c:pt>
                <c:pt idx="26">
                  <c:v>136.15926199999998</c:v>
                </c:pt>
                <c:pt idx="27">
                  <c:v>0</c:v>
                </c:pt>
                <c:pt idx="28">
                  <c:v>12.038124</c:v>
                </c:pt>
                <c:pt idx="29">
                  <c:v>0</c:v>
                </c:pt>
                <c:pt idx="30">
                  <c:v>0</c:v>
                </c:pt>
              </c:numCache>
            </c:numRef>
          </c:val>
          <c:extLst>
            <c:ext xmlns:c16="http://schemas.microsoft.com/office/drawing/2014/chart" uri="{C3380CC4-5D6E-409C-BE32-E72D297353CC}">
              <c16:uniqueId val="{00000001-807C-4075-8ABD-0D16491B409A}"/>
            </c:ext>
          </c:extLst>
        </c:ser>
        <c:ser>
          <c:idx val="2"/>
          <c:order val="2"/>
          <c:tx>
            <c:strRef>
              <c:f>'[2025-2027 Strategy data.xlsx]Graf 9'!$A$28</c:f>
              <c:strCache>
                <c:ptCount val="1"/>
                <c:pt idx="0">
                  <c:v>Արտարժութային պարտատոմսեր</c:v>
                </c:pt>
              </c:strCache>
            </c:strRef>
          </c:tx>
          <c:spPr>
            <a:solidFill>
              <a:schemeClr val="accent2"/>
            </a:solidFill>
          </c:spPr>
          <c:invertIfNegative val="0"/>
          <c:cat>
            <c:numRef>
              <c:f>'[2025-2027 Strategy data.xlsx]Graf 9'!$B$26:$AF$26</c:f>
              <c:numCache>
                <c:formatCode>General</c:formatCode>
                <c:ptCount val="31"/>
                <c:pt idx="0">
                  <c:v>2024</c:v>
                </c:pt>
                <c:pt idx="1">
                  <c:v>2025</c:v>
                </c:pt>
                <c:pt idx="2">
                  <c:v>2026</c:v>
                </c:pt>
                <c:pt idx="3">
                  <c:v>2027</c:v>
                </c:pt>
                <c:pt idx="4">
                  <c:v>2028</c:v>
                </c:pt>
                <c:pt idx="5">
                  <c:v>2029</c:v>
                </c:pt>
                <c:pt idx="6">
                  <c:v>2030</c:v>
                </c:pt>
                <c:pt idx="7">
                  <c:v>2031</c:v>
                </c:pt>
                <c:pt idx="8">
                  <c:v>2032</c:v>
                </c:pt>
                <c:pt idx="9">
                  <c:v>2033</c:v>
                </c:pt>
                <c:pt idx="10">
                  <c:v>2034</c:v>
                </c:pt>
                <c:pt idx="11">
                  <c:v>2035</c:v>
                </c:pt>
                <c:pt idx="12">
                  <c:v>2036</c:v>
                </c:pt>
                <c:pt idx="13">
                  <c:v>2037</c:v>
                </c:pt>
                <c:pt idx="14">
                  <c:v>2038</c:v>
                </c:pt>
                <c:pt idx="15">
                  <c:v>2039</c:v>
                </c:pt>
                <c:pt idx="16">
                  <c:v>2040</c:v>
                </c:pt>
                <c:pt idx="17">
                  <c:v>2041</c:v>
                </c:pt>
                <c:pt idx="18">
                  <c:v>2042</c:v>
                </c:pt>
                <c:pt idx="19">
                  <c:v>2043</c:v>
                </c:pt>
                <c:pt idx="20">
                  <c:v>2044</c:v>
                </c:pt>
                <c:pt idx="21">
                  <c:v>2045</c:v>
                </c:pt>
                <c:pt idx="22">
                  <c:v>2046</c:v>
                </c:pt>
                <c:pt idx="23">
                  <c:v>2047</c:v>
                </c:pt>
                <c:pt idx="24">
                  <c:v>2048</c:v>
                </c:pt>
                <c:pt idx="25">
                  <c:v>2049</c:v>
                </c:pt>
                <c:pt idx="26">
                  <c:v>2050</c:v>
                </c:pt>
                <c:pt idx="27">
                  <c:v>2051</c:v>
                </c:pt>
                <c:pt idx="28">
                  <c:v>2052</c:v>
                </c:pt>
                <c:pt idx="29">
                  <c:v>2053</c:v>
                </c:pt>
                <c:pt idx="30">
                  <c:v>2054</c:v>
                </c:pt>
              </c:numCache>
            </c:numRef>
          </c:cat>
          <c:val>
            <c:numRef>
              <c:f>'[2025-2027 Strategy data.xlsx]Graf 9'!$B$28:$AF$28</c:f>
              <c:numCache>
                <c:formatCode>General</c:formatCode>
                <c:ptCount val="31"/>
                <c:pt idx="2" formatCode="_(* #,##0.0_);_(* \(#,##0.0\);_(* &quot;-&quot;??_);_(@_)">
                  <c:v>202.39500000000001</c:v>
                </c:pt>
                <c:pt idx="6" formatCode="_(* #,##0.0_);_(* \(#,##0.0\);_(* &quot;-&quot;??_);_(@_)">
                  <c:v>202.39500000000001</c:v>
                </c:pt>
                <c:pt idx="8" formatCode="_(* #,##0.0_);_(* \(#,##0.0\);_(* &quot;-&quot;??_);_(@_)">
                  <c:v>303.59249999999997</c:v>
                </c:pt>
              </c:numCache>
            </c:numRef>
          </c:val>
          <c:extLst>
            <c:ext xmlns:c16="http://schemas.microsoft.com/office/drawing/2014/chart" uri="{C3380CC4-5D6E-409C-BE32-E72D297353CC}">
              <c16:uniqueId val="{00000002-807C-4075-8ABD-0D16491B409A}"/>
            </c:ext>
          </c:extLst>
        </c:ser>
        <c:ser>
          <c:idx val="3"/>
          <c:order val="3"/>
          <c:tx>
            <c:strRef>
              <c:f>'[2025-2027 Strategy data.xlsx]Graf 9'!$A$30</c:f>
              <c:strCache>
                <c:ptCount val="1"/>
                <c:pt idx="0">
                  <c:v>Երաշխիքներ</c:v>
                </c:pt>
              </c:strCache>
            </c:strRef>
          </c:tx>
          <c:invertIfNegative val="0"/>
          <c:cat>
            <c:numRef>
              <c:f>'[2025-2027 Strategy data.xlsx]Graf 9'!$B$26:$AF$26</c:f>
              <c:numCache>
                <c:formatCode>General</c:formatCode>
                <c:ptCount val="31"/>
                <c:pt idx="0">
                  <c:v>2024</c:v>
                </c:pt>
                <c:pt idx="1">
                  <c:v>2025</c:v>
                </c:pt>
                <c:pt idx="2">
                  <c:v>2026</c:v>
                </c:pt>
                <c:pt idx="3">
                  <c:v>2027</c:v>
                </c:pt>
                <c:pt idx="4">
                  <c:v>2028</c:v>
                </c:pt>
                <c:pt idx="5">
                  <c:v>2029</c:v>
                </c:pt>
                <c:pt idx="6">
                  <c:v>2030</c:v>
                </c:pt>
                <c:pt idx="7">
                  <c:v>2031</c:v>
                </c:pt>
                <c:pt idx="8">
                  <c:v>2032</c:v>
                </c:pt>
                <c:pt idx="9">
                  <c:v>2033</c:v>
                </c:pt>
                <c:pt idx="10">
                  <c:v>2034</c:v>
                </c:pt>
                <c:pt idx="11">
                  <c:v>2035</c:v>
                </c:pt>
                <c:pt idx="12">
                  <c:v>2036</c:v>
                </c:pt>
                <c:pt idx="13">
                  <c:v>2037</c:v>
                </c:pt>
                <c:pt idx="14">
                  <c:v>2038</c:v>
                </c:pt>
                <c:pt idx="15">
                  <c:v>2039</c:v>
                </c:pt>
                <c:pt idx="16">
                  <c:v>2040</c:v>
                </c:pt>
                <c:pt idx="17">
                  <c:v>2041</c:v>
                </c:pt>
                <c:pt idx="18">
                  <c:v>2042</c:v>
                </c:pt>
                <c:pt idx="19">
                  <c:v>2043</c:v>
                </c:pt>
                <c:pt idx="20">
                  <c:v>2044</c:v>
                </c:pt>
                <c:pt idx="21">
                  <c:v>2045</c:v>
                </c:pt>
                <c:pt idx="22">
                  <c:v>2046</c:v>
                </c:pt>
                <c:pt idx="23">
                  <c:v>2047</c:v>
                </c:pt>
                <c:pt idx="24">
                  <c:v>2048</c:v>
                </c:pt>
                <c:pt idx="25">
                  <c:v>2049</c:v>
                </c:pt>
                <c:pt idx="26">
                  <c:v>2050</c:v>
                </c:pt>
                <c:pt idx="27">
                  <c:v>2051</c:v>
                </c:pt>
                <c:pt idx="28">
                  <c:v>2052</c:v>
                </c:pt>
                <c:pt idx="29">
                  <c:v>2053</c:v>
                </c:pt>
                <c:pt idx="30">
                  <c:v>2054</c:v>
                </c:pt>
              </c:numCache>
            </c:numRef>
          </c:cat>
          <c:val>
            <c:numRef>
              <c:f>'[2025-2027 Strategy data.xlsx]Graf 9'!$B$30:$AF$30</c:f>
              <c:numCache>
                <c:formatCode>_(* #,##0.0_);_(* \(#,##0.0\);_(* "-"??_);_(@_)</c:formatCode>
                <c:ptCount val="31"/>
                <c:pt idx="0">
                  <c:v>1.020505502398352</c:v>
                </c:pt>
                <c:pt idx="1">
                  <c:v>4.041495837588827</c:v>
                </c:pt>
                <c:pt idx="2">
                  <c:v>1.8806484188752428</c:v>
                </c:pt>
                <c:pt idx="3">
                  <c:v>1.2021530939452705</c:v>
                </c:pt>
                <c:pt idx="4">
                  <c:v>0.24117692307692312</c:v>
                </c:pt>
                <c:pt idx="5">
                  <c:v>0.24117692307692312</c:v>
                </c:pt>
                <c:pt idx="6">
                  <c:v>0.24117692307692312</c:v>
                </c:pt>
                <c:pt idx="7">
                  <c:v>0.24117692307692312</c:v>
                </c:pt>
                <c:pt idx="8">
                  <c:v>0.24117692307692312</c:v>
                </c:pt>
                <c:pt idx="9">
                  <c:v>0.24117692307692312</c:v>
                </c:pt>
                <c:pt idx="10">
                  <c:v>0.24117692307692312</c:v>
                </c:pt>
                <c:pt idx="11">
                  <c:v>0.24117692307692312</c:v>
                </c:pt>
                <c:pt idx="12">
                  <c:v>0.12058846153846156</c:v>
                </c:pt>
              </c:numCache>
            </c:numRef>
          </c:val>
          <c:extLst>
            <c:ext xmlns:c16="http://schemas.microsoft.com/office/drawing/2014/chart" uri="{C3380CC4-5D6E-409C-BE32-E72D297353CC}">
              <c16:uniqueId val="{00000003-807C-4075-8ABD-0D16491B409A}"/>
            </c:ext>
          </c:extLst>
        </c:ser>
        <c:dLbls>
          <c:showLegendKey val="0"/>
          <c:showVal val="0"/>
          <c:showCatName val="0"/>
          <c:showSerName val="0"/>
          <c:showPercent val="0"/>
          <c:showBubbleSize val="0"/>
        </c:dLbls>
        <c:gapWidth val="89"/>
        <c:shape val="box"/>
        <c:axId val="215880704"/>
        <c:axId val="136314176"/>
        <c:axId val="0"/>
      </c:bar3DChart>
      <c:catAx>
        <c:axId val="215880704"/>
        <c:scaling>
          <c:orientation val="minMax"/>
        </c:scaling>
        <c:delete val="0"/>
        <c:axPos val="b"/>
        <c:numFmt formatCode="General" sourceLinked="1"/>
        <c:majorTickMark val="none"/>
        <c:minorTickMark val="none"/>
        <c:tickLblPos val="nextTo"/>
        <c:txPr>
          <a:bodyPr rot="-4500000" vert="horz" anchor="ctr" anchorCtr="0"/>
          <a:lstStyle/>
          <a:p>
            <a:pPr>
              <a:defRPr sz="900" b="0">
                <a:solidFill>
                  <a:sysClr val="windowText" lastClr="000000"/>
                </a:solidFill>
                <a:latin typeface="GHEA Grapalat" panose="02000506050000020003" pitchFamily="50" charset="0"/>
              </a:defRPr>
            </a:pPr>
            <a:endParaRPr lang="en-US"/>
          </a:p>
        </c:txPr>
        <c:crossAx val="136314176"/>
        <c:crossesAt val="0"/>
        <c:auto val="1"/>
        <c:lblAlgn val="ctr"/>
        <c:lblOffset val="0"/>
        <c:noMultiLvlLbl val="0"/>
      </c:catAx>
      <c:valAx>
        <c:axId val="136314176"/>
        <c:scaling>
          <c:orientation val="minMax"/>
        </c:scaling>
        <c:delete val="0"/>
        <c:axPos val="l"/>
        <c:majorGridlines/>
        <c:numFmt formatCode="General" sourceLinked="0"/>
        <c:majorTickMark val="none"/>
        <c:minorTickMark val="none"/>
        <c:tickLblPos val="nextTo"/>
        <c:spPr>
          <a:ln/>
        </c:spPr>
        <c:txPr>
          <a:bodyPr/>
          <a:lstStyle/>
          <a:p>
            <a:pPr>
              <a:defRPr sz="1000" b="0">
                <a:solidFill>
                  <a:sysClr val="windowText" lastClr="000000"/>
                </a:solidFill>
                <a:latin typeface="GHEA Grapalat" panose="02000506050000020003" pitchFamily="50" charset="0"/>
              </a:defRPr>
            </a:pPr>
            <a:endParaRPr lang="en-US"/>
          </a:p>
        </c:txPr>
        <c:crossAx val="215880704"/>
        <c:crossesAt val="1"/>
        <c:crossBetween val="between"/>
        <c:majorUnit val="50"/>
      </c:valAx>
    </c:plotArea>
    <c:legend>
      <c:legendPos val="b"/>
      <c:layout>
        <c:manualLayout>
          <c:xMode val="edge"/>
          <c:yMode val="edge"/>
          <c:x val="2.1958005249343833E-2"/>
          <c:y val="0.93154891597454426"/>
          <c:w val="0.9654288240495138"/>
          <c:h val="6.6617437069071028E-2"/>
        </c:manualLayout>
      </c:layout>
      <c:overlay val="0"/>
      <c:txPr>
        <a:bodyPr/>
        <a:lstStyle/>
        <a:p>
          <a:pPr>
            <a:defRPr sz="1000">
              <a:solidFill>
                <a:sysClr val="windowText" lastClr="000000"/>
              </a:solidFill>
              <a:latin typeface="GHEA Grapalat" panose="02000506050000020003" pitchFamily="50" charset="0"/>
            </a:defRPr>
          </a:pPr>
          <a:endParaRPr lang="en-US"/>
        </a:p>
      </c:txPr>
    </c:legend>
    <c:plotVisOnly val="1"/>
    <c:dispBlanksAs val="gap"/>
    <c:showDLblsOverMax val="0"/>
  </c:chart>
  <c:txPr>
    <a:bodyPr/>
    <a:lstStyle/>
    <a:p>
      <a:pPr>
        <a:defRPr sz="1200">
          <a:solidFill>
            <a:schemeClr val="bg1">
              <a:lumMod val="50000"/>
            </a:schemeClr>
          </a:solidFill>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'Debt Indicators'!$A$64</c:f>
              <c:strCache>
                <c:ptCount val="1"/>
                <c:pt idx="0">
                  <c:v>լողացող տոկոսադրույքով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'Debt Indicators'!$B$4:$F$4</c:f>
              <c:numCache>
                <c:formatCode>General</c:formatCode>
                <c:ptCount val="5"/>
                <c:pt idx="0">
                  <c:v>2019</c:v>
                </c:pt>
                <c:pt idx="1">
                  <c:v>2020</c:v>
                </c:pt>
                <c:pt idx="2">
                  <c:v>2021</c:v>
                </c:pt>
                <c:pt idx="3">
                  <c:v>2022</c:v>
                </c:pt>
                <c:pt idx="4">
                  <c:v>2023</c:v>
                </c:pt>
              </c:numCache>
            </c:numRef>
          </c:cat>
          <c:val>
            <c:numRef>
              <c:f>'Debt Indicators'!$B$64:$F$64</c:f>
              <c:numCache>
                <c:formatCode>_(* #,##0.0_);_(* \(#,##0.0\);_(* "-"??_);_(@_)</c:formatCode>
                <c:ptCount val="5"/>
                <c:pt idx="0">
                  <c:v>20.410496653223184</c:v>
                </c:pt>
                <c:pt idx="1">
                  <c:v>25.930184831258345</c:v>
                </c:pt>
                <c:pt idx="2">
                  <c:v>23.9684618658078</c:v>
                </c:pt>
                <c:pt idx="3">
                  <c:v>26.524825228439834</c:v>
                </c:pt>
                <c:pt idx="4">
                  <c:v>29.475008386096388</c:v>
                </c:pt>
              </c:numCache>
            </c:numRef>
          </c:val>
          <c:extLst>
            <c:ext xmlns:c16="http://schemas.microsoft.com/office/drawing/2014/chart" uri="{C3380CC4-5D6E-409C-BE32-E72D297353CC}">
              <c16:uniqueId val="{00000000-F57F-4ED3-A310-B9E656448A69}"/>
            </c:ext>
          </c:extLst>
        </c:ser>
        <c:ser>
          <c:idx val="1"/>
          <c:order val="1"/>
          <c:tx>
            <c:strRef>
              <c:f>'Debt Indicators'!$A$65</c:f>
              <c:strCache>
                <c:ptCount val="1"/>
                <c:pt idx="0">
                  <c:v>ֆիքսված տոկոսադրույքով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'Debt Indicators'!$B$4:$F$4</c:f>
              <c:numCache>
                <c:formatCode>General</c:formatCode>
                <c:ptCount val="5"/>
                <c:pt idx="0">
                  <c:v>2019</c:v>
                </c:pt>
                <c:pt idx="1">
                  <c:v>2020</c:v>
                </c:pt>
                <c:pt idx="2">
                  <c:v>2021</c:v>
                </c:pt>
                <c:pt idx="3">
                  <c:v>2022</c:v>
                </c:pt>
                <c:pt idx="4">
                  <c:v>2023</c:v>
                </c:pt>
              </c:numCache>
            </c:numRef>
          </c:cat>
          <c:val>
            <c:numRef>
              <c:f>'Debt Indicators'!$B$65:$F$65</c:f>
              <c:numCache>
                <c:formatCode>_(* #,##0.0_);_(* \(#,##0.0\);_(* "-"??_);_(@_)</c:formatCode>
                <c:ptCount val="5"/>
                <c:pt idx="0">
                  <c:v>79.589503346776823</c:v>
                </c:pt>
                <c:pt idx="1">
                  <c:v>74.069815168741641</c:v>
                </c:pt>
                <c:pt idx="2">
                  <c:v>76.031538134192203</c:v>
                </c:pt>
                <c:pt idx="3">
                  <c:v>73.475174771560177</c:v>
                </c:pt>
                <c:pt idx="4">
                  <c:v>70.524991613903609</c:v>
                </c:pt>
              </c:numCache>
            </c:numRef>
          </c:val>
          <c:extLst>
            <c:ext xmlns:c16="http://schemas.microsoft.com/office/drawing/2014/chart" uri="{C3380CC4-5D6E-409C-BE32-E72D297353CC}">
              <c16:uniqueId val="{00000001-F57F-4ED3-A310-B9E656448A69}"/>
            </c:ext>
          </c:extLst>
        </c:ser>
        <c:dLbls>
          <c:showLegendKey val="0"/>
          <c:showVal val="0"/>
          <c:showCatName val="0"/>
          <c:showSerName val="0"/>
          <c:showPercent val="0"/>
          <c:showBubbleSize val="0"/>
        </c:dLbls>
        <c:gapWidth val="150"/>
        <c:overlap val="100"/>
        <c:axId val="215881216"/>
        <c:axId val="137641984"/>
      </c:barChart>
      <c:catAx>
        <c:axId val="215881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641984"/>
        <c:crosses val="autoZero"/>
        <c:auto val="1"/>
        <c:lblAlgn val="ctr"/>
        <c:lblOffset val="100"/>
        <c:noMultiLvlLbl val="0"/>
      </c:catAx>
      <c:valAx>
        <c:axId val="13764198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5881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36427024834875"/>
          <c:y val="3.9299749910682386E-2"/>
          <c:w val="0.86441420936388313"/>
          <c:h val="0.7733417271019456"/>
        </c:manualLayout>
      </c:layout>
      <c:barChart>
        <c:barDir val="bar"/>
        <c:grouping val="percentStacked"/>
        <c:varyColors val="0"/>
        <c:ser>
          <c:idx val="0"/>
          <c:order val="0"/>
          <c:tx>
            <c:strRef>
              <c:f>'[2025-2027 Strategy data.xlsx]Graf def 6'!$A$11</c:f>
              <c:strCache>
                <c:ptCount val="1"/>
                <c:pt idx="0">
                  <c:v>Ներքին աղբյուրներից (զուտ),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'[2025-2027 Strategy data.xlsx]Graf def 6'!$D$10:$H$10</c:f>
              <c:strCache>
                <c:ptCount val="5"/>
                <c:pt idx="0">
                  <c:v>2023թ.</c:v>
                </c:pt>
                <c:pt idx="1">
                  <c:v>2024թ.</c:v>
                </c:pt>
                <c:pt idx="2">
                  <c:v>2025թ.</c:v>
                </c:pt>
                <c:pt idx="3">
                  <c:v>2026թ.</c:v>
                </c:pt>
                <c:pt idx="4">
                  <c:v>2027թ.</c:v>
                </c:pt>
              </c:strCache>
            </c:strRef>
          </c:cat>
          <c:val>
            <c:numRef>
              <c:f>'[2025-2027 Strategy data.xlsx]Graf def 6'!$D$11:$H$11</c:f>
              <c:numCache>
                <c:formatCode>_(* #,##0.0_);_(* \(#,##0.0\);_(* "-"??_);_(@_)</c:formatCode>
                <c:ptCount val="5"/>
                <c:pt idx="0">
                  <c:v>125.54724832575739</c:v>
                </c:pt>
                <c:pt idx="1">
                  <c:v>71.469913394394936</c:v>
                </c:pt>
                <c:pt idx="2">
                  <c:v>44.220485893380719</c:v>
                </c:pt>
                <c:pt idx="3">
                  <c:v>46.663610569372359</c:v>
                </c:pt>
                <c:pt idx="4">
                  <c:v>33.428064120280631</c:v>
                </c:pt>
              </c:numCache>
            </c:numRef>
          </c:val>
          <c:extLst>
            <c:ext xmlns:c16="http://schemas.microsoft.com/office/drawing/2014/chart" uri="{C3380CC4-5D6E-409C-BE32-E72D297353CC}">
              <c16:uniqueId val="{00000000-B153-40DA-8464-44D71C4836A3}"/>
            </c:ext>
          </c:extLst>
        </c:ser>
        <c:ser>
          <c:idx val="1"/>
          <c:order val="1"/>
          <c:tx>
            <c:strRef>
              <c:f>'[2025-2027 Strategy data.xlsx]Graf def 6'!$A$12</c:f>
              <c:strCache>
                <c:ptCount val="1"/>
                <c:pt idx="0">
                  <c:v>Արտաքին աղբյուրներից (զուտ),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'[2025-2027 Strategy data.xlsx]Graf def 6'!$D$10:$H$10</c:f>
              <c:strCache>
                <c:ptCount val="5"/>
                <c:pt idx="0">
                  <c:v>2023թ.</c:v>
                </c:pt>
                <c:pt idx="1">
                  <c:v>2024թ.</c:v>
                </c:pt>
                <c:pt idx="2">
                  <c:v>2025թ.</c:v>
                </c:pt>
                <c:pt idx="3">
                  <c:v>2026թ.</c:v>
                </c:pt>
                <c:pt idx="4">
                  <c:v>2027թ.</c:v>
                </c:pt>
              </c:strCache>
            </c:strRef>
          </c:cat>
          <c:val>
            <c:numRef>
              <c:f>'[2025-2027 Strategy data.xlsx]Graf def 6'!$D$12:$H$12</c:f>
              <c:numCache>
                <c:formatCode>_(* #,##0.0_);_(* \(#,##0.0\);_(* "-"??_);_(@_)</c:formatCode>
                <c:ptCount val="5"/>
                <c:pt idx="0">
                  <c:v>-25.547248325757394</c:v>
                </c:pt>
                <c:pt idx="1">
                  <c:v>28.530086605605064</c:v>
                </c:pt>
                <c:pt idx="2">
                  <c:v>55.779514106619288</c:v>
                </c:pt>
                <c:pt idx="3">
                  <c:v>53.336389430627641</c:v>
                </c:pt>
                <c:pt idx="4">
                  <c:v>66.571935879719362</c:v>
                </c:pt>
              </c:numCache>
            </c:numRef>
          </c:val>
          <c:extLst>
            <c:ext xmlns:c16="http://schemas.microsoft.com/office/drawing/2014/chart" uri="{C3380CC4-5D6E-409C-BE32-E72D297353CC}">
              <c16:uniqueId val="{00000001-B153-40DA-8464-44D71C4836A3}"/>
            </c:ext>
          </c:extLst>
        </c:ser>
        <c:dLbls>
          <c:showLegendKey val="0"/>
          <c:showVal val="0"/>
          <c:showCatName val="0"/>
          <c:showSerName val="0"/>
          <c:showPercent val="0"/>
          <c:showBubbleSize val="0"/>
        </c:dLbls>
        <c:gapWidth val="150"/>
        <c:overlap val="100"/>
        <c:axId val="215882240"/>
        <c:axId val="137644864"/>
      </c:barChart>
      <c:catAx>
        <c:axId val="215882240"/>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1" i="0" u="none" strike="noStrike" kern="1200" baseline="0">
                <a:solidFill>
                  <a:schemeClr val="tx1"/>
                </a:solidFill>
                <a:latin typeface="GHEA Grapalat" panose="02000506050000020003" pitchFamily="50" charset="0"/>
                <a:ea typeface="+mn-ea"/>
                <a:cs typeface="+mn-cs"/>
              </a:defRPr>
            </a:pPr>
            <a:endParaRPr lang="en-US"/>
          </a:p>
        </c:txPr>
        <c:crossAx val="137644864"/>
        <c:crosses val="autoZero"/>
        <c:auto val="1"/>
        <c:lblAlgn val="ctr"/>
        <c:lblOffset val="100"/>
        <c:noMultiLvlLbl val="0"/>
      </c:catAx>
      <c:valAx>
        <c:axId val="137644864"/>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1000" b="1" i="0" u="none" strike="noStrike" kern="1200" baseline="0">
                <a:solidFill>
                  <a:schemeClr val="tx1"/>
                </a:solidFill>
                <a:latin typeface="GHEA Grapalat" panose="02000506050000020003" pitchFamily="50" charset="0"/>
                <a:ea typeface="+mn-ea"/>
                <a:cs typeface="+mn-cs"/>
              </a:defRPr>
            </a:pPr>
            <a:endParaRPr lang="en-US"/>
          </a:p>
        </c:txPr>
        <c:crossAx val="215882240"/>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'[2025-2027 Strategy data.xlsx]Graf 4'!$A$5</c:f>
              <c:strCache>
                <c:ptCount val="1"/>
                <c:pt idx="0">
                  <c:v>ՀՀ կառավարության արտարժութային պարտքի մարումների և տոկոսավճարների կշիռը նախորդ տարվա վերջի դրությամբ արտարժութային արտաքին ակտիվներում (%) </c:v>
                </c:pt>
              </c:strCache>
            </c:strRef>
          </c:tx>
          <c:spPr>
            <a:solidFill>
              <a:schemeClr val="accent1"/>
            </a:solidFill>
            <a:ln>
              <a:noFill/>
            </a:ln>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36-4741-83CC-86F47E089FC0}"/>
                </c:ext>
              </c:extLst>
            </c:dLbl>
            <c:dLbl>
              <c:idx val="1"/>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36-4741-83CC-86F47E089FC0}"/>
                </c:ext>
              </c:extLst>
            </c:dLbl>
            <c:dLbl>
              <c:idx val="2"/>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36-4741-83CC-86F47E089FC0}"/>
                </c:ext>
              </c:extLst>
            </c:dLbl>
            <c:dLbl>
              <c:idx val="3"/>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36-4741-83CC-86F47E089FC0}"/>
                </c:ext>
              </c:extLst>
            </c:dLbl>
            <c:dLbl>
              <c:idx val="4"/>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B36-4741-83CC-86F47E089F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'[2025-2027 Strategy data.xlsx]Graf 4'!$D$2:$H$2</c:f>
              <c:strCache>
                <c:ptCount val="5"/>
                <c:pt idx="0">
                  <c:v>2023թ.</c:v>
                </c:pt>
                <c:pt idx="1">
                  <c:v>2024թ.</c:v>
                </c:pt>
                <c:pt idx="2">
                  <c:v>2025թ.</c:v>
                </c:pt>
                <c:pt idx="3">
                  <c:v>2026թ.</c:v>
                </c:pt>
                <c:pt idx="4">
                  <c:v>2027թ.</c:v>
                </c:pt>
              </c:strCache>
            </c:strRef>
          </c:cat>
          <c:val>
            <c:numRef>
              <c:f>'[2025-2027 Strategy data.xlsx]Graf 4'!$D$5:$H$5</c:f>
              <c:numCache>
                <c:formatCode>0.0%</c:formatCode>
                <c:ptCount val="5"/>
                <c:pt idx="0">
                  <c:v>0.18214831721591246</c:v>
                </c:pt>
                <c:pt idx="1">
                  <c:v>0.19256588625432275</c:v>
                </c:pt>
                <c:pt idx="2">
                  <c:v>0.28345377577180481</c:v>
                </c:pt>
                <c:pt idx="3">
                  <c:v>0.23107779433983097</c:v>
                </c:pt>
                <c:pt idx="4">
                  <c:v>0.21820471841275757</c:v>
                </c:pt>
              </c:numCache>
            </c:numRef>
          </c:val>
          <c:extLst>
            <c:ext xmlns:c16="http://schemas.microsoft.com/office/drawing/2014/chart" uri="{C3380CC4-5D6E-409C-BE32-E72D297353CC}">
              <c16:uniqueId val="{00000005-8B36-4741-83CC-86F47E089FC0}"/>
            </c:ext>
          </c:extLst>
        </c:ser>
        <c:dLbls>
          <c:showLegendKey val="0"/>
          <c:showVal val="0"/>
          <c:showCatName val="0"/>
          <c:showSerName val="0"/>
          <c:showPercent val="0"/>
          <c:showBubbleSize val="0"/>
        </c:dLbls>
        <c:gapWidth val="219"/>
        <c:overlap val="-27"/>
        <c:axId val="215882752"/>
        <c:axId val="137646016"/>
      </c:barChart>
      <c:catAx>
        <c:axId val="21588275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itchFamily="50" charset="0"/>
                    <a:ea typeface="+mn-ea"/>
                    <a:cs typeface="+mn-cs"/>
                  </a:defRPr>
                </a:pPr>
                <a:r>
                  <a:rPr lang="hy-AM" sz="900">
                    <a:latin typeface="GHEA Grapalat" pitchFamily="50" charset="0"/>
                  </a:rPr>
                  <a:t>ՀՀ կառավարության արտարժութային պարտքի մարումների և տոկոսավճարների կշիռը նախորդ տարվա վերջի դրությամբ ԿԲ արտաքին ակտիվներում (%) </a:t>
                </a:r>
                <a:endParaRPr lang="en-US" sz="900">
                  <a:latin typeface="GHEA Grapalat" pitchFamily="50" charset="0"/>
                </a:endParaRPr>
              </a:p>
            </c:rich>
          </c:tx>
          <c:layout>
            <c:manualLayout>
              <c:xMode val="edge"/>
              <c:yMode val="edge"/>
              <c:x val="9.7221557646183149E-2"/>
              <c:y val="0.8358752398212266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646016"/>
        <c:crosses val="autoZero"/>
        <c:auto val="1"/>
        <c:lblAlgn val="ctr"/>
        <c:lblOffset val="100"/>
        <c:noMultiLvlLbl val="0"/>
      </c:catAx>
      <c:valAx>
        <c:axId val="1376460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itchFamily="50" charset="0"/>
                <a:ea typeface="+mn-ea"/>
                <a:cs typeface="+mn-cs"/>
              </a:defRPr>
            </a:pPr>
            <a:endParaRPr lang="en-US"/>
          </a:p>
        </c:txPr>
        <c:crossAx val="215882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889998836372023E-2"/>
          <c:y val="3.1630245471804701E-2"/>
          <c:w val="0.8717961559026145"/>
          <c:h val="0.76399208293435161"/>
        </c:manualLayout>
      </c:layout>
      <c:areaChart>
        <c:grouping val="stacked"/>
        <c:varyColors val="0"/>
        <c:ser>
          <c:idx val="0"/>
          <c:order val="0"/>
          <c:tx>
            <c:strRef>
              <c:f>'[2025-2027 Strategy data.xlsx]Graf 2'!$B$3</c:f>
              <c:strCache>
                <c:ptCount val="1"/>
                <c:pt idx="0">
                  <c:v>Տոկոսավճար</c:v>
                </c:pt>
              </c:strCache>
            </c:strRef>
          </c:tx>
          <c:spPr>
            <a:ln w="25400">
              <a:noFill/>
            </a:ln>
          </c:spPr>
          <c:dLbls>
            <c:dLbl>
              <c:idx val="0"/>
              <c:layout>
                <c:manualLayout>
                  <c:x val="3.2258064516129219E-2"/>
                  <c:y val="0"/>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65-44B9-8CBB-5414F50F5A98}"/>
                </c:ext>
              </c:extLst>
            </c:dLbl>
            <c:dLbl>
              <c:idx val="5"/>
              <c:layout>
                <c:manualLayout>
                  <c:x val="-3.4408602150537794E-2"/>
                  <c:y val="-8.2027389474493307E-17"/>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65-44B9-8CBB-5414F50F5A98}"/>
                </c:ext>
              </c:extLst>
            </c:dLbl>
            <c:numFmt formatCode="#,#00" sourceLinked="0"/>
            <c:spPr>
              <a:noFill/>
              <a:ln w="25400">
                <a:noFill/>
              </a:ln>
            </c:spPr>
            <c:txPr>
              <a:bodyPr wrap="square" lIns="38100" tIns="19050" rIns="38100" bIns="19050" anchor="ctr">
                <a:spAutoFit/>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'[2025-2027 Strategy data.xlsx]Graf 2'!$E$2:$J$2</c:f>
              <c:numCache>
                <c:formatCode>General</c:formatCode>
                <c:ptCount val="6"/>
                <c:pt idx="0">
                  <c:v>2022</c:v>
                </c:pt>
                <c:pt idx="1">
                  <c:v>2023</c:v>
                </c:pt>
                <c:pt idx="2">
                  <c:v>2024</c:v>
                </c:pt>
                <c:pt idx="3">
                  <c:v>2025</c:v>
                </c:pt>
                <c:pt idx="4">
                  <c:v>2026</c:v>
                </c:pt>
                <c:pt idx="5">
                  <c:v>2027</c:v>
                </c:pt>
              </c:numCache>
            </c:numRef>
          </c:cat>
          <c:val>
            <c:numRef>
              <c:f>'[2025-2027 Strategy data.xlsx]Graf 2'!$E$3:$J$3</c:f>
              <c:numCache>
                <c:formatCode>_ * #,##0.0_ ;_ * \-#,##0.0_ ;_ * "-"??_ ;_ @_ </c:formatCode>
                <c:ptCount val="6"/>
                <c:pt idx="0">
                  <c:v>198.31195251309998</c:v>
                </c:pt>
                <c:pt idx="1">
                  <c:v>253.41248296957002</c:v>
                </c:pt>
                <c:pt idx="2">
                  <c:v>323.9698390708129</c:v>
                </c:pt>
                <c:pt idx="3">
                  <c:v>393.65222775684441</c:v>
                </c:pt>
                <c:pt idx="4">
                  <c:v>440.48262907564003</c:v>
                </c:pt>
                <c:pt idx="5">
                  <c:v>494.07991271584007</c:v>
                </c:pt>
              </c:numCache>
            </c:numRef>
          </c:val>
          <c:extLst>
            <c:ext xmlns:c16="http://schemas.microsoft.com/office/drawing/2014/chart" uri="{C3380CC4-5D6E-409C-BE32-E72D297353CC}">
              <c16:uniqueId val="{00000002-E365-44B9-8CBB-5414F50F5A98}"/>
            </c:ext>
          </c:extLst>
        </c:ser>
        <c:ser>
          <c:idx val="1"/>
          <c:order val="1"/>
          <c:tx>
            <c:strRef>
              <c:f>'[2025-2027 Strategy data.xlsx]Graf 2'!$B$4</c:f>
              <c:strCache>
                <c:ptCount val="1"/>
                <c:pt idx="0">
                  <c:v>Մարում</c:v>
                </c:pt>
              </c:strCache>
            </c:strRef>
          </c:tx>
          <c:spPr>
            <a:ln w="25400">
              <a:noFill/>
            </a:ln>
          </c:spPr>
          <c:dLbls>
            <c:dLbl>
              <c:idx val="0"/>
              <c:layout>
                <c:manualLayout>
                  <c:x val="3.6559139784946251E-2"/>
                  <c:y val="4.4739206256936498E-3"/>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65-44B9-8CBB-5414F50F5A98}"/>
                </c:ext>
              </c:extLst>
            </c:dLbl>
            <c:dLbl>
              <c:idx val="1"/>
              <c:layout>
                <c:manualLayout>
                  <c:x val="-2.1505376344086052E-3"/>
                  <c:y val="3.1319910514541492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65-44B9-8CBB-5414F50F5A98}"/>
                </c:ext>
              </c:extLst>
            </c:dLbl>
            <c:dLbl>
              <c:idx val="4"/>
              <c:layout>
                <c:manualLayout>
                  <c:x val="5.8582308142939403E-3"/>
                  <c:y val="4.3726875210225384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365-44B9-8CBB-5414F50F5A98}"/>
                </c:ext>
              </c:extLst>
            </c:dLbl>
            <c:dLbl>
              <c:idx val="5"/>
              <c:layout>
                <c:manualLayout>
                  <c:x val="-3.285145156503945E-2"/>
                  <c:y val="-3.5857361926631019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365-44B9-8CBB-5414F50F5A98}"/>
                </c:ext>
              </c:extLst>
            </c:dLbl>
            <c:numFmt formatCode="#,#00" sourceLinked="0"/>
            <c:spPr>
              <a:noFill/>
              <a:ln w="25400">
                <a:noFill/>
              </a:ln>
            </c:spPr>
            <c:txPr>
              <a:bodyPr wrap="square" lIns="38100" tIns="19050" rIns="38100" bIns="19050" anchor="ctr">
                <a:spAutoFit/>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'[2025-2027 Strategy data.xlsx]Graf 2'!$E$2:$J$2</c:f>
              <c:numCache>
                <c:formatCode>General</c:formatCode>
                <c:ptCount val="6"/>
                <c:pt idx="0">
                  <c:v>2022</c:v>
                </c:pt>
                <c:pt idx="1">
                  <c:v>2023</c:v>
                </c:pt>
                <c:pt idx="2">
                  <c:v>2024</c:v>
                </c:pt>
                <c:pt idx="3">
                  <c:v>2025</c:v>
                </c:pt>
                <c:pt idx="4">
                  <c:v>2026</c:v>
                </c:pt>
                <c:pt idx="5">
                  <c:v>2027</c:v>
                </c:pt>
              </c:numCache>
            </c:numRef>
          </c:cat>
          <c:val>
            <c:numRef>
              <c:f>'[2025-2027 Strategy data.xlsx]Graf 2'!$E$4:$J$4</c:f>
              <c:numCache>
                <c:formatCode>_ * #,##0.0_ ;_ * \-#,##0.0_ ;_ * "-"??_ ;_ @_ </c:formatCode>
                <c:ptCount val="6"/>
                <c:pt idx="0">
                  <c:v>247.34527803380001</c:v>
                </c:pt>
                <c:pt idx="1">
                  <c:v>421.69427738069999</c:v>
                </c:pt>
                <c:pt idx="2">
                  <c:v>480.05581656781999</c:v>
                </c:pt>
                <c:pt idx="3">
                  <c:v>728.72695044779994</c:v>
                </c:pt>
                <c:pt idx="4">
                  <c:v>620.05863049627999</c:v>
                </c:pt>
                <c:pt idx="5">
                  <c:v>624.44681980067992</c:v>
                </c:pt>
              </c:numCache>
            </c:numRef>
          </c:val>
          <c:extLst>
            <c:ext xmlns:c16="http://schemas.microsoft.com/office/drawing/2014/chart" uri="{C3380CC4-5D6E-409C-BE32-E72D297353CC}">
              <c16:uniqueId val="{00000007-E365-44B9-8CBB-5414F50F5A98}"/>
            </c:ext>
          </c:extLst>
        </c:ser>
        <c:dLbls>
          <c:showLegendKey val="0"/>
          <c:showVal val="0"/>
          <c:showCatName val="0"/>
          <c:showSerName val="0"/>
          <c:showPercent val="0"/>
          <c:showBubbleSize val="0"/>
        </c:dLbls>
        <c:axId val="215883264"/>
        <c:axId val="148398080"/>
      </c:areaChart>
      <c:lineChart>
        <c:grouping val="stacked"/>
        <c:varyColors val="0"/>
        <c:ser>
          <c:idx val="4"/>
          <c:order val="2"/>
          <c:tx>
            <c:strRef>
              <c:f>'[2025-2027 Strategy data.xlsx]Graf 2'!$B$5</c:f>
              <c:strCache>
                <c:ptCount val="1"/>
                <c:pt idx="0">
                  <c:v>ՀՀ կառավարության պարտքի գծով վճարումներ</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0"/>
              <c:layout>
                <c:manualLayout>
                  <c:x val="-2.0151753182750889E-2"/>
                  <c:y val="-5.791554536695571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365-44B9-8CBB-5414F50F5A98}"/>
                </c:ext>
              </c:extLst>
            </c:dLbl>
            <c:dLbl>
              <c:idx val="2"/>
              <c:layout>
                <c:manualLayout>
                  <c:x val="-3.6397665481688206E-2"/>
                  <c:y val="-7.762869709446007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365-44B9-8CBB-5414F50F5A98}"/>
                </c:ext>
              </c:extLst>
            </c:dLbl>
            <c:dLbl>
              <c:idx val="3"/>
              <c:layout>
                <c:manualLayout>
                  <c:x val="-3.4435727179672158E-2"/>
                  <c:y val="-6.6948556941579959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365-44B9-8CBB-5414F50F5A98}"/>
                </c:ext>
              </c:extLst>
            </c:dLbl>
            <c:dLbl>
              <c:idx val="4"/>
              <c:layout>
                <c:manualLayout>
                  <c:x val="-1.8637938271775782E-2"/>
                  <c:y val="-6.3626708619041211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365-44B9-8CBB-5414F50F5A98}"/>
                </c:ext>
              </c:extLst>
            </c:dLbl>
            <c:dLbl>
              <c:idx val="5"/>
              <c:layout>
                <c:manualLayout>
                  <c:x val="-3.3691746352444082E-2"/>
                  <c:y val="-5.237955245503491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365-44B9-8CBB-5414F50F5A98}"/>
                </c:ext>
              </c:extLst>
            </c:dLbl>
            <c:numFmt formatCode="#,#00" sourceLinked="0"/>
            <c:spPr>
              <a:noFill/>
              <a:ln w="25400">
                <a:noFill/>
              </a:ln>
            </c:spPr>
            <c:txPr>
              <a:bodyPr wrap="square" lIns="38100" tIns="19050" rIns="38100" bIns="19050" anchor="ctr">
                <a:spAutoFit/>
              </a:bodyPr>
              <a:lstStyle/>
              <a:p>
                <a:pPr>
                  <a:defRPr sz="1000" b="0" i="0" u="none" strike="noStrike" baseline="0">
                    <a:solidFill>
                      <a:srgbClr val="000000"/>
                    </a:solidFill>
                    <a:latin typeface="GHEA Grapalat"/>
                    <a:ea typeface="GHEA Grapalat"/>
                    <a:cs typeface="GHEA Grapalat"/>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'[2025-2027 Strategy data.xlsx]Graf 2'!$E$2:$J$2</c:f>
              <c:numCache>
                <c:formatCode>General</c:formatCode>
                <c:ptCount val="6"/>
                <c:pt idx="0">
                  <c:v>2022</c:v>
                </c:pt>
                <c:pt idx="1">
                  <c:v>2023</c:v>
                </c:pt>
                <c:pt idx="2">
                  <c:v>2024</c:v>
                </c:pt>
                <c:pt idx="3">
                  <c:v>2025</c:v>
                </c:pt>
                <c:pt idx="4">
                  <c:v>2026</c:v>
                </c:pt>
                <c:pt idx="5">
                  <c:v>2027</c:v>
                </c:pt>
              </c:numCache>
            </c:numRef>
          </c:cat>
          <c:val>
            <c:numRef>
              <c:f>'[2025-2027 Strategy data.xlsx]Graf 2'!$E$5:$J$5</c:f>
              <c:numCache>
                <c:formatCode>_ * #,##0.0_ ;_ * \-#,##0.0_ ;_ * "-"??_ ;_ @_ </c:formatCode>
                <c:ptCount val="6"/>
                <c:pt idx="0">
                  <c:v>445.65723054690005</c:v>
                </c:pt>
                <c:pt idx="1">
                  <c:v>675.10676035027006</c:v>
                </c:pt>
                <c:pt idx="2">
                  <c:v>804.02565563863288</c:v>
                </c:pt>
                <c:pt idx="3">
                  <c:v>1122.3791782046442</c:v>
                </c:pt>
                <c:pt idx="4">
                  <c:v>1060.5412595719199</c:v>
                </c:pt>
                <c:pt idx="5">
                  <c:v>1118.5267325165198</c:v>
                </c:pt>
              </c:numCache>
            </c:numRef>
          </c:val>
          <c:smooth val="0"/>
          <c:extLst>
            <c:ext xmlns:c16="http://schemas.microsoft.com/office/drawing/2014/chart" uri="{C3380CC4-5D6E-409C-BE32-E72D297353CC}">
              <c16:uniqueId val="{0000000D-E365-44B9-8CBB-5414F50F5A98}"/>
            </c:ext>
          </c:extLst>
        </c:ser>
        <c:dLbls>
          <c:showLegendKey val="0"/>
          <c:showVal val="0"/>
          <c:showCatName val="0"/>
          <c:showSerName val="0"/>
          <c:showPercent val="0"/>
          <c:showBubbleSize val="0"/>
        </c:dLbls>
        <c:marker val="1"/>
        <c:smooth val="0"/>
        <c:axId val="215883264"/>
        <c:axId val="148398080"/>
      </c:lineChart>
      <c:catAx>
        <c:axId val="2158832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48398080"/>
        <c:crosses val="autoZero"/>
        <c:auto val="1"/>
        <c:lblAlgn val="ctr"/>
        <c:lblOffset val="100"/>
        <c:noMultiLvlLbl val="0"/>
      </c:catAx>
      <c:valAx>
        <c:axId val="148398080"/>
        <c:scaling>
          <c:orientation val="minMax"/>
          <c:max val="1300"/>
        </c:scaling>
        <c:delete val="0"/>
        <c:axPos val="l"/>
        <c:majorGridlines>
          <c:spPr>
            <a:ln w="9525" cap="flat" cmpd="sng" algn="ctr">
              <a:solidFill>
                <a:schemeClr val="tx1">
                  <a:lumMod val="15000"/>
                  <a:lumOff val="85000"/>
                </a:schemeClr>
              </a:solidFill>
              <a:round/>
            </a:ln>
            <a:effectLst>
              <a:glow>
                <a:srgbClr val="4F81BD">
                  <a:alpha val="40000"/>
                </a:srgbClr>
              </a:glow>
              <a:outerShdw dir="3540000" sx="1000" sy="1000" algn="ctr" rotWithShape="0">
                <a:srgbClr val="000000"/>
              </a:outerShdw>
              <a:softEdge rad="0"/>
            </a:effectLst>
          </c:spPr>
        </c:majorGridlines>
        <c:numFmt formatCode="#,##0" sourceLinked="0"/>
        <c:majorTickMark val="none"/>
        <c:minorTickMark val="none"/>
        <c:tickLblPos val="nextTo"/>
        <c:spPr>
          <a:ln w="6350">
            <a:noFill/>
          </a:ln>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215883264"/>
        <c:crosses val="autoZero"/>
        <c:crossBetween val="midCat"/>
        <c:majorUnit val="100"/>
      </c:valAx>
      <c:spPr>
        <a:noFill/>
        <a:ln w="25400">
          <a:noFill/>
        </a:ln>
      </c:spPr>
    </c:plotArea>
    <c:legend>
      <c:legendPos val="b"/>
      <c:layout>
        <c:manualLayout>
          <c:xMode val="edge"/>
          <c:yMode val="edge"/>
          <c:x val="5.0968312505240643E-2"/>
          <c:y val="0.89227395747878158"/>
          <c:w val="0.87466199175491133"/>
          <c:h val="9.4502500721976454E-2"/>
        </c:manualLayout>
      </c:layout>
      <c:overlay val="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legend>
    <c:plotVisOnly val="1"/>
    <c:dispBlanksAs val="zero"/>
    <c:showDLblsOverMax val="0"/>
  </c:chart>
  <c:spPr>
    <a:solidFill>
      <a:schemeClr val="bg1"/>
    </a:solidFill>
    <a:ln w="9525" cap="rnd" cmpd="sng" algn="ctr">
      <a:solidFill>
        <a:sysClr val="windowText" lastClr="000000">
          <a:lumMod val="15000"/>
          <a:lumOff val="85000"/>
        </a:sysClr>
      </a:solidFill>
      <a:round/>
    </a:ln>
    <a:effectLst/>
    <a:scene3d>
      <a:camera prst="orthographicFront"/>
      <a:lightRig rig="threePt" dir="t"/>
    </a:scene3d>
    <a:sp3d>
      <a:bevelT w="0"/>
    </a:sp3d>
  </c:spPr>
  <c:txPr>
    <a:bodyPr/>
    <a:lstStyle/>
    <a:p>
      <a:pPr>
        <a:defRPr sz="1000" b="0" i="0" u="none" strike="noStrike" baseline="0">
          <a:solidFill>
            <a:srgbClr val="000000"/>
          </a:solidFill>
          <a:latin typeface="GHEA Grapalat"/>
          <a:ea typeface="GHEA Grapalat"/>
          <a:cs typeface="GHEA Grapalat"/>
        </a:defRPr>
      </a:pPr>
      <a:endParaRPr lang="en-US"/>
    </a:p>
  </c:txPr>
  <c:externalData r:id="rId2">
    <c:autoUpdate val="0"/>
  </c:externalData>
  <c:userShapes r:id="rId3"/>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418214232654126E-2"/>
          <c:y val="0.29057232507590686"/>
          <c:w val="0.9022861387609511"/>
          <c:h val="0.61103574459207632"/>
        </c:manualLayout>
      </c:layout>
      <c:lineChart>
        <c:grouping val="standard"/>
        <c:varyColors val="0"/>
        <c:ser>
          <c:idx val="0"/>
          <c:order val="0"/>
          <c:tx>
            <c:strRef>
              <c:f>'[2025-2027 Strategy data.xlsx]Graf Shock 7'!$B$9</c:f>
              <c:strCache>
                <c:ptCount val="1"/>
                <c:pt idx="0">
                  <c:v>Հիմնական սցենար</c:v>
                </c:pt>
              </c:strCache>
            </c:strRef>
          </c:tx>
          <c:spPr>
            <a:ln>
              <a:solidFill>
                <a:schemeClr val="tx1"/>
              </a:solidFill>
            </a:ln>
          </c:spPr>
          <c:marker>
            <c:symbol val="none"/>
          </c:marker>
          <c:cat>
            <c:numRef>
              <c:f>'[2025-2027 Strategy data.xlsx]Graf Shock 7'!$C$8:$F$8</c:f>
              <c:numCache>
                <c:formatCode>General</c:formatCode>
                <c:ptCount val="4"/>
                <c:pt idx="0">
                  <c:v>2024</c:v>
                </c:pt>
                <c:pt idx="1">
                  <c:v>2025</c:v>
                </c:pt>
                <c:pt idx="2">
                  <c:v>2026</c:v>
                </c:pt>
                <c:pt idx="3">
                  <c:v>2027</c:v>
                </c:pt>
              </c:numCache>
            </c:numRef>
          </c:cat>
          <c:val>
            <c:numRef>
              <c:f>'[2025-2027 Strategy data.xlsx]Graf Shock 7'!$C$9:$F$9</c:f>
              <c:numCache>
                <c:formatCode>0.0</c:formatCode>
                <c:ptCount val="4"/>
                <c:pt idx="0">
                  <c:v>50.537309376446991</c:v>
                </c:pt>
                <c:pt idx="1">
                  <c:v>53.766467455712032</c:v>
                </c:pt>
                <c:pt idx="2">
                  <c:v>54.965639330103109</c:v>
                </c:pt>
                <c:pt idx="3">
                  <c:v>54.953012766391829</c:v>
                </c:pt>
              </c:numCache>
            </c:numRef>
          </c:val>
          <c:smooth val="0"/>
          <c:extLst>
            <c:ext xmlns:c16="http://schemas.microsoft.com/office/drawing/2014/chart" uri="{C3380CC4-5D6E-409C-BE32-E72D297353CC}">
              <c16:uniqueId val="{00000000-D44F-4391-9838-DC05B53C8CE0}"/>
            </c:ext>
          </c:extLst>
        </c:ser>
        <c:ser>
          <c:idx val="1"/>
          <c:order val="1"/>
          <c:tx>
            <c:strRef>
              <c:f>'[2025-2027 Strategy data.xlsx]Graf Shock 7'!$B$10</c:f>
              <c:strCache>
                <c:ptCount val="1"/>
                <c:pt idx="0">
                  <c:v>Փոխարժեքի շոկ (23%)</c:v>
                </c:pt>
              </c:strCache>
            </c:strRef>
          </c:tx>
          <c:spPr>
            <a:ln>
              <a:solidFill>
                <a:srgbClr val="0000FF"/>
              </a:solidFill>
            </a:ln>
          </c:spPr>
          <c:marker>
            <c:spPr>
              <a:solidFill>
                <a:srgbClr val="0000FF"/>
              </a:solidFill>
              <a:ln>
                <a:solidFill>
                  <a:srgbClr val="0000FF"/>
                </a:solidFill>
              </a:ln>
            </c:spPr>
          </c:marker>
          <c:cat>
            <c:numRef>
              <c:f>'[2025-2027 Strategy data.xlsx]Graf Shock 7'!$C$8:$F$8</c:f>
              <c:numCache>
                <c:formatCode>General</c:formatCode>
                <c:ptCount val="4"/>
                <c:pt idx="0">
                  <c:v>2024</c:v>
                </c:pt>
                <c:pt idx="1">
                  <c:v>2025</c:v>
                </c:pt>
                <c:pt idx="2">
                  <c:v>2026</c:v>
                </c:pt>
                <c:pt idx="3">
                  <c:v>2027</c:v>
                </c:pt>
              </c:numCache>
            </c:numRef>
          </c:cat>
          <c:val>
            <c:numRef>
              <c:f>'[2025-2027 Strategy data.xlsx]Graf Shock 7'!$C$10:$F$10</c:f>
              <c:numCache>
                <c:formatCode>0.0</c:formatCode>
                <c:ptCount val="4"/>
                <c:pt idx="0">
                  <c:v>50.537309376446991</c:v>
                </c:pt>
                <c:pt idx="1">
                  <c:v>60.364137335521143</c:v>
                </c:pt>
                <c:pt idx="2">
                  <c:v>61.507522753303434</c:v>
                </c:pt>
                <c:pt idx="3">
                  <c:v>61.433613489019713</c:v>
                </c:pt>
              </c:numCache>
            </c:numRef>
          </c:val>
          <c:smooth val="0"/>
          <c:extLst>
            <c:ext xmlns:c16="http://schemas.microsoft.com/office/drawing/2014/chart" uri="{C3380CC4-5D6E-409C-BE32-E72D297353CC}">
              <c16:uniqueId val="{00000001-D44F-4391-9838-DC05B53C8CE0}"/>
            </c:ext>
          </c:extLst>
        </c:ser>
        <c:ser>
          <c:idx val="2"/>
          <c:order val="2"/>
          <c:tx>
            <c:strRef>
              <c:f>'[2025-2027 Strategy data.xlsx]Graf Shock 7'!$B$11</c:f>
              <c:strCache>
                <c:ptCount val="1"/>
                <c:pt idx="0">
                  <c:v>Տոկոսադրույքի շոկ 1</c:v>
                </c:pt>
              </c:strCache>
            </c:strRef>
          </c:tx>
          <c:spPr>
            <a:ln>
              <a:solidFill>
                <a:srgbClr val="6496FA"/>
              </a:solidFill>
            </a:ln>
          </c:spPr>
          <c:marker>
            <c:spPr>
              <a:solidFill>
                <a:srgbClr val="6496FA"/>
              </a:solidFill>
              <a:ln>
                <a:solidFill>
                  <a:srgbClr val="6496FA"/>
                </a:solidFill>
              </a:ln>
            </c:spPr>
          </c:marker>
          <c:cat>
            <c:numRef>
              <c:f>'[2025-2027 Strategy data.xlsx]Graf Shock 7'!$C$8:$F$8</c:f>
              <c:numCache>
                <c:formatCode>General</c:formatCode>
                <c:ptCount val="4"/>
                <c:pt idx="0">
                  <c:v>2024</c:v>
                </c:pt>
                <c:pt idx="1">
                  <c:v>2025</c:v>
                </c:pt>
                <c:pt idx="2">
                  <c:v>2026</c:v>
                </c:pt>
                <c:pt idx="3">
                  <c:v>2027</c:v>
                </c:pt>
              </c:numCache>
            </c:numRef>
          </c:cat>
          <c:val>
            <c:numRef>
              <c:f>'[2025-2027 Strategy data.xlsx]Graf Shock 7'!$C$11:$F$11</c:f>
              <c:numCache>
                <c:formatCode>0.0</c:formatCode>
                <c:ptCount val="4"/>
                <c:pt idx="0">
                  <c:v>50.537309376446991</c:v>
                </c:pt>
                <c:pt idx="1">
                  <c:v>53.91636161153712</c:v>
                </c:pt>
                <c:pt idx="2">
                  <c:v>55.320433519146228</c:v>
                </c:pt>
                <c:pt idx="3">
                  <c:v>55.555759249948721</c:v>
                </c:pt>
              </c:numCache>
            </c:numRef>
          </c:val>
          <c:smooth val="0"/>
          <c:extLst>
            <c:ext xmlns:c16="http://schemas.microsoft.com/office/drawing/2014/chart" uri="{C3380CC4-5D6E-409C-BE32-E72D297353CC}">
              <c16:uniqueId val="{00000002-D44F-4391-9838-DC05B53C8CE0}"/>
            </c:ext>
          </c:extLst>
        </c:ser>
        <c:ser>
          <c:idx val="3"/>
          <c:order val="3"/>
          <c:tx>
            <c:strRef>
              <c:f>'[2025-2027 Strategy data.xlsx]Graf Shock 7'!$B$12</c:f>
              <c:strCache>
                <c:ptCount val="1"/>
                <c:pt idx="0">
                  <c:v>Տոկոսադրույքի շոկ 2</c:v>
                </c:pt>
              </c:strCache>
            </c:strRef>
          </c:tx>
          <c:spPr>
            <a:ln>
              <a:solidFill>
                <a:schemeClr val="bg1">
                  <a:lumMod val="50000"/>
                </a:schemeClr>
              </a:solidFill>
            </a:ln>
          </c:spPr>
          <c:marker>
            <c:symbol val="circle"/>
            <c:size val="7"/>
            <c:spPr>
              <a:solidFill>
                <a:srgbClr val="A0A0A0"/>
              </a:solidFill>
              <a:ln>
                <a:solidFill>
                  <a:sysClr val="window" lastClr="FFFFFF">
                    <a:lumMod val="50000"/>
                  </a:sysClr>
                </a:solidFill>
              </a:ln>
            </c:spPr>
          </c:marker>
          <c:cat>
            <c:numRef>
              <c:f>'[2025-2027 Strategy data.xlsx]Graf Shock 7'!$C$8:$F$8</c:f>
              <c:numCache>
                <c:formatCode>General</c:formatCode>
                <c:ptCount val="4"/>
                <c:pt idx="0">
                  <c:v>2024</c:v>
                </c:pt>
                <c:pt idx="1">
                  <c:v>2025</c:v>
                </c:pt>
                <c:pt idx="2">
                  <c:v>2026</c:v>
                </c:pt>
                <c:pt idx="3">
                  <c:v>2027</c:v>
                </c:pt>
              </c:numCache>
            </c:numRef>
          </c:cat>
          <c:val>
            <c:numRef>
              <c:f>'[2025-2027 Strategy data.xlsx]Graf Shock 7'!$C$12:$F$12</c:f>
              <c:numCache>
                <c:formatCode>0.0</c:formatCode>
                <c:ptCount val="4"/>
                <c:pt idx="0">
                  <c:v>50.537309376446991</c:v>
                </c:pt>
                <c:pt idx="1">
                  <c:v>54.066255767362229</c:v>
                </c:pt>
                <c:pt idx="2">
                  <c:v>55.677237959827416</c:v>
                </c:pt>
                <c:pt idx="3">
                  <c:v>56.166332891055937</c:v>
                </c:pt>
              </c:numCache>
            </c:numRef>
          </c:val>
          <c:smooth val="0"/>
          <c:extLst>
            <c:ext xmlns:c16="http://schemas.microsoft.com/office/drawing/2014/chart" uri="{C3380CC4-5D6E-409C-BE32-E72D297353CC}">
              <c16:uniqueId val="{00000003-D44F-4391-9838-DC05B53C8CE0}"/>
            </c:ext>
          </c:extLst>
        </c:ser>
        <c:ser>
          <c:idx val="4"/>
          <c:order val="4"/>
          <c:tx>
            <c:strRef>
              <c:f>'[2025-2027 Strategy data.xlsx]Graf Shock 7'!$B$13</c:f>
              <c:strCache>
                <c:ptCount val="1"/>
                <c:pt idx="0">
                  <c:v>Համակցված շոկ (15% արժեզրկում և տոկոսադրույքի շոկ)</c:v>
                </c:pt>
              </c:strCache>
            </c:strRef>
          </c:tx>
          <c:spPr>
            <a:ln>
              <a:solidFill>
                <a:schemeClr val="accent5">
                  <a:lumMod val="75000"/>
                </a:schemeClr>
              </a:solidFill>
              <a:prstDash val="sysDash"/>
            </a:ln>
          </c:spPr>
          <c:marker>
            <c:symbol val="none"/>
          </c:marker>
          <c:cat>
            <c:numRef>
              <c:f>'[2025-2027 Strategy data.xlsx]Graf Shock 7'!$C$8:$F$8</c:f>
              <c:numCache>
                <c:formatCode>General</c:formatCode>
                <c:ptCount val="4"/>
                <c:pt idx="0">
                  <c:v>2024</c:v>
                </c:pt>
                <c:pt idx="1">
                  <c:v>2025</c:v>
                </c:pt>
                <c:pt idx="2">
                  <c:v>2026</c:v>
                </c:pt>
                <c:pt idx="3">
                  <c:v>2027</c:v>
                </c:pt>
              </c:numCache>
            </c:numRef>
          </c:cat>
          <c:val>
            <c:numRef>
              <c:f>'[2025-2027 Strategy data.xlsx]Graf Shock 7'!$C$13:$F$13</c:f>
              <c:numCache>
                <c:formatCode>0.0</c:formatCode>
                <c:ptCount val="4"/>
                <c:pt idx="0">
                  <c:v>50.537309376446991</c:v>
                </c:pt>
                <c:pt idx="1">
                  <c:v>58.233210990665008</c:v>
                </c:pt>
                <c:pt idx="2">
                  <c:v>59.617850023184225</c:v>
                </c:pt>
                <c:pt idx="3">
                  <c:v>59.832269921826231</c:v>
                </c:pt>
              </c:numCache>
            </c:numRef>
          </c:val>
          <c:smooth val="0"/>
          <c:extLst>
            <c:ext xmlns:c16="http://schemas.microsoft.com/office/drawing/2014/chart" uri="{C3380CC4-5D6E-409C-BE32-E72D297353CC}">
              <c16:uniqueId val="{00000004-D44F-4391-9838-DC05B53C8CE0}"/>
            </c:ext>
          </c:extLst>
        </c:ser>
        <c:dLbls>
          <c:showLegendKey val="0"/>
          <c:showVal val="0"/>
          <c:showCatName val="0"/>
          <c:showSerName val="0"/>
          <c:showPercent val="0"/>
          <c:showBubbleSize val="0"/>
        </c:dLbls>
        <c:smooth val="0"/>
        <c:axId val="226727936"/>
        <c:axId val="148399808"/>
      </c:lineChart>
      <c:catAx>
        <c:axId val="226727936"/>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48399808"/>
        <c:crosses val="autoZero"/>
        <c:auto val="1"/>
        <c:lblAlgn val="ctr"/>
        <c:lblOffset val="100"/>
        <c:noMultiLvlLbl val="0"/>
      </c:catAx>
      <c:valAx>
        <c:axId val="148399808"/>
        <c:scaling>
          <c:orientation val="minMax"/>
          <c:min val="47"/>
        </c:scaling>
        <c:delete val="0"/>
        <c:axPos val="l"/>
        <c:numFmt formatCode="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6727936"/>
        <c:crosses val="autoZero"/>
        <c:crossBetween val="between"/>
        <c:majorUnit val="1"/>
      </c:valAx>
    </c:plotArea>
    <c:legend>
      <c:legendPos val="r"/>
      <c:layout>
        <c:manualLayout>
          <c:xMode val="edge"/>
          <c:yMode val="edge"/>
          <c:x val="0.13811776082867316"/>
          <c:y val="1.8104972412680893E-2"/>
          <c:w val="0.76002505548893218"/>
          <c:h val="0.25346961377753252"/>
        </c:manualLayout>
      </c:layout>
      <c:overlay val="0"/>
      <c:txPr>
        <a:bodyPr/>
        <a:lstStyle/>
        <a:p>
          <a:pPr>
            <a:defRPr sz="825"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ln>
      <a:solidFill>
        <a:schemeClr val="bg1">
          <a:lumMod val="85000"/>
        </a:schemeClr>
      </a:solid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userShapes r:id="rId2"/>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418214232654126E-2"/>
          <c:y val="0.28068199918281983"/>
          <c:w val="0.9022861387609511"/>
          <c:h val="0.62760185319842932"/>
        </c:manualLayout>
      </c:layout>
      <c:lineChart>
        <c:grouping val="standard"/>
        <c:varyColors val="0"/>
        <c:ser>
          <c:idx val="0"/>
          <c:order val="0"/>
          <c:tx>
            <c:strRef>
              <c:f>'[2025-2027 Strategy data.xlsx]Graf Shock 7'!$B$21</c:f>
              <c:strCache>
                <c:ptCount val="1"/>
                <c:pt idx="0">
                  <c:v>Հիմնական սցենար</c:v>
                </c:pt>
              </c:strCache>
            </c:strRef>
          </c:tx>
          <c:spPr>
            <a:ln>
              <a:solidFill>
                <a:schemeClr val="tx1"/>
              </a:solidFill>
            </a:ln>
          </c:spPr>
          <c:marker>
            <c:symbol val="none"/>
          </c:marker>
          <c:cat>
            <c:numRef>
              <c:f>'[2025-2027 Strategy data.xlsx]Graf Shock 7'!$C$20:$F$20</c:f>
              <c:numCache>
                <c:formatCode>General</c:formatCode>
                <c:ptCount val="4"/>
                <c:pt idx="0">
                  <c:v>2024</c:v>
                </c:pt>
                <c:pt idx="1">
                  <c:v>2025</c:v>
                </c:pt>
                <c:pt idx="2">
                  <c:v>2026</c:v>
                </c:pt>
                <c:pt idx="3">
                  <c:v>2027</c:v>
                </c:pt>
              </c:numCache>
            </c:numRef>
          </c:cat>
          <c:val>
            <c:numRef>
              <c:f>'[2025-2027 Strategy data.xlsx]Graf Shock 7'!$C$21:$F$21</c:f>
              <c:numCache>
                <c:formatCode>0.0</c:formatCode>
                <c:ptCount val="4"/>
                <c:pt idx="0">
                  <c:v>3.1488462373244523</c:v>
                </c:pt>
                <c:pt idx="1">
                  <c:v>3.5156227083834235</c:v>
                </c:pt>
                <c:pt idx="2">
                  <c:v>3.5785740397852006</c:v>
                </c:pt>
                <c:pt idx="3">
                  <c:v>3.6252495187022982</c:v>
                </c:pt>
              </c:numCache>
            </c:numRef>
          </c:val>
          <c:smooth val="0"/>
          <c:extLst>
            <c:ext xmlns:c16="http://schemas.microsoft.com/office/drawing/2014/chart" uri="{C3380CC4-5D6E-409C-BE32-E72D297353CC}">
              <c16:uniqueId val="{00000000-63FD-4FF0-8BBB-461E7D265F31}"/>
            </c:ext>
          </c:extLst>
        </c:ser>
        <c:ser>
          <c:idx val="1"/>
          <c:order val="1"/>
          <c:tx>
            <c:strRef>
              <c:f>'[2025-2027 Strategy data.xlsx]Graf Shock 7'!$B$22</c:f>
              <c:strCache>
                <c:ptCount val="1"/>
                <c:pt idx="0">
                  <c:v>Փոխարժեքի շոկ (23%)</c:v>
                </c:pt>
              </c:strCache>
            </c:strRef>
          </c:tx>
          <c:spPr>
            <a:ln>
              <a:solidFill>
                <a:srgbClr val="0000FF"/>
              </a:solidFill>
            </a:ln>
          </c:spPr>
          <c:marker>
            <c:spPr>
              <a:solidFill>
                <a:srgbClr val="0000FF"/>
              </a:solidFill>
              <a:ln>
                <a:solidFill>
                  <a:srgbClr val="0000FF"/>
                </a:solidFill>
              </a:ln>
            </c:spPr>
          </c:marker>
          <c:cat>
            <c:numRef>
              <c:f>'[2025-2027 Strategy data.xlsx]Graf Shock 7'!$C$20:$F$20</c:f>
              <c:numCache>
                <c:formatCode>General</c:formatCode>
                <c:ptCount val="4"/>
                <c:pt idx="0">
                  <c:v>2024</c:v>
                </c:pt>
                <c:pt idx="1">
                  <c:v>2025</c:v>
                </c:pt>
                <c:pt idx="2">
                  <c:v>2026</c:v>
                </c:pt>
                <c:pt idx="3">
                  <c:v>2027</c:v>
                </c:pt>
              </c:numCache>
            </c:numRef>
          </c:cat>
          <c:val>
            <c:numRef>
              <c:f>'[2025-2027 Strategy data.xlsx]Graf Shock 7'!$C$22:$F$22</c:f>
              <c:numCache>
                <c:formatCode>0.0</c:formatCode>
                <c:ptCount val="4"/>
                <c:pt idx="0">
                  <c:v>3.1488462373244523</c:v>
                </c:pt>
                <c:pt idx="1">
                  <c:v>3.8025332628702335</c:v>
                </c:pt>
                <c:pt idx="2">
                  <c:v>3.8858114472220895</c:v>
                </c:pt>
                <c:pt idx="3">
                  <c:v>3.9443812841474704</c:v>
                </c:pt>
              </c:numCache>
            </c:numRef>
          </c:val>
          <c:smooth val="0"/>
          <c:extLst>
            <c:ext xmlns:c16="http://schemas.microsoft.com/office/drawing/2014/chart" uri="{C3380CC4-5D6E-409C-BE32-E72D297353CC}">
              <c16:uniqueId val="{00000001-63FD-4FF0-8BBB-461E7D265F31}"/>
            </c:ext>
          </c:extLst>
        </c:ser>
        <c:ser>
          <c:idx val="2"/>
          <c:order val="2"/>
          <c:tx>
            <c:strRef>
              <c:f>'[2025-2027 Strategy data.xlsx]Graf Shock 7'!$B$23</c:f>
              <c:strCache>
                <c:ptCount val="1"/>
                <c:pt idx="0">
                  <c:v>Տոկոսադրույքի շոկ 1</c:v>
                </c:pt>
              </c:strCache>
            </c:strRef>
          </c:tx>
          <c:spPr>
            <a:ln>
              <a:solidFill>
                <a:srgbClr val="6496FA"/>
              </a:solidFill>
            </a:ln>
          </c:spPr>
          <c:marker>
            <c:spPr>
              <a:solidFill>
                <a:srgbClr val="6496FA"/>
              </a:solidFill>
              <a:ln>
                <a:solidFill>
                  <a:srgbClr val="6496FA"/>
                </a:solidFill>
              </a:ln>
            </c:spPr>
          </c:marker>
          <c:cat>
            <c:numRef>
              <c:f>'[2025-2027 Strategy data.xlsx]Graf Shock 7'!$C$20:$F$20</c:f>
              <c:numCache>
                <c:formatCode>General</c:formatCode>
                <c:ptCount val="4"/>
                <c:pt idx="0">
                  <c:v>2024</c:v>
                </c:pt>
                <c:pt idx="1">
                  <c:v>2025</c:v>
                </c:pt>
                <c:pt idx="2">
                  <c:v>2026</c:v>
                </c:pt>
                <c:pt idx="3">
                  <c:v>2027</c:v>
                </c:pt>
              </c:numCache>
            </c:numRef>
          </c:cat>
          <c:val>
            <c:numRef>
              <c:f>'[2025-2027 Strategy data.xlsx]Graf Shock 7'!$C$23:$F$23</c:f>
              <c:numCache>
                <c:formatCode>0.0</c:formatCode>
                <c:ptCount val="4"/>
                <c:pt idx="0">
                  <c:v>3.1488462373244523</c:v>
                </c:pt>
                <c:pt idx="1">
                  <c:v>3.6655168642085263</c:v>
                </c:pt>
                <c:pt idx="2">
                  <c:v>3.7927730746390589</c:v>
                </c:pt>
                <c:pt idx="3">
                  <c:v>3.8961232717715251</c:v>
                </c:pt>
              </c:numCache>
            </c:numRef>
          </c:val>
          <c:smooth val="0"/>
          <c:extLst>
            <c:ext xmlns:c16="http://schemas.microsoft.com/office/drawing/2014/chart" uri="{C3380CC4-5D6E-409C-BE32-E72D297353CC}">
              <c16:uniqueId val="{00000002-63FD-4FF0-8BBB-461E7D265F31}"/>
            </c:ext>
          </c:extLst>
        </c:ser>
        <c:ser>
          <c:idx val="3"/>
          <c:order val="3"/>
          <c:tx>
            <c:strRef>
              <c:f>'[2025-2027 Strategy data.xlsx]Graf Shock 7'!$B$24</c:f>
              <c:strCache>
                <c:ptCount val="1"/>
                <c:pt idx="0">
                  <c:v>Տոկոսադրույքի շոկ 2</c:v>
                </c:pt>
              </c:strCache>
            </c:strRef>
          </c:tx>
          <c:spPr>
            <a:ln>
              <a:solidFill>
                <a:schemeClr val="bg1">
                  <a:lumMod val="50000"/>
                </a:schemeClr>
              </a:solidFill>
            </a:ln>
          </c:spPr>
          <c:marker>
            <c:symbol val="circle"/>
            <c:size val="7"/>
            <c:spPr>
              <a:solidFill>
                <a:srgbClr val="A0A0A0"/>
              </a:solidFill>
              <a:ln>
                <a:solidFill>
                  <a:sysClr val="window" lastClr="FFFFFF">
                    <a:lumMod val="50000"/>
                  </a:sysClr>
                </a:solidFill>
              </a:ln>
            </c:spPr>
          </c:marker>
          <c:cat>
            <c:numRef>
              <c:f>'[2025-2027 Strategy data.xlsx]Graf Shock 7'!$C$20:$F$20</c:f>
              <c:numCache>
                <c:formatCode>General</c:formatCode>
                <c:ptCount val="4"/>
                <c:pt idx="0">
                  <c:v>2024</c:v>
                </c:pt>
                <c:pt idx="1">
                  <c:v>2025</c:v>
                </c:pt>
                <c:pt idx="2">
                  <c:v>2026</c:v>
                </c:pt>
                <c:pt idx="3">
                  <c:v>2027</c:v>
                </c:pt>
              </c:numCache>
            </c:numRef>
          </c:cat>
          <c:val>
            <c:numRef>
              <c:f>'[2025-2027 Strategy data.xlsx]Graf Shock 7'!$C$24:$F$24</c:f>
              <c:numCache>
                <c:formatCode>0.0</c:formatCode>
                <c:ptCount val="4"/>
                <c:pt idx="0">
                  <c:v>3.1488462373244523</c:v>
                </c:pt>
                <c:pt idx="1">
                  <c:v>3.81541102003363</c:v>
                </c:pt>
                <c:pt idx="2">
                  <c:v>4.0089823611309878</c:v>
                </c:pt>
                <c:pt idx="3">
                  <c:v>4.1729467623049015</c:v>
                </c:pt>
              </c:numCache>
            </c:numRef>
          </c:val>
          <c:smooth val="0"/>
          <c:extLst>
            <c:ext xmlns:c16="http://schemas.microsoft.com/office/drawing/2014/chart" uri="{C3380CC4-5D6E-409C-BE32-E72D297353CC}">
              <c16:uniqueId val="{00000003-63FD-4FF0-8BBB-461E7D265F31}"/>
            </c:ext>
          </c:extLst>
        </c:ser>
        <c:ser>
          <c:idx val="4"/>
          <c:order val="4"/>
          <c:tx>
            <c:strRef>
              <c:f>'[2025-2027 Strategy data.xlsx]Graf Shock 7'!$B$25</c:f>
              <c:strCache>
                <c:ptCount val="1"/>
                <c:pt idx="0">
                  <c:v>Համակցված շոկ (15 տոկոս արժեզրկում և տոկոսադրույքի շոկ)</c:v>
                </c:pt>
              </c:strCache>
            </c:strRef>
          </c:tx>
          <c:spPr>
            <a:ln>
              <a:solidFill>
                <a:schemeClr val="accent5">
                  <a:lumMod val="75000"/>
                </a:schemeClr>
              </a:solidFill>
              <a:prstDash val="sysDash"/>
            </a:ln>
          </c:spPr>
          <c:marker>
            <c:symbol val="none"/>
          </c:marker>
          <c:cat>
            <c:numRef>
              <c:f>'[2025-2027 Strategy data.xlsx]Graf Shock 7'!$C$20:$F$20</c:f>
              <c:numCache>
                <c:formatCode>General</c:formatCode>
                <c:ptCount val="4"/>
                <c:pt idx="0">
                  <c:v>2024</c:v>
                </c:pt>
                <c:pt idx="1">
                  <c:v>2025</c:v>
                </c:pt>
                <c:pt idx="2">
                  <c:v>2026</c:v>
                </c:pt>
                <c:pt idx="3">
                  <c:v>2027</c:v>
                </c:pt>
              </c:numCache>
            </c:numRef>
          </c:cat>
          <c:val>
            <c:numRef>
              <c:f>'[2025-2027 Strategy data.xlsx]Graf Shock 7'!$C$25:$F$25</c:f>
              <c:numCache>
                <c:formatCode>0.0</c:formatCode>
                <c:ptCount val="4"/>
                <c:pt idx="0">
                  <c:v>3.1488462373244523</c:v>
                </c:pt>
                <c:pt idx="1">
                  <c:v>3.8666536398653322</c:v>
                </c:pt>
                <c:pt idx="2">
                  <c:v>4.0109647281417349</c:v>
                </c:pt>
                <c:pt idx="3">
                  <c:v>4.1253114332911842</c:v>
                </c:pt>
              </c:numCache>
            </c:numRef>
          </c:val>
          <c:smooth val="0"/>
          <c:extLst>
            <c:ext xmlns:c16="http://schemas.microsoft.com/office/drawing/2014/chart" uri="{C3380CC4-5D6E-409C-BE32-E72D297353CC}">
              <c16:uniqueId val="{00000004-63FD-4FF0-8BBB-461E7D265F31}"/>
            </c:ext>
          </c:extLst>
        </c:ser>
        <c:dLbls>
          <c:showLegendKey val="0"/>
          <c:showVal val="0"/>
          <c:showCatName val="0"/>
          <c:showSerName val="0"/>
          <c:showPercent val="0"/>
          <c:showBubbleSize val="0"/>
        </c:dLbls>
        <c:smooth val="0"/>
        <c:axId val="227581952"/>
        <c:axId val="148401536"/>
      </c:lineChart>
      <c:catAx>
        <c:axId val="227581952"/>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48401536"/>
        <c:crosses val="autoZero"/>
        <c:auto val="1"/>
        <c:lblAlgn val="ctr"/>
        <c:lblOffset val="100"/>
        <c:noMultiLvlLbl val="0"/>
      </c:catAx>
      <c:valAx>
        <c:axId val="148401536"/>
        <c:scaling>
          <c:orientation val="minMax"/>
          <c:max val="4.5"/>
          <c:min val="2.5"/>
        </c:scaling>
        <c:delete val="0"/>
        <c:axPos val="l"/>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7581952"/>
        <c:crosses val="autoZero"/>
        <c:crossBetween val="between"/>
        <c:majorUnit val="0.2"/>
      </c:valAx>
    </c:plotArea>
    <c:legend>
      <c:legendPos val="r"/>
      <c:layout>
        <c:manualLayout>
          <c:xMode val="edge"/>
          <c:yMode val="edge"/>
          <c:x val="0.1366082771037696"/>
          <c:y val="1.7745908720909195E-2"/>
          <c:w val="0.76002505548893218"/>
          <c:h val="0.25157435304347736"/>
        </c:manualLayout>
      </c:layout>
      <c:overlay val="0"/>
      <c:txPr>
        <a:bodyPr/>
        <a:lstStyle/>
        <a:p>
          <a:pPr>
            <a:defRPr sz="825"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ln>
      <a:solidFill>
        <a:schemeClr val="bg1">
          <a:lumMod val="85000"/>
        </a:schemeClr>
      </a:solid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userShapes r:id="rId2"/>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areaChart>
        <c:grouping val="stacked"/>
        <c:varyColors val="0"/>
        <c:ser>
          <c:idx val="0"/>
          <c:order val="0"/>
          <c:tx>
            <c:strRef>
              <c:f>'[Risks_for_MTEF_2024-2027_01.07.24.xlsx]Sheet9'!$B$3</c:f>
              <c:strCache>
                <c:ptCount val="1"/>
              </c:strCache>
            </c:strRef>
          </c:tx>
          <c:spPr>
            <a:no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'[Risks_for_MTEF_2024-2027_01.07.24.xlsx]Sheet9'!$B$4:$B$107</c:f>
              <c:numCache>
                <c:formatCode>General</c:formatCode>
                <c:ptCount val="7"/>
                <c:pt idx="0">
                  <c:v>16.202441463996365</c:v>
                </c:pt>
                <c:pt idx="1">
                  <c:v>21.919592453534747</c:v>
                </c:pt>
                <c:pt idx="2">
                  <c:v>15.867840863060877</c:v>
                </c:pt>
                <c:pt idx="3">
                  <c:v>-0.4470433979029238</c:v>
                </c:pt>
                <c:pt idx="4">
                  <c:v>1.2566299541738761</c:v>
                </c:pt>
                <c:pt idx="5">
                  <c:v>-0.10772832906490137</c:v>
                </c:pt>
                <c:pt idx="6">
                  <c:v>-2.219253762912361</c:v>
                </c:pt>
              </c:numCache>
            </c:numRef>
          </c:val>
          <c:extLst>
            <c:ext xmlns:c16="http://schemas.microsoft.com/office/drawing/2014/chart" uri="{C3380CC4-5D6E-409C-BE32-E72D297353CC}">
              <c16:uniqueId val="{00000000-B631-44B9-961A-2CCCB0EE0020}"/>
            </c:ext>
          </c:extLst>
        </c:ser>
        <c:ser>
          <c:idx val="1"/>
          <c:order val="1"/>
          <c:tx>
            <c:strRef>
              <c:f>'[Risks_for_MTEF_2024-2027_01.07.24.xlsx]Sheet9'!$C$3</c:f>
              <c:strCache>
                <c:ptCount val="1"/>
              </c:strCache>
            </c:strRef>
          </c:tx>
          <c:spPr>
            <a:solidFill>
              <a:srgbClr val="FF0000">
                <a:alpha val="2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'[Risks_for_MTEF_2024-2027_01.07.24.xlsx]Sheet9'!$C$4:$C$107</c:f>
              <c:numCache>
                <c:formatCode>General</c:formatCode>
                <c:ptCount val="7"/>
                <c:pt idx="3">
                  <c:v>2.264963298568615</c:v>
                </c:pt>
                <c:pt idx="4">
                  <c:v>2.512310542430086</c:v>
                </c:pt>
                <c:pt idx="5">
                  <c:v>2.9273906779625669</c:v>
                </c:pt>
                <c:pt idx="6">
                  <c:v>2.9837731482231593</c:v>
                </c:pt>
              </c:numCache>
            </c:numRef>
          </c:val>
          <c:extLst>
            <c:ext xmlns:c16="http://schemas.microsoft.com/office/drawing/2014/chart" uri="{C3380CC4-5D6E-409C-BE32-E72D297353CC}">
              <c16:uniqueId val="{00000001-B631-44B9-961A-2CCCB0EE0020}"/>
            </c:ext>
          </c:extLst>
        </c:ser>
        <c:ser>
          <c:idx val="2"/>
          <c:order val="2"/>
          <c:tx>
            <c:strRef>
              <c:f>'[Risks_for_MTEF_2024-2027_01.07.24.xlsx]Sheet9'!$D$3</c:f>
              <c:strCache>
                <c:ptCount val="1"/>
              </c:strCache>
            </c:strRef>
          </c:tx>
          <c:spPr>
            <a:solidFill>
              <a:srgbClr val="FF0000">
                <a:alpha val="3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'[Risks_for_MTEF_2024-2027_01.07.24.xlsx]Sheet9'!$D$4:$D$107</c:f>
              <c:numCache>
                <c:formatCode>General</c:formatCode>
                <c:ptCount val="7"/>
                <c:pt idx="3">
                  <c:v>1.5281599846068668</c:v>
                </c:pt>
                <c:pt idx="4">
                  <c:v>1.695043995756528</c:v>
                </c:pt>
                <c:pt idx="5">
                  <c:v>1.9750965926029291</c:v>
                </c:pt>
                <c:pt idx="6">
                  <c:v>2.0131375776113707</c:v>
                </c:pt>
              </c:numCache>
            </c:numRef>
          </c:val>
          <c:extLst>
            <c:ext xmlns:c16="http://schemas.microsoft.com/office/drawing/2014/chart" uri="{C3380CC4-5D6E-409C-BE32-E72D297353CC}">
              <c16:uniqueId val="{00000002-B631-44B9-961A-2CCCB0EE0020}"/>
            </c:ext>
          </c:extLst>
        </c:ser>
        <c:ser>
          <c:idx val="3"/>
          <c:order val="3"/>
          <c:tx>
            <c:strRef>
              <c:f>'[Risks_for_MTEF_2024-2027_01.07.24.xlsx]Sheet9'!$E$3</c:f>
              <c:strCache>
                <c:ptCount val="1"/>
              </c:strCache>
            </c:strRef>
          </c:tx>
          <c:spPr>
            <a:solidFill>
              <a:srgbClr val="FF0000">
                <a:alpha val="4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'[Risks_for_MTEF_2024-2027_01.07.24.xlsx]Sheet9'!$E$4:$E$107</c:f>
              <c:numCache>
                <c:formatCode>General</c:formatCode>
                <c:ptCount val="7"/>
                <c:pt idx="3">
                  <c:v>1.2145331121081906</c:v>
                </c:pt>
                <c:pt idx="4">
                  <c:v>1.3471672338391274</c:v>
                </c:pt>
                <c:pt idx="5">
                  <c:v>1.5697441599646638</c:v>
                </c:pt>
                <c:pt idx="6">
                  <c:v>1.5999779289256075</c:v>
                </c:pt>
              </c:numCache>
            </c:numRef>
          </c:val>
          <c:extLst>
            <c:ext xmlns:c16="http://schemas.microsoft.com/office/drawing/2014/chart" uri="{C3380CC4-5D6E-409C-BE32-E72D297353CC}">
              <c16:uniqueId val="{00000003-B631-44B9-961A-2CCCB0EE0020}"/>
            </c:ext>
          </c:extLst>
        </c:ser>
        <c:ser>
          <c:idx val="4"/>
          <c:order val="4"/>
          <c:tx>
            <c:strRef>
              <c:f>'[Risks_for_MTEF_2024-2027_01.07.24.xlsx]Sheet9'!$F$3</c:f>
              <c:strCache>
                <c:ptCount val="1"/>
              </c:strCache>
            </c:strRef>
          </c:tx>
          <c:spPr>
            <a:solidFill>
              <a:srgbClr val="FF0000">
                <a:alpha val="5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'[Risks_for_MTEF_2024-2027_01.07.24.xlsx]Sheet9'!$F$4:$F$107</c:f>
              <c:numCache>
                <c:formatCode>General</c:formatCode>
                <c:ptCount val="7"/>
                <c:pt idx="3">
                  <c:v>1.0419612661099418</c:v>
                </c:pt>
                <c:pt idx="4">
                  <c:v>1.1557495325889526</c:v>
                </c:pt>
                <c:pt idx="5">
                  <c:v>1.3467007165793659</c:v>
                </c:pt>
                <c:pt idx="6">
                  <c:v>1.3726385982820224</c:v>
                </c:pt>
              </c:numCache>
            </c:numRef>
          </c:val>
          <c:extLst>
            <c:ext xmlns:c16="http://schemas.microsoft.com/office/drawing/2014/chart" uri="{C3380CC4-5D6E-409C-BE32-E72D297353CC}">
              <c16:uniqueId val="{00000004-B631-44B9-961A-2CCCB0EE0020}"/>
            </c:ext>
          </c:extLst>
        </c:ser>
        <c:ser>
          <c:idx val="5"/>
          <c:order val="5"/>
          <c:tx>
            <c:strRef>
              <c:f>'[Risks_for_MTEF_2024-2027_01.07.24.xlsx]Sheet9'!$G$3</c:f>
              <c:strCache>
                <c:ptCount val="1"/>
              </c:strCache>
            </c:strRef>
          </c:tx>
          <c:spPr>
            <a:solidFill>
              <a:srgbClr val="FF0000">
                <a:alpha val="6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'[Risks_for_MTEF_2024-2027_01.07.24.xlsx]Sheet9'!$G$4:$G$107</c:f>
              <c:numCache>
                <c:formatCode>General</c:formatCode>
                <c:ptCount val="7"/>
                <c:pt idx="3">
                  <c:v>0.93571342013346204</c:v>
                </c:pt>
                <c:pt idx="4">
                  <c:v>1.0378988002058316</c:v>
                </c:pt>
                <c:pt idx="5">
                  <c:v>1.2093788650236652</c:v>
                </c:pt>
                <c:pt idx="6">
                  <c:v>1.232671884436586</c:v>
                </c:pt>
              </c:numCache>
            </c:numRef>
          </c:val>
          <c:extLst>
            <c:ext xmlns:c16="http://schemas.microsoft.com/office/drawing/2014/chart" uri="{C3380CC4-5D6E-409C-BE32-E72D297353CC}">
              <c16:uniqueId val="{00000005-B631-44B9-961A-2CCCB0EE0020}"/>
            </c:ext>
          </c:extLst>
        </c:ser>
        <c:ser>
          <c:idx val="6"/>
          <c:order val="6"/>
          <c:tx>
            <c:strRef>
              <c:f>'[Risks_for_MTEF_2024-2027_01.07.24.xlsx]Sheet9'!$H$3</c:f>
              <c:strCache>
                <c:ptCount val="1"/>
              </c:strCache>
            </c:strRef>
          </c:tx>
          <c:spPr>
            <a:solidFill>
              <a:srgbClr val="FF0000">
                <a:alpha val="7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'[Risks_for_MTEF_2024-2027_01.07.24.xlsx]Sheet9'!$H$4:$H$107</c:f>
              <c:numCache>
                <c:formatCode>General</c:formatCode>
                <c:ptCount val="7"/>
                <c:pt idx="3">
                  <c:v>0.86707793292976998</c:v>
                </c:pt>
                <c:pt idx="4">
                  <c:v>0.96176791623273061</c:v>
                </c:pt>
                <c:pt idx="5">
                  <c:v>1.1206697519247992</c:v>
                </c:pt>
                <c:pt idx="6">
                  <c:v>1.1422542057646998</c:v>
                </c:pt>
              </c:numCache>
            </c:numRef>
          </c:val>
          <c:extLst>
            <c:ext xmlns:c16="http://schemas.microsoft.com/office/drawing/2014/chart" uri="{C3380CC4-5D6E-409C-BE32-E72D297353CC}">
              <c16:uniqueId val="{00000006-B631-44B9-961A-2CCCB0EE0020}"/>
            </c:ext>
          </c:extLst>
        </c:ser>
        <c:ser>
          <c:idx val="7"/>
          <c:order val="7"/>
          <c:tx>
            <c:strRef>
              <c:f>'[Risks_for_MTEF_2024-2027_01.07.24.xlsx]Sheet9'!$I$3</c:f>
              <c:strCache>
                <c:ptCount val="1"/>
              </c:strCache>
            </c:strRef>
          </c:tx>
          <c:spPr>
            <a:solidFill>
              <a:srgbClr val="FF0000">
                <a:alpha val="8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'[Risks_for_MTEF_2024-2027_01.07.24.xlsx]Sheet9'!$I$4:$I$107</c:f>
              <c:numCache>
                <c:formatCode>General</c:formatCode>
                <c:ptCount val="7"/>
                <c:pt idx="3">
                  <c:v>0.82277216661442232</c:v>
                </c:pt>
                <c:pt idx="4">
                  <c:v>0.91262370101527779</c:v>
                </c:pt>
                <c:pt idx="5">
                  <c:v>1.0634060040426565</c:v>
                </c:pt>
                <c:pt idx="6">
                  <c:v>1.0838875399883818</c:v>
                </c:pt>
              </c:numCache>
            </c:numRef>
          </c:val>
          <c:extLst>
            <c:ext xmlns:c16="http://schemas.microsoft.com/office/drawing/2014/chart" uri="{C3380CC4-5D6E-409C-BE32-E72D297353CC}">
              <c16:uniqueId val="{00000007-B631-44B9-961A-2CCCB0EE0020}"/>
            </c:ext>
          </c:extLst>
        </c:ser>
        <c:ser>
          <c:idx val="8"/>
          <c:order val="8"/>
          <c:tx>
            <c:strRef>
              <c:f>'[Risks_for_MTEF_2024-2027_01.07.24.xlsx]Sheet9'!$J$3</c:f>
              <c:strCache>
                <c:ptCount val="1"/>
              </c:strCache>
            </c:strRef>
          </c:tx>
          <c:spPr>
            <a:solidFill>
              <a:srgbClr val="FF0000">
                <a:alpha val="9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'[Risks_for_MTEF_2024-2027_01.07.24.xlsx]Sheet9'!$J$4:$J$107</c:f>
              <c:numCache>
                <c:formatCode>General</c:formatCode>
                <c:ptCount val="7"/>
                <c:pt idx="3">
                  <c:v>0.796041593064162</c:v>
                </c:pt>
                <c:pt idx="4">
                  <c:v>0.88297399244032171</c:v>
                </c:pt>
                <c:pt idx="5">
                  <c:v>1.0288576156086879</c:v>
                </c:pt>
                <c:pt idx="6">
                  <c:v>1.0486737386670608</c:v>
                </c:pt>
              </c:numCache>
            </c:numRef>
          </c:val>
          <c:extLst>
            <c:ext xmlns:c16="http://schemas.microsoft.com/office/drawing/2014/chart" uri="{C3380CC4-5D6E-409C-BE32-E72D297353CC}">
              <c16:uniqueId val="{00000008-B631-44B9-961A-2CCCB0EE0020}"/>
            </c:ext>
          </c:extLst>
        </c:ser>
        <c:ser>
          <c:idx val="9"/>
          <c:order val="9"/>
          <c:tx>
            <c:strRef>
              <c:f>'[Risks_for_MTEF_2024-2027_01.07.24.xlsx]Sheet9'!$K$3</c:f>
              <c:strCache>
                <c:ptCount val="1"/>
              </c:strCache>
            </c:strRef>
          </c:tx>
          <c:spPr>
            <a:solidFill>
              <a:srgbClr val="FF0000"/>
            </a:solidFill>
            <a:ln>
              <a:solidFill>
                <a:srgbClr val="FF0000"/>
              </a:solidFill>
              <a:prstDash val="solid"/>
            </a:ln>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'[Risks_for_MTEF_2024-2027_01.07.24.xlsx]Sheet9'!$K$4:$K$107</c:f>
              <c:numCache>
                <c:formatCode>General</c:formatCode>
                <c:ptCount val="7"/>
                <c:pt idx="3">
                  <c:v>0.98380411782655131</c:v>
                </c:pt>
                <c:pt idx="4">
                  <c:v>1.0893851039248865</c:v>
                </c:pt>
                <c:pt idx="5">
                  <c:v>1.2333078744229713</c:v>
                </c:pt>
                <c:pt idx="6">
                  <c:v>1.252854955706864</c:v>
                </c:pt>
              </c:numCache>
            </c:numRef>
          </c:val>
          <c:extLst>
            <c:ext xmlns:c16="http://schemas.microsoft.com/office/drawing/2014/chart" uri="{C3380CC4-5D6E-409C-BE32-E72D297353CC}">
              <c16:uniqueId val="{00000009-B631-44B9-961A-2CCCB0EE0020}"/>
            </c:ext>
          </c:extLst>
        </c:ser>
        <c:ser>
          <c:idx val="10"/>
          <c:order val="10"/>
          <c:tx>
            <c:strRef>
              <c:f>'[Risks_for_MTEF_2024-2027_01.07.24.xlsx]Sheet9'!$L$3</c:f>
              <c:strCache>
                <c:ptCount val="1"/>
              </c:strCache>
            </c:strRef>
          </c:tx>
          <c:spPr>
            <a:solidFill>
              <a:srgbClr val="FF0000">
                <a:alpha val="9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'[Risks_for_MTEF_2024-2027_01.07.24.xlsx]Sheet9'!$L$4:$L$107</c:f>
              <c:numCache>
                <c:formatCode>General</c:formatCode>
                <c:ptCount val="7"/>
                <c:pt idx="3">
                  <c:v>0.20361164924630515</c:v>
                </c:pt>
                <c:pt idx="4">
                  <c:v>0.22396114996293015</c:v>
                </c:pt>
                <c:pt idx="5">
                  <c:v>0.22431889899837465</c:v>
                </c:pt>
                <c:pt idx="6">
                  <c:v>0.22436476150102891</c:v>
                </c:pt>
              </c:numCache>
            </c:numRef>
          </c:val>
          <c:extLst>
            <c:ext xmlns:c16="http://schemas.microsoft.com/office/drawing/2014/chart" uri="{C3380CC4-5D6E-409C-BE32-E72D297353CC}">
              <c16:uniqueId val="{0000000A-B631-44B9-961A-2CCCB0EE0020}"/>
            </c:ext>
          </c:extLst>
        </c:ser>
        <c:ser>
          <c:idx val="11"/>
          <c:order val="11"/>
          <c:tx>
            <c:strRef>
              <c:f>'[Risks_for_MTEF_2024-2027_01.07.24.xlsx]Sheet9'!$M$3</c:f>
              <c:strCache>
                <c:ptCount val="1"/>
              </c:strCache>
            </c:strRef>
          </c:tx>
          <c:spPr>
            <a:solidFill>
              <a:srgbClr val="FF0000">
                <a:alpha val="8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'[Risks_for_MTEF_2024-2027_01.07.24.xlsx]Sheet9'!$M$4:$M$107</c:f>
              <c:numCache>
                <c:formatCode>General</c:formatCode>
                <c:ptCount val="7"/>
                <c:pt idx="3">
                  <c:v>0.2104487997335287</c:v>
                </c:pt>
                <c:pt idx="4">
                  <c:v>0.23148162382213933</c:v>
                </c:pt>
                <c:pt idx="5">
                  <c:v>0.23185138584407561</c:v>
                </c:pt>
                <c:pt idx="6">
                  <c:v>0.23189878838058142</c:v>
                </c:pt>
              </c:numCache>
            </c:numRef>
          </c:val>
          <c:extLst>
            <c:ext xmlns:c16="http://schemas.microsoft.com/office/drawing/2014/chart" uri="{C3380CC4-5D6E-409C-BE32-E72D297353CC}">
              <c16:uniqueId val="{0000000B-B631-44B9-961A-2CCCB0EE0020}"/>
            </c:ext>
          </c:extLst>
        </c:ser>
        <c:ser>
          <c:idx val="12"/>
          <c:order val="12"/>
          <c:tx>
            <c:strRef>
              <c:f>'[Risks_for_MTEF_2024-2027_01.07.24.xlsx]Sheet9'!$N$3</c:f>
              <c:strCache>
                <c:ptCount val="1"/>
              </c:strCache>
            </c:strRef>
          </c:tx>
          <c:spPr>
            <a:solidFill>
              <a:srgbClr val="FF0000">
                <a:alpha val="7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'[Risks_for_MTEF_2024-2027_01.07.24.xlsx]Sheet9'!$N$4:$N$107</c:f>
              <c:numCache>
                <c:formatCode>General</c:formatCode>
                <c:ptCount val="7"/>
                <c:pt idx="3">
                  <c:v>0.22178133590901261</c:v>
                </c:pt>
                <c:pt idx="4">
                  <c:v>0.24394676441332486</c:v>
                </c:pt>
                <c:pt idx="5">
                  <c:v>0.24433643788876047</c:v>
                </c:pt>
                <c:pt idx="6">
                  <c:v>0.24438639302219478</c:v>
                </c:pt>
              </c:numCache>
            </c:numRef>
          </c:val>
          <c:extLst>
            <c:ext xmlns:c16="http://schemas.microsoft.com/office/drawing/2014/chart" uri="{C3380CC4-5D6E-409C-BE32-E72D297353CC}">
              <c16:uniqueId val="{0000000C-B631-44B9-961A-2CCCB0EE0020}"/>
            </c:ext>
          </c:extLst>
        </c:ser>
        <c:ser>
          <c:idx val="13"/>
          <c:order val="13"/>
          <c:tx>
            <c:strRef>
              <c:f>'[Risks_for_MTEF_2024-2027_01.07.24.xlsx]Sheet9'!$O$3</c:f>
              <c:strCache>
                <c:ptCount val="1"/>
              </c:strCache>
            </c:strRef>
          </c:tx>
          <c:spPr>
            <a:solidFill>
              <a:srgbClr val="FF0000">
                <a:alpha val="6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'[Risks_for_MTEF_2024-2027_01.07.24.xlsx]Sheet9'!$O$4:$O$107</c:f>
              <c:numCache>
                <c:formatCode>General</c:formatCode>
                <c:ptCount val="7"/>
                <c:pt idx="3">
                  <c:v>0.23933693208404883</c:v>
                </c:pt>
                <c:pt idx="4">
                  <c:v>0.26325691450640676</c:v>
                </c:pt>
                <c:pt idx="5">
                  <c:v>0.26367743345468853</c:v>
                </c:pt>
                <c:pt idx="6">
                  <c:v>0.26373134289810096</c:v>
                </c:pt>
              </c:numCache>
            </c:numRef>
          </c:val>
          <c:extLst>
            <c:ext xmlns:c16="http://schemas.microsoft.com/office/drawing/2014/chart" uri="{C3380CC4-5D6E-409C-BE32-E72D297353CC}">
              <c16:uniqueId val="{0000000D-B631-44B9-961A-2CCCB0EE0020}"/>
            </c:ext>
          </c:extLst>
        </c:ser>
        <c:ser>
          <c:idx val="14"/>
          <c:order val="14"/>
          <c:tx>
            <c:strRef>
              <c:f>'[Risks_for_MTEF_2024-2027_01.07.24.xlsx]Sheet9'!$P$3</c:f>
              <c:strCache>
                <c:ptCount val="1"/>
              </c:strCache>
            </c:strRef>
          </c:tx>
          <c:spPr>
            <a:solidFill>
              <a:srgbClr val="FF0000">
                <a:alpha val="5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'[Risks_for_MTEF_2024-2027_01.07.24.xlsx]Sheet9'!$P$4:$P$107</c:f>
              <c:numCache>
                <c:formatCode>General</c:formatCode>
                <c:ptCount val="7"/>
                <c:pt idx="3">
                  <c:v>0.26651302355543471</c:v>
                </c:pt>
                <c:pt idx="4">
                  <c:v>0.29314905830052851</c:v>
                </c:pt>
                <c:pt idx="5">
                  <c:v>0.29361732609101843</c:v>
                </c:pt>
                <c:pt idx="6">
                  <c:v>0.29367735681271512</c:v>
                </c:pt>
              </c:numCache>
            </c:numRef>
          </c:val>
          <c:extLst>
            <c:ext xmlns:c16="http://schemas.microsoft.com/office/drawing/2014/chart" uri="{C3380CC4-5D6E-409C-BE32-E72D297353CC}">
              <c16:uniqueId val="{0000000E-B631-44B9-961A-2CCCB0EE0020}"/>
            </c:ext>
          </c:extLst>
        </c:ser>
        <c:ser>
          <c:idx val="15"/>
          <c:order val="15"/>
          <c:tx>
            <c:strRef>
              <c:f>'[Risks_for_MTEF_2024-2027_01.07.24.xlsx]Sheet9'!$Q$3</c:f>
              <c:strCache>
                <c:ptCount val="1"/>
              </c:strCache>
            </c:strRef>
          </c:tx>
          <c:spPr>
            <a:solidFill>
              <a:srgbClr val="FF0000">
                <a:alpha val="4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'[Risks_for_MTEF_2024-2027_01.07.24.xlsx]Sheet9'!$Q$4:$Q$107</c:f>
              <c:numCache>
                <c:formatCode>General</c:formatCode>
                <c:ptCount val="7"/>
                <c:pt idx="3">
                  <c:v>0.31065347863131798</c:v>
                </c:pt>
                <c:pt idx="4">
                  <c:v>0.34170103022981202</c:v>
                </c:pt>
                <c:pt idx="5">
                  <c:v>0.34224685352994832</c:v>
                </c:pt>
                <c:pt idx="6">
                  <c:v>0.34231682666773722</c:v>
                </c:pt>
              </c:numCache>
            </c:numRef>
          </c:val>
          <c:extLst>
            <c:ext xmlns:c16="http://schemas.microsoft.com/office/drawing/2014/chart" uri="{C3380CC4-5D6E-409C-BE32-E72D297353CC}">
              <c16:uniqueId val="{0000000F-B631-44B9-961A-2CCCB0EE0020}"/>
            </c:ext>
          </c:extLst>
        </c:ser>
        <c:ser>
          <c:idx val="16"/>
          <c:order val="16"/>
          <c:tx>
            <c:strRef>
              <c:f>'[Risks_for_MTEF_2024-2027_01.07.24.xlsx]Sheet9'!$R$3</c:f>
              <c:strCache>
                <c:ptCount val="1"/>
              </c:strCache>
            </c:strRef>
          </c:tx>
          <c:spPr>
            <a:solidFill>
              <a:srgbClr val="FF0000">
                <a:alpha val="3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'[Risks_for_MTEF_2024-2027_01.07.24.xlsx]Sheet9'!$R$4:$R$107</c:f>
              <c:numCache>
                <c:formatCode>General</c:formatCode>
                <c:ptCount val="7"/>
                <c:pt idx="3">
                  <c:v>0.39087301152231824</c:v>
                </c:pt>
                <c:pt idx="4">
                  <c:v>0.42993792090999428</c:v>
                </c:pt>
                <c:pt idx="5">
                  <c:v>0.43062469125624325</c:v>
                </c:pt>
                <c:pt idx="6">
                  <c:v>0.43071273344142824</c:v>
                </c:pt>
              </c:numCache>
            </c:numRef>
          </c:val>
          <c:extLst>
            <c:ext xmlns:c16="http://schemas.microsoft.com/office/drawing/2014/chart" uri="{C3380CC4-5D6E-409C-BE32-E72D297353CC}">
              <c16:uniqueId val="{00000010-B631-44B9-961A-2CCCB0EE0020}"/>
            </c:ext>
          </c:extLst>
        </c:ser>
        <c:ser>
          <c:idx val="17"/>
          <c:order val="17"/>
          <c:tx>
            <c:strRef>
              <c:f>'[Risks_for_MTEF_2024-2027_01.07.24.xlsx]Sheet9'!$S$3</c:f>
              <c:strCache>
                <c:ptCount val="1"/>
              </c:strCache>
            </c:strRef>
          </c:tx>
          <c:spPr>
            <a:solidFill>
              <a:srgbClr val="FF0000">
                <a:alpha val="20000"/>
              </a:srgbClr>
            </a:solidFill>
          </c:spP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'[Risks_for_MTEF_2024-2027_01.07.24.xlsx]Sheet9'!$S$4:$S$107</c:f>
              <c:numCache>
                <c:formatCode>General</c:formatCode>
                <c:ptCount val="7"/>
                <c:pt idx="3">
                  <c:v>0.57933268402313232</c:v>
                </c:pt>
                <c:pt idx="4">
                  <c:v>0.63723276445728239</c:v>
                </c:pt>
                <c:pt idx="5">
                  <c:v>0.63825066156522325</c:v>
                </c:pt>
                <c:pt idx="6">
                  <c:v>0.63838115334630352</c:v>
                </c:pt>
              </c:numCache>
            </c:numRef>
          </c:val>
          <c:extLst>
            <c:ext xmlns:c16="http://schemas.microsoft.com/office/drawing/2014/chart" uri="{C3380CC4-5D6E-409C-BE32-E72D297353CC}">
              <c16:uniqueId val="{00000011-B631-44B9-961A-2CCCB0EE0020}"/>
            </c:ext>
          </c:extLst>
        </c:ser>
        <c:dLbls>
          <c:showLegendKey val="0"/>
          <c:showVal val="0"/>
          <c:showCatName val="0"/>
          <c:showSerName val="0"/>
          <c:showPercent val="0"/>
          <c:showBubbleSize val="0"/>
        </c:dLbls>
        <c:axId val="603176352"/>
        <c:axId val="603168808"/>
      </c:areaChart>
      <c:lineChart>
        <c:grouping val="standard"/>
        <c:varyColors val="0"/>
        <c:ser>
          <c:idx val="18"/>
          <c:order val="18"/>
          <c:tx>
            <c:strRef>
              <c:f>'[Risks_for_MTEF_2024-2027_01.07.24.xlsx]Sheet9'!$U$3</c:f>
              <c:strCache>
                <c:ptCount val="1"/>
              </c:strCache>
            </c:strRef>
          </c:tx>
          <c:marker>
            <c:symbol val="none"/>
          </c:marker>
          <c:cat>
            <c:strRef>
              <c:f>'[Risks_for_MTEF_2024-2027_01.07.24.xlsx]Sheet9'!$A$4:$A$107</c:f>
              <c:strCache>
                <c:ptCount val="7"/>
                <c:pt idx="0">
                  <c:v>2021</c:v>
                </c:pt>
                <c:pt idx="1">
                  <c:v>2022</c:v>
                </c:pt>
                <c:pt idx="2">
                  <c:v>2023</c:v>
                </c:pt>
                <c:pt idx="3">
                  <c:v>2024</c:v>
                </c:pt>
                <c:pt idx="4">
                  <c:v>2025*</c:v>
                </c:pt>
                <c:pt idx="5">
                  <c:v>2026*</c:v>
                </c:pt>
                <c:pt idx="6">
                  <c:v>2027*</c:v>
                </c:pt>
              </c:strCache>
            </c:strRef>
          </c:cat>
          <c:val>
            <c:numRef>
              <c:f>'[Risks_for_MTEF_2024-2027_01.07.24.xlsx]Sheet9'!$U$4:$U$107</c:f>
              <c:numCache>
                <c:formatCode>0.0</c:formatCode>
                <c:ptCount val="7"/>
                <c:pt idx="0">
                  <c:v>16.202441463996365</c:v>
                </c:pt>
                <c:pt idx="1">
                  <c:v>21.919592453534747</c:v>
                </c:pt>
                <c:pt idx="2">
                  <c:v>15.867840863060877</c:v>
                </c:pt>
                <c:pt idx="3">
                  <c:v>9.8076000305862721</c:v>
                </c:pt>
                <c:pt idx="4">
                  <c:v>12.631140442063952</c:v>
                </c:pt>
                <c:pt idx="5">
                  <c:v>13.146061521464091</c:v>
                </c:pt>
                <c:pt idx="6">
                  <c:v>11.289808271720077</c:v>
                </c:pt>
              </c:numCache>
            </c:numRef>
          </c:val>
          <c:smooth val="0"/>
          <c:extLst>
            <c:ext xmlns:c16="http://schemas.microsoft.com/office/drawing/2014/chart" uri="{C3380CC4-5D6E-409C-BE32-E72D297353CC}">
              <c16:uniqueId val="{00000012-B631-44B9-961A-2CCCB0EE0020}"/>
            </c:ext>
          </c:extLst>
        </c:ser>
        <c:dLbls>
          <c:showLegendKey val="0"/>
          <c:showVal val="0"/>
          <c:showCatName val="0"/>
          <c:showSerName val="0"/>
          <c:showPercent val="0"/>
          <c:showBubbleSize val="0"/>
        </c:dLbls>
        <c:marker val="1"/>
        <c:smooth val="0"/>
        <c:axId val="603176352"/>
        <c:axId val="603168808"/>
      </c:lineChart>
      <c:catAx>
        <c:axId val="603176352"/>
        <c:scaling>
          <c:orientation val="minMax"/>
        </c:scaling>
        <c:delete val="0"/>
        <c:axPos val="b"/>
        <c:numFmt formatCode="General" sourceLinked="1"/>
        <c:majorTickMark val="out"/>
        <c:minorTickMark val="none"/>
        <c:tickLblPos val="nextTo"/>
        <c:crossAx val="603168808"/>
        <c:crosses val="autoZero"/>
        <c:auto val="1"/>
        <c:lblAlgn val="ctr"/>
        <c:lblOffset val="100"/>
        <c:noMultiLvlLbl val="0"/>
      </c:catAx>
      <c:valAx>
        <c:axId val="603168808"/>
        <c:scaling>
          <c:orientation val="minMax"/>
        </c:scaling>
        <c:delete val="0"/>
        <c:axPos val="l"/>
        <c:majorGridlines/>
        <c:numFmt formatCode="General" sourceLinked="1"/>
        <c:majorTickMark val="out"/>
        <c:minorTickMark val="none"/>
        <c:tickLblPos val="nextTo"/>
        <c:crossAx val="603176352"/>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txPr>
    <a:bodyPr/>
    <a:lstStyle/>
    <a:p>
      <a:pPr>
        <a:defRPr>
          <a:latin typeface="GHEA Grapalat" panose="02000506050000020003" pitchFamily="50"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0"/>
            </a:pPr>
            <a:r>
              <a:rPr lang="hy-AM" b="0"/>
              <a:t>Բյուջեի հաշվեկշիռ/ՀՆԱ,</a:t>
            </a:r>
            <a:r>
              <a:rPr lang="en-GB" b="0"/>
              <a:t> %</a:t>
            </a:r>
            <a:endParaRPr lang="hy-AM" b="0"/>
          </a:p>
        </c:rich>
      </c:tx>
      <c:layout>
        <c:manualLayout>
          <c:xMode val="edge"/>
          <c:yMode val="edge"/>
          <c:x val="0.33814644456571641"/>
          <c:y val="9.986309850803534E-3"/>
        </c:manualLayout>
      </c:layout>
      <c:overlay val="0"/>
    </c:title>
    <c:autoTitleDeleted val="0"/>
    <c:plotArea>
      <c:layout>
        <c:manualLayout>
          <c:layoutTarget val="inner"/>
          <c:xMode val="edge"/>
          <c:yMode val="edge"/>
          <c:x val="0.12100239945254367"/>
          <c:y val="0.1019355796073194"/>
          <c:w val="0.81605051843767074"/>
          <c:h val="0.67823046312759294"/>
        </c:manualLayout>
      </c:layout>
      <c:barChart>
        <c:barDir val="col"/>
        <c:grouping val="clustered"/>
        <c:varyColors val="0"/>
        <c:ser>
          <c:idx val="0"/>
          <c:order val="0"/>
          <c:tx>
            <c:strRef>
              <c:f>Sheet1!$B$1</c:f>
              <c:strCache>
                <c:ptCount val="1"/>
                <c:pt idx="0">
                  <c:v>2021թ․ հոկտեմբերի կանխ․</c:v>
                </c:pt>
              </c:strCache>
            </c:strRef>
          </c:tx>
          <c:spPr>
            <a:solidFill>
              <a:srgbClr val="4472C4">
                <a:lumMod val="75000"/>
              </a:srgbClr>
            </a:solidFill>
            <a:ln>
              <a:noFill/>
            </a:ln>
            <a:effectLst/>
          </c:spPr>
          <c:invertIfNegative val="0"/>
          <c:dPt>
            <c:idx val="1"/>
            <c:invertIfNegative val="0"/>
            <c:bubble3D val="0"/>
            <c:extLst>
              <c:ext xmlns:c16="http://schemas.microsoft.com/office/drawing/2014/chart" uri="{C3380CC4-5D6E-409C-BE32-E72D297353CC}">
                <c16:uniqueId val="{00000000-D17F-4262-998D-96AD59BCB634}"/>
              </c:ext>
            </c:extLst>
          </c:dPt>
          <c:dPt>
            <c:idx val="3"/>
            <c:invertIfNegative val="0"/>
            <c:bubble3D val="0"/>
            <c:extLst>
              <c:ext xmlns:c16="http://schemas.microsoft.com/office/drawing/2014/chart" uri="{C3380CC4-5D6E-409C-BE32-E72D297353CC}">
                <c16:uniqueId val="{00000001-D17F-4262-998D-96AD59BCB634}"/>
              </c:ext>
            </c:extLst>
          </c:dPt>
          <c:dPt>
            <c:idx val="4"/>
            <c:invertIfNegative val="0"/>
            <c:bubble3D val="0"/>
            <c:extLst>
              <c:ext xmlns:c16="http://schemas.microsoft.com/office/drawing/2014/chart" uri="{C3380CC4-5D6E-409C-BE32-E72D297353CC}">
                <c16:uniqueId val="{00000002-D17F-4262-998D-96AD59BCB634}"/>
              </c:ext>
            </c:extLst>
          </c:dPt>
          <c:dPt>
            <c:idx val="6"/>
            <c:invertIfNegative val="0"/>
            <c:bubble3D val="0"/>
            <c:spPr>
              <a:solidFill>
                <a:srgbClr val="4472C4">
                  <a:lumMod val="75000"/>
                </a:srgbClr>
              </a:solidFill>
              <a:ln>
                <a:noFill/>
              </a:ln>
              <a:effectLst/>
            </c:spPr>
            <c:extLst>
              <c:ext xmlns:c16="http://schemas.microsoft.com/office/drawing/2014/chart" uri="{C3380CC4-5D6E-409C-BE32-E72D297353CC}">
                <c16:uniqueId val="{00000004-D17F-4262-998D-96AD59BCB634}"/>
              </c:ext>
            </c:extLst>
          </c:dPt>
          <c:dPt>
            <c:idx val="7"/>
            <c:invertIfNegative val="0"/>
            <c:bubble3D val="0"/>
            <c:spPr>
              <a:solidFill>
                <a:srgbClr val="4472C4">
                  <a:lumMod val="75000"/>
                </a:srgbClr>
              </a:solidFill>
              <a:ln>
                <a:noFill/>
              </a:ln>
              <a:effectLst/>
            </c:spPr>
            <c:extLst>
              <c:ext xmlns:c16="http://schemas.microsoft.com/office/drawing/2014/chart" uri="{C3380CC4-5D6E-409C-BE32-E72D297353CC}">
                <c16:uniqueId val="{00000006-D17F-4262-998D-96AD59BCB634}"/>
              </c:ext>
            </c:extLst>
          </c:dPt>
          <c:dLbls>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Sheet1!$B$2:$B$10</c:f>
              <c:numCache>
                <c:formatCode>General</c:formatCode>
                <c:ptCount val="9"/>
                <c:pt idx="3" formatCode="0.0">
                  <c:v>-5.1908941774755499</c:v>
                </c:pt>
                <c:pt idx="4" formatCode="0.0">
                  <c:v>-4.2322728862952754</c:v>
                </c:pt>
                <c:pt idx="5" formatCode="0.0">
                  <c:v>-3.8389723995267788</c:v>
                </c:pt>
                <c:pt idx="6" formatCode="0.0">
                  <c:v>-3.6457328938615077</c:v>
                </c:pt>
                <c:pt idx="7" formatCode="0.0">
                  <c:v>-3.5039352223705968</c:v>
                </c:pt>
              </c:numCache>
            </c:numRef>
          </c:val>
          <c:extLst>
            <c:ext xmlns:c16="http://schemas.microsoft.com/office/drawing/2014/chart" uri="{C3380CC4-5D6E-409C-BE32-E72D297353CC}">
              <c16:uniqueId val="{00000007-D17F-4262-998D-96AD59BCB634}"/>
            </c:ext>
          </c:extLst>
        </c:ser>
        <c:ser>
          <c:idx val="1"/>
          <c:order val="1"/>
          <c:tx>
            <c:strRef>
              <c:f>Sheet1!$C$1</c:f>
              <c:strCache>
                <c:ptCount val="1"/>
                <c:pt idx="0">
                  <c:v>Փաստ․ և 2024թ․ ապրիլի կանխ․</c:v>
                </c:pt>
              </c:strCache>
            </c:strRef>
          </c:tx>
          <c:spPr>
            <a:solidFill>
              <a:srgbClr val="ED7D31">
                <a:lumMod val="60000"/>
                <a:lumOff val="40000"/>
              </a:srgbClr>
            </a:solidFill>
          </c:spPr>
          <c:invertIfNegative val="0"/>
          <c:dLbls>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Sheet1!$A$2:$A$10</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Sheet1!$C$2:$C$10</c:f>
              <c:numCache>
                <c:formatCode>0.0</c:formatCode>
                <c:ptCount val="9"/>
                <c:pt idx="0">
                  <c:v>-3.5796540424201542</c:v>
                </c:pt>
                <c:pt idx="1">
                  <c:v>-9.5</c:v>
                </c:pt>
                <c:pt idx="2">
                  <c:v>-6.3</c:v>
                </c:pt>
                <c:pt idx="3">
                  <c:v>-3.9</c:v>
                </c:pt>
                <c:pt idx="4">
                  <c:v>-5.5</c:v>
                </c:pt>
                <c:pt idx="5">
                  <c:v>-4.9000000000000004</c:v>
                </c:pt>
                <c:pt idx="6">
                  <c:v>-4.7</c:v>
                </c:pt>
                <c:pt idx="7">
                  <c:v>-4.5</c:v>
                </c:pt>
                <c:pt idx="8">
                  <c:v>-4.4000000000000004</c:v>
                </c:pt>
              </c:numCache>
            </c:numRef>
          </c:val>
          <c:extLst>
            <c:ext xmlns:c16="http://schemas.microsoft.com/office/drawing/2014/chart" uri="{C3380CC4-5D6E-409C-BE32-E72D297353CC}">
              <c16:uniqueId val="{00000008-D17F-4262-998D-96AD59BCB634}"/>
            </c:ext>
          </c:extLst>
        </c:ser>
        <c:dLbls>
          <c:showLegendKey val="0"/>
          <c:showVal val="0"/>
          <c:showCatName val="0"/>
          <c:showSerName val="0"/>
          <c:showPercent val="0"/>
          <c:showBubbleSize val="0"/>
        </c:dLbls>
        <c:gapWidth val="219"/>
        <c:overlap val="-27"/>
        <c:axId val="2025843072"/>
        <c:axId val="2025819136"/>
      </c:barChart>
      <c:catAx>
        <c:axId val="20258430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2025819136"/>
        <c:crosses val="autoZero"/>
        <c:auto val="1"/>
        <c:lblAlgn val="ctr"/>
        <c:lblOffset val="100"/>
        <c:noMultiLvlLbl val="0"/>
      </c:catAx>
      <c:valAx>
        <c:axId val="2025819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2025843072"/>
        <c:crosses val="autoZero"/>
        <c:crossBetween val="between"/>
      </c:valAx>
      <c:spPr>
        <a:noFill/>
        <a:ln>
          <a:noFill/>
        </a:ln>
        <a:effectLst/>
      </c:spPr>
    </c:plotArea>
    <c:legend>
      <c:legendPos val="b"/>
      <c:layout>
        <c:manualLayout>
          <c:xMode val="edge"/>
          <c:yMode val="edge"/>
          <c:x val="4.7607217414654839E-2"/>
          <c:y val="0.87781356362712726"/>
          <c:w val="0.89598468508268136"/>
          <c:h val="9.637998475996952E-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2">
    <c:autoUpdate val="0"/>
  </c:externalData>
  <c:userShapes r:id="rId3"/>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476609328318144E-2"/>
          <c:y val="8.3521534294981728E-2"/>
          <c:w val="0.84467857745457919"/>
          <c:h val="0.57759964563513544"/>
        </c:manualLayout>
      </c:layout>
      <c:areaChart>
        <c:grouping val="stacked"/>
        <c:varyColors val="0"/>
        <c:ser>
          <c:idx val="0"/>
          <c:order val="0"/>
          <c:tx>
            <c:v/>
          </c:tx>
          <c:spPr>
            <a:noFill/>
            <a:ln w="25400">
              <a:noFill/>
            </a:ln>
          </c:spPr>
          <c:cat>
            <c:numRef>
              <c:f>'[DSA_2024.xlsm]Fan Chart'!$AE$41:$AL$41</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Chart'!$AE$42:$AL$42</c:f>
              <c:numCache>
                <c:formatCode>0.0</c:formatCode>
                <c:ptCount val="8"/>
                <c:pt idx="0">
                  <c:v>63.476258231461017</c:v>
                </c:pt>
                <c:pt idx="1">
                  <c:v>48.099386823578513</c:v>
                </c:pt>
                <c:pt idx="2">
                  <c:v>45.625537271940352</c:v>
                </c:pt>
                <c:pt idx="3">
                  <c:v>46.165261555493821</c:v>
                </c:pt>
                <c:pt idx="4">
                  <c:v>45.593161588022731</c:v>
                </c:pt>
                <c:pt idx="5">
                  <c:v>44.451293568740745</c:v>
                </c:pt>
                <c:pt idx="6">
                  <c:v>42.604944888398236</c:v>
                </c:pt>
                <c:pt idx="7">
                  <c:v>40.392537571043789</c:v>
                </c:pt>
              </c:numCache>
            </c:numRef>
          </c:val>
          <c:extLst>
            <c:ext xmlns:c16="http://schemas.microsoft.com/office/drawing/2014/chart" uri="{C3380CC4-5D6E-409C-BE32-E72D297353CC}">
              <c16:uniqueId val="{00000000-7179-4DE4-B9F2-62BBD7BECD6B}"/>
            </c:ext>
          </c:extLst>
        </c:ser>
        <c:ser>
          <c:idx val="2"/>
          <c:order val="1"/>
          <c:tx>
            <c:strRef>
              <c:f>'[DSA_2024.xlsm]Fan Chart'!$Z$43</c:f>
              <c:strCache>
                <c:ptCount val="1"/>
                <c:pt idx="0">
                  <c:v>10-25%</c:v>
                </c:pt>
              </c:strCache>
            </c:strRef>
          </c:tx>
          <c:spPr>
            <a:solidFill>
              <a:schemeClr val="accent5">
                <a:lumMod val="40000"/>
                <a:lumOff val="60000"/>
              </a:schemeClr>
            </a:solidFill>
            <a:ln w="12700">
              <a:noFill/>
              <a:prstDash val="solid"/>
            </a:ln>
          </c:spPr>
          <c:cat>
            <c:numRef>
              <c:f>'[DSA_2024.xlsm]Fan Chart'!$AE$41:$AL$41</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Chart'!$AE$43:$AL$43</c:f>
              <c:numCache>
                <c:formatCode>0.0</c:formatCode>
                <c:ptCount val="8"/>
                <c:pt idx="0">
                  <c:v>0</c:v>
                </c:pt>
                <c:pt idx="1">
                  <c:v>0</c:v>
                </c:pt>
                <c:pt idx="2">
                  <c:v>2.3188299933125043</c:v>
                </c:pt>
                <c:pt idx="3">
                  <c:v>3.5127912569873301</c:v>
                </c:pt>
                <c:pt idx="4">
                  <c:v>4.0790200485789079</c:v>
                </c:pt>
                <c:pt idx="5">
                  <c:v>4.5645520183042301</c:v>
                </c:pt>
                <c:pt idx="6">
                  <c:v>5.2627272089222412</c:v>
                </c:pt>
                <c:pt idx="7">
                  <c:v>5.5807861713485956</c:v>
                </c:pt>
              </c:numCache>
            </c:numRef>
          </c:val>
          <c:extLst>
            <c:ext xmlns:c16="http://schemas.microsoft.com/office/drawing/2014/chart" uri="{C3380CC4-5D6E-409C-BE32-E72D297353CC}">
              <c16:uniqueId val="{00000001-7179-4DE4-B9F2-62BBD7BECD6B}"/>
            </c:ext>
          </c:extLst>
        </c:ser>
        <c:ser>
          <c:idx val="3"/>
          <c:order val="2"/>
          <c:tx>
            <c:strRef>
              <c:f>'[DSA_2024.xlsm]Fan Chart'!$Z$44</c:f>
              <c:strCache>
                <c:ptCount val="1"/>
                <c:pt idx="0">
                  <c:v>25-50%</c:v>
                </c:pt>
              </c:strCache>
            </c:strRef>
          </c:tx>
          <c:spPr>
            <a:solidFill>
              <a:srgbClr val="57B7FF"/>
            </a:solidFill>
            <a:ln w="12700">
              <a:noFill/>
              <a:prstDash val="solid"/>
            </a:ln>
          </c:spPr>
          <c:cat>
            <c:numRef>
              <c:f>'[DSA_2024.xlsm]Fan Chart'!$AE$41:$AL$41</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Chart'!$AE$44:$AL$44</c:f>
              <c:numCache>
                <c:formatCode>0.0</c:formatCode>
                <c:ptCount val="8"/>
                <c:pt idx="0">
                  <c:v>0</c:v>
                </c:pt>
                <c:pt idx="1">
                  <c:v>0</c:v>
                </c:pt>
                <c:pt idx="2">
                  <c:v>2.3692707663816872</c:v>
                </c:pt>
                <c:pt idx="3">
                  <c:v>3.6857488564010668</c:v>
                </c:pt>
                <c:pt idx="4">
                  <c:v>5.2612319800318943</c:v>
                </c:pt>
                <c:pt idx="5">
                  <c:v>5.9408141608094098</c:v>
                </c:pt>
                <c:pt idx="6">
                  <c:v>6.0732238868151045</c:v>
                </c:pt>
                <c:pt idx="7">
                  <c:v>7.28208624860775</c:v>
                </c:pt>
              </c:numCache>
            </c:numRef>
          </c:val>
          <c:extLst>
            <c:ext xmlns:c16="http://schemas.microsoft.com/office/drawing/2014/chart" uri="{C3380CC4-5D6E-409C-BE32-E72D297353CC}">
              <c16:uniqueId val="{00000002-7179-4DE4-B9F2-62BBD7BECD6B}"/>
            </c:ext>
          </c:extLst>
        </c:ser>
        <c:ser>
          <c:idx val="4"/>
          <c:order val="3"/>
          <c:tx>
            <c:strRef>
              <c:f>'[DSA_2024.xlsm]Fan Chart'!$Z$45</c:f>
              <c:strCache>
                <c:ptCount val="1"/>
                <c:pt idx="0">
                  <c:v>50-75%</c:v>
                </c:pt>
              </c:strCache>
            </c:strRef>
          </c:tx>
          <c:spPr>
            <a:solidFill>
              <a:schemeClr val="accent2">
                <a:lumMod val="60000"/>
                <a:lumOff val="40000"/>
              </a:schemeClr>
            </a:solidFill>
            <a:ln w="12700">
              <a:noFill/>
              <a:prstDash val="solid"/>
            </a:ln>
          </c:spPr>
          <c:cat>
            <c:numRef>
              <c:f>'[DSA_2024.xlsm]Fan Chart'!$AE$41:$AL$41</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Chart'!$AE$45:$AL$45</c:f>
              <c:numCache>
                <c:formatCode>0.0</c:formatCode>
                <c:ptCount val="8"/>
                <c:pt idx="0">
                  <c:v>0</c:v>
                </c:pt>
                <c:pt idx="1">
                  <c:v>0</c:v>
                </c:pt>
                <c:pt idx="2">
                  <c:v>2.88944218572601</c:v>
                </c:pt>
                <c:pt idx="3">
                  <c:v>4.2068066669676547</c:v>
                </c:pt>
                <c:pt idx="4">
                  <c:v>5.3465719170431196</c:v>
                </c:pt>
                <c:pt idx="5">
                  <c:v>5.8678571421305286</c:v>
                </c:pt>
                <c:pt idx="6">
                  <c:v>6.7341902030574774</c:v>
                </c:pt>
                <c:pt idx="7">
                  <c:v>7.4403415016031982</c:v>
                </c:pt>
              </c:numCache>
            </c:numRef>
          </c:val>
          <c:extLst>
            <c:ext xmlns:c16="http://schemas.microsoft.com/office/drawing/2014/chart" uri="{C3380CC4-5D6E-409C-BE32-E72D297353CC}">
              <c16:uniqueId val="{00000003-7179-4DE4-B9F2-62BBD7BECD6B}"/>
            </c:ext>
          </c:extLst>
        </c:ser>
        <c:ser>
          <c:idx val="5"/>
          <c:order val="4"/>
          <c:tx>
            <c:strRef>
              <c:f>'[DSA_2024.xlsm]Fan Chart'!$Z$46</c:f>
              <c:strCache>
                <c:ptCount val="1"/>
                <c:pt idx="0">
                  <c:v>75-90%</c:v>
                </c:pt>
              </c:strCache>
            </c:strRef>
          </c:tx>
          <c:spPr>
            <a:solidFill>
              <a:schemeClr val="accent4">
                <a:lumMod val="40000"/>
                <a:lumOff val="60000"/>
              </a:schemeClr>
            </a:solidFill>
            <a:ln w="12700">
              <a:noFill/>
              <a:prstDash val="solid"/>
            </a:ln>
          </c:spPr>
          <c:cat>
            <c:numRef>
              <c:f>'[DSA_2024.xlsm]Fan Chart'!$AE$41:$AL$41</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Chart'!$AE$46:$AL$46</c:f>
              <c:numCache>
                <c:formatCode>0.0</c:formatCode>
                <c:ptCount val="8"/>
                <c:pt idx="0">
                  <c:v>0</c:v>
                </c:pt>
                <c:pt idx="1">
                  <c:v>0</c:v>
                </c:pt>
                <c:pt idx="2">
                  <c:v>2.5141740095679821</c:v>
                </c:pt>
                <c:pt idx="3">
                  <c:v>4.3881227243444449</c:v>
                </c:pt>
                <c:pt idx="4">
                  <c:v>4.8159757733790665</c:v>
                </c:pt>
                <c:pt idx="5">
                  <c:v>5.8326784242249241</c:v>
                </c:pt>
                <c:pt idx="6">
                  <c:v>6.4459553067451214</c:v>
                </c:pt>
                <c:pt idx="7">
                  <c:v>6.7657223028787854</c:v>
                </c:pt>
              </c:numCache>
            </c:numRef>
          </c:val>
          <c:extLst>
            <c:ext xmlns:c16="http://schemas.microsoft.com/office/drawing/2014/chart" uri="{C3380CC4-5D6E-409C-BE32-E72D297353CC}">
              <c16:uniqueId val="{00000004-7179-4DE4-B9F2-62BBD7BECD6B}"/>
            </c:ext>
          </c:extLst>
        </c:ser>
        <c:dLbls>
          <c:showLegendKey val="0"/>
          <c:showVal val="0"/>
          <c:showCatName val="0"/>
          <c:showSerName val="0"/>
          <c:showPercent val="0"/>
          <c:showBubbleSize val="0"/>
        </c:dLbls>
        <c:axId val="660882944"/>
        <c:axId val="660884480"/>
      </c:areaChart>
      <c:lineChart>
        <c:grouping val="standard"/>
        <c:varyColors val="0"/>
        <c:ser>
          <c:idx val="1"/>
          <c:order val="5"/>
          <c:tx>
            <c:v>MTEF 2024-26</c:v>
          </c:tx>
          <c:spPr>
            <a:ln>
              <a:solidFill>
                <a:srgbClr val="000000"/>
              </a:solidFill>
            </a:ln>
          </c:spPr>
          <c:marker>
            <c:symbol val="none"/>
          </c:marker>
          <c:cat>
            <c:numRef>
              <c:f>'[DSA_2024.xlsm]Fan Chart'!$R$52:$Y$52</c:f>
              <c:numCache>
                <c:formatCode>General</c:formatCode>
                <c:ptCount val="8"/>
                <c:pt idx="0">
                  <c:v>2022</c:v>
                </c:pt>
                <c:pt idx="1">
                  <c:v>2023</c:v>
                </c:pt>
                <c:pt idx="2">
                  <c:v>2024</c:v>
                </c:pt>
                <c:pt idx="3">
                  <c:v>2025</c:v>
                </c:pt>
                <c:pt idx="4">
                  <c:v>2026</c:v>
                </c:pt>
                <c:pt idx="5">
                  <c:v>2027</c:v>
                </c:pt>
                <c:pt idx="6">
                  <c:v>2028</c:v>
                </c:pt>
                <c:pt idx="7">
                  <c:v>2029</c:v>
                </c:pt>
              </c:numCache>
            </c:numRef>
          </c:cat>
          <c:val>
            <c:numRef>
              <c:f>'[DSA_2024.xlsm]Fan Chart'!$R$53:$Y$53</c:f>
              <c:numCache>
                <c:formatCode>0.0</c:formatCode>
                <c:ptCount val="8"/>
                <c:pt idx="0">
                  <c:v>63.476258231461017</c:v>
                </c:pt>
                <c:pt idx="1">
                  <c:v>48.099386823578513</c:v>
                </c:pt>
                <c:pt idx="2">
                  <c:v>50.530504301264337</c:v>
                </c:pt>
                <c:pt idx="3">
                  <c:v>53.667608174994875</c:v>
                </c:pt>
                <c:pt idx="4">
                  <c:v>55.039596747783804</c:v>
                </c:pt>
                <c:pt idx="5">
                  <c:v>54.957432524270743</c:v>
                </c:pt>
                <c:pt idx="6">
                  <c:v>54.094952930536721</c:v>
                </c:pt>
                <c:pt idx="7">
                  <c:v>53.291470252984766</c:v>
                </c:pt>
              </c:numCache>
            </c:numRef>
          </c:val>
          <c:smooth val="0"/>
          <c:extLst>
            <c:ext xmlns:c16="http://schemas.microsoft.com/office/drawing/2014/chart" uri="{C3380CC4-5D6E-409C-BE32-E72D297353CC}">
              <c16:uniqueId val="{00000005-7179-4DE4-B9F2-62BBD7BECD6B}"/>
            </c:ext>
          </c:extLst>
        </c:ser>
        <c:ser>
          <c:idx val="6"/>
          <c:order val="6"/>
          <c:tx>
            <c:strRef>
              <c:f>'[DSA_2024.xlsm]Fan Chart'!$Z$48</c:f>
              <c:strCache>
                <c:ptCount val="1"/>
                <c:pt idx="0">
                  <c:v>Կանոնի շեմ</c:v>
                </c:pt>
              </c:strCache>
            </c:strRef>
          </c:tx>
          <c:spPr>
            <a:ln>
              <a:solidFill>
                <a:srgbClr val="FFC000"/>
              </a:solidFill>
              <a:prstDash val="dash"/>
            </a:ln>
          </c:spPr>
          <c:marker>
            <c:symbol val="none"/>
          </c:marker>
          <c:val>
            <c:numRef>
              <c:f>'[DSA_2024.xlsm]Fan Chart'!$AE$48:$AL$48</c:f>
              <c:numCache>
                <c:formatCode>General</c:formatCode>
                <c:ptCount val="8"/>
                <c:pt idx="0">
                  <c:v>60</c:v>
                </c:pt>
                <c:pt idx="1">
                  <c:v>60</c:v>
                </c:pt>
                <c:pt idx="2">
                  <c:v>60</c:v>
                </c:pt>
                <c:pt idx="3">
                  <c:v>60</c:v>
                </c:pt>
                <c:pt idx="4">
                  <c:v>60</c:v>
                </c:pt>
                <c:pt idx="5">
                  <c:v>60</c:v>
                </c:pt>
                <c:pt idx="6">
                  <c:v>60</c:v>
                </c:pt>
                <c:pt idx="7">
                  <c:v>60</c:v>
                </c:pt>
              </c:numCache>
            </c:numRef>
          </c:val>
          <c:smooth val="0"/>
          <c:extLst>
            <c:ext xmlns:c16="http://schemas.microsoft.com/office/drawing/2014/chart" uri="{C3380CC4-5D6E-409C-BE32-E72D297353CC}">
              <c16:uniqueId val="{00000006-7179-4DE4-B9F2-62BBD7BECD6B}"/>
            </c:ext>
          </c:extLst>
        </c:ser>
        <c:ser>
          <c:idx val="7"/>
          <c:order val="7"/>
          <c:tx>
            <c:strRef>
              <c:f>'[DSA_2024.xlsm]Fan Chart'!$Z$49</c:f>
              <c:strCache>
                <c:ptCount val="1"/>
                <c:pt idx="0">
                  <c:v>ԱՄՀ շեմ</c:v>
                </c:pt>
              </c:strCache>
            </c:strRef>
          </c:tx>
          <c:spPr>
            <a:ln w="25400">
              <a:solidFill>
                <a:srgbClr val="FF0000"/>
              </a:solidFill>
              <a:prstDash val="dash"/>
            </a:ln>
          </c:spPr>
          <c:marker>
            <c:symbol val="none"/>
          </c:marker>
          <c:val>
            <c:numRef>
              <c:f>'[DSA_2024.xlsm]Fan Chart'!$AE$49:$AL$49</c:f>
              <c:numCache>
                <c:formatCode>General</c:formatCode>
                <c:ptCount val="8"/>
                <c:pt idx="0">
                  <c:v>70</c:v>
                </c:pt>
                <c:pt idx="1">
                  <c:v>70</c:v>
                </c:pt>
                <c:pt idx="2">
                  <c:v>70</c:v>
                </c:pt>
                <c:pt idx="3">
                  <c:v>70</c:v>
                </c:pt>
                <c:pt idx="4">
                  <c:v>70</c:v>
                </c:pt>
                <c:pt idx="5">
                  <c:v>70</c:v>
                </c:pt>
                <c:pt idx="6">
                  <c:v>70</c:v>
                </c:pt>
                <c:pt idx="7">
                  <c:v>70</c:v>
                </c:pt>
              </c:numCache>
            </c:numRef>
          </c:val>
          <c:smooth val="0"/>
          <c:extLst>
            <c:ext xmlns:c16="http://schemas.microsoft.com/office/drawing/2014/chart" uri="{C3380CC4-5D6E-409C-BE32-E72D297353CC}">
              <c16:uniqueId val="{00000007-7179-4DE4-B9F2-62BBD7BECD6B}"/>
            </c:ext>
          </c:extLst>
        </c:ser>
        <c:dLbls>
          <c:showLegendKey val="0"/>
          <c:showVal val="0"/>
          <c:showCatName val="0"/>
          <c:showSerName val="0"/>
          <c:showPercent val="0"/>
          <c:showBubbleSize val="0"/>
        </c:dLbls>
        <c:marker val="1"/>
        <c:smooth val="0"/>
        <c:axId val="660882944"/>
        <c:axId val="660884480"/>
      </c:lineChart>
      <c:catAx>
        <c:axId val="660882944"/>
        <c:scaling>
          <c:orientation val="minMax"/>
        </c:scaling>
        <c:delete val="0"/>
        <c:axPos val="b"/>
        <c:numFmt formatCode="General" sourceLinked="1"/>
        <c:majorTickMark val="in"/>
        <c:minorTickMark val="none"/>
        <c:tickLblPos val="low"/>
        <c:spPr>
          <a:ln w="3175">
            <a:solidFill>
              <a:srgbClr val="7F7F7F"/>
            </a:solidFill>
            <a:prstDash val="solid"/>
          </a:ln>
        </c:spPr>
        <c:txPr>
          <a:bodyPr rot="0" vert="horz"/>
          <a:lstStyle/>
          <a:p>
            <a:pPr>
              <a:defRPr/>
            </a:pPr>
            <a:endParaRPr lang="en-US"/>
          </a:p>
        </c:txPr>
        <c:crossAx val="660884480"/>
        <c:crosses val="autoZero"/>
        <c:auto val="1"/>
        <c:lblAlgn val="ctr"/>
        <c:lblOffset val="100"/>
        <c:tickLblSkip val="1"/>
        <c:tickMarkSkip val="1"/>
        <c:noMultiLvlLbl val="0"/>
      </c:catAx>
      <c:valAx>
        <c:axId val="660884480"/>
        <c:scaling>
          <c:orientation val="minMax"/>
          <c:max val="75"/>
          <c:min val="20"/>
        </c:scaling>
        <c:delete val="0"/>
        <c:axPos val="l"/>
        <c:numFmt formatCode="0" sourceLinked="0"/>
        <c:majorTickMark val="in"/>
        <c:minorTickMark val="none"/>
        <c:tickLblPos val="nextTo"/>
        <c:spPr>
          <a:ln>
            <a:solidFill>
              <a:srgbClr val="7F7F7F"/>
            </a:solidFill>
          </a:ln>
        </c:spPr>
        <c:txPr>
          <a:bodyPr rot="0" vert="horz"/>
          <a:lstStyle/>
          <a:p>
            <a:pPr>
              <a:defRPr/>
            </a:pPr>
            <a:endParaRPr lang="en-US"/>
          </a:p>
        </c:txPr>
        <c:crossAx val="660882944"/>
        <c:crosses val="autoZero"/>
        <c:crossBetween val="midCat"/>
      </c:valAx>
      <c:spPr>
        <a:noFill/>
        <a:ln w="0">
          <a:solidFill>
            <a:srgbClr val="7F7F7F"/>
          </a:solidFill>
          <a:prstDash val="solid"/>
        </a:ln>
      </c:spPr>
    </c:plotArea>
    <c:legend>
      <c:legendPos val="b"/>
      <c:layout>
        <c:manualLayout>
          <c:xMode val="edge"/>
          <c:yMode val="edge"/>
          <c:x val="5.78811575199623E-3"/>
          <c:y val="0.74471903084628499"/>
          <c:w val="0.94590922832254265"/>
          <c:h val="0.25528071775979866"/>
        </c:manualLayout>
      </c:layout>
      <c:overlay val="0"/>
    </c:legend>
    <c:plotVisOnly val="1"/>
    <c:dispBlanksAs val="zero"/>
    <c:showDLblsOverMax val="0"/>
  </c:chart>
  <c:spPr>
    <a:solidFill>
      <a:srgbClr val="FFFFFF"/>
    </a:solidFill>
    <a:ln w="9525">
      <a:solidFill>
        <a:schemeClr val="tx1"/>
      </a:solidFill>
    </a:ln>
  </c:spPr>
  <c:txPr>
    <a:bodyPr/>
    <a:lstStyle/>
    <a:p>
      <a:pPr>
        <a:defRPr sz="1050" b="0" i="0" u="none" strike="noStrike" baseline="0">
          <a:solidFill>
            <a:srgbClr val="000000"/>
          </a:solidFill>
          <a:latin typeface="GHEA Grapalat" panose="02000506050000020003" pitchFamily="50" charset="0"/>
          <a:ea typeface="Times New Roman"/>
          <a:cs typeface="Times New Roman"/>
        </a:defRPr>
      </a:pPr>
      <a:endParaRPr lang="en-U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en-US" b="1">
                <a:solidFill>
                  <a:schemeClr val="tx2"/>
                </a:solidFill>
              </a:rPr>
              <a:t>ՀՀ կ</a:t>
            </a:r>
            <a:r>
              <a:rPr lang="hy-AM" b="1">
                <a:solidFill>
                  <a:schemeClr val="tx2"/>
                </a:solidFill>
              </a:rPr>
              <a:t>առավարության պարտք</a:t>
            </a:r>
            <a:r>
              <a:rPr lang="en-US" b="1">
                <a:solidFill>
                  <a:schemeClr val="tx2"/>
                </a:solidFill>
              </a:rPr>
              <a:t>/</a:t>
            </a:r>
            <a:r>
              <a:rPr lang="hy-AM" b="1">
                <a:solidFill>
                  <a:schemeClr val="tx2"/>
                </a:solidFill>
              </a:rPr>
              <a:t>ՀՆԱ</a:t>
            </a:r>
            <a:r>
              <a:rPr lang="en-US" b="1">
                <a:solidFill>
                  <a:schemeClr val="tx2"/>
                </a:solidFill>
              </a:rPr>
              <a:t>, %</a:t>
            </a:r>
          </a:p>
        </c:rich>
      </c:tx>
      <c:layout>
        <c:manualLayout>
          <c:xMode val="edge"/>
          <c:yMode val="edge"/>
          <c:x val="1.0514079258611196E-2"/>
          <c:y val="2.8791129369698357E-2"/>
        </c:manualLayout>
      </c:layout>
      <c:overlay val="0"/>
      <c:spPr>
        <a:noFill/>
        <a:ln>
          <a:noFill/>
        </a:ln>
        <a:effectLst/>
      </c:spPr>
      <c:txPr>
        <a:bodyPr rot="0" spcFirstLastPara="1" vertOverflow="ellipsis" vert="horz" wrap="square" anchor="ctr" anchorCtr="1"/>
        <a:lstStyle/>
        <a:p>
          <a:pPr algn="l">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8.3574385837753548E-2"/>
          <c:y val="0.20717258639883637"/>
          <c:w val="0.87807136032682109"/>
          <c:h val="0.68886602796941399"/>
        </c:manualLayout>
      </c:layout>
      <c:lineChart>
        <c:grouping val="standard"/>
        <c:varyColors val="0"/>
        <c:ser>
          <c:idx val="0"/>
          <c:order val="0"/>
          <c:tx>
            <c:strRef>
              <c:f>Sheet1!$B$1</c:f>
              <c:strCache>
                <c:ptCount val="1"/>
                <c:pt idx="0">
                  <c:v>Բազային սցենար</c:v>
                </c:pt>
              </c:strCache>
            </c:strRef>
          </c:tx>
          <c:spPr>
            <a:ln w="41275" cap="rnd">
              <a:solidFill>
                <a:schemeClr val="tx1"/>
              </a:solidFill>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Sheet1!$B$2:$B$8</c:f>
              <c:numCache>
                <c:formatCode>0.0</c:formatCode>
                <c:ptCount val="6"/>
                <c:pt idx="0">
                  <c:v>50.530504301264337</c:v>
                </c:pt>
                <c:pt idx="1">
                  <c:v>53.667608174994875</c:v>
                </c:pt>
                <c:pt idx="2">
                  <c:v>55.039596747783804</c:v>
                </c:pt>
                <c:pt idx="3">
                  <c:v>54.957432524270743</c:v>
                </c:pt>
                <c:pt idx="4">
                  <c:v>54.094952930536721</c:v>
                </c:pt>
                <c:pt idx="5">
                  <c:v>53.291470252984766</c:v>
                </c:pt>
              </c:numCache>
            </c:numRef>
          </c:val>
          <c:smooth val="0"/>
          <c:extLst>
            <c:ext xmlns:c16="http://schemas.microsoft.com/office/drawing/2014/chart" uri="{C3380CC4-5D6E-409C-BE32-E72D297353CC}">
              <c16:uniqueId val="{00000000-8785-4D49-A330-3A09CEED39C0}"/>
            </c:ext>
          </c:extLst>
        </c:ser>
        <c:ser>
          <c:idx val="1"/>
          <c:order val="1"/>
          <c:tx>
            <c:strRef>
              <c:f>Sheet1!$C$1</c:f>
              <c:strCache>
                <c:ptCount val="1"/>
                <c:pt idx="0">
                  <c:v>Փոխարժեքի շոկ</c:v>
                </c:pt>
              </c:strCache>
            </c:strRef>
          </c:tx>
          <c:spPr>
            <a:ln w="41275" cap="rnd">
              <a:solidFill>
                <a:schemeClr val="accent2">
                  <a:lumMod val="50000"/>
                </a:schemeClr>
              </a:solidFill>
              <a:prstDash val="sysDash"/>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Sheet1!$C$2:$C$8</c:f>
              <c:numCache>
                <c:formatCode>0.0</c:formatCode>
                <c:ptCount val="6"/>
                <c:pt idx="0">
                  <c:v>50.761843527140272</c:v>
                </c:pt>
                <c:pt idx="1">
                  <c:v>57.226888878028923</c:v>
                </c:pt>
                <c:pt idx="2">
                  <c:v>58.530302603160109</c:v>
                </c:pt>
                <c:pt idx="3">
                  <c:v>58.299352074376984</c:v>
                </c:pt>
                <c:pt idx="4">
                  <c:v>57.244393350442969</c:v>
                </c:pt>
                <c:pt idx="5">
                  <c:v>56.269966041831331</c:v>
                </c:pt>
              </c:numCache>
            </c:numRef>
          </c:val>
          <c:smooth val="0"/>
          <c:extLst>
            <c:ext xmlns:c16="http://schemas.microsoft.com/office/drawing/2014/chart" uri="{C3380CC4-5D6E-409C-BE32-E72D297353CC}">
              <c16:uniqueId val="{00000001-8785-4D49-A330-3A09CEED39C0}"/>
            </c:ext>
          </c:extLst>
        </c:ser>
        <c:ser>
          <c:idx val="2"/>
          <c:order val="2"/>
          <c:tx>
            <c:strRef>
              <c:f>Sheet1!$D$1</c:f>
              <c:strCache>
                <c:ptCount val="1"/>
                <c:pt idx="0">
                  <c:v>Տնտեսական աճի շոկ</c:v>
                </c:pt>
              </c:strCache>
            </c:strRef>
          </c:tx>
          <c:spPr>
            <a:ln w="28575" cap="rnd">
              <a:solidFill>
                <a:schemeClr val="accent3"/>
              </a:solidFill>
              <a:prstDash val="dashDot"/>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Sheet1!$D$2:$D$8</c:f>
              <c:numCache>
                <c:formatCode>0.0</c:formatCode>
                <c:ptCount val="6"/>
                <c:pt idx="0">
                  <c:v>50.761843527140272</c:v>
                </c:pt>
                <c:pt idx="1">
                  <c:v>58.806369956247508</c:v>
                </c:pt>
                <c:pt idx="2">
                  <c:v>67.370163679072988</c:v>
                </c:pt>
                <c:pt idx="3">
                  <c:v>67.375630871744136</c:v>
                </c:pt>
                <c:pt idx="4">
                  <c:v>66.428943484287416</c:v>
                </c:pt>
                <c:pt idx="5">
                  <c:v>65.532021168684977</c:v>
                </c:pt>
              </c:numCache>
            </c:numRef>
          </c:val>
          <c:smooth val="0"/>
          <c:extLst>
            <c:ext xmlns:c16="http://schemas.microsoft.com/office/drawing/2014/chart" uri="{C3380CC4-5D6E-409C-BE32-E72D297353CC}">
              <c16:uniqueId val="{00000002-8785-4D49-A330-3A09CEED39C0}"/>
            </c:ext>
          </c:extLst>
        </c:ser>
        <c:ser>
          <c:idx val="3"/>
          <c:order val="3"/>
          <c:tx>
            <c:strRef>
              <c:f>Sheet1!$E$1</c:f>
              <c:strCache>
                <c:ptCount val="1"/>
                <c:pt idx="0">
                  <c:v>Առաջնային հաշվեկշռի շոկ</c:v>
                </c:pt>
              </c:strCache>
            </c:strRef>
          </c:tx>
          <c:spPr>
            <a:ln w="28575" cap="rnd">
              <a:solidFill>
                <a:schemeClr val="accent4"/>
              </a:solidFill>
              <a:prstDash val="sysDot"/>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Sheet1!$E$2:$E$8</c:f>
              <c:numCache>
                <c:formatCode>0.0</c:formatCode>
                <c:ptCount val="6"/>
                <c:pt idx="0">
                  <c:v>50.761843527140272</c:v>
                </c:pt>
                <c:pt idx="1">
                  <c:v>54.889736918271026</c:v>
                </c:pt>
                <c:pt idx="2">
                  <c:v>57.309009784096453</c:v>
                </c:pt>
                <c:pt idx="3">
                  <c:v>57.235782719559637</c:v>
                </c:pt>
                <c:pt idx="4">
                  <c:v>56.353493281102814</c:v>
                </c:pt>
                <c:pt idx="5">
                  <c:v>55.526980675258429</c:v>
                </c:pt>
              </c:numCache>
            </c:numRef>
          </c:val>
          <c:smooth val="0"/>
          <c:extLst>
            <c:ext xmlns:c16="http://schemas.microsoft.com/office/drawing/2014/chart" uri="{C3380CC4-5D6E-409C-BE32-E72D297353CC}">
              <c16:uniqueId val="{00000003-8785-4D49-A330-3A09CEED39C0}"/>
            </c:ext>
          </c:extLst>
        </c:ser>
        <c:ser>
          <c:idx val="4"/>
          <c:order val="4"/>
          <c:tx>
            <c:strRef>
              <c:f>Sheet1!$F$1</c:f>
              <c:strCache>
                <c:ptCount val="1"/>
                <c:pt idx="0">
                  <c:v>Իրական տոկոսադրույքի շոկ</c:v>
                </c:pt>
              </c:strCache>
            </c:strRef>
          </c:tx>
          <c:spPr>
            <a:ln w="28575" cap="rnd">
              <a:solidFill>
                <a:schemeClr val="accent5"/>
              </a:solidFill>
              <a:prstDash val="dash"/>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Sheet1!$F$2:$F$8</c:f>
              <c:numCache>
                <c:formatCode>0.0</c:formatCode>
                <c:ptCount val="6"/>
                <c:pt idx="0">
                  <c:v>50.761843527140272</c:v>
                </c:pt>
                <c:pt idx="1">
                  <c:v>53.953621860753273</c:v>
                </c:pt>
                <c:pt idx="2">
                  <c:v>55.646994947772214</c:v>
                </c:pt>
                <c:pt idx="3">
                  <c:v>55.929058836108105</c:v>
                </c:pt>
                <c:pt idx="4">
                  <c:v>55.509623499663142</c:v>
                </c:pt>
                <c:pt idx="5">
                  <c:v>55.212867181616467</c:v>
                </c:pt>
              </c:numCache>
            </c:numRef>
          </c:val>
          <c:smooth val="0"/>
          <c:extLst>
            <c:ext xmlns:c16="http://schemas.microsoft.com/office/drawing/2014/chart" uri="{C3380CC4-5D6E-409C-BE32-E72D297353CC}">
              <c16:uniqueId val="{00000004-8785-4D49-A330-3A09CEED39C0}"/>
            </c:ext>
          </c:extLst>
        </c:ser>
        <c:ser>
          <c:idx val="5"/>
          <c:order val="5"/>
          <c:tx>
            <c:strRef>
              <c:f>Sheet1!$G$1</c:f>
              <c:strCache>
                <c:ptCount val="1"/>
                <c:pt idx="0">
                  <c:v>Համակցված շոկ</c:v>
                </c:pt>
              </c:strCache>
            </c:strRef>
          </c:tx>
          <c:spPr>
            <a:ln w="41275" cap="rnd">
              <a:solidFill>
                <a:schemeClr val="accent6"/>
              </a:solidFill>
              <a:prstDash val="dash"/>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Sheet1!$G$2:$G$8</c:f>
              <c:numCache>
                <c:formatCode>0.0</c:formatCode>
                <c:ptCount val="6"/>
                <c:pt idx="0">
                  <c:v>50.761843527140272</c:v>
                </c:pt>
                <c:pt idx="1">
                  <c:v>65.492669773043389</c:v>
                </c:pt>
                <c:pt idx="2">
                  <c:v>74.509300270340873</c:v>
                </c:pt>
                <c:pt idx="3">
                  <c:v>74.711334191487197</c:v>
                </c:pt>
                <c:pt idx="4">
                  <c:v>73.99698427985895</c:v>
                </c:pt>
                <c:pt idx="5">
                  <c:v>73.457378268785604</c:v>
                </c:pt>
              </c:numCache>
            </c:numRef>
          </c:val>
          <c:smooth val="0"/>
          <c:extLst>
            <c:ext xmlns:c16="http://schemas.microsoft.com/office/drawing/2014/chart" uri="{C3380CC4-5D6E-409C-BE32-E72D297353CC}">
              <c16:uniqueId val="{00000005-8785-4D49-A330-3A09CEED39C0}"/>
            </c:ext>
          </c:extLst>
        </c:ser>
        <c:ser>
          <c:idx val="6"/>
          <c:order val="6"/>
          <c:tx>
            <c:strRef>
              <c:f>Sheet1!$H$1</c:f>
              <c:strCache>
                <c:ptCount val="1"/>
                <c:pt idx="0">
                  <c:v>Շեմ 1</c:v>
                </c:pt>
              </c:strCache>
            </c:strRef>
          </c:tx>
          <c:spPr>
            <a:ln w="12700" cap="rnd">
              <a:solidFill>
                <a:schemeClr val="bg1"/>
              </a:solidFill>
              <a:prstDash val="dash"/>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Sheet1!$H$2:$H$8</c:f>
              <c:numCache>
                <c:formatCode>0</c:formatCode>
                <c:ptCount val="6"/>
                <c:pt idx="0">
                  <c:v>50</c:v>
                </c:pt>
                <c:pt idx="1">
                  <c:v>50</c:v>
                </c:pt>
                <c:pt idx="2">
                  <c:v>50</c:v>
                </c:pt>
                <c:pt idx="3">
                  <c:v>50</c:v>
                </c:pt>
                <c:pt idx="4">
                  <c:v>50</c:v>
                </c:pt>
                <c:pt idx="5">
                  <c:v>50</c:v>
                </c:pt>
              </c:numCache>
            </c:numRef>
          </c:val>
          <c:smooth val="0"/>
          <c:extLst>
            <c:ext xmlns:c16="http://schemas.microsoft.com/office/drawing/2014/chart" uri="{C3380CC4-5D6E-409C-BE32-E72D297353CC}">
              <c16:uniqueId val="{00000006-8785-4D49-A330-3A09CEED39C0}"/>
            </c:ext>
          </c:extLst>
        </c:ser>
        <c:ser>
          <c:idx val="7"/>
          <c:order val="7"/>
          <c:tx>
            <c:strRef>
              <c:f>Sheet1!$I$1</c:f>
              <c:strCache>
                <c:ptCount val="1"/>
                <c:pt idx="0">
                  <c:v>Շեմ 2</c:v>
                </c:pt>
              </c:strCache>
            </c:strRef>
          </c:tx>
          <c:spPr>
            <a:ln w="22225" cap="rnd">
              <a:solidFill>
                <a:srgbClr val="C00000"/>
              </a:solidFill>
              <a:prstDash val="dash"/>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Sheet1!$I$2:$I$8</c:f>
              <c:numCache>
                <c:formatCode>0</c:formatCode>
                <c:ptCount val="6"/>
                <c:pt idx="0">
                  <c:v>60</c:v>
                </c:pt>
                <c:pt idx="1">
                  <c:v>60</c:v>
                </c:pt>
                <c:pt idx="2">
                  <c:v>60</c:v>
                </c:pt>
                <c:pt idx="3">
                  <c:v>60</c:v>
                </c:pt>
                <c:pt idx="4">
                  <c:v>60</c:v>
                </c:pt>
                <c:pt idx="5">
                  <c:v>60</c:v>
                </c:pt>
              </c:numCache>
            </c:numRef>
          </c:val>
          <c:smooth val="0"/>
          <c:extLst>
            <c:ext xmlns:c16="http://schemas.microsoft.com/office/drawing/2014/chart" uri="{C3380CC4-5D6E-409C-BE32-E72D297353CC}">
              <c16:uniqueId val="{00000007-8785-4D49-A330-3A09CEED39C0}"/>
            </c:ext>
          </c:extLst>
        </c:ser>
        <c:ser>
          <c:idx val="8"/>
          <c:order val="8"/>
          <c:tx>
            <c:strRef>
              <c:f>Sheet1!$J$1</c:f>
              <c:strCache>
                <c:ptCount val="1"/>
                <c:pt idx="0">
                  <c:v>Շեմ 3</c:v>
                </c:pt>
              </c:strCache>
            </c:strRef>
          </c:tx>
          <c:spPr>
            <a:ln w="22225" cap="rnd">
              <a:solidFill>
                <a:srgbClr val="C00000"/>
              </a:solidFill>
              <a:round/>
            </a:ln>
            <a:effectLst/>
          </c:spPr>
          <c:marker>
            <c:symbol val="none"/>
          </c:marker>
          <c:cat>
            <c:numRef>
              <c:f>Sheet1!$A$2:$A$8</c:f>
              <c:numCache>
                <c:formatCode>General</c:formatCode>
                <c:ptCount val="6"/>
                <c:pt idx="0">
                  <c:v>2024</c:v>
                </c:pt>
                <c:pt idx="1">
                  <c:v>2025</c:v>
                </c:pt>
                <c:pt idx="2">
                  <c:v>2026</c:v>
                </c:pt>
                <c:pt idx="3">
                  <c:v>2027</c:v>
                </c:pt>
                <c:pt idx="4">
                  <c:v>2028</c:v>
                </c:pt>
                <c:pt idx="5">
                  <c:v>2029</c:v>
                </c:pt>
              </c:numCache>
            </c:numRef>
          </c:cat>
          <c:val>
            <c:numRef>
              <c:f>Sheet1!$J$2:$J$8</c:f>
              <c:numCache>
                <c:formatCode>0</c:formatCode>
                <c:ptCount val="6"/>
                <c:pt idx="0">
                  <c:v>70</c:v>
                </c:pt>
                <c:pt idx="1">
                  <c:v>70</c:v>
                </c:pt>
                <c:pt idx="2">
                  <c:v>70</c:v>
                </c:pt>
                <c:pt idx="3">
                  <c:v>70</c:v>
                </c:pt>
                <c:pt idx="4">
                  <c:v>70</c:v>
                </c:pt>
                <c:pt idx="5">
                  <c:v>70</c:v>
                </c:pt>
              </c:numCache>
            </c:numRef>
          </c:val>
          <c:smooth val="0"/>
          <c:extLst>
            <c:ext xmlns:c16="http://schemas.microsoft.com/office/drawing/2014/chart" uri="{C3380CC4-5D6E-409C-BE32-E72D297353CC}">
              <c16:uniqueId val="{00000008-8785-4D49-A330-3A09CEED39C0}"/>
            </c:ext>
          </c:extLst>
        </c:ser>
        <c:dLbls>
          <c:showLegendKey val="0"/>
          <c:showVal val="0"/>
          <c:showCatName val="0"/>
          <c:showSerName val="0"/>
          <c:showPercent val="0"/>
          <c:showBubbleSize val="0"/>
        </c:dLbls>
        <c:smooth val="0"/>
        <c:axId val="155614208"/>
        <c:axId val="155632384"/>
      </c:lineChart>
      <c:catAx>
        <c:axId val="15561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632384"/>
        <c:crosses val="autoZero"/>
        <c:auto val="1"/>
        <c:lblAlgn val="ctr"/>
        <c:lblOffset val="100"/>
        <c:noMultiLvlLbl val="0"/>
      </c:catAx>
      <c:valAx>
        <c:axId val="155632384"/>
        <c:scaling>
          <c:orientation val="minMax"/>
          <c:min val="4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6142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userShapes r:id="rId5"/>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1">
                <a:solidFill>
                  <a:schemeClr val="tx2"/>
                </a:solidFill>
              </a:rPr>
              <a:t>Բյուջեի համախառն ֆինանսավորման պահանջ</a:t>
            </a:r>
            <a:r>
              <a:rPr lang="en-US" b="1">
                <a:solidFill>
                  <a:schemeClr val="tx2"/>
                </a:solidFill>
              </a:rPr>
              <a:t>/</a:t>
            </a:r>
            <a:r>
              <a:rPr lang="hy-AM" b="1">
                <a:solidFill>
                  <a:schemeClr val="tx2"/>
                </a:solidFill>
              </a:rPr>
              <a:t>ՀՆԱ</a:t>
            </a:r>
            <a:r>
              <a:rPr lang="en-US" b="1">
                <a:solidFill>
                  <a:schemeClr val="tx2"/>
                </a:solidFill>
              </a:rPr>
              <a:t>, %</a:t>
            </a:r>
          </a:p>
        </c:rich>
      </c:tx>
      <c:layout>
        <c:manualLayout>
          <c:xMode val="edge"/>
          <c:yMode val="edge"/>
          <c:x val="2.4152885797250806E-2"/>
          <c:y val="9.467457872113812E-3"/>
        </c:manualLayout>
      </c:layout>
      <c:overlay val="0"/>
      <c:spPr>
        <a:noFill/>
        <a:ln>
          <a:noFill/>
        </a:ln>
        <a:effectLst/>
      </c:spPr>
      <c:txPr>
        <a:bodyPr rot="0" spcFirstLastPara="1" vertOverflow="ellipsis" vert="horz" wrap="square" anchor="ctr" anchorCtr="1"/>
        <a:lstStyle/>
        <a:p>
          <a:pPr algn="l">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8.3574385837753548E-2"/>
          <c:y val="0.21190195840904502"/>
          <c:w val="0.87807136032682109"/>
          <c:h val="0.6841368059761761"/>
        </c:manualLayout>
      </c:layout>
      <c:lineChart>
        <c:grouping val="standard"/>
        <c:varyColors val="0"/>
        <c:ser>
          <c:idx val="0"/>
          <c:order val="0"/>
          <c:tx>
            <c:strRef>
              <c:f>Sheet1!$B$1</c:f>
              <c:strCache>
                <c:ptCount val="1"/>
                <c:pt idx="0">
                  <c:v>Բազային սցենար</c:v>
                </c:pt>
              </c:strCache>
            </c:strRef>
          </c:tx>
          <c:spPr>
            <a:ln w="41275" cap="rnd">
              <a:solidFill>
                <a:schemeClr val="tx1"/>
              </a:solidFill>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Sheet1!$B$2:$B$7</c:f>
              <c:numCache>
                <c:formatCode>0.0</c:formatCode>
                <c:ptCount val="6"/>
                <c:pt idx="0">
                  <c:v>8.4833447997485987</c:v>
                </c:pt>
                <c:pt idx="1">
                  <c:v>10.699470513091887</c:v>
                </c:pt>
                <c:pt idx="2">
                  <c:v>8.6763803441174243</c:v>
                </c:pt>
                <c:pt idx="3">
                  <c:v>6.9884355435209669</c:v>
                </c:pt>
                <c:pt idx="4">
                  <c:v>6.5197441480424594</c:v>
                </c:pt>
                <c:pt idx="5">
                  <c:v>8.2326086999819772</c:v>
                </c:pt>
              </c:numCache>
            </c:numRef>
          </c:val>
          <c:smooth val="0"/>
          <c:extLst>
            <c:ext xmlns:c16="http://schemas.microsoft.com/office/drawing/2014/chart" uri="{C3380CC4-5D6E-409C-BE32-E72D297353CC}">
              <c16:uniqueId val="{00000000-F817-499F-A0C7-B0D9F8678149}"/>
            </c:ext>
          </c:extLst>
        </c:ser>
        <c:ser>
          <c:idx val="1"/>
          <c:order val="1"/>
          <c:tx>
            <c:strRef>
              <c:f>Sheet1!$C$1</c:f>
              <c:strCache>
                <c:ptCount val="1"/>
                <c:pt idx="0">
                  <c:v>Փոխարժեքի շոկ</c:v>
                </c:pt>
              </c:strCache>
            </c:strRef>
          </c:tx>
          <c:spPr>
            <a:ln w="41275" cap="rnd">
              <a:solidFill>
                <a:schemeClr val="accent2">
                  <a:lumMod val="50000"/>
                </a:schemeClr>
              </a:solidFill>
              <a:prstDash val="sysDash"/>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Sheet1!$C$2:$C$7</c:f>
              <c:numCache>
                <c:formatCode>0.0</c:formatCode>
                <c:ptCount val="6"/>
                <c:pt idx="0">
                  <c:v>8.5160583549379254</c:v>
                </c:pt>
                <c:pt idx="1">
                  <c:v>11.097451391804389</c:v>
                </c:pt>
                <c:pt idx="2">
                  <c:v>8.9332750757124391</c:v>
                </c:pt>
                <c:pt idx="3">
                  <c:v>7.1994616984208131</c:v>
                </c:pt>
                <c:pt idx="4">
                  <c:v>6.7365724286832656</c:v>
                </c:pt>
                <c:pt idx="5">
                  <c:v>8.6983228784388444</c:v>
                </c:pt>
              </c:numCache>
            </c:numRef>
          </c:val>
          <c:smooth val="0"/>
          <c:extLst>
            <c:ext xmlns:c16="http://schemas.microsoft.com/office/drawing/2014/chart" uri="{C3380CC4-5D6E-409C-BE32-E72D297353CC}">
              <c16:uniqueId val="{00000001-F817-499F-A0C7-B0D9F8678149}"/>
            </c:ext>
          </c:extLst>
        </c:ser>
        <c:ser>
          <c:idx val="2"/>
          <c:order val="2"/>
          <c:tx>
            <c:strRef>
              <c:f>Sheet1!$D$1</c:f>
              <c:strCache>
                <c:ptCount val="1"/>
                <c:pt idx="0">
                  <c:v>Տնտեսական աճի շոկ</c:v>
                </c:pt>
              </c:strCache>
            </c:strRef>
          </c:tx>
          <c:spPr>
            <a:ln w="28575" cap="rnd">
              <a:solidFill>
                <a:schemeClr val="accent3"/>
              </a:solidFill>
              <a:prstDash val="dashDot"/>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Sheet1!$D$2:$D$7</c:f>
              <c:numCache>
                <c:formatCode>0.0</c:formatCode>
                <c:ptCount val="6"/>
                <c:pt idx="0">
                  <c:v>8.5160583549379254</c:v>
                </c:pt>
                <c:pt idx="1">
                  <c:v>13.056521377336963</c:v>
                </c:pt>
                <c:pt idx="2">
                  <c:v>13.478041806267868</c:v>
                </c:pt>
                <c:pt idx="3">
                  <c:v>8.7297124345796409</c:v>
                </c:pt>
                <c:pt idx="4">
                  <c:v>8.1118791408183863</c:v>
                </c:pt>
                <c:pt idx="5">
                  <c:v>10.028603103770182</c:v>
                </c:pt>
              </c:numCache>
            </c:numRef>
          </c:val>
          <c:smooth val="0"/>
          <c:extLst>
            <c:ext xmlns:c16="http://schemas.microsoft.com/office/drawing/2014/chart" uri="{C3380CC4-5D6E-409C-BE32-E72D297353CC}">
              <c16:uniqueId val="{00000002-F817-499F-A0C7-B0D9F8678149}"/>
            </c:ext>
          </c:extLst>
        </c:ser>
        <c:ser>
          <c:idx val="3"/>
          <c:order val="3"/>
          <c:tx>
            <c:strRef>
              <c:f>Sheet1!$E$1</c:f>
              <c:strCache>
                <c:ptCount val="1"/>
                <c:pt idx="0">
                  <c:v>Առաջնային հաշվեկշռի շոկ</c:v>
                </c:pt>
              </c:strCache>
            </c:strRef>
          </c:tx>
          <c:spPr>
            <a:ln w="28575" cap="rnd">
              <a:solidFill>
                <a:schemeClr val="accent4"/>
              </a:solidFill>
              <a:prstDash val="sysDot"/>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Sheet1!$E$2:$E$7</c:f>
              <c:numCache>
                <c:formatCode>0.0</c:formatCode>
                <c:ptCount val="6"/>
                <c:pt idx="0">
                  <c:v>8.5160583549379254</c:v>
                </c:pt>
                <c:pt idx="1">
                  <c:v>11.674179665084349</c:v>
                </c:pt>
                <c:pt idx="2">
                  <c:v>9.798048749526675</c:v>
                </c:pt>
                <c:pt idx="3">
                  <c:v>7.3053717066367065</c:v>
                </c:pt>
                <c:pt idx="4">
                  <c:v>6.8067604054104445</c:v>
                </c:pt>
                <c:pt idx="5">
                  <c:v>8.5261839490336584</c:v>
                </c:pt>
              </c:numCache>
            </c:numRef>
          </c:val>
          <c:smooth val="0"/>
          <c:extLst>
            <c:ext xmlns:c16="http://schemas.microsoft.com/office/drawing/2014/chart" uri="{C3380CC4-5D6E-409C-BE32-E72D297353CC}">
              <c16:uniqueId val="{00000003-F817-499F-A0C7-B0D9F8678149}"/>
            </c:ext>
          </c:extLst>
        </c:ser>
        <c:ser>
          <c:idx val="4"/>
          <c:order val="4"/>
          <c:tx>
            <c:strRef>
              <c:f>Sheet1!$F$1</c:f>
              <c:strCache>
                <c:ptCount val="1"/>
                <c:pt idx="0">
                  <c:v>Իրական տոկոսադրույքի շոկ</c:v>
                </c:pt>
              </c:strCache>
            </c:strRef>
          </c:tx>
          <c:spPr>
            <a:ln w="28575" cap="rnd">
              <a:solidFill>
                <a:schemeClr val="accent5"/>
              </a:solidFill>
              <a:prstDash val="dash"/>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Sheet1!$F$2:$F$7</c:f>
              <c:numCache>
                <c:formatCode>0.0</c:formatCode>
                <c:ptCount val="6"/>
                <c:pt idx="0">
                  <c:v>8.5160583549379254</c:v>
                </c:pt>
                <c:pt idx="1">
                  <c:v>10.748150913666599</c:v>
                </c:pt>
                <c:pt idx="2">
                  <c:v>8.946828854556129</c:v>
                </c:pt>
                <c:pt idx="3">
                  <c:v>7.432774613107858</c:v>
                </c:pt>
                <c:pt idx="4">
                  <c:v>7.0973869149321134</c:v>
                </c:pt>
                <c:pt idx="5">
                  <c:v>8.9464902751276867</c:v>
                </c:pt>
              </c:numCache>
            </c:numRef>
          </c:val>
          <c:smooth val="0"/>
          <c:extLst>
            <c:ext xmlns:c16="http://schemas.microsoft.com/office/drawing/2014/chart" uri="{C3380CC4-5D6E-409C-BE32-E72D297353CC}">
              <c16:uniqueId val="{00000004-F817-499F-A0C7-B0D9F8678149}"/>
            </c:ext>
          </c:extLst>
        </c:ser>
        <c:ser>
          <c:idx val="5"/>
          <c:order val="5"/>
          <c:tx>
            <c:strRef>
              <c:f>Sheet1!$G$1</c:f>
              <c:strCache>
                <c:ptCount val="1"/>
                <c:pt idx="0">
                  <c:v>Համակցված շոկ</c:v>
                </c:pt>
              </c:strCache>
            </c:strRef>
          </c:tx>
          <c:spPr>
            <a:ln w="41275" cap="rnd">
              <a:solidFill>
                <a:schemeClr val="accent6"/>
              </a:solidFill>
              <a:prstDash val="dash"/>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Sheet1!$G$2:$G$7</c:f>
              <c:numCache>
                <c:formatCode>0.0</c:formatCode>
                <c:ptCount val="6"/>
                <c:pt idx="0">
                  <c:v>8.5160583549379254</c:v>
                </c:pt>
                <c:pt idx="1">
                  <c:v>13.958889582979586</c:v>
                </c:pt>
                <c:pt idx="2">
                  <c:v>14.412343386581256</c:v>
                </c:pt>
                <c:pt idx="3">
                  <c:v>9.740569472190284</c:v>
                </c:pt>
                <c:pt idx="4">
                  <c:v>9.2868520050538983</c:v>
                </c:pt>
                <c:pt idx="5">
                  <c:v>11.753372865671686</c:v>
                </c:pt>
              </c:numCache>
            </c:numRef>
          </c:val>
          <c:smooth val="0"/>
          <c:extLst>
            <c:ext xmlns:c16="http://schemas.microsoft.com/office/drawing/2014/chart" uri="{C3380CC4-5D6E-409C-BE32-E72D297353CC}">
              <c16:uniqueId val="{00000005-F817-499F-A0C7-B0D9F8678149}"/>
            </c:ext>
          </c:extLst>
        </c:ser>
        <c:ser>
          <c:idx val="6"/>
          <c:order val="6"/>
          <c:tx>
            <c:strRef>
              <c:f>Sheet1!$H$1</c:f>
              <c:strCache>
                <c:ptCount val="1"/>
                <c:pt idx="0">
                  <c:v>Շեմ</c:v>
                </c:pt>
              </c:strCache>
            </c:strRef>
          </c:tx>
          <c:spPr>
            <a:ln w="22225" cap="rnd">
              <a:solidFill>
                <a:srgbClr val="C00000"/>
              </a:solidFill>
              <a:round/>
            </a:ln>
            <a:effectLst/>
          </c:spPr>
          <c:marker>
            <c:symbol val="none"/>
          </c:marker>
          <c:cat>
            <c:numRef>
              <c:f>Sheet1!$A$2:$A$7</c:f>
              <c:numCache>
                <c:formatCode>General</c:formatCode>
                <c:ptCount val="6"/>
                <c:pt idx="0">
                  <c:v>2024</c:v>
                </c:pt>
                <c:pt idx="1">
                  <c:v>2025</c:v>
                </c:pt>
                <c:pt idx="2">
                  <c:v>2026</c:v>
                </c:pt>
                <c:pt idx="3">
                  <c:v>2027</c:v>
                </c:pt>
                <c:pt idx="4">
                  <c:v>2028</c:v>
                </c:pt>
                <c:pt idx="5">
                  <c:v>2029</c:v>
                </c:pt>
              </c:numCache>
            </c:numRef>
          </c:cat>
          <c:val>
            <c:numRef>
              <c:f>Sheet1!$H$2:$H$7</c:f>
              <c:numCache>
                <c:formatCode>0</c:formatCode>
                <c:ptCount val="6"/>
                <c:pt idx="0">
                  <c:v>15</c:v>
                </c:pt>
                <c:pt idx="1">
                  <c:v>15</c:v>
                </c:pt>
                <c:pt idx="2">
                  <c:v>15</c:v>
                </c:pt>
                <c:pt idx="3">
                  <c:v>15</c:v>
                </c:pt>
                <c:pt idx="4">
                  <c:v>15</c:v>
                </c:pt>
                <c:pt idx="5">
                  <c:v>15</c:v>
                </c:pt>
              </c:numCache>
            </c:numRef>
          </c:val>
          <c:smooth val="0"/>
          <c:extLst>
            <c:ext xmlns:c16="http://schemas.microsoft.com/office/drawing/2014/chart" uri="{C3380CC4-5D6E-409C-BE32-E72D297353CC}">
              <c16:uniqueId val="{00000006-F817-499F-A0C7-B0D9F8678149}"/>
            </c:ext>
          </c:extLst>
        </c:ser>
        <c:dLbls>
          <c:showLegendKey val="0"/>
          <c:showVal val="0"/>
          <c:showCatName val="0"/>
          <c:showSerName val="0"/>
          <c:showPercent val="0"/>
          <c:showBubbleSize val="0"/>
        </c:dLbls>
        <c:smooth val="0"/>
        <c:axId val="155614208"/>
        <c:axId val="155632384"/>
      </c:lineChart>
      <c:catAx>
        <c:axId val="15561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632384"/>
        <c:crosses val="autoZero"/>
        <c:auto val="1"/>
        <c:lblAlgn val="ctr"/>
        <c:lblOffset val="100"/>
        <c:noMultiLvlLbl val="0"/>
      </c:catAx>
      <c:valAx>
        <c:axId val="155632384"/>
        <c:scaling>
          <c:orientation val="minMax"/>
          <c:max val="16"/>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6142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userShapes r:id="rId5"/>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574385837753548E-2"/>
          <c:y val="0.14718253968253969"/>
          <c:w val="0.87807136032682109"/>
          <c:h val="0.74885608048993879"/>
        </c:manualLayout>
      </c:layout>
      <c:lineChart>
        <c:grouping val="standard"/>
        <c:varyColors val="0"/>
        <c:ser>
          <c:idx val="0"/>
          <c:order val="0"/>
          <c:tx>
            <c:strRef>
              <c:f>Sheet1!$B$1</c:f>
              <c:strCache>
                <c:ptCount val="1"/>
                <c:pt idx="0">
                  <c:v>Բազային սցենար</c:v>
                </c:pt>
              </c:strCache>
            </c:strRef>
          </c:tx>
          <c:spPr>
            <a:ln w="41275" cap="rnd">
              <a:solidFill>
                <a:schemeClr val="tx1"/>
              </a:solidFill>
              <a:round/>
            </a:ln>
            <a:effectLst/>
          </c:spPr>
          <c:marker>
            <c:symbol val="none"/>
          </c:marker>
          <c:cat>
            <c:numRef>
              <c:f>Sheet1!$A$2:$A$7</c:f>
              <c:numCache>
                <c:formatCode>General</c:formatCode>
                <c:ptCount val="6"/>
              </c:numCache>
            </c:numRef>
          </c:cat>
          <c:val>
            <c:numRef>
              <c:f>Sheet1!$B$2:$B$7</c:f>
              <c:numCache>
                <c:formatCode>General</c:formatCode>
                <c:ptCount val="6"/>
              </c:numCache>
            </c:numRef>
          </c:val>
          <c:smooth val="0"/>
          <c:extLst>
            <c:ext xmlns:c16="http://schemas.microsoft.com/office/drawing/2014/chart" uri="{C3380CC4-5D6E-409C-BE32-E72D297353CC}">
              <c16:uniqueId val="{00000000-0646-4DF0-9E84-AB6F94936688}"/>
            </c:ext>
          </c:extLst>
        </c:ser>
        <c:ser>
          <c:idx val="1"/>
          <c:order val="1"/>
          <c:tx>
            <c:strRef>
              <c:f>Sheet1!$C$1</c:f>
              <c:strCache>
                <c:ptCount val="1"/>
                <c:pt idx="0">
                  <c:v>Փոխարժեքի շոկ</c:v>
                </c:pt>
              </c:strCache>
            </c:strRef>
          </c:tx>
          <c:spPr>
            <a:ln w="41275" cap="rnd">
              <a:solidFill>
                <a:schemeClr val="accent2">
                  <a:lumMod val="50000"/>
                </a:schemeClr>
              </a:solidFill>
              <a:prstDash val="sysDash"/>
              <a:round/>
            </a:ln>
            <a:effectLst/>
          </c:spPr>
          <c:marker>
            <c:symbol val="none"/>
          </c:marker>
          <c:cat>
            <c:numRef>
              <c:f>Sheet1!$A$2:$A$7</c:f>
              <c:numCache>
                <c:formatCode>General</c:formatCode>
                <c:ptCount val="6"/>
              </c:numCache>
            </c:numRef>
          </c:cat>
          <c:val>
            <c:numRef>
              <c:f>Sheet1!$C$2:$C$7</c:f>
              <c:numCache>
                <c:formatCode>General</c:formatCode>
                <c:ptCount val="6"/>
              </c:numCache>
            </c:numRef>
          </c:val>
          <c:smooth val="0"/>
          <c:extLst>
            <c:ext xmlns:c16="http://schemas.microsoft.com/office/drawing/2014/chart" uri="{C3380CC4-5D6E-409C-BE32-E72D297353CC}">
              <c16:uniqueId val="{00000001-0646-4DF0-9E84-AB6F94936688}"/>
            </c:ext>
          </c:extLst>
        </c:ser>
        <c:ser>
          <c:idx val="2"/>
          <c:order val="2"/>
          <c:tx>
            <c:strRef>
              <c:f>Sheet1!$D$1</c:f>
              <c:strCache>
                <c:ptCount val="1"/>
                <c:pt idx="0">
                  <c:v>Տնտեսական աճի շոկ</c:v>
                </c:pt>
              </c:strCache>
            </c:strRef>
          </c:tx>
          <c:spPr>
            <a:ln w="28575" cap="rnd">
              <a:solidFill>
                <a:schemeClr val="accent3"/>
              </a:solidFill>
              <a:prstDash val="dashDot"/>
              <a:round/>
            </a:ln>
            <a:effectLst/>
          </c:spPr>
          <c:marker>
            <c:symbol val="none"/>
          </c:marker>
          <c:cat>
            <c:numRef>
              <c:f>Sheet1!$A$2:$A$7</c:f>
              <c:numCache>
                <c:formatCode>General</c:formatCode>
                <c:ptCount val="6"/>
              </c:numCache>
            </c:numRef>
          </c:cat>
          <c:val>
            <c:numRef>
              <c:f>Sheet1!$D$2:$D$7</c:f>
              <c:numCache>
                <c:formatCode>General</c:formatCode>
                <c:ptCount val="6"/>
              </c:numCache>
            </c:numRef>
          </c:val>
          <c:smooth val="0"/>
          <c:extLst>
            <c:ext xmlns:c16="http://schemas.microsoft.com/office/drawing/2014/chart" uri="{C3380CC4-5D6E-409C-BE32-E72D297353CC}">
              <c16:uniqueId val="{00000002-0646-4DF0-9E84-AB6F94936688}"/>
            </c:ext>
          </c:extLst>
        </c:ser>
        <c:ser>
          <c:idx val="3"/>
          <c:order val="3"/>
          <c:tx>
            <c:strRef>
              <c:f>Sheet1!$E$1</c:f>
              <c:strCache>
                <c:ptCount val="1"/>
                <c:pt idx="0">
                  <c:v>Առաջնային հաշվեկշռի շոկ</c:v>
                </c:pt>
              </c:strCache>
            </c:strRef>
          </c:tx>
          <c:spPr>
            <a:ln w="28575" cap="rnd">
              <a:solidFill>
                <a:schemeClr val="accent4"/>
              </a:solidFill>
              <a:prstDash val="sysDot"/>
              <a:round/>
            </a:ln>
            <a:effectLst/>
          </c:spPr>
          <c:marker>
            <c:symbol val="none"/>
          </c:marker>
          <c:cat>
            <c:numRef>
              <c:f>Sheet1!$A$2:$A$7</c:f>
              <c:numCache>
                <c:formatCode>General</c:formatCode>
                <c:ptCount val="6"/>
              </c:numCache>
            </c:numRef>
          </c:cat>
          <c:val>
            <c:numRef>
              <c:f>Sheet1!$E$2:$E$7</c:f>
              <c:numCache>
                <c:formatCode>General</c:formatCode>
                <c:ptCount val="6"/>
              </c:numCache>
            </c:numRef>
          </c:val>
          <c:smooth val="0"/>
          <c:extLst>
            <c:ext xmlns:c16="http://schemas.microsoft.com/office/drawing/2014/chart" uri="{C3380CC4-5D6E-409C-BE32-E72D297353CC}">
              <c16:uniqueId val="{00000003-0646-4DF0-9E84-AB6F94936688}"/>
            </c:ext>
          </c:extLst>
        </c:ser>
        <c:ser>
          <c:idx val="4"/>
          <c:order val="4"/>
          <c:tx>
            <c:strRef>
              <c:f>Sheet1!$F$1</c:f>
              <c:strCache>
                <c:ptCount val="1"/>
                <c:pt idx="0">
                  <c:v>Իրական տոկոսադրույքի շոկ</c:v>
                </c:pt>
              </c:strCache>
            </c:strRef>
          </c:tx>
          <c:spPr>
            <a:ln w="28575" cap="rnd">
              <a:solidFill>
                <a:schemeClr val="accent5"/>
              </a:solidFill>
              <a:prstDash val="dash"/>
              <a:round/>
            </a:ln>
            <a:effectLst/>
          </c:spPr>
          <c:marker>
            <c:symbol val="none"/>
          </c:marker>
          <c:cat>
            <c:numRef>
              <c:f>Sheet1!$A$2:$A$7</c:f>
              <c:numCache>
                <c:formatCode>General</c:formatCode>
                <c:ptCount val="6"/>
              </c:numCache>
            </c:numRef>
          </c:cat>
          <c:val>
            <c:numRef>
              <c:f>Sheet1!$F$2:$F$7</c:f>
              <c:numCache>
                <c:formatCode>General</c:formatCode>
                <c:ptCount val="6"/>
              </c:numCache>
            </c:numRef>
          </c:val>
          <c:smooth val="0"/>
          <c:extLst>
            <c:ext xmlns:c16="http://schemas.microsoft.com/office/drawing/2014/chart" uri="{C3380CC4-5D6E-409C-BE32-E72D297353CC}">
              <c16:uniqueId val="{00000004-0646-4DF0-9E84-AB6F94936688}"/>
            </c:ext>
          </c:extLst>
        </c:ser>
        <c:ser>
          <c:idx val="5"/>
          <c:order val="5"/>
          <c:tx>
            <c:strRef>
              <c:f>Sheet1!$G$1</c:f>
              <c:strCache>
                <c:ptCount val="1"/>
                <c:pt idx="0">
                  <c:v>Համակցված շոկ</c:v>
                </c:pt>
              </c:strCache>
            </c:strRef>
          </c:tx>
          <c:spPr>
            <a:ln w="41275" cap="rnd">
              <a:solidFill>
                <a:schemeClr val="accent6"/>
              </a:solidFill>
              <a:prstDash val="dash"/>
              <a:round/>
            </a:ln>
            <a:effectLst/>
          </c:spPr>
          <c:marker>
            <c:symbol val="none"/>
          </c:marker>
          <c:cat>
            <c:numRef>
              <c:f>Sheet1!$A$2:$A$7</c:f>
              <c:numCache>
                <c:formatCode>General</c:formatCode>
                <c:ptCount val="6"/>
              </c:numCache>
            </c:numRef>
          </c:cat>
          <c:val>
            <c:numRef>
              <c:f>Sheet1!$G$2:$G$7</c:f>
              <c:numCache>
                <c:formatCode>General</c:formatCode>
                <c:ptCount val="6"/>
              </c:numCache>
            </c:numRef>
          </c:val>
          <c:smooth val="0"/>
          <c:extLst>
            <c:ext xmlns:c16="http://schemas.microsoft.com/office/drawing/2014/chart" uri="{C3380CC4-5D6E-409C-BE32-E72D297353CC}">
              <c16:uniqueId val="{00000005-0646-4DF0-9E84-AB6F94936688}"/>
            </c:ext>
          </c:extLst>
        </c:ser>
        <c:dLbls>
          <c:showLegendKey val="0"/>
          <c:showVal val="0"/>
          <c:showCatName val="0"/>
          <c:showSerName val="0"/>
          <c:showPercent val="0"/>
          <c:showBubbleSize val="0"/>
        </c:dLbls>
        <c:smooth val="0"/>
        <c:axId val="155614208"/>
        <c:axId val="155632384"/>
      </c:lineChart>
      <c:catAx>
        <c:axId val="155614208"/>
        <c:scaling>
          <c:orientation val="minMax"/>
        </c:scaling>
        <c:delete val="1"/>
        <c:axPos val="b"/>
        <c:numFmt formatCode="General" sourceLinked="1"/>
        <c:majorTickMark val="none"/>
        <c:minorTickMark val="none"/>
        <c:tickLblPos val="nextTo"/>
        <c:crossAx val="155632384"/>
        <c:crosses val="autoZero"/>
        <c:auto val="1"/>
        <c:lblAlgn val="ctr"/>
        <c:lblOffset val="100"/>
        <c:noMultiLvlLbl val="0"/>
      </c:catAx>
      <c:valAx>
        <c:axId val="155632384"/>
        <c:scaling>
          <c:orientation val="minMax"/>
          <c:max val="16"/>
          <c:min val="0"/>
        </c:scaling>
        <c:delete val="1"/>
        <c:axPos val="l"/>
        <c:numFmt formatCode="General" sourceLinked="1"/>
        <c:majorTickMark val="none"/>
        <c:minorTickMark val="none"/>
        <c:tickLblPos val="nextTo"/>
        <c:crossAx val="155614208"/>
        <c:crosses val="autoZero"/>
        <c:crossBetween val="between"/>
      </c:valAx>
      <c:spPr>
        <a:noFill/>
        <a:ln>
          <a:noFill/>
        </a:ln>
        <a:effectLst/>
      </c:spPr>
    </c:plotArea>
    <c:legend>
      <c:legendPos val="b"/>
      <c:layout>
        <c:manualLayout>
          <c:xMode val="edge"/>
          <c:yMode val="edge"/>
          <c:x val="1.3811023622047256E-2"/>
          <c:y val="6.2493973967539772E-2"/>
          <c:w val="0.97904461942257237"/>
          <c:h val="0.835465209705929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428013571474307E-2"/>
          <c:y val="4.3650793650793648E-2"/>
          <c:w val="0.90482866470959411"/>
          <c:h val="0.56637178143100375"/>
        </c:manualLayout>
      </c:layout>
      <c:lineChart>
        <c:grouping val="standard"/>
        <c:varyColors val="0"/>
        <c:ser>
          <c:idx val="0"/>
          <c:order val="0"/>
          <c:tx>
            <c:strRef>
              <c:f>Sheet1!$B$1</c:f>
              <c:strCache>
                <c:ptCount val="1"/>
                <c:pt idx="0">
                  <c:v>Փաստացի</c:v>
                </c:pt>
              </c:strCache>
            </c:strRef>
          </c:tx>
          <c:spPr>
            <a:ln w="28575" cap="rnd">
              <a:solidFill>
                <a:schemeClr val="tx1"/>
              </a:solidFill>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Sheet1!$B$2:$B$10</c:f>
              <c:numCache>
                <c:formatCode>0.0</c:formatCode>
                <c:ptCount val="7"/>
                <c:pt idx="0">
                  <c:v>60.287276473798691</c:v>
                </c:pt>
                <c:pt idx="1">
                  <c:v>46.719899727856948</c:v>
                </c:pt>
                <c:pt idx="2">
                  <c:v>48.099386823578513</c:v>
                </c:pt>
              </c:numCache>
            </c:numRef>
          </c:val>
          <c:smooth val="0"/>
          <c:extLst>
            <c:ext xmlns:c16="http://schemas.microsoft.com/office/drawing/2014/chart" uri="{C3380CC4-5D6E-409C-BE32-E72D297353CC}">
              <c16:uniqueId val="{00000000-22C7-47D3-8210-C77E7220B9D6}"/>
            </c:ext>
          </c:extLst>
        </c:ser>
        <c:ser>
          <c:idx val="1"/>
          <c:order val="1"/>
          <c:tx>
            <c:strRef>
              <c:f>Sheet1!$C$1</c:f>
              <c:strCache>
                <c:ptCount val="1"/>
                <c:pt idx="0">
                  <c:v>ՄԺԾԾ սցենար</c:v>
                </c:pt>
              </c:strCache>
            </c:strRef>
          </c:tx>
          <c:spPr>
            <a:ln w="38100" cap="rnd">
              <a:solidFill>
                <a:schemeClr val="accent1"/>
              </a:solidFill>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Sheet1!$C$2:$C$10</c:f>
              <c:numCache>
                <c:formatCode>General</c:formatCode>
                <c:ptCount val="7"/>
                <c:pt idx="2" formatCode="0.0">
                  <c:v>48.099386823578513</c:v>
                </c:pt>
                <c:pt idx="3" formatCode="0.0">
                  <c:v>50.539872040733968</c:v>
                </c:pt>
                <c:pt idx="4" formatCode="0.0">
                  <c:v>53.741423263673262</c:v>
                </c:pt>
                <c:pt idx="5" formatCode="0.0">
                  <c:v>55.040310801451064</c:v>
                </c:pt>
                <c:pt idx="6" formatCode="0.0">
                  <c:v>54.953003273929014</c:v>
                </c:pt>
              </c:numCache>
            </c:numRef>
          </c:val>
          <c:smooth val="0"/>
          <c:extLst>
            <c:ext xmlns:c16="http://schemas.microsoft.com/office/drawing/2014/chart" uri="{C3380CC4-5D6E-409C-BE32-E72D297353CC}">
              <c16:uniqueId val="{00000001-22C7-47D3-8210-C77E7220B9D6}"/>
            </c:ext>
          </c:extLst>
        </c:ser>
        <c:ser>
          <c:idx val="2"/>
          <c:order val="2"/>
          <c:tx>
            <c:strRef>
              <c:f>Sheet1!$D$1</c:f>
              <c:strCache>
                <c:ptCount val="1"/>
                <c:pt idx="0">
                  <c:v>Տնտեսական աճի ռիսկ</c:v>
                </c:pt>
              </c:strCache>
            </c:strRef>
          </c:tx>
          <c:spPr>
            <a:ln w="22225" cap="rnd">
              <a:solidFill>
                <a:srgbClr val="FF0000"/>
              </a:solidFill>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Sheet1!$D$2:$D$10</c:f>
              <c:numCache>
                <c:formatCode>General</c:formatCode>
                <c:ptCount val="7"/>
                <c:pt idx="2" formatCode="0.0">
                  <c:v>48.099386823578513</c:v>
                </c:pt>
                <c:pt idx="3" formatCode="0.0">
                  <c:v>51.779576855259037</c:v>
                </c:pt>
                <c:pt idx="4" formatCode="0.0">
                  <c:v>56.756077900235013</c:v>
                </c:pt>
                <c:pt idx="5" formatCode="0.0">
                  <c:v>59.296031238268775</c:v>
                </c:pt>
                <c:pt idx="6" formatCode="0.0">
                  <c:v>60.143582091643431</c:v>
                </c:pt>
              </c:numCache>
            </c:numRef>
          </c:val>
          <c:smooth val="0"/>
          <c:extLst>
            <c:ext xmlns:c16="http://schemas.microsoft.com/office/drawing/2014/chart" uri="{C3380CC4-5D6E-409C-BE32-E72D297353CC}">
              <c16:uniqueId val="{00000002-22C7-47D3-8210-C77E7220B9D6}"/>
            </c:ext>
          </c:extLst>
        </c:ser>
        <c:ser>
          <c:idx val="3"/>
          <c:order val="3"/>
          <c:tx>
            <c:strRef>
              <c:f>Sheet1!$E$1</c:f>
              <c:strCache>
                <c:ptCount val="1"/>
                <c:pt idx="0">
                  <c:v>Պակասուրդի ռիսկ</c:v>
                </c:pt>
              </c:strCache>
            </c:strRef>
          </c:tx>
          <c:spPr>
            <a:ln w="22225" cap="rnd">
              <a:solidFill>
                <a:srgbClr val="A5A5A5">
                  <a:lumMod val="75000"/>
                </a:srgbClr>
              </a:solidFill>
              <a:prstDash val="solid"/>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Sheet1!$E$2:$E$10</c:f>
              <c:numCache>
                <c:formatCode>General</c:formatCode>
                <c:ptCount val="7"/>
                <c:pt idx="2" formatCode="0.0">
                  <c:v>48.099386823578513</c:v>
                </c:pt>
                <c:pt idx="3" formatCode="0.0">
                  <c:v>50.75961507866834</c:v>
                </c:pt>
                <c:pt idx="4" formatCode="0.0">
                  <c:v>54.593649365306106</c:v>
                </c:pt>
                <c:pt idx="5" formatCode="0.0">
                  <c:v>56.747413102199204</c:v>
                </c:pt>
                <c:pt idx="6" formatCode="0.0">
                  <c:v>57.949185084092257</c:v>
                </c:pt>
              </c:numCache>
            </c:numRef>
          </c:val>
          <c:smooth val="0"/>
          <c:extLst>
            <c:ext xmlns:c16="http://schemas.microsoft.com/office/drawing/2014/chart" uri="{C3380CC4-5D6E-409C-BE32-E72D297353CC}">
              <c16:uniqueId val="{00000003-22C7-47D3-8210-C77E7220B9D6}"/>
            </c:ext>
          </c:extLst>
        </c:ser>
        <c:ser>
          <c:idx val="4"/>
          <c:order val="4"/>
          <c:tx>
            <c:strRef>
              <c:f>Sheet1!$F$1</c:f>
              <c:strCache>
                <c:ptCount val="1"/>
                <c:pt idx="0">
                  <c:v>Փոխարժեքի ռիսկ</c:v>
                </c:pt>
              </c:strCache>
            </c:strRef>
          </c:tx>
          <c:spPr>
            <a:ln w="22225" cap="rnd">
              <a:solidFill>
                <a:srgbClr val="ED7D31"/>
              </a:solidFill>
              <a:prstDash val="solid"/>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Sheet1!$F$2:$F$10</c:f>
              <c:numCache>
                <c:formatCode>General</c:formatCode>
                <c:ptCount val="7"/>
                <c:pt idx="2" formatCode="0.0">
                  <c:v>48.099386823578513</c:v>
                </c:pt>
                <c:pt idx="3" formatCode="0.0">
                  <c:v>53.81163615759138</c:v>
                </c:pt>
                <c:pt idx="4" formatCode="0.0">
                  <c:v>56.261014248678421</c:v>
                </c:pt>
                <c:pt idx="5" formatCode="0.0">
                  <c:v>56.950080299117602</c:v>
                </c:pt>
                <c:pt idx="6" formatCode="0.0">
                  <c:v>56.770723669416789</c:v>
                </c:pt>
              </c:numCache>
            </c:numRef>
          </c:val>
          <c:smooth val="0"/>
          <c:extLst>
            <c:ext xmlns:c16="http://schemas.microsoft.com/office/drawing/2014/chart" uri="{C3380CC4-5D6E-409C-BE32-E72D297353CC}">
              <c16:uniqueId val="{00000004-22C7-47D3-8210-C77E7220B9D6}"/>
            </c:ext>
          </c:extLst>
        </c:ser>
        <c:ser>
          <c:idx val="5"/>
          <c:order val="5"/>
          <c:tx>
            <c:strRef>
              <c:f>Sheet1!$G$1</c:f>
              <c:strCache>
                <c:ptCount val="1"/>
                <c:pt idx="0">
                  <c:v>Բոլոր ռիսկերի նյութականացում</c:v>
                </c:pt>
              </c:strCache>
            </c:strRef>
          </c:tx>
          <c:spPr>
            <a:ln w="22225" cap="rnd">
              <a:solidFill>
                <a:srgbClr val="FFC000">
                  <a:lumMod val="75000"/>
                </a:srgbClr>
              </a:solidFill>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Sheet1!$G$2:$G$10</c:f>
              <c:numCache>
                <c:formatCode>General</c:formatCode>
                <c:ptCount val="7"/>
                <c:pt idx="2" formatCode="0.0">
                  <c:v>48.099386823578513</c:v>
                </c:pt>
                <c:pt idx="3" formatCode="0.0">
                  <c:v>55.52153042353801</c:v>
                </c:pt>
                <c:pt idx="4" formatCode="0.0">
                  <c:v>60.388468115165495</c:v>
                </c:pt>
                <c:pt idx="5" formatCode="0.0">
                  <c:v>63.279427096578864</c:v>
                </c:pt>
                <c:pt idx="6" formatCode="0.0">
                  <c:v>65.139129966864459</c:v>
                </c:pt>
              </c:numCache>
            </c:numRef>
          </c:val>
          <c:smooth val="0"/>
          <c:extLst>
            <c:ext xmlns:c16="http://schemas.microsoft.com/office/drawing/2014/chart" uri="{C3380CC4-5D6E-409C-BE32-E72D297353CC}">
              <c16:uniqueId val="{00000005-22C7-47D3-8210-C77E7220B9D6}"/>
            </c:ext>
          </c:extLst>
        </c:ser>
        <c:ser>
          <c:idx val="6"/>
          <c:order val="6"/>
          <c:tx>
            <c:strRef>
              <c:f>Sheet1!$H$1</c:f>
              <c:strCache>
                <c:ptCount val="1"/>
                <c:pt idx="0">
                  <c:v>Շեմ 1</c:v>
                </c:pt>
              </c:strCache>
            </c:strRef>
          </c:tx>
          <c:spPr>
            <a:ln w="19050" cap="rnd">
              <a:solidFill>
                <a:srgbClr val="ED7D31"/>
              </a:solidFill>
              <a:prstDash val="sysDot"/>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Sheet1!$H$2:$H$10</c:f>
              <c:numCache>
                <c:formatCode>0</c:formatCode>
                <c:ptCount val="7"/>
                <c:pt idx="0">
                  <c:v>50</c:v>
                </c:pt>
                <c:pt idx="1">
                  <c:v>50</c:v>
                </c:pt>
                <c:pt idx="2">
                  <c:v>50</c:v>
                </c:pt>
                <c:pt idx="3">
                  <c:v>50</c:v>
                </c:pt>
                <c:pt idx="4">
                  <c:v>50</c:v>
                </c:pt>
                <c:pt idx="5">
                  <c:v>50</c:v>
                </c:pt>
                <c:pt idx="6">
                  <c:v>50</c:v>
                </c:pt>
              </c:numCache>
            </c:numRef>
          </c:val>
          <c:smooth val="0"/>
          <c:extLst>
            <c:ext xmlns:c16="http://schemas.microsoft.com/office/drawing/2014/chart" uri="{C3380CC4-5D6E-409C-BE32-E72D297353CC}">
              <c16:uniqueId val="{00000006-22C7-47D3-8210-C77E7220B9D6}"/>
            </c:ext>
          </c:extLst>
        </c:ser>
        <c:ser>
          <c:idx val="7"/>
          <c:order val="7"/>
          <c:tx>
            <c:strRef>
              <c:f>Sheet1!$I$1</c:f>
              <c:strCache>
                <c:ptCount val="1"/>
                <c:pt idx="0">
                  <c:v>Շեմ 2</c:v>
                </c:pt>
              </c:strCache>
            </c:strRef>
          </c:tx>
          <c:spPr>
            <a:ln w="19050" cap="rnd">
              <a:solidFill>
                <a:srgbClr val="C00000"/>
              </a:solidFill>
              <a:prstDash val="sysDot"/>
              <a:round/>
            </a:ln>
            <a:effectLst/>
          </c:spPr>
          <c:marker>
            <c:symbol val="none"/>
          </c:marker>
          <c:cat>
            <c:numRef>
              <c:f>Sheet1!$A$2:$A$10</c:f>
              <c:numCache>
                <c:formatCode>General</c:formatCode>
                <c:ptCount val="7"/>
                <c:pt idx="0">
                  <c:v>2021</c:v>
                </c:pt>
                <c:pt idx="1">
                  <c:v>2022</c:v>
                </c:pt>
                <c:pt idx="2">
                  <c:v>2023</c:v>
                </c:pt>
                <c:pt idx="3">
                  <c:v>2024</c:v>
                </c:pt>
                <c:pt idx="4">
                  <c:v>2025</c:v>
                </c:pt>
                <c:pt idx="5">
                  <c:v>2026</c:v>
                </c:pt>
                <c:pt idx="6">
                  <c:v>2027</c:v>
                </c:pt>
              </c:numCache>
            </c:numRef>
          </c:cat>
          <c:val>
            <c:numRef>
              <c:f>Sheet1!$I$2:$I$10</c:f>
              <c:numCache>
                <c:formatCode>0</c:formatCode>
                <c:ptCount val="7"/>
                <c:pt idx="0">
                  <c:v>60</c:v>
                </c:pt>
                <c:pt idx="1">
                  <c:v>60</c:v>
                </c:pt>
                <c:pt idx="2">
                  <c:v>60</c:v>
                </c:pt>
                <c:pt idx="3">
                  <c:v>60</c:v>
                </c:pt>
                <c:pt idx="4">
                  <c:v>60</c:v>
                </c:pt>
                <c:pt idx="5">
                  <c:v>60</c:v>
                </c:pt>
                <c:pt idx="6">
                  <c:v>60</c:v>
                </c:pt>
              </c:numCache>
            </c:numRef>
          </c:val>
          <c:smooth val="0"/>
          <c:extLst>
            <c:ext xmlns:c16="http://schemas.microsoft.com/office/drawing/2014/chart" uri="{C3380CC4-5D6E-409C-BE32-E72D297353CC}">
              <c16:uniqueId val="{00000007-22C7-47D3-8210-C77E7220B9D6}"/>
            </c:ext>
          </c:extLst>
        </c:ser>
        <c:dLbls>
          <c:showLegendKey val="0"/>
          <c:showVal val="0"/>
          <c:showCatName val="0"/>
          <c:showSerName val="0"/>
          <c:showPercent val="0"/>
          <c:showBubbleSize val="0"/>
        </c:dLbls>
        <c:smooth val="0"/>
        <c:axId val="614427968"/>
        <c:axId val="614428296"/>
      </c:lineChart>
      <c:catAx>
        <c:axId val="614427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4428296"/>
        <c:crosses val="autoZero"/>
        <c:auto val="1"/>
        <c:lblAlgn val="ctr"/>
        <c:lblOffset val="100"/>
        <c:noMultiLvlLbl val="0"/>
      </c:catAx>
      <c:valAx>
        <c:axId val="614428296"/>
        <c:scaling>
          <c:orientation val="minMax"/>
          <c:min val="4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4427968"/>
        <c:crosses val="autoZero"/>
        <c:crossBetween val="between"/>
      </c:valAx>
      <c:spPr>
        <a:noFill/>
        <a:ln>
          <a:noFill/>
        </a:ln>
        <a:effectLst/>
      </c:spPr>
    </c:plotArea>
    <c:legend>
      <c:legendPos val="b"/>
      <c:legendEntry>
        <c:idx val="6"/>
        <c:delete val="1"/>
      </c:legendEntry>
      <c:legendEntry>
        <c:idx val="7"/>
        <c:delete val="1"/>
      </c:legendEntry>
      <c:layout>
        <c:manualLayout>
          <c:xMode val="edge"/>
          <c:yMode val="edge"/>
          <c:x val="1.5954508529650677E-2"/>
          <c:y val="0.71526071988876749"/>
          <c:w val="0.98404559845981376"/>
          <c:h val="0.2847392801112325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000">
          <a:latin typeface="GHEA Grapalat" panose="02000506050000020003" pitchFamily="50" charset="0"/>
        </a:defRPr>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000" b="0" i="0" u="none" strike="noStrike" kern="1200" spc="0" baseline="0">
                <a:solidFill>
                  <a:sysClr val="windowText" lastClr="000000"/>
                </a:solidFill>
                <a:latin typeface="GHEA Grapalat" panose="02000506050000020003" pitchFamily="50" charset="0"/>
                <a:ea typeface="+mn-ea"/>
                <a:cs typeface="+mn-cs"/>
              </a:defRPr>
            </a:pPr>
            <a:r>
              <a:rPr lang="hy-AM" sz="800" b="1">
                <a:solidFill>
                  <a:sysClr val="windowText" lastClr="000000"/>
                </a:solidFill>
                <a:latin typeface="GHEA Grapalat" panose="02000506050000020003" pitchFamily="50" charset="0"/>
                <a:cs typeface="Arial" panose="020B0604020202020204" pitchFamily="34" charset="0"/>
              </a:rPr>
              <a:t>Ակտիվները՝</a:t>
            </a:r>
            <a:r>
              <a:rPr lang="hy-AM" sz="800" b="1" baseline="0">
                <a:solidFill>
                  <a:sysClr val="windowText" lastClr="000000"/>
                </a:solidFill>
                <a:latin typeface="GHEA Grapalat" panose="02000506050000020003" pitchFamily="50" charset="0"/>
                <a:cs typeface="Arial" panose="020B0604020202020204" pitchFamily="34" charset="0"/>
              </a:rPr>
              <a:t> 202</a:t>
            </a:r>
            <a:r>
              <a:rPr lang="en-US" sz="800" b="1" baseline="0">
                <a:solidFill>
                  <a:sysClr val="windowText" lastClr="000000"/>
                </a:solidFill>
                <a:latin typeface="GHEA Grapalat" panose="02000506050000020003" pitchFamily="50" charset="0"/>
                <a:cs typeface="Arial" panose="020B0604020202020204" pitchFamily="34" charset="0"/>
              </a:rPr>
              <a:t>2</a:t>
            </a:r>
            <a:r>
              <a:rPr lang="hy-AM" sz="800" b="1" baseline="0">
                <a:solidFill>
                  <a:sysClr val="windowText" lastClr="000000"/>
                </a:solidFill>
                <a:latin typeface="GHEA Grapalat" panose="02000506050000020003" pitchFamily="50" charset="0"/>
                <a:cs typeface="Arial" panose="020B0604020202020204" pitchFamily="34" charset="0"/>
              </a:rPr>
              <a:t> թ․ դրությամբ</a:t>
            </a:r>
            <a:endParaRPr lang="en-US" sz="800" b="1">
              <a:solidFill>
                <a:sysClr val="windowText" lastClr="000000"/>
              </a:solidFill>
              <a:latin typeface="GHEA Grapalat" panose="02000506050000020003" pitchFamily="50" charset="0"/>
              <a:cs typeface="Arial" panose="020B0604020202020204" pitchFamily="34" charset="0"/>
            </a:endParaRPr>
          </a:p>
        </c:rich>
      </c:tx>
      <c:layout>
        <c:manualLayout>
          <c:xMode val="edge"/>
          <c:yMode val="edge"/>
          <c:x val="2.0248847398638126E-2"/>
          <c:y val="2.802803686459274E-2"/>
        </c:manualLayout>
      </c:layout>
      <c:overlay val="0"/>
      <c:spPr>
        <a:noFill/>
        <a:ln>
          <a:noFill/>
        </a:ln>
        <a:effectLst/>
      </c:spPr>
      <c:txPr>
        <a:bodyPr rot="0" spcFirstLastPara="1" vertOverflow="ellipsis" vert="horz" wrap="square" anchor="ctr" anchorCtr="1"/>
        <a:lstStyle/>
        <a:p>
          <a:pPr algn="ctr">
            <a:defRPr sz="1000" b="0" i="0" u="none" strike="noStrike" kern="1200" spc="0" baseline="0">
              <a:solidFill>
                <a:sysClr val="windowText" lastClr="000000"/>
              </a:solidFill>
              <a:latin typeface="GHEA Grapalat" panose="02000506050000020003" pitchFamily="50" charset="0"/>
              <a:ea typeface="+mn-ea"/>
              <a:cs typeface="+mn-cs"/>
            </a:defRPr>
          </a:pPr>
          <a:endParaRPr lang="en-US"/>
        </a:p>
      </c:txPr>
    </c:title>
    <c:autoTitleDeleted val="0"/>
    <c:plotArea>
      <c:layout/>
      <c:doughnutChart>
        <c:varyColors val="1"/>
        <c:ser>
          <c:idx val="0"/>
          <c:order val="0"/>
          <c:dPt>
            <c:idx val="0"/>
            <c:bubble3D val="0"/>
            <c:spPr>
              <a:solidFill>
                <a:schemeClr val="accent5">
                  <a:lumMod val="50000"/>
                </a:schemeClr>
              </a:solidFill>
              <a:ln w="19050">
                <a:solidFill>
                  <a:schemeClr val="lt1"/>
                </a:solidFill>
              </a:ln>
              <a:effectLst/>
            </c:spPr>
            <c:extLst>
              <c:ext xmlns:c16="http://schemas.microsoft.com/office/drawing/2014/chart" uri="{C3380CC4-5D6E-409C-BE32-E72D297353CC}">
                <c16:uniqueId val="{00000001-273D-453D-BEE6-63D1FAAE7019}"/>
              </c:ext>
            </c:extLst>
          </c:dPt>
          <c:dPt>
            <c:idx val="1"/>
            <c:bubble3D val="0"/>
            <c:spPr>
              <a:solidFill>
                <a:schemeClr val="tx2">
                  <a:lumMod val="60000"/>
                  <a:lumOff val="40000"/>
                </a:schemeClr>
              </a:solidFill>
              <a:ln w="19050">
                <a:solidFill>
                  <a:schemeClr val="lt1"/>
                </a:solidFill>
              </a:ln>
              <a:effectLst/>
            </c:spPr>
            <c:extLst>
              <c:ext xmlns:c16="http://schemas.microsoft.com/office/drawing/2014/chart" uri="{C3380CC4-5D6E-409C-BE32-E72D297353CC}">
                <c16:uniqueId val="{00000003-273D-453D-BEE6-63D1FAAE701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73D-453D-BEE6-63D1FAAE701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73D-453D-BEE6-63D1FAAE701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73D-453D-BEE6-63D1FAAE701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73D-453D-BEE6-63D1FAAE7019}"/>
              </c:ext>
            </c:extLst>
          </c:dPt>
          <c:dPt>
            <c:idx val="6"/>
            <c:bubble3D val="0"/>
            <c:spPr>
              <a:solidFill>
                <a:schemeClr val="accent4">
                  <a:lumMod val="75000"/>
                </a:schemeClr>
              </a:solidFill>
              <a:ln w="19050">
                <a:solidFill>
                  <a:schemeClr val="lt1"/>
                </a:solidFill>
              </a:ln>
              <a:effectLst/>
            </c:spPr>
            <c:extLst>
              <c:ext xmlns:c16="http://schemas.microsoft.com/office/drawing/2014/chart" uri="{C3380CC4-5D6E-409C-BE32-E72D297353CC}">
                <c16:uniqueId val="{0000000D-273D-453D-BEE6-63D1FAAE7019}"/>
              </c:ext>
            </c:extLst>
          </c:dPt>
          <c:dPt>
            <c:idx val="7"/>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F-273D-453D-BEE6-63D1FAAE7019}"/>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'Sector of activity '!$A$23:$A$29</c:f>
              <c:strCache>
                <c:ptCount val="7"/>
                <c:pt idx="0">
                  <c:v>Էներգետիկա</c:v>
                </c:pt>
                <c:pt idx="1">
                  <c:v>Առողջապահություն</c:v>
                </c:pt>
                <c:pt idx="2">
                  <c:v>Տրասնպորտ</c:v>
                </c:pt>
                <c:pt idx="3">
                  <c:v>Այլ</c:v>
                </c:pt>
                <c:pt idx="4">
                  <c:v>Փոստ և կապ</c:v>
                </c:pt>
                <c:pt idx="5">
                  <c:v>Հեռուստառադիո-հեռարձակում, կապ</c:v>
                </c:pt>
                <c:pt idx="6">
                  <c:v>Ջրային տնտեսություն</c:v>
                </c:pt>
              </c:strCache>
            </c:strRef>
          </c:cat>
          <c:val>
            <c:numRef>
              <c:f>'Sector of activity '!$F$23:$F$29</c:f>
              <c:numCache>
                <c:formatCode>0%</c:formatCode>
                <c:ptCount val="7"/>
                <c:pt idx="0">
                  <c:v>0.55344518263818787</c:v>
                </c:pt>
                <c:pt idx="1">
                  <c:v>0.11719693699461439</c:v>
                </c:pt>
                <c:pt idx="2">
                  <c:v>1.837629390088296E-2</c:v>
                </c:pt>
                <c:pt idx="3">
                  <c:v>6.764017137192177E-2</c:v>
                </c:pt>
                <c:pt idx="4">
                  <c:v>2.3288903301382596E-2</c:v>
                </c:pt>
                <c:pt idx="5">
                  <c:v>3.766338130640938E-2</c:v>
                </c:pt>
                <c:pt idx="6">
                  <c:v>0.11547260207959571</c:v>
                </c:pt>
              </c:numCache>
            </c:numRef>
          </c:val>
          <c:extLst>
            <c:ext xmlns:c16="http://schemas.microsoft.com/office/drawing/2014/chart" uri="{C3380CC4-5D6E-409C-BE32-E72D297353CC}">
              <c16:uniqueId val="{00000010-273D-453D-BEE6-63D1FAAE7019}"/>
            </c:ext>
          </c:extLst>
        </c:ser>
        <c:dLbls>
          <c:showLegendKey val="0"/>
          <c:showVal val="0"/>
          <c:showCatName val="0"/>
          <c:showSerName val="0"/>
          <c:showPercent val="0"/>
          <c:showBubbleSize val="0"/>
          <c:showLeaderLines val="1"/>
        </c:dLbls>
        <c:firstSliceAng val="0"/>
        <c:holeSize val="40"/>
      </c:doughnutChart>
      <c:spPr>
        <a:noFill/>
        <a:ln>
          <a:noFill/>
        </a:ln>
        <a:effectLst/>
      </c:spPr>
    </c:plotArea>
    <c:legend>
      <c:legendPos val="r"/>
      <c:layout>
        <c:manualLayout>
          <c:xMode val="edge"/>
          <c:yMode val="edge"/>
          <c:x val="0.60207292608431995"/>
          <c:y val="6.0393198979803338E-2"/>
          <c:w val="0.36772366052272826"/>
          <c:h val="0.92082007231613527"/>
        </c:manualLayout>
      </c:layout>
      <c:overlay val="0"/>
      <c:spPr>
        <a:noFill/>
        <a:ln>
          <a:noFill/>
        </a:ln>
        <a:effectLst>
          <a:outerShdw blurRad="50800" dist="50800" dir="5400000" sx="1000" sy="1000" algn="ctr" rotWithShape="0">
            <a:srgbClr val="000000">
              <a:alpha val="43137"/>
            </a:srgbClr>
          </a:outerShdw>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800" b="0" i="0" u="none" strike="noStrike" kern="1200" spc="0" baseline="0">
                <a:solidFill>
                  <a:sysClr val="windowText" lastClr="000000"/>
                </a:solidFill>
                <a:latin typeface="GHEA Grapalat" panose="02000506050000020003" pitchFamily="50" charset="0"/>
                <a:ea typeface="+mn-ea"/>
                <a:cs typeface="+mn-cs"/>
              </a:defRPr>
            </a:pPr>
            <a:r>
              <a:rPr lang="hy-AM" sz="800" b="1">
                <a:solidFill>
                  <a:sysClr val="windowText" lastClr="000000"/>
                </a:solidFill>
                <a:latin typeface="GHEA Grapalat" panose="02000506050000020003" pitchFamily="50" charset="0"/>
                <a:cs typeface="Arial" panose="020B0604020202020204" pitchFamily="34" charset="0"/>
              </a:rPr>
              <a:t>Պարտավորությունները՝</a:t>
            </a:r>
            <a:r>
              <a:rPr lang="hy-AM" sz="800" b="1" baseline="0">
                <a:solidFill>
                  <a:sysClr val="windowText" lastClr="000000"/>
                </a:solidFill>
                <a:latin typeface="GHEA Grapalat" panose="02000506050000020003" pitchFamily="50" charset="0"/>
                <a:cs typeface="Arial" panose="020B0604020202020204" pitchFamily="34" charset="0"/>
              </a:rPr>
              <a:t> 202</a:t>
            </a:r>
            <a:r>
              <a:rPr lang="en-US" sz="800" b="1" baseline="0">
                <a:solidFill>
                  <a:sysClr val="windowText" lastClr="000000"/>
                </a:solidFill>
                <a:latin typeface="GHEA Grapalat" panose="02000506050000020003" pitchFamily="50" charset="0"/>
                <a:cs typeface="Arial" panose="020B0604020202020204" pitchFamily="34" charset="0"/>
              </a:rPr>
              <a:t>2</a:t>
            </a:r>
            <a:r>
              <a:rPr lang="hy-AM" sz="800" b="1" baseline="0">
                <a:solidFill>
                  <a:sysClr val="windowText" lastClr="000000"/>
                </a:solidFill>
                <a:latin typeface="GHEA Grapalat" panose="02000506050000020003" pitchFamily="50" charset="0"/>
                <a:cs typeface="Arial" panose="020B0604020202020204" pitchFamily="34" charset="0"/>
              </a:rPr>
              <a:t> թ․ դրությամբ</a:t>
            </a:r>
            <a:endParaRPr lang="en-US" sz="800" b="1">
              <a:solidFill>
                <a:sysClr val="windowText" lastClr="000000"/>
              </a:solidFill>
              <a:latin typeface="GHEA Grapalat" panose="02000506050000020003" pitchFamily="50" charset="0"/>
              <a:cs typeface="Arial" panose="020B0604020202020204" pitchFamily="34" charset="0"/>
            </a:endParaRPr>
          </a:p>
        </c:rich>
      </c:tx>
      <c:layout>
        <c:manualLayout>
          <c:xMode val="edge"/>
          <c:yMode val="edge"/>
          <c:x val="2.0252887342588517E-2"/>
          <c:y val="2.1484814398200228E-2"/>
        </c:manualLayout>
      </c:layout>
      <c:overlay val="0"/>
      <c:spPr>
        <a:noFill/>
        <a:ln>
          <a:noFill/>
        </a:ln>
        <a:effectLst/>
      </c:spPr>
      <c:txPr>
        <a:bodyPr rot="0" spcFirstLastPara="1" vertOverflow="ellipsis" vert="horz" wrap="square" anchor="ctr" anchorCtr="1"/>
        <a:lstStyle/>
        <a:p>
          <a:pPr algn="ctr">
            <a:defRPr sz="800" b="0" i="0" u="none" strike="noStrike" kern="1200" spc="0" baseline="0">
              <a:solidFill>
                <a:sysClr val="windowText" lastClr="000000"/>
              </a:solidFill>
              <a:latin typeface="GHEA Grapalat" panose="02000506050000020003" pitchFamily="50" charset="0"/>
              <a:ea typeface="+mn-ea"/>
              <a:cs typeface="+mn-cs"/>
            </a:defRPr>
          </a:pPr>
          <a:endParaRPr lang="en-US"/>
        </a:p>
      </c:txPr>
    </c:title>
    <c:autoTitleDeleted val="0"/>
    <c:plotArea>
      <c:layout/>
      <c:doughnutChart>
        <c:varyColors val="1"/>
        <c:ser>
          <c:idx val="0"/>
          <c:order val="0"/>
          <c:dPt>
            <c:idx val="0"/>
            <c:bubble3D val="0"/>
            <c:spPr>
              <a:solidFill>
                <a:schemeClr val="accent5">
                  <a:lumMod val="50000"/>
                </a:schemeClr>
              </a:solidFill>
              <a:ln w="19050">
                <a:solidFill>
                  <a:schemeClr val="lt1"/>
                </a:solidFill>
              </a:ln>
              <a:effectLst/>
            </c:spPr>
            <c:extLst>
              <c:ext xmlns:c16="http://schemas.microsoft.com/office/drawing/2014/chart" uri="{C3380CC4-5D6E-409C-BE32-E72D297353CC}">
                <c16:uniqueId val="{00000001-7B87-4C08-9D28-6B09E86B0C79}"/>
              </c:ext>
            </c:extLst>
          </c:dPt>
          <c:dPt>
            <c:idx val="1"/>
            <c:bubble3D val="0"/>
            <c:spPr>
              <a:solidFill>
                <a:schemeClr val="tx2">
                  <a:lumMod val="60000"/>
                  <a:lumOff val="40000"/>
                </a:schemeClr>
              </a:solidFill>
              <a:ln w="19050">
                <a:solidFill>
                  <a:schemeClr val="lt1"/>
                </a:solidFill>
              </a:ln>
              <a:effectLst/>
            </c:spPr>
            <c:extLst>
              <c:ext xmlns:c16="http://schemas.microsoft.com/office/drawing/2014/chart" uri="{C3380CC4-5D6E-409C-BE32-E72D297353CC}">
                <c16:uniqueId val="{00000003-7B87-4C08-9D28-6B09E86B0C7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B87-4C08-9D28-6B09E86B0C7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B87-4C08-9D28-6B09E86B0C7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B87-4C08-9D28-6B09E86B0C7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B87-4C08-9D28-6B09E86B0C79}"/>
              </c:ext>
            </c:extLst>
          </c:dPt>
          <c:dPt>
            <c:idx val="6"/>
            <c:bubble3D val="0"/>
            <c:spPr>
              <a:solidFill>
                <a:schemeClr val="accent4">
                  <a:lumMod val="75000"/>
                </a:schemeClr>
              </a:solidFill>
              <a:ln w="19050">
                <a:solidFill>
                  <a:schemeClr val="lt1"/>
                </a:solidFill>
              </a:ln>
              <a:effectLst/>
            </c:spPr>
            <c:extLst>
              <c:ext xmlns:c16="http://schemas.microsoft.com/office/drawing/2014/chart" uri="{C3380CC4-5D6E-409C-BE32-E72D297353CC}">
                <c16:uniqueId val="{0000000D-7B87-4C08-9D28-6B09E86B0C79}"/>
              </c:ext>
            </c:extLst>
          </c:dPt>
          <c:dLbls>
            <c:dLbl>
              <c:idx val="3"/>
              <c:layout>
                <c:manualLayout>
                  <c:x val="-1.7516969564265381E-2"/>
                  <c:y val="-4.0462427745664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87-4C08-9D28-6B09E86B0C79}"/>
                </c:ext>
              </c:extLst>
            </c:dLbl>
            <c:dLbl>
              <c:idx val="4"/>
              <c:layout>
                <c:manualLayout>
                  <c:x val="0"/>
                  <c:y val="-1.15606936416184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B87-4C08-9D28-6B09E86B0C79}"/>
                </c:ext>
              </c:extLst>
            </c:dLbl>
            <c:dLbl>
              <c:idx val="5"/>
              <c:layout>
                <c:manualLayout>
                  <c:x val="-4.3792423910663453E-3"/>
                  <c:y val="-4.62427745664739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B87-4C08-9D28-6B09E86B0C79}"/>
                </c:ext>
              </c:extLst>
            </c:dLbl>
            <c:dLbl>
              <c:idx val="6"/>
              <c:layout>
                <c:manualLayout>
                  <c:x val="-4.0142591520798753E-17"/>
                  <c:y val="-4.62427745664739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B87-4C08-9D28-6B09E86B0C7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'Sector of activity '!$A$39:$A$45</c:f>
              <c:strCache>
                <c:ptCount val="7"/>
                <c:pt idx="0">
                  <c:v>Էներգետիկա</c:v>
                </c:pt>
                <c:pt idx="1">
                  <c:v>Առողջապահություն</c:v>
                </c:pt>
                <c:pt idx="2">
                  <c:v>Տրասնպորտ</c:v>
                </c:pt>
                <c:pt idx="3">
                  <c:v>Այլ</c:v>
                </c:pt>
                <c:pt idx="4">
                  <c:v>Փոստ և կապ</c:v>
                </c:pt>
                <c:pt idx="5">
                  <c:v>Հեռուստառադիո-հեռարձակում, կապ</c:v>
                </c:pt>
                <c:pt idx="6">
                  <c:v>Ջրային տնտեսություն</c:v>
                </c:pt>
              </c:strCache>
            </c:strRef>
          </c:cat>
          <c:val>
            <c:numRef>
              <c:f>'Sector of activity '!$F$39:$F$45</c:f>
              <c:numCache>
                <c:formatCode>0%</c:formatCode>
                <c:ptCount val="7"/>
                <c:pt idx="0">
                  <c:v>0.69809314533165845</c:v>
                </c:pt>
                <c:pt idx="1">
                  <c:v>0.10751036864422323</c:v>
                </c:pt>
                <c:pt idx="2">
                  <c:v>1.6718710849053606E-2</c:v>
                </c:pt>
                <c:pt idx="3">
                  <c:v>2.9800616347324442E-2</c:v>
                </c:pt>
                <c:pt idx="4">
                  <c:v>1.8865508507851698E-2</c:v>
                </c:pt>
                <c:pt idx="5">
                  <c:v>1.5249430742927627E-2</c:v>
                </c:pt>
                <c:pt idx="6">
                  <c:v>3.6735420595384656E-2</c:v>
                </c:pt>
              </c:numCache>
            </c:numRef>
          </c:val>
          <c:extLst>
            <c:ext xmlns:c16="http://schemas.microsoft.com/office/drawing/2014/chart" uri="{C3380CC4-5D6E-409C-BE32-E72D297353CC}">
              <c16:uniqueId val="{0000000E-7B87-4C08-9D28-6B09E86B0C79}"/>
            </c:ext>
          </c:extLst>
        </c:ser>
        <c:dLbls>
          <c:showLegendKey val="0"/>
          <c:showVal val="0"/>
          <c:showCatName val="0"/>
          <c:showSerName val="0"/>
          <c:showPercent val="0"/>
          <c:showBubbleSize val="0"/>
          <c:showLeaderLines val="1"/>
        </c:dLbls>
        <c:firstSliceAng val="0"/>
        <c:holeSize val="40"/>
      </c:doughnutChart>
      <c:spPr>
        <a:noFill/>
        <a:ln>
          <a:noFill/>
        </a:ln>
        <a:effectLst/>
      </c:spPr>
    </c:plotArea>
    <c:legend>
      <c:legendPos val="r"/>
      <c:layout>
        <c:manualLayout>
          <c:xMode val="edge"/>
          <c:yMode val="edge"/>
          <c:x val="0.57438384576791046"/>
          <c:y val="0.12661652954228603"/>
          <c:w val="0.40673265414847004"/>
          <c:h val="0.78970603674540685"/>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944114838527885"/>
          <c:y val="0.15952712522504936"/>
          <c:w val="0.83935275486190464"/>
          <c:h val="0.70530428832582692"/>
        </c:manualLayout>
      </c:layout>
      <c:barChart>
        <c:barDir val="col"/>
        <c:grouping val="clustered"/>
        <c:varyColors val="0"/>
        <c:ser>
          <c:idx val="0"/>
          <c:order val="0"/>
          <c:tx>
            <c:strRef>
              <c:f>'Sector of activity '!$A$73</c:f>
              <c:strCache>
                <c:ptCount val="1"/>
                <c:pt idx="0">
                  <c:v>Ակտիվներ</c:v>
                </c:pt>
              </c:strCache>
            </c:strRef>
          </c:tx>
          <c:spPr>
            <a:solidFill>
              <a:schemeClr val="accent1">
                <a:shade val="76000"/>
              </a:schemeClr>
            </a:solidFill>
            <a:ln>
              <a:noFill/>
            </a:ln>
            <a:effectLst/>
          </c:spPr>
          <c:invertIfNegative val="0"/>
          <c:dLbls>
            <c:dLbl>
              <c:idx val="0"/>
              <c:tx>
                <c:rich>
                  <a:bodyPr/>
                  <a:lstStyle/>
                  <a:p>
                    <a:r>
                      <a:rPr lang="hy-AM"/>
                      <a:t>796 մլրդ ՀՀ դրամ</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C5-4AE4-A5A5-4ABC893FA82E}"/>
                </c:ext>
              </c:extLst>
            </c:dLbl>
            <c:dLbl>
              <c:idx val="1"/>
              <c:tx>
                <c:rich>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GHEA Grapalat" panose="02000506050000020003" pitchFamily="50" charset="0"/>
                        <a:ea typeface="+mn-ea"/>
                        <a:cs typeface="+mn-cs"/>
                      </a:defRPr>
                    </a:pPr>
                    <a:fld id="{A66C4F2A-330B-48F7-9CA7-ACE89927DAD8}" type="VALUE">
                      <a:rPr lang="hy-AM"/>
                      <a:pPr>
                        <a:defRPr/>
                      </a:pPr>
                      <a:t>[VALUE]</a:t>
                    </a:fld>
                    <a:r>
                      <a:rPr lang="hy-AM"/>
                      <a:t> մլրդ ՀՀ դրամ</a:t>
                    </a:r>
                  </a:p>
                </c:rich>
              </c:tx>
              <c:numFmt formatCode="General" sourceLinked="0"/>
              <c:spPr>
                <a:noFill/>
                <a:ln>
                  <a:no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dlblFieldTable/>
                  <c15:showDataLabelsRange val="0"/>
                </c:ext>
                <c:ext xmlns:c16="http://schemas.microsoft.com/office/drawing/2014/chart" uri="{C3380CC4-5D6E-409C-BE32-E72D297353CC}">
                  <c16:uniqueId val="{00000001-18C5-4AE4-A5A5-4ABC893FA82E}"/>
                </c:ext>
              </c:extLst>
            </c:dLbl>
            <c:dLbl>
              <c:idx val="2"/>
              <c:tx>
                <c:rich>
                  <a:bodyPr/>
                  <a:lstStyle/>
                  <a:p>
                    <a:fld id="{DF67FADD-235B-4CCC-988E-3A7F1E0347FD}" type="VALUE">
                      <a:rPr lang="hy-AM"/>
                      <a:pPr/>
                      <a:t>[VALUE]</a:t>
                    </a:fld>
                    <a:r>
                      <a:rPr lang="hy-AM"/>
                      <a:t> մլրդ ՀՀ դրամ</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18C5-4AE4-A5A5-4ABC893FA82E}"/>
                </c:ext>
              </c:extLst>
            </c:d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'Sector of activity '!$B$72:$D$72</c:f>
              <c:numCache>
                <c:formatCode>General</c:formatCode>
                <c:ptCount val="3"/>
                <c:pt idx="0">
                  <c:v>2020</c:v>
                </c:pt>
                <c:pt idx="1">
                  <c:v>2021</c:v>
                </c:pt>
                <c:pt idx="2">
                  <c:v>2022</c:v>
                </c:pt>
              </c:numCache>
            </c:numRef>
          </c:cat>
          <c:val>
            <c:numRef>
              <c:f>'Sector of activity '!$B$73:$D$73</c:f>
              <c:numCache>
                <c:formatCode>General</c:formatCode>
                <c:ptCount val="3"/>
                <c:pt idx="0">
                  <c:v>796</c:v>
                </c:pt>
                <c:pt idx="1">
                  <c:v>828</c:v>
                </c:pt>
                <c:pt idx="2">
                  <c:v>830</c:v>
                </c:pt>
              </c:numCache>
            </c:numRef>
          </c:val>
          <c:extLst>
            <c:ext xmlns:c16="http://schemas.microsoft.com/office/drawing/2014/chart" uri="{C3380CC4-5D6E-409C-BE32-E72D297353CC}">
              <c16:uniqueId val="{00000003-18C5-4AE4-A5A5-4ABC893FA82E}"/>
            </c:ext>
          </c:extLst>
        </c:ser>
        <c:ser>
          <c:idx val="1"/>
          <c:order val="1"/>
          <c:tx>
            <c:strRef>
              <c:f>'Sector of activity '!$A$74</c:f>
              <c:strCache>
                <c:ptCount val="1"/>
                <c:pt idx="0">
                  <c:v>Պարտավորություններ</c:v>
                </c:pt>
              </c:strCache>
            </c:strRef>
          </c:tx>
          <c:spPr>
            <a:solidFill>
              <a:schemeClr val="accent1">
                <a:tint val="77000"/>
              </a:schemeClr>
            </a:solidFill>
            <a:ln>
              <a:noFill/>
            </a:ln>
            <a:effectLst/>
          </c:spPr>
          <c:invertIfNegative val="0"/>
          <c:dLbls>
            <c:dLbl>
              <c:idx val="0"/>
              <c:layout>
                <c:manualLayout>
                  <c:x val="3.6333378783613181E-2"/>
                  <c:y val="2.3065249139577349E-2"/>
                </c:manualLayout>
              </c:layout>
              <c:tx>
                <c:rich>
                  <a:bodyPr/>
                  <a:lstStyle/>
                  <a:p>
                    <a:r>
                      <a:rPr lang="hy-AM"/>
                      <a:t>548 մլրդ ՀՀ դրամ</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0.15593317435544798"/>
                      <c:h val="0.15880674448767834"/>
                    </c:manualLayout>
                  </c15:layout>
                </c:ext>
                <c:ext xmlns:c16="http://schemas.microsoft.com/office/drawing/2014/chart" uri="{C3380CC4-5D6E-409C-BE32-E72D297353CC}">
                  <c16:uniqueId val="{00000004-18C5-4AE4-A5A5-4ABC893FA82E}"/>
                </c:ext>
              </c:extLst>
            </c:dLbl>
            <c:dLbl>
              <c:idx val="1"/>
              <c:layout>
                <c:manualLayout>
                  <c:x val="2.942715971391828E-2"/>
                  <c:y val="3.6779721600947696E-2"/>
                </c:manualLayout>
              </c:layout>
              <c:tx>
                <c:rich>
                  <a:bodyPr/>
                  <a:lstStyle/>
                  <a:p>
                    <a:fld id="{A26E8E5C-4C17-41BB-B634-AD8448B35E43}" type="VALUE">
                      <a:rPr lang="hy-AM"/>
                      <a:pPr/>
                      <a:t>[VALUE]</a:t>
                    </a:fld>
                    <a:r>
                      <a:rPr lang="hy-AM"/>
                      <a:t> մլրդ ՀՀ դրամ</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0.1381749979645468"/>
                      <c:h val="0.19131100830295045"/>
                    </c:manualLayout>
                  </c15:layout>
                  <c15:dlblFieldTable/>
                  <c15:showDataLabelsRange val="0"/>
                </c:ext>
                <c:ext xmlns:c16="http://schemas.microsoft.com/office/drawing/2014/chart" uri="{C3380CC4-5D6E-409C-BE32-E72D297353CC}">
                  <c16:uniqueId val="{00000005-18C5-4AE4-A5A5-4ABC893FA82E}"/>
                </c:ext>
              </c:extLst>
            </c:dLbl>
            <c:dLbl>
              <c:idx val="2"/>
              <c:layout>
                <c:manualLayout>
                  <c:x val="3.1062486941219054E-2"/>
                  <c:y val="4.1504335304390405E-2"/>
                </c:manualLayout>
              </c:layout>
              <c:tx>
                <c:rich>
                  <a:bodyPr/>
                  <a:lstStyle/>
                  <a:p>
                    <a:fld id="{B7505EB3-BE1B-43B0-89A3-EAA1156EA512}" type="VALUE">
                      <a:rPr lang="hy-AM"/>
                      <a:pPr/>
                      <a:t>[VALUE]</a:t>
                    </a:fld>
                    <a:r>
                      <a:rPr lang="hy-AM"/>
                      <a:t> մլրդ ՀՀ դրամ</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0.15696610553554979"/>
                      <c:h val="0.23985007710612044"/>
                    </c:manualLayout>
                  </c15:layout>
                  <c15:dlblFieldTable/>
                  <c15:showDataLabelsRange val="0"/>
                </c:ext>
                <c:ext xmlns:c16="http://schemas.microsoft.com/office/drawing/2014/chart" uri="{C3380CC4-5D6E-409C-BE32-E72D297353CC}">
                  <c16:uniqueId val="{00000006-18C5-4AE4-A5A5-4ABC893FA82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'Sector of activity '!$B$72:$D$72</c:f>
              <c:numCache>
                <c:formatCode>General</c:formatCode>
                <c:ptCount val="3"/>
                <c:pt idx="0">
                  <c:v>2020</c:v>
                </c:pt>
                <c:pt idx="1">
                  <c:v>2021</c:v>
                </c:pt>
                <c:pt idx="2">
                  <c:v>2022</c:v>
                </c:pt>
              </c:numCache>
            </c:numRef>
          </c:cat>
          <c:val>
            <c:numRef>
              <c:f>'Sector of activity '!$B$74:$D$74</c:f>
              <c:numCache>
                <c:formatCode>General</c:formatCode>
                <c:ptCount val="3"/>
                <c:pt idx="0">
                  <c:v>548</c:v>
                </c:pt>
                <c:pt idx="1">
                  <c:v>511</c:v>
                </c:pt>
                <c:pt idx="2">
                  <c:v>453</c:v>
                </c:pt>
              </c:numCache>
            </c:numRef>
          </c:val>
          <c:extLst>
            <c:ext xmlns:c16="http://schemas.microsoft.com/office/drawing/2014/chart" uri="{C3380CC4-5D6E-409C-BE32-E72D297353CC}">
              <c16:uniqueId val="{00000007-18C5-4AE4-A5A5-4ABC893FA82E}"/>
            </c:ext>
          </c:extLst>
        </c:ser>
        <c:dLbls>
          <c:showLegendKey val="0"/>
          <c:showVal val="0"/>
          <c:showCatName val="0"/>
          <c:showSerName val="0"/>
          <c:showPercent val="0"/>
          <c:showBubbleSize val="0"/>
        </c:dLbls>
        <c:gapWidth val="162"/>
        <c:axId val="1296920544"/>
        <c:axId val="1296921024"/>
      </c:barChart>
      <c:catAx>
        <c:axId val="1296920544"/>
        <c:scaling>
          <c:orientation val="minMax"/>
        </c:scaling>
        <c:delete val="1"/>
        <c:axPos val="b"/>
        <c:numFmt formatCode="General" sourceLinked="1"/>
        <c:majorTickMark val="none"/>
        <c:minorTickMark val="none"/>
        <c:tickLblPos val="nextTo"/>
        <c:crossAx val="1296921024"/>
        <c:crossesAt val="0"/>
        <c:auto val="1"/>
        <c:lblAlgn val="ctr"/>
        <c:lblOffset val="100"/>
        <c:noMultiLvlLbl val="0"/>
      </c:catAx>
      <c:valAx>
        <c:axId val="129692102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ՀՀ մլրդ 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969205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userShapes r:id="rId4"/>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579365926495894"/>
          <c:y val="0.15776872752289331"/>
          <c:w val="0.84767433267921799"/>
          <c:h val="0.4587951499061777"/>
        </c:manualLayout>
      </c:layout>
      <c:lineChart>
        <c:grouping val="standard"/>
        <c:varyColors val="0"/>
        <c:ser>
          <c:idx val="1"/>
          <c:order val="1"/>
          <c:tx>
            <c:strRef>
              <c:f>'Portfolio Level'!$P$110</c:f>
              <c:strCache>
                <c:ptCount val="1"/>
                <c:pt idx="0">
                  <c:v>Զուտ շահույթի մարժա</c:v>
                </c:pt>
              </c:strCache>
            </c:strRef>
          </c:tx>
          <c:spPr>
            <a:ln w="28575" cap="rnd">
              <a:solidFill>
                <a:schemeClr val="accent1">
                  <a:shade val="76000"/>
                </a:schemeClr>
              </a:solidFill>
              <a:round/>
            </a:ln>
            <a:effectLst/>
          </c:spPr>
          <c:marker>
            <c:symbol val="none"/>
          </c:marker>
          <c:cat>
            <c:numRef>
              <c:f>'SOEHCT-v1-3-Beta_without  infection desease center_working.xlsm'!Year_a</c:f>
              <c:numCache>
                <c:formatCode>General</c:formatCode>
                <c:ptCount val="4"/>
                <c:pt idx="0">
                  <c:v>2019</c:v>
                </c:pt>
                <c:pt idx="1">
                  <c:v>2020</c:v>
                </c:pt>
                <c:pt idx="2">
                  <c:v>2021</c:v>
                </c:pt>
                <c:pt idx="3">
                  <c:v>2022</c:v>
                </c:pt>
              </c:numCache>
            </c:numRef>
          </c:cat>
          <c:val>
            <c:numRef>
              <c:f>'SOEHCT-v1-3-Beta_without  infection desease center_working.xlsm'!Agg_Net_Profit</c:f>
              <c:numCache>
                <c:formatCode>General</c:formatCode>
                <c:ptCount val="4"/>
                <c:pt idx="0">
                  <c:v>4.5613229409410726E-2</c:v>
                </c:pt>
                <c:pt idx="1">
                  <c:v>-0.26484675912697542</c:v>
                </c:pt>
                <c:pt idx="2">
                  <c:v>0.31230833064173247</c:v>
                </c:pt>
                <c:pt idx="3">
                  <c:v>0.46141271981350346</c:v>
                </c:pt>
              </c:numCache>
            </c:numRef>
          </c:val>
          <c:smooth val="0"/>
          <c:extLst>
            <c:ext xmlns:c16="http://schemas.microsoft.com/office/drawing/2014/chart" uri="{C3380CC4-5D6E-409C-BE32-E72D297353CC}">
              <c16:uniqueId val="{00000000-A766-45AB-9D73-8506BE76E721}"/>
            </c:ext>
          </c:extLst>
        </c:ser>
        <c:dLbls>
          <c:showLegendKey val="0"/>
          <c:showVal val="0"/>
          <c:showCatName val="0"/>
          <c:showSerName val="0"/>
          <c:showPercent val="0"/>
          <c:showBubbleSize val="0"/>
        </c:dLbls>
        <c:marker val="1"/>
        <c:smooth val="0"/>
        <c:axId val="54388255"/>
        <c:axId val="2037993584"/>
      </c:lineChart>
      <c:lineChart>
        <c:grouping val="standard"/>
        <c:varyColors val="0"/>
        <c:ser>
          <c:idx val="0"/>
          <c:order val="0"/>
          <c:tx>
            <c:strRef>
              <c:f>'Portfolio Level'!$P$109</c:f>
              <c:strCache>
                <c:ptCount val="1"/>
                <c:pt idx="0">
                  <c:v>Գործառնական շահույթի մարժա</c:v>
                </c:pt>
              </c:strCache>
            </c:strRef>
          </c:tx>
          <c:spPr>
            <a:ln w="28575" cap="rnd">
              <a:solidFill>
                <a:schemeClr val="accent1">
                  <a:tint val="77000"/>
                </a:schemeClr>
              </a:solidFill>
              <a:round/>
            </a:ln>
            <a:effectLst/>
          </c:spPr>
          <c:marker>
            <c:symbol val="none"/>
          </c:marker>
          <c:cat>
            <c:numRef>
              <c:f>'SOEHCT-v1-3-Beta_without  infection desease center_working.xlsm'!Year_a</c:f>
              <c:numCache>
                <c:formatCode>General</c:formatCode>
                <c:ptCount val="4"/>
                <c:pt idx="0">
                  <c:v>2019</c:v>
                </c:pt>
                <c:pt idx="1">
                  <c:v>2020</c:v>
                </c:pt>
                <c:pt idx="2">
                  <c:v>2021</c:v>
                </c:pt>
                <c:pt idx="3">
                  <c:v>2022</c:v>
                </c:pt>
              </c:numCache>
            </c:numRef>
          </c:cat>
          <c:val>
            <c:numRef>
              <c:f>'SOEHCT-v1-3-Beta_without  infection desease center_working.xlsm'!Agg_EBIT</c:f>
              <c:numCache>
                <c:formatCode>General</c:formatCode>
                <c:ptCount val="4"/>
                <c:pt idx="0">
                  <c:v>0.05</c:v>
                </c:pt>
                <c:pt idx="1">
                  <c:v>1.7397234982526322E-2</c:v>
                </c:pt>
                <c:pt idx="2">
                  <c:v>-0.16749712448431922</c:v>
                </c:pt>
                <c:pt idx="3">
                  <c:v>6.5148117569417685E-2</c:v>
                </c:pt>
              </c:numCache>
            </c:numRef>
          </c:val>
          <c:smooth val="0"/>
          <c:extLst>
            <c:ext xmlns:c16="http://schemas.microsoft.com/office/drawing/2014/chart" uri="{C3380CC4-5D6E-409C-BE32-E72D297353CC}">
              <c16:uniqueId val="{00000001-A766-45AB-9D73-8506BE76E721}"/>
            </c:ext>
          </c:extLst>
        </c:ser>
        <c:dLbls>
          <c:showLegendKey val="0"/>
          <c:showVal val="0"/>
          <c:showCatName val="0"/>
          <c:showSerName val="0"/>
          <c:showPercent val="0"/>
          <c:showBubbleSize val="0"/>
        </c:dLbls>
        <c:marker val="1"/>
        <c:smooth val="0"/>
        <c:axId val="2081863200"/>
        <c:axId val="133297407"/>
      </c:lineChart>
      <c:valAx>
        <c:axId val="2037993584"/>
        <c:scaling>
          <c:orientation val="minMax"/>
        </c:scaling>
        <c:delete val="0"/>
        <c:axPos val="l"/>
        <c:majorGridlines>
          <c:spPr>
            <a:ln w="3175" cap="flat" cmpd="sng" algn="ctr">
              <a:no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crossAx val="54388255"/>
        <c:crossesAt val="0"/>
        <c:crossBetween val="between"/>
      </c:valAx>
      <c:catAx>
        <c:axId val="5438825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crossAx val="2037993584"/>
        <c:crosses val="autoZero"/>
        <c:auto val="1"/>
        <c:lblAlgn val="ctr"/>
        <c:lblOffset val="100"/>
        <c:noMultiLvlLbl val="0"/>
      </c:catAx>
      <c:valAx>
        <c:axId val="133297407"/>
        <c:scaling>
          <c:orientation val="minMax"/>
        </c:scaling>
        <c:delete val="1"/>
        <c:axPos val="l"/>
        <c:numFmt formatCode="#,##0.0" sourceLinked="0"/>
        <c:majorTickMark val="out"/>
        <c:minorTickMark val="none"/>
        <c:tickLblPos val="nextTo"/>
        <c:crossAx val="2081863200"/>
        <c:crosses val="autoZero"/>
        <c:crossBetween val="between"/>
      </c:valAx>
      <c:catAx>
        <c:axId val="2081863200"/>
        <c:scaling>
          <c:orientation val="minMax"/>
        </c:scaling>
        <c:delete val="1"/>
        <c:axPos val="b"/>
        <c:numFmt formatCode="General" sourceLinked="1"/>
        <c:majorTickMark val="out"/>
        <c:minorTickMark val="none"/>
        <c:tickLblPos val="nextTo"/>
        <c:crossAx val="133297407"/>
        <c:crosses val="autoZero"/>
        <c:auto val="1"/>
        <c:lblAlgn val="ctr"/>
        <c:lblOffset val="100"/>
        <c:noMultiLvlLbl val="0"/>
      </c:catAx>
      <c:spPr>
        <a:noFill/>
        <a:ln>
          <a:noFill/>
        </a:ln>
        <a:effectLst/>
      </c:spPr>
    </c:plotArea>
    <c:legend>
      <c:legendPos val="b"/>
      <c:layout>
        <c:manualLayout>
          <c:xMode val="edge"/>
          <c:yMode val="edge"/>
          <c:x val="4.7020764740173908E-2"/>
          <c:y val="0.80983380997845722"/>
          <c:w val="0.89999988270496423"/>
          <c:h val="0.100555436731147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lumMod val="85000"/>
        </a:schemeClr>
      </a:solidFill>
      <a:round/>
    </a:ln>
    <a:effectLst/>
  </c:spPr>
  <c:txPr>
    <a:bodyPr/>
    <a:lstStyle/>
    <a:p>
      <a:pPr>
        <a:defRPr sz="900">
          <a:latin typeface="Avenir Next LT Pro" panose="020B0504020202020204" pitchFamily="34" charset="0"/>
          <a:cs typeface="Segoe UI" panose="020B0502040204020203" pitchFamily="34" charset="0"/>
        </a:defRPr>
      </a:pPr>
      <a:endParaRPr lang="en-US"/>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spPr>
            <a:solidFill>
              <a:schemeClr val="accent1">
                <a:tint val="77000"/>
              </a:schemeClr>
            </a:solidFill>
            <a:ln>
              <a:noFill/>
            </a:ln>
            <a:effectLst/>
          </c:spPr>
          <c:invertIfNegative val="0"/>
          <c:cat>
            <c:numRef>
              <c:f>'Sheet1 (2)'!$A$6:$A$11</c:f>
              <c:numCache>
                <c:formatCode>General</c:formatCode>
                <c:ptCount val="6"/>
                <c:pt idx="0">
                  <c:v>2017</c:v>
                </c:pt>
                <c:pt idx="1">
                  <c:v>2018</c:v>
                </c:pt>
                <c:pt idx="2">
                  <c:v>2019</c:v>
                </c:pt>
                <c:pt idx="3">
                  <c:v>2020</c:v>
                </c:pt>
                <c:pt idx="4">
                  <c:v>2021</c:v>
                </c:pt>
                <c:pt idx="5">
                  <c:v>2022</c:v>
                </c:pt>
              </c:numCache>
            </c:numRef>
          </c:cat>
          <c:val>
            <c:numRef>
              <c:f>'Sheet1 (2)'!$A$6:$A$11</c:f>
              <c:numCache>
                <c:formatCode>General</c:formatCode>
                <c:ptCount val="6"/>
                <c:pt idx="0">
                  <c:v>2017</c:v>
                </c:pt>
                <c:pt idx="1">
                  <c:v>2018</c:v>
                </c:pt>
                <c:pt idx="2">
                  <c:v>2019</c:v>
                </c:pt>
                <c:pt idx="3">
                  <c:v>2020</c:v>
                </c:pt>
                <c:pt idx="4">
                  <c:v>2021</c:v>
                </c:pt>
                <c:pt idx="5">
                  <c:v>2022</c:v>
                </c:pt>
              </c:numCache>
            </c:numRef>
          </c:val>
          <c:extLst>
            <c:ext xmlns:c16="http://schemas.microsoft.com/office/drawing/2014/chart" uri="{C3380CC4-5D6E-409C-BE32-E72D297353CC}">
              <c16:uniqueId val="{00000000-C750-4AD6-9FF8-409E997E0D71}"/>
            </c:ext>
          </c:extLst>
        </c:ser>
        <c:ser>
          <c:idx val="1"/>
          <c:order val="1"/>
          <c:spPr>
            <a:solidFill>
              <a:schemeClr val="accent1">
                <a:shade val="76000"/>
              </a:schemeClr>
            </a:solidFill>
            <a:ln>
              <a:noFill/>
            </a:ln>
            <a:effectLst/>
          </c:spPr>
          <c:invertIfNegative val="0"/>
          <c:cat>
            <c:numRef>
              <c:f>'Sheet1 (2)'!$A$6:$A$11</c:f>
              <c:numCache>
                <c:formatCode>General</c:formatCode>
                <c:ptCount val="6"/>
                <c:pt idx="0">
                  <c:v>2017</c:v>
                </c:pt>
                <c:pt idx="1">
                  <c:v>2018</c:v>
                </c:pt>
                <c:pt idx="2">
                  <c:v>2019</c:v>
                </c:pt>
                <c:pt idx="3">
                  <c:v>2020</c:v>
                </c:pt>
                <c:pt idx="4">
                  <c:v>2021</c:v>
                </c:pt>
                <c:pt idx="5">
                  <c:v>2022</c:v>
                </c:pt>
              </c:numCache>
            </c:numRef>
          </c:cat>
          <c:val>
            <c:numRef>
              <c:f>'Sheet1 (2)'!$E$6:$E$11</c:f>
              <c:numCache>
                <c:formatCode>_(* #,##0.00_);_(* \(#,##0.00\);_(* "-"??_);_(@_)</c:formatCode>
                <c:ptCount val="6"/>
                <c:pt idx="0">
                  <c:v>1267631.6399999999</c:v>
                </c:pt>
                <c:pt idx="1">
                  <c:v>1504795.24</c:v>
                </c:pt>
                <c:pt idx="2">
                  <c:v>3563517.04</c:v>
                </c:pt>
                <c:pt idx="3">
                  <c:v>789119.09</c:v>
                </c:pt>
                <c:pt idx="4">
                  <c:v>1303870.51</c:v>
                </c:pt>
                <c:pt idx="5">
                  <c:v>2300000</c:v>
                </c:pt>
              </c:numCache>
            </c:numRef>
          </c:val>
          <c:extLst>
            <c:ext xmlns:c16="http://schemas.microsoft.com/office/drawing/2014/chart" uri="{C3380CC4-5D6E-409C-BE32-E72D297353CC}">
              <c16:uniqueId val="{00000001-C750-4AD6-9FF8-409E997E0D71}"/>
            </c:ext>
          </c:extLst>
        </c:ser>
        <c:dLbls>
          <c:showLegendKey val="0"/>
          <c:showVal val="0"/>
          <c:showCatName val="0"/>
          <c:showSerName val="0"/>
          <c:showPercent val="0"/>
          <c:showBubbleSize val="0"/>
        </c:dLbls>
        <c:gapWidth val="150"/>
        <c:overlap val="100"/>
        <c:axId val="1572947839"/>
        <c:axId val="1599148367"/>
      </c:barChart>
      <c:catAx>
        <c:axId val="1572947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99148367"/>
        <c:crosses val="autoZero"/>
        <c:auto val="1"/>
        <c:lblAlgn val="ctr"/>
        <c:lblOffset val="100"/>
        <c:noMultiLvlLbl val="0"/>
      </c:catAx>
      <c:valAx>
        <c:axId val="1599148367"/>
        <c:scaling>
          <c:orientation val="minMax"/>
        </c:scaling>
        <c:delete val="0"/>
        <c:axPos val="l"/>
        <c:majorGridlines>
          <c:spPr>
            <a:ln w="9525" cap="flat" cmpd="sng" algn="ctr">
              <a:noFill/>
              <a:round/>
            </a:ln>
            <a:effectLst/>
          </c:spPr>
        </c:majorGridlines>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729478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0"/>
            </a:pPr>
            <a:r>
              <a:rPr lang="hy-AM" b="0"/>
              <a:t>Պետական պարտք/ՀՆԱ, </a:t>
            </a:r>
            <a:r>
              <a:rPr lang="en-GB" b="0"/>
              <a:t>%</a:t>
            </a:r>
            <a:endParaRPr lang="hy-AM" b="0"/>
          </a:p>
        </c:rich>
      </c:tx>
      <c:layout>
        <c:manualLayout>
          <c:xMode val="edge"/>
          <c:yMode val="edge"/>
          <c:x val="0.16464149925184582"/>
          <c:y val="3.2387530506055163E-3"/>
        </c:manualLayout>
      </c:layout>
      <c:overlay val="0"/>
    </c:title>
    <c:autoTitleDeleted val="0"/>
    <c:plotArea>
      <c:layout>
        <c:manualLayout>
          <c:layoutTarget val="inner"/>
          <c:xMode val="edge"/>
          <c:yMode val="edge"/>
          <c:x val="0.12149372417556717"/>
          <c:y val="0.11492464502007921"/>
          <c:w val="0.81484472856734491"/>
          <c:h val="0.6719201008964788"/>
        </c:manualLayout>
      </c:layout>
      <c:barChart>
        <c:barDir val="col"/>
        <c:grouping val="clustered"/>
        <c:varyColors val="0"/>
        <c:ser>
          <c:idx val="0"/>
          <c:order val="0"/>
          <c:tx>
            <c:strRef>
              <c:f>Sheet1!$B$1</c:f>
              <c:strCache>
                <c:ptCount val="1"/>
                <c:pt idx="0">
                  <c:v>2021թ․ հոկտեմբերի կանխ․</c:v>
                </c:pt>
              </c:strCache>
            </c:strRef>
          </c:tx>
          <c:spPr>
            <a:solidFill>
              <a:srgbClr val="4472C4">
                <a:lumMod val="75000"/>
              </a:srgbClr>
            </a:solidFill>
            <a:ln>
              <a:noFill/>
            </a:ln>
            <a:effectLst/>
          </c:spPr>
          <c:invertIfNegative val="0"/>
          <c:dPt>
            <c:idx val="1"/>
            <c:invertIfNegative val="0"/>
            <c:bubble3D val="0"/>
            <c:extLst>
              <c:ext xmlns:c16="http://schemas.microsoft.com/office/drawing/2014/chart" uri="{C3380CC4-5D6E-409C-BE32-E72D297353CC}">
                <c16:uniqueId val="{00000000-FB50-4886-904A-AE6ECEABECD9}"/>
              </c:ext>
            </c:extLst>
          </c:dPt>
          <c:dPt>
            <c:idx val="3"/>
            <c:invertIfNegative val="0"/>
            <c:bubble3D val="0"/>
            <c:extLst>
              <c:ext xmlns:c16="http://schemas.microsoft.com/office/drawing/2014/chart" uri="{C3380CC4-5D6E-409C-BE32-E72D297353CC}">
                <c16:uniqueId val="{00000001-FB50-4886-904A-AE6ECEABECD9}"/>
              </c:ext>
            </c:extLst>
          </c:dPt>
          <c:dPt>
            <c:idx val="4"/>
            <c:invertIfNegative val="0"/>
            <c:bubble3D val="0"/>
            <c:extLst>
              <c:ext xmlns:c16="http://schemas.microsoft.com/office/drawing/2014/chart" uri="{C3380CC4-5D6E-409C-BE32-E72D297353CC}">
                <c16:uniqueId val="{00000002-FB50-4886-904A-AE6ECEABECD9}"/>
              </c:ext>
            </c:extLst>
          </c:dPt>
          <c:dPt>
            <c:idx val="6"/>
            <c:invertIfNegative val="0"/>
            <c:bubble3D val="0"/>
            <c:spPr>
              <a:solidFill>
                <a:srgbClr val="4472C4">
                  <a:lumMod val="75000"/>
                </a:srgbClr>
              </a:solidFill>
              <a:ln>
                <a:noFill/>
              </a:ln>
              <a:effectLst/>
            </c:spPr>
            <c:extLst>
              <c:ext xmlns:c16="http://schemas.microsoft.com/office/drawing/2014/chart" uri="{C3380CC4-5D6E-409C-BE32-E72D297353CC}">
                <c16:uniqueId val="{00000004-FB50-4886-904A-AE6ECEABECD9}"/>
              </c:ext>
            </c:extLst>
          </c:dPt>
          <c:dPt>
            <c:idx val="7"/>
            <c:invertIfNegative val="0"/>
            <c:bubble3D val="0"/>
            <c:spPr>
              <a:solidFill>
                <a:srgbClr val="4472C4">
                  <a:lumMod val="75000"/>
                </a:srgbClr>
              </a:solidFill>
              <a:ln>
                <a:noFill/>
              </a:ln>
              <a:effectLst/>
            </c:spPr>
            <c:extLst>
              <c:ext xmlns:c16="http://schemas.microsoft.com/office/drawing/2014/chart" uri="{C3380CC4-5D6E-409C-BE32-E72D297353CC}">
                <c16:uniqueId val="{00000006-FB50-4886-904A-AE6ECEABECD9}"/>
              </c:ext>
            </c:extLst>
          </c:dPt>
          <c:dLbls>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Sheet1!$B$2:$B$10</c:f>
              <c:numCache>
                <c:formatCode>General</c:formatCode>
                <c:ptCount val="9"/>
                <c:pt idx="3" formatCode="0.0">
                  <c:v>96.873544620024987</c:v>
                </c:pt>
                <c:pt idx="4" formatCode="0.0">
                  <c:v>97.026860099626745</c:v>
                </c:pt>
                <c:pt idx="5" formatCode="0.0">
                  <c:v>96.948361589081244</c:v>
                </c:pt>
                <c:pt idx="6" formatCode="0.0">
                  <c:v>96.76803916952079</c:v>
                </c:pt>
                <c:pt idx="7" formatCode="0.0">
                  <c:v>96.501503484982976</c:v>
                </c:pt>
              </c:numCache>
            </c:numRef>
          </c:val>
          <c:extLst>
            <c:ext xmlns:c16="http://schemas.microsoft.com/office/drawing/2014/chart" uri="{C3380CC4-5D6E-409C-BE32-E72D297353CC}">
              <c16:uniqueId val="{00000007-FB50-4886-904A-AE6ECEABECD9}"/>
            </c:ext>
          </c:extLst>
        </c:ser>
        <c:ser>
          <c:idx val="1"/>
          <c:order val="1"/>
          <c:tx>
            <c:strRef>
              <c:f>Sheet1!$C$1</c:f>
              <c:strCache>
                <c:ptCount val="1"/>
                <c:pt idx="0">
                  <c:v>Փաստ․ և 2024թ․ ապրիլի կանխ․</c:v>
                </c:pt>
              </c:strCache>
            </c:strRef>
          </c:tx>
          <c:spPr>
            <a:solidFill>
              <a:srgbClr val="ED7D31">
                <a:lumMod val="60000"/>
                <a:lumOff val="40000"/>
              </a:srgbClr>
            </a:solidFill>
          </c:spPr>
          <c:invertIfNegative val="0"/>
          <c:dLbls>
            <c:dLbl>
              <c:idx val="3"/>
              <c:layout>
                <c:manualLayout>
                  <c:x val="2.4844720496894408E-2"/>
                  <c:y val="-3.968208127175062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B50-4886-904A-AE6ECEABECD9}"/>
                </c:ext>
              </c:extLst>
            </c:dLbl>
            <c:dLbl>
              <c:idx val="4"/>
              <c:layout>
                <c:manualLayout>
                  <c:x val="1.24223602484471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B50-4886-904A-AE6ECEABECD9}"/>
                </c:ext>
              </c:extLst>
            </c:dLbl>
            <c:dLbl>
              <c:idx val="5"/>
              <c:layout>
                <c:manualLayout>
                  <c:x val="2.898550724637681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B50-4886-904A-AE6ECEABECD9}"/>
                </c:ext>
              </c:extLst>
            </c:dLbl>
            <c:dLbl>
              <c:idx val="6"/>
              <c:layout>
                <c:manualLayout>
                  <c:x val="2.0703933747412008E-2"/>
                  <c:y val="2.1645021645021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B50-4886-904A-AE6ECEABECD9}"/>
                </c:ext>
              </c:extLst>
            </c:dLbl>
            <c:dLbl>
              <c:idx val="7"/>
              <c:layout>
                <c:manualLayout>
                  <c:x val="2.8985507246376812E-2"/>
                  <c:y val="-8.658008658008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B50-4886-904A-AE6ECEABECD9}"/>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Sheet1!$A$2:$A$10</c:f>
              <c:numCache>
                <c:formatCode>General</c:formatCode>
                <c:ptCount val="9"/>
                <c:pt idx="0">
                  <c:v>2019</c:v>
                </c:pt>
                <c:pt idx="1">
                  <c:v>2020</c:v>
                </c:pt>
                <c:pt idx="2">
                  <c:v>2021</c:v>
                </c:pt>
                <c:pt idx="3">
                  <c:v>2022</c:v>
                </c:pt>
                <c:pt idx="4">
                  <c:v>2023</c:v>
                </c:pt>
                <c:pt idx="5">
                  <c:v>2024</c:v>
                </c:pt>
                <c:pt idx="6">
                  <c:v>2025</c:v>
                </c:pt>
                <c:pt idx="7">
                  <c:v>2026</c:v>
                </c:pt>
                <c:pt idx="8">
                  <c:v>2027</c:v>
                </c:pt>
              </c:numCache>
            </c:numRef>
          </c:cat>
          <c:val>
            <c:numRef>
              <c:f>Sheet1!$C$2:$C$10</c:f>
              <c:numCache>
                <c:formatCode>0.0</c:formatCode>
                <c:ptCount val="9"/>
                <c:pt idx="0">
                  <c:v>84.2</c:v>
                </c:pt>
                <c:pt idx="1">
                  <c:v>99.4</c:v>
                </c:pt>
                <c:pt idx="2">
                  <c:v>94.7</c:v>
                </c:pt>
                <c:pt idx="3">
                  <c:v>91.3</c:v>
                </c:pt>
                <c:pt idx="4">
                  <c:v>93.2</c:v>
                </c:pt>
                <c:pt idx="5">
                  <c:v>93.8</c:v>
                </c:pt>
                <c:pt idx="6">
                  <c:v>95.1</c:v>
                </c:pt>
                <c:pt idx="7">
                  <c:v>96.3</c:v>
                </c:pt>
                <c:pt idx="8">
                  <c:v>97.1</c:v>
                </c:pt>
              </c:numCache>
            </c:numRef>
          </c:val>
          <c:extLst>
            <c:ext xmlns:c16="http://schemas.microsoft.com/office/drawing/2014/chart" uri="{C3380CC4-5D6E-409C-BE32-E72D297353CC}">
              <c16:uniqueId val="{0000000D-FB50-4886-904A-AE6ECEABECD9}"/>
            </c:ext>
          </c:extLst>
        </c:ser>
        <c:dLbls>
          <c:showLegendKey val="0"/>
          <c:showVal val="1"/>
          <c:showCatName val="0"/>
          <c:showSerName val="0"/>
          <c:showPercent val="0"/>
          <c:showBubbleSize val="0"/>
        </c:dLbls>
        <c:gapWidth val="219"/>
        <c:overlap val="-27"/>
        <c:axId val="2025844160"/>
        <c:axId val="2025832736"/>
      </c:barChart>
      <c:catAx>
        <c:axId val="20258441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2025832736"/>
        <c:crosses val="autoZero"/>
        <c:auto val="1"/>
        <c:lblAlgn val="ctr"/>
        <c:lblOffset val="100"/>
        <c:noMultiLvlLbl val="0"/>
      </c:catAx>
      <c:valAx>
        <c:axId val="2025832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2025844160"/>
        <c:crosses val="autoZero"/>
        <c:crossBetween val="between"/>
      </c:valAx>
      <c:spPr>
        <a:noFill/>
        <a:ln>
          <a:noFill/>
        </a:ln>
        <a:effectLst/>
      </c:spPr>
    </c:plotArea>
    <c:legend>
      <c:legendPos val="b"/>
      <c:layout>
        <c:manualLayout>
          <c:xMode val="edge"/>
          <c:yMode val="edge"/>
          <c:x val="0.14870957961937925"/>
          <c:y val="0.88850530047380438"/>
          <c:w val="0.77298788146531172"/>
          <c:h val="9.8507686539182626E-2"/>
        </c:manualLayout>
      </c:layout>
      <c:overlay val="0"/>
      <c:txPr>
        <a:bodyPr/>
        <a:lstStyle/>
        <a:p>
          <a:pPr>
            <a:defRPr sz="900"/>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GHEA Grapalat" panose="02000506050000020003" pitchFamily="50" charset="0"/>
        </a:defRPr>
      </a:pPr>
      <a:endParaRPr lang="en-US"/>
    </a:p>
  </c:txPr>
  <c:externalData r:id="rId2">
    <c:autoUpdate val="0"/>
  </c:externalData>
  <c:userShapes r:id="rId3"/>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5017013457450339E-2"/>
          <c:y val="0.14208345031910927"/>
          <c:w val="0.78077376334932846"/>
          <c:h val="0.50147548746401382"/>
        </c:manualLayout>
      </c:layout>
      <c:lineChart>
        <c:grouping val="standard"/>
        <c:varyColors val="0"/>
        <c:ser>
          <c:idx val="1"/>
          <c:order val="1"/>
          <c:tx>
            <c:strRef>
              <c:f>'Portfolio Level'!$P$120</c:f>
              <c:strCache>
                <c:ptCount val="1"/>
                <c:pt idx="0">
                  <c:v>Պարտք / Ակտիվներ հարաբերակցույուն</c:v>
                </c:pt>
              </c:strCache>
            </c:strRef>
          </c:tx>
          <c:spPr>
            <a:ln w="28575" cap="rnd">
              <a:solidFill>
                <a:schemeClr val="accent1">
                  <a:tint val="77000"/>
                </a:schemeClr>
              </a:solidFill>
              <a:round/>
            </a:ln>
            <a:effectLst/>
          </c:spPr>
          <c:marker>
            <c:symbol val="none"/>
          </c:marker>
          <c:cat>
            <c:numRef>
              <c:f>'SOEHCT-v1-3-Beta_without  infection desease center_working.xlsm'!Year_a</c:f>
              <c:numCache>
                <c:formatCode>General</c:formatCode>
                <c:ptCount val="4"/>
                <c:pt idx="0">
                  <c:v>2019</c:v>
                </c:pt>
                <c:pt idx="1">
                  <c:v>2020</c:v>
                </c:pt>
                <c:pt idx="2">
                  <c:v>2021</c:v>
                </c:pt>
                <c:pt idx="3">
                  <c:v>2022</c:v>
                </c:pt>
              </c:numCache>
            </c:numRef>
          </c:cat>
          <c:val>
            <c:numRef>
              <c:f>'SOEHCT-v1-3-Beta_without  infection desease center_working.xlsm'!Agg_DtA</c:f>
              <c:numCache>
                <c:formatCode>General</c:formatCode>
                <c:ptCount val="4"/>
                <c:pt idx="0">
                  <c:v>0.79782604150151593</c:v>
                </c:pt>
                <c:pt idx="1">
                  <c:v>0.87522321683804016</c:v>
                </c:pt>
                <c:pt idx="2">
                  <c:v>0.8196298532618348</c:v>
                </c:pt>
                <c:pt idx="3">
                  <c:v>0.6770609967516259</c:v>
                </c:pt>
              </c:numCache>
            </c:numRef>
          </c:val>
          <c:smooth val="0"/>
          <c:extLst>
            <c:ext xmlns:c16="http://schemas.microsoft.com/office/drawing/2014/chart" uri="{C3380CC4-5D6E-409C-BE32-E72D297353CC}">
              <c16:uniqueId val="{00000000-235A-4587-A92A-FB9E45BAEC17}"/>
            </c:ext>
          </c:extLst>
        </c:ser>
        <c:dLbls>
          <c:showLegendKey val="0"/>
          <c:showVal val="0"/>
          <c:showCatName val="0"/>
          <c:showSerName val="0"/>
          <c:showPercent val="0"/>
          <c:showBubbleSize val="0"/>
        </c:dLbls>
        <c:marker val="1"/>
        <c:smooth val="0"/>
        <c:axId val="54388255"/>
        <c:axId val="2037993584"/>
      </c:lineChart>
      <c:lineChart>
        <c:grouping val="standard"/>
        <c:varyColors val="0"/>
        <c:ser>
          <c:idx val="0"/>
          <c:order val="0"/>
          <c:tx>
            <c:strRef>
              <c:f>'Portfolio Level'!$P$121</c:f>
              <c:strCache>
                <c:ptCount val="1"/>
                <c:pt idx="0">
                  <c:v>Պարտք / Սեփական կապիտալ հարաբերակցույուն</c:v>
                </c:pt>
              </c:strCache>
            </c:strRef>
          </c:tx>
          <c:spPr>
            <a:ln w="28575" cap="rnd">
              <a:solidFill>
                <a:schemeClr val="accent1">
                  <a:shade val="76000"/>
                </a:schemeClr>
              </a:solidFill>
              <a:round/>
            </a:ln>
            <a:effectLst/>
          </c:spPr>
          <c:marker>
            <c:symbol val="none"/>
          </c:marker>
          <c:cat>
            <c:numRef>
              <c:f>'SOEHCT-v1-3-Beta_without  infection desease center_working.xlsm'!Year_a</c:f>
              <c:numCache>
                <c:formatCode>General</c:formatCode>
                <c:ptCount val="4"/>
                <c:pt idx="0">
                  <c:v>2019</c:v>
                </c:pt>
                <c:pt idx="1">
                  <c:v>2020</c:v>
                </c:pt>
                <c:pt idx="2">
                  <c:v>2021</c:v>
                </c:pt>
                <c:pt idx="3">
                  <c:v>2022</c:v>
                </c:pt>
              </c:numCache>
            </c:numRef>
          </c:cat>
          <c:val>
            <c:numRef>
              <c:f>'SOEHCT-v1-3-Beta_without  infection desease center_working.xlsm'!Agg_DtE</c:f>
              <c:numCache>
                <c:formatCode>General</c:formatCode>
                <c:ptCount val="4"/>
                <c:pt idx="0">
                  <c:v>3.9462354470716754</c:v>
                </c:pt>
                <c:pt idx="1">
                  <c:v>7.0143114340590351</c:v>
                </c:pt>
                <c:pt idx="2">
                  <c:v>4.5441547178627788</c:v>
                </c:pt>
                <c:pt idx="3">
                  <c:v>2.0965600003134179</c:v>
                </c:pt>
              </c:numCache>
            </c:numRef>
          </c:val>
          <c:smooth val="0"/>
          <c:extLst>
            <c:ext xmlns:c16="http://schemas.microsoft.com/office/drawing/2014/chart" uri="{C3380CC4-5D6E-409C-BE32-E72D297353CC}">
              <c16:uniqueId val="{00000001-235A-4587-A92A-FB9E45BAEC17}"/>
            </c:ext>
          </c:extLst>
        </c:ser>
        <c:dLbls>
          <c:showLegendKey val="0"/>
          <c:showVal val="0"/>
          <c:showCatName val="0"/>
          <c:showSerName val="0"/>
          <c:showPercent val="0"/>
          <c:showBubbleSize val="0"/>
        </c:dLbls>
        <c:marker val="1"/>
        <c:smooth val="0"/>
        <c:axId val="2081863200"/>
        <c:axId val="133297407"/>
      </c:lineChart>
      <c:valAx>
        <c:axId val="2037993584"/>
        <c:scaling>
          <c:orientation val="minMax"/>
        </c:scaling>
        <c:delete val="0"/>
        <c:axPos val="r"/>
        <c:majorGridlines>
          <c:spPr>
            <a:ln w="3175" cap="flat" cmpd="sng" algn="ctr">
              <a:noFill/>
              <a:round/>
            </a:ln>
            <a:effectLst/>
          </c:spPr>
        </c:majorGridlines>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crossAx val="54388255"/>
        <c:crosses val="max"/>
        <c:crossBetween val="between"/>
      </c:valAx>
      <c:catAx>
        <c:axId val="5438825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crossAx val="2037993584"/>
        <c:crosses val="autoZero"/>
        <c:auto val="1"/>
        <c:lblAlgn val="ctr"/>
        <c:lblOffset val="100"/>
        <c:noMultiLvlLbl val="0"/>
      </c:catAx>
      <c:valAx>
        <c:axId val="133297407"/>
        <c:scaling>
          <c:orientation val="minMax"/>
        </c:scaling>
        <c:delete val="0"/>
        <c:axPos val="l"/>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crossAx val="2081863200"/>
        <c:crosses val="autoZero"/>
        <c:crossBetween val="between"/>
      </c:valAx>
      <c:catAx>
        <c:axId val="2081863200"/>
        <c:scaling>
          <c:orientation val="minMax"/>
        </c:scaling>
        <c:delete val="1"/>
        <c:axPos val="b"/>
        <c:numFmt formatCode="General" sourceLinked="1"/>
        <c:majorTickMark val="out"/>
        <c:minorTickMark val="none"/>
        <c:tickLblPos val="nextTo"/>
        <c:crossAx val="13329740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Segoe UI" panose="020B0502040204020203"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3175" cap="flat" cmpd="sng" algn="ctr">
      <a:solidFill>
        <a:schemeClr val="bg1">
          <a:lumMod val="85000"/>
        </a:schemeClr>
      </a:solidFill>
      <a:round/>
    </a:ln>
    <a:effectLst/>
  </c:spPr>
  <c:txPr>
    <a:bodyPr/>
    <a:lstStyle/>
    <a:p>
      <a:pPr>
        <a:defRPr sz="900">
          <a:latin typeface="GHEA Grapalat" panose="02000506050000020003" pitchFamily="50" charset="0"/>
          <a:cs typeface="Segoe UI" panose="020B0502040204020203" pitchFamily="34" charset="0"/>
        </a:defRPr>
      </a:pPr>
      <a:endParaRPr lang="en-US"/>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xMode val="edge"/>
          <c:yMode val="edge"/>
          <c:x val="9.8228623724794295E-2"/>
          <c:y val="0.14298713638457103"/>
          <c:w val="0.87722174583975965"/>
          <c:h val="0.67457727630658548"/>
        </c:manualLayout>
      </c:layout>
      <c:scatterChart>
        <c:scatterStyle val="lineMarker"/>
        <c:varyColors val="0"/>
        <c:ser>
          <c:idx val="0"/>
          <c:order val="0"/>
          <c:tx>
            <c:strRef>
              <c:f>'Portfolio Level'!$AK$131</c:f>
              <c:strCache>
                <c:ptCount val="1"/>
                <c:pt idx="0">
                  <c:v>Total Liabilities</c:v>
                </c:pt>
              </c:strCache>
            </c:strRef>
          </c:tx>
          <c:spPr>
            <a:ln w="25400" cap="rnd">
              <a:noFill/>
              <a:round/>
            </a:ln>
            <a:effectLst/>
          </c:spPr>
          <c:marker>
            <c:symbol val="diamond"/>
            <c:size val="7"/>
            <c:spPr>
              <a:solidFill>
                <a:schemeClr val="accent1"/>
              </a:solidFill>
              <a:ln w="9525">
                <a:solidFill>
                  <a:schemeClr val="accent1"/>
                </a:solidFill>
              </a:ln>
              <a:effectLst/>
            </c:spPr>
          </c:marker>
          <c:dPt>
            <c:idx val="0"/>
            <c:marker>
              <c:symbol val="diamond"/>
              <c:size val="7"/>
              <c:spPr>
                <a:solidFill>
                  <a:schemeClr val="accent1"/>
                </a:solidFill>
                <a:ln w="9525">
                  <a:solidFill>
                    <a:schemeClr val="accent1"/>
                  </a:solidFill>
                </a:ln>
                <a:effectLst>
                  <a:outerShdw blurRad="50800" dist="38100" dir="2700000" algn="tl">
                    <a:prstClr val="black">
                      <a:alpha val="40000"/>
                    </a:prstClr>
                  </a:outerShdw>
                </a:effectLst>
              </c:spPr>
            </c:marker>
            <c:bubble3D val="0"/>
            <c:spPr>
              <a:ln w="25400" cap="rnd">
                <a:noFill/>
                <a:round/>
              </a:ln>
              <a:effectLst>
                <a:outerShdw blurRad="50800" dist="38100" dir="2700000" algn="tl">
                  <a:prstClr val="black">
                    <a:alpha val="40000"/>
                  </a:prstClr>
                </a:outerShdw>
              </a:effectLst>
            </c:spPr>
            <c:extLst>
              <c:ext xmlns:c16="http://schemas.microsoft.com/office/drawing/2014/chart" uri="{C3380CC4-5D6E-409C-BE32-E72D297353CC}">
                <c16:uniqueId val="{00000001-34FC-4F8D-9D2C-651516596C9A}"/>
              </c:ext>
            </c:extLst>
          </c:dPt>
          <c:dLbls>
            <c:dLbl>
              <c:idx val="0"/>
              <c:tx>
                <c:rich>
                  <a:bodyPr/>
                  <a:lstStyle/>
                  <a:p>
                    <a:r>
                      <a:rPr lang="en-US"/>
                      <a:t>7</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C-4F8D-9D2C-651516596C9A}"/>
                </c:ext>
              </c:extLst>
            </c:dLbl>
            <c:dLbl>
              <c:idx val="1"/>
              <c:tx>
                <c:rich>
                  <a:bodyPr/>
                  <a:lstStyle/>
                  <a:p>
                    <a:r>
                      <a:rPr lang="en-US"/>
                      <a:t>5</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C-4F8D-9D2C-651516596C9A}"/>
                </c:ext>
              </c:extLst>
            </c:dLbl>
            <c:dLbl>
              <c:idx val="2"/>
              <c:layout>
                <c:manualLayout>
                  <c:x val="-3.1016768440438113E-2"/>
                  <c:y val="-3.5108250438853128E-2"/>
                </c:manualLayout>
              </c:layout>
              <c:tx>
                <c:rich>
                  <a:bodyPr/>
                  <a:lstStyle/>
                  <a:p>
                    <a:r>
                      <a:rPr lang="en-US"/>
                      <a:t>2</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C-4F8D-9D2C-651516596C9A}"/>
                </c:ext>
              </c:extLst>
            </c:dLbl>
            <c:dLbl>
              <c:idx val="3"/>
              <c:layout>
                <c:manualLayout>
                  <c:x val="-1.9385480275273821E-2"/>
                  <c:y val="-3.5108250438853239E-2"/>
                </c:manualLayout>
              </c:layout>
              <c:tx>
                <c:rich>
                  <a:bodyPr/>
                  <a:lstStyle/>
                  <a:p>
                    <a:r>
                      <a:rPr lang="en-US"/>
                      <a:t>8</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C-4F8D-9D2C-651516596C9A}"/>
                </c:ext>
              </c:extLst>
            </c:dLbl>
            <c:dLbl>
              <c:idx val="4"/>
              <c:tx>
                <c:rich>
                  <a:bodyPr/>
                  <a:lstStyle/>
                  <a:p>
                    <a:r>
                      <a:rPr lang="en-US"/>
                      <a:t>9</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FC-4F8D-9D2C-651516596C9A}"/>
                </c:ext>
              </c:extLst>
            </c:dLbl>
            <c:dLbl>
              <c:idx val="5"/>
              <c:layout>
                <c:manualLayout>
                  <c:x val="-3.4893864495492873E-2"/>
                  <c:y val="-3.2182562902282039E-2"/>
                </c:manualLayout>
              </c:layout>
              <c:tx>
                <c:rich>
                  <a:bodyPr/>
                  <a:lstStyle/>
                  <a:p>
                    <a:r>
                      <a:rPr lang="en-US"/>
                      <a:t>1</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FC-4F8D-9D2C-651516596C9A}"/>
                </c:ext>
              </c:extLst>
            </c:dLbl>
            <c:dLbl>
              <c:idx val="6"/>
              <c:layout>
                <c:manualLayout>
                  <c:x val="-2.1324028302801272E-2"/>
                  <c:y val="-3.8033937975424224E-2"/>
                </c:manualLayout>
              </c:layout>
              <c:tx>
                <c:rich>
                  <a:bodyPr/>
                  <a:lstStyle/>
                  <a:p>
                    <a:r>
                      <a:rPr lang="en-US"/>
                      <a:t>3</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FC-4F8D-9D2C-651516596C9A}"/>
                </c:ext>
              </c:extLst>
            </c:dLbl>
            <c:dLbl>
              <c:idx val="7"/>
              <c:layout>
                <c:manualLayout>
                  <c:x val="-1.1631288165164363E-2"/>
                  <c:y val="-3.5108250438853128E-2"/>
                </c:manualLayout>
              </c:layout>
              <c:tx>
                <c:rich>
                  <a:bodyPr/>
                  <a:lstStyle/>
                  <a:p>
                    <a:r>
                      <a:rPr lang="en-US"/>
                      <a:t>4</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FC-4F8D-9D2C-651516596C9A}"/>
                </c:ext>
              </c:extLst>
            </c:dLbl>
            <c:dLbl>
              <c:idx val="8"/>
              <c:layout>
                <c:manualLayout>
                  <c:x val="-1.1631288165164292E-2"/>
                  <c:y val="-2.6331187829139849E-2"/>
                </c:manualLayout>
              </c:layout>
              <c:tx>
                <c:rich>
                  <a:bodyPr/>
                  <a:lstStyle/>
                  <a:p>
                    <a:r>
                      <a:rPr lang="en-US"/>
                      <a:t>6</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FC-4F8D-9D2C-651516596C9A}"/>
                </c:ext>
              </c:extLst>
            </c:dLbl>
            <c:numFmt formatCode="General" sourceLinked="0"/>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GHEA Grapalat" panose="02000506050000020003" pitchFamily="50" charset="0"/>
                    <a:ea typeface="+mn-ea"/>
                    <a:cs typeface="Segoe UI" panose="020B0502040204020203" pitchFamily="34"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Ref>
              <c:f>[0]!overall_risk</c:f>
              <c:numCache>
                <c:formatCode>General</c:formatCode>
                <c:ptCount val="9"/>
                <c:pt idx="0">
                  <c:v>3.3846153846153859</c:v>
                </c:pt>
                <c:pt idx="1">
                  <c:v>2.7692307692307696</c:v>
                </c:pt>
                <c:pt idx="2">
                  <c:v>2.384615384615385</c:v>
                </c:pt>
                <c:pt idx="3">
                  <c:v>3.692307692307693</c:v>
                </c:pt>
                <c:pt idx="4">
                  <c:v>3.7692307692307705</c:v>
                </c:pt>
                <c:pt idx="5">
                  <c:v>2.3076923076923079</c:v>
                </c:pt>
                <c:pt idx="6">
                  <c:v>2.5384615384615392</c:v>
                </c:pt>
                <c:pt idx="7">
                  <c:v>2.6923076923076934</c:v>
                </c:pt>
                <c:pt idx="8">
                  <c:v>2.8461538461538471</c:v>
                </c:pt>
              </c:numCache>
            </c:numRef>
          </c:xVal>
          <c:yVal>
            <c:numRef>
              <c:f>[0]!total_liab</c:f>
              <c:numCache>
                <c:formatCode>General</c:formatCode>
                <c:ptCount val="9"/>
                <c:pt idx="0">
                  <c:v>131730653</c:v>
                </c:pt>
                <c:pt idx="1">
                  <c:v>89096827</c:v>
                </c:pt>
                <c:pt idx="2">
                  <c:v>87304498</c:v>
                </c:pt>
                <c:pt idx="3">
                  <c:v>13716813</c:v>
                </c:pt>
                <c:pt idx="4">
                  <c:v>8521125</c:v>
                </c:pt>
                <c:pt idx="5">
                  <c:v>7570505</c:v>
                </c:pt>
                <c:pt idx="6">
                  <c:v>7085298</c:v>
                </c:pt>
                <c:pt idx="7">
                  <c:v>4369617</c:v>
                </c:pt>
                <c:pt idx="8">
                  <c:v>591136</c:v>
                </c:pt>
              </c:numCache>
            </c:numRef>
          </c:yVal>
          <c:smooth val="0"/>
          <c:extLst>
            <c:ext xmlns:c16="http://schemas.microsoft.com/office/drawing/2014/chart" uri="{C3380CC4-5D6E-409C-BE32-E72D297353CC}">
              <c16:uniqueId val="{0000000A-34FC-4F8D-9D2C-651516596C9A}"/>
            </c:ext>
          </c:extLst>
        </c:ser>
        <c:dLbls>
          <c:showLegendKey val="0"/>
          <c:showVal val="0"/>
          <c:showCatName val="0"/>
          <c:showSerName val="0"/>
          <c:showPercent val="0"/>
          <c:showBubbleSize val="0"/>
        </c:dLbls>
        <c:axId val="899695407"/>
        <c:axId val="899691663"/>
      </c:scatterChart>
      <c:valAx>
        <c:axId val="899695407"/>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en-US"/>
          </a:p>
        </c:txPr>
        <c:crossAx val="899691663"/>
        <c:crosses val="autoZero"/>
        <c:crossBetween val="midCat"/>
      </c:valAx>
      <c:valAx>
        <c:axId val="89969166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en-US"/>
          </a:p>
        </c:txPr>
        <c:crossAx val="899695407"/>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lumMod val="85000"/>
        </a:schemeClr>
      </a:solidFill>
      <a:round/>
    </a:ln>
    <a:effectLst/>
  </c:spPr>
  <c:txPr>
    <a:bodyPr/>
    <a:lstStyle/>
    <a:p>
      <a:pPr>
        <a:defRPr sz="900">
          <a:latin typeface="Segoe UI" panose="020B0502040204020203" pitchFamily="34" charset="0"/>
          <a:cs typeface="Segoe UI" panose="020B0502040204020203" pitchFamily="34" charset="0"/>
        </a:defRPr>
      </a:pPr>
      <a:endParaRPr lang="en-US"/>
    </a:p>
  </c:txPr>
  <c:externalData r:id="rId3">
    <c:autoUpdate val="0"/>
  </c:externalData>
  <c:userShapes r:id="rId4"/>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doughnutChart>
        <c:varyColors val="1"/>
        <c:ser>
          <c:idx val="0"/>
          <c:order val="0"/>
          <c:dPt>
            <c:idx val="0"/>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1-456A-4FAF-AB60-BC69D3963C11}"/>
              </c:ext>
            </c:extLst>
          </c:dPt>
          <c:dPt>
            <c:idx val="1"/>
            <c:bubble3D val="0"/>
            <c:spPr>
              <a:solidFill>
                <a:schemeClr val="accent5">
                  <a:tint val="77000"/>
                </a:schemeClr>
              </a:solidFill>
              <a:ln w="19050">
                <a:solidFill>
                  <a:schemeClr val="lt1"/>
                </a:solidFill>
              </a:ln>
              <a:effectLst/>
            </c:spPr>
            <c:extLst>
              <c:ext xmlns:c16="http://schemas.microsoft.com/office/drawing/2014/chart" uri="{C3380CC4-5D6E-409C-BE32-E72D297353CC}">
                <c16:uniqueId val="{00000003-456A-4FAF-AB60-BC69D3963C11}"/>
              </c:ext>
            </c:extLst>
          </c:dPt>
          <c:dLbls>
            <c:dLbl>
              <c:idx val="0"/>
              <c:layout>
                <c:manualLayout>
                  <c:x val="6.3888888888888884E-2"/>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6A-4FAF-AB60-BC69D3963C11}"/>
                </c:ext>
              </c:extLst>
            </c:dLbl>
            <c:dLbl>
              <c:idx val="1"/>
              <c:layout>
                <c:manualLayout>
                  <c:x val="0.11268783191536919"/>
                  <c:y val="8.0806586993884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6A-4FAF-AB60-BC69D3963C1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Sheet2!$M$7:$M$8</c:f>
              <c:strCache>
                <c:ptCount val="2"/>
                <c:pt idx="0">
                  <c:v>Չաշխատող վարկերի կշիռ</c:v>
                </c:pt>
                <c:pt idx="1">
                  <c:v>Աշխատող վարկերի կշիռ</c:v>
                </c:pt>
              </c:strCache>
            </c:strRef>
          </c:cat>
          <c:val>
            <c:numRef>
              <c:f>Sheet2!$N$7:$N$8</c:f>
              <c:numCache>
                <c:formatCode>0.00%</c:formatCode>
                <c:ptCount val="2"/>
                <c:pt idx="0">
                  <c:v>2.23E-2</c:v>
                </c:pt>
                <c:pt idx="1">
                  <c:v>0.97770000000000001</c:v>
                </c:pt>
              </c:numCache>
            </c:numRef>
          </c:val>
          <c:extLst>
            <c:ext xmlns:c16="http://schemas.microsoft.com/office/drawing/2014/chart" uri="{C3380CC4-5D6E-409C-BE32-E72D297353CC}">
              <c16:uniqueId val="{00000004-456A-4FAF-AB60-BC69D3963C11}"/>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doughnutChart>
        <c:varyColors val="1"/>
        <c:ser>
          <c:idx val="0"/>
          <c:order val="0"/>
          <c:spPr>
            <a:ln w="19050"/>
          </c:spPr>
          <c:dPt>
            <c:idx val="0"/>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1-441D-4914-8DE2-EED191AEE024}"/>
              </c:ext>
            </c:extLst>
          </c:dPt>
          <c:dPt>
            <c:idx val="1"/>
            <c:bubble3D val="0"/>
            <c:spPr>
              <a:solidFill>
                <a:schemeClr val="accent5">
                  <a:tint val="77000"/>
                </a:schemeClr>
              </a:solidFill>
              <a:ln w="19050">
                <a:solidFill>
                  <a:schemeClr val="lt1"/>
                </a:solidFill>
              </a:ln>
              <a:effectLst/>
            </c:spPr>
            <c:extLst>
              <c:ext xmlns:c16="http://schemas.microsoft.com/office/drawing/2014/chart" uri="{C3380CC4-5D6E-409C-BE32-E72D297353CC}">
                <c16:uniqueId val="{00000003-441D-4914-8DE2-EED191AEE024}"/>
              </c:ext>
            </c:extLst>
          </c:dPt>
          <c:dLbls>
            <c:dLbl>
              <c:idx val="0"/>
              <c:layout>
                <c:manualLayout>
                  <c:x val="0.1361111111111111"/>
                  <c:y val="-0.101851851851851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1D-4914-8DE2-EED191AEE024}"/>
                </c:ext>
              </c:extLst>
            </c:dLbl>
            <c:dLbl>
              <c:idx val="1"/>
              <c:layout>
                <c:manualLayout>
                  <c:x val="-0.12500000000000003"/>
                  <c:y val="0.1342592592592590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41D-4914-8DE2-EED191AEE024}"/>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Sheet1!$A$42:$A$43</c:f>
              <c:strCache>
                <c:ptCount val="2"/>
                <c:pt idx="0">
                  <c:v>Բյուջետային վարկ</c:v>
                </c:pt>
                <c:pt idx="1">
                  <c:v>Ենթավարկ</c:v>
                </c:pt>
              </c:strCache>
            </c:strRef>
          </c:cat>
          <c:val>
            <c:numRef>
              <c:f>Sheet1!$B$42:$B$43</c:f>
              <c:numCache>
                <c:formatCode>0.0%</c:formatCode>
                <c:ptCount val="2"/>
                <c:pt idx="0">
                  <c:v>0.28067413392067697</c:v>
                </c:pt>
                <c:pt idx="1">
                  <c:v>0.71932586604765203</c:v>
                </c:pt>
              </c:numCache>
            </c:numRef>
          </c:val>
          <c:extLst>
            <c:ext xmlns:c16="http://schemas.microsoft.com/office/drawing/2014/chart" uri="{C3380CC4-5D6E-409C-BE32-E72D297353CC}">
              <c16:uniqueId val="{00000004-441D-4914-8DE2-EED191AEE024}"/>
            </c:ext>
          </c:extLst>
        </c:ser>
        <c:dLbls>
          <c:showLegendKey val="0"/>
          <c:showVal val="0"/>
          <c:showCatName val="0"/>
          <c:showSerName val="0"/>
          <c:showPercent val="0"/>
          <c:showBubbleSize val="0"/>
          <c:showLeaderLines val="1"/>
        </c:dLbls>
        <c:firstSliceAng val="0"/>
        <c:holeSize val="66"/>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GHEA Grapalat" panose="02000506050000020003" pitchFamily="50" charset="0"/>
        </a:defRPr>
      </a:pPr>
      <a:endParaRPr lang="en-US"/>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Sheet4!$F$1</c:f>
              <c:strCache>
                <c:ptCount val="1"/>
                <c:pt idx="0">
                  <c:v>Վարկային պորտֆել</c:v>
                </c:pt>
              </c:strCache>
            </c:strRef>
          </c:tx>
          <c:spPr>
            <a:solidFill>
              <a:schemeClr val="accent5">
                <a:tint val="77000"/>
              </a:schemeClr>
            </a:solidFill>
            <a:ln>
              <a:noFill/>
            </a:ln>
            <a:effectLst/>
          </c:spPr>
          <c:invertIfNegative val="0"/>
          <c:cat>
            <c:numRef>
              <c:f>Sheet4!$E$2:$E$6</c:f>
              <c:numCache>
                <c:formatCode>General</c:formatCode>
                <c:ptCount val="5"/>
                <c:pt idx="0">
                  <c:v>2019</c:v>
                </c:pt>
                <c:pt idx="1">
                  <c:v>2020</c:v>
                </c:pt>
                <c:pt idx="2">
                  <c:v>2021</c:v>
                </c:pt>
                <c:pt idx="3">
                  <c:v>2022</c:v>
                </c:pt>
                <c:pt idx="4">
                  <c:v>2023</c:v>
                </c:pt>
              </c:numCache>
            </c:numRef>
          </c:cat>
          <c:val>
            <c:numRef>
              <c:f>Sheet4!$F$2:$F$6</c:f>
              <c:numCache>
                <c:formatCode>0.0</c:formatCode>
                <c:ptCount val="5"/>
                <c:pt idx="0" formatCode="General">
                  <c:v>416.3</c:v>
                </c:pt>
                <c:pt idx="1">
                  <c:v>508.83</c:v>
                </c:pt>
                <c:pt idx="2" formatCode="General">
                  <c:v>411.3</c:v>
                </c:pt>
                <c:pt idx="3">
                  <c:v>321</c:v>
                </c:pt>
                <c:pt idx="4" formatCode="General">
                  <c:v>307.39999999999998</c:v>
                </c:pt>
              </c:numCache>
            </c:numRef>
          </c:val>
          <c:extLst>
            <c:ext xmlns:c16="http://schemas.microsoft.com/office/drawing/2014/chart" uri="{C3380CC4-5D6E-409C-BE32-E72D297353CC}">
              <c16:uniqueId val="{00000000-3181-49A0-9DD0-9E955BC95518}"/>
            </c:ext>
          </c:extLst>
        </c:ser>
        <c:dLbls>
          <c:showLegendKey val="0"/>
          <c:showVal val="0"/>
          <c:showCatName val="0"/>
          <c:showSerName val="0"/>
          <c:showPercent val="0"/>
          <c:showBubbleSize val="0"/>
        </c:dLbls>
        <c:gapWidth val="150"/>
        <c:axId val="2129270704"/>
        <c:axId val="2129271536"/>
      </c:barChart>
      <c:lineChart>
        <c:grouping val="standard"/>
        <c:varyColors val="0"/>
        <c:ser>
          <c:idx val="1"/>
          <c:order val="1"/>
          <c:tx>
            <c:strRef>
              <c:f>Sheet4!$G$1</c:f>
              <c:strCache>
                <c:ptCount val="1"/>
                <c:pt idx="0">
                  <c:v>Վարկային պորտֆել/ ՀՆԱ</c:v>
                </c:pt>
              </c:strCache>
            </c:strRef>
          </c:tx>
          <c:spPr>
            <a:ln w="28575" cap="rnd">
              <a:solidFill>
                <a:schemeClr val="accent5">
                  <a:shade val="76000"/>
                </a:schemeClr>
              </a:solidFill>
              <a:round/>
            </a:ln>
            <a:effectLst/>
          </c:spPr>
          <c:marker>
            <c:symbol val="none"/>
          </c:marker>
          <c:dLbls>
            <c:dLbl>
              <c:idx val="0"/>
              <c:layout>
                <c:manualLayout>
                  <c:x val="3.3898305084745763E-2"/>
                  <c:y val="-1.06382978723404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81-49A0-9DD0-9E955BC95518}"/>
                </c:ext>
              </c:extLst>
            </c:dLbl>
            <c:dLbl>
              <c:idx val="2"/>
              <c:layout>
                <c:manualLayout>
                  <c:x val="2.2598870056497175E-2"/>
                  <c:y val="-4.96453900709220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81-49A0-9DD0-9E955BC95518}"/>
                </c:ext>
              </c:extLst>
            </c:dLbl>
            <c:dLbl>
              <c:idx val="3"/>
              <c:layout>
                <c:manualLayout>
                  <c:x val="2.7118644067796609E-2"/>
                  <c:y val="-1.4184397163120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81-49A0-9DD0-9E955BC95518}"/>
                </c:ext>
              </c:extLst>
            </c:dLbl>
            <c:dLbl>
              <c:idx val="4"/>
              <c:layout>
                <c:manualLayout>
                  <c:x val="2.0338983050847293E-2"/>
                  <c:y val="-1.0638297872340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81-49A0-9DD0-9E955BC9551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Sheet4!$E$2:$E$6</c:f>
              <c:numCache>
                <c:formatCode>General</c:formatCode>
                <c:ptCount val="5"/>
                <c:pt idx="0">
                  <c:v>2019</c:v>
                </c:pt>
                <c:pt idx="1">
                  <c:v>2020</c:v>
                </c:pt>
                <c:pt idx="2">
                  <c:v>2021</c:v>
                </c:pt>
                <c:pt idx="3">
                  <c:v>2022</c:v>
                </c:pt>
                <c:pt idx="4">
                  <c:v>2023</c:v>
                </c:pt>
              </c:numCache>
            </c:numRef>
          </c:cat>
          <c:val>
            <c:numRef>
              <c:f>Sheet4!$G$2:$G$6</c:f>
              <c:numCache>
                <c:formatCode>0.00%</c:formatCode>
                <c:ptCount val="5"/>
                <c:pt idx="0">
                  <c:v>6.3622331239588589E-2</c:v>
                </c:pt>
                <c:pt idx="1">
                  <c:v>8.2309645901745415E-2</c:v>
                </c:pt>
                <c:pt idx="2">
                  <c:v>5.8826053376812841E-2</c:v>
                </c:pt>
                <c:pt idx="3">
                  <c:v>3.7758486837462066E-2</c:v>
                </c:pt>
                <c:pt idx="4">
                  <c:v>3.2348360483225994E-2</c:v>
                </c:pt>
              </c:numCache>
            </c:numRef>
          </c:val>
          <c:smooth val="0"/>
          <c:extLst>
            <c:ext xmlns:c16="http://schemas.microsoft.com/office/drawing/2014/chart" uri="{C3380CC4-5D6E-409C-BE32-E72D297353CC}">
              <c16:uniqueId val="{00000005-3181-49A0-9DD0-9E955BC95518}"/>
            </c:ext>
          </c:extLst>
        </c:ser>
        <c:dLbls>
          <c:showLegendKey val="0"/>
          <c:showVal val="0"/>
          <c:showCatName val="0"/>
          <c:showSerName val="0"/>
          <c:showPercent val="0"/>
          <c:showBubbleSize val="0"/>
        </c:dLbls>
        <c:marker val="1"/>
        <c:smooth val="0"/>
        <c:axId val="179739904"/>
        <c:axId val="179739072"/>
      </c:lineChart>
      <c:catAx>
        <c:axId val="2129270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29271536"/>
        <c:crosses val="autoZero"/>
        <c:auto val="1"/>
        <c:lblAlgn val="ctr"/>
        <c:lblOffset val="100"/>
        <c:noMultiLvlLbl val="0"/>
      </c:catAx>
      <c:valAx>
        <c:axId val="2129271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29270704"/>
        <c:crosses val="autoZero"/>
        <c:crossBetween val="between"/>
      </c:valAx>
      <c:valAx>
        <c:axId val="179739072"/>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9739904"/>
        <c:crosses val="max"/>
        <c:crossBetween val="between"/>
      </c:valAx>
      <c:catAx>
        <c:axId val="179739904"/>
        <c:scaling>
          <c:orientation val="minMax"/>
        </c:scaling>
        <c:delete val="1"/>
        <c:axPos val="b"/>
        <c:numFmt formatCode="General" sourceLinked="1"/>
        <c:majorTickMark val="out"/>
        <c:minorTickMark val="none"/>
        <c:tickLblPos val="nextTo"/>
        <c:crossAx val="179739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31452551764362791"/>
          <c:y val="0.20804129980206373"/>
          <c:w val="0.40243066491688539"/>
          <c:h val="0.67071777486147566"/>
        </c:manualLayout>
      </c:layout>
      <c:doughnutChart>
        <c:varyColors val="1"/>
        <c:ser>
          <c:idx val="0"/>
          <c:order val="0"/>
          <c:dPt>
            <c:idx val="0"/>
            <c:bubble3D val="0"/>
            <c:spPr>
              <a:solidFill>
                <a:schemeClr val="accent5">
                  <a:tint val="54000"/>
                </a:schemeClr>
              </a:solidFill>
              <a:ln w="19050">
                <a:solidFill>
                  <a:schemeClr val="lt1"/>
                </a:solidFill>
              </a:ln>
              <a:effectLst/>
            </c:spPr>
            <c:extLst>
              <c:ext xmlns:c16="http://schemas.microsoft.com/office/drawing/2014/chart" uri="{C3380CC4-5D6E-409C-BE32-E72D297353CC}">
                <c16:uniqueId val="{00000001-6B60-4ACE-A362-E0F3255E0FC5}"/>
              </c:ext>
            </c:extLst>
          </c:dPt>
          <c:dPt>
            <c:idx val="1"/>
            <c:bubble3D val="0"/>
            <c:spPr>
              <a:solidFill>
                <a:schemeClr val="accent5">
                  <a:tint val="77000"/>
                </a:schemeClr>
              </a:solidFill>
              <a:ln w="19050">
                <a:solidFill>
                  <a:schemeClr val="lt1"/>
                </a:solidFill>
              </a:ln>
              <a:effectLst/>
            </c:spPr>
            <c:extLst>
              <c:ext xmlns:c16="http://schemas.microsoft.com/office/drawing/2014/chart" uri="{C3380CC4-5D6E-409C-BE32-E72D297353CC}">
                <c16:uniqueId val="{00000003-6B60-4ACE-A362-E0F3255E0FC5}"/>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6B60-4ACE-A362-E0F3255E0FC5}"/>
              </c:ext>
            </c:extLst>
          </c:dPt>
          <c:dPt>
            <c:idx val="3"/>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7-6B60-4ACE-A362-E0F3255E0FC5}"/>
              </c:ext>
            </c:extLst>
          </c:dPt>
          <c:dPt>
            <c:idx val="4"/>
            <c:bubble3D val="0"/>
            <c:spPr>
              <a:solidFill>
                <a:schemeClr val="accent5">
                  <a:shade val="53000"/>
                </a:schemeClr>
              </a:solidFill>
              <a:ln w="19050">
                <a:solidFill>
                  <a:schemeClr val="lt1"/>
                </a:solidFill>
              </a:ln>
              <a:effectLst/>
            </c:spPr>
            <c:extLst>
              <c:ext xmlns:c16="http://schemas.microsoft.com/office/drawing/2014/chart" uri="{C3380CC4-5D6E-409C-BE32-E72D297353CC}">
                <c16:uniqueId val="{00000009-6B60-4ACE-A362-E0F3255E0FC5}"/>
              </c:ext>
            </c:extLst>
          </c:dPt>
          <c:dLbls>
            <c:dLbl>
              <c:idx val="0"/>
              <c:layout>
                <c:manualLayout>
                  <c:x val="0.14157072443018845"/>
                  <c:y val="-5.2589846507963008E-2"/>
                </c:manualLayout>
              </c:layout>
              <c:showLegendKey val="0"/>
              <c:showVal val="0"/>
              <c:showCatName val="1"/>
              <c:showSerName val="0"/>
              <c:showPercent val="1"/>
              <c:showBubbleSize val="0"/>
              <c:extLst>
                <c:ext xmlns:c15="http://schemas.microsoft.com/office/drawing/2012/chart" uri="{CE6537A1-D6FC-4f65-9D91-7224C49458BB}">
                  <c15:layout>
                    <c:manualLayout>
                      <c:w val="0.1478549707812479"/>
                      <c:h val="0.1035442696802264"/>
                    </c:manualLayout>
                  </c15:layout>
                </c:ext>
                <c:ext xmlns:c16="http://schemas.microsoft.com/office/drawing/2014/chart" uri="{C3380CC4-5D6E-409C-BE32-E72D297353CC}">
                  <c16:uniqueId val="{00000001-6B60-4ACE-A362-E0F3255E0FC5}"/>
                </c:ext>
              </c:extLst>
            </c:dLbl>
            <c:dLbl>
              <c:idx val="1"/>
              <c:layout>
                <c:manualLayout>
                  <c:x val="0.23555760644960261"/>
                  <c:y val="6.5188384045328701E-2"/>
                </c:manualLayout>
              </c:layout>
              <c:showLegendKey val="0"/>
              <c:showVal val="0"/>
              <c:showCatName val="1"/>
              <c:showSerName val="0"/>
              <c:showPercent val="1"/>
              <c:showBubbleSize val="0"/>
              <c:extLst>
                <c:ext xmlns:c15="http://schemas.microsoft.com/office/drawing/2012/chart" uri="{CE6537A1-D6FC-4f65-9D91-7224C49458BB}">
                  <c15:layout>
                    <c:manualLayout>
                      <c:w val="0.16509538204472871"/>
                      <c:h val="0.10761924930532828"/>
                    </c:manualLayout>
                  </c15:layout>
                </c:ext>
                <c:ext xmlns:c16="http://schemas.microsoft.com/office/drawing/2014/chart" uri="{C3380CC4-5D6E-409C-BE32-E72D297353CC}">
                  <c16:uniqueId val="{00000003-6B60-4ACE-A362-E0F3255E0FC5}"/>
                </c:ext>
              </c:extLst>
            </c:dLbl>
            <c:dLbl>
              <c:idx val="2"/>
              <c:layout>
                <c:manualLayout>
                  <c:x val="-0.11197332900573839"/>
                  <c:y val="6.7225873857879648E-2"/>
                </c:manualLayout>
              </c:layout>
              <c:showLegendKey val="0"/>
              <c:showVal val="0"/>
              <c:showCatName val="1"/>
              <c:showSerName val="0"/>
              <c:showPercent val="1"/>
              <c:showBubbleSize val="0"/>
              <c:extLst>
                <c:ext xmlns:c15="http://schemas.microsoft.com/office/drawing/2012/chart" uri="{CE6537A1-D6FC-4f65-9D91-7224C49458BB}">
                  <c15:layout>
                    <c:manualLayout>
                      <c:w val="0.11844801487663444"/>
                      <c:h val="0.11169422893043016"/>
                    </c:manualLayout>
                  </c15:layout>
                </c:ext>
                <c:ext xmlns:c16="http://schemas.microsoft.com/office/drawing/2014/chart" uri="{C3380CC4-5D6E-409C-BE32-E72D297353CC}">
                  <c16:uniqueId val="{00000005-6B60-4ACE-A362-E0F3255E0FC5}"/>
                </c:ext>
              </c:extLst>
            </c:dLbl>
            <c:dLbl>
              <c:idx val="3"/>
              <c:layout>
                <c:manualLayout>
                  <c:x val="-0.16181348897591769"/>
                  <c:y val="-9.6848652991708334E-2"/>
                </c:manualLayout>
              </c:layout>
              <c:showLegendKey val="0"/>
              <c:showVal val="0"/>
              <c:showCatName val="1"/>
              <c:showSerName val="0"/>
              <c:showPercent val="1"/>
              <c:showBubbleSize val="0"/>
              <c:extLst>
                <c:ext xmlns:c15="http://schemas.microsoft.com/office/drawing/2012/chart" uri="{CE6537A1-D6FC-4f65-9D91-7224C49458BB}">
                  <c15:layout>
                    <c:manualLayout>
                      <c:w val="0.22005650605710794"/>
                      <c:h val="0.10761924930532828"/>
                    </c:manualLayout>
                  </c15:layout>
                </c:ext>
                <c:ext xmlns:c16="http://schemas.microsoft.com/office/drawing/2014/chart" uri="{C3380CC4-5D6E-409C-BE32-E72D297353CC}">
                  <c16:uniqueId val="{00000007-6B60-4ACE-A362-E0F3255E0FC5}"/>
                </c:ext>
              </c:extLst>
            </c:dLbl>
            <c:dLbl>
              <c:idx val="4"/>
              <c:layout>
                <c:manualLayout>
                  <c:x val="4.4822381329317963E-2"/>
                  <c:y val="-0.16319714485239947"/>
                </c:manualLayout>
              </c:layout>
              <c:tx>
                <c:rich>
                  <a:bodyPr rot="0" spcFirstLastPara="1" vertOverflow="clip" horzOverflow="clip" vert="horz" wrap="square" lIns="36576" tIns="18288" rIns="36576" bIns="18288" anchor="ctr" anchorCtr="0">
                    <a:spAutoFit/>
                  </a:bodyPr>
                  <a:lstStyle/>
                  <a:p>
                    <a:pPr algn="ctr">
                      <a:defRPr sz="800" b="0" i="0" u="none" strike="noStrike" kern="1200" baseline="0">
                        <a:ln>
                          <a:noFill/>
                        </a:ln>
                        <a:solidFill>
                          <a:schemeClr val="tx1"/>
                        </a:solidFill>
                        <a:latin typeface="GHEA Grapalat" panose="02000506050000020003" pitchFamily="50" charset="0"/>
                        <a:ea typeface="+mn-ea"/>
                        <a:cs typeface="+mn-cs"/>
                      </a:defRPr>
                    </a:pPr>
                    <a:fld id="{A6A22186-0410-4E29-9D09-CD5586ED8B6E}" type="CATEGORYNAME">
                      <a:rPr lang="hy-AM" sz="800">
                        <a:solidFill>
                          <a:schemeClr val="tx1"/>
                        </a:solidFill>
                        <a:latin typeface="GHEA Grapalat" panose="02000506050000020003" pitchFamily="50" charset="0"/>
                      </a:rPr>
                      <a:pPr algn="ctr">
                        <a:defRPr sz="800">
                          <a:solidFill>
                            <a:schemeClr val="tx1"/>
                          </a:solidFill>
                          <a:latin typeface="GHEA Grapalat" panose="02000506050000020003" pitchFamily="50" charset="0"/>
                        </a:defRPr>
                      </a:pPr>
                      <a:t>[CATEGORY NAME]</a:t>
                    </a:fld>
                    <a:r>
                      <a:rPr lang="hy-AM" sz="800" baseline="0">
                        <a:solidFill>
                          <a:schemeClr val="tx1"/>
                        </a:solidFill>
                        <a:latin typeface="GHEA Grapalat" panose="02000506050000020003" pitchFamily="50" charset="0"/>
                      </a:rPr>
                      <a:t>
2.5%</a:t>
                    </a:r>
                  </a:p>
                </c:rich>
              </c:tx>
              <c:numFmt formatCode="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0">
                  <a:spAutoFit/>
                </a:bodyPr>
                <a:lstStyle/>
                <a:p>
                  <a:pPr algn="ctr">
                    <a:defRPr sz="800" b="0" i="0" u="none" strike="noStrike" kern="1200" baseline="0">
                      <a:ln>
                        <a:noFill/>
                      </a:ln>
                      <a:solidFill>
                        <a:schemeClr val="tx1"/>
                      </a:solidFill>
                      <a:latin typeface="GHEA Grapalat" panose="02000506050000020003" pitchFamily="50" charset="0"/>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2622569004271292"/>
                      <c:h val="0.10455189521357564"/>
                    </c:manualLayout>
                  </c15:layout>
                  <c15:dlblFieldTable/>
                  <c15:showDataLabelsRange val="0"/>
                </c:ext>
                <c:ext xmlns:c16="http://schemas.microsoft.com/office/drawing/2014/chart" uri="{C3380CC4-5D6E-409C-BE32-E72D297353CC}">
                  <c16:uniqueId val="{00000009-6B60-4ACE-A362-E0F3255E0FC5}"/>
                </c:ext>
              </c:extLst>
            </c:dLbl>
            <c:numFmt formatCode="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lgn="ctr">
                  <a:defRPr sz="800" b="0" i="0" u="none" strike="noStrike" kern="1200" baseline="0">
                    <a:ln>
                      <a:noFill/>
                    </a:ln>
                    <a:solidFill>
                      <a:schemeClr val="tx1"/>
                    </a:solidFill>
                    <a:latin typeface="GHEA Grapalat" panose="02000506050000020003" pitchFamily="50" charset="0"/>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փետրվար!$C$158:$C$162</c:f>
              <c:strCache>
                <c:ptCount val="5"/>
                <c:pt idx="0">
                  <c:v>ՀՀ դրամ</c:v>
                </c:pt>
                <c:pt idx="1">
                  <c:v>ԱՄՆ դոլար</c:v>
                </c:pt>
                <c:pt idx="2">
                  <c:v>Եվրո</c:v>
                </c:pt>
                <c:pt idx="3">
                  <c:v>Ճապոնական իեն</c:v>
                </c:pt>
                <c:pt idx="4">
                  <c:v>ՀՓԻ</c:v>
                </c:pt>
              </c:strCache>
            </c:strRef>
          </c:cat>
          <c:val>
            <c:numRef>
              <c:f>փետրվար!$D$158:$D$162</c:f>
              <c:numCache>
                <c:formatCode>General</c:formatCode>
                <c:ptCount val="5"/>
                <c:pt idx="0">
                  <c:v>33.4</c:v>
                </c:pt>
                <c:pt idx="1">
                  <c:v>32.9</c:v>
                </c:pt>
                <c:pt idx="2">
                  <c:v>13.3</c:v>
                </c:pt>
                <c:pt idx="3">
                  <c:v>17.899999999999999</c:v>
                </c:pt>
                <c:pt idx="4">
                  <c:v>2.6</c:v>
                </c:pt>
              </c:numCache>
            </c:numRef>
          </c:val>
          <c:extLst>
            <c:ext xmlns:c16="http://schemas.microsoft.com/office/drawing/2014/chart" uri="{C3380CC4-5D6E-409C-BE32-E72D297353CC}">
              <c16:uniqueId val="{0000000A-6B60-4ACE-A362-E0F3255E0FC5}"/>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ln>
                  <a:noFill/>
                </a:ln>
                <a:solidFill>
                  <a:schemeClr val="tx1"/>
                </a:solidFill>
                <a:latin typeface="GHEA Grapalat" panose="02000506050000020003" pitchFamily="50" charset="0"/>
                <a:ea typeface="+mn-ea"/>
                <a:cs typeface="+mn-cs"/>
              </a:defRPr>
            </a:pPr>
            <a:endParaRPr lang="en-US"/>
          </a:p>
        </c:txPr>
      </c:legendEntry>
      <c:legendEntry>
        <c:idx val="3"/>
        <c:txPr>
          <a:bodyPr rot="0" spcFirstLastPara="1" vertOverflow="ellipsis" vert="horz" wrap="square" anchor="ctr" anchorCtr="1"/>
          <a:lstStyle/>
          <a:p>
            <a:pPr>
              <a:defRPr sz="900" b="0" i="0" u="none" strike="noStrike" kern="1200" baseline="0">
                <a:ln>
                  <a:noFill/>
                </a:ln>
                <a:solidFill>
                  <a:schemeClr val="tx1"/>
                </a:solidFill>
                <a:latin typeface="GHEA Grapalat" panose="02000506050000020003" pitchFamily="50" charset="0"/>
                <a:ea typeface="+mn-ea"/>
                <a:cs typeface="+mn-cs"/>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n>
            <a:noFill/>
          </a:ln>
        </a:defRPr>
      </a:pPr>
      <a:endParaRPr lang="en-US"/>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1"/>
          <c:order val="1"/>
          <c:tx>
            <c:strRef>
              <c:f>'[New Microsoft Excel Worksheet (4).xlsx]Sheet1'!$C$22</c:f>
              <c:strCache>
                <c:ptCount val="1"/>
                <c:pt idx="0">
                  <c:v>Փոփոխվող տոկոսադրույքով վարկեր</c:v>
                </c:pt>
              </c:strCache>
            </c:strRef>
          </c:tx>
          <c:spPr>
            <a:solidFill>
              <a:schemeClr val="accent5">
                <a:shade val="76000"/>
              </a:schemeClr>
            </a:solidFill>
            <a:ln>
              <a:noFill/>
            </a:ln>
            <a:effectLst/>
          </c:spPr>
          <c:invertIfNegative val="0"/>
          <c:cat>
            <c:strRef>
              <c:f>'C:\Users\Arsen.Margaryan\Desktop\Ցուցանիշներ\Վարկեր\New folder\[New Microsoft Excel Worksheet (2).xlsx]Գրաֆիկներ'!$A$62:$A$67</c:f>
              <c:strCache>
                <c:ptCount val="6"/>
                <c:pt idx="0">
                  <c:v>2019</c:v>
                </c:pt>
                <c:pt idx="1">
                  <c:v>2020</c:v>
                </c:pt>
                <c:pt idx="2">
                  <c:v>2021</c:v>
                </c:pt>
                <c:pt idx="3">
                  <c:v>2022</c:v>
                </c:pt>
                <c:pt idx="4">
                  <c:v>2023</c:v>
                </c:pt>
                <c:pt idx="5">
                  <c:v>2024 (փետրվար)</c:v>
                </c:pt>
              </c:strCache>
            </c:strRef>
          </c:cat>
          <c:val>
            <c:numRef>
              <c:f>'[New Microsoft Excel Worksheet (4).xlsx]Sheet1'!$C$23:$C$28</c:f>
              <c:numCache>
                <c:formatCode>0.0</c:formatCode>
                <c:ptCount val="6"/>
                <c:pt idx="0">
                  <c:v>85.859212976999999</c:v>
                </c:pt>
                <c:pt idx="1">
                  <c:v>92.545440106000001</c:v>
                </c:pt>
                <c:pt idx="2">
                  <c:v>86.086999540999997</c:v>
                </c:pt>
                <c:pt idx="3">
                  <c:v>62.892810343000001</c:v>
                </c:pt>
                <c:pt idx="4">
                  <c:v>78.969693664000005</c:v>
                </c:pt>
                <c:pt idx="5">
                  <c:v>78.836882127999999</c:v>
                </c:pt>
              </c:numCache>
            </c:numRef>
          </c:val>
          <c:extLst>
            <c:ext xmlns:c16="http://schemas.microsoft.com/office/drawing/2014/chart" uri="{C3380CC4-5D6E-409C-BE32-E72D297353CC}">
              <c16:uniqueId val="{00000000-93F7-4927-A27E-D661236BDB83}"/>
            </c:ext>
          </c:extLst>
        </c:ser>
        <c:dLbls>
          <c:showLegendKey val="0"/>
          <c:showVal val="0"/>
          <c:showCatName val="0"/>
          <c:showSerName val="0"/>
          <c:showPercent val="0"/>
          <c:showBubbleSize val="0"/>
        </c:dLbls>
        <c:gapWidth val="219"/>
        <c:overlap val="-27"/>
        <c:axId val="791494223"/>
        <c:axId val="791495887"/>
      </c:barChart>
      <c:lineChart>
        <c:grouping val="standard"/>
        <c:varyColors val="0"/>
        <c:ser>
          <c:idx val="0"/>
          <c:order val="0"/>
          <c:tx>
            <c:strRef>
              <c:f>'[New Microsoft Excel Worksheet (4).xlsx]Sheet1'!$B$22</c:f>
              <c:strCache>
                <c:ptCount val="1"/>
                <c:pt idx="0">
                  <c:v>Փոփոխվող տոկոսադրույքով վարկերի տեսակարար կշիռը վարկային պորտֆելում</c:v>
                </c:pt>
              </c:strCache>
            </c:strRef>
          </c:tx>
          <c:spPr>
            <a:ln w="28575" cap="rnd">
              <a:solidFill>
                <a:schemeClr val="accent5">
                  <a:tint val="77000"/>
                </a:schemeClr>
              </a:solidFill>
              <a:round/>
            </a:ln>
            <a:effectLst/>
          </c:spPr>
          <c:marker>
            <c:symbol val="circle"/>
            <c:size val="5"/>
            <c:spPr>
              <a:solidFill>
                <a:schemeClr val="accent5">
                  <a:tint val="77000"/>
                </a:schemeClr>
              </a:solidFill>
              <a:ln w="9525">
                <a:solidFill>
                  <a:schemeClr val="accent5">
                    <a:tint val="77000"/>
                  </a:schemeClr>
                </a:solidFill>
              </a:ln>
              <a:effectLst/>
            </c:spPr>
          </c:marker>
          <c:dLbls>
            <c:dLbl>
              <c:idx val="0"/>
              <c:layout>
                <c:manualLayout>
                  <c:x val="3.5618874675410153E-2"/>
                  <c:y val="-9.132420091324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F7-4927-A27E-D661236BDB83}"/>
                </c:ext>
              </c:extLst>
            </c:dLbl>
            <c:dLbl>
              <c:idx val="1"/>
              <c:layout>
                <c:manualLayout>
                  <c:x val="2.6120508095300733E-2"/>
                  <c:y val="2.2831050228310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F7-4927-A27E-D661236BDB83}"/>
                </c:ext>
              </c:extLst>
            </c:dLbl>
            <c:dLbl>
              <c:idx val="2"/>
              <c:layout>
                <c:manualLayout>
                  <c:x val="1.8996733160218746E-2"/>
                  <c:y val="-5.93607305936073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F7-4927-A27E-D661236BDB83}"/>
                </c:ext>
              </c:extLst>
            </c:dLbl>
            <c:dLbl>
              <c:idx val="3"/>
              <c:layout>
                <c:manualLayout>
                  <c:x val="2.8495099740328121E-2"/>
                  <c:y val="4.56621004566210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F7-4927-A27E-D661236BDB83}"/>
                </c:ext>
              </c:extLst>
            </c:dLbl>
            <c:dLbl>
              <c:idx val="4"/>
              <c:layout>
                <c:manualLayout>
                  <c:x val="0"/>
                  <c:y val="-5.4794520547945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F7-4927-A27E-D661236BDB83}"/>
                </c:ext>
              </c:extLst>
            </c:dLbl>
            <c:dLbl>
              <c:idx val="5"/>
              <c:layout>
                <c:manualLayout>
                  <c:x val="4.7491832900546866E-3"/>
                  <c:y val="-5.9360730593607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F7-4927-A27E-D661236BDB8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'C:\Users\Arsen.Margaryan\Desktop\Ցուցանիշներ\Վարկեր\New folder\[New Microsoft Excel Worksheet (2).xlsx]Գրաֆիկներ'!$A$62:$A$67</c:f>
              <c:strCache>
                <c:ptCount val="6"/>
                <c:pt idx="0">
                  <c:v>2019</c:v>
                </c:pt>
                <c:pt idx="1">
                  <c:v>2020</c:v>
                </c:pt>
                <c:pt idx="2">
                  <c:v>2021</c:v>
                </c:pt>
                <c:pt idx="3">
                  <c:v>2022</c:v>
                </c:pt>
                <c:pt idx="4">
                  <c:v>2023</c:v>
                </c:pt>
                <c:pt idx="5">
                  <c:v>2024 (փետրվար)</c:v>
                </c:pt>
              </c:strCache>
            </c:strRef>
          </c:cat>
          <c:val>
            <c:numRef>
              <c:f>'[New Microsoft Excel Worksheet (4).xlsx]Sheet1'!$B$23:$B$28</c:f>
              <c:numCache>
                <c:formatCode>0.00</c:formatCode>
                <c:ptCount val="6"/>
                <c:pt idx="0">
                  <c:v>0.20600000000000002</c:v>
                </c:pt>
                <c:pt idx="1">
                  <c:v>0.182</c:v>
                </c:pt>
                <c:pt idx="2">
                  <c:v>0.20899999999999999</c:v>
                </c:pt>
                <c:pt idx="3">
                  <c:v>0.19600000000000001</c:v>
                </c:pt>
                <c:pt idx="4">
                  <c:v>0.25700000000000001</c:v>
                </c:pt>
                <c:pt idx="5">
                  <c:v>0.26</c:v>
                </c:pt>
              </c:numCache>
            </c:numRef>
          </c:val>
          <c:smooth val="0"/>
          <c:extLst>
            <c:ext xmlns:c16="http://schemas.microsoft.com/office/drawing/2014/chart" uri="{C3380CC4-5D6E-409C-BE32-E72D297353CC}">
              <c16:uniqueId val="{00000007-93F7-4927-A27E-D661236BDB83}"/>
            </c:ext>
          </c:extLst>
        </c:ser>
        <c:dLbls>
          <c:showLegendKey val="0"/>
          <c:showVal val="0"/>
          <c:showCatName val="0"/>
          <c:showSerName val="0"/>
          <c:showPercent val="0"/>
          <c:showBubbleSize val="0"/>
        </c:dLbls>
        <c:marker val="1"/>
        <c:smooth val="0"/>
        <c:axId val="795832431"/>
        <c:axId val="795842831"/>
      </c:lineChart>
      <c:catAx>
        <c:axId val="791494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495887"/>
        <c:crosses val="autoZero"/>
        <c:auto val="1"/>
        <c:lblAlgn val="ctr"/>
        <c:lblOffset val="100"/>
        <c:noMultiLvlLbl val="0"/>
      </c:catAx>
      <c:valAx>
        <c:axId val="79149588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494223"/>
        <c:crosses val="autoZero"/>
        <c:crossBetween val="between"/>
      </c:valAx>
      <c:valAx>
        <c:axId val="795842831"/>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832431"/>
        <c:crosses val="max"/>
        <c:crossBetween val="between"/>
      </c:valAx>
      <c:catAx>
        <c:axId val="795832431"/>
        <c:scaling>
          <c:orientation val="minMax"/>
        </c:scaling>
        <c:delete val="1"/>
        <c:axPos val="b"/>
        <c:numFmt formatCode="General" sourceLinked="1"/>
        <c:majorTickMark val="out"/>
        <c:minorTickMark val="none"/>
        <c:tickLblPos val="nextTo"/>
        <c:crossAx val="795842831"/>
        <c:crosses val="autoZero"/>
        <c:auto val="1"/>
        <c:lblAlgn val="ctr"/>
        <c:lblOffset val="100"/>
        <c:noMultiLvlLbl val="0"/>
      </c:catAx>
      <c:spPr>
        <a:noFill/>
        <a:ln>
          <a:noFill/>
        </a:ln>
        <a:effectLst/>
      </c:spPr>
    </c:plotArea>
    <c:legend>
      <c:legendPos val="b"/>
      <c:layout>
        <c:manualLayout>
          <c:xMode val="edge"/>
          <c:yMode val="edge"/>
          <c:x val="8.6258303090649441E-2"/>
          <c:y val="0.79925677842305909"/>
          <c:w val="0.81743011545784672"/>
          <c:h val="0.196919426167619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'[New Microsoft Excel Worksheet (9).xlsx]Sheet3'!$A$2:$B$2</c:f>
              <c:strCache>
                <c:ptCount val="2"/>
                <c:pt idx="0">
                  <c:v>Բանկային միջին տոկոսադրույք</c:v>
                </c:pt>
                <c:pt idx="1">
                  <c:v>ՀՀ դրամով</c:v>
                </c:pt>
              </c:strCache>
            </c:strRef>
          </c:tx>
          <c:spPr>
            <a:solidFill>
              <a:schemeClr val="accent5">
                <a:tint val="54000"/>
              </a:schemeClr>
            </a:solidFill>
            <a:ln>
              <a:noFill/>
            </a:ln>
            <a:effectLst/>
          </c:spPr>
          <c:invertIfNegative val="0"/>
          <c:cat>
            <c:strRef>
              <c:f>'[New Microsoft Excel Worksheet (9).xlsx]Sheet3'!$C$1:$H$1</c:f>
              <c:strCache>
                <c:ptCount val="6"/>
                <c:pt idx="0">
                  <c:v>2019 (Դեկտեմբեր)</c:v>
                </c:pt>
                <c:pt idx="1">
                  <c:v>2020 (Դեկտեմբեր)</c:v>
                </c:pt>
                <c:pt idx="2">
                  <c:v>2021 (Դեկտեմբեր)</c:v>
                </c:pt>
                <c:pt idx="3">
                  <c:v>2022 (Դեկտեմբեր)</c:v>
                </c:pt>
                <c:pt idx="4">
                  <c:v>2023 (Դեկտեմբեր)</c:v>
                </c:pt>
                <c:pt idx="5">
                  <c:v>2024 (Փետրվար)</c:v>
                </c:pt>
              </c:strCache>
            </c:strRef>
          </c:cat>
          <c:val>
            <c:numRef>
              <c:f>'[New Microsoft Excel Worksheet (9).xlsx]Sheet3'!$C$2:$H$2</c:f>
              <c:numCache>
                <c:formatCode>0.0%</c:formatCode>
                <c:ptCount val="6"/>
                <c:pt idx="0">
                  <c:v>0.105</c:v>
                </c:pt>
                <c:pt idx="1">
                  <c:v>0.105</c:v>
                </c:pt>
                <c:pt idx="2">
                  <c:v>0.107</c:v>
                </c:pt>
                <c:pt idx="3">
                  <c:v>0.129</c:v>
                </c:pt>
                <c:pt idx="4">
                  <c:v>0.121</c:v>
                </c:pt>
                <c:pt idx="5">
                  <c:v>0.125</c:v>
                </c:pt>
              </c:numCache>
            </c:numRef>
          </c:val>
          <c:extLst>
            <c:ext xmlns:c16="http://schemas.microsoft.com/office/drawing/2014/chart" uri="{C3380CC4-5D6E-409C-BE32-E72D297353CC}">
              <c16:uniqueId val="{00000000-C2B1-46EF-9C5D-F8BC39A65FBD}"/>
            </c:ext>
          </c:extLst>
        </c:ser>
        <c:ser>
          <c:idx val="1"/>
          <c:order val="1"/>
          <c:tx>
            <c:strRef>
              <c:f>'[New Microsoft Excel Worksheet (9).xlsx]Sheet3'!$A$3:$B$3</c:f>
              <c:strCache>
                <c:ptCount val="2"/>
                <c:pt idx="0">
                  <c:v>Բանկային միջին տոկոսադրույք</c:v>
                </c:pt>
                <c:pt idx="1">
                  <c:v>ԱՄՆ դոլարով</c:v>
                </c:pt>
              </c:strCache>
            </c:strRef>
          </c:tx>
          <c:spPr>
            <a:solidFill>
              <a:schemeClr val="accent5">
                <a:tint val="77000"/>
              </a:schemeClr>
            </a:solidFill>
            <a:ln>
              <a:noFill/>
            </a:ln>
            <a:effectLst/>
          </c:spPr>
          <c:invertIfNegative val="0"/>
          <c:cat>
            <c:strRef>
              <c:f>'[New Microsoft Excel Worksheet (9).xlsx]Sheet3'!$C$1:$H$1</c:f>
              <c:strCache>
                <c:ptCount val="6"/>
                <c:pt idx="0">
                  <c:v>2019 (Դեկտեմբեր)</c:v>
                </c:pt>
                <c:pt idx="1">
                  <c:v>2020 (Դեկտեմբեր)</c:v>
                </c:pt>
                <c:pt idx="2">
                  <c:v>2021 (Դեկտեմբեր)</c:v>
                </c:pt>
                <c:pt idx="3">
                  <c:v>2022 (Դեկտեմբեր)</c:v>
                </c:pt>
                <c:pt idx="4">
                  <c:v>2023 (Դեկտեմբեր)</c:v>
                </c:pt>
                <c:pt idx="5">
                  <c:v>2024 (Փետրվար)</c:v>
                </c:pt>
              </c:strCache>
            </c:strRef>
          </c:cat>
          <c:val>
            <c:numRef>
              <c:f>'[New Microsoft Excel Worksheet (9).xlsx]Sheet3'!$C$3:$H$3</c:f>
              <c:numCache>
                <c:formatCode>0.0%</c:formatCode>
                <c:ptCount val="6"/>
                <c:pt idx="0">
                  <c:v>8.1000000000000003E-2</c:v>
                </c:pt>
                <c:pt idx="1">
                  <c:v>7.6999999999999999E-2</c:v>
                </c:pt>
                <c:pt idx="2">
                  <c:v>7.6999999999999999E-2</c:v>
                </c:pt>
                <c:pt idx="3">
                  <c:v>7.8E-2</c:v>
                </c:pt>
                <c:pt idx="4">
                  <c:v>8.5999999999999993E-2</c:v>
                </c:pt>
                <c:pt idx="5">
                  <c:v>8.5999999999999993E-2</c:v>
                </c:pt>
              </c:numCache>
            </c:numRef>
          </c:val>
          <c:extLst>
            <c:ext xmlns:c16="http://schemas.microsoft.com/office/drawing/2014/chart" uri="{C3380CC4-5D6E-409C-BE32-E72D297353CC}">
              <c16:uniqueId val="{00000001-C2B1-46EF-9C5D-F8BC39A65FBD}"/>
            </c:ext>
          </c:extLst>
        </c:ser>
        <c:ser>
          <c:idx val="3"/>
          <c:order val="3"/>
          <c:tx>
            <c:strRef>
              <c:f>'[New Microsoft Excel Worksheet (9).xlsx]Sheet3'!$A$5:$B$5</c:f>
              <c:strCache>
                <c:ptCount val="2"/>
                <c:pt idx="0">
                  <c:v>Տրամադրված բյուջետային վարկերի միջին տոկոսադրույքը</c:v>
                </c:pt>
                <c:pt idx="1">
                  <c:v>ՀՀ դրամով</c:v>
                </c:pt>
              </c:strCache>
            </c:strRef>
          </c:tx>
          <c:spPr>
            <a:solidFill>
              <a:schemeClr val="accent5">
                <a:shade val="76000"/>
              </a:schemeClr>
            </a:solidFill>
            <a:ln>
              <a:noFill/>
            </a:ln>
            <a:effectLst/>
          </c:spPr>
          <c:invertIfNegative val="0"/>
          <c:cat>
            <c:strRef>
              <c:f>'[New Microsoft Excel Worksheet (9).xlsx]Sheet3'!$C$1:$H$1</c:f>
              <c:strCache>
                <c:ptCount val="6"/>
                <c:pt idx="0">
                  <c:v>2019 (Դեկտեմբեր)</c:v>
                </c:pt>
                <c:pt idx="1">
                  <c:v>2020 (Դեկտեմբեր)</c:v>
                </c:pt>
                <c:pt idx="2">
                  <c:v>2021 (Դեկտեմբեր)</c:v>
                </c:pt>
                <c:pt idx="3">
                  <c:v>2022 (Դեկտեմբեր)</c:v>
                </c:pt>
                <c:pt idx="4">
                  <c:v>2023 (Դեկտեմբեր)</c:v>
                </c:pt>
                <c:pt idx="5">
                  <c:v>2024 (Փետրվար)</c:v>
                </c:pt>
              </c:strCache>
            </c:strRef>
          </c:cat>
          <c:val>
            <c:numRef>
              <c:f>'[New Microsoft Excel Worksheet (9).xlsx]Sheet3'!$C$5:$H$5</c:f>
              <c:numCache>
                <c:formatCode>0.00%</c:formatCode>
                <c:ptCount val="6"/>
                <c:pt idx="0">
                  <c:v>4.0516666666666666E-2</c:v>
                </c:pt>
                <c:pt idx="1">
                  <c:v>3.9944999999999994E-2</c:v>
                </c:pt>
                <c:pt idx="2">
                  <c:v>3.2294285714285713E-2</c:v>
                </c:pt>
                <c:pt idx="3">
                  <c:v>3.5573043478260867E-2</c:v>
                </c:pt>
                <c:pt idx="4">
                  <c:v>3.1594999999999998E-2</c:v>
                </c:pt>
                <c:pt idx="5">
                  <c:v>3.4626666666666674E-2</c:v>
                </c:pt>
              </c:numCache>
            </c:numRef>
          </c:val>
          <c:extLst>
            <c:ext xmlns:c16="http://schemas.microsoft.com/office/drawing/2014/chart" uri="{C3380CC4-5D6E-409C-BE32-E72D297353CC}">
              <c16:uniqueId val="{00000002-C2B1-46EF-9C5D-F8BC39A65FBD}"/>
            </c:ext>
          </c:extLst>
        </c:ser>
        <c:ser>
          <c:idx val="4"/>
          <c:order val="4"/>
          <c:tx>
            <c:strRef>
              <c:f>'[New Microsoft Excel Worksheet (9).xlsx]Sheet3'!$A$6:$B$6</c:f>
              <c:strCache>
                <c:ptCount val="2"/>
                <c:pt idx="0">
                  <c:v>Տրամադրված բյուջետային վարկերի միջին տոկոսադրույքը</c:v>
                </c:pt>
                <c:pt idx="1">
                  <c:v>ԱՄՆ դոլարով</c:v>
                </c:pt>
              </c:strCache>
            </c:strRef>
          </c:tx>
          <c:spPr>
            <a:solidFill>
              <a:schemeClr val="accent5">
                <a:shade val="53000"/>
              </a:schemeClr>
            </a:solidFill>
            <a:ln>
              <a:noFill/>
            </a:ln>
            <a:effectLst/>
          </c:spPr>
          <c:invertIfNegative val="0"/>
          <c:cat>
            <c:strRef>
              <c:f>'[New Microsoft Excel Worksheet (9).xlsx]Sheet3'!$C$1:$H$1</c:f>
              <c:strCache>
                <c:ptCount val="6"/>
                <c:pt idx="0">
                  <c:v>2019 (Դեկտեմբեր)</c:v>
                </c:pt>
                <c:pt idx="1">
                  <c:v>2020 (Դեկտեմբեր)</c:v>
                </c:pt>
                <c:pt idx="2">
                  <c:v>2021 (Դեկտեմբեր)</c:v>
                </c:pt>
                <c:pt idx="3">
                  <c:v>2022 (Դեկտեմբեր)</c:v>
                </c:pt>
                <c:pt idx="4">
                  <c:v>2023 (Դեկտեմբեր)</c:v>
                </c:pt>
                <c:pt idx="5">
                  <c:v>2024 (Փետրվար)</c:v>
                </c:pt>
              </c:strCache>
            </c:strRef>
          </c:cat>
          <c:val>
            <c:numRef>
              <c:f>'[New Microsoft Excel Worksheet (9).xlsx]Sheet3'!$C$6:$H$6</c:f>
              <c:numCache>
                <c:formatCode>0.00%</c:formatCode>
                <c:ptCount val="6"/>
                <c:pt idx="0">
                  <c:v>3.7843750000000009E-2</c:v>
                </c:pt>
                <c:pt idx="1">
                  <c:v>3.9166666666666676E-2</c:v>
                </c:pt>
                <c:pt idx="2">
                  <c:v>2.5625000000000005E-2</c:v>
                </c:pt>
                <c:pt idx="3">
                  <c:v>2.5625000000000005E-2</c:v>
                </c:pt>
                <c:pt idx="4">
                  <c:v>2.5625000000000005E-2</c:v>
                </c:pt>
                <c:pt idx="5">
                  <c:v>3.0625000000000003E-2</c:v>
                </c:pt>
              </c:numCache>
            </c:numRef>
          </c:val>
          <c:extLst>
            <c:ext xmlns:c16="http://schemas.microsoft.com/office/drawing/2014/chart" uri="{C3380CC4-5D6E-409C-BE32-E72D297353CC}">
              <c16:uniqueId val="{00000003-C2B1-46EF-9C5D-F8BC39A65FBD}"/>
            </c:ext>
          </c:extLst>
        </c:ser>
        <c:dLbls>
          <c:showLegendKey val="0"/>
          <c:showVal val="0"/>
          <c:showCatName val="0"/>
          <c:showSerName val="0"/>
          <c:showPercent val="0"/>
          <c:showBubbleSize val="0"/>
        </c:dLbls>
        <c:gapWidth val="219"/>
        <c:axId val="948393567"/>
        <c:axId val="948388991"/>
      </c:barChart>
      <c:lineChart>
        <c:grouping val="standard"/>
        <c:varyColors val="0"/>
        <c:ser>
          <c:idx val="2"/>
          <c:order val="2"/>
          <c:tx>
            <c:strRef>
              <c:f>'[New Microsoft Excel Worksheet (9).xlsx]Sheet3'!$A$4:$B$4</c:f>
              <c:strCache>
                <c:ptCount val="2"/>
                <c:pt idx="0">
                  <c:v>Վերաֆինանսավորման տոկոսադրույք</c:v>
                </c:pt>
              </c:strCache>
            </c:strRef>
          </c:tx>
          <c:spPr>
            <a:ln w="28575" cap="rnd">
              <a:solidFill>
                <a:schemeClr val="accent5"/>
              </a:solidFill>
              <a:round/>
            </a:ln>
            <a:effectLst/>
          </c:spPr>
          <c:marker>
            <c:symbol val="none"/>
          </c:marker>
          <c:dLbls>
            <c:dLbl>
              <c:idx val="0"/>
              <c:layout>
                <c:manualLayout>
                  <c:x val="-4.3187216583891169E-3"/>
                  <c:y val="-3.5859820700896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B1-46EF-9C5D-F8BC39A65FBD}"/>
                </c:ext>
              </c:extLst>
            </c:dLbl>
            <c:dLbl>
              <c:idx val="2"/>
              <c:layout>
                <c:manualLayout>
                  <c:x val="2.1593608291944791E-3"/>
                  <c:y val="9.77995110024443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B1-46EF-9C5D-F8BC39A65FBD}"/>
                </c:ext>
              </c:extLst>
            </c:dLbl>
            <c:dLbl>
              <c:idx val="3"/>
              <c:layout>
                <c:manualLayout>
                  <c:x val="0"/>
                  <c:y val="-1.3039934800325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B1-46EF-9C5D-F8BC39A65FBD}"/>
                </c:ext>
              </c:extLst>
            </c:dLbl>
            <c:dLbl>
              <c:idx val="4"/>
              <c:layout>
                <c:manualLayout>
                  <c:x val="0"/>
                  <c:y val="-1.95599022004890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B1-46EF-9C5D-F8BC39A65FBD}"/>
                </c:ext>
              </c:extLst>
            </c:dLbl>
            <c:dLbl>
              <c:idx val="5"/>
              <c:layout>
                <c:manualLayout>
                  <c:x val="0"/>
                  <c:y val="-6.5199674001629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2B1-46EF-9C5D-F8BC39A65FB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'[New Microsoft Excel Worksheet (9).xlsx]Sheet3'!$C$1:$H$1</c:f>
              <c:strCache>
                <c:ptCount val="6"/>
                <c:pt idx="0">
                  <c:v>2019 (Դեկտեմբեր)</c:v>
                </c:pt>
                <c:pt idx="1">
                  <c:v>2020 (Դեկտեմբեր)</c:v>
                </c:pt>
                <c:pt idx="2">
                  <c:v>2021 (Դեկտեմբեր)</c:v>
                </c:pt>
                <c:pt idx="3">
                  <c:v>2022 (Դեկտեմբեր)</c:v>
                </c:pt>
                <c:pt idx="4">
                  <c:v>2023 (Դեկտեմբեր)</c:v>
                </c:pt>
                <c:pt idx="5">
                  <c:v>2024 (Փետրվար)</c:v>
                </c:pt>
              </c:strCache>
            </c:strRef>
          </c:cat>
          <c:val>
            <c:numRef>
              <c:f>'[New Microsoft Excel Worksheet (9).xlsx]Sheet3'!$C$4:$H$4</c:f>
              <c:numCache>
                <c:formatCode>0.0%</c:formatCode>
                <c:ptCount val="6"/>
                <c:pt idx="0">
                  <c:v>5.5E-2</c:v>
                </c:pt>
                <c:pt idx="1">
                  <c:v>5.2499999999999998E-2</c:v>
                </c:pt>
                <c:pt idx="2">
                  <c:v>7.7499999999999999E-2</c:v>
                </c:pt>
                <c:pt idx="3">
                  <c:v>0.1075</c:v>
                </c:pt>
                <c:pt idx="4">
                  <c:v>9.2499999999999999E-2</c:v>
                </c:pt>
                <c:pt idx="5">
                  <c:v>8.7499999999999994E-2</c:v>
                </c:pt>
              </c:numCache>
            </c:numRef>
          </c:val>
          <c:smooth val="0"/>
          <c:extLst>
            <c:ext xmlns:c16="http://schemas.microsoft.com/office/drawing/2014/chart" uri="{C3380CC4-5D6E-409C-BE32-E72D297353CC}">
              <c16:uniqueId val="{00000009-C2B1-46EF-9C5D-F8BC39A65FBD}"/>
            </c:ext>
          </c:extLst>
        </c:ser>
        <c:dLbls>
          <c:showLegendKey val="0"/>
          <c:showVal val="0"/>
          <c:showCatName val="0"/>
          <c:showSerName val="0"/>
          <c:showPercent val="0"/>
          <c:showBubbleSize val="0"/>
        </c:dLbls>
        <c:marker val="1"/>
        <c:smooth val="0"/>
        <c:axId val="948393567"/>
        <c:axId val="948388991"/>
      </c:lineChart>
      <c:catAx>
        <c:axId val="948393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948388991"/>
        <c:crosses val="autoZero"/>
        <c:auto val="1"/>
        <c:lblAlgn val="ctr"/>
        <c:lblOffset val="100"/>
        <c:noMultiLvlLbl val="0"/>
      </c:catAx>
      <c:valAx>
        <c:axId val="94838899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9483935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percentStacked"/>
        <c:varyColors val="0"/>
        <c:ser>
          <c:idx val="0"/>
          <c:order val="0"/>
          <c:tx>
            <c:strRef>
              <c:f>Sheet1!$B$21</c:f>
              <c:strCache>
                <c:ptCount val="1"/>
                <c:pt idx="0">
                  <c:v>Գրավով</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Sheet1!$A$22:$A$25</c:f>
              <c:strCache>
                <c:ptCount val="4"/>
                <c:pt idx="0">
                  <c:v>2021</c:v>
                </c:pt>
                <c:pt idx="1">
                  <c:v>2022</c:v>
                </c:pt>
                <c:pt idx="2">
                  <c:v>2023</c:v>
                </c:pt>
                <c:pt idx="3">
                  <c:v>2024 (փետրվար)</c:v>
                </c:pt>
              </c:strCache>
            </c:strRef>
          </c:cat>
          <c:val>
            <c:numRef>
              <c:f>Sheet1!$B$22:$B$25</c:f>
              <c:numCache>
                <c:formatCode>0.0%</c:formatCode>
                <c:ptCount val="4"/>
                <c:pt idx="0">
                  <c:v>0.748</c:v>
                </c:pt>
                <c:pt idx="1">
                  <c:v>0.72099999999999997</c:v>
                </c:pt>
                <c:pt idx="2">
                  <c:v>0.74199999999999999</c:v>
                </c:pt>
                <c:pt idx="3">
                  <c:v>0.73599999999999999</c:v>
                </c:pt>
              </c:numCache>
            </c:numRef>
          </c:val>
          <c:extLst>
            <c:ext xmlns:c16="http://schemas.microsoft.com/office/drawing/2014/chart" uri="{C3380CC4-5D6E-409C-BE32-E72D297353CC}">
              <c16:uniqueId val="{00000000-432E-4269-A635-08FE9EB6C9A0}"/>
            </c:ext>
          </c:extLst>
        </c:ser>
        <c:ser>
          <c:idx val="1"/>
          <c:order val="1"/>
          <c:tx>
            <c:strRef>
              <c:f>Sheet1!$C$21</c:f>
              <c:strCache>
                <c:ptCount val="1"/>
                <c:pt idx="0">
                  <c:v>Առանց գրավ</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Sheet1!$A$22:$A$25</c:f>
              <c:strCache>
                <c:ptCount val="4"/>
                <c:pt idx="0">
                  <c:v>2021</c:v>
                </c:pt>
                <c:pt idx="1">
                  <c:v>2022</c:v>
                </c:pt>
                <c:pt idx="2">
                  <c:v>2023</c:v>
                </c:pt>
                <c:pt idx="3">
                  <c:v>2024 (փետրվար)</c:v>
                </c:pt>
              </c:strCache>
            </c:strRef>
          </c:cat>
          <c:val>
            <c:numRef>
              <c:f>Sheet1!$C$22:$C$25</c:f>
              <c:numCache>
                <c:formatCode>0.0%</c:formatCode>
                <c:ptCount val="4"/>
                <c:pt idx="0">
                  <c:v>0.252</c:v>
                </c:pt>
                <c:pt idx="1">
                  <c:v>0.27899999999999997</c:v>
                </c:pt>
                <c:pt idx="2">
                  <c:v>0.25800000000000001</c:v>
                </c:pt>
                <c:pt idx="3">
                  <c:v>0.26400000000000001</c:v>
                </c:pt>
              </c:numCache>
            </c:numRef>
          </c:val>
          <c:extLst>
            <c:ext xmlns:c16="http://schemas.microsoft.com/office/drawing/2014/chart" uri="{C3380CC4-5D6E-409C-BE32-E72D297353CC}">
              <c16:uniqueId val="{00000001-432E-4269-A635-08FE9EB6C9A0}"/>
            </c:ext>
          </c:extLst>
        </c:ser>
        <c:dLbls>
          <c:showLegendKey val="0"/>
          <c:showVal val="0"/>
          <c:showCatName val="0"/>
          <c:showSerName val="0"/>
          <c:showPercent val="0"/>
          <c:showBubbleSize val="0"/>
        </c:dLbls>
        <c:gapWidth val="150"/>
        <c:overlap val="100"/>
        <c:axId val="1007976512"/>
        <c:axId val="1007983168"/>
      </c:barChart>
      <c:catAx>
        <c:axId val="1007976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crossAx val="1007983168"/>
        <c:crosses val="autoZero"/>
        <c:auto val="1"/>
        <c:lblAlgn val="ctr"/>
        <c:lblOffset val="100"/>
        <c:noMultiLvlLbl val="0"/>
      </c:catAx>
      <c:valAx>
        <c:axId val="10079831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crossAx val="1007976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GHEA Grapalat" panose="02000506050000020003" pitchFamily="50" charset="0"/>
        </a:defRPr>
      </a:pPr>
      <a:endParaRPr lang="en-US"/>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76181102362205"/>
          <c:y val="5.0925925925925923E-2"/>
          <c:w val="0.81568263342082237"/>
          <c:h val="0.73577136191309422"/>
        </c:manualLayout>
      </c:layout>
      <c:barChart>
        <c:barDir val="col"/>
        <c:grouping val="clustered"/>
        <c:varyColors val="0"/>
        <c:ser>
          <c:idx val="1"/>
          <c:order val="0"/>
          <c:tx>
            <c:strRef>
              <c:f>'[Chart in Microsoft Word]Գրաֆիկներ'!$B$80</c:f>
              <c:strCache>
                <c:ptCount val="1"/>
                <c:pt idx="0">
                  <c:v>Երաշխիքներ</c:v>
                </c:pt>
              </c:strCache>
            </c:strRef>
          </c:tx>
          <c:spPr>
            <a:solidFill>
              <a:schemeClr val="accent5">
                <a:shade val="76000"/>
              </a:schemeClr>
            </a:solidFill>
            <a:ln>
              <a:noFill/>
            </a:ln>
            <a:effectLst/>
          </c:spPr>
          <c:invertIfNegative val="0"/>
          <c:cat>
            <c:numRef>
              <c:f>'[Chart in Microsoft Word]Գրաֆիկներ'!$A$81:$A$88</c:f>
              <c:numCache>
                <c:formatCode>General</c:formatCode>
                <c:ptCount val="8"/>
                <c:pt idx="0">
                  <c:v>2016</c:v>
                </c:pt>
                <c:pt idx="1">
                  <c:v>2017</c:v>
                </c:pt>
                <c:pt idx="2">
                  <c:v>2018</c:v>
                </c:pt>
                <c:pt idx="3">
                  <c:v>2019</c:v>
                </c:pt>
                <c:pt idx="4">
                  <c:v>2020</c:v>
                </c:pt>
                <c:pt idx="5">
                  <c:v>2021</c:v>
                </c:pt>
                <c:pt idx="6">
                  <c:v>2022</c:v>
                </c:pt>
                <c:pt idx="7">
                  <c:v>2023</c:v>
                </c:pt>
              </c:numCache>
            </c:numRef>
          </c:cat>
          <c:val>
            <c:numRef>
              <c:f>'[Chart in Microsoft Word]Գրաֆիկներ'!$B$81:$B$88</c:f>
              <c:numCache>
                <c:formatCode>_(* #,##0.00_);_(* \(#,##0.00\);_(* "-"??_);_(@_)</c:formatCode>
                <c:ptCount val="8"/>
                <c:pt idx="0">
                  <c:v>74.214136299014001</c:v>
                </c:pt>
                <c:pt idx="1">
                  <c:v>84.654031011865399</c:v>
                </c:pt>
                <c:pt idx="2">
                  <c:v>77.173969375012504</c:v>
                </c:pt>
                <c:pt idx="3">
                  <c:v>65.638326220506002</c:v>
                </c:pt>
                <c:pt idx="4">
                  <c:v>67.558570111706203</c:v>
                </c:pt>
                <c:pt idx="5">
                  <c:v>57.847736319798194</c:v>
                </c:pt>
                <c:pt idx="6">
                  <c:v>46.371916700118803</c:v>
                </c:pt>
                <c:pt idx="7">
                  <c:v>41.423389002871801</c:v>
                </c:pt>
              </c:numCache>
            </c:numRef>
          </c:val>
          <c:extLst>
            <c:ext xmlns:c16="http://schemas.microsoft.com/office/drawing/2014/chart" uri="{C3380CC4-5D6E-409C-BE32-E72D297353CC}">
              <c16:uniqueId val="{00000000-0F1F-465F-88A6-6DF96CC8CA54}"/>
            </c:ext>
          </c:extLst>
        </c:ser>
        <c:dLbls>
          <c:showLegendKey val="0"/>
          <c:showVal val="0"/>
          <c:showCatName val="0"/>
          <c:showSerName val="0"/>
          <c:showPercent val="0"/>
          <c:showBubbleSize val="0"/>
        </c:dLbls>
        <c:gapWidth val="219"/>
        <c:axId val="951651567"/>
        <c:axId val="951658223"/>
      </c:barChart>
      <c:lineChart>
        <c:grouping val="standard"/>
        <c:varyColors val="0"/>
        <c:ser>
          <c:idx val="0"/>
          <c:order val="1"/>
          <c:tx>
            <c:strRef>
              <c:f>'[Chart in Microsoft Word]Գրաֆիկներ'!$C$80</c:f>
              <c:strCache>
                <c:ptCount val="1"/>
                <c:pt idx="0">
                  <c:v>Երաշխիքներ/Կառավարության պարտք</c:v>
                </c:pt>
              </c:strCache>
            </c:strRef>
          </c:tx>
          <c:spPr>
            <a:ln w="28575" cap="rnd">
              <a:solidFill>
                <a:schemeClr val="accent5">
                  <a:tint val="77000"/>
                </a:schemeClr>
              </a:solidFill>
              <a:round/>
            </a:ln>
            <a:effectLst/>
          </c:spPr>
          <c:marker>
            <c:symbol val="none"/>
          </c:marker>
          <c:dLbls>
            <c:dLbl>
              <c:idx val="0"/>
              <c:layout>
                <c:manualLayout>
                  <c:x val="-3.0555555555555555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1F-465F-88A6-6DF96CC8CA54}"/>
                </c:ext>
              </c:extLst>
            </c:dLbl>
            <c:dLbl>
              <c:idx val="3"/>
              <c:layout>
                <c:manualLayout>
                  <c:x val="8.3333333333333332E-3"/>
                  <c:y val="-2.7777777777777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1F-465F-88A6-6DF96CC8CA54}"/>
                </c:ext>
              </c:extLst>
            </c:dLbl>
            <c:dLbl>
              <c:idx val="5"/>
              <c:layout>
                <c:manualLayout>
                  <c:x val="8.3333333333332309E-3"/>
                  <c:y val="-3.2407407407407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1F-465F-88A6-6DF96CC8CA54}"/>
                </c:ext>
              </c:extLst>
            </c:dLbl>
            <c:dLbl>
              <c:idx val="6"/>
              <c:layout>
                <c:manualLayout>
                  <c:x val="8.3333333333333332E-3"/>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1F-465F-88A6-6DF96CC8CA54}"/>
                </c:ext>
              </c:extLst>
            </c:dLbl>
            <c:dLbl>
              <c:idx val="7"/>
              <c:layout>
                <c:manualLayout>
                  <c:x val="-2.1185035858175359E-2"/>
                  <c:y val="-3.2407407407407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1F-465F-88A6-6DF96CC8CA5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Word]Գրաֆիկներ'!$A$81:$A$88</c:f>
              <c:numCache>
                <c:formatCode>General</c:formatCode>
                <c:ptCount val="8"/>
                <c:pt idx="0">
                  <c:v>2016</c:v>
                </c:pt>
                <c:pt idx="1">
                  <c:v>2017</c:v>
                </c:pt>
                <c:pt idx="2">
                  <c:v>2018</c:v>
                </c:pt>
                <c:pt idx="3">
                  <c:v>2019</c:v>
                </c:pt>
                <c:pt idx="4">
                  <c:v>2020</c:v>
                </c:pt>
                <c:pt idx="5">
                  <c:v>2021</c:v>
                </c:pt>
                <c:pt idx="6">
                  <c:v>2022</c:v>
                </c:pt>
                <c:pt idx="7">
                  <c:v>2023</c:v>
                </c:pt>
              </c:numCache>
            </c:numRef>
          </c:cat>
          <c:val>
            <c:numRef>
              <c:f>'[Chart in Microsoft Word]Գրաֆիկներ'!$C$81:$C$88</c:f>
              <c:numCache>
                <c:formatCode>0.00%</c:formatCode>
                <c:ptCount val="8"/>
                <c:pt idx="0">
                  <c:v>2.8203289617319296E-2</c:v>
                </c:pt>
                <c:pt idx="1">
                  <c:v>2.832754350550977E-2</c:v>
                </c:pt>
                <c:pt idx="2">
                  <c:v>2.5036162003248177E-2</c:v>
                </c:pt>
                <c:pt idx="3">
                  <c:v>2.0028171427854027E-2</c:v>
                </c:pt>
                <c:pt idx="4">
                  <c:v>1.7217199753231785E-2</c:v>
                </c:pt>
                <c:pt idx="5">
                  <c:v>1.3741207734286234E-2</c:v>
                </c:pt>
                <c:pt idx="6">
                  <c:v>1.1681466282116736E-2</c:v>
                </c:pt>
                <c:pt idx="7">
                  <c:v>9.060431987329514E-3</c:v>
                </c:pt>
              </c:numCache>
            </c:numRef>
          </c:val>
          <c:smooth val="0"/>
          <c:extLst>
            <c:ext xmlns:c16="http://schemas.microsoft.com/office/drawing/2014/chart" uri="{C3380CC4-5D6E-409C-BE32-E72D297353CC}">
              <c16:uniqueId val="{00000006-0F1F-465F-88A6-6DF96CC8CA54}"/>
            </c:ext>
          </c:extLst>
        </c:ser>
        <c:dLbls>
          <c:showLegendKey val="0"/>
          <c:showVal val="0"/>
          <c:showCatName val="0"/>
          <c:showSerName val="0"/>
          <c:showPercent val="0"/>
          <c:showBubbleSize val="0"/>
        </c:dLbls>
        <c:marker val="1"/>
        <c:smooth val="0"/>
        <c:axId val="218736192"/>
        <c:axId val="218741600"/>
      </c:lineChart>
      <c:catAx>
        <c:axId val="951651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51658223"/>
        <c:crosses val="autoZero"/>
        <c:auto val="1"/>
        <c:lblAlgn val="ctr"/>
        <c:lblOffset val="100"/>
        <c:noMultiLvlLbl val="0"/>
      </c:catAx>
      <c:valAx>
        <c:axId val="951658223"/>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51651567"/>
        <c:crosses val="autoZero"/>
        <c:crossBetween val="between"/>
      </c:valAx>
      <c:valAx>
        <c:axId val="21874160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8736192"/>
        <c:crosses val="max"/>
        <c:crossBetween val="between"/>
      </c:valAx>
      <c:catAx>
        <c:axId val="218736192"/>
        <c:scaling>
          <c:orientation val="minMax"/>
        </c:scaling>
        <c:delete val="1"/>
        <c:axPos val="b"/>
        <c:numFmt formatCode="General" sourceLinked="1"/>
        <c:majorTickMark val="out"/>
        <c:minorTickMark val="none"/>
        <c:tickLblPos val="nextTo"/>
        <c:crossAx val="2187416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90033979737642"/>
          <c:y val="6.6493995043935883E-2"/>
          <c:w val="0.86270095598017105"/>
          <c:h val="0.5922537355309736"/>
        </c:manualLayout>
      </c:layout>
      <c:barChart>
        <c:barDir val="col"/>
        <c:grouping val="stacked"/>
        <c:varyColors val="0"/>
        <c:ser>
          <c:idx val="1"/>
          <c:order val="1"/>
          <c:tx>
            <c:strRef>
              <c:f>Sheet1!$D$1</c:f>
              <c:strCache>
                <c:ptCount val="1"/>
                <c:pt idx="0">
                  <c:v>Զուտ հարկեր</c:v>
                </c:pt>
              </c:strCache>
            </c:strRef>
          </c:tx>
          <c:spPr>
            <a:solidFill>
              <a:srgbClr val="4472C4">
                <a:lumMod val="50000"/>
              </a:srgb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Sheet1!$D$2:$D$6</c:f>
              <c:numCache>
                <c:formatCode>0.0</c:formatCode>
                <c:ptCount val="5"/>
                <c:pt idx="0">
                  <c:v>1.5228521641499129</c:v>
                </c:pt>
                <c:pt idx="1">
                  <c:v>1.9001913360461862</c:v>
                </c:pt>
                <c:pt idx="2">
                  <c:v>1.3713164465260301</c:v>
                </c:pt>
                <c:pt idx="3">
                  <c:v>1.1362632425559007</c:v>
                </c:pt>
                <c:pt idx="4">
                  <c:v>0.06</c:v>
                </c:pt>
              </c:numCache>
            </c:numRef>
          </c:val>
          <c:extLst>
            <c:ext xmlns:c16="http://schemas.microsoft.com/office/drawing/2014/chart" uri="{C3380CC4-5D6E-409C-BE32-E72D297353CC}">
              <c16:uniqueId val="{00000000-0EA0-4044-A56F-B9B262444C0D}"/>
            </c:ext>
          </c:extLst>
        </c:ser>
        <c:ser>
          <c:idx val="2"/>
          <c:order val="2"/>
          <c:tx>
            <c:strRef>
              <c:f>Sheet1!$E$1</c:f>
              <c:strCache>
                <c:ptCount val="1"/>
                <c:pt idx="0">
                  <c:v>Արդյունաբերություն</c:v>
                </c:pt>
              </c:strCache>
            </c:strRef>
          </c:tx>
          <c:spPr>
            <a:solidFill>
              <a:srgbClr val="4472C4">
                <a:lumMod val="40000"/>
                <a:lumOff val="60000"/>
              </a:srgb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Sheet1!$E$2:$E$6</c:f>
              <c:numCache>
                <c:formatCode>0.0</c:formatCode>
                <c:ptCount val="5"/>
                <c:pt idx="0">
                  <c:v>0.56321950492726847</c:v>
                </c:pt>
                <c:pt idx="1">
                  <c:v>-0.25047575499647484</c:v>
                </c:pt>
                <c:pt idx="2">
                  <c:v>-0.47253863415987768</c:v>
                </c:pt>
                <c:pt idx="3">
                  <c:v>4.1265061846431136E-3</c:v>
                </c:pt>
                <c:pt idx="4">
                  <c:v>3.86</c:v>
                </c:pt>
              </c:numCache>
            </c:numRef>
          </c:val>
          <c:extLst>
            <c:ext xmlns:c16="http://schemas.microsoft.com/office/drawing/2014/chart" uri="{C3380CC4-5D6E-409C-BE32-E72D297353CC}">
              <c16:uniqueId val="{00000001-0EA0-4044-A56F-B9B262444C0D}"/>
            </c:ext>
          </c:extLst>
        </c:ser>
        <c:ser>
          <c:idx val="3"/>
          <c:order val="3"/>
          <c:tx>
            <c:strRef>
              <c:f>Sheet1!$F$1</c:f>
              <c:strCache>
                <c:ptCount val="1"/>
                <c:pt idx="0">
                  <c:v>Գյուղատնտեսություն</c:v>
                </c:pt>
              </c:strCache>
            </c:strRef>
          </c:tx>
          <c:spPr>
            <a:solidFill>
              <a:schemeClr val="accent4"/>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Sheet1!$F$2:$F$6</c:f>
              <c:numCache>
                <c:formatCode>0.0</c:formatCode>
                <c:ptCount val="5"/>
                <c:pt idx="0">
                  <c:v>0.15021909371584272</c:v>
                </c:pt>
                <c:pt idx="1">
                  <c:v>0.17583305438362443</c:v>
                </c:pt>
                <c:pt idx="2">
                  <c:v>0.3485983862659694</c:v>
                </c:pt>
                <c:pt idx="3">
                  <c:v>0.29268121415881537</c:v>
                </c:pt>
                <c:pt idx="4">
                  <c:v>0.18</c:v>
                </c:pt>
              </c:numCache>
            </c:numRef>
          </c:val>
          <c:extLst>
            <c:ext xmlns:c16="http://schemas.microsoft.com/office/drawing/2014/chart" uri="{C3380CC4-5D6E-409C-BE32-E72D297353CC}">
              <c16:uniqueId val="{00000002-0EA0-4044-A56F-B9B262444C0D}"/>
            </c:ext>
          </c:extLst>
        </c:ser>
        <c:ser>
          <c:idx val="4"/>
          <c:order val="4"/>
          <c:tx>
            <c:strRef>
              <c:f>Sheet1!$G$1</c:f>
              <c:strCache>
                <c:ptCount val="1"/>
                <c:pt idx="0">
                  <c:v>Շինարարություն</c:v>
                </c:pt>
              </c:strCache>
            </c:strRef>
          </c:tx>
          <c:spPr>
            <a:solidFill>
              <a:sysClr val="window" lastClr="FFFFFF">
                <a:lumMod val="65000"/>
              </a:sys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Sheet1!$G$2:$G$6</c:f>
              <c:numCache>
                <c:formatCode>0.0</c:formatCode>
                <c:ptCount val="5"/>
                <c:pt idx="0">
                  <c:v>0.55036162168256575</c:v>
                </c:pt>
                <c:pt idx="1">
                  <c:v>0.85091719385717146</c:v>
                </c:pt>
                <c:pt idx="2">
                  <c:v>1.0132065952703742</c:v>
                </c:pt>
                <c:pt idx="3">
                  <c:v>1.0820046150661993</c:v>
                </c:pt>
                <c:pt idx="4">
                  <c:v>0.51</c:v>
                </c:pt>
              </c:numCache>
            </c:numRef>
          </c:val>
          <c:extLst>
            <c:ext xmlns:c16="http://schemas.microsoft.com/office/drawing/2014/chart" uri="{C3380CC4-5D6E-409C-BE32-E72D297353CC}">
              <c16:uniqueId val="{00000003-0EA0-4044-A56F-B9B262444C0D}"/>
            </c:ext>
          </c:extLst>
        </c:ser>
        <c:ser>
          <c:idx val="5"/>
          <c:order val="5"/>
          <c:tx>
            <c:strRef>
              <c:f>Sheet1!$H$1</c:f>
              <c:strCache>
                <c:ptCount val="1"/>
                <c:pt idx="0">
                  <c:v>Ծառայություններ</c:v>
                </c:pt>
              </c:strCache>
            </c:strRef>
          </c:tx>
          <c:spPr>
            <a:solidFill>
              <a:srgbClr val="ED7D31">
                <a:lumMod val="60000"/>
                <a:lumOff val="40000"/>
              </a:srgbClr>
            </a:solidFill>
            <a:ln>
              <a:noFill/>
            </a:ln>
            <a:effectLst/>
          </c:spPr>
          <c:invertIfNegative val="0"/>
          <c:cat>
            <c:strRef>
              <c:f>Sheet1!$B$2:$B$6</c:f>
              <c:strCache>
                <c:ptCount val="5"/>
                <c:pt idx="0">
                  <c:v>I եռ.</c:v>
                </c:pt>
                <c:pt idx="1">
                  <c:v>II եռ.</c:v>
                </c:pt>
                <c:pt idx="2">
                  <c:v>III եռ.</c:v>
                </c:pt>
                <c:pt idx="3">
                  <c:v>IV եռ.</c:v>
                </c:pt>
                <c:pt idx="4">
                  <c:v>I եռ.</c:v>
                </c:pt>
              </c:strCache>
            </c:strRef>
          </c:cat>
          <c:val>
            <c:numRef>
              <c:f>Sheet1!$H$2:$H$6</c:f>
              <c:numCache>
                <c:formatCode>0.0</c:formatCode>
                <c:ptCount val="5"/>
                <c:pt idx="0">
                  <c:v>9.058334965595277</c:v>
                </c:pt>
                <c:pt idx="1">
                  <c:v>7.811809568268683</c:v>
                </c:pt>
                <c:pt idx="2">
                  <c:v>6.9767638423279443</c:v>
                </c:pt>
                <c:pt idx="3">
                  <c:v>6.1849244220344444</c:v>
                </c:pt>
                <c:pt idx="4">
                  <c:v>4.57</c:v>
                </c:pt>
              </c:numCache>
            </c:numRef>
          </c:val>
          <c:extLst>
            <c:ext xmlns:c16="http://schemas.microsoft.com/office/drawing/2014/chart" uri="{C3380CC4-5D6E-409C-BE32-E72D297353CC}">
              <c16:uniqueId val="{00000004-0EA0-4044-A56F-B9B262444C0D}"/>
            </c:ext>
          </c:extLst>
        </c:ser>
        <c:dLbls>
          <c:showLegendKey val="0"/>
          <c:showVal val="0"/>
          <c:showCatName val="0"/>
          <c:showSerName val="0"/>
          <c:showPercent val="0"/>
          <c:showBubbleSize val="0"/>
        </c:dLbls>
        <c:gapWidth val="219"/>
        <c:overlap val="100"/>
        <c:axId val="219419392"/>
        <c:axId val="219420928"/>
      </c:barChart>
      <c:lineChart>
        <c:grouping val="standard"/>
        <c:varyColors val="0"/>
        <c:ser>
          <c:idx val="0"/>
          <c:order val="0"/>
          <c:tx>
            <c:strRef>
              <c:f>Sheet1!$C$1</c:f>
              <c:strCache>
                <c:ptCount val="1"/>
                <c:pt idx="0">
                  <c:v>ՀՆԱ</c:v>
                </c:pt>
              </c:strCache>
            </c:strRef>
          </c:tx>
          <c:spPr>
            <a:ln w="28575" cap="rnd">
              <a:solidFill>
                <a:srgbClr val="4472C4">
                  <a:lumMod val="50000"/>
                </a:srgbClr>
              </a:solidFill>
              <a:round/>
            </a:ln>
            <a:effectLst/>
          </c:spPr>
          <c:marker>
            <c:symbol val="circle"/>
            <c:size val="5"/>
            <c:spPr>
              <a:solidFill>
                <a:srgbClr val="4472C4">
                  <a:lumMod val="50000"/>
                </a:srgbClr>
              </a:solidFill>
              <a:ln w="9525">
                <a:solidFill>
                  <a:srgbClr val="4472C4">
                    <a:lumMod val="50000"/>
                  </a:srgbClr>
                </a:solidFill>
              </a:ln>
              <a:effectLst/>
            </c:spPr>
          </c:marker>
          <c:dLbls>
            <c:dLbl>
              <c:idx val="1"/>
              <c:layout>
                <c:manualLayout>
                  <c:x val="-6.6039798819155962E-2"/>
                  <c:y val="-6.43478416600502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A0-4044-A56F-B9B262444C0D}"/>
                </c:ext>
              </c:extLst>
            </c:dLbl>
            <c:dLbl>
              <c:idx val="2"/>
              <c:layout>
                <c:manualLayout>
                  <c:x val="-6.6739558276842414E-2"/>
                  <c:y val="-5.6766340522825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A0-4044-A56F-B9B262444C0D}"/>
                </c:ext>
              </c:extLst>
            </c:dLbl>
            <c:dLbl>
              <c:idx val="3"/>
              <c:layout>
                <c:manualLayout>
                  <c:x val="-6.2409796632407769E-2"/>
                  <c:y val="-5.6766340522825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A0-4044-A56F-B9B262444C0D}"/>
                </c:ext>
              </c:extLst>
            </c:dLbl>
            <c:dLbl>
              <c:idx val="4"/>
              <c:layout>
                <c:manualLayout>
                  <c:x val="-6.2366061666302208E-2"/>
                  <c:y val="-5.6766340522825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EA0-4044-A56F-B9B262444C0D}"/>
                </c:ext>
              </c:extLst>
            </c:dLbl>
            <c:spPr>
              <a:noFill/>
              <a:ln>
                <a:noFill/>
              </a:ln>
              <a:effectLst/>
            </c:spPr>
            <c:txPr>
              <a:bodyPr rot="0" vert="horz"/>
              <a:lstStyle/>
              <a:p>
                <a:pPr>
                  <a:defRPr sz="8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Sheet1!$A$2:$B$6</c:f>
              <c:multiLvlStrCache>
                <c:ptCount val="5"/>
                <c:lvl>
                  <c:pt idx="0">
                    <c:v>I եռ.</c:v>
                  </c:pt>
                  <c:pt idx="1">
                    <c:v>II եռ.</c:v>
                  </c:pt>
                  <c:pt idx="2">
                    <c:v>III եռ.</c:v>
                  </c:pt>
                  <c:pt idx="3">
                    <c:v>IV եռ.</c:v>
                  </c:pt>
                  <c:pt idx="4">
                    <c:v>I եռ.</c:v>
                  </c:pt>
                </c:lvl>
                <c:lvl>
                  <c:pt idx="0">
                    <c:v>2023</c:v>
                  </c:pt>
                  <c:pt idx="4">
                    <c:v>2024</c:v>
                  </c:pt>
                </c:lvl>
              </c:multiLvlStrCache>
            </c:multiLvlStrRef>
          </c:cat>
          <c:val>
            <c:numRef>
              <c:f>Sheet1!$C$2:$C$6</c:f>
              <c:numCache>
                <c:formatCode>0.0</c:formatCode>
                <c:ptCount val="5"/>
                <c:pt idx="0">
                  <c:v>11.844987350070866</c:v>
                </c:pt>
                <c:pt idx="1">
                  <c:v>10.488275397559191</c:v>
                </c:pt>
                <c:pt idx="2">
                  <c:v>9.2373466362304413</c:v>
                </c:pt>
                <c:pt idx="3">
                  <c:v>8.7000000000000028</c:v>
                </c:pt>
                <c:pt idx="4">
                  <c:v>9.18</c:v>
                </c:pt>
              </c:numCache>
            </c:numRef>
          </c:val>
          <c:smooth val="0"/>
          <c:extLst>
            <c:ext xmlns:c16="http://schemas.microsoft.com/office/drawing/2014/chart" uri="{C3380CC4-5D6E-409C-BE32-E72D297353CC}">
              <c16:uniqueId val="{00000009-0EA0-4044-A56F-B9B262444C0D}"/>
            </c:ext>
          </c:extLst>
        </c:ser>
        <c:dLbls>
          <c:showLegendKey val="0"/>
          <c:showVal val="0"/>
          <c:showCatName val="0"/>
          <c:showSerName val="0"/>
          <c:showPercent val="0"/>
          <c:showBubbleSize val="0"/>
        </c:dLbls>
        <c:marker val="1"/>
        <c:smooth val="0"/>
        <c:axId val="219419392"/>
        <c:axId val="219420928"/>
      </c:lineChart>
      <c:catAx>
        <c:axId val="21941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600"/>
            </a:pPr>
            <a:endParaRPr lang="en-US"/>
          </a:p>
        </c:txPr>
        <c:crossAx val="219420928"/>
        <c:crosses val="autoZero"/>
        <c:auto val="1"/>
        <c:lblAlgn val="ctr"/>
        <c:lblOffset val="0"/>
        <c:noMultiLvlLbl val="0"/>
      </c:catAx>
      <c:valAx>
        <c:axId val="219420928"/>
        <c:scaling>
          <c:orientation val="minMax"/>
          <c:max val="13"/>
          <c:min val="-1.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chemeClr val="tx1">
                    <a:lumMod val="65000"/>
                    <a:lumOff val="35000"/>
                  </a:schemeClr>
                </a:solidFill>
              </a:defRPr>
            </a:pPr>
            <a:endParaRPr lang="en-US"/>
          </a:p>
        </c:txPr>
        <c:crossAx val="219419392"/>
        <c:crosses val="autoZero"/>
        <c:crossBetween val="between"/>
        <c:majorUnit val="1.5"/>
        <c:minorUnit val="1"/>
      </c:valAx>
      <c:spPr>
        <a:noFill/>
        <a:ln>
          <a:noFill/>
        </a:ln>
        <a:effectLst/>
      </c:spPr>
    </c:plotArea>
    <c:legend>
      <c:legendPos val="b"/>
      <c:layout>
        <c:manualLayout>
          <c:xMode val="edge"/>
          <c:yMode val="edge"/>
          <c:x val="4.8648018769902046E-2"/>
          <c:y val="0.76343985242936374"/>
          <c:w val="0.95135189902732742"/>
          <c:h val="0.23208228615092558"/>
        </c:manualLayout>
      </c:layout>
      <c:overlay val="0"/>
      <c:spPr>
        <a:noFill/>
        <a:ln>
          <a:noFill/>
        </a:ln>
        <a:effectLst/>
      </c:spPr>
      <c:txPr>
        <a:bodyPr rot="0" vert="horz"/>
        <a:lstStyle/>
        <a:p>
          <a:pPr>
            <a:defRPr sz="6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a:solidFill>
        <a:srgbClr val="E7E6E6"/>
      </a:solidFill>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bar"/>
        <c:grouping val="percentStacked"/>
        <c:varyColors val="0"/>
        <c:ser>
          <c:idx val="0"/>
          <c:order val="0"/>
          <c:tx>
            <c:strRef>
              <c:f>Գրաֆիկներ!$B$96</c:f>
              <c:strCache>
                <c:ptCount val="1"/>
                <c:pt idx="0">
                  <c:v>Ներքին</c:v>
                </c:pt>
              </c:strCache>
            </c:strRef>
          </c:tx>
          <c:spPr>
            <a:solidFill>
              <a:schemeClr val="accent5">
                <a:tint val="77000"/>
              </a:schemeClr>
            </a:solidFill>
            <a:ln>
              <a:no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0-8B4C-4BF8-93B1-FB034285DD30}"/>
                </c:ext>
              </c:extLst>
            </c:dLbl>
            <c:dLbl>
              <c:idx val="4"/>
              <c:delete val="1"/>
              <c:extLst>
                <c:ext xmlns:c15="http://schemas.microsoft.com/office/drawing/2012/chart" uri="{CE6537A1-D6FC-4f65-9D91-7224C49458BB}"/>
                <c:ext xmlns:c16="http://schemas.microsoft.com/office/drawing/2014/chart" uri="{C3380CC4-5D6E-409C-BE32-E72D297353CC}">
                  <c16:uniqueId val="{00000001-8B4C-4BF8-93B1-FB034285DD3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Գրաֆիկներ!$A$97:$A$104</c:f>
              <c:numCache>
                <c:formatCode>General</c:formatCode>
                <c:ptCount val="8"/>
                <c:pt idx="0">
                  <c:v>2016</c:v>
                </c:pt>
                <c:pt idx="1">
                  <c:v>2017</c:v>
                </c:pt>
                <c:pt idx="2">
                  <c:v>2018</c:v>
                </c:pt>
                <c:pt idx="3">
                  <c:v>2019</c:v>
                </c:pt>
                <c:pt idx="4">
                  <c:v>2020</c:v>
                </c:pt>
                <c:pt idx="5">
                  <c:v>2021</c:v>
                </c:pt>
                <c:pt idx="6">
                  <c:v>2022</c:v>
                </c:pt>
                <c:pt idx="7">
                  <c:v>2023</c:v>
                </c:pt>
              </c:numCache>
            </c:numRef>
          </c:cat>
          <c:val>
            <c:numRef>
              <c:f>Գրաֆիկներ!$B$97:$B$104</c:f>
              <c:numCache>
                <c:formatCode>0.0%</c:formatCode>
                <c:ptCount val="8"/>
                <c:pt idx="0">
                  <c:v>4.5646020676589176E-2</c:v>
                </c:pt>
                <c:pt idx="1">
                  <c:v>5.1467129774237466E-2</c:v>
                </c:pt>
                <c:pt idx="2">
                  <c:v>5.6414747553592381E-2</c:v>
                </c:pt>
                <c:pt idx="3">
                  <c:v>0</c:v>
                </c:pt>
                <c:pt idx="4">
                  <c:v>0</c:v>
                </c:pt>
                <c:pt idx="5">
                  <c:v>9.2559922663170507E-2</c:v>
                </c:pt>
                <c:pt idx="6">
                  <c:v>0.19766494742493004</c:v>
                </c:pt>
                <c:pt idx="7">
                  <c:v>0.17325783507241371</c:v>
                </c:pt>
              </c:numCache>
            </c:numRef>
          </c:val>
          <c:extLst>
            <c:ext xmlns:c16="http://schemas.microsoft.com/office/drawing/2014/chart" uri="{C3380CC4-5D6E-409C-BE32-E72D297353CC}">
              <c16:uniqueId val="{00000002-8B4C-4BF8-93B1-FB034285DD30}"/>
            </c:ext>
          </c:extLst>
        </c:ser>
        <c:ser>
          <c:idx val="1"/>
          <c:order val="1"/>
          <c:tx>
            <c:strRef>
              <c:f>Գրաֆիկներ!$C$96</c:f>
              <c:strCache>
                <c:ptCount val="1"/>
                <c:pt idx="0">
                  <c:v>Արտաքին</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Գրաֆիկներ!$A$97:$A$104</c:f>
              <c:numCache>
                <c:formatCode>General</c:formatCode>
                <c:ptCount val="8"/>
                <c:pt idx="0">
                  <c:v>2016</c:v>
                </c:pt>
                <c:pt idx="1">
                  <c:v>2017</c:v>
                </c:pt>
                <c:pt idx="2">
                  <c:v>2018</c:v>
                </c:pt>
                <c:pt idx="3">
                  <c:v>2019</c:v>
                </c:pt>
                <c:pt idx="4">
                  <c:v>2020</c:v>
                </c:pt>
                <c:pt idx="5">
                  <c:v>2021</c:v>
                </c:pt>
                <c:pt idx="6">
                  <c:v>2022</c:v>
                </c:pt>
                <c:pt idx="7">
                  <c:v>2023</c:v>
                </c:pt>
              </c:numCache>
            </c:numRef>
          </c:cat>
          <c:val>
            <c:numRef>
              <c:f>Գրաֆիկներ!$C$97:$C$104</c:f>
              <c:numCache>
                <c:formatCode>0.0%</c:formatCode>
                <c:ptCount val="8"/>
                <c:pt idx="0">
                  <c:v>0.95435397932341071</c:v>
                </c:pt>
                <c:pt idx="1">
                  <c:v>0.94853287022576249</c:v>
                </c:pt>
                <c:pt idx="2">
                  <c:v>0.94358525244640756</c:v>
                </c:pt>
                <c:pt idx="3">
                  <c:v>1</c:v>
                </c:pt>
                <c:pt idx="4">
                  <c:v>1</c:v>
                </c:pt>
                <c:pt idx="5">
                  <c:v>0.9074400773368293</c:v>
                </c:pt>
                <c:pt idx="6">
                  <c:v>0.80233505257506987</c:v>
                </c:pt>
                <c:pt idx="7">
                  <c:v>0.82674216492758612</c:v>
                </c:pt>
              </c:numCache>
            </c:numRef>
          </c:val>
          <c:extLst>
            <c:ext xmlns:c16="http://schemas.microsoft.com/office/drawing/2014/chart" uri="{C3380CC4-5D6E-409C-BE32-E72D297353CC}">
              <c16:uniqueId val="{00000003-8B4C-4BF8-93B1-FB034285DD30}"/>
            </c:ext>
          </c:extLst>
        </c:ser>
        <c:dLbls>
          <c:showLegendKey val="0"/>
          <c:showVal val="0"/>
          <c:showCatName val="0"/>
          <c:showSerName val="0"/>
          <c:showPercent val="0"/>
          <c:showBubbleSize val="0"/>
        </c:dLbls>
        <c:gapWidth val="150"/>
        <c:overlap val="100"/>
        <c:axId val="828119919"/>
        <c:axId val="828120335"/>
      </c:barChart>
      <c:catAx>
        <c:axId val="8281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28120335"/>
        <c:crosses val="autoZero"/>
        <c:auto val="1"/>
        <c:lblAlgn val="ctr"/>
        <c:lblOffset val="100"/>
        <c:noMultiLvlLbl val="0"/>
      </c:catAx>
      <c:valAx>
        <c:axId val="82812033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281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2">
          <a:lumMod val="20000"/>
          <a:lumOff val="80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Sheet1!$B$1</c:f>
              <c:strCache>
                <c:ptCount val="1"/>
                <c:pt idx="0">
                  <c:v>Կշիռը</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2016</c:v>
                </c:pt>
                <c:pt idx="1">
                  <c:v>2017</c:v>
                </c:pt>
                <c:pt idx="2">
                  <c:v>2018</c:v>
                </c:pt>
                <c:pt idx="3">
                  <c:v>2019</c:v>
                </c:pt>
                <c:pt idx="4">
                  <c:v>2020</c:v>
                </c:pt>
                <c:pt idx="5">
                  <c:v>2021</c:v>
                </c:pt>
                <c:pt idx="6">
                  <c:v>2022</c:v>
                </c:pt>
                <c:pt idx="7">
                  <c:v>2023</c:v>
                </c:pt>
              </c:numCache>
            </c:numRef>
          </c:cat>
          <c:val>
            <c:numRef>
              <c:f>Sheet1!$B$2:$B$9</c:f>
              <c:numCache>
                <c:formatCode>0.00%</c:formatCode>
                <c:ptCount val="8"/>
                <c:pt idx="0">
                  <c:v>6.9500000000000006E-2</c:v>
                </c:pt>
                <c:pt idx="1">
                  <c:v>7.8399999999999997E-2</c:v>
                </c:pt>
                <c:pt idx="2">
                  <c:v>6.6600000000000006E-2</c:v>
                </c:pt>
                <c:pt idx="3">
                  <c:v>5.2200000000000003E-2</c:v>
                </c:pt>
                <c:pt idx="4">
                  <c:v>4.6100000000000002E-2</c:v>
                </c:pt>
                <c:pt idx="5">
                  <c:v>4.1799999999999997E-2</c:v>
                </c:pt>
                <c:pt idx="6">
                  <c:v>2.92E-2</c:v>
                </c:pt>
                <c:pt idx="7">
                  <c:v>2.1499999999999998E-2</c:v>
                </c:pt>
              </c:numCache>
            </c:numRef>
          </c:val>
          <c:extLst>
            <c:ext xmlns:c16="http://schemas.microsoft.com/office/drawing/2014/chart" uri="{C3380CC4-5D6E-409C-BE32-E72D297353CC}">
              <c16:uniqueId val="{00000000-E9C7-4F9A-B58A-FF0A1F43B70F}"/>
            </c:ext>
          </c:extLst>
        </c:ser>
        <c:dLbls>
          <c:showLegendKey val="0"/>
          <c:showVal val="0"/>
          <c:showCatName val="0"/>
          <c:showSerName val="0"/>
          <c:showPercent val="0"/>
          <c:showBubbleSize val="0"/>
        </c:dLbls>
        <c:gapWidth val="219"/>
        <c:overlap val="-27"/>
        <c:axId val="1008116864"/>
        <c:axId val="1008121440"/>
      </c:barChart>
      <c:lineChart>
        <c:grouping val="standard"/>
        <c:varyColors val="0"/>
        <c:ser>
          <c:idx val="1"/>
          <c:order val="1"/>
          <c:tx>
            <c:strRef>
              <c:f>Sheet1!$C$1</c:f>
              <c:strCache>
                <c:ptCount val="1"/>
                <c:pt idx="0">
                  <c:v>Սահմանային շեմ</c:v>
                </c:pt>
              </c:strCache>
            </c:strRef>
          </c:tx>
          <c:spPr>
            <a:ln w="15875" cap="rnd">
              <a:solidFill>
                <a:srgbClr val="FF0000"/>
              </a:solidFill>
              <a:prstDash val="sysDot"/>
              <a:round/>
            </a:ln>
            <a:effectLst/>
          </c:spPr>
          <c:marker>
            <c:symbol val="none"/>
          </c:marker>
          <c:cat>
            <c:numRef>
              <c:f>Sheet1!$A$2:$A$9</c:f>
              <c:numCache>
                <c:formatCode>General</c:formatCode>
                <c:ptCount val="8"/>
                <c:pt idx="0">
                  <c:v>2016</c:v>
                </c:pt>
                <c:pt idx="1">
                  <c:v>2017</c:v>
                </c:pt>
                <c:pt idx="2">
                  <c:v>2018</c:v>
                </c:pt>
                <c:pt idx="3">
                  <c:v>2019</c:v>
                </c:pt>
                <c:pt idx="4">
                  <c:v>2020</c:v>
                </c:pt>
                <c:pt idx="5">
                  <c:v>2021</c:v>
                </c:pt>
                <c:pt idx="6">
                  <c:v>2022</c:v>
                </c:pt>
                <c:pt idx="7">
                  <c:v>2023</c:v>
                </c:pt>
              </c:numCache>
            </c:numRef>
          </c:cat>
          <c:val>
            <c:numRef>
              <c:f>Sheet1!$C$2:$C$9</c:f>
              <c:numCache>
                <c:formatCode>0%</c:formatCode>
                <c:ptCount val="8"/>
                <c:pt idx="0">
                  <c:v>0.1</c:v>
                </c:pt>
                <c:pt idx="1">
                  <c:v>0.1</c:v>
                </c:pt>
                <c:pt idx="2">
                  <c:v>0.1</c:v>
                </c:pt>
                <c:pt idx="3">
                  <c:v>0.1</c:v>
                </c:pt>
                <c:pt idx="4">
                  <c:v>0.1</c:v>
                </c:pt>
                <c:pt idx="5">
                  <c:v>0.1</c:v>
                </c:pt>
                <c:pt idx="6">
                  <c:v>0.1</c:v>
                </c:pt>
                <c:pt idx="7">
                  <c:v>0.1</c:v>
                </c:pt>
              </c:numCache>
            </c:numRef>
          </c:val>
          <c:smooth val="0"/>
          <c:extLst>
            <c:ext xmlns:c16="http://schemas.microsoft.com/office/drawing/2014/chart" uri="{C3380CC4-5D6E-409C-BE32-E72D297353CC}">
              <c16:uniqueId val="{00000001-E9C7-4F9A-B58A-FF0A1F43B70F}"/>
            </c:ext>
          </c:extLst>
        </c:ser>
        <c:dLbls>
          <c:showLegendKey val="0"/>
          <c:showVal val="0"/>
          <c:showCatName val="0"/>
          <c:showSerName val="0"/>
          <c:showPercent val="0"/>
          <c:showBubbleSize val="0"/>
        </c:dLbls>
        <c:marker val="1"/>
        <c:smooth val="0"/>
        <c:axId val="1008116864"/>
        <c:axId val="1008121440"/>
      </c:lineChart>
      <c:catAx>
        <c:axId val="1008116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08121440"/>
        <c:crosses val="autoZero"/>
        <c:auto val="1"/>
        <c:lblAlgn val="ctr"/>
        <c:lblOffset val="100"/>
        <c:noMultiLvlLbl val="0"/>
      </c:catAx>
      <c:valAx>
        <c:axId val="10081214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08116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c:f>
              <c:strCache>
                <c:ptCount val="1"/>
                <c:pt idx="0">
                  <c:v>Արտակարգ դեպքեր</c:v>
                </c:pt>
              </c:strCache>
            </c:strRef>
          </c:tx>
          <c:spPr>
            <a:solidFill>
              <a:srgbClr val="0070C0"/>
            </a:solidFill>
            <a:ln w="9525">
              <a:solidFill>
                <a:schemeClr val="bg1"/>
              </a:solidFill>
            </a:ln>
            <a:effectLst/>
          </c:spPr>
          <c:invertIfNegative val="0"/>
          <c:cat>
            <c:numRef>
              <c:f>Sheet1!$B$1:$E$1</c:f>
              <c:numCache>
                <c:formatCode>General</c:formatCode>
                <c:ptCount val="4"/>
                <c:pt idx="0">
                  <c:v>2019</c:v>
                </c:pt>
                <c:pt idx="1">
                  <c:v>2020</c:v>
                </c:pt>
                <c:pt idx="2">
                  <c:v>2021</c:v>
                </c:pt>
                <c:pt idx="3">
                  <c:v>2022</c:v>
                </c:pt>
              </c:numCache>
            </c:numRef>
          </c:cat>
          <c:val>
            <c:numRef>
              <c:f>Sheet1!$B$2:$E$2</c:f>
              <c:numCache>
                <c:formatCode>#,##0</c:formatCode>
                <c:ptCount val="4"/>
                <c:pt idx="0">
                  <c:v>20889</c:v>
                </c:pt>
                <c:pt idx="1">
                  <c:v>15216</c:v>
                </c:pt>
                <c:pt idx="2">
                  <c:v>14875</c:v>
                </c:pt>
                <c:pt idx="3">
                  <c:v>14262</c:v>
                </c:pt>
              </c:numCache>
            </c:numRef>
          </c:val>
          <c:extLst>
            <c:ext xmlns:c16="http://schemas.microsoft.com/office/drawing/2014/chart" uri="{C3380CC4-5D6E-409C-BE32-E72D297353CC}">
              <c16:uniqueId val="{00000000-F531-4F3D-8115-B607F40D8953}"/>
            </c:ext>
          </c:extLst>
        </c:ser>
        <c:dLbls>
          <c:showLegendKey val="0"/>
          <c:showVal val="0"/>
          <c:showCatName val="0"/>
          <c:showSerName val="0"/>
          <c:showPercent val="0"/>
          <c:showBubbleSize val="0"/>
        </c:dLbls>
        <c:gapWidth val="85"/>
        <c:overlap val="88"/>
        <c:axId val="504567296"/>
        <c:axId val="504568608"/>
      </c:barChart>
      <c:catAx>
        <c:axId val="50456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4568608"/>
        <c:crosses val="autoZero"/>
        <c:auto val="1"/>
        <c:lblAlgn val="ctr"/>
        <c:lblOffset val="100"/>
        <c:noMultiLvlLbl val="0"/>
      </c:catAx>
      <c:valAx>
        <c:axId val="504568608"/>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456729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407111056357465E-2"/>
          <c:y val="3.2187936306956606E-2"/>
          <c:w val="0.68833108238903706"/>
          <c:h val="0.7252790951382333"/>
        </c:manualLayout>
      </c:layout>
      <c:barChart>
        <c:barDir val="col"/>
        <c:grouping val="stacked"/>
        <c:varyColors val="0"/>
        <c:ser>
          <c:idx val="0"/>
          <c:order val="0"/>
          <c:tx>
            <c:strRef>
              <c:f>Sheet1!$A$4</c:f>
              <c:strCache>
                <c:ptCount val="1"/>
                <c:pt idx="0">
                  <c:v>Մարդածին արտակարգ դեպքեր</c:v>
                </c:pt>
              </c:strCache>
            </c:strRef>
          </c:tx>
          <c:spPr>
            <a:solidFill>
              <a:schemeClr val="accent5">
                <a:lumMod val="50000"/>
              </a:schemeClr>
            </a:solidFill>
            <a:ln>
              <a:noFill/>
            </a:ln>
            <a:effectLst/>
          </c:spPr>
          <c:invertIfNegative val="0"/>
          <c:dPt>
            <c:idx val="0"/>
            <c:invertIfNegative val="0"/>
            <c:bubble3D val="0"/>
            <c:spPr>
              <a:solidFill>
                <a:schemeClr val="accent5">
                  <a:lumMod val="50000"/>
                </a:schemeClr>
              </a:solidFill>
              <a:ln>
                <a:noFill/>
              </a:ln>
              <a:effectLst/>
            </c:spPr>
            <c:extLst>
              <c:ext xmlns:c16="http://schemas.microsoft.com/office/drawing/2014/chart" uri="{C3380CC4-5D6E-409C-BE32-E72D297353CC}">
                <c16:uniqueId val="{00000001-B625-4300-A675-F054138BA2E6}"/>
              </c:ext>
            </c:extLst>
          </c:dPt>
          <c:dLbls>
            <c:dLbl>
              <c:idx val="1"/>
              <c:layout>
                <c:manualLayout>
                  <c:x val="0"/>
                  <c:y val="-1.1463507833397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625-4300-A675-F054138BA2E6}"/>
                </c:ext>
              </c:extLst>
            </c:dLbl>
            <c:dLbl>
              <c:idx val="2"/>
              <c:layout>
                <c:manualLayout>
                  <c:x val="-5.2104935476904336E-17"/>
                  <c:y val="1.52846771111960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625-4300-A675-F054138BA2E6}"/>
                </c:ext>
              </c:extLst>
            </c:dLbl>
            <c:dLbl>
              <c:idx val="3"/>
              <c:layout>
                <c:manualLayout>
                  <c:x val="-2.8421202216853771E-3"/>
                  <c:y val="7.6423385555980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625-4300-A675-F054138BA2E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Sheet1!$B$1:$E$1</c:f>
              <c:numCache>
                <c:formatCode>General</c:formatCode>
                <c:ptCount val="4"/>
                <c:pt idx="0">
                  <c:v>2019</c:v>
                </c:pt>
                <c:pt idx="1">
                  <c:v>2020</c:v>
                </c:pt>
                <c:pt idx="2">
                  <c:v>2021</c:v>
                </c:pt>
                <c:pt idx="3">
                  <c:v>2022</c:v>
                </c:pt>
              </c:numCache>
            </c:numRef>
          </c:cat>
          <c:val>
            <c:numRef>
              <c:f>Sheet1!$B$4:$E$4</c:f>
              <c:numCache>
                <c:formatCode>0.0%</c:formatCode>
                <c:ptCount val="4"/>
                <c:pt idx="0">
                  <c:v>0.72699999999999998</c:v>
                </c:pt>
                <c:pt idx="1">
                  <c:v>0.70299999999999996</c:v>
                </c:pt>
                <c:pt idx="2">
                  <c:v>0.76700000000000002</c:v>
                </c:pt>
                <c:pt idx="3">
                  <c:v>0.74399999999999999</c:v>
                </c:pt>
              </c:numCache>
            </c:numRef>
          </c:val>
          <c:extLst>
            <c:ext xmlns:c16="http://schemas.microsoft.com/office/drawing/2014/chart" uri="{C3380CC4-5D6E-409C-BE32-E72D297353CC}">
              <c16:uniqueId val="{00000005-B625-4300-A675-F054138BA2E6}"/>
            </c:ext>
          </c:extLst>
        </c:ser>
        <c:ser>
          <c:idx val="1"/>
          <c:order val="1"/>
          <c:tx>
            <c:strRef>
              <c:f>Sheet1!$A$5</c:f>
              <c:strCache>
                <c:ptCount val="1"/>
                <c:pt idx="0">
                  <c:v>Սոցիալ-կենսաբանական արտակարգ դեպքեր</c:v>
                </c:pt>
              </c:strCache>
            </c:strRef>
          </c:tx>
          <c:spPr>
            <a:solidFill>
              <a:schemeClr val="accent5"/>
            </a:solidFill>
            <a:ln>
              <a:noFill/>
            </a:ln>
            <a:effectLst/>
          </c:spPr>
          <c:invertIfNegative val="0"/>
          <c:dLbls>
            <c:dLbl>
              <c:idx val="0"/>
              <c:layout>
                <c:manualLayout>
                  <c:x val="2.642881014999494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625-4300-A675-F054138BA2E6}"/>
                </c:ext>
              </c:extLst>
            </c:dLbl>
            <c:dLbl>
              <c:idx val="1"/>
              <c:layout>
                <c:manualLayout>
                  <c:x val="5.2857620299989888E-3"/>
                  <c:y val="-1.95360270489370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625-4300-A675-F054138BA2E6}"/>
                </c:ext>
              </c:extLst>
            </c:dLbl>
            <c:dLbl>
              <c:idx val="2"/>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625-4300-A675-F054138BA2E6}"/>
                </c:ext>
              </c:extLst>
            </c:dLbl>
            <c:dLbl>
              <c:idx val="3"/>
              <c:layout>
                <c:manualLayout>
                  <c:x val="2.6428810149994944E-3"/>
                  <c:y val="-9.768013524468533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625-4300-A675-F054138BA2E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Sheet1!$B$1:$E$1</c:f>
              <c:numCache>
                <c:formatCode>General</c:formatCode>
                <c:ptCount val="4"/>
                <c:pt idx="0">
                  <c:v>2019</c:v>
                </c:pt>
                <c:pt idx="1">
                  <c:v>2020</c:v>
                </c:pt>
                <c:pt idx="2">
                  <c:v>2021</c:v>
                </c:pt>
                <c:pt idx="3">
                  <c:v>2022</c:v>
                </c:pt>
              </c:numCache>
            </c:numRef>
          </c:cat>
          <c:val>
            <c:numRef>
              <c:f>Sheet1!$B$5:$E$5</c:f>
              <c:numCache>
                <c:formatCode>0.0%</c:formatCode>
                <c:ptCount val="4"/>
                <c:pt idx="0">
                  <c:v>0.254</c:v>
                </c:pt>
                <c:pt idx="1">
                  <c:v>0.26400000000000001</c:v>
                </c:pt>
                <c:pt idx="2">
                  <c:v>0.191</c:v>
                </c:pt>
                <c:pt idx="3">
                  <c:v>0.20699999999999999</c:v>
                </c:pt>
              </c:numCache>
            </c:numRef>
          </c:val>
          <c:extLst>
            <c:ext xmlns:c16="http://schemas.microsoft.com/office/drawing/2014/chart" uri="{C3380CC4-5D6E-409C-BE32-E72D297353CC}">
              <c16:uniqueId val="{0000000A-B625-4300-A675-F054138BA2E6}"/>
            </c:ext>
          </c:extLst>
        </c:ser>
        <c:ser>
          <c:idx val="2"/>
          <c:order val="2"/>
          <c:tx>
            <c:strRef>
              <c:f>Sheet1!$A$6</c:f>
              <c:strCache>
                <c:ptCount val="1"/>
                <c:pt idx="0">
                  <c:v>Տարերային վտանգավոր երևույթներ</c:v>
                </c:pt>
              </c:strCache>
            </c:strRef>
          </c:tx>
          <c:spPr>
            <a:solidFill>
              <a:srgbClr val="C00000"/>
            </a:solidFill>
            <a:ln>
              <a:noFill/>
            </a:ln>
            <a:effectLst/>
          </c:spPr>
          <c:invertIfNegative val="0"/>
          <c:dLbls>
            <c:dLbl>
              <c:idx val="0"/>
              <c:layout>
                <c:manualLayout>
                  <c:x val="7.9286430449984832E-3"/>
                  <c:y val="1.922837307966238E-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7.350957859392987E-2"/>
                      <c:h val="4.979264122470891E-2"/>
                    </c:manualLayout>
                  </c15:layout>
                </c:ext>
                <c:ext xmlns:c16="http://schemas.microsoft.com/office/drawing/2014/chart" uri="{C3380CC4-5D6E-409C-BE32-E72D297353CC}">
                  <c16:uniqueId val="{0000000B-B625-4300-A675-F054138BA2E6}"/>
                </c:ext>
              </c:extLst>
            </c:dLbl>
            <c:dLbl>
              <c:idx val="1"/>
              <c:layout>
                <c:manualLayout>
                  <c:x val="1.3214405074997423E-2"/>
                  <c:y val="-8.953908961109062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625-4300-A675-F054138BA2E6}"/>
                </c:ext>
              </c:extLst>
            </c:dLbl>
            <c:dLbl>
              <c:idx val="2"/>
              <c:layout>
                <c:manualLayout>
                  <c:x val="1.3214405074997472E-2"/>
                  <c:y val="4.88400676223424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625-4300-A675-F054138BA2E6}"/>
                </c:ext>
              </c:extLst>
            </c:dLbl>
            <c:dLbl>
              <c:idx val="3"/>
              <c:layout>
                <c:manualLayout>
                  <c:x val="1.8500167104996461E-2"/>
                  <c:y val="4.88400676223424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625-4300-A675-F054138BA2E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Sheet1!$B$1:$E$1</c:f>
              <c:numCache>
                <c:formatCode>General</c:formatCode>
                <c:ptCount val="4"/>
                <c:pt idx="0">
                  <c:v>2019</c:v>
                </c:pt>
                <c:pt idx="1">
                  <c:v>2020</c:v>
                </c:pt>
                <c:pt idx="2">
                  <c:v>2021</c:v>
                </c:pt>
                <c:pt idx="3">
                  <c:v>2022</c:v>
                </c:pt>
              </c:numCache>
            </c:numRef>
          </c:cat>
          <c:val>
            <c:numRef>
              <c:f>Sheet1!$B$6:$E$6</c:f>
              <c:numCache>
                <c:formatCode>0.0%</c:formatCode>
                <c:ptCount val="4"/>
                <c:pt idx="0">
                  <c:v>1.9E-2</c:v>
                </c:pt>
                <c:pt idx="1">
                  <c:v>3.3000000000000002E-2</c:v>
                </c:pt>
                <c:pt idx="2">
                  <c:v>4.2000000000000003E-2</c:v>
                </c:pt>
                <c:pt idx="3">
                  <c:v>4.9000000000000002E-2</c:v>
                </c:pt>
              </c:numCache>
            </c:numRef>
          </c:val>
          <c:extLst>
            <c:ext xmlns:c16="http://schemas.microsoft.com/office/drawing/2014/chart" uri="{C3380CC4-5D6E-409C-BE32-E72D297353CC}">
              <c16:uniqueId val="{0000000F-B625-4300-A675-F054138BA2E6}"/>
            </c:ext>
          </c:extLst>
        </c:ser>
        <c:dLbls>
          <c:showLegendKey val="0"/>
          <c:showVal val="0"/>
          <c:showCatName val="0"/>
          <c:showSerName val="0"/>
          <c:showPercent val="0"/>
          <c:showBubbleSize val="0"/>
        </c:dLbls>
        <c:gapWidth val="50"/>
        <c:overlap val="100"/>
        <c:axId val="442082304"/>
        <c:axId val="442079352"/>
      </c:barChart>
      <c:catAx>
        <c:axId val="442082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42079352"/>
        <c:crosses val="autoZero"/>
        <c:auto val="1"/>
        <c:lblAlgn val="ctr"/>
        <c:lblOffset val="100"/>
        <c:noMultiLvlLbl val="0"/>
      </c:catAx>
      <c:valAx>
        <c:axId val="442079352"/>
        <c:scaling>
          <c:orientation val="minMax"/>
          <c:max val="1"/>
        </c:scaling>
        <c:delete val="0"/>
        <c:axPos val="l"/>
        <c:majorGridlines>
          <c:spPr>
            <a:ln w="9525" cap="flat" cmpd="sng" algn="ctr">
              <a:no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42082304"/>
        <c:crosses val="autoZero"/>
        <c:crossBetween val="between"/>
      </c:valAx>
      <c:spPr>
        <a:noFill/>
        <a:ln>
          <a:noFill/>
        </a:ln>
        <a:effectLst/>
      </c:spPr>
    </c:plotArea>
    <c:legend>
      <c:legendPos val="b"/>
      <c:layout>
        <c:manualLayout>
          <c:xMode val="edge"/>
          <c:yMode val="edge"/>
          <c:x val="9.4633428033375905E-2"/>
          <c:y val="0.82622194675035132"/>
          <c:w val="0.57729280216269685"/>
          <c:h val="0.133244995830170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Sheet2!$B$12</c:f>
              <c:strCache>
                <c:ptCount val="1"/>
                <c:pt idx="0">
                  <c:v>Պահանջված գումար</c:v>
                </c:pt>
              </c:strCache>
            </c:strRef>
          </c:tx>
          <c:spPr>
            <a:solidFill>
              <a:schemeClr val="accent5">
                <a:shade val="76000"/>
              </a:schemeClr>
            </a:solidFill>
            <a:ln>
              <a:noFill/>
            </a:ln>
            <a:effectLst/>
            <a:sp3d/>
          </c:spPr>
          <c:invertIfNegative val="0"/>
          <c:dLbls>
            <c:dLbl>
              <c:idx val="3"/>
              <c:layout>
                <c:manualLayout>
                  <c:x val="8.3333333333332309E-3"/>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E1-4EAF-9E09-1F799845007B}"/>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Sheet2!$A$13:$A$18</c:f>
              <c:numCache>
                <c:formatCode>General</c:formatCode>
                <c:ptCount val="6"/>
                <c:pt idx="0">
                  <c:v>2018</c:v>
                </c:pt>
                <c:pt idx="1">
                  <c:v>2019</c:v>
                </c:pt>
                <c:pt idx="2">
                  <c:v>2020</c:v>
                </c:pt>
                <c:pt idx="3">
                  <c:v>2021</c:v>
                </c:pt>
                <c:pt idx="4">
                  <c:v>2022</c:v>
                </c:pt>
                <c:pt idx="5">
                  <c:v>2023</c:v>
                </c:pt>
              </c:numCache>
            </c:numRef>
          </c:cat>
          <c:val>
            <c:numRef>
              <c:f>Sheet2!$B$13:$B$18</c:f>
              <c:numCache>
                <c:formatCode>_(* #,##0.0_);_(* \(#,##0.0\);_(* "-"??_);_(@_)</c:formatCode>
                <c:ptCount val="6"/>
                <c:pt idx="0">
                  <c:v>2043.6420000000001</c:v>
                </c:pt>
                <c:pt idx="1">
                  <c:v>5490.9210000000003</c:v>
                </c:pt>
                <c:pt idx="2">
                  <c:v>1490.655</c:v>
                </c:pt>
                <c:pt idx="3">
                  <c:v>945.91899999999998</c:v>
                </c:pt>
                <c:pt idx="4">
                  <c:v>2965.3960000000002</c:v>
                </c:pt>
                <c:pt idx="5">
                  <c:v>1377.53</c:v>
                </c:pt>
              </c:numCache>
            </c:numRef>
          </c:val>
          <c:extLst>
            <c:ext xmlns:c16="http://schemas.microsoft.com/office/drawing/2014/chart" uri="{C3380CC4-5D6E-409C-BE32-E72D297353CC}">
              <c16:uniqueId val="{00000001-30E1-4EAF-9E09-1F799845007B}"/>
            </c:ext>
          </c:extLst>
        </c:ser>
        <c:ser>
          <c:idx val="1"/>
          <c:order val="1"/>
          <c:tx>
            <c:strRef>
              <c:f>Sheet2!$C$12</c:f>
              <c:strCache>
                <c:ptCount val="1"/>
                <c:pt idx="0">
                  <c:v>Հատկացված գումար</c:v>
                </c:pt>
              </c:strCache>
            </c:strRef>
          </c:tx>
          <c:spPr>
            <a:solidFill>
              <a:schemeClr val="accent5">
                <a:tint val="77000"/>
              </a:schemeClr>
            </a:solidFill>
            <a:ln>
              <a:noFill/>
            </a:ln>
            <a:effectLst/>
            <a:sp3d/>
          </c:spPr>
          <c:invertIfNegative val="0"/>
          <c:dLbls>
            <c:dLbl>
              <c:idx val="0"/>
              <c:layout>
                <c:manualLayout>
                  <c:x val="1.6666666666666666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E1-4EAF-9E09-1F799845007B}"/>
                </c:ext>
              </c:extLst>
            </c:dLbl>
            <c:dLbl>
              <c:idx val="1"/>
              <c:layout>
                <c:manualLayout>
                  <c:x val="3.0555555555555555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E1-4EAF-9E09-1F799845007B}"/>
                </c:ext>
              </c:extLst>
            </c:dLbl>
            <c:dLbl>
              <c:idx val="2"/>
              <c:layout>
                <c:manualLayout>
                  <c:x val="1.6666666666666666E-2"/>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0E1-4EAF-9E09-1F799845007B}"/>
                </c:ext>
              </c:extLst>
            </c:dLbl>
            <c:dLbl>
              <c:idx val="3"/>
              <c:layout>
                <c:manualLayout>
                  <c:x val="1.6666666666666566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E1-4EAF-9E09-1F799845007B}"/>
                </c:ext>
              </c:extLst>
            </c:dLbl>
            <c:dLbl>
              <c:idx val="4"/>
              <c:layout>
                <c:manualLayout>
                  <c:x val="2.2222222222222119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E1-4EAF-9E09-1F799845007B}"/>
                </c:ext>
              </c:extLst>
            </c:dLbl>
            <c:dLbl>
              <c:idx val="5"/>
              <c:layout>
                <c:manualLayout>
                  <c:x val="3.0555555555555454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E1-4EAF-9E09-1F799845007B}"/>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Sheet2!$A$13:$A$18</c:f>
              <c:numCache>
                <c:formatCode>General</c:formatCode>
                <c:ptCount val="6"/>
                <c:pt idx="0">
                  <c:v>2018</c:v>
                </c:pt>
                <c:pt idx="1">
                  <c:v>2019</c:v>
                </c:pt>
                <c:pt idx="2">
                  <c:v>2020</c:v>
                </c:pt>
                <c:pt idx="3">
                  <c:v>2021</c:v>
                </c:pt>
                <c:pt idx="4">
                  <c:v>2022</c:v>
                </c:pt>
                <c:pt idx="5">
                  <c:v>2023</c:v>
                </c:pt>
              </c:numCache>
            </c:numRef>
          </c:cat>
          <c:val>
            <c:numRef>
              <c:f>Sheet2!$C$13:$C$18</c:f>
              <c:numCache>
                <c:formatCode>_(* #,##0.0_);_(* \(#,##0.0\);_(* "-"??_);_(@_)</c:formatCode>
                <c:ptCount val="6"/>
                <c:pt idx="0">
                  <c:v>196.94</c:v>
                </c:pt>
                <c:pt idx="1">
                  <c:v>2121.8580000000002</c:v>
                </c:pt>
                <c:pt idx="2">
                  <c:v>684.7</c:v>
                </c:pt>
                <c:pt idx="3">
                  <c:v>287.17599999999999</c:v>
                </c:pt>
                <c:pt idx="4">
                  <c:v>211.76599999999999</c:v>
                </c:pt>
                <c:pt idx="5">
                  <c:v>562.29399999999998</c:v>
                </c:pt>
              </c:numCache>
            </c:numRef>
          </c:val>
          <c:extLst>
            <c:ext xmlns:c16="http://schemas.microsoft.com/office/drawing/2014/chart" uri="{C3380CC4-5D6E-409C-BE32-E72D297353CC}">
              <c16:uniqueId val="{00000008-30E1-4EAF-9E09-1F799845007B}"/>
            </c:ext>
          </c:extLst>
        </c:ser>
        <c:dLbls>
          <c:showLegendKey val="0"/>
          <c:showVal val="0"/>
          <c:showCatName val="0"/>
          <c:showSerName val="0"/>
          <c:showPercent val="0"/>
          <c:showBubbleSize val="0"/>
        </c:dLbls>
        <c:gapWidth val="150"/>
        <c:shape val="box"/>
        <c:axId val="896679679"/>
        <c:axId val="896680511"/>
        <c:axId val="0"/>
      </c:bar3DChart>
      <c:catAx>
        <c:axId val="896679679"/>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96680511"/>
        <c:crosses val="autoZero"/>
        <c:auto val="1"/>
        <c:lblAlgn val="ctr"/>
        <c:lblOffset val="100"/>
        <c:noMultiLvlLbl val="0"/>
      </c:catAx>
      <c:valAx>
        <c:axId val="896680511"/>
        <c:scaling>
          <c:orientation val="minMax"/>
        </c:scaling>
        <c:delete val="0"/>
        <c:axPos val="l"/>
        <c:majorGridlines>
          <c:spPr>
            <a:ln w="9525" cap="flat" cmpd="sng" algn="ctr">
              <a:solidFill>
                <a:schemeClr val="tx1">
                  <a:lumMod val="15000"/>
                  <a:lumOff val="85000"/>
                </a:schemeClr>
              </a:solidFill>
              <a:round/>
            </a:ln>
            <a:effectLst/>
          </c:spPr>
        </c:majorGridlines>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966796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bar"/>
        <c:grouping val="clustered"/>
        <c:varyColors val="0"/>
        <c:ser>
          <c:idx val="1"/>
          <c:order val="0"/>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Sheet1!$A$7:$A$9</c:f>
              <c:numCache>
                <c:formatCode>General</c:formatCode>
                <c:ptCount val="3"/>
                <c:pt idx="0">
                  <c:v>2021</c:v>
                </c:pt>
                <c:pt idx="1">
                  <c:v>2022</c:v>
                </c:pt>
                <c:pt idx="2">
                  <c:v>2023</c:v>
                </c:pt>
              </c:numCache>
            </c:numRef>
          </c:cat>
          <c:val>
            <c:numRef>
              <c:f>Sheet1!$B$7:$B$9</c:f>
              <c:numCache>
                <c:formatCode>General</c:formatCode>
                <c:ptCount val="3"/>
                <c:pt idx="0">
                  <c:v>160.30000000000001</c:v>
                </c:pt>
                <c:pt idx="1">
                  <c:v>162</c:v>
                </c:pt>
                <c:pt idx="2">
                  <c:v>132.69999999999999</c:v>
                </c:pt>
              </c:numCache>
            </c:numRef>
          </c:val>
          <c:extLst>
            <c:ext xmlns:c16="http://schemas.microsoft.com/office/drawing/2014/chart" uri="{C3380CC4-5D6E-409C-BE32-E72D297353CC}">
              <c16:uniqueId val="{00000000-1232-4D5E-BF16-45AB320F2584}"/>
            </c:ext>
          </c:extLst>
        </c:ser>
        <c:dLbls>
          <c:showLegendKey val="0"/>
          <c:showVal val="0"/>
          <c:showCatName val="0"/>
          <c:showSerName val="0"/>
          <c:showPercent val="0"/>
          <c:showBubbleSize val="0"/>
        </c:dLbls>
        <c:gapWidth val="182"/>
        <c:axId val="137484351"/>
        <c:axId val="137484767"/>
      </c:barChart>
      <c:catAx>
        <c:axId val="13748435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84767"/>
        <c:crosses val="autoZero"/>
        <c:auto val="1"/>
        <c:lblAlgn val="ctr"/>
        <c:lblOffset val="100"/>
        <c:noMultiLvlLbl val="0"/>
      </c:catAx>
      <c:valAx>
        <c:axId val="1374847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8435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withinLinear" id="14">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withinLinear" id="18">
  <a:schemeClr val="accent5"/>
</cs:colorStyle>
</file>

<file path=word/charts/colors18.xml><?xml version="1.0" encoding="utf-8"?>
<cs:colorStyle xmlns:cs="http://schemas.microsoft.com/office/drawing/2012/chartStyle" xmlns:a="http://schemas.openxmlformats.org/drawingml/2006/main" meth="withinLinear" id="18">
  <a:schemeClr val="accent5"/>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withinLinear" id="14">
  <a:schemeClr val="accent1"/>
</cs:colorStyle>
</file>

<file path=word/charts/colors32.xml><?xml version="1.0" encoding="utf-8"?>
<cs:colorStyle xmlns:cs="http://schemas.microsoft.com/office/drawing/2012/chartStyle" xmlns:a="http://schemas.openxmlformats.org/drawingml/2006/main" meth="withinLinearReversed" id="21">
  <a:schemeClr val="accent1"/>
</cs:colorStyle>
</file>

<file path=word/charts/colors33.xml><?xml version="1.0" encoding="utf-8"?>
<cs:colorStyle xmlns:cs="http://schemas.microsoft.com/office/drawing/2012/chartStyle" xmlns:a="http://schemas.openxmlformats.org/drawingml/2006/main" meth="withinLinearReversed" id="21">
  <a:schemeClr val="accent1"/>
</cs:colorStyle>
</file>

<file path=word/charts/colors34.xml><?xml version="1.0" encoding="utf-8"?>
<cs:colorStyle xmlns:cs="http://schemas.microsoft.com/office/drawing/2012/chartStyle" xmlns:a="http://schemas.openxmlformats.org/drawingml/2006/main" meth="withinLinear" id="14">
  <a:schemeClr val="accent1"/>
</cs:colorStyle>
</file>

<file path=word/charts/colors35.xml><?xml version="1.0" encoding="utf-8"?>
<cs:colorStyle xmlns:cs="http://schemas.microsoft.com/office/drawing/2012/chartStyle" xmlns:a="http://schemas.openxmlformats.org/drawingml/2006/main" meth="withinLinear" id="14">
  <a:schemeClr val="accent1"/>
</cs:colorStyle>
</file>

<file path=word/charts/colors36.xml><?xml version="1.0" encoding="utf-8"?>
<cs:colorStyle xmlns:cs="http://schemas.microsoft.com/office/drawing/2012/chartStyle" xmlns:a="http://schemas.openxmlformats.org/drawingml/2006/main" meth="withinLinear" id="18">
  <a:schemeClr val="accent5"/>
</cs:colorStyle>
</file>

<file path=word/charts/colors37.xml><?xml version="1.0" encoding="utf-8"?>
<cs:colorStyle xmlns:cs="http://schemas.microsoft.com/office/drawing/2012/chartStyle" xmlns:a="http://schemas.openxmlformats.org/drawingml/2006/main" meth="withinLinear" id="18">
  <a:schemeClr val="accent5"/>
</cs:colorStyle>
</file>

<file path=word/charts/colors38.xml><?xml version="1.0" encoding="utf-8"?>
<cs:colorStyle xmlns:cs="http://schemas.microsoft.com/office/drawing/2012/chartStyle" xmlns:a="http://schemas.openxmlformats.org/drawingml/2006/main" meth="withinLinearReversed" id="25">
  <a:schemeClr val="accent5"/>
</cs:colorStyle>
</file>

<file path=word/charts/colors39.xml><?xml version="1.0" encoding="utf-8"?>
<cs:colorStyle xmlns:cs="http://schemas.microsoft.com/office/drawing/2012/chartStyle" xmlns:a="http://schemas.openxmlformats.org/drawingml/2006/main" meth="withinLinearReversed" id="25">
  <a:schemeClr val="accent5"/>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Reversed" id="25">
  <a:schemeClr val="accent5"/>
</cs:colorStyle>
</file>

<file path=word/charts/colors41.xml><?xml version="1.0" encoding="utf-8"?>
<cs:colorStyle xmlns:cs="http://schemas.microsoft.com/office/drawing/2012/chartStyle" xmlns:a="http://schemas.openxmlformats.org/drawingml/2006/main" meth="withinLinearReversed" id="25">
  <a:schemeClr val="accent5"/>
</cs:colorStyle>
</file>

<file path=word/charts/colors42.xml><?xml version="1.0" encoding="utf-8"?>
<cs:colorStyle xmlns:cs="http://schemas.microsoft.com/office/drawing/2012/chartStyle" xmlns:a="http://schemas.openxmlformats.org/drawingml/2006/main" meth="withinLinear" id="18">
  <a:schemeClr val="accent5"/>
</cs:colorStyle>
</file>

<file path=word/charts/colors43.xml><?xml version="1.0" encoding="utf-8"?>
<cs:colorStyle xmlns:cs="http://schemas.microsoft.com/office/drawing/2012/chartStyle" xmlns:a="http://schemas.openxmlformats.org/drawingml/2006/main" meth="withinLinearReversed" id="25">
  <a:schemeClr val="accent5"/>
</cs:colorStyle>
</file>

<file path=word/charts/colors44.xml><?xml version="1.0" encoding="utf-8"?>
<cs:colorStyle xmlns:cs="http://schemas.microsoft.com/office/drawing/2012/chartStyle" xmlns:a="http://schemas.openxmlformats.org/drawingml/2006/main" meth="withinLinearReversed" id="25">
  <a:schemeClr val="accent5"/>
</cs:colorStyle>
</file>

<file path=word/charts/colors45.xml><?xml version="1.0" encoding="utf-8"?>
<cs:colorStyle xmlns:cs="http://schemas.microsoft.com/office/drawing/2012/chartStyle" xmlns:a="http://schemas.openxmlformats.org/drawingml/2006/main" meth="withinLinear" id="18">
  <a:schemeClr val="accent5"/>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withinLinear" id="18">
  <a:schemeClr val="accent5"/>
</cs:colorStyle>
</file>

<file path=word/charts/colors49.xml><?xml version="1.0" encoding="utf-8"?>
<cs:colorStyle xmlns:cs="http://schemas.microsoft.com/office/drawing/2012/chartStyle" xmlns:a="http://schemas.openxmlformats.org/drawingml/2006/main" meth="withinLinearReversed" id="25">
  <a:schemeClr val="accent5"/>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2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0.61461</cdr:x>
      <cdr:y>0.00474</cdr:y>
    </cdr:from>
    <cdr:to>
      <cdr:x>1</cdr:x>
      <cdr:y>0.85332</cdr:y>
    </cdr:to>
    <cdr:sp macro="" textlink="">
      <cdr:nvSpPr>
        <cdr:cNvPr id="2" name="Rectangle 1"/>
        <cdr:cNvSpPr/>
      </cdr:nvSpPr>
      <cdr:spPr>
        <a:xfrm xmlns:a="http://schemas.openxmlformats.org/drawingml/2006/main">
          <a:off x="1714499" y="9316"/>
          <a:ext cx="1075055" cy="1667735"/>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10.xml><?xml version="1.0" encoding="utf-8"?>
<c:userShapes xmlns:c="http://schemas.openxmlformats.org/drawingml/2006/chart">
  <cdr:relSizeAnchor xmlns:cdr="http://schemas.openxmlformats.org/drawingml/2006/chartDrawing">
    <cdr:from>
      <cdr:x>0</cdr:x>
      <cdr:y>0</cdr:y>
    </cdr:from>
    <cdr:to>
      <cdr:x>0</cdr:x>
      <cdr:y>0</cdr:y>
    </cdr:to>
    <cdr:sp macro="" textlink="">
      <cdr:nvSpPr>
        <cdr:cNvPr id="2" name="Rectangle 1"/>
        <cdr:cNvSpPr/>
      </cdr:nvSpPr>
      <cdr:spPr>
        <a:xfrm xmlns:a="http://schemas.openxmlformats.org/drawingml/2006/main" flipH="1">
          <a:off x="-149888" y="-2265028"/>
          <a:ext cx="0" cy="0"/>
        </a:xfrm>
        <a:prstGeom xmlns:a="http://schemas.openxmlformats.org/drawingml/2006/main" prst="rect">
          <a:avLst/>
        </a:prstGeom>
        <a:solidFill xmlns:a="http://schemas.openxmlformats.org/drawingml/2006/main">
          <a:schemeClr val="bg1">
            <a:lumMod val="50000"/>
            <a:alpha val="10000"/>
          </a:schemeClr>
        </a:solidFill>
        <a:ln xmlns:a="http://schemas.openxmlformats.org/drawingml/2006/main">
          <a:solidFill>
            <a:schemeClr val="bg1">
              <a:lumMod val="9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dirty="0"/>
        </a:p>
      </cdr:txBody>
    </cdr:sp>
  </cdr:relSizeAnchor>
  <cdr:relSizeAnchor xmlns:cdr="http://schemas.openxmlformats.org/drawingml/2006/chartDrawing">
    <cdr:from>
      <cdr:x>0.38482</cdr:x>
      <cdr:y>0.39286</cdr:y>
    </cdr:from>
    <cdr:to>
      <cdr:x>1</cdr:x>
      <cdr:y>0.64615</cdr:y>
    </cdr:to>
    <cdr:sp macro="" textlink="">
      <cdr:nvSpPr>
        <cdr:cNvPr id="7" name="Oval 6"/>
        <cdr:cNvSpPr/>
      </cdr:nvSpPr>
      <cdr:spPr>
        <a:xfrm xmlns:a="http://schemas.openxmlformats.org/drawingml/2006/main">
          <a:off x="2416238" y="975651"/>
          <a:ext cx="3862642" cy="629042"/>
        </a:xfrm>
        <a:prstGeom xmlns:a="http://schemas.openxmlformats.org/drawingml/2006/main" prst="ellipse">
          <a:avLst/>
        </a:prstGeom>
        <a:noFill xmlns:a="http://schemas.openxmlformats.org/drawingml/2006/main"/>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xmlns:a="http://schemas.openxmlformats.org/drawingml/2006/main">
          <a:pPr algn="ctr"/>
          <a:r>
            <a:rPr lang="hy-AM" sz="1100" dirty="0">
              <a:solidFill>
                <a:schemeClr val="accent2">
                  <a:lumMod val="75000"/>
                </a:schemeClr>
              </a:solidFill>
              <a:latin typeface="GHEA Grapalat" panose="02000506050000020003" pitchFamily="50" charset="0"/>
            </a:rPr>
            <a:t>2021-2026թթ. կառավարության թիրախ՝ 7.0</a:t>
          </a:r>
          <a:r>
            <a:rPr lang="en-US" sz="1100" dirty="0">
              <a:solidFill>
                <a:schemeClr val="accent2">
                  <a:lumMod val="75000"/>
                </a:schemeClr>
              </a:solidFill>
              <a:latin typeface="GHEA Grapalat" panose="02000506050000020003" pitchFamily="50" charset="0"/>
            </a:rPr>
            <a:t>%</a:t>
          </a:r>
          <a:r>
            <a:rPr lang="hy-AM" sz="1100" dirty="0">
              <a:solidFill>
                <a:schemeClr val="accent2">
                  <a:lumMod val="75000"/>
                </a:schemeClr>
              </a:solidFill>
              <a:latin typeface="GHEA Grapalat" panose="02000506050000020003" pitchFamily="50" charset="0"/>
            </a:rPr>
            <a:t> տնտեսական աճ</a:t>
          </a:r>
          <a:endParaRPr lang="en-US" sz="1100" dirty="0">
            <a:solidFill>
              <a:schemeClr val="accent2">
                <a:lumMod val="75000"/>
              </a:schemeClr>
            </a:solidFill>
            <a:latin typeface="GHEA Grapalat" panose="02000506050000020003" pitchFamily="50" charset="0"/>
          </a:endParaRPr>
        </a:p>
      </cdr:txBody>
    </cdr:sp>
  </cdr:relSizeAnchor>
  <cdr:relSizeAnchor xmlns:cdr="http://schemas.openxmlformats.org/drawingml/2006/chartDrawing">
    <cdr:from>
      <cdr:x>0.14808</cdr:x>
      <cdr:y>0.03657</cdr:y>
    </cdr:from>
    <cdr:to>
      <cdr:x>0.74623</cdr:x>
      <cdr:y>0.30628</cdr:y>
    </cdr:to>
    <cdr:sp macro="" textlink="">
      <cdr:nvSpPr>
        <cdr:cNvPr id="4" name="Oval 3"/>
        <cdr:cNvSpPr/>
      </cdr:nvSpPr>
      <cdr:spPr>
        <a:xfrm xmlns:a="http://schemas.openxmlformats.org/drawingml/2006/main">
          <a:off x="910611" y="106449"/>
          <a:ext cx="3678188" cy="785091"/>
        </a:xfrm>
        <a:prstGeom xmlns:a="http://schemas.openxmlformats.org/drawingml/2006/main" prst="ellipse">
          <a:avLst/>
        </a:prstGeom>
        <a:noFill xmlns:a="http://schemas.openxmlformats.org/drawingml/2006/main"/>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tlCol="0" anchor="ctr"/>
        <a:lstStyle xmlns:a="http://schemas.openxmlformats.org/drawingml/2006/main">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xmlns:a="http://schemas.openxmlformats.org/drawingml/2006/main">
          <a:pPr marL="0" marR="0" lvl="0" indent="0" algn="ctr" defTabSz="914400" rtl="0" eaLnBrk="1" fontAlgn="auto" latinLnBrk="0" hangingPunct="1">
            <a:lnSpc>
              <a:spcPct val="100000"/>
            </a:lnSpc>
            <a:spcBef>
              <a:spcPts val="0"/>
            </a:spcBef>
            <a:spcAft>
              <a:spcPts val="0"/>
            </a:spcAft>
            <a:buClrTx/>
            <a:buSzTx/>
            <a:buFontTx/>
            <a:buNone/>
            <a:tabLst/>
            <a:defRPr/>
          </a:pPr>
          <a:r>
            <a:rPr kumimoji="0" lang="hy-AM" sz="1100" b="0" i="0" u="none" strike="noStrike" kern="1200" cap="none" spc="0" normalizeH="0" baseline="0" noProof="0" dirty="0">
              <a:ln>
                <a:noFill/>
              </a:ln>
              <a:solidFill>
                <a:srgbClr val="4472C4">
                  <a:lumMod val="75000"/>
                </a:srgbClr>
              </a:solidFill>
              <a:effectLst/>
              <a:uLnTx/>
              <a:uFillTx/>
              <a:latin typeface="+mn-lt"/>
              <a:ea typeface="+mn-ea"/>
              <a:cs typeface="+mn-cs"/>
            </a:rPr>
            <a:t>2021-2026թթ. կանխատեսվող սցենար՝ միջինում 7.5</a:t>
          </a:r>
          <a:r>
            <a:rPr kumimoji="0" lang="en-US" sz="1100" b="0" i="0" u="none" strike="noStrike" kern="1200" cap="none" spc="0" normalizeH="0" baseline="0" noProof="0" dirty="0">
              <a:ln>
                <a:noFill/>
              </a:ln>
              <a:solidFill>
                <a:srgbClr val="4472C4">
                  <a:lumMod val="75000"/>
                </a:srgbClr>
              </a:solidFill>
              <a:effectLst/>
              <a:uLnTx/>
              <a:uFillTx/>
              <a:latin typeface="+mn-lt"/>
              <a:ea typeface="+mn-ea"/>
              <a:cs typeface="+mn-cs"/>
            </a:rPr>
            <a:t>%</a:t>
          </a:r>
          <a:r>
            <a:rPr kumimoji="0" lang="hy-AM" sz="1100" b="0" i="0" u="none" strike="noStrike" kern="1200" cap="none" spc="0" normalizeH="0" baseline="0" noProof="0" dirty="0">
              <a:ln>
                <a:noFill/>
              </a:ln>
              <a:solidFill>
                <a:srgbClr val="4472C4">
                  <a:lumMod val="75000"/>
                </a:srgbClr>
              </a:solidFill>
              <a:effectLst/>
              <a:uLnTx/>
              <a:uFillTx/>
              <a:latin typeface="+mn-lt"/>
              <a:ea typeface="+mn-ea"/>
              <a:cs typeface="+mn-cs"/>
            </a:rPr>
            <a:t> </a:t>
          </a:r>
          <a:r>
            <a:rPr kumimoji="0" lang="hy-AM" sz="1100" b="0" i="0" u="none" strike="noStrike" kern="1200" cap="none" spc="0" normalizeH="0" baseline="0" noProof="0" dirty="0">
              <a:ln>
                <a:noFill/>
              </a:ln>
              <a:solidFill>
                <a:srgbClr val="4472C4">
                  <a:lumMod val="75000"/>
                </a:srgbClr>
              </a:solidFill>
              <a:effectLst/>
              <a:uLnTx/>
              <a:uFillTx/>
              <a:latin typeface="Arial" panose="020B0604020202020204" pitchFamily="34" charset="0"/>
              <a:ea typeface="+mn-ea"/>
              <a:cs typeface="+mn-cs"/>
            </a:rPr>
            <a:t>տնտեսական աճ</a:t>
          </a:r>
          <a:endParaRPr kumimoji="0" lang="en-US" sz="1100" b="0" i="0" u="none" strike="noStrike" kern="1200" cap="none" spc="0" normalizeH="0" baseline="0" noProof="0" dirty="0">
            <a:ln>
              <a:noFill/>
            </a:ln>
            <a:solidFill>
              <a:srgbClr val="4472C4">
                <a:lumMod val="75000"/>
              </a:srgbClr>
            </a:solidFill>
            <a:effectLst/>
            <a:uLnTx/>
            <a:uFillTx/>
            <a:latin typeface="Calibri" panose="020F0502020204030204"/>
            <a:ea typeface="+mn-ea"/>
            <a:cs typeface="+mn-cs"/>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0.52563</cdr:x>
      <cdr:y>0</cdr:y>
    </cdr:from>
    <cdr:to>
      <cdr:x>1</cdr:x>
      <cdr:y>0.6691</cdr:y>
    </cdr:to>
    <cdr:sp macro="" textlink="">
      <cdr:nvSpPr>
        <cdr:cNvPr id="2" name="Rectangle 1"/>
        <cdr:cNvSpPr/>
      </cdr:nvSpPr>
      <cdr:spPr>
        <a:xfrm xmlns:a="http://schemas.openxmlformats.org/drawingml/2006/main">
          <a:off x="1666875" y="0"/>
          <a:ext cx="1504315" cy="1685925"/>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2.xml><?xml version="1.0" encoding="utf-8"?>
<c:userShapes xmlns:c="http://schemas.openxmlformats.org/drawingml/2006/chart">
  <cdr:relSizeAnchor xmlns:cdr="http://schemas.openxmlformats.org/drawingml/2006/chartDrawing">
    <cdr:from>
      <cdr:x>0.58372</cdr:x>
      <cdr:y>0</cdr:y>
    </cdr:from>
    <cdr:to>
      <cdr:x>1</cdr:x>
      <cdr:y>0.79245</cdr:y>
    </cdr:to>
    <cdr:sp macro="" textlink="">
      <cdr:nvSpPr>
        <cdr:cNvPr id="2" name="Rectangle 1"/>
        <cdr:cNvSpPr/>
      </cdr:nvSpPr>
      <cdr:spPr>
        <a:xfrm xmlns:a="http://schemas.openxmlformats.org/drawingml/2006/main">
          <a:off x="1857376" y="0"/>
          <a:ext cx="1324609" cy="1866901"/>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3.xml><?xml version="1.0" encoding="utf-8"?>
<c:userShapes xmlns:c="http://schemas.openxmlformats.org/drawingml/2006/chart">
  <cdr:relSizeAnchor xmlns:cdr="http://schemas.openxmlformats.org/drawingml/2006/chartDrawing">
    <cdr:from>
      <cdr:x>0.55266</cdr:x>
      <cdr:y>0</cdr:y>
    </cdr:from>
    <cdr:to>
      <cdr:x>0.98874</cdr:x>
      <cdr:y>0.71069</cdr:y>
    </cdr:to>
    <cdr:sp macro="" textlink="">
      <cdr:nvSpPr>
        <cdr:cNvPr id="2" name="Rectangle 1"/>
        <cdr:cNvSpPr/>
      </cdr:nvSpPr>
      <cdr:spPr>
        <a:xfrm xmlns:a="http://schemas.openxmlformats.org/drawingml/2006/main">
          <a:off x="1752601" y="0"/>
          <a:ext cx="1382882" cy="1790711"/>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4.xml><?xml version="1.0" encoding="utf-8"?>
<c:userShapes xmlns:c="http://schemas.openxmlformats.org/drawingml/2006/chart">
  <cdr:relSizeAnchor xmlns:cdr="http://schemas.openxmlformats.org/drawingml/2006/chartDrawing">
    <cdr:from>
      <cdr:x>0.59095</cdr:x>
      <cdr:y>0</cdr:y>
    </cdr:from>
    <cdr:to>
      <cdr:x>1</cdr:x>
      <cdr:y>0.785</cdr:y>
    </cdr:to>
    <cdr:sp macro="" textlink="">
      <cdr:nvSpPr>
        <cdr:cNvPr id="2" name="Rectangle 1"/>
        <cdr:cNvSpPr/>
      </cdr:nvSpPr>
      <cdr:spPr>
        <a:xfrm xmlns:a="http://schemas.openxmlformats.org/drawingml/2006/main">
          <a:off x="1826733" y="0"/>
          <a:ext cx="1264447" cy="1847850"/>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5.xml><?xml version="1.0" encoding="utf-8"?>
<c:userShapes xmlns:c="http://schemas.openxmlformats.org/drawingml/2006/chart">
  <cdr:relSizeAnchor xmlns:cdr="http://schemas.openxmlformats.org/drawingml/2006/chartDrawing">
    <cdr:from>
      <cdr:x>0.47547</cdr:x>
      <cdr:y>0.16129</cdr:y>
    </cdr:from>
    <cdr:to>
      <cdr:x>0.96305</cdr:x>
      <cdr:y>0.85161</cdr:y>
    </cdr:to>
    <cdr:sp macro="" textlink="">
      <cdr:nvSpPr>
        <cdr:cNvPr id="2" name="Rectangle 1"/>
        <cdr:cNvSpPr/>
      </cdr:nvSpPr>
      <cdr:spPr>
        <a:xfrm xmlns:a="http://schemas.openxmlformats.org/drawingml/2006/main">
          <a:off x="1495425" y="476248"/>
          <a:ext cx="1533517" cy="2038351"/>
        </a:xfrm>
        <a:prstGeom xmlns:a="http://schemas.openxmlformats.org/drawingml/2006/main" prst="rect">
          <a:avLst/>
        </a:prstGeom>
        <a:solidFill xmlns:a="http://schemas.openxmlformats.org/drawingml/2006/main">
          <a:schemeClr val="accent1">
            <a:lumMod val="40000"/>
            <a:lumOff val="60000"/>
            <a:alpha val="36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16.xml><?xml version="1.0" encoding="utf-8"?>
<c:userShapes xmlns:c="http://schemas.openxmlformats.org/drawingml/2006/chart">
  <cdr:relSizeAnchor xmlns:cdr="http://schemas.openxmlformats.org/drawingml/2006/chartDrawing">
    <cdr:from>
      <cdr:x>0.48701</cdr:x>
      <cdr:y>0.04669</cdr:y>
    </cdr:from>
    <cdr:to>
      <cdr:x>0.96266</cdr:x>
      <cdr:y>0.88716</cdr:y>
    </cdr:to>
    <cdr:sp macro="" textlink="">
      <cdr:nvSpPr>
        <cdr:cNvPr id="2" name="Rounded Rectangle 1"/>
        <cdr:cNvSpPr/>
      </cdr:nvSpPr>
      <cdr:spPr>
        <a:xfrm xmlns:a="http://schemas.openxmlformats.org/drawingml/2006/main">
          <a:off x="2857501" y="114300"/>
          <a:ext cx="2790824" cy="2057400"/>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7.xml><?xml version="1.0" encoding="utf-8"?>
<c:userShapes xmlns:c="http://schemas.openxmlformats.org/drawingml/2006/chart">
  <cdr:relSizeAnchor xmlns:cdr="http://schemas.openxmlformats.org/drawingml/2006/chartDrawing">
    <cdr:from>
      <cdr:x>0.5098</cdr:x>
      <cdr:y>4.08509E-7</cdr:y>
    </cdr:from>
    <cdr:to>
      <cdr:x>0.9841</cdr:x>
      <cdr:y>0.7393</cdr:y>
    </cdr:to>
    <cdr:sp macro="" textlink="">
      <cdr:nvSpPr>
        <cdr:cNvPr id="2" name="Rounded Rectangle 1"/>
        <cdr:cNvSpPr/>
      </cdr:nvSpPr>
      <cdr:spPr>
        <a:xfrm xmlns:a="http://schemas.openxmlformats.org/drawingml/2006/main">
          <a:off x="1553882" y="1"/>
          <a:ext cx="1445655" cy="1809750"/>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8.xml><?xml version="1.0" encoding="utf-8"?>
<c:userShapes xmlns:c="http://schemas.openxmlformats.org/drawingml/2006/chart">
  <cdr:relSizeAnchor xmlns:cdr="http://schemas.openxmlformats.org/drawingml/2006/chartDrawing">
    <cdr:from>
      <cdr:x>0.47493</cdr:x>
      <cdr:y>4.08509E-7</cdr:y>
    </cdr:from>
    <cdr:to>
      <cdr:x>1</cdr:x>
      <cdr:y>0.7393</cdr:y>
    </cdr:to>
    <cdr:sp macro="" textlink="">
      <cdr:nvSpPr>
        <cdr:cNvPr id="2" name="Rounded Rectangle 1"/>
        <cdr:cNvSpPr/>
      </cdr:nvSpPr>
      <cdr:spPr>
        <a:xfrm xmlns:a="http://schemas.openxmlformats.org/drawingml/2006/main">
          <a:off x="1533525" y="1"/>
          <a:ext cx="1695450" cy="1809750"/>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19.xml><?xml version="1.0" encoding="utf-8"?>
<c:userShapes xmlns:c="http://schemas.openxmlformats.org/drawingml/2006/chart">
  <cdr:relSizeAnchor xmlns:cdr="http://schemas.openxmlformats.org/drawingml/2006/chartDrawing">
    <cdr:from>
      <cdr:x>0.47365</cdr:x>
      <cdr:y>0.13892</cdr:y>
    </cdr:from>
    <cdr:to>
      <cdr:x>0.8787</cdr:x>
      <cdr:y>0.79052</cdr:y>
    </cdr:to>
    <cdr:sp macro="" textlink="">
      <cdr:nvSpPr>
        <cdr:cNvPr id="2" name="Rectangle 1"/>
        <cdr:cNvSpPr/>
      </cdr:nvSpPr>
      <cdr:spPr>
        <a:xfrm xmlns:a="http://schemas.openxmlformats.org/drawingml/2006/main">
          <a:off x="1381125" y="400051"/>
          <a:ext cx="1181094" cy="1876429"/>
        </a:xfrm>
        <a:prstGeom xmlns:a="http://schemas.openxmlformats.org/drawingml/2006/main" prst="rect">
          <a:avLst/>
        </a:prstGeom>
        <a:solidFill xmlns:a="http://schemas.openxmlformats.org/drawingml/2006/main">
          <a:schemeClr val="bg1">
            <a:lumMod val="85000"/>
            <a:alpha val="3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hy-AM"/>
        </a:p>
      </cdr:txBody>
    </cdr:sp>
  </cdr:relSizeAnchor>
</c:userShapes>
</file>

<file path=word/drawings/drawing2.xml><?xml version="1.0" encoding="utf-8"?>
<c:userShapes xmlns:c="http://schemas.openxmlformats.org/drawingml/2006/chart">
  <cdr:relSizeAnchor xmlns:cdr="http://schemas.openxmlformats.org/drawingml/2006/chartDrawing">
    <cdr:from>
      <cdr:x>0.58313</cdr:x>
      <cdr:y>0</cdr:y>
    </cdr:from>
    <cdr:to>
      <cdr:x>0.87642</cdr:x>
      <cdr:y>0.89823</cdr:y>
    </cdr:to>
    <cdr:sp macro="" textlink="">
      <cdr:nvSpPr>
        <cdr:cNvPr id="2" name="Rectangle 1"/>
        <cdr:cNvSpPr/>
      </cdr:nvSpPr>
      <cdr:spPr>
        <a:xfrm xmlns:a="http://schemas.openxmlformats.org/drawingml/2006/main">
          <a:off x="1626669" y="0"/>
          <a:ext cx="818147" cy="1765314"/>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0.xml><?xml version="1.0" encoding="utf-8"?>
<c:userShapes xmlns:c="http://schemas.openxmlformats.org/drawingml/2006/chart">
  <cdr:relSizeAnchor xmlns:cdr="http://schemas.openxmlformats.org/drawingml/2006/chartDrawing">
    <cdr:from>
      <cdr:x>0.34625</cdr:x>
      <cdr:y>0.21499</cdr:y>
    </cdr:from>
    <cdr:to>
      <cdr:x>0.61041</cdr:x>
      <cdr:y>0.88779</cdr:y>
    </cdr:to>
    <cdr:sp macro="" textlink="">
      <cdr:nvSpPr>
        <cdr:cNvPr id="2" name="Rectangle 1"/>
        <cdr:cNvSpPr/>
      </cdr:nvSpPr>
      <cdr:spPr>
        <a:xfrm xmlns:a="http://schemas.openxmlformats.org/drawingml/2006/main">
          <a:off x="1009650" y="619112"/>
          <a:ext cx="770257" cy="1937479"/>
        </a:xfrm>
        <a:prstGeom xmlns:a="http://schemas.openxmlformats.org/drawingml/2006/main" prst="rect">
          <a:avLst/>
        </a:prstGeom>
        <a:solidFill xmlns:a="http://schemas.openxmlformats.org/drawingml/2006/main">
          <a:schemeClr val="bg1">
            <a:lumMod val="85000"/>
            <a:alpha val="2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21.xml><?xml version="1.0" encoding="utf-8"?>
<c:userShapes xmlns:c="http://schemas.openxmlformats.org/drawingml/2006/chart">
  <cdr:relSizeAnchor xmlns:cdr="http://schemas.openxmlformats.org/drawingml/2006/chartDrawing">
    <cdr:from>
      <cdr:x>0.33394</cdr:x>
      <cdr:y>0.01022</cdr:y>
    </cdr:from>
    <cdr:to>
      <cdr:x>0.97984</cdr:x>
      <cdr:y>0.88093</cdr:y>
    </cdr:to>
    <cdr:sp macro="" textlink="">
      <cdr:nvSpPr>
        <cdr:cNvPr id="3" name="Rectangle 2"/>
        <cdr:cNvSpPr/>
      </cdr:nvSpPr>
      <cdr:spPr>
        <a:xfrm xmlns:a="http://schemas.openxmlformats.org/drawingml/2006/main">
          <a:off x="2110765" y="40006"/>
          <a:ext cx="4082598" cy="3406960"/>
        </a:xfrm>
        <a:prstGeom xmlns:a="http://schemas.openxmlformats.org/drawingml/2006/main" prst="rect">
          <a:avLst/>
        </a:prstGeom>
        <a:solidFill xmlns:a="http://schemas.openxmlformats.org/drawingml/2006/main">
          <a:schemeClr val="accent2">
            <a:alpha val="10000"/>
          </a:schemeClr>
        </a:solidFill>
        <a:ln xmlns:a="http://schemas.openxmlformats.org/drawingml/2006/main">
          <a:solidFill>
            <a:schemeClr val="accent2"/>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0.34557</cdr:x>
      <cdr:y>0.0335</cdr:y>
    </cdr:from>
    <cdr:to>
      <cdr:x>0.52126</cdr:x>
      <cdr:y>0.09249</cdr:y>
    </cdr:to>
    <cdr:sp macro="" textlink="">
      <cdr:nvSpPr>
        <cdr:cNvPr id="4" name="ZoneTexte 3"/>
        <cdr:cNvSpPr txBox="1"/>
      </cdr:nvSpPr>
      <cdr:spPr>
        <a:xfrm xmlns:a="http://schemas.openxmlformats.org/drawingml/2006/main">
          <a:off x="2140816" y="123121"/>
          <a:ext cx="1088410" cy="216773"/>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pPr algn="ctr"/>
          <a:r>
            <a:rPr lang="fr-CH" sz="900" b="0">
              <a:solidFill>
                <a:schemeClr val="accent2"/>
              </a:solidFill>
              <a:latin typeface="GHEA Grapalat" pitchFamily="50" charset="0"/>
            </a:rPr>
            <a:t>Կանխատեսում</a:t>
          </a:r>
        </a:p>
      </cdr:txBody>
    </cdr:sp>
  </cdr:relSizeAnchor>
</c:userShapes>
</file>

<file path=word/drawings/drawing22.xml><?xml version="1.0" encoding="utf-8"?>
<c:userShapes xmlns:c="http://schemas.openxmlformats.org/drawingml/2006/chart">
  <cdr:relSizeAnchor xmlns:cdr="http://schemas.openxmlformats.org/drawingml/2006/chartDrawing">
    <cdr:from>
      <cdr:x>0.01276</cdr:x>
      <cdr:y>0.0144</cdr:y>
    </cdr:from>
    <cdr:to>
      <cdr:x>0.15623</cdr:x>
      <cdr:y>0.10355</cdr:y>
    </cdr:to>
    <cdr:sp macro="" textlink="">
      <cdr:nvSpPr>
        <cdr:cNvPr id="2" name="TextBox 1"/>
        <cdr:cNvSpPr txBox="1"/>
      </cdr:nvSpPr>
      <cdr:spPr>
        <a:xfrm xmlns:a="http://schemas.openxmlformats.org/drawingml/2006/main">
          <a:off x="71438" y="33338"/>
          <a:ext cx="797719" cy="2024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Տոկոս</a:t>
          </a:r>
        </a:p>
      </cdr:txBody>
    </cdr:sp>
  </cdr:relSizeAnchor>
</c:userShapes>
</file>

<file path=word/drawings/drawing23.xml><?xml version="1.0" encoding="utf-8"?>
<c:userShapes xmlns:c="http://schemas.openxmlformats.org/drawingml/2006/chart">
  <cdr:relSizeAnchor xmlns:cdr="http://schemas.openxmlformats.org/drawingml/2006/chartDrawing">
    <cdr:from>
      <cdr:x>0.01276</cdr:x>
      <cdr:y>0.0144</cdr:y>
    </cdr:from>
    <cdr:to>
      <cdr:x>0.15525</cdr:x>
      <cdr:y>0.10258</cdr:y>
    </cdr:to>
    <cdr:sp macro="" textlink="">
      <cdr:nvSpPr>
        <cdr:cNvPr id="2" name="TextBox 1"/>
        <cdr:cNvSpPr txBox="1"/>
      </cdr:nvSpPr>
      <cdr:spPr>
        <a:xfrm xmlns:a="http://schemas.openxmlformats.org/drawingml/2006/main">
          <a:off x="71438" y="33338"/>
          <a:ext cx="797719" cy="2024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Տոկոս</a:t>
          </a:r>
        </a:p>
      </cdr:txBody>
    </cdr:sp>
  </cdr:relSizeAnchor>
</c:userShapes>
</file>

<file path=word/drawings/drawing24.xml><?xml version="1.0" encoding="utf-8"?>
<c:userShapes xmlns:c="http://schemas.openxmlformats.org/drawingml/2006/chart">
  <cdr:relSizeAnchor xmlns:cdr="http://schemas.openxmlformats.org/drawingml/2006/chartDrawing">
    <cdr:from>
      <cdr:x>0.16059</cdr:x>
      <cdr:y>0.20176</cdr:y>
    </cdr:from>
    <cdr:to>
      <cdr:x>0.44928</cdr:x>
      <cdr:y>0.26792</cdr:y>
    </cdr:to>
    <cdr:sp macro="" textlink="">
      <cdr:nvSpPr>
        <cdr:cNvPr id="5" name="Text Box 4"/>
        <cdr:cNvSpPr txBox="1"/>
      </cdr:nvSpPr>
      <cdr:spPr>
        <a:xfrm xmlns:a="http://schemas.openxmlformats.org/drawingml/2006/main">
          <a:off x="508635" y="581025"/>
          <a:ext cx="91440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0.15468</cdr:x>
      <cdr:y>0.44025</cdr:y>
    </cdr:from>
    <cdr:to>
      <cdr:x>0.66993</cdr:x>
      <cdr:y>0.54241</cdr:y>
    </cdr:to>
    <cdr:sp macro="" textlink="">
      <cdr:nvSpPr>
        <cdr:cNvPr id="3" name="Text Box 4"/>
        <cdr:cNvSpPr txBox="1"/>
      </cdr:nvSpPr>
      <cdr:spPr>
        <a:xfrm xmlns:a="http://schemas.openxmlformats.org/drawingml/2006/main">
          <a:off x="450826" y="1354456"/>
          <a:ext cx="1501774" cy="314303"/>
        </a:xfrm>
        <a:prstGeom xmlns:a="http://schemas.openxmlformats.org/drawingml/2006/main" prst="rect">
          <a:avLst/>
        </a:prstGeom>
        <a:solidFill xmlns:a="http://schemas.openxmlformats.org/drawingml/2006/main">
          <a:schemeClr val="lt1">
            <a:alpha val="0"/>
          </a:schemeClr>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l">
            <a:lnSpc>
              <a:spcPct val="130000"/>
            </a:lnSpc>
            <a:spcBef>
              <a:spcPts val="200"/>
            </a:spcBef>
            <a:spcAft>
              <a:spcPts val="300"/>
            </a:spcAft>
          </a:pPr>
          <a:r>
            <a:rPr lang="hy-AM" sz="900">
              <a:effectLst/>
              <a:latin typeface="GHEA Grapalat" panose="02000506050000020003" pitchFamily="50" charset="0"/>
              <a:ea typeface="Times New Roman" panose="02020603050405020304" pitchFamily="18" charset="0"/>
              <a:cs typeface="Times New Roman" panose="02020603050405020304" pitchFamily="18" charset="0"/>
            </a:rPr>
            <a:t>Հարկաբյուջետային կանոնի շեմ</a:t>
          </a:r>
          <a:endParaRPr lang="en-US" sz="1100">
            <a:effectLst/>
            <a:latin typeface="GHEA Grapalat" panose="02000506050000020003" pitchFamily="50" charset="0"/>
            <a:ea typeface="Times New Roman" panose="02020603050405020304" pitchFamily="18" charset="0"/>
            <a:cs typeface="Times New Roman" panose="02020603050405020304" pitchFamily="18" charset="0"/>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0.16059</cdr:x>
      <cdr:y>0.20176</cdr:y>
    </cdr:from>
    <cdr:to>
      <cdr:x>0.44928</cdr:x>
      <cdr:y>0.26792</cdr:y>
    </cdr:to>
    <cdr:sp macro="" textlink="">
      <cdr:nvSpPr>
        <cdr:cNvPr id="5" name="Text Box 4"/>
        <cdr:cNvSpPr txBox="1"/>
      </cdr:nvSpPr>
      <cdr:spPr>
        <a:xfrm xmlns:a="http://schemas.openxmlformats.org/drawingml/2006/main">
          <a:off x="508635" y="581025"/>
          <a:ext cx="91440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0.18038</cdr:x>
      <cdr:y>0.13079</cdr:y>
    </cdr:from>
    <cdr:to>
      <cdr:x>0.69304</cdr:x>
      <cdr:y>0.23324</cdr:y>
    </cdr:to>
    <cdr:sp macro="" textlink="">
      <cdr:nvSpPr>
        <cdr:cNvPr id="3" name="Text Box 4"/>
        <cdr:cNvSpPr txBox="1"/>
      </cdr:nvSpPr>
      <cdr:spPr>
        <a:xfrm xmlns:a="http://schemas.openxmlformats.org/drawingml/2006/main">
          <a:off x="542925" y="401320"/>
          <a:ext cx="1543050" cy="314325"/>
        </a:xfrm>
        <a:prstGeom xmlns:a="http://schemas.openxmlformats.org/drawingml/2006/main" prst="rect">
          <a:avLst/>
        </a:prstGeom>
        <a:solidFill xmlns:a="http://schemas.openxmlformats.org/drawingml/2006/main">
          <a:schemeClr val="lt1">
            <a:alpha val="0"/>
          </a:schemeClr>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l">
            <a:lnSpc>
              <a:spcPct val="130000"/>
            </a:lnSpc>
            <a:spcBef>
              <a:spcPts val="200"/>
            </a:spcBef>
            <a:spcAft>
              <a:spcPts val="300"/>
            </a:spcAft>
          </a:pPr>
          <a:r>
            <a:rPr lang="en-US" sz="1100">
              <a:effectLst/>
              <a:latin typeface="GHEA Grapalat" panose="02000506050000020003" pitchFamily="50" charset="0"/>
              <a:ea typeface="Times New Roman" panose="02020603050405020304" pitchFamily="18" charset="0"/>
              <a:cs typeface="Times New Roman" panose="02020603050405020304" pitchFamily="18" charset="0"/>
            </a:rPr>
            <a:t>MAC DSA </a:t>
          </a:r>
          <a:r>
            <a:rPr lang="hy-AM" sz="1100">
              <a:effectLst/>
              <a:latin typeface="GHEA Grapalat" panose="02000506050000020003" pitchFamily="50" charset="0"/>
              <a:ea typeface="Times New Roman" panose="02020603050405020304" pitchFamily="18" charset="0"/>
              <a:cs typeface="Times New Roman" panose="02020603050405020304" pitchFamily="18" charset="0"/>
            </a:rPr>
            <a:t>շեմ</a:t>
          </a:r>
          <a:endParaRPr lang="en-US" sz="1100">
            <a:effectLst/>
            <a:latin typeface="GHEA Grapalat" panose="02000506050000020003" pitchFamily="50" charset="0"/>
            <a:ea typeface="Times New Roman" panose="02020603050405020304" pitchFamily="18" charset="0"/>
            <a:cs typeface="Times New Roman" panose="02020603050405020304"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0.16059</cdr:x>
      <cdr:y>0.20176</cdr:y>
    </cdr:from>
    <cdr:to>
      <cdr:x>0.44928</cdr:x>
      <cdr:y>0.26792</cdr:y>
    </cdr:to>
    <cdr:sp macro="" textlink="">
      <cdr:nvSpPr>
        <cdr:cNvPr id="5" name="Text Box 4"/>
        <cdr:cNvSpPr txBox="1"/>
      </cdr:nvSpPr>
      <cdr:spPr>
        <a:xfrm xmlns:a="http://schemas.openxmlformats.org/drawingml/2006/main">
          <a:off x="508635" y="581025"/>
          <a:ext cx="91440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userShapes>
</file>

<file path=word/drawings/drawing27.xml><?xml version="1.0" encoding="utf-8"?>
<c:userShapes xmlns:c="http://schemas.openxmlformats.org/drawingml/2006/chart">
  <cdr:relSizeAnchor xmlns:cdr="http://schemas.openxmlformats.org/drawingml/2006/chartDrawing">
    <cdr:from>
      <cdr:x>0.26772</cdr:x>
      <cdr:y>0.96217</cdr:y>
    </cdr:from>
    <cdr:to>
      <cdr:x>0.47267</cdr:x>
      <cdr:y>1</cdr:y>
    </cdr:to>
    <cdr:sp macro="" textlink="">
      <cdr:nvSpPr>
        <cdr:cNvPr id="2" name="TextBox 1"/>
        <cdr:cNvSpPr txBox="1"/>
      </cdr:nvSpPr>
      <cdr:spPr>
        <a:xfrm xmlns:a="http://schemas.openxmlformats.org/drawingml/2006/main">
          <a:off x="1194429" y="2907030"/>
          <a:ext cx="914400" cy="1143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0.50874</cdr:x>
      <cdr:y>0.86333</cdr:y>
    </cdr:from>
    <cdr:to>
      <cdr:x>0.65237</cdr:x>
      <cdr:y>0.95331</cdr:y>
    </cdr:to>
    <cdr:sp macro="" textlink="">
      <cdr:nvSpPr>
        <cdr:cNvPr id="3" name="TextBox 2"/>
        <cdr:cNvSpPr txBox="1"/>
      </cdr:nvSpPr>
      <cdr:spPr>
        <a:xfrm xmlns:a="http://schemas.openxmlformats.org/drawingml/2006/main">
          <a:off x="2437411" y="2113370"/>
          <a:ext cx="688143" cy="22025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0"/>
            <a:t>2021</a:t>
          </a:r>
        </a:p>
      </cdr:txBody>
    </cdr:sp>
  </cdr:relSizeAnchor>
  <cdr:relSizeAnchor xmlns:cdr="http://schemas.openxmlformats.org/drawingml/2006/chartDrawing">
    <cdr:from>
      <cdr:x>0.78115</cdr:x>
      <cdr:y>0.87025</cdr:y>
    </cdr:from>
    <cdr:to>
      <cdr:x>0.97058</cdr:x>
      <cdr:y>0.96109</cdr:y>
    </cdr:to>
    <cdr:sp macro="" textlink="">
      <cdr:nvSpPr>
        <cdr:cNvPr id="4" name="TextBox 3"/>
        <cdr:cNvSpPr txBox="1"/>
      </cdr:nvSpPr>
      <cdr:spPr>
        <a:xfrm xmlns:a="http://schemas.openxmlformats.org/drawingml/2006/main">
          <a:off x="3742568" y="2130312"/>
          <a:ext cx="907574" cy="22236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0"/>
            <a:t>2022</a:t>
          </a:r>
        </a:p>
      </cdr:txBody>
    </cdr:sp>
  </cdr:relSizeAnchor>
  <cdr:relSizeAnchor xmlns:cdr="http://schemas.openxmlformats.org/drawingml/2006/chartDrawing">
    <cdr:from>
      <cdr:x>0.22838</cdr:x>
      <cdr:y>0.875</cdr:y>
    </cdr:from>
    <cdr:to>
      <cdr:x>0.37201</cdr:x>
      <cdr:y>0.97276</cdr:y>
    </cdr:to>
    <cdr:sp macro="" textlink="">
      <cdr:nvSpPr>
        <cdr:cNvPr id="6" name="TextBox 2"/>
        <cdr:cNvSpPr txBox="1"/>
      </cdr:nvSpPr>
      <cdr:spPr>
        <a:xfrm xmlns:a="http://schemas.openxmlformats.org/drawingml/2006/main">
          <a:off x="1094186" y="2141945"/>
          <a:ext cx="688142" cy="23930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b="0"/>
            <a:t>2020</a:t>
          </a:r>
        </a:p>
      </cdr:txBody>
    </cdr:sp>
  </cdr:relSizeAnchor>
</c:userShapes>
</file>

<file path=word/drawings/drawing28.xml><?xml version="1.0" encoding="utf-8"?>
<c:userShapes xmlns:c="http://schemas.openxmlformats.org/drawingml/2006/chart">
  <cdr:relSizeAnchor xmlns:cdr="http://schemas.openxmlformats.org/drawingml/2006/chartDrawing">
    <cdr:from>
      <cdr:x>0.10559</cdr:x>
      <cdr:y>0.81167</cdr:y>
    </cdr:from>
    <cdr:to>
      <cdr:x>0.31206</cdr:x>
      <cdr:y>0.86491</cdr:y>
    </cdr:to>
    <cdr:sp macro="" textlink="">
      <cdr:nvSpPr>
        <cdr:cNvPr id="5" name="TextBox 4">
          <a:extLst xmlns:a="http://schemas.openxmlformats.org/drawingml/2006/main">
            <a:ext uri="{FF2B5EF4-FFF2-40B4-BE49-F238E27FC236}">
              <a16:creationId xmlns:a16="http://schemas.microsoft.com/office/drawing/2014/main" id="{899644FA-8FD4-49EA-9323-393DB56D44EC}"/>
            </a:ext>
          </a:extLst>
        </cdr:cNvPr>
        <cdr:cNvSpPr txBox="1"/>
      </cdr:nvSpPr>
      <cdr:spPr>
        <a:xfrm xmlns:a="http://schemas.openxmlformats.org/drawingml/2006/main">
          <a:off x="669807" y="3411506"/>
          <a:ext cx="1309773" cy="2237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hy-AM" sz="900" b="0" i="0" u="none" strike="noStrike">
              <a:solidFill>
                <a:srgbClr val="00B050"/>
              </a:solidFill>
              <a:latin typeface="Calibri"/>
              <a:cs typeface="Calibri"/>
            </a:rPr>
            <a:t>1-ին</a:t>
          </a:r>
          <a:r>
            <a:rPr lang="hy-AM" sz="900" b="0" i="0" u="none" strike="noStrike" baseline="0">
              <a:solidFill>
                <a:srgbClr val="00B050"/>
              </a:solidFill>
              <a:latin typeface="Calibri"/>
              <a:cs typeface="Calibri"/>
            </a:rPr>
            <a:t> կատեգորիա</a:t>
          </a:r>
          <a:endParaRPr lang="en-US" sz="600">
            <a:solidFill>
              <a:srgbClr val="00B050"/>
            </a:solidFill>
          </a:endParaRPr>
        </a:p>
      </cdr:txBody>
    </cdr:sp>
  </cdr:relSizeAnchor>
  <cdr:relSizeAnchor xmlns:cdr="http://schemas.openxmlformats.org/drawingml/2006/chartDrawing">
    <cdr:from>
      <cdr:x>0.8076</cdr:x>
      <cdr:y>0.80082</cdr:y>
    </cdr:from>
    <cdr:to>
      <cdr:x>0.99739</cdr:x>
      <cdr:y>0.87698</cdr:y>
    </cdr:to>
    <cdr:sp macro="" textlink="">
      <cdr:nvSpPr>
        <cdr:cNvPr id="11" name="TextBox 1">
          <a:extLst xmlns:a="http://schemas.openxmlformats.org/drawingml/2006/main">
            <a:ext uri="{FF2B5EF4-FFF2-40B4-BE49-F238E27FC236}">
              <a16:creationId xmlns:a16="http://schemas.microsoft.com/office/drawing/2014/main" id="{9C4F7265-32EC-474A-A5F7-D54C414E5353}"/>
            </a:ext>
          </a:extLst>
        </cdr:cNvPr>
        <cdr:cNvSpPr txBox="1"/>
      </cdr:nvSpPr>
      <cdr:spPr>
        <a:xfrm xmlns:a="http://schemas.openxmlformats.org/drawingml/2006/main">
          <a:off x="5290834" y="3476257"/>
          <a:ext cx="1243371" cy="3306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hy-AM" sz="900" b="0" i="0" u="none" strike="noStrike">
              <a:solidFill>
                <a:srgbClr val="C00000"/>
              </a:solidFill>
              <a:latin typeface="Calibri"/>
              <a:cs typeface="Calibri"/>
            </a:rPr>
            <a:t>5-րդ կատեգորիա</a:t>
          </a:r>
          <a:endParaRPr lang="en-US" sz="600">
            <a:solidFill>
              <a:srgbClr val="C00000"/>
            </a:solidFill>
          </a:endParaRPr>
        </a:p>
      </cdr:txBody>
    </cdr:sp>
  </cdr:relSizeAnchor>
  <cdr:relSizeAnchor xmlns:cdr="http://schemas.openxmlformats.org/drawingml/2006/chartDrawing">
    <cdr:from>
      <cdr:x>0</cdr:x>
      <cdr:y>0.01575</cdr:y>
    </cdr:from>
    <cdr:to>
      <cdr:x>1</cdr:x>
      <cdr:y>0.45225</cdr:y>
    </cdr:to>
    <cdr:sp macro="" textlink="">
      <cdr:nvSpPr>
        <cdr:cNvPr id="2" name="TextBox 1">
          <a:extLst xmlns:a="http://schemas.openxmlformats.org/drawingml/2006/main">
            <a:ext uri="{FF2B5EF4-FFF2-40B4-BE49-F238E27FC236}">
              <a16:creationId xmlns:a16="http://schemas.microsoft.com/office/drawing/2014/main" id="{80E33A79-4F95-46F5-A5FE-A149959E8286}"/>
            </a:ext>
          </a:extLst>
        </cdr:cNvPr>
        <cdr:cNvSpPr txBox="1"/>
      </cdr:nvSpPr>
      <cdr:spPr>
        <a:xfrm xmlns:a="http://schemas.openxmlformats.org/drawingml/2006/main">
          <a:off x="0" y="52402"/>
          <a:ext cx="4823332" cy="1452282"/>
        </a:xfrm>
        <a:prstGeom xmlns:a="http://schemas.openxmlformats.org/drawingml/2006/main" prst="rect">
          <a:avLst/>
        </a:prstGeom>
      </cdr:spPr>
      <cdr:txBody>
        <a:bodyPr xmlns:a="http://schemas.openxmlformats.org/drawingml/2006/main" vertOverflow="clip" vert="horz" rtlCol="0" anchor="t"/>
        <a:lstStyle xmlns:a="http://schemas.openxmlformats.org/drawingml/2006/main"/>
        <a:p xmlns:a="http://schemas.openxmlformats.org/drawingml/2006/main">
          <a:pPr algn="l"/>
          <a:endParaRPr lang="en-US" sz="1200" b="1">
            <a:solidFill>
              <a:srgbClr val="246DAD"/>
            </a:solidFill>
          </a:endParaRPr>
        </a:p>
      </cdr:txBody>
    </cdr:sp>
  </cdr:relSizeAnchor>
  <cdr:relSizeAnchor xmlns:cdr="http://schemas.openxmlformats.org/drawingml/2006/chartDrawing">
    <cdr:from>
      <cdr:x>0.42745</cdr:x>
      <cdr:y>0.88648</cdr:y>
    </cdr:from>
    <cdr:to>
      <cdr:x>0.65278</cdr:x>
      <cdr:y>0.92598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800350" y="3848100"/>
          <a:ext cx="1476190" cy="171429"/>
        </a:xfrm>
        <a:prstGeom xmlns:a="http://schemas.openxmlformats.org/drawingml/2006/main" prst="rect">
          <a:avLst/>
        </a:prstGeom>
      </cdr:spPr>
    </cdr:pic>
  </cdr:relSizeAnchor>
  <cdr:relSizeAnchor xmlns:cdr="http://schemas.openxmlformats.org/drawingml/2006/chartDrawing">
    <cdr:from>
      <cdr:x>0.05961</cdr:x>
      <cdr:y>0.28745</cdr:y>
    </cdr:from>
    <cdr:to>
      <cdr:x>0.09014</cdr:x>
      <cdr:y>0.71308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378145" y="1208171"/>
          <a:ext cx="193672" cy="1788951"/>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0.60177</cdr:x>
      <cdr:y>0</cdr:y>
    </cdr:from>
    <cdr:to>
      <cdr:x>0.96835</cdr:x>
      <cdr:y>0.71244</cdr:y>
    </cdr:to>
    <cdr:sp macro="" textlink="">
      <cdr:nvSpPr>
        <cdr:cNvPr id="2" name="Rectangle 1"/>
        <cdr:cNvSpPr/>
      </cdr:nvSpPr>
      <cdr:spPr>
        <a:xfrm xmlns:a="http://schemas.openxmlformats.org/drawingml/2006/main">
          <a:off x="1836485" y="0"/>
          <a:ext cx="1118736" cy="1400176"/>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4.xml><?xml version="1.0" encoding="utf-8"?>
<c:userShapes xmlns:c="http://schemas.openxmlformats.org/drawingml/2006/chart">
  <cdr:relSizeAnchor xmlns:cdr="http://schemas.openxmlformats.org/drawingml/2006/chartDrawing">
    <cdr:from>
      <cdr:x>0.59809</cdr:x>
      <cdr:y>0.09677</cdr:y>
    </cdr:from>
    <cdr:to>
      <cdr:x>0.97129</cdr:x>
      <cdr:y>0.86452</cdr:y>
    </cdr:to>
    <cdr:sp macro="" textlink="">
      <cdr:nvSpPr>
        <cdr:cNvPr id="2" name="Rectangle 1"/>
        <cdr:cNvSpPr/>
      </cdr:nvSpPr>
      <cdr:spPr>
        <a:xfrm xmlns:a="http://schemas.openxmlformats.org/drawingml/2006/main">
          <a:off x="1731818" y="285738"/>
          <a:ext cx="1080654" cy="2266973"/>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5.xml><?xml version="1.0" encoding="utf-8"?>
<c:userShapes xmlns:c="http://schemas.openxmlformats.org/drawingml/2006/chart">
  <cdr:relSizeAnchor xmlns:cdr="http://schemas.openxmlformats.org/drawingml/2006/chartDrawing">
    <cdr:from>
      <cdr:x>0.57917</cdr:x>
      <cdr:y>0.10862</cdr:y>
    </cdr:from>
    <cdr:to>
      <cdr:x>0.98137</cdr:x>
      <cdr:y>0.86039</cdr:y>
    </cdr:to>
    <cdr:sp macro="" textlink="">
      <cdr:nvSpPr>
        <cdr:cNvPr id="2" name="Rectangle 1"/>
        <cdr:cNvSpPr/>
      </cdr:nvSpPr>
      <cdr:spPr>
        <a:xfrm xmlns:a="http://schemas.openxmlformats.org/drawingml/2006/main">
          <a:off x="1814946" y="318655"/>
          <a:ext cx="1260398" cy="2205471"/>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6.xml><?xml version="1.0" encoding="utf-8"?>
<c:userShapes xmlns:c="http://schemas.openxmlformats.org/drawingml/2006/chart">
  <cdr:relSizeAnchor xmlns:cdr="http://schemas.openxmlformats.org/drawingml/2006/chartDrawing">
    <cdr:from>
      <cdr:x>0.59009</cdr:x>
      <cdr:y>0</cdr:y>
    </cdr:from>
    <cdr:to>
      <cdr:x>0.99795</cdr:x>
      <cdr:y>0.81097</cdr:y>
    </cdr:to>
    <cdr:sp macro="" textlink="">
      <cdr:nvSpPr>
        <cdr:cNvPr id="2" name="Rectangle 1"/>
        <cdr:cNvSpPr/>
      </cdr:nvSpPr>
      <cdr:spPr>
        <a:xfrm xmlns:a="http://schemas.openxmlformats.org/drawingml/2006/main">
          <a:off x="1782866" y="0"/>
          <a:ext cx="1232280" cy="1534599"/>
        </a:xfrm>
        <a:prstGeom xmlns:a="http://schemas.openxmlformats.org/drawingml/2006/main" prst="rect">
          <a:avLst/>
        </a:prstGeom>
        <a:solidFill xmlns:a="http://schemas.openxmlformats.org/drawingml/2006/main">
          <a:schemeClr val="accent5">
            <a:lumMod val="20000"/>
            <a:lumOff val="80000"/>
            <a:alpha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7.xml><?xml version="1.0" encoding="utf-8"?>
<c:userShapes xmlns:c="http://schemas.openxmlformats.org/drawingml/2006/chart">
  <cdr:relSizeAnchor xmlns:cdr="http://schemas.openxmlformats.org/drawingml/2006/chartDrawing">
    <cdr:from>
      <cdr:x>0.59312</cdr:x>
      <cdr:y>0</cdr:y>
    </cdr:from>
    <cdr:to>
      <cdr:x>0.99023</cdr:x>
      <cdr:y>0.78314</cdr:y>
    </cdr:to>
    <cdr:sp macro="" textlink="">
      <cdr:nvSpPr>
        <cdr:cNvPr id="2" name="Rectangle 1"/>
        <cdr:cNvSpPr/>
      </cdr:nvSpPr>
      <cdr:spPr>
        <a:xfrm xmlns:a="http://schemas.openxmlformats.org/drawingml/2006/main">
          <a:off x="1852637" y="0"/>
          <a:ext cx="1240399" cy="1463039"/>
        </a:xfrm>
        <a:prstGeom xmlns:a="http://schemas.openxmlformats.org/drawingml/2006/main" prst="rect">
          <a:avLst/>
        </a:prstGeom>
        <a:solidFill xmlns:a="http://schemas.openxmlformats.org/drawingml/2006/main">
          <a:schemeClr val="accent5">
            <a:lumMod val="20000"/>
            <a:lumOff val="80000"/>
            <a:alpha val="4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8.xml><?xml version="1.0" encoding="utf-8"?>
<c:userShapes xmlns:c="http://schemas.openxmlformats.org/drawingml/2006/chart">
  <cdr:relSizeAnchor xmlns:cdr="http://schemas.openxmlformats.org/drawingml/2006/chartDrawing">
    <cdr:from>
      <cdr:x>0.57663</cdr:x>
      <cdr:y>0</cdr:y>
    </cdr:from>
    <cdr:to>
      <cdr:x>0.99974</cdr:x>
      <cdr:y>0.72419</cdr:y>
    </cdr:to>
    <cdr:sp macro="" textlink="">
      <cdr:nvSpPr>
        <cdr:cNvPr id="2" name="Rectangle 1"/>
        <cdr:cNvSpPr/>
      </cdr:nvSpPr>
      <cdr:spPr>
        <a:xfrm xmlns:a="http://schemas.openxmlformats.org/drawingml/2006/main">
          <a:off x="1789043" y="0"/>
          <a:ext cx="1312760" cy="1309223"/>
        </a:xfrm>
        <a:prstGeom xmlns:a="http://schemas.openxmlformats.org/drawingml/2006/main" prst="rect">
          <a:avLst/>
        </a:prstGeom>
        <a:solidFill xmlns:a="http://schemas.openxmlformats.org/drawingml/2006/main">
          <a:srgbClr val="D8E2F4">
            <a:alpha val="45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solidFill>
              <a:schemeClr val="lt1">
                <a:alpha val="40000"/>
              </a:schemeClr>
            </a:solidFill>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0.58763</cdr:x>
      <cdr:y>0</cdr:y>
    </cdr:from>
    <cdr:to>
      <cdr:x>1</cdr:x>
      <cdr:y>0.74048</cdr:y>
    </cdr:to>
    <cdr:sp macro="" textlink="">
      <cdr:nvSpPr>
        <cdr:cNvPr id="2" name="Rectangle 1"/>
        <cdr:cNvSpPr/>
      </cdr:nvSpPr>
      <cdr:spPr>
        <a:xfrm xmlns:a="http://schemas.openxmlformats.org/drawingml/2006/main">
          <a:off x="1828799" y="0"/>
          <a:ext cx="1283335" cy="1338673"/>
        </a:xfrm>
        <a:prstGeom xmlns:a="http://schemas.openxmlformats.org/drawingml/2006/main" prst="rect">
          <a:avLst/>
        </a:prstGeom>
        <a:solidFill xmlns:a="http://schemas.openxmlformats.org/drawingml/2006/main">
          <a:srgbClr val="D8E2F4">
            <a:alpha val="4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5FB421-3F45-4CC0-A9EC-BC4C0B9DF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TotalTime>
  <Pages>1</Pages>
  <Words>66445</Words>
  <Characters>378743</Characters>
  <Application>Microsoft Office Word</Application>
  <DocSecurity>0</DocSecurity>
  <Lines>3156</Lines>
  <Paragraphs>888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Ruzanna Gabrielyan</dc:creator>
  <cp:keywords>https:/mul2-minfin.gov.am/tasks/843101/oneclick/1. MJCC_2025-2027_01_07_2024.docx?token=b75fe2735acb4d598bf33382851ce5ff</cp:keywords>
  <dc:description/>
  <cp:lastModifiedBy>Arpine Yolchyan</cp:lastModifiedBy>
  <cp:revision>63</cp:revision>
  <cp:lastPrinted>2024-06-28T10:41:00Z</cp:lastPrinted>
  <dcterms:created xsi:type="dcterms:W3CDTF">2024-07-03T07:29:00Z</dcterms:created>
  <dcterms:modified xsi:type="dcterms:W3CDTF">2024-07-10T06:43:00Z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118595a56aa27920d48de77dc3970edf498cfe523bf10aab3312559a9e76e72a</vt:lpwstr>
  </property>
</Properties>
</file>